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FB3" w14:textId="043D7337" w:rsidR="009B1636" w:rsidRPr="00890249" w:rsidRDefault="004B6E58" w:rsidP="00157E28">
      <w:pPr>
        <w:pStyle w:val="Bezodstpw"/>
        <w:ind w:hanging="284"/>
        <w:jc w:val="center"/>
        <w:rPr>
          <w:rFonts w:asciiTheme="minorHAnsi" w:hAnsiTheme="minorHAnsi" w:cstheme="minorHAnsi"/>
        </w:rPr>
      </w:pPr>
      <w:r>
        <w:rPr>
          <w:rFonts w:asciiTheme="minorHAnsi" w:hAnsiTheme="minorHAnsi" w:cstheme="minorHAnsi"/>
        </w:rPr>
        <w:t xml:space="preserve">                                                                                                                                                                                                                                                                         </w:t>
      </w:r>
      <w:r w:rsidR="00593D74" w:rsidRPr="00157E28">
        <w:rPr>
          <w:rFonts w:asciiTheme="minorHAnsi" w:hAnsiTheme="minorHAnsi" w:cstheme="minorHAnsi"/>
          <w:noProof/>
          <w:sz w:val="28"/>
          <w:lang w:bidi="ar-SA"/>
        </w:rPr>
        <w:drawing>
          <wp:inline distT="0" distB="0" distL="0" distR="0" wp14:anchorId="1A373DEA" wp14:editId="6C281092">
            <wp:extent cx="6153150" cy="627715"/>
            <wp:effectExtent l="0" t="0" r="0" b="0"/>
            <wp:docPr id="1" name="Obraz 1" descr="V:\Departament\WYMIANA\2021-2027\Komunikacja i promocja\Wizualizacja 2021-2027\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898" cy="633606"/>
                    </a:xfrm>
                    <a:prstGeom prst="rect">
                      <a:avLst/>
                    </a:prstGeom>
                    <a:noFill/>
                    <a:ln>
                      <a:noFill/>
                    </a:ln>
                  </pic:spPr>
                </pic:pic>
              </a:graphicData>
            </a:graphic>
          </wp:inline>
        </w:drawing>
      </w:r>
    </w:p>
    <w:p w14:paraId="50CE3768" w14:textId="77777777" w:rsidR="00AD2495" w:rsidRPr="00890249" w:rsidRDefault="00AD2495" w:rsidP="00AD2495">
      <w:pPr>
        <w:rPr>
          <w:rFonts w:asciiTheme="minorHAnsi" w:hAnsiTheme="minorHAnsi" w:cstheme="minorHAnsi"/>
        </w:rPr>
      </w:pPr>
    </w:p>
    <w:p w14:paraId="1E08BFB8" w14:textId="77777777" w:rsidR="0093433C" w:rsidRPr="00C20C68" w:rsidRDefault="00AD2495" w:rsidP="00AE4C37">
      <w:pPr>
        <w:spacing w:before="240" w:after="0"/>
        <w:jc w:val="center"/>
        <w:rPr>
          <w:rFonts w:asciiTheme="minorHAnsi" w:hAnsiTheme="minorHAnsi" w:cstheme="minorHAnsi"/>
          <w:sz w:val="28"/>
          <w:szCs w:val="24"/>
        </w:rPr>
      </w:pPr>
      <w:r w:rsidRPr="00C20C68">
        <w:rPr>
          <w:rFonts w:asciiTheme="minorHAnsi" w:hAnsiTheme="minorHAnsi" w:cstheme="minorHAnsi"/>
          <w:sz w:val="28"/>
        </w:rPr>
        <w:t>ZARZĄD WOJEWÓDZTWA OPOLSKIEGO</w:t>
      </w:r>
      <w:r w:rsidRPr="00C20C68">
        <w:rPr>
          <w:rFonts w:asciiTheme="minorHAnsi" w:hAnsiTheme="minorHAnsi" w:cstheme="minorHAnsi"/>
          <w:sz w:val="28"/>
        </w:rPr>
        <w:tab/>
      </w:r>
      <w:r w:rsidRPr="00C20C68">
        <w:rPr>
          <w:rFonts w:asciiTheme="minorHAnsi" w:hAnsiTheme="minorHAnsi" w:cstheme="minorHAnsi"/>
          <w:sz w:val="28"/>
        </w:rPr>
        <w:br/>
      </w:r>
    </w:p>
    <w:p w14:paraId="1C1B5D72" w14:textId="77777777" w:rsidR="00AD2495" w:rsidRPr="00890249" w:rsidRDefault="00AD2495" w:rsidP="008034A9">
      <w:pPr>
        <w:keepNext/>
        <w:spacing w:after="0"/>
        <w:rPr>
          <w:rFonts w:asciiTheme="minorHAnsi" w:hAnsiTheme="minorHAnsi" w:cstheme="minorHAnsi"/>
          <w:szCs w:val="24"/>
        </w:rPr>
      </w:pPr>
    </w:p>
    <w:p w14:paraId="60DC99AE" w14:textId="77777777" w:rsidR="00AD2495" w:rsidRDefault="00AD2495" w:rsidP="008034A9">
      <w:pPr>
        <w:keepNext/>
        <w:spacing w:after="0"/>
        <w:rPr>
          <w:rFonts w:asciiTheme="minorHAnsi" w:hAnsiTheme="minorHAnsi" w:cstheme="minorHAnsi"/>
          <w:color w:val="2F5496" w:themeColor="accent5" w:themeShade="BF"/>
          <w:sz w:val="36"/>
          <w:szCs w:val="24"/>
        </w:rPr>
      </w:pPr>
    </w:p>
    <w:p w14:paraId="4EE02AC0" w14:textId="77777777" w:rsidR="00C20C68" w:rsidRDefault="00C20C68" w:rsidP="008034A9">
      <w:pPr>
        <w:keepNext/>
        <w:spacing w:after="0"/>
        <w:rPr>
          <w:rFonts w:asciiTheme="minorHAnsi" w:hAnsiTheme="minorHAnsi" w:cstheme="minorHAnsi"/>
          <w:color w:val="2F5496" w:themeColor="accent5" w:themeShade="BF"/>
          <w:sz w:val="36"/>
          <w:szCs w:val="24"/>
        </w:rPr>
      </w:pPr>
    </w:p>
    <w:p w14:paraId="08D4E69D" w14:textId="77777777" w:rsidR="00C20C68" w:rsidRDefault="00C20C68" w:rsidP="008034A9">
      <w:pPr>
        <w:keepNext/>
        <w:spacing w:after="0"/>
        <w:rPr>
          <w:rFonts w:asciiTheme="minorHAnsi" w:hAnsiTheme="minorHAnsi" w:cstheme="minorHAnsi"/>
          <w:color w:val="2F5496" w:themeColor="accent5" w:themeShade="BF"/>
          <w:sz w:val="36"/>
          <w:szCs w:val="24"/>
        </w:rPr>
      </w:pPr>
    </w:p>
    <w:p w14:paraId="6A9FC6DC" w14:textId="77777777" w:rsidR="00C20C68" w:rsidRPr="00890249" w:rsidRDefault="00C20C68" w:rsidP="008034A9">
      <w:pPr>
        <w:keepNext/>
        <w:spacing w:after="0"/>
        <w:rPr>
          <w:rFonts w:asciiTheme="minorHAnsi" w:hAnsiTheme="minorHAnsi" w:cstheme="minorHAnsi"/>
          <w:color w:val="2F5496" w:themeColor="accent5" w:themeShade="BF"/>
          <w:sz w:val="36"/>
          <w:szCs w:val="24"/>
        </w:rPr>
      </w:pPr>
    </w:p>
    <w:p w14:paraId="011E9C83" w14:textId="77777777" w:rsidR="0093433C" w:rsidRPr="00C20C68" w:rsidRDefault="00520213" w:rsidP="00AE4C37">
      <w:pPr>
        <w:keepNext/>
        <w:spacing w:before="0" w:after="0"/>
        <w:jc w:val="center"/>
        <w:rPr>
          <w:rFonts w:asciiTheme="minorHAnsi" w:eastAsiaTheme="majorEastAsia" w:hAnsiTheme="minorHAnsi" w:cstheme="minorHAnsi"/>
          <w:b/>
          <w:color w:val="2F5496" w:themeColor="accent5" w:themeShade="BF"/>
          <w:sz w:val="56"/>
          <w:szCs w:val="32"/>
        </w:rPr>
      </w:pPr>
      <w:r w:rsidRPr="00C20C68">
        <w:rPr>
          <w:rFonts w:asciiTheme="minorHAnsi" w:hAnsiTheme="minorHAnsi" w:cstheme="minorHAnsi"/>
          <w:b/>
          <w:color w:val="2F5496" w:themeColor="accent5" w:themeShade="BF"/>
          <w:sz w:val="56"/>
        </w:rPr>
        <w:t>FUNDUSZE</w:t>
      </w:r>
      <w:r w:rsidR="00003B12" w:rsidRPr="00C20C68">
        <w:rPr>
          <w:rFonts w:asciiTheme="minorHAnsi" w:hAnsiTheme="minorHAnsi" w:cstheme="minorHAnsi"/>
          <w:b/>
          <w:color w:val="2F5496" w:themeColor="accent5" w:themeShade="BF"/>
          <w:sz w:val="56"/>
        </w:rPr>
        <w:t xml:space="preserve"> </w:t>
      </w:r>
      <w:r w:rsidR="00FF6492" w:rsidRPr="00C20C68">
        <w:rPr>
          <w:rFonts w:asciiTheme="minorHAnsi" w:hAnsiTheme="minorHAnsi" w:cstheme="minorHAnsi"/>
          <w:b/>
          <w:color w:val="2F5496" w:themeColor="accent5" w:themeShade="BF"/>
          <w:sz w:val="56"/>
        </w:rPr>
        <w:t>E</w:t>
      </w:r>
      <w:r w:rsidR="00815015" w:rsidRPr="00C20C68">
        <w:rPr>
          <w:rFonts w:asciiTheme="minorHAnsi" w:hAnsiTheme="minorHAnsi" w:cstheme="minorHAnsi"/>
          <w:b/>
          <w:color w:val="2F5496" w:themeColor="accent5" w:themeShade="BF"/>
          <w:sz w:val="56"/>
        </w:rPr>
        <w:t>UROPEJSKIE</w:t>
      </w:r>
    </w:p>
    <w:p w14:paraId="2158B293" w14:textId="77777777" w:rsidR="0093433C" w:rsidRPr="00C20C68" w:rsidRDefault="00AD6577" w:rsidP="00AE4C37">
      <w:pPr>
        <w:keepNext/>
        <w:spacing w:before="0" w:after="0"/>
        <w:jc w:val="center"/>
        <w:rPr>
          <w:rFonts w:asciiTheme="minorHAnsi" w:hAnsiTheme="minorHAnsi" w:cstheme="minorHAnsi"/>
          <w:b/>
          <w:color w:val="2F5496" w:themeColor="accent5" w:themeShade="BF"/>
          <w:sz w:val="56"/>
        </w:rPr>
      </w:pPr>
      <w:r w:rsidRPr="00C20C68">
        <w:rPr>
          <w:rFonts w:asciiTheme="minorHAnsi" w:hAnsiTheme="minorHAnsi" w:cstheme="minorHAnsi"/>
          <w:b/>
          <w:color w:val="2F5496" w:themeColor="accent5" w:themeShade="BF"/>
          <w:sz w:val="56"/>
        </w:rPr>
        <w:t>DLA</w:t>
      </w:r>
      <w:r w:rsidR="00003B12" w:rsidRPr="00C20C68">
        <w:rPr>
          <w:rFonts w:asciiTheme="minorHAnsi" w:hAnsiTheme="minorHAnsi" w:cstheme="minorHAnsi"/>
          <w:b/>
          <w:color w:val="2F5496" w:themeColor="accent5" w:themeShade="BF"/>
          <w:sz w:val="56"/>
        </w:rPr>
        <w:t xml:space="preserve"> </w:t>
      </w:r>
      <w:r w:rsidR="00AD2495" w:rsidRPr="00C20C68">
        <w:rPr>
          <w:rFonts w:asciiTheme="minorHAnsi" w:hAnsiTheme="minorHAnsi" w:cstheme="minorHAnsi"/>
          <w:b/>
          <w:color w:val="2F5496" w:themeColor="accent5" w:themeShade="BF"/>
          <w:sz w:val="56"/>
        </w:rPr>
        <w:t xml:space="preserve">OPOLSKIEGO </w:t>
      </w:r>
      <w:r w:rsidR="009731CA" w:rsidRPr="00C20C68">
        <w:rPr>
          <w:rFonts w:asciiTheme="minorHAnsi" w:hAnsiTheme="minorHAnsi" w:cstheme="minorHAnsi"/>
          <w:b/>
          <w:color w:val="2F5496" w:themeColor="accent5" w:themeShade="BF"/>
          <w:sz w:val="56"/>
        </w:rPr>
        <w:br/>
      </w:r>
      <w:r w:rsidR="00AC37BC" w:rsidRPr="00C20C68">
        <w:rPr>
          <w:rFonts w:asciiTheme="minorHAnsi" w:hAnsiTheme="minorHAnsi" w:cstheme="minorHAnsi"/>
          <w:b/>
          <w:color w:val="2F5496" w:themeColor="accent5" w:themeShade="BF"/>
          <w:sz w:val="56"/>
        </w:rPr>
        <w:t>2021-2027</w:t>
      </w:r>
    </w:p>
    <w:p w14:paraId="5262CA24" w14:textId="77777777" w:rsidR="008034A9" w:rsidRPr="00157E28" w:rsidRDefault="008034A9" w:rsidP="008034A9">
      <w:pPr>
        <w:keepNext/>
        <w:spacing w:before="0" w:after="0"/>
        <w:jc w:val="center"/>
        <w:rPr>
          <w:rFonts w:asciiTheme="minorHAnsi" w:hAnsiTheme="minorHAnsi" w:cstheme="minorHAnsi"/>
          <w:b/>
          <w:color w:val="2F5496" w:themeColor="accent5" w:themeShade="BF"/>
          <w:sz w:val="72"/>
          <w:szCs w:val="56"/>
        </w:rPr>
      </w:pPr>
    </w:p>
    <w:p w14:paraId="53C89793" w14:textId="77777777" w:rsidR="008034A9" w:rsidRPr="00890249" w:rsidRDefault="008034A9" w:rsidP="008034A9">
      <w:pPr>
        <w:jc w:val="center"/>
        <w:rPr>
          <w:rFonts w:asciiTheme="minorHAnsi" w:hAnsiTheme="minorHAnsi" w:cstheme="minorHAnsi"/>
          <w:sz w:val="22"/>
        </w:rPr>
      </w:pPr>
    </w:p>
    <w:p w14:paraId="516BC130" w14:textId="77777777" w:rsidR="00AD2495" w:rsidRDefault="00AD2495" w:rsidP="00AD2495">
      <w:pPr>
        <w:rPr>
          <w:rFonts w:asciiTheme="minorHAnsi" w:hAnsiTheme="minorHAnsi" w:cstheme="minorHAnsi"/>
        </w:rPr>
      </w:pPr>
    </w:p>
    <w:p w14:paraId="30D134A6" w14:textId="2FE2ECE9" w:rsidR="00D9018A" w:rsidRPr="00D9018A" w:rsidRDefault="00D9018A" w:rsidP="00D9018A">
      <w:pPr>
        <w:jc w:val="center"/>
        <w:rPr>
          <w:rFonts w:ascii="Calibri" w:hAnsi="Calibri"/>
          <w:i/>
          <w:color w:val="2F5496" w:themeColor="accent5" w:themeShade="BF"/>
          <w:sz w:val="44"/>
          <w:szCs w:val="48"/>
        </w:rPr>
      </w:pPr>
      <w:r w:rsidRPr="00D9018A">
        <w:rPr>
          <w:rFonts w:ascii="Calibri" w:hAnsi="Calibri"/>
          <w:i/>
          <w:color w:val="2F5496" w:themeColor="accent5" w:themeShade="BF"/>
          <w:sz w:val="44"/>
          <w:szCs w:val="48"/>
        </w:rPr>
        <w:t xml:space="preserve">wersja nr </w:t>
      </w:r>
      <w:r w:rsidR="00DC7B04">
        <w:rPr>
          <w:rFonts w:ascii="Calibri" w:hAnsi="Calibri"/>
          <w:i/>
          <w:color w:val="2F5496" w:themeColor="accent5" w:themeShade="BF"/>
          <w:sz w:val="44"/>
          <w:szCs w:val="48"/>
        </w:rPr>
        <w:t>3</w:t>
      </w:r>
    </w:p>
    <w:p w14:paraId="0FFCF2C3" w14:textId="77777777" w:rsidR="00C20C68" w:rsidRDefault="00C20C68" w:rsidP="00D9018A">
      <w:pPr>
        <w:jc w:val="center"/>
        <w:rPr>
          <w:rFonts w:asciiTheme="minorHAnsi" w:hAnsiTheme="minorHAnsi" w:cstheme="minorHAnsi"/>
        </w:rPr>
      </w:pPr>
    </w:p>
    <w:p w14:paraId="75F9D796" w14:textId="77777777" w:rsidR="00C20C68" w:rsidRDefault="00C20C68" w:rsidP="00AD2495">
      <w:pPr>
        <w:rPr>
          <w:rFonts w:asciiTheme="minorHAnsi" w:hAnsiTheme="minorHAnsi" w:cstheme="minorHAnsi"/>
        </w:rPr>
      </w:pPr>
    </w:p>
    <w:p w14:paraId="74C8E98A" w14:textId="77777777" w:rsidR="00C20C68" w:rsidRDefault="00C20C68" w:rsidP="00AD2495">
      <w:pPr>
        <w:rPr>
          <w:rFonts w:asciiTheme="minorHAnsi" w:hAnsiTheme="minorHAnsi" w:cstheme="minorHAnsi"/>
        </w:rPr>
      </w:pPr>
    </w:p>
    <w:p w14:paraId="2B4EF58F" w14:textId="77777777" w:rsidR="00AD2495" w:rsidRPr="00890249" w:rsidRDefault="00AD2495" w:rsidP="00AD2495">
      <w:pPr>
        <w:rPr>
          <w:rFonts w:asciiTheme="minorHAnsi" w:hAnsiTheme="minorHAnsi" w:cstheme="minorHAnsi"/>
        </w:rPr>
      </w:pPr>
    </w:p>
    <w:p w14:paraId="163C983F" w14:textId="77777777" w:rsidR="00A82E83" w:rsidRDefault="00A82E83" w:rsidP="00AE4C37">
      <w:pPr>
        <w:jc w:val="center"/>
        <w:rPr>
          <w:rFonts w:asciiTheme="minorHAnsi" w:hAnsiTheme="minorHAnsi" w:cstheme="minorHAnsi"/>
        </w:rPr>
      </w:pPr>
    </w:p>
    <w:p w14:paraId="56406255" w14:textId="77777777" w:rsidR="00A82E83" w:rsidRDefault="00A82E83" w:rsidP="00AE4C37">
      <w:pPr>
        <w:jc w:val="center"/>
        <w:rPr>
          <w:rFonts w:asciiTheme="minorHAnsi" w:hAnsiTheme="minorHAnsi" w:cstheme="minorHAnsi"/>
        </w:rPr>
      </w:pPr>
    </w:p>
    <w:p w14:paraId="22EEA2DB" w14:textId="77777777" w:rsidR="00A82E83" w:rsidRDefault="00A82E83" w:rsidP="00AE4C37">
      <w:pPr>
        <w:jc w:val="center"/>
        <w:rPr>
          <w:rFonts w:asciiTheme="minorHAnsi" w:hAnsiTheme="minorHAnsi" w:cstheme="minorHAnsi"/>
        </w:rPr>
      </w:pPr>
    </w:p>
    <w:p w14:paraId="18D5D20F" w14:textId="7F72E47A" w:rsidR="0093433C" w:rsidRPr="00890249" w:rsidRDefault="00AD2495" w:rsidP="00AE4C37">
      <w:pPr>
        <w:jc w:val="center"/>
        <w:rPr>
          <w:rFonts w:asciiTheme="minorHAnsi" w:hAnsiTheme="minorHAnsi" w:cstheme="minorHAnsi"/>
        </w:rPr>
      </w:pPr>
      <w:r w:rsidRPr="00890249">
        <w:rPr>
          <w:rFonts w:asciiTheme="minorHAnsi" w:hAnsiTheme="minorHAnsi" w:cstheme="minorHAnsi"/>
        </w:rPr>
        <w:t xml:space="preserve">OPOLE </w:t>
      </w:r>
      <w:r w:rsidR="00724732" w:rsidRPr="00890249">
        <w:rPr>
          <w:rFonts w:asciiTheme="minorHAnsi" w:hAnsiTheme="minorHAnsi" w:cstheme="minorHAnsi"/>
        </w:rPr>
        <w:t>202</w:t>
      </w:r>
      <w:r w:rsidR="0029352A">
        <w:rPr>
          <w:rFonts w:asciiTheme="minorHAnsi" w:hAnsiTheme="minorHAnsi" w:cstheme="minorHAnsi"/>
        </w:rPr>
        <w:t>5</w:t>
      </w:r>
      <w:r w:rsidR="00724732" w:rsidRPr="00890249">
        <w:rPr>
          <w:rFonts w:asciiTheme="minorHAnsi" w:hAnsiTheme="minorHAnsi" w:cstheme="minorHAnsi"/>
        </w:rPr>
        <w:t xml:space="preserve"> </w:t>
      </w:r>
      <w:r w:rsidRPr="00890249">
        <w:rPr>
          <w:rFonts w:asciiTheme="minorHAnsi" w:hAnsiTheme="minorHAnsi" w:cstheme="minorHAnsi"/>
        </w:rPr>
        <w:t>r.</w:t>
      </w:r>
    </w:p>
    <w:p w14:paraId="27230FBF" w14:textId="77777777" w:rsidR="00AD2495" w:rsidRPr="00890249" w:rsidRDefault="00AD2495" w:rsidP="00AD2495">
      <w:pPr>
        <w:rPr>
          <w:rFonts w:asciiTheme="minorHAnsi" w:hAnsiTheme="minorHAnsi" w:cstheme="minorHAnsi"/>
        </w:rPr>
      </w:pPr>
    </w:p>
    <w:p w14:paraId="071FD095" w14:textId="77777777" w:rsidR="00AD2495" w:rsidRPr="00890249" w:rsidRDefault="00AD2495" w:rsidP="00AD2495">
      <w:pPr>
        <w:rPr>
          <w:rFonts w:asciiTheme="minorHAnsi" w:hAnsiTheme="minorHAnsi" w:cstheme="minorHAnsi"/>
        </w:rPr>
      </w:pPr>
    </w:p>
    <w:p w14:paraId="6A918E76" w14:textId="77777777" w:rsidR="00AD2495" w:rsidRPr="00890249" w:rsidRDefault="00AD2495" w:rsidP="00AD2495">
      <w:pPr>
        <w:rPr>
          <w:rFonts w:asciiTheme="minorHAnsi" w:hAnsiTheme="minorHAnsi" w:cstheme="minorHAnsi"/>
        </w:rPr>
      </w:pPr>
    </w:p>
    <w:p w14:paraId="6D1336C1" w14:textId="77777777" w:rsidR="00AD2495" w:rsidRPr="00890249" w:rsidRDefault="00AD2495" w:rsidP="00AD2495">
      <w:pPr>
        <w:rPr>
          <w:rFonts w:asciiTheme="minorHAnsi" w:hAnsiTheme="minorHAnsi" w:cstheme="minorHAnsi"/>
        </w:rPr>
      </w:pPr>
    </w:p>
    <w:p w14:paraId="15288DEA" w14:textId="77777777" w:rsidR="00AD2495" w:rsidRPr="00890249" w:rsidRDefault="00AD2495" w:rsidP="00AD2495">
      <w:pPr>
        <w:rPr>
          <w:rFonts w:asciiTheme="minorHAnsi" w:hAnsiTheme="minorHAnsi" w:cstheme="minorHAnsi"/>
        </w:rPr>
      </w:pPr>
    </w:p>
    <w:p w14:paraId="4FD910F7" w14:textId="77777777" w:rsidR="00AD2495" w:rsidRPr="00890249" w:rsidRDefault="00AD2495" w:rsidP="00AD2495">
      <w:pPr>
        <w:rPr>
          <w:rFonts w:asciiTheme="minorHAnsi" w:hAnsiTheme="minorHAnsi" w:cstheme="minorHAnsi"/>
        </w:rPr>
      </w:pPr>
    </w:p>
    <w:p w14:paraId="556CAE18" w14:textId="77777777" w:rsidR="00AD2495" w:rsidRPr="00890249" w:rsidRDefault="00AD2495" w:rsidP="00AD2495">
      <w:pPr>
        <w:rPr>
          <w:rFonts w:asciiTheme="minorHAnsi" w:hAnsiTheme="minorHAnsi" w:cstheme="minorHAnsi"/>
        </w:rPr>
      </w:pPr>
    </w:p>
    <w:p w14:paraId="455FAACE" w14:textId="77777777" w:rsidR="00AD2495" w:rsidRPr="00890249" w:rsidRDefault="00AD2495" w:rsidP="00AD2495">
      <w:pPr>
        <w:rPr>
          <w:rFonts w:asciiTheme="minorHAnsi" w:hAnsiTheme="minorHAnsi" w:cstheme="minorHAnsi"/>
        </w:rPr>
      </w:pPr>
    </w:p>
    <w:p w14:paraId="022883BF" w14:textId="77777777" w:rsidR="00AD2495" w:rsidRPr="00890249" w:rsidRDefault="00AD2495" w:rsidP="00AD2495">
      <w:pPr>
        <w:rPr>
          <w:rFonts w:asciiTheme="minorHAnsi" w:hAnsiTheme="minorHAnsi" w:cstheme="minorHAnsi"/>
        </w:rPr>
      </w:pPr>
    </w:p>
    <w:p w14:paraId="6752E0DE" w14:textId="77777777" w:rsidR="00AD2495" w:rsidRPr="00890249" w:rsidRDefault="00AD2495" w:rsidP="00AD2495">
      <w:pPr>
        <w:rPr>
          <w:rFonts w:asciiTheme="minorHAnsi" w:hAnsiTheme="minorHAnsi" w:cstheme="minorHAnsi"/>
        </w:rPr>
      </w:pPr>
    </w:p>
    <w:p w14:paraId="7189A47A" w14:textId="77777777" w:rsidR="00AD2495" w:rsidRPr="00890249" w:rsidRDefault="00AD2495" w:rsidP="00AD2495">
      <w:pPr>
        <w:rPr>
          <w:rFonts w:asciiTheme="minorHAnsi" w:hAnsiTheme="minorHAnsi" w:cstheme="minorHAnsi"/>
        </w:rPr>
      </w:pPr>
    </w:p>
    <w:p w14:paraId="4877C884" w14:textId="77777777" w:rsidR="00AD2495" w:rsidRPr="00890249" w:rsidRDefault="00AD2495" w:rsidP="00AD2495">
      <w:pPr>
        <w:rPr>
          <w:rFonts w:asciiTheme="minorHAnsi" w:hAnsiTheme="minorHAnsi" w:cstheme="minorHAnsi"/>
        </w:rPr>
      </w:pPr>
    </w:p>
    <w:p w14:paraId="365454E2" w14:textId="77777777" w:rsidR="00AD2495" w:rsidRPr="00890249" w:rsidRDefault="00AD2495" w:rsidP="00AD2495">
      <w:pPr>
        <w:rPr>
          <w:rFonts w:asciiTheme="minorHAnsi" w:hAnsiTheme="minorHAnsi" w:cstheme="minorHAnsi"/>
        </w:rPr>
      </w:pPr>
    </w:p>
    <w:p w14:paraId="5C492F47" w14:textId="77777777" w:rsidR="00AD2495" w:rsidRPr="00890249" w:rsidRDefault="00AD2495" w:rsidP="00AD2495">
      <w:pPr>
        <w:rPr>
          <w:rFonts w:asciiTheme="minorHAnsi" w:hAnsiTheme="minorHAnsi" w:cstheme="minorHAnsi"/>
        </w:rPr>
      </w:pPr>
    </w:p>
    <w:p w14:paraId="7EA79413" w14:textId="77777777" w:rsidR="00AD2495" w:rsidRPr="00890249" w:rsidRDefault="00AD2495" w:rsidP="00AD2495">
      <w:pPr>
        <w:rPr>
          <w:rFonts w:asciiTheme="minorHAnsi" w:hAnsiTheme="minorHAnsi" w:cstheme="minorHAnsi"/>
        </w:rPr>
      </w:pPr>
    </w:p>
    <w:p w14:paraId="7DE8A292" w14:textId="77777777" w:rsidR="00AD2495" w:rsidRPr="00890249" w:rsidRDefault="00AD2495" w:rsidP="00AD2495">
      <w:pPr>
        <w:rPr>
          <w:rFonts w:asciiTheme="minorHAnsi" w:hAnsiTheme="minorHAnsi" w:cstheme="minorHAnsi"/>
        </w:rPr>
      </w:pPr>
    </w:p>
    <w:p w14:paraId="60B1BD0A" w14:textId="77777777" w:rsidR="00AD2495" w:rsidRPr="00890249" w:rsidRDefault="00AD2495" w:rsidP="00AD2495">
      <w:pPr>
        <w:rPr>
          <w:rFonts w:asciiTheme="minorHAnsi" w:hAnsiTheme="minorHAnsi" w:cstheme="minorHAnsi"/>
        </w:rPr>
      </w:pPr>
    </w:p>
    <w:p w14:paraId="1DAE082B" w14:textId="77777777" w:rsidR="00AD2495" w:rsidRPr="00890249" w:rsidRDefault="00AD2495" w:rsidP="00AD2495">
      <w:pPr>
        <w:rPr>
          <w:rFonts w:asciiTheme="minorHAnsi" w:hAnsiTheme="minorHAnsi" w:cstheme="minorHAnsi"/>
        </w:rPr>
      </w:pPr>
    </w:p>
    <w:p w14:paraId="387C23CD" w14:textId="77777777" w:rsidR="00AD2495" w:rsidRPr="00890249" w:rsidRDefault="00AD2495" w:rsidP="00AD2495">
      <w:pPr>
        <w:rPr>
          <w:rFonts w:asciiTheme="minorHAnsi" w:hAnsiTheme="minorHAnsi" w:cstheme="minorHAnsi"/>
        </w:rPr>
      </w:pPr>
    </w:p>
    <w:p w14:paraId="0D764292" w14:textId="77777777" w:rsidR="00AD2495" w:rsidRPr="00890249" w:rsidRDefault="00AD2495" w:rsidP="00AD2495">
      <w:pPr>
        <w:rPr>
          <w:rFonts w:asciiTheme="minorHAnsi" w:hAnsiTheme="minorHAnsi" w:cstheme="minorHAnsi"/>
        </w:rPr>
      </w:pPr>
    </w:p>
    <w:p w14:paraId="0CE49F61" w14:textId="77777777" w:rsidR="00AD2495" w:rsidRPr="00890249" w:rsidRDefault="00AD2495" w:rsidP="00AD2495">
      <w:pPr>
        <w:rPr>
          <w:rFonts w:asciiTheme="minorHAnsi" w:hAnsiTheme="minorHAnsi" w:cstheme="minorHAnsi"/>
        </w:rPr>
      </w:pPr>
    </w:p>
    <w:p w14:paraId="39C2F287" w14:textId="77777777" w:rsidR="00AD2495" w:rsidRPr="00890249" w:rsidRDefault="00AD2495" w:rsidP="00AD2495">
      <w:pPr>
        <w:rPr>
          <w:rFonts w:asciiTheme="minorHAnsi" w:hAnsiTheme="minorHAnsi" w:cstheme="minorHAnsi"/>
        </w:rPr>
      </w:pPr>
    </w:p>
    <w:p w14:paraId="06DEF7EB" w14:textId="77777777" w:rsidR="00AD2495" w:rsidRPr="00890249" w:rsidRDefault="00AD2495" w:rsidP="00AD2495">
      <w:pPr>
        <w:rPr>
          <w:rFonts w:asciiTheme="minorHAnsi" w:hAnsiTheme="minorHAnsi" w:cstheme="minorHAnsi"/>
        </w:rPr>
      </w:pPr>
    </w:p>
    <w:p w14:paraId="32D9A1CD" w14:textId="77777777" w:rsidR="00655D81" w:rsidRPr="00890249" w:rsidRDefault="00655D81" w:rsidP="00AD2495">
      <w:pPr>
        <w:rPr>
          <w:rFonts w:asciiTheme="minorHAnsi" w:hAnsiTheme="minorHAnsi" w:cstheme="minorHAnsi"/>
          <w:color w:val="003399"/>
        </w:rPr>
      </w:pPr>
    </w:p>
    <w:p w14:paraId="62210E7C" w14:textId="77777777" w:rsidR="00AD2495" w:rsidRPr="00890249" w:rsidRDefault="00AD2495" w:rsidP="00AD2495">
      <w:pPr>
        <w:rPr>
          <w:rFonts w:asciiTheme="minorHAnsi" w:hAnsiTheme="minorHAnsi" w:cstheme="minorHAnsi"/>
          <w:color w:val="003399"/>
        </w:rPr>
      </w:pPr>
    </w:p>
    <w:p w14:paraId="2935A329" w14:textId="77777777" w:rsidR="004C3E1C" w:rsidRPr="00890249" w:rsidRDefault="004C3E1C" w:rsidP="00AD2495">
      <w:pPr>
        <w:rPr>
          <w:rFonts w:asciiTheme="minorHAnsi" w:hAnsiTheme="minorHAnsi" w:cstheme="minorHAnsi"/>
          <w:color w:val="003399"/>
        </w:rPr>
      </w:pPr>
    </w:p>
    <w:p w14:paraId="09C115E5" w14:textId="77777777" w:rsidR="001C73DB" w:rsidRPr="00890249" w:rsidRDefault="001C73DB" w:rsidP="00AD2495">
      <w:pPr>
        <w:rPr>
          <w:rFonts w:asciiTheme="minorHAnsi" w:hAnsiTheme="minorHAnsi" w:cstheme="minorHAnsi"/>
          <w:color w:val="003399"/>
        </w:rPr>
      </w:pPr>
    </w:p>
    <w:p w14:paraId="4F7195EE" w14:textId="77777777" w:rsidR="001C73DB" w:rsidRPr="00890249" w:rsidRDefault="001C73DB" w:rsidP="00AD2495">
      <w:pPr>
        <w:rPr>
          <w:rFonts w:asciiTheme="minorHAnsi" w:hAnsiTheme="minorHAnsi" w:cstheme="minorHAnsi"/>
          <w:color w:val="003399"/>
        </w:rPr>
      </w:pPr>
    </w:p>
    <w:p w14:paraId="2DB22BD4" w14:textId="77777777" w:rsidR="00A82E83" w:rsidRDefault="00A82E83" w:rsidP="00890249">
      <w:pPr>
        <w:rPr>
          <w:rFonts w:asciiTheme="minorHAnsi" w:eastAsia="Times New Roman" w:hAnsiTheme="minorHAnsi" w:cstheme="minorHAnsi"/>
          <w:b/>
          <w:color w:val="2F5496" w:themeColor="accent5" w:themeShade="BF"/>
          <w:sz w:val="22"/>
          <w:szCs w:val="22"/>
        </w:rPr>
      </w:pPr>
    </w:p>
    <w:p w14:paraId="349F6689" w14:textId="5FC89B03" w:rsidR="00AE4C37" w:rsidRPr="00890249" w:rsidRDefault="00AE4C37" w:rsidP="00890249">
      <w:pPr>
        <w:rPr>
          <w:rFonts w:asciiTheme="minorHAnsi" w:eastAsia="Times New Roman" w:hAnsiTheme="minorHAnsi" w:cstheme="minorHAnsi"/>
          <w:b/>
          <w:color w:val="2F5496" w:themeColor="accent5" w:themeShade="BF"/>
          <w:sz w:val="22"/>
          <w:szCs w:val="22"/>
        </w:rPr>
      </w:pPr>
      <w:r w:rsidRPr="00890249">
        <w:rPr>
          <w:rFonts w:asciiTheme="minorHAnsi" w:eastAsia="Times New Roman" w:hAnsiTheme="minorHAnsi" w:cstheme="minorHAnsi"/>
          <w:b/>
          <w:color w:val="2F5496" w:themeColor="accent5" w:themeShade="BF"/>
          <w:sz w:val="22"/>
          <w:szCs w:val="22"/>
        </w:rPr>
        <w:t xml:space="preserve">INSTYTUCJA ZARZĄDZAJĄCA </w:t>
      </w:r>
      <w:r w:rsidR="004A66E8">
        <w:rPr>
          <w:rFonts w:asciiTheme="minorHAnsi" w:eastAsia="Times New Roman" w:hAnsiTheme="minorHAnsi" w:cstheme="minorHAnsi"/>
          <w:b/>
          <w:color w:val="2F5496" w:themeColor="accent5" w:themeShade="BF"/>
          <w:sz w:val="22"/>
          <w:szCs w:val="22"/>
        </w:rPr>
        <w:t xml:space="preserve"> </w:t>
      </w:r>
    </w:p>
    <w:p w14:paraId="0317113F" w14:textId="77777777" w:rsidR="00AE4C37" w:rsidRPr="00890249" w:rsidRDefault="00AE4C37" w:rsidP="00890249">
      <w:pPr>
        <w:rPr>
          <w:rFonts w:asciiTheme="minorHAnsi" w:hAnsiTheme="minorHAnsi" w:cstheme="minorHAnsi"/>
          <w:b/>
          <w:color w:val="2F5496" w:themeColor="accent5" w:themeShade="BF"/>
          <w:sz w:val="22"/>
          <w:szCs w:val="22"/>
        </w:rPr>
      </w:pPr>
      <w:r w:rsidRPr="00890249">
        <w:rPr>
          <w:rFonts w:asciiTheme="minorHAnsi" w:hAnsiTheme="minorHAnsi" w:cstheme="minorHAnsi"/>
          <w:b/>
          <w:color w:val="2F5496" w:themeColor="accent5" w:themeShade="BF"/>
          <w:sz w:val="22"/>
          <w:szCs w:val="22"/>
        </w:rPr>
        <w:t>FUNDUSZAMI EUROPEJSKIMI DLA OPOLSKIEGO 2021-2027</w:t>
      </w:r>
    </w:p>
    <w:p w14:paraId="5E6976FE" w14:textId="77777777" w:rsidR="00AE4C37" w:rsidRPr="00890249" w:rsidRDefault="00AE4C37" w:rsidP="00890249">
      <w:pPr>
        <w:rPr>
          <w:rFonts w:asciiTheme="minorHAnsi" w:hAnsiTheme="minorHAnsi" w:cstheme="minorHAnsi"/>
          <w:sz w:val="22"/>
          <w:szCs w:val="22"/>
        </w:rPr>
      </w:pPr>
      <w:r w:rsidRPr="00890249">
        <w:rPr>
          <w:rFonts w:asciiTheme="minorHAnsi" w:hAnsiTheme="minorHAnsi" w:cstheme="minorHAnsi"/>
          <w:sz w:val="22"/>
          <w:szCs w:val="22"/>
        </w:rPr>
        <w:t>URZĄD MARSZAŁKOWSKI WOJEWÓDZTWA OPOLSKIEGO</w:t>
      </w:r>
    </w:p>
    <w:p w14:paraId="161D4555" w14:textId="5E750C9A" w:rsidR="00AE4C37" w:rsidRPr="00890249" w:rsidRDefault="00AE4C37" w:rsidP="00AE4C37">
      <w:pPr>
        <w:rPr>
          <w:rFonts w:asciiTheme="minorHAnsi" w:hAnsiTheme="minorHAnsi" w:cstheme="minorHAnsi"/>
          <w:sz w:val="22"/>
          <w:szCs w:val="22"/>
        </w:rPr>
      </w:pPr>
      <w:r w:rsidRPr="00890249">
        <w:rPr>
          <w:rFonts w:asciiTheme="minorHAnsi" w:hAnsiTheme="minorHAnsi" w:cstheme="minorHAnsi"/>
          <w:sz w:val="22"/>
          <w:szCs w:val="22"/>
        </w:rPr>
        <w:t>OPOLE</w:t>
      </w:r>
      <w:r w:rsidR="00BB2288">
        <w:rPr>
          <w:rFonts w:asciiTheme="minorHAnsi" w:hAnsiTheme="minorHAnsi" w:cstheme="minorHAnsi"/>
          <w:sz w:val="22"/>
          <w:szCs w:val="22"/>
        </w:rPr>
        <w:t xml:space="preserve"> </w:t>
      </w:r>
      <w:r w:rsidRPr="00890249">
        <w:rPr>
          <w:rFonts w:asciiTheme="minorHAnsi" w:hAnsiTheme="minorHAnsi" w:cstheme="minorHAnsi"/>
          <w:sz w:val="22"/>
          <w:szCs w:val="22"/>
        </w:rPr>
        <w:t>202</w:t>
      </w:r>
      <w:r w:rsidR="0029352A">
        <w:rPr>
          <w:rFonts w:asciiTheme="minorHAnsi" w:hAnsiTheme="minorHAnsi" w:cstheme="minorHAnsi"/>
          <w:sz w:val="22"/>
          <w:szCs w:val="22"/>
        </w:rPr>
        <w:t>5</w:t>
      </w:r>
      <w:r w:rsidRPr="00890249">
        <w:rPr>
          <w:rFonts w:asciiTheme="minorHAnsi" w:hAnsiTheme="minorHAnsi" w:cstheme="minorHAnsi"/>
          <w:sz w:val="22"/>
          <w:szCs w:val="22"/>
        </w:rPr>
        <w:t xml:space="preserve"> r.</w:t>
      </w:r>
    </w:p>
    <w:p w14:paraId="009305F7" w14:textId="6B138EF4" w:rsidR="00AE4C37" w:rsidRPr="00890249" w:rsidRDefault="00AE4C37" w:rsidP="00AE4C37">
      <w:pPr>
        <w:rPr>
          <w:rFonts w:asciiTheme="minorHAnsi" w:hAnsiTheme="minorHAnsi" w:cstheme="minorHAnsi"/>
        </w:rPr>
      </w:pPr>
      <w:r w:rsidRPr="00890249">
        <w:rPr>
          <w:rFonts w:asciiTheme="minorHAnsi" w:hAnsiTheme="minorHAnsi" w:cstheme="minorHAnsi"/>
        </w:rPr>
        <w:br w:type="page"/>
      </w:r>
    </w:p>
    <w:p w14:paraId="068B4C5A" w14:textId="77777777" w:rsidR="0093433C" w:rsidRPr="001A2085" w:rsidRDefault="00AD2495" w:rsidP="00890249">
      <w:pPr>
        <w:rPr>
          <w:rFonts w:asciiTheme="minorHAnsi" w:hAnsiTheme="minorHAnsi" w:cstheme="minorHAnsi"/>
          <w:b/>
          <w:color w:val="2F5496" w:themeColor="accent5" w:themeShade="BF"/>
          <w:sz w:val="32"/>
          <w:szCs w:val="24"/>
        </w:rPr>
      </w:pPr>
      <w:r w:rsidRPr="001A2085">
        <w:rPr>
          <w:rFonts w:asciiTheme="minorHAnsi" w:hAnsiTheme="minorHAnsi" w:cstheme="minorHAnsi"/>
          <w:b/>
          <w:color w:val="2F5496" w:themeColor="accent5" w:themeShade="BF"/>
          <w:sz w:val="32"/>
          <w:szCs w:val="24"/>
        </w:rPr>
        <w:lastRenderedPageBreak/>
        <w:t>SPIS TREŚCI</w:t>
      </w:r>
      <w:r w:rsidR="00237765" w:rsidRPr="001A2085">
        <w:rPr>
          <w:rFonts w:asciiTheme="minorHAnsi" w:hAnsiTheme="minorHAnsi" w:cstheme="minorHAnsi"/>
          <w:b/>
          <w:color w:val="2F5496" w:themeColor="accent5" w:themeShade="BF"/>
          <w:sz w:val="32"/>
          <w:szCs w:val="24"/>
        </w:rPr>
        <w:tab/>
      </w:r>
    </w:p>
    <w:sdt>
      <w:sdtPr>
        <w:rPr>
          <w:rFonts w:ascii="Times New Roman" w:hAnsi="Times New Roman" w:cstheme="minorHAnsi"/>
          <w:b w:val="0"/>
          <w:noProof w:val="0"/>
          <w:color w:val="2F5496" w:themeColor="accent5" w:themeShade="BF"/>
          <w:sz w:val="24"/>
          <w:szCs w:val="24"/>
        </w:rPr>
        <w:id w:val="-1674722562"/>
        <w:docPartObj>
          <w:docPartGallery w:val="Table of Contents"/>
          <w:docPartUnique/>
        </w:docPartObj>
      </w:sdtPr>
      <w:sdtEndPr>
        <w:rPr>
          <w:bCs/>
          <w:color w:val="auto"/>
        </w:rPr>
      </w:sdtEndPr>
      <w:sdtContent>
        <w:p w14:paraId="16918C3F" w14:textId="09C79D3E" w:rsidR="003562CC" w:rsidRDefault="00875C92">
          <w:pPr>
            <w:pStyle w:val="Spistreci1"/>
            <w:rPr>
              <w:rFonts w:eastAsiaTheme="minorEastAsia" w:cstheme="minorBidi"/>
              <w:b w:val="0"/>
              <w:color w:val="auto"/>
              <w:kern w:val="2"/>
              <w:sz w:val="24"/>
              <w:szCs w:val="24"/>
              <w:lang w:bidi="ar-SA"/>
              <w14:ligatures w14:val="standardContextual"/>
            </w:rPr>
          </w:pPr>
          <w:r w:rsidRPr="001A2085">
            <w:rPr>
              <w:rFonts w:cstheme="minorHAnsi"/>
              <w:bCs/>
              <w:color w:val="2F5496" w:themeColor="accent5" w:themeShade="BF"/>
              <w:sz w:val="24"/>
              <w:szCs w:val="24"/>
            </w:rPr>
            <w:fldChar w:fldCharType="begin"/>
          </w:r>
          <w:r w:rsidR="00275613" w:rsidRPr="001A2085">
            <w:rPr>
              <w:rFonts w:cstheme="minorHAnsi"/>
              <w:bCs/>
              <w:color w:val="2F5496" w:themeColor="accent5" w:themeShade="BF"/>
              <w:sz w:val="24"/>
              <w:szCs w:val="24"/>
            </w:rPr>
            <w:instrText xml:space="preserve"> TOC \o "1-3" \h \z \u </w:instrText>
          </w:r>
          <w:r w:rsidRPr="001A2085">
            <w:rPr>
              <w:rFonts w:cstheme="minorHAnsi"/>
              <w:bCs/>
              <w:color w:val="2F5496" w:themeColor="accent5" w:themeShade="BF"/>
              <w:sz w:val="24"/>
              <w:szCs w:val="24"/>
            </w:rPr>
            <w:fldChar w:fldCharType="separate"/>
          </w:r>
          <w:hyperlink w:anchor="_Toc188266905" w:history="1">
            <w:r w:rsidR="003562CC" w:rsidRPr="005F5514">
              <w:rPr>
                <w:rStyle w:val="Hipercze"/>
              </w:rPr>
              <w:t>1.</w:t>
            </w:r>
            <w:r w:rsidR="003562CC">
              <w:rPr>
                <w:rFonts w:eastAsiaTheme="minorEastAsia" w:cstheme="minorBidi"/>
                <w:b w:val="0"/>
                <w:color w:val="auto"/>
                <w:kern w:val="2"/>
                <w:sz w:val="24"/>
                <w:szCs w:val="24"/>
                <w:lang w:bidi="ar-SA"/>
                <w14:ligatures w14:val="standardContextual"/>
              </w:rPr>
              <w:tab/>
            </w:r>
            <w:r w:rsidR="003562CC" w:rsidRPr="005F5514">
              <w:rPr>
                <w:rStyle w:val="Hipercze"/>
              </w:rPr>
              <w:t>STRATEGIA PROGRAMU: GŁÓWNE WYZWANIA W ZAKRESIE ROZWOJU I ODNOŚNE ROZWIĄZANIA POLITYCZNE</w:t>
            </w:r>
            <w:r w:rsidR="003562CC">
              <w:rPr>
                <w:webHidden/>
              </w:rPr>
              <w:tab/>
            </w:r>
            <w:r w:rsidR="003562CC">
              <w:rPr>
                <w:webHidden/>
              </w:rPr>
              <w:fldChar w:fldCharType="begin"/>
            </w:r>
            <w:r w:rsidR="003562CC">
              <w:rPr>
                <w:webHidden/>
              </w:rPr>
              <w:instrText xml:space="preserve"> PAGEREF _Toc188266905 \h </w:instrText>
            </w:r>
            <w:r w:rsidR="003562CC">
              <w:rPr>
                <w:webHidden/>
              </w:rPr>
            </w:r>
            <w:r w:rsidR="003562CC">
              <w:rPr>
                <w:webHidden/>
              </w:rPr>
              <w:fldChar w:fldCharType="separate"/>
            </w:r>
            <w:r w:rsidR="00001C8C">
              <w:rPr>
                <w:webHidden/>
              </w:rPr>
              <w:t>13</w:t>
            </w:r>
            <w:r w:rsidR="003562CC">
              <w:rPr>
                <w:webHidden/>
              </w:rPr>
              <w:fldChar w:fldCharType="end"/>
            </w:r>
          </w:hyperlink>
        </w:p>
        <w:p w14:paraId="68BE1710" w14:textId="4B7155C6" w:rsidR="003562CC" w:rsidRDefault="003562CC">
          <w:pPr>
            <w:pStyle w:val="Spistreci1"/>
            <w:rPr>
              <w:rFonts w:eastAsiaTheme="minorEastAsia" w:cstheme="minorBidi"/>
              <w:b w:val="0"/>
              <w:color w:val="auto"/>
              <w:kern w:val="2"/>
              <w:sz w:val="24"/>
              <w:szCs w:val="24"/>
              <w:lang w:bidi="ar-SA"/>
              <w14:ligatures w14:val="standardContextual"/>
            </w:rPr>
          </w:pPr>
          <w:hyperlink w:anchor="_Toc188266906" w:history="1">
            <w:r w:rsidRPr="005F5514">
              <w:rPr>
                <w:rStyle w:val="Hipercze"/>
              </w:rPr>
              <w:t>2.</w:t>
            </w:r>
            <w:r>
              <w:rPr>
                <w:rFonts w:eastAsiaTheme="minorEastAsia" w:cstheme="minorBidi"/>
                <w:b w:val="0"/>
                <w:color w:val="auto"/>
                <w:kern w:val="2"/>
                <w:sz w:val="24"/>
                <w:szCs w:val="24"/>
                <w:lang w:bidi="ar-SA"/>
                <w14:ligatures w14:val="standardContextual"/>
              </w:rPr>
              <w:tab/>
            </w:r>
            <w:r w:rsidRPr="005F5514">
              <w:rPr>
                <w:rStyle w:val="Hipercze"/>
              </w:rPr>
              <w:t>PRIORYTETY</w:t>
            </w:r>
            <w:r>
              <w:rPr>
                <w:webHidden/>
              </w:rPr>
              <w:tab/>
            </w:r>
            <w:r>
              <w:rPr>
                <w:webHidden/>
              </w:rPr>
              <w:fldChar w:fldCharType="begin"/>
            </w:r>
            <w:r>
              <w:rPr>
                <w:webHidden/>
              </w:rPr>
              <w:instrText xml:space="preserve"> PAGEREF _Toc188266906 \h </w:instrText>
            </w:r>
            <w:r>
              <w:rPr>
                <w:webHidden/>
              </w:rPr>
            </w:r>
            <w:r>
              <w:rPr>
                <w:webHidden/>
              </w:rPr>
              <w:fldChar w:fldCharType="separate"/>
            </w:r>
            <w:r w:rsidR="00001C8C">
              <w:rPr>
                <w:webHidden/>
              </w:rPr>
              <w:t>39</w:t>
            </w:r>
            <w:r>
              <w:rPr>
                <w:webHidden/>
              </w:rPr>
              <w:fldChar w:fldCharType="end"/>
            </w:r>
          </w:hyperlink>
        </w:p>
        <w:p w14:paraId="5F87BA45" w14:textId="55F46100" w:rsidR="003562CC" w:rsidRDefault="003562CC">
          <w:pPr>
            <w:pStyle w:val="Spistreci1"/>
            <w:rPr>
              <w:rFonts w:eastAsiaTheme="minorEastAsia" w:cstheme="minorBidi"/>
              <w:b w:val="0"/>
              <w:color w:val="auto"/>
              <w:kern w:val="2"/>
              <w:sz w:val="24"/>
              <w:szCs w:val="24"/>
              <w:lang w:bidi="ar-SA"/>
              <w14:ligatures w14:val="standardContextual"/>
            </w:rPr>
          </w:pPr>
          <w:hyperlink w:anchor="_Toc188266907" w:history="1">
            <w:r w:rsidRPr="005F5514">
              <w:rPr>
                <w:rStyle w:val="Hipercze"/>
              </w:rPr>
              <w:t>2.1 PRIORYTETY INNE NIŻ POMOC TECHNICZNA</w:t>
            </w:r>
            <w:r>
              <w:rPr>
                <w:webHidden/>
              </w:rPr>
              <w:tab/>
            </w:r>
            <w:r>
              <w:rPr>
                <w:webHidden/>
              </w:rPr>
              <w:fldChar w:fldCharType="begin"/>
            </w:r>
            <w:r>
              <w:rPr>
                <w:webHidden/>
              </w:rPr>
              <w:instrText xml:space="preserve"> PAGEREF _Toc188266907 \h </w:instrText>
            </w:r>
            <w:r>
              <w:rPr>
                <w:webHidden/>
              </w:rPr>
            </w:r>
            <w:r>
              <w:rPr>
                <w:webHidden/>
              </w:rPr>
              <w:fldChar w:fldCharType="separate"/>
            </w:r>
            <w:r w:rsidR="00001C8C">
              <w:rPr>
                <w:webHidden/>
              </w:rPr>
              <w:t>41</w:t>
            </w:r>
            <w:r>
              <w:rPr>
                <w:webHidden/>
              </w:rPr>
              <w:fldChar w:fldCharType="end"/>
            </w:r>
          </w:hyperlink>
        </w:p>
        <w:p w14:paraId="7501D3C3" w14:textId="1B3A0F33" w:rsidR="003562CC" w:rsidRDefault="003562CC">
          <w:pPr>
            <w:pStyle w:val="Spistreci3"/>
            <w:tabs>
              <w:tab w:val="right" w:leader="dot" w:pos="9061"/>
            </w:tabs>
            <w:rPr>
              <w:rFonts w:cstheme="minorBidi"/>
              <w:noProof/>
              <w:kern w:val="2"/>
              <w:sz w:val="24"/>
              <w:szCs w:val="24"/>
              <w14:ligatures w14:val="standardContextual"/>
            </w:rPr>
          </w:pPr>
          <w:hyperlink w:anchor="_Toc188266908" w:history="1">
            <w:r w:rsidRPr="005F5514">
              <w:rPr>
                <w:rStyle w:val="Hipercze"/>
                <w:rFonts w:eastAsia="Calibri"/>
                <w:noProof/>
                <w:lang w:bidi="pl-PL"/>
              </w:rPr>
              <w:t>2.1.1 FUNDUSZE EUROPEJSKIE NA RZECZ WZROSTU INNOWACYJNOŚCI I KONKURENCYJNOŚCI OPOLSKIEGO</w:t>
            </w:r>
            <w:r>
              <w:rPr>
                <w:noProof/>
                <w:webHidden/>
              </w:rPr>
              <w:tab/>
            </w:r>
            <w:r>
              <w:rPr>
                <w:noProof/>
                <w:webHidden/>
              </w:rPr>
              <w:fldChar w:fldCharType="begin"/>
            </w:r>
            <w:r>
              <w:rPr>
                <w:noProof/>
                <w:webHidden/>
              </w:rPr>
              <w:instrText xml:space="preserve"> PAGEREF _Toc188266908 \h </w:instrText>
            </w:r>
            <w:r>
              <w:rPr>
                <w:noProof/>
                <w:webHidden/>
              </w:rPr>
            </w:r>
            <w:r>
              <w:rPr>
                <w:noProof/>
                <w:webHidden/>
              </w:rPr>
              <w:fldChar w:fldCharType="separate"/>
            </w:r>
            <w:r w:rsidR="00001C8C">
              <w:rPr>
                <w:noProof/>
                <w:webHidden/>
              </w:rPr>
              <w:t>41</w:t>
            </w:r>
            <w:r>
              <w:rPr>
                <w:noProof/>
                <w:webHidden/>
              </w:rPr>
              <w:fldChar w:fldCharType="end"/>
            </w:r>
          </w:hyperlink>
        </w:p>
        <w:p w14:paraId="6225D2DA" w14:textId="1D65D4F9" w:rsidR="003562CC" w:rsidRDefault="003562CC">
          <w:pPr>
            <w:pStyle w:val="Spistreci3"/>
            <w:tabs>
              <w:tab w:val="right" w:leader="dot" w:pos="9061"/>
            </w:tabs>
            <w:rPr>
              <w:rFonts w:cstheme="minorBidi"/>
              <w:noProof/>
              <w:kern w:val="2"/>
              <w:sz w:val="24"/>
              <w:szCs w:val="24"/>
              <w14:ligatures w14:val="standardContextual"/>
            </w:rPr>
          </w:pPr>
          <w:hyperlink w:anchor="_Toc188266909" w:history="1">
            <w:r w:rsidRPr="005F5514">
              <w:rPr>
                <w:rStyle w:val="Hipercze"/>
                <w:rFonts w:eastAsia="Calibri"/>
                <w:noProof/>
                <w:lang w:bidi="pl-PL"/>
              </w:rPr>
              <w:t>2.1.2 FUNDUSZE EUROPEJSKIE DLA CZYSTEJ ENERGII I OCHRONY ŚRODOWISKA NATURALNEGO W WOJEWÓDZTWIE OPOLSKIM</w:t>
            </w:r>
            <w:r>
              <w:rPr>
                <w:noProof/>
                <w:webHidden/>
              </w:rPr>
              <w:tab/>
            </w:r>
            <w:r>
              <w:rPr>
                <w:noProof/>
                <w:webHidden/>
              </w:rPr>
              <w:fldChar w:fldCharType="begin"/>
            </w:r>
            <w:r>
              <w:rPr>
                <w:noProof/>
                <w:webHidden/>
              </w:rPr>
              <w:instrText xml:space="preserve"> PAGEREF _Toc188266909 \h </w:instrText>
            </w:r>
            <w:r>
              <w:rPr>
                <w:noProof/>
                <w:webHidden/>
              </w:rPr>
            </w:r>
            <w:r>
              <w:rPr>
                <w:noProof/>
                <w:webHidden/>
              </w:rPr>
              <w:fldChar w:fldCharType="separate"/>
            </w:r>
            <w:r w:rsidR="00001C8C">
              <w:rPr>
                <w:noProof/>
                <w:webHidden/>
              </w:rPr>
              <w:t>69</w:t>
            </w:r>
            <w:r>
              <w:rPr>
                <w:noProof/>
                <w:webHidden/>
              </w:rPr>
              <w:fldChar w:fldCharType="end"/>
            </w:r>
          </w:hyperlink>
        </w:p>
        <w:p w14:paraId="6016EE81" w14:textId="66A805D5" w:rsidR="003562CC" w:rsidRDefault="003562CC">
          <w:pPr>
            <w:pStyle w:val="Spistreci3"/>
            <w:tabs>
              <w:tab w:val="right" w:leader="dot" w:pos="9061"/>
            </w:tabs>
            <w:rPr>
              <w:rFonts w:cstheme="minorBidi"/>
              <w:noProof/>
              <w:kern w:val="2"/>
              <w:sz w:val="24"/>
              <w:szCs w:val="24"/>
              <w14:ligatures w14:val="standardContextual"/>
            </w:rPr>
          </w:pPr>
          <w:hyperlink w:anchor="_Toc188266910" w:history="1">
            <w:r w:rsidRPr="005F5514">
              <w:rPr>
                <w:rStyle w:val="Hipercze"/>
                <w:rFonts w:eastAsia="Calibri"/>
                <w:noProof/>
                <w:lang w:bidi="pl-PL"/>
              </w:rPr>
              <w:t>2.1.3 FUNDUSZE EUROPEJSKIE NA ZRÓWNOWAŻONY TRANSPORT MIEJSKI WOJEWÓDZTWA OPOLSKIEGO</w:t>
            </w:r>
            <w:r>
              <w:rPr>
                <w:noProof/>
                <w:webHidden/>
              </w:rPr>
              <w:tab/>
            </w:r>
            <w:r>
              <w:rPr>
                <w:noProof/>
                <w:webHidden/>
              </w:rPr>
              <w:fldChar w:fldCharType="begin"/>
            </w:r>
            <w:r>
              <w:rPr>
                <w:noProof/>
                <w:webHidden/>
              </w:rPr>
              <w:instrText xml:space="preserve"> PAGEREF _Toc188266910 \h </w:instrText>
            </w:r>
            <w:r>
              <w:rPr>
                <w:noProof/>
                <w:webHidden/>
              </w:rPr>
            </w:r>
            <w:r>
              <w:rPr>
                <w:noProof/>
                <w:webHidden/>
              </w:rPr>
              <w:fldChar w:fldCharType="separate"/>
            </w:r>
            <w:r w:rsidR="00001C8C">
              <w:rPr>
                <w:noProof/>
                <w:webHidden/>
              </w:rPr>
              <w:t>109</w:t>
            </w:r>
            <w:r>
              <w:rPr>
                <w:noProof/>
                <w:webHidden/>
              </w:rPr>
              <w:fldChar w:fldCharType="end"/>
            </w:r>
          </w:hyperlink>
        </w:p>
        <w:p w14:paraId="6AC8A79F" w14:textId="56F4B11E" w:rsidR="003562CC" w:rsidRDefault="003562CC">
          <w:pPr>
            <w:pStyle w:val="Spistreci3"/>
            <w:tabs>
              <w:tab w:val="right" w:leader="dot" w:pos="9061"/>
            </w:tabs>
            <w:rPr>
              <w:rFonts w:cstheme="minorBidi"/>
              <w:noProof/>
              <w:kern w:val="2"/>
              <w:sz w:val="24"/>
              <w:szCs w:val="24"/>
              <w14:ligatures w14:val="standardContextual"/>
            </w:rPr>
          </w:pPr>
          <w:hyperlink w:anchor="_Toc188266911" w:history="1">
            <w:r w:rsidRPr="005F5514">
              <w:rPr>
                <w:rStyle w:val="Hipercze"/>
                <w:rFonts w:eastAsia="Calibri"/>
                <w:noProof/>
                <w:lang w:bidi="pl-PL"/>
              </w:rPr>
              <w:t>2.1.4 FUNDUSZE EUROPEJSKIE NA RZECZ SPÓJNOŚCI I DOSTĘPNOŚCI KOMUNIKACYJNEJ WOJEWÓDZTWA OPOLSKIEGO</w:t>
            </w:r>
            <w:r>
              <w:rPr>
                <w:noProof/>
                <w:webHidden/>
              </w:rPr>
              <w:tab/>
            </w:r>
            <w:r>
              <w:rPr>
                <w:noProof/>
                <w:webHidden/>
              </w:rPr>
              <w:fldChar w:fldCharType="begin"/>
            </w:r>
            <w:r>
              <w:rPr>
                <w:noProof/>
                <w:webHidden/>
              </w:rPr>
              <w:instrText xml:space="preserve"> PAGEREF _Toc188266911 \h </w:instrText>
            </w:r>
            <w:r>
              <w:rPr>
                <w:noProof/>
                <w:webHidden/>
              </w:rPr>
            </w:r>
            <w:r>
              <w:rPr>
                <w:noProof/>
                <w:webHidden/>
              </w:rPr>
              <w:fldChar w:fldCharType="separate"/>
            </w:r>
            <w:r w:rsidR="00001C8C">
              <w:rPr>
                <w:noProof/>
                <w:webHidden/>
              </w:rPr>
              <w:t>117</w:t>
            </w:r>
            <w:r>
              <w:rPr>
                <w:noProof/>
                <w:webHidden/>
              </w:rPr>
              <w:fldChar w:fldCharType="end"/>
            </w:r>
          </w:hyperlink>
        </w:p>
        <w:p w14:paraId="2ED37A05" w14:textId="043BA597" w:rsidR="003562CC" w:rsidRDefault="003562CC">
          <w:pPr>
            <w:pStyle w:val="Spistreci3"/>
            <w:tabs>
              <w:tab w:val="right" w:leader="dot" w:pos="9061"/>
            </w:tabs>
            <w:rPr>
              <w:rFonts w:cstheme="minorBidi"/>
              <w:noProof/>
              <w:kern w:val="2"/>
              <w:sz w:val="24"/>
              <w:szCs w:val="24"/>
              <w14:ligatures w14:val="standardContextual"/>
            </w:rPr>
          </w:pPr>
          <w:hyperlink w:anchor="_Toc188266912" w:history="1">
            <w:r w:rsidRPr="005F5514">
              <w:rPr>
                <w:rStyle w:val="Hipercze"/>
                <w:rFonts w:eastAsia="Calibri"/>
                <w:noProof/>
                <w:lang w:bidi="pl-PL"/>
              </w:rPr>
              <w:t>2.1.5 FUNDUSZE EUROPEJSKIE WSPIERAJĄCE OPOLSKI RYNEK PRACY I EDUKACJĘ</w:t>
            </w:r>
            <w:r>
              <w:rPr>
                <w:noProof/>
                <w:webHidden/>
              </w:rPr>
              <w:tab/>
            </w:r>
            <w:r>
              <w:rPr>
                <w:noProof/>
                <w:webHidden/>
              </w:rPr>
              <w:fldChar w:fldCharType="begin"/>
            </w:r>
            <w:r>
              <w:rPr>
                <w:noProof/>
                <w:webHidden/>
              </w:rPr>
              <w:instrText xml:space="preserve"> PAGEREF _Toc188266912 \h </w:instrText>
            </w:r>
            <w:r>
              <w:rPr>
                <w:noProof/>
                <w:webHidden/>
              </w:rPr>
            </w:r>
            <w:r>
              <w:rPr>
                <w:noProof/>
                <w:webHidden/>
              </w:rPr>
              <w:fldChar w:fldCharType="separate"/>
            </w:r>
            <w:r w:rsidR="00001C8C">
              <w:rPr>
                <w:noProof/>
                <w:webHidden/>
              </w:rPr>
              <w:t>124</w:t>
            </w:r>
            <w:r>
              <w:rPr>
                <w:noProof/>
                <w:webHidden/>
              </w:rPr>
              <w:fldChar w:fldCharType="end"/>
            </w:r>
          </w:hyperlink>
        </w:p>
        <w:p w14:paraId="01FCE404" w14:textId="7F4C5596" w:rsidR="003562CC" w:rsidRDefault="003562CC">
          <w:pPr>
            <w:pStyle w:val="Spistreci3"/>
            <w:tabs>
              <w:tab w:val="right" w:leader="dot" w:pos="9061"/>
            </w:tabs>
            <w:rPr>
              <w:rFonts w:cstheme="minorBidi"/>
              <w:noProof/>
              <w:kern w:val="2"/>
              <w:sz w:val="24"/>
              <w:szCs w:val="24"/>
              <w14:ligatures w14:val="standardContextual"/>
            </w:rPr>
          </w:pPr>
          <w:hyperlink w:anchor="_Toc188266913" w:history="1">
            <w:r w:rsidRPr="005F5514">
              <w:rPr>
                <w:rStyle w:val="Hipercze"/>
                <w:rFonts w:eastAsia="Calibri"/>
                <w:noProof/>
                <w:lang w:bidi="pl-PL"/>
              </w:rPr>
              <w:t>2.1.6 FUNDUSZE EUROPEJSKIE WSPIERAJĄCE WŁĄCZENIE SPOŁECZNE W OPOLSKIM</w:t>
            </w:r>
            <w:r>
              <w:rPr>
                <w:noProof/>
                <w:webHidden/>
              </w:rPr>
              <w:tab/>
            </w:r>
            <w:r>
              <w:rPr>
                <w:noProof/>
                <w:webHidden/>
              </w:rPr>
              <w:fldChar w:fldCharType="begin"/>
            </w:r>
            <w:r>
              <w:rPr>
                <w:noProof/>
                <w:webHidden/>
              </w:rPr>
              <w:instrText xml:space="preserve"> PAGEREF _Toc188266913 \h </w:instrText>
            </w:r>
            <w:r>
              <w:rPr>
                <w:noProof/>
                <w:webHidden/>
              </w:rPr>
            </w:r>
            <w:r>
              <w:rPr>
                <w:noProof/>
                <w:webHidden/>
              </w:rPr>
              <w:fldChar w:fldCharType="separate"/>
            </w:r>
            <w:r w:rsidR="00001C8C">
              <w:rPr>
                <w:noProof/>
                <w:webHidden/>
              </w:rPr>
              <w:t>161</w:t>
            </w:r>
            <w:r>
              <w:rPr>
                <w:noProof/>
                <w:webHidden/>
              </w:rPr>
              <w:fldChar w:fldCharType="end"/>
            </w:r>
          </w:hyperlink>
        </w:p>
        <w:p w14:paraId="5DC42AE5" w14:textId="2E7C637D" w:rsidR="003562CC" w:rsidRDefault="003562CC">
          <w:pPr>
            <w:pStyle w:val="Spistreci3"/>
            <w:tabs>
              <w:tab w:val="right" w:leader="dot" w:pos="9061"/>
            </w:tabs>
            <w:rPr>
              <w:rFonts w:cstheme="minorBidi"/>
              <w:noProof/>
              <w:kern w:val="2"/>
              <w:sz w:val="24"/>
              <w:szCs w:val="24"/>
              <w14:ligatures w14:val="standardContextual"/>
            </w:rPr>
          </w:pPr>
          <w:hyperlink w:anchor="_Toc188266914" w:history="1">
            <w:r w:rsidRPr="005F5514">
              <w:rPr>
                <w:rStyle w:val="Hipercze"/>
                <w:rFonts w:eastAsia="Calibri"/>
                <w:noProof/>
                <w:lang w:bidi="pl-PL"/>
              </w:rPr>
              <w:t>2.1.7 FUNDUSZE EUROPEJSKIE WSPIERAJĄCE USŁUGI SPOŁECZNE I ZDROWOTNE  W OPOLSKIM</w:t>
            </w:r>
            <w:r>
              <w:rPr>
                <w:noProof/>
                <w:webHidden/>
              </w:rPr>
              <w:tab/>
            </w:r>
            <w:r>
              <w:rPr>
                <w:noProof/>
                <w:webHidden/>
              </w:rPr>
              <w:fldChar w:fldCharType="begin"/>
            </w:r>
            <w:r>
              <w:rPr>
                <w:noProof/>
                <w:webHidden/>
              </w:rPr>
              <w:instrText xml:space="preserve"> PAGEREF _Toc188266914 \h </w:instrText>
            </w:r>
            <w:r>
              <w:rPr>
                <w:noProof/>
                <w:webHidden/>
              </w:rPr>
            </w:r>
            <w:r>
              <w:rPr>
                <w:noProof/>
                <w:webHidden/>
              </w:rPr>
              <w:fldChar w:fldCharType="separate"/>
            </w:r>
            <w:r w:rsidR="00001C8C">
              <w:rPr>
                <w:noProof/>
                <w:webHidden/>
              </w:rPr>
              <w:t>190</w:t>
            </w:r>
            <w:r>
              <w:rPr>
                <w:noProof/>
                <w:webHidden/>
              </w:rPr>
              <w:fldChar w:fldCharType="end"/>
            </w:r>
          </w:hyperlink>
        </w:p>
        <w:p w14:paraId="49AE6AEF" w14:textId="75017FF5" w:rsidR="003562CC" w:rsidRDefault="003562CC">
          <w:pPr>
            <w:pStyle w:val="Spistreci3"/>
            <w:tabs>
              <w:tab w:val="right" w:leader="dot" w:pos="9061"/>
            </w:tabs>
            <w:rPr>
              <w:rFonts w:cstheme="minorBidi"/>
              <w:noProof/>
              <w:kern w:val="2"/>
              <w:sz w:val="24"/>
              <w:szCs w:val="24"/>
              <w14:ligatures w14:val="standardContextual"/>
            </w:rPr>
          </w:pPr>
          <w:hyperlink w:anchor="_Toc188266915" w:history="1">
            <w:r w:rsidRPr="005F5514">
              <w:rPr>
                <w:rStyle w:val="Hipercze"/>
                <w:rFonts w:eastAsia="Calibri"/>
                <w:noProof/>
                <w:lang w:bidi="pl-PL"/>
              </w:rPr>
              <w:t>2.1.8 EUROPEJSKI BUDŻET DLA SPOŁECZEŃSTWA OPOLSKIEGO</w:t>
            </w:r>
            <w:r>
              <w:rPr>
                <w:noProof/>
                <w:webHidden/>
              </w:rPr>
              <w:tab/>
            </w:r>
            <w:r>
              <w:rPr>
                <w:noProof/>
                <w:webHidden/>
              </w:rPr>
              <w:fldChar w:fldCharType="begin"/>
            </w:r>
            <w:r>
              <w:rPr>
                <w:noProof/>
                <w:webHidden/>
              </w:rPr>
              <w:instrText xml:space="preserve"> PAGEREF _Toc188266915 \h </w:instrText>
            </w:r>
            <w:r>
              <w:rPr>
                <w:noProof/>
                <w:webHidden/>
              </w:rPr>
            </w:r>
            <w:r>
              <w:rPr>
                <w:noProof/>
                <w:webHidden/>
              </w:rPr>
              <w:fldChar w:fldCharType="separate"/>
            </w:r>
            <w:r w:rsidR="00001C8C">
              <w:rPr>
                <w:noProof/>
                <w:webHidden/>
              </w:rPr>
              <w:t>200</w:t>
            </w:r>
            <w:r>
              <w:rPr>
                <w:noProof/>
                <w:webHidden/>
              </w:rPr>
              <w:fldChar w:fldCharType="end"/>
            </w:r>
          </w:hyperlink>
        </w:p>
        <w:p w14:paraId="43493834" w14:textId="5596DA21" w:rsidR="003562CC" w:rsidRDefault="003562CC">
          <w:pPr>
            <w:pStyle w:val="Spistreci3"/>
            <w:tabs>
              <w:tab w:val="right" w:leader="dot" w:pos="9061"/>
            </w:tabs>
            <w:rPr>
              <w:rFonts w:cstheme="minorBidi"/>
              <w:noProof/>
              <w:kern w:val="2"/>
              <w:sz w:val="24"/>
              <w:szCs w:val="24"/>
              <w14:ligatures w14:val="standardContextual"/>
            </w:rPr>
          </w:pPr>
          <w:hyperlink w:anchor="_Toc188266916" w:history="1">
            <w:r w:rsidRPr="005F5514">
              <w:rPr>
                <w:rStyle w:val="Hipercze"/>
                <w:noProof/>
                <w:lang w:bidi="pl-PL"/>
              </w:rPr>
              <w:t>2.1.9 FUNDUSZE EUROPEJSKIE WSPIERAJĄCE INWESTYCJE SPOŁECZNE W OPOLSKIM</w:t>
            </w:r>
            <w:r>
              <w:rPr>
                <w:noProof/>
                <w:webHidden/>
              </w:rPr>
              <w:tab/>
            </w:r>
            <w:r>
              <w:rPr>
                <w:noProof/>
                <w:webHidden/>
              </w:rPr>
              <w:fldChar w:fldCharType="begin"/>
            </w:r>
            <w:r>
              <w:rPr>
                <w:noProof/>
                <w:webHidden/>
              </w:rPr>
              <w:instrText xml:space="preserve"> PAGEREF _Toc188266916 \h </w:instrText>
            </w:r>
            <w:r>
              <w:rPr>
                <w:noProof/>
                <w:webHidden/>
              </w:rPr>
            </w:r>
            <w:r>
              <w:rPr>
                <w:noProof/>
                <w:webHidden/>
              </w:rPr>
              <w:fldChar w:fldCharType="separate"/>
            </w:r>
            <w:r w:rsidR="00001C8C">
              <w:rPr>
                <w:noProof/>
                <w:webHidden/>
              </w:rPr>
              <w:t>219</w:t>
            </w:r>
            <w:r>
              <w:rPr>
                <w:noProof/>
                <w:webHidden/>
              </w:rPr>
              <w:fldChar w:fldCharType="end"/>
            </w:r>
          </w:hyperlink>
        </w:p>
        <w:p w14:paraId="6AFDF383" w14:textId="173B1535" w:rsidR="003562CC" w:rsidRDefault="003562CC">
          <w:pPr>
            <w:pStyle w:val="Spistreci3"/>
            <w:tabs>
              <w:tab w:val="right" w:leader="dot" w:pos="9061"/>
            </w:tabs>
            <w:rPr>
              <w:rFonts w:cstheme="minorBidi"/>
              <w:noProof/>
              <w:kern w:val="2"/>
              <w:sz w:val="24"/>
              <w:szCs w:val="24"/>
              <w14:ligatures w14:val="standardContextual"/>
            </w:rPr>
          </w:pPr>
          <w:hyperlink w:anchor="_Toc188266917" w:history="1">
            <w:r w:rsidRPr="005F5514">
              <w:rPr>
                <w:rStyle w:val="Hipercze"/>
                <w:noProof/>
                <w:lang w:bidi="pl-PL"/>
              </w:rPr>
              <w:t>2.1.10  FUNDUSZE EUROPEJSKIE NA WZMACNIANIE POTENCJAŁÓW ENDOGENICZNYCH OPOLSKIEGO</w:t>
            </w:r>
            <w:r>
              <w:rPr>
                <w:noProof/>
                <w:webHidden/>
              </w:rPr>
              <w:tab/>
            </w:r>
            <w:r>
              <w:rPr>
                <w:noProof/>
                <w:webHidden/>
              </w:rPr>
              <w:fldChar w:fldCharType="begin"/>
            </w:r>
            <w:r>
              <w:rPr>
                <w:noProof/>
                <w:webHidden/>
              </w:rPr>
              <w:instrText xml:space="preserve"> PAGEREF _Toc188266917 \h </w:instrText>
            </w:r>
            <w:r>
              <w:rPr>
                <w:noProof/>
                <w:webHidden/>
              </w:rPr>
            </w:r>
            <w:r>
              <w:rPr>
                <w:noProof/>
                <w:webHidden/>
              </w:rPr>
              <w:fldChar w:fldCharType="separate"/>
            </w:r>
            <w:r w:rsidR="00001C8C">
              <w:rPr>
                <w:noProof/>
                <w:webHidden/>
              </w:rPr>
              <w:t>238</w:t>
            </w:r>
            <w:r>
              <w:rPr>
                <w:noProof/>
                <w:webHidden/>
              </w:rPr>
              <w:fldChar w:fldCharType="end"/>
            </w:r>
          </w:hyperlink>
        </w:p>
        <w:p w14:paraId="2B73D384" w14:textId="50A95756" w:rsidR="003562CC" w:rsidRDefault="003562CC">
          <w:pPr>
            <w:pStyle w:val="Spistreci1"/>
            <w:rPr>
              <w:rFonts w:eastAsiaTheme="minorEastAsia" w:cstheme="minorBidi"/>
              <w:b w:val="0"/>
              <w:color w:val="auto"/>
              <w:kern w:val="2"/>
              <w:sz w:val="24"/>
              <w:szCs w:val="24"/>
              <w:lang w:bidi="ar-SA"/>
              <w14:ligatures w14:val="standardContextual"/>
            </w:rPr>
          </w:pPr>
          <w:hyperlink w:anchor="_Toc188266918" w:history="1">
            <w:r w:rsidRPr="005F5514">
              <w:rPr>
                <w:rStyle w:val="Hipercze"/>
              </w:rPr>
              <w:t>2.A CEL SZCZEGÓŁOWY DOTYCZĄCY PRZECIWDZIAŁANIA DEPRYWACJI MATERIALNEJ</w:t>
            </w:r>
            <w:r>
              <w:rPr>
                <w:webHidden/>
              </w:rPr>
              <w:tab/>
            </w:r>
            <w:r>
              <w:rPr>
                <w:webHidden/>
              </w:rPr>
              <w:fldChar w:fldCharType="begin"/>
            </w:r>
            <w:r>
              <w:rPr>
                <w:webHidden/>
              </w:rPr>
              <w:instrText xml:space="preserve"> PAGEREF _Toc188266918 \h </w:instrText>
            </w:r>
            <w:r>
              <w:rPr>
                <w:webHidden/>
              </w:rPr>
            </w:r>
            <w:r>
              <w:rPr>
                <w:webHidden/>
              </w:rPr>
              <w:fldChar w:fldCharType="separate"/>
            </w:r>
            <w:r w:rsidR="00001C8C">
              <w:rPr>
                <w:webHidden/>
              </w:rPr>
              <w:t>256</w:t>
            </w:r>
            <w:r>
              <w:rPr>
                <w:webHidden/>
              </w:rPr>
              <w:fldChar w:fldCharType="end"/>
            </w:r>
          </w:hyperlink>
        </w:p>
        <w:p w14:paraId="15862A39" w14:textId="0B886A38" w:rsidR="003562CC" w:rsidRDefault="003562CC">
          <w:pPr>
            <w:pStyle w:val="Spistreci3"/>
            <w:tabs>
              <w:tab w:val="right" w:leader="dot" w:pos="9061"/>
            </w:tabs>
            <w:rPr>
              <w:rFonts w:cstheme="minorBidi"/>
              <w:noProof/>
              <w:kern w:val="2"/>
              <w:sz w:val="24"/>
              <w:szCs w:val="24"/>
              <w14:ligatures w14:val="standardContextual"/>
            </w:rPr>
          </w:pPr>
          <w:hyperlink w:anchor="_Toc188266919" w:history="1">
            <w:r w:rsidRPr="005F5514">
              <w:rPr>
                <w:rStyle w:val="Hipercze"/>
                <w:noProof/>
                <w:lang w:bidi="pl-PL"/>
              </w:rPr>
              <w:t>2.2.1.A PRIORYTET POMOCY TECHNICZNEJ - EFRR</w:t>
            </w:r>
            <w:r>
              <w:rPr>
                <w:noProof/>
                <w:webHidden/>
              </w:rPr>
              <w:tab/>
            </w:r>
            <w:r>
              <w:rPr>
                <w:noProof/>
                <w:webHidden/>
              </w:rPr>
              <w:fldChar w:fldCharType="begin"/>
            </w:r>
            <w:r>
              <w:rPr>
                <w:noProof/>
                <w:webHidden/>
              </w:rPr>
              <w:instrText xml:space="preserve"> PAGEREF _Toc188266919 \h </w:instrText>
            </w:r>
            <w:r>
              <w:rPr>
                <w:noProof/>
                <w:webHidden/>
              </w:rPr>
            </w:r>
            <w:r>
              <w:rPr>
                <w:noProof/>
                <w:webHidden/>
              </w:rPr>
              <w:fldChar w:fldCharType="separate"/>
            </w:r>
            <w:r w:rsidR="00001C8C">
              <w:rPr>
                <w:noProof/>
                <w:webHidden/>
              </w:rPr>
              <w:t>256</w:t>
            </w:r>
            <w:r>
              <w:rPr>
                <w:noProof/>
                <w:webHidden/>
              </w:rPr>
              <w:fldChar w:fldCharType="end"/>
            </w:r>
          </w:hyperlink>
        </w:p>
        <w:p w14:paraId="570E9A2F" w14:textId="0B5F9002" w:rsidR="003562CC" w:rsidRDefault="003562CC">
          <w:pPr>
            <w:pStyle w:val="Spistreci3"/>
            <w:tabs>
              <w:tab w:val="right" w:leader="dot" w:pos="9061"/>
            </w:tabs>
            <w:rPr>
              <w:rFonts w:cstheme="minorBidi"/>
              <w:noProof/>
              <w:kern w:val="2"/>
              <w:sz w:val="24"/>
              <w:szCs w:val="24"/>
              <w14:ligatures w14:val="standardContextual"/>
            </w:rPr>
          </w:pPr>
          <w:hyperlink w:anchor="_Toc188266920" w:history="1">
            <w:r w:rsidRPr="005F5514">
              <w:rPr>
                <w:rStyle w:val="Hipercze"/>
                <w:noProof/>
                <w:lang w:bidi="pl-PL"/>
              </w:rPr>
              <w:t>2.2.1.B PRIORYTET POMOCY TECHNICZNEJ – EFS+</w:t>
            </w:r>
            <w:r>
              <w:rPr>
                <w:noProof/>
                <w:webHidden/>
              </w:rPr>
              <w:tab/>
            </w:r>
            <w:r>
              <w:rPr>
                <w:noProof/>
                <w:webHidden/>
              </w:rPr>
              <w:fldChar w:fldCharType="begin"/>
            </w:r>
            <w:r>
              <w:rPr>
                <w:noProof/>
                <w:webHidden/>
              </w:rPr>
              <w:instrText xml:space="preserve"> PAGEREF _Toc188266920 \h </w:instrText>
            </w:r>
            <w:r>
              <w:rPr>
                <w:noProof/>
                <w:webHidden/>
              </w:rPr>
            </w:r>
            <w:r>
              <w:rPr>
                <w:noProof/>
                <w:webHidden/>
              </w:rPr>
              <w:fldChar w:fldCharType="separate"/>
            </w:r>
            <w:r w:rsidR="00001C8C">
              <w:rPr>
                <w:noProof/>
                <w:webHidden/>
              </w:rPr>
              <w:t>261</w:t>
            </w:r>
            <w:r>
              <w:rPr>
                <w:noProof/>
                <w:webHidden/>
              </w:rPr>
              <w:fldChar w:fldCharType="end"/>
            </w:r>
          </w:hyperlink>
        </w:p>
        <w:p w14:paraId="663DCFDE" w14:textId="6C244FE6"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1" w:history="1">
            <w:r w:rsidRPr="005F5514">
              <w:rPr>
                <w:rStyle w:val="Hipercze"/>
              </w:rPr>
              <w:t>2.1 PRIORYTETY INNE NIŻ POMOC TECHNICZNA</w:t>
            </w:r>
            <w:r>
              <w:rPr>
                <w:webHidden/>
              </w:rPr>
              <w:tab/>
            </w:r>
            <w:r>
              <w:rPr>
                <w:webHidden/>
              </w:rPr>
              <w:fldChar w:fldCharType="begin"/>
            </w:r>
            <w:r>
              <w:rPr>
                <w:webHidden/>
              </w:rPr>
              <w:instrText xml:space="preserve"> PAGEREF _Toc188266921 \h </w:instrText>
            </w:r>
            <w:r>
              <w:rPr>
                <w:webHidden/>
              </w:rPr>
            </w:r>
            <w:r>
              <w:rPr>
                <w:webHidden/>
              </w:rPr>
              <w:fldChar w:fldCharType="separate"/>
            </w:r>
            <w:r w:rsidR="00001C8C">
              <w:rPr>
                <w:webHidden/>
              </w:rPr>
              <w:t>266</w:t>
            </w:r>
            <w:r>
              <w:rPr>
                <w:webHidden/>
              </w:rPr>
              <w:fldChar w:fldCharType="end"/>
            </w:r>
          </w:hyperlink>
        </w:p>
        <w:p w14:paraId="6C5C6CD5" w14:textId="481A2D14" w:rsidR="003562CC" w:rsidRDefault="003562CC">
          <w:pPr>
            <w:pStyle w:val="Spistreci3"/>
            <w:tabs>
              <w:tab w:val="right" w:leader="dot" w:pos="9061"/>
            </w:tabs>
            <w:rPr>
              <w:rFonts w:cstheme="minorBidi"/>
              <w:noProof/>
              <w:kern w:val="2"/>
              <w:sz w:val="24"/>
              <w:szCs w:val="24"/>
              <w14:ligatures w14:val="standardContextual"/>
            </w:rPr>
          </w:pPr>
          <w:hyperlink w:anchor="_Toc188266922" w:history="1">
            <w:r w:rsidRPr="005F5514">
              <w:rPr>
                <w:rStyle w:val="Hipercze"/>
                <w:rFonts w:eastAsia="Calibri"/>
                <w:noProof/>
                <w:lang w:bidi="pl-PL"/>
              </w:rPr>
              <w:t>2.1.1</w:t>
            </w:r>
            <w:r w:rsidRPr="005F5514">
              <w:rPr>
                <w:rStyle w:val="Hipercze"/>
                <w:noProof/>
                <w:lang w:bidi="pl-PL"/>
              </w:rPr>
              <w:t xml:space="preserve">3 </w:t>
            </w:r>
            <w:r w:rsidRPr="005F5514">
              <w:rPr>
                <w:rStyle w:val="Hipercze"/>
                <w:rFonts w:eastAsia="Calibri"/>
                <w:noProof/>
                <w:lang w:bidi="pl-PL"/>
              </w:rPr>
              <w:t>FUNDUSZE EUROPEJSKIE NA RZECZ ODBUDOWY I ODPORNOŚCI OPOLSKIEGO PO POWODZI (RESTORE)</w:t>
            </w:r>
            <w:r>
              <w:rPr>
                <w:noProof/>
                <w:webHidden/>
              </w:rPr>
              <w:tab/>
            </w:r>
            <w:r>
              <w:rPr>
                <w:noProof/>
                <w:webHidden/>
              </w:rPr>
              <w:fldChar w:fldCharType="begin"/>
            </w:r>
            <w:r>
              <w:rPr>
                <w:noProof/>
                <w:webHidden/>
              </w:rPr>
              <w:instrText xml:space="preserve"> PAGEREF _Toc188266922 \h </w:instrText>
            </w:r>
            <w:r>
              <w:rPr>
                <w:noProof/>
                <w:webHidden/>
              </w:rPr>
            </w:r>
            <w:r>
              <w:rPr>
                <w:noProof/>
                <w:webHidden/>
              </w:rPr>
              <w:fldChar w:fldCharType="separate"/>
            </w:r>
            <w:r w:rsidR="00001C8C">
              <w:rPr>
                <w:noProof/>
                <w:webHidden/>
              </w:rPr>
              <w:t>266</w:t>
            </w:r>
            <w:r>
              <w:rPr>
                <w:noProof/>
                <w:webHidden/>
              </w:rPr>
              <w:fldChar w:fldCharType="end"/>
            </w:r>
          </w:hyperlink>
        </w:p>
        <w:p w14:paraId="30C82AE1" w14:textId="2F40424A"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3" w:history="1">
            <w:r w:rsidRPr="005F5514">
              <w:rPr>
                <w:rStyle w:val="Hipercze"/>
              </w:rPr>
              <w:t>3.</w:t>
            </w:r>
            <w:r>
              <w:rPr>
                <w:rFonts w:eastAsiaTheme="minorEastAsia" w:cstheme="minorBidi"/>
                <w:b w:val="0"/>
                <w:color w:val="auto"/>
                <w:kern w:val="2"/>
                <w:sz w:val="24"/>
                <w:szCs w:val="24"/>
                <w:lang w:bidi="ar-SA"/>
                <w14:ligatures w14:val="standardContextual"/>
              </w:rPr>
              <w:tab/>
            </w:r>
            <w:r w:rsidRPr="005F5514">
              <w:rPr>
                <w:rStyle w:val="Hipercze"/>
              </w:rPr>
              <w:t>PLAN FINANSOWY</w:t>
            </w:r>
            <w:r>
              <w:rPr>
                <w:webHidden/>
              </w:rPr>
              <w:tab/>
            </w:r>
            <w:r>
              <w:rPr>
                <w:webHidden/>
              </w:rPr>
              <w:fldChar w:fldCharType="begin"/>
            </w:r>
            <w:r>
              <w:rPr>
                <w:webHidden/>
              </w:rPr>
              <w:instrText xml:space="preserve"> PAGEREF _Toc188266923 \h </w:instrText>
            </w:r>
            <w:r>
              <w:rPr>
                <w:webHidden/>
              </w:rPr>
            </w:r>
            <w:r>
              <w:rPr>
                <w:webHidden/>
              </w:rPr>
              <w:fldChar w:fldCharType="separate"/>
            </w:r>
            <w:r w:rsidR="00001C8C">
              <w:rPr>
                <w:webHidden/>
              </w:rPr>
              <w:t>273</w:t>
            </w:r>
            <w:r>
              <w:rPr>
                <w:webHidden/>
              </w:rPr>
              <w:fldChar w:fldCharType="end"/>
            </w:r>
          </w:hyperlink>
        </w:p>
        <w:p w14:paraId="0A21CB30" w14:textId="4F3BEB8C"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4" w:history="1">
            <w:r w:rsidRPr="005F5514">
              <w:rPr>
                <w:rStyle w:val="Hipercze"/>
              </w:rPr>
              <w:t>3.1 ŚRODKI FINANSOWE W ROZBICIU NA POSZCZEGÓLNE LATA</w:t>
            </w:r>
            <w:r>
              <w:rPr>
                <w:webHidden/>
              </w:rPr>
              <w:tab/>
            </w:r>
            <w:r>
              <w:rPr>
                <w:webHidden/>
              </w:rPr>
              <w:fldChar w:fldCharType="begin"/>
            </w:r>
            <w:r>
              <w:rPr>
                <w:webHidden/>
              </w:rPr>
              <w:instrText xml:space="preserve"> PAGEREF _Toc188266924 \h </w:instrText>
            </w:r>
            <w:r>
              <w:rPr>
                <w:webHidden/>
              </w:rPr>
            </w:r>
            <w:r>
              <w:rPr>
                <w:webHidden/>
              </w:rPr>
              <w:fldChar w:fldCharType="separate"/>
            </w:r>
            <w:r w:rsidR="00001C8C">
              <w:rPr>
                <w:webHidden/>
              </w:rPr>
              <w:t>278</w:t>
            </w:r>
            <w:r>
              <w:rPr>
                <w:webHidden/>
              </w:rPr>
              <w:fldChar w:fldCharType="end"/>
            </w:r>
          </w:hyperlink>
        </w:p>
        <w:p w14:paraId="4D7CB4EC" w14:textId="48C82B75"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5" w:history="1">
            <w:r w:rsidRPr="005F5514">
              <w:rPr>
                <w:rStyle w:val="Hipercze"/>
              </w:rPr>
              <w:t>3.2 ŁĄCZNE ŚRODKI FINANSOWE W PODZIALE NA POSZCZEGÓLNE FUNDUSZE ORAZ WSPÓŁFINANSOWANIE KRAJOWE</w:t>
            </w:r>
            <w:r>
              <w:rPr>
                <w:webHidden/>
              </w:rPr>
              <w:tab/>
            </w:r>
            <w:r>
              <w:rPr>
                <w:webHidden/>
              </w:rPr>
              <w:fldChar w:fldCharType="begin"/>
            </w:r>
            <w:r>
              <w:rPr>
                <w:webHidden/>
              </w:rPr>
              <w:instrText xml:space="preserve"> PAGEREF _Toc188266925 \h </w:instrText>
            </w:r>
            <w:r>
              <w:rPr>
                <w:webHidden/>
              </w:rPr>
            </w:r>
            <w:r>
              <w:rPr>
                <w:webHidden/>
              </w:rPr>
              <w:fldChar w:fldCharType="separate"/>
            </w:r>
            <w:r w:rsidR="00001C8C">
              <w:rPr>
                <w:webHidden/>
              </w:rPr>
              <w:t>278</w:t>
            </w:r>
            <w:r>
              <w:rPr>
                <w:webHidden/>
              </w:rPr>
              <w:fldChar w:fldCharType="end"/>
            </w:r>
          </w:hyperlink>
        </w:p>
        <w:p w14:paraId="44359C53" w14:textId="4237F9ED"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6" w:history="1">
            <w:r w:rsidRPr="005F5514">
              <w:rPr>
                <w:rStyle w:val="Hipercze"/>
              </w:rPr>
              <w:t>4.</w:t>
            </w:r>
            <w:r>
              <w:rPr>
                <w:rFonts w:eastAsiaTheme="minorEastAsia" w:cstheme="minorBidi"/>
                <w:b w:val="0"/>
                <w:color w:val="auto"/>
                <w:kern w:val="2"/>
                <w:sz w:val="24"/>
                <w:szCs w:val="24"/>
                <w:lang w:bidi="ar-SA"/>
                <w14:ligatures w14:val="standardContextual"/>
              </w:rPr>
              <w:tab/>
            </w:r>
            <w:r w:rsidRPr="005F5514">
              <w:rPr>
                <w:rStyle w:val="Hipercze"/>
              </w:rPr>
              <w:t>WARUNKI PODSTAWOWE</w:t>
            </w:r>
            <w:r>
              <w:rPr>
                <w:webHidden/>
              </w:rPr>
              <w:tab/>
            </w:r>
            <w:r>
              <w:rPr>
                <w:webHidden/>
              </w:rPr>
              <w:fldChar w:fldCharType="begin"/>
            </w:r>
            <w:r>
              <w:rPr>
                <w:webHidden/>
              </w:rPr>
              <w:instrText xml:space="preserve"> PAGEREF _Toc188266926 \h </w:instrText>
            </w:r>
            <w:r>
              <w:rPr>
                <w:webHidden/>
              </w:rPr>
            </w:r>
            <w:r>
              <w:rPr>
                <w:webHidden/>
              </w:rPr>
              <w:fldChar w:fldCharType="separate"/>
            </w:r>
            <w:r w:rsidR="00001C8C">
              <w:rPr>
                <w:webHidden/>
              </w:rPr>
              <w:t>280</w:t>
            </w:r>
            <w:r>
              <w:rPr>
                <w:webHidden/>
              </w:rPr>
              <w:fldChar w:fldCharType="end"/>
            </w:r>
          </w:hyperlink>
        </w:p>
        <w:p w14:paraId="57BAE6C8" w14:textId="787BCB71"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7" w:history="1">
            <w:r w:rsidRPr="005F5514">
              <w:rPr>
                <w:rStyle w:val="Hipercze"/>
              </w:rPr>
              <w:t>5.</w:t>
            </w:r>
            <w:r>
              <w:rPr>
                <w:rFonts w:eastAsiaTheme="minorEastAsia" w:cstheme="minorBidi"/>
                <w:b w:val="0"/>
                <w:color w:val="auto"/>
                <w:kern w:val="2"/>
                <w:sz w:val="24"/>
                <w:szCs w:val="24"/>
                <w:lang w:bidi="ar-SA"/>
                <w14:ligatures w14:val="standardContextual"/>
              </w:rPr>
              <w:tab/>
            </w:r>
            <w:r w:rsidRPr="005F5514">
              <w:rPr>
                <w:rStyle w:val="Hipercze"/>
              </w:rPr>
              <w:t>INSTYTUCJE PROGRAMU</w:t>
            </w:r>
            <w:r>
              <w:rPr>
                <w:webHidden/>
              </w:rPr>
              <w:tab/>
            </w:r>
            <w:r>
              <w:rPr>
                <w:webHidden/>
              </w:rPr>
              <w:fldChar w:fldCharType="begin"/>
            </w:r>
            <w:r>
              <w:rPr>
                <w:webHidden/>
              </w:rPr>
              <w:instrText xml:space="preserve"> PAGEREF _Toc188266927 \h </w:instrText>
            </w:r>
            <w:r>
              <w:rPr>
                <w:webHidden/>
              </w:rPr>
            </w:r>
            <w:r>
              <w:rPr>
                <w:webHidden/>
              </w:rPr>
              <w:fldChar w:fldCharType="separate"/>
            </w:r>
            <w:r w:rsidR="00001C8C">
              <w:rPr>
                <w:webHidden/>
              </w:rPr>
              <w:t>452</w:t>
            </w:r>
            <w:r>
              <w:rPr>
                <w:webHidden/>
              </w:rPr>
              <w:fldChar w:fldCharType="end"/>
            </w:r>
          </w:hyperlink>
        </w:p>
        <w:p w14:paraId="38345D33" w14:textId="40389FCB"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8" w:history="1">
            <w:r w:rsidRPr="005F5514">
              <w:rPr>
                <w:rStyle w:val="Hipercze"/>
              </w:rPr>
              <w:t>6.</w:t>
            </w:r>
            <w:r>
              <w:rPr>
                <w:rFonts w:eastAsiaTheme="minorEastAsia" w:cstheme="minorBidi"/>
                <w:b w:val="0"/>
                <w:color w:val="auto"/>
                <w:kern w:val="2"/>
                <w:sz w:val="24"/>
                <w:szCs w:val="24"/>
                <w:lang w:bidi="ar-SA"/>
                <w14:ligatures w14:val="standardContextual"/>
              </w:rPr>
              <w:tab/>
            </w:r>
            <w:r w:rsidRPr="005F5514">
              <w:rPr>
                <w:rStyle w:val="Hipercze"/>
              </w:rPr>
              <w:t>PARTNERSTWO</w:t>
            </w:r>
            <w:r>
              <w:rPr>
                <w:webHidden/>
              </w:rPr>
              <w:tab/>
            </w:r>
            <w:r>
              <w:rPr>
                <w:webHidden/>
              </w:rPr>
              <w:fldChar w:fldCharType="begin"/>
            </w:r>
            <w:r>
              <w:rPr>
                <w:webHidden/>
              </w:rPr>
              <w:instrText xml:space="preserve"> PAGEREF _Toc188266928 \h </w:instrText>
            </w:r>
            <w:r>
              <w:rPr>
                <w:webHidden/>
              </w:rPr>
            </w:r>
            <w:r>
              <w:rPr>
                <w:webHidden/>
              </w:rPr>
              <w:fldChar w:fldCharType="separate"/>
            </w:r>
            <w:r w:rsidR="00001C8C">
              <w:rPr>
                <w:webHidden/>
              </w:rPr>
              <w:t>453</w:t>
            </w:r>
            <w:r>
              <w:rPr>
                <w:webHidden/>
              </w:rPr>
              <w:fldChar w:fldCharType="end"/>
            </w:r>
          </w:hyperlink>
        </w:p>
        <w:p w14:paraId="4BE83F80" w14:textId="5756FE65" w:rsidR="003562CC" w:rsidRDefault="003562CC">
          <w:pPr>
            <w:pStyle w:val="Spistreci1"/>
            <w:rPr>
              <w:rFonts w:eastAsiaTheme="minorEastAsia" w:cstheme="minorBidi"/>
              <w:b w:val="0"/>
              <w:color w:val="auto"/>
              <w:kern w:val="2"/>
              <w:sz w:val="24"/>
              <w:szCs w:val="24"/>
              <w:lang w:bidi="ar-SA"/>
              <w14:ligatures w14:val="standardContextual"/>
            </w:rPr>
          </w:pPr>
          <w:hyperlink w:anchor="_Toc188266929" w:history="1">
            <w:r w:rsidRPr="005F5514">
              <w:rPr>
                <w:rStyle w:val="Hipercze"/>
              </w:rPr>
              <w:t>7.</w:t>
            </w:r>
            <w:r>
              <w:rPr>
                <w:rFonts w:eastAsiaTheme="minorEastAsia" w:cstheme="minorBidi"/>
                <w:b w:val="0"/>
                <w:color w:val="auto"/>
                <w:kern w:val="2"/>
                <w:sz w:val="24"/>
                <w:szCs w:val="24"/>
                <w:lang w:bidi="ar-SA"/>
                <w14:ligatures w14:val="standardContextual"/>
              </w:rPr>
              <w:tab/>
            </w:r>
            <w:r w:rsidRPr="005F5514">
              <w:rPr>
                <w:rStyle w:val="Hipercze"/>
              </w:rPr>
              <w:t>KOMUNIKACJA I WIDOCZNOŚĆ</w:t>
            </w:r>
            <w:r>
              <w:rPr>
                <w:webHidden/>
              </w:rPr>
              <w:tab/>
            </w:r>
            <w:r>
              <w:rPr>
                <w:webHidden/>
              </w:rPr>
              <w:fldChar w:fldCharType="begin"/>
            </w:r>
            <w:r>
              <w:rPr>
                <w:webHidden/>
              </w:rPr>
              <w:instrText xml:space="preserve"> PAGEREF _Toc188266929 \h </w:instrText>
            </w:r>
            <w:r>
              <w:rPr>
                <w:webHidden/>
              </w:rPr>
            </w:r>
            <w:r>
              <w:rPr>
                <w:webHidden/>
              </w:rPr>
              <w:fldChar w:fldCharType="separate"/>
            </w:r>
            <w:r w:rsidR="00001C8C">
              <w:rPr>
                <w:webHidden/>
              </w:rPr>
              <w:t>456</w:t>
            </w:r>
            <w:r>
              <w:rPr>
                <w:webHidden/>
              </w:rPr>
              <w:fldChar w:fldCharType="end"/>
            </w:r>
          </w:hyperlink>
        </w:p>
        <w:p w14:paraId="27D8E067" w14:textId="3F6A45C1" w:rsidR="003562CC" w:rsidRDefault="003562CC">
          <w:pPr>
            <w:pStyle w:val="Spistreci1"/>
            <w:rPr>
              <w:rFonts w:eastAsiaTheme="minorEastAsia" w:cstheme="minorBidi"/>
              <w:b w:val="0"/>
              <w:color w:val="auto"/>
              <w:kern w:val="2"/>
              <w:sz w:val="24"/>
              <w:szCs w:val="24"/>
              <w:lang w:bidi="ar-SA"/>
              <w14:ligatures w14:val="standardContextual"/>
            </w:rPr>
          </w:pPr>
          <w:hyperlink w:anchor="_Toc188266930" w:history="1">
            <w:r w:rsidRPr="005F5514">
              <w:rPr>
                <w:rStyle w:val="Hipercze"/>
              </w:rPr>
              <w:t>8.</w:t>
            </w:r>
            <w:r>
              <w:rPr>
                <w:rFonts w:eastAsiaTheme="minorEastAsia" w:cstheme="minorBidi"/>
                <w:b w:val="0"/>
                <w:color w:val="auto"/>
                <w:kern w:val="2"/>
                <w:sz w:val="24"/>
                <w:szCs w:val="24"/>
                <w:lang w:bidi="ar-SA"/>
                <w14:ligatures w14:val="standardContextual"/>
              </w:rPr>
              <w:tab/>
            </w:r>
            <w:r w:rsidRPr="005F5514">
              <w:rPr>
                <w:rStyle w:val="Hipercze"/>
              </w:rPr>
              <w:t>STOSOWANIE KOSZTÓW JEDNOSTKOWYCH, PŁATNOŚCI RYCZAŁTOWYCH, STAWEK RYCZAŁTOWYCH I FINANSOWANIA NIEPOWIĄZANEGO Z KOSZTAMI</w:t>
            </w:r>
            <w:r>
              <w:rPr>
                <w:webHidden/>
              </w:rPr>
              <w:tab/>
            </w:r>
            <w:r>
              <w:rPr>
                <w:webHidden/>
              </w:rPr>
              <w:fldChar w:fldCharType="begin"/>
            </w:r>
            <w:r>
              <w:rPr>
                <w:webHidden/>
              </w:rPr>
              <w:instrText xml:space="preserve"> PAGEREF _Toc188266930 \h </w:instrText>
            </w:r>
            <w:r>
              <w:rPr>
                <w:webHidden/>
              </w:rPr>
            </w:r>
            <w:r>
              <w:rPr>
                <w:webHidden/>
              </w:rPr>
              <w:fldChar w:fldCharType="separate"/>
            </w:r>
            <w:r w:rsidR="00001C8C">
              <w:rPr>
                <w:webHidden/>
              </w:rPr>
              <w:t>458</w:t>
            </w:r>
            <w:r>
              <w:rPr>
                <w:webHidden/>
              </w:rPr>
              <w:fldChar w:fldCharType="end"/>
            </w:r>
          </w:hyperlink>
        </w:p>
        <w:p w14:paraId="46258D29" w14:textId="6B02C784" w:rsidR="003562CC" w:rsidRDefault="003562CC">
          <w:pPr>
            <w:pStyle w:val="Spistreci1"/>
            <w:rPr>
              <w:rFonts w:eastAsiaTheme="minorEastAsia" w:cstheme="minorBidi"/>
              <w:b w:val="0"/>
              <w:color w:val="auto"/>
              <w:kern w:val="2"/>
              <w:sz w:val="24"/>
              <w:szCs w:val="24"/>
              <w:lang w:bidi="ar-SA"/>
              <w14:ligatures w14:val="standardContextual"/>
            </w:rPr>
          </w:pPr>
          <w:hyperlink w:anchor="_Toc188266931" w:history="1">
            <w:r w:rsidRPr="005F5514">
              <w:rPr>
                <w:rStyle w:val="Hipercze"/>
              </w:rPr>
              <w:t>ZAŁĄCZNIKI</w:t>
            </w:r>
            <w:r>
              <w:rPr>
                <w:webHidden/>
              </w:rPr>
              <w:tab/>
            </w:r>
            <w:r>
              <w:rPr>
                <w:webHidden/>
              </w:rPr>
              <w:fldChar w:fldCharType="begin"/>
            </w:r>
            <w:r>
              <w:rPr>
                <w:webHidden/>
              </w:rPr>
              <w:instrText xml:space="preserve"> PAGEREF _Toc188266931 \h </w:instrText>
            </w:r>
            <w:r>
              <w:rPr>
                <w:webHidden/>
              </w:rPr>
            </w:r>
            <w:r>
              <w:rPr>
                <w:webHidden/>
              </w:rPr>
              <w:fldChar w:fldCharType="separate"/>
            </w:r>
            <w:r w:rsidR="00001C8C">
              <w:rPr>
                <w:webHidden/>
              </w:rPr>
              <w:t>459</w:t>
            </w:r>
            <w:r>
              <w:rPr>
                <w:webHidden/>
              </w:rPr>
              <w:fldChar w:fldCharType="end"/>
            </w:r>
          </w:hyperlink>
        </w:p>
        <w:p w14:paraId="45976A91" w14:textId="77777777" w:rsidR="00275613" w:rsidRPr="00890249" w:rsidRDefault="00875C92">
          <w:pPr>
            <w:rPr>
              <w:rFonts w:asciiTheme="minorHAnsi" w:hAnsiTheme="minorHAnsi" w:cstheme="minorHAnsi"/>
              <w:sz w:val="22"/>
              <w:szCs w:val="24"/>
            </w:rPr>
          </w:pPr>
          <w:r w:rsidRPr="001A2085">
            <w:rPr>
              <w:rFonts w:asciiTheme="minorHAnsi" w:hAnsiTheme="minorHAnsi" w:cstheme="minorHAnsi"/>
              <w:b/>
              <w:bCs/>
              <w:color w:val="2F5496" w:themeColor="accent5" w:themeShade="BF"/>
              <w:szCs w:val="24"/>
            </w:rPr>
            <w:lastRenderedPageBreak/>
            <w:fldChar w:fldCharType="end"/>
          </w:r>
        </w:p>
      </w:sdtContent>
    </w:sdt>
    <w:p w14:paraId="5CE0256D" w14:textId="77777777" w:rsidR="00AD2495" w:rsidRPr="00890249" w:rsidRDefault="00AD2495" w:rsidP="00AD2495">
      <w:pPr>
        <w:rPr>
          <w:rFonts w:asciiTheme="minorHAnsi" w:hAnsiTheme="minorHAnsi" w:cstheme="minorHAnsi"/>
          <w:szCs w:val="24"/>
        </w:rPr>
      </w:pPr>
    </w:p>
    <w:p w14:paraId="1E089DE4" w14:textId="77777777" w:rsidR="00AD2495" w:rsidRPr="00890249" w:rsidRDefault="00AD2495" w:rsidP="00AD2495">
      <w:pPr>
        <w:rPr>
          <w:rFonts w:asciiTheme="minorHAnsi" w:hAnsiTheme="minorHAnsi" w:cstheme="minorHAnsi"/>
          <w:szCs w:val="24"/>
        </w:rPr>
      </w:pPr>
    </w:p>
    <w:p w14:paraId="4B9DFEC2" w14:textId="77777777" w:rsidR="00AD2495" w:rsidRPr="00890249" w:rsidRDefault="00AD2495" w:rsidP="00AD2495">
      <w:pPr>
        <w:rPr>
          <w:rFonts w:asciiTheme="minorHAnsi" w:hAnsiTheme="minorHAnsi" w:cstheme="minorHAnsi"/>
          <w:szCs w:val="24"/>
        </w:rPr>
      </w:pPr>
    </w:p>
    <w:p w14:paraId="07432488" w14:textId="77777777" w:rsidR="00A053B3" w:rsidRPr="00890249" w:rsidRDefault="00A053B3" w:rsidP="00275613">
      <w:pPr>
        <w:pStyle w:val="Nagwekspisutreci"/>
        <w:rPr>
          <w:rFonts w:cstheme="minorHAnsi"/>
        </w:rPr>
      </w:pPr>
    </w:p>
    <w:p w14:paraId="35DD36E5" w14:textId="77777777" w:rsidR="00307C5B" w:rsidRPr="00890249" w:rsidRDefault="00307C5B" w:rsidP="00AD2495">
      <w:pPr>
        <w:jc w:val="left"/>
        <w:rPr>
          <w:rFonts w:asciiTheme="minorHAnsi" w:hAnsiTheme="minorHAnsi" w:cstheme="minorHAnsi"/>
          <w:b/>
          <w:color w:val="000099"/>
        </w:rPr>
      </w:pPr>
      <w:r w:rsidRPr="00890249">
        <w:rPr>
          <w:rFonts w:asciiTheme="minorHAnsi" w:hAnsiTheme="minorHAnsi" w:cstheme="minorHAnsi"/>
          <w:b/>
          <w:color w:val="000099"/>
        </w:rPr>
        <w:br w:type="page"/>
      </w:r>
    </w:p>
    <w:p w14:paraId="61214EBE" w14:textId="77777777" w:rsidR="0093433C" w:rsidRPr="00890249" w:rsidRDefault="00425F94" w:rsidP="00890249">
      <w:pPr>
        <w:rPr>
          <w:rFonts w:asciiTheme="minorHAnsi" w:hAnsiTheme="minorHAnsi" w:cstheme="minorHAnsi"/>
          <w:lang w:eastAsia="en-US" w:bidi="ar-SA"/>
        </w:rPr>
      </w:pPr>
      <w:r w:rsidRPr="00890249">
        <w:rPr>
          <w:rFonts w:asciiTheme="minorHAnsi" w:hAnsiTheme="minorHAnsi" w:cstheme="minorHAnsi"/>
          <w:lang w:eastAsia="en-US" w:bidi="ar-SA"/>
        </w:rPr>
        <w:lastRenderedPageBreak/>
        <w:t>NAJWAŻNIEJSZE SKRÓTY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8"/>
      </w:tblGrid>
      <w:tr w:rsidR="00425F94" w:rsidRPr="00890249" w14:paraId="2A130636" w14:textId="77777777" w:rsidTr="00890249">
        <w:tc>
          <w:tcPr>
            <w:tcW w:w="2263" w:type="dxa"/>
            <w:shd w:val="clear" w:color="auto" w:fill="F2F2F2"/>
          </w:tcPr>
          <w:p w14:paraId="5FB5D9DF"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AOS</w:t>
            </w:r>
          </w:p>
        </w:tc>
        <w:tc>
          <w:tcPr>
            <w:tcW w:w="6799" w:type="dxa"/>
          </w:tcPr>
          <w:p w14:paraId="5E742DE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Ambulatoryjna Opieka Specjalistyczna</w:t>
            </w:r>
          </w:p>
        </w:tc>
      </w:tr>
      <w:tr w:rsidR="00425F94" w:rsidRPr="00890249" w14:paraId="70A9C4D0" w14:textId="77777777" w:rsidTr="00890249">
        <w:tc>
          <w:tcPr>
            <w:tcW w:w="2263" w:type="dxa"/>
            <w:shd w:val="clear" w:color="auto" w:fill="F2F2F2"/>
          </w:tcPr>
          <w:p w14:paraId="36E21E09"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B2B</w:t>
            </w:r>
          </w:p>
        </w:tc>
        <w:tc>
          <w:tcPr>
            <w:tcW w:w="6799" w:type="dxa"/>
          </w:tcPr>
          <w:p w14:paraId="1BA6FFA3" w14:textId="77777777" w:rsidR="00425F94" w:rsidRPr="00890249" w:rsidRDefault="004D08B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T</w:t>
            </w:r>
            <w:r w:rsidR="00425F94" w:rsidRPr="00890249">
              <w:rPr>
                <w:rFonts w:asciiTheme="minorHAnsi" w:eastAsia="Times New Roman" w:hAnsiTheme="minorHAnsi" w:cstheme="minorHAnsi"/>
                <w:sz w:val="18"/>
                <w:szCs w:val="18"/>
                <w:lang w:eastAsia="en-US" w:bidi="ar-SA"/>
              </w:rPr>
              <w:t>ransakcje pomiędzy dwoma lub więcej podmiotami gospodarczymi (ang. business-to-business)</w:t>
            </w:r>
          </w:p>
        </w:tc>
      </w:tr>
      <w:tr w:rsidR="00425F94" w:rsidRPr="00890249" w14:paraId="72BEE8F7" w14:textId="77777777" w:rsidTr="00890249">
        <w:tc>
          <w:tcPr>
            <w:tcW w:w="2263" w:type="dxa"/>
            <w:shd w:val="clear" w:color="auto" w:fill="F2F2F2"/>
          </w:tcPr>
          <w:p w14:paraId="3BF04D09"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B2C</w:t>
            </w:r>
          </w:p>
        </w:tc>
        <w:tc>
          <w:tcPr>
            <w:tcW w:w="6799" w:type="dxa"/>
          </w:tcPr>
          <w:p w14:paraId="0CC81449" w14:textId="77777777" w:rsidR="00425F94" w:rsidRPr="00890249" w:rsidRDefault="004D08B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w:t>
            </w:r>
            <w:r w:rsidR="00425F94" w:rsidRPr="00890249">
              <w:rPr>
                <w:rFonts w:asciiTheme="minorHAnsi" w:eastAsia="Times New Roman" w:hAnsiTheme="minorHAnsi" w:cstheme="minorHAnsi"/>
                <w:sz w:val="18"/>
                <w:szCs w:val="18"/>
                <w:lang w:eastAsia="en-US" w:bidi="ar-SA"/>
              </w:rPr>
              <w:t>elacje występujące pomiędzy przedsiębiorstwami i klientami indywidualnymi (ang. business-to-consumer)</w:t>
            </w:r>
          </w:p>
        </w:tc>
      </w:tr>
      <w:tr w:rsidR="00425F94" w:rsidRPr="00890249" w14:paraId="0F36EE17" w14:textId="77777777" w:rsidTr="00890249">
        <w:tc>
          <w:tcPr>
            <w:tcW w:w="2263" w:type="dxa"/>
            <w:shd w:val="clear" w:color="auto" w:fill="F2F2F2"/>
          </w:tcPr>
          <w:p w14:paraId="20FC51A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B2E</w:t>
            </w:r>
          </w:p>
        </w:tc>
        <w:tc>
          <w:tcPr>
            <w:tcW w:w="6799" w:type="dxa"/>
          </w:tcPr>
          <w:p w14:paraId="0AD457BF" w14:textId="77777777" w:rsidR="00425F94" w:rsidRPr="00890249" w:rsidRDefault="004D08B1" w:rsidP="004D08B1">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w:t>
            </w:r>
            <w:r w:rsidR="00425F94" w:rsidRPr="00890249">
              <w:rPr>
                <w:rFonts w:asciiTheme="minorHAnsi" w:eastAsia="Times New Roman" w:hAnsiTheme="minorHAnsi" w:cstheme="minorHAnsi"/>
                <w:sz w:val="18"/>
                <w:szCs w:val="18"/>
                <w:lang w:eastAsia="en-US" w:bidi="ar-SA"/>
              </w:rPr>
              <w:t>odel, w którym przedsiębiorstwa wykorzystują elektroniczne środki przekazu do komunikacji z pracownikami (ang. business-to-employee)</w:t>
            </w:r>
          </w:p>
        </w:tc>
      </w:tr>
      <w:tr w:rsidR="00425F94" w:rsidRPr="00890249" w14:paraId="7F207985" w14:textId="77777777" w:rsidTr="00890249">
        <w:tc>
          <w:tcPr>
            <w:tcW w:w="2263" w:type="dxa"/>
            <w:shd w:val="clear" w:color="auto" w:fill="F2F2F2"/>
          </w:tcPr>
          <w:p w14:paraId="4958A892"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BAEL</w:t>
            </w:r>
          </w:p>
        </w:tc>
        <w:tc>
          <w:tcPr>
            <w:tcW w:w="6799" w:type="dxa"/>
          </w:tcPr>
          <w:p w14:paraId="6947B610"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Badanie Aktywności Ekonomicznej Ludności</w:t>
            </w:r>
          </w:p>
        </w:tc>
      </w:tr>
      <w:tr w:rsidR="00425F94" w:rsidRPr="00890249" w14:paraId="6A88D308" w14:textId="77777777" w:rsidTr="00890249">
        <w:tc>
          <w:tcPr>
            <w:tcW w:w="2263" w:type="dxa"/>
            <w:shd w:val="clear" w:color="auto" w:fill="F2F2F2"/>
          </w:tcPr>
          <w:p w14:paraId="1BE2F13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BDL</w:t>
            </w:r>
          </w:p>
        </w:tc>
        <w:tc>
          <w:tcPr>
            <w:tcW w:w="6799" w:type="dxa"/>
          </w:tcPr>
          <w:p w14:paraId="6C4D3F7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Bank Danych Lokalnych</w:t>
            </w:r>
          </w:p>
        </w:tc>
      </w:tr>
      <w:tr w:rsidR="00425F94" w:rsidRPr="00890249" w14:paraId="61CC9988" w14:textId="77777777" w:rsidTr="00890249">
        <w:tc>
          <w:tcPr>
            <w:tcW w:w="2263" w:type="dxa"/>
            <w:shd w:val="clear" w:color="auto" w:fill="F2F2F2"/>
          </w:tcPr>
          <w:p w14:paraId="1E14BE3D"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BGK</w:t>
            </w:r>
          </w:p>
        </w:tc>
        <w:tc>
          <w:tcPr>
            <w:tcW w:w="6799" w:type="dxa"/>
          </w:tcPr>
          <w:p w14:paraId="1CD2E5F5"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Bank Gospodarstwa Krajowego</w:t>
            </w:r>
          </w:p>
        </w:tc>
      </w:tr>
      <w:tr w:rsidR="00425F94" w:rsidRPr="00890249" w14:paraId="2D4537BC" w14:textId="77777777" w:rsidTr="00890249">
        <w:tc>
          <w:tcPr>
            <w:tcW w:w="2263" w:type="dxa"/>
            <w:shd w:val="clear" w:color="auto" w:fill="F2F2F2"/>
          </w:tcPr>
          <w:p w14:paraId="012AD2B9"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B+R</w:t>
            </w:r>
          </w:p>
        </w:tc>
        <w:tc>
          <w:tcPr>
            <w:tcW w:w="6799" w:type="dxa"/>
          </w:tcPr>
          <w:p w14:paraId="62E2AE4A"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Prace badawczo-rozwojowe</w:t>
            </w:r>
          </w:p>
        </w:tc>
      </w:tr>
      <w:tr w:rsidR="00425F94" w:rsidRPr="00890249" w14:paraId="2A02EC84" w14:textId="77777777" w:rsidTr="00890249">
        <w:tc>
          <w:tcPr>
            <w:tcW w:w="2263" w:type="dxa"/>
            <w:shd w:val="clear" w:color="auto" w:fill="F2F2F2"/>
          </w:tcPr>
          <w:p w14:paraId="5377E6F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B&amp;R</w:t>
            </w:r>
          </w:p>
        </w:tc>
        <w:tc>
          <w:tcPr>
            <w:tcW w:w="6799" w:type="dxa"/>
          </w:tcPr>
          <w:p w14:paraId="39E53A86"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ang. Bike and Ride - system parkingów dla rowerów, umożliwiający bezpieczne pozostawienie roweru i kontynuację podróży przy użyciu publicznego transportu zbiorowego</w:t>
            </w:r>
          </w:p>
        </w:tc>
      </w:tr>
      <w:tr w:rsidR="00425F94" w:rsidRPr="00890249" w14:paraId="39AB800F" w14:textId="77777777" w:rsidTr="00890249">
        <w:tc>
          <w:tcPr>
            <w:tcW w:w="2263" w:type="dxa"/>
            <w:shd w:val="clear" w:color="auto" w:fill="F2F2F2"/>
          </w:tcPr>
          <w:p w14:paraId="4D384285"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CEF</w:t>
            </w:r>
          </w:p>
        </w:tc>
        <w:tc>
          <w:tcPr>
            <w:tcW w:w="6799" w:type="dxa"/>
          </w:tcPr>
          <w:p w14:paraId="025CB57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Skrót od ang. Connecting Europe Facility – oznaczający </w:t>
            </w:r>
            <w:r w:rsidR="00F254D3" w:rsidRPr="00890249">
              <w:rPr>
                <w:rFonts w:asciiTheme="minorHAnsi" w:eastAsia="Times New Roman" w:hAnsiTheme="minorHAnsi" w:cstheme="minorHAnsi"/>
                <w:sz w:val="18"/>
                <w:szCs w:val="18"/>
                <w:lang w:eastAsia="en-US" w:bidi="ar-SA"/>
              </w:rPr>
              <w:t>I</w:t>
            </w:r>
            <w:r w:rsidRPr="00890249">
              <w:rPr>
                <w:rFonts w:asciiTheme="minorHAnsi" w:eastAsia="Times New Roman" w:hAnsiTheme="minorHAnsi" w:cstheme="minorHAnsi"/>
                <w:sz w:val="18"/>
                <w:szCs w:val="18"/>
                <w:lang w:eastAsia="en-US" w:bidi="ar-SA"/>
              </w:rPr>
              <w:t>nstrument „Łącząc Europę”</w:t>
            </w:r>
          </w:p>
        </w:tc>
      </w:tr>
      <w:tr w:rsidR="00425F94" w:rsidRPr="00890249" w14:paraId="1C71344B" w14:textId="77777777" w:rsidTr="00890249">
        <w:tc>
          <w:tcPr>
            <w:tcW w:w="2263" w:type="dxa"/>
            <w:shd w:val="clear" w:color="auto" w:fill="F2F2F2"/>
          </w:tcPr>
          <w:p w14:paraId="035C9EC4"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CIS</w:t>
            </w:r>
          </w:p>
        </w:tc>
        <w:tc>
          <w:tcPr>
            <w:tcW w:w="6799" w:type="dxa"/>
          </w:tcPr>
          <w:p w14:paraId="13436B1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Centrum Integracji Społecznej</w:t>
            </w:r>
          </w:p>
        </w:tc>
      </w:tr>
      <w:tr w:rsidR="00425F94" w:rsidRPr="00890249" w14:paraId="43692806" w14:textId="77777777" w:rsidTr="00890249">
        <w:tc>
          <w:tcPr>
            <w:tcW w:w="2263" w:type="dxa"/>
            <w:shd w:val="clear" w:color="auto" w:fill="F2F2F2"/>
          </w:tcPr>
          <w:p w14:paraId="3DEFE548"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CSR</w:t>
            </w:r>
          </w:p>
        </w:tc>
        <w:tc>
          <w:tcPr>
            <w:tcW w:w="6799" w:type="dxa"/>
          </w:tcPr>
          <w:p w14:paraId="373BD24C" w14:textId="77777777" w:rsidR="00425F94" w:rsidRPr="00890249" w:rsidRDefault="00425F94" w:rsidP="00425F94">
            <w:pPr>
              <w:spacing w:before="60" w:after="60"/>
              <w:rPr>
                <w:rFonts w:asciiTheme="minorHAnsi" w:eastAsia="Times New Roman" w:hAnsiTheme="minorHAnsi" w:cstheme="minorHAnsi"/>
                <w:sz w:val="18"/>
                <w:szCs w:val="18"/>
                <w:lang w:val="en-US" w:eastAsia="en-US" w:bidi="ar-SA"/>
              </w:rPr>
            </w:pPr>
            <w:r w:rsidRPr="00890249">
              <w:rPr>
                <w:rFonts w:asciiTheme="minorHAnsi" w:eastAsia="Times New Roman" w:hAnsiTheme="minorHAnsi" w:cstheme="minorHAnsi"/>
                <w:sz w:val="18"/>
                <w:szCs w:val="18"/>
                <w:lang w:val="en-US" w:eastAsia="en-US" w:bidi="ar-SA"/>
              </w:rPr>
              <w:t xml:space="preserve">Skrót od ang. Country-specific Recommendations </w:t>
            </w:r>
          </w:p>
          <w:p w14:paraId="0CFF90F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Zalecenie Rady z dnia 9 lipca 2019 r. w sprawie krajowego programu reform Polski na 2019 r. oraz zawierające opinię Rady na temat przedstawionego przez Polskę programu konwergencji na 2019 r. </w:t>
            </w:r>
          </w:p>
        </w:tc>
      </w:tr>
      <w:tr w:rsidR="00425F94" w:rsidRPr="00890249" w14:paraId="461C0072" w14:textId="77777777" w:rsidTr="00890249">
        <w:tc>
          <w:tcPr>
            <w:tcW w:w="2263" w:type="dxa"/>
            <w:shd w:val="clear" w:color="auto" w:fill="F2F2F2"/>
          </w:tcPr>
          <w:p w14:paraId="34315548"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COIE</w:t>
            </w:r>
          </w:p>
        </w:tc>
        <w:tc>
          <w:tcPr>
            <w:tcW w:w="6799" w:type="dxa"/>
          </w:tcPr>
          <w:p w14:paraId="63A18299"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Centrum Obsługi Inwestora I Eksportera</w:t>
            </w:r>
          </w:p>
        </w:tc>
      </w:tr>
      <w:tr w:rsidR="00425F94" w:rsidRPr="00890249" w14:paraId="26F99013" w14:textId="77777777" w:rsidTr="00890249">
        <w:tc>
          <w:tcPr>
            <w:tcW w:w="2263" w:type="dxa"/>
            <w:shd w:val="clear" w:color="auto" w:fill="F2F2F2"/>
          </w:tcPr>
          <w:p w14:paraId="3B49FF9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CP</w:t>
            </w:r>
          </w:p>
        </w:tc>
        <w:tc>
          <w:tcPr>
            <w:tcW w:w="6799" w:type="dxa"/>
          </w:tcPr>
          <w:p w14:paraId="20DF061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Cel Polityki</w:t>
            </w:r>
          </w:p>
        </w:tc>
      </w:tr>
      <w:tr w:rsidR="00425F94" w:rsidRPr="00890249" w14:paraId="52C529C9" w14:textId="77777777" w:rsidTr="00890249">
        <w:tc>
          <w:tcPr>
            <w:tcW w:w="2263" w:type="dxa"/>
            <w:shd w:val="clear" w:color="auto" w:fill="F2F2F2"/>
          </w:tcPr>
          <w:p w14:paraId="4F18FC12"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CS</w:t>
            </w:r>
          </w:p>
        </w:tc>
        <w:tc>
          <w:tcPr>
            <w:tcW w:w="6799" w:type="dxa"/>
          </w:tcPr>
          <w:p w14:paraId="0C8B3035"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Cel szczegółowy</w:t>
            </w:r>
          </w:p>
        </w:tc>
      </w:tr>
      <w:tr w:rsidR="004763A6" w:rsidRPr="00890249" w14:paraId="5CB62C0A" w14:textId="77777777" w:rsidTr="008C5B22">
        <w:tc>
          <w:tcPr>
            <w:tcW w:w="2263" w:type="dxa"/>
            <w:shd w:val="clear" w:color="auto" w:fill="F2F2F2"/>
          </w:tcPr>
          <w:p w14:paraId="18304008" w14:textId="23A18B83" w:rsidR="004763A6" w:rsidRPr="00890249" w:rsidRDefault="004763A6"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CSO</w:t>
            </w:r>
            <w:r w:rsidR="00397AD7" w:rsidRPr="00890249">
              <w:rPr>
                <w:rFonts w:asciiTheme="minorHAnsi" w:eastAsia="Times New Roman" w:hAnsiTheme="minorHAnsi" w:cstheme="minorHAnsi"/>
                <w:b/>
                <w:color w:val="000099"/>
                <w:sz w:val="18"/>
                <w:szCs w:val="18"/>
                <w:lang w:eastAsia="en-US" w:bidi="ar-SA"/>
              </w:rPr>
              <w:t>s</w:t>
            </w:r>
          </w:p>
        </w:tc>
        <w:tc>
          <w:tcPr>
            <w:tcW w:w="6799" w:type="dxa"/>
          </w:tcPr>
          <w:p w14:paraId="0E152842" w14:textId="1F95A4A1" w:rsidR="004763A6" w:rsidRPr="00890249" w:rsidRDefault="00397AD7" w:rsidP="00397AD7">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Podmioty społeczeństwa obywatelskiego (civil society organisations)</w:t>
            </w:r>
          </w:p>
        </w:tc>
      </w:tr>
      <w:tr w:rsidR="00C826B1" w:rsidRPr="00890249" w14:paraId="651DC461" w14:textId="77777777" w:rsidTr="00890249">
        <w:tc>
          <w:tcPr>
            <w:tcW w:w="2263" w:type="dxa"/>
            <w:shd w:val="clear" w:color="auto" w:fill="F2F2F2"/>
          </w:tcPr>
          <w:p w14:paraId="70E0D743" w14:textId="77777777" w:rsidR="00C826B1" w:rsidRPr="00890249" w:rsidRDefault="00C826B1"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CUS</w:t>
            </w:r>
          </w:p>
        </w:tc>
        <w:tc>
          <w:tcPr>
            <w:tcW w:w="6799" w:type="dxa"/>
          </w:tcPr>
          <w:p w14:paraId="7CAF1DF9" w14:textId="77777777" w:rsidR="00C826B1" w:rsidRPr="00890249" w:rsidRDefault="00C826B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Centrum Usług Społecznych</w:t>
            </w:r>
          </w:p>
        </w:tc>
      </w:tr>
      <w:tr w:rsidR="00C826B1" w:rsidRPr="00890249" w14:paraId="39B6F435" w14:textId="77777777" w:rsidTr="00890249">
        <w:tc>
          <w:tcPr>
            <w:tcW w:w="2263" w:type="dxa"/>
            <w:shd w:val="clear" w:color="auto" w:fill="F2F2F2"/>
          </w:tcPr>
          <w:p w14:paraId="42039EDF" w14:textId="77777777" w:rsidR="00C826B1" w:rsidRPr="00890249" w:rsidRDefault="00C826B1"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CZP</w:t>
            </w:r>
          </w:p>
        </w:tc>
        <w:tc>
          <w:tcPr>
            <w:tcW w:w="6799" w:type="dxa"/>
          </w:tcPr>
          <w:p w14:paraId="1FF29E7D" w14:textId="77777777" w:rsidR="00C826B1" w:rsidRPr="00890249" w:rsidRDefault="00C826B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Centrum Zdrowia Psychicznego</w:t>
            </w:r>
          </w:p>
        </w:tc>
      </w:tr>
      <w:tr w:rsidR="00B5548E" w:rsidRPr="00890249" w14:paraId="4AC4B0CA" w14:textId="77777777" w:rsidTr="00890249">
        <w:tc>
          <w:tcPr>
            <w:tcW w:w="2263" w:type="dxa"/>
            <w:shd w:val="clear" w:color="auto" w:fill="F2F2F2"/>
          </w:tcPr>
          <w:p w14:paraId="3AC36414" w14:textId="77777777" w:rsidR="00B5548E" w:rsidRPr="00890249" w:rsidRDefault="00B5548E"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DI</w:t>
            </w:r>
          </w:p>
        </w:tc>
        <w:tc>
          <w:tcPr>
            <w:tcW w:w="6799" w:type="dxa"/>
          </w:tcPr>
          <w:p w14:paraId="74E33066" w14:textId="77777777" w:rsidR="00B5548E" w:rsidRPr="00890249" w:rsidRDefault="00B5548E"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Deinstytucjonalizacja</w:t>
            </w:r>
          </w:p>
        </w:tc>
      </w:tr>
      <w:tr w:rsidR="00E310FC" w:rsidRPr="00890249" w14:paraId="2E03D6E9" w14:textId="77777777" w:rsidTr="00890249">
        <w:tc>
          <w:tcPr>
            <w:tcW w:w="2263" w:type="dxa"/>
            <w:shd w:val="clear" w:color="auto" w:fill="F2F2F2"/>
          </w:tcPr>
          <w:p w14:paraId="76BF1969" w14:textId="77777777" w:rsidR="00E310FC" w:rsidRPr="00890249" w:rsidRDefault="00E310F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DNSH</w:t>
            </w:r>
          </w:p>
        </w:tc>
        <w:tc>
          <w:tcPr>
            <w:tcW w:w="6799" w:type="dxa"/>
          </w:tcPr>
          <w:p w14:paraId="1C3EBDCB" w14:textId="7FCBB166" w:rsidR="00E310FC" w:rsidRPr="00890249" w:rsidRDefault="008374CE"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rPr>
              <w:t>Zasada  „Do No Significant Harm”</w:t>
            </w:r>
            <w:r w:rsidR="00E310FC" w:rsidRPr="00890249">
              <w:rPr>
                <w:rFonts w:asciiTheme="minorHAnsi" w:eastAsia="Times New Roman" w:hAnsiTheme="minorHAnsi" w:cstheme="minorHAnsi"/>
                <w:sz w:val="18"/>
                <w:szCs w:val="18"/>
                <w:lang w:eastAsia="en-US"/>
              </w:rPr>
              <w:t xml:space="preserve"> - „nie czyń poważnych szkód”</w:t>
            </w:r>
            <w:r w:rsidR="00E310FC" w:rsidRPr="00890249">
              <w:rPr>
                <w:rFonts w:asciiTheme="minorHAnsi" w:hAnsiTheme="minorHAnsi" w:cstheme="minorHAnsi"/>
                <w:szCs w:val="24"/>
              </w:rPr>
              <w:t xml:space="preserve"> </w:t>
            </w:r>
            <w:r w:rsidR="00E310FC" w:rsidRPr="00890249">
              <w:rPr>
                <w:rFonts w:asciiTheme="minorHAnsi" w:eastAsia="Times New Roman" w:hAnsiTheme="minorHAnsi" w:cstheme="minorHAnsi"/>
                <w:sz w:val="18"/>
                <w:szCs w:val="18"/>
                <w:lang w:eastAsia="en-US"/>
              </w:rPr>
              <w:t>w odniesieniu do wyznaczonych celów środowiskowych</w:t>
            </w:r>
          </w:p>
        </w:tc>
      </w:tr>
      <w:tr w:rsidR="00425F94" w:rsidRPr="00890249" w14:paraId="6A151474" w14:textId="77777777" w:rsidTr="00890249">
        <w:tc>
          <w:tcPr>
            <w:tcW w:w="2263" w:type="dxa"/>
            <w:shd w:val="clear" w:color="auto" w:fill="F2F2F2"/>
          </w:tcPr>
          <w:p w14:paraId="64586B07" w14:textId="44619369"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D</w:t>
            </w:r>
            <w:r w:rsidR="00663BDA" w:rsidRPr="00890249">
              <w:rPr>
                <w:rFonts w:asciiTheme="minorHAnsi" w:eastAsia="Times New Roman" w:hAnsiTheme="minorHAnsi" w:cstheme="minorHAnsi"/>
                <w:b/>
                <w:color w:val="000099"/>
                <w:sz w:val="18"/>
                <w:szCs w:val="18"/>
                <w:lang w:eastAsia="en-US" w:bidi="ar-SA"/>
              </w:rPr>
              <w:t>FE</w:t>
            </w:r>
          </w:p>
        </w:tc>
        <w:tc>
          <w:tcPr>
            <w:tcW w:w="6799" w:type="dxa"/>
          </w:tcPr>
          <w:p w14:paraId="2F0EE933" w14:textId="77777777" w:rsidR="00425F94" w:rsidRPr="00890249" w:rsidRDefault="00425F94" w:rsidP="00D71EA2">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Departament </w:t>
            </w:r>
            <w:r w:rsidR="00D71EA2" w:rsidRPr="00890249">
              <w:rPr>
                <w:rFonts w:asciiTheme="minorHAnsi" w:eastAsia="Times New Roman" w:hAnsiTheme="minorHAnsi" w:cstheme="minorHAnsi"/>
                <w:sz w:val="18"/>
                <w:szCs w:val="18"/>
                <w:lang w:eastAsia="en-US" w:bidi="ar-SA"/>
              </w:rPr>
              <w:t>Funduszy Europejskich</w:t>
            </w:r>
          </w:p>
        </w:tc>
      </w:tr>
      <w:tr w:rsidR="001D750F" w:rsidRPr="00890249" w14:paraId="6A600415" w14:textId="77777777" w:rsidTr="00890249">
        <w:tc>
          <w:tcPr>
            <w:tcW w:w="2263" w:type="dxa"/>
            <w:shd w:val="clear" w:color="auto" w:fill="F2F2F2"/>
          </w:tcPr>
          <w:p w14:paraId="45BE988E" w14:textId="77777777" w:rsidR="001D750F" w:rsidRPr="00890249" w:rsidRDefault="001D750F" w:rsidP="001D750F">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EBO</w:t>
            </w:r>
          </w:p>
        </w:tc>
        <w:tc>
          <w:tcPr>
            <w:tcW w:w="6799" w:type="dxa"/>
          </w:tcPr>
          <w:p w14:paraId="3BEF6770" w14:textId="77777777" w:rsidR="001D750F" w:rsidRPr="00890249" w:rsidRDefault="001D750F" w:rsidP="001D750F">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 Budżet Obywatelski</w:t>
            </w:r>
          </w:p>
        </w:tc>
      </w:tr>
      <w:tr w:rsidR="00CC1EF0" w:rsidRPr="00890249" w14:paraId="4F547DB0" w14:textId="77777777" w:rsidTr="00890249">
        <w:tc>
          <w:tcPr>
            <w:tcW w:w="2263" w:type="dxa"/>
            <w:shd w:val="clear" w:color="auto" w:fill="F2F2F2"/>
          </w:tcPr>
          <w:p w14:paraId="00899604" w14:textId="77777777" w:rsidR="00CC1EF0" w:rsidRPr="00890249" w:rsidRDefault="00CC1EF0" w:rsidP="001D750F">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EFMR</w:t>
            </w:r>
          </w:p>
        </w:tc>
        <w:tc>
          <w:tcPr>
            <w:tcW w:w="6799" w:type="dxa"/>
          </w:tcPr>
          <w:p w14:paraId="394CB8A6" w14:textId="77777777" w:rsidR="00CC1EF0" w:rsidRPr="00890249" w:rsidRDefault="00CC1EF0" w:rsidP="001D750F">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 Fundusz Morski i Rybacki</w:t>
            </w:r>
          </w:p>
        </w:tc>
      </w:tr>
      <w:tr w:rsidR="00425F94" w:rsidRPr="00890249" w14:paraId="0933C051" w14:textId="77777777" w:rsidTr="00890249">
        <w:tc>
          <w:tcPr>
            <w:tcW w:w="2263" w:type="dxa"/>
            <w:shd w:val="clear" w:color="auto" w:fill="F2F2F2"/>
          </w:tcPr>
          <w:p w14:paraId="7766B5E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EFRR</w:t>
            </w:r>
          </w:p>
        </w:tc>
        <w:tc>
          <w:tcPr>
            <w:tcW w:w="6799" w:type="dxa"/>
          </w:tcPr>
          <w:p w14:paraId="3A5C7CF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 Fundusz Rozwoju Regionalnego</w:t>
            </w:r>
          </w:p>
        </w:tc>
      </w:tr>
      <w:tr w:rsidR="00425F94" w:rsidRPr="00890249" w14:paraId="1255C095" w14:textId="77777777" w:rsidTr="00890249">
        <w:tc>
          <w:tcPr>
            <w:tcW w:w="2263" w:type="dxa"/>
            <w:shd w:val="clear" w:color="auto" w:fill="F2F2F2"/>
          </w:tcPr>
          <w:p w14:paraId="2165A51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 xml:space="preserve">EFRROW </w:t>
            </w:r>
          </w:p>
        </w:tc>
        <w:tc>
          <w:tcPr>
            <w:tcW w:w="6799" w:type="dxa"/>
          </w:tcPr>
          <w:p w14:paraId="537A3525"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 Fundusz Rolny Rozwoju Obszarów Wiejskich</w:t>
            </w:r>
          </w:p>
        </w:tc>
      </w:tr>
      <w:tr w:rsidR="00425F94" w:rsidRPr="00890249" w14:paraId="0EBBB22E" w14:textId="77777777" w:rsidTr="00890249">
        <w:tc>
          <w:tcPr>
            <w:tcW w:w="2263" w:type="dxa"/>
            <w:shd w:val="clear" w:color="auto" w:fill="F2F2F2"/>
          </w:tcPr>
          <w:p w14:paraId="7EC9DC6E"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EFS+</w:t>
            </w:r>
          </w:p>
        </w:tc>
        <w:tc>
          <w:tcPr>
            <w:tcW w:w="6799" w:type="dxa"/>
          </w:tcPr>
          <w:p w14:paraId="211A730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 Fundusz Społeczny Plus</w:t>
            </w:r>
          </w:p>
        </w:tc>
      </w:tr>
      <w:tr w:rsidR="00425F94" w:rsidRPr="00890249" w14:paraId="12263B7F" w14:textId="77777777" w:rsidTr="00890249">
        <w:tc>
          <w:tcPr>
            <w:tcW w:w="2263" w:type="dxa"/>
            <w:shd w:val="clear" w:color="auto" w:fill="F2F2F2"/>
          </w:tcPr>
          <w:p w14:paraId="51AF51FF"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EFSI</w:t>
            </w:r>
          </w:p>
        </w:tc>
        <w:tc>
          <w:tcPr>
            <w:tcW w:w="6799" w:type="dxa"/>
          </w:tcPr>
          <w:p w14:paraId="4DE981D2"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Europejskie Fundusze Strukturalne i Inwestycyjne</w:t>
            </w:r>
          </w:p>
        </w:tc>
      </w:tr>
      <w:tr w:rsidR="00713C4C" w:rsidRPr="00890249" w:rsidDel="008C5B22" w14:paraId="191A8B1D" w14:textId="77777777" w:rsidTr="008C5B22">
        <w:tc>
          <w:tcPr>
            <w:tcW w:w="2263" w:type="dxa"/>
            <w:shd w:val="clear" w:color="auto" w:fill="F2F2F2"/>
          </w:tcPr>
          <w:p w14:paraId="1A99A552" w14:textId="2A579A00" w:rsidR="00713C4C" w:rsidRPr="00890249" w:rsidDel="008C5B22" w:rsidRDefault="00713C4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EGD</w:t>
            </w:r>
          </w:p>
        </w:tc>
        <w:tc>
          <w:tcPr>
            <w:tcW w:w="6799" w:type="dxa"/>
          </w:tcPr>
          <w:p w14:paraId="1368087E" w14:textId="155399D5" w:rsidR="00713C4C" w:rsidRPr="00890249" w:rsidDel="008C5B22" w:rsidRDefault="00713C4C" w:rsidP="00713C4C">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European Green Deal, Europejski Zielony Ład</w:t>
            </w:r>
          </w:p>
        </w:tc>
      </w:tr>
      <w:tr w:rsidR="00882EF7" w:rsidRPr="00890249" w14:paraId="145D4BF5" w14:textId="77777777" w:rsidTr="00890249">
        <w:tc>
          <w:tcPr>
            <w:tcW w:w="2263" w:type="dxa"/>
            <w:shd w:val="clear" w:color="auto" w:fill="F2F2F2"/>
          </w:tcPr>
          <w:p w14:paraId="20C1DF87" w14:textId="77777777" w:rsidR="00882EF7" w:rsidRPr="00890249" w:rsidRDefault="00882EF7"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EIS</w:t>
            </w:r>
          </w:p>
        </w:tc>
        <w:tc>
          <w:tcPr>
            <w:tcW w:w="6799" w:type="dxa"/>
          </w:tcPr>
          <w:p w14:paraId="48A8F21E" w14:textId="6E60F8A3" w:rsidR="00882EF7" w:rsidRPr="00890249" w:rsidRDefault="00882EF7" w:rsidP="008C5B22">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Europejska Inicjatywa </w:t>
            </w:r>
            <w:r w:rsidR="008C5B22" w:rsidRPr="00890249">
              <w:rPr>
                <w:rFonts w:asciiTheme="minorHAnsi" w:eastAsia="Times New Roman" w:hAnsiTheme="minorHAnsi" w:cstheme="minorHAnsi"/>
                <w:sz w:val="18"/>
                <w:szCs w:val="18"/>
                <w:lang w:eastAsia="en-US" w:bidi="ar-SA"/>
              </w:rPr>
              <w:t>Społeczna</w:t>
            </w:r>
          </w:p>
        </w:tc>
      </w:tr>
      <w:tr w:rsidR="00A54353" w:rsidRPr="00890249" w14:paraId="0B94BA3C" w14:textId="77777777" w:rsidTr="00890249">
        <w:tc>
          <w:tcPr>
            <w:tcW w:w="2263" w:type="dxa"/>
            <w:shd w:val="clear" w:color="auto" w:fill="F2F2F2"/>
          </w:tcPr>
          <w:p w14:paraId="5A37AE6C" w14:textId="77777777" w:rsidR="00A54353" w:rsidRPr="00890249" w:rsidRDefault="00A5435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EMBO</w:t>
            </w:r>
          </w:p>
        </w:tc>
        <w:tc>
          <w:tcPr>
            <w:tcW w:w="6799" w:type="dxa"/>
          </w:tcPr>
          <w:p w14:paraId="252B5CD2" w14:textId="77777777" w:rsidR="00A54353" w:rsidRPr="00890249" w:rsidRDefault="00A5435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Europejski Młodzieżowy Budżet Obywatelski</w:t>
            </w:r>
          </w:p>
        </w:tc>
      </w:tr>
      <w:tr w:rsidR="00425F94" w:rsidRPr="00890249" w14:paraId="5A516FB3" w14:textId="77777777" w:rsidTr="00890249">
        <w:tc>
          <w:tcPr>
            <w:tcW w:w="2263" w:type="dxa"/>
            <w:shd w:val="clear" w:color="auto" w:fill="F2F2F2"/>
          </w:tcPr>
          <w:p w14:paraId="63B95062"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ERP</w:t>
            </w:r>
          </w:p>
        </w:tc>
        <w:tc>
          <w:tcPr>
            <w:tcW w:w="6799" w:type="dxa"/>
          </w:tcPr>
          <w:p w14:paraId="574DAF7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Planowanie zasobów przedsiębiorstwa (ang. Enterprise Resource Planning)</w:t>
            </w:r>
          </w:p>
        </w:tc>
      </w:tr>
      <w:tr w:rsidR="007428CB" w:rsidRPr="00890249" w14:paraId="3AC26170" w14:textId="77777777" w:rsidTr="00890249">
        <w:tc>
          <w:tcPr>
            <w:tcW w:w="2263" w:type="dxa"/>
            <w:shd w:val="clear" w:color="auto" w:fill="F2F2F2"/>
          </w:tcPr>
          <w:p w14:paraId="01370F75" w14:textId="77777777" w:rsidR="007428CB" w:rsidRPr="00890249" w:rsidRDefault="007428CB"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FAMI</w:t>
            </w:r>
          </w:p>
        </w:tc>
        <w:tc>
          <w:tcPr>
            <w:tcW w:w="6799" w:type="dxa"/>
          </w:tcPr>
          <w:p w14:paraId="38589E6C" w14:textId="77777777" w:rsidR="007428CB" w:rsidRPr="00890249" w:rsidRDefault="007428CB"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Funduszu Azylu, Migracji i Integracji</w:t>
            </w:r>
          </w:p>
        </w:tc>
      </w:tr>
      <w:tr w:rsidR="00115CC4" w:rsidRPr="00890249" w14:paraId="633D8356" w14:textId="77777777" w:rsidTr="00890249">
        <w:tc>
          <w:tcPr>
            <w:tcW w:w="2263" w:type="dxa"/>
            <w:shd w:val="clear" w:color="auto" w:fill="F2F2F2"/>
          </w:tcPr>
          <w:p w14:paraId="4E20E093" w14:textId="77777777" w:rsidR="00115CC4" w:rsidRPr="00890249" w:rsidRDefault="00115CC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FE</w:t>
            </w:r>
          </w:p>
        </w:tc>
        <w:tc>
          <w:tcPr>
            <w:tcW w:w="6799" w:type="dxa"/>
          </w:tcPr>
          <w:p w14:paraId="5E544DE7" w14:textId="77777777" w:rsidR="00115CC4" w:rsidRPr="00890249" w:rsidRDefault="00115CC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Fundusze Europejskie</w:t>
            </w:r>
          </w:p>
        </w:tc>
      </w:tr>
      <w:tr w:rsidR="000F40D7" w:rsidRPr="00890249" w14:paraId="004BB1AE" w14:textId="77777777" w:rsidTr="00890249">
        <w:tc>
          <w:tcPr>
            <w:tcW w:w="2263" w:type="dxa"/>
            <w:shd w:val="clear" w:color="auto" w:fill="F2F2F2"/>
          </w:tcPr>
          <w:p w14:paraId="49E47413" w14:textId="77777777" w:rsidR="000F40D7" w:rsidRPr="00890249" w:rsidRDefault="000F40D7"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lastRenderedPageBreak/>
              <w:t>FENG</w:t>
            </w:r>
          </w:p>
        </w:tc>
        <w:tc>
          <w:tcPr>
            <w:tcW w:w="6799" w:type="dxa"/>
          </w:tcPr>
          <w:p w14:paraId="5C45E414" w14:textId="77777777" w:rsidR="000F40D7" w:rsidRPr="00890249" w:rsidRDefault="000F40D7"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Fundusze Europejskie dla Nowoczesnej Gospodarki 2021-2027 -</w:t>
            </w:r>
            <w:r w:rsidRPr="00890249">
              <w:rPr>
                <w:rFonts w:asciiTheme="minorHAnsi" w:eastAsia="Times New Roman" w:hAnsiTheme="minorHAnsi" w:cstheme="minorHAnsi"/>
                <w:color w:val="FF0000"/>
                <w:sz w:val="18"/>
                <w:szCs w:val="18"/>
                <w:lang w:eastAsia="en-US" w:bidi="ar-SA"/>
              </w:rPr>
              <w:t xml:space="preserve"> </w:t>
            </w:r>
            <w:r w:rsidRPr="00890249">
              <w:rPr>
                <w:rFonts w:asciiTheme="minorHAnsi" w:eastAsia="Times New Roman" w:hAnsiTheme="minorHAnsi" w:cstheme="minorHAnsi"/>
                <w:sz w:val="18"/>
                <w:szCs w:val="18"/>
                <w:lang w:eastAsia="en-US" w:bidi="ar-SA"/>
              </w:rPr>
              <w:t>projekt</w:t>
            </w:r>
          </w:p>
        </w:tc>
      </w:tr>
      <w:tr w:rsidR="004407AC" w:rsidRPr="00890249" w14:paraId="3154DFE2" w14:textId="77777777" w:rsidTr="00890249">
        <w:tc>
          <w:tcPr>
            <w:tcW w:w="2263" w:type="dxa"/>
            <w:shd w:val="clear" w:color="auto" w:fill="F2F2F2"/>
          </w:tcPr>
          <w:p w14:paraId="72EC0E97" w14:textId="77777777" w:rsidR="004407AC" w:rsidRPr="00890249" w:rsidRDefault="004407A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FERC</w:t>
            </w:r>
          </w:p>
        </w:tc>
        <w:tc>
          <w:tcPr>
            <w:tcW w:w="6799" w:type="dxa"/>
          </w:tcPr>
          <w:p w14:paraId="64F8A167" w14:textId="77777777" w:rsidR="004407AC" w:rsidRPr="00890249" w:rsidRDefault="004407AC"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Fundusze Europejskie na Rozwój Cyfrowy 2021-2027 -</w:t>
            </w:r>
            <w:r w:rsidRPr="00890249">
              <w:rPr>
                <w:rFonts w:asciiTheme="minorHAnsi" w:eastAsia="Times New Roman" w:hAnsiTheme="minorHAnsi" w:cstheme="minorHAnsi"/>
                <w:color w:val="FF0000"/>
                <w:sz w:val="18"/>
                <w:szCs w:val="18"/>
                <w:lang w:eastAsia="en-US" w:bidi="ar-SA"/>
              </w:rPr>
              <w:t xml:space="preserve"> </w:t>
            </w:r>
            <w:r w:rsidRPr="00890249">
              <w:rPr>
                <w:rFonts w:asciiTheme="minorHAnsi" w:eastAsia="Times New Roman" w:hAnsiTheme="minorHAnsi" w:cstheme="minorHAnsi"/>
                <w:sz w:val="18"/>
                <w:szCs w:val="18"/>
                <w:lang w:eastAsia="en-US" w:bidi="ar-SA"/>
              </w:rPr>
              <w:t>projekt</w:t>
            </w:r>
          </w:p>
        </w:tc>
      </w:tr>
      <w:tr w:rsidR="00425F94" w:rsidRPr="00890249" w14:paraId="7011D03C" w14:textId="77777777" w:rsidTr="00890249">
        <w:tc>
          <w:tcPr>
            <w:tcW w:w="2263" w:type="dxa"/>
            <w:shd w:val="clear" w:color="auto" w:fill="F2F2F2"/>
          </w:tcPr>
          <w:p w14:paraId="201DB76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FS</w:t>
            </w:r>
          </w:p>
        </w:tc>
        <w:tc>
          <w:tcPr>
            <w:tcW w:w="6799" w:type="dxa"/>
          </w:tcPr>
          <w:p w14:paraId="2F12674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Fundusz Spójności</w:t>
            </w:r>
          </w:p>
        </w:tc>
      </w:tr>
      <w:tr w:rsidR="00155735" w:rsidRPr="00890249" w14:paraId="774D1C48" w14:textId="77777777" w:rsidTr="00890249">
        <w:tc>
          <w:tcPr>
            <w:tcW w:w="2263" w:type="dxa"/>
            <w:shd w:val="clear" w:color="auto" w:fill="F2F2F2"/>
          </w:tcPr>
          <w:p w14:paraId="615BD141" w14:textId="77777777" w:rsidR="0088046C" w:rsidRPr="00890249" w:rsidRDefault="000274BA" w:rsidP="00017BA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FEO 2021-2027</w:t>
            </w:r>
          </w:p>
          <w:p w14:paraId="766E70C6" w14:textId="192F68B9" w:rsidR="00155735" w:rsidRPr="00890249" w:rsidRDefault="0088046C" w:rsidP="00017BA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FEO</w:t>
            </w:r>
          </w:p>
          <w:p w14:paraId="05E95A30" w14:textId="77777777" w:rsidR="00155735" w:rsidRPr="00890249" w:rsidRDefault="00155735" w:rsidP="00017BA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Program</w:t>
            </w:r>
          </w:p>
        </w:tc>
        <w:tc>
          <w:tcPr>
            <w:tcW w:w="6799" w:type="dxa"/>
          </w:tcPr>
          <w:p w14:paraId="64359975" w14:textId="77777777" w:rsidR="00155735" w:rsidRPr="00890249" w:rsidRDefault="00155735">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Fundusze Europejskie</w:t>
            </w:r>
            <w:r w:rsidR="00363D1B" w:rsidRPr="00890249">
              <w:rPr>
                <w:rFonts w:asciiTheme="minorHAnsi" w:eastAsia="Times New Roman" w:hAnsiTheme="minorHAnsi" w:cstheme="minorHAnsi"/>
                <w:sz w:val="18"/>
                <w:szCs w:val="18"/>
                <w:lang w:eastAsia="en-US" w:bidi="ar-SA"/>
              </w:rPr>
              <w:t xml:space="preserve"> </w:t>
            </w:r>
            <w:r w:rsidRPr="00890249">
              <w:rPr>
                <w:rFonts w:asciiTheme="minorHAnsi" w:eastAsia="Times New Roman" w:hAnsiTheme="minorHAnsi" w:cstheme="minorHAnsi"/>
                <w:sz w:val="18"/>
                <w:szCs w:val="18"/>
                <w:lang w:eastAsia="en-US" w:bidi="ar-SA"/>
              </w:rPr>
              <w:t xml:space="preserve">dla Opolskiego </w:t>
            </w:r>
            <w:r w:rsidR="009731CA" w:rsidRPr="00890249">
              <w:rPr>
                <w:rFonts w:asciiTheme="minorHAnsi" w:eastAsia="Times New Roman" w:hAnsiTheme="minorHAnsi" w:cstheme="minorHAnsi"/>
                <w:sz w:val="18"/>
                <w:szCs w:val="18"/>
                <w:lang w:eastAsia="en-US" w:bidi="ar-SA"/>
              </w:rPr>
              <w:t>2021-2027</w:t>
            </w:r>
          </w:p>
        </w:tc>
      </w:tr>
      <w:tr w:rsidR="00B82B7C" w:rsidRPr="00890249" w14:paraId="236C2428" w14:textId="77777777" w:rsidTr="00890249">
        <w:tc>
          <w:tcPr>
            <w:tcW w:w="2263" w:type="dxa"/>
            <w:shd w:val="clear" w:color="auto" w:fill="F2F2F2"/>
          </w:tcPr>
          <w:p w14:paraId="6442DCE2" w14:textId="77777777" w:rsidR="00B82B7C" w:rsidRPr="00890249" w:rsidRDefault="00B82B7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GDJ</w:t>
            </w:r>
          </w:p>
        </w:tc>
        <w:tc>
          <w:tcPr>
            <w:tcW w:w="6799" w:type="dxa"/>
          </w:tcPr>
          <w:p w14:paraId="7420A523" w14:textId="77777777" w:rsidR="00B82B7C" w:rsidRPr="00890249" w:rsidRDefault="00B82B7C"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Gospodarstwa domowe zamieszkujące domy jednorodzinne</w:t>
            </w:r>
          </w:p>
        </w:tc>
      </w:tr>
      <w:tr w:rsidR="00EE4822" w:rsidRPr="00890249" w14:paraId="662A6723" w14:textId="77777777" w:rsidTr="00890249">
        <w:tc>
          <w:tcPr>
            <w:tcW w:w="2263" w:type="dxa"/>
            <w:shd w:val="clear" w:color="auto" w:fill="F2F2F2"/>
          </w:tcPr>
          <w:p w14:paraId="06B3D080" w14:textId="77777777" w:rsidR="00EE4822" w:rsidRPr="00890249" w:rsidRDefault="00EE4822"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GOZ</w:t>
            </w:r>
          </w:p>
        </w:tc>
        <w:tc>
          <w:tcPr>
            <w:tcW w:w="6799" w:type="dxa"/>
          </w:tcPr>
          <w:p w14:paraId="3B527A4B" w14:textId="77777777" w:rsidR="00EE4822" w:rsidRPr="00890249" w:rsidRDefault="00EE4822"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Gospodarka o obiegu zamkniętym</w:t>
            </w:r>
          </w:p>
        </w:tc>
      </w:tr>
      <w:tr w:rsidR="00C266E1" w:rsidRPr="00890249" w14:paraId="467C53C2" w14:textId="77777777" w:rsidTr="00890249">
        <w:tc>
          <w:tcPr>
            <w:tcW w:w="2263" w:type="dxa"/>
            <w:shd w:val="clear" w:color="auto" w:fill="F2F2F2"/>
          </w:tcPr>
          <w:p w14:paraId="03C38608" w14:textId="77777777" w:rsidR="00C266E1" w:rsidRPr="00890249" w:rsidRDefault="00C266E1"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GIOŚ</w:t>
            </w:r>
          </w:p>
        </w:tc>
        <w:tc>
          <w:tcPr>
            <w:tcW w:w="6799" w:type="dxa"/>
          </w:tcPr>
          <w:p w14:paraId="7EF98BFD" w14:textId="77777777" w:rsidR="00C266E1" w:rsidRPr="00890249" w:rsidRDefault="00C266E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Główny Inspektorat Ochrony Środowiska</w:t>
            </w:r>
          </w:p>
        </w:tc>
      </w:tr>
      <w:tr w:rsidR="00FF78C9" w:rsidRPr="00890249" w14:paraId="18387B2A" w14:textId="77777777" w:rsidTr="00890249">
        <w:tc>
          <w:tcPr>
            <w:tcW w:w="2263" w:type="dxa"/>
            <w:shd w:val="clear" w:color="auto" w:fill="F2F2F2"/>
          </w:tcPr>
          <w:p w14:paraId="2AA61437" w14:textId="77777777" w:rsidR="00FF78C9" w:rsidRPr="00890249" w:rsidRDefault="00FF78C9"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GPR</w:t>
            </w:r>
          </w:p>
        </w:tc>
        <w:tc>
          <w:tcPr>
            <w:tcW w:w="6799" w:type="dxa"/>
          </w:tcPr>
          <w:p w14:paraId="40625A8C" w14:textId="77777777" w:rsidR="00FF78C9" w:rsidRPr="00890249" w:rsidRDefault="00FF78C9"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Gminne Programy Rewitalizacji</w:t>
            </w:r>
          </w:p>
        </w:tc>
      </w:tr>
      <w:tr w:rsidR="000517FE" w:rsidRPr="00890249" w14:paraId="5E286C9B" w14:textId="77777777" w:rsidTr="008C5B22">
        <w:tc>
          <w:tcPr>
            <w:tcW w:w="2263" w:type="dxa"/>
            <w:shd w:val="clear" w:color="auto" w:fill="F2F2F2"/>
          </w:tcPr>
          <w:p w14:paraId="7A7F4954" w14:textId="4FDB5E4F" w:rsidR="000517FE" w:rsidRPr="00890249" w:rsidRDefault="000517FE"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GR</w:t>
            </w:r>
          </w:p>
        </w:tc>
        <w:tc>
          <w:tcPr>
            <w:tcW w:w="6799" w:type="dxa"/>
          </w:tcPr>
          <w:p w14:paraId="002D1FC5" w14:textId="69B09D36" w:rsidR="000517FE" w:rsidRPr="00890249" w:rsidRDefault="000517FE"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Grupy robocze / grupa robocza</w:t>
            </w:r>
          </w:p>
        </w:tc>
      </w:tr>
      <w:tr w:rsidR="00425F94" w:rsidRPr="00890249" w14:paraId="662475DE" w14:textId="77777777" w:rsidTr="00890249">
        <w:tc>
          <w:tcPr>
            <w:tcW w:w="2263" w:type="dxa"/>
            <w:shd w:val="clear" w:color="auto" w:fill="F2F2F2"/>
          </w:tcPr>
          <w:p w14:paraId="49D9A69D"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GUS</w:t>
            </w:r>
          </w:p>
        </w:tc>
        <w:tc>
          <w:tcPr>
            <w:tcW w:w="6799" w:type="dxa"/>
          </w:tcPr>
          <w:p w14:paraId="3DD9C341"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Główny Urząd Statystyczny </w:t>
            </w:r>
          </w:p>
        </w:tc>
      </w:tr>
      <w:tr w:rsidR="00425F94" w:rsidRPr="00890249" w14:paraId="0B4D07F1" w14:textId="77777777" w:rsidTr="00890249">
        <w:tc>
          <w:tcPr>
            <w:tcW w:w="2263" w:type="dxa"/>
            <w:shd w:val="clear" w:color="auto" w:fill="F2F2F2"/>
          </w:tcPr>
          <w:p w14:paraId="1FCABD0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IA</w:t>
            </w:r>
          </w:p>
        </w:tc>
        <w:tc>
          <w:tcPr>
            <w:tcW w:w="6799" w:type="dxa"/>
          </w:tcPr>
          <w:p w14:paraId="3FC1DD21"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Instytucja Audytowa</w:t>
            </w:r>
          </w:p>
        </w:tc>
      </w:tr>
      <w:tr w:rsidR="003E0884" w:rsidRPr="00890249" w14:paraId="2A6A60DE" w14:textId="77777777" w:rsidTr="00890249">
        <w:tc>
          <w:tcPr>
            <w:tcW w:w="2263" w:type="dxa"/>
            <w:shd w:val="clear" w:color="auto" w:fill="F2F2F2"/>
          </w:tcPr>
          <w:p w14:paraId="253670EF" w14:textId="77777777" w:rsidR="003E0884" w:rsidRPr="00890249" w:rsidRDefault="003E088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IF</w:t>
            </w:r>
          </w:p>
        </w:tc>
        <w:tc>
          <w:tcPr>
            <w:tcW w:w="6799" w:type="dxa"/>
          </w:tcPr>
          <w:p w14:paraId="34974622" w14:textId="77777777" w:rsidR="003E0884" w:rsidRPr="00890249" w:rsidRDefault="003E088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Instrumenty finansowe</w:t>
            </w:r>
          </w:p>
        </w:tc>
      </w:tr>
      <w:tr w:rsidR="008503B3" w:rsidRPr="00890249" w14:paraId="77793661" w14:textId="77777777" w:rsidTr="00890249">
        <w:tc>
          <w:tcPr>
            <w:tcW w:w="2263" w:type="dxa"/>
            <w:shd w:val="clear" w:color="auto" w:fill="F2F2F2"/>
          </w:tcPr>
          <w:p w14:paraId="4E12E84F" w14:textId="77777777" w:rsidR="008503B3" w:rsidRPr="00890249" w:rsidRDefault="008503B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IIT</w:t>
            </w:r>
          </w:p>
        </w:tc>
        <w:tc>
          <w:tcPr>
            <w:tcW w:w="6799" w:type="dxa"/>
          </w:tcPr>
          <w:p w14:paraId="4666F95D" w14:textId="77777777" w:rsidR="008503B3" w:rsidRPr="00890249" w:rsidRDefault="00BA6BBA"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Inny Instrument T</w:t>
            </w:r>
            <w:r w:rsidR="008503B3" w:rsidRPr="00890249">
              <w:rPr>
                <w:rFonts w:asciiTheme="minorHAnsi" w:eastAsia="Times New Roman" w:hAnsiTheme="minorHAnsi" w:cstheme="minorHAnsi"/>
                <w:sz w:val="18"/>
                <w:szCs w:val="18"/>
                <w:lang w:eastAsia="en-US" w:bidi="ar-SA"/>
              </w:rPr>
              <w:t>erytorialny</w:t>
            </w:r>
          </w:p>
        </w:tc>
      </w:tr>
      <w:tr w:rsidR="00425F94" w:rsidRPr="00890249" w14:paraId="178DFE6D" w14:textId="77777777" w:rsidTr="00890249">
        <w:tc>
          <w:tcPr>
            <w:tcW w:w="2263" w:type="dxa"/>
            <w:shd w:val="clear" w:color="auto" w:fill="F2F2F2"/>
          </w:tcPr>
          <w:p w14:paraId="0028200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IK</w:t>
            </w:r>
          </w:p>
        </w:tc>
        <w:tc>
          <w:tcPr>
            <w:tcW w:w="6799" w:type="dxa"/>
          </w:tcPr>
          <w:p w14:paraId="1E615887"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Instytucja Koordynująca</w:t>
            </w:r>
          </w:p>
        </w:tc>
      </w:tr>
      <w:tr w:rsidR="00425F94" w:rsidRPr="00890249" w14:paraId="3490FFE3" w14:textId="77777777" w:rsidTr="00890249">
        <w:tc>
          <w:tcPr>
            <w:tcW w:w="2263" w:type="dxa"/>
            <w:shd w:val="clear" w:color="auto" w:fill="F2F2F2"/>
          </w:tcPr>
          <w:p w14:paraId="3D66531F"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IOB</w:t>
            </w:r>
          </w:p>
        </w:tc>
        <w:tc>
          <w:tcPr>
            <w:tcW w:w="6799" w:type="dxa"/>
          </w:tcPr>
          <w:p w14:paraId="198F969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Instytucje otoczenia biznesu</w:t>
            </w:r>
          </w:p>
        </w:tc>
      </w:tr>
      <w:tr w:rsidR="00425F94" w:rsidRPr="00890249" w14:paraId="2EA13A8B" w14:textId="77777777" w:rsidTr="00890249">
        <w:tc>
          <w:tcPr>
            <w:tcW w:w="2263" w:type="dxa"/>
            <w:shd w:val="clear" w:color="auto" w:fill="F2F2F2"/>
          </w:tcPr>
          <w:p w14:paraId="39B589EC" w14:textId="77777777" w:rsidR="00425F94" w:rsidRPr="00890249" w:rsidRDefault="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IP</w:t>
            </w:r>
            <w:r w:rsidR="007F0E6D" w:rsidRPr="00890249">
              <w:rPr>
                <w:rFonts w:asciiTheme="minorHAnsi" w:eastAsia="Times New Roman" w:hAnsiTheme="minorHAnsi" w:cstheme="minorHAnsi"/>
                <w:b/>
                <w:color w:val="000099"/>
                <w:sz w:val="18"/>
                <w:szCs w:val="18"/>
                <w:lang w:eastAsia="en-US" w:bidi="ar-SA"/>
              </w:rPr>
              <w:t xml:space="preserve"> </w:t>
            </w:r>
            <w:r w:rsidR="000274BA" w:rsidRPr="00890249">
              <w:rPr>
                <w:rFonts w:asciiTheme="minorHAnsi" w:eastAsia="Times New Roman" w:hAnsiTheme="minorHAnsi" w:cstheme="minorHAnsi"/>
                <w:b/>
                <w:color w:val="000099"/>
                <w:sz w:val="18"/>
                <w:szCs w:val="18"/>
                <w:lang w:eastAsia="en-US" w:bidi="ar-SA"/>
              </w:rPr>
              <w:t>FEO 2021-2027</w:t>
            </w:r>
          </w:p>
        </w:tc>
        <w:tc>
          <w:tcPr>
            <w:tcW w:w="6799" w:type="dxa"/>
          </w:tcPr>
          <w:p w14:paraId="0478F024" w14:textId="77777777" w:rsidR="00425F94" w:rsidRPr="00890249" w:rsidRDefault="00425F94" w:rsidP="00745D49">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Instytucja Pośrednicząca</w:t>
            </w:r>
            <w:r w:rsidR="00363D1B" w:rsidRPr="00890249">
              <w:rPr>
                <w:rFonts w:asciiTheme="minorHAnsi" w:eastAsia="Times New Roman" w:hAnsiTheme="minorHAnsi" w:cstheme="minorHAnsi"/>
                <w:sz w:val="18"/>
                <w:szCs w:val="18"/>
                <w:lang w:eastAsia="en-US" w:bidi="ar-SA"/>
              </w:rPr>
              <w:t xml:space="preserve"> </w:t>
            </w:r>
            <w:r w:rsidR="00D356C5" w:rsidRPr="00890249">
              <w:rPr>
                <w:rFonts w:asciiTheme="minorHAnsi" w:eastAsia="Times New Roman" w:hAnsiTheme="minorHAnsi" w:cstheme="minorHAnsi"/>
                <w:sz w:val="18"/>
                <w:szCs w:val="18"/>
                <w:lang w:eastAsia="en-US" w:bidi="ar-SA"/>
              </w:rPr>
              <w:t xml:space="preserve">Funduszami </w:t>
            </w:r>
            <w:r w:rsidR="00745D49" w:rsidRPr="00890249">
              <w:rPr>
                <w:rFonts w:asciiTheme="minorHAnsi" w:eastAsia="Times New Roman" w:hAnsiTheme="minorHAnsi" w:cstheme="minorHAnsi"/>
                <w:sz w:val="18"/>
                <w:szCs w:val="18"/>
                <w:lang w:eastAsia="en-US" w:bidi="ar-SA"/>
              </w:rPr>
              <w:t xml:space="preserve">Europejskimi </w:t>
            </w:r>
            <w:r w:rsidR="00D356C5" w:rsidRPr="00890249">
              <w:rPr>
                <w:rFonts w:asciiTheme="minorHAnsi" w:eastAsia="Times New Roman" w:hAnsiTheme="minorHAnsi" w:cstheme="minorHAnsi"/>
                <w:sz w:val="18"/>
                <w:szCs w:val="18"/>
                <w:lang w:eastAsia="en-US" w:bidi="ar-SA"/>
              </w:rPr>
              <w:t>dla O</w:t>
            </w:r>
            <w:r w:rsidR="00520213" w:rsidRPr="00890249">
              <w:rPr>
                <w:rFonts w:asciiTheme="minorHAnsi" w:eastAsia="Times New Roman" w:hAnsiTheme="minorHAnsi" w:cstheme="minorHAnsi"/>
                <w:sz w:val="18"/>
                <w:szCs w:val="18"/>
                <w:lang w:eastAsia="en-US" w:bidi="ar-SA"/>
              </w:rPr>
              <w:t xml:space="preserve">polskiego </w:t>
            </w:r>
            <w:r w:rsidR="00745D49" w:rsidRPr="00890249">
              <w:rPr>
                <w:rFonts w:asciiTheme="minorHAnsi" w:eastAsia="Times New Roman" w:hAnsiTheme="minorHAnsi" w:cstheme="minorHAnsi"/>
                <w:sz w:val="18"/>
                <w:szCs w:val="18"/>
                <w:lang w:eastAsia="en-US" w:bidi="ar-SA"/>
              </w:rPr>
              <w:t>2021-2027</w:t>
            </w:r>
          </w:p>
        </w:tc>
      </w:tr>
      <w:tr w:rsidR="00425F94" w:rsidRPr="00F703B9" w14:paraId="4C4E009B" w14:textId="77777777" w:rsidTr="00890249">
        <w:tc>
          <w:tcPr>
            <w:tcW w:w="2263" w:type="dxa"/>
            <w:shd w:val="clear" w:color="auto" w:fill="F2F2F2"/>
          </w:tcPr>
          <w:p w14:paraId="7A4FB97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ITS</w:t>
            </w:r>
          </w:p>
        </w:tc>
        <w:tc>
          <w:tcPr>
            <w:tcW w:w="6799" w:type="dxa"/>
          </w:tcPr>
          <w:p w14:paraId="5F8A00CF" w14:textId="77777777" w:rsidR="00425F94" w:rsidRPr="00F62734" w:rsidRDefault="00CA6037" w:rsidP="00425F94">
            <w:pPr>
              <w:spacing w:before="60" w:after="60"/>
              <w:rPr>
                <w:rFonts w:asciiTheme="minorHAnsi" w:eastAsia="Times New Roman" w:hAnsiTheme="minorHAnsi" w:cstheme="minorHAnsi"/>
                <w:sz w:val="18"/>
                <w:szCs w:val="18"/>
                <w:lang w:val="fr-BE" w:eastAsia="en-US" w:bidi="ar-SA"/>
              </w:rPr>
            </w:pPr>
            <w:r w:rsidRPr="00F62734">
              <w:rPr>
                <w:rFonts w:asciiTheme="minorHAnsi" w:eastAsia="Times New Roman" w:hAnsiTheme="minorHAnsi" w:cstheme="minorHAnsi"/>
                <w:sz w:val="18"/>
                <w:szCs w:val="18"/>
                <w:lang w:val="fr-BE" w:eastAsia="en-US" w:bidi="ar-SA"/>
              </w:rPr>
              <w:t>System</w:t>
            </w:r>
            <w:r w:rsidR="00425F94" w:rsidRPr="00F62734">
              <w:rPr>
                <w:rFonts w:asciiTheme="minorHAnsi" w:eastAsia="Times New Roman" w:hAnsiTheme="minorHAnsi" w:cstheme="minorHAnsi"/>
                <w:sz w:val="18"/>
                <w:szCs w:val="18"/>
                <w:lang w:val="fr-BE" w:eastAsia="en-US" w:bidi="ar-SA"/>
              </w:rPr>
              <w:t xml:space="preserve"> Inteligentnego Transportu (ang. intelligent transportation system)</w:t>
            </w:r>
          </w:p>
        </w:tc>
      </w:tr>
      <w:tr w:rsidR="00425F94" w:rsidRPr="00890249" w14:paraId="3CBCC1A3" w14:textId="77777777" w:rsidTr="00890249">
        <w:tc>
          <w:tcPr>
            <w:tcW w:w="2263" w:type="dxa"/>
            <w:shd w:val="clear" w:color="auto" w:fill="F2F2F2"/>
          </w:tcPr>
          <w:p w14:paraId="677A1A5D" w14:textId="77777777" w:rsidR="00425F94" w:rsidRPr="00890249" w:rsidRDefault="0052021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 xml:space="preserve">IZ </w:t>
            </w:r>
            <w:r w:rsidR="000274BA" w:rsidRPr="00890249">
              <w:rPr>
                <w:rFonts w:asciiTheme="minorHAnsi" w:eastAsia="Times New Roman" w:hAnsiTheme="minorHAnsi" w:cstheme="minorHAnsi"/>
                <w:b/>
                <w:color w:val="000099"/>
                <w:sz w:val="18"/>
                <w:szCs w:val="18"/>
                <w:lang w:eastAsia="en-US" w:bidi="ar-SA"/>
              </w:rPr>
              <w:t>FEO 2021-2027</w:t>
            </w:r>
          </w:p>
        </w:tc>
        <w:tc>
          <w:tcPr>
            <w:tcW w:w="6799" w:type="dxa"/>
          </w:tcPr>
          <w:p w14:paraId="52525CBE" w14:textId="77777777" w:rsidR="00425F94" w:rsidRPr="00890249" w:rsidRDefault="006B7EF5">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Instytucja Zarządzająca</w:t>
            </w:r>
            <w:r w:rsidR="00520213" w:rsidRPr="00890249">
              <w:rPr>
                <w:rFonts w:asciiTheme="minorHAnsi" w:eastAsia="Times New Roman" w:hAnsiTheme="minorHAnsi" w:cstheme="minorHAnsi"/>
                <w:sz w:val="18"/>
                <w:szCs w:val="18"/>
                <w:lang w:eastAsia="en-US" w:bidi="ar-SA"/>
              </w:rPr>
              <w:t xml:space="preserve"> Funduszami </w:t>
            </w:r>
            <w:r w:rsidRPr="00890249">
              <w:rPr>
                <w:rFonts w:asciiTheme="minorHAnsi" w:eastAsia="Times New Roman" w:hAnsiTheme="minorHAnsi" w:cstheme="minorHAnsi"/>
                <w:sz w:val="18"/>
                <w:szCs w:val="18"/>
                <w:lang w:eastAsia="en-US" w:bidi="ar-SA"/>
              </w:rPr>
              <w:t>Europejski</w:t>
            </w:r>
            <w:r w:rsidR="00745D49" w:rsidRPr="00890249">
              <w:rPr>
                <w:rFonts w:asciiTheme="minorHAnsi" w:eastAsia="Times New Roman" w:hAnsiTheme="minorHAnsi" w:cstheme="minorHAnsi"/>
                <w:sz w:val="18"/>
                <w:szCs w:val="18"/>
                <w:lang w:eastAsia="en-US" w:bidi="ar-SA"/>
              </w:rPr>
              <w:t>mi</w:t>
            </w:r>
            <w:r w:rsidR="00363D1B" w:rsidRPr="00890249">
              <w:rPr>
                <w:rFonts w:asciiTheme="minorHAnsi" w:eastAsia="Times New Roman" w:hAnsiTheme="minorHAnsi" w:cstheme="minorHAnsi"/>
                <w:sz w:val="18"/>
                <w:szCs w:val="18"/>
                <w:lang w:eastAsia="en-US" w:bidi="ar-SA"/>
              </w:rPr>
              <w:t xml:space="preserve"> </w:t>
            </w:r>
            <w:r w:rsidR="00CB33E9" w:rsidRPr="00890249">
              <w:rPr>
                <w:rFonts w:asciiTheme="minorHAnsi" w:eastAsia="Times New Roman" w:hAnsiTheme="minorHAnsi" w:cstheme="minorHAnsi"/>
                <w:sz w:val="18"/>
                <w:szCs w:val="18"/>
                <w:lang w:eastAsia="en-US" w:bidi="ar-SA"/>
              </w:rPr>
              <w:t xml:space="preserve">dla </w:t>
            </w:r>
            <w:r w:rsidR="00D356C5" w:rsidRPr="00890249">
              <w:rPr>
                <w:rFonts w:asciiTheme="minorHAnsi" w:eastAsia="Times New Roman" w:hAnsiTheme="minorHAnsi" w:cstheme="minorHAnsi"/>
                <w:sz w:val="18"/>
                <w:szCs w:val="18"/>
                <w:lang w:eastAsia="en-US" w:bidi="ar-SA"/>
              </w:rPr>
              <w:t>O</w:t>
            </w:r>
            <w:r w:rsidR="00BA20DE" w:rsidRPr="00890249">
              <w:rPr>
                <w:rFonts w:asciiTheme="minorHAnsi" w:eastAsia="Times New Roman" w:hAnsiTheme="minorHAnsi" w:cstheme="minorHAnsi"/>
                <w:sz w:val="18"/>
                <w:szCs w:val="18"/>
                <w:lang w:eastAsia="en-US" w:bidi="ar-SA"/>
              </w:rPr>
              <w:t>polskiego</w:t>
            </w:r>
            <w:r w:rsidR="00745D49" w:rsidRPr="00890249">
              <w:rPr>
                <w:rFonts w:asciiTheme="minorHAnsi" w:eastAsia="Times New Roman" w:hAnsiTheme="minorHAnsi" w:cstheme="minorHAnsi"/>
                <w:sz w:val="18"/>
                <w:szCs w:val="18"/>
                <w:lang w:eastAsia="en-US" w:bidi="ar-SA"/>
              </w:rPr>
              <w:t xml:space="preserve"> 2021-2027</w:t>
            </w:r>
          </w:p>
        </w:tc>
      </w:tr>
      <w:tr w:rsidR="00425F94" w:rsidRPr="00890249" w14:paraId="2128356C" w14:textId="77777777" w:rsidTr="00890249">
        <w:tc>
          <w:tcPr>
            <w:tcW w:w="2263" w:type="dxa"/>
            <w:shd w:val="clear" w:color="auto" w:fill="F2F2F2" w:themeFill="background1" w:themeFillShade="F2"/>
          </w:tcPr>
          <w:p w14:paraId="305D512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JE</w:t>
            </w:r>
          </w:p>
        </w:tc>
        <w:tc>
          <w:tcPr>
            <w:tcW w:w="6799" w:type="dxa"/>
          </w:tcPr>
          <w:p w14:paraId="06FFDF5A"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Jednostka Ewaluacyjna </w:t>
            </w:r>
          </w:p>
        </w:tc>
      </w:tr>
      <w:tr w:rsidR="00425F94" w:rsidRPr="00890249" w14:paraId="0426018C" w14:textId="77777777" w:rsidTr="00890249">
        <w:tc>
          <w:tcPr>
            <w:tcW w:w="2263" w:type="dxa"/>
            <w:shd w:val="clear" w:color="auto" w:fill="F2F2F2"/>
          </w:tcPr>
          <w:p w14:paraId="1E962CC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JST</w:t>
            </w:r>
          </w:p>
        </w:tc>
        <w:tc>
          <w:tcPr>
            <w:tcW w:w="6799" w:type="dxa"/>
          </w:tcPr>
          <w:p w14:paraId="02409F25"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Jednostki Samorządu Terytorialnego</w:t>
            </w:r>
          </w:p>
        </w:tc>
      </w:tr>
      <w:tr w:rsidR="00425F94" w:rsidRPr="00890249" w14:paraId="28106877" w14:textId="77777777" w:rsidTr="00890249">
        <w:tc>
          <w:tcPr>
            <w:tcW w:w="2263" w:type="dxa"/>
            <w:shd w:val="clear" w:color="auto" w:fill="F2F2F2"/>
          </w:tcPr>
          <w:p w14:paraId="411606B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KE</w:t>
            </w:r>
          </w:p>
        </w:tc>
        <w:tc>
          <w:tcPr>
            <w:tcW w:w="6799" w:type="dxa"/>
          </w:tcPr>
          <w:p w14:paraId="050B92EE"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Komisja Europejska</w:t>
            </w:r>
          </w:p>
        </w:tc>
      </w:tr>
      <w:tr w:rsidR="00425F94" w:rsidRPr="00890249" w14:paraId="7198F4B4" w14:textId="77777777" w:rsidTr="00890249">
        <w:tc>
          <w:tcPr>
            <w:tcW w:w="2263" w:type="dxa"/>
            <w:shd w:val="clear" w:color="auto" w:fill="F2F2F2"/>
          </w:tcPr>
          <w:p w14:paraId="188452F5"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KIS</w:t>
            </w:r>
          </w:p>
        </w:tc>
        <w:tc>
          <w:tcPr>
            <w:tcW w:w="6799" w:type="dxa"/>
          </w:tcPr>
          <w:p w14:paraId="276F3D8C"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Klub Integracji Społecznej</w:t>
            </w:r>
          </w:p>
        </w:tc>
      </w:tr>
      <w:tr w:rsidR="00425F94" w:rsidRPr="00890249" w14:paraId="07272F82" w14:textId="77777777" w:rsidTr="00890249">
        <w:tc>
          <w:tcPr>
            <w:tcW w:w="2263" w:type="dxa"/>
            <w:shd w:val="clear" w:color="auto" w:fill="F2F2F2"/>
          </w:tcPr>
          <w:p w14:paraId="13F09D39"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KJE</w:t>
            </w:r>
          </w:p>
        </w:tc>
        <w:tc>
          <w:tcPr>
            <w:tcW w:w="6799" w:type="dxa"/>
          </w:tcPr>
          <w:p w14:paraId="10CC42B1"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Krajowa Jednostka Ewaluacji</w:t>
            </w:r>
          </w:p>
        </w:tc>
      </w:tr>
      <w:tr w:rsidR="00425F94" w:rsidRPr="00890249" w14:paraId="5F6BDAED" w14:textId="77777777" w:rsidTr="00890249">
        <w:tc>
          <w:tcPr>
            <w:tcW w:w="2263" w:type="dxa"/>
            <w:shd w:val="clear" w:color="auto" w:fill="F2F2F2"/>
          </w:tcPr>
          <w:p w14:paraId="6F6559D7" w14:textId="77777777" w:rsidR="00425F94" w:rsidRPr="00890249" w:rsidRDefault="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 xml:space="preserve">KM </w:t>
            </w:r>
            <w:r w:rsidR="000274BA" w:rsidRPr="00890249">
              <w:rPr>
                <w:rFonts w:asciiTheme="minorHAnsi" w:eastAsia="Times New Roman" w:hAnsiTheme="minorHAnsi" w:cstheme="minorHAnsi"/>
                <w:b/>
                <w:color w:val="000099"/>
                <w:sz w:val="18"/>
                <w:szCs w:val="18"/>
                <w:lang w:eastAsia="en-US" w:bidi="ar-SA"/>
              </w:rPr>
              <w:t>FEO 2021-2027</w:t>
            </w:r>
          </w:p>
          <w:p w14:paraId="05565257" w14:textId="1E348AD6" w:rsidR="000B4A76" w:rsidRPr="00890249" w:rsidRDefault="000B4A76">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KM</w:t>
            </w:r>
          </w:p>
        </w:tc>
        <w:tc>
          <w:tcPr>
            <w:tcW w:w="6799" w:type="dxa"/>
          </w:tcPr>
          <w:p w14:paraId="5BA18B5A" w14:textId="77777777" w:rsidR="00425F94" w:rsidRPr="00890249" w:rsidRDefault="00425F94" w:rsidP="00745D49">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Komitet Monitorujący </w:t>
            </w:r>
            <w:r w:rsidR="00520213" w:rsidRPr="00890249">
              <w:rPr>
                <w:rFonts w:asciiTheme="minorHAnsi" w:eastAsia="Times New Roman" w:hAnsiTheme="minorHAnsi" w:cstheme="minorHAnsi"/>
                <w:sz w:val="18"/>
                <w:szCs w:val="18"/>
                <w:lang w:eastAsia="en-US" w:bidi="ar-SA"/>
              </w:rPr>
              <w:t>Fundusze</w:t>
            </w:r>
            <w:r w:rsidR="00D356C5" w:rsidRPr="00890249">
              <w:rPr>
                <w:rFonts w:asciiTheme="minorHAnsi" w:eastAsia="Times New Roman" w:hAnsiTheme="minorHAnsi" w:cstheme="minorHAnsi"/>
                <w:sz w:val="18"/>
                <w:szCs w:val="18"/>
                <w:lang w:eastAsia="en-US" w:bidi="ar-SA"/>
              </w:rPr>
              <w:t xml:space="preserve"> E</w:t>
            </w:r>
            <w:r w:rsidR="006B7EF5" w:rsidRPr="00890249">
              <w:rPr>
                <w:rFonts w:asciiTheme="minorHAnsi" w:eastAsia="Times New Roman" w:hAnsiTheme="minorHAnsi" w:cstheme="minorHAnsi"/>
                <w:sz w:val="18"/>
                <w:szCs w:val="18"/>
                <w:lang w:eastAsia="en-US" w:bidi="ar-SA"/>
              </w:rPr>
              <w:t>uropejsk</w:t>
            </w:r>
            <w:r w:rsidR="00745D49" w:rsidRPr="00890249">
              <w:rPr>
                <w:rFonts w:asciiTheme="minorHAnsi" w:eastAsia="Times New Roman" w:hAnsiTheme="minorHAnsi" w:cstheme="minorHAnsi"/>
                <w:sz w:val="18"/>
                <w:szCs w:val="18"/>
                <w:lang w:eastAsia="en-US" w:bidi="ar-SA"/>
              </w:rPr>
              <w:t>ie</w:t>
            </w:r>
            <w:r w:rsidR="00D356C5" w:rsidRPr="00890249">
              <w:rPr>
                <w:rFonts w:asciiTheme="minorHAnsi" w:eastAsia="Times New Roman" w:hAnsiTheme="minorHAnsi" w:cstheme="minorHAnsi"/>
                <w:sz w:val="18"/>
                <w:szCs w:val="18"/>
                <w:lang w:eastAsia="en-US" w:bidi="ar-SA"/>
              </w:rPr>
              <w:t xml:space="preserve"> dla O</w:t>
            </w:r>
            <w:r w:rsidR="00520213" w:rsidRPr="00890249">
              <w:rPr>
                <w:rFonts w:asciiTheme="minorHAnsi" w:eastAsia="Times New Roman" w:hAnsiTheme="minorHAnsi" w:cstheme="minorHAnsi"/>
                <w:sz w:val="18"/>
                <w:szCs w:val="18"/>
                <w:lang w:eastAsia="en-US" w:bidi="ar-SA"/>
              </w:rPr>
              <w:t>polskiego</w:t>
            </w:r>
            <w:r w:rsidR="00745D49" w:rsidRPr="00890249">
              <w:rPr>
                <w:rFonts w:asciiTheme="minorHAnsi" w:eastAsia="Times New Roman" w:hAnsiTheme="minorHAnsi" w:cstheme="minorHAnsi"/>
                <w:sz w:val="18"/>
                <w:szCs w:val="18"/>
                <w:lang w:eastAsia="en-US" w:bidi="ar-SA"/>
              </w:rPr>
              <w:t xml:space="preserve"> 2021-2027</w:t>
            </w:r>
          </w:p>
        </w:tc>
      </w:tr>
      <w:tr w:rsidR="00E1010F" w:rsidRPr="00890249" w14:paraId="4B7CFDE0" w14:textId="77777777" w:rsidTr="00890249">
        <w:tc>
          <w:tcPr>
            <w:tcW w:w="2263" w:type="dxa"/>
            <w:shd w:val="clear" w:color="auto" w:fill="F2F2F2"/>
          </w:tcPr>
          <w:p w14:paraId="47BAB121" w14:textId="77777777" w:rsidR="00E1010F" w:rsidRPr="00890249" w:rsidRDefault="00E1010F">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w:t>
            </w:r>
          </w:p>
        </w:tc>
        <w:tc>
          <w:tcPr>
            <w:tcW w:w="6799" w:type="dxa"/>
          </w:tcPr>
          <w:p w14:paraId="602A2291" w14:textId="77777777" w:rsidR="00E1010F" w:rsidRPr="00890249" w:rsidRDefault="00B72CE1" w:rsidP="00B72CE1">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Kontrakt Programowy jest mechanizmem uzgodnień pomiędzy rządem, reprezentowanym przez ministra właściwego do spraw rozwoju regionalnego, a samorządem województwa stanowiącym zobowiązanie stron do realizacji zadań w ramach programu służącego realizacji Umowy Partnerstwa. </w:t>
            </w:r>
          </w:p>
        </w:tc>
      </w:tr>
      <w:tr w:rsidR="00122FC3" w:rsidRPr="00890249" w14:paraId="54DD3DBF" w14:textId="77777777" w:rsidTr="00890249">
        <w:tc>
          <w:tcPr>
            <w:tcW w:w="2263" w:type="dxa"/>
            <w:shd w:val="clear" w:color="auto" w:fill="F2F2F2"/>
          </w:tcPr>
          <w:p w14:paraId="1524551E" w14:textId="77777777" w:rsidR="00122FC3" w:rsidRPr="00890249" w:rsidRDefault="00122FC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KPO</w:t>
            </w:r>
          </w:p>
        </w:tc>
        <w:tc>
          <w:tcPr>
            <w:tcW w:w="6799" w:type="dxa"/>
          </w:tcPr>
          <w:p w14:paraId="2DE2121A" w14:textId="77777777" w:rsidR="00122FC3" w:rsidRPr="00890249" w:rsidRDefault="00122FC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Krajowy Plan Odbudowy i Zwiększania Odporności</w:t>
            </w:r>
          </w:p>
        </w:tc>
      </w:tr>
      <w:tr w:rsidR="00425F94" w:rsidRPr="00890249" w14:paraId="370372CD" w14:textId="77777777" w:rsidTr="00890249">
        <w:tc>
          <w:tcPr>
            <w:tcW w:w="2263" w:type="dxa"/>
            <w:shd w:val="clear" w:color="auto" w:fill="F2F2F2"/>
          </w:tcPr>
          <w:p w14:paraId="46969B1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KPOŚK</w:t>
            </w:r>
          </w:p>
        </w:tc>
        <w:tc>
          <w:tcPr>
            <w:tcW w:w="6799" w:type="dxa"/>
          </w:tcPr>
          <w:p w14:paraId="1AC9490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Krajowy program oczyszczania ścieków komunalnych </w:t>
            </w:r>
          </w:p>
        </w:tc>
      </w:tr>
      <w:tr w:rsidR="006F6E27" w:rsidRPr="00890249" w14:paraId="5C82340B" w14:textId="77777777" w:rsidTr="008C5B22">
        <w:tc>
          <w:tcPr>
            <w:tcW w:w="2263" w:type="dxa"/>
            <w:shd w:val="clear" w:color="auto" w:fill="F2F2F2"/>
          </w:tcPr>
          <w:p w14:paraId="7D2A7F31" w14:textId="457F07A4" w:rsidR="006F6E27" w:rsidRPr="00890249" w:rsidRDefault="00132468"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KPP</w:t>
            </w:r>
          </w:p>
        </w:tc>
        <w:tc>
          <w:tcPr>
            <w:tcW w:w="6799" w:type="dxa"/>
          </w:tcPr>
          <w:p w14:paraId="625E7382" w14:textId="30AE9AD9" w:rsidR="006F6E27" w:rsidRPr="00890249" w:rsidRDefault="00132468" w:rsidP="00132468">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bCs/>
                <w:sz w:val="18"/>
                <w:szCs w:val="18"/>
                <w:lang w:eastAsia="en-US" w:bidi="ar-SA"/>
              </w:rPr>
              <w:t>Karta Praw Podstawowych</w:t>
            </w:r>
          </w:p>
        </w:tc>
      </w:tr>
      <w:tr w:rsidR="00425F94" w:rsidRPr="00890249" w14:paraId="756BE896" w14:textId="77777777" w:rsidTr="00890249">
        <w:tc>
          <w:tcPr>
            <w:tcW w:w="2263" w:type="dxa"/>
            <w:shd w:val="clear" w:color="auto" w:fill="F2F2F2"/>
          </w:tcPr>
          <w:p w14:paraId="1A57F379"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KPPUiWS</w:t>
            </w:r>
          </w:p>
        </w:tc>
        <w:tc>
          <w:tcPr>
            <w:tcW w:w="6799" w:type="dxa"/>
          </w:tcPr>
          <w:p w14:paraId="3B2429F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Krajowy Program Przeciwdziałania Ubóstwu i Wykluczeniu Społecznemu 2020. Nowy wymiar aktywnej integracji</w:t>
            </w:r>
          </w:p>
        </w:tc>
      </w:tr>
      <w:tr w:rsidR="00425F94" w:rsidRPr="00890249" w14:paraId="4D5E33D9" w14:textId="77777777" w:rsidTr="00890249">
        <w:tc>
          <w:tcPr>
            <w:tcW w:w="2263" w:type="dxa"/>
            <w:shd w:val="clear" w:color="auto" w:fill="F2F2F2"/>
          </w:tcPr>
          <w:p w14:paraId="47C6B13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KPR</w:t>
            </w:r>
          </w:p>
        </w:tc>
        <w:tc>
          <w:tcPr>
            <w:tcW w:w="6799" w:type="dxa"/>
          </w:tcPr>
          <w:p w14:paraId="2C8A369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Krajowy Program Reform na rzecz realizacji strategii Europa 2020</w:t>
            </w:r>
          </w:p>
        </w:tc>
      </w:tr>
      <w:tr w:rsidR="00425F94" w:rsidRPr="00890249" w14:paraId="7683B554" w14:textId="77777777" w:rsidTr="00890249">
        <w:tc>
          <w:tcPr>
            <w:tcW w:w="2263" w:type="dxa"/>
            <w:shd w:val="clear" w:color="auto" w:fill="F2F2F2"/>
          </w:tcPr>
          <w:p w14:paraId="31F7ED9D"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KPRES</w:t>
            </w:r>
          </w:p>
        </w:tc>
        <w:tc>
          <w:tcPr>
            <w:tcW w:w="6799" w:type="dxa"/>
          </w:tcPr>
          <w:p w14:paraId="0F637B73" w14:textId="77777777" w:rsidR="00425F94" w:rsidRPr="00890249" w:rsidRDefault="008374CE" w:rsidP="0037401D">
            <w:pPr>
              <w:spacing w:before="60" w:after="60"/>
              <w:rPr>
                <w:rFonts w:asciiTheme="minorHAnsi" w:eastAsia="Times New Roman" w:hAnsiTheme="minorHAnsi" w:cstheme="minorHAnsi"/>
                <w:sz w:val="18"/>
                <w:szCs w:val="18"/>
                <w:lang w:eastAsia="en-US" w:bidi="ar-SA"/>
              </w:rPr>
            </w:pPr>
            <w:hyperlink r:id="rId12" w:history="1">
              <w:r w:rsidRPr="00890249">
                <w:rPr>
                  <w:rStyle w:val="Hipercze"/>
                  <w:rFonts w:asciiTheme="minorHAnsi" w:eastAsia="Times New Roman" w:hAnsiTheme="minorHAnsi" w:cstheme="minorHAnsi"/>
                  <w:bCs/>
                  <w:color w:val="auto"/>
                  <w:sz w:val="18"/>
                  <w:szCs w:val="18"/>
                  <w:u w:val="none"/>
                  <w:lang w:eastAsia="en-US" w:bidi="ar-SA"/>
                </w:rPr>
                <w:t>Krajowy Program Rozwoju Ekonomii Społecznej do 2030 roku</w:t>
              </w:r>
            </w:hyperlink>
          </w:p>
        </w:tc>
      </w:tr>
      <w:tr w:rsidR="0053055F" w:rsidRPr="00890249" w14:paraId="6DCB5910" w14:textId="77777777" w:rsidTr="00890249">
        <w:tc>
          <w:tcPr>
            <w:tcW w:w="2263" w:type="dxa"/>
            <w:shd w:val="clear" w:color="auto" w:fill="F2F2F2"/>
          </w:tcPr>
          <w:p w14:paraId="35D04D74" w14:textId="77777777" w:rsidR="0053055F" w:rsidRPr="00890249" w:rsidRDefault="0053055F"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KS</w:t>
            </w:r>
          </w:p>
        </w:tc>
        <w:tc>
          <w:tcPr>
            <w:tcW w:w="6799" w:type="dxa"/>
          </w:tcPr>
          <w:p w14:paraId="13383163" w14:textId="77777777" w:rsidR="0053055F" w:rsidRPr="00890249" w:rsidRDefault="0053055F" w:rsidP="0037401D">
            <w:pPr>
              <w:spacing w:before="60" w:after="60"/>
              <w:rPr>
                <w:rStyle w:val="Hipercze"/>
                <w:rFonts w:asciiTheme="minorHAnsi" w:eastAsia="Times New Roman" w:hAnsiTheme="minorHAnsi" w:cstheme="minorHAnsi"/>
                <w:bCs/>
                <w:color w:val="auto"/>
                <w:sz w:val="18"/>
                <w:szCs w:val="18"/>
                <w:u w:val="none"/>
                <w:lang w:eastAsia="en-US" w:bidi="ar-SA"/>
              </w:rPr>
            </w:pPr>
            <w:r w:rsidRPr="00890249">
              <w:rPr>
                <w:rStyle w:val="Hipercze"/>
                <w:rFonts w:asciiTheme="minorHAnsi" w:eastAsia="Times New Roman" w:hAnsiTheme="minorHAnsi" w:cstheme="minorHAnsi"/>
                <w:bCs/>
                <w:color w:val="auto"/>
                <w:sz w:val="18"/>
                <w:szCs w:val="18"/>
                <w:u w:val="none"/>
                <w:lang w:eastAsia="en-US" w:bidi="ar-SA"/>
              </w:rPr>
              <w:t>Komitet Sterujący ds. koordynacji interwencji EFSI w sektorze zdrowia</w:t>
            </w:r>
          </w:p>
        </w:tc>
      </w:tr>
      <w:tr w:rsidR="00425F94" w:rsidRPr="00890249" w14:paraId="55430AC6" w14:textId="77777777" w:rsidTr="00890249">
        <w:tc>
          <w:tcPr>
            <w:tcW w:w="2263" w:type="dxa"/>
            <w:shd w:val="clear" w:color="auto" w:fill="F2F2F2"/>
          </w:tcPr>
          <w:p w14:paraId="2D249A3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KSRR2030</w:t>
            </w:r>
          </w:p>
        </w:tc>
        <w:tc>
          <w:tcPr>
            <w:tcW w:w="6799" w:type="dxa"/>
          </w:tcPr>
          <w:p w14:paraId="703C52D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Krajowa Strategia Rozwoju Regionalnego 2030</w:t>
            </w:r>
          </w:p>
        </w:tc>
      </w:tr>
      <w:tr w:rsidR="00425F94" w:rsidRPr="00890249" w14:paraId="6A16660E" w14:textId="77777777" w:rsidTr="00890249">
        <w:tc>
          <w:tcPr>
            <w:tcW w:w="2263" w:type="dxa"/>
            <w:shd w:val="clear" w:color="auto" w:fill="F2F2F2"/>
          </w:tcPr>
          <w:p w14:paraId="080133C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MC</w:t>
            </w:r>
          </w:p>
        </w:tc>
        <w:tc>
          <w:tcPr>
            <w:tcW w:w="6799" w:type="dxa"/>
          </w:tcPr>
          <w:p w14:paraId="312B6D8C" w14:textId="77777777" w:rsidR="00425F94" w:rsidRPr="00890249" w:rsidRDefault="00425F94" w:rsidP="00AD6577">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Ministerstwo Cyfryzacji</w:t>
            </w:r>
          </w:p>
        </w:tc>
      </w:tr>
      <w:tr w:rsidR="00425F94" w:rsidRPr="00890249" w14:paraId="7693F311" w14:textId="77777777" w:rsidTr="00890249">
        <w:tc>
          <w:tcPr>
            <w:tcW w:w="2263" w:type="dxa"/>
            <w:shd w:val="clear" w:color="auto" w:fill="F2F2F2"/>
          </w:tcPr>
          <w:p w14:paraId="78560AE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MFiPR</w:t>
            </w:r>
          </w:p>
        </w:tc>
        <w:tc>
          <w:tcPr>
            <w:tcW w:w="6799" w:type="dxa"/>
          </w:tcPr>
          <w:p w14:paraId="17ECA492"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Minister właściwy do spraw rozwoju regionalnego </w:t>
            </w:r>
          </w:p>
          <w:p w14:paraId="6C72437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lastRenderedPageBreak/>
              <w:t>Ministerstwo Funduszy i Polityki Regionalnej</w:t>
            </w:r>
          </w:p>
        </w:tc>
      </w:tr>
      <w:tr w:rsidR="00425F94" w:rsidRPr="00890249" w14:paraId="79130EF3" w14:textId="77777777" w:rsidTr="00890249">
        <w:tc>
          <w:tcPr>
            <w:tcW w:w="2263" w:type="dxa"/>
            <w:shd w:val="clear" w:color="auto" w:fill="F2F2F2"/>
          </w:tcPr>
          <w:p w14:paraId="24E0B94E"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lastRenderedPageBreak/>
              <w:t>MKiDN</w:t>
            </w:r>
          </w:p>
        </w:tc>
        <w:tc>
          <w:tcPr>
            <w:tcW w:w="6799" w:type="dxa"/>
          </w:tcPr>
          <w:p w14:paraId="5C31AEF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Ministerstwo Kultury i Dziedzictwa Narodowego </w:t>
            </w:r>
          </w:p>
        </w:tc>
      </w:tr>
      <w:tr w:rsidR="007A7ADA" w:rsidRPr="00890249" w14:paraId="0549A5AF" w14:textId="77777777" w:rsidTr="00890249">
        <w:tc>
          <w:tcPr>
            <w:tcW w:w="2263" w:type="dxa"/>
            <w:shd w:val="clear" w:color="auto" w:fill="F2F2F2"/>
          </w:tcPr>
          <w:p w14:paraId="6B3187D2" w14:textId="77777777" w:rsidR="007A7ADA" w:rsidRPr="00890249" w:rsidRDefault="007A7ADA"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MOF</w:t>
            </w:r>
          </w:p>
        </w:tc>
        <w:tc>
          <w:tcPr>
            <w:tcW w:w="6799" w:type="dxa"/>
          </w:tcPr>
          <w:p w14:paraId="663473C1" w14:textId="77777777" w:rsidR="007A7ADA" w:rsidRPr="00890249" w:rsidRDefault="007A7ADA"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Miejskie obszary funkcjonalne</w:t>
            </w:r>
          </w:p>
        </w:tc>
      </w:tr>
      <w:tr w:rsidR="00585658" w:rsidRPr="00890249" w14:paraId="4436FF5B" w14:textId="77777777" w:rsidTr="00890249">
        <w:tc>
          <w:tcPr>
            <w:tcW w:w="2263" w:type="dxa"/>
            <w:shd w:val="clear" w:color="auto" w:fill="F2F2F2"/>
          </w:tcPr>
          <w:p w14:paraId="7565D3A2" w14:textId="77777777" w:rsidR="00585658" w:rsidRPr="00890249" w:rsidRDefault="00585658"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MOS</w:t>
            </w:r>
          </w:p>
        </w:tc>
        <w:tc>
          <w:tcPr>
            <w:tcW w:w="6799" w:type="dxa"/>
          </w:tcPr>
          <w:p w14:paraId="5E74DC5F" w14:textId="77777777" w:rsidR="00585658" w:rsidRPr="00890249" w:rsidRDefault="00875C92" w:rsidP="00585658">
            <w:pPr>
              <w:spacing w:before="60" w:after="60"/>
              <w:rPr>
                <w:rFonts w:asciiTheme="minorHAnsi" w:eastAsiaTheme="minorHAnsi" w:hAnsiTheme="minorHAnsi" w:cstheme="minorHAnsi"/>
                <w:sz w:val="18"/>
                <w:szCs w:val="22"/>
                <w:lang w:eastAsia="en-US" w:bidi="ar-SA"/>
              </w:rPr>
            </w:pPr>
            <w:r w:rsidRPr="00890249">
              <w:rPr>
                <w:rFonts w:asciiTheme="minorHAnsi" w:eastAsiaTheme="minorHAnsi" w:hAnsiTheme="minorHAnsi" w:cstheme="minorHAnsi"/>
                <w:sz w:val="18"/>
                <w:szCs w:val="22"/>
                <w:lang w:eastAsia="en-US" w:bidi="ar-SA"/>
              </w:rPr>
              <w:t>Młodzieżowe ośrodki socjoterapii</w:t>
            </w:r>
          </w:p>
        </w:tc>
      </w:tr>
      <w:tr w:rsidR="001B17DD" w:rsidRPr="00890249" w14:paraId="49580F3F" w14:textId="77777777" w:rsidTr="00890249">
        <w:tc>
          <w:tcPr>
            <w:tcW w:w="2263" w:type="dxa"/>
            <w:shd w:val="clear" w:color="auto" w:fill="F2F2F2"/>
          </w:tcPr>
          <w:p w14:paraId="0CEF0D8B" w14:textId="77777777" w:rsidR="001B17DD" w:rsidRPr="00890249" w:rsidRDefault="001B17DD"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MOW</w:t>
            </w:r>
          </w:p>
        </w:tc>
        <w:tc>
          <w:tcPr>
            <w:tcW w:w="6799" w:type="dxa"/>
          </w:tcPr>
          <w:p w14:paraId="49E74BE9" w14:textId="77777777" w:rsidR="001B17DD" w:rsidRPr="00890249" w:rsidRDefault="00875C92" w:rsidP="001B17DD">
            <w:pPr>
              <w:spacing w:before="60" w:after="60"/>
              <w:rPr>
                <w:rFonts w:asciiTheme="minorHAnsi" w:eastAsia="Times New Roman" w:hAnsiTheme="minorHAnsi" w:cstheme="minorHAnsi"/>
                <w:sz w:val="18"/>
                <w:szCs w:val="18"/>
                <w:lang w:eastAsia="en-US" w:bidi="ar-SA"/>
              </w:rPr>
            </w:pPr>
            <w:r w:rsidRPr="00890249">
              <w:rPr>
                <w:rFonts w:asciiTheme="minorHAnsi" w:eastAsiaTheme="minorHAnsi" w:hAnsiTheme="minorHAnsi" w:cstheme="minorHAnsi"/>
                <w:sz w:val="18"/>
                <w:szCs w:val="22"/>
                <w:lang w:eastAsia="en-US" w:bidi="ar-SA"/>
              </w:rPr>
              <w:t>Młodzieżowe ośrodki wychowawcze</w:t>
            </w:r>
          </w:p>
        </w:tc>
      </w:tr>
      <w:tr w:rsidR="00425F94" w:rsidRPr="00890249" w14:paraId="3C9F5CDB" w14:textId="77777777" w:rsidTr="00890249">
        <w:tc>
          <w:tcPr>
            <w:tcW w:w="2263" w:type="dxa"/>
            <w:shd w:val="clear" w:color="auto" w:fill="F2F2F2"/>
          </w:tcPr>
          <w:p w14:paraId="524DC96A"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MNiSW</w:t>
            </w:r>
          </w:p>
        </w:tc>
        <w:tc>
          <w:tcPr>
            <w:tcW w:w="6799" w:type="dxa"/>
          </w:tcPr>
          <w:p w14:paraId="0D34C612"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Ministerstwo Nauki i Szkolnictwa Wyższego</w:t>
            </w:r>
          </w:p>
        </w:tc>
      </w:tr>
      <w:tr w:rsidR="00425F94" w:rsidRPr="00890249" w14:paraId="7365F79A" w14:textId="77777777" w:rsidTr="00890249">
        <w:tc>
          <w:tcPr>
            <w:tcW w:w="2263" w:type="dxa"/>
            <w:shd w:val="clear" w:color="auto" w:fill="F2F2F2"/>
          </w:tcPr>
          <w:p w14:paraId="48BA1FDD"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w:t>
            </w:r>
            <w:r w:rsidR="00F70213" w:rsidRPr="00890249">
              <w:rPr>
                <w:rFonts w:asciiTheme="minorHAnsi" w:eastAsia="Times New Roman" w:hAnsiTheme="minorHAnsi" w:cstheme="minorHAnsi"/>
                <w:b/>
                <w:color w:val="000099"/>
                <w:sz w:val="18"/>
                <w:szCs w:val="18"/>
                <w:lang w:eastAsia="en-US" w:bidi="ar-SA"/>
              </w:rPr>
              <w:t>R</w:t>
            </w:r>
            <w:r w:rsidRPr="00890249">
              <w:rPr>
                <w:rFonts w:asciiTheme="minorHAnsi" w:eastAsia="Times New Roman" w:hAnsiTheme="minorHAnsi" w:cstheme="minorHAnsi"/>
                <w:b/>
                <w:color w:val="000099"/>
                <w:sz w:val="18"/>
                <w:szCs w:val="18"/>
                <w:lang w:eastAsia="en-US" w:bidi="ar-SA"/>
              </w:rPr>
              <w:t>PiPS</w:t>
            </w:r>
          </w:p>
        </w:tc>
        <w:tc>
          <w:tcPr>
            <w:tcW w:w="6799" w:type="dxa"/>
          </w:tcPr>
          <w:p w14:paraId="2765471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Ministerstwo </w:t>
            </w:r>
            <w:r w:rsidR="00F70213" w:rsidRPr="00890249">
              <w:rPr>
                <w:rFonts w:asciiTheme="minorHAnsi" w:eastAsia="Times New Roman" w:hAnsiTheme="minorHAnsi" w:cstheme="minorHAnsi"/>
                <w:sz w:val="18"/>
                <w:szCs w:val="18"/>
                <w:lang w:eastAsia="en-US" w:bidi="ar-SA"/>
              </w:rPr>
              <w:t xml:space="preserve">Rodziny, </w:t>
            </w:r>
            <w:r w:rsidRPr="00890249">
              <w:rPr>
                <w:rFonts w:asciiTheme="minorHAnsi" w:eastAsia="Times New Roman" w:hAnsiTheme="minorHAnsi" w:cstheme="minorHAnsi"/>
                <w:sz w:val="18"/>
                <w:szCs w:val="18"/>
                <w:lang w:eastAsia="en-US" w:bidi="ar-SA"/>
              </w:rPr>
              <w:t>Pracy i Polityki Społecznej</w:t>
            </w:r>
          </w:p>
        </w:tc>
      </w:tr>
      <w:tr w:rsidR="00425F94" w:rsidRPr="00890249" w14:paraId="1D4CEEBC" w14:textId="77777777" w:rsidTr="00890249">
        <w:tc>
          <w:tcPr>
            <w:tcW w:w="2263" w:type="dxa"/>
            <w:shd w:val="clear" w:color="auto" w:fill="F2F2F2"/>
          </w:tcPr>
          <w:p w14:paraId="29D8C782"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MRiRW</w:t>
            </w:r>
          </w:p>
        </w:tc>
        <w:tc>
          <w:tcPr>
            <w:tcW w:w="6799" w:type="dxa"/>
          </w:tcPr>
          <w:p w14:paraId="7C6A83B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Ministerstwo Rolnictwa i Rozwoju Wsi</w:t>
            </w:r>
          </w:p>
        </w:tc>
      </w:tr>
      <w:tr w:rsidR="00645473" w:rsidRPr="00890249" w14:paraId="72E9D218" w14:textId="77777777" w:rsidTr="00890249">
        <w:tc>
          <w:tcPr>
            <w:tcW w:w="2263" w:type="dxa"/>
            <w:shd w:val="clear" w:color="auto" w:fill="F2F2F2"/>
          </w:tcPr>
          <w:p w14:paraId="2B6F6C8D" w14:textId="77777777" w:rsidR="00645473" w:rsidRPr="00890249" w:rsidRDefault="0064547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MRR</w:t>
            </w:r>
          </w:p>
        </w:tc>
        <w:tc>
          <w:tcPr>
            <w:tcW w:w="6799" w:type="dxa"/>
          </w:tcPr>
          <w:p w14:paraId="6CA43749" w14:textId="77777777" w:rsidR="00645473" w:rsidRPr="00890249" w:rsidRDefault="0064547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Ministerstwo Rozwoju Regionalnego</w:t>
            </w:r>
          </w:p>
        </w:tc>
      </w:tr>
      <w:tr w:rsidR="00425F94" w:rsidRPr="00890249" w14:paraId="50B882A1" w14:textId="77777777" w:rsidTr="00890249">
        <w:tc>
          <w:tcPr>
            <w:tcW w:w="2263" w:type="dxa"/>
            <w:shd w:val="clear" w:color="auto" w:fill="F2F2F2"/>
          </w:tcPr>
          <w:p w14:paraId="0F2DD63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MŚP</w:t>
            </w:r>
          </w:p>
        </w:tc>
        <w:tc>
          <w:tcPr>
            <w:tcW w:w="6799" w:type="dxa"/>
          </w:tcPr>
          <w:p w14:paraId="6C7E9F77"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Mikro, małe i średnie przedsiębiorstwa</w:t>
            </w:r>
          </w:p>
        </w:tc>
      </w:tr>
      <w:tr w:rsidR="00425F94" w:rsidRPr="00890249" w14:paraId="389CC2C4" w14:textId="77777777" w:rsidTr="00890249">
        <w:tc>
          <w:tcPr>
            <w:tcW w:w="2263" w:type="dxa"/>
            <w:shd w:val="clear" w:color="auto" w:fill="F2F2F2"/>
          </w:tcPr>
          <w:p w14:paraId="517831A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MZ</w:t>
            </w:r>
          </w:p>
        </w:tc>
        <w:tc>
          <w:tcPr>
            <w:tcW w:w="6799" w:type="dxa"/>
          </w:tcPr>
          <w:p w14:paraId="0B14D0D9"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Ministerstwo Zdrowia</w:t>
            </w:r>
          </w:p>
        </w:tc>
      </w:tr>
      <w:tr w:rsidR="00425F94" w:rsidRPr="00890249" w14:paraId="46C8AE37" w14:textId="77777777" w:rsidTr="00890249">
        <w:tc>
          <w:tcPr>
            <w:tcW w:w="2263" w:type="dxa"/>
            <w:shd w:val="clear" w:color="auto" w:fill="F2F2F2"/>
          </w:tcPr>
          <w:p w14:paraId="70E899F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NFZ</w:t>
            </w:r>
          </w:p>
        </w:tc>
        <w:tc>
          <w:tcPr>
            <w:tcW w:w="6799" w:type="dxa"/>
          </w:tcPr>
          <w:p w14:paraId="266689FE"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Narodowy Fundusz Zdrowia</w:t>
            </w:r>
          </w:p>
        </w:tc>
      </w:tr>
      <w:tr w:rsidR="00425F94" w:rsidRPr="00890249" w14:paraId="0A3A8CBD" w14:textId="77777777" w:rsidTr="00890249">
        <w:tc>
          <w:tcPr>
            <w:tcW w:w="2263" w:type="dxa"/>
            <w:shd w:val="clear" w:color="auto" w:fill="F2F2F2"/>
          </w:tcPr>
          <w:p w14:paraId="1BD03EC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NUTS</w:t>
            </w:r>
          </w:p>
        </w:tc>
        <w:tc>
          <w:tcPr>
            <w:tcW w:w="6799" w:type="dxa"/>
          </w:tcPr>
          <w:p w14:paraId="1F047CF5"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Klasyfikacja Jednostek Terytorialnych do Celów Statystycznych </w:t>
            </w:r>
          </w:p>
        </w:tc>
      </w:tr>
      <w:tr w:rsidR="00425F94" w:rsidRPr="00890249" w14:paraId="74CBB039" w14:textId="77777777" w:rsidTr="00890249">
        <w:tc>
          <w:tcPr>
            <w:tcW w:w="2263" w:type="dxa"/>
            <w:shd w:val="clear" w:color="auto" w:fill="F2F2F2"/>
          </w:tcPr>
          <w:p w14:paraId="0335D7F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OCRG</w:t>
            </w:r>
          </w:p>
        </w:tc>
        <w:tc>
          <w:tcPr>
            <w:tcW w:w="6799" w:type="dxa"/>
          </w:tcPr>
          <w:p w14:paraId="43AA3BFA"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Opolskie Centrum Rozwoju Gospodarki</w:t>
            </w:r>
          </w:p>
        </w:tc>
      </w:tr>
      <w:tr w:rsidR="00425F94" w:rsidRPr="00890249" w14:paraId="473A546F" w14:textId="77777777" w:rsidTr="00890249">
        <w:tc>
          <w:tcPr>
            <w:tcW w:w="2263" w:type="dxa"/>
            <w:shd w:val="clear" w:color="auto" w:fill="F2F2F2"/>
          </w:tcPr>
          <w:p w14:paraId="453479B6"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OP</w:t>
            </w:r>
          </w:p>
        </w:tc>
        <w:tc>
          <w:tcPr>
            <w:tcW w:w="6799" w:type="dxa"/>
          </w:tcPr>
          <w:p w14:paraId="092E1077"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Oś priorytetowa</w:t>
            </w:r>
          </w:p>
        </w:tc>
      </w:tr>
      <w:tr w:rsidR="0038144C" w:rsidRPr="00890249" w14:paraId="2CCF8394" w14:textId="77777777" w:rsidTr="00890249">
        <w:tc>
          <w:tcPr>
            <w:tcW w:w="2263" w:type="dxa"/>
            <w:shd w:val="clear" w:color="auto" w:fill="F2F2F2"/>
          </w:tcPr>
          <w:p w14:paraId="23C610CD" w14:textId="77777777" w:rsidR="0038144C" w:rsidRPr="00890249" w:rsidRDefault="0038144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OSI</w:t>
            </w:r>
          </w:p>
        </w:tc>
        <w:tc>
          <w:tcPr>
            <w:tcW w:w="6799" w:type="dxa"/>
          </w:tcPr>
          <w:p w14:paraId="007F4039" w14:textId="77777777" w:rsidR="0038144C" w:rsidRPr="00890249" w:rsidRDefault="0038144C"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Obszary Strategicznej Interwencji</w:t>
            </w:r>
          </w:p>
        </w:tc>
      </w:tr>
      <w:tr w:rsidR="00A3199C" w:rsidRPr="00890249" w14:paraId="052B843B" w14:textId="77777777" w:rsidTr="00890249">
        <w:tc>
          <w:tcPr>
            <w:tcW w:w="2263" w:type="dxa"/>
            <w:shd w:val="clear" w:color="auto" w:fill="F2F2F2"/>
            <w:vAlign w:val="center"/>
          </w:tcPr>
          <w:p w14:paraId="2FF79970" w14:textId="77777777" w:rsidR="00A3199C" w:rsidRPr="00890249" w:rsidRDefault="00875C92">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OSI krajowe</w:t>
            </w:r>
          </w:p>
        </w:tc>
        <w:tc>
          <w:tcPr>
            <w:tcW w:w="6799" w:type="dxa"/>
          </w:tcPr>
          <w:p w14:paraId="48C62668" w14:textId="4AD13D13" w:rsidR="00A3199C" w:rsidRPr="00890249" w:rsidRDefault="00A3199C"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w:t>
            </w:r>
            <w:r w:rsidR="00875C92" w:rsidRPr="00890249">
              <w:rPr>
                <w:rFonts w:asciiTheme="minorHAnsi" w:eastAsia="Times New Roman" w:hAnsiTheme="minorHAnsi" w:cstheme="minorHAnsi"/>
                <w:sz w:val="18"/>
                <w:szCs w:val="18"/>
                <w:lang w:eastAsia="en-US" w:bidi="ar-SA"/>
              </w:rPr>
              <w:t>iasta średnie tracące funkcje społeczno - gospodarcze oraz obszary zagrożone trwałą marginalizacją</w:t>
            </w:r>
            <w:r w:rsidRPr="00890249">
              <w:rPr>
                <w:rFonts w:asciiTheme="minorHAnsi" w:eastAsia="Times New Roman" w:hAnsiTheme="minorHAnsi" w:cstheme="minorHAnsi"/>
                <w:sz w:val="18"/>
                <w:szCs w:val="18"/>
                <w:lang w:eastAsia="en-US" w:bidi="ar-SA"/>
              </w:rPr>
              <w:t>.</w:t>
            </w:r>
          </w:p>
          <w:p w14:paraId="74BC3543" w14:textId="77777777" w:rsidR="00A3199C" w:rsidRPr="00890249" w:rsidRDefault="00A3199C"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Osi krajowe w województwie opolskim to: </w:t>
            </w:r>
          </w:p>
          <w:p w14:paraId="73544CD0" w14:textId="5820E0C3" w:rsidR="00B72154" w:rsidRPr="00890249" w:rsidRDefault="00875C92" w:rsidP="009F296A">
            <w:pPr>
              <w:pStyle w:val="Akapitzlist"/>
              <w:numPr>
                <w:ilvl w:val="0"/>
                <w:numId w:val="104"/>
              </w:numPr>
              <w:spacing w:before="60" w:after="60"/>
              <w:ind w:left="289" w:hanging="218"/>
              <w:rPr>
                <w:rFonts w:asciiTheme="minorHAnsi" w:eastAsia="Times New Roman" w:hAnsiTheme="minorHAnsi" w:cstheme="minorHAnsi"/>
                <w:sz w:val="18"/>
                <w:szCs w:val="18"/>
              </w:rPr>
            </w:pPr>
            <w:r w:rsidRPr="00890249">
              <w:rPr>
                <w:rFonts w:asciiTheme="minorHAnsi" w:eastAsia="Times New Roman" w:hAnsiTheme="minorHAnsi" w:cstheme="minorHAnsi"/>
                <w:sz w:val="18"/>
                <w:szCs w:val="18"/>
                <w:lang w:eastAsia="en-US" w:bidi="ar-SA"/>
              </w:rPr>
              <w:t>Miasta średnie</w:t>
            </w:r>
            <w:r w:rsidR="00663BDA" w:rsidRPr="00890249">
              <w:rPr>
                <w:rFonts w:asciiTheme="minorHAnsi" w:eastAsia="Times New Roman" w:hAnsiTheme="minorHAnsi" w:cstheme="minorHAnsi"/>
                <w:sz w:val="18"/>
                <w:szCs w:val="18"/>
                <w:lang w:eastAsia="en-US" w:bidi="ar-SA"/>
              </w:rPr>
              <w:t xml:space="preserve"> </w:t>
            </w:r>
            <w:r w:rsidRPr="00890249">
              <w:rPr>
                <w:rFonts w:asciiTheme="minorHAnsi" w:eastAsia="Times New Roman" w:hAnsiTheme="minorHAnsi" w:cstheme="minorHAnsi"/>
                <w:sz w:val="18"/>
                <w:szCs w:val="18"/>
                <w:lang w:eastAsia="en-US" w:bidi="ar-SA"/>
              </w:rPr>
              <w:t>tracące funkcje społeczno-gospodarcze - 8 miast: Brzeg, Kędzierzyn-Koźle, Kluczbork, Krapkowice, Namysłów, Nysa, Prudnik, Strzelce Opolskie,</w:t>
            </w:r>
          </w:p>
          <w:p w14:paraId="0413C2F9" w14:textId="77777777" w:rsidR="00B72154" w:rsidRPr="00890249" w:rsidRDefault="00875C92" w:rsidP="009F296A">
            <w:pPr>
              <w:pStyle w:val="Akapitzlist"/>
              <w:numPr>
                <w:ilvl w:val="0"/>
                <w:numId w:val="104"/>
              </w:numPr>
              <w:spacing w:before="60" w:after="60"/>
              <w:ind w:left="289" w:hanging="218"/>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Obszary zagrożone trwałą marginalizacją - 15 gmin: Baborów, Branice, Cisek, Domaszowice, Gorzów Śląski, Kamiennik, Murów, Otmuchów, Paczków, Pakosławice, Pawłowiczki, Radłów, Świerczów, Wilków, Wołczyn.</w:t>
            </w:r>
          </w:p>
        </w:tc>
      </w:tr>
      <w:tr w:rsidR="00425F94" w:rsidRPr="00890249" w14:paraId="7F70BA5F" w14:textId="77777777" w:rsidTr="00890249">
        <w:tc>
          <w:tcPr>
            <w:tcW w:w="2263" w:type="dxa"/>
            <w:shd w:val="clear" w:color="auto" w:fill="F2F2F2"/>
          </w:tcPr>
          <w:p w14:paraId="717C80A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OSP</w:t>
            </w:r>
          </w:p>
        </w:tc>
        <w:tc>
          <w:tcPr>
            <w:tcW w:w="6799" w:type="dxa"/>
          </w:tcPr>
          <w:p w14:paraId="505F9F57"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Ochotnicza Straż Pożarna</w:t>
            </w:r>
          </w:p>
        </w:tc>
      </w:tr>
      <w:tr w:rsidR="001838D3" w:rsidRPr="00890249" w14:paraId="4AAAE1C3" w14:textId="77777777" w:rsidTr="00890249">
        <w:tc>
          <w:tcPr>
            <w:tcW w:w="2263" w:type="dxa"/>
            <w:shd w:val="clear" w:color="auto" w:fill="F2F2F2"/>
          </w:tcPr>
          <w:p w14:paraId="22AAD2B0" w14:textId="77777777" w:rsidR="001838D3" w:rsidRPr="00890249" w:rsidRDefault="001838D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OUW</w:t>
            </w:r>
          </w:p>
        </w:tc>
        <w:tc>
          <w:tcPr>
            <w:tcW w:w="6799" w:type="dxa"/>
          </w:tcPr>
          <w:p w14:paraId="0E616D4D" w14:textId="77777777" w:rsidR="001838D3" w:rsidRPr="00890249" w:rsidRDefault="001838D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Opolski Urząd Wojewódzki</w:t>
            </w:r>
          </w:p>
        </w:tc>
      </w:tr>
      <w:tr w:rsidR="00425F94" w:rsidRPr="00890249" w14:paraId="59D99276" w14:textId="77777777" w:rsidTr="00890249">
        <w:tc>
          <w:tcPr>
            <w:tcW w:w="2263" w:type="dxa"/>
            <w:shd w:val="clear" w:color="auto" w:fill="F2F2F2"/>
          </w:tcPr>
          <w:p w14:paraId="18A3D7E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OWES</w:t>
            </w:r>
          </w:p>
        </w:tc>
        <w:tc>
          <w:tcPr>
            <w:tcW w:w="6799" w:type="dxa"/>
          </w:tcPr>
          <w:p w14:paraId="609F49A8"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Ośrodek Wsparcia Ekonomii Społecznej</w:t>
            </w:r>
          </w:p>
        </w:tc>
      </w:tr>
      <w:tr w:rsidR="003C75B7" w:rsidRPr="00890249" w14:paraId="6BBBC0CC" w14:textId="77777777" w:rsidTr="00890249">
        <w:tc>
          <w:tcPr>
            <w:tcW w:w="2263" w:type="dxa"/>
            <w:shd w:val="clear" w:color="auto" w:fill="F2F2F2"/>
          </w:tcPr>
          <w:p w14:paraId="0AD4B04E" w14:textId="77777777" w:rsidR="003C75B7" w:rsidRPr="00890249" w:rsidRDefault="003C75B7"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OWP</w:t>
            </w:r>
          </w:p>
        </w:tc>
        <w:tc>
          <w:tcPr>
            <w:tcW w:w="6799" w:type="dxa"/>
          </w:tcPr>
          <w:p w14:paraId="1C7C6858" w14:textId="77777777" w:rsidR="003C75B7" w:rsidRPr="00890249" w:rsidRDefault="003C75B7"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Ośrodek wychowania przedszkolnego</w:t>
            </w:r>
          </w:p>
        </w:tc>
      </w:tr>
      <w:tr w:rsidR="00425F94" w:rsidRPr="00890249" w14:paraId="61B6CE7C" w14:textId="77777777" w:rsidTr="00890249">
        <w:tc>
          <w:tcPr>
            <w:tcW w:w="2263" w:type="dxa"/>
            <w:shd w:val="clear" w:color="auto" w:fill="F2F2F2"/>
          </w:tcPr>
          <w:p w14:paraId="1CE0413B"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OZE</w:t>
            </w:r>
          </w:p>
        </w:tc>
        <w:tc>
          <w:tcPr>
            <w:tcW w:w="6799" w:type="dxa"/>
          </w:tcPr>
          <w:p w14:paraId="6233364B"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Odnawialne źródła energii</w:t>
            </w:r>
          </w:p>
        </w:tc>
      </w:tr>
      <w:tr w:rsidR="00425F94" w:rsidRPr="00890249" w14:paraId="236829C5" w14:textId="77777777" w:rsidTr="00890249">
        <w:tc>
          <w:tcPr>
            <w:tcW w:w="2263" w:type="dxa"/>
            <w:shd w:val="clear" w:color="auto" w:fill="F2F2F2"/>
          </w:tcPr>
          <w:p w14:paraId="3D1C52D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PARP</w:t>
            </w:r>
          </w:p>
        </w:tc>
        <w:tc>
          <w:tcPr>
            <w:tcW w:w="6799" w:type="dxa"/>
          </w:tcPr>
          <w:p w14:paraId="02A23216"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Polska Agencja Rozwoju Przedsiębiorczości</w:t>
            </w:r>
          </w:p>
        </w:tc>
      </w:tr>
      <w:tr w:rsidR="00425F94" w:rsidRPr="00890249" w14:paraId="4627840D" w14:textId="77777777" w:rsidTr="00890249">
        <w:tc>
          <w:tcPr>
            <w:tcW w:w="2263" w:type="dxa"/>
            <w:shd w:val="clear" w:color="auto" w:fill="F2F2F2"/>
          </w:tcPr>
          <w:p w14:paraId="6E1731C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PE</w:t>
            </w:r>
          </w:p>
        </w:tc>
        <w:tc>
          <w:tcPr>
            <w:tcW w:w="6799" w:type="dxa"/>
          </w:tcPr>
          <w:p w14:paraId="0ADC72A9"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Parlament Europejski</w:t>
            </w:r>
          </w:p>
        </w:tc>
      </w:tr>
      <w:tr w:rsidR="00425F94" w:rsidRPr="00890249" w14:paraId="4D3DDBF0" w14:textId="77777777" w:rsidTr="00890249">
        <w:tc>
          <w:tcPr>
            <w:tcW w:w="2263" w:type="dxa"/>
            <w:shd w:val="clear" w:color="auto" w:fill="F2F2F2"/>
          </w:tcPr>
          <w:p w14:paraId="7501CB9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PGO WO</w:t>
            </w:r>
          </w:p>
        </w:tc>
        <w:tc>
          <w:tcPr>
            <w:tcW w:w="6799" w:type="dxa"/>
          </w:tcPr>
          <w:p w14:paraId="60EBB2F9"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Plan Gospodarki Odpadami Województwa Opolskiego</w:t>
            </w:r>
          </w:p>
        </w:tc>
      </w:tr>
      <w:tr w:rsidR="00425F94" w:rsidRPr="00890249" w14:paraId="0149B5C5" w14:textId="77777777" w:rsidTr="00890249">
        <w:tc>
          <w:tcPr>
            <w:tcW w:w="2263" w:type="dxa"/>
            <w:shd w:val="clear" w:color="auto" w:fill="F2F2F2"/>
          </w:tcPr>
          <w:p w14:paraId="592B6C1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PKB</w:t>
            </w:r>
          </w:p>
        </w:tc>
        <w:tc>
          <w:tcPr>
            <w:tcW w:w="6799" w:type="dxa"/>
          </w:tcPr>
          <w:p w14:paraId="71DE8964"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Produkt Krajowy Brutto</w:t>
            </w:r>
          </w:p>
        </w:tc>
      </w:tr>
      <w:tr w:rsidR="00425F94" w:rsidRPr="00890249" w14:paraId="35A7F2B3" w14:textId="77777777" w:rsidTr="00890249">
        <w:tc>
          <w:tcPr>
            <w:tcW w:w="2263" w:type="dxa"/>
            <w:shd w:val="clear" w:color="auto" w:fill="F2F2F2"/>
          </w:tcPr>
          <w:p w14:paraId="03CF0489" w14:textId="77777777" w:rsidR="00425F94" w:rsidRPr="00890249" w:rsidRDefault="00D21EB8"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PM2,</w:t>
            </w:r>
            <w:r w:rsidR="00425F94" w:rsidRPr="00890249">
              <w:rPr>
                <w:rFonts w:asciiTheme="minorHAnsi" w:eastAsia="Times New Roman" w:hAnsiTheme="minorHAnsi" w:cstheme="minorHAnsi"/>
                <w:b/>
                <w:color w:val="000099"/>
                <w:sz w:val="18"/>
                <w:szCs w:val="18"/>
                <w:lang w:eastAsia="en-US" w:bidi="ar-SA"/>
              </w:rPr>
              <w:t>5</w:t>
            </w:r>
          </w:p>
        </w:tc>
        <w:tc>
          <w:tcPr>
            <w:tcW w:w="6799" w:type="dxa"/>
          </w:tcPr>
          <w:p w14:paraId="37EDB790"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aerozole atmosferyczne (pył zawieszony) o średnicy nie większej </w:t>
            </w:r>
            <w:r w:rsidR="00D21EB8" w:rsidRPr="00890249">
              <w:rPr>
                <w:rFonts w:asciiTheme="minorHAnsi" w:eastAsia="Times New Roman" w:hAnsiTheme="minorHAnsi" w:cstheme="minorHAnsi"/>
                <w:sz w:val="18"/>
                <w:szCs w:val="18"/>
                <w:lang w:eastAsia="en-US" w:bidi="ar-SA"/>
              </w:rPr>
              <w:t>niż 2,</w:t>
            </w:r>
            <w:r w:rsidRPr="00890249">
              <w:rPr>
                <w:rFonts w:asciiTheme="minorHAnsi" w:eastAsia="Times New Roman" w:hAnsiTheme="minorHAnsi" w:cstheme="minorHAnsi"/>
                <w:sz w:val="18"/>
                <w:szCs w:val="18"/>
                <w:lang w:eastAsia="en-US" w:bidi="ar-SA"/>
              </w:rPr>
              <w:t>5 mikrometra</w:t>
            </w:r>
          </w:p>
        </w:tc>
      </w:tr>
      <w:tr w:rsidR="00425F94" w:rsidRPr="00890249" w14:paraId="2E836F4B" w14:textId="77777777" w:rsidTr="00890249">
        <w:tc>
          <w:tcPr>
            <w:tcW w:w="2263" w:type="dxa"/>
            <w:shd w:val="clear" w:color="auto" w:fill="F2F2F2"/>
          </w:tcPr>
          <w:p w14:paraId="0716A06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PM10</w:t>
            </w:r>
          </w:p>
        </w:tc>
        <w:tc>
          <w:tcPr>
            <w:tcW w:w="6799" w:type="dxa"/>
          </w:tcPr>
          <w:p w14:paraId="0A13A3E6"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mieszanina zawieszonych w powietrzu cząsteczek o średnic</w:t>
            </w:r>
            <w:r w:rsidR="00726D11" w:rsidRPr="00890249">
              <w:rPr>
                <w:rFonts w:asciiTheme="minorHAnsi" w:eastAsia="Times New Roman" w:hAnsiTheme="minorHAnsi" w:cstheme="minorHAnsi"/>
                <w:sz w:val="18"/>
                <w:szCs w:val="18"/>
                <w:lang w:eastAsia="en-US" w:bidi="ar-SA"/>
              </w:rPr>
              <w:t>y nie większej niż 10 mikrometrów</w:t>
            </w:r>
          </w:p>
        </w:tc>
      </w:tr>
      <w:tr w:rsidR="00425F94" w:rsidRPr="00890249" w14:paraId="57AFD9A6" w14:textId="77777777" w:rsidTr="00890249">
        <w:tc>
          <w:tcPr>
            <w:tcW w:w="2263" w:type="dxa"/>
            <w:shd w:val="clear" w:color="auto" w:fill="F2F2F2"/>
          </w:tcPr>
          <w:p w14:paraId="035167B1"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PSZOK</w:t>
            </w:r>
          </w:p>
        </w:tc>
        <w:tc>
          <w:tcPr>
            <w:tcW w:w="6799" w:type="dxa"/>
          </w:tcPr>
          <w:p w14:paraId="6503A3C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Punkt Selektywnego Zbierania Odpadów Komunalnych</w:t>
            </w:r>
          </w:p>
        </w:tc>
      </w:tr>
      <w:tr w:rsidR="009D02B3" w:rsidRPr="00890249" w14:paraId="1C3FF2CD" w14:textId="77777777" w:rsidTr="00890249">
        <w:tc>
          <w:tcPr>
            <w:tcW w:w="2263" w:type="dxa"/>
            <w:shd w:val="clear" w:color="auto" w:fill="F2F2F2"/>
          </w:tcPr>
          <w:p w14:paraId="103D8E8C" w14:textId="77777777" w:rsidR="009D02B3" w:rsidRPr="00890249" w:rsidRDefault="009D02B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PO IR</w:t>
            </w:r>
          </w:p>
        </w:tc>
        <w:tc>
          <w:tcPr>
            <w:tcW w:w="6799" w:type="dxa"/>
          </w:tcPr>
          <w:p w14:paraId="24925126" w14:textId="77777777" w:rsidR="009D02B3" w:rsidRPr="00890249" w:rsidRDefault="009D02B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Program Operacyjny Inteligentny Rozwój 2014-2020</w:t>
            </w:r>
          </w:p>
        </w:tc>
      </w:tr>
      <w:tr w:rsidR="009D02B3" w:rsidRPr="00890249" w14:paraId="086C8F03" w14:textId="77777777" w:rsidTr="00890249">
        <w:tc>
          <w:tcPr>
            <w:tcW w:w="2263" w:type="dxa"/>
            <w:shd w:val="clear" w:color="auto" w:fill="F2F2F2"/>
          </w:tcPr>
          <w:p w14:paraId="5C526DB3" w14:textId="77777777" w:rsidR="009D02B3" w:rsidRPr="00890249" w:rsidRDefault="009D02B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PO IŚ</w:t>
            </w:r>
          </w:p>
        </w:tc>
        <w:tc>
          <w:tcPr>
            <w:tcW w:w="6799" w:type="dxa"/>
          </w:tcPr>
          <w:p w14:paraId="614753F4" w14:textId="77777777" w:rsidR="009D02B3" w:rsidRPr="00890249" w:rsidRDefault="009D02B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Program Operacyjny Infrastruktura i Środowisko 2014-2020</w:t>
            </w:r>
          </w:p>
        </w:tc>
      </w:tr>
      <w:tr w:rsidR="009D02B3" w:rsidRPr="00890249" w14:paraId="117ED450" w14:textId="77777777" w:rsidTr="00890249">
        <w:tc>
          <w:tcPr>
            <w:tcW w:w="2263" w:type="dxa"/>
            <w:shd w:val="clear" w:color="auto" w:fill="F2F2F2"/>
          </w:tcPr>
          <w:p w14:paraId="47B7119F" w14:textId="77777777" w:rsidR="009D02B3" w:rsidRPr="00890249" w:rsidRDefault="009D02B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PO WER</w:t>
            </w:r>
          </w:p>
        </w:tc>
        <w:tc>
          <w:tcPr>
            <w:tcW w:w="6799" w:type="dxa"/>
          </w:tcPr>
          <w:p w14:paraId="552BEF0E" w14:textId="77777777" w:rsidR="009D02B3" w:rsidRPr="00890249" w:rsidRDefault="009D02B3"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Program Operacyjny Wiedza Edukacja Rozwój 2014-2020</w:t>
            </w:r>
          </w:p>
        </w:tc>
      </w:tr>
      <w:tr w:rsidR="00425F94" w:rsidRPr="00890249" w14:paraId="6FDB6828" w14:textId="77777777" w:rsidTr="00890249">
        <w:tc>
          <w:tcPr>
            <w:tcW w:w="2263" w:type="dxa"/>
            <w:shd w:val="clear" w:color="auto" w:fill="F2F2F2"/>
          </w:tcPr>
          <w:p w14:paraId="49A3CDF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POZ</w:t>
            </w:r>
          </w:p>
        </w:tc>
        <w:tc>
          <w:tcPr>
            <w:tcW w:w="6799" w:type="dxa"/>
          </w:tcPr>
          <w:p w14:paraId="2C2057F7"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Podstawowa Opieka Zdrowotna</w:t>
            </w:r>
          </w:p>
        </w:tc>
      </w:tr>
      <w:tr w:rsidR="00D021C1" w:rsidRPr="00890249" w14:paraId="61B8E9EA" w14:textId="77777777" w:rsidTr="00890249">
        <w:tc>
          <w:tcPr>
            <w:tcW w:w="2263" w:type="dxa"/>
            <w:shd w:val="clear" w:color="auto" w:fill="F2F2F2"/>
          </w:tcPr>
          <w:p w14:paraId="4F37C708" w14:textId="77777777" w:rsidR="00D021C1" w:rsidRPr="00890249" w:rsidRDefault="00D021C1"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lastRenderedPageBreak/>
              <w:t>PPO</w:t>
            </w:r>
          </w:p>
        </w:tc>
        <w:tc>
          <w:tcPr>
            <w:tcW w:w="6799" w:type="dxa"/>
          </w:tcPr>
          <w:p w14:paraId="29DB6B87" w14:textId="77777777" w:rsidR="00D021C1" w:rsidRPr="00890249" w:rsidRDefault="00D021C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Proces przedsiębiorczego odkrywania - proces stałego dialogu uczestników regionalnego systemu innowacji reprezentujących obszary inteligentnych specjalizacji z zachowaniem wiodącej roli biznesu.</w:t>
            </w:r>
          </w:p>
        </w:tc>
      </w:tr>
      <w:tr w:rsidR="00ED105E" w:rsidRPr="00890249" w14:paraId="21F2E40C" w14:textId="77777777" w:rsidTr="00890249">
        <w:tc>
          <w:tcPr>
            <w:tcW w:w="2263" w:type="dxa"/>
            <w:shd w:val="clear" w:color="auto" w:fill="F2F2F2"/>
          </w:tcPr>
          <w:p w14:paraId="0DF2A7FA" w14:textId="77777777" w:rsidR="00ED105E" w:rsidRPr="00890249" w:rsidRDefault="00ED105E"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PPP</w:t>
            </w:r>
          </w:p>
        </w:tc>
        <w:tc>
          <w:tcPr>
            <w:tcW w:w="6799" w:type="dxa"/>
          </w:tcPr>
          <w:p w14:paraId="3122DFDD" w14:textId="77777777" w:rsidR="00ED105E" w:rsidRPr="00890249" w:rsidRDefault="00ED105E"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Partnerstwo Publiczno-Prywatne</w:t>
            </w:r>
          </w:p>
        </w:tc>
      </w:tr>
      <w:tr w:rsidR="00E345AA" w:rsidRPr="00890249" w14:paraId="57ACA4D9" w14:textId="77777777" w:rsidTr="00890249">
        <w:tc>
          <w:tcPr>
            <w:tcW w:w="2263" w:type="dxa"/>
            <w:shd w:val="clear" w:color="auto" w:fill="F2F2F2"/>
          </w:tcPr>
          <w:p w14:paraId="7E237420" w14:textId="77777777" w:rsidR="00E345AA" w:rsidRPr="00890249" w:rsidRDefault="00E345AA"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PT</w:t>
            </w:r>
          </w:p>
        </w:tc>
        <w:tc>
          <w:tcPr>
            <w:tcW w:w="6799" w:type="dxa"/>
          </w:tcPr>
          <w:p w14:paraId="312AF2AD" w14:textId="1D10F3E6" w:rsidR="00E345AA" w:rsidRPr="00890249" w:rsidRDefault="00E345AA" w:rsidP="007E0B91">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Pomoc techniczna</w:t>
            </w:r>
          </w:p>
        </w:tc>
      </w:tr>
      <w:tr w:rsidR="0088046C" w:rsidRPr="00890249" w14:paraId="2FB31C9F" w14:textId="77777777" w:rsidTr="008C5B22">
        <w:tc>
          <w:tcPr>
            <w:tcW w:w="2263" w:type="dxa"/>
            <w:shd w:val="clear" w:color="auto" w:fill="F2F2F2"/>
          </w:tcPr>
          <w:p w14:paraId="655453CD" w14:textId="60AF21EF" w:rsidR="0088046C" w:rsidRPr="00890249" w:rsidRDefault="005D7CE9"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PTFE</w:t>
            </w:r>
          </w:p>
        </w:tc>
        <w:tc>
          <w:tcPr>
            <w:tcW w:w="6799" w:type="dxa"/>
          </w:tcPr>
          <w:p w14:paraId="6F1FBD6E" w14:textId="201F046F" w:rsidR="0088046C" w:rsidRPr="00890249" w:rsidRDefault="00471920" w:rsidP="00471920">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rPr>
              <w:t>Pomoc Techniczna dla Funduszy Europejskich 2021-2027</w:t>
            </w:r>
          </w:p>
        </w:tc>
      </w:tr>
      <w:tr w:rsidR="00D962B4" w:rsidRPr="00890249" w14:paraId="4E8CAF00" w14:textId="77777777" w:rsidTr="00890249">
        <w:tc>
          <w:tcPr>
            <w:tcW w:w="2263" w:type="dxa"/>
            <w:shd w:val="clear" w:color="auto" w:fill="F2F2F2"/>
          </w:tcPr>
          <w:p w14:paraId="153CF60C" w14:textId="77777777" w:rsidR="00D962B4" w:rsidRPr="00890249" w:rsidRDefault="00D962B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PS</w:t>
            </w:r>
          </w:p>
        </w:tc>
        <w:tc>
          <w:tcPr>
            <w:tcW w:w="6799" w:type="dxa"/>
          </w:tcPr>
          <w:p w14:paraId="5EB7DC56" w14:textId="77777777" w:rsidR="00D962B4" w:rsidRPr="00890249" w:rsidRDefault="00D962B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Polityka Spójności na lata 2021-2027</w:t>
            </w:r>
          </w:p>
        </w:tc>
      </w:tr>
      <w:tr w:rsidR="00425F94" w:rsidRPr="00890249" w14:paraId="1FE0B108" w14:textId="77777777" w:rsidTr="00890249">
        <w:tc>
          <w:tcPr>
            <w:tcW w:w="2263" w:type="dxa"/>
            <w:shd w:val="clear" w:color="auto" w:fill="F2F2F2"/>
          </w:tcPr>
          <w:p w14:paraId="06227216"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P&amp;R</w:t>
            </w:r>
          </w:p>
        </w:tc>
        <w:tc>
          <w:tcPr>
            <w:tcW w:w="6799" w:type="dxa"/>
          </w:tcPr>
          <w:p w14:paraId="727F7CB9"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Parkuj i Jedź (ang. Park&amp;Ride, P&amp;R) – parking zlokalizowany w pobliżu peryferyjnych przystanków przeznaczony dla osób korzystających z publicznego transportu zbiorowego</w:t>
            </w:r>
          </w:p>
        </w:tc>
      </w:tr>
      <w:tr w:rsidR="00C97134" w:rsidRPr="00890249" w14:paraId="1516F0C1" w14:textId="77777777" w:rsidTr="008C5B22">
        <w:tc>
          <w:tcPr>
            <w:tcW w:w="2263" w:type="dxa"/>
            <w:shd w:val="clear" w:color="auto" w:fill="F2F2F2"/>
          </w:tcPr>
          <w:p w14:paraId="60888A77" w14:textId="15CACFE8" w:rsidR="00C97134" w:rsidRPr="00890249" w:rsidRDefault="00C97134" w:rsidP="00C97134">
            <w:pPr>
              <w:tabs>
                <w:tab w:val="center" w:pos="1023"/>
              </w:tabs>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RFE</w:t>
            </w:r>
          </w:p>
        </w:tc>
        <w:tc>
          <w:tcPr>
            <w:tcW w:w="6799" w:type="dxa"/>
          </w:tcPr>
          <w:p w14:paraId="7134E3E0" w14:textId="76264BB5" w:rsidR="00C97134" w:rsidRPr="00890249" w:rsidRDefault="00C9713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Rzecznik Funduszy Europejskich</w:t>
            </w:r>
          </w:p>
        </w:tc>
      </w:tr>
      <w:tr w:rsidR="00763682" w:rsidRPr="00890249" w14:paraId="1559224A" w14:textId="77777777" w:rsidTr="00890249">
        <w:tc>
          <w:tcPr>
            <w:tcW w:w="2263" w:type="dxa"/>
            <w:shd w:val="clear" w:color="auto" w:fill="F2F2F2"/>
          </w:tcPr>
          <w:p w14:paraId="484A3455" w14:textId="18F6BF37" w:rsidR="00763682" w:rsidRPr="00890249" w:rsidRDefault="00763682" w:rsidP="00890249">
            <w:pPr>
              <w:tabs>
                <w:tab w:val="center" w:pos="1023"/>
              </w:tabs>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RIS</w:t>
            </w:r>
            <w:r w:rsidR="00C97134" w:rsidRPr="00890249">
              <w:rPr>
                <w:rFonts w:asciiTheme="minorHAnsi" w:eastAsia="Times New Roman" w:hAnsiTheme="minorHAnsi" w:cstheme="minorHAnsi"/>
                <w:b/>
                <w:color w:val="000099"/>
                <w:sz w:val="18"/>
                <w:szCs w:val="18"/>
                <w:lang w:eastAsia="en-US" w:bidi="ar-SA"/>
              </w:rPr>
              <w:tab/>
            </w:r>
          </w:p>
        </w:tc>
        <w:tc>
          <w:tcPr>
            <w:tcW w:w="6799" w:type="dxa"/>
          </w:tcPr>
          <w:p w14:paraId="61C673E6" w14:textId="77777777" w:rsidR="00763682" w:rsidRPr="00890249" w:rsidRDefault="00763682">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Regionalne Inteligentne Specjalizacje</w:t>
            </w:r>
          </w:p>
        </w:tc>
      </w:tr>
      <w:tr w:rsidR="00425F94" w:rsidRPr="00890249" w14:paraId="1D223629" w14:textId="77777777" w:rsidTr="00890249">
        <w:tc>
          <w:tcPr>
            <w:tcW w:w="2263" w:type="dxa"/>
            <w:shd w:val="clear" w:color="auto" w:fill="F2F2F2"/>
          </w:tcPr>
          <w:p w14:paraId="17851B4C" w14:textId="77777777" w:rsidR="00AB62F5" w:rsidRPr="00890249" w:rsidRDefault="00AB62F5"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RSIWO20</w:t>
            </w:r>
            <w:r w:rsidR="004C23D0" w:rsidRPr="00890249">
              <w:rPr>
                <w:rFonts w:asciiTheme="minorHAnsi" w:eastAsia="Times New Roman" w:hAnsiTheme="minorHAnsi" w:cstheme="minorHAnsi"/>
                <w:b/>
                <w:color w:val="000099"/>
                <w:sz w:val="18"/>
                <w:szCs w:val="18"/>
                <w:lang w:eastAsia="en-US" w:bidi="ar-SA"/>
              </w:rPr>
              <w:t>30</w:t>
            </w:r>
          </w:p>
          <w:p w14:paraId="6874DEBD" w14:textId="77777777" w:rsidR="00F70213" w:rsidRPr="00890249" w:rsidRDefault="00F70213"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RSI</w:t>
            </w:r>
          </w:p>
        </w:tc>
        <w:tc>
          <w:tcPr>
            <w:tcW w:w="6799" w:type="dxa"/>
          </w:tcPr>
          <w:p w14:paraId="6691F856"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Regionalna Strategia Innowacji do roku 20</w:t>
            </w:r>
            <w:r w:rsidR="00F52150" w:rsidRPr="00890249">
              <w:rPr>
                <w:rFonts w:asciiTheme="minorHAnsi" w:eastAsia="Times New Roman" w:hAnsiTheme="minorHAnsi" w:cstheme="minorHAnsi"/>
                <w:sz w:val="18"/>
                <w:szCs w:val="18"/>
                <w:lang w:eastAsia="en-US" w:bidi="ar-SA"/>
              </w:rPr>
              <w:t>30</w:t>
            </w:r>
            <w:r w:rsidRPr="00890249">
              <w:rPr>
                <w:rFonts w:asciiTheme="minorHAnsi" w:eastAsia="Times New Roman" w:hAnsiTheme="minorHAnsi" w:cstheme="minorHAnsi"/>
                <w:sz w:val="18"/>
                <w:szCs w:val="18"/>
                <w:lang w:eastAsia="en-US" w:bidi="ar-SA"/>
              </w:rPr>
              <w:t xml:space="preserve"> (ang. Regional Innovation Strategy)</w:t>
            </w:r>
          </w:p>
          <w:p w14:paraId="08F0E8DE" w14:textId="77777777" w:rsidR="00AB62F5" w:rsidRPr="00890249" w:rsidRDefault="00AB62F5"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Regionalna Strategia Innowacji Województwa Opolskiego do roku 20</w:t>
            </w:r>
            <w:r w:rsidR="004C23D0" w:rsidRPr="00890249">
              <w:rPr>
                <w:rFonts w:asciiTheme="minorHAnsi" w:eastAsia="Times New Roman" w:hAnsiTheme="minorHAnsi" w:cstheme="minorHAnsi"/>
                <w:sz w:val="18"/>
                <w:szCs w:val="18"/>
                <w:lang w:eastAsia="en-US" w:bidi="ar-SA"/>
              </w:rPr>
              <w:t>30</w:t>
            </w:r>
          </w:p>
        </w:tc>
      </w:tr>
      <w:tr w:rsidR="00425F94" w:rsidRPr="00890249" w14:paraId="4DABD142" w14:textId="77777777" w:rsidTr="00890249">
        <w:tc>
          <w:tcPr>
            <w:tcW w:w="2263" w:type="dxa"/>
            <w:shd w:val="clear" w:color="auto" w:fill="F2F2F2"/>
          </w:tcPr>
          <w:p w14:paraId="44848E7F"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ROPS</w:t>
            </w:r>
          </w:p>
        </w:tc>
        <w:tc>
          <w:tcPr>
            <w:tcW w:w="6799" w:type="dxa"/>
          </w:tcPr>
          <w:p w14:paraId="2C5B828B" w14:textId="77777777" w:rsidR="00425F94" w:rsidRPr="00890249" w:rsidRDefault="00425F94">
            <w:pPr>
              <w:autoSpaceDE w:val="0"/>
              <w:autoSpaceDN w:val="0"/>
              <w:adjustRightInd w:val="0"/>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Regionalny Ośrodek </w:t>
            </w:r>
            <w:r w:rsidR="00B816B1" w:rsidRPr="00890249">
              <w:rPr>
                <w:rFonts w:asciiTheme="minorHAnsi" w:eastAsia="Times New Roman" w:hAnsiTheme="minorHAnsi" w:cstheme="minorHAnsi"/>
                <w:sz w:val="18"/>
                <w:szCs w:val="18"/>
                <w:lang w:eastAsia="en-US" w:bidi="ar-SA"/>
              </w:rPr>
              <w:t>Polityki</w:t>
            </w:r>
            <w:r w:rsidR="00003B12" w:rsidRPr="00890249">
              <w:rPr>
                <w:rFonts w:asciiTheme="minorHAnsi" w:eastAsia="Times New Roman" w:hAnsiTheme="minorHAnsi" w:cstheme="minorHAnsi"/>
                <w:sz w:val="18"/>
                <w:szCs w:val="18"/>
                <w:lang w:eastAsia="en-US" w:bidi="ar-SA"/>
              </w:rPr>
              <w:t xml:space="preserve"> </w:t>
            </w:r>
            <w:r w:rsidRPr="00890249">
              <w:rPr>
                <w:rFonts w:asciiTheme="minorHAnsi" w:eastAsia="Times New Roman" w:hAnsiTheme="minorHAnsi" w:cstheme="minorHAnsi"/>
                <w:sz w:val="18"/>
                <w:szCs w:val="18"/>
                <w:lang w:eastAsia="en-US" w:bidi="ar-SA"/>
              </w:rPr>
              <w:t>Społecznej w Opolu</w:t>
            </w:r>
          </w:p>
        </w:tc>
      </w:tr>
      <w:tr w:rsidR="00425F94" w:rsidRPr="00890249" w14:paraId="371D76D4" w14:textId="77777777" w:rsidTr="00890249">
        <w:tc>
          <w:tcPr>
            <w:tcW w:w="2263" w:type="dxa"/>
            <w:shd w:val="clear" w:color="auto" w:fill="F2F2F2"/>
          </w:tcPr>
          <w:p w14:paraId="5387A4BF"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Rozporządzenie EFRR</w:t>
            </w:r>
          </w:p>
        </w:tc>
        <w:tc>
          <w:tcPr>
            <w:tcW w:w="6799" w:type="dxa"/>
          </w:tcPr>
          <w:p w14:paraId="15C81013" w14:textId="77777777" w:rsidR="00425F94" w:rsidRPr="00890249" w:rsidRDefault="00425F94" w:rsidP="00425F94">
            <w:pPr>
              <w:autoSpaceDE w:val="0"/>
              <w:autoSpaceDN w:val="0"/>
              <w:adjustRightInd w:val="0"/>
              <w:spacing w:before="60" w:after="60"/>
              <w:rPr>
                <w:rFonts w:asciiTheme="minorHAnsi" w:hAnsiTheme="minorHAnsi" w:cstheme="minorHAnsi"/>
                <w:b/>
                <w:bCs/>
                <w:sz w:val="18"/>
                <w:szCs w:val="18"/>
                <w:lang w:bidi="ar-SA"/>
              </w:rPr>
            </w:pPr>
            <w:r w:rsidRPr="00890249">
              <w:rPr>
                <w:rFonts w:asciiTheme="minorHAnsi" w:eastAsia="Times New Roman" w:hAnsiTheme="minorHAnsi" w:cstheme="minorHAnsi"/>
                <w:sz w:val="18"/>
                <w:szCs w:val="18"/>
                <w:lang w:eastAsia="en-US" w:bidi="ar-SA"/>
              </w:rPr>
              <w:t>Rozporządzenie Parlamentu</w:t>
            </w:r>
            <w:r w:rsidR="001C73DB" w:rsidRPr="00890249">
              <w:rPr>
                <w:rFonts w:asciiTheme="minorHAnsi" w:eastAsia="Times New Roman" w:hAnsiTheme="minorHAnsi" w:cstheme="minorHAnsi"/>
                <w:sz w:val="18"/>
                <w:szCs w:val="18"/>
                <w:lang w:eastAsia="en-US" w:bidi="ar-SA"/>
              </w:rPr>
              <w:t xml:space="preserve"> Europejskiego i Rady (UE) nr 2021/1058 z dnia 24 czerwca 2021 r.</w:t>
            </w:r>
            <w:r w:rsidRPr="00890249">
              <w:rPr>
                <w:rFonts w:asciiTheme="minorHAnsi" w:eastAsia="Times New Roman" w:hAnsiTheme="minorHAnsi" w:cstheme="minorHAnsi"/>
                <w:sz w:val="18"/>
                <w:szCs w:val="18"/>
                <w:lang w:eastAsia="en-US" w:bidi="ar-SA"/>
              </w:rPr>
              <w:t xml:space="preserve"> </w:t>
            </w:r>
            <w:r w:rsidR="00B816B1" w:rsidRPr="00890249">
              <w:rPr>
                <w:rFonts w:asciiTheme="minorHAnsi" w:hAnsiTheme="minorHAnsi" w:cstheme="minorHAnsi"/>
                <w:bCs/>
                <w:sz w:val="18"/>
                <w:szCs w:val="18"/>
                <w:lang w:bidi="ar-SA"/>
              </w:rPr>
              <w:t>w sprawie</w:t>
            </w:r>
            <w:r w:rsidRPr="00890249">
              <w:rPr>
                <w:rFonts w:asciiTheme="minorHAnsi" w:hAnsiTheme="minorHAnsi" w:cstheme="minorHAnsi"/>
                <w:bCs/>
                <w:sz w:val="18"/>
                <w:szCs w:val="18"/>
                <w:lang w:bidi="ar-SA"/>
              </w:rPr>
              <w:t xml:space="preserve"> Europejskiego Funduszu Rozwoju</w:t>
            </w:r>
            <w:r w:rsidR="00003B12" w:rsidRPr="00890249">
              <w:rPr>
                <w:rFonts w:asciiTheme="minorHAnsi" w:hAnsiTheme="minorHAnsi" w:cstheme="minorHAnsi"/>
                <w:bCs/>
                <w:sz w:val="18"/>
                <w:szCs w:val="18"/>
                <w:lang w:bidi="ar-SA"/>
              </w:rPr>
              <w:t xml:space="preserve"> </w:t>
            </w:r>
            <w:r w:rsidRPr="00890249">
              <w:rPr>
                <w:rFonts w:asciiTheme="minorHAnsi" w:hAnsiTheme="minorHAnsi" w:cstheme="minorHAnsi"/>
                <w:bCs/>
                <w:sz w:val="18"/>
                <w:szCs w:val="18"/>
                <w:lang w:bidi="ar-SA"/>
              </w:rPr>
              <w:t>Regionalnego i Funduszu Spójności</w:t>
            </w:r>
          </w:p>
        </w:tc>
      </w:tr>
      <w:tr w:rsidR="00425F94" w:rsidRPr="00890249" w14:paraId="16196913" w14:textId="77777777" w:rsidTr="00890249">
        <w:tc>
          <w:tcPr>
            <w:tcW w:w="2263" w:type="dxa"/>
            <w:shd w:val="clear" w:color="auto" w:fill="F2F2F2"/>
          </w:tcPr>
          <w:p w14:paraId="00647943"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Rozporządzenie EFS+</w:t>
            </w:r>
          </w:p>
        </w:tc>
        <w:tc>
          <w:tcPr>
            <w:tcW w:w="6799" w:type="dxa"/>
          </w:tcPr>
          <w:p w14:paraId="298CB571" w14:textId="77777777" w:rsidR="00425F94" w:rsidRPr="00890249" w:rsidRDefault="00425F94" w:rsidP="001C73DB">
            <w:pPr>
              <w:autoSpaceDE w:val="0"/>
              <w:autoSpaceDN w:val="0"/>
              <w:adjustRightInd w:val="0"/>
              <w:spacing w:before="60" w:after="60"/>
              <w:rPr>
                <w:rFonts w:asciiTheme="minorHAnsi" w:hAnsiTheme="minorHAnsi" w:cstheme="minorHAnsi"/>
                <w:bCs/>
                <w:sz w:val="18"/>
                <w:szCs w:val="18"/>
                <w:lang w:bidi="ar-SA"/>
              </w:rPr>
            </w:pPr>
            <w:r w:rsidRPr="00890249">
              <w:rPr>
                <w:rFonts w:asciiTheme="minorHAnsi" w:eastAsia="Times New Roman" w:hAnsiTheme="minorHAnsi" w:cstheme="minorHAnsi"/>
                <w:sz w:val="18"/>
                <w:szCs w:val="18"/>
                <w:lang w:eastAsia="en-US" w:bidi="ar-SA"/>
              </w:rPr>
              <w:t>Rozporządzenie Parlamentu</w:t>
            </w:r>
            <w:r w:rsidR="001C73DB" w:rsidRPr="00890249">
              <w:rPr>
                <w:rFonts w:asciiTheme="minorHAnsi" w:eastAsia="Times New Roman" w:hAnsiTheme="minorHAnsi" w:cstheme="minorHAnsi"/>
                <w:sz w:val="18"/>
                <w:szCs w:val="18"/>
                <w:lang w:eastAsia="en-US" w:bidi="ar-SA"/>
              </w:rPr>
              <w:t xml:space="preserve"> Europejskiego i Rady (UE) nr 2021/1057</w:t>
            </w:r>
            <w:r w:rsidRPr="00890249">
              <w:rPr>
                <w:rFonts w:asciiTheme="minorHAnsi" w:eastAsia="Times New Roman" w:hAnsiTheme="minorHAnsi" w:cstheme="minorHAnsi"/>
                <w:sz w:val="18"/>
                <w:szCs w:val="18"/>
                <w:lang w:eastAsia="en-US" w:bidi="ar-SA"/>
              </w:rPr>
              <w:t xml:space="preserve"> </w:t>
            </w:r>
            <w:r w:rsidR="008007BD" w:rsidRPr="00890249">
              <w:rPr>
                <w:rFonts w:asciiTheme="minorHAnsi" w:eastAsia="Times New Roman" w:hAnsiTheme="minorHAnsi" w:cstheme="minorHAnsi"/>
                <w:sz w:val="18"/>
                <w:szCs w:val="18"/>
                <w:lang w:eastAsia="en-US" w:bidi="ar-SA"/>
              </w:rPr>
              <w:t xml:space="preserve">z dnia 24 czerwca 2021 r. </w:t>
            </w:r>
            <w:r w:rsidR="001C73DB" w:rsidRPr="00890249">
              <w:rPr>
                <w:rFonts w:asciiTheme="minorHAnsi" w:hAnsiTheme="minorHAnsi" w:cstheme="minorHAnsi"/>
                <w:bCs/>
                <w:sz w:val="18"/>
                <w:szCs w:val="18"/>
                <w:lang w:bidi="ar-SA"/>
              </w:rPr>
              <w:t>ustanawiające Europejski Fundusz Społeczny</w:t>
            </w:r>
            <w:r w:rsidRPr="00890249">
              <w:rPr>
                <w:rFonts w:asciiTheme="minorHAnsi" w:hAnsiTheme="minorHAnsi" w:cstheme="minorHAnsi"/>
                <w:bCs/>
                <w:sz w:val="18"/>
                <w:szCs w:val="18"/>
                <w:lang w:bidi="ar-SA"/>
              </w:rPr>
              <w:t xml:space="preserve"> Plus</w:t>
            </w:r>
            <w:r w:rsidR="001C73DB" w:rsidRPr="00890249">
              <w:rPr>
                <w:rFonts w:asciiTheme="minorHAnsi" w:hAnsiTheme="minorHAnsi" w:cstheme="minorHAnsi"/>
                <w:bCs/>
                <w:sz w:val="18"/>
                <w:szCs w:val="18"/>
                <w:lang w:bidi="ar-SA"/>
              </w:rPr>
              <w:t xml:space="preserve"> (EFS+) oraz uchylające rozporządzenia (UE) nr 1296/2013</w:t>
            </w:r>
          </w:p>
        </w:tc>
      </w:tr>
      <w:tr w:rsidR="00425F94" w:rsidRPr="00890249" w14:paraId="4AE71AE9" w14:textId="77777777" w:rsidTr="00890249">
        <w:tc>
          <w:tcPr>
            <w:tcW w:w="2263" w:type="dxa"/>
            <w:shd w:val="clear" w:color="auto" w:fill="F2F2F2"/>
          </w:tcPr>
          <w:p w14:paraId="67E0C88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Rozporządzenie ogólne</w:t>
            </w:r>
          </w:p>
          <w:p w14:paraId="3579DFF3" w14:textId="77777777" w:rsidR="002A23A3" w:rsidRPr="00890249" w:rsidRDefault="002A23A3" w:rsidP="00425F94">
            <w:pPr>
              <w:spacing w:before="60" w:after="60"/>
              <w:jc w:val="left"/>
              <w:rPr>
                <w:rFonts w:asciiTheme="minorHAnsi" w:eastAsia="Times New Roman" w:hAnsiTheme="minorHAnsi" w:cstheme="minorHAnsi"/>
                <w:b/>
                <w:color w:val="000099"/>
                <w:sz w:val="18"/>
                <w:szCs w:val="18"/>
                <w:lang w:eastAsia="en-US"/>
              </w:rPr>
            </w:pPr>
            <w:r w:rsidRPr="00890249">
              <w:rPr>
                <w:rFonts w:asciiTheme="minorHAnsi" w:eastAsia="Times New Roman" w:hAnsiTheme="minorHAnsi" w:cstheme="minorHAnsi"/>
                <w:b/>
                <w:color w:val="000099"/>
                <w:sz w:val="18"/>
                <w:szCs w:val="18"/>
                <w:lang w:eastAsia="en-US"/>
              </w:rPr>
              <w:t>Rozporządzenia w sprawie wspólnych przepisów</w:t>
            </w:r>
            <w:r w:rsidR="00F27A3E" w:rsidRPr="00890249">
              <w:rPr>
                <w:rFonts w:asciiTheme="minorHAnsi" w:eastAsia="Times New Roman" w:hAnsiTheme="minorHAnsi" w:cstheme="minorHAnsi"/>
                <w:b/>
                <w:color w:val="000099"/>
                <w:sz w:val="18"/>
                <w:szCs w:val="18"/>
                <w:lang w:eastAsia="en-US"/>
              </w:rPr>
              <w:t xml:space="preserve"> (RWP)</w:t>
            </w:r>
          </w:p>
          <w:p w14:paraId="1F913F40" w14:textId="77777777" w:rsidR="00F27A3E" w:rsidRPr="00890249" w:rsidRDefault="00F27A3E" w:rsidP="00425F94">
            <w:pPr>
              <w:spacing w:before="60" w:after="60"/>
              <w:jc w:val="left"/>
              <w:rPr>
                <w:rFonts w:asciiTheme="minorHAnsi" w:eastAsia="Times New Roman" w:hAnsiTheme="minorHAnsi" w:cstheme="minorHAnsi"/>
                <w:b/>
                <w:color w:val="000099"/>
                <w:sz w:val="18"/>
                <w:szCs w:val="18"/>
                <w:lang w:eastAsia="en-US" w:bidi="ar-SA"/>
              </w:rPr>
            </w:pPr>
          </w:p>
        </w:tc>
        <w:tc>
          <w:tcPr>
            <w:tcW w:w="6799" w:type="dxa"/>
          </w:tcPr>
          <w:p w14:paraId="22344927" w14:textId="77777777" w:rsidR="00425F94" w:rsidRPr="00890249" w:rsidRDefault="00425F94" w:rsidP="008007BD">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Rozporządzenie Parlamentu</w:t>
            </w:r>
            <w:r w:rsidR="001C73DB" w:rsidRPr="00890249">
              <w:rPr>
                <w:rFonts w:asciiTheme="minorHAnsi" w:eastAsia="Times New Roman" w:hAnsiTheme="minorHAnsi" w:cstheme="minorHAnsi"/>
                <w:sz w:val="18"/>
                <w:szCs w:val="18"/>
                <w:lang w:eastAsia="en-US" w:bidi="ar-SA"/>
              </w:rPr>
              <w:t xml:space="preserve"> Europejskiego i Rady (UE) nr 2021/1060 z dnia 24 czerwca 2021 r.</w:t>
            </w:r>
            <w:r w:rsidRPr="00890249">
              <w:rPr>
                <w:rFonts w:asciiTheme="minorHAnsi" w:eastAsia="Times New Roman" w:hAnsiTheme="minorHAnsi" w:cstheme="minorHAnsi"/>
                <w:sz w:val="18"/>
                <w:szCs w:val="18"/>
                <w:lang w:eastAsia="en-US" w:bidi="ar-SA"/>
              </w:rPr>
              <w:t xml:space="preserve"> ustanawiające wspólne przepisy dotyczące Europejskiego Funduszu Rozwoju Regionalnego, Europejskiego Funduszu Społecznego Plus, Funduszu Spójności</w:t>
            </w:r>
            <w:r w:rsidR="001C73DB" w:rsidRPr="00890249">
              <w:rPr>
                <w:rFonts w:asciiTheme="minorHAnsi" w:eastAsia="Times New Roman" w:hAnsiTheme="minorHAnsi" w:cstheme="minorHAnsi"/>
                <w:sz w:val="18"/>
                <w:szCs w:val="18"/>
                <w:lang w:eastAsia="en-US" w:bidi="ar-SA"/>
              </w:rPr>
              <w:t>, Funduszu na rzecz Sprawiedliwej Transformacji</w:t>
            </w:r>
            <w:r w:rsidRPr="00890249">
              <w:rPr>
                <w:rFonts w:asciiTheme="minorHAnsi" w:eastAsia="Times New Roman" w:hAnsiTheme="minorHAnsi" w:cstheme="minorHAnsi"/>
                <w:sz w:val="18"/>
                <w:szCs w:val="18"/>
                <w:lang w:eastAsia="en-US" w:bidi="ar-SA"/>
              </w:rPr>
              <w:t xml:space="preserve"> i Eu</w:t>
            </w:r>
            <w:r w:rsidR="001C73DB" w:rsidRPr="00890249">
              <w:rPr>
                <w:rFonts w:asciiTheme="minorHAnsi" w:eastAsia="Times New Roman" w:hAnsiTheme="minorHAnsi" w:cstheme="minorHAnsi"/>
                <w:sz w:val="18"/>
                <w:szCs w:val="18"/>
                <w:lang w:eastAsia="en-US" w:bidi="ar-SA"/>
              </w:rPr>
              <w:t xml:space="preserve">ropejskiego Funduszu Morskiego, </w:t>
            </w:r>
            <w:r w:rsidRPr="00890249">
              <w:rPr>
                <w:rFonts w:asciiTheme="minorHAnsi" w:eastAsia="Times New Roman" w:hAnsiTheme="minorHAnsi" w:cstheme="minorHAnsi"/>
                <w:sz w:val="18"/>
                <w:szCs w:val="18"/>
                <w:lang w:eastAsia="en-US" w:bidi="ar-SA"/>
              </w:rPr>
              <w:t>Rybackiego</w:t>
            </w:r>
            <w:r w:rsidR="001C73DB" w:rsidRPr="00890249">
              <w:rPr>
                <w:rFonts w:asciiTheme="minorHAnsi" w:eastAsia="Times New Roman" w:hAnsiTheme="minorHAnsi" w:cstheme="minorHAnsi"/>
                <w:sz w:val="18"/>
                <w:szCs w:val="18"/>
                <w:lang w:eastAsia="en-US" w:bidi="ar-SA"/>
              </w:rPr>
              <w:t xml:space="preserve"> </w:t>
            </w:r>
            <w:r w:rsidR="008007BD" w:rsidRPr="00890249">
              <w:rPr>
                <w:rFonts w:asciiTheme="minorHAnsi" w:eastAsia="Times New Roman" w:hAnsiTheme="minorHAnsi" w:cstheme="minorHAnsi"/>
                <w:sz w:val="18"/>
                <w:szCs w:val="18"/>
                <w:lang w:eastAsia="en-US" w:bidi="ar-SA"/>
              </w:rPr>
              <w:br/>
            </w:r>
            <w:r w:rsidR="001C73DB" w:rsidRPr="00890249">
              <w:rPr>
                <w:rFonts w:asciiTheme="minorHAnsi" w:eastAsia="Times New Roman" w:hAnsiTheme="minorHAnsi" w:cstheme="minorHAnsi"/>
                <w:sz w:val="18"/>
                <w:szCs w:val="18"/>
                <w:lang w:eastAsia="en-US" w:bidi="ar-SA"/>
              </w:rPr>
              <w:t>i Akwakultury</w:t>
            </w:r>
            <w:r w:rsidRPr="00890249">
              <w:rPr>
                <w:rFonts w:asciiTheme="minorHAnsi" w:eastAsia="Times New Roman" w:hAnsiTheme="minorHAnsi" w:cstheme="minorHAnsi"/>
                <w:sz w:val="18"/>
                <w:szCs w:val="18"/>
                <w:lang w:eastAsia="en-US" w:bidi="ar-SA"/>
              </w:rPr>
              <w:t>, a także przepisy finansowe na potrzeby tych funduszy oraz na potrzeby Funduszu Azyl</w:t>
            </w:r>
            <w:r w:rsidR="001C73DB" w:rsidRPr="00890249">
              <w:rPr>
                <w:rFonts w:asciiTheme="minorHAnsi" w:eastAsia="Times New Roman" w:hAnsiTheme="minorHAnsi" w:cstheme="minorHAnsi"/>
                <w:sz w:val="18"/>
                <w:szCs w:val="18"/>
                <w:lang w:eastAsia="en-US" w:bidi="ar-SA"/>
              </w:rPr>
              <w:t xml:space="preserve">u, </w:t>
            </w:r>
            <w:r w:rsidRPr="00890249">
              <w:rPr>
                <w:rFonts w:asciiTheme="minorHAnsi" w:eastAsia="Times New Roman" w:hAnsiTheme="minorHAnsi" w:cstheme="minorHAnsi"/>
                <w:sz w:val="18"/>
                <w:szCs w:val="18"/>
                <w:lang w:eastAsia="en-US" w:bidi="ar-SA"/>
              </w:rPr>
              <w:t>Migracji</w:t>
            </w:r>
            <w:r w:rsidR="001C73DB" w:rsidRPr="00890249">
              <w:rPr>
                <w:rFonts w:asciiTheme="minorHAnsi" w:eastAsia="Times New Roman" w:hAnsiTheme="minorHAnsi" w:cstheme="minorHAnsi"/>
                <w:sz w:val="18"/>
                <w:szCs w:val="18"/>
                <w:lang w:eastAsia="en-US" w:bidi="ar-SA"/>
              </w:rPr>
              <w:t xml:space="preserve"> i Akwakultury</w:t>
            </w:r>
            <w:r w:rsidRPr="00890249">
              <w:rPr>
                <w:rFonts w:asciiTheme="minorHAnsi" w:eastAsia="Times New Roman" w:hAnsiTheme="minorHAnsi" w:cstheme="minorHAnsi"/>
                <w:sz w:val="18"/>
                <w:szCs w:val="18"/>
                <w:lang w:eastAsia="en-US" w:bidi="ar-SA"/>
              </w:rPr>
              <w:t>,</w:t>
            </w:r>
            <w:r w:rsidR="001C73DB" w:rsidRPr="00890249">
              <w:rPr>
                <w:rFonts w:asciiTheme="minorHAnsi" w:eastAsia="Times New Roman" w:hAnsiTheme="minorHAnsi" w:cstheme="minorHAnsi"/>
                <w:sz w:val="18"/>
                <w:szCs w:val="18"/>
                <w:lang w:eastAsia="en-US" w:bidi="ar-SA"/>
              </w:rPr>
              <w:t xml:space="preserve"> </w:t>
            </w:r>
            <w:r w:rsidRPr="00890249">
              <w:rPr>
                <w:rFonts w:asciiTheme="minorHAnsi" w:eastAsia="Times New Roman" w:hAnsiTheme="minorHAnsi" w:cstheme="minorHAnsi"/>
                <w:sz w:val="18"/>
                <w:szCs w:val="18"/>
                <w:lang w:eastAsia="en-US" w:bidi="ar-SA"/>
              </w:rPr>
              <w:t xml:space="preserve">Funduszu Bezpieczeństwa Wewnętrznego </w:t>
            </w:r>
            <w:r w:rsidR="008007BD" w:rsidRPr="00890249">
              <w:rPr>
                <w:rFonts w:asciiTheme="minorHAnsi" w:eastAsia="Times New Roman" w:hAnsiTheme="minorHAnsi" w:cstheme="minorHAnsi"/>
                <w:sz w:val="18"/>
                <w:szCs w:val="18"/>
                <w:lang w:eastAsia="en-US" w:bidi="ar-SA"/>
              </w:rPr>
              <w:br/>
            </w:r>
            <w:r w:rsidRPr="00890249">
              <w:rPr>
                <w:rFonts w:asciiTheme="minorHAnsi" w:eastAsia="Times New Roman" w:hAnsiTheme="minorHAnsi" w:cstheme="minorHAnsi"/>
                <w:sz w:val="18"/>
                <w:szCs w:val="18"/>
                <w:lang w:eastAsia="en-US" w:bidi="ar-SA"/>
              </w:rPr>
              <w:t xml:space="preserve">i Instrumentu </w:t>
            </w:r>
            <w:r w:rsidR="008007BD" w:rsidRPr="00890249">
              <w:rPr>
                <w:rFonts w:asciiTheme="minorHAnsi" w:eastAsia="Times New Roman" w:hAnsiTheme="minorHAnsi" w:cstheme="minorHAnsi"/>
                <w:sz w:val="18"/>
                <w:szCs w:val="18"/>
                <w:lang w:eastAsia="en-US" w:bidi="ar-SA"/>
              </w:rPr>
              <w:t xml:space="preserve">Wsparcie Finansowego na rzecz Zarządzania Granicami i Polityki </w:t>
            </w:r>
            <w:r w:rsidRPr="00890249">
              <w:rPr>
                <w:rFonts w:asciiTheme="minorHAnsi" w:eastAsia="Times New Roman" w:hAnsiTheme="minorHAnsi" w:cstheme="minorHAnsi"/>
                <w:sz w:val="18"/>
                <w:szCs w:val="18"/>
                <w:lang w:eastAsia="en-US" w:bidi="ar-SA"/>
              </w:rPr>
              <w:t>Wiz</w:t>
            </w:r>
            <w:r w:rsidR="008007BD" w:rsidRPr="00890249">
              <w:rPr>
                <w:rFonts w:asciiTheme="minorHAnsi" w:eastAsia="Times New Roman" w:hAnsiTheme="minorHAnsi" w:cstheme="minorHAnsi"/>
                <w:sz w:val="18"/>
                <w:szCs w:val="18"/>
                <w:lang w:eastAsia="en-US" w:bidi="ar-SA"/>
              </w:rPr>
              <w:t>owej</w:t>
            </w:r>
          </w:p>
        </w:tc>
      </w:tr>
      <w:tr w:rsidR="00425F94" w:rsidRPr="00890249" w14:paraId="0987629B" w14:textId="77777777" w:rsidTr="00890249">
        <w:tc>
          <w:tcPr>
            <w:tcW w:w="2263" w:type="dxa"/>
            <w:shd w:val="clear" w:color="auto" w:fill="F2F2F2"/>
          </w:tcPr>
          <w:p w14:paraId="1F0029E6"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RPO WO 2014-2020</w:t>
            </w:r>
          </w:p>
        </w:tc>
        <w:tc>
          <w:tcPr>
            <w:tcW w:w="6799" w:type="dxa"/>
          </w:tcPr>
          <w:p w14:paraId="64541A72"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Regionalny Program Operacyjny Województwa Opolskiego na lata 2014-2020</w:t>
            </w:r>
          </w:p>
        </w:tc>
      </w:tr>
      <w:tr w:rsidR="00425F94" w:rsidRPr="00890249" w14:paraId="39BD8D85" w14:textId="77777777" w:rsidTr="00890249">
        <w:tc>
          <w:tcPr>
            <w:tcW w:w="2263" w:type="dxa"/>
            <w:shd w:val="clear" w:color="auto" w:fill="F2F2F2"/>
          </w:tcPr>
          <w:p w14:paraId="29DE89F5" w14:textId="77777777" w:rsidR="00425F94" w:rsidRPr="00890249" w:rsidRDefault="0038144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SFC</w:t>
            </w:r>
          </w:p>
        </w:tc>
        <w:tc>
          <w:tcPr>
            <w:tcW w:w="6799" w:type="dxa"/>
          </w:tcPr>
          <w:p w14:paraId="595F57F1"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Skrót od ang. Stru</w:t>
            </w:r>
            <w:r w:rsidR="00B816B1" w:rsidRPr="00890249">
              <w:rPr>
                <w:rFonts w:asciiTheme="minorHAnsi" w:eastAsia="Times New Roman" w:hAnsiTheme="minorHAnsi" w:cstheme="minorHAnsi"/>
                <w:sz w:val="18"/>
                <w:szCs w:val="18"/>
                <w:lang w:eastAsia="en-US" w:bidi="ar-SA"/>
              </w:rPr>
              <w:t>c</w:t>
            </w:r>
            <w:r w:rsidRPr="00890249">
              <w:rPr>
                <w:rFonts w:asciiTheme="minorHAnsi" w:eastAsia="Times New Roman" w:hAnsiTheme="minorHAnsi" w:cstheme="minorHAnsi"/>
                <w:sz w:val="18"/>
                <w:szCs w:val="18"/>
                <w:lang w:eastAsia="en-US" w:bidi="ar-SA"/>
              </w:rPr>
              <w:t xml:space="preserve">tural Funds common database – oznaczający wspólny system informatyczny dla funduszy strukturalnych </w:t>
            </w:r>
          </w:p>
        </w:tc>
      </w:tr>
      <w:tr w:rsidR="00425F94" w:rsidRPr="00890249" w14:paraId="134ADA60" w14:textId="77777777" w:rsidTr="00890249">
        <w:tc>
          <w:tcPr>
            <w:tcW w:w="2263" w:type="dxa"/>
            <w:shd w:val="clear" w:color="auto" w:fill="F2F2F2"/>
          </w:tcPr>
          <w:p w14:paraId="37EB0068"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SOR</w:t>
            </w:r>
          </w:p>
        </w:tc>
        <w:tc>
          <w:tcPr>
            <w:tcW w:w="6799" w:type="dxa"/>
          </w:tcPr>
          <w:p w14:paraId="4D7B6E7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Strategia na rzecz Odpowiedzialnego Rozwoju</w:t>
            </w:r>
          </w:p>
        </w:tc>
      </w:tr>
      <w:tr w:rsidR="001946BC" w:rsidRPr="00890249" w14:paraId="53F6C9F8" w14:textId="77777777" w:rsidTr="00890249">
        <w:tc>
          <w:tcPr>
            <w:tcW w:w="2263" w:type="dxa"/>
            <w:shd w:val="clear" w:color="auto" w:fill="F2F2F2"/>
          </w:tcPr>
          <w:p w14:paraId="39A85F5B" w14:textId="2E6992ED" w:rsidR="001946BC" w:rsidRPr="00890249" w:rsidRDefault="001946BC"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SO</w:t>
            </w:r>
            <w:r w:rsidR="002D7121" w:rsidRPr="00890249">
              <w:rPr>
                <w:rFonts w:asciiTheme="minorHAnsi" w:eastAsia="Times New Roman" w:hAnsiTheme="minorHAnsi" w:cstheme="minorHAnsi"/>
                <w:b/>
                <w:color w:val="000099"/>
                <w:sz w:val="18"/>
                <w:szCs w:val="18"/>
                <w:lang w:eastAsia="en-US" w:bidi="ar-SA"/>
              </w:rPr>
              <w:t>SW</w:t>
            </w:r>
          </w:p>
        </w:tc>
        <w:tc>
          <w:tcPr>
            <w:tcW w:w="6799" w:type="dxa"/>
          </w:tcPr>
          <w:p w14:paraId="0B5EEEAB" w14:textId="77777777" w:rsidR="001946BC" w:rsidRPr="00890249" w:rsidRDefault="001946BC"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Specjalne ośrodki szkolno-wychowawcze</w:t>
            </w:r>
          </w:p>
        </w:tc>
      </w:tr>
      <w:tr w:rsidR="003C75B7" w:rsidRPr="00890249" w14:paraId="2D17449B" w14:textId="77777777" w:rsidTr="00890249">
        <w:tc>
          <w:tcPr>
            <w:tcW w:w="2263" w:type="dxa"/>
            <w:shd w:val="clear" w:color="auto" w:fill="F2F2F2"/>
          </w:tcPr>
          <w:p w14:paraId="3DAF239C" w14:textId="77777777" w:rsidR="003C75B7" w:rsidRPr="00890249" w:rsidRDefault="003C75B7"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SPE</w:t>
            </w:r>
          </w:p>
        </w:tc>
        <w:tc>
          <w:tcPr>
            <w:tcW w:w="6799" w:type="dxa"/>
          </w:tcPr>
          <w:p w14:paraId="02F5DC76" w14:textId="77777777" w:rsidR="003C75B7" w:rsidRPr="00890249" w:rsidRDefault="003C75B7"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Specjalne potrzeby edukacyjne</w:t>
            </w:r>
          </w:p>
        </w:tc>
      </w:tr>
      <w:tr w:rsidR="00425F94" w:rsidRPr="00890249" w14:paraId="76104167" w14:textId="77777777" w:rsidTr="00890249">
        <w:tc>
          <w:tcPr>
            <w:tcW w:w="2263" w:type="dxa"/>
            <w:shd w:val="clear" w:color="auto" w:fill="F2F2F2"/>
          </w:tcPr>
          <w:p w14:paraId="70AFA874" w14:textId="233655CE"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SRKL 20</w:t>
            </w:r>
            <w:r w:rsidR="0098685F" w:rsidRPr="00890249">
              <w:rPr>
                <w:rFonts w:asciiTheme="minorHAnsi" w:eastAsia="Times New Roman" w:hAnsiTheme="minorHAnsi" w:cstheme="minorHAnsi"/>
                <w:b/>
                <w:color w:val="000099"/>
                <w:sz w:val="18"/>
                <w:szCs w:val="18"/>
                <w:lang w:eastAsia="en-US" w:bidi="ar-SA"/>
              </w:rPr>
              <w:t>30</w:t>
            </w:r>
          </w:p>
        </w:tc>
        <w:tc>
          <w:tcPr>
            <w:tcW w:w="6799" w:type="dxa"/>
          </w:tcPr>
          <w:p w14:paraId="1DDE5930" w14:textId="7686932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Strategia Rozwoju Kapitału Ludzkiego 20</w:t>
            </w:r>
            <w:r w:rsidR="0098685F" w:rsidRPr="00890249">
              <w:rPr>
                <w:rFonts w:asciiTheme="minorHAnsi" w:eastAsia="Times New Roman" w:hAnsiTheme="minorHAnsi" w:cstheme="minorHAnsi"/>
                <w:sz w:val="18"/>
                <w:szCs w:val="18"/>
                <w:lang w:eastAsia="en-US" w:bidi="ar-SA"/>
              </w:rPr>
              <w:t>30</w:t>
            </w:r>
          </w:p>
        </w:tc>
      </w:tr>
      <w:tr w:rsidR="00425F94" w:rsidRPr="00890249" w14:paraId="4F704130" w14:textId="77777777" w:rsidTr="00890249">
        <w:tc>
          <w:tcPr>
            <w:tcW w:w="2263" w:type="dxa"/>
            <w:shd w:val="clear" w:color="auto" w:fill="F2F2F2"/>
          </w:tcPr>
          <w:p w14:paraId="68AA0ABF"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SRPZ 2020</w:t>
            </w:r>
          </w:p>
        </w:tc>
        <w:tc>
          <w:tcPr>
            <w:tcW w:w="6799" w:type="dxa"/>
          </w:tcPr>
          <w:p w14:paraId="5E6B24D1"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Strategia Rozwoju Polski Zachodniej 2020</w:t>
            </w:r>
          </w:p>
        </w:tc>
      </w:tr>
      <w:tr w:rsidR="00425F94" w:rsidRPr="00890249" w14:paraId="12658E49" w14:textId="77777777" w:rsidTr="00890249">
        <w:tc>
          <w:tcPr>
            <w:tcW w:w="2263" w:type="dxa"/>
            <w:shd w:val="clear" w:color="auto" w:fill="F2F2F2"/>
          </w:tcPr>
          <w:p w14:paraId="2081B16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SRT</w:t>
            </w:r>
          </w:p>
        </w:tc>
        <w:tc>
          <w:tcPr>
            <w:tcW w:w="6799" w:type="dxa"/>
          </w:tcPr>
          <w:p w14:paraId="2A802DB0"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Strategia Rozwoju Transportu do 2020 roku (z perspektywą do 2030 roku)</w:t>
            </w:r>
          </w:p>
        </w:tc>
      </w:tr>
      <w:tr w:rsidR="00425F94" w:rsidRPr="00890249" w14:paraId="14F6C553" w14:textId="77777777" w:rsidTr="00890249">
        <w:tc>
          <w:tcPr>
            <w:tcW w:w="2263" w:type="dxa"/>
            <w:shd w:val="clear" w:color="auto" w:fill="F2F2F2"/>
          </w:tcPr>
          <w:p w14:paraId="5D1035B9" w14:textId="77777777" w:rsidR="00425F94" w:rsidRPr="00890249" w:rsidRDefault="00AE208D"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rPr>
              <w:t>Strategia Opolskie 2030</w:t>
            </w:r>
          </w:p>
        </w:tc>
        <w:tc>
          <w:tcPr>
            <w:tcW w:w="6799" w:type="dxa"/>
          </w:tcPr>
          <w:p w14:paraId="51E9E4AE" w14:textId="77777777" w:rsidR="00425F94" w:rsidRPr="00890249" w:rsidRDefault="00425F94" w:rsidP="00766619">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Strategia Rozwoju Województwa Opolskiego</w:t>
            </w:r>
            <w:r w:rsidR="007F4220" w:rsidRPr="00890249">
              <w:rPr>
                <w:rFonts w:asciiTheme="minorHAnsi" w:eastAsia="Times New Roman" w:hAnsiTheme="minorHAnsi" w:cstheme="minorHAnsi"/>
                <w:sz w:val="18"/>
                <w:szCs w:val="18"/>
                <w:lang w:eastAsia="en-US" w:bidi="ar-SA"/>
              </w:rPr>
              <w:t>.</w:t>
            </w:r>
            <w:r w:rsidRPr="00890249">
              <w:rPr>
                <w:rFonts w:asciiTheme="minorHAnsi" w:eastAsia="Times New Roman" w:hAnsiTheme="minorHAnsi" w:cstheme="minorHAnsi"/>
                <w:sz w:val="18"/>
                <w:szCs w:val="18"/>
                <w:lang w:eastAsia="en-US" w:bidi="ar-SA"/>
              </w:rPr>
              <w:t xml:space="preserve"> </w:t>
            </w:r>
            <w:r w:rsidR="00766619" w:rsidRPr="00890249">
              <w:rPr>
                <w:rFonts w:asciiTheme="minorHAnsi" w:eastAsia="Times New Roman" w:hAnsiTheme="minorHAnsi" w:cstheme="minorHAnsi"/>
                <w:sz w:val="18"/>
                <w:szCs w:val="18"/>
                <w:lang w:eastAsia="en-US" w:bidi="ar-SA"/>
              </w:rPr>
              <w:t xml:space="preserve">Opolskie </w:t>
            </w:r>
            <w:r w:rsidRPr="00890249">
              <w:rPr>
                <w:rFonts w:asciiTheme="minorHAnsi" w:eastAsia="Times New Roman" w:hAnsiTheme="minorHAnsi" w:cstheme="minorHAnsi"/>
                <w:sz w:val="18"/>
                <w:szCs w:val="18"/>
                <w:lang w:eastAsia="en-US" w:bidi="ar-SA"/>
              </w:rPr>
              <w:t xml:space="preserve">2030 </w:t>
            </w:r>
          </w:p>
        </w:tc>
      </w:tr>
      <w:tr w:rsidR="00C47252" w:rsidRPr="00890249" w14:paraId="44263B52" w14:textId="77777777" w:rsidTr="00890249">
        <w:tc>
          <w:tcPr>
            <w:tcW w:w="2263" w:type="dxa"/>
            <w:shd w:val="clear" w:color="auto" w:fill="F2F2F2"/>
          </w:tcPr>
          <w:p w14:paraId="5F641958" w14:textId="77777777" w:rsidR="00C47252" w:rsidRPr="00890249" w:rsidRDefault="00C47252" w:rsidP="00425F94">
            <w:pPr>
              <w:spacing w:before="60" w:after="60"/>
              <w:jc w:val="left"/>
              <w:rPr>
                <w:rFonts w:asciiTheme="minorHAnsi" w:eastAsia="Times New Roman" w:hAnsiTheme="minorHAnsi" w:cstheme="minorHAnsi"/>
                <w:b/>
                <w:color w:val="000099"/>
                <w:sz w:val="18"/>
                <w:szCs w:val="18"/>
                <w:lang w:eastAsia="en-US"/>
              </w:rPr>
            </w:pPr>
            <w:r w:rsidRPr="00890249">
              <w:rPr>
                <w:rFonts w:asciiTheme="minorHAnsi" w:eastAsia="Times New Roman" w:hAnsiTheme="minorHAnsi" w:cstheme="minorHAnsi"/>
                <w:b/>
                <w:color w:val="000099"/>
                <w:sz w:val="18"/>
                <w:szCs w:val="18"/>
                <w:lang w:eastAsia="en-US"/>
              </w:rPr>
              <w:t>STEAM</w:t>
            </w:r>
          </w:p>
        </w:tc>
        <w:tc>
          <w:tcPr>
            <w:tcW w:w="6799" w:type="dxa"/>
          </w:tcPr>
          <w:p w14:paraId="1E2D1FB6" w14:textId="77777777" w:rsidR="00C47252" w:rsidRPr="00890249" w:rsidRDefault="00C47252" w:rsidP="00766619">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rPr>
              <w:t>Kształcenie w pięciu dyscyplinach (science – nauka, technology – technologia, engineering – inżynieria, arts – sztuka, mathematics – matematyka).</w:t>
            </w:r>
          </w:p>
        </w:tc>
      </w:tr>
      <w:tr w:rsidR="00425F94" w:rsidRPr="00890249" w14:paraId="6379D71F" w14:textId="77777777" w:rsidTr="00890249">
        <w:tc>
          <w:tcPr>
            <w:tcW w:w="2263" w:type="dxa"/>
            <w:shd w:val="clear" w:color="auto" w:fill="F2F2F2"/>
          </w:tcPr>
          <w:p w14:paraId="09BE8718"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SUE RMB</w:t>
            </w:r>
          </w:p>
        </w:tc>
        <w:tc>
          <w:tcPr>
            <w:tcW w:w="6799" w:type="dxa"/>
          </w:tcPr>
          <w:p w14:paraId="6D515013"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Strategia UE dla Regionu Morza Bałtyckiego</w:t>
            </w:r>
          </w:p>
        </w:tc>
      </w:tr>
      <w:tr w:rsidR="00425F94" w:rsidRPr="00890249" w14:paraId="41A81A5B" w14:textId="77777777" w:rsidTr="00890249">
        <w:tc>
          <w:tcPr>
            <w:tcW w:w="2263" w:type="dxa"/>
            <w:shd w:val="clear" w:color="auto" w:fill="F2F2F2"/>
          </w:tcPr>
          <w:p w14:paraId="543EA198"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SUW</w:t>
            </w:r>
          </w:p>
        </w:tc>
        <w:tc>
          <w:tcPr>
            <w:tcW w:w="6799" w:type="dxa"/>
          </w:tcPr>
          <w:p w14:paraId="01CA1C30"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Stacja Uzdatniania Wody</w:t>
            </w:r>
          </w:p>
        </w:tc>
      </w:tr>
      <w:tr w:rsidR="00B07299" w:rsidRPr="00890249" w14:paraId="778C5203" w14:textId="77777777" w:rsidTr="00890249">
        <w:tc>
          <w:tcPr>
            <w:tcW w:w="2263" w:type="dxa"/>
            <w:shd w:val="clear" w:color="auto" w:fill="F2F2F2"/>
          </w:tcPr>
          <w:p w14:paraId="6907E262" w14:textId="77777777" w:rsidR="00B07299" w:rsidRPr="00890249" w:rsidRDefault="00B07299"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SWO</w:t>
            </w:r>
          </w:p>
        </w:tc>
        <w:tc>
          <w:tcPr>
            <w:tcW w:w="6799" w:type="dxa"/>
          </w:tcPr>
          <w:p w14:paraId="6E84CBD3" w14:textId="77777777" w:rsidR="00B07299" w:rsidRPr="00890249" w:rsidRDefault="00B07299"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Samorząd Województwa Opolskiego</w:t>
            </w:r>
          </w:p>
        </w:tc>
      </w:tr>
      <w:tr w:rsidR="00425F94" w:rsidRPr="00890249" w14:paraId="59EEF29A" w14:textId="77777777" w:rsidTr="00890249">
        <w:tc>
          <w:tcPr>
            <w:tcW w:w="2263" w:type="dxa"/>
            <w:shd w:val="clear" w:color="auto" w:fill="F2F2F2"/>
          </w:tcPr>
          <w:p w14:paraId="5D3340BD"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SWOT</w:t>
            </w:r>
          </w:p>
        </w:tc>
        <w:tc>
          <w:tcPr>
            <w:tcW w:w="6799" w:type="dxa"/>
          </w:tcPr>
          <w:p w14:paraId="1247720C"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Skrót pochodzi od pierwszych liter angielskich słów: strenghts (mocne strony), weaknesses (słabe strony), opportunities (szanse), threats (zagrożenia). Jest to metoda pozwalająca przeanalizować atuty i słabości wobec szans i zagrożeń stwarzanych przez otoczenie. </w:t>
            </w:r>
          </w:p>
        </w:tc>
      </w:tr>
      <w:tr w:rsidR="00425F94" w:rsidRPr="00890249" w14:paraId="03C9A482" w14:textId="77777777" w:rsidTr="00890249">
        <w:tc>
          <w:tcPr>
            <w:tcW w:w="2263" w:type="dxa"/>
            <w:shd w:val="clear" w:color="auto" w:fill="F2F2F2"/>
          </w:tcPr>
          <w:p w14:paraId="3EDDD949"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TFUE</w:t>
            </w:r>
          </w:p>
        </w:tc>
        <w:tc>
          <w:tcPr>
            <w:tcW w:w="6799" w:type="dxa"/>
          </w:tcPr>
          <w:p w14:paraId="5FE5891A"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Traktat o funkcjonowaniu Unii Europejskiej </w:t>
            </w:r>
          </w:p>
        </w:tc>
      </w:tr>
      <w:tr w:rsidR="00425F94" w:rsidRPr="00890249" w14:paraId="56CF9037" w14:textId="77777777" w:rsidTr="00890249">
        <w:tc>
          <w:tcPr>
            <w:tcW w:w="2263" w:type="dxa"/>
            <w:shd w:val="clear" w:color="auto" w:fill="F2F2F2"/>
          </w:tcPr>
          <w:p w14:paraId="69B8BE94"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TEN-T</w:t>
            </w:r>
          </w:p>
        </w:tc>
        <w:tc>
          <w:tcPr>
            <w:tcW w:w="6799" w:type="dxa"/>
          </w:tcPr>
          <w:p w14:paraId="6F742C2C"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Transeuropejska Sieć Transportowa</w:t>
            </w:r>
          </w:p>
        </w:tc>
      </w:tr>
      <w:tr w:rsidR="00425F94" w:rsidRPr="00890249" w14:paraId="4550D9B9" w14:textId="77777777" w:rsidTr="00890249">
        <w:tc>
          <w:tcPr>
            <w:tcW w:w="2263" w:type="dxa"/>
            <w:shd w:val="clear" w:color="auto" w:fill="F2F2F2"/>
          </w:tcPr>
          <w:p w14:paraId="73DC6E1C"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lastRenderedPageBreak/>
              <w:t>TIK</w:t>
            </w:r>
          </w:p>
        </w:tc>
        <w:tc>
          <w:tcPr>
            <w:tcW w:w="6799" w:type="dxa"/>
          </w:tcPr>
          <w:p w14:paraId="6A792A18" w14:textId="77777777" w:rsidR="00425F94" w:rsidRPr="00890249" w:rsidRDefault="00AB62F5"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T</w:t>
            </w:r>
            <w:r w:rsidR="00425F94" w:rsidRPr="00890249">
              <w:rPr>
                <w:rFonts w:asciiTheme="minorHAnsi" w:eastAsia="Times New Roman" w:hAnsiTheme="minorHAnsi" w:cstheme="minorHAnsi"/>
                <w:sz w:val="18"/>
                <w:szCs w:val="18"/>
                <w:lang w:eastAsia="en-US" w:bidi="ar-SA"/>
              </w:rPr>
              <w:t>echnologie informacyjno-komunikacyjne</w:t>
            </w:r>
          </w:p>
        </w:tc>
      </w:tr>
      <w:tr w:rsidR="00425F94" w:rsidRPr="00890249" w14:paraId="2788DEF8" w14:textId="77777777" w:rsidTr="00890249">
        <w:tc>
          <w:tcPr>
            <w:tcW w:w="2263" w:type="dxa"/>
            <w:shd w:val="clear" w:color="auto" w:fill="F2F2F2"/>
          </w:tcPr>
          <w:p w14:paraId="49BD637A"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UE</w:t>
            </w:r>
          </w:p>
        </w:tc>
        <w:tc>
          <w:tcPr>
            <w:tcW w:w="6799" w:type="dxa"/>
          </w:tcPr>
          <w:p w14:paraId="019E0DE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Unia Europejska</w:t>
            </w:r>
          </w:p>
        </w:tc>
      </w:tr>
      <w:tr w:rsidR="00425F94" w:rsidRPr="00890249" w14:paraId="3FA162EF" w14:textId="77777777" w:rsidTr="00890249">
        <w:tc>
          <w:tcPr>
            <w:tcW w:w="2263" w:type="dxa"/>
            <w:shd w:val="clear" w:color="auto" w:fill="F2F2F2"/>
          </w:tcPr>
          <w:p w14:paraId="48DE877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UMWO</w:t>
            </w:r>
          </w:p>
        </w:tc>
        <w:tc>
          <w:tcPr>
            <w:tcW w:w="6799" w:type="dxa"/>
          </w:tcPr>
          <w:p w14:paraId="1BFFCE7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Urząd Marszałkowski Województwa Opolskiego</w:t>
            </w:r>
          </w:p>
        </w:tc>
      </w:tr>
      <w:tr w:rsidR="00425F94" w:rsidRPr="00890249" w14:paraId="27C78D58" w14:textId="77777777" w:rsidTr="00890249">
        <w:tc>
          <w:tcPr>
            <w:tcW w:w="2263" w:type="dxa"/>
            <w:shd w:val="clear" w:color="auto" w:fill="F2F2F2"/>
          </w:tcPr>
          <w:p w14:paraId="2D5D364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UP</w:t>
            </w:r>
          </w:p>
        </w:tc>
        <w:tc>
          <w:tcPr>
            <w:tcW w:w="6799" w:type="dxa"/>
          </w:tcPr>
          <w:p w14:paraId="6BF81842"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 xml:space="preserve">Umowa Partnerstwa </w:t>
            </w:r>
            <w:r w:rsidR="00F52150" w:rsidRPr="00890249">
              <w:rPr>
                <w:rFonts w:asciiTheme="minorHAnsi" w:eastAsia="Times New Roman" w:hAnsiTheme="minorHAnsi" w:cstheme="minorHAnsi"/>
                <w:sz w:val="18"/>
                <w:szCs w:val="18"/>
                <w:lang w:eastAsia="en-US"/>
              </w:rPr>
              <w:t>dla realizacji Polityki Spójności 2021-2027 w Polsce</w:t>
            </w:r>
          </w:p>
        </w:tc>
      </w:tr>
      <w:tr w:rsidR="00B935F0" w:rsidRPr="00890249" w14:paraId="52419A3E" w14:textId="77777777" w:rsidTr="00890249">
        <w:tc>
          <w:tcPr>
            <w:tcW w:w="2263" w:type="dxa"/>
            <w:shd w:val="clear" w:color="auto" w:fill="F2F2F2"/>
          </w:tcPr>
          <w:p w14:paraId="2D863C11" w14:textId="77777777" w:rsidR="00B935F0" w:rsidRPr="00890249" w:rsidRDefault="00B935F0"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Wb</w:t>
            </w:r>
          </w:p>
        </w:tc>
        <w:tc>
          <w:tcPr>
            <w:tcW w:w="6799" w:type="dxa"/>
          </w:tcPr>
          <w:p w14:paraId="11BB1C83" w14:textId="77777777" w:rsidR="00B935F0" w:rsidRPr="00890249" w:rsidRDefault="00B935F0"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Wartość bazowa</w:t>
            </w:r>
          </w:p>
        </w:tc>
      </w:tr>
      <w:tr w:rsidR="00DD2321" w:rsidRPr="00890249" w14:paraId="1F764D10" w14:textId="77777777" w:rsidTr="00890249">
        <w:tc>
          <w:tcPr>
            <w:tcW w:w="2263" w:type="dxa"/>
            <w:shd w:val="clear" w:color="auto" w:fill="F2F2F2"/>
          </w:tcPr>
          <w:p w14:paraId="39C70F65" w14:textId="77777777" w:rsidR="00DD2321" w:rsidRPr="00890249" w:rsidRDefault="00DD2321"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US</w:t>
            </w:r>
          </w:p>
        </w:tc>
        <w:tc>
          <w:tcPr>
            <w:tcW w:w="6799" w:type="dxa"/>
          </w:tcPr>
          <w:p w14:paraId="24A66B7C" w14:textId="77777777" w:rsidR="00DD2321" w:rsidRPr="00890249" w:rsidRDefault="00DD2321"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Urząd Statystyczny</w:t>
            </w:r>
          </w:p>
        </w:tc>
      </w:tr>
      <w:tr w:rsidR="00425F94" w:rsidRPr="00890249" w14:paraId="1227A6CE" w14:textId="77777777" w:rsidTr="00890249">
        <w:tc>
          <w:tcPr>
            <w:tcW w:w="2263" w:type="dxa"/>
            <w:shd w:val="clear" w:color="auto" w:fill="F2F2F2"/>
          </w:tcPr>
          <w:p w14:paraId="1877309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WTZ</w:t>
            </w:r>
          </w:p>
        </w:tc>
        <w:tc>
          <w:tcPr>
            <w:tcW w:w="6799" w:type="dxa"/>
          </w:tcPr>
          <w:p w14:paraId="2F8EBE4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Warsztaty Terapii Zajęciowej</w:t>
            </w:r>
          </w:p>
        </w:tc>
      </w:tr>
      <w:tr w:rsidR="00425F94" w:rsidRPr="00890249" w14:paraId="6EB3D1B6" w14:textId="77777777" w:rsidTr="00890249">
        <w:tc>
          <w:tcPr>
            <w:tcW w:w="2263" w:type="dxa"/>
            <w:shd w:val="clear" w:color="auto" w:fill="F2F2F2"/>
          </w:tcPr>
          <w:p w14:paraId="1636F8F7"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WUP</w:t>
            </w:r>
          </w:p>
        </w:tc>
        <w:tc>
          <w:tcPr>
            <w:tcW w:w="6799" w:type="dxa"/>
          </w:tcPr>
          <w:p w14:paraId="55F9E42F"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Wojewódzki Urząd Pracy w Opolu</w:t>
            </w:r>
          </w:p>
        </w:tc>
      </w:tr>
      <w:tr w:rsidR="00425F94" w:rsidRPr="00890249" w14:paraId="0CB33B29" w14:textId="77777777" w:rsidTr="00890249">
        <w:tc>
          <w:tcPr>
            <w:tcW w:w="2263" w:type="dxa"/>
            <w:shd w:val="clear" w:color="auto" w:fill="F2F2F2"/>
          </w:tcPr>
          <w:p w14:paraId="03812FE0"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ZAZ</w:t>
            </w:r>
          </w:p>
        </w:tc>
        <w:tc>
          <w:tcPr>
            <w:tcW w:w="6799" w:type="dxa"/>
          </w:tcPr>
          <w:p w14:paraId="0E16687D"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Zakład Aktywności Zawodowej</w:t>
            </w:r>
          </w:p>
        </w:tc>
      </w:tr>
      <w:tr w:rsidR="00F96E2B" w:rsidRPr="00890249" w14:paraId="0AD54EC5" w14:textId="77777777" w:rsidTr="008C5B22">
        <w:tc>
          <w:tcPr>
            <w:tcW w:w="2263" w:type="dxa"/>
            <w:shd w:val="clear" w:color="auto" w:fill="F2F2F2"/>
          </w:tcPr>
          <w:p w14:paraId="74DDD1A6" w14:textId="343BA153" w:rsidR="00F96E2B" w:rsidRPr="00890249" w:rsidRDefault="00F96E2B"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ZH</w:t>
            </w:r>
          </w:p>
        </w:tc>
        <w:tc>
          <w:tcPr>
            <w:tcW w:w="6799" w:type="dxa"/>
          </w:tcPr>
          <w:p w14:paraId="7CC0C869" w14:textId="095B0C8B" w:rsidR="00F96E2B" w:rsidRPr="00890249" w:rsidRDefault="00F96E2B"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Zasady horyzontalne</w:t>
            </w:r>
          </w:p>
        </w:tc>
      </w:tr>
      <w:tr w:rsidR="00425F94" w:rsidRPr="00890249" w14:paraId="35A58198" w14:textId="77777777" w:rsidTr="00890249">
        <w:tc>
          <w:tcPr>
            <w:tcW w:w="2263" w:type="dxa"/>
            <w:shd w:val="clear" w:color="auto" w:fill="F2F2F2"/>
          </w:tcPr>
          <w:p w14:paraId="52F14CC4"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ZIT</w:t>
            </w:r>
          </w:p>
        </w:tc>
        <w:tc>
          <w:tcPr>
            <w:tcW w:w="6799" w:type="dxa"/>
          </w:tcPr>
          <w:p w14:paraId="0E1ACFE0"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Zintegrowana Inwestycja Terytorialna</w:t>
            </w:r>
          </w:p>
        </w:tc>
      </w:tr>
      <w:tr w:rsidR="00425F94" w:rsidRPr="00890249" w14:paraId="55799D37" w14:textId="77777777" w:rsidTr="00890249">
        <w:tc>
          <w:tcPr>
            <w:tcW w:w="2263" w:type="dxa"/>
            <w:shd w:val="clear" w:color="auto" w:fill="F2F2F2"/>
          </w:tcPr>
          <w:p w14:paraId="2969670E" w14:textId="77777777" w:rsidR="00425F94" w:rsidRPr="00890249" w:rsidRDefault="00425F94" w:rsidP="00425F94">
            <w:pPr>
              <w:spacing w:before="60" w:after="60"/>
              <w:jc w:val="left"/>
              <w:rPr>
                <w:rFonts w:asciiTheme="minorHAnsi" w:eastAsia="Times New Roman" w:hAnsiTheme="minorHAnsi" w:cstheme="minorHAnsi"/>
                <w:b/>
                <w:color w:val="000099"/>
                <w:sz w:val="18"/>
                <w:szCs w:val="18"/>
                <w:lang w:eastAsia="en-US" w:bidi="ar-SA"/>
              </w:rPr>
            </w:pPr>
            <w:r w:rsidRPr="00890249">
              <w:rPr>
                <w:rFonts w:asciiTheme="minorHAnsi" w:eastAsia="Times New Roman" w:hAnsiTheme="minorHAnsi" w:cstheme="minorHAnsi"/>
                <w:b/>
                <w:color w:val="000099"/>
                <w:sz w:val="18"/>
                <w:szCs w:val="18"/>
                <w:lang w:eastAsia="en-US" w:bidi="ar-SA"/>
              </w:rPr>
              <w:t>ZWO</w:t>
            </w:r>
          </w:p>
        </w:tc>
        <w:tc>
          <w:tcPr>
            <w:tcW w:w="6799" w:type="dxa"/>
          </w:tcPr>
          <w:p w14:paraId="4BA35ED3" w14:textId="77777777" w:rsidR="00425F94" w:rsidRPr="00890249" w:rsidRDefault="00425F94" w:rsidP="00425F94">
            <w:pPr>
              <w:spacing w:before="60" w:after="60"/>
              <w:rPr>
                <w:rFonts w:asciiTheme="minorHAnsi" w:eastAsia="Times New Roman" w:hAnsiTheme="minorHAnsi" w:cstheme="minorHAnsi"/>
                <w:sz w:val="18"/>
                <w:szCs w:val="18"/>
                <w:lang w:eastAsia="en-US" w:bidi="ar-SA"/>
              </w:rPr>
            </w:pPr>
            <w:r w:rsidRPr="00890249">
              <w:rPr>
                <w:rFonts w:asciiTheme="minorHAnsi" w:eastAsia="Times New Roman" w:hAnsiTheme="minorHAnsi" w:cstheme="minorHAnsi"/>
                <w:sz w:val="18"/>
                <w:szCs w:val="18"/>
                <w:lang w:eastAsia="en-US" w:bidi="ar-SA"/>
              </w:rPr>
              <w:t>Zarząd Województwa Opolskiego</w:t>
            </w:r>
          </w:p>
        </w:tc>
      </w:tr>
    </w:tbl>
    <w:p w14:paraId="35913BA5" w14:textId="77777777" w:rsidR="00425F94" w:rsidRPr="00890249" w:rsidRDefault="00425F94" w:rsidP="00425F94">
      <w:pPr>
        <w:spacing w:before="0" w:after="160" w:line="259" w:lineRule="auto"/>
        <w:jc w:val="left"/>
        <w:rPr>
          <w:rFonts w:asciiTheme="minorHAnsi" w:eastAsiaTheme="minorHAnsi" w:hAnsiTheme="minorHAnsi" w:cstheme="minorHAnsi"/>
          <w:sz w:val="22"/>
          <w:szCs w:val="22"/>
          <w:lang w:eastAsia="en-US" w:bidi="ar-SA"/>
        </w:rPr>
      </w:pPr>
    </w:p>
    <w:p w14:paraId="1FA9FBAA" w14:textId="77777777" w:rsidR="00307C5B" w:rsidRPr="00890249" w:rsidRDefault="00307C5B" w:rsidP="00AD2495">
      <w:pPr>
        <w:jc w:val="left"/>
        <w:rPr>
          <w:rFonts w:asciiTheme="minorHAnsi" w:hAnsiTheme="minorHAnsi" w:cstheme="minorHAnsi"/>
        </w:rPr>
      </w:pPr>
      <w:r w:rsidRPr="00890249">
        <w:rPr>
          <w:rFonts w:asciiTheme="minorHAnsi" w:hAnsiTheme="minorHAnsi" w:cstheme="minorHAnsi"/>
        </w:rPr>
        <w:br w:type="page"/>
      </w:r>
    </w:p>
    <w:tbl>
      <w:tblPr>
        <w:tblW w:w="0" w:type="auto"/>
        <w:jc w:val="center"/>
        <w:tblBorders>
          <w:top w:val="single" w:sz="12" w:space="0" w:color="0070C0"/>
          <w:left w:val="single" w:sz="12" w:space="0" w:color="0070C0"/>
          <w:bottom w:val="single" w:sz="12" w:space="0" w:color="0070C0"/>
          <w:right w:val="single" w:sz="12" w:space="0" w:color="0070C0"/>
          <w:insideH w:val="single" w:sz="4" w:space="0" w:color="0070C0"/>
          <w:insideV w:val="single" w:sz="4" w:space="0" w:color="0070C0"/>
        </w:tblBorders>
        <w:tblLook w:val="04A0" w:firstRow="1" w:lastRow="0" w:firstColumn="1" w:lastColumn="0" w:noHBand="0" w:noVBand="1"/>
      </w:tblPr>
      <w:tblGrid>
        <w:gridCol w:w="3315"/>
        <w:gridCol w:w="5103"/>
      </w:tblGrid>
      <w:tr w:rsidR="00307C5B" w:rsidRPr="00890249" w14:paraId="3831C63F" w14:textId="77777777" w:rsidTr="18317E1B">
        <w:trPr>
          <w:trHeight w:val="222"/>
          <w:jc w:val="center"/>
        </w:trPr>
        <w:tc>
          <w:tcPr>
            <w:tcW w:w="3315" w:type="dxa"/>
            <w:shd w:val="clear" w:color="auto" w:fill="auto"/>
          </w:tcPr>
          <w:p w14:paraId="5728709D"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lastRenderedPageBreak/>
              <w:t>CCI</w:t>
            </w:r>
          </w:p>
        </w:tc>
        <w:tc>
          <w:tcPr>
            <w:tcW w:w="5103" w:type="dxa"/>
            <w:shd w:val="clear" w:color="auto" w:fill="auto"/>
            <w:vAlign w:val="center"/>
          </w:tcPr>
          <w:p w14:paraId="4575184B" w14:textId="77777777" w:rsidR="00307C5B" w:rsidRPr="00890249" w:rsidRDefault="008374CE" w:rsidP="008430FD">
            <w:pPr>
              <w:spacing w:after="0"/>
              <w:jc w:val="left"/>
              <w:rPr>
                <w:rFonts w:asciiTheme="minorHAnsi" w:hAnsiTheme="minorHAnsi" w:cstheme="minorHAnsi"/>
                <w:noProof/>
                <w:szCs w:val="18"/>
              </w:rPr>
            </w:pPr>
            <w:r w:rsidRPr="00890249">
              <w:rPr>
                <w:rFonts w:asciiTheme="minorHAnsi" w:hAnsiTheme="minorHAnsi" w:cstheme="minorHAnsi"/>
                <w:b/>
                <w:bCs/>
                <w:noProof/>
                <w:sz w:val="22"/>
                <w:szCs w:val="18"/>
              </w:rPr>
              <w:t>2021PL16FFPR008</w:t>
            </w:r>
          </w:p>
        </w:tc>
      </w:tr>
      <w:tr w:rsidR="00307C5B" w:rsidRPr="00890249" w14:paraId="0AE47F1B" w14:textId="77777777" w:rsidTr="18317E1B">
        <w:trPr>
          <w:trHeight w:val="269"/>
          <w:jc w:val="center"/>
        </w:trPr>
        <w:tc>
          <w:tcPr>
            <w:tcW w:w="3315" w:type="dxa"/>
            <w:shd w:val="clear" w:color="auto" w:fill="auto"/>
          </w:tcPr>
          <w:p w14:paraId="688F1FEC"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Tytuł w języku angielskim</w:t>
            </w:r>
          </w:p>
        </w:tc>
        <w:tc>
          <w:tcPr>
            <w:tcW w:w="5103" w:type="dxa"/>
            <w:shd w:val="clear" w:color="auto" w:fill="auto"/>
            <w:vAlign w:val="center"/>
          </w:tcPr>
          <w:p w14:paraId="55C8940C" w14:textId="23C83EC6" w:rsidR="00307C5B" w:rsidRPr="00890249" w:rsidRDefault="00A87EFD" w:rsidP="00E01073">
            <w:pPr>
              <w:spacing w:after="0"/>
              <w:jc w:val="left"/>
              <w:rPr>
                <w:rFonts w:asciiTheme="minorHAnsi" w:hAnsiTheme="minorHAnsi" w:cstheme="minorHAnsi"/>
                <w:noProof/>
                <w:szCs w:val="18"/>
                <w:lang w:val="en-US"/>
              </w:rPr>
            </w:pPr>
            <w:r w:rsidRPr="00890249">
              <w:rPr>
                <w:rFonts w:asciiTheme="minorHAnsi" w:hAnsiTheme="minorHAnsi" w:cstheme="minorHAnsi"/>
                <w:noProof/>
                <w:sz w:val="22"/>
                <w:lang w:val="en-US"/>
              </w:rPr>
              <w:t xml:space="preserve">European Funds for Opolskie </w:t>
            </w:r>
            <w:r w:rsidR="00787945" w:rsidRPr="00890249">
              <w:rPr>
                <w:rFonts w:asciiTheme="minorHAnsi" w:hAnsiTheme="minorHAnsi" w:cstheme="minorHAnsi"/>
                <w:noProof/>
                <w:sz w:val="22"/>
                <w:lang w:val="en-US"/>
              </w:rPr>
              <w:t>2021-2027</w:t>
            </w:r>
          </w:p>
        </w:tc>
      </w:tr>
      <w:tr w:rsidR="00307C5B" w:rsidRPr="00890249" w14:paraId="03CF8F2C" w14:textId="77777777" w:rsidTr="18317E1B">
        <w:trPr>
          <w:trHeight w:val="138"/>
          <w:jc w:val="center"/>
        </w:trPr>
        <w:tc>
          <w:tcPr>
            <w:tcW w:w="3315" w:type="dxa"/>
            <w:shd w:val="clear" w:color="auto" w:fill="auto"/>
          </w:tcPr>
          <w:p w14:paraId="7AECF41D"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Tytuł w języku (językach) narodowym (narodowych)</w:t>
            </w:r>
          </w:p>
        </w:tc>
        <w:tc>
          <w:tcPr>
            <w:tcW w:w="5103" w:type="dxa"/>
            <w:shd w:val="clear" w:color="auto" w:fill="auto"/>
            <w:vAlign w:val="center"/>
          </w:tcPr>
          <w:p w14:paraId="6F5DFD69" w14:textId="77777777" w:rsidR="00307C5B" w:rsidRPr="00890249" w:rsidRDefault="00520213" w:rsidP="00787945">
            <w:pPr>
              <w:spacing w:after="0"/>
              <w:jc w:val="left"/>
              <w:rPr>
                <w:rFonts w:asciiTheme="minorHAnsi" w:hAnsiTheme="minorHAnsi" w:cstheme="minorHAnsi"/>
                <w:noProof/>
                <w:szCs w:val="18"/>
              </w:rPr>
            </w:pPr>
            <w:r w:rsidRPr="00890249">
              <w:rPr>
                <w:rFonts w:asciiTheme="minorHAnsi" w:hAnsiTheme="minorHAnsi" w:cstheme="minorHAnsi"/>
                <w:noProof/>
                <w:sz w:val="22"/>
              </w:rPr>
              <w:t>Fundusze</w:t>
            </w:r>
            <w:r w:rsidR="000F1714" w:rsidRPr="00890249">
              <w:rPr>
                <w:rFonts w:asciiTheme="minorHAnsi" w:hAnsiTheme="minorHAnsi" w:cstheme="minorHAnsi"/>
                <w:noProof/>
                <w:sz w:val="22"/>
              </w:rPr>
              <w:t xml:space="preserve"> </w:t>
            </w:r>
            <w:r w:rsidR="00EF61EE" w:rsidRPr="00890249">
              <w:rPr>
                <w:rFonts w:asciiTheme="minorHAnsi" w:hAnsiTheme="minorHAnsi" w:cstheme="minorHAnsi"/>
                <w:noProof/>
                <w:sz w:val="22"/>
              </w:rPr>
              <w:t>E</w:t>
            </w:r>
            <w:r w:rsidR="004402B2" w:rsidRPr="00890249">
              <w:rPr>
                <w:rFonts w:asciiTheme="minorHAnsi" w:hAnsiTheme="minorHAnsi" w:cstheme="minorHAnsi"/>
                <w:noProof/>
                <w:sz w:val="22"/>
              </w:rPr>
              <w:t>uropejskie</w:t>
            </w:r>
            <w:r w:rsidR="00EF61EE" w:rsidRPr="00890249">
              <w:rPr>
                <w:rFonts w:asciiTheme="minorHAnsi" w:hAnsiTheme="minorHAnsi" w:cstheme="minorHAnsi"/>
                <w:noProof/>
                <w:sz w:val="22"/>
              </w:rPr>
              <w:t xml:space="preserve"> dla </w:t>
            </w:r>
            <w:r w:rsidR="00D356C5" w:rsidRPr="00890249">
              <w:rPr>
                <w:rFonts w:asciiTheme="minorHAnsi" w:hAnsiTheme="minorHAnsi" w:cstheme="minorHAnsi"/>
                <w:noProof/>
                <w:sz w:val="22"/>
              </w:rPr>
              <w:t>O</w:t>
            </w:r>
            <w:r w:rsidR="004402B2" w:rsidRPr="00890249">
              <w:rPr>
                <w:rFonts w:asciiTheme="minorHAnsi" w:hAnsiTheme="minorHAnsi" w:cstheme="minorHAnsi"/>
                <w:noProof/>
                <w:sz w:val="22"/>
              </w:rPr>
              <w:t>polskiego</w:t>
            </w:r>
            <w:r w:rsidR="00787945" w:rsidRPr="00890249">
              <w:rPr>
                <w:rFonts w:asciiTheme="minorHAnsi" w:hAnsiTheme="minorHAnsi" w:cstheme="minorHAnsi"/>
                <w:noProof/>
                <w:sz w:val="22"/>
              </w:rPr>
              <w:t xml:space="preserve"> 2021-2027</w:t>
            </w:r>
          </w:p>
        </w:tc>
      </w:tr>
      <w:tr w:rsidR="00307C5B" w:rsidRPr="00890249" w14:paraId="34CDAC36" w14:textId="77777777" w:rsidTr="18317E1B">
        <w:trPr>
          <w:trHeight w:val="138"/>
          <w:jc w:val="center"/>
        </w:trPr>
        <w:tc>
          <w:tcPr>
            <w:tcW w:w="3315" w:type="dxa"/>
            <w:shd w:val="clear" w:color="auto" w:fill="auto"/>
          </w:tcPr>
          <w:p w14:paraId="4CB43F5C"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Wersja</w:t>
            </w:r>
          </w:p>
        </w:tc>
        <w:tc>
          <w:tcPr>
            <w:tcW w:w="5103" w:type="dxa"/>
            <w:shd w:val="clear" w:color="auto" w:fill="auto"/>
            <w:vAlign w:val="center"/>
          </w:tcPr>
          <w:p w14:paraId="39EF84FD" w14:textId="77777777" w:rsidR="00307C5B" w:rsidRPr="00890249" w:rsidRDefault="00307C5B" w:rsidP="008430FD">
            <w:pPr>
              <w:spacing w:after="0"/>
              <w:jc w:val="left"/>
              <w:rPr>
                <w:rFonts w:asciiTheme="minorHAnsi" w:hAnsiTheme="minorHAnsi" w:cstheme="minorHAnsi"/>
                <w:noProof/>
                <w:szCs w:val="18"/>
              </w:rPr>
            </w:pPr>
            <w:r w:rsidRPr="00890249">
              <w:rPr>
                <w:rFonts w:asciiTheme="minorHAnsi" w:hAnsiTheme="minorHAnsi" w:cstheme="minorHAnsi"/>
                <w:noProof/>
                <w:sz w:val="22"/>
                <w:szCs w:val="18"/>
              </w:rPr>
              <w:t>1</w:t>
            </w:r>
          </w:p>
        </w:tc>
      </w:tr>
      <w:tr w:rsidR="00307C5B" w:rsidRPr="00890249" w14:paraId="0D179321" w14:textId="77777777" w:rsidTr="18317E1B">
        <w:trPr>
          <w:jc w:val="center"/>
        </w:trPr>
        <w:tc>
          <w:tcPr>
            <w:tcW w:w="3315" w:type="dxa"/>
            <w:shd w:val="clear" w:color="auto" w:fill="auto"/>
          </w:tcPr>
          <w:p w14:paraId="51546656"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Pierwszy rok</w:t>
            </w:r>
          </w:p>
        </w:tc>
        <w:tc>
          <w:tcPr>
            <w:tcW w:w="5103" w:type="dxa"/>
            <w:shd w:val="clear" w:color="auto" w:fill="auto"/>
            <w:vAlign w:val="center"/>
          </w:tcPr>
          <w:p w14:paraId="2DE6DF77" w14:textId="77777777" w:rsidR="00307C5B" w:rsidRPr="00890249" w:rsidRDefault="00307C5B" w:rsidP="008430FD">
            <w:pPr>
              <w:spacing w:after="0"/>
              <w:jc w:val="left"/>
              <w:rPr>
                <w:rFonts w:asciiTheme="minorHAnsi" w:hAnsiTheme="minorHAnsi" w:cstheme="minorHAnsi"/>
                <w:noProof/>
                <w:szCs w:val="18"/>
              </w:rPr>
            </w:pPr>
            <w:r w:rsidRPr="00890249">
              <w:rPr>
                <w:rFonts w:asciiTheme="minorHAnsi" w:hAnsiTheme="minorHAnsi" w:cstheme="minorHAnsi"/>
                <w:noProof/>
                <w:sz w:val="22"/>
              </w:rPr>
              <w:t>2021</w:t>
            </w:r>
          </w:p>
        </w:tc>
      </w:tr>
      <w:tr w:rsidR="00307C5B" w:rsidRPr="00890249" w14:paraId="657A6235" w14:textId="77777777" w:rsidTr="18317E1B">
        <w:trPr>
          <w:jc w:val="center"/>
        </w:trPr>
        <w:tc>
          <w:tcPr>
            <w:tcW w:w="3315" w:type="dxa"/>
            <w:shd w:val="clear" w:color="auto" w:fill="auto"/>
          </w:tcPr>
          <w:p w14:paraId="5C74039F"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Ostatni rok</w:t>
            </w:r>
          </w:p>
        </w:tc>
        <w:tc>
          <w:tcPr>
            <w:tcW w:w="5103" w:type="dxa"/>
            <w:shd w:val="clear" w:color="auto" w:fill="auto"/>
            <w:vAlign w:val="center"/>
          </w:tcPr>
          <w:p w14:paraId="69BBD229" w14:textId="77777777" w:rsidR="00307C5B" w:rsidRPr="00890249" w:rsidRDefault="00307C5B" w:rsidP="008430FD">
            <w:pPr>
              <w:spacing w:after="0"/>
              <w:jc w:val="left"/>
              <w:rPr>
                <w:rFonts w:asciiTheme="minorHAnsi" w:hAnsiTheme="minorHAnsi" w:cstheme="minorHAnsi"/>
                <w:noProof/>
                <w:szCs w:val="18"/>
              </w:rPr>
            </w:pPr>
            <w:r w:rsidRPr="00890249">
              <w:rPr>
                <w:rFonts w:asciiTheme="minorHAnsi" w:hAnsiTheme="minorHAnsi" w:cstheme="minorHAnsi"/>
                <w:noProof/>
                <w:sz w:val="22"/>
              </w:rPr>
              <w:t>2027</w:t>
            </w:r>
          </w:p>
        </w:tc>
      </w:tr>
      <w:tr w:rsidR="00307C5B" w:rsidRPr="00890249" w14:paraId="7EB20C36" w14:textId="77777777" w:rsidTr="18317E1B">
        <w:trPr>
          <w:jc w:val="center"/>
        </w:trPr>
        <w:tc>
          <w:tcPr>
            <w:tcW w:w="3315" w:type="dxa"/>
            <w:shd w:val="clear" w:color="auto" w:fill="auto"/>
          </w:tcPr>
          <w:p w14:paraId="23167A00"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Kwalifikowalny od</w:t>
            </w:r>
          </w:p>
        </w:tc>
        <w:tc>
          <w:tcPr>
            <w:tcW w:w="5103" w:type="dxa"/>
            <w:shd w:val="clear" w:color="auto" w:fill="auto"/>
            <w:vAlign w:val="center"/>
          </w:tcPr>
          <w:p w14:paraId="3053174F" w14:textId="77777777" w:rsidR="00307C5B" w:rsidRPr="00890249" w:rsidRDefault="00307C5B" w:rsidP="008430FD">
            <w:pPr>
              <w:spacing w:after="0"/>
              <w:jc w:val="left"/>
              <w:rPr>
                <w:rFonts w:asciiTheme="minorHAnsi" w:hAnsiTheme="minorHAnsi" w:cstheme="minorHAnsi"/>
                <w:noProof/>
                <w:szCs w:val="18"/>
              </w:rPr>
            </w:pPr>
            <w:r w:rsidRPr="00890249">
              <w:rPr>
                <w:rFonts w:asciiTheme="minorHAnsi" w:hAnsiTheme="minorHAnsi" w:cstheme="minorHAnsi"/>
                <w:noProof/>
                <w:sz w:val="22"/>
                <w:szCs w:val="18"/>
              </w:rPr>
              <w:t>1 stycznia 2021</w:t>
            </w:r>
          </w:p>
        </w:tc>
      </w:tr>
      <w:tr w:rsidR="00307C5B" w:rsidRPr="00890249" w14:paraId="011AF6FF" w14:textId="77777777" w:rsidTr="18317E1B">
        <w:trPr>
          <w:jc w:val="center"/>
        </w:trPr>
        <w:tc>
          <w:tcPr>
            <w:tcW w:w="3315" w:type="dxa"/>
            <w:shd w:val="clear" w:color="auto" w:fill="auto"/>
          </w:tcPr>
          <w:p w14:paraId="0F8B5DA5"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Kwalifikowalny do</w:t>
            </w:r>
          </w:p>
        </w:tc>
        <w:tc>
          <w:tcPr>
            <w:tcW w:w="5103" w:type="dxa"/>
            <w:shd w:val="clear" w:color="auto" w:fill="auto"/>
            <w:vAlign w:val="center"/>
          </w:tcPr>
          <w:p w14:paraId="70943750" w14:textId="77777777" w:rsidR="00307C5B" w:rsidRPr="00890249" w:rsidRDefault="00307C5B" w:rsidP="008430FD">
            <w:pPr>
              <w:spacing w:after="0"/>
              <w:jc w:val="left"/>
              <w:rPr>
                <w:rFonts w:asciiTheme="minorHAnsi" w:hAnsiTheme="minorHAnsi" w:cstheme="minorHAnsi"/>
                <w:i/>
                <w:noProof/>
                <w:szCs w:val="18"/>
              </w:rPr>
            </w:pPr>
          </w:p>
        </w:tc>
      </w:tr>
      <w:tr w:rsidR="00307C5B" w:rsidRPr="00890249" w14:paraId="6230C0C3" w14:textId="77777777" w:rsidTr="18317E1B">
        <w:trPr>
          <w:jc w:val="center"/>
        </w:trPr>
        <w:tc>
          <w:tcPr>
            <w:tcW w:w="3315" w:type="dxa"/>
            <w:shd w:val="clear" w:color="auto" w:fill="auto"/>
          </w:tcPr>
          <w:p w14:paraId="02823CBA"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Nr decyzji Komisji</w:t>
            </w:r>
          </w:p>
        </w:tc>
        <w:tc>
          <w:tcPr>
            <w:tcW w:w="5103" w:type="dxa"/>
            <w:shd w:val="clear" w:color="auto" w:fill="auto"/>
            <w:vAlign w:val="center"/>
          </w:tcPr>
          <w:p w14:paraId="596065DD" w14:textId="77777777" w:rsidR="00307C5B" w:rsidRPr="00890249" w:rsidRDefault="00307C5B" w:rsidP="008430FD">
            <w:pPr>
              <w:spacing w:after="0"/>
              <w:jc w:val="left"/>
              <w:rPr>
                <w:rFonts w:asciiTheme="minorHAnsi" w:hAnsiTheme="minorHAnsi" w:cstheme="minorHAnsi"/>
                <w:i/>
                <w:noProof/>
                <w:szCs w:val="18"/>
              </w:rPr>
            </w:pPr>
          </w:p>
        </w:tc>
      </w:tr>
      <w:tr w:rsidR="00307C5B" w:rsidRPr="00890249" w14:paraId="73E099B5" w14:textId="77777777" w:rsidTr="18317E1B">
        <w:trPr>
          <w:jc w:val="center"/>
        </w:trPr>
        <w:tc>
          <w:tcPr>
            <w:tcW w:w="3315" w:type="dxa"/>
            <w:shd w:val="clear" w:color="auto" w:fill="auto"/>
          </w:tcPr>
          <w:p w14:paraId="035FD288"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Data decyzji Komisji</w:t>
            </w:r>
          </w:p>
        </w:tc>
        <w:tc>
          <w:tcPr>
            <w:tcW w:w="5103" w:type="dxa"/>
            <w:shd w:val="clear" w:color="auto" w:fill="auto"/>
            <w:vAlign w:val="center"/>
          </w:tcPr>
          <w:p w14:paraId="0E1C6F25" w14:textId="77777777" w:rsidR="00307C5B" w:rsidRPr="00890249" w:rsidRDefault="00307C5B" w:rsidP="008430FD">
            <w:pPr>
              <w:spacing w:after="0"/>
              <w:jc w:val="left"/>
              <w:rPr>
                <w:rFonts w:asciiTheme="minorHAnsi" w:hAnsiTheme="minorHAnsi" w:cstheme="minorHAnsi"/>
                <w:i/>
                <w:noProof/>
                <w:szCs w:val="18"/>
              </w:rPr>
            </w:pPr>
          </w:p>
        </w:tc>
      </w:tr>
      <w:tr w:rsidR="00307C5B" w:rsidRPr="00890249" w14:paraId="2B470205" w14:textId="77777777" w:rsidTr="18317E1B">
        <w:trPr>
          <w:trHeight w:val="163"/>
          <w:jc w:val="center"/>
        </w:trPr>
        <w:tc>
          <w:tcPr>
            <w:tcW w:w="3315" w:type="dxa"/>
            <w:shd w:val="clear" w:color="auto" w:fill="auto"/>
          </w:tcPr>
          <w:p w14:paraId="0A75A899"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Nr decyzji zmieniającej w sprawie państwa członkowskiego</w:t>
            </w:r>
          </w:p>
        </w:tc>
        <w:tc>
          <w:tcPr>
            <w:tcW w:w="5103" w:type="dxa"/>
            <w:shd w:val="clear" w:color="auto" w:fill="auto"/>
            <w:vAlign w:val="center"/>
          </w:tcPr>
          <w:p w14:paraId="5ED1A22A" w14:textId="77777777" w:rsidR="00307C5B" w:rsidRPr="00890249" w:rsidRDefault="00307C5B" w:rsidP="008430FD">
            <w:pPr>
              <w:spacing w:after="0"/>
              <w:jc w:val="left"/>
              <w:rPr>
                <w:rFonts w:asciiTheme="minorHAnsi" w:hAnsiTheme="minorHAnsi" w:cstheme="minorHAnsi"/>
                <w:i/>
                <w:noProof/>
                <w:szCs w:val="18"/>
              </w:rPr>
            </w:pPr>
          </w:p>
        </w:tc>
      </w:tr>
      <w:tr w:rsidR="00307C5B" w:rsidRPr="00890249" w14:paraId="1416F700" w14:textId="77777777" w:rsidTr="18317E1B">
        <w:trPr>
          <w:trHeight w:val="163"/>
          <w:jc w:val="center"/>
        </w:trPr>
        <w:tc>
          <w:tcPr>
            <w:tcW w:w="3315" w:type="dxa"/>
            <w:shd w:val="clear" w:color="auto" w:fill="auto"/>
          </w:tcPr>
          <w:p w14:paraId="5E254EB5"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Data wejścia w życie decyzji zmieniającej w sprawie państwa członkowskiego</w:t>
            </w:r>
          </w:p>
        </w:tc>
        <w:tc>
          <w:tcPr>
            <w:tcW w:w="5103" w:type="dxa"/>
            <w:shd w:val="clear" w:color="auto" w:fill="auto"/>
            <w:vAlign w:val="center"/>
          </w:tcPr>
          <w:p w14:paraId="58496E3D" w14:textId="77777777" w:rsidR="00307C5B" w:rsidRPr="00890249" w:rsidRDefault="00307C5B" w:rsidP="008430FD">
            <w:pPr>
              <w:spacing w:after="0"/>
              <w:jc w:val="left"/>
              <w:rPr>
                <w:rFonts w:asciiTheme="minorHAnsi" w:hAnsiTheme="minorHAnsi" w:cstheme="minorHAnsi"/>
                <w:i/>
                <w:noProof/>
                <w:szCs w:val="18"/>
              </w:rPr>
            </w:pPr>
          </w:p>
        </w:tc>
      </w:tr>
      <w:tr w:rsidR="00307C5B" w:rsidRPr="00890249" w14:paraId="492C87B6" w14:textId="77777777" w:rsidTr="18317E1B">
        <w:trPr>
          <w:trHeight w:val="163"/>
          <w:jc w:val="center"/>
        </w:trPr>
        <w:tc>
          <w:tcPr>
            <w:tcW w:w="3315" w:type="dxa"/>
            <w:shd w:val="clear" w:color="auto" w:fill="auto"/>
          </w:tcPr>
          <w:p w14:paraId="500E7080"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Przesunięcie inne niż istotne (art. </w:t>
            </w:r>
            <w:r w:rsidR="00A50519" w:rsidRPr="00890249">
              <w:rPr>
                <w:rFonts w:asciiTheme="minorHAnsi" w:hAnsiTheme="minorHAnsi" w:cstheme="minorHAnsi"/>
                <w:b/>
                <w:noProof/>
                <w:sz w:val="22"/>
              </w:rPr>
              <w:t>24</w:t>
            </w:r>
            <w:r w:rsidR="00C31D09" w:rsidRPr="00890249">
              <w:rPr>
                <w:rFonts w:asciiTheme="minorHAnsi" w:hAnsiTheme="minorHAnsi" w:cstheme="minorHAnsi"/>
                <w:b/>
                <w:noProof/>
                <w:sz w:val="22"/>
              </w:rPr>
              <w:t xml:space="preserve"> ust. </w:t>
            </w:r>
            <w:r w:rsidRPr="00890249">
              <w:rPr>
                <w:rFonts w:asciiTheme="minorHAnsi" w:hAnsiTheme="minorHAnsi" w:cstheme="minorHAnsi"/>
                <w:b/>
                <w:noProof/>
                <w:sz w:val="22"/>
              </w:rPr>
              <w:t>5</w:t>
            </w:r>
            <w:r w:rsidR="00A50519" w:rsidRPr="00890249">
              <w:rPr>
                <w:rFonts w:asciiTheme="minorHAnsi" w:hAnsiTheme="minorHAnsi" w:cstheme="minorHAnsi"/>
                <w:b/>
                <w:noProof/>
                <w:sz w:val="22"/>
              </w:rPr>
              <w:t xml:space="preserve"> rozporządzenia w sprawie przepisów ogólnych</w:t>
            </w:r>
            <w:r w:rsidRPr="00890249">
              <w:rPr>
                <w:rFonts w:asciiTheme="minorHAnsi" w:hAnsiTheme="minorHAnsi" w:cstheme="minorHAnsi"/>
                <w:b/>
                <w:noProof/>
                <w:sz w:val="22"/>
              </w:rPr>
              <w:t>)</w:t>
            </w:r>
          </w:p>
        </w:tc>
        <w:tc>
          <w:tcPr>
            <w:tcW w:w="5103" w:type="dxa"/>
            <w:shd w:val="clear" w:color="auto" w:fill="auto"/>
            <w:vAlign w:val="center"/>
          </w:tcPr>
          <w:p w14:paraId="54FEAC80" w14:textId="77777777" w:rsidR="00307C5B" w:rsidRPr="00890249" w:rsidRDefault="00307C5B" w:rsidP="008430FD">
            <w:pPr>
              <w:spacing w:after="0"/>
              <w:jc w:val="left"/>
              <w:rPr>
                <w:rFonts w:asciiTheme="minorHAnsi" w:hAnsiTheme="minorHAnsi" w:cstheme="minorHAnsi"/>
                <w:i/>
                <w:noProof/>
                <w:szCs w:val="18"/>
              </w:rPr>
            </w:pPr>
            <w:r w:rsidRPr="00890249">
              <w:rPr>
                <w:rFonts w:asciiTheme="minorHAnsi" w:hAnsiTheme="minorHAnsi" w:cstheme="minorHAnsi"/>
                <w:noProof/>
                <w:sz w:val="22"/>
              </w:rPr>
              <w:t>Tak/ Nie</w:t>
            </w:r>
          </w:p>
        </w:tc>
      </w:tr>
      <w:tr w:rsidR="00307C5B" w:rsidRPr="00890249" w14:paraId="478EE26C" w14:textId="77777777" w:rsidTr="18317E1B">
        <w:trPr>
          <w:trHeight w:val="163"/>
          <w:jc w:val="center"/>
        </w:trPr>
        <w:tc>
          <w:tcPr>
            <w:tcW w:w="3315" w:type="dxa"/>
            <w:shd w:val="clear" w:color="auto" w:fill="auto"/>
          </w:tcPr>
          <w:p w14:paraId="4C5F2975"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Regiony NUTS objęte programem</w:t>
            </w:r>
            <w:r w:rsidRPr="00890249">
              <w:rPr>
                <w:rFonts w:asciiTheme="minorHAnsi" w:hAnsiTheme="minorHAnsi" w:cstheme="minorHAnsi"/>
                <w:noProof/>
                <w:sz w:val="22"/>
              </w:rPr>
              <w:t xml:space="preserve"> (nie dotyczy EFMR</w:t>
            </w:r>
            <w:r w:rsidR="00C31D09" w:rsidRPr="00890249">
              <w:rPr>
                <w:rFonts w:asciiTheme="minorHAnsi" w:hAnsiTheme="minorHAnsi" w:cstheme="minorHAnsi"/>
                <w:noProof/>
                <w:sz w:val="22"/>
              </w:rPr>
              <w:t>A</w:t>
            </w:r>
            <w:r w:rsidRPr="00890249">
              <w:rPr>
                <w:rFonts w:asciiTheme="minorHAnsi" w:hAnsiTheme="minorHAnsi" w:cstheme="minorHAnsi"/>
                <w:noProof/>
                <w:sz w:val="22"/>
              </w:rPr>
              <w:t>)</w:t>
            </w:r>
          </w:p>
        </w:tc>
        <w:tc>
          <w:tcPr>
            <w:tcW w:w="5103" w:type="dxa"/>
            <w:shd w:val="clear" w:color="auto" w:fill="auto"/>
            <w:vAlign w:val="center"/>
          </w:tcPr>
          <w:p w14:paraId="79C64D42" w14:textId="77777777" w:rsidR="00307C5B" w:rsidRPr="00890249" w:rsidRDefault="00307C5B" w:rsidP="008430FD">
            <w:pPr>
              <w:spacing w:after="0"/>
              <w:jc w:val="left"/>
              <w:rPr>
                <w:rFonts w:asciiTheme="minorHAnsi" w:hAnsiTheme="minorHAnsi" w:cstheme="minorHAnsi"/>
                <w:noProof/>
                <w:szCs w:val="18"/>
              </w:rPr>
            </w:pPr>
            <w:r w:rsidRPr="00890249">
              <w:rPr>
                <w:rFonts w:asciiTheme="minorHAnsi" w:hAnsiTheme="minorHAnsi" w:cstheme="minorHAnsi"/>
                <w:noProof/>
                <w:sz w:val="22"/>
                <w:szCs w:val="18"/>
              </w:rPr>
              <w:t>PL52 - Opolskie</w:t>
            </w:r>
          </w:p>
        </w:tc>
      </w:tr>
      <w:tr w:rsidR="00307C5B" w:rsidRPr="00890249" w14:paraId="22D1D596" w14:textId="77777777" w:rsidTr="18317E1B">
        <w:trPr>
          <w:trHeight w:val="163"/>
          <w:jc w:val="center"/>
        </w:trPr>
        <w:tc>
          <w:tcPr>
            <w:tcW w:w="3315" w:type="dxa"/>
            <w:vMerge w:val="restart"/>
            <w:shd w:val="clear" w:color="auto" w:fill="auto"/>
          </w:tcPr>
          <w:p w14:paraId="4F913667" w14:textId="77777777" w:rsidR="00307C5B" w:rsidRPr="00890249" w:rsidRDefault="00307C5B" w:rsidP="008430FD">
            <w:pPr>
              <w:spacing w:after="0"/>
              <w:rPr>
                <w:rFonts w:asciiTheme="minorHAnsi" w:hAnsiTheme="minorHAnsi" w:cstheme="minorHAnsi"/>
                <w:b/>
                <w:noProof/>
              </w:rPr>
            </w:pPr>
            <w:r w:rsidRPr="00890249">
              <w:rPr>
                <w:rFonts w:asciiTheme="minorHAnsi" w:hAnsiTheme="minorHAnsi" w:cstheme="minorHAnsi"/>
                <w:b/>
                <w:noProof/>
                <w:sz w:val="22"/>
              </w:rPr>
              <w:t>Dany fundusz</w:t>
            </w:r>
          </w:p>
        </w:tc>
        <w:tc>
          <w:tcPr>
            <w:tcW w:w="5103" w:type="dxa"/>
            <w:shd w:val="clear" w:color="auto" w:fill="auto"/>
          </w:tcPr>
          <w:p w14:paraId="10E10036" w14:textId="77777777" w:rsidR="00307C5B" w:rsidRPr="00890249" w:rsidRDefault="00875C92" w:rsidP="008430FD">
            <w:pPr>
              <w:spacing w:after="0"/>
              <w:rPr>
                <w:rFonts w:asciiTheme="minorHAnsi" w:hAnsiTheme="minorHAnsi" w:cstheme="minorHAnsi"/>
                <w:noProof/>
                <w:sz w:val="18"/>
                <w:szCs w:val="18"/>
              </w:rPr>
            </w:pPr>
            <w:r w:rsidRPr="00890249">
              <w:rPr>
                <w:rFonts w:asciiTheme="minorHAnsi" w:hAnsiTheme="minorHAnsi" w:cstheme="minorHAnsi"/>
                <w:noProof/>
                <w:sz w:val="20"/>
              </w:rPr>
              <w:fldChar w:fldCharType="begin">
                <w:ffData>
                  <w:name w:val="Check1"/>
                  <w:enabled/>
                  <w:calcOnExit w:val="0"/>
                  <w:checkBox>
                    <w:sizeAuto/>
                    <w:default w:val="1"/>
                  </w:checkBox>
                </w:ffData>
              </w:fldChar>
            </w:r>
            <w:bookmarkStart w:id="0" w:name="Check1"/>
            <w:r w:rsidR="00307C5B"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bookmarkEnd w:id="0"/>
            <w:r w:rsidR="00307C5B" w:rsidRPr="00890249">
              <w:rPr>
                <w:rFonts w:asciiTheme="minorHAnsi" w:hAnsiTheme="minorHAnsi" w:cstheme="minorHAnsi"/>
                <w:noProof/>
                <w:sz w:val="18"/>
              </w:rPr>
              <w:t>EFRR</w:t>
            </w:r>
          </w:p>
        </w:tc>
      </w:tr>
      <w:tr w:rsidR="00307C5B" w:rsidRPr="00890249" w14:paraId="3D74CF75" w14:textId="77777777" w:rsidTr="18317E1B">
        <w:trPr>
          <w:trHeight w:val="163"/>
          <w:jc w:val="center"/>
        </w:trPr>
        <w:tc>
          <w:tcPr>
            <w:tcW w:w="3315" w:type="dxa"/>
            <w:vMerge/>
          </w:tcPr>
          <w:p w14:paraId="66FB9748" w14:textId="77777777" w:rsidR="00307C5B" w:rsidRPr="00890249" w:rsidRDefault="00307C5B" w:rsidP="008430FD">
            <w:pPr>
              <w:spacing w:after="0"/>
              <w:rPr>
                <w:rFonts w:asciiTheme="minorHAnsi" w:hAnsiTheme="minorHAnsi" w:cstheme="minorHAnsi"/>
                <w:b/>
                <w:noProof/>
              </w:rPr>
            </w:pPr>
          </w:p>
        </w:tc>
        <w:tc>
          <w:tcPr>
            <w:tcW w:w="5103" w:type="dxa"/>
            <w:shd w:val="clear" w:color="auto" w:fill="auto"/>
          </w:tcPr>
          <w:p w14:paraId="5CE7A369" w14:textId="541CF24B" w:rsidR="00307C5B" w:rsidRPr="00890249" w:rsidRDefault="00875C92" w:rsidP="18317E1B">
            <w:pPr>
              <w:spacing w:after="0"/>
              <w:rPr>
                <w:rFonts w:asciiTheme="minorHAnsi" w:hAnsiTheme="minorHAnsi" w:cstheme="minorHAnsi"/>
                <w:noProof/>
                <w:sz w:val="18"/>
                <w:szCs w:val="18"/>
              </w:rPr>
            </w:pPr>
            <w:r w:rsidRPr="00890249">
              <w:rPr>
                <w:rFonts w:asciiTheme="minorHAnsi" w:hAnsiTheme="minorHAnsi" w:cstheme="minorHAnsi"/>
                <w:noProof/>
                <w:sz w:val="20"/>
              </w:rPr>
              <w:fldChar w:fldCharType="begin">
                <w:ffData>
                  <w:name w:val="Check1"/>
                  <w:enabled/>
                  <w:calcOnExit w:val="0"/>
                  <w:checkBox>
                    <w:sizeAuto/>
                    <w:default w:val="0"/>
                  </w:checkBox>
                </w:ffData>
              </w:fldChar>
            </w:r>
            <w:r w:rsidR="00307C5B"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p>
        </w:tc>
      </w:tr>
      <w:tr w:rsidR="00307C5B" w:rsidRPr="00890249" w14:paraId="7A247336" w14:textId="77777777" w:rsidTr="18317E1B">
        <w:trPr>
          <w:trHeight w:val="163"/>
          <w:jc w:val="center"/>
        </w:trPr>
        <w:tc>
          <w:tcPr>
            <w:tcW w:w="3315" w:type="dxa"/>
            <w:vMerge/>
          </w:tcPr>
          <w:p w14:paraId="45478CF3" w14:textId="77777777" w:rsidR="00307C5B" w:rsidRPr="00890249" w:rsidRDefault="00307C5B" w:rsidP="008430FD">
            <w:pPr>
              <w:spacing w:after="0"/>
              <w:rPr>
                <w:rFonts w:asciiTheme="minorHAnsi" w:hAnsiTheme="minorHAnsi" w:cstheme="minorHAnsi"/>
                <w:b/>
                <w:noProof/>
              </w:rPr>
            </w:pPr>
          </w:p>
        </w:tc>
        <w:tc>
          <w:tcPr>
            <w:tcW w:w="5103" w:type="dxa"/>
            <w:shd w:val="clear" w:color="auto" w:fill="auto"/>
          </w:tcPr>
          <w:p w14:paraId="64F73120" w14:textId="77777777" w:rsidR="00307C5B" w:rsidRPr="00890249" w:rsidRDefault="00875C92" w:rsidP="008430FD">
            <w:pPr>
              <w:spacing w:after="0"/>
              <w:rPr>
                <w:rFonts w:asciiTheme="minorHAnsi" w:hAnsiTheme="minorHAnsi" w:cstheme="minorHAnsi"/>
                <w:i/>
                <w:noProof/>
                <w:sz w:val="18"/>
                <w:szCs w:val="18"/>
              </w:rPr>
            </w:pPr>
            <w:r w:rsidRPr="00890249">
              <w:rPr>
                <w:rFonts w:asciiTheme="minorHAnsi" w:hAnsiTheme="minorHAnsi" w:cstheme="minorHAnsi"/>
                <w:noProof/>
                <w:sz w:val="20"/>
              </w:rPr>
              <w:fldChar w:fldCharType="begin">
                <w:ffData>
                  <w:name w:val=""/>
                  <w:enabled/>
                  <w:calcOnExit w:val="0"/>
                  <w:checkBox>
                    <w:sizeAuto/>
                    <w:default w:val="1"/>
                  </w:checkBox>
                </w:ffData>
              </w:fldChar>
            </w:r>
            <w:r w:rsidR="00307C5B"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307C5B" w:rsidRPr="00890249">
              <w:rPr>
                <w:rFonts w:asciiTheme="minorHAnsi" w:hAnsiTheme="minorHAnsi" w:cstheme="minorHAnsi"/>
                <w:noProof/>
                <w:sz w:val="18"/>
              </w:rPr>
              <w:t>EFS+</w:t>
            </w:r>
          </w:p>
        </w:tc>
      </w:tr>
      <w:tr w:rsidR="00307C5B" w:rsidRPr="00890249" w14:paraId="3F6091F4" w14:textId="77777777" w:rsidTr="18317E1B">
        <w:trPr>
          <w:trHeight w:val="163"/>
          <w:jc w:val="center"/>
        </w:trPr>
        <w:tc>
          <w:tcPr>
            <w:tcW w:w="3315" w:type="dxa"/>
            <w:vMerge/>
          </w:tcPr>
          <w:p w14:paraId="6364CF9B" w14:textId="77777777" w:rsidR="00307C5B" w:rsidRPr="00890249" w:rsidRDefault="00307C5B" w:rsidP="008430FD">
            <w:pPr>
              <w:spacing w:after="0"/>
              <w:rPr>
                <w:rFonts w:asciiTheme="minorHAnsi" w:hAnsiTheme="minorHAnsi" w:cstheme="minorHAnsi"/>
                <w:b/>
                <w:noProof/>
              </w:rPr>
            </w:pPr>
          </w:p>
        </w:tc>
        <w:tc>
          <w:tcPr>
            <w:tcW w:w="5103" w:type="dxa"/>
            <w:shd w:val="clear" w:color="auto" w:fill="auto"/>
          </w:tcPr>
          <w:p w14:paraId="2D7D6A37" w14:textId="7DC998B8" w:rsidR="00307C5B" w:rsidRPr="00890249" w:rsidRDefault="00875C92" w:rsidP="18317E1B">
            <w:pPr>
              <w:spacing w:after="0"/>
              <w:rPr>
                <w:rFonts w:asciiTheme="minorHAnsi" w:hAnsiTheme="minorHAnsi" w:cstheme="minorHAnsi"/>
                <w:i/>
                <w:iCs/>
                <w:noProof/>
                <w:sz w:val="18"/>
                <w:szCs w:val="18"/>
              </w:rPr>
            </w:pPr>
            <w:r w:rsidRPr="00890249">
              <w:rPr>
                <w:rFonts w:asciiTheme="minorHAnsi" w:hAnsiTheme="minorHAnsi" w:cstheme="minorHAnsi"/>
                <w:noProof/>
                <w:sz w:val="20"/>
              </w:rPr>
              <w:fldChar w:fldCharType="begin">
                <w:ffData>
                  <w:name w:val="Check1"/>
                  <w:enabled/>
                  <w:calcOnExit w:val="0"/>
                  <w:checkBox>
                    <w:sizeAuto/>
                    <w:default w:val="0"/>
                  </w:checkBox>
                </w:ffData>
              </w:fldChar>
            </w:r>
            <w:r w:rsidR="00307C5B"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p>
        </w:tc>
      </w:tr>
      <w:tr w:rsidR="00A50519" w:rsidRPr="00890249" w14:paraId="51056769" w14:textId="77777777" w:rsidTr="18317E1B">
        <w:trPr>
          <w:trHeight w:val="163"/>
          <w:jc w:val="center"/>
        </w:trPr>
        <w:tc>
          <w:tcPr>
            <w:tcW w:w="3315" w:type="dxa"/>
            <w:shd w:val="clear" w:color="auto" w:fill="auto"/>
          </w:tcPr>
          <w:p w14:paraId="76CC0C89" w14:textId="77777777" w:rsidR="00A50519" w:rsidRPr="00890249" w:rsidRDefault="00A50519" w:rsidP="008430FD">
            <w:pPr>
              <w:spacing w:after="0"/>
              <w:rPr>
                <w:rFonts w:asciiTheme="minorHAnsi" w:hAnsiTheme="minorHAnsi" w:cstheme="minorHAnsi"/>
                <w:b/>
                <w:noProof/>
              </w:rPr>
            </w:pPr>
            <w:r w:rsidRPr="00890249">
              <w:rPr>
                <w:rFonts w:asciiTheme="minorHAnsi" w:hAnsiTheme="minorHAnsi" w:cstheme="minorHAnsi"/>
                <w:b/>
                <w:noProof/>
              </w:rPr>
              <w:t>Program</w:t>
            </w:r>
          </w:p>
        </w:tc>
        <w:tc>
          <w:tcPr>
            <w:tcW w:w="5103" w:type="dxa"/>
            <w:shd w:val="clear" w:color="auto" w:fill="auto"/>
          </w:tcPr>
          <w:p w14:paraId="0D09EE3E" w14:textId="77777777" w:rsidR="00A50519" w:rsidRPr="00890249" w:rsidRDefault="00875C92" w:rsidP="008430FD">
            <w:pPr>
              <w:spacing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1"/>
                  <w:enabled/>
                  <w:calcOnExit w:val="0"/>
                  <w:checkBox>
                    <w:sizeAuto/>
                    <w:default w:val="0"/>
                  </w:checkBox>
                </w:ffData>
              </w:fldChar>
            </w:r>
            <w:r w:rsidR="00A50519"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50519" w:rsidRPr="00890249">
              <w:rPr>
                <w:rFonts w:asciiTheme="minorHAnsi" w:hAnsiTheme="minorHAnsi" w:cstheme="minorHAnsi"/>
                <w:noProof/>
                <w:sz w:val="20"/>
              </w:rPr>
              <w:t xml:space="preserve"> w ramach celu </w:t>
            </w:r>
            <w:r w:rsidR="005E471F" w:rsidRPr="00890249">
              <w:rPr>
                <w:rFonts w:asciiTheme="minorHAnsi" w:hAnsiTheme="minorHAnsi" w:cstheme="minorHAnsi"/>
                <w:noProof/>
                <w:sz w:val="20"/>
              </w:rPr>
              <w:t>„Inw</w:t>
            </w:r>
            <w:r w:rsidR="00E836C7" w:rsidRPr="00890249">
              <w:rPr>
                <w:rFonts w:asciiTheme="minorHAnsi" w:hAnsiTheme="minorHAnsi" w:cstheme="minorHAnsi"/>
                <w:noProof/>
                <w:sz w:val="20"/>
              </w:rPr>
              <w:t>estycje na rzecz zatrudnienia i </w:t>
            </w:r>
            <w:r w:rsidR="005E471F" w:rsidRPr="00890249">
              <w:rPr>
                <w:rFonts w:asciiTheme="minorHAnsi" w:hAnsiTheme="minorHAnsi" w:cstheme="minorHAnsi"/>
                <w:noProof/>
                <w:sz w:val="20"/>
              </w:rPr>
              <w:t>wzrostu” wyłaczenie dla regionów najbardziej oddalonych</w:t>
            </w:r>
          </w:p>
        </w:tc>
      </w:tr>
    </w:tbl>
    <w:p w14:paraId="575D0B66" w14:textId="77777777" w:rsidR="00307C5B" w:rsidRPr="00890249" w:rsidRDefault="00307C5B" w:rsidP="00307C5B">
      <w:pPr>
        <w:spacing w:before="240" w:after="240"/>
        <w:rPr>
          <w:rFonts w:asciiTheme="minorHAnsi" w:eastAsia="Times New Roman" w:hAnsiTheme="minorHAnsi" w:cstheme="minorHAnsi"/>
          <w:b/>
          <w:iCs/>
          <w:noProof/>
          <w:szCs w:val="24"/>
        </w:rPr>
      </w:pPr>
    </w:p>
    <w:p w14:paraId="278B233F" w14:textId="77777777" w:rsidR="00307C5B" w:rsidRPr="00890249" w:rsidRDefault="00307C5B" w:rsidP="00307C5B">
      <w:pPr>
        <w:spacing w:before="240" w:after="240"/>
        <w:rPr>
          <w:rFonts w:asciiTheme="minorHAnsi" w:eastAsia="Times New Roman" w:hAnsiTheme="minorHAnsi" w:cstheme="minorHAnsi"/>
          <w:b/>
          <w:iCs/>
          <w:noProof/>
          <w:szCs w:val="24"/>
        </w:rPr>
      </w:pPr>
    </w:p>
    <w:p w14:paraId="1FD3DD8A" w14:textId="77777777" w:rsidR="00307C5B" w:rsidRPr="00890249" w:rsidRDefault="00307C5B" w:rsidP="00AD2495">
      <w:pPr>
        <w:jc w:val="left"/>
        <w:rPr>
          <w:rFonts w:asciiTheme="minorHAnsi" w:hAnsiTheme="minorHAnsi" w:cstheme="minorHAnsi"/>
          <w:b/>
          <w:color w:val="000099"/>
        </w:rPr>
      </w:pPr>
    </w:p>
    <w:p w14:paraId="1DE6ACB5" w14:textId="77777777" w:rsidR="00A53357" w:rsidRPr="00890249" w:rsidRDefault="00A53357">
      <w:pPr>
        <w:rPr>
          <w:rFonts w:asciiTheme="minorHAnsi" w:hAnsiTheme="minorHAnsi" w:cstheme="minorHAnsi"/>
        </w:rPr>
      </w:pPr>
      <w:r w:rsidRPr="00890249">
        <w:rPr>
          <w:rFonts w:asciiTheme="minorHAnsi" w:hAnsiTheme="minorHAnsi" w:cstheme="minorHAnsi"/>
        </w:rPr>
        <w:br w:type="page"/>
      </w:r>
    </w:p>
    <w:p w14:paraId="01FD424D" w14:textId="0C97AEDA" w:rsidR="00A63705" w:rsidRPr="00EE43C5" w:rsidRDefault="00275613" w:rsidP="00EE43C5">
      <w:pPr>
        <w:pStyle w:val="Nagwek1"/>
      </w:pPr>
      <w:bookmarkStart w:id="1" w:name="_Toc27046629"/>
      <w:bookmarkStart w:id="2" w:name="_Toc27046675"/>
      <w:bookmarkStart w:id="3" w:name="_Toc188266905"/>
      <w:r w:rsidRPr="00EE43C5">
        <w:lastRenderedPageBreak/>
        <w:t>STRATEGIA PROGRAMU: GŁÓWNE WYZWANIA W ZAKRES</w:t>
      </w:r>
      <w:r w:rsidR="0038144C" w:rsidRPr="00EE43C5">
        <w:t>IE ROZWOJU I ODNOŚNE ROZWIĄZANIA</w:t>
      </w:r>
      <w:r w:rsidRPr="00EE43C5">
        <w:t xml:space="preserve"> POLITYCZN</w:t>
      </w:r>
      <w:bookmarkEnd w:id="1"/>
      <w:bookmarkEnd w:id="2"/>
      <w:r w:rsidR="0038144C" w:rsidRPr="00EE43C5">
        <w:t>E</w:t>
      </w:r>
      <w:bookmarkEnd w:id="3"/>
    </w:p>
    <w:p w14:paraId="2B9F63D7" w14:textId="3E18168C" w:rsidR="0093433C" w:rsidRPr="00890249" w:rsidRDefault="00922E4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Realizacja FEO 2021-2027 będzie oparta </w:t>
      </w:r>
      <w:r w:rsidR="00637FFE" w:rsidRPr="00890249">
        <w:rPr>
          <w:rFonts w:asciiTheme="minorHAnsi" w:hAnsiTheme="minorHAnsi" w:cstheme="minorHAnsi"/>
          <w:noProof/>
          <w:sz w:val="22"/>
          <w:szCs w:val="22"/>
        </w:rPr>
        <w:t xml:space="preserve">na doświadczeniach poprzednich perspektyw finansowych, </w:t>
      </w:r>
      <w:r w:rsidR="00EA3FE0" w:rsidRPr="00890249">
        <w:rPr>
          <w:rFonts w:asciiTheme="minorHAnsi" w:hAnsiTheme="minorHAnsi" w:cstheme="minorHAnsi"/>
          <w:noProof/>
          <w:sz w:val="22"/>
          <w:szCs w:val="22"/>
        </w:rPr>
        <w:t>dzięki którym region znalazł</w:t>
      </w:r>
      <w:r w:rsidR="00637FFE" w:rsidRPr="00890249">
        <w:rPr>
          <w:rFonts w:asciiTheme="minorHAnsi" w:hAnsiTheme="minorHAnsi" w:cstheme="minorHAnsi"/>
          <w:noProof/>
          <w:sz w:val="22"/>
          <w:szCs w:val="22"/>
        </w:rPr>
        <w:t xml:space="preserve"> się wśród </w:t>
      </w:r>
      <w:r w:rsidR="00F44B8F" w:rsidRPr="00890249">
        <w:rPr>
          <w:rFonts w:asciiTheme="minorHAnsi" w:hAnsiTheme="minorHAnsi" w:cstheme="minorHAnsi"/>
          <w:noProof/>
          <w:sz w:val="22"/>
          <w:szCs w:val="22"/>
        </w:rPr>
        <w:t xml:space="preserve">regionów </w:t>
      </w:r>
      <w:r w:rsidR="00637FFE" w:rsidRPr="00890249">
        <w:rPr>
          <w:rFonts w:asciiTheme="minorHAnsi" w:hAnsiTheme="minorHAnsi" w:cstheme="minorHAnsi"/>
          <w:noProof/>
          <w:sz w:val="22"/>
          <w:szCs w:val="22"/>
        </w:rPr>
        <w:t xml:space="preserve">o największym potencjale instytucjonalnym oraz sprawności i skuteczności w wydatkowaniu środków europejskich. </w:t>
      </w:r>
      <w:r w:rsidR="00B7723B" w:rsidRPr="00890249">
        <w:rPr>
          <w:rFonts w:asciiTheme="minorHAnsi" w:hAnsiTheme="minorHAnsi" w:cstheme="minorHAnsi"/>
          <w:noProof/>
          <w:sz w:val="22"/>
          <w:szCs w:val="22"/>
        </w:rPr>
        <w:t xml:space="preserve">Potwierdzają to krajowe </w:t>
      </w:r>
      <w:r w:rsidRPr="00890249">
        <w:rPr>
          <w:rFonts w:asciiTheme="minorHAnsi" w:hAnsiTheme="minorHAnsi" w:cstheme="minorHAnsi"/>
          <w:noProof/>
          <w:sz w:val="22"/>
          <w:szCs w:val="22"/>
        </w:rPr>
        <w:t>rankingi</w:t>
      </w:r>
      <w:r w:rsidR="00637FFE" w:rsidRPr="00890249">
        <w:rPr>
          <w:rFonts w:asciiTheme="minorHAnsi" w:hAnsiTheme="minorHAnsi" w:cstheme="minorHAnsi"/>
          <w:noProof/>
          <w:sz w:val="22"/>
          <w:szCs w:val="22"/>
        </w:rPr>
        <w:t xml:space="preserve"> poziomu kontraktacji i pł</w:t>
      </w:r>
      <w:r w:rsidR="00B7723B" w:rsidRPr="00890249">
        <w:rPr>
          <w:rFonts w:asciiTheme="minorHAnsi" w:hAnsiTheme="minorHAnsi" w:cstheme="minorHAnsi"/>
          <w:noProof/>
          <w:sz w:val="22"/>
          <w:szCs w:val="22"/>
        </w:rPr>
        <w:t xml:space="preserve">atności w ramach RPO 2014-2020, </w:t>
      </w:r>
      <w:r w:rsidR="00637FFE" w:rsidRPr="00890249">
        <w:rPr>
          <w:rFonts w:asciiTheme="minorHAnsi" w:hAnsiTheme="minorHAnsi" w:cstheme="minorHAnsi"/>
          <w:noProof/>
          <w:sz w:val="22"/>
          <w:szCs w:val="22"/>
        </w:rPr>
        <w:t xml:space="preserve">badania jakości rządzenia </w:t>
      </w:r>
      <w:r w:rsidR="00B7723B" w:rsidRPr="00890249">
        <w:rPr>
          <w:rFonts w:asciiTheme="minorHAnsi" w:hAnsiTheme="minorHAnsi" w:cstheme="minorHAnsi"/>
          <w:noProof/>
          <w:sz w:val="22"/>
          <w:szCs w:val="22"/>
        </w:rPr>
        <w:t>w</w:t>
      </w:r>
      <w:r w:rsidRPr="00890249">
        <w:rPr>
          <w:rFonts w:asciiTheme="minorHAnsi" w:hAnsiTheme="minorHAnsi" w:cstheme="minorHAnsi"/>
          <w:noProof/>
          <w:sz w:val="22"/>
          <w:szCs w:val="22"/>
        </w:rPr>
        <w:t> </w:t>
      </w:r>
      <w:r w:rsidR="00B7723B" w:rsidRPr="00890249">
        <w:rPr>
          <w:rFonts w:asciiTheme="minorHAnsi" w:hAnsiTheme="minorHAnsi" w:cstheme="minorHAnsi"/>
          <w:noProof/>
          <w:sz w:val="22"/>
          <w:szCs w:val="22"/>
        </w:rPr>
        <w:t>regionach</w:t>
      </w:r>
      <w:r w:rsidR="00637FFE" w:rsidRPr="00890249">
        <w:rPr>
          <w:rFonts w:asciiTheme="minorHAnsi" w:hAnsiTheme="minorHAnsi" w:cstheme="minorHAnsi"/>
          <w:noProof/>
          <w:sz w:val="22"/>
          <w:szCs w:val="22"/>
        </w:rPr>
        <w:t xml:space="preserve"> prowadzone na zlecenie K</w:t>
      </w:r>
      <w:r w:rsidR="008C159F" w:rsidRPr="00890249">
        <w:rPr>
          <w:rFonts w:asciiTheme="minorHAnsi" w:hAnsiTheme="minorHAnsi" w:cstheme="minorHAnsi"/>
          <w:noProof/>
          <w:sz w:val="22"/>
          <w:szCs w:val="22"/>
        </w:rPr>
        <w:t>E przez Uniwersytet w Göteborgu oraz badanie opinii publicznej</w:t>
      </w:r>
      <w:r w:rsidR="00637FFE" w:rsidRPr="00890249">
        <w:rPr>
          <w:rFonts w:asciiTheme="minorHAnsi" w:hAnsiTheme="minorHAnsi" w:cstheme="minorHAnsi"/>
          <w:noProof/>
          <w:sz w:val="22"/>
          <w:szCs w:val="22"/>
        </w:rPr>
        <w:t xml:space="preserve"> przeprowadzone przez Instytut Badań Rynkowych i Społecznych nt. oceny władz samorządów województw z 2020 r.</w:t>
      </w:r>
    </w:p>
    <w:p w14:paraId="729471A1" w14:textId="492F02A4" w:rsidR="0093433C" w:rsidRPr="00890249" w:rsidRDefault="00637FF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FEO 2021-2027</w:t>
      </w:r>
      <w:r w:rsidRPr="00890249">
        <w:rPr>
          <w:rFonts w:asciiTheme="minorHAnsi" w:hAnsiTheme="minorHAnsi" w:cstheme="minorHAnsi"/>
          <w:i/>
          <w:noProof/>
          <w:sz w:val="22"/>
          <w:szCs w:val="22"/>
        </w:rPr>
        <w:t xml:space="preserve"> </w:t>
      </w:r>
      <w:r w:rsidR="001C0299" w:rsidRPr="00890249">
        <w:rPr>
          <w:rFonts w:asciiTheme="minorHAnsi" w:hAnsiTheme="minorHAnsi" w:cstheme="minorHAnsi"/>
          <w:iCs/>
          <w:noProof/>
          <w:sz w:val="22"/>
          <w:szCs w:val="22"/>
        </w:rPr>
        <w:t>bierze pod uwagę</w:t>
      </w:r>
      <w:r w:rsidRPr="00890249">
        <w:rPr>
          <w:rFonts w:asciiTheme="minorHAnsi" w:hAnsiTheme="minorHAnsi" w:cstheme="minorHAnsi"/>
          <w:noProof/>
          <w:sz w:val="22"/>
          <w:szCs w:val="22"/>
        </w:rPr>
        <w:t xml:space="preserve"> najważniejsze dla regionu dokumenty strategiczne, tj. SRWO 2030</w:t>
      </w:r>
      <w:r w:rsidRPr="00890249">
        <w:rPr>
          <w:rFonts w:asciiTheme="minorHAnsi" w:hAnsiTheme="minorHAnsi" w:cstheme="minorHAnsi"/>
          <w:noProof/>
          <w:sz w:val="22"/>
          <w:szCs w:val="22"/>
          <w:vertAlign w:val="superscript"/>
        </w:rPr>
        <w:footnoteReference w:id="1"/>
      </w:r>
      <w:r w:rsidRPr="00890249">
        <w:rPr>
          <w:rFonts w:asciiTheme="minorHAnsi" w:hAnsiTheme="minorHAnsi" w:cstheme="minorHAnsi"/>
          <w:noProof/>
          <w:sz w:val="22"/>
          <w:szCs w:val="22"/>
        </w:rPr>
        <w:t>, w tym Diagnozę regionalną</w:t>
      </w:r>
      <w:r w:rsidRPr="00890249">
        <w:rPr>
          <w:rFonts w:asciiTheme="minorHAnsi" w:hAnsiTheme="minorHAnsi" w:cstheme="minorHAnsi"/>
          <w:noProof/>
          <w:sz w:val="22"/>
          <w:szCs w:val="22"/>
          <w:vertAlign w:val="superscript"/>
        </w:rPr>
        <w:footnoteReference w:id="2"/>
      </w:r>
      <w:r w:rsidRPr="00890249">
        <w:rPr>
          <w:rFonts w:asciiTheme="minorHAnsi" w:hAnsiTheme="minorHAnsi" w:cstheme="minorHAnsi"/>
          <w:noProof/>
          <w:sz w:val="22"/>
          <w:szCs w:val="22"/>
        </w:rPr>
        <w:t>, RSIWO 2027</w:t>
      </w:r>
      <w:r w:rsidRPr="00890249">
        <w:rPr>
          <w:rFonts w:asciiTheme="minorHAnsi" w:hAnsiTheme="minorHAnsi" w:cstheme="minorHAnsi"/>
          <w:noProof/>
          <w:sz w:val="22"/>
          <w:szCs w:val="22"/>
          <w:vertAlign w:val="superscript"/>
        </w:rPr>
        <w:footnoteReference w:id="3"/>
      </w:r>
      <w:r w:rsidR="00922E46" w:rsidRPr="00890249">
        <w:rPr>
          <w:rFonts w:asciiTheme="minorHAnsi" w:hAnsiTheme="minorHAnsi" w:cstheme="minorHAnsi"/>
          <w:noProof/>
          <w:sz w:val="22"/>
          <w:szCs w:val="22"/>
        </w:rPr>
        <w:t>,</w:t>
      </w:r>
      <w:r w:rsidRPr="00890249">
        <w:rPr>
          <w:rFonts w:asciiTheme="minorHAnsi" w:hAnsiTheme="minorHAnsi" w:cstheme="minorHAnsi"/>
          <w:noProof/>
          <w:sz w:val="22"/>
          <w:szCs w:val="22"/>
        </w:rPr>
        <w:t> analiz</w:t>
      </w:r>
      <w:r w:rsidR="003367F3" w:rsidRPr="00890249">
        <w:rPr>
          <w:rFonts w:asciiTheme="minorHAnsi" w:hAnsiTheme="minorHAnsi" w:cstheme="minorHAnsi"/>
          <w:noProof/>
          <w:sz w:val="22"/>
          <w:szCs w:val="22"/>
        </w:rPr>
        <w:t>y</w:t>
      </w:r>
      <w:r w:rsidRPr="00890249">
        <w:rPr>
          <w:rFonts w:asciiTheme="minorHAnsi" w:hAnsiTheme="minorHAnsi" w:cstheme="minorHAnsi"/>
          <w:noProof/>
          <w:sz w:val="22"/>
          <w:szCs w:val="22"/>
        </w:rPr>
        <w:t xml:space="preserve"> gospodarcz</w:t>
      </w:r>
      <w:r w:rsidR="003367F3" w:rsidRPr="00890249">
        <w:rPr>
          <w:rFonts w:asciiTheme="minorHAnsi" w:hAnsiTheme="minorHAnsi" w:cstheme="minorHAnsi"/>
          <w:noProof/>
          <w:sz w:val="22"/>
          <w:szCs w:val="22"/>
        </w:rPr>
        <w:t>e</w:t>
      </w:r>
      <w:r w:rsidRPr="00890249">
        <w:rPr>
          <w:rFonts w:asciiTheme="minorHAnsi" w:hAnsiTheme="minorHAnsi" w:cstheme="minorHAnsi"/>
          <w:noProof/>
          <w:sz w:val="22"/>
          <w:szCs w:val="22"/>
        </w:rPr>
        <w:t xml:space="preserve"> i</w:t>
      </w:r>
      <w:r w:rsidR="003803DE" w:rsidRPr="00890249">
        <w:rPr>
          <w:rFonts w:asciiTheme="minorHAnsi" w:hAnsiTheme="minorHAnsi" w:cstheme="minorHAnsi"/>
          <w:noProof/>
          <w:sz w:val="22"/>
          <w:szCs w:val="22"/>
        </w:rPr>
        <w:t> </w:t>
      </w:r>
      <w:r w:rsidRPr="00890249">
        <w:rPr>
          <w:rFonts w:asciiTheme="minorHAnsi" w:hAnsiTheme="minorHAnsi" w:cstheme="minorHAnsi"/>
          <w:noProof/>
          <w:sz w:val="22"/>
          <w:szCs w:val="22"/>
        </w:rPr>
        <w:t>społeczn</w:t>
      </w:r>
      <w:r w:rsidR="003367F3" w:rsidRPr="00890249">
        <w:rPr>
          <w:rFonts w:asciiTheme="minorHAnsi" w:hAnsiTheme="minorHAnsi" w:cstheme="minorHAnsi"/>
          <w:noProof/>
          <w:sz w:val="22"/>
          <w:szCs w:val="22"/>
        </w:rPr>
        <w:t>e</w:t>
      </w:r>
      <w:r w:rsidR="00B7723B" w:rsidRPr="00890249">
        <w:rPr>
          <w:rFonts w:asciiTheme="minorHAnsi" w:hAnsiTheme="minorHAnsi" w:cstheme="minorHAnsi"/>
          <w:noProof/>
          <w:sz w:val="22"/>
          <w:szCs w:val="22"/>
        </w:rPr>
        <w:t xml:space="preserve">, ale </w:t>
      </w:r>
      <w:r w:rsidR="00922E46" w:rsidRPr="00890249">
        <w:rPr>
          <w:rFonts w:asciiTheme="minorHAnsi" w:hAnsiTheme="minorHAnsi" w:cstheme="minorHAnsi"/>
          <w:noProof/>
          <w:sz w:val="22"/>
          <w:szCs w:val="22"/>
        </w:rPr>
        <w:t>też</w:t>
      </w:r>
      <w:r w:rsidR="00B7723B"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cele krajowych dokumentów strategicznych, m.in.: SOR</w:t>
      </w:r>
      <w:r w:rsidRPr="00890249">
        <w:rPr>
          <w:rFonts w:asciiTheme="minorHAnsi" w:hAnsiTheme="minorHAnsi" w:cstheme="minorHAnsi"/>
          <w:i/>
          <w:noProof/>
          <w:sz w:val="22"/>
          <w:szCs w:val="22"/>
          <w:vertAlign w:val="superscript"/>
        </w:rPr>
        <w:footnoteReference w:id="4"/>
      </w:r>
      <w:r w:rsidR="008C159F" w:rsidRPr="00890249">
        <w:rPr>
          <w:rFonts w:asciiTheme="minorHAnsi" w:hAnsiTheme="minorHAnsi" w:cstheme="minorHAnsi"/>
          <w:noProof/>
          <w:sz w:val="22"/>
          <w:szCs w:val="22"/>
        </w:rPr>
        <w:t xml:space="preserve"> - </w:t>
      </w:r>
      <w:r w:rsidR="00D8672A" w:rsidRPr="00890249">
        <w:rPr>
          <w:rFonts w:asciiTheme="minorHAnsi" w:hAnsiTheme="minorHAnsi" w:cstheme="minorHAnsi"/>
          <w:noProof/>
          <w:sz w:val="22"/>
          <w:szCs w:val="22"/>
        </w:rPr>
        <w:t xml:space="preserve">oraz </w:t>
      </w:r>
      <w:r w:rsidRPr="00890249">
        <w:rPr>
          <w:rFonts w:asciiTheme="minorHAnsi" w:hAnsiTheme="minorHAnsi" w:cstheme="minorHAnsi"/>
          <w:noProof/>
          <w:sz w:val="22"/>
          <w:szCs w:val="22"/>
        </w:rPr>
        <w:t>KSRR 2030</w:t>
      </w:r>
      <w:r w:rsidRPr="00890249">
        <w:rPr>
          <w:rFonts w:asciiTheme="minorHAnsi" w:hAnsiTheme="minorHAnsi" w:cstheme="minorHAnsi"/>
          <w:noProof/>
          <w:sz w:val="22"/>
          <w:szCs w:val="22"/>
          <w:vertAlign w:val="superscript"/>
        </w:rPr>
        <w:footnoteReference w:id="5"/>
      </w:r>
      <w:r w:rsidRPr="00890249">
        <w:rPr>
          <w:rFonts w:asciiTheme="minorHAnsi" w:hAnsiTheme="minorHAnsi" w:cstheme="minorHAnsi"/>
          <w:noProof/>
          <w:sz w:val="22"/>
          <w:szCs w:val="22"/>
        </w:rPr>
        <w:t>. Interwencja w FEO 2021-2027 jest zgodna z zapisami UP</w:t>
      </w:r>
      <w:r w:rsidRPr="00890249">
        <w:rPr>
          <w:rFonts w:asciiTheme="minorHAnsi" w:hAnsiTheme="minorHAnsi" w:cstheme="minorHAnsi"/>
          <w:noProof/>
          <w:sz w:val="22"/>
          <w:szCs w:val="22"/>
          <w:vertAlign w:val="superscript"/>
        </w:rPr>
        <w:footnoteReference w:id="6"/>
      </w:r>
      <w:r w:rsidR="00922E46" w:rsidRPr="00890249">
        <w:rPr>
          <w:rFonts w:asciiTheme="minorHAnsi" w:hAnsiTheme="minorHAnsi" w:cstheme="minorHAnsi"/>
          <w:noProof/>
          <w:sz w:val="22"/>
          <w:szCs w:val="22"/>
        </w:rPr>
        <w:t xml:space="preserve"> oraz kierunkami</w:t>
      </w:r>
      <w:r w:rsidRPr="00890249">
        <w:rPr>
          <w:rFonts w:asciiTheme="minorHAnsi" w:hAnsiTheme="minorHAnsi" w:cstheme="minorHAnsi"/>
          <w:noProof/>
          <w:sz w:val="22"/>
          <w:szCs w:val="22"/>
        </w:rPr>
        <w:t xml:space="preserve"> </w:t>
      </w:r>
      <w:r w:rsidR="00B7723B" w:rsidRPr="00890249">
        <w:rPr>
          <w:rFonts w:asciiTheme="minorHAnsi" w:hAnsiTheme="minorHAnsi" w:cstheme="minorHAnsi"/>
          <w:noProof/>
          <w:sz w:val="22"/>
          <w:szCs w:val="22"/>
        </w:rPr>
        <w:t>wskazanym</w:t>
      </w:r>
      <w:r w:rsidR="00922E46" w:rsidRPr="00890249">
        <w:rPr>
          <w:rFonts w:asciiTheme="minorHAnsi" w:hAnsiTheme="minorHAnsi" w:cstheme="minorHAnsi"/>
          <w:noProof/>
          <w:sz w:val="22"/>
          <w:szCs w:val="22"/>
        </w:rPr>
        <w:t>i</w:t>
      </w:r>
      <w:r w:rsidRPr="00890249">
        <w:rPr>
          <w:rFonts w:asciiTheme="minorHAnsi" w:hAnsiTheme="minorHAnsi" w:cstheme="minorHAnsi"/>
          <w:noProof/>
          <w:sz w:val="22"/>
          <w:szCs w:val="22"/>
        </w:rPr>
        <w:t xml:space="preserve"> m.in. w Sprawozdaniu krajowym – Polska 2</w:t>
      </w:r>
      <w:r w:rsidR="001B553F" w:rsidRPr="00890249">
        <w:rPr>
          <w:rFonts w:asciiTheme="minorHAnsi" w:hAnsiTheme="minorHAnsi" w:cstheme="minorHAnsi"/>
          <w:noProof/>
          <w:sz w:val="22"/>
          <w:szCs w:val="22"/>
        </w:rPr>
        <w:t>019  </w:t>
      </w:r>
      <w:r w:rsidRPr="00890249">
        <w:rPr>
          <w:rFonts w:asciiTheme="minorHAnsi" w:hAnsiTheme="minorHAnsi" w:cstheme="minorHAnsi"/>
          <w:noProof/>
          <w:sz w:val="22"/>
          <w:szCs w:val="22"/>
        </w:rPr>
        <w:t>2020 (Country Report: Polska 2019 i 2020), Zaleceniach Rady w sprawie krajowego programu reform Polski na 2020 r. (CSR)</w:t>
      </w:r>
      <w:r w:rsidR="00B7723B"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 tym wytycznych inwestycyjnych dla Polski w zakresie finansowania Polityki Spójności na lata 2021-2027 (Załącznik D), Unijnej Strategii wzrostu gospodarczego - Europejski Zielony Ład, Unijnej Strategii na rzecz bioróżnorodności 2030, Krajowym planie na rzecz energii i</w:t>
      </w:r>
      <w:r w:rsidR="003F2A65" w:rsidRPr="00890249">
        <w:rPr>
          <w:rFonts w:asciiTheme="minorHAnsi" w:hAnsiTheme="minorHAnsi" w:cstheme="minorHAnsi"/>
          <w:noProof/>
          <w:sz w:val="22"/>
          <w:szCs w:val="22"/>
        </w:rPr>
        <w:t> </w:t>
      </w:r>
      <w:r w:rsidRPr="00890249">
        <w:rPr>
          <w:rFonts w:asciiTheme="minorHAnsi" w:hAnsiTheme="minorHAnsi" w:cstheme="minorHAnsi"/>
          <w:noProof/>
          <w:sz w:val="22"/>
          <w:szCs w:val="22"/>
        </w:rPr>
        <w:t xml:space="preserve">klimatu na lata 2021-2030, Polityce ekologicznej państwa 2030, </w:t>
      </w:r>
      <w:r w:rsidR="00075087" w:rsidRPr="00890249">
        <w:rPr>
          <w:rFonts w:asciiTheme="minorHAnsi" w:hAnsiTheme="minorHAnsi" w:cstheme="minorHAnsi"/>
          <w:noProof/>
          <w:sz w:val="22"/>
          <w:szCs w:val="22"/>
        </w:rPr>
        <w:t xml:space="preserve">Aktualizacji Krajowego Programu Oczyszczania Ścieków Komunalnych (2021), </w:t>
      </w:r>
      <w:r w:rsidRPr="00890249">
        <w:rPr>
          <w:rFonts w:asciiTheme="minorHAnsi" w:hAnsiTheme="minorHAnsi" w:cstheme="minorHAnsi"/>
          <w:noProof/>
          <w:sz w:val="22"/>
          <w:szCs w:val="22"/>
        </w:rPr>
        <w:t>Strategii Zrównoważonego Rozwoju Transportu do 2030 r</w:t>
      </w:r>
      <w:r w:rsidR="00AA2327" w:rsidRPr="00890249">
        <w:rPr>
          <w:rFonts w:asciiTheme="minorHAnsi" w:hAnsiTheme="minorHAnsi" w:cstheme="minorHAnsi"/>
          <w:noProof/>
          <w:sz w:val="22"/>
          <w:szCs w:val="22"/>
        </w:rPr>
        <w:t>.</w:t>
      </w:r>
      <w:r w:rsidRPr="00890249">
        <w:rPr>
          <w:rFonts w:asciiTheme="minorHAnsi" w:hAnsiTheme="minorHAnsi" w:cstheme="minorHAnsi"/>
          <w:noProof/>
          <w:sz w:val="22"/>
          <w:szCs w:val="22"/>
        </w:rPr>
        <w:t>, Nowym Europejskim programie na rzecz kultury</w:t>
      </w:r>
      <w:r w:rsidR="001074F7"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(2018), Agendzie dla zrównoważonej i</w:t>
      </w:r>
      <w:r w:rsidR="003F2A65" w:rsidRPr="00890249">
        <w:rPr>
          <w:rFonts w:asciiTheme="minorHAnsi" w:hAnsiTheme="minorHAnsi" w:cstheme="minorHAnsi"/>
          <w:noProof/>
          <w:sz w:val="22"/>
          <w:szCs w:val="22"/>
        </w:rPr>
        <w:t> </w:t>
      </w:r>
      <w:r w:rsidRPr="00890249">
        <w:rPr>
          <w:rFonts w:asciiTheme="minorHAnsi" w:hAnsiTheme="minorHAnsi" w:cstheme="minorHAnsi"/>
          <w:noProof/>
          <w:sz w:val="22"/>
          <w:szCs w:val="22"/>
        </w:rPr>
        <w:t>konkurencyjnej turystyki europejskiej (2007</w:t>
      </w:r>
      <w:r w:rsidR="003F2056" w:rsidRPr="00890249">
        <w:rPr>
          <w:rFonts w:asciiTheme="minorHAnsi" w:hAnsiTheme="minorHAnsi" w:cstheme="minorHAnsi"/>
          <w:noProof/>
          <w:sz w:val="22"/>
          <w:szCs w:val="22"/>
        </w:rPr>
        <w:t>), Reflection papers numer 4</w:t>
      </w:r>
      <w:r w:rsidR="003F2056" w:rsidRPr="00890249">
        <w:rPr>
          <w:rStyle w:val="Odwoanieprzypisudolnego"/>
          <w:rFonts w:asciiTheme="minorHAnsi" w:hAnsiTheme="minorHAnsi" w:cstheme="minorHAnsi"/>
          <w:noProof/>
          <w:sz w:val="22"/>
          <w:szCs w:val="22"/>
        </w:rPr>
        <w:footnoteReference w:id="7"/>
      </w:r>
      <w:r w:rsidR="003F2056" w:rsidRPr="00890249">
        <w:rPr>
          <w:rFonts w:asciiTheme="minorHAnsi" w:hAnsiTheme="minorHAnsi" w:cstheme="minorHAnsi"/>
          <w:noProof/>
          <w:sz w:val="22"/>
          <w:szCs w:val="22"/>
        </w:rPr>
        <w:t>.</w:t>
      </w:r>
    </w:p>
    <w:p w14:paraId="5549E90C" w14:textId="77777777" w:rsidR="0093433C" w:rsidRPr="00890249" w:rsidRDefault="00637FF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Działania </w:t>
      </w:r>
      <w:r w:rsidR="00922E46" w:rsidRPr="00890249">
        <w:rPr>
          <w:rFonts w:asciiTheme="minorHAnsi" w:hAnsiTheme="minorHAnsi" w:cstheme="minorHAnsi"/>
          <w:noProof/>
          <w:sz w:val="22"/>
          <w:szCs w:val="22"/>
        </w:rPr>
        <w:t>ujęte</w:t>
      </w:r>
      <w:r w:rsidRPr="00890249">
        <w:rPr>
          <w:rFonts w:asciiTheme="minorHAnsi" w:hAnsiTheme="minorHAnsi" w:cstheme="minorHAnsi"/>
          <w:noProof/>
          <w:sz w:val="22"/>
          <w:szCs w:val="22"/>
        </w:rPr>
        <w:t xml:space="preserve"> w ram</w:t>
      </w:r>
      <w:r w:rsidR="00922E46" w:rsidRPr="00890249">
        <w:rPr>
          <w:rFonts w:asciiTheme="minorHAnsi" w:hAnsiTheme="minorHAnsi" w:cstheme="minorHAnsi"/>
          <w:noProof/>
          <w:sz w:val="22"/>
          <w:szCs w:val="22"/>
        </w:rPr>
        <w:t>ach celów szczegółowych</w:t>
      </w:r>
      <w:r w:rsidRPr="00890249">
        <w:rPr>
          <w:rFonts w:asciiTheme="minorHAnsi" w:hAnsiTheme="minorHAnsi" w:cstheme="minorHAnsi"/>
          <w:noProof/>
          <w:sz w:val="22"/>
          <w:szCs w:val="22"/>
        </w:rPr>
        <w:t xml:space="preserve"> FEO 2021-2027 są zgodne</w:t>
      </w:r>
      <w:r w:rsidR="008C159F" w:rsidRPr="00890249">
        <w:rPr>
          <w:rFonts w:asciiTheme="minorHAnsi" w:hAnsiTheme="minorHAnsi" w:cstheme="minorHAnsi"/>
          <w:noProof/>
          <w:sz w:val="22"/>
          <w:szCs w:val="22"/>
        </w:rPr>
        <w:t xml:space="preserve"> z zasadą DNSH.</w:t>
      </w:r>
    </w:p>
    <w:p w14:paraId="6130D057" w14:textId="25130D95" w:rsidR="0093433C" w:rsidRPr="00890249" w:rsidRDefault="005D06F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Planowana w FEO 2021-2027 interwencja </w:t>
      </w:r>
      <w:r w:rsidR="001C0299" w:rsidRPr="00890249">
        <w:rPr>
          <w:rFonts w:asciiTheme="minorHAnsi" w:hAnsiTheme="minorHAnsi" w:cstheme="minorHAnsi"/>
          <w:noProof/>
          <w:sz w:val="22"/>
          <w:szCs w:val="22"/>
        </w:rPr>
        <w:t>skupiona</w:t>
      </w:r>
      <w:r w:rsidR="006F4361" w:rsidRPr="00890249">
        <w:rPr>
          <w:rFonts w:asciiTheme="minorHAnsi" w:hAnsiTheme="minorHAnsi" w:cstheme="minorHAnsi"/>
          <w:noProof/>
          <w:sz w:val="22"/>
          <w:szCs w:val="22"/>
        </w:rPr>
        <w:t xml:space="preserve"> na innowacyjności, zielonych te</w:t>
      </w:r>
      <w:r w:rsidR="001C0299" w:rsidRPr="00890249">
        <w:rPr>
          <w:rFonts w:asciiTheme="minorHAnsi" w:hAnsiTheme="minorHAnsi" w:cstheme="minorHAnsi"/>
          <w:noProof/>
          <w:sz w:val="22"/>
          <w:szCs w:val="22"/>
        </w:rPr>
        <w:t>c</w:t>
      </w:r>
      <w:r w:rsidR="006F4361" w:rsidRPr="00890249">
        <w:rPr>
          <w:rFonts w:asciiTheme="minorHAnsi" w:hAnsiTheme="minorHAnsi" w:cstheme="minorHAnsi"/>
          <w:noProof/>
          <w:sz w:val="22"/>
          <w:szCs w:val="22"/>
        </w:rPr>
        <w:t>hnologiach i</w:t>
      </w:r>
      <w:r w:rsidR="007E4109" w:rsidRPr="00890249">
        <w:rPr>
          <w:rFonts w:asciiTheme="minorHAnsi" w:hAnsiTheme="minorHAnsi" w:cstheme="minorHAnsi"/>
          <w:noProof/>
          <w:sz w:val="22"/>
          <w:szCs w:val="22"/>
        </w:rPr>
        <w:t> </w:t>
      </w:r>
      <w:r w:rsidR="006F4361" w:rsidRPr="00890249">
        <w:rPr>
          <w:rFonts w:asciiTheme="minorHAnsi" w:hAnsiTheme="minorHAnsi" w:cstheme="minorHAnsi"/>
          <w:noProof/>
          <w:sz w:val="22"/>
          <w:szCs w:val="22"/>
        </w:rPr>
        <w:t xml:space="preserve">cyfryzacji </w:t>
      </w:r>
      <w:r w:rsidRPr="00890249">
        <w:rPr>
          <w:rFonts w:asciiTheme="minorHAnsi" w:hAnsiTheme="minorHAnsi" w:cstheme="minorHAnsi"/>
          <w:noProof/>
          <w:sz w:val="22"/>
          <w:szCs w:val="22"/>
        </w:rPr>
        <w:t>przyczyni</w:t>
      </w:r>
      <w:r w:rsidR="006F4361"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się</w:t>
      </w:r>
      <w:r w:rsidR="006F4361"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do zacieśniania współpracy międzynarodowej</w:t>
      </w:r>
      <w:r w:rsidR="006F4361" w:rsidRPr="00890249">
        <w:rPr>
          <w:rFonts w:asciiTheme="minorHAnsi" w:hAnsiTheme="minorHAnsi" w:cstheme="minorHAnsi"/>
          <w:noProof/>
          <w:sz w:val="22"/>
          <w:szCs w:val="22"/>
        </w:rPr>
        <w:t xml:space="preserve"> beneficjentów środków UE</w:t>
      </w:r>
      <w:r w:rsidR="007A7202" w:rsidRPr="00890249">
        <w:rPr>
          <w:rFonts w:asciiTheme="minorHAnsi" w:hAnsiTheme="minorHAnsi" w:cstheme="minorHAnsi"/>
          <w:noProof/>
          <w:sz w:val="22"/>
          <w:szCs w:val="22"/>
        </w:rPr>
        <w:t>. Powyższe s</w:t>
      </w:r>
      <w:r w:rsidRPr="00890249">
        <w:rPr>
          <w:rFonts w:asciiTheme="minorHAnsi" w:hAnsiTheme="minorHAnsi" w:cstheme="minorHAnsi"/>
          <w:noProof/>
          <w:sz w:val="22"/>
          <w:szCs w:val="22"/>
        </w:rPr>
        <w:t>twarza możliwość nawiązania kontaktów z</w:t>
      </w:r>
      <w:r w:rsidR="00F95385" w:rsidRPr="00890249">
        <w:rPr>
          <w:rFonts w:asciiTheme="minorHAnsi" w:hAnsiTheme="minorHAnsi" w:cstheme="minorHAnsi"/>
          <w:noProof/>
          <w:sz w:val="22"/>
          <w:szCs w:val="22"/>
        </w:rPr>
        <w:t> </w:t>
      </w:r>
      <w:r w:rsidRPr="00890249">
        <w:rPr>
          <w:rFonts w:asciiTheme="minorHAnsi" w:hAnsiTheme="minorHAnsi" w:cstheme="minorHAnsi"/>
          <w:noProof/>
          <w:sz w:val="22"/>
          <w:szCs w:val="22"/>
        </w:rPr>
        <w:t>partnerami makroregionu</w:t>
      </w:r>
      <w:r w:rsidR="007A7202" w:rsidRPr="00890249">
        <w:rPr>
          <w:rFonts w:asciiTheme="minorHAnsi" w:hAnsiTheme="minorHAnsi" w:cstheme="minorHAnsi"/>
          <w:noProof/>
          <w:sz w:val="22"/>
          <w:szCs w:val="22"/>
        </w:rPr>
        <w:t xml:space="preserve"> SUERMB</w:t>
      </w:r>
      <w:r w:rsidRPr="00890249">
        <w:rPr>
          <w:rFonts w:asciiTheme="minorHAnsi" w:hAnsiTheme="minorHAnsi" w:cstheme="minorHAnsi"/>
          <w:noProof/>
          <w:sz w:val="22"/>
          <w:szCs w:val="22"/>
        </w:rPr>
        <w:t>, inicjowania nowych projektów oraz promowania na forum międzynarodowym projektów już istni</w:t>
      </w:r>
      <w:r w:rsidR="008465B8" w:rsidRPr="00890249">
        <w:rPr>
          <w:rFonts w:asciiTheme="minorHAnsi" w:hAnsiTheme="minorHAnsi" w:cstheme="minorHAnsi"/>
          <w:noProof/>
          <w:sz w:val="22"/>
          <w:szCs w:val="22"/>
        </w:rPr>
        <w:t>ejących w zakresie określonym w </w:t>
      </w:r>
      <w:r w:rsidRPr="00890249">
        <w:rPr>
          <w:rFonts w:asciiTheme="minorHAnsi" w:hAnsiTheme="minorHAnsi" w:cstheme="minorHAnsi"/>
          <w:noProof/>
          <w:sz w:val="22"/>
          <w:szCs w:val="22"/>
        </w:rPr>
        <w:t>załączniku D do Sprawozdania krajowego 2019, tj. zwiększani</w:t>
      </w:r>
      <w:r w:rsidR="008465B8" w:rsidRPr="00890249">
        <w:rPr>
          <w:rFonts w:asciiTheme="minorHAnsi" w:hAnsiTheme="minorHAnsi" w:cstheme="minorHAnsi"/>
          <w:noProof/>
          <w:sz w:val="22"/>
          <w:szCs w:val="22"/>
        </w:rPr>
        <w:t xml:space="preserve">a potencjału </w:t>
      </w:r>
      <w:r w:rsidR="001C0299" w:rsidRPr="00890249">
        <w:rPr>
          <w:rFonts w:asciiTheme="minorHAnsi" w:hAnsiTheme="minorHAnsi" w:cstheme="minorHAnsi"/>
          <w:noProof/>
          <w:sz w:val="22"/>
          <w:szCs w:val="22"/>
        </w:rPr>
        <w:t>w</w:t>
      </w:r>
      <w:r w:rsidR="008465B8" w:rsidRPr="00890249">
        <w:rPr>
          <w:rFonts w:asciiTheme="minorHAnsi" w:hAnsiTheme="minorHAnsi" w:cstheme="minorHAnsi"/>
          <w:noProof/>
          <w:sz w:val="22"/>
          <w:szCs w:val="22"/>
        </w:rPr>
        <w:t xml:space="preserve"> zakresie badań i </w:t>
      </w:r>
      <w:r w:rsidRPr="00890249">
        <w:rPr>
          <w:rFonts w:asciiTheme="minorHAnsi" w:hAnsiTheme="minorHAnsi" w:cstheme="minorHAnsi"/>
          <w:noProof/>
          <w:sz w:val="22"/>
          <w:szCs w:val="22"/>
        </w:rPr>
        <w:t>innowacji oraz wykorzystania zaawanso</w:t>
      </w:r>
      <w:r w:rsidR="00FD764B" w:rsidRPr="00890249">
        <w:rPr>
          <w:rFonts w:asciiTheme="minorHAnsi" w:hAnsiTheme="minorHAnsi" w:cstheme="minorHAnsi"/>
          <w:noProof/>
          <w:sz w:val="22"/>
          <w:szCs w:val="22"/>
        </w:rPr>
        <w:t>w</w:t>
      </w:r>
      <w:r w:rsidRPr="00890249">
        <w:rPr>
          <w:rFonts w:asciiTheme="minorHAnsi" w:hAnsiTheme="minorHAnsi" w:cstheme="minorHAnsi"/>
          <w:noProof/>
          <w:sz w:val="22"/>
          <w:szCs w:val="22"/>
        </w:rPr>
        <w:t>anych technologii, zrównoważonej gospodarki wodnej oraz przystosowania do zmian klimatu.</w:t>
      </w:r>
    </w:p>
    <w:p w14:paraId="58D1F7C5" w14:textId="66FCCFD0" w:rsidR="0093433C" w:rsidRPr="00890249" w:rsidRDefault="00637FF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Zakres programu </w:t>
      </w:r>
      <w:r w:rsidR="00922E46" w:rsidRPr="00890249">
        <w:rPr>
          <w:rFonts w:asciiTheme="minorHAnsi" w:hAnsiTheme="minorHAnsi" w:cstheme="minorHAnsi"/>
          <w:noProof/>
          <w:sz w:val="22"/>
          <w:szCs w:val="22"/>
        </w:rPr>
        <w:t>jest</w:t>
      </w:r>
      <w:r w:rsidRPr="00890249">
        <w:rPr>
          <w:rFonts w:asciiTheme="minorHAnsi" w:hAnsiTheme="minorHAnsi" w:cstheme="minorHAnsi"/>
          <w:noProof/>
          <w:sz w:val="22"/>
          <w:szCs w:val="22"/>
        </w:rPr>
        <w:t xml:space="preserve"> komplementarny z interwencją programów krajowych służących realizacji celów polityki spójności na perspektywę 2021-2027, jak </w:t>
      </w:r>
      <w:r w:rsidR="003367F3" w:rsidRPr="00890249">
        <w:rPr>
          <w:rFonts w:asciiTheme="minorHAnsi" w:hAnsiTheme="minorHAnsi" w:cstheme="minorHAnsi"/>
          <w:noProof/>
          <w:sz w:val="22"/>
          <w:szCs w:val="22"/>
        </w:rPr>
        <w:t xml:space="preserve">też </w:t>
      </w:r>
      <w:r w:rsidRPr="00890249">
        <w:rPr>
          <w:rFonts w:asciiTheme="minorHAnsi" w:hAnsiTheme="minorHAnsi" w:cstheme="minorHAnsi"/>
          <w:noProof/>
          <w:sz w:val="22"/>
          <w:szCs w:val="22"/>
        </w:rPr>
        <w:t>innych instrumentów krajowych i</w:t>
      </w:r>
      <w:r w:rsidR="00B7723B" w:rsidRPr="00890249">
        <w:rPr>
          <w:rFonts w:asciiTheme="minorHAnsi" w:hAnsiTheme="minorHAnsi" w:cstheme="minorHAnsi"/>
          <w:noProof/>
          <w:sz w:val="22"/>
          <w:szCs w:val="22"/>
        </w:rPr>
        <w:t> </w:t>
      </w:r>
      <w:r w:rsidRPr="00890249">
        <w:rPr>
          <w:rFonts w:asciiTheme="minorHAnsi" w:hAnsiTheme="minorHAnsi" w:cstheme="minorHAnsi"/>
          <w:noProof/>
          <w:sz w:val="22"/>
          <w:szCs w:val="22"/>
        </w:rPr>
        <w:t>unijnych.</w:t>
      </w:r>
    </w:p>
    <w:p w14:paraId="4C1321FD" w14:textId="00400675" w:rsidR="0093433C" w:rsidRPr="00890249" w:rsidRDefault="008C159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D</w:t>
      </w:r>
      <w:r w:rsidR="00637FFE" w:rsidRPr="00890249">
        <w:rPr>
          <w:rFonts w:asciiTheme="minorHAnsi" w:hAnsiTheme="minorHAnsi" w:cstheme="minorHAnsi"/>
          <w:noProof/>
          <w:sz w:val="22"/>
          <w:szCs w:val="22"/>
        </w:rPr>
        <w:t xml:space="preserve">ziałania FEO 2021-2027 będą komplementarne z </w:t>
      </w:r>
      <w:r w:rsidR="00B7723B" w:rsidRPr="00890249">
        <w:rPr>
          <w:rFonts w:asciiTheme="minorHAnsi" w:hAnsiTheme="minorHAnsi" w:cstheme="minorHAnsi"/>
          <w:noProof/>
          <w:sz w:val="22"/>
          <w:szCs w:val="22"/>
        </w:rPr>
        <w:t xml:space="preserve">działaniami </w:t>
      </w:r>
      <w:r w:rsidR="00637FFE" w:rsidRPr="00890249">
        <w:rPr>
          <w:rFonts w:asciiTheme="minorHAnsi" w:hAnsiTheme="minorHAnsi" w:cstheme="minorHAnsi"/>
          <w:noProof/>
          <w:sz w:val="22"/>
          <w:szCs w:val="22"/>
        </w:rPr>
        <w:t xml:space="preserve">programu </w:t>
      </w:r>
      <w:r w:rsidR="00BA1D2F" w:rsidRPr="00890249">
        <w:rPr>
          <w:rFonts w:asciiTheme="minorHAnsi" w:hAnsiTheme="minorHAnsi" w:cstheme="minorHAnsi"/>
          <w:noProof/>
          <w:sz w:val="22"/>
          <w:szCs w:val="22"/>
        </w:rPr>
        <w:t xml:space="preserve">Interreg </w:t>
      </w:r>
      <w:r w:rsidR="00637FFE" w:rsidRPr="00890249">
        <w:rPr>
          <w:rFonts w:asciiTheme="minorHAnsi" w:hAnsiTheme="minorHAnsi" w:cstheme="minorHAnsi"/>
          <w:noProof/>
          <w:sz w:val="22"/>
          <w:szCs w:val="22"/>
        </w:rPr>
        <w:t>CZECHY-POLSKA 2021-2027</w:t>
      </w:r>
      <w:r w:rsidR="00B7723B" w:rsidRPr="00890249">
        <w:rPr>
          <w:rFonts w:asciiTheme="minorHAnsi" w:hAnsiTheme="minorHAnsi" w:cstheme="minorHAnsi"/>
          <w:noProof/>
          <w:sz w:val="22"/>
          <w:szCs w:val="22"/>
        </w:rPr>
        <w:t>,</w:t>
      </w:r>
      <w:r w:rsidR="00637FFE" w:rsidRPr="00890249">
        <w:rPr>
          <w:rFonts w:asciiTheme="minorHAnsi" w:hAnsiTheme="minorHAnsi" w:cstheme="minorHAnsi"/>
          <w:noProof/>
          <w:sz w:val="22"/>
          <w:szCs w:val="22"/>
        </w:rPr>
        <w:t xml:space="preserve"> m.in. </w:t>
      </w:r>
      <w:r w:rsidR="007F4179" w:rsidRPr="00890249">
        <w:rPr>
          <w:rFonts w:asciiTheme="minorHAnsi" w:hAnsiTheme="minorHAnsi" w:cstheme="minorHAnsi"/>
          <w:noProof/>
          <w:sz w:val="22"/>
          <w:szCs w:val="22"/>
        </w:rPr>
        <w:t>dla</w:t>
      </w:r>
      <w:r w:rsidR="00637FFE" w:rsidRPr="00890249">
        <w:rPr>
          <w:rFonts w:asciiTheme="minorHAnsi" w:hAnsiTheme="minorHAnsi" w:cstheme="minorHAnsi"/>
          <w:noProof/>
          <w:sz w:val="22"/>
          <w:szCs w:val="22"/>
        </w:rPr>
        <w:t xml:space="preserve"> konkurencyjności regionu, ratownictwa, zapobiegania zagrożeniom</w:t>
      </w:r>
      <w:r w:rsidR="00B7723B" w:rsidRPr="00890249">
        <w:rPr>
          <w:rFonts w:asciiTheme="minorHAnsi" w:hAnsiTheme="minorHAnsi" w:cstheme="minorHAnsi"/>
          <w:noProof/>
          <w:sz w:val="22"/>
          <w:szCs w:val="22"/>
        </w:rPr>
        <w:t xml:space="preserve">, </w:t>
      </w:r>
      <w:r w:rsidR="00637FFE" w:rsidRPr="00890249">
        <w:rPr>
          <w:rFonts w:asciiTheme="minorHAnsi" w:hAnsiTheme="minorHAnsi" w:cstheme="minorHAnsi"/>
          <w:noProof/>
          <w:sz w:val="22"/>
          <w:szCs w:val="22"/>
        </w:rPr>
        <w:t xml:space="preserve">usuwania katastrof na obszarach przygranicznych, zarządzania zasobami naturalnymi, infrastruktury transportowej, </w:t>
      </w:r>
      <w:r w:rsidRPr="00890249">
        <w:rPr>
          <w:rFonts w:asciiTheme="minorHAnsi" w:hAnsiTheme="minorHAnsi" w:cstheme="minorHAnsi"/>
          <w:noProof/>
          <w:sz w:val="22"/>
          <w:szCs w:val="22"/>
        </w:rPr>
        <w:t xml:space="preserve">czy </w:t>
      </w:r>
      <w:r w:rsidR="00B7723B" w:rsidRPr="00890249">
        <w:rPr>
          <w:rFonts w:asciiTheme="minorHAnsi" w:hAnsiTheme="minorHAnsi" w:cstheme="minorHAnsi"/>
          <w:noProof/>
          <w:sz w:val="22"/>
          <w:szCs w:val="22"/>
        </w:rPr>
        <w:t>kultury i turystyki</w:t>
      </w:r>
      <w:r w:rsidR="00637FFE" w:rsidRPr="00890249">
        <w:rPr>
          <w:rFonts w:asciiTheme="minorHAnsi" w:hAnsiTheme="minorHAnsi" w:cstheme="minorHAnsi"/>
          <w:noProof/>
          <w:sz w:val="22"/>
          <w:szCs w:val="22"/>
        </w:rPr>
        <w:t>.</w:t>
      </w:r>
    </w:p>
    <w:p w14:paraId="7F61523F" w14:textId="08478E51" w:rsidR="0093433C" w:rsidRPr="00890249" w:rsidRDefault="00637FF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stosownych przypadkach projekty bę</w:t>
      </w:r>
      <w:r w:rsidR="008C159F" w:rsidRPr="00890249">
        <w:rPr>
          <w:rFonts w:asciiTheme="minorHAnsi" w:hAnsiTheme="minorHAnsi" w:cstheme="minorHAnsi"/>
          <w:noProof/>
          <w:sz w:val="22"/>
          <w:szCs w:val="22"/>
        </w:rPr>
        <w:t xml:space="preserve">dą wspierać inwestycje, które </w:t>
      </w:r>
      <w:r w:rsidRPr="00890249">
        <w:rPr>
          <w:rFonts w:asciiTheme="minorHAnsi" w:hAnsiTheme="minorHAnsi" w:cstheme="minorHAnsi"/>
          <w:noProof/>
          <w:sz w:val="22"/>
          <w:szCs w:val="22"/>
        </w:rPr>
        <w:t xml:space="preserve">łączą zrównoważony rozwój, estetykę i zasady integracji </w:t>
      </w:r>
      <w:r w:rsidR="006C12C3" w:rsidRPr="00890249">
        <w:rPr>
          <w:rFonts w:asciiTheme="minorHAnsi" w:hAnsiTheme="minorHAnsi" w:cstheme="minorHAnsi"/>
          <w:noProof/>
          <w:sz w:val="22"/>
          <w:szCs w:val="22"/>
        </w:rPr>
        <w:t>inicjatywy</w:t>
      </w:r>
      <w:r w:rsidRPr="00890249">
        <w:rPr>
          <w:rFonts w:asciiTheme="minorHAnsi" w:hAnsiTheme="minorHAnsi" w:cstheme="minorHAnsi"/>
          <w:noProof/>
          <w:sz w:val="22"/>
          <w:szCs w:val="22"/>
        </w:rPr>
        <w:t xml:space="preserve"> </w:t>
      </w:r>
      <w:r w:rsidRPr="00890249">
        <w:rPr>
          <w:rFonts w:asciiTheme="minorHAnsi" w:hAnsiTheme="minorHAnsi" w:cstheme="minorHAnsi"/>
          <w:i/>
          <w:iCs/>
          <w:noProof/>
          <w:sz w:val="22"/>
          <w:szCs w:val="22"/>
        </w:rPr>
        <w:t>Nowy Europejski Bauhaus</w:t>
      </w:r>
      <w:r w:rsidRPr="00890249">
        <w:rPr>
          <w:rFonts w:asciiTheme="minorHAnsi" w:hAnsiTheme="minorHAnsi" w:cstheme="minorHAnsi"/>
          <w:noProof/>
          <w:sz w:val="22"/>
          <w:szCs w:val="22"/>
        </w:rPr>
        <w:t xml:space="preserve"> w celu znalezienia przystępnych </w:t>
      </w:r>
      <w:r w:rsidRPr="00890249">
        <w:rPr>
          <w:rFonts w:asciiTheme="minorHAnsi" w:hAnsiTheme="minorHAnsi" w:cstheme="minorHAnsi"/>
          <w:noProof/>
          <w:sz w:val="22"/>
          <w:szCs w:val="22"/>
        </w:rPr>
        <w:lastRenderedPageBreak/>
        <w:t xml:space="preserve">cenowo, sprzyjających integracji, zrównoważonych i atrakcyjnych rozwiązań dla wyzwań </w:t>
      </w:r>
      <w:r w:rsidR="009D7FEA" w:rsidRPr="00890249">
        <w:rPr>
          <w:rFonts w:asciiTheme="minorHAnsi" w:hAnsiTheme="minorHAnsi" w:cstheme="minorHAnsi"/>
          <w:noProof/>
          <w:sz w:val="22"/>
          <w:szCs w:val="22"/>
        </w:rPr>
        <w:t>klimatycznych</w:t>
      </w:r>
      <w:r w:rsidRPr="00890249">
        <w:rPr>
          <w:rStyle w:val="Odwoanieprzypisudolnego"/>
          <w:rFonts w:asciiTheme="minorHAnsi" w:hAnsiTheme="minorHAnsi" w:cstheme="minorHAnsi"/>
          <w:noProof/>
          <w:sz w:val="22"/>
          <w:szCs w:val="22"/>
        </w:rPr>
        <w:footnoteReference w:id="8"/>
      </w:r>
      <w:r w:rsidRPr="00890249">
        <w:rPr>
          <w:rFonts w:asciiTheme="minorHAnsi" w:hAnsiTheme="minorHAnsi" w:cstheme="minorHAnsi"/>
          <w:noProof/>
          <w:sz w:val="22"/>
          <w:szCs w:val="22"/>
        </w:rPr>
        <w:t>.</w:t>
      </w:r>
    </w:p>
    <w:p w14:paraId="127BD7C5" w14:textId="77777777" w:rsidR="002D496B" w:rsidRPr="00890249" w:rsidRDefault="002D496B" w:rsidP="002D496B">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Rozwój terytorialny</w:t>
      </w:r>
    </w:p>
    <w:p w14:paraId="7B8B44E6" w14:textId="39E26959" w:rsidR="0093433C" w:rsidRPr="00890249" w:rsidRDefault="00A70C7F"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latach 2014-2020 wdrażani</w:t>
      </w:r>
      <w:r w:rsidR="006C12C3" w:rsidRPr="00890249">
        <w:rPr>
          <w:rFonts w:asciiTheme="minorHAnsi" w:hAnsiTheme="minorHAnsi" w:cstheme="minorHAnsi"/>
          <w:sz w:val="22"/>
          <w:szCs w:val="22"/>
        </w:rPr>
        <w:t>e</w:t>
      </w:r>
      <w:r w:rsidRPr="00890249">
        <w:rPr>
          <w:rFonts w:asciiTheme="minorHAnsi" w:hAnsiTheme="minorHAnsi" w:cstheme="minorHAnsi"/>
          <w:sz w:val="22"/>
          <w:szCs w:val="22"/>
        </w:rPr>
        <w:t xml:space="preserve"> funduszy europejskich w </w:t>
      </w:r>
      <w:r w:rsidR="00AE3290" w:rsidRPr="00890249">
        <w:rPr>
          <w:rFonts w:asciiTheme="minorHAnsi" w:hAnsiTheme="minorHAnsi" w:cstheme="minorHAnsi"/>
          <w:sz w:val="22"/>
          <w:szCs w:val="22"/>
        </w:rPr>
        <w:t>woj.</w:t>
      </w:r>
      <w:r w:rsidRPr="00890249">
        <w:rPr>
          <w:rFonts w:asciiTheme="minorHAnsi" w:hAnsiTheme="minorHAnsi" w:cstheme="minorHAnsi"/>
          <w:sz w:val="22"/>
          <w:szCs w:val="22"/>
        </w:rPr>
        <w:t xml:space="preserve"> opolskim opart</w:t>
      </w:r>
      <w:r w:rsidR="00AE3290" w:rsidRPr="00890249">
        <w:rPr>
          <w:rFonts w:asciiTheme="minorHAnsi" w:hAnsiTheme="minorHAnsi" w:cstheme="minorHAnsi"/>
          <w:sz w:val="22"/>
          <w:szCs w:val="22"/>
        </w:rPr>
        <w:t xml:space="preserve">o </w:t>
      </w:r>
      <w:r w:rsidRPr="00890249">
        <w:rPr>
          <w:rFonts w:asciiTheme="minorHAnsi" w:hAnsiTheme="minorHAnsi" w:cstheme="minorHAnsi"/>
          <w:sz w:val="22"/>
          <w:szCs w:val="22"/>
        </w:rPr>
        <w:t xml:space="preserve">na instrumentach terytorialnych. </w:t>
      </w:r>
      <w:r w:rsidR="00B7723B" w:rsidRPr="00890249">
        <w:rPr>
          <w:rFonts w:asciiTheme="minorHAnsi" w:hAnsiTheme="minorHAnsi" w:cstheme="minorHAnsi"/>
          <w:sz w:val="22"/>
          <w:szCs w:val="22"/>
        </w:rPr>
        <w:t xml:space="preserve">Jako </w:t>
      </w:r>
      <w:r w:rsidR="00922E46" w:rsidRPr="00890249">
        <w:rPr>
          <w:rFonts w:asciiTheme="minorHAnsi" w:hAnsiTheme="minorHAnsi" w:cstheme="minorHAnsi"/>
          <w:sz w:val="22"/>
          <w:szCs w:val="22"/>
        </w:rPr>
        <w:t xml:space="preserve">OSI </w:t>
      </w:r>
      <w:r w:rsidRPr="00890249">
        <w:rPr>
          <w:rFonts w:asciiTheme="minorHAnsi" w:hAnsiTheme="minorHAnsi" w:cstheme="minorHAnsi"/>
          <w:sz w:val="22"/>
          <w:szCs w:val="22"/>
        </w:rPr>
        <w:t>wskazano: subregiony, miasta i</w:t>
      </w:r>
      <w:r w:rsidR="00B7723B" w:rsidRPr="00890249">
        <w:rPr>
          <w:rFonts w:asciiTheme="minorHAnsi" w:hAnsiTheme="minorHAnsi" w:cstheme="minorHAnsi"/>
          <w:sz w:val="22"/>
          <w:szCs w:val="22"/>
        </w:rPr>
        <w:t> </w:t>
      </w:r>
      <w:r w:rsidRPr="00890249">
        <w:rPr>
          <w:rFonts w:asciiTheme="minorHAnsi" w:hAnsiTheme="minorHAnsi" w:cstheme="minorHAnsi"/>
          <w:sz w:val="22"/>
          <w:szCs w:val="22"/>
        </w:rPr>
        <w:t>dzielnice miast wymagające rewitalizacji, ośrodki depopulacji i obszary przygraniczne</w:t>
      </w:r>
      <w:r w:rsidRPr="00890249">
        <w:rPr>
          <w:rFonts w:asciiTheme="minorHAnsi" w:hAnsiTheme="minorHAnsi" w:cstheme="minorHAnsi"/>
          <w:sz w:val="22"/>
          <w:szCs w:val="22"/>
          <w:vertAlign w:val="superscript"/>
        </w:rPr>
        <w:footnoteReference w:id="9"/>
      </w:r>
      <w:r w:rsidRPr="00890249">
        <w:rPr>
          <w:rFonts w:asciiTheme="minorHAnsi" w:hAnsiTheme="minorHAnsi" w:cstheme="minorHAnsi"/>
          <w:sz w:val="22"/>
          <w:szCs w:val="22"/>
        </w:rPr>
        <w:t xml:space="preserve">. Subregionalny układ terytorialny w </w:t>
      </w:r>
      <w:r w:rsidR="00AE3290" w:rsidRPr="00890249">
        <w:rPr>
          <w:rFonts w:asciiTheme="minorHAnsi" w:hAnsiTheme="minorHAnsi" w:cstheme="minorHAnsi"/>
          <w:sz w:val="22"/>
          <w:szCs w:val="22"/>
        </w:rPr>
        <w:t xml:space="preserve">woj. opolskim </w:t>
      </w:r>
      <w:r w:rsidRPr="00890249">
        <w:rPr>
          <w:rFonts w:asciiTheme="minorHAnsi" w:hAnsiTheme="minorHAnsi" w:cstheme="minorHAnsi"/>
          <w:sz w:val="22"/>
          <w:szCs w:val="22"/>
        </w:rPr>
        <w:t>odgrywa znaczącą rolę w</w:t>
      </w:r>
      <w:r w:rsidR="00B7723B" w:rsidRPr="00890249">
        <w:rPr>
          <w:rFonts w:asciiTheme="minorHAnsi" w:hAnsiTheme="minorHAnsi" w:cstheme="minorHAnsi"/>
          <w:sz w:val="22"/>
          <w:szCs w:val="22"/>
        </w:rPr>
        <w:t> </w:t>
      </w:r>
      <w:r w:rsidRPr="00890249">
        <w:rPr>
          <w:rFonts w:asciiTheme="minorHAnsi" w:hAnsiTheme="minorHAnsi" w:cstheme="minorHAnsi"/>
          <w:sz w:val="22"/>
          <w:szCs w:val="22"/>
        </w:rPr>
        <w:t xml:space="preserve">kształtowaniu procesów społeczno-gospodarczych w regionie. Władze subregionów aktywnie uczestniczyły w </w:t>
      </w:r>
      <w:r w:rsidR="00922E46" w:rsidRPr="00890249">
        <w:rPr>
          <w:rFonts w:asciiTheme="minorHAnsi" w:hAnsiTheme="minorHAnsi" w:cstheme="minorHAnsi"/>
          <w:sz w:val="22"/>
          <w:szCs w:val="22"/>
        </w:rPr>
        <w:t>opracowaniu strategii subregionalnych</w:t>
      </w:r>
      <w:r w:rsidR="006C12C3" w:rsidRPr="00890249">
        <w:rPr>
          <w:rFonts w:asciiTheme="minorHAnsi" w:hAnsiTheme="minorHAnsi" w:cstheme="minorHAnsi"/>
          <w:sz w:val="22"/>
          <w:szCs w:val="22"/>
        </w:rPr>
        <w:t xml:space="preserve"> oraz </w:t>
      </w:r>
      <w:r w:rsidR="00922E46" w:rsidRPr="00890249">
        <w:rPr>
          <w:rFonts w:asciiTheme="minorHAnsi" w:hAnsiTheme="minorHAnsi" w:cstheme="minorHAnsi"/>
          <w:sz w:val="22"/>
          <w:szCs w:val="22"/>
        </w:rPr>
        <w:t xml:space="preserve">w </w:t>
      </w:r>
      <w:r w:rsidRPr="00890249">
        <w:rPr>
          <w:rFonts w:asciiTheme="minorHAnsi" w:hAnsiTheme="minorHAnsi" w:cstheme="minorHAnsi"/>
          <w:sz w:val="22"/>
          <w:szCs w:val="22"/>
        </w:rPr>
        <w:t>b</w:t>
      </w:r>
      <w:r w:rsidR="00922E46" w:rsidRPr="00890249">
        <w:rPr>
          <w:rFonts w:asciiTheme="minorHAnsi" w:hAnsiTheme="minorHAnsi" w:cstheme="minorHAnsi"/>
          <w:sz w:val="22"/>
          <w:szCs w:val="22"/>
        </w:rPr>
        <w:t xml:space="preserve">udowaniu strategii województwa. </w:t>
      </w:r>
      <w:r w:rsidR="00890D20" w:rsidRPr="00890249">
        <w:rPr>
          <w:rFonts w:asciiTheme="minorHAnsi" w:hAnsiTheme="minorHAnsi" w:cstheme="minorHAnsi"/>
          <w:sz w:val="22"/>
          <w:szCs w:val="22"/>
          <w:lang w:eastAsia="en-US" w:bidi="ar-SA"/>
        </w:rPr>
        <w:t>P</w:t>
      </w:r>
      <w:r w:rsidRPr="00890249">
        <w:rPr>
          <w:rFonts w:asciiTheme="minorHAnsi" w:hAnsiTheme="minorHAnsi" w:cstheme="minorHAnsi"/>
          <w:sz w:val="22"/>
          <w:szCs w:val="22"/>
        </w:rPr>
        <w:t xml:space="preserve">odejście </w:t>
      </w:r>
      <w:r w:rsidR="00922E46" w:rsidRPr="00890249">
        <w:rPr>
          <w:rFonts w:asciiTheme="minorHAnsi" w:hAnsiTheme="minorHAnsi" w:cstheme="minorHAnsi"/>
          <w:sz w:val="22"/>
          <w:szCs w:val="22"/>
        </w:rPr>
        <w:t xml:space="preserve">to stosowano </w:t>
      </w:r>
      <w:r w:rsidR="00890D20" w:rsidRPr="00890249">
        <w:rPr>
          <w:rFonts w:asciiTheme="minorHAnsi" w:hAnsiTheme="minorHAnsi" w:cstheme="minorHAnsi"/>
          <w:sz w:val="22"/>
          <w:szCs w:val="22"/>
        </w:rPr>
        <w:t>do: przygotowania</w:t>
      </w:r>
      <w:r w:rsidRPr="00890249">
        <w:rPr>
          <w:rFonts w:asciiTheme="minorHAnsi" w:hAnsiTheme="minorHAnsi" w:cstheme="minorHAnsi"/>
          <w:sz w:val="22"/>
          <w:szCs w:val="22"/>
        </w:rPr>
        <w:t xml:space="preserve"> te</w:t>
      </w:r>
      <w:r w:rsidR="00890D20" w:rsidRPr="00890249">
        <w:rPr>
          <w:rFonts w:asciiTheme="minorHAnsi" w:hAnsiTheme="minorHAnsi" w:cstheme="minorHAnsi"/>
          <w:sz w:val="22"/>
          <w:szCs w:val="22"/>
        </w:rPr>
        <w:t>renów inwestycyjnych, strategii niskoemisyjnych, efektywności energetycznej</w:t>
      </w:r>
      <w:r w:rsidRPr="00890249">
        <w:rPr>
          <w:rFonts w:asciiTheme="minorHAnsi" w:hAnsiTheme="minorHAnsi" w:cstheme="minorHAnsi"/>
          <w:sz w:val="22"/>
          <w:szCs w:val="22"/>
        </w:rPr>
        <w:t xml:space="preserve"> w</w:t>
      </w:r>
      <w:r w:rsidR="00AE3290" w:rsidRPr="00890249">
        <w:rPr>
          <w:rFonts w:asciiTheme="minorHAnsi" w:hAnsiTheme="minorHAnsi" w:cstheme="minorHAnsi"/>
          <w:sz w:val="22"/>
          <w:szCs w:val="22"/>
        </w:rPr>
        <w:t> </w:t>
      </w:r>
      <w:r w:rsidRPr="00890249">
        <w:rPr>
          <w:rFonts w:asciiTheme="minorHAnsi" w:hAnsiTheme="minorHAnsi" w:cstheme="minorHAnsi"/>
          <w:sz w:val="22"/>
          <w:szCs w:val="22"/>
        </w:rPr>
        <w:t>bu</w:t>
      </w:r>
      <w:r w:rsidR="00890D20" w:rsidRPr="00890249">
        <w:rPr>
          <w:rFonts w:asciiTheme="minorHAnsi" w:hAnsiTheme="minorHAnsi" w:cstheme="minorHAnsi"/>
          <w:sz w:val="22"/>
          <w:szCs w:val="22"/>
        </w:rPr>
        <w:t>dynkach publicznych, dziedzictwa</w:t>
      </w:r>
      <w:r w:rsidRPr="00890249">
        <w:rPr>
          <w:rFonts w:asciiTheme="minorHAnsi" w:hAnsiTheme="minorHAnsi" w:cstheme="minorHAnsi"/>
          <w:sz w:val="22"/>
          <w:szCs w:val="22"/>
        </w:rPr>
        <w:t xml:space="preserve"> kulturowe</w:t>
      </w:r>
      <w:r w:rsidR="00890D20" w:rsidRPr="00890249">
        <w:rPr>
          <w:rFonts w:asciiTheme="minorHAnsi" w:hAnsiTheme="minorHAnsi" w:cstheme="minorHAnsi"/>
          <w:sz w:val="22"/>
          <w:szCs w:val="22"/>
        </w:rPr>
        <w:t>go</w:t>
      </w:r>
      <w:r w:rsidRPr="00890249">
        <w:rPr>
          <w:rFonts w:asciiTheme="minorHAnsi" w:hAnsiTheme="minorHAnsi" w:cstheme="minorHAnsi"/>
          <w:sz w:val="22"/>
          <w:szCs w:val="22"/>
        </w:rPr>
        <w:t xml:space="preserve"> i</w:t>
      </w:r>
      <w:r w:rsidR="00890D20" w:rsidRPr="00890249">
        <w:rPr>
          <w:rFonts w:asciiTheme="minorHAnsi" w:hAnsiTheme="minorHAnsi" w:cstheme="minorHAnsi"/>
          <w:sz w:val="22"/>
          <w:szCs w:val="22"/>
        </w:rPr>
        <w:t> </w:t>
      </w:r>
      <w:r w:rsidRPr="00890249">
        <w:rPr>
          <w:rFonts w:asciiTheme="minorHAnsi" w:hAnsiTheme="minorHAnsi" w:cstheme="minorHAnsi"/>
          <w:sz w:val="22"/>
          <w:szCs w:val="22"/>
        </w:rPr>
        <w:t>kultur</w:t>
      </w:r>
      <w:r w:rsidR="00890D20" w:rsidRPr="00890249">
        <w:rPr>
          <w:rFonts w:asciiTheme="minorHAnsi" w:hAnsiTheme="minorHAnsi" w:cstheme="minorHAnsi"/>
          <w:sz w:val="22"/>
          <w:szCs w:val="22"/>
        </w:rPr>
        <w:t>y oraz edukacji</w:t>
      </w:r>
      <w:r w:rsidRPr="00890249">
        <w:rPr>
          <w:rFonts w:asciiTheme="minorHAnsi" w:hAnsiTheme="minorHAnsi" w:cstheme="minorHAnsi"/>
          <w:sz w:val="22"/>
          <w:szCs w:val="22"/>
        </w:rPr>
        <w:t>.</w:t>
      </w:r>
    </w:p>
    <w:p w14:paraId="1576199A" w14:textId="6A866CA2" w:rsidR="0093433C" w:rsidRPr="00890249" w:rsidRDefault="00890D20"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w:t>
      </w:r>
      <w:r w:rsidR="00A70C7F" w:rsidRPr="00890249">
        <w:rPr>
          <w:rFonts w:asciiTheme="minorHAnsi" w:hAnsiTheme="minorHAnsi" w:cstheme="minorHAnsi"/>
          <w:sz w:val="22"/>
          <w:szCs w:val="22"/>
        </w:rPr>
        <w:t>ozytywne doświadczenia</w:t>
      </w:r>
      <w:r w:rsidRPr="00890249">
        <w:rPr>
          <w:rFonts w:asciiTheme="minorHAnsi" w:hAnsiTheme="minorHAnsi" w:cstheme="minorHAnsi"/>
          <w:sz w:val="22"/>
          <w:szCs w:val="22"/>
        </w:rPr>
        <w:t xml:space="preserve"> sprawiają, że </w:t>
      </w:r>
      <w:r w:rsidR="00A70C7F" w:rsidRPr="00890249">
        <w:rPr>
          <w:rFonts w:asciiTheme="minorHAnsi" w:hAnsiTheme="minorHAnsi" w:cstheme="minorHAnsi"/>
          <w:sz w:val="22"/>
          <w:szCs w:val="22"/>
        </w:rPr>
        <w:t xml:space="preserve">w perspektywie finansowej 2021-2027 </w:t>
      </w:r>
      <w:r w:rsidR="00F135A2" w:rsidRPr="00890249">
        <w:rPr>
          <w:rFonts w:asciiTheme="minorHAnsi" w:hAnsiTheme="minorHAnsi" w:cstheme="minorHAnsi"/>
          <w:sz w:val="22"/>
          <w:szCs w:val="22"/>
        </w:rPr>
        <w:t xml:space="preserve">realizowane </w:t>
      </w:r>
      <w:r w:rsidR="00A70C7F" w:rsidRPr="00890249">
        <w:rPr>
          <w:rFonts w:asciiTheme="minorHAnsi" w:hAnsiTheme="minorHAnsi" w:cstheme="minorHAnsi"/>
          <w:sz w:val="22"/>
          <w:szCs w:val="22"/>
        </w:rPr>
        <w:t xml:space="preserve">będzie podejście terytorialne </w:t>
      </w:r>
      <w:r w:rsidR="00CD52C6" w:rsidRPr="00890249">
        <w:rPr>
          <w:rFonts w:asciiTheme="minorHAnsi" w:hAnsiTheme="minorHAnsi" w:cstheme="minorHAnsi"/>
          <w:sz w:val="22"/>
          <w:szCs w:val="22"/>
        </w:rPr>
        <w:t>- poprzez zastosowanie instrumentu ZIT dla MOF Aglomeracji Opolskiej</w:t>
      </w:r>
      <w:r w:rsidR="005D06FE" w:rsidRPr="00890249">
        <w:rPr>
          <w:rFonts w:asciiTheme="minorHAnsi" w:hAnsiTheme="minorHAnsi" w:cstheme="minorHAnsi"/>
          <w:sz w:val="22"/>
          <w:szCs w:val="22"/>
        </w:rPr>
        <w:t xml:space="preserve">, IIT </w:t>
      </w:r>
      <w:r w:rsidR="00CD52C6" w:rsidRPr="00890249">
        <w:rPr>
          <w:rFonts w:asciiTheme="minorHAnsi" w:hAnsiTheme="minorHAnsi" w:cstheme="minorHAnsi"/>
          <w:sz w:val="22"/>
          <w:szCs w:val="22"/>
        </w:rPr>
        <w:t>wspierający</w:t>
      </w:r>
      <w:r w:rsidR="006C12C3" w:rsidRPr="00890249">
        <w:rPr>
          <w:rFonts w:asciiTheme="minorHAnsi" w:hAnsiTheme="minorHAnsi" w:cstheme="minorHAnsi"/>
          <w:sz w:val="22"/>
          <w:szCs w:val="22"/>
        </w:rPr>
        <w:t>ch</w:t>
      </w:r>
      <w:r w:rsidR="007E4109" w:rsidRPr="00890249">
        <w:rPr>
          <w:rFonts w:asciiTheme="minorHAnsi" w:hAnsiTheme="minorHAnsi" w:cstheme="minorHAnsi"/>
          <w:sz w:val="22"/>
          <w:szCs w:val="22"/>
        </w:rPr>
        <w:t xml:space="preserve"> rozwój 4 </w:t>
      </w:r>
      <w:r w:rsidR="00CD52C6" w:rsidRPr="00890249">
        <w:rPr>
          <w:rFonts w:asciiTheme="minorHAnsi" w:hAnsiTheme="minorHAnsi" w:cstheme="minorHAnsi"/>
          <w:sz w:val="22"/>
          <w:szCs w:val="22"/>
        </w:rPr>
        <w:t>Subregionów powiązanych ze sobą funkcjonalnie poprzez realizację projektów, wymagają</w:t>
      </w:r>
      <w:r w:rsidR="006C12C3" w:rsidRPr="00890249">
        <w:rPr>
          <w:rFonts w:asciiTheme="minorHAnsi" w:hAnsiTheme="minorHAnsi" w:cstheme="minorHAnsi"/>
          <w:sz w:val="22"/>
          <w:szCs w:val="22"/>
        </w:rPr>
        <w:t>cych</w:t>
      </w:r>
      <w:r w:rsidR="00CD52C6" w:rsidRPr="00890249">
        <w:rPr>
          <w:rFonts w:asciiTheme="minorHAnsi" w:hAnsiTheme="minorHAnsi" w:cstheme="minorHAnsi"/>
          <w:sz w:val="22"/>
          <w:szCs w:val="22"/>
        </w:rPr>
        <w:t xml:space="preserve"> współpracy JST zgodnie ze wspólnie opracowaną strategią</w:t>
      </w:r>
      <w:r w:rsidR="00F135A2" w:rsidRPr="00890249">
        <w:rPr>
          <w:rFonts w:asciiTheme="minorHAnsi" w:hAnsiTheme="minorHAnsi" w:cstheme="minorHAnsi"/>
          <w:sz w:val="22"/>
          <w:szCs w:val="22"/>
        </w:rPr>
        <w:t xml:space="preserve">, </w:t>
      </w:r>
      <w:r w:rsidR="00A70C7F" w:rsidRPr="00890249">
        <w:rPr>
          <w:rFonts w:asciiTheme="minorHAnsi" w:hAnsiTheme="minorHAnsi" w:cstheme="minorHAnsi"/>
          <w:sz w:val="22"/>
          <w:szCs w:val="22"/>
        </w:rPr>
        <w:t>rewitalizację miast, gmin miejsko-wiejskich</w:t>
      </w:r>
      <w:r w:rsidR="00CD52C6" w:rsidRPr="00890249">
        <w:rPr>
          <w:rFonts w:asciiTheme="minorHAnsi" w:hAnsiTheme="minorHAnsi" w:cstheme="minorHAnsi"/>
          <w:sz w:val="22"/>
          <w:szCs w:val="22"/>
        </w:rPr>
        <w:t xml:space="preserve"> </w:t>
      </w:r>
      <w:r w:rsidR="00A70C7F" w:rsidRPr="00890249">
        <w:rPr>
          <w:rFonts w:asciiTheme="minorHAnsi" w:hAnsiTheme="minorHAnsi" w:cstheme="minorHAnsi"/>
          <w:sz w:val="22"/>
          <w:szCs w:val="22"/>
        </w:rPr>
        <w:t>i</w:t>
      </w:r>
      <w:r w:rsidRPr="00890249">
        <w:rPr>
          <w:rFonts w:asciiTheme="minorHAnsi" w:hAnsiTheme="minorHAnsi" w:cstheme="minorHAnsi"/>
          <w:sz w:val="22"/>
          <w:szCs w:val="22"/>
        </w:rPr>
        <w:t> </w:t>
      </w:r>
      <w:r w:rsidR="00A70C7F" w:rsidRPr="00890249">
        <w:rPr>
          <w:rFonts w:asciiTheme="minorHAnsi" w:hAnsiTheme="minorHAnsi" w:cstheme="minorHAnsi"/>
          <w:sz w:val="22"/>
          <w:szCs w:val="22"/>
        </w:rPr>
        <w:t xml:space="preserve">wiejskich </w:t>
      </w:r>
      <w:r w:rsidR="004E5F74" w:rsidRPr="00890249">
        <w:rPr>
          <w:rFonts w:asciiTheme="minorHAnsi" w:hAnsiTheme="minorHAnsi" w:cstheme="minorHAnsi"/>
          <w:sz w:val="22"/>
          <w:szCs w:val="22"/>
        </w:rPr>
        <w:t>(w oparciu o </w:t>
      </w:r>
      <w:r w:rsidR="00F135A2" w:rsidRPr="00890249">
        <w:rPr>
          <w:rFonts w:asciiTheme="minorHAnsi" w:hAnsiTheme="minorHAnsi" w:cstheme="minorHAnsi"/>
          <w:sz w:val="22"/>
          <w:szCs w:val="22"/>
        </w:rPr>
        <w:t>GPR</w:t>
      </w:r>
      <w:r w:rsidR="007F4179" w:rsidRPr="00890249">
        <w:rPr>
          <w:rFonts w:asciiTheme="minorHAnsi" w:hAnsiTheme="minorHAnsi" w:cstheme="minorHAnsi"/>
          <w:sz w:val="22"/>
          <w:szCs w:val="22"/>
        </w:rPr>
        <w:t>-y</w:t>
      </w:r>
      <w:r w:rsidR="00F135A2" w:rsidRPr="00890249">
        <w:rPr>
          <w:rFonts w:asciiTheme="minorHAnsi" w:hAnsiTheme="minorHAnsi" w:cstheme="minorHAnsi"/>
          <w:sz w:val="22"/>
          <w:szCs w:val="22"/>
        </w:rPr>
        <w:t xml:space="preserve"> pełniąc</w:t>
      </w:r>
      <w:r w:rsidR="007F4179" w:rsidRPr="00890249">
        <w:rPr>
          <w:rFonts w:asciiTheme="minorHAnsi" w:hAnsiTheme="minorHAnsi" w:cstheme="minorHAnsi"/>
          <w:sz w:val="22"/>
          <w:szCs w:val="22"/>
        </w:rPr>
        <w:t>e</w:t>
      </w:r>
      <w:r w:rsidR="00F135A2" w:rsidRPr="00890249">
        <w:rPr>
          <w:rFonts w:asciiTheme="minorHAnsi" w:hAnsiTheme="minorHAnsi" w:cstheme="minorHAnsi"/>
          <w:sz w:val="22"/>
          <w:szCs w:val="22"/>
        </w:rPr>
        <w:t xml:space="preserve"> funkcję strategii IIT) </w:t>
      </w:r>
      <w:r w:rsidR="00A70C7F" w:rsidRPr="00890249">
        <w:rPr>
          <w:rFonts w:asciiTheme="minorHAnsi" w:hAnsiTheme="minorHAnsi" w:cstheme="minorHAnsi"/>
          <w:sz w:val="22"/>
          <w:szCs w:val="22"/>
        </w:rPr>
        <w:t xml:space="preserve">oraz krajowe </w:t>
      </w:r>
      <w:r w:rsidR="00AE3290" w:rsidRPr="00890249">
        <w:rPr>
          <w:rFonts w:asciiTheme="minorHAnsi" w:hAnsiTheme="minorHAnsi" w:cstheme="minorHAnsi"/>
          <w:sz w:val="22"/>
          <w:szCs w:val="22"/>
        </w:rPr>
        <w:t>OSI</w:t>
      </w:r>
      <w:r w:rsidR="00A70C7F" w:rsidRPr="00890249">
        <w:rPr>
          <w:rFonts w:asciiTheme="minorHAnsi" w:hAnsiTheme="minorHAnsi" w:cstheme="minorHAnsi"/>
          <w:sz w:val="22"/>
          <w:szCs w:val="22"/>
        </w:rPr>
        <w:t xml:space="preserve">, </w:t>
      </w:r>
      <w:r w:rsidR="006C12C3" w:rsidRPr="00890249">
        <w:rPr>
          <w:rFonts w:asciiTheme="minorHAnsi" w:hAnsiTheme="minorHAnsi" w:cstheme="minorHAnsi"/>
          <w:sz w:val="22"/>
          <w:szCs w:val="22"/>
        </w:rPr>
        <w:t xml:space="preserve">tj. </w:t>
      </w:r>
      <w:r w:rsidR="00A70C7F" w:rsidRPr="00890249">
        <w:rPr>
          <w:rFonts w:asciiTheme="minorHAnsi" w:hAnsiTheme="minorHAnsi" w:cstheme="minorHAnsi"/>
          <w:sz w:val="22"/>
          <w:szCs w:val="22"/>
        </w:rPr>
        <w:t>miasta</w:t>
      </w:r>
      <w:r w:rsidR="00FD764B" w:rsidRPr="00890249">
        <w:rPr>
          <w:rFonts w:asciiTheme="minorHAnsi" w:hAnsiTheme="minorHAnsi" w:cstheme="minorHAnsi"/>
          <w:sz w:val="22"/>
          <w:szCs w:val="22"/>
        </w:rPr>
        <w:t xml:space="preserve"> średnie </w:t>
      </w:r>
      <w:r w:rsidR="00A70C7F" w:rsidRPr="00890249">
        <w:rPr>
          <w:rFonts w:asciiTheme="minorHAnsi" w:hAnsiTheme="minorHAnsi" w:cstheme="minorHAnsi"/>
          <w:sz w:val="22"/>
          <w:szCs w:val="22"/>
        </w:rPr>
        <w:t>tracące funkcje społ</w:t>
      </w:r>
      <w:r w:rsidR="007F4179" w:rsidRPr="00890249">
        <w:rPr>
          <w:rFonts w:asciiTheme="minorHAnsi" w:hAnsiTheme="minorHAnsi" w:cstheme="minorHAnsi"/>
          <w:sz w:val="22"/>
          <w:szCs w:val="22"/>
        </w:rPr>
        <w:t>.</w:t>
      </w:r>
      <w:r w:rsidR="00A70C7F" w:rsidRPr="00890249">
        <w:rPr>
          <w:rFonts w:asciiTheme="minorHAnsi" w:hAnsiTheme="minorHAnsi" w:cstheme="minorHAnsi"/>
          <w:sz w:val="22"/>
          <w:szCs w:val="22"/>
        </w:rPr>
        <w:t>-gosp</w:t>
      </w:r>
      <w:r w:rsidR="007F4179" w:rsidRPr="00890249">
        <w:rPr>
          <w:rFonts w:asciiTheme="minorHAnsi" w:hAnsiTheme="minorHAnsi" w:cstheme="minorHAnsi"/>
          <w:sz w:val="22"/>
          <w:szCs w:val="22"/>
        </w:rPr>
        <w:t>.</w:t>
      </w:r>
      <w:r w:rsidR="00A70C7F" w:rsidRPr="00890249">
        <w:rPr>
          <w:rFonts w:asciiTheme="minorHAnsi" w:hAnsiTheme="minorHAnsi" w:cstheme="minorHAnsi"/>
          <w:sz w:val="22"/>
          <w:szCs w:val="22"/>
        </w:rPr>
        <w:t xml:space="preserve"> i</w:t>
      </w:r>
      <w:r w:rsidR="00F135A2" w:rsidRPr="00890249">
        <w:rPr>
          <w:rFonts w:asciiTheme="minorHAnsi" w:hAnsiTheme="minorHAnsi" w:cstheme="minorHAnsi"/>
          <w:sz w:val="22"/>
          <w:szCs w:val="22"/>
        </w:rPr>
        <w:t> </w:t>
      </w:r>
      <w:r w:rsidR="00A70C7F" w:rsidRPr="00890249">
        <w:rPr>
          <w:rFonts w:asciiTheme="minorHAnsi" w:hAnsiTheme="minorHAnsi" w:cstheme="minorHAnsi"/>
          <w:sz w:val="22"/>
          <w:szCs w:val="22"/>
        </w:rPr>
        <w:t>obszary zagrożone trwałą marginalizacją.</w:t>
      </w:r>
      <w:r w:rsidR="00F64FBA" w:rsidRPr="00890249">
        <w:rPr>
          <w:rFonts w:asciiTheme="minorHAnsi" w:hAnsiTheme="minorHAnsi" w:cstheme="minorHAnsi"/>
          <w:sz w:val="22"/>
          <w:szCs w:val="22"/>
        </w:rPr>
        <w:t xml:space="preserve"> Zadania ZIT będą ograniczone do wyboru operacji</w:t>
      </w:r>
      <w:r w:rsidR="002C61C0" w:rsidRPr="00890249">
        <w:rPr>
          <w:rFonts w:asciiTheme="minorHAnsi" w:hAnsiTheme="minorHAnsi" w:cstheme="minorHAnsi"/>
          <w:sz w:val="22"/>
          <w:szCs w:val="22"/>
        </w:rPr>
        <w:t xml:space="preserve"> poprzez wskazanie listy projektów w strategii</w:t>
      </w:r>
      <w:r w:rsidR="00F64FBA" w:rsidRPr="00890249">
        <w:rPr>
          <w:rFonts w:asciiTheme="minorHAnsi" w:hAnsiTheme="minorHAnsi" w:cstheme="minorHAnsi"/>
          <w:sz w:val="22"/>
          <w:szCs w:val="22"/>
        </w:rPr>
        <w:t xml:space="preserve">. </w:t>
      </w:r>
      <w:r w:rsidR="005D06FE" w:rsidRPr="00890249">
        <w:rPr>
          <w:rFonts w:asciiTheme="minorHAnsi" w:hAnsiTheme="minorHAnsi" w:cstheme="minorHAnsi"/>
          <w:sz w:val="22"/>
          <w:szCs w:val="22"/>
        </w:rPr>
        <w:t>Wyzwaniem dla spójnego rozwoju terytorialnego regionu będzie interwencj</w:t>
      </w:r>
      <w:r w:rsidR="00D760AD" w:rsidRPr="00890249">
        <w:rPr>
          <w:rFonts w:asciiTheme="minorHAnsi" w:hAnsiTheme="minorHAnsi" w:cstheme="minorHAnsi"/>
          <w:sz w:val="22"/>
          <w:szCs w:val="22"/>
        </w:rPr>
        <w:t>a</w:t>
      </w:r>
      <w:r w:rsidR="005D06FE" w:rsidRPr="00890249">
        <w:rPr>
          <w:rFonts w:asciiTheme="minorHAnsi" w:hAnsiTheme="minorHAnsi" w:cstheme="minorHAnsi"/>
          <w:sz w:val="22"/>
          <w:szCs w:val="22"/>
        </w:rPr>
        <w:t xml:space="preserve"> na wzmocnienie OSI regionalnych </w:t>
      </w:r>
      <w:r w:rsidR="00D760AD" w:rsidRPr="00890249">
        <w:rPr>
          <w:rFonts w:asciiTheme="minorHAnsi" w:hAnsiTheme="minorHAnsi" w:cstheme="minorHAnsi"/>
          <w:sz w:val="22"/>
          <w:szCs w:val="22"/>
        </w:rPr>
        <w:t xml:space="preserve">cechujących się </w:t>
      </w:r>
      <w:r w:rsidR="005D06FE" w:rsidRPr="00890249">
        <w:rPr>
          <w:rFonts w:asciiTheme="minorHAnsi" w:hAnsiTheme="minorHAnsi" w:cstheme="minorHAnsi"/>
          <w:sz w:val="22"/>
          <w:szCs w:val="22"/>
        </w:rPr>
        <w:t>systemami powiązań społecznych, gospodarczych lub przyrodniczych określonych w SRWO 2030. Wsparcie skierowane będzie m.in.</w:t>
      </w:r>
      <w:r w:rsidR="006C12C3" w:rsidRPr="00890249">
        <w:rPr>
          <w:rFonts w:asciiTheme="minorHAnsi" w:hAnsiTheme="minorHAnsi" w:cstheme="minorHAnsi"/>
          <w:sz w:val="22"/>
          <w:szCs w:val="22"/>
        </w:rPr>
        <w:t xml:space="preserve"> na</w:t>
      </w:r>
      <w:r w:rsidR="00C80A6D" w:rsidRPr="00890249">
        <w:rPr>
          <w:rFonts w:asciiTheme="minorHAnsi" w:hAnsiTheme="minorHAnsi" w:cstheme="minorHAnsi"/>
          <w:sz w:val="22"/>
          <w:szCs w:val="22"/>
        </w:rPr>
        <w:t xml:space="preserve"> </w:t>
      </w:r>
      <w:r w:rsidR="005D06FE" w:rsidRPr="00890249">
        <w:rPr>
          <w:rFonts w:asciiTheme="minorHAnsi" w:hAnsiTheme="minorHAnsi" w:cstheme="minorHAnsi"/>
          <w:sz w:val="22"/>
          <w:szCs w:val="22"/>
        </w:rPr>
        <w:t>rozw</w:t>
      </w:r>
      <w:r w:rsidR="00195F58" w:rsidRPr="00890249">
        <w:rPr>
          <w:rFonts w:asciiTheme="minorHAnsi" w:hAnsiTheme="minorHAnsi" w:cstheme="minorHAnsi"/>
          <w:sz w:val="22"/>
          <w:szCs w:val="22"/>
        </w:rPr>
        <w:t>ó</w:t>
      </w:r>
      <w:r w:rsidR="005D06FE" w:rsidRPr="00890249">
        <w:rPr>
          <w:rFonts w:asciiTheme="minorHAnsi" w:hAnsiTheme="minorHAnsi" w:cstheme="minorHAnsi"/>
          <w:sz w:val="22"/>
          <w:szCs w:val="22"/>
        </w:rPr>
        <w:t>j niskoemisyjnego transportu publicznego, wzmocnienie</w:t>
      </w:r>
      <w:r w:rsidR="004E5F74" w:rsidRPr="00890249">
        <w:rPr>
          <w:rFonts w:asciiTheme="minorHAnsi" w:hAnsiTheme="minorHAnsi" w:cstheme="minorHAnsi"/>
          <w:sz w:val="22"/>
          <w:szCs w:val="22"/>
        </w:rPr>
        <w:t xml:space="preserve"> funkcji kulturowych, ochronę i </w:t>
      </w:r>
      <w:r w:rsidR="005D06FE" w:rsidRPr="00890249">
        <w:rPr>
          <w:rFonts w:asciiTheme="minorHAnsi" w:hAnsiTheme="minorHAnsi" w:cstheme="minorHAnsi"/>
          <w:sz w:val="22"/>
          <w:szCs w:val="22"/>
        </w:rPr>
        <w:t xml:space="preserve">poprawę jakości środowiska oraz walorów krajobrazowych, </w:t>
      </w:r>
      <w:r w:rsidR="00FD764B" w:rsidRPr="00890249">
        <w:rPr>
          <w:rFonts w:asciiTheme="minorHAnsi" w:hAnsiTheme="minorHAnsi" w:cstheme="minorHAnsi"/>
          <w:sz w:val="22"/>
          <w:szCs w:val="22"/>
        </w:rPr>
        <w:t xml:space="preserve">czy </w:t>
      </w:r>
      <w:r w:rsidR="005D06FE" w:rsidRPr="00890249">
        <w:rPr>
          <w:rFonts w:asciiTheme="minorHAnsi" w:hAnsiTheme="minorHAnsi" w:cstheme="minorHAnsi"/>
          <w:sz w:val="22"/>
          <w:szCs w:val="22"/>
        </w:rPr>
        <w:t>wzmocnienie funkcji społecznych służących mieszkańcom regionu.</w:t>
      </w:r>
    </w:p>
    <w:p w14:paraId="7986F960" w14:textId="1CF051C6" w:rsidR="0093433C" w:rsidRPr="00890249" w:rsidRDefault="009D6E5E"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w:t>
      </w:r>
      <w:r w:rsidR="00AE3290" w:rsidRPr="00890249">
        <w:rPr>
          <w:rFonts w:asciiTheme="minorHAnsi" w:hAnsiTheme="minorHAnsi" w:cstheme="minorHAnsi"/>
          <w:sz w:val="22"/>
          <w:szCs w:val="22"/>
        </w:rPr>
        <w:t>prowadza się również</w:t>
      </w:r>
      <w:r w:rsidR="00A70C7F" w:rsidRPr="00890249">
        <w:rPr>
          <w:rFonts w:asciiTheme="minorHAnsi" w:hAnsiTheme="minorHAnsi" w:cstheme="minorHAnsi"/>
          <w:sz w:val="22"/>
          <w:szCs w:val="22"/>
        </w:rPr>
        <w:t xml:space="preserve"> </w:t>
      </w:r>
      <w:r w:rsidR="00922E46" w:rsidRPr="00890249">
        <w:rPr>
          <w:rFonts w:asciiTheme="minorHAnsi" w:hAnsiTheme="minorHAnsi" w:cstheme="minorHAnsi"/>
          <w:sz w:val="22"/>
          <w:szCs w:val="22"/>
        </w:rPr>
        <w:t xml:space="preserve">kompleksowe działania </w:t>
      </w:r>
      <w:r w:rsidR="00A70C7F" w:rsidRPr="00890249">
        <w:rPr>
          <w:rFonts w:asciiTheme="minorHAnsi" w:hAnsiTheme="minorHAnsi" w:cstheme="minorHAnsi"/>
          <w:sz w:val="22"/>
          <w:szCs w:val="22"/>
        </w:rPr>
        <w:t>finansowane z EFS+, tj. edukacji, usług zdrowotnych</w:t>
      </w:r>
      <w:r w:rsidR="00922E46" w:rsidRPr="00890249">
        <w:rPr>
          <w:rFonts w:asciiTheme="minorHAnsi" w:hAnsiTheme="minorHAnsi" w:cstheme="minorHAnsi"/>
          <w:sz w:val="22"/>
          <w:szCs w:val="22"/>
        </w:rPr>
        <w:t xml:space="preserve">, </w:t>
      </w:r>
      <w:r w:rsidR="00A70C7F" w:rsidRPr="00890249">
        <w:rPr>
          <w:rFonts w:asciiTheme="minorHAnsi" w:hAnsiTheme="minorHAnsi" w:cstheme="minorHAnsi"/>
          <w:sz w:val="22"/>
          <w:szCs w:val="22"/>
        </w:rPr>
        <w:t xml:space="preserve">społecznych, </w:t>
      </w:r>
      <w:r w:rsidR="00922E46" w:rsidRPr="00890249">
        <w:rPr>
          <w:rFonts w:asciiTheme="minorHAnsi" w:hAnsiTheme="minorHAnsi" w:cstheme="minorHAnsi"/>
          <w:sz w:val="22"/>
          <w:szCs w:val="22"/>
        </w:rPr>
        <w:t xml:space="preserve">czy </w:t>
      </w:r>
      <w:r w:rsidR="0043241C" w:rsidRPr="00890249">
        <w:rPr>
          <w:rFonts w:asciiTheme="minorHAnsi" w:hAnsiTheme="minorHAnsi" w:cstheme="minorHAnsi"/>
          <w:sz w:val="22"/>
          <w:szCs w:val="22"/>
        </w:rPr>
        <w:t>projekty grantowe o </w:t>
      </w:r>
      <w:r w:rsidR="00A70C7F" w:rsidRPr="00890249">
        <w:rPr>
          <w:rFonts w:asciiTheme="minorHAnsi" w:hAnsiTheme="minorHAnsi" w:cstheme="minorHAnsi"/>
          <w:sz w:val="22"/>
          <w:szCs w:val="22"/>
        </w:rPr>
        <w:t xml:space="preserve">zasięgu lokalnym. </w:t>
      </w:r>
    </w:p>
    <w:p w14:paraId="5B301846" w14:textId="77777777" w:rsidR="0093433C" w:rsidRPr="00890249" w:rsidRDefault="00A43991">
      <w:pPr>
        <w:rPr>
          <w:rFonts w:asciiTheme="minorHAnsi" w:eastAsia="Times New Roman" w:hAnsiTheme="minorHAnsi" w:cstheme="minorHAnsi"/>
          <w:color w:val="2E74B5" w:themeColor="accent1" w:themeShade="BF"/>
          <w:sz w:val="22"/>
          <w:szCs w:val="22"/>
        </w:rPr>
      </w:pPr>
      <w:r w:rsidRPr="00890249">
        <w:rPr>
          <w:rFonts w:asciiTheme="minorHAnsi" w:eastAsia="Times New Roman" w:hAnsiTheme="minorHAnsi" w:cstheme="minorHAnsi"/>
          <w:b/>
          <w:i/>
          <w:color w:val="2F5496" w:themeColor="accent5" w:themeShade="BF"/>
          <w:sz w:val="22"/>
          <w:szCs w:val="22"/>
        </w:rPr>
        <w:t>Poziom rozwoju i tempo wzrostu gospodarczego</w:t>
      </w:r>
    </w:p>
    <w:p w14:paraId="0B0DB015" w14:textId="6E5FE455" w:rsidR="0093433C" w:rsidRPr="00890249" w:rsidRDefault="00AE3290"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Woj.</w:t>
      </w:r>
      <w:r w:rsidR="008374CE" w:rsidRPr="00890249">
        <w:rPr>
          <w:rFonts w:asciiTheme="minorHAnsi" w:hAnsiTheme="minorHAnsi" w:cstheme="minorHAnsi"/>
          <w:sz w:val="22"/>
          <w:szCs w:val="22"/>
        </w:rPr>
        <w:t xml:space="preserve"> opolskie charakteryzuje śr</w:t>
      </w:r>
      <w:r w:rsidR="006C12C3"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poziom rozwoju gosp</w:t>
      </w:r>
      <w:r w:rsidR="006C12C3"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w:t>
      </w:r>
      <w:r w:rsidRPr="00890249">
        <w:rPr>
          <w:rFonts w:asciiTheme="minorHAnsi" w:hAnsiTheme="minorHAnsi" w:cstheme="minorHAnsi"/>
          <w:sz w:val="22"/>
          <w:szCs w:val="22"/>
        </w:rPr>
        <w:t>mierzony wart</w:t>
      </w:r>
      <w:r w:rsidR="00922E46" w:rsidRPr="00890249">
        <w:rPr>
          <w:rFonts w:asciiTheme="minorHAnsi" w:hAnsiTheme="minorHAnsi" w:cstheme="minorHAnsi"/>
          <w:sz w:val="22"/>
          <w:szCs w:val="22"/>
        </w:rPr>
        <w:t>.</w:t>
      </w:r>
      <w:r w:rsidRPr="00890249">
        <w:rPr>
          <w:rFonts w:asciiTheme="minorHAnsi" w:hAnsiTheme="minorHAnsi" w:cstheme="minorHAnsi"/>
          <w:sz w:val="22"/>
          <w:szCs w:val="22"/>
        </w:rPr>
        <w:t xml:space="preserve"> </w:t>
      </w:r>
      <w:r w:rsidR="001074F7" w:rsidRPr="00890249">
        <w:rPr>
          <w:rFonts w:asciiTheme="minorHAnsi" w:hAnsiTheme="minorHAnsi" w:cstheme="minorHAnsi"/>
          <w:sz w:val="22"/>
          <w:szCs w:val="22"/>
        </w:rPr>
        <w:t>PKB</w:t>
      </w:r>
      <w:r w:rsidR="008374CE" w:rsidRPr="00890249">
        <w:rPr>
          <w:rFonts w:asciiTheme="minorHAnsi" w:hAnsiTheme="minorHAnsi" w:cstheme="minorHAnsi"/>
          <w:sz w:val="22"/>
          <w:szCs w:val="22"/>
        </w:rPr>
        <w:t xml:space="preserve"> na mieszkańca. Mimo wzrostu PKB per capita obserwuje się pogorszenie relacji w stos</w:t>
      </w:r>
      <w:r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do </w:t>
      </w:r>
      <w:r w:rsidR="00E531BC" w:rsidRPr="00890249">
        <w:rPr>
          <w:rFonts w:asciiTheme="minorHAnsi" w:hAnsiTheme="minorHAnsi" w:cstheme="minorHAnsi"/>
          <w:sz w:val="22"/>
          <w:szCs w:val="22"/>
        </w:rPr>
        <w:t>śr</w:t>
      </w:r>
      <w:r w:rsidR="006C12C3" w:rsidRPr="00890249">
        <w:rPr>
          <w:rFonts w:asciiTheme="minorHAnsi" w:hAnsiTheme="minorHAnsi" w:cstheme="minorHAnsi"/>
          <w:sz w:val="22"/>
          <w:szCs w:val="22"/>
        </w:rPr>
        <w:t>.</w:t>
      </w:r>
      <w:r w:rsidR="00E531BC" w:rsidRPr="00890249">
        <w:rPr>
          <w:rFonts w:asciiTheme="minorHAnsi" w:hAnsiTheme="minorHAnsi" w:cstheme="minorHAnsi"/>
          <w:sz w:val="22"/>
          <w:szCs w:val="22"/>
        </w:rPr>
        <w:t xml:space="preserve"> </w:t>
      </w:r>
      <w:r w:rsidR="008374CE" w:rsidRPr="00890249">
        <w:rPr>
          <w:rFonts w:asciiTheme="minorHAnsi" w:hAnsiTheme="minorHAnsi" w:cstheme="minorHAnsi"/>
          <w:sz w:val="22"/>
          <w:szCs w:val="22"/>
        </w:rPr>
        <w:t xml:space="preserve">wartości w kraju. Do atutów województwa </w:t>
      </w:r>
      <w:r w:rsidRPr="00890249">
        <w:rPr>
          <w:rFonts w:asciiTheme="minorHAnsi" w:hAnsiTheme="minorHAnsi" w:cstheme="minorHAnsi"/>
          <w:sz w:val="22"/>
          <w:szCs w:val="22"/>
        </w:rPr>
        <w:t xml:space="preserve">należy </w:t>
      </w:r>
      <w:r w:rsidR="009D6E5E" w:rsidRPr="00890249">
        <w:rPr>
          <w:rFonts w:asciiTheme="minorHAnsi" w:hAnsiTheme="minorHAnsi" w:cstheme="minorHAnsi"/>
          <w:sz w:val="22"/>
          <w:szCs w:val="22"/>
        </w:rPr>
        <w:t xml:space="preserve">gł. </w:t>
      </w:r>
      <w:r w:rsidR="00735F31" w:rsidRPr="00890249">
        <w:rPr>
          <w:rFonts w:asciiTheme="minorHAnsi" w:hAnsiTheme="minorHAnsi" w:cstheme="minorHAnsi"/>
          <w:sz w:val="22"/>
          <w:szCs w:val="22"/>
        </w:rPr>
        <w:t>zróżnicowana struktura przemysłu oraz długoletnia tradycja</w:t>
      </w:r>
      <w:r w:rsidR="008374CE" w:rsidRPr="00890249">
        <w:rPr>
          <w:rFonts w:asciiTheme="minorHAnsi" w:hAnsiTheme="minorHAnsi" w:cstheme="minorHAnsi"/>
          <w:sz w:val="22"/>
          <w:szCs w:val="22"/>
        </w:rPr>
        <w:t xml:space="preserve"> produkcji przemysłowej (przemysł spożywczy, mineralny, metalowy oraz chemiczny), położenie oraz wzrost wartości </w:t>
      </w:r>
      <w:r w:rsidR="00735F31" w:rsidRPr="00890249">
        <w:rPr>
          <w:rFonts w:asciiTheme="minorHAnsi" w:hAnsiTheme="minorHAnsi" w:cstheme="minorHAnsi"/>
          <w:sz w:val="22"/>
          <w:szCs w:val="22"/>
        </w:rPr>
        <w:t>eksportu</w:t>
      </w:r>
      <w:r w:rsidR="00922E46" w:rsidRPr="00890249">
        <w:rPr>
          <w:rFonts w:asciiTheme="minorHAnsi" w:hAnsiTheme="minorHAnsi" w:cstheme="minorHAnsi"/>
          <w:sz w:val="22"/>
          <w:szCs w:val="22"/>
        </w:rPr>
        <w:t xml:space="preserve">, co </w:t>
      </w:r>
      <w:r w:rsidR="008374CE" w:rsidRPr="00890249">
        <w:rPr>
          <w:rFonts w:asciiTheme="minorHAnsi" w:hAnsiTheme="minorHAnsi" w:cstheme="minorHAnsi"/>
          <w:sz w:val="22"/>
          <w:szCs w:val="22"/>
        </w:rPr>
        <w:t>przekłada się na wartość regionalnego PKB.</w:t>
      </w:r>
    </w:p>
    <w:p w14:paraId="17673282" w14:textId="39EAE8F1" w:rsidR="00F95385" w:rsidRPr="00890249" w:rsidRDefault="00F95385">
      <w:pPr>
        <w:pStyle w:val="Tekstpodstawowy"/>
        <w:rPr>
          <w:rFonts w:asciiTheme="minorHAnsi" w:hAnsiTheme="minorHAnsi" w:cstheme="minorHAnsi"/>
          <w:vanish/>
          <w:sz w:val="22"/>
          <w:szCs w:val="22"/>
        </w:rPr>
      </w:pPr>
      <w:r w:rsidRPr="00890249">
        <w:rPr>
          <w:rFonts w:asciiTheme="minorHAnsi" w:hAnsiTheme="minorHAnsi" w:cstheme="minorHAnsi"/>
          <w:vanish/>
          <w:sz w:val="22"/>
          <w:szCs w:val="22"/>
        </w:rPr>
        <w:br w:type="page"/>
      </w:r>
    </w:p>
    <w:p w14:paraId="124A4225" w14:textId="68F7E713" w:rsidR="0093433C" w:rsidRPr="00890249" w:rsidRDefault="00735F3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w:t>
      </w:r>
      <w:r w:rsidR="008374CE" w:rsidRPr="00890249">
        <w:rPr>
          <w:rFonts w:asciiTheme="minorHAnsi" w:hAnsiTheme="minorHAnsi" w:cstheme="minorHAnsi"/>
          <w:sz w:val="22"/>
          <w:szCs w:val="22"/>
        </w:rPr>
        <w:t xml:space="preserve"> skali europejskiej </w:t>
      </w:r>
      <w:r w:rsidRPr="00890249">
        <w:rPr>
          <w:rFonts w:asciiTheme="minorHAnsi" w:hAnsiTheme="minorHAnsi" w:cstheme="minorHAnsi"/>
          <w:sz w:val="22"/>
          <w:szCs w:val="22"/>
        </w:rPr>
        <w:t>Opolszczyzna zaliczana</w:t>
      </w:r>
      <w:r w:rsidR="008374CE" w:rsidRPr="00890249">
        <w:rPr>
          <w:rFonts w:asciiTheme="minorHAnsi" w:hAnsiTheme="minorHAnsi" w:cstheme="minorHAnsi"/>
          <w:sz w:val="22"/>
          <w:szCs w:val="22"/>
        </w:rPr>
        <w:t xml:space="preserve"> jest do grupy regionów „innowatorów o skromnych wynikach”. </w:t>
      </w:r>
      <w:r w:rsidR="00A844A9" w:rsidRPr="00890249">
        <w:rPr>
          <w:rFonts w:asciiTheme="minorHAnsi" w:hAnsiTheme="minorHAnsi" w:cstheme="minorHAnsi"/>
          <w:sz w:val="22"/>
          <w:szCs w:val="22"/>
        </w:rPr>
        <w:t>J</w:t>
      </w:r>
      <w:r w:rsidR="008374CE" w:rsidRPr="00890249">
        <w:rPr>
          <w:rFonts w:asciiTheme="minorHAnsi" w:hAnsiTheme="minorHAnsi" w:cstheme="minorHAnsi"/>
          <w:sz w:val="22"/>
          <w:szCs w:val="22"/>
        </w:rPr>
        <w:t>est obszarem relatywnie wolneg</w:t>
      </w:r>
      <w:r w:rsidR="0043241C" w:rsidRPr="00890249">
        <w:rPr>
          <w:rFonts w:asciiTheme="minorHAnsi" w:hAnsiTheme="minorHAnsi" w:cstheme="minorHAnsi"/>
          <w:sz w:val="22"/>
          <w:szCs w:val="22"/>
        </w:rPr>
        <w:t>o tempa wzrostu gosp</w:t>
      </w:r>
      <w:r w:rsidR="006D4622" w:rsidRPr="00890249">
        <w:rPr>
          <w:rFonts w:asciiTheme="minorHAnsi" w:hAnsiTheme="minorHAnsi" w:cstheme="minorHAnsi"/>
          <w:sz w:val="22"/>
          <w:szCs w:val="22"/>
        </w:rPr>
        <w:t>.</w:t>
      </w:r>
      <w:r w:rsidR="0043241C" w:rsidRPr="00890249">
        <w:rPr>
          <w:rFonts w:asciiTheme="minorHAnsi" w:hAnsiTheme="minorHAnsi" w:cstheme="minorHAnsi"/>
          <w:sz w:val="22"/>
          <w:szCs w:val="22"/>
        </w:rPr>
        <w:t xml:space="preserve"> i </w:t>
      </w:r>
      <w:r w:rsidR="008374CE" w:rsidRPr="00890249">
        <w:rPr>
          <w:rFonts w:asciiTheme="minorHAnsi" w:hAnsiTheme="minorHAnsi" w:cstheme="minorHAnsi"/>
          <w:sz w:val="22"/>
          <w:szCs w:val="22"/>
        </w:rPr>
        <w:t>na tle kraju w</w:t>
      </w:r>
      <w:r w:rsidR="00A2724A" w:rsidRPr="00890249">
        <w:rPr>
          <w:rFonts w:asciiTheme="minorHAnsi" w:hAnsiTheme="minorHAnsi" w:cstheme="minorHAnsi"/>
          <w:sz w:val="22"/>
          <w:szCs w:val="22"/>
        </w:rPr>
        <w:t> </w:t>
      </w:r>
      <w:r w:rsidR="008374CE" w:rsidRPr="00890249">
        <w:rPr>
          <w:rFonts w:asciiTheme="minorHAnsi" w:hAnsiTheme="minorHAnsi" w:cstheme="minorHAnsi"/>
          <w:sz w:val="22"/>
          <w:szCs w:val="22"/>
        </w:rPr>
        <w:t>2020</w:t>
      </w:r>
      <w:r w:rsidR="00A2724A" w:rsidRPr="00890249">
        <w:rPr>
          <w:rFonts w:asciiTheme="minorHAnsi" w:hAnsiTheme="minorHAnsi" w:cstheme="minorHAnsi"/>
          <w:sz w:val="22"/>
          <w:szCs w:val="22"/>
        </w:rPr>
        <w:t xml:space="preserve"> r.</w:t>
      </w:r>
      <w:r w:rsidR="00A844A9" w:rsidRPr="00890249">
        <w:rPr>
          <w:rFonts w:asciiTheme="minorHAnsi" w:hAnsiTheme="minorHAnsi" w:cstheme="minorHAnsi"/>
          <w:sz w:val="22"/>
          <w:szCs w:val="22"/>
        </w:rPr>
        <w:t xml:space="preserve"> zajęła</w:t>
      </w:r>
      <w:r w:rsidR="008374CE" w:rsidRPr="00890249">
        <w:rPr>
          <w:rFonts w:asciiTheme="minorHAnsi" w:hAnsiTheme="minorHAnsi" w:cstheme="minorHAnsi"/>
          <w:sz w:val="22"/>
          <w:szCs w:val="22"/>
        </w:rPr>
        <w:t xml:space="preserve"> 11</w:t>
      </w:r>
      <w:r w:rsidR="00A844A9"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miejsce</w:t>
      </w:r>
      <w:r w:rsidR="00D33C7B" w:rsidRPr="00890249">
        <w:rPr>
          <w:rStyle w:val="Odwoanieprzypisudolnego"/>
          <w:rFonts w:asciiTheme="minorHAnsi" w:hAnsiTheme="minorHAnsi" w:cstheme="minorHAnsi"/>
          <w:sz w:val="22"/>
          <w:szCs w:val="22"/>
        </w:rPr>
        <w:footnoteReference w:id="10"/>
      </w:r>
      <w:r w:rsidR="00F227F3"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w:t>
      </w:r>
      <w:r w:rsidR="00990300" w:rsidRPr="00890249">
        <w:rPr>
          <w:rFonts w:asciiTheme="minorHAnsi" w:hAnsiTheme="minorHAnsi" w:cstheme="minorHAnsi"/>
          <w:sz w:val="22"/>
          <w:szCs w:val="22"/>
        </w:rPr>
        <w:t xml:space="preserve">Odsetek innowacyjnych przedsiębiorstw w regionie jest wyższy, niż </w:t>
      </w:r>
      <w:r w:rsidR="008374CE" w:rsidRPr="00890249">
        <w:rPr>
          <w:rFonts w:asciiTheme="minorHAnsi" w:hAnsiTheme="minorHAnsi" w:cstheme="minorHAnsi"/>
          <w:sz w:val="22"/>
          <w:szCs w:val="22"/>
        </w:rPr>
        <w:t>usługowych. W ostatnich lat</w:t>
      </w:r>
      <w:r w:rsidR="00990300" w:rsidRPr="00890249">
        <w:rPr>
          <w:rFonts w:asciiTheme="minorHAnsi" w:hAnsiTheme="minorHAnsi" w:cstheme="minorHAnsi"/>
          <w:sz w:val="22"/>
          <w:szCs w:val="22"/>
        </w:rPr>
        <w:t>ach</w:t>
      </w:r>
      <w:r w:rsidR="008374CE" w:rsidRPr="00890249">
        <w:rPr>
          <w:rFonts w:asciiTheme="minorHAnsi" w:hAnsiTheme="minorHAnsi" w:cstheme="minorHAnsi"/>
          <w:sz w:val="22"/>
          <w:szCs w:val="22"/>
        </w:rPr>
        <w:t xml:space="preserve"> udział innowacyjnych p</w:t>
      </w:r>
      <w:r w:rsidR="00990300" w:rsidRPr="00890249">
        <w:rPr>
          <w:rFonts w:asciiTheme="minorHAnsi" w:hAnsiTheme="minorHAnsi" w:cstheme="minorHAnsi"/>
          <w:sz w:val="22"/>
          <w:szCs w:val="22"/>
        </w:rPr>
        <w:t xml:space="preserve">rzedsiębiorstw usługowych był dużo </w:t>
      </w:r>
      <w:r w:rsidR="008374CE" w:rsidRPr="00890249">
        <w:rPr>
          <w:rFonts w:asciiTheme="minorHAnsi" w:hAnsiTheme="minorHAnsi" w:cstheme="minorHAnsi"/>
          <w:sz w:val="22"/>
          <w:szCs w:val="22"/>
        </w:rPr>
        <w:t xml:space="preserve">niższy od wartości dla Polski, a słabością </w:t>
      </w:r>
      <w:r w:rsidR="00A844A9" w:rsidRPr="00890249">
        <w:rPr>
          <w:rFonts w:asciiTheme="minorHAnsi" w:hAnsiTheme="minorHAnsi" w:cstheme="minorHAnsi"/>
          <w:sz w:val="22"/>
          <w:szCs w:val="22"/>
        </w:rPr>
        <w:t>tych</w:t>
      </w:r>
      <w:r w:rsidR="00990300" w:rsidRPr="00890249">
        <w:rPr>
          <w:rFonts w:asciiTheme="minorHAnsi" w:hAnsiTheme="minorHAnsi" w:cstheme="minorHAnsi"/>
          <w:sz w:val="22"/>
          <w:szCs w:val="22"/>
        </w:rPr>
        <w:t xml:space="preserve"> </w:t>
      </w:r>
      <w:r w:rsidR="008374CE" w:rsidRPr="00890249">
        <w:rPr>
          <w:rFonts w:asciiTheme="minorHAnsi" w:hAnsiTheme="minorHAnsi" w:cstheme="minorHAnsi"/>
          <w:sz w:val="22"/>
          <w:szCs w:val="22"/>
        </w:rPr>
        <w:t>przedsiębiorstw jest niska skłonność do</w:t>
      </w:r>
      <w:r w:rsidR="00380B14" w:rsidRPr="00890249">
        <w:rPr>
          <w:rFonts w:asciiTheme="minorHAnsi" w:hAnsiTheme="minorHAnsi" w:cstheme="minorHAnsi"/>
          <w:sz w:val="22"/>
          <w:szCs w:val="22"/>
        </w:rPr>
        <w:t xml:space="preserve"> </w:t>
      </w:r>
      <w:r w:rsidR="008374CE" w:rsidRPr="00890249">
        <w:rPr>
          <w:rFonts w:asciiTheme="minorHAnsi" w:hAnsiTheme="minorHAnsi" w:cstheme="minorHAnsi"/>
          <w:sz w:val="22"/>
          <w:szCs w:val="22"/>
        </w:rPr>
        <w:t>współpracy w działalności innowacyjnej. Dzięki  RPO WO 2014-2020 47 przedsiębiorstw podjęło współpracę z</w:t>
      </w:r>
      <w:r w:rsidR="00D27D9B" w:rsidRPr="00890249">
        <w:rPr>
          <w:rFonts w:asciiTheme="minorHAnsi" w:hAnsiTheme="minorHAnsi" w:cstheme="minorHAnsi"/>
          <w:sz w:val="22"/>
          <w:szCs w:val="22"/>
        </w:rPr>
        <w:t> </w:t>
      </w:r>
      <w:r w:rsidR="008374CE" w:rsidRPr="00890249">
        <w:rPr>
          <w:rFonts w:asciiTheme="minorHAnsi" w:hAnsiTheme="minorHAnsi" w:cstheme="minorHAnsi"/>
          <w:sz w:val="22"/>
          <w:szCs w:val="22"/>
        </w:rPr>
        <w:t>ośr</w:t>
      </w:r>
      <w:r w:rsidR="006D4622"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badawczymi, a dzięki wspartej infrastrukturze zrealizowano 125 projektów badawczych. W celu utrzymania </w:t>
      </w:r>
      <w:r w:rsidR="00A844A9" w:rsidRPr="00890249">
        <w:rPr>
          <w:rFonts w:asciiTheme="minorHAnsi" w:hAnsiTheme="minorHAnsi" w:cstheme="minorHAnsi"/>
          <w:sz w:val="22"/>
          <w:szCs w:val="22"/>
        </w:rPr>
        <w:t>i</w:t>
      </w:r>
      <w:r w:rsidR="00890249">
        <w:rPr>
          <w:rFonts w:asciiTheme="minorHAnsi" w:hAnsiTheme="minorHAnsi" w:cstheme="minorHAnsi"/>
          <w:sz w:val="22"/>
          <w:szCs w:val="22"/>
        </w:rPr>
        <w:t> </w:t>
      </w:r>
      <w:r w:rsidR="008374CE" w:rsidRPr="00890249">
        <w:rPr>
          <w:rFonts w:asciiTheme="minorHAnsi" w:hAnsiTheme="minorHAnsi" w:cstheme="minorHAnsi"/>
          <w:sz w:val="22"/>
          <w:szCs w:val="22"/>
        </w:rPr>
        <w:t>podniesienia aktywności działań w obszarze innowacji konieczn</w:t>
      </w:r>
      <w:r w:rsidR="00014A84" w:rsidRPr="00890249">
        <w:rPr>
          <w:rFonts w:asciiTheme="minorHAnsi" w:hAnsiTheme="minorHAnsi" w:cstheme="minorHAnsi"/>
          <w:sz w:val="22"/>
          <w:szCs w:val="22"/>
        </w:rPr>
        <w:t>e</w:t>
      </w:r>
      <w:r w:rsidR="008374CE" w:rsidRPr="00890249">
        <w:rPr>
          <w:rFonts w:asciiTheme="minorHAnsi" w:hAnsiTheme="minorHAnsi" w:cstheme="minorHAnsi"/>
          <w:sz w:val="22"/>
          <w:szCs w:val="22"/>
        </w:rPr>
        <w:t xml:space="preserve"> jest </w:t>
      </w:r>
      <w:r w:rsidR="00E30F29" w:rsidRPr="00890249">
        <w:rPr>
          <w:rFonts w:asciiTheme="minorHAnsi" w:hAnsiTheme="minorHAnsi" w:cstheme="minorHAnsi"/>
          <w:sz w:val="22"/>
          <w:szCs w:val="22"/>
        </w:rPr>
        <w:t xml:space="preserve">skupienie się na wspieraniu MŚP </w:t>
      </w:r>
      <w:r w:rsidR="006C12C3" w:rsidRPr="00890249">
        <w:rPr>
          <w:rFonts w:asciiTheme="minorHAnsi" w:hAnsiTheme="minorHAnsi" w:cstheme="minorHAnsi"/>
          <w:sz w:val="22"/>
          <w:szCs w:val="22"/>
        </w:rPr>
        <w:t>we</w:t>
      </w:r>
      <w:r w:rsidR="00E30F29" w:rsidRPr="00890249">
        <w:rPr>
          <w:rFonts w:asciiTheme="minorHAnsi" w:hAnsiTheme="minorHAnsi" w:cstheme="minorHAnsi"/>
          <w:sz w:val="22"/>
          <w:szCs w:val="22"/>
        </w:rPr>
        <w:t xml:space="preserve"> wdrażani</w:t>
      </w:r>
      <w:r w:rsidR="006C12C3" w:rsidRPr="00890249">
        <w:rPr>
          <w:rFonts w:asciiTheme="minorHAnsi" w:hAnsiTheme="minorHAnsi" w:cstheme="minorHAnsi"/>
          <w:sz w:val="22"/>
          <w:szCs w:val="22"/>
        </w:rPr>
        <w:t>u</w:t>
      </w:r>
      <w:r w:rsidR="00E30F29" w:rsidRPr="00890249">
        <w:rPr>
          <w:rFonts w:asciiTheme="minorHAnsi" w:hAnsiTheme="minorHAnsi" w:cstheme="minorHAnsi"/>
          <w:sz w:val="22"/>
          <w:szCs w:val="22"/>
        </w:rPr>
        <w:t xml:space="preserve"> powstałych innowacji</w:t>
      </w:r>
      <w:r w:rsidR="00B5646C" w:rsidRPr="00890249">
        <w:rPr>
          <w:rStyle w:val="Odwoanieprzypisudolnego"/>
          <w:rFonts w:asciiTheme="minorHAnsi" w:hAnsiTheme="minorHAnsi" w:cstheme="minorHAnsi"/>
          <w:sz w:val="22"/>
          <w:szCs w:val="22"/>
        </w:rPr>
        <w:footnoteReference w:id="11"/>
      </w:r>
      <w:r w:rsidR="00E30F29" w:rsidRPr="00890249">
        <w:rPr>
          <w:rFonts w:asciiTheme="minorHAnsi" w:hAnsiTheme="minorHAnsi" w:cstheme="minorHAnsi"/>
          <w:sz w:val="22"/>
          <w:szCs w:val="22"/>
        </w:rPr>
        <w:t xml:space="preserve"> produktowych, procesowych i usługowych. Powyższe wiąże się z dokonaniem transformacji gosp.,  wsparciem zmiany modeli biznesowych w kierunku Przemysłu 4.0, niskoemisyjności i wykorzystaniu zielonej technologii. Priorytetowo wspierane będą </w:t>
      </w:r>
      <w:r w:rsidR="006D4622" w:rsidRPr="00890249">
        <w:rPr>
          <w:rFonts w:asciiTheme="minorHAnsi" w:hAnsiTheme="minorHAnsi" w:cstheme="minorHAnsi"/>
          <w:sz w:val="22"/>
          <w:szCs w:val="22"/>
        </w:rPr>
        <w:t xml:space="preserve">np. </w:t>
      </w:r>
      <w:r w:rsidR="00E30F29" w:rsidRPr="00890249">
        <w:rPr>
          <w:rFonts w:asciiTheme="minorHAnsi" w:hAnsiTheme="minorHAnsi" w:cstheme="minorHAnsi"/>
          <w:sz w:val="22"/>
          <w:szCs w:val="22"/>
        </w:rPr>
        <w:t>współprace pomiędzy nauką a biznesem w celu wypracowania nowych koncepcji innowacyjnych oraz umocniona zostanie współpraca podmiotów w celu dyfuzji innowacyjności w regionie.</w:t>
      </w:r>
      <w:r w:rsidR="006D4622" w:rsidRPr="00890249" w:rsidDel="006D4622">
        <w:rPr>
          <w:rFonts w:asciiTheme="minorHAnsi" w:hAnsiTheme="minorHAnsi" w:cstheme="minorHAnsi"/>
          <w:sz w:val="22"/>
          <w:szCs w:val="22"/>
        </w:rPr>
        <w:t xml:space="preserve"> </w:t>
      </w:r>
    </w:p>
    <w:p w14:paraId="167BF979" w14:textId="12F702A3" w:rsidR="0093433C" w:rsidRPr="00890249" w:rsidRDefault="006D462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lastRenderedPageBreak/>
        <w:t>O</w:t>
      </w:r>
      <w:r w:rsidR="008374CE" w:rsidRPr="00890249">
        <w:rPr>
          <w:rFonts w:asciiTheme="minorHAnsi" w:hAnsiTheme="minorHAnsi" w:cstheme="minorHAnsi"/>
          <w:sz w:val="22"/>
          <w:szCs w:val="22"/>
        </w:rPr>
        <w:t xml:space="preserve">polskie w </w:t>
      </w:r>
      <w:r w:rsidR="00A844A9" w:rsidRPr="00890249">
        <w:rPr>
          <w:rFonts w:asciiTheme="minorHAnsi" w:hAnsiTheme="minorHAnsi" w:cstheme="minorHAnsi"/>
          <w:sz w:val="22"/>
          <w:szCs w:val="22"/>
        </w:rPr>
        <w:t>nakładach</w:t>
      </w:r>
      <w:r w:rsidR="008374CE" w:rsidRPr="00890249">
        <w:rPr>
          <w:rFonts w:asciiTheme="minorHAnsi" w:hAnsiTheme="minorHAnsi" w:cstheme="minorHAnsi"/>
          <w:sz w:val="22"/>
          <w:szCs w:val="22"/>
        </w:rPr>
        <w:t xml:space="preserve"> na działalność B+R jest jednym z najsłabszych regionów w Polsce w relacji do PKB. W latach 2014-2019 </w:t>
      </w:r>
      <w:r w:rsidR="00D27D9B" w:rsidRPr="00890249">
        <w:rPr>
          <w:rFonts w:asciiTheme="minorHAnsi" w:hAnsiTheme="minorHAnsi" w:cstheme="minorHAnsi"/>
          <w:sz w:val="22"/>
          <w:szCs w:val="22"/>
        </w:rPr>
        <w:t xml:space="preserve">nakłady w relacji </w:t>
      </w:r>
      <w:r w:rsidR="008374CE" w:rsidRPr="00890249">
        <w:rPr>
          <w:rFonts w:asciiTheme="minorHAnsi" w:hAnsiTheme="minorHAnsi" w:cstheme="minorHAnsi"/>
          <w:sz w:val="22"/>
          <w:szCs w:val="22"/>
        </w:rPr>
        <w:t xml:space="preserve">do PKB </w:t>
      </w:r>
      <w:r w:rsidR="00D27D9B" w:rsidRPr="00890249">
        <w:rPr>
          <w:rFonts w:asciiTheme="minorHAnsi" w:hAnsiTheme="minorHAnsi" w:cstheme="minorHAnsi"/>
          <w:sz w:val="22"/>
          <w:szCs w:val="22"/>
        </w:rPr>
        <w:t xml:space="preserve">wzrosły </w:t>
      </w:r>
      <w:r w:rsidR="008374CE" w:rsidRPr="00890249">
        <w:rPr>
          <w:rFonts w:asciiTheme="minorHAnsi" w:hAnsiTheme="minorHAnsi" w:cstheme="minorHAnsi"/>
          <w:sz w:val="22"/>
          <w:szCs w:val="22"/>
        </w:rPr>
        <w:t xml:space="preserve">z 0,34% do 0,55%, co jest </w:t>
      </w:r>
      <w:r w:rsidR="0044400A" w:rsidRPr="00890249">
        <w:rPr>
          <w:rFonts w:asciiTheme="minorHAnsi" w:hAnsiTheme="minorHAnsi" w:cstheme="minorHAnsi"/>
          <w:sz w:val="22"/>
          <w:szCs w:val="22"/>
        </w:rPr>
        <w:t>m.in.</w:t>
      </w:r>
      <w:r w:rsidR="008374CE" w:rsidRPr="00890249">
        <w:rPr>
          <w:rFonts w:asciiTheme="minorHAnsi" w:hAnsiTheme="minorHAnsi" w:cstheme="minorHAnsi"/>
          <w:sz w:val="22"/>
          <w:szCs w:val="22"/>
        </w:rPr>
        <w:t xml:space="preserve"> wynikiem inwestycji w ten obszar </w:t>
      </w:r>
      <w:r w:rsidR="00E531BC" w:rsidRPr="00890249">
        <w:rPr>
          <w:rFonts w:asciiTheme="minorHAnsi" w:hAnsiTheme="minorHAnsi" w:cstheme="minorHAnsi"/>
          <w:sz w:val="22"/>
          <w:szCs w:val="22"/>
        </w:rPr>
        <w:t xml:space="preserve">ze środków </w:t>
      </w:r>
      <w:r w:rsidR="008374CE" w:rsidRPr="00890249">
        <w:rPr>
          <w:rFonts w:asciiTheme="minorHAnsi" w:hAnsiTheme="minorHAnsi" w:cstheme="minorHAnsi"/>
          <w:sz w:val="22"/>
          <w:szCs w:val="22"/>
        </w:rPr>
        <w:t xml:space="preserve">RPO WO 2014-2020. </w:t>
      </w:r>
      <w:r w:rsidR="0044400A" w:rsidRPr="00890249">
        <w:rPr>
          <w:rFonts w:asciiTheme="minorHAnsi" w:hAnsiTheme="minorHAnsi" w:cstheme="minorHAnsi"/>
          <w:sz w:val="22"/>
          <w:szCs w:val="22"/>
        </w:rPr>
        <w:t>Wydano</w:t>
      </w:r>
      <w:r w:rsidR="008374CE" w:rsidRPr="00890249">
        <w:rPr>
          <w:rFonts w:asciiTheme="minorHAnsi" w:hAnsiTheme="minorHAnsi" w:cstheme="minorHAnsi"/>
          <w:sz w:val="22"/>
          <w:szCs w:val="22"/>
        </w:rPr>
        <w:t xml:space="preserve"> ok. 14,6 mln E</w:t>
      </w:r>
      <w:r w:rsidR="00645588">
        <w:rPr>
          <w:rFonts w:asciiTheme="minorHAnsi" w:hAnsiTheme="minorHAnsi" w:cstheme="minorHAnsi"/>
          <w:sz w:val="22"/>
          <w:szCs w:val="22"/>
        </w:rPr>
        <w:t>UR</w:t>
      </w:r>
      <w:r w:rsidR="008374CE" w:rsidRPr="00890249">
        <w:rPr>
          <w:rFonts w:asciiTheme="minorHAnsi" w:hAnsiTheme="minorHAnsi" w:cstheme="minorHAnsi"/>
          <w:sz w:val="22"/>
          <w:szCs w:val="22"/>
        </w:rPr>
        <w:t xml:space="preserve"> na infrastrukturę B+R, </w:t>
      </w:r>
      <w:r w:rsidR="00D27D9B" w:rsidRPr="00890249">
        <w:rPr>
          <w:rFonts w:asciiTheme="minorHAnsi" w:hAnsiTheme="minorHAnsi" w:cstheme="minorHAnsi"/>
          <w:sz w:val="22"/>
          <w:szCs w:val="22"/>
        </w:rPr>
        <w:t xml:space="preserve">co </w:t>
      </w:r>
      <w:r w:rsidR="008374CE" w:rsidRPr="00890249">
        <w:rPr>
          <w:rFonts w:asciiTheme="minorHAnsi" w:hAnsiTheme="minorHAnsi" w:cstheme="minorHAnsi"/>
          <w:sz w:val="22"/>
          <w:szCs w:val="22"/>
        </w:rPr>
        <w:t xml:space="preserve">wygenerowało </w:t>
      </w:r>
      <w:r w:rsidR="0044400A" w:rsidRPr="00890249">
        <w:rPr>
          <w:rFonts w:asciiTheme="minorHAnsi" w:hAnsiTheme="minorHAnsi" w:cstheme="minorHAnsi"/>
          <w:sz w:val="22"/>
          <w:szCs w:val="22"/>
        </w:rPr>
        <w:t>ok.</w:t>
      </w:r>
      <w:r w:rsidR="008374CE" w:rsidRPr="00890249">
        <w:rPr>
          <w:rFonts w:asciiTheme="minorHAnsi" w:hAnsiTheme="minorHAnsi" w:cstheme="minorHAnsi"/>
          <w:sz w:val="22"/>
          <w:szCs w:val="22"/>
        </w:rPr>
        <w:t xml:space="preserve"> 4 mln E</w:t>
      </w:r>
      <w:r w:rsidR="00E81F23">
        <w:rPr>
          <w:rFonts w:asciiTheme="minorHAnsi" w:hAnsiTheme="minorHAnsi" w:cstheme="minorHAnsi"/>
          <w:sz w:val="22"/>
          <w:szCs w:val="22"/>
        </w:rPr>
        <w:t>UR</w:t>
      </w:r>
      <w:r w:rsidR="008374CE" w:rsidRPr="00890249">
        <w:rPr>
          <w:rFonts w:asciiTheme="minorHAnsi" w:hAnsiTheme="minorHAnsi" w:cstheme="minorHAnsi"/>
          <w:sz w:val="22"/>
          <w:szCs w:val="22"/>
        </w:rPr>
        <w:t xml:space="preserve"> inwestycji w zakresie innowacji lub badań i</w:t>
      </w:r>
      <w:r w:rsidR="00A844A9" w:rsidRPr="00890249">
        <w:rPr>
          <w:rFonts w:asciiTheme="minorHAnsi" w:hAnsiTheme="minorHAnsi" w:cstheme="minorHAnsi"/>
          <w:sz w:val="22"/>
          <w:szCs w:val="22"/>
        </w:rPr>
        <w:t> </w:t>
      </w:r>
      <w:r w:rsidR="008374CE" w:rsidRPr="00890249">
        <w:rPr>
          <w:rFonts w:asciiTheme="minorHAnsi" w:hAnsiTheme="minorHAnsi" w:cstheme="minorHAnsi"/>
          <w:sz w:val="22"/>
          <w:szCs w:val="22"/>
        </w:rPr>
        <w:t>rozwoju. Należy kontynuować w</w:t>
      </w:r>
      <w:r w:rsidR="00E531BC" w:rsidRPr="00890249">
        <w:rPr>
          <w:rFonts w:asciiTheme="minorHAnsi" w:hAnsiTheme="minorHAnsi" w:cstheme="minorHAnsi"/>
          <w:sz w:val="22"/>
          <w:szCs w:val="22"/>
        </w:rPr>
        <w:t>s</w:t>
      </w:r>
      <w:r w:rsidR="008374CE" w:rsidRPr="00890249">
        <w:rPr>
          <w:rFonts w:asciiTheme="minorHAnsi" w:hAnsiTheme="minorHAnsi" w:cstheme="minorHAnsi"/>
          <w:sz w:val="22"/>
          <w:szCs w:val="22"/>
        </w:rPr>
        <w:t xml:space="preserve">parcie rozwoju potencjału badawczo-rozwojowego, współpracy pomiędzy biznesem a nauką oraz zwiększenie nakładów w przedsiębiorstwach na działania B+R, które są nadal na </w:t>
      </w:r>
      <w:r w:rsidRPr="00890249">
        <w:rPr>
          <w:rFonts w:asciiTheme="minorHAnsi" w:hAnsiTheme="minorHAnsi" w:cstheme="minorHAnsi"/>
          <w:sz w:val="22"/>
          <w:szCs w:val="22"/>
        </w:rPr>
        <w:t xml:space="preserve">zbyt </w:t>
      </w:r>
      <w:r w:rsidR="008374CE" w:rsidRPr="00890249">
        <w:rPr>
          <w:rFonts w:asciiTheme="minorHAnsi" w:hAnsiTheme="minorHAnsi" w:cstheme="minorHAnsi"/>
          <w:sz w:val="22"/>
          <w:szCs w:val="22"/>
        </w:rPr>
        <w:t>niskim poziomie</w:t>
      </w:r>
      <w:r w:rsidR="00E531BC"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w:t>
      </w:r>
    </w:p>
    <w:p w14:paraId="7EC6CE3C" w14:textId="61EC8FDE" w:rsidR="0093433C" w:rsidRPr="00890249" w:rsidRDefault="00A844A9"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A</w:t>
      </w:r>
      <w:r w:rsidR="008374CE" w:rsidRPr="00890249">
        <w:rPr>
          <w:rFonts w:asciiTheme="minorHAnsi" w:hAnsiTheme="minorHAnsi" w:cstheme="minorHAnsi"/>
          <w:sz w:val="22"/>
          <w:szCs w:val="22"/>
        </w:rPr>
        <w:t>nalizy regionalnych wyzwań rozwoju innowacji w pe</w:t>
      </w:r>
      <w:r w:rsidRPr="00890249">
        <w:rPr>
          <w:rFonts w:asciiTheme="minorHAnsi" w:hAnsiTheme="minorHAnsi" w:cstheme="minorHAnsi"/>
          <w:sz w:val="22"/>
          <w:szCs w:val="22"/>
        </w:rPr>
        <w:t xml:space="preserve">rspektywie finansowej 2021-2027 wskazują na konieczność dążenia do </w:t>
      </w:r>
      <w:r w:rsidR="008374CE" w:rsidRPr="00890249">
        <w:rPr>
          <w:rFonts w:asciiTheme="minorHAnsi" w:hAnsiTheme="minorHAnsi" w:cstheme="minorHAnsi"/>
          <w:sz w:val="22"/>
          <w:szCs w:val="22"/>
        </w:rPr>
        <w:t xml:space="preserve">osiągnięcia </w:t>
      </w:r>
      <w:r w:rsidR="00AA0C9D" w:rsidRPr="00890249">
        <w:rPr>
          <w:rFonts w:asciiTheme="minorHAnsi" w:hAnsiTheme="minorHAnsi" w:cstheme="minorHAnsi"/>
          <w:sz w:val="22"/>
          <w:szCs w:val="22"/>
        </w:rPr>
        <w:t xml:space="preserve">poniższych </w:t>
      </w:r>
      <w:r w:rsidR="008374CE" w:rsidRPr="00890249">
        <w:rPr>
          <w:rFonts w:asciiTheme="minorHAnsi" w:hAnsiTheme="minorHAnsi" w:cstheme="minorHAnsi"/>
          <w:sz w:val="22"/>
          <w:szCs w:val="22"/>
        </w:rPr>
        <w:t>celów strategicznych:</w:t>
      </w:r>
    </w:p>
    <w:p w14:paraId="76F85C3A" w14:textId="292CD094"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wzmocnienie współpracy instytucji edukacyjnych i naukowych z otoczeniem w obszarze nauczania i prowadzenia badań</w:t>
      </w:r>
    </w:p>
    <w:p w14:paraId="30F72511" w14:textId="374A86EF"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rozwój kapitału intelektualnego w przedsiębiorstwach,</w:t>
      </w:r>
    </w:p>
    <w:p w14:paraId="1455CABB" w14:textId="412753C1"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poprawa zdolności rynkowych jednostek B+R</w:t>
      </w:r>
    </w:p>
    <w:p w14:paraId="3A4F1B56" w14:textId="1CC4FBDE"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podnoszenie konkurencyjności i innowacyjności przedsiębiorstw</w:t>
      </w:r>
    </w:p>
    <w:p w14:paraId="07D87CF3" w14:textId="4BFF2494"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promowanie i premiowanie postaw przedsiębiorczych w nauce</w:t>
      </w:r>
    </w:p>
    <w:p w14:paraId="173E2D6D" w14:textId="0C92D4B8"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rozwój systemu wsparcia innowacji oraz sieci współpracy</w:t>
      </w:r>
    </w:p>
    <w:p w14:paraId="47617C73" w14:textId="77F75854"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wspieranie procesów komercjalizacji</w:t>
      </w:r>
    </w:p>
    <w:p w14:paraId="01F0170E" w14:textId="77777777" w:rsidR="00B72154" w:rsidRPr="00890249" w:rsidRDefault="008374CE" w:rsidP="009F296A">
      <w:pPr>
        <w:pStyle w:val="Akapitzlist"/>
        <w:numPr>
          <w:ilvl w:val="0"/>
          <w:numId w:val="63"/>
        </w:numPr>
        <w:spacing w:before="0" w:after="0"/>
        <w:rPr>
          <w:rFonts w:asciiTheme="minorHAnsi" w:hAnsiTheme="minorHAnsi" w:cstheme="minorHAnsi"/>
          <w:sz w:val="22"/>
          <w:szCs w:val="22"/>
        </w:rPr>
      </w:pPr>
      <w:r w:rsidRPr="00890249">
        <w:rPr>
          <w:rFonts w:asciiTheme="minorHAnsi" w:hAnsiTheme="minorHAnsi" w:cstheme="minorHAnsi"/>
          <w:sz w:val="22"/>
          <w:szCs w:val="22"/>
        </w:rPr>
        <w:t>zwiększenie poziomu internacjonalizacji działalności gospodarczej i naukowe</w:t>
      </w:r>
      <w:r w:rsidR="000F0D1B" w:rsidRPr="00890249">
        <w:rPr>
          <w:rFonts w:asciiTheme="minorHAnsi" w:hAnsiTheme="minorHAnsi" w:cstheme="minorHAnsi"/>
          <w:sz w:val="22"/>
          <w:szCs w:val="22"/>
        </w:rPr>
        <w:t>j.</w:t>
      </w:r>
    </w:p>
    <w:p w14:paraId="354B3403" w14:textId="77777777" w:rsidR="0093433C" w:rsidRPr="00890249" w:rsidRDefault="00A43991" w:rsidP="00890249">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Cyfryzacja przedsiębiorstw</w:t>
      </w:r>
    </w:p>
    <w:p w14:paraId="0DC07A0C" w14:textId="7922B588" w:rsidR="0093433C" w:rsidRPr="00890249" w:rsidRDefault="00A4399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Dostęp do Internetu w przedsiębiorstwach j</w:t>
      </w:r>
      <w:r w:rsidR="00D21EB8" w:rsidRPr="00890249">
        <w:rPr>
          <w:rFonts w:asciiTheme="minorHAnsi" w:hAnsiTheme="minorHAnsi" w:cstheme="minorHAnsi"/>
          <w:sz w:val="22"/>
          <w:szCs w:val="22"/>
        </w:rPr>
        <w:t>est powszechny. W 2020 w </w:t>
      </w:r>
      <w:r w:rsidRPr="00890249">
        <w:rPr>
          <w:rFonts w:asciiTheme="minorHAnsi" w:hAnsiTheme="minorHAnsi" w:cstheme="minorHAnsi"/>
          <w:sz w:val="22"/>
          <w:szCs w:val="22"/>
        </w:rPr>
        <w:t xml:space="preserve"> opolskim ponad 97% przedsiębiorstw sektora niefinansowego posiadało dostęp do sieci przez łącze szerokopasmowe. Wartość ta jest najniższą w kraju, </w:t>
      </w:r>
      <w:r w:rsidR="00D27D9B" w:rsidRPr="00890249">
        <w:rPr>
          <w:rFonts w:asciiTheme="minorHAnsi" w:hAnsiTheme="minorHAnsi" w:cstheme="minorHAnsi"/>
          <w:sz w:val="22"/>
          <w:szCs w:val="22"/>
        </w:rPr>
        <w:t>ale</w:t>
      </w:r>
      <w:r w:rsidRPr="00890249">
        <w:rPr>
          <w:rFonts w:asciiTheme="minorHAnsi" w:hAnsiTheme="minorHAnsi" w:cstheme="minorHAnsi"/>
          <w:sz w:val="22"/>
          <w:szCs w:val="22"/>
        </w:rPr>
        <w:t xml:space="preserve"> niewiele niższ</w:t>
      </w:r>
      <w:r w:rsidR="004A77EE" w:rsidRPr="00890249">
        <w:rPr>
          <w:rFonts w:asciiTheme="minorHAnsi" w:hAnsiTheme="minorHAnsi" w:cstheme="minorHAnsi"/>
          <w:sz w:val="22"/>
          <w:szCs w:val="22"/>
        </w:rPr>
        <w:t>ą</w:t>
      </w:r>
      <w:r w:rsidR="00DC6DC0" w:rsidRPr="00890249">
        <w:rPr>
          <w:rFonts w:asciiTheme="minorHAnsi" w:hAnsiTheme="minorHAnsi" w:cstheme="minorHAnsi"/>
          <w:sz w:val="22"/>
          <w:szCs w:val="22"/>
        </w:rPr>
        <w:t>,</w:t>
      </w:r>
      <w:r w:rsidRPr="00890249">
        <w:rPr>
          <w:rFonts w:asciiTheme="minorHAnsi" w:hAnsiTheme="minorHAnsi" w:cstheme="minorHAnsi"/>
          <w:sz w:val="22"/>
          <w:szCs w:val="22"/>
        </w:rPr>
        <w:t xml:space="preserve"> niż średnia </w:t>
      </w:r>
      <w:r w:rsidR="00A844A9" w:rsidRPr="00890249">
        <w:rPr>
          <w:rFonts w:asciiTheme="minorHAnsi" w:hAnsiTheme="minorHAnsi" w:cstheme="minorHAnsi"/>
          <w:sz w:val="22"/>
          <w:szCs w:val="22"/>
        </w:rPr>
        <w:t>krajowa - 98,6%</w:t>
      </w:r>
      <w:r w:rsidRPr="00890249">
        <w:rPr>
          <w:rFonts w:asciiTheme="minorHAnsi" w:hAnsiTheme="minorHAnsi" w:cstheme="minorHAnsi"/>
          <w:sz w:val="22"/>
          <w:szCs w:val="22"/>
        </w:rPr>
        <w:t>. Rozwój przedsiębiorstw</w:t>
      </w:r>
      <w:r w:rsidR="00AD2375" w:rsidRPr="00890249">
        <w:rPr>
          <w:rFonts w:asciiTheme="minorHAnsi" w:hAnsiTheme="minorHAnsi" w:cstheme="minorHAnsi"/>
          <w:sz w:val="22"/>
          <w:szCs w:val="22"/>
        </w:rPr>
        <w:t xml:space="preserve"> związany jest z </w:t>
      </w:r>
      <w:r w:rsidRPr="00890249">
        <w:rPr>
          <w:rFonts w:asciiTheme="minorHAnsi" w:hAnsiTheme="minorHAnsi" w:cstheme="minorHAnsi"/>
          <w:sz w:val="22"/>
          <w:szCs w:val="22"/>
        </w:rPr>
        <w:t>wykorzystaniem osiągnięć technologii teleinformatycznych</w:t>
      </w:r>
      <w:r w:rsidRPr="00890249">
        <w:rPr>
          <w:rFonts w:asciiTheme="minorHAnsi" w:hAnsiTheme="minorHAnsi" w:cstheme="minorHAnsi"/>
          <w:color w:val="000000"/>
          <w:sz w:val="22"/>
          <w:szCs w:val="22"/>
        </w:rPr>
        <w:t xml:space="preserve">. </w:t>
      </w:r>
      <w:r w:rsidRPr="00890249">
        <w:rPr>
          <w:rFonts w:asciiTheme="minorHAnsi" w:hAnsiTheme="minorHAnsi" w:cstheme="minorHAnsi"/>
          <w:sz w:val="22"/>
          <w:szCs w:val="22"/>
        </w:rPr>
        <w:t xml:space="preserve">Dzięki procesowi cyfryzacji </w:t>
      </w:r>
      <w:r w:rsidR="00A844A9" w:rsidRPr="00890249">
        <w:rPr>
          <w:rFonts w:asciiTheme="minorHAnsi" w:hAnsiTheme="minorHAnsi" w:cstheme="minorHAnsi"/>
          <w:sz w:val="22"/>
          <w:szCs w:val="22"/>
        </w:rPr>
        <w:t xml:space="preserve">mogą </w:t>
      </w:r>
      <w:r w:rsidRPr="00890249">
        <w:rPr>
          <w:rFonts w:asciiTheme="minorHAnsi" w:hAnsiTheme="minorHAnsi" w:cstheme="minorHAnsi"/>
          <w:sz w:val="22"/>
          <w:szCs w:val="22"/>
        </w:rPr>
        <w:t>efektywnie</w:t>
      </w:r>
      <w:r w:rsidR="00F07329" w:rsidRPr="00890249">
        <w:rPr>
          <w:rFonts w:asciiTheme="minorHAnsi" w:hAnsiTheme="minorHAnsi" w:cstheme="minorHAnsi"/>
          <w:sz w:val="22"/>
          <w:szCs w:val="22"/>
        </w:rPr>
        <w:t>j</w:t>
      </w:r>
      <w:r w:rsidRPr="00890249">
        <w:rPr>
          <w:rFonts w:asciiTheme="minorHAnsi" w:hAnsiTheme="minorHAnsi" w:cstheme="minorHAnsi"/>
          <w:sz w:val="22"/>
          <w:szCs w:val="22"/>
        </w:rPr>
        <w:t xml:space="preserve"> zarządzać swoimi zasobami. W</w:t>
      </w:r>
      <w:r w:rsidR="00A844A9" w:rsidRPr="00890249">
        <w:rPr>
          <w:rFonts w:asciiTheme="minorHAnsi" w:hAnsiTheme="minorHAnsi" w:cstheme="minorHAnsi"/>
          <w:sz w:val="22"/>
          <w:szCs w:val="22"/>
        </w:rPr>
        <w:t> </w:t>
      </w:r>
      <w:r w:rsidRPr="00890249">
        <w:rPr>
          <w:rFonts w:asciiTheme="minorHAnsi" w:hAnsiTheme="minorHAnsi" w:cstheme="minorHAnsi"/>
          <w:sz w:val="22"/>
          <w:szCs w:val="22"/>
        </w:rPr>
        <w:t>2020 dla 66,4% przedsiębiorstw strona internetowa spełniała funkcj</w:t>
      </w:r>
      <w:r w:rsidR="00F07329" w:rsidRPr="00890249">
        <w:rPr>
          <w:rFonts w:asciiTheme="minorHAnsi" w:hAnsiTheme="minorHAnsi" w:cstheme="minorHAnsi"/>
          <w:sz w:val="22"/>
          <w:szCs w:val="22"/>
        </w:rPr>
        <w:t>ę</w:t>
      </w:r>
      <w:r w:rsidRPr="00890249">
        <w:rPr>
          <w:rFonts w:asciiTheme="minorHAnsi" w:hAnsiTheme="minorHAnsi" w:cstheme="minorHAnsi"/>
          <w:sz w:val="22"/>
          <w:szCs w:val="22"/>
        </w:rPr>
        <w:t xml:space="preserve"> prezentacji katalogów, wyrobów lub cenników (wzrost o 13 p.p. przy wzroście na poziomie kraju o</w:t>
      </w:r>
      <w:r w:rsidR="00D27D9B" w:rsidRPr="00890249">
        <w:rPr>
          <w:rFonts w:asciiTheme="minorHAnsi" w:hAnsiTheme="minorHAnsi" w:cstheme="minorHAnsi"/>
          <w:sz w:val="22"/>
          <w:szCs w:val="22"/>
        </w:rPr>
        <w:t> </w:t>
      </w:r>
      <w:r w:rsidRPr="00890249">
        <w:rPr>
          <w:rFonts w:asciiTheme="minorHAnsi" w:hAnsiTheme="minorHAnsi" w:cstheme="minorHAnsi"/>
          <w:sz w:val="22"/>
          <w:szCs w:val="22"/>
        </w:rPr>
        <w:t xml:space="preserve">6,4 p.p.), </w:t>
      </w:r>
      <w:r w:rsidR="00D27D9B" w:rsidRPr="00890249">
        <w:rPr>
          <w:rFonts w:asciiTheme="minorHAnsi" w:hAnsiTheme="minorHAnsi" w:cstheme="minorHAnsi"/>
          <w:sz w:val="22"/>
          <w:szCs w:val="22"/>
        </w:rPr>
        <w:t>ale</w:t>
      </w:r>
      <w:r w:rsidRPr="00890249">
        <w:rPr>
          <w:rFonts w:asciiTheme="minorHAnsi" w:hAnsiTheme="minorHAnsi" w:cstheme="minorHAnsi"/>
          <w:sz w:val="22"/>
          <w:szCs w:val="22"/>
        </w:rPr>
        <w:t xml:space="preserve"> tylko </w:t>
      </w:r>
      <w:r w:rsidR="008E296B" w:rsidRPr="00890249">
        <w:rPr>
          <w:rFonts w:asciiTheme="minorHAnsi" w:hAnsiTheme="minorHAnsi" w:cstheme="minorHAnsi"/>
          <w:sz w:val="22"/>
          <w:szCs w:val="22"/>
        </w:rPr>
        <w:t>15,6</w:t>
      </w:r>
      <w:r w:rsidRPr="00890249">
        <w:rPr>
          <w:rFonts w:asciiTheme="minorHAnsi" w:hAnsiTheme="minorHAnsi" w:cstheme="minorHAnsi"/>
          <w:sz w:val="22"/>
          <w:szCs w:val="22"/>
        </w:rPr>
        <w:t>% przedsiębiorstw otrzymywał</w:t>
      </w:r>
      <w:r w:rsidR="00D21EB8" w:rsidRPr="00890249">
        <w:rPr>
          <w:rFonts w:asciiTheme="minorHAnsi" w:hAnsiTheme="minorHAnsi" w:cstheme="minorHAnsi"/>
          <w:sz w:val="22"/>
          <w:szCs w:val="22"/>
        </w:rPr>
        <w:t>o</w:t>
      </w:r>
      <w:r w:rsidRPr="00890249">
        <w:rPr>
          <w:rFonts w:asciiTheme="minorHAnsi" w:hAnsiTheme="minorHAnsi" w:cstheme="minorHAnsi"/>
          <w:sz w:val="22"/>
          <w:szCs w:val="22"/>
        </w:rPr>
        <w:t xml:space="preserve"> zamówienia </w:t>
      </w:r>
      <w:r w:rsidR="00D27D9B" w:rsidRPr="00890249">
        <w:rPr>
          <w:rFonts w:asciiTheme="minorHAnsi" w:hAnsiTheme="minorHAnsi" w:cstheme="minorHAnsi"/>
          <w:sz w:val="22"/>
          <w:szCs w:val="22"/>
        </w:rPr>
        <w:t>tą drogą</w:t>
      </w:r>
      <w:r w:rsidR="008E296B" w:rsidRPr="00890249">
        <w:rPr>
          <w:rFonts w:asciiTheme="minorHAnsi" w:hAnsiTheme="minorHAnsi" w:cstheme="minorHAnsi"/>
          <w:sz w:val="22"/>
          <w:szCs w:val="22"/>
        </w:rPr>
        <w:t>.</w:t>
      </w:r>
      <w:r w:rsidR="00305A47" w:rsidRPr="00890249">
        <w:rPr>
          <w:rFonts w:asciiTheme="minorHAnsi" w:hAnsiTheme="minorHAnsi" w:cstheme="minorHAnsi"/>
          <w:sz w:val="22"/>
          <w:szCs w:val="22"/>
        </w:rPr>
        <w:t xml:space="preserve"> </w:t>
      </w:r>
      <w:r w:rsidRPr="00890249">
        <w:rPr>
          <w:rFonts w:asciiTheme="minorHAnsi" w:hAnsiTheme="minorHAnsi" w:cstheme="minorHAnsi"/>
          <w:sz w:val="22"/>
          <w:szCs w:val="22"/>
        </w:rPr>
        <w:t>Dostępność takich rozwiązań znacząco wpływa na przewagę</w:t>
      </w:r>
      <w:r w:rsidR="00305A47" w:rsidRPr="00890249">
        <w:rPr>
          <w:rFonts w:asciiTheme="minorHAnsi" w:hAnsiTheme="minorHAnsi" w:cstheme="minorHAnsi"/>
          <w:sz w:val="22"/>
          <w:szCs w:val="22"/>
        </w:rPr>
        <w:t xml:space="preserve"> konkurencyjną przedsiębiorstw </w:t>
      </w:r>
      <w:r w:rsidRPr="00890249">
        <w:rPr>
          <w:rFonts w:asciiTheme="minorHAnsi" w:hAnsiTheme="minorHAnsi" w:cstheme="minorHAnsi"/>
          <w:sz w:val="22"/>
          <w:szCs w:val="22"/>
        </w:rPr>
        <w:t>otwier</w:t>
      </w:r>
      <w:r w:rsidR="00305A47" w:rsidRPr="00890249">
        <w:rPr>
          <w:rFonts w:asciiTheme="minorHAnsi" w:hAnsiTheme="minorHAnsi" w:cstheme="minorHAnsi"/>
          <w:sz w:val="22"/>
          <w:szCs w:val="22"/>
        </w:rPr>
        <w:t>a</w:t>
      </w:r>
      <w:r w:rsidRPr="00890249">
        <w:rPr>
          <w:rFonts w:asciiTheme="minorHAnsi" w:hAnsiTheme="minorHAnsi" w:cstheme="minorHAnsi"/>
          <w:sz w:val="22"/>
          <w:szCs w:val="22"/>
        </w:rPr>
        <w:t>j</w:t>
      </w:r>
      <w:r w:rsidR="00305A47" w:rsidRPr="00890249">
        <w:rPr>
          <w:rFonts w:asciiTheme="minorHAnsi" w:hAnsiTheme="minorHAnsi" w:cstheme="minorHAnsi"/>
          <w:sz w:val="22"/>
          <w:szCs w:val="22"/>
        </w:rPr>
        <w:t>ących</w:t>
      </w:r>
      <w:r w:rsidRPr="00890249">
        <w:rPr>
          <w:rFonts w:asciiTheme="minorHAnsi" w:hAnsiTheme="minorHAnsi" w:cstheme="minorHAnsi"/>
          <w:sz w:val="22"/>
          <w:szCs w:val="22"/>
        </w:rPr>
        <w:t xml:space="preserve"> się na nowe technologie i rynki. </w:t>
      </w:r>
      <w:r w:rsidR="00305A47" w:rsidRPr="00890249">
        <w:rPr>
          <w:rFonts w:asciiTheme="minorHAnsi" w:hAnsiTheme="minorHAnsi" w:cstheme="minorHAnsi"/>
          <w:sz w:val="22"/>
          <w:szCs w:val="22"/>
        </w:rPr>
        <w:t>SWO</w:t>
      </w:r>
      <w:r w:rsidRPr="00890249">
        <w:rPr>
          <w:rFonts w:asciiTheme="minorHAnsi" w:hAnsiTheme="minorHAnsi" w:cstheme="minorHAnsi"/>
          <w:sz w:val="22"/>
          <w:szCs w:val="22"/>
        </w:rPr>
        <w:t xml:space="preserve"> w</w:t>
      </w:r>
      <w:r w:rsidR="00305A47" w:rsidRPr="00890249">
        <w:rPr>
          <w:rFonts w:asciiTheme="minorHAnsi" w:hAnsiTheme="minorHAnsi" w:cstheme="minorHAnsi"/>
          <w:sz w:val="22"/>
          <w:szCs w:val="22"/>
        </w:rPr>
        <w:t> </w:t>
      </w:r>
      <w:r w:rsidRPr="00890249">
        <w:rPr>
          <w:rFonts w:asciiTheme="minorHAnsi" w:hAnsiTheme="minorHAnsi" w:cstheme="minorHAnsi"/>
          <w:sz w:val="22"/>
          <w:szCs w:val="22"/>
        </w:rPr>
        <w:t xml:space="preserve">ramach RPO WO 2014-2020 wspierał przedsiębiorstwa w zakresie TIK: </w:t>
      </w:r>
      <w:r w:rsidR="002E114A" w:rsidRPr="00890249">
        <w:rPr>
          <w:rFonts w:asciiTheme="minorHAnsi" w:hAnsiTheme="minorHAnsi" w:cstheme="minorHAnsi"/>
          <w:sz w:val="22"/>
          <w:szCs w:val="22"/>
        </w:rPr>
        <w:t xml:space="preserve"> dofinansowano kwotą ok. 10 mln E</w:t>
      </w:r>
      <w:r w:rsidR="00E81F23">
        <w:rPr>
          <w:rFonts w:asciiTheme="minorHAnsi" w:hAnsiTheme="minorHAnsi" w:cstheme="minorHAnsi"/>
          <w:sz w:val="22"/>
          <w:szCs w:val="22"/>
        </w:rPr>
        <w:t>UR</w:t>
      </w:r>
      <w:r w:rsidR="002E114A" w:rsidRPr="00890249">
        <w:rPr>
          <w:rFonts w:asciiTheme="minorHAnsi" w:hAnsiTheme="minorHAnsi" w:cstheme="minorHAnsi"/>
          <w:sz w:val="22"/>
          <w:szCs w:val="22"/>
        </w:rPr>
        <w:t xml:space="preserve"> ponad 160 podmiotów. Działania takie należy kontynuować, aby pobudzać przedsiębiorstwa do </w:t>
      </w:r>
      <w:r w:rsidR="00D27D9B" w:rsidRPr="00890249">
        <w:rPr>
          <w:rFonts w:asciiTheme="minorHAnsi" w:hAnsiTheme="minorHAnsi" w:cstheme="minorHAnsi"/>
          <w:sz w:val="22"/>
          <w:szCs w:val="22"/>
        </w:rPr>
        <w:t>większej aktywności</w:t>
      </w:r>
      <w:r w:rsidR="002E114A" w:rsidRPr="00890249">
        <w:rPr>
          <w:rFonts w:asciiTheme="minorHAnsi" w:hAnsiTheme="minorHAnsi" w:cstheme="minorHAnsi"/>
          <w:sz w:val="22"/>
          <w:szCs w:val="22"/>
        </w:rPr>
        <w:t xml:space="preserve"> w </w:t>
      </w:r>
      <w:r w:rsidR="00305A47" w:rsidRPr="00890249">
        <w:rPr>
          <w:rFonts w:asciiTheme="minorHAnsi" w:hAnsiTheme="minorHAnsi" w:cstheme="minorHAnsi"/>
          <w:sz w:val="22"/>
          <w:szCs w:val="22"/>
        </w:rPr>
        <w:t>tym obszarze.</w:t>
      </w:r>
    </w:p>
    <w:p w14:paraId="0331E845"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E-usługi publiczne</w:t>
      </w:r>
    </w:p>
    <w:p w14:paraId="51B8418E" w14:textId="6907E766" w:rsidR="0093433C" w:rsidRPr="00890249" w:rsidRDefault="00A4399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 ostatnich latach w </w:t>
      </w:r>
      <w:r w:rsidR="00722E97" w:rsidRPr="00890249">
        <w:rPr>
          <w:rFonts w:asciiTheme="minorHAnsi" w:hAnsiTheme="minorHAnsi" w:cstheme="minorHAnsi"/>
          <w:sz w:val="22"/>
          <w:szCs w:val="22"/>
        </w:rPr>
        <w:t>woj.</w:t>
      </w:r>
      <w:r w:rsidR="002E114A" w:rsidRPr="00890249">
        <w:rPr>
          <w:rFonts w:asciiTheme="minorHAnsi" w:hAnsiTheme="minorHAnsi" w:cstheme="minorHAnsi"/>
          <w:sz w:val="22"/>
          <w:szCs w:val="22"/>
        </w:rPr>
        <w:t xml:space="preserve"> opolskim</w:t>
      </w:r>
      <w:r w:rsidRPr="00890249">
        <w:rPr>
          <w:rFonts w:asciiTheme="minorHAnsi" w:hAnsiTheme="minorHAnsi" w:cstheme="minorHAnsi"/>
          <w:sz w:val="22"/>
          <w:szCs w:val="22"/>
        </w:rPr>
        <w:t xml:space="preserve"> powiększa się grupa osób, korzystają</w:t>
      </w:r>
      <w:r w:rsidR="00A07319" w:rsidRPr="00890249">
        <w:rPr>
          <w:rFonts w:asciiTheme="minorHAnsi" w:hAnsiTheme="minorHAnsi" w:cstheme="minorHAnsi"/>
          <w:sz w:val="22"/>
          <w:szCs w:val="22"/>
        </w:rPr>
        <w:t>cych</w:t>
      </w:r>
      <w:r w:rsidRPr="00890249">
        <w:rPr>
          <w:rFonts w:asciiTheme="minorHAnsi" w:hAnsiTheme="minorHAnsi" w:cstheme="minorHAnsi"/>
          <w:sz w:val="22"/>
          <w:szCs w:val="22"/>
        </w:rPr>
        <w:t xml:space="preserve"> z usług administracji publicznej za pomocą Internetu. W 20</w:t>
      </w:r>
      <w:r w:rsidR="002E114A" w:rsidRPr="00890249">
        <w:rPr>
          <w:rFonts w:asciiTheme="minorHAnsi" w:hAnsiTheme="minorHAnsi" w:cstheme="minorHAnsi"/>
          <w:sz w:val="22"/>
          <w:szCs w:val="22"/>
        </w:rPr>
        <w:t>21</w:t>
      </w:r>
      <w:r w:rsidRPr="00890249">
        <w:rPr>
          <w:rFonts w:asciiTheme="minorHAnsi" w:hAnsiTheme="minorHAnsi" w:cstheme="minorHAnsi"/>
          <w:sz w:val="22"/>
          <w:szCs w:val="22"/>
        </w:rPr>
        <w:t xml:space="preserve"> z ww. usług </w:t>
      </w:r>
      <w:r w:rsidR="00A844A9" w:rsidRPr="00890249">
        <w:rPr>
          <w:rFonts w:asciiTheme="minorHAnsi" w:hAnsiTheme="minorHAnsi" w:cstheme="minorHAnsi"/>
          <w:sz w:val="22"/>
          <w:szCs w:val="22"/>
        </w:rPr>
        <w:t>korzystało</w:t>
      </w:r>
      <w:r w:rsidRPr="00890249">
        <w:rPr>
          <w:rFonts w:asciiTheme="minorHAnsi" w:hAnsiTheme="minorHAnsi" w:cstheme="minorHAnsi"/>
          <w:sz w:val="22"/>
          <w:szCs w:val="22"/>
        </w:rPr>
        <w:t xml:space="preserve"> </w:t>
      </w:r>
      <w:r w:rsidR="002E114A" w:rsidRPr="00890249">
        <w:rPr>
          <w:rFonts w:asciiTheme="minorHAnsi" w:hAnsiTheme="minorHAnsi" w:cstheme="minorHAnsi"/>
          <w:sz w:val="22"/>
          <w:szCs w:val="22"/>
        </w:rPr>
        <w:t>prawie 38%</w:t>
      </w:r>
      <w:r w:rsidR="00AA0376" w:rsidRPr="00890249">
        <w:rPr>
          <w:rFonts w:asciiTheme="minorHAnsi" w:hAnsiTheme="minorHAnsi" w:cstheme="minorHAnsi"/>
          <w:sz w:val="22"/>
          <w:szCs w:val="22"/>
        </w:rPr>
        <w:t xml:space="preserve"> </w:t>
      </w:r>
      <w:r w:rsidRPr="00890249">
        <w:rPr>
          <w:rFonts w:asciiTheme="minorHAnsi" w:hAnsiTheme="minorHAnsi" w:cstheme="minorHAnsi"/>
          <w:sz w:val="22"/>
          <w:szCs w:val="22"/>
        </w:rPr>
        <w:t>populacji osób w wieku 1</w:t>
      </w:r>
      <w:r w:rsidR="00504B10" w:rsidRPr="00890249">
        <w:rPr>
          <w:rFonts w:asciiTheme="minorHAnsi" w:hAnsiTheme="minorHAnsi" w:cstheme="minorHAnsi"/>
          <w:sz w:val="22"/>
          <w:szCs w:val="22"/>
        </w:rPr>
        <w:t xml:space="preserve">6–74 lata - wzrost o 4,9 p.p. </w:t>
      </w:r>
      <w:r w:rsidRPr="00890249">
        <w:rPr>
          <w:rFonts w:asciiTheme="minorHAnsi" w:hAnsiTheme="minorHAnsi" w:cstheme="minorHAnsi"/>
          <w:sz w:val="22"/>
          <w:szCs w:val="22"/>
        </w:rPr>
        <w:t>w</w:t>
      </w:r>
      <w:r w:rsidR="00AA0376" w:rsidRPr="00890249">
        <w:rPr>
          <w:rFonts w:asciiTheme="minorHAnsi" w:hAnsiTheme="minorHAnsi" w:cstheme="minorHAnsi"/>
          <w:sz w:val="22"/>
          <w:szCs w:val="22"/>
        </w:rPr>
        <w:t> </w:t>
      </w:r>
      <w:r w:rsidRPr="00890249">
        <w:rPr>
          <w:rFonts w:asciiTheme="minorHAnsi" w:hAnsiTheme="minorHAnsi" w:cstheme="minorHAnsi"/>
          <w:sz w:val="22"/>
          <w:szCs w:val="22"/>
        </w:rPr>
        <w:t>stos</w:t>
      </w:r>
      <w:r w:rsidR="00722E97" w:rsidRPr="00890249">
        <w:rPr>
          <w:rFonts w:asciiTheme="minorHAnsi" w:hAnsiTheme="minorHAnsi" w:cstheme="minorHAnsi"/>
          <w:sz w:val="22"/>
          <w:szCs w:val="22"/>
        </w:rPr>
        <w:t>.</w:t>
      </w:r>
      <w:r w:rsidRPr="00890249">
        <w:rPr>
          <w:rFonts w:asciiTheme="minorHAnsi" w:hAnsiTheme="minorHAnsi" w:cstheme="minorHAnsi"/>
          <w:sz w:val="22"/>
          <w:szCs w:val="22"/>
        </w:rPr>
        <w:t xml:space="preserve"> do 2018</w:t>
      </w:r>
      <w:r w:rsidRPr="00890249">
        <w:rPr>
          <w:rFonts w:asciiTheme="minorHAnsi" w:hAnsiTheme="minorHAnsi" w:cstheme="minorHAnsi"/>
          <w:sz w:val="22"/>
          <w:szCs w:val="22"/>
          <w:vertAlign w:val="superscript"/>
        </w:rPr>
        <w:footnoteReference w:id="12"/>
      </w:r>
      <w:r w:rsidR="00E81F23">
        <w:rPr>
          <w:rFonts w:asciiTheme="minorHAnsi" w:hAnsiTheme="minorHAnsi" w:cstheme="minorHAnsi"/>
          <w:sz w:val="22"/>
          <w:szCs w:val="22"/>
        </w:rPr>
        <w:t>.</w:t>
      </w:r>
      <w:r w:rsidR="00722E97" w:rsidRPr="00890249">
        <w:rPr>
          <w:rFonts w:asciiTheme="minorHAnsi" w:hAnsiTheme="minorHAnsi" w:cstheme="minorHAnsi"/>
          <w:sz w:val="22"/>
          <w:szCs w:val="22"/>
        </w:rPr>
        <w:t xml:space="preserve"> M</w:t>
      </w:r>
      <w:r w:rsidRPr="00890249">
        <w:rPr>
          <w:rFonts w:asciiTheme="minorHAnsi" w:hAnsiTheme="minorHAnsi" w:cstheme="minorHAnsi"/>
          <w:sz w:val="22"/>
          <w:szCs w:val="22"/>
        </w:rPr>
        <w:t>ieszkańcy oczekują, aby jak największa część ich interakcji z podmiotami publ</w:t>
      </w:r>
      <w:r w:rsidR="007B059E" w:rsidRPr="00890249">
        <w:rPr>
          <w:rFonts w:asciiTheme="minorHAnsi" w:hAnsiTheme="minorHAnsi" w:cstheme="minorHAnsi"/>
          <w:sz w:val="22"/>
          <w:szCs w:val="22"/>
        </w:rPr>
        <w:t>.</w:t>
      </w:r>
      <w:r w:rsidRPr="00890249">
        <w:rPr>
          <w:rFonts w:asciiTheme="minorHAnsi" w:hAnsiTheme="minorHAnsi" w:cstheme="minorHAnsi"/>
          <w:sz w:val="22"/>
          <w:szCs w:val="22"/>
        </w:rPr>
        <w:t xml:space="preserve"> możliwa była za pośrednictwem Internetu. </w:t>
      </w:r>
      <w:r w:rsidR="007B059E" w:rsidRPr="00890249">
        <w:rPr>
          <w:rFonts w:asciiTheme="minorHAnsi" w:hAnsiTheme="minorHAnsi" w:cstheme="minorHAnsi"/>
          <w:sz w:val="22"/>
          <w:szCs w:val="22"/>
        </w:rPr>
        <w:t xml:space="preserve">Gł. </w:t>
      </w:r>
      <w:r w:rsidRPr="00890249">
        <w:rPr>
          <w:rFonts w:asciiTheme="minorHAnsi" w:hAnsiTheme="minorHAnsi" w:cstheme="minorHAnsi"/>
          <w:sz w:val="22"/>
          <w:szCs w:val="22"/>
        </w:rPr>
        <w:t>okres pandemii COVID-19 wskazał potrzebę rozwoju takich us</w:t>
      </w:r>
      <w:r w:rsidR="00A844A9" w:rsidRPr="00890249">
        <w:rPr>
          <w:rFonts w:asciiTheme="minorHAnsi" w:hAnsiTheme="minorHAnsi" w:cstheme="minorHAnsi"/>
          <w:sz w:val="22"/>
          <w:szCs w:val="22"/>
        </w:rPr>
        <w:t>ług. T</w:t>
      </w:r>
      <w:r w:rsidRPr="00890249">
        <w:rPr>
          <w:rFonts w:asciiTheme="minorHAnsi" w:hAnsiTheme="minorHAnsi" w:cstheme="minorHAnsi"/>
          <w:sz w:val="22"/>
          <w:szCs w:val="22"/>
        </w:rPr>
        <w:t xml:space="preserve">radycje migracyjne </w:t>
      </w:r>
      <w:r w:rsidR="00A844A9" w:rsidRPr="00890249">
        <w:rPr>
          <w:rFonts w:asciiTheme="minorHAnsi" w:hAnsiTheme="minorHAnsi" w:cstheme="minorHAnsi"/>
          <w:sz w:val="22"/>
          <w:szCs w:val="22"/>
        </w:rPr>
        <w:t xml:space="preserve">regionu </w:t>
      </w:r>
      <w:r w:rsidRPr="00890249">
        <w:rPr>
          <w:rFonts w:asciiTheme="minorHAnsi" w:hAnsiTheme="minorHAnsi" w:cstheme="minorHAnsi"/>
          <w:sz w:val="22"/>
          <w:szCs w:val="22"/>
        </w:rPr>
        <w:t>sprawiają, że oczekiwania mieszkańców</w:t>
      </w:r>
      <w:r w:rsidR="00722E97" w:rsidRPr="00890249">
        <w:rPr>
          <w:rFonts w:asciiTheme="minorHAnsi" w:hAnsiTheme="minorHAnsi" w:cstheme="minorHAnsi"/>
          <w:sz w:val="22"/>
          <w:szCs w:val="22"/>
        </w:rPr>
        <w:t xml:space="preserve"> załatwiania spraw urzędowych drogą elektroniczną</w:t>
      </w:r>
      <w:r w:rsidRPr="00890249">
        <w:rPr>
          <w:rFonts w:asciiTheme="minorHAnsi" w:hAnsiTheme="minorHAnsi" w:cstheme="minorHAnsi"/>
          <w:sz w:val="22"/>
          <w:szCs w:val="22"/>
        </w:rPr>
        <w:t xml:space="preserve"> są na Opolszczyźnie szczególnie ważne. </w:t>
      </w:r>
      <w:r w:rsidR="00722E97" w:rsidRPr="00890249">
        <w:rPr>
          <w:rFonts w:asciiTheme="minorHAnsi" w:hAnsiTheme="minorHAnsi" w:cstheme="minorHAnsi"/>
          <w:sz w:val="22"/>
          <w:szCs w:val="22"/>
          <w:lang w:bidi="ar-SA"/>
        </w:rPr>
        <w:t xml:space="preserve">Równie istotna </w:t>
      </w:r>
      <w:r w:rsidRPr="00890249">
        <w:rPr>
          <w:rFonts w:asciiTheme="minorHAnsi" w:hAnsiTheme="minorHAnsi" w:cstheme="minorHAnsi"/>
          <w:sz w:val="22"/>
          <w:szCs w:val="22"/>
          <w:lang w:bidi="ar-SA"/>
        </w:rPr>
        <w:t xml:space="preserve">jest także informatyzacja opieki zdrowotnej. </w:t>
      </w:r>
      <w:r w:rsidR="002E114A" w:rsidRPr="00890249">
        <w:rPr>
          <w:rFonts w:asciiTheme="minorHAnsi" w:hAnsiTheme="minorHAnsi" w:cstheme="minorHAnsi"/>
          <w:sz w:val="22"/>
          <w:szCs w:val="22"/>
        </w:rPr>
        <w:t>W ramach RPO WO 2014-2020 na rozwój e-usług publicznych przeznaczono ponad 8 mln E</w:t>
      </w:r>
      <w:r w:rsidR="00E81F23">
        <w:rPr>
          <w:rFonts w:asciiTheme="minorHAnsi" w:hAnsiTheme="minorHAnsi" w:cstheme="minorHAnsi"/>
          <w:sz w:val="22"/>
          <w:szCs w:val="22"/>
        </w:rPr>
        <w:t>UR</w:t>
      </w:r>
      <w:r w:rsidR="002E114A" w:rsidRPr="00890249">
        <w:rPr>
          <w:rFonts w:asciiTheme="minorHAnsi" w:hAnsiTheme="minorHAnsi" w:cstheme="minorHAnsi"/>
          <w:sz w:val="22"/>
          <w:szCs w:val="22"/>
        </w:rPr>
        <w:t xml:space="preserve">, jednak obszar ten </w:t>
      </w:r>
      <w:r w:rsidR="000F0D1B" w:rsidRPr="00890249">
        <w:rPr>
          <w:rFonts w:asciiTheme="minorHAnsi" w:hAnsiTheme="minorHAnsi" w:cstheme="minorHAnsi"/>
          <w:sz w:val="22"/>
          <w:szCs w:val="22"/>
        </w:rPr>
        <w:t xml:space="preserve">nadal </w:t>
      </w:r>
      <w:r w:rsidR="002E114A" w:rsidRPr="00890249">
        <w:rPr>
          <w:rFonts w:asciiTheme="minorHAnsi" w:hAnsiTheme="minorHAnsi" w:cstheme="minorHAnsi"/>
          <w:sz w:val="22"/>
          <w:szCs w:val="22"/>
        </w:rPr>
        <w:t>wymaga wsparcia.</w:t>
      </w:r>
    </w:p>
    <w:p w14:paraId="3AA64F86"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 xml:space="preserve">Gospodarka niskoemisyjna, ochrona powietrza i energetyka </w:t>
      </w:r>
    </w:p>
    <w:p w14:paraId="20F02A5E" w14:textId="4A3AF8F2" w:rsidR="0093433C" w:rsidRPr="00890249" w:rsidRDefault="00A4399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 </w:t>
      </w:r>
      <w:r w:rsidR="00B53DBA" w:rsidRPr="00890249">
        <w:rPr>
          <w:rFonts w:asciiTheme="minorHAnsi" w:hAnsiTheme="minorHAnsi" w:cstheme="minorHAnsi"/>
          <w:sz w:val="22"/>
          <w:szCs w:val="22"/>
        </w:rPr>
        <w:t>2018 r. w</w:t>
      </w:r>
      <w:r w:rsidRPr="00890249">
        <w:rPr>
          <w:rFonts w:asciiTheme="minorHAnsi" w:hAnsiTheme="minorHAnsi" w:cstheme="minorHAnsi"/>
          <w:sz w:val="22"/>
          <w:szCs w:val="22"/>
        </w:rPr>
        <w:t xml:space="preserve"> województwie odnotowano</w:t>
      </w:r>
      <w:r w:rsidRPr="00890249">
        <w:rPr>
          <w:rFonts w:asciiTheme="minorHAnsi" w:hAnsiTheme="minorHAnsi" w:cstheme="minorHAnsi"/>
          <w:sz w:val="22"/>
          <w:szCs w:val="22"/>
          <w:vertAlign w:val="superscript"/>
        </w:rPr>
        <w:footnoteReference w:id="13"/>
      </w:r>
      <w:r w:rsidR="00D21EB8" w:rsidRPr="00890249">
        <w:rPr>
          <w:rFonts w:asciiTheme="minorHAnsi" w:hAnsiTheme="minorHAnsi" w:cstheme="minorHAnsi"/>
          <w:sz w:val="22"/>
          <w:szCs w:val="22"/>
        </w:rPr>
        <w:t xml:space="preserve"> </w:t>
      </w:r>
      <w:r w:rsidRPr="00890249">
        <w:rPr>
          <w:rFonts w:asciiTheme="minorHAnsi" w:hAnsiTheme="minorHAnsi" w:cstheme="minorHAnsi"/>
          <w:sz w:val="22"/>
          <w:szCs w:val="22"/>
        </w:rPr>
        <w:t>przekroczenia dopuszczalnego poz</w:t>
      </w:r>
      <w:r w:rsidR="009829EA" w:rsidRPr="00890249">
        <w:rPr>
          <w:rFonts w:asciiTheme="minorHAnsi" w:hAnsiTheme="minorHAnsi" w:cstheme="minorHAnsi"/>
          <w:sz w:val="22"/>
          <w:szCs w:val="22"/>
        </w:rPr>
        <w:t>.</w:t>
      </w:r>
      <w:r w:rsidRPr="00890249">
        <w:rPr>
          <w:rFonts w:asciiTheme="minorHAnsi" w:hAnsiTheme="minorHAnsi" w:cstheme="minorHAnsi"/>
          <w:sz w:val="22"/>
          <w:szCs w:val="22"/>
        </w:rPr>
        <w:t xml:space="preserve"> stężenia średniodob</w:t>
      </w:r>
      <w:r w:rsidR="009829EA" w:rsidRPr="00890249">
        <w:rPr>
          <w:rFonts w:asciiTheme="minorHAnsi" w:hAnsiTheme="minorHAnsi" w:cstheme="minorHAnsi"/>
          <w:sz w:val="22"/>
          <w:szCs w:val="22"/>
        </w:rPr>
        <w:t>.</w:t>
      </w:r>
      <w:r w:rsidRPr="00890249">
        <w:rPr>
          <w:rFonts w:asciiTheme="minorHAnsi" w:hAnsiTheme="minorHAnsi" w:cstheme="minorHAnsi"/>
          <w:sz w:val="22"/>
          <w:szCs w:val="22"/>
        </w:rPr>
        <w:t xml:space="preserve"> dla PM</w:t>
      </w:r>
      <w:r w:rsidR="00C266E1" w:rsidRPr="00890249">
        <w:rPr>
          <w:rFonts w:asciiTheme="minorHAnsi" w:hAnsiTheme="minorHAnsi" w:cstheme="minorHAnsi"/>
          <w:sz w:val="22"/>
          <w:szCs w:val="22"/>
          <w:vertAlign w:val="subscript"/>
        </w:rPr>
        <w:t xml:space="preserve">10 </w:t>
      </w:r>
      <w:r w:rsidRPr="00890249">
        <w:rPr>
          <w:rFonts w:asciiTheme="minorHAnsi" w:hAnsiTheme="minorHAnsi" w:cstheme="minorHAnsi"/>
          <w:sz w:val="22"/>
          <w:szCs w:val="22"/>
        </w:rPr>
        <w:t xml:space="preserve">(strefa opolska i miasto Opole – liczba dni z przekroczeniem normy dobowej 50 </w:t>
      </w:r>
      <w:r w:rsidR="00B53DBA" w:rsidRPr="00890249">
        <w:rPr>
          <w:rFonts w:asciiTheme="minorHAnsi" w:hAnsiTheme="minorHAnsi" w:cstheme="minorHAnsi"/>
          <w:sz w:val="22"/>
          <w:szCs w:val="22"/>
        </w:rPr>
        <w:t>µg/m3 wahała się od 41 do 69</w:t>
      </w:r>
      <w:r w:rsidRPr="00890249">
        <w:rPr>
          <w:rFonts w:asciiTheme="minorHAnsi" w:hAnsiTheme="minorHAnsi" w:cstheme="minorHAnsi"/>
          <w:sz w:val="22"/>
          <w:szCs w:val="22"/>
        </w:rPr>
        <w:t>) oraz stężenia średnioroczn</w:t>
      </w:r>
      <w:r w:rsidR="009829EA" w:rsidRPr="00890249">
        <w:rPr>
          <w:rFonts w:asciiTheme="minorHAnsi" w:hAnsiTheme="minorHAnsi" w:cstheme="minorHAnsi"/>
          <w:sz w:val="22"/>
          <w:szCs w:val="22"/>
        </w:rPr>
        <w:t>.</w:t>
      </w:r>
      <w:r w:rsidRPr="00890249">
        <w:rPr>
          <w:rFonts w:asciiTheme="minorHAnsi" w:hAnsiTheme="minorHAnsi" w:cstheme="minorHAnsi"/>
          <w:sz w:val="22"/>
          <w:szCs w:val="22"/>
        </w:rPr>
        <w:t xml:space="preserve"> dla PM</w:t>
      </w:r>
      <w:r w:rsidR="00C266E1" w:rsidRPr="00890249">
        <w:rPr>
          <w:rFonts w:asciiTheme="minorHAnsi" w:hAnsiTheme="minorHAnsi" w:cstheme="minorHAnsi"/>
          <w:sz w:val="22"/>
          <w:szCs w:val="22"/>
          <w:vertAlign w:val="subscript"/>
        </w:rPr>
        <w:t>2,5</w:t>
      </w:r>
      <w:r w:rsidRPr="00890249">
        <w:rPr>
          <w:rFonts w:asciiTheme="minorHAnsi" w:hAnsiTheme="minorHAnsi" w:cstheme="minorHAnsi"/>
          <w:sz w:val="22"/>
          <w:szCs w:val="22"/>
        </w:rPr>
        <w:t xml:space="preserve"> (wartość średnioroczna w strefie opolskiej – </w:t>
      </w:r>
      <w:r w:rsidRPr="00890249">
        <w:rPr>
          <w:rFonts w:asciiTheme="minorHAnsi" w:hAnsiTheme="minorHAnsi" w:cstheme="minorHAnsi"/>
          <w:sz w:val="22"/>
          <w:szCs w:val="22"/>
        </w:rPr>
        <w:lastRenderedPageBreak/>
        <w:t xml:space="preserve">Kędzierzyn-Koźle wynosiła 29 µg/m3). Wg danych </w:t>
      </w:r>
      <w:r w:rsidR="00C266E1" w:rsidRPr="00890249">
        <w:rPr>
          <w:rFonts w:asciiTheme="minorHAnsi" w:hAnsiTheme="minorHAnsi" w:cstheme="minorHAnsi"/>
          <w:sz w:val="22"/>
          <w:szCs w:val="22"/>
        </w:rPr>
        <w:t>GIOŚ</w:t>
      </w:r>
      <w:r w:rsidR="00B53DBA" w:rsidRPr="00890249">
        <w:rPr>
          <w:rFonts w:asciiTheme="minorHAnsi" w:hAnsiTheme="minorHAnsi" w:cstheme="minorHAnsi"/>
          <w:sz w:val="22"/>
          <w:szCs w:val="22"/>
        </w:rPr>
        <w:t xml:space="preserve"> n</w:t>
      </w:r>
      <w:r w:rsidRPr="00890249">
        <w:rPr>
          <w:rFonts w:asciiTheme="minorHAnsi" w:hAnsiTheme="minorHAnsi" w:cstheme="minorHAnsi"/>
          <w:sz w:val="22"/>
          <w:szCs w:val="22"/>
        </w:rPr>
        <w:t xml:space="preserve">a obszarze </w:t>
      </w:r>
      <w:r w:rsidR="00E81F23">
        <w:rPr>
          <w:rFonts w:asciiTheme="minorHAnsi" w:hAnsiTheme="minorHAnsi" w:cstheme="minorHAnsi"/>
          <w:sz w:val="22"/>
          <w:szCs w:val="22"/>
        </w:rPr>
        <w:t>woj.</w:t>
      </w:r>
      <w:r w:rsidRPr="00890249">
        <w:rPr>
          <w:rFonts w:asciiTheme="minorHAnsi" w:hAnsiTheme="minorHAnsi" w:cstheme="minorHAnsi"/>
          <w:sz w:val="22"/>
          <w:szCs w:val="22"/>
        </w:rPr>
        <w:t xml:space="preserve"> nie odnotowano </w:t>
      </w:r>
      <w:r w:rsidR="00B53DBA" w:rsidRPr="00890249">
        <w:rPr>
          <w:rFonts w:asciiTheme="minorHAnsi" w:hAnsiTheme="minorHAnsi" w:cstheme="minorHAnsi"/>
          <w:sz w:val="22"/>
          <w:szCs w:val="22"/>
        </w:rPr>
        <w:t xml:space="preserve">wówczas </w:t>
      </w:r>
      <w:r w:rsidR="00D8425A" w:rsidRPr="00890249">
        <w:rPr>
          <w:rFonts w:asciiTheme="minorHAnsi" w:hAnsiTheme="minorHAnsi" w:cstheme="minorHAnsi"/>
          <w:sz w:val="22"/>
          <w:szCs w:val="22"/>
        </w:rPr>
        <w:t>p</w:t>
      </w:r>
      <w:r w:rsidRPr="00890249">
        <w:rPr>
          <w:rFonts w:asciiTheme="minorHAnsi" w:hAnsiTheme="minorHAnsi" w:cstheme="minorHAnsi"/>
          <w:sz w:val="22"/>
          <w:szCs w:val="22"/>
        </w:rPr>
        <w:t>rzekro</w:t>
      </w:r>
      <w:r w:rsidR="00D8425A" w:rsidRPr="00890249">
        <w:rPr>
          <w:rFonts w:asciiTheme="minorHAnsi" w:hAnsiTheme="minorHAnsi" w:cstheme="minorHAnsi"/>
          <w:sz w:val="22"/>
          <w:szCs w:val="22"/>
        </w:rPr>
        <w:t>czenia poz</w:t>
      </w:r>
      <w:r w:rsidR="009829EA" w:rsidRPr="00890249">
        <w:rPr>
          <w:rFonts w:asciiTheme="minorHAnsi" w:hAnsiTheme="minorHAnsi" w:cstheme="minorHAnsi"/>
          <w:sz w:val="22"/>
          <w:szCs w:val="22"/>
        </w:rPr>
        <w:t>.</w:t>
      </w:r>
      <w:r w:rsidR="00D8425A" w:rsidRPr="00890249">
        <w:rPr>
          <w:rFonts w:asciiTheme="minorHAnsi" w:hAnsiTheme="minorHAnsi" w:cstheme="minorHAnsi"/>
          <w:sz w:val="22"/>
          <w:szCs w:val="22"/>
        </w:rPr>
        <w:t xml:space="preserve"> alarmowych PM</w:t>
      </w:r>
      <w:r w:rsidR="00F42F8C" w:rsidRPr="00890249">
        <w:rPr>
          <w:rFonts w:asciiTheme="minorHAnsi" w:hAnsiTheme="minorHAnsi" w:cstheme="minorHAnsi"/>
          <w:sz w:val="22"/>
          <w:szCs w:val="22"/>
          <w:vertAlign w:val="subscript"/>
        </w:rPr>
        <w:t>10</w:t>
      </w:r>
      <w:r w:rsidR="00D8425A" w:rsidRPr="00890249">
        <w:rPr>
          <w:rFonts w:asciiTheme="minorHAnsi" w:hAnsiTheme="minorHAnsi" w:cstheme="minorHAnsi"/>
          <w:sz w:val="22"/>
          <w:szCs w:val="22"/>
        </w:rPr>
        <w:t xml:space="preserve">, </w:t>
      </w:r>
      <w:r w:rsidRPr="00890249">
        <w:rPr>
          <w:rFonts w:asciiTheme="minorHAnsi" w:hAnsiTheme="minorHAnsi" w:cstheme="minorHAnsi"/>
          <w:sz w:val="22"/>
          <w:szCs w:val="22"/>
        </w:rPr>
        <w:t>a przekroczenie poz</w:t>
      </w:r>
      <w:r w:rsidR="009829EA" w:rsidRPr="00890249">
        <w:rPr>
          <w:rFonts w:asciiTheme="minorHAnsi" w:hAnsiTheme="minorHAnsi" w:cstheme="minorHAnsi"/>
          <w:sz w:val="22"/>
          <w:szCs w:val="22"/>
        </w:rPr>
        <w:t>.</w:t>
      </w:r>
      <w:r w:rsidRPr="00890249">
        <w:rPr>
          <w:rFonts w:asciiTheme="minorHAnsi" w:hAnsiTheme="minorHAnsi" w:cstheme="minorHAnsi"/>
          <w:sz w:val="22"/>
          <w:szCs w:val="22"/>
        </w:rPr>
        <w:t xml:space="preserve"> informowania wystąpiło 2-krotnie</w:t>
      </w:r>
      <w:r w:rsidRPr="00890249">
        <w:rPr>
          <w:rFonts w:asciiTheme="minorHAnsi" w:hAnsiTheme="minorHAnsi" w:cstheme="minorHAnsi"/>
          <w:sz w:val="22"/>
          <w:szCs w:val="22"/>
          <w:vertAlign w:val="superscript"/>
        </w:rPr>
        <w:footnoteReference w:id="14"/>
      </w:r>
      <w:r w:rsidRPr="00890249">
        <w:rPr>
          <w:rFonts w:asciiTheme="minorHAnsi" w:hAnsiTheme="minorHAnsi" w:cstheme="minorHAnsi"/>
          <w:sz w:val="22"/>
          <w:szCs w:val="22"/>
        </w:rPr>
        <w:t xml:space="preserve">. </w:t>
      </w:r>
      <w:r w:rsidR="00A844A9" w:rsidRPr="00890249">
        <w:rPr>
          <w:rFonts w:asciiTheme="minorHAnsi" w:hAnsiTheme="minorHAnsi" w:cstheme="minorHAnsi"/>
          <w:noProof/>
          <w:sz w:val="22"/>
          <w:szCs w:val="22"/>
        </w:rPr>
        <w:t>Wśród</w:t>
      </w:r>
      <w:r w:rsidRPr="00890249">
        <w:rPr>
          <w:rFonts w:asciiTheme="minorHAnsi" w:hAnsiTheme="minorHAnsi" w:cstheme="minorHAnsi"/>
          <w:noProof/>
          <w:sz w:val="22"/>
          <w:szCs w:val="22"/>
        </w:rPr>
        <w:t xml:space="preserve"> wytwarzanych zanieczyszczeń dominuje sektor energetyczny, z którego pochodzi ponad </w:t>
      </w:r>
      <w:r w:rsidRPr="00890249">
        <w:rPr>
          <w:rFonts w:asciiTheme="minorHAnsi" w:hAnsiTheme="minorHAnsi" w:cstheme="minorHAnsi"/>
          <w:sz w:val="22"/>
          <w:szCs w:val="22"/>
        </w:rPr>
        <w:t>54,3% wielkości emisji</w:t>
      </w:r>
      <w:r w:rsidRPr="00890249">
        <w:rPr>
          <w:rFonts w:asciiTheme="minorHAnsi" w:hAnsiTheme="minorHAnsi" w:cstheme="minorHAnsi"/>
          <w:noProof/>
          <w:sz w:val="22"/>
          <w:szCs w:val="22"/>
          <w:vertAlign w:val="superscript"/>
        </w:rPr>
        <w:footnoteReference w:id="15"/>
      </w:r>
      <w:r w:rsidRPr="00890249">
        <w:rPr>
          <w:rFonts w:asciiTheme="minorHAnsi" w:hAnsiTheme="minorHAnsi" w:cstheme="minorHAnsi"/>
          <w:sz w:val="22"/>
          <w:szCs w:val="22"/>
        </w:rPr>
        <w:t xml:space="preserve">. </w:t>
      </w:r>
      <w:r w:rsidR="00A844A9" w:rsidRPr="00890249">
        <w:rPr>
          <w:rFonts w:asciiTheme="minorHAnsi" w:hAnsiTheme="minorHAnsi" w:cstheme="minorHAnsi"/>
          <w:sz w:val="22"/>
          <w:szCs w:val="22"/>
        </w:rPr>
        <w:t>Dużym</w:t>
      </w:r>
      <w:r w:rsidRPr="00890249">
        <w:rPr>
          <w:rFonts w:asciiTheme="minorHAnsi" w:hAnsiTheme="minorHAnsi" w:cstheme="minorHAnsi"/>
          <w:sz w:val="22"/>
          <w:szCs w:val="22"/>
        </w:rPr>
        <w:t xml:space="preserve"> czynnikiem powodującym utrzymywanie się złej jakości powietrza atmosferycznego są </w:t>
      </w:r>
      <w:r w:rsidR="009829EA" w:rsidRPr="00890249">
        <w:rPr>
          <w:rFonts w:asciiTheme="minorHAnsi" w:hAnsiTheme="minorHAnsi" w:cstheme="minorHAnsi"/>
          <w:sz w:val="22"/>
          <w:szCs w:val="22"/>
        </w:rPr>
        <w:t xml:space="preserve">też </w:t>
      </w:r>
      <w:r w:rsidRPr="00890249">
        <w:rPr>
          <w:rFonts w:asciiTheme="minorHAnsi" w:hAnsiTheme="minorHAnsi" w:cstheme="minorHAnsi"/>
          <w:sz w:val="22"/>
          <w:szCs w:val="22"/>
        </w:rPr>
        <w:t xml:space="preserve">zanieczyszczenia </w:t>
      </w:r>
      <w:r w:rsidR="00B53DBA" w:rsidRPr="00890249">
        <w:rPr>
          <w:rFonts w:asciiTheme="minorHAnsi" w:hAnsiTheme="minorHAnsi" w:cstheme="minorHAnsi"/>
          <w:sz w:val="22"/>
          <w:szCs w:val="22"/>
        </w:rPr>
        <w:t>z</w:t>
      </w:r>
      <w:r w:rsidR="00A844A9" w:rsidRPr="00890249">
        <w:rPr>
          <w:rFonts w:asciiTheme="minorHAnsi" w:hAnsiTheme="minorHAnsi" w:cstheme="minorHAnsi"/>
          <w:sz w:val="22"/>
          <w:szCs w:val="22"/>
        </w:rPr>
        <w:t> </w:t>
      </w:r>
      <w:r w:rsidRPr="00890249">
        <w:rPr>
          <w:rFonts w:asciiTheme="minorHAnsi" w:hAnsiTheme="minorHAnsi" w:cstheme="minorHAnsi"/>
          <w:sz w:val="22"/>
          <w:szCs w:val="22"/>
        </w:rPr>
        <w:t>sektora bytowo-komunalnego oraz komunikacja miejska, w tym zbiorowa</w:t>
      </w:r>
      <w:r w:rsidRPr="00890249">
        <w:rPr>
          <w:rFonts w:asciiTheme="minorHAnsi" w:hAnsiTheme="minorHAnsi" w:cstheme="minorHAnsi"/>
          <w:sz w:val="22"/>
          <w:szCs w:val="22"/>
          <w:vertAlign w:val="superscript"/>
        </w:rPr>
        <w:footnoteReference w:id="16"/>
      </w:r>
      <w:r w:rsidRPr="00890249">
        <w:rPr>
          <w:rFonts w:asciiTheme="minorHAnsi" w:hAnsiTheme="minorHAnsi" w:cstheme="minorHAnsi"/>
          <w:sz w:val="22"/>
          <w:szCs w:val="22"/>
        </w:rPr>
        <w:t>. Dzięki wsparciu</w:t>
      </w:r>
      <w:r w:rsidR="000F0D1B" w:rsidRPr="00890249">
        <w:rPr>
          <w:rFonts w:asciiTheme="minorHAnsi" w:hAnsiTheme="minorHAnsi" w:cstheme="minorHAnsi"/>
          <w:sz w:val="22"/>
          <w:szCs w:val="22"/>
        </w:rPr>
        <w:t xml:space="preserve"> z</w:t>
      </w:r>
      <w:r w:rsidR="001074F7" w:rsidRPr="00890249">
        <w:rPr>
          <w:rFonts w:asciiTheme="minorHAnsi" w:hAnsiTheme="minorHAnsi" w:cstheme="minorHAnsi"/>
          <w:sz w:val="22"/>
          <w:szCs w:val="22"/>
        </w:rPr>
        <w:t xml:space="preserve"> </w:t>
      </w:r>
      <w:r w:rsidR="002E114A" w:rsidRPr="00890249">
        <w:rPr>
          <w:rFonts w:asciiTheme="minorHAnsi" w:hAnsiTheme="minorHAnsi" w:cstheme="minorHAnsi"/>
          <w:sz w:val="22"/>
          <w:szCs w:val="22"/>
        </w:rPr>
        <w:t xml:space="preserve">RPO WO 2014-2020 </w:t>
      </w:r>
      <w:r w:rsidRPr="00890249">
        <w:rPr>
          <w:rFonts w:asciiTheme="minorHAnsi" w:hAnsiTheme="minorHAnsi" w:cstheme="minorHAnsi"/>
          <w:sz w:val="22"/>
          <w:szCs w:val="22"/>
        </w:rPr>
        <w:t xml:space="preserve">nastąpił spadek emisji gazów cieplarnianych o </w:t>
      </w:r>
      <w:r w:rsidR="00F42F8C" w:rsidRPr="00890249">
        <w:rPr>
          <w:rFonts w:asciiTheme="minorHAnsi" w:hAnsiTheme="minorHAnsi" w:cstheme="minorHAnsi"/>
          <w:sz w:val="22"/>
          <w:szCs w:val="22"/>
        </w:rPr>
        <w:t>ok.</w:t>
      </w:r>
      <w:r w:rsidRPr="00890249">
        <w:rPr>
          <w:rFonts w:asciiTheme="minorHAnsi" w:hAnsiTheme="minorHAnsi" w:cstheme="minorHAnsi"/>
          <w:sz w:val="22"/>
          <w:szCs w:val="22"/>
        </w:rPr>
        <w:t xml:space="preserve"> 30 tys. ton równoważnika CO</w:t>
      </w:r>
      <w:r w:rsidRPr="00890249">
        <w:rPr>
          <w:rFonts w:asciiTheme="minorHAnsi" w:hAnsiTheme="minorHAnsi" w:cstheme="minorHAnsi"/>
          <w:sz w:val="22"/>
          <w:szCs w:val="22"/>
          <w:vertAlign w:val="subscript"/>
        </w:rPr>
        <w:t xml:space="preserve">2 </w:t>
      </w:r>
      <w:r w:rsidRPr="00890249">
        <w:rPr>
          <w:rFonts w:asciiTheme="minorHAnsi" w:hAnsiTheme="minorHAnsi" w:cstheme="minorHAnsi"/>
          <w:sz w:val="22"/>
          <w:szCs w:val="22"/>
        </w:rPr>
        <w:t>.</w:t>
      </w:r>
      <w:r w:rsidR="00B632FC" w:rsidRPr="00890249">
        <w:rPr>
          <w:rFonts w:asciiTheme="minorHAnsi" w:hAnsiTheme="minorHAnsi" w:cstheme="minorHAnsi"/>
          <w:sz w:val="22"/>
          <w:szCs w:val="22"/>
        </w:rPr>
        <w:t xml:space="preserve"> Jednak </w:t>
      </w:r>
      <w:r w:rsidR="00EF3E99" w:rsidRPr="00890249">
        <w:rPr>
          <w:rFonts w:asciiTheme="minorHAnsi" w:hAnsiTheme="minorHAnsi" w:cstheme="minorHAnsi"/>
          <w:sz w:val="22"/>
          <w:szCs w:val="22"/>
        </w:rPr>
        <w:t>KE</w:t>
      </w:r>
      <w:r w:rsidRPr="00890249">
        <w:rPr>
          <w:rFonts w:asciiTheme="minorHAnsi" w:hAnsiTheme="minorHAnsi" w:cstheme="minorHAnsi"/>
          <w:sz w:val="22"/>
          <w:szCs w:val="22"/>
        </w:rPr>
        <w:t xml:space="preserve"> zwraca uwagę na utrzymującą się nieefektywność polskiej gosp</w:t>
      </w:r>
      <w:r w:rsidR="00FA0575" w:rsidRPr="00890249">
        <w:rPr>
          <w:rFonts w:asciiTheme="minorHAnsi" w:hAnsiTheme="minorHAnsi" w:cstheme="minorHAnsi"/>
          <w:sz w:val="22"/>
          <w:szCs w:val="22"/>
        </w:rPr>
        <w:t>.</w:t>
      </w:r>
      <w:r w:rsidRPr="00890249">
        <w:rPr>
          <w:rFonts w:asciiTheme="minorHAnsi" w:hAnsiTheme="minorHAnsi" w:cstheme="minorHAnsi"/>
          <w:sz w:val="22"/>
          <w:szCs w:val="22"/>
        </w:rPr>
        <w:t xml:space="preserve"> </w:t>
      </w:r>
      <w:r w:rsidR="00B632FC" w:rsidRPr="00890249">
        <w:rPr>
          <w:rFonts w:asciiTheme="minorHAnsi" w:hAnsiTheme="minorHAnsi" w:cstheme="minorHAnsi"/>
          <w:sz w:val="22"/>
          <w:szCs w:val="22"/>
        </w:rPr>
        <w:t>dot.</w:t>
      </w:r>
      <w:r w:rsidRPr="00890249">
        <w:rPr>
          <w:rFonts w:asciiTheme="minorHAnsi" w:hAnsiTheme="minorHAnsi" w:cstheme="minorHAnsi"/>
          <w:sz w:val="22"/>
          <w:szCs w:val="22"/>
        </w:rPr>
        <w:t xml:space="preserve"> ograniczeń emisji dwutlenku węgla, wskazując </w:t>
      </w:r>
      <w:r w:rsidR="00F42F8C" w:rsidRPr="00890249">
        <w:rPr>
          <w:rFonts w:asciiTheme="minorHAnsi" w:hAnsiTheme="minorHAnsi" w:cstheme="minorHAnsi"/>
          <w:sz w:val="22"/>
          <w:szCs w:val="22"/>
        </w:rPr>
        <w:t>m.in.</w:t>
      </w:r>
      <w:r w:rsidRPr="00890249">
        <w:rPr>
          <w:rFonts w:asciiTheme="minorHAnsi" w:hAnsiTheme="minorHAnsi" w:cstheme="minorHAnsi"/>
          <w:sz w:val="22"/>
          <w:szCs w:val="22"/>
        </w:rPr>
        <w:t xml:space="preserve"> na nieodpowiednią izolację budynków zwiększającą energochłonność</w:t>
      </w:r>
      <w:r w:rsidRPr="00890249">
        <w:rPr>
          <w:rFonts w:asciiTheme="minorHAnsi" w:hAnsiTheme="minorHAnsi" w:cstheme="minorHAnsi"/>
          <w:sz w:val="22"/>
          <w:szCs w:val="22"/>
          <w:vertAlign w:val="superscript"/>
        </w:rPr>
        <w:footnoteReference w:id="17"/>
      </w:r>
      <w:r w:rsidRPr="00890249">
        <w:rPr>
          <w:rFonts w:asciiTheme="minorHAnsi" w:hAnsiTheme="minorHAnsi" w:cstheme="minorHAnsi"/>
          <w:sz w:val="22"/>
          <w:szCs w:val="22"/>
        </w:rPr>
        <w:t xml:space="preserve">. Istotne będzie </w:t>
      </w:r>
      <w:r w:rsidR="00F42F8C" w:rsidRPr="00890249">
        <w:rPr>
          <w:rFonts w:asciiTheme="minorHAnsi" w:hAnsiTheme="minorHAnsi" w:cstheme="minorHAnsi"/>
          <w:sz w:val="22"/>
          <w:szCs w:val="22"/>
        </w:rPr>
        <w:t>więc</w:t>
      </w:r>
      <w:r w:rsidRPr="00890249">
        <w:rPr>
          <w:rFonts w:asciiTheme="minorHAnsi" w:hAnsiTheme="minorHAnsi" w:cstheme="minorHAnsi"/>
          <w:sz w:val="22"/>
          <w:szCs w:val="22"/>
        </w:rPr>
        <w:t xml:space="preserve"> wdrażanie nowoczesnych technologii wspierających niskoemisyjną gosp</w:t>
      </w:r>
      <w:r w:rsidR="00FA0575" w:rsidRPr="00890249">
        <w:rPr>
          <w:rFonts w:asciiTheme="minorHAnsi" w:hAnsiTheme="minorHAnsi" w:cstheme="minorHAnsi"/>
          <w:sz w:val="22"/>
          <w:szCs w:val="22"/>
        </w:rPr>
        <w:t>.</w:t>
      </w:r>
      <w:r w:rsidRPr="00890249">
        <w:rPr>
          <w:rFonts w:asciiTheme="minorHAnsi" w:hAnsiTheme="minorHAnsi" w:cstheme="minorHAnsi"/>
          <w:sz w:val="22"/>
          <w:szCs w:val="22"/>
        </w:rPr>
        <w:t>, ukierunkowaną na poprawę efektywności energetycznej, rozwój i wykorzystanie niskoemisyjnych technologii pr</w:t>
      </w:r>
      <w:r w:rsidR="002C7159" w:rsidRPr="00890249">
        <w:rPr>
          <w:rFonts w:asciiTheme="minorHAnsi" w:hAnsiTheme="minorHAnsi" w:cstheme="minorHAnsi"/>
          <w:sz w:val="22"/>
          <w:szCs w:val="22"/>
        </w:rPr>
        <w:t>odukcji energii elektrycznej, w </w:t>
      </w:r>
      <w:r w:rsidRPr="00890249">
        <w:rPr>
          <w:rFonts w:asciiTheme="minorHAnsi" w:hAnsiTheme="minorHAnsi" w:cstheme="minorHAnsi"/>
          <w:sz w:val="22"/>
          <w:szCs w:val="22"/>
        </w:rPr>
        <w:t>tym ba</w:t>
      </w:r>
      <w:r w:rsidR="00B53DBA" w:rsidRPr="00890249">
        <w:rPr>
          <w:rFonts w:asciiTheme="minorHAnsi" w:hAnsiTheme="minorHAnsi" w:cstheme="minorHAnsi"/>
          <w:sz w:val="22"/>
          <w:szCs w:val="22"/>
        </w:rPr>
        <w:t>zujących na OZE</w:t>
      </w:r>
      <w:r w:rsidRPr="00890249">
        <w:rPr>
          <w:rFonts w:asciiTheme="minorHAnsi" w:hAnsiTheme="minorHAnsi" w:cstheme="minorHAnsi"/>
          <w:sz w:val="22"/>
          <w:szCs w:val="22"/>
        </w:rPr>
        <w:t>.</w:t>
      </w:r>
    </w:p>
    <w:p w14:paraId="72456865"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Zapobieganie zagrożeniom</w:t>
      </w:r>
    </w:p>
    <w:p w14:paraId="2C5BCBBD" w14:textId="75E5E229" w:rsidR="0093433C" w:rsidRPr="00890249" w:rsidRDefault="00C1573A" w:rsidP="00890249">
      <w:pPr>
        <w:pStyle w:val="Tekstpodstawowy"/>
        <w:rPr>
          <w:rFonts w:asciiTheme="minorHAnsi" w:hAnsiTheme="minorHAnsi" w:cstheme="minorHAnsi"/>
          <w:color w:val="000000"/>
          <w:sz w:val="22"/>
          <w:szCs w:val="22"/>
        </w:rPr>
      </w:pPr>
      <w:r w:rsidRPr="00890249">
        <w:rPr>
          <w:rFonts w:asciiTheme="minorHAnsi" w:hAnsiTheme="minorHAnsi" w:cstheme="minorHAnsi"/>
          <w:sz w:val="22"/>
          <w:szCs w:val="22"/>
        </w:rPr>
        <w:t>Ogromnym</w:t>
      </w:r>
      <w:r w:rsidR="00A43991" w:rsidRPr="00890249">
        <w:rPr>
          <w:rFonts w:asciiTheme="minorHAnsi" w:hAnsiTheme="minorHAnsi" w:cstheme="minorHAnsi"/>
          <w:sz w:val="22"/>
          <w:szCs w:val="22"/>
        </w:rPr>
        <w:t xml:space="preserve"> zagrożeniem dla rozwoju lokalnego są k</w:t>
      </w:r>
      <w:r w:rsidR="00A43991" w:rsidRPr="00890249">
        <w:rPr>
          <w:rFonts w:asciiTheme="minorHAnsi" w:hAnsiTheme="minorHAnsi" w:cstheme="minorHAnsi"/>
          <w:bCs/>
          <w:sz w:val="22"/>
          <w:szCs w:val="22"/>
        </w:rPr>
        <w:t>lęski żywiołowe, katastrofy ekologiczne, zmiany klimatyczne oraz „ekstremalne zjawiska pogodowe”</w:t>
      </w:r>
      <w:r w:rsidR="00A43991" w:rsidRPr="00890249">
        <w:rPr>
          <w:rFonts w:asciiTheme="minorHAnsi" w:hAnsiTheme="minorHAnsi" w:cstheme="minorHAnsi"/>
          <w:bCs/>
          <w:sz w:val="22"/>
          <w:szCs w:val="22"/>
          <w:vertAlign w:val="superscript"/>
        </w:rPr>
        <w:footnoteReference w:id="18"/>
      </w:r>
      <w:r w:rsidR="00A43991" w:rsidRPr="00890249">
        <w:rPr>
          <w:rFonts w:asciiTheme="minorHAnsi" w:hAnsiTheme="minorHAnsi" w:cstheme="minorHAnsi"/>
          <w:bCs/>
          <w:sz w:val="22"/>
          <w:szCs w:val="22"/>
        </w:rPr>
        <w:t xml:space="preserve">. </w:t>
      </w:r>
      <w:r w:rsidR="00FA0575" w:rsidRPr="00890249">
        <w:rPr>
          <w:rFonts w:asciiTheme="minorHAnsi" w:hAnsiTheme="minorHAnsi" w:cstheme="minorHAnsi"/>
          <w:sz w:val="22"/>
          <w:szCs w:val="22"/>
        </w:rPr>
        <w:t>Opolskie</w:t>
      </w:r>
      <w:r w:rsidR="00A43991" w:rsidRPr="00890249">
        <w:rPr>
          <w:rFonts w:asciiTheme="minorHAnsi" w:hAnsiTheme="minorHAnsi" w:cstheme="minorHAnsi"/>
          <w:sz w:val="22"/>
          <w:szCs w:val="22"/>
        </w:rPr>
        <w:t xml:space="preserve"> jest </w:t>
      </w:r>
      <w:r w:rsidR="006028A8" w:rsidRPr="00890249">
        <w:rPr>
          <w:rFonts w:asciiTheme="minorHAnsi" w:hAnsiTheme="minorHAnsi" w:cstheme="minorHAnsi"/>
          <w:sz w:val="22"/>
          <w:szCs w:val="22"/>
        </w:rPr>
        <w:t>zagrożone</w:t>
      </w:r>
      <w:r w:rsidR="00A43991" w:rsidRPr="00890249">
        <w:rPr>
          <w:rFonts w:asciiTheme="minorHAnsi" w:hAnsiTheme="minorHAnsi" w:cstheme="minorHAnsi"/>
          <w:sz w:val="22"/>
          <w:szCs w:val="22"/>
        </w:rPr>
        <w:t xml:space="preserve"> cyklicznie występującymi zalewami powodziowymi w dorzeczu Odry i jej dopływów. Zrealizowane inwestycje przeciwpowodziowe wciąż nie zapewniają pełnego bezpiecze</w:t>
      </w:r>
      <w:r w:rsidR="006028A8" w:rsidRPr="00890249">
        <w:rPr>
          <w:rFonts w:asciiTheme="minorHAnsi" w:hAnsiTheme="minorHAnsi" w:cstheme="minorHAnsi"/>
          <w:sz w:val="22"/>
          <w:szCs w:val="22"/>
        </w:rPr>
        <w:t>ństwa. P</w:t>
      </w:r>
      <w:r w:rsidR="00A43991" w:rsidRPr="00890249">
        <w:rPr>
          <w:rFonts w:asciiTheme="minorHAnsi" w:hAnsiTheme="minorHAnsi" w:cstheme="minorHAnsi"/>
          <w:sz w:val="22"/>
          <w:szCs w:val="22"/>
        </w:rPr>
        <w:t>roblem</w:t>
      </w:r>
      <w:r w:rsidR="00DC6DC0" w:rsidRPr="00890249">
        <w:rPr>
          <w:rFonts w:asciiTheme="minorHAnsi" w:hAnsiTheme="minorHAnsi" w:cstheme="minorHAnsi"/>
          <w:sz w:val="22"/>
          <w:szCs w:val="22"/>
        </w:rPr>
        <w:t>em</w:t>
      </w:r>
      <w:r w:rsidR="00A43991" w:rsidRPr="00890249">
        <w:rPr>
          <w:rFonts w:asciiTheme="minorHAnsi" w:hAnsiTheme="minorHAnsi" w:cstheme="minorHAnsi"/>
          <w:sz w:val="22"/>
          <w:szCs w:val="22"/>
        </w:rPr>
        <w:t xml:space="preserve"> </w:t>
      </w:r>
      <w:r w:rsidR="006028A8" w:rsidRPr="00890249">
        <w:rPr>
          <w:rFonts w:asciiTheme="minorHAnsi" w:hAnsiTheme="minorHAnsi" w:cstheme="minorHAnsi"/>
          <w:sz w:val="22"/>
          <w:szCs w:val="22"/>
        </w:rPr>
        <w:t xml:space="preserve">jest </w:t>
      </w:r>
      <w:r w:rsidRPr="00890249">
        <w:rPr>
          <w:rFonts w:asciiTheme="minorHAnsi" w:hAnsiTheme="minorHAnsi" w:cstheme="minorHAnsi"/>
          <w:sz w:val="22"/>
          <w:szCs w:val="22"/>
        </w:rPr>
        <w:t>także</w:t>
      </w:r>
      <w:r w:rsidR="006028A8" w:rsidRPr="00890249">
        <w:rPr>
          <w:rFonts w:asciiTheme="minorHAnsi" w:hAnsiTheme="minorHAnsi" w:cstheme="minorHAnsi"/>
          <w:sz w:val="22"/>
          <w:szCs w:val="22"/>
        </w:rPr>
        <w:t xml:space="preserve"> </w:t>
      </w:r>
      <w:r w:rsidR="006028A8" w:rsidRPr="00890249">
        <w:rPr>
          <w:rFonts w:asciiTheme="minorHAnsi" w:hAnsiTheme="minorHAnsi" w:cstheme="minorHAnsi"/>
          <w:color w:val="000000"/>
          <w:sz w:val="22"/>
          <w:szCs w:val="22"/>
        </w:rPr>
        <w:t>niedostateczna ilość</w:t>
      </w:r>
      <w:r w:rsidR="00A43991" w:rsidRPr="00890249">
        <w:rPr>
          <w:rFonts w:asciiTheme="minorHAnsi" w:hAnsiTheme="minorHAnsi" w:cstheme="minorHAnsi"/>
          <w:color w:val="000000"/>
          <w:sz w:val="22"/>
          <w:szCs w:val="22"/>
        </w:rPr>
        <w:t xml:space="preserve"> sprzętu ratowniczego </w:t>
      </w:r>
      <w:r w:rsidR="006028A8" w:rsidRPr="00890249">
        <w:rPr>
          <w:rFonts w:asciiTheme="minorHAnsi" w:hAnsiTheme="minorHAnsi" w:cstheme="minorHAnsi"/>
          <w:color w:val="000000"/>
          <w:sz w:val="22"/>
          <w:szCs w:val="22"/>
        </w:rPr>
        <w:t>oraz</w:t>
      </w:r>
      <w:r w:rsidR="00A43991" w:rsidRPr="00890249">
        <w:rPr>
          <w:rFonts w:asciiTheme="minorHAnsi" w:hAnsiTheme="minorHAnsi" w:cstheme="minorHAnsi"/>
          <w:color w:val="000000"/>
          <w:sz w:val="22"/>
          <w:szCs w:val="22"/>
        </w:rPr>
        <w:t xml:space="preserve"> jego </w:t>
      </w:r>
      <w:r w:rsidRPr="00890249">
        <w:rPr>
          <w:rFonts w:asciiTheme="minorHAnsi" w:hAnsiTheme="minorHAnsi" w:cstheme="minorHAnsi"/>
          <w:color w:val="000000"/>
          <w:sz w:val="22"/>
          <w:szCs w:val="22"/>
        </w:rPr>
        <w:t>duże</w:t>
      </w:r>
      <w:r w:rsidR="00A43991" w:rsidRPr="00890249">
        <w:rPr>
          <w:rFonts w:asciiTheme="minorHAnsi" w:hAnsiTheme="minorHAnsi" w:cstheme="minorHAnsi"/>
          <w:color w:val="000000"/>
          <w:sz w:val="22"/>
          <w:szCs w:val="22"/>
        </w:rPr>
        <w:t xml:space="preserve"> wyeksp</w:t>
      </w:r>
      <w:r w:rsidR="008B720E" w:rsidRPr="00890249">
        <w:rPr>
          <w:rFonts w:asciiTheme="minorHAnsi" w:hAnsiTheme="minorHAnsi" w:cstheme="minorHAnsi"/>
          <w:color w:val="000000"/>
          <w:sz w:val="22"/>
          <w:szCs w:val="22"/>
        </w:rPr>
        <w:t xml:space="preserve">loatowanie. </w:t>
      </w:r>
      <w:r w:rsidR="00EF3E99" w:rsidRPr="00890249">
        <w:rPr>
          <w:rFonts w:asciiTheme="minorHAnsi" w:hAnsiTheme="minorHAnsi" w:cstheme="minorHAnsi"/>
          <w:color w:val="000000"/>
          <w:sz w:val="22"/>
          <w:szCs w:val="22"/>
        </w:rPr>
        <w:t>W</w:t>
      </w:r>
      <w:r w:rsidR="00A43991" w:rsidRPr="00890249">
        <w:rPr>
          <w:rFonts w:asciiTheme="minorHAnsi" w:hAnsiTheme="minorHAnsi" w:cstheme="minorHAnsi"/>
          <w:color w:val="000000"/>
          <w:sz w:val="22"/>
          <w:szCs w:val="22"/>
        </w:rPr>
        <w:t xml:space="preserve">skutek zmian klimatycznych pojawiają się </w:t>
      </w:r>
      <w:r w:rsidR="00FA0575" w:rsidRPr="00890249">
        <w:rPr>
          <w:rFonts w:asciiTheme="minorHAnsi" w:hAnsiTheme="minorHAnsi" w:cstheme="minorHAnsi"/>
          <w:color w:val="000000"/>
          <w:sz w:val="22"/>
          <w:szCs w:val="22"/>
        </w:rPr>
        <w:t xml:space="preserve">też </w:t>
      </w:r>
      <w:r w:rsidR="00A43991" w:rsidRPr="00890249">
        <w:rPr>
          <w:rFonts w:asciiTheme="minorHAnsi" w:hAnsiTheme="minorHAnsi" w:cstheme="minorHAnsi"/>
          <w:color w:val="000000"/>
          <w:sz w:val="22"/>
          <w:szCs w:val="22"/>
        </w:rPr>
        <w:t>inne, lawinowo narastające, ekstremalne zjawiska: susze, niekorzystne zmiany warunków hydrologicznych, porywiste wiatry</w:t>
      </w:r>
      <w:r w:rsidR="004579F3" w:rsidRPr="00890249">
        <w:rPr>
          <w:rFonts w:asciiTheme="minorHAnsi" w:hAnsiTheme="minorHAnsi" w:cstheme="minorHAnsi"/>
          <w:color w:val="000000"/>
          <w:sz w:val="22"/>
          <w:szCs w:val="22"/>
        </w:rPr>
        <w:t xml:space="preserve">, </w:t>
      </w:r>
      <w:r w:rsidR="00A43991" w:rsidRPr="00890249">
        <w:rPr>
          <w:rFonts w:asciiTheme="minorHAnsi" w:hAnsiTheme="minorHAnsi" w:cstheme="minorHAnsi"/>
          <w:color w:val="000000"/>
          <w:sz w:val="22"/>
          <w:szCs w:val="22"/>
        </w:rPr>
        <w:t>fale upałów</w:t>
      </w:r>
      <w:r w:rsidR="00D00826" w:rsidRPr="00890249">
        <w:rPr>
          <w:rFonts w:asciiTheme="minorHAnsi" w:hAnsiTheme="minorHAnsi" w:cstheme="minorHAnsi"/>
          <w:color w:val="000000"/>
          <w:sz w:val="22"/>
          <w:szCs w:val="22"/>
        </w:rPr>
        <w:t xml:space="preserve"> i </w:t>
      </w:r>
      <w:r w:rsidR="004579F3" w:rsidRPr="00890249">
        <w:rPr>
          <w:rFonts w:asciiTheme="minorHAnsi" w:hAnsiTheme="minorHAnsi" w:cstheme="minorHAnsi"/>
          <w:color w:val="000000"/>
          <w:sz w:val="22"/>
          <w:szCs w:val="22"/>
        </w:rPr>
        <w:t>gwałtowne burze</w:t>
      </w:r>
      <w:r w:rsidR="00A43991" w:rsidRPr="00890249">
        <w:rPr>
          <w:rFonts w:asciiTheme="minorHAnsi" w:hAnsiTheme="minorHAnsi" w:cstheme="minorHAnsi"/>
          <w:color w:val="000000"/>
          <w:sz w:val="22"/>
          <w:szCs w:val="22"/>
        </w:rPr>
        <w:t xml:space="preserve">. </w:t>
      </w:r>
    </w:p>
    <w:p w14:paraId="20190702" w14:textId="536D3527" w:rsidR="0093433C" w:rsidRPr="00890249" w:rsidRDefault="006028A8"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K</w:t>
      </w:r>
      <w:r w:rsidR="00A43991" w:rsidRPr="00890249">
        <w:rPr>
          <w:rFonts w:asciiTheme="minorHAnsi" w:hAnsiTheme="minorHAnsi" w:cstheme="minorHAnsi"/>
          <w:sz w:val="22"/>
          <w:szCs w:val="22"/>
        </w:rPr>
        <w:t>onieczne jest podejmow</w:t>
      </w:r>
      <w:r w:rsidR="00504B10" w:rsidRPr="00890249">
        <w:rPr>
          <w:rFonts w:asciiTheme="minorHAnsi" w:hAnsiTheme="minorHAnsi" w:cstheme="minorHAnsi"/>
          <w:sz w:val="22"/>
          <w:szCs w:val="22"/>
        </w:rPr>
        <w:t xml:space="preserve">anie </w:t>
      </w:r>
      <w:r w:rsidRPr="00890249">
        <w:rPr>
          <w:rFonts w:asciiTheme="minorHAnsi" w:hAnsiTheme="minorHAnsi" w:cstheme="minorHAnsi"/>
          <w:sz w:val="22"/>
          <w:szCs w:val="22"/>
        </w:rPr>
        <w:t>dalszych działań w</w:t>
      </w:r>
      <w:r w:rsidR="00504B10" w:rsidRPr="00890249">
        <w:rPr>
          <w:rFonts w:asciiTheme="minorHAnsi" w:hAnsiTheme="minorHAnsi" w:cstheme="minorHAnsi"/>
          <w:sz w:val="22"/>
          <w:szCs w:val="22"/>
        </w:rPr>
        <w:t> </w:t>
      </w:r>
      <w:r w:rsidR="00A43991" w:rsidRPr="00890249">
        <w:rPr>
          <w:rFonts w:asciiTheme="minorHAnsi" w:hAnsiTheme="minorHAnsi" w:cstheme="minorHAnsi"/>
          <w:sz w:val="22"/>
          <w:szCs w:val="22"/>
        </w:rPr>
        <w:t>zakresie o</w:t>
      </w:r>
      <w:r w:rsidRPr="00890249">
        <w:rPr>
          <w:rFonts w:asciiTheme="minorHAnsi" w:hAnsiTheme="minorHAnsi" w:cstheme="minorHAnsi"/>
          <w:sz w:val="22"/>
          <w:szCs w:val="22"/>
        </w:rPr>
        <w:t>chrony przeciwpowodziowej, jak i </w:t>
      </w:r>
      <w:r w:rsidR="00A43991" w:rsidRPr="00890249">
        <w:rPr>
          <w:rFonts w:asciiTheme="minorHAnsi" w:hAnsiTheme="minorHAnsi" w:cstheme="minorHAnsi"/>
          <w:sz w:val="22"/>
          <w:szCs w:val="22"/>
        </w:rPr>
        <w:t xml:space="preserve">doposażenia służb ratowniczych (na terenie województwa działa 518 jednostek OSP, z czego </w:t>
      </w:r>
      <w:r w:rsidR="002E114A" w:rsidRPr="00890249">
        <w:rPr>
          <w:rFonts w:asciiTheme="minorHAnsi" w:hAnsiTheme="minorHAnsi" w:cstheme="minorHAnsi"/>
          <w:sz w:val="22"/>
          <w:szCs w:val="22"/>
        </w:rPr>
        <w:t xml:space="preserve">172 </w:t>
      </w:r>
      <w:r w:rsidRPr="00890249">
        <w:rPr>
          <w:rFonts w:asciiTheme="minorHAnsi" w:hAnsiTheme="minorHAnsi" w:cstheme="minorHAnsi"/>
          <w:sz w:val="22"/>
          <w:szCs w:val="22"/>
        </w:rPr>
        <w:t>włączone są d</w:t>
      </w:r>
      <w:r w:rsidR="00A43991" w:rsidRPr="00890249">
        <w:rPr>
          <w:rFonts w:asciiTheme="minorHAnsi" w:hAnsiTheme="minorHAnsi" w:cstheme="minorHAnsi"/>
          <w:sz w:val="22"/>
          <w:szCs w:val="22"/>
        </w:rPr>
        <w:t xml:space="preserve">o </w:t>
      </w:r>
      <w:r w:rsidR="00E81F23">
        <w:rPr>
          <w:rFonts w:asciiTheme="minorHAnsi" w:hAnsiTheme="minorHAnsi" w:cstheme="minorHAnsi"/>
          <w:sz w:val="22"/>
          <w:szCs w:val="22"/>
        </w:rPr>
        <w:t>KSRG</w:t>
      </w:r>
      <w:r w:rsidR="00A43991" w:rsidRPr="00890249">
        <w:rPr>
          <w:rFonts w:asciiTheme="minorHAnsi" w:hAnsiTheme="minorHAnsi" w:cstheme="minorHAnsi"/>
          <w:sz w:val="22"/>
          <w:szCs w:val="22"/>
        </w:rPr>
        <w:t>)</w:t>
      </w:r>
      <w:r w:rsidR="000F0D1B" w:rsidRPr="00890249">
        <w:rPr>
          <w:rFonts w:asciiTheme="minorHAnsi" w:hAnsiTheme="minorHAnsi" w:cstheme="minorHAnsi"/>
          <w:sz w:val="22"/>
          <w:szCs w:val="22"/>
        </w:rPr>
        <w:t>,</w:t>
      </w:r>
      <w:r w:rsidR="002E114A" w:rsidRPr="00890249">
        <w:rPr>
          <w:rFonts w:asciiTheme="minorHAnsi" w:hAnsiTheme="minorHAnsi" w:cstheme="minorHAnsi"/>
          <w:sz w:val="22"/>
          <w:szCs w:val="22"/>
        </w:rPr>
        <w:t xml:space="preserve"> </w:t>
      </w:r>
      <w:r w:rsidR="00C1573A" w:rsidRPr="00890249">
        <w:rPr>
          <w:rFonts w:asciiTheme="minorHAnsi" w:hAnsiTheme="minorHAnsi" w:cstheme="minorHAnsi"/>
          <w:sz w:val="22"/>
          <w:szCs w:val="22"/>
        </w:rPr>
        <w:t>gdyż</w:t>
      </w:r>
      <w:r w:rsidR="002E114A" w:rsidRPr="00890249">
        <w:rPr>
          <w:rFonts w:asciiTheme="minorHAnsi" w:hAnsiTheme="minorHAnsi" w:cstheme="minorHAnsi"/>
          <w:sz w:val="22"/>
          <w:szCs w:val="22"/>
        </w:rPr>
        <w:t xml:space="preserve"> wyposażenie wielu </w:t>
      </w:r>
      <w:r w:rsidR="008B720E" w:rsidRPr="00890249">
        <w:rPr>
          <w:rFonts w:asciiTheme="minorHAnsi" w:hAnsiTheme="minorHAnsi" w:cstheme="minorHAnsi"/>
          <w:sz w:val="22"/>
          <w:szCs w:val="22"/>
        </w:rPr>
        <w:t xml:space="preserve">z nich </w:t>
      </w:r>
      <w:r w:rsidR="002E114A" w:rsidRPr="00890249">
        <w:rPr>
          <w:rFonts w:asciiTheme="minorHAnsi" w:hAnsiTheme="minorHAnsi" w:cstheme="minorHAnsi"/>
          <w:sz w:val="22"/>
          <w:szCs w:val="22"/>
        </w:rPr>
        <w:t>jest przestarzałe</w:t>
      </w:r>
      <w:r w:rsidR="00A43991" w:rsidRPr="00890249">
        <w:rPr>
          <w:rFonts w:asciiTheme="minorHAnsi" w:hAnsiTheme="minorHAnsi" w:cstheme="minorHAnsi"/>
          <w:sz w:val="22"/>
          <w:szCs w:val="22"/>
        </w:rPr>
        <w:t>. W</w:t>
      </w:r>
      <w:r w:rsidR="002E114A" w:rsidRPr="00890249">
        <w:rPr>
          <w:rFonts w:asciiTheme="minorHAnsi" w:hAnsiTheme="minorHAnsi" w:cstheme="minorHAnsi"/>
          <w:sz w:val="22"/>
          <w:szCs w:val="22"/>
        </w:rPr>
        <w:t> </w:t>
      </w:r>
      <w:r w:rsidR="00C1573A" w:rsidRPr="00890249">
        <w:rPr>
          <w:rFonts w:asciiTheme="minorHAnsi" w:hAnsiTheme="minorHAnsi" w:cstheme="minorHAnsi"/>
          <w:sz w:val="22"/>
          <w:szCs w:val="22"/>
        </w:rPr>
        <w:t xml:space="preserve">ramach RPO WO 2014-2020 </w:t>
      </w:r>
      <w:r w:rsidR="00A43991" w:rsidRPr="00890249">
        <w:rPr>
          <w:rFonts w:asciiTheme="minorHAnsi" w:hAnsiTheme="minorHAnsi" w:cstheme="minorHAnsi"/>
          <w:sz w:val="22"/>
          <w:szCs w:val="22"/>
        </w:rPr>
        <w:t xml:space="preserve">kupiono 17 wozów pożarniczych do prowadzenia akcji ratowniczych. Służby ratownicze otrzymały także wsparcie na </w:t>
      </w:r>
      <w:r w:rsidR="00D8425A" w:rsidRPr="00890249">
        <w:rPr>
          <w:rFonts w:asciiTheme="minorHAnsi" w:hAnsiTheme="minorHAnsi" w:cstheme="minorHAnsi"/>
          <w:sz w:val="22"/>
          <w:szCs w:val="22"/>
        </w:rPr>
        <w:t>przeciwdziałanie</w:t>
      </w:r>
      <w:r w:rsidR="00A43991" w:rsidRPr="00890249">
        <w:rPr>
          <w:rFonts w:asciiTheme="minorHAnsi" w:hAnsiTheme="minorHAnsi" w:cstheme="minorHAnsi"/>
          <w:sz w:val="22"/>
          <w:szCs w:val="22"/>
        </w:rPr>
        <w:t xml:space="preserve"> skutkom pandemii COVID-19.</w:t>
      </w:r>
    </w:p>
    <w:p w14:paraId="440C56A6" w14:textId="2D2C72AA" w:rsidR="0093433C" w:rsidRPr="00890249" w:rsidRDefault="00FA0575" w:rsidP="00890249">
      <w:pPr>
        <w:pStyle w:val="Tekstpodstawowy"/>
        <w:rPr>
          <w:rFonts w:asciiTheme="minorHAnsi" w:hAnsiTheme="minorHAnsi" w:cstheme="minorHAnsi"/>
          <w:color w:val="000000"/>
          <w:sz w:val="22"/>
          <w:szCs w:val="22"/>
        </w:rPr>
      </w:pPr>
      <w:r w:rsidRPr="00890249">
        <w:rPr>
          <w:rFonts w:asciiTheme="minorHAnsi" w:hAnsiTheme="minorHAnsi" w:cstheme="minorHAnsi"/>
          <w:sz w:val="22"/>
          <w:szCs w:val="22"/>
        </w:rPr>
        <w:t xml:space="preserve">Bardzo </w:t>
      </w:r>
      <w:r w:rsidR="00A43991" w:rsidRPr="00890249">
        <w:rPr>
          <w:rFonts w:asciiTheme="minorHAnsi" w:hAnsiTheme="minorHAnsi" w:cstheme="minorHAnsi"/>
          <w:sz w:val="22"/>
          <w:szCs w:val="22"/>
        </w:rPr>
        <w:t xml:space="preserve">ważne będą </w:t>
      </w:r>
      <w:r w:rsidR="006028A8" w:rsidRPr="00890249">
        <w:rPr>
          <w:rFonts w:asciiTheme="minorHAnsi" w:hAnsiTheme="minorHAnsi" w:cstheme="minorHAnsi"/>
          <w:sz w:val="22"/>
          <w:szCs w:val="22"/>
        </w:rPr>
        <w:t>także</w:t>
      </w:r>
      <w:r w:rsidR="00A43991" w:rsidRPr="00890249">
        <w:rPr>
          <w:rFonts w:asciiTheme="minorHAnsi" w:hAnsiTheme="minorHAnsi" w:cstheme="minorHAnsi"/>
          <w:sz w:val="22"/>
          <w:szCs w:val="22"/>
        </w:rPr>
        <w:t xml:space="preserve"> </w:t>
      </w:r>
      <w:r w:rsidR="006028A8" w:rsidRPr="00890249">
        <w:rPr>
          <w:rFonts w:asciiTheme="minorHAnsi" w:hAnsiTheme="minorHAnsi" w:cstheme="minorHAnsi"/>
          <w:sz w:val="22"/>
          <w:szCs w:val="22"/>
        </w:rPr>
        <w:t xml:space="preserve">działania związane </w:t>
      </w:r>
      <w:r w:rsidR="00A43991" w:rsidRPr="00890249">
        <w:rPr>
          <w:rFonts w:asciiTheme="minorHAnsi" w:hAnsiTheme="minorHAnsi" w:cstheme="minorHAnsi"/>
          <w:sz w:val="22"/>
          <w:szCs w:val="22"/>
        </w:rPr>
        <w:t>m</w:t>
      </w:r>
      <w:r w:rsidR="00504B10" w:rsidRPr="00890249">
        <w:rPr>
          <w:rFonts w:asciiTheme="minorHAnsi" w:hAnsiTheme="minorHAnsi" w:cstheme="minorHAnsi"/>
          <w:sz w:val="22"/>
          <w:szCs w:val="22"/>
        </w:rPr>
        <w:t xml:space="preserve">.in. </w:t>
      </w:r>
      <w:r w:rsidR="006028A8" w:rsidRPr="00890249">
        <w:rPr>
          <w:rFonts w:asciiTheme="minorHAnsi" w:hAnsiTheme="minorHAnsi" w:cstheme="minorHAnsi"/>
          <w:sz w:val="22"/>
          <w:szCs w:val="22"/>
        </w:rPr>
        <w:t xml:space="preserve">z </w:t>
      </w:r>
      <w:r w:rsidR="00504B10" w:rsidRPr="00890249">
        <w:rPr>
          <w:rFonts w:asciiTheme="minorHAnsi" w:hAnsiTheme="minorHAnsi" w:cstheme="minorHAnsi"/>
          <w:sz w:val="22"/>
          <w:szCs w:val="22"/>
        </w:rPr>
        <w:t>ograniczenie</w:t>
      </w:r>
      <w:r w:rsidR="006028A8" w:rsidRPr="00890249">
        <w:rPr>
          <w:rFonts w:asciiTheme="minorHAnsi" w:hAnsiTheme="minorHAnsi" w:cstheme="minorHAnsi"/>
          <w:sz w:val="22"/>
          <w:szCs w:val="22"/>
        </w:rPr>
        <w:t>m</w:t>
      </w:r>
      <w:r w:rsidR="00504B10" w:rsidRPr="00890249">
        <w:rPr>
          <w:rFonts w:asciiTheme="minorHAnsi" w:hAnsiTheme="minorHAnsi" w:cstheme="minorHAnsi"/>
          <w:sz w:val="22"/>
          <w:szCs w:val="22"/>
        </w:rPr>
        <w:t xml:space="preserve"> utraty wody z </w:t>
      </w:r>
      <w:r w:rsidR="00A43991" w:rsidRPr="00890249">
        <w:rPr>
          <w:rFonts w:asciiTheme="minorHAnsi" w:hAnsiTheme="minorHAnsi" w:cstheme="minorHAnsi"/>
          <w:sz w:val="22"/>
          <w:szCs w:val="22"/>
        </w:rPr>
        <w:t>obiegu</w:t>
      </w:r>
      <w:r w:rsidR="00D8425A" w:rsidRPr="00890249">
        <w:rPr>
          <w:rFonts w:asciiTheme="minorHAnsi" w:hAnsiTheme="minorHAnsi" w:cstheme="minorHAnsi"/>
          <w:sz w:val="22"/>
          <w:szCs w:val="22"/>
        </w:rPr>
        <w:t>,</w:t>
      </w:r>
      <w:r w:rsidR="00A43991" w:rsidRPr="00890249">
        <w:rPr>
          <w:rFonts w:asciiTheme="minorHAnsi" w:hAnsiTheme="minorHAnsi" w:cstheme="minorHAnsi"/>
          <w:sz w:val="22"/>
          <w:szCs w:val="22"/>
        </w:rPr>
        <w:t xml:space="preserve"> </w:t>
      </w:r>
      <w:r w:rsidR="006028A8" w:rsidRPr="00890249">
        <w:rPr>
          <w:rFonts w:asciiTheme="minorHAnsi" w:hAnsiTheme="minorHAnsi" w:cstheme="minorHAnsi"/>
          <w:sz w:val="22"/>
          <w:szCs w:val="22"/>
        </w:rPr>
        <w:t>adaptacji</w:t>
      </w:r>
      <w:r w:rsidR="004579F3" w:rsidRPr="00890249">
        <w:rPr>
          <w:rFonts w:asciiTheme="minorHAnsi" w:hAnsiTheme="minorHAnsi" w:cstheme="minorHAnsi"/>
          <w:sz w:val="22"/>
          <w:szCs w:val="22"/>
        </w:rPr>
        <w:t xml:space="preserve"> do zmian klimatu, edukacyjne</w:t>
      </w:r>
      <w:r w:rsidR="007F59C4" w:rsidRPr="00890249">
        <w:rPr>
          <w:rFonts w:asciiTheme="minorHAnsi" w:hAnsiTheme="minorHAnsi" w:cstheme="minorHAnsi"/>
          <w:sz w:val="22"/>
          <w:szCs w:val="22"/>
        </w:rPr>
        <w:t xml:space="preserve"> oraz </w:t>
      </w:r>
      <w:r w:rsidR="00A43991" w:rsidRPr="00890249">
        <w:rPr>
          <w:rFonts w:asciiTheme="minorHAnsi" w:hAnsiTheme="minorHAnsi" w:cstheme="minorHAnsi"/>
          <w:sz w:val="22"/>
          <w:szCs w:val="22"/>
        </w:rPr>
        <w:t>z zakresu niebieskiej i zielonej infrastruktury</w:t>
      </w:r>
      <w:r w:rsidR="00A43991" w:rsidRPr="00890249">
        <w:rPr>
          <w:rFonts w:asciiTheme="minorHAnsi" w:hAnsiTheme="minorHAnsi" w:cstheme="minorHAnsi"/>
          <w:color w:val="000000"/>
          <w:sz w:val="22"/>
          <w:szCs w:val="22"/>
        </w:rPr>
        <w:t>.</w:t>
      </w:r>
    </w:p>
    <w:p w14:paraId="44067B52"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Gospodarka wodno-ściekowa</w:t>
      </w:r>
    </w:p>
    <w:p w14:paraId="2632F298" w14:textId="2AEC4483" w:rsidR="0093433C" w:rsidRPr="00890249" w:rsidRDefault="00A4399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Długość sieci kanalizacyjnej rozdzielczej na 100 km² w </w:t>
      </w:r>
      <w:r w:rsidR="00D8425A" w:rsidRPr="00890249">
        <w:rPr>
          <w:rFonts w:asciiTheme="minorHAnsi" w:hAnsiTheme="minorHAnsi" w:cstheme="minorHAnsi"/>
          <w:sz w:val="22"/>
          <w:szCs w:val="22"/>
        </w:rPr>
        <w:t xml:space="preserve">woj. </w:t>
      </w:r>
      <w:r w:rsidRPr="00890249">
        <w:rPr>
          <w:rFonts w:asciiTheme="minorHAnsi" w:hAnsiTheme="minorHAnsi" w:cstheme="minorHAnsi"/>
          <w:sz w:val="22"/>
          <w:szCs w:val="22"/>
        </w:rPr>
        <w:t>opolskim wynosi 5</w:t>
      </w:r>
      <w:r w:rsidR="002E114A" w:rsidRPr="00890249">
        <w:rPr>
          <w:rFonts w:asciiTheme="minorHAnsi" w:hAnsiTheme="minorHAnsi" w:cstheme="minorHAnsi"/>
          <w:sz w:val="22"/>
          <w:szCs w:val="22"/>
        </w:rPr>
        <w:t>6</w:t>
      </w:r>
      <w:r w:rsidRPr="00890249">
        <w:rPr>
          <w:rFonts w:asciiTheme="minorHAnsi" w:hAnsiTheme="minorHAnsi" w:cstheme="minorHAnsi"/>
          <w:sz w:val="22"/>
          <w:szCs w:val="22"/>
        </w:rPr>
        <w:t xml:space="preserve">,6 km (w kraju to </w:t>
      </w:r>
      <w:r w:rsidR="002E114A" w:rsidRPr="00890249">
        <w:rPr>
          <w:rFonts w:asciiTheme="minorHAnsi" w:hAnsiTheme="minorHAnsi" w:cstheme="minorHAnsi"/>
          <w:sz w:val="22"/>
          <w:szCs w:val="22"/>
        </w:rPr>
        <w:t>54,2</w:t>
      </w:r>
      <w:r w:rsidRPr="00890249">
        <w:rPr>
          <w:rFonts w:asciiTheme="minorHAnsi" w:hAnsiTheme="minorHAnsi" w:cstheme="minorHAnsi"/>
          <w:sz w:val="22"/>
          <w:szCs w:val="22"/>
        </w:rPr>
        <w:t xml:space="preserve"> km). </w:t>
      </w:r>
      <w:r w:rsidR="00FA0575" w:rsidRPr="00890249">
        <w:rPr>
          <w:rFonts w:asciiTheme="minorHAnsi" w:hAnsiTheme="minorHAnsi" w:cstheme="minorHAnsi"/>
          <w:sz w:val="22"/>
          <w:szCs w:val="22"/>
        </w:rPr>
        <w:t>Obsługuje to</w:t>
      </w:r>
      <w:r w:rsidRPr="00890249">
        <w:rPr>
          <w:rFonts w:asciiTheme="minorHAnsi" w:hAnsiTheme="minorHAnsi" w:cstheme="minorHAnsi"/>
          <w:sz w:val="22"/>
          <w:szCs w:val="22"/>
        </w:rPr>
        <w:t xml:space="preserve"> 73,</w:t>
      </w:r>
      <w:r w:rsidR="002E114A" w:rsidRPr="00890249">
        <w:rPr>
          <w:rFonts w:asciiTheme="minorHAnsi" w:hAnsiTheme="minorHAnsi" w:cstheme="minorHAnsi"/>
          <w:sz w:val="22"/>
          <w:szCs w:val="22"/>
        </w:rPr>
        <w:t>9</w:t>
      </w:r>
      <w:r w:rsidRPr="00890249">
        <w:rPr>
          <w:rFonts w:asciiTheme="minorHAnsi" w:hAnsiTheme="minorHAnsi" w:cstheme="minorHAnsi"/>
          <w:sz w:val="22"/>
          <w:szCs w:val="22"/>
        </w:rPr>
        <w:t xml:space="preserve">% mieszkańców </w:t>
      </w:r>
      <w:r w:rsidR="00FA0575" w:rsidRPr="00890249">
        <w:rPr>
          <w:rFonts w:asciiTheme="minorHAnsi" w:hAnsiTheme="minorHAnsi" w:cstheme="minorHAnsi"/>
          <w:sz w:val="22"/>
          <w:szCs w:val="22"/>
        </w:rPr>
        <w:t>regionu</w:t>
      </w:r>
      <w:r w:rsidRPr="00890249">
        <w:rPr>
          <w:rFonts w:asciiTheme="minorHAnsi" w:hAnsiTheme="minorHAnsi" w:cstheme="minorHAnsi"/>
          <w:sz w:val="22"/>
          <w:szCs w:val="22"/>
        </w:rPr>
        <w:t>, przy średniej krajowej 71,</w:t>
      </w:r>
      <w:r w:rsidR="002E114A" w:rsidRPr="00890249">
        <w:rPr>
          <w:rFonts w:asciiTheme="minorHAnsi" w:hAnsiTheme="minorHAnsi" w:cstheme="minorHAnsi"/>
          <w:sz w:val="22"/>
          <w:szCs w:val="22"/>
        </w:rPr>
        <w:t>5</w:t>
      </w:r>
      <w:r w:rsidRPr="00890249">
        <w:rPr>
          <w:rFonts w:asciiTheme="minorHAnsi" w:hAnsiTheme="minorHAnsi" w:cstheme="minorHAnsi"/>
          <w:sz w:val="22"/>
          <w:szCs w:val="22"/>
        </w:rPr>
        <w:t>%. W</w:t>
      </w:r>
      <w:r w:rsidR="006028A8" w:rsidRPr="00890249">
        <w:rPr>
          <w:rFonts w:asciiTheme="minorHAnsi" w:hAnsiTheme="minorHAnsi" w:cstheme="minorHAnsi"/>
          <w:sz w:val="22"/>
          <w:szCs w:val="22"/>
        </w:rPr>
        <w:t> </w:t>
      </w:r>
      <w:r w:rsidRPr="00890249">
        <w:rPr>
          <w:rFonts w:asciiTheme="minorHAnsi" w:hAnsiTheme="minorHAnsi" w:cstheme="minorHAnsi"/>
          <w:sz w:val="22"/>
          <w:szCs w:val="22"/>
        </w:rPr>
        <w:t>okresie 2014-20</w:t>
      </w:r>
      <w:r w:rsidR="002E114A" w:rsidRPr="00890249">
        <w:rPr>
          <w:rFonts w:asciiTheme="minorHAnsi" w:hAnsiTheme="minorHAnsi" w:cstheme="minorHAnsi"/>
          <w:sz w:val="22"/>
          <w:szCs w:val="22"/>
        </w:rPr>
        <w:t>20</w:t>
      </w:r>
      <w:r w:rsidRPr="00890249">
        <w:rPr>
          <w:rFonts w:asciiTheme="minorHAnsi" w:hAnsiTheme="minorHAnsi" w:cstheme="minorHAnsi"/>
          <w:sz w:val="22"/>
          <w:szCs w:val="22"/>
        </w:rPr>
        <w:t xml:space="preserve"> gęstość </w:t>
      </w:r>
      <w:r w:rsidR="00C1573A" w:rsidRPr="00890249">
        <w:rPr>
          <w:rFonts w:asciiTheme="minorHAnsi" w:hAnsiTheme="minorHAnsi" w:cstheme="minorHAnsi"/>
          <w:sz w:val="22"/>
          <w:szCs w:val="22"/>
        </w:rPr>
        <w:t xml:space="preserve">tej </w:t>
      </w:r>
      <w:r w:rsidRPr="00890249">
        <w:rPr>
          <w:rFonts w:asciiTheme="minorHAnsi" w:hAnsiTheme="minorHAnsi" w:cstheme="minorHAnsi"/>
          <w:sz w:val="22"/>
          <w:szCs w:val="22"/>
        </w:rPr>
        <w:t>sieci wzrosła o 10,7 km / 100 km</w:t>
      </w:r>
      <w:r w:rsidRPr="00890249">
        <w:rPr>
          <w:rFonts w:asciiTheme="minorHAnsi" w:hAnsiTheme="minorHAnsi" w:cstheme="minorHAnsi"/>
          <w:sz w:val="22"/>
          <w:szCs w:val="22"/>
          <w:vertAlign w:val="superscript"/>
        </w:rPr>
        <w:t>2</w:t>
      </w:r>
      <w:r w:rsidR="00F86630" w:rsidRPr="00890249">
        <w:rPr>
          <w:rFonts w:asciiTheme="minorHAnsi" w:hAnsiTheme="minorHAnsi" w:cstheme="minorHAnsi"/>
          <w:sz w:val="22"/>
          <w:szCs w:val="22"/>
        </w:rPr>
        <w:t>,</w:t>
      </w:r>
      <w:r w:rsidRPr="00890249">
        <w:rPr>
          <w:rFonts w:asciiTheme="minorHAnsi" w:hAnsiTheme="minorHAnsi" w:cstheme="minorHAnsi"/>
          <w:sz w:val="22"/>
          <w:szCs w:val="22"/>
        </w:rPr>
        <w:t xml:space="preserve"> </w:t>
      </w:r>
      <w:r w:rsidR="006028A8" w:rsidRPr="00890249">
        <w:rPr>
          <w:rFonts w:asciiTheme="minorHAnsi" w:hAnsiTheme="minorHAnsi" w:cstheme="minorHAnsi"/>
          <w:sz w:val="22"/>
          <w:szCs w:val="22"/>
        </w:rPr>
        <w:t>a odsetek osób korzystających z</w:t>
      </w:r>
      <w:r w:rsidR="00C1573A" w:rsidRPr="00890249">
        <w:rPr>
          <w:rFonts w:asciiTheme="minorHAnsi" w:hAnsiTheme="minorHAnsi" w:cstheme="minorHAnsi"/>
          <w:sz w:val="22"/>
          <w:szCs w:val="22"/>
        </w:rPr>
        <w:t> </w:t>
      </w:r>
      <w:r w:rsidR="006028A8" w:rsidRPr="00890249">
        <w:rPr>
          <w:rFonts w:asciiTheme="minorHAnsi" w:hAnsiTheme="minorHAnsi" w:cstheme="minorHAnsi"/>
          <w:sz w:val="22"/>
          <w:szCs w:val="22"/>
        </w:rPr>
        <w:t xml:space="preserve">kanalizacji zwiększył się </w:t>
      </w:r>
      <w:r w:rsidRPr="00890249">
        <w:rPr>
          <w:rFonts w:asciiTheme="minorHAnsi" w:hAnsiTheme="minorHAnsi" w:cstheme="minorHAnsi"/>
          <w:sz w:val="22"/>
          <w:szCs w:val="22"/>
        </w:rPr>
        <w:t>o ok. 15 p.</w:t>
      </w:r>
      <w:r w:rsidR="006028A8" w:rsidRPr="00890249">
        <w:rPr>
          <w:rFonts w:asciiTheme="minorHAnsi" w:hAnsiTheme="minorHAnsi" w:cstheme="minorHAnsi"/>
          <w:sz w:val="22"/>
          <w:szCs w:val="22"/>
        </w:rPr>
        <w:t xml:space="preserve">p. </w:t>
      </w:r>
      <w:r w:rsidRPr="00890249">
        <w:rPr>
          <w:rFonts w:asciiTheme="minorHAnsi" w:hAnsiTheme="minorHAnsi" w:cstheme="minorHAnsi"/>
          <w:sz w:val="22"/>
          <w:szCs w:val="22"/>
        </w:rPr>
        <w:t>W ramach RPO WO 2014-2020 wybudowano lub zmodernizowano ponad 60 km sieci.</w:t>
      </w:r>
    </w:p>
    <w:p w14:paraId="640A4FBF" w14:textId="0FC80178" w:rsidR="0093433C" w:rsidRPr="00890249" w:rsidRDefault="00A4399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Istnieją jednak </w:t>
      </w:r>
      <w:r w:rsidR="00F86630" w:rsidRPr="00890249">
        <w:rPr>
          <w:rFonts w:asciiTheme="minorHAnsi" w:hAnsiTheme="minorHAnsi" w:cstheme="minorHAnsi"/>
          <w:sz w:val="22"/>
          <w:szCs w:val="22"/>
        </w:rPr>
        <w:t>duże</w:t>
      </w:r>
      <w:r w:rsidRPr="00890249">
        <w:rPr>
          <w:rFonts w:asciiTheme="minorHAnsi" w:hAnsiTheme="minorHAnsi" w:cstheme="minorHAnsi"/>
          <w:sz w:val="22"/>
          <w:szCs w:val="22"/>
        </w:rPr>
        <w:t xml:space="preserve"> rozbieżności w zakresie dostępności do sieci kanalizacyjnej </w:t>
      </w:r>
      <w:r w:rsidR="0012507D" w:rsidRPr="00890249">
        <w:rPr>
          <w:rFonts w:asciiTheme="minorHAnsi" w:hAnsiTheme="minorHAnsi" w:cstheme="minorHAnsi"/>
          <w:sz w:val="22"/>
          <w:szCs w:val="22"/>
        </w:rPr>
        <w:t>między obszarami  miejskimi i wiejskimi</w:t>
      </w:r>
      <w:r w:rsidRPr="00890249">
        <w:rPr>
          <w:rFonts w:asciiTheme="minorHAnsi" w:hAnsiTheme="minorHAnsi" w:cstheme="minorHAnsi"/>
          <w:sz w:val="22"/>
          <w:szCs w:val="22"/>
        </w:rPr>
        <w:t>. W 20</w:t>
      </w:r>
      <w:r w:rsidR="002E114A" w:rsidRPr="00890249">
        <w:rPr>
          <w:rFonts w:asciiTheme="minorHAnsi" w:hAnsiTheme="minorHAnsi" w:cstheme="minorHAnsi"/>
          <w:sz w:val="22"/>
          <w:szCs w:val="22"/>
        </w:rPr>
        <w:t>20</w:t>
      </w:r>
      <w:r w:rsidRPr="00890249">
        <w:rPr>
          <w:rFonts w:asciiTheme="minorHAnsi" w:hAnsiTheme="minorHAnsi" w:cstheme="minorHAnsi"/>
          <w:sz w:val="22"/>
          <w:szCs w:val="22"/>
        </w:rPr>
        <w:t xml:space="preserve"> r</w:t>
      </w:r>
      <w:r w:rsidR="00F86630" w:rsidRPr="00890249">
        <w:rPr>
          <w:rFonts w:asciiTheme="minorHAnsi" w:hAnsiTheme="minorHAnsi" w:cstheme="minorHAnsi"/>
          <w:sz w:val="22"/>
          <w:szCs w:val="22"/>
        </w:rPr>
        <w:t>.</w:t>
      </w:r>
      <w:r w:rsidRPr="00890249">
        <w:rPr>
          <w:rFonts w:asciiTheme="minorHAnsi" w:hAnsiTheme="minorHAnsi" w:cstheme="minorHAnsi"/>
          <w:sz w:val="22"/>
          <w:szCs w:val="22"/>
        </w:rPr>
        <w:t xml:space="preserve"> z sieci kanalizacyjnej korzystało 91,8% mieszkańców miast, </w:t>
      </w:r>
      <w:r w:rsidR="00047237" w:rsidRPr="00890249">
        <w:rPr>
          <w:rFonts w:asciiTheme="minorHAnsi" w:hAnsiTheme="minorHAnsi" w:cstheme="minorHAnsi"/>
          <w:sz w:val="22"/>
          <w:szCs w:val="22"/>
        </w:rPr>
        <w:t>a</w:t>
      </w:r>
      <w:r w:rsidRPr="00890249">
        <w:rPr>
          <w:rFonts w:asciiTheme="minorHAnsi" w:hAnsiTheme="minorHAnsi" w:cstheme="minorHAnsi"/>
          <w:sz w:val="22"/>
          <w:szCs w:val="22"/>
        </w:rPr>
        <w:t xml:space="preserve"> jedynie 5</w:t>
      </w:r>
      <w:r w:rsidR="002E114A" w:rsidRPr="00890249">
        <w:rPr>
          <w:rFonts w:asciiTheme="minorHAnsi" w:hAnsiTheme="minorHAnsi" w:cstheme="minorHAnsi"/>
          <w:sz w:val="22"/>
          <w:szCs w:val="22"/>
        </w:rPr>
        <w:t>3</w:t>
      </w:r>
      <w:r w:rsidRPr="00890249">
        <w:rPr>
          <w:rFonts w:asciiTheme="minorHAnsi" w:hAnsiTheme="minorHAnsi" w:cstheme="minorHAnsi"/>
          <w:sz w:val="22"/>
          <w:szCs w:val="22"/>
        </w:rPr>
        <w:t>,</w:t>
      </w:r>
      <w:r w:rsidR="002E114A" w:rsidRPr="00890249">
        <w:rPr>
          <w:rFonts w:asciiTheme="minorHAnsi" w:hAnsiTheme="minorHAnsi" w:cstheme="minorHAnsi"/>
          <w:sz w:val="22"/>
          <w:szCs w:val="22"/>
        </w:rPr>
        <w:t>6</w:t>
      </w:r>
      <w:r w:rsidRPr="00890249">
        <w:rPr>
          <w:rFonts w:asciiTheme="minorHAnsi" w:hAnsiTheme="minorHAnsi" w:cstheme="minorHAnsi"/>
          <w:sz w:val="22"/>
          <w:szCs w:val="22"/>
        </w:rPr>
        <w:t xml:space="preserve">% mieszkańców wsi. </w:t>
      </w:r>
      <w:r w:rsidR="0012507D" w:rsidRPr="00890249">
        <w:rPr>
          <w:rFonts w:asciiTheme="minorHAnsi" w:hAnsiTheme="minorHAnsi" w:cstheme="minorHAnsi"/>
          <w:sz w:val="22"/>
          <w:szCs w:val="22"/>
        </w:rPr>
        <w:t>Dużym</w:t>
      </w:r>
      <w:r w:rsidRPr="00890249">
        <w:rPr>
          <w:rFonts w:asciiTheme="minorHAnsi" w:hAnsiTheme="minorHAnsi" w:cstheme="minorHAnsi"/>
          <w:sz w:val="22"/>
          <w:szCs w:val="22"/>
        </w:rPr>
        <w:t xml:space="preserve"> problemem jest </w:t>
      </w:r>
      <w:r w:rsidR="00047237" w:rsidRPr="00890249">
        <w:rPr>
          <w:rFonts w:asciiTheme="minorHAnsi" w:hAnsiTheme="minorHAnsi" w:cstheme="minorHAnsi"/>
          <w:sz w:val="22"/>
          <w:szCs w:val="22"/>
        </w:rPr>
        <w:t>także</w:t>
      </w:r>
      <w:r w:rsidRPr="00890249">
        <w:rPr>
          <w:rFonts w:asciiTheme="minorHAnsi" w:hAnsiTheme="minorHAnsi" w:cstheme="minorHAnsi"/>
          <w:sz w:val="22"/>
          <w:szCs w:val="22"/>
        </w:rPr>
        <w:t xml:space="preserve"> </w:t>
      </w:r>
      <w:r w:rsidR="000A3E2E" w:rsidRPr="00890249">
        <w:rPr>
          <w:rFonts w:asciiTheme="minorHAnsi" w:hAnsiTheme="minorHAnsi" w:cstheme="minorHAnsi"/>
          <w:sz w:val="22"/>
          <w:szCs w:val="22"/>
        </w:rPr>
        <w:t xml:space="preserve">zły </w:t>
      </w:r>
      <w:r w:rsidRPr="00890249">
        <w:rPr>
          <w:rFonts w:asciiTheme="minorHAnsi" w:hAnsiTheme="minorHAnsi" w:cstheme="minorHAnsi"/>
          <w:sz w:val="22"/>
          <w:szCs w:val="22"/>
        </w:rPr>
        <w:t xml:space="preserve">stan techniczny części sieci kanalizacyjnej wynikający z wieku i struktury materiałowej rur kanalizacyjnych. </w:t>
      </w:r>
      <w:r w:rsidR="003A5916" w:rsidRPr="00890249">
        <w:rPr>
          <w:rFonts w:asciiTheme="minorHAnsi" w:hAnsiTheme="minorHAnsi" w:cstheme="minorHAnsi"/>
          <w:sz w:val="22"/>
          <w:szCs w:val="22"/>
        </w:rPr>
        <w:t xml:space="preserve">Ponadto na terenie </w:t>
      </w:r>
      <w:r w:rsidR="00047237" w:rsidRPr="00890249">
        <w:rPr>
          <w:rFonts w:asciiTheme="minorHAnsi" w:hAnsiTheme="minorHAnsi" w:cstheme="minorHAnsi"/>
          <w:sz w:val="22"/>
          <w:szCs w:val="22"/>
        </w:rPr>
        <w:t>woj.</w:t>
      </w:r>
      <w:r w:rsidR="003A5916" w:rsidRPr="00890249">
        <w:rPr>
          <w:rFonts w:asciiTheme="minorHAnsi" w:hAnsiTheme="minorHAnsi" w:cstheme="minorHAnsi"/>
          <w:sz w:val="22"/>
          <w:szCs w:val="22"/>
        </w:rPr>
        <w:t xml:space="preserve"> opolskiego 20% aglomeracji wpisanych do </w:t>
      </w:r>
      <w:r w:rsidR="00047237" w:rsidRPr="00890249">
        <w:rPr>
          <w:rFonts w:asciiTheme="minorHAnsi" w:hAnsiTheme="minorHAnsi" w:cstheme="minorHAnsi"/>
          <w:sz w:val="22"/>
          <w:szCs w:val="22"/>
        </w:rPr>
        <w:t>KPOŚK</w:t>
      </w:r>
      <w:r w:rsidR="003A5916" w:rsidRPr="00890249">
        <w:rPr>
          <w:rFonts w:asciiTheme="minorHAnsi" w:hAnsiTheme="minorHAnsi" w:cstheme="minorHAnsi"/>
          <w:sz w:val="22"/>
          <w:szCs w:val="22"/>
        </w:rPr>
        <w:t xml:space="preserve"> ni</w:t>
      </w:r>
      <w:r w:rsidR="00F5241C" w:rsidRPr="00890249">
        <w:rPr>
          <w:rFonts w:asciiTheme="minorHAnsi" w:hAnsiTheme="minorHAnsi" w:cstheme="minorHAnsi"/>
          <w:sz w:val="22"/>
          <w:szCs w:val="22"/>
        </w:rPr>
        <w:t xml:space="preserve">e spełnia wymogów </w:t>
      </w:r>
      <w:r w:rsidR="0012382E" w:rsidRPr="00890249">
        <w:rPr>
          <w:rFonts w:asciiTheme="minorHAnsi" w:hAnsiTheme="minorHAnsi" w:cstheme="minorHAnsi"/>
          <w:sz w:val="22"/>
          <w:szCs w:val="22"/>
        </w:rPr>
        <w:t xml:space="preserve">wskazanych </w:t>
      </w:r>
      <w:r w:rsidR="00F5241C" w:rsidRPr="00890249">
        <w:rPr>
          <w:rFonts w:asciiTheme="minorHAnsi" w:hAnsiTheme="minorHAnsi" w:cstheme="minorHAnsi"/>
          <w:sz w:val="22"/>
          <w:szCs w:val="22"/>
        </w:rPr>
        <w:t>w </w:t>
      </w:r>
      <w:r w:rsidR="003A5916" w:rsidRPr="00890249">
        <w:rPr>
          <w:rFonts w:asciiTheme="minorHAnsi" w:hAnsiTheme="minorHAnsi" w:cstheme="minorHAnsi"/>
          <w:sz w:val="22"/>
          <w:szCs w:val="22"/>
        </w:rPr>
        <w:t xml:space="preserve">Dyrektywie 91/271/EWG z </w:t>
      </w:r>
      <w:r w:rsidR="003A5916" w:rsidRPr="00890249">
        <w:rPr>
          <w:rFonts w:asciiTheme="minorHAnsi" w:hAnsiTheme="minorHAnsi" w:cstheme="minorHAnsi"/>
          <w:sz w:val="22"/>
          <w:szCs w:val="22"/>
        </w:rPr>
        <w:lastRenderedPageBreak/>
        <w:t>21 maja 1991 r. dotycząc</w:t>
      </w:r>
      <w:r w:rsidR="000F0D1B" w:rsidRPr="00890249">
        <w:rPr>
          <w:rFonts w:asciiTheme="minorHAnsi" w:hAnsiTheme="minorHAnsi" w:cstheme="minorHAnsi"/>
          <w:sz w:val="22"/>
          <w:szCs w:val="22"/>
        </w:rPr>
        <w:t>ej</w:t>
      </w:r>
      <w:r w:rsidR="003A5916" w:rsidRPr="00890249">
        <w:rPr>
          <w:rFonts w:asciiTheme="minorHAnsi" w:hAnsiTheme="minorHAnsi" w:cstheme="minorHAnsi"/>
          <w:sz w:val="22"/>
          <w:szCs w:val="22"/>
        </w:rPr>
        <w:t xml:space="preserve"> oczyszczania ścieków komunalnych</w:t>
      </w:r>
      <w:r w:rsidR="00FA7358" w:rsidRPr="00890249">
        <w:rPr>
          <w:rStyle w:val="Odwoanieprzypisudolnego"/>
          <w:rFonts w:asciiTheme="minorHAnsi" w:hAnsiTheme="minorHAnsi" w:cstheme="minorHAnsi"/>
          <w:sz w:val="22"/>
          <w:szCs w:val="22"/>
        </w:rPr>
        <w:footnoteReference w:id="19"/>
      </w:r>
      <w:r w:rsidR="00FA7358" w:rsidRPr="00890249">
        <w:rPr>
          <w:rFonts w:asciiTheme="minorHAnsi" w:hAnsiTheme="minorHAnsi" w:cstheme="minorHAnsi"/>
          <w:sz w:val="22"/>
          <w:szCs w:val="22"/>
        </w:rPr>
        <w:t>.</w:t>
      </w:r>
      <w:r w:rsidR="003A5916" w:rsidRPr="00890249">
        <w:rPr>
          <w:rFonts w:asciiTheme="minorHAnsi" w:hAnsiTheme="minorHAnsi" w:cstheme="minorHAnsi"/>
          <w:sz w:val="22"/>
          <w:szCs w:val="22"/>
        </w:rPr>
        <w:t xml:space="preserve"> </w:t>
      </w:r>
      <w:r w:rsidR="0012382E" w:rsidRPr="00890249">
        <w:rPr>
          <w:rFonts w:asciiTheme="minorHAnsi" w:hAnsiTheme="minorHAnsi" w:cstheme="minorHAnsi"/>
          <w:sz w:val="22"/>
          <w:szCs w:val="22"/>
        </w:rPr>
        <w:t>N</w:t>
      </w:r>
      <w:r w:rsidRPr="00890249">
        <w:rPr>
          <w:rFonts w:asciiTheme="minorHAnsi" w:hAnsiTheme="minorHAnsi" w:cstheme="minorHAnsi"/>
          <w:sz w:val="22"/>
          <w:szCs w:val="22"/>
        </w:rPr>
        <w:t xml:space="preserve">iezbędne jest </w:t>
      </w:r>
      <w:r w:rsidR="0012382E" w:rsidRPr="00890249">
        <w:rPr>
          <w:rFonts w:asciiTheme="minorHAnsi" w:hAnsiTheme="minorHAnsi" w:cstheme="minorHAnsi"/>
          <w:sz w:val="22"/>
          <w:szCs w:val="22"/>
        </w:rPr>
        <w:t xml:space="preserve">więc </w:t>
      </w:r>
      <w:r w:rsidRPr="00890249">
        <w:rPr>
          <w:rFonts w:asciiTheme="minorHAnsi" w:hAnsiTheme="minorHAnsi" w:cstheme="minorHAnsi"/>
          <w:sz w:val="22"/>
          <w:szCs w:val="22"/>
        </w:rPr>
        <w:t>dalsze wsparcie rozbudowy i modernizacji sieci kanalizacyjnej oraz budow</w:t>
      </w:r>
      <w:r w:rsidR="000F0D1B" w:rsidRPr="00890249">
        <w:rPr>
          <w:rFonts w:asciiTheme="minorHAnsi" w:hAnsiTheme="minorHAnsi" w:cstheme="minorHAnsi"/>
          <w:sz w:val="22"/>
          <w:szCs w:val="22"/>
        </w:rPr>
        <w:t>y</w:t>
      </w:r>
      <w:r w:rsidRPr="00890249">
        <w:rPr>
          <w:rFonts w:asciiTheme="minorHAnsi" w:hAnsiTheme="minorHAnsi" w:cstheme="minorHAnsi"/>
          <w:sz w:val="22"/>
          <w:szCs w:val="22"/>
        </w:rPr>
        <w:t xml:space="preserve"> i</w:t>
      </w:r>
      <w:r w:rsidR="0012507D" w:rsidRPr="00890249">
        <w:rPr>
          <w:rFonts w:asciiTheme="minorHAnsi" w:hAnsiTheme="minorHAnsi" w:cstheme="minorHAnsi"/>
          <w:sz w:val="22"/>
          <w:szCs w:val="22"/>
        </w:rPr>
        <w:t> </w:t>
      </w:r>
      <w:r w:rsidRPr="00890249">
        <w:rPr>
          <w:rFonts w:asciiTheme="minorHAnsi" w:hAnsiTheme="minorHAnsi" w:cstheme="minorHAnsi"/>
          <w:sz w:val="22"/>
          <w:szCs w:val="22"/>
        </w:rPr>
        <w:t>modernizacj</w:t>
      </w:r>
      <w:r w:rsidR="000F0D1B" w:rsidRPr="00890249">
        <w:rPr>
          <w:rFonts w:asciiTheme="minorHAnsi" w:hAnsiTheme="minorHAnsi" w:cstheme="minorHAnsi"/>
          <w:sz w:val="22"/>
          <w:szCs w:val="22"/>
        </w:rPr>
        <w:t>i</w:t>
      </w:r>
      <w:r w:rsidRPr="00890249">
        <w:rPr>
          <w:rFonts w:asciiTheme="minorHAnsi" w:hAnsiTheme="minorHAnsi" w:cstheme="minorHAnsi"/>
          <w:sz w:val="22"/>
          <w:szCs w:val="22"/>
        </w:rPr>
        <w:t xml:space="preserve"> oczyszczalni ścieków. </w:t>
      </w:r>
    </w:p>
    <w:p w14:paraId="3F5B8722"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Gospodarka odpadami</w:t>
      </w:r>
    </w:p>
    <w:p w14:paraId="23E21FED" w14:textId="5D6F966C" w:rsidR="0093433C" w:rsidRPr="00890249" w:rsidRDefault="0012507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Zmiany</w:t>
      </w:r>
      <w:r w:rsidR="00A43991" w:rsidRPr="00890249">
        <w:rPr>
          <w:rFonts w:asciiTheme="minorHAnsi" w:hAnsiTheme="minorHAnsi" w:cstheme="minorHAnsi"/>
          <w:sz w:val="22"/>
          <w:szCs w:val="22"/>
          <w:lang w:eastAsia="en-US" w:bidi="ar-SA"/>
        </w:rPr>
        <w:t xml:space="preserve"> przepisów </w:t>
      </w:r>
      <w:r w:rsidR="000A3E2E" w:rsidRPr="00890249">
        <w:rPr>
          <w:rFonts w:asciiTheme="minorHAnsi" w:hAnsiTheme="minorHAnsi" w:cstheme="minorHAnsi"/>
          <w:sz w:val="22"/>
          <w:szCs w:val="22"/>
          <w:lang w:eastAsia="en-US" w:bidi="ar-SA"/>
        </w:rPr>
        <w:t>dot.</w:t>
      </w:r>
      <w:r w:rsidR="00A43991" w:rsidRPr="00890249">
        <w:rPr>
          <w:rFonts w:asciiTheme="minorHAnsi" w:hAnsiTheme="minorHAnsi" w:cstheme="minorHAnsi"/>
          <w:sz w:val="22"/>
          <w:szCs w:val="22"/>
          <w:lang w:eastAsia="en-US" w:bidi="ar-SA"/>
        </w:rPr>
        <w:t xml:space="preserve"> </w:t>
      </w:r>
      <w:r w:rsidR="00FA0575" w:rsidRPr="00890249">
        <w:rPr>
          <w:rFonts w:asciiTheme="minorHAnsi" w:hAnsiTheme="minorHAnsi" w:cstheme="minorHAnsi"/>
          <w:sz w:val="22"/>
          <w:szCs w:val="22"/>
          <w:lang w:eastAsia="en-US" w:bidi="ar-SA"/>
        </w:rPr>
        <w:t>g</w:t>
      </w:r>
      <w:r w:rsidR="00A43991" w:rsidRPr="00890249">
        <w:rPr>
          <w:rFonts w:asciiTheme="minorHAnsi" w:hAnsiTheme="minorHAnsi" w:cstheme="minorHAnsi"/>
          <w:sz w:val="22"/>
          <w:szCs w:val="22"/>
          <w:lang w:eastAsia="en-US" w:bidi="ar-SA"/>
        </w:rPr>
        <w:t>osp</w:t>
      </w:r>
      <w:r w:rsidR="00FA0575" w:rsidRPr="00890249">
        <w:rPr>
          <w:rFonts w:asciiTheme="minorHAnsi" w:hAnsiTheme="minorHAnsi" w:cstheme="minorHAnsi"/>
          <w:sz w:val="22"/>
          <w:szCs w:val="22"/>
          <w:lang w:eastAsia="en-US" w:bidi="ar-SA"/>
        </w:rPr>
        <w:t>.</w:t>
      </w:r>
      <w:r w:rsidR="00A43991" w:rsidRPr="00890249">
        <w:rPr>
          <w:rFonts w:asciiTheme="minorHAnsi" w:hAnsiTheme="minorHAnsi" w:cstheme="minorHAnsi"/>
          <w:sz w:val="22"/>
          <w:szCs w:val="22"/>
          <w:lang w:eastAsia="en-US" w:bidi="ar-SA"/>
        </w:rPr>
        <w:t xml:space="preserve"> odpadami </w:t>
      </w:r>
      <w:r w:rsidRPr="00890249">
        <w:rPr>
          <w:rFonts w:asciiTheme="minorHAnsi" w:hAnsiTheme="minorHAnsi" w:cstheme="minorHAnsi"/>
          <w:sz w:val="22"/>
          <w:szCs w:val="22"/>
          <w:lang w:eastAsia="en-US" w:bidi="ar-SA"/>
        </w:rPr>
        <w:t>wymusiły zmiany organizacji</w:t>
      </w:r>
      <w:r w:rsidR="00A43991" w:rsidRPr="00890249">
        <w:rPr>
          <w:rFonts w:asciiTheme="minorHAnsi" w:hAnsiTheme="minorHAnsi" w:cstheme="minorHAnsi"/>
          <w:sz w:val="22"/>
          <w:szCs w:val="22"/>
          <w:lang w:eastAsia="en-US" w:bidi="ar-SA"/>
        </w:rPr>
        <w:t xml:space="preserve"> gosp</w:t>
      </w:r>
      <w:r w:rsidR="00FA0575" w:rsidRPr="00890249">
        <w:rPr>
          <w:rFonts w:asciiTheme="minorHAnsi" w:hAnsiTheme="minorHAnsi" w:cstheme="minorHAnsi"/>
          <w:sz w:val="22"/>
          <w:szCs w:val="22"/>
          <w:lang w:eastAsia="en-US" w:bidi="ar-SA"/>
        </w:rPr>
        <w:t>.</w:t>
      </w:r>
      <w:r w:rsidR="00A43991" w:rsidRPr="00890249">
        <w:rPr>
          <w:rFonts w:asciiTheme="minorHAnsi" w:hAnsiTheme="minorHAnsi" w:cstheme="minorHAnsi"/>
          <w:sz w:val="22"/>
          <w:szCs w:val="22"/>
          <w:lang w:eastAsia="en-US" w:bidi="ar-SA"/>
        </w:rPr>
        <w:t xml:space="preserve"> odpadami </w:t>
      </w:r>
      <w:r w:rsidR="00FA0575" w:rsidRPr="00890249">
        <w:rPr>
          <w:rFonts w:asciiTheme="minorHAnsi" w:hAnsiTheme="minorHAnsi" w:cstheme="minorHAnsi"/>
          <w:sz w:val="22"/>
          <w:szCs w:val="22"/>
          <w:lang w:eastAsia="en-US" w:bidi="ar-SA"/>
        </w:rPr>
        <w:t>w</w:t>
      </w:r>
      <w:r w:rsidR="00A43991" w:rsidRPr="00890249">
        <w:rPr>
          <w:rFonts w:asciiTheme="minorHAnsi" w:hAnsiTheme="minorHAnsi" w:cstheme="minorHAnsi"/>
          <w:sz w:val="22"/>
          <w:szCs w:val="22"/>
          <w:lang w:eastAsia="en-US" w:bidi="ar-SA"/>
        </w:rPr>
        <w:t xml:space="preserve"> </w:t>
      </w:r>
      <w:r w:rsidR="00D8425A" w:rsidRPr="00890249">
        <w:rPr>
          <w:rFonts w:asciiTheme="minorHAnsi" w:hAnsiTheme="minorHAnsi" w:cstheme="minorHAnsi"/>
          <w:sz w:val="22"/>
          <w:szCs w:val="22"/>
          <w:lang w:eastAsia="en-US" w:bidi="ar-SA"/>
        </w:rPr>
        <w:t xml:space="preserve">woj. </w:t>
      </w:r>
      <w:r w:rsidR="00FA0575" w:rsidRPr="00890249">
        <w:rPr>
          <w:rFonts w:asciiTheme="minorHAnsi" w:hAnsiTheme="minorHAnsi" w:cstheme="minorHAnsi"/>
          <w:sz w:val="22"/>
          <w:szCs w:val="22"/>
          <w:lang w:eastAsia="en-US" w:bidi="ar-SA"/>
        </w:rPr>
        <w:t>o</w:t>
      </w:r>
      <w:r w:rsidR="00A43991" w:rsidRPr="00890249">
        <w:rPr>
          <w:rFonts w:asciiTheme="minorHAnsi" w:hAnsiTheme="minorHAnsi" w:cstheme="minorHAnsi"/>
          <w:sz w:val="22"/>
          <w:szCs w:val="22"/>
          <w:lang w:eastAsia="en-US" w:bidi="ar-SA"/>
        </w:rPr>
        <w:t>polski</w:t>
      </w:r>
      <w:r w:rsidR="00FA0575" w:rsidRPr="00890249">
        <w:rPr>
          <w:rFonts w:asciiTheme="minorHAnsi" w:hAnsiTheme="minorHAnsi" w:cstheme="minorHAnsi"/>
          <w:sz w:val="22"/>
          <w:szCs w:val="22"/>
          <w:lang w:eastAsia="en-US" w:bidi="ar-SA"/>
        </w:rPr>
        <w:t>m</w:t>
      </w:r>
      <w:r w:rsidR="00A43991"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P</w:t>
      </w:r>
      <w:r w:rsidR="00A43991" w:rsidRPr="00890249">
        <w:rPr>
          <w:rFonts w:asciiTheme="minorHAnsi" w:hAnsiTheme="minorHAnsi" w:cstheme="minorHAnsi"/>
          <w:sz w:val="22"/>
          <w:szCs w:val="22"/>
          <w:lang w:eastAsia="en-US" w:bidi="ar-SA"/>
        </w:rPr>
        <w:t xml:space="preserve">ostawiły </w:t>
      </w:r>
      <w:r w:rsidRPr="00890249">
        <w:rPr>
          <w:rFonts w:asciiTheme="minorHAnsi" w:hAnsiTheme="minorHAnsi" w:cstheme="minorHAnsi"/>
          <w:sz w:val="22"/>
          <w:szCs w:val="22"/>
          <w:lang w:eastAsia="en-US" w:bidi="ar-SA"/>
        </w:rPr>
        <w:t xml:space="preserve">one </w:t>
      </w:r>
      <w:r w:rsidR="00A43991" w:rsidRPr="00890249">
        <w:rPr>
          <w:rFonts w:asciiTheme="minorHAnsi" w:hAnsiTheme="minorHAnsi" w:cstheme="minorHAnsi"/>
          <w:sz w:val="22"/>
          <w:szCs w:val="22"/>
          <w:lang w:eastAsia="en-US" w:bidi="ar-SA"/>
        </w:rPr>
        <w:t xml:space="preserve">gminy przed koniecznością dostosowania się do </w:t>
      </w:r>
      <w:r w:rsidR="0012382E" w:rsidRPr="00890249">
        <w:rPr>
          <w:rFonts w:asciiTheme="minorHAnsi" w:hAnsiTheme="minorHAnsi" w:cstheme="minorHAnsi"/>
          <w:sz w:val="22"/>
          <w:szCs w:val="22"/>
          <w:lang w:eastAsia="en-US" w:bidi="ar-SA"/>
        </w:rPr>
        <w:t xml:space="preserve">wymagań ustawowych oraz </w:t>
      </w:r>
      <w:r w:rsidR="00A43991" w:rsidRPr="00890249">
        <w:rPr>
          <w:rFonts w:asciiTheme="minorHAnsi" w:hAnsiTheme="minorHAnsi" w:cstheme="minorHAnsi"/>
          <w:sz w:val="22"/>
          <w:szCs w:val="22"/>
          <w:lang w:eastAsia="en-US" w:bidi="ar-SA"/>
        </w:rPr>
        <w:t xml:space="preserve">rynkowych. </w:t>
      </w:r>
    </w:p>
    <w:p w14:paraId="6329E078" w14:textId="6D71646A" w:rsidR="0093433C" w:rsidRPr="00890249" w:rsidRDefault="0012382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00A43991" w:rsidRPr="00890249">
        <w:rPr>
          <w:rFonts w:asciiTheme="minorHAnsi" w:hAnsiTheme="minorHAnsi" w:cstheme="minorHAnsi"/>
          <w:sz w:val="22"/>
          <w:szCs w:val="22"/>
          <w:lang w:eastAsia="en-US" w:bidi="ar-SA"/>
        </w:rPr>
        <w:t xml:space="preserve"> ramach RPO WO 2014-2020 dzięki </w:t>
      </w:r>
      <w:r w:rsidR="000F0D1B" w:rsidRPr="00890249">
        <w:rPr>
          <w:rFonts w:asciiTheme="minorHAnsi" w:hAnsiTheme="minorHAnsi" w:cstheme="minorHAnsi"/>
          <w:sz w:val="22"/>
          <w:szCs w:val="22"/>
          <w:lang w:eastAsia="en-US" w:bidi="ar-SA"/>
        </w:rPr>
        <w:t>z</w:t>
      </w:r>
      <w:r w:rsidR="00A43991" w:rsidRPr="00890249">
        <w:rPr>
          <w:rFonts w:asciiTheme="minorHAnsi" w:hAnsiTheme="minorHAnsi" w:cstheme="minorHAnsi"/>
          <w:sz w:val="22"/>
          <w:szCs w:val="22"/>
          <w:lang w:eastAsia="en-US" w:bidi="ar-SA"/>
        </w:rPr>
        <w:t>realizowanym projektom 330 tys. os</w:t>
      </w:r>
      <w:r w:rsidR="00D8425A" w:rsidRPr="00890249">
        <w:rPr>
          <w:rFonts w:asciiTheme="minorHAnsi" w:hAnsiTheme="minorHAnsi" w:cstheme="minorHAnsi"/>
          <w:sz w:val="22"/>
          <w:szCs w:val="22"/>
          <w:lang w:eastAsia="en-US" w:bidi="ar-SA"/>
        </w:rPr>
        <w:t>obom ułatwiono selekcję odpadów</w:t>
      </w:r>
      <w:r w:rsidR="00A43991" w:rsidRPr="00890249">
        <w:rPr>
          <w:rFonts w:asciiTheme="minorHAnsi" w:hAnsiTheme="minorHAnsi" w:cstheme="minorHAnsi"/>
          <w:sz w:val="22"/>
          <w:szCs w:val="22"/>
          <w:lang w:eastAsia="en-US" w:bidi="ar-SA"/>
        </w:rPr>
        <w:t xml:space="preserve"> poprzez możliwość ich wywozu do PSZOKów, co </w:t>
      </w:r>
      <w:r w:rsidR="0012507D" w:rsidRPr="00890249">
        <w:rPr>
          <w:rFonts w:asciiTheme="minorHAnsi" w:hAnsiTheme="minorHAnsi" w:cstheme="minorHAnsi"/>
          <w:sz w:val="22"/>
          <w:szCs w:val="22"/>
          <w:lang w:eastAsia="en-US" w:bidi="ar-SA"/>
        </w:rPr>
        <w:t>wpłynęło</w:t>
      </w:r>
      <w:r w:rsidR="00A43991" w:rsidRPr="00890249">
        <w:rPr>
          <w:rFonts w:asciiTheme="minorHAnsi" w:hAnsiTheme="minorHAnsi" w:cstheme="minorHAnsi"/>
          <w:sz w:val="22"/>
          <w:szCs w:val="22"/>
          <w:lang w:eastAsia="en-US" w:bidi="ar-SA"/>
        </w:rPr>
        <w:t xml:space="preserve"> na wzrost ilości zebranych selektywnie odpadów w stos</w:t>
      </w:r>
      <w:r w:rsidRPr="00890249">
        <w:rPr>
          <w:rFonts w:asciiTheme="minorHAnsi" w:hAnsiTheme="minorHAnsi" w:cstheme="minorHAnsi"/>
          <w:sz w:val="22"/>
          <w:szCs w:val="22"/>
          <w:lang w:eastAsia="en-US" w:bidi="ar-SA"/>
        </w:rPr>
        <w:t>.</w:t>
      </w:r>
      <w:r w:rsidR="00A43991" w:rsidRPr="00890249">
        <w:rPr>
          <w:rFonts w:asciiTheme="minorHAnsi" w:hAnsiTheme="minorHAnsi" w:cstheme="minorHAnsi"/>
          <w:sz w:val="22"/>
          <w:szCs w:val="22"/>
          <w:lang w:eastAsia="en-US" w:bidi="ar-SA"/>
        </w:rPr>
        <w:t xml:space="preserve"> do całości z 23,6% w 2014 r. do </w:t>
      </w:r>
      <w:r w:rsidR="002E114A" w:rsidRPr="00890249">
        <w:rPr>
          <w:rFonts w:asciiTheme="minorHAnsi" w:hAnsiTheme="minorHAnsi" w:cstheme="minorHAnsi"/>
          <w:sz w:val="22"/>
          <w:szCs w:val="22"/>
          <w:lang w:eastAsia="en-US" w:bidi="ar-SA"/>
        </w:rPr>
        <w:t>39,8</w:t>
      </w:r>
      <w:r w:rsidR="00A43991" w:rsidRPr="00890249">
        <w:rPr>
          <w:rFonts w:asciiTheme="minorHAnsi" w:hAnsiTheme="minorHAnsi" w:cstheme="minorHAnsi"/>
          <w:sz w:val="22"/>
          <w:szCs w:val="22"/>
          <w:lang w:eastAsia="en-US" w:bidi="ar-SA"/>
        </w:rPr>
        <w:t>% w 20</w:t>
      </w:r>
      <w:r w:rsidR="002E114A" w:rsidRPr="00890249">
        <w:rPr>
          <w:rFonts w:asciiTheme="minorHAnsi" w:hAnsiTheme="minorHAnsi" w:cstheme="minorHAnsi"/>
          <w:sz w:val="22"/>
          <w:szCs w:val="22"/>
          <w:lang w:eastAsia="en-US" w:bidi="ar-SA"/>
        </w:rPr>
        <w:t>20</w:t>
      </w:r>
      <w:r w:rsidR="00890249">
        <w:rPr>
          <w:rFonts w:asciiTheme="minorHAnsi" w:hAnsiTheme="minorHAnsi" w:cstheme="minorHAnsi"/>
          <w:sz w:val="22"/>
          <w:szCs w:val="22"/>
          <w:lang w:eastAsia="en-US" w:bidi="ar-SA"/>
        </w:rPr>
        <w:t xml:space="preserve"> r. Odsetek ten w </w:t>
      </w:r>
      <w:r w:rsidR="00A43991" w:rsidRPr="00890249">
        <w:rPr>
          <w:rFonts w:asciiTheme="minorHAnsi" w:hAnsiTheme="minorHAnsi" w:cstheme="minorHAnsi"/>
          <w:sz w:val="22"/>
          <w:szCs w:val="22"/>
          <w:lang w:eastAsia="en-US" w:bidi="ar-SA"/>
        </w:rPr>
        <w:t xml:space="preserve">kolejnych latach będzie wzrastać, </w:t>
      </w:r>
      <w:r w:rsidR="00F775C0" w:rsidRPr="00890249">
        <w:rPr>
          <w:rFonts w:asciiTheme="minorHAnsi" w:hAnsiTheme="minorHAnsi" w:cstheme="minorHAnsi"/>
          <w:sz w:val="22"/>
          <w:szCs w:val="22"/>
          <w:lang w:eastAsia="en-US" w:bidi="ar-SA"/>
        </w:rPr>
        <w:t xml:space="preserve">gdyż </w:t>
      </w:r>
      <w:r w:rsidR="00A43991" w:rsidRPr="00890249">
        <w:rPr>
          <w:rFonts w:asciiTheme="minorHAnsi" w:hAnsiTheme="minorHAnsi" w:cstheme="minorHAnsi"/>
          <w:sz w:val="22"/>
          <w:szCs w:val="22"/>
          <w:lang w:eastAsia="en-US" w:bidi="ar-SA"/>
        </w:rPr>
        <w:t>wiele PSZOK</w:t>
      </w:r>
      <w:r w:rsidR="000F0D1B" w:rsidRPr="00890249">
        <w:rPr>
          <w:rFonts w:asciiTheme="minorHAnsi" w:hAnsiTheme="minorHAnsi" w:cstheme="minorHAnsi"/>
          <w:sz w:val="22"/>
          <w:szCs w:val="22"/>
          <w:lang w:eastAsia="en-US" w:bidi="ar-SA"/>
        </w:rPr>
        <w:t>-</w:t>
      </w:r>
      <w:r w:rsidR="00A43991" w:rsidRPr="00890249">
        <w:rPr>
          <w:rFonts w:asciiTheme="minorHAnsi" w:hAnsiTheme="minorHAnsi" w:cstheme="minorHAnsi"/>
          <w:sz w:val="22"/>
          <w:szCs w:val="22"/>
          <w:lang w:eastAsia="en-US" w:bidi="ar-SA"/>
        </w:rPr>
        <w:t>ów oddano lub zostanie oddanych do użytku po 20</w:t>
      </w:r>
      <w:r w:rsidR="002E114A" w:rsidRPr="00890249">
        <w:rPr>
          <w:rFonts w:asciiTheme="minorHAnsi" w:hAnsiTheme="minorHAnsi" w:cstheme="minorHAnsi"/>
          <w:sz w:val="22"/>
          <w:szCs w:val="22"/>
          <w:lang w:eastAsia="en-US" w:bidi="ar-SA"/>
        </w:rPr>
        <w:t>20</w:t>
      </w:r>
      <w:r w:rsidR="0012507D" w:rsidRPr="00890249">
        <w:rPr>
          <w:rFonts w:asciiTheme="minorHAnsi" w:hAnsiTheme="minorHAnsi" w:cstheme="minorHAnsi"/>
          <w:sz w:val="22"/>
          <w:szCs w:val="22"/>
          <w:lang w:eastAsia="en-US" w:bidi="ar-SA"/>
        </w:rPr>
        <w:t xml:space="preserve"> r. P</w:t>
      </w:r>
      <w:r w:rsidR="00A43991" w:rsidRPr="00890249">
        <w:rPr>
          <w:rFonts w:asciiTheme="minorHAnsi" w:hAnsiTheme="minorHAnsi" w:cstheme="minorHAnsi"/>
          <w:sz w:val="22"/>
          <w:szCs w:val="22"/>
          <w:lang w:eastAsia="en-US" w:bidi="ar-SA"/>
        </w:rPr>
        <w:t>odstawową metodą unieszkodliwiania odpadów komunalnych</w:t>
      </w:r>
      <w:r w:rsidR="00D8425A" w:rsidRPr="00890249">
        <w:rPr>
          <w:rFonts w:asciiTheme="minorHAnsi" w:hAnsiTheme="minorHAnsi" w:cstheme="minorHAnsi"/>
          <w:sz w:val="22"/>
          <w:szCs w:val="22"/>
          <w:lang w:eastAsia="en-US" w:bidi="ar-SA"/>
        </w:rPr>
        <w:t xml:space="preserve"> nadal </w:t>
      </w:r>
      <w:r w:rsidR="0012507D" w:rsidRPr="00890249">
        <w:rPr>
          <w:rFonts w:asciiTheme="minorHAnsi" w:hAnsiTheme="minorHAnsi" w:cstheme="minorHAnsi"/>
          <w:sz w:val="22"/>
          <w:szCs w:val="22"/>
          <w:lang w:eastAsia="en-US" w:bidi="ar-SA"/>
        </w:rPr>
        <w:t xml:space="preserve">jednak </w:t>
      </w:r>
      <w:r w:rsidR="00A43991" w:rsidRPr="00890249">
        <w:rPr>
          <w:rFonts w:asciiTheme="minorHAnsi" w:hAnsiTheme="minorHAnsi" w:cstheme="minorHAnsi"/>
          <w:sz w:val="22"/>
          <w:szCs w:val="22"/>
          <w:lang w:eastAsia="en-US" w:bidi="ar-SA"/>
        </w:rPr>
        <w:t>pozostaje ich składowanie</w:t>
      </w:r>
      <w:r w:rsidR="00A43991" w:rsidRPr="00890249">
        <w:rPr>
          <w:rFonts w:asciiTheme="minorHAnsi" w:hAnsiTheme="minorHAnsi" w:cstheme="minorHAnsi"/>
          <w:sz w:val="22"/>
          <w:szCs w:val="22"/>
          <w:vertAlign w:val="superscript"/>
          <w:lang w:eastAsia="en-US" w:bidi="ar-SA"/>
        </w:rPr>
        <w:footnoteReference w:id="20"/>
      </w:r>
      <w:r w:rsidR="00A43991" w:rsidRPr="00890249">
        <w:rPr>
          <w:rFonts w:asciiTheme="minorHAnsi" w:hAnsiTheme="minorHAnsi" w:cstheme="minorHAnsi"/>
          <w:sz w:val="22"/>
          <w:szCs w:val="22"/>
          <w:lang w:eastAsia="en-US" w:bidi="ar-SA"/>
        </w:rPr>
        <w:t>. W</w:t>
      </w:r>
      <w:r w:rsidR="00D8425A" w:rsidRPr="00890249">
        <w:rPr>
          <w:rFonts w:asciiTheme="minorHAnsi" w:hAnsiTheme="minorHAnsi" w:cstheme="minorHAnsi"/>
          <w:sz w:val="22"/>
          <w:szCs w:val="22"/>
          <w:lang w:eastAsia="en-US" w:bidi="ar-SA"/>
        </w:rPr>
        <w:t> </w:t>
      </w:r>
      <w:r w:rsidR="00A43991" w:rsidRPr="00890249">
        <w:rPr>
          <w:rFonts w:asciiTheme="minorHAnsi" w:hAnsiTheme="minorHAnsi" w:cstheme="minorHAnsi"/>
          <w:sz w:val="22"/>
          <w:szCs w:val="22"/>
          <w:lang w:eastAsia="en-US" w:bidi="ar-SA"/>
        </w:rPr>
        <w:t>celu sprawnej transformacji z</w:t>
      </w:r>
      <w:r w:rsidRPr="00890249">
        <w:rPr>
          <w:rFonts w:asciiTheme="minorHAnsi" w:hAnsiTheme="minorHAnsi" w:cstheme="minorHAnsi"/>
          <w:sz w:val="22"/>
          <w:szCs w:val="22"/>
          <w:lang w:eastAsia="en-US" w:bidi="ar-SA"/>
        </w:rPr>
        <w:t> </w:t>
      </w:r>
      <w:r w:rsidR="00A43991" w:rsidRPr="00890249">
        <w:rPr>
          <w:rFonts w:asciiTheme="minorHAnsi" w:hAnsiTheme="minorHAnsi" w:cstheme="minorHAnsi"/>
          <w:sz w:val="22"/>
          <w:szCs w:val="22"/>
          <w:lang w:eastAsia="en-US" w:bidi="ar-SA"/>
        </w:rPr>
        <w:t>gosp</w:t>
      </w:r>
      <w:r w:rsidR="00F775C0" w:rsidRPr="00890249">
        <w:rPr>
          <w:rFonts w:asciiTheme="minorHAnsi" w:hAnsiTheme="minorHAnsi" w:cstheme="minorHAnsi"/>
          <w:sz w:val="22"/>
          <w:szCs w:val="22"/>
          <w:lang w:eastAsia="en-US" w:bidi="ar-SA"/>
        </w:rPr>
        <w:t>.</w:t>
      </w:r>
      <w:r w:rsidR="00A43991" w:rsidRPr="00890249">
        <w:rPr>
          <w:rFonts w:asciiTheme="minorHAnsi" w:hAnsiTheme="minorHAnsi" w:cstheme="minorHAnsi"/>
          <w:sz w:val="22"/>
          <w:szCs w:val="22"/>
          <w:lang w:eastAsia="en-US" w:bidi="ar-SA"/>
        </w:rPr>
        <w:t xml:space="preserve"> liniowej na cyrkularną konieczne jest zapewnienie efektywnego funkcjonowania systemu gosp</w:t>
      </w:r>
      <w:r w:rsidR="00F775C0" w:rsidRPr="00890249">
        <w:rPr>
          <w:rFonts w:asciiTheme="minorHAnsi" w:hAnsiTheme="minorHAnsi" w:cstheme="minorHAnsi"/>
          <w:sz w:val="22"/>
          <w:szCs w:val="22"/>
          <w:lang w:eastAsia="en-US" w:bidi="ar-SA"/>
        </w:rPr>
        <w:t>.</w:t>
      </w:r>
      <w:r w:rsidR="00A43991" w:rsidRPr="00890249">
        <w:rPr>
          <w:rFonts w:asciiTheme="minorHAnsi" w:hAnsiTheme="minorHAnsi" w:cstheme="minorHAnsi"/>
          <w:sz w:val="22"/>
          <w:szCs w:val="22"/>
          <w:lang w:eastAsia="en-US" w:bidi="ar-SA"/>
        </w:rPr>
        <w:t xml:space="preserve"> odpadami komunalnymi oraz </w:t>
      </w:r>
      <w:r w:rsidR="00F775C0" w:rsidRPr="00890249">
        <w:rPr>
          <w:rFonts w:asciiTheme="minorHAnsi" w:hAnsiTheme="minorHAnsi" w:cstheme="minorHAnsi"/>
          <w:sz w:val="22"/>
          <w:szCs w:val="22"/>
          <w:lang w:eastAsia="en-US" w:bidi="ar-SA"/>
        </w:rPr>
        <w:t xml:space="preserve">właściwego </w:t>
      </w:r>
      <w:r w:rsidR="00A43991" w:rsidRPr="00890249">
        <w:rPr>
          <w:rFonts w:asciiTheme="minorHAnsi" w:hAnsiTheme="minorHAnsi" w:cstheme="minorHAnsi"/>
          <w:sz w:val="22"/>
          <w:szCs w:val="22"/>
          <w:lang w:eastAsia="en-US" w:bidi="ar-SA"/>
        </w:rPr>
        <w:t xml:space="preserve">ich przetwarzania, a także podnoszenie świadomości ekologicznej. </w:t>
      </w:r>
    </w:p>
    <w:p w14:paraId="70382918" w14:textId="13B53C6C" w:rsidR="0093433C" w:rsidRPr="00890249" w:rsidRDefault="0037297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Budowa nowych instalacji termiczne</w:t>
      </w:r>
      <w:r w:rsidR="000A3E2E" w:rsidRPr="00890249">
        <w:rPr>
          <w:rFonts w:asciiTheme="minorHAnsi" w:hAnsiTheme="minorHAnsi" w:cstheme="minorHAnsi"/>
          <w:sz w:val="22"/>
          <w:szCs w:val="22"/>
          <w:lang w:eastAsia="en-US" w:bidi="ar-SA"/>
        </w:rPr>
        <w:t>go</w:t>
      </w:r>
      <w:r w:rsidRPr="00890249">
        <w:rPr>
          <w:rFonts w:asciiTheme="minorHAnsi" w:hAnsiTheme="minorHAnsi" w:cstheme="minorHAnsi"/>
          <w:sz w:val="22"/>
          <w:szCs w:val="22"/>
          <w:lang w:eastAsia="en-US" w:bidi="ar-SA"/>
        </w:rPr>
        <w:t xml:space="preserve"> przek</w:t>
      </w:r>
      <w:r w:rsidR="00EC6B27" w:rsidRPr="00890249">
        <w:rPr>
          <w:rFonts w:asciiTheme="minorHAnsi" w:hAnsiTheme="minorHAnsi" w:cstheme="minorHAnsi"/>
          <w:sz w:val="22"/>
          <w:szCs w:val="22"/>
          <w:lang w:eastAsia="en-US" w:bidi="ar-SA"/>
        </w:rPr>
        <w:t>ształcani</w:t>
      </w:r>
      <w:r w:rsidR="000A3E2E" w:rsidRPr="00890249">
        <w:rPr>
          <w:rFonts w:asciiTheme="minorHAnsi" w:hAnsiTheme="minorHAnsi" w:cstheme="minorHAnsi"/>
          <w:sz w:val="22"/>
          <w:szCs w:val="22"/>
          <w:lang w:eastAsia="en-US" w:bidi="ar-SA"/>
        </w:rPr>
        <w:t>a</w:t>
      </w:r>
      <w:r w:rsidR="00EC6B27" w:rsidRPr="00890249">
        <w:rPr>
          <w:rFonts w:asciiTheme="minorHAnsi" w:hAnsiTheme="minorHAnsi" w:cstheme="minorHAnsi"/>
          <w:sz w:val="22"/>
          <w:szCs w:val="22"/>
          <w:lang w:eastAsia="en-US" w:bidi="ar-SA"/>
        </w:rPr>
        <w:t xml:space="preserve"> odpadów medycznych i </w:t>
      </w:r>
      <w:r w:rsidRPr="00890249">
        <w:rPr>
          <w:rFonts w:asciiTheme="minorHAnsi" w:hAnsiTheme="minorHAnsi" w:cstheme="minorHAnsi"/>
          <w:sz w:val="22"/>
          <w:szCs w:val="22"/>
          <w:lang w:eastAsia="en-US" w:bidi="ar-SA"/>
        </w:rPr>
        <w:t xml:space="preserve">weterynaryjnych została potwierdzona jako jeden z kierunków działań w </w:t>
      </w:r>
      <w:r w:rsidRPr="00890249">
        <w:rPr>
          <w:rFonts w:asciiTheme="minorHAnsi" w:hAnsiTheme="minorHAnsi" w:cstheme="minorHAnsi"/>
          <w:i/>
          <w:iCs/>
          <w:sz w:val="22"/>
          <w:szCs w:val="22"/>
          <w:lang w:eastAsia="en-US" w:bidi="ar-SA"/>
        </w:rPr>
        <w:t>Planie Gospodarki Odpadami dla województwa opolskiego na lata 2016-2022 z uwzględnieniem lat 2023-2028</w:t>
      </w:r>
      <w:r w:rsidR="00287F6D" w:rsidRPr="00890249">
        <w:rPr>
          <w:rStyle w:val="Odwoanieprzypisudolnego"/>
          <w:rFonts w:asciiTheme="minorHAnsi" w:eastAsia="Times New Roman" w:hAnsiTheme="minorHAnsi" w:cstheme="minorHAnsi"/>
          <w:i/>
          <w:iCs/>
          <w:sz w:val="22"/>
          <w:szCs w:val="22"/>
          <w:lang w:eastAsia="en-US" w:bidi="ar-SA"/>
        </w:rPr>
        <w:footnoteReference w:id="21"/>
      </w:r>
      <w:r w:rsidRPr="00890249">
        <w:rPr>
          <w:rFonts w:asciiTheme="minorHAnsi" w:hAnsiTheme="minorHAnsi" w:cstheme="minorHAnsi"/>
          <w:sz w:val="22"/>
          <w:szCs w:val="22"/>
          <w:lang w:eastAsia="en-US" w:bidi="ar-SA"/>
        </w:rPr>
        <w:t xml:space="preserve">. </w:t>
      </w:r>
      <w:r w:rsidR="000A3E2E" w:rsidRPr="00890249">
        <w:rPr>
          <w:rFonts w:asciiTheme="minorHAnsi" w:hAnsiTheme="minorHAnsi" w:cstheme="minorHAnsi"/>
          <w:sz w:val="22"/>
          <w:szCs w:val="22"/>
          <w:lang w:eastAsia="en-US" w:bidi="ar-SA"/>
        </w:rPr>
        <w:t>U</w:t>
      </w:r>
      <w:r w:rsidRPr="00890249">
        <w:rPr>
          <w:rFonts w:asciiTheme="minorHAnsi" w:hAnsiTheme="minorHAnsi" w:cstheme="minorHAnsi"/>
          <w:sz w:val="22"/>
          <w:szCs w:val="22"/>
          <w:lang w:eastAsia="en-US" w:bidi="ar-SA"/>
        </w:rPr>
        <w:t>tylizacj</w:t>
      </w:r>
      <w:r w:rsidR="000A3E2E" w:rsidRPr="00890249">
        <w:rPr>
          <w:rFonts w:asciiTheme="minorHAnsi" w:hAnsiTheme="minorHAnsi" w:cstheme="minorHAnsi"/>
          <w:sz w:val="22"/>
          <w:szCs w:val="22"/>
          <w:lang w:eastAsia="en-US" w:bidi="ar-SA"/>
        </w:rPr>
        <w:t xml:space="preserve">a </w:t>
      </w:r>
      <w:r w:rsidRPr="00890249">
        <w:rPr>
          <w:rFonts w:asciiTheme="minorHAnsi" w:hAnsiTheme="minorHAnsi" w:cstheme="minorHAnsi"/>
          <w:sz w:val="22"/>
          <w:szCs w:val="22"/>
          <w:lang w:eastAsia="en-US" w:bidi="ar-SA"/>
        </w:rPr>
        <w:t xml:space="preserve">odpadów medycznych urosła do rangi problemu </w:t>
      </w:r>
      <w:r w:rsidR="00023FE1" w:rsidRPr="00890249">
        <w:rPr>
          <w:rFonts w:asciiTheme="minorHAnsi" w:hAnsiTheme="minorHAnsi" w:cstheme="minorHAnsi"/>
          <w:sz w:val="22"/>
          <w:szCs w:val="22"/>
          <w:lang w:eastAsia="en-US" w:bidi="ar-SA"/>
        </w:rPr>
        <w:t>również</w:t>
      </w:r>
      <w:r w:rsidRPr="00890249">
        <w:rPr>
          <w:rFonts w:asciiTheme="minorHAnsi" w:hAnsiTheme="minorHAnsi" w:cstheme="minorHAnsi"/>
          <w:sz w:val="22"/>
          <w:szCs w:val="22"/>
          <w:lang w:eastAsia="en-US" w:bidi="ar-SA"/>
        </w:rPr>
        <w:t xml:space="preserve"> z uwagi na zwiększenie</w:t>
      </w:r>
      <w:r w:rsidR="000A3E2E" w:rsidRPr="00890249">
        <w:rPr>
          <w:rFonts w:asciiTheme="minorHAnsi" w:hAnsiTheme="minorHAnsi" w:cstheme="minorHAnsi"/>
          <w:sz w:val="22"/>
          <w:szCs w:val="22"/>
          <w:lang w:eastAsia="en-US" w:bidi="ar-SA"/>
        </w:rPr>
        <w:t xml:space="preserve"> ich</w:t>
      </w:r>
      <w:r w:rsidRPr="00890249">
        <w:rPr>
          <w:rFonts w:asciiTheme="minorHAnsi" w:hAnsiTheme="minorHAnsi" w:cstheme="minorHAnsi"/>
          <w:sz w:val="22"/>
          <w:szCs w:val="22"/>
          <w:lang w:eastAsia="en-US" w:bidi="ar-SA"/>
        </w:rPr>
        <w:t xml:space="preserve"> ilości przez pandemię </w:t>
      </w:r>
      <w:r w:rsidR="00220FED" w:rsidRPr="00890249">
        <w:rPr>
          <w:rFonts w:asciiTheme="minorHAnsi" w:hAnsiTheme="minorHAnsi" w:cstheme="minorHAnsi"/>
          <w:sz w:val="22"/>
          <w:szCs w:val="22"/>
          <w:lang w:eastAsia="en-US" w:bidi="ar-SA"/>
        </w:rPr>
        <w:t>COVID</w:t>
      </w:r>
      <w:r w:rsidRPr="00890249">
        <w:rPr>
          <w:rFonts w:asciiTheme="minorHAnsi" w:hAnsiTheme="minorHAnsi" w:cstheme="minorHAnsi"/>
          <w:sz w:val="22"/>
          <w:szCs w:val="22"/>
          <w:lang w:eastAsia="en-US" w:bidi="ar-SA"/>
        </w:rPr>
        <w:t>-19. N</w:t>
      </w:r>
      <w:r w:rsidR="007E4109" w:rsidRPr="00890249">
        <w:rPr>
          <w:rFonts w:asciiTheme="minorHAnsi" w:hAnsiTheme="minorHAnsi" w:cstheme="minorHAnsi"/>
          <w:sz w:val="22"/>
          <w:szCs w:val="22"/>
          <w:lang w:eastAsia="en-US" w:bidi="ar-SA"/>
        </w:rPr>
        <w:t>a</w:t>
      </w:r>
      <w:r w:rsidRPr="00890249">
        <w:rPr>
          <w:rFonts w:asciiTheme="minorHAnsi" w:hAnsiTheme="minorHAnsi" w:cstheme="minorHAnsi"/>
          <w:sz w:val="22"/>
          <w:szCs w:val="22"/>
          <w:lang w:eastAsia="en-US" w:bidi="ar-SA"/>
        </w:rPr>
        <w:t xml:space="preserve"> terenie </w:t>
      </w:r>
      <w:r w:rsidR="00023FE1" w:rsidRPr="00890249">
        <w:rPr>
          <w:rFonts w:asciiTheme="minorHAnsi" w:hAnsiTheme="minorHAnsi" w:cstheme="minorHAnsi"/>
          <w:sz w:val="22"/>
          <w:szCs w:val="22"/>
          <w:lang w:eastAsia="en-US" w:bidi="ar-SA"/>
        </w:rPr>
        <w:t>woj.</w:t>
      </w:r>
      <w:r w:rsidRPr="00890249">
        <w:rPr>
          <w:rFonts w:asciiTheme="minorHAnsi" w:hAnsiTheme="minorHAnsi" w:cstheme="minorHAnsi"/>
          <w:sz w:val="22"/>
          <w:szCs w:val="22"/>
          <w:lang w:eastAsia="en-US" w:bidi="ar-SA"/>
        </w:rPr>
        <w:t xml:space="preserve"> opolskiego jedyna firma, która zajmuje się utylizacją odpadów medycznych </w:t>
      </w:r>
      <w:r w:rsidR="00EC6B27" w:rsidRPr="00890249">
        <w:rPr>
          <w:rFonts w:asciiTheme="minorHAnsi" w:hAnsiTheme="minorHAnsi" w:cstheme="minorHAnsi"/>
          <w:sz w:val="22"/>
          <w:szCs w:val="22"/>
          <w:lang w:eastAsia="en-US" w:bidi="ar-SA"/>
        </w:rPr>
        <w:t xml:space="preserve">znacznie </w:t>
      </w:r>
      <w:r w:rsidRPr="00890249">
        <w:rPr>
          <w:rFonts w:asciiTheme="minorHAnsi" w:hAnsiTheme="minorHAnsi" w:cstheme="minorHAnsi"/>
          <w:sz w:val="22"/>
          <w:szCs w:val="22"/>
          <w:lang w:eastAsia="en-US" w:bidi="ar-SA"/>
        </w:rPr>
        <w:t xml:space="preserve">podniosła stawkę za </w:t>
      </w:r>
      <w:r w:rsidR="003F349C" w:rsidRPr="00890249">
        <w:rPr>
          <w:rFonts w:asciiTheme="minorHAnsi" w:hAnsiTheme="minorHAnsi" w:cstheme="minorHAnsi"/>
          <w:sz w:val="22"/>
          <w:szCs w:val="22"/>
          <w:lang w:eastAsia="en-US" w:bidi="ar-SA"/>
        </w:rPr>
        <w:t>kg</w:t>
      </w:r>
      <w:r w:rsidRPr="00890249">
        <w:rPr>
          <w:rFonts w:asciiTheme="minorHAnsi" w:hAnsiTheme="minorHAnsi" w:cstheme="minorHAnsi"/>
          <w:sz w:val="22"/>
          <w:szCs w:val="22"/>
          <w:lang w:eastAsia="en-US" w:bidi="ar-SA"/>
        </w:rPr>
        <w:t xml:space="preserve"> odpadów, co generuje </w:t>
      </w:r>
      <w:r w:rsidR="001946BC" w:rsidRPr="00890249">
        <w:rPr>
          <w:rFonts w:asciiTheme="minorHAnsi" w:hAnsiTheme="minorHAnsi" w:cstheme="minorHAnsi"/>
          <w:sz w:val="22"/>
          <w:szCs w:val="22"/>
          <w:lang w:eastAsia="en-US" w:bidi="ar-SA"/>
        </w:rPr>
        <w:t>wysokie</w:t>
      </w:r>
      <w:r w:rsidRPr="00890249">
        <w:rPr>
          <w:rFonts w:asciiTheme="minorHAnsi" w:hAnsiTheme="minorHAnsi" w:cstheme="minorHAnsi"/>
          <w:sz w:val="22"/>
          <w:szCs w:val="22"/>
          <w:lang w:eastAsia="en-US" w:bidi="ar-SA"/>
        </w:rPr>
        <w:t xml:space="preserve"> koszty dla placówek medycznych w</w:t>
      </w:r>
      <w:r w:rsidR="00EC6B27" w:rsidRPr="00890249">
        <w:rPr>
          <w:rFonts w:asciiTheme="minorHAnsi" w:hAnsiTheme="minorHAnsi" w:cstheme="minorHAnsi"/>
          <w:sz w:val="22"/>
          <w:szCs w:val="22"/>
          <w:lang w:eastAsia="en-US" w:bidi="ar-SA"/>
        </w:rPr>
        <w:t> </w:t>
      </w:r>
      <w:r w:rsidR="00023FE1" w:rsidRPr="00890249">
        <w:rPr>
          <w:rFonts w:asciiTheme="minorHAnsi" w:hAnsiTheme="minorHAnsi" w:cstheme="minorHAnsi"/>
          <w:sz w:val="22"/>
          <w:szCs w:val="22"/>
          <w:lang w:eastAsia="en-US" w:bidi="ar-SA"/>
        </w:rPr>
        <w:t>regionie</w:t>
      </w:r>
      <w:r w:rsidRPr="00890249">
        <w:rPr>
          <w:rFonts w:asciiTheme="minorHAnsi" w:hAnsiTheme="minorHAnsi" w:cstheme="minorHAnsi"/>
          <w:sz w:val="22"/>
          <w:szCs w:val="22"/>
          <w:lang w:eastAsia="en-US" w:bidi="ar-SA"/>
        </w:rPr>
        <w:t xml:space="preserve">. </w:t>
      </w:r>
    </w:p>
    <w:p w14:paraId="10BFD180"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Różnorodność biologiczna</w:t>
      </w:r>
    </w:p>
    <w:p w14:paraId="6634660C" w14:textId="0FE66958" w:rsidR="0093433C" w:rsidRPr="00890249" w:rsidRDefault="00A4399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Wyzwaniem regionów, w tym t</w:t>
      </w:r>
      <w:r w:rsidR="007E070E" w:rsidRPr="00890249">
        <w:rPr>
          <w:rFonts w:asciiTheme="minorHAnsi" w:hAnsiTheme="minorHAnsi" w:cstheme="minorHAnsi"/>
          <w:sz w:val="22"/>
          <w:szCs w:val="22"/>
        </w:rPr>
        <w:t>eż</w:t>
      </w:r>
      <w:r w:rsidRPr="00890249">
        <w:rPr>
          <w:rFonts w:asciiTheme="minorHAnsi" w:hAnsiTheme="minorHAnsi" w:cstheme="minorHAnsi"/>
          <w:sz w:val="22"/>
          <w:szCs w:val="22"/>
        </w:rPr>
        <w:t xml:space="preserve"> opolskiego, jest </w:t>
      </w:r>
      <w:r w:rsidR="00E65E9B" w:rsidRPr="00890249">
        <w:rPr>
          <w:rFonts w:asciiTheme="minorHAnsi" w:hAnsiTheme="minorHAnsi" w:cstheme="minorHAnsi"/>
          <w:sz w:val="22"/>
          <w:szCs w:val="22"/>
        </w:rPr>
        <w:t xml:space="preserve">zwiększenie różnorodności biologicznej, </w:t>
      </w:r>
      <w:r w:rsidR="005B2FCC" w:rsidRPr="00890249">
        <w:rPr>
          <w:rFonts w:asciiTheme="minorHAnsi" w:hAnsiTheme="minorHAnsi" w:cstheme="minorHAnsi"/>
          <w:sz w:val="22"/>
          <w:szCs w:val="22"/>
        </w:rPr>
        <w:t xml:space="preserve">także </w:t>
      </w:r>
      <w:r w:rsidR="00E65E9B" w:rsidRPr="00890249">
        <w:rPr>
          <w:rFonts w:asciiTheme="minorHAnsi" w:hAnsiTheme="minorHAnsi" w:cstheme="minorHAnsi"/>
          <w:sz w:val="22"/>
          <w:szCs w:val="22"/>
        </w:rPr>
        <w:t>przez zwiększanie pow</w:t>
      </w:r>
      <w:r w:rsidR="007E070E" w:rsidRPr="00890249">
        <w:rPr>
          <w:rFonts w:asciiTheme="minorHAnsi" w:hAnsiTheme="minorHAnsi" w:cstheme="minorHAnsi"/>
          <w:sz w:val="22"/>
          <w:szCs w:val="22"/>
        </w:rPr>
        <w:t>.</w:t>
      </w:r>
      <w:r w:rsidR="00E65E9B" w:rsidRPr="00890249">
        <w:rPr>
          <w:rFonts w:asciiTheme="minorHAnsi" w:hAnsiTheme="minorHAnsi" w:cstheme="minorHAnsi"/>
          <w:sz w:val="22"/>
          <w:szCs w:val="22"/>
        </w:rPr>
        <w:t xml:space="preserve"> obszarów chronionych</w:t>
      </w:r>
      <w:r w:rsidRPr="00890249">
        <w:rPr>
          <w:rFonts w:asciiTheme="minorHAnsi" w:hAnsiTheme="minorHAnsi" w:cstheme="minorHAnsi"/>
          <w:sz w:val="22"/>
          <w:szCs w:val="22"/>
        </w:rPr>
        <w:t xml:space="preserve">. </w:t>
      </w:r>
      <w:r w:rsidR="00E65E9B" w:rsidRPr="00890249">
        <w:rPr>
          <w:rFonts w:asciiTheme="minorHAnsi" w:hAnsiTheme="minorHAnsi" w:cstheme="minorHAnsi"/>
          <w:sz w:val="22"/>
          <w:szCs w:val="22"/>
        </w:rPr>
        <w:t>Zgodnie z Unijną strategią n</w:t>
      </w:r>
      <w:r w:rsidR="00284420" w:rsidRPr="00890249">
        <w:rPr>
          <w:rFonts w:asciiTheme="minorHAnsi" w:hAnsiTheme="minorHAnsi" w:cstheme="minorHAnsi"/>
          <w:sz w:val="22"/>
          <w:szCs w:val="22"/>
        </w:rPr>
        <w:t>a rzecz bioróżnorodności ochrona powinn</w:t>
      </w:r>
      <w:r w:rsidR="007E070E" w:rsidRPr="00890249">
        <w:rPr>
          <w:rFonts w:asciiTheme="minorHAnsi" w:hAnsiTheme="minorHAnsi" w:cstheme="minorHAnsi"/>
          <w:sz w:val="22"/>
          <w:szCs w:val="22"/>
        </w:rPr>
        <w:t>a</w:t>
      </w:r>
      <w:r w:rsidR="00284420" w:rsidRPr="00890249">
        <w:rPr>
          <w:rFonts w:asciiTheme="minorHAnsi" w:hAnsiTheme="minorHAnsi" w:cstheme="minorHAnsi"/>
          <w:sz w:val="22"/>
          <w:szCs w:val="22"/>
        </w:rPr>
        <w:t xml:space="preserve"> objąć</w:t>
      </w:r>
      <w:r w:rsidR="00E65E9B" w:rsidRPr="00890249">
        <w:rPr>
          <w:rFonts w:asciiTheme="minorHAnsi" w:hAnsiTheme="minorHAnsi" w:cstheme="minorHAnsi"/>
          <w:sz w:val="22"/>
          <w:szCs w:val="22"/>
        </w:rPr>
        <w:t xml:space="preserve"> co najmniej 30% obsz</w:t>
      </w:r>
      <w:r w:rsidR="007E070E" w:rsidRPr="00890249">
        <w:rPr>
          <w:rFonts w:asciiTheme="minorHAnsi" w:hAnsiTheme="minorHAnsi" w:cstheme="minorHAnsi"/>
          <w:sz w:val="22"/>
          <w:szCs w:val="22"/>
        </w:rPr>
        <w:t>.</w:t>
      </w:r>
      <w:r w:rsidR="00E65E9B" w:rsidRPr="00890249">
        <w:rPr>
          <w:rFonts w:asciiTheme="minorHAnsi" w:hAnsiTheme="minorHAnsi" w:cstheme="minorHAnsi"/>
          <w:sz w:val="22"/>
          <w:szCs w:val="22"/>
        </w:rPr>
        <w:t xml:space="preserve"> lądowych i</w:t>
      </w:r>
      <w:r w:rsidR="005B2FCC" w:rsidRPr="00890249">
        <w:rPr>
          <w:rFonts w:asciiTheme="minorHAnsi" w:hAnsiTheme="minorHAnsi" w:cstheme="minorHAnsi"/>
          <w:sz w:val="22"/>
          <w:szCs w:val="22"/>
        </w:rPr>
        <w:t> </w:t>
      </w:r>
      <w:r w:rsidR="00E65E9B" w:rsidRPr="00890249">
        <w:rPr>
          <w:rFonts w:asciiTheme="minorHAnsi" w:hAnsiTheme="minorHAnsi" w:cstheme="minorHAnsi"/>
          <w:sz w:val="22"/>
          <w:szCs w:val="22"/>
        </w:rPr>
        <w:t>30% obsz</w:t>
      </w:r>
      <w:r w:rsidR="007E070E" w:rsidRPr="00890249">
        <w:rPr>
          <w:rFonts w:asciiTheme="minorHAnsi" w:hAnsiTheme="minorHAnsi" w:cstheme="minorHAnsi"/>
          <w:sz w:val="22"/>
          <w:szCs w:val="22"/>
        </w:rPr>
        <w:t>.</w:t>
      </w:r>
      <w:r w:rsidR="00E65E9B" w:rsidRPr="00890249">
        <w:rPr>
          <w:rFonts w:asciiTheme="minorHAnsi" w:hAnsiTheme="minorHAnsi" w:cstheme="minorHAnsi"/>
          <w:sz w:val="22"/>
          <w:szCs w:val="22"/>
        </w:rPr>
        <w:t xml:space="preserve"> morskich w UE</w:t>
      </w:r>
      <w:r w:rsidR="00E65E9B" w:rsidRPr="00890249">
        <w:rPr>
          <w:rStyle w:val="Odwoanieprzypisudolnego"/>
          <w:rFonts w:asciiTheme="minorHAnsi" w:hAnsiTheme="minorHAnsi" w:cstheme="minorHAnsi"/>
          <w:sz w:val="22"/>
          <w:szCs w:val="22"/>
        </w:rPr>
        <w:footnoteReference w:id="22"/>
      </w:r>
      <w:r w:rsidRPr="00890249">
        <w:rPr>
          <w:rFonts w:asciiTheme="minorHAnsi" w:hAnsiTheme="minorHAnsi" w:cstheme="minorHAnsi"/>
          <w:sz w:val="22"/>
          <w:szCs w:val="22"/>
        </w:rPr>
        <w:t xml:space="preserve">. </w:t>
      </w:r>
    </w:p>
    <w:p w14:paraId="286DCCCF" w14:textId="7BD1DB1B" w:rsidR="0093433C" w:rsidRPr="00890249" w:rsidRDefault="00A43991" w:rsidP="00890249">
      <w:pPr>
        <w:pStyle w:val="Tekstpodstawowy"/>
        <w:rPr>
          <w:rFonts w:asciiTheme="minorHAnsi" w:eastAsia="Times New Roman" w:hAnsiTheme="minorHAnsi" w:cstheme="minorHAnsi"/>
          <w:noProof/>
          <w:sz w:val="22"/>
          <w:szCs w:val="22"/>
        </w:rPr>
      </w:pPr>
      <w:r w:rsidRPr="00890249">
        <w:rPr>
          <w:rFonts w:asciiTheme="minorHAnsi" w:hAnsiTheme="minorHAnsi" w:cstheme="minorHAnsi"/>
          <w:sz w:val="22"/>
          <w:szCs w:val="22"/>
        </w:rPr>
        <w:t xml:space="preserve">Zróżnicowana przestrzeń fizyczno-geograficzna regionu sprzyja zróżnicowaniu siedlisk, </w:t>
      </w:r>
      <w:r w:rsidR="00284420" w:rsidRPr="00890249">
        <w:rPr>
          <w:rFonts w:asciiTheme="minorHAnsi" w:hAnsiTheme="minorHAnsi" w:cstheme="minorHAnsi"/>
          <w:sz w:val="22"/>
          <w:szCs w:val="22"/>
        </w:rPr>
        <w:t>więc</w:t>
      </w:r>
      <w:r w:rsidRPr="00890249">
        <w:rPr>
          <w:rFonts w:asciiTheme="minorHAnsi" w:hAnsiTheme="minorHAnsi" w:cstheme="minorHAnsi"/>
          <w:sz w:val="22"/>
          <w:szCs w:val="22"/>
        </w:rPr>
        <w:t xml:space="preserve"> wysokiej bioróżnorodności</w:t>
      </w:r>
      <w:r w:rsidRPr="00890249">
        <w:rPr>
          <w:rFonts w:asciiTheme="minorHAnsi" w:hAnsiTheme="minorHAnsi" w:cstheme="minorHAnsi"/>
          <w:sz w:val="22"/>
          <w:szCs w:val="22"/>
          <w:vertAlign w:val="superscript"/>
        </w:rPr>
        <w:footnoteReference w:id="23"/>
      </w:r>
      <w:r w:rsidRPr="00890249">
        <w:rPr>
          <w:rFonts w:asciiTheme="minorHAnsi" w:hAnsiTheme="minorHAnsi" w:cstheme="minorHAnsi"/>
          <w:sz w:val="22"/>
          <w:szCs w:val="22"/>
        </w:rPr>
        <w:t xml:space="preserve">. </w:t>
      </w:r>
      <w:r w:rsidR="00284420" w:rsidRPr="00890249">
        <w:rPr>
          <w:rFonts w:asciiTheme="minorHAnsi" w:hAnsiTheme="minorHAnsi" w:cstheme="minorHAnsi"/>
          <w:sz w:val="22"/>
          <w:szCs w:val="22"/>
        </w:rPr>
        <w:t>P</w:t>
      </w:r>
      <w:r w:rsidRPr="00890249">
        <w:rPr>
          <w:rFonts w:asciiTheme="minorHAnsi" w:hAnsiTheme="minorHAnsi" w:cstheme="minorHAnsi"/>
          <w:sz w:val="22"/>
          <w:szCs w:val="22"/>
        </w:rPr>
        <w:t xml:space="preserve">otencjały zawarte w zasobach naturalnych stanowią atuty rozwojowe </w:t>
      </w:r>
      <w:r w:rsidR="007E070E" w:rsidRPr="00890249">
        <w:rPr>
          <w:rFonts w:asciiTheme="minorHAnsi" w:hAnsiTheme="minorHAnsi" w:cstheme="minorHAnsi"/>
          <w:sz w:val="22"/>
          <w:szCs w:val="22"/>
        </w:rPr>
        <w:t>regionu</w:t>
      </w:r>
      <w:r w:rsidRPr="00890249">
        <w:rPr>
          <w:rFonts w:asciiTheme="minorHAnsi" w:hAnsiTheme="minorHAnsi" w:cstheme="minorHAnsi"/>
          <w:sz w:val="22"/>
          <w:szCs w:val="22"/>
        </w:rPr>
        <w:t xml:space="preserve"> </w:t>
      </w:r>
      <w:r w:rsidR="005B2FCC" w:rsidRPr="00890249">
        <w:rPr>
          <w:rFonts w:asciiTheme="minorHAnsi" w:hAnsiTheme="minorHAnsi" w:cstheme="minorHAnsi"/>
          <w:sz w:val="22"/>
          <w:szCs w:val="22"/>
        </w:rPr>
        <w:t>i</w:t>
      </w:r>
      <w:r w:rsidR="00890249">
        <w:rPr>
          <w:rFonts w:asciiTheme="minorHAnsi" w:hAnsiTheme="minorHAnsi" w:cstheme="minorHAnsi"/>
          <w:sz w:val="22"/>
          <w:szCs w:val="22"/>
        </w:rPr>
        <w:t> </w:t>
      </w:r>
      <w:r w:rsidR="00087F96" w:rsidRPr="00890249">
        <w:rPr>
          <w:rFonts w:asciiTheme="minorHAnsi" w:hAnsiTheme="minorHAnsi" w:cstheme="minorHAnsi"/>
          <w:sz w:val="22"/>
          <w:szCs w:val="22"/>
        </w:rPr>
        <w:t xml:space="preserve">w kontekście korzyści płynących z </w:t>
      </w:r>
      <w:r w:rsidR="00284420" w:rsidRPr="00890249">
        <w:rPr>
          <w:rFonts w:asciiTheme="minorHAnsi" w:hAnsiTheme="minorHAnsi" w:cstheme="minorHAnsi"/>
          <w:sz w:val="22"/>
          <w:szCs w:val="22"/>
        </w:rPr>
        <w:t>właściwie</w:t>
      </w:r>
      <w:r w:rsidR="00087F96" w:rsidRPr="00890249">
        <w:rPr>
          <w:rFonts w:asciiTheme="minorHAnsi" w:hAnsiTheme="minorHAnsi" w:cstheme="minorHAnsi"/>
          <w:sz w:val="22"/>
          <w:szCs w:val="22"/>
        </w:rPr>
        <w:t xml:space="preserve"> ukierunkowanego ruchu turystycznego, zachowania cennych </w:t>
      </w:r>
      <w:r w:rsidR="00423684" w:rsidRPr="00890249">
        <w:rPr>
          <w:rFonts w:asciiTheme="minorHAnsi" w:hAnsiTheme="minorHAnsi" w:cstheme="minorHAnsi"/>
          <w:sz w:val="22"/>
          <w:szCs w:val="22"/>
        </w:rPr>
        <w:t>przyrodniczo</w:t>
      </w:r>
      <w:r w:rsidR="00446219" w:rsidRPr="00890249">
        <w:rPr>
          <w:rFonts w:asciiTheme="minorHAnsi" w:hAnsiTheme="minorHAnsi" w:cstheme="minorHAnsi"/>
          <w:sz w:val="22"/>
          <w:szCs w:val="22"/>
        </w:rPr>
        <w:t xml:space="preserve"> </w:t>
      </w:r>
      <w:r w:rsidR="00423684" w:rsidRPr="00890249">
        <w:rPr>
          <w:rFonts w:asciiTheme="minorHAnsi" w:hAnsiTheme="minorHAnsi" w:cstheme="minorHAnsi"/>
          <w:sz w:val="22"/>
          <w:szCs w:val="22"/>
        </w:rPr>
        <w:t xml:space="preserve">siedlisk, </w:t>
      </w:r>
      <w:r w:rsidR="005B2FCC" w:rsidRPr="00890249">
        <w:rPr>
          <w:rFonts w:asciiTheme="minorHAnsi" w:hAnsiTheme="minorHAnsi" w:cstheme="minorHAnsi"/>
          <w:sz w:val="22"/>
          <w:szCs w:val="22"/>
        </w:rPr>
        <w:t>ale</w:t>
      </w:r>
      <w:r w:rsidR="00423684" w:rsidRPr="00890249">
        <w:rPr>
          <w:rFonts w:asciiTheme="minorHAnsi" w:hAnsiTheme="minorHAnsi" w:cstheme="minorHAnsi"/>
          <w:sz w:val="22"/>
          <w:szCs w:val="22"/>
        </w:rPr>
        <w:t xml:space="preserve"> także ochrony zasobów genowych roślin oraz zwierząt</w:t>
      </w:r>
      <w:r w:rsidRPr="00890249">
        <w:rPr>
          <w:rFonts w:asciiTheme="minorHAnsi" w:hAnsiTheme="minorHAnsi" w:cstheme="minorHAnsi"/>
          <w:sz w:val="22"/>
          <w:szCs w:val="22"/>
        </w:rPr>
        <w:t xml:space="preserve">. </w:t>
      </w:r>
      <w:r w:rsidRPr="00890249">
        <w:rPr>
          <w:rFonts w:asciiTheme="minorHAnsi" w:eastAsia="Times New Roman" w:hAnsiTheme="minorHAnsi" w:cstheme="minorHAnsi"/>
          <w:noProof/>
          <w:sz w:val="22"/>
          <w:szCs w:val="22"/>
        </w:rPr>
        <w:t>Opolszczyzna zajmuje obszar 9,4 tys. km</w:t>
      </w:r>
      <w:r w:rsidRPr="00890249">
        <w:rPr>
          <w:rFonts w:asciiTheme="minorHAnsi" w:eastAsia="Times New Roman" w:hAnsiTheme="minorHAnsi" w:cstheme="minorHAnsi"/>
          <w:noProof/>
          <w:sz w:val="22"/>
          <w:szCs w:val="22"/>
          <w:vertAlign w:val="superscript"/>
        </w:rPr>
        <w:t>2</w:t>
      </w:r>
      <w:r w:rsidRPr="00890249">
        <w:rPr>
          <w:rFonts w:asciiTheme="minorHAnsi" w:eastAsia="Times New Roman" w:hAnsiTheme="minorHAnsi" w:cstheme="minorHAnsi"/>
          <w:noProof/>
          <w:sz w:val="22"/>
          <w:szCs w:val="22"/>
        </w:rPr>
        <w:t xml:space="preserve">, z czego blisko 1/3 powierzchni </w:t>
      </w:r>
      <w:r w:rsidR="00284420" w:rsidRPr="00890249">
        <w:rPr>
          <w:rFonts w:asciiTheme="minorHAnsi" w:eastAsia="Times New Roman" w:hAnsiTheme="minorHAnsi" w:cstheme="minorHAnsi"/>
          <w:noProof/>
          <w:sz w:val="22"/>
          <w:szCs w:val="22"/>
        </w:rPr>
        <w:t xml:space="preserve">obejmują prawne formy </w:t>
      </w:r>
      <w:r w:rsidRPr="00890249">
        <w:rPr>
          <w:rFonts w:asciiTheme="minorHAnsi" w:eastAsia="Times New Roman" w:hAnsiTheme="minorHAnsi" w:cstheme="minorHAnsi"/>
          <w:noProof/>
          <w:sz w:val="22"/>
          <w:szCs w:val="22"/>
        </w:rPr>
        <w:t xml:space="preserve">ochrony przyrody. </w:t>
      </w:r>
    </w:p>
    <w:p w14:paraId="7ACAA6C4" w14:textId="17D1D3CA" w:rsidR="0093433C" w:rsidRPr="00890249" w:rsidRDefault="00284420" w:rsidP="00890249">
      <w:pPr>
        <w:pStyle w:val="Tekstpodstawowy"/>
        <w:rPr>
          <w:rFonts w:asciiTheme="minorHAnsi" w:hAnsiTheme="minorHAnsi" w:cstheme="minorHAnsi"/>
          <w:color w:val="000000"/>
          <w:sz w:val="22"/>
          <w:szCs w:val="22"/>
        </w:rPr>
      </w:pPr>
      <w:r w:rsidRPr="00890249">
        <w:rPr>
          <w:rFonts w:asciiTheme="minorHAnsi" w:hAnsiTheme="minorHAnsi" w:cstheme="minorHAnsi"/>
          <w:sz w:val="22"/>
          <w:szCs w:val="22"/>
        </w:rPr>
        <w:t>W latach 2014-2020 wsparto</w:t>
      </w:r>
      <w:r w:rsidR="00A43991" w:rsidRPr="00890249">
        <w:rPr>
          <w:rFonts w:asciiTheme="minorHAnsi" w:hAnsiTheme="minorHAnsi" w:cstheme="minorHAnsi"/>
          <w:sz w:val="22"/>
          <w:szCs w:val="22"/>
        </w:rPr>
        <w:t xml:space="preserve"> ponad 77 tys. ha terenu </w:t>
      </w:r>
      <w:r w:rsidRPr="00890249">
        <w:rPr>
          <w:rFonts w:asciiTheme="minorHAnsi" w:hAnsiTheme="minorHAnsi" w:cstheme="minorHAnsi"/>
          <w:sz w:val="22"/>
          <w:szCs w:val="22"/>
        </w:rPr>
        <w:t>zapewniając lepszy</w:t>
      </w:r>
      <w:r w:rsidR="00A43991" w:rsidRPr="00890249">
        <w:rPr>
          <w:rFonts w:asciiTheme="minorHAnsi" w:hAnsiTheme="minorHAnsi" w:cstheme="minorHAnsi"/>
          <w:sz w:val="22"/>
          <w:szCs w:val="22"/>
        </w:rPr>
        <w:t xml:space="preserve"> status ochrony oraz ponad 600 siedlisk/zbiorowisk roślinnych</w:t>
      </w:r>
      <w:r w:rsidR="007E070E" w:rsidRPr="00890249">
        <w:rPr>
          <w:rFonts w:asciiTheme="minorHAnsi" w:hAnsiTheme="minorHAnsi" w:cstheme="minorHAnsi"/>
          <w:sz w:val="22"/>
          <w:szCs w:val="22"/>
        </w:rPr>
        <w:t>. N</w:t>
      </w:r>
      <w:r w:rsidRPr="00890249">
        <w:rPr>
          <w:rFonts w:asciiTheme="minorHAnsi" w:hAnsiTheme="minorHAnsi" w:cstheme="minorHAnsi"/>
          <w:sz w:val="22"/>
          <w:szCs w:val="22"/>
        </w:rPr>
        <w:t xml:space="preserve">adal </w:t>
      </w:r>
      <w:r w:rsidR="00A43991" w:rsidRPr="00890249">
        <w:rPr>
          <w:rFonts w:asciiTheme="minorHAnsi" w:hAnsiTheme="minorHAnsi" w:cstheme="minorHAnsi"/>
          <w:sz w:val="22"/>
          <w:szCs w:val="22"/>
        </w:rPr>
        <w:t xml:space="preserve">odnotowywany jest ciągły spadek </w:t>
      </w:r>
      <w:r w:rsidR="00DF57F1">
        <w:rPr>
          <w:rFonts w:asciiTheme="minorHAnsi" w:hAnsiTheme="minorHAnsi" w:cstheme="minorHAnsi"/>
          <w:sz w:val="22"/>
          <w:szCs w:val="22"/>
        </w:rPr>
        <w:t>bio</w:t>
      </w:r>
      <w:r w:rsidR="00A43991" w:rsidRPr="00890249">
        <w:rPr>
          <w:rFonts w:asciiTheme="minorHAnsi" w:hAnsiTheme="minorHAnsi" w:cstheme="minorHAnsi"/>
          <w:sz w:val="22"/>
          <w:szCs w:val="22"/>
        </w:rPr>
        <w:t>różnorodności województwa</w:t>
      </w:r>
      <w:r w:rsidR="00A43991" w:rsidRPr="00890249">
        <w:rPr>
          <w:rFonts w:asciiTheme="minorHAnsi" w:hAnsiTheme="minorHAnsi" w:cstheme="minorHAnsi"/>
          <w:sz w:val="22"/>
          <w:szCs w:val="22"/>
          <w:vertAlign w:val="superscript"/>
        </w:rPr>
        <w:footnoteReference w:id="24"/>
      </w:r>
      <w:r w:rsidR="00A43991" w:rsidRPr="00890249">
        <w:rPr>
          <w:rFonts w:asciiTheme="minorHAnsi" w:hAnsiTheme="minorHAnsi" w:cstheme="minorHAnsi"/>
          <w:color w:val="000000"/>
          <w:sz w:val="22"/>
          <w:szCs w:val="22"/>
        </w:rPr>
        <w:t xml:space="preserve">. </w:t>
      </w:r>
      <w:r w:rsidR="005B2FCC" w:rsidRPr="00890249">
        <w:rPr>
          <w:rFonts w:asciiTheme="minorHAnsi" w:hAnsiTheme="minorHAnsi" w:cstheme="minorHAnsi"/>
          <w:color w:val="000000"/>
          <w:sz w:val="22"/>
          <w:szCs w:val="22"/>
        </w:rPr>
        <w:t>K</w:t>
      </w:r>
      <w:r w:rsidR="00A43991" w:rsidRPr="00890249">
        <w:rPr>
          <w:rFonts w:asciiTheme="minorHAnsi" w:eastAsia="Times New Roman" w:hAnsiTheme="minorHAnsi" w:cstheme="minorHAnsi"/>
          <w:noProof/>
          <w:sz w:val="22"/>
          <w:szCs w:val="22"/>
        </w:rPr>
        <w:t xml:space="preserve">onieczne jest </w:t>
      </w:r>
      <w:r w:rsidR="005B2FCC" w:rsidRPr="00890249">
        <w:rPr>
          <w:rFonts w:asciiTheme="minorHAnsi" w:eastAsia="Times New Roman" w:hAnsiTheme="minorHAnsi" w:cstheme="minorHAnsi"/>
          <w:noProof/>
          <w:sz w:val="22"/>
          <w:szCs w:val="22"/>
        </w:rPr>
        <w:t xml:space="preserve">więc </w:t>
      </w:r>
      <w:r w:rsidR="00A43991" w:rsidRPr="00890249">
        <w:rPr>
          <w:rFonts w:asciiTheme="minorHAnsi" w:eastAsia="Times New Roman" w:hAnsiTheme="minorHAnsi" w:cstheme="minorHAnsi"/>
          <w:noProof/>
          <w:sz w:val="22"/>
          <w:szCs w:val="22"/>
        </w:rPr>
        <w:t xml:space="preserve">wsparcie </w:t>
      </w:r>
      <w:r w:rsidRPr="00890249">
        <w:rPr>
          <w:rFonts w:asciiTheme="minorHAnsi" w:eastAsia="Times New Roman" w:hAnsiTheme="minorHAnsi" w:cstheme="minorHAnsi"/>
          <w:noProof/>
          <w:sz w:val="22"/>
          <w:szCs w:val="22"/>
        </w:rPr>
        <w:t>poprawiające potencjał środowiskowy</w:t>
      </w:r>
      <w:r w:rsidR="00A43991" w:rsidRPr="00890249">
        <w:rPr>
          <w:rFonts w:asciiTheme="minorHAnsi" w:eastAsia="Times New Roman" w:hAnsiTheme="minorHAnsi" w:cstheme="minorHAnsi"/>
          <w:noProof/>
          <w:sz w:val="22"/>
          <w:szCs w:val="22"/>
        </w:rPr>
        <w:t>, ochrony terenów i gatunków cennych przyrodniczo oraz</w:t>
      </w:r>
      <w:r w:rsidR="00A43991" w:rsidRPr="00890249">
        <w:rPr>
          <w:rFonts w:asciiTheme="minorHAnsi" w:hAnsiTheme="minorHAnsi" w:cstheme="minorHAnsi"/>
          <w:color w:val="000000"/>
          <w:sz w:val="22"/>
          <w:szCs w:val="22"/>
        </w:rPr>
        <w:t xml:space="preserve"> budowanie wiedzy ekologicznej i</w:t>
      </w:r>
      <w:r w:rsidRPr="00890249">
        <w:rPr>
          <w:rFonts w:asciiTheme="minorHAnsi" w:hAnsiTheme="minorHAnsi" w:cstheme="minorHAnsi"/>
          <w:color w:val="000000"/>
          <w:sz w:val="22"/>
          <w:szCs w:val="22"/>
        </w:rPr>
        <w:t> </w:t>
      </w:r>
      <w:r w:rsidR="00A43991" w:rsidRPr="00890249">
        <w:rPr>
          <w:rFonts w:asciiTheme="minorHAnsi" w:hAnsiTheme="minorHAnsi" w:cstheme="minorHAnsi"/>
          <w:color w:val="000000"/>
          <w:sz w:val="22"/>
          <w:szCs w:val="22"/>
        </w:rPr>
        <w:t>świadomości społecznej.</w:t>
      </w:r>
    </w:p>
    <w:p w14:paraId="2447F4E4" w14:textId="5842D7D6" w:rsidR="0093433C" w:rsidRPr="00890249" w:rsidRDefault="0D49E999">
      <w:pPr>
        <w:rPr>
          <w:rFonts w:asciiTheme="minorHAnsi" w:eastAsiaTheme="majorEastAsia" w:hAnsiTheme="minorHAnsi" w:cstheme="minorHAnsi"/>
          <w:color w:val="2E74B5" w:themeColor="accent1" w:themeShade="BF"/>
          <w:sz w:val="22"/>
          <w:szCs w:val="22"/>
        </w:rPr>
      </w:pPr>
      <w:r w:rsidRPr="00890249">
        <w:rPr>
          <w:rFonts w:asciiTheme="minorHAnsi" w:eastAsia="Times New Roman" w:hAnsiTheme="minorHAnsi" w:cstheme="minorHAnsi"/>
          <w:b/>
          <w:i/>
          <w:color w:val="2F5496" w:themeColor="accent5" w:themeShade="BF"/>
          <w:sz w:val="22"/>
          <w:szCs w:val="22"/>
        </w:rPr>
        <w:t>Mobilność mieszkańców oraz dostępność do rynków pracy</w:t>
      </w:r>
    </w:p>
    <w:p w14:paraId="1A987AC6" w14:textId="6ECE4BEE" w:rsidR="0093433C" w:rsidRPr="00890249" w:rsidRDefault="007E070E"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N</w:t>
      </w:r>
      <w:r w:rsidR="00A21D54" w:rsidRPr="00890249">
        <w:rPr>
          <w:rFonts w:asciiTheme="minorHAnsi" w:hAnsiTheme="minorHAnsi" w:cstheme="minorHAnsi"/>
          <w:sz w:val="22"/>
          <w:szCs w:val="22"/>
        </w:rPr>
        <w:t xml:space="preserve">ajważniejszą kwestią </w:t>
      </w:r>
      <w:r w:rsidRPr="00890249">
        <w:rPr>
          <w:rFonts w:asciiTheme="minorHAnsi" w:hAnsiTheme="minorHAnsi" w:cstheme="minorHAnsi"/>
          <w:sz w:val="22"/>
          <w:szCs w:val="22"/>
        </w:rPr>
        <w:t xml:space="preserve">dla regionu </w:t>
      </w:r>
      <w:r w:rsidR="00A21D54" w:rsidRPr="00890249">
        <w:rPr>
          <w:rFonts w:asciiTheme="minorHAnsi" w:hAnsiTheme="minorHAnsi" w:cstheme="minorHAnsi"/>
          <w:sz w:val="22"/>
          <w:szCs w:val="22"/>
        </w:rPr>
        <w:t xml:space="preserve">jest dostępność do </w:t>
      </w:r>
      <w:r w:rsidRPr="00890249">
        <w:rPr>
          <w:rFonts w:asciiTheme="minorHAnsi" w:hAnsiTheme="minorHAnsi" w:cstheme="minorHAnsi"/>
          <w:sz w:val="22"/>
          <w:szCs w:val="22"/>
        </w:rPr>
        <w:t xml:space="preserve">jego </w:t>
      </w:r>
      <w:r w:rsidR="00A21D54" w:rsidRPr="00890249">
        <w:rPr>
          <w:rFonts w:asciiTheme="minorHAnsi" w:hAnsiTheme="minorHAnsi" w:cstheme="minorHAnsi"/>
          <w:sz w:val="22"/>
          <w:szCs w:val="22"/>
        </w:rPr>
        <w:t>stolicy</w:t>
      </w:r>
      <w:r w:rsidR="001074F7" w:rsidRPr="00890249">
        <w:rPr>
          <w:rFonts w:asciiTheme="minorHAnsi" w:hAnsiTheme="minorHAnsi" w:cstheme="minorHAnsi"/>
          <w:sz w:val="22"/>
          <w:szCs w:val="22"/>
        </w:rPr>
        <w:t xml:space="preserve"> </w:t>
      </w:r>
      <w:r w:rsidR="00A21D54" w:rsidRPr="00890249">
        <w:rPr>
          <w:rFonts w:asciiTheme="minorHAnsi" w:hAnsiTheme="minorHAnsi" w:cstheme="minorHAnsi"/>
          <w:sz w:val="22"/>
          <w:szCs w:val="22"/>
        </w:rPr>
        <w:t>–</w:t>
      </w:r>
      <w:r w:rsidR="00446219" w:rsidRPr="00890249">
        <w:rPr>
          <w:rFonts w:asciiTheme="minorHAnsi" w:hAnsiTheme="minorHAnsi" w:cstheme="minorHAnsi"/>
          <w:sz w:val="22"/>
          <w:szCs w:val="22"/>
        </w:rPr>
        <w:t xml:space="preserve"> </w:t>
      </w:r>
      <w:r w:rsidR="00A21D54" w:rsidRPr="00890249">
        <w:rPr>
          <w:rFonts w:asciiTheme="minorHAnsi" w:hAnsiTheme="minorHAnsi" w:cstheme="minorHAnsi"/>
          <w:sz w:val="22"/>
          <w:szCs w:val="22"/>
        </w:rPr>
        <w:t xml:space="preserve">miasta Opola. W układzie drogowym dominuje </w:t>
      </w:r>
      <w:r w:rsidRPr="00890249">
        <w:rPr>
          <w:rFonts w:asciiTheme="minorHAnsi" w:hAnsiTheme="minorHAnsi" w:cstheme="minorHAnsi"/>
          <w:sz w:val="22"/>
          <w:szCs w:val="22"/>
        </w:rPr>
        <w:t xml:space="preserve">bowiem </w:t>
      </w:r>
      <w:r w:rsidR="00A21D54" w:rsidRPr="00890249">
        <w:rPr>
          <w:rFonts w:asciiTheme="minorHAnsi" w:hAnsiTheme="minorHAnsi" w:cstheme="minorHAnsi"/>
          <w:sz w:val="22"/>
          <w:szCs w:val="22"/>
        </w:rPr>
        <w:t xml:space="preserve">kierunek wschód-zachód, </w:t>
      </w:r>
      <w:r w:rsidR="003554FA" w:rsidRPr="00890249">
        <w:rPr>
          <w:rFonts w:asciiTheme="minorHAnsi" w:hAnsiTheme="minorHAnsi" w:cstheme="minorHAnsi"/>
          <w:sz w:val="22"/>
          <w:szCs w:val="22"/>
        </w:rPr>
        <w:t xml:space="preserve">co </w:t>
      </w:r>
      <w:r w:rsidR="00284420" w:rsidRPr="00890249">
        <w:rPr>
          <w:rFonts w:asciiTheme="minorHAnsi" w:hAnsiTheme="minorHAnsi" w:cstheme="minorHAnsi"/>
          <w:sz w:val="22"/>
          <w:szCs w:val="22"/>
        </w:rPr>
        <w:t>sprawia</w:t>
      </w:r>
      <w:r w:rsidR="00A21D54" w:rsidRPr="00890249">
        <w:rPr>
          <w:rFonts w:asciiTheme="minorHAnsi" w:hAnsiTheme="minorHAnsi" w:cstheme="minorHAnsi"/>
          <w:sz w:val="22"/>
          <w:szCs w:val="22"/>
        </w:rPr>
        <w:t xml:space="preserve">, że obszary </w:t>
      </w:r>
      <w:r w:rsidR="008222A2" w:rsidRPr="00890249">
        <w:rPr>
          <w:rFonts w:asciiTheme="minorHAnsi" w:hAnsiTheme="minorHAnsi" w:cstheme="minorHAnsi"/>
          <w:sz w:val="22"/>
          <w:szCs w:val="22"/>
        </w:rPr>
        <w:t xml:space="preserve">bardziej </w:t>
      </w:r>
      <w:r w:rsidR="00A21D54" w:rsidRPr="00890249">
        <w:rPr>
          <w:rFonts w:asciiTheme="minorHAnsi" w:hAnsiTheme="minorHAnsi" w:cstheme="minorHAnsi"/>
          <w:sz w:val="22"/>
          <w:szCs w:val="22"/>
        </w:rPr>
        <w:t xml:space="preserve">oddalone od regionu są </w:t>
      </w:r>
      <w:r w:rsidR="003554FA" w:rsidRPr="00890249">
        <w:rPr>
          <w:rFonts w:asciiTheme="minorHAnsi" w:hAnsiTheme="minorHAnsi" w:cstheme="minorHAnsi"/>
          <w:sz w:val="22"/>
          <w:szCs w:val="22"/>
        </w:rPr>
        <w:t>często</w:t>
      </w:r>
      <w:r w:rsidR="00A21D54" w:rsidRPr="00890249">
        <w:rPr>
          <w:rFonts w:asciiTheme="minorHAnsi" w:hAnsiTheme="minorHAnsi" w:cstheme="minorHAnsi"/>
          <w:sz w:val="22"/>
          <w:szCs w:val="22"/>
        </w:rPr>
        <w:t xml:space="preserve"> le</w:t>
      </w:r>
      <w:r w:rsidR="00F5241C" w:rsidRPr="00890249">
        <w:rPr>
          <w:rFonts w:asciiTheme="minorHAnsi" w:hAnsiTheme="minorHAnsi" w:cstheme="minorHAnsi"/>
          <w:sz w:val="22"/>
          <w:szCs w:val="22"/>
        </w:rPr>
        <w:t>piej skomunikowane z </w:t>
      </w:r>
      <w:r w:rsidR="00A21D54" w:rsidRPr="00890249">
        <w:rPr>
          <w:rFonts w:asciiTheme="minorHAnsi" w:hAnsiTheme="minorHAnsi" w:cstheme="minorHAnsi"/>
          <w:sz w:val="22"/>
          <w:szCs w:val="22"/>
        </w:rPr>
        <w:t xml:space="preserve">Opolem, niż </w:t>
      </w:r>
      <w:r w:rsidR="00284420" w:rsidRPr="00890249">
        <w:rPr>
          <w:rFonts w:asciiTheme="minorHAnsi" w:hAnsiTheme="minorHAnsi" w:cstheme="minorHAnsi"/>
          <w:sz w:val="22"/>
          <w:szCs w:val="22"/>
        </w:rPr>
        <w:t xml:space="preserve">te </w:t>
      </w:r>
      <w:r w:rsidR="00A21D54" w:rsidRPr="00890249">
        <w:rPr>
          <w:rFonts w:asciiTheme="minorHAnsi" w:hAnsiTheme="minorHAnsi" w:cstheme="minorHAnsi"/>
          <w:sz w:val="22"/>
          <w:szCs w:val="22"/>
        </w:rPr>
        <w:t>bliżej położone</w:t>
      </w:r>
      <w:r w:rsidR="00284420" w:rsidRPr="00890249">
        <w:rPr>
          <w:rFonts w:asciiTheme="minorHAnsi" w:hAnsiTheme="minorHAnsi" w:cstheme="minorHAnsi"/>
          <w:sz w:val="22"/>
          <w:szCs w:val="22"/>
        </w:rPr>
        <w:t>, ale</w:t>
      </w:r>
      <w:r w:rsidR="00A21D54" w:rsidRPr="00890249">
        <w:rPr>
          <w:rFonts w:asciiTheme="minorHAnsi" w:hAnsiTheme="minorHAnsi" w:cstheme="minorHAnsi"/>
          <w:sz w:val="22"/>
          <w:szCs w:val="22"/>
        </w:rPr>
        <w:t xml:space="preserve"> z utrudnionym dostępem do autostrad. </w:t>
      </w:r>
      <w:r w:rsidR="00902C0C" w:rsidRPr="00890249">
        <w:rPr>
          <w:rFonts w:asciiTheme="minorHAnsi" w:hAnsiTheme="minorHAnsi" w:cstheme="minorHAnsi"/>
          <w:sz w:val="22"/>
          <w:szCs w:val="22"/>
        </w:rPr>
        <w:t xml:space="preserve">Usprawnienie systemu transportowego wymaga powiązania </w:t>
      </w:r>
      <w:r w:rsidR="00446219" w:rsidRPr="00890249">
        <w:rPr>
          <w:rFonts w:asciiTheme="minorHAnsi" w:hAnsiTheme="minorHAnsi" w:cstheme="minorHAnsi"/>
          <w:sz w:val="22"/>
          <w:szCs w:val="22"/>
        </w:rPr>
        <w:t xml:space="preserve">z </w:t>
      </w:r>
      <w:r w:rsidR="00902C0C" w:rsidRPr="00890249">
        <w:rPr>
          <w:rFonts w:asciiTheme="minorHAnsi" w:hAnsiTheme="minorHAnsi" w:cstheme="minorHAnsi"/>
          <w:sz w:val="22"/>
          <w:szCs w:val="22"/>
        </w:rPr>
        <w:t xml:space="preserve">efektywną siecią </w:t>
      </w:r>
      <w:r w:rsidR="00902C0C" w:rsidRPr="00890249">
        <w:rPr>
          <w:rFonts w:asciiTheme="minorHAnsi" w:hAnsiTheme="minorHAnsi" w:cstheme="minorHAnsi"/>
          <w:sz w:val="22"/>
          <w:szCs w:val="22"/>
        </w:rPr>
        <w:lastRenderedPageBreak/>
        <w:t>transportową powiatów zlokalizowanych na obrzeżach regionu z</w:t>
      </w:r>
      <w:r w:rsidR="003554FA" w:rsidRPr="00890249">
        <w:rPr>
          <w:rFonts w:asciiTheme="minorHAnsi" w:hAnsiTheme="minorHAnsi" w:cstheme="minorHAnsi"/>
          <w:sz w:val="22"/>
          <w:szCs w:val="22"/>
        </w:rPr>
        <w:t> </w:t>
      </w:r>
      <w:r w:rsidR="00902C0C" w:rsidRPr="00890249">
        <w:rPr>
          <w:rFonts w:asciiTheme="minorHAnsi" w:hAnsiTheme="minorHAnsi" w:cstheme="minorHAnsi"/>
          <w:sz w:val="22"/>
          <w:szCs w:val="22"/>
        </w:rPr>
        <w:t>centrum oraz centrum regionu z głównymi węzł</w:t>
      </w:r>
      <w:r w:rsidR="00F5241C" w:rsidRPr="00890249">
        <w:rPr>
          <w:rFonts w:asciiTheme="minorHAnsi" w:hAnsiTheme="minorHAnsi" w:cstheme="minorHAnsi"/>
          <w:sz w:val="22"/>
          <w:szCs w:val="22"/>
        </w:rPr>
        <w:t>ami życia gosp</w:t>
      </w:r>
      <w:r w:rsidRPr="00890249">
        <w:rPr>
          <w:rFonts w:asciiTheme="minorHAnsi" w:hAnsiTheme="minorHAnsi" w:cstheme="minorHAnsi"/>
          <w:sz w:val="22"/>
          <w:szCs w:val="22"/>
        </w:rPr>
        <w:t>.</w:t>
      </w:r>
      <w:r w:rsidR="00F5241C" w:rsidRPr="00890249">
        <w:rPr>
          <w:rFonts w:asciiTheme="minorHAnsi" w:hAnsiTheme="minorHAnsi" w:cstheme="minorHAnsi"/>
          <w:sz w:val="22"/>
          <w:szCs w:val="22"/>
        </w:rPr>
        <w:t xml:space="preserve"> kraju i </w:t>
      </w:r>
      <w:r w:rsidR="00902C0C" w:rsidRPr="00890249">
        <w:rPr>
          <w:rFonts w:asciiTheme="minorHAnsi" w:hAnsiTheme="minorHAnsi" w:cstheme="minorHAnsi"/>
          <w:sz w:val="22"/>
          <w:szCs w:val="22"/>
        </w:rPr>
        <w:t xml:space="preserve">Europy. </w:t>
      </w:r>
    </w:p>
    <w:p w14:paraId="3F981B1B" w14:textId="51FD1A45" w:rsidR="0093433C" w:rsidRDefault="00A21D54"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Rozwój </w:t>
      </w:r>
      <w:r w:rsidR="007E070E" w:rsidRPr="00890249">
        <w:rPr>
          <w:rFonts w:asciiTheme="minorHAnsi" w:hAnsiTheme="minorHAnsi" w:cstheme="minorHAnsi"/>
          <w:sz w:val="22"/>
          <w:szCs w:val="22"/>
        </w:rPr>
        <w:t xml:space="preserve">Opolszczyzny </w:t>
      </w:r>
      <w:r w:rsidRPr="00890249">
        <w:rPr>
          <w:rFonts w:asciiTheme="minorHAnsi" w:hAnsiTheme="minorHAnsi" w:cstheme="minorHAnsi"/>
          <w:sz w:val="22"/>
          <w:szCs w:val="22"/>
        </w:rPr>
        <w:t xml:space="preserve">nierozerwalnie łączy się z poprawą dostępności do </w:t>
      </w:r>
      <w:r w:rsidR="00DF57F1">
        <w:rPr>
          <w:rFonts w:asciiTheme="minorHAnsi" w:hAnsiTheme="minorHAnsi" w:cstheme="minorHAnsi"/>
          <w:sz w:val="22"/>
          <w:szCs w:val="22"/>
        </w:rPr>
        <w:t>infrastr.</w:t>
      </w:r>
      <w:r w:rsidRPr="00890249">
        <w:rPr>
          <w:rFonts w:asciiTheme="minorHAnsi" w:hAnsiTheme="minorHAnsi" w:cstheme="minorHAnsi"/>
          <w:sz w:val="22"/>
          <w:szCs w:val="22"/>
        </w:rPr>
        <w:t xml:space="preserve"> </w:t>
      </w:r>
      <w:r w:rsidR="003554FA" w:rsidRPr="00890249">
        <w:rPr>
          <w:rFonts w:asciiTheme="minorHAnsi" w:hAnsiTheme="minorHAnsi" w:cstheme="minorHAnsi"/>
          <w:sz w:val="22"/>
          <w:szCs w:val="22"/>
        </w:rPr>
        <w:t>t</w:t>
      </w:r>
      <w:r w:rsidR="00E04E5D">
        <w:rPr>
          <w:rFonts w:asciiTheme="minorHAnsi" w:hAnsiTheme="minorHAnsi" w:cstheme="minorHAnsi"/>
          <w:sz w:val="22"/>
          <w:szCs w:val="22"/>
        </w:rPr>
        <w:t>ransportowej w </w:t>
      </w:r>
      <w:r w:rsidRPr="00890249">
        <w:rPr>
          <w:rFonts w:asciiTheme="minorHAnsi" w:hAnsiTheme="minorHAnsi" w:cstheme="minorHAnsi"/>
          <w:sz w:val="22"/>
          <w:szCs w:val="22"/>
        </w:rPr>
        <w:t xml:space="preserve">skali krajowej, europejskiej, a także do centrum regionu i jego zaplecza. </w:t>
      </w:r>
    </w:p>
    <w:p w14:paraId="2EA5CBF3" w14:textId="41A9F8F5" w:rsidR="0093433C" w:rsidRPr="00890249" w:rsidRDefault="1E3BC546"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Jednocześnie jednak transport drogowy przyczynia się do emisji gazów cieplarnianych i</w:t>
      </w:r>
      <w:r w:rsidR="42ECB147" w:rsidRPr="00890249">
        <w:rPr>
          <w:rFonts w:asciiTheme="minorHAnsi" w:hAnsiTheme="minorHAnsi" w:cstheme="minorHAnsi"/>
          <w:sz w:val="22"/>
          <w:szCs w:val="22"/>
        </w:rPr>
        <w:t> </w:t>
      </w:r>
      <w:r w:rsidRPr="00890249">
        <w:rPr>
          <w:rFonts w:asciiTheme="minorHAnsi" w:hAnsiTheme="minorHAnsi" w:cstheme="minorHAnsi"/>
          <w:sz w:val="22"/>
          <w:szCs w:val="22"/>
        </w:rPr>
        <w:t xml:space="preserve">zanieczyszczeń, </w:t>
      </w:r>
      <w:r w:rsidR="5D7DB06E" w:rsidRPr="00890249">
        <w:rPr>
          <w:rFonts w:asciiTheme="minorHAnsi" w:hAnsiTheme="minorHAnsi" w:cstheme="minorHAnsi"/>
          <w:sz w:val="22"/>
          <w:szCs w:val="22"/>
        </w:rPr>
        <w:t xml:space="preserve">a także </w:t>
      </w:r>
      <w:r w:rsidR="2DDF4879" w:rsidRPr="00890249">
        <w:rPr>
          <w:rFonts w:asciiTheme="minorHAnsi" w:hAnsiTheme="minorHAnsi" w:cstheme="minorHAnsi"/>
          <w:sz w:val="22"/>
          <w:szCs w:val="22"/>
        </w:rPr>
        <w:t>hałasu. E</w:t>
      </w:r>
      <w:r w:rsidRPr="00890249">
        <w:rPr>
          <w:rFonts w:asciiTheme="minorHAnsi" w:hAnsiTheme="minorHAnsi" w:cstheme="minorHAnsi"/>
          <w:sz w:val="22"/>
          <w:szCs w:val="22"/>
        </w:rPr>
        <w:t xml:space="preserve">misje z transportu stanowią około </w:t>
      </w:r>
      <w:r w:rsidR="0093433C" w:rsidRPr="00890249">
        <w:rPr>
          <w:rFonts w:asciiTheme="minorHAnsi" w:hAnsiTheme="minorHAnsi" w:cstheme="minorHAnsi"/>
          <w:sz w:val="22"/>
          <w:szCs w:val="22"/>
        </w:rPr>
        <w:t>¼</w:t>
      </w:r>
      <w:r w:rsidRPr="00890249">
        <w:rPr>
          <w:rFonts w:asciiTheme="minorHAnsi" w:hAnsiTheme="minorHAnsi" w:cstheme="minorHAnsi"/>
          <w:sz w:val="22"/>
          <w:szCs w:val="22"/>
        </w:rPr>
        <w:t xml:space="preserve"> całkowitej emisji gazów cieplarnianych w UE. Stąd konieczne jest zwrócenie się </w:t>
      </w:r>
      <w:r w:rsidR="5B7FB28B" w:rsidRPr="00890249">
        <w:rPr>
          <w:rFonts w:asciiTheme="minorHAnsi" w:hAnsiTheme="minorHAnsi" w:cstheme="minorHAnsi"/>
          <w:sz w:val="22"/>
          <w:szCs w:val="22"/>
        </w:rPr>
        <w:t xml:space="preserve">w </w:t>
      </w:r>
      <w:r w:rsidRPr="00890249">
        <w:rPr>
          <w:rFonts w:asciiTheme="minorHAnsi" w:hAnsiTheme="minorHAnsi" w:cstheme="minorHAnsi"/>
          <w:sz w:val="22"/>
          <w:szCs w:val="22"/>
        </w:rPr>
        <w:t xml:space="preserve">stronę inwestycji </w:t>
      </w:r>
      <w:r w:rsidR="2DDF4879" w:rsidRPr="00890249">
        <w:rPr>
          <w:rFonts w:asciiTheme="minorHAnsi" w:hAnsiTheme="minorHAnsi" w:cstheme="minorHAnsi"/>
          <w:sz w:val="22"/>
          <w:szCs w:val="22"/>
        </w:rPr>
        <w:t>dot.</w:t>
      </w:r>
      <w:r w:rsidRPr="00890249">
        <w:rPr>
          <w:rFonts w:asciiTheme="minorHAnsi" w:hAnsiTheme="minorHAnsi" w:cstheme="minorHAnsi"/>
          <w:sz w:val="22"/>
          <w:szCs w:val="22"/>
        </w:rPr>
        <w:t xml:space="preserve"> mobilności miejskiej</w:t>
      </w:r>
      <w:r w:rsidR="00890249">
        <w:rPr>
          <w:rFonts w:asciiTheme="minorHAnsi" w:hAnsiTheme="minorHAnsi" w:cstheme="minorHAnsi"/>
          <w:sz w:val="22"/>
          <w:szCs w:val="22"/>
        </w:rPr>
        <w:t xml:space="preserve"> i </w:t>
      </w:r>
      <w:r w:rsidR="147A19AB" w:rsidRPr="00890249">
        <w:rPr>
          <w:rFonts w:asciiTheme="minorHAnsi" w:hAnsiTheme="minorHAnsi" w:cstheme="minorHAnsi"/>
          <w:sz w:val="22"/>
          <w:szCs w:val="22"/>
        </w:rPr>
        <w:t>zrównoważonego transportu</w:t>
      </w:r>
      <w:r w:rsidRPr="00890249">
        <w:rPr>
          <w:rFonts w:asciiTheme="minorHAnsi" w:hAnsiTheme="minorHAnsi" w:cstheme="minorHAnsi"/>
          <w:sz w:val="22"/>
          <w:szCs w:val="22"/>
        </w:rPr>
        <w:t xml:space="preserve">, które są bardziej przyjazne dla środowiska i społeczeństwa. </w:t>
      </w:r>
    </w:p>
    <w:p w14:paraId="46B037DE" w14:textId="59A8B95F" w:rsidR="0093433C" w:rsidRPr="00890249" w:rsidRDefault="0021445D"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Funkcjonujące połączenia wykazują się rentownością i znaczną ilością potoków pasażerów. To również efekt składanych wniosków mieszkańców, możliwości budżetowych i zmian w</w:t>
      </w:r>
      <w:r w:rsidR="00400891" w:rsidRPr="00890249">
        <w:rPr>
          <w:rFonts w:asciiTheme="minorHAnsi" w:hAnsiTheme="minorHAnsi" w:cstheme="minorHAnsi"/>
          <w:sz w:val="22"/>
          <w:szCs w:val="22"/>
        </w:rPr>
        <w:t> </w:t>
      </w:r>
      <w:r w:rsidRPr="00890249">
        <w:rPr>
          <w:rFonts w:asciiTheme="minorHAnsi" w:hAnsiTheme="minorHAnsi" w:cstheme="minorHAnsi"/>
          <w:sz w:val="22"/>
          <w:szCs w:val="22"/>
        </w:rPr>
        <w:t>zagosp</w:t>
      </w:r>
      <w:r w:rsidR="007E070E" w:rsidRPr="00890249">
        <w:rPr>
          <w:rFonts w:asciiTheme="minorHAnsi" w:hAnsiTheme="minorHAnsi" w:cstheme="minorHAnsi"/>
          <w:sz w:val="22"/>
          <w:szCs w:val="22"/>
        </w:rPr>
        <w:t>.</w:t>
      </w:r>
      <w:r w:rsidRPr="00890249">
        <w:rPr>
          <w:rFonts w:asciiTheme="minorHAnsi" w:hAnsiTheme="minorHAnsi" w:cstheme="minorHAnsi"/>
          <w:sz w:val="22"/>
          <w:szCs w:val="22"/>
        </w:rPr>
        <w:t xml:space="preserve"> przestrzennym. Niemniej jednak na mapie województwa znajduje się wiele tzw. białych plam, do których dojazd transportem autobusowym jest utrudniony, bądź wręcz niemożliwy. W celu reaktywacji połączeń i tworzenia nowych tras powstał m.in. fundusz autobusowy, który jednak nie przyniósł spodziewanych rezultatów. Komercyjni przewoźnicy kierują się przede wszystkim zyskiem, </w:t>
      </w:r>
      <w:r w:rsidR="00890249">
        <w:rPr>
          <w:rFonts w:asciiTheme="minorHAnsi" w:hAnsiTheme="minorHAnsi" w:cstheme="minorHAnsi"/>
          <w:sz w:val="22"/>
          <w:szCs w:val="22"/>
        </w:rPr>
        <w:t>a </w:t>
      </w:r>
      <w:r w:rsidRPr="00890249">
        <w:rPr>
          <w:rFonts w:asciiTheme="minorHAnsi" w:hAnsiTheme="minorHAnsi" w:cstheme="minorHAnsi"/>
          <w:sz w:val="22"/>
          <w:szCs w:val="22"/>
        </w:rPr>
        <w:t xml:space="preserve">mało rentowne linie nie są dla nich atrakcyjne. </w:t>
      </w:r>
    </w:p>
    <w:p w14:paraId="728D41A2" w14:textId="3369A36B" w:rsidR="0093433C" w:rsidRPr="00890249" w:rsidRDefault="00A21D54"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Zgodnie ze strategią na rzecz mobilności niskoemisyjnej</w:t>
      </w:r>
      <w:r w:rsidR="00F4648C" w:rsidRPr="00890249">
        <w:rPr>
          <w:rStyle w:val="Odwoanieprzypisudolnego"/>
          <w:rFonts w:asciiTheme="minorHAnsi" w:hAnsiTheme="minorHAnsi" w:cstheme="minorHAnsi"/>
          <w:sz w:val="22"/>
          <w:szCs w:val="22"/>
        </w:rPr>
        <w:footnoteReference w:id="25"/>
      </w:r>
      <w:r w:rsidRPr="00890249">
        <w:rPr>
          <w:rFonts w:asciiTheme="minorHAnsi" w:hAnsiTheme="minorHAnsi" w:cstheme="minorHAnsi"/>
          <w:sz w:val="22"/>
          <w:szCs w:val="22"/>
        </w:rPr>
        <w:t xml:space="preserve">, wszystkie rodzaje transportu mają stać się </w:t>
      </w:r>
      <w:r w:rsidR="00EE37A3" w:rsidRPr="00890249">
        <w:rPr>
          <w:rFonts w:asciiTheme="minorHAnsi" w:hAnsiTheme="minorHAnsi" w:cstheme="minorHAnsi"/>
          <w:sz w:val="22"/>
          <w:szCs w:val="22"/>
        </w:rPr>
        <w:t xml:space="preserve">bardziej zrównoważone, a ekologiczne alternatywy powszechnie dostępne. </w:t>
      </w:r>
      <w:r w:rsidR="00284420" w:rsidRPr="00890249">
        <w:rPr>
          <w:rFonts w:asciiTheme="minorHAnsi" w:hAnsiTheme="minorHAnsi" w:cstheme="minorHAnsi"/>
          <w:sz w:val="22"/>
          <w:szCs w:val="22"/>
        </w:rPr>
        <w:t xml:space="preserve">Konieczne </w:t>
      </w:r>
      <w:r w:rsidRPr="00890249">
        <w:rPr>
          <w:rFonts w:asciiTheme="minorHAnsi" w:hAnsiTheme="minorHAnsi" w:cstheme="minorHAnsi"/>
          <w:sz w:val="22"/>
          <w:szCs w:val="22"/>
        </w:rPr>
        <w:t xml:space="preserve">są </w:t>
      </w:r>
      <w:r w:rsidR="00284420" w:rsidRPr="00890249">
        <w:rPr>
          <w:rFonts w:asciiTheme="minorHAnsi" w:hAnsiTheme="minorHAnsi" w:cstheme="minorHAnsi"/>
          <w:sz w:val="22"/>
          <w:szCs w:val="22"/>
        </w:rPr>
        <w:t xml:space="preserve">więc </w:t>
      </w:r>
      <w:r w:rsidRPr="00890249">
        <w:rPr>
          <w:rFonts w:asciiTheme="minorHAnsi" w:hAnsiTheme="minorHAnsi" w:cstheme="minorHAnsi"/>
          <w:sz w:val="22"/>
          <w:szCs w:val="22"/>
        </w:rPr>
        <w:t xml:space="preserve">m.in. inwestycje w zakup </w:t>
      </w:r>
      <w:r w:rsidR="00902C0C" w:rsidRPr="00890249">
        <w:rPr>
          <w:rFonts w:asciiTheme="minorHAnsi" w:hAnsiTheme="minorHAnsi" w:cstheme="minorHAnsi"/>
          <w:sz w:val="22"/>
          <w:szCs w:val="22"/>
        </w:rPr>
        <w:t xml:space="preserve">niskoemisyjnego i </w:t>
      </w:r>
      <w:r w:rsidRPr="00890249">
        <w:rPr>
          <w:rFonts w:asciiTheme="minorHAnsi" w:hAnsiTheme="minorHAnsi" w:cstheme="minorHAnsi"/>
          <w:sz w:val="22"/>
          <w:szCs w:val="22"/>
        </w:rPr>
        <w:t xml:space="preserve">zeroemisyjnego taboru </w:t>
      </w:r>
      <w:r w:rsidR="00F5241C" w:rsidRPr="00890249">
        <w:rPr>
          <w:rFonts w:asciiTheme="minorHAnsi" w:hAnsiTheme="minorHAnsi" w:cstheme="minorHAnsi"/>
          <w:sz w:val="22"/>
          <w:szCs w:val="22"/>
        </w:rPr>
        <w:t>wraz z </w:t>
      </w:r>
      <w:r w:rsidR="00902C0C" w:rsidRPr="00890249">
        <w:rPr>
          <w:rFonts w:asciiTheme="minorHAnsi" w:hAnsiTheme="minorHAnsi" w:cstheme="minorHAnsi"/>
          <w:sz w:val="22"/>
          <w:szCs w:val="22"/>
        </w:rPr>
        <w:t>niezbędn</w:t>
      </w:r>
      <w:r w:rsidR="003851E6" w:rsidRPr="00890249">
        <w:rPr>
          <w:rFonts w:asciiTheme="minorHAnsi" w:hAnsiTheme="minorHAnsi" w:cstheme="minorHAnsi"/>
          <w:sz w:val="22"/>
          <w:szCs w:val="22"/>
        </w:rPr>
        <w:t>ą</w:t>
      </w:r>
      <w:r w:rsidR="00DF57F1">
        <w:rPr>
          <w:rFonts w:asciiTheme="minorHAnsi" w:hAnsiTheme="minorHAnsi" w:cstheme="minorHAnsi"/>
          <w:sz w:val="22"/>
          <w:szCs w:val="22"/>
        </w:rPr>
        <w:t xml:space="preserve"> infrastr.</w:t>
      </w:r>
      <w:r w:rsidR="00902C0C" w:rsidRPr="00890249">
        <w:rPr>
          <w:rFonts w:asciiTheme="minorHAnsi" w:hAnsiTheme="minorHAnsi" w:cstheme="minorHAnsi"/>
          <w:sz w:val="22"/>
          <w:szCs w:val="22"/>
        </w:rPr>
        <w:t xml:space="preserve"> dla transportu publicznego</w:t>
      </w:r>
      <w:r w:rsidR="003851E6" w:rsidRPr="00890249">
        <w:rPr>
          <w:rFonts w:asciiTheme="minorHAnsi" w:hAnsiTheme="minorHAnsi" w:cstheme="minorHAnsi"/>
          <w:sz w:val="22"/>
          <w:szCs w:val="22"/>
        </w:rPr>
        <w:t>,</w:t>
      </w:r>
      <w:r w:rsidR="00902C0C" w:rsidRPr="00890249">
        <w:rPr>
          <w:rFonts w:asciiTheme="minorHAnsi" w:hAnsiTheme="minorHAnsi" w:cstheme="minorHAnsi"/>
          <w:sz w:val="22"/>
          <w:szCs w:val="22"/>
        </w:rPr>
        <w:t xml:space="preserve"> w tym stacjami do ładowania oraz tankowania paliw alternatywny</w:t>
      </w:r>
      <w:r w:rsidR="003851E6" w:rsidRPr="00890249">
        <w:rPr>
          <w:rFonts w:asciiTheme="minorHAnsi" w:hAnsiTheme="minorHAnsi" w:cstheme="minorHAnsi"/>
          <w:sz w:val="22"/>
          <w:szCs w:val="22"/>
        </w:rPr>
        <w:t>ch</w:t>
      </w:r>
      <w:r w:rsidR="00902C0C" w:rsidRPr="00890249">
        <w:rPr>
          <w:rFonts w:asciiTheme="minorHAnsi" w:hAnsiTheme="minorHAnsi" w:cstheme="minorHAnsi"/>
          <w:sz w:val="22"/>
          <w:szCs w:val="22"/>
        </w:rPr>
        <w:t xml:space="preserve"> </w:t>
      </w:r>
      <w:r w:rsidR="00DF57F1">
        <w:rPr>
          <w:rFonts w:asciiTheme="minorHAnsi" w:hAnsiTheme="minorHAnsi" w:cstheme="minorHAnsi"/>
          <w:sz w:val="22"/>
          <w:szCs w:val="22"/>
        </w:rPr>
        <w:t>oraz budowa infrastr.</w:t>
      </w:r>
      <w:r w:rsidRPr="00890249">
        <w:rPr>
          <w:rFonts w:asciiTheme="minorHAnsi" w:hAnsiTheme="minorHAnsi" w:cstheme="minorHAnsi"/>
          <w:sz w:val="22"/>
          <w:szCs w:val="22"/>
        </w:rPr>
        <w:t xml:space="preserve"> dla niezmotoryzowanych celem ułatwienia </w:t>
      </w:r>
      <w:r w:rsidR="003554FA" w:rsidRPr="00890249">
        <w:rPr>
          <w:rFonts w:asciiTheme="minorHAnsi" w:hAnsiTheme="minorHAnsi" w:cstheme="minorHAnsi"/>
          <w:sz w:val="22"/>
          <w:szCs w:val="22"/>
        </w:rPr>
        <w:t xml:space="preserve">poruszania się </w:t>
      </w:r>
      <w:r w:rsidR="008374CE" w:rsidRPr="00890249">
        <w:rPr>
          <w:rFonts w:asciiTheme="minorHAnsi" w:hAnsiTheme="minorHAnsi" w:cstheme="minorHAnsi"/>
          <w:sz w:val="22"/>
          <w:szCs w:val="22"/>
        </w:rPr>
        <w:t xml:space="preserve">między miejscowościami. </w:t>
      </w:r>
    </w:p>
    <w:p w14:paraId="3A33B162" w14:textId="77777777" w:rsidR="0093433C" w:rsidRPr="00890249" w:rsidRDefault="00A43991">
      <w:pPr>
        <w:rPr>
          <w:rFonts w:asciiTheme="minorHAnsi" w:eastAsia="Times New Roman" w:hAnsiTheme="minorHAnsi" w:cstheme="minorHAnsi"/>
          <w:b/>
          <w:i/>
          <w:color w:val="2F5496" w:themeColor="accent5" w:themeShade="BF"/>
          <w:sz w:val="22"/>
          <w:szCs w:val="22"/>
        </w:rPr>
      </w:pPr>
      <w:r w:rsidRPr="00890249">
        <w:rPr>
          <w:rFonts w:asciiTheme="minorHAnsi" w:eastAsia="Times New Roman" w:hAnsiTheme="minorHAnsi" w:cstheme="minorHAnsi"/>
          <w:b/>
          <w:i/>
          <w:color w:val="2F5496" w:themeColor="accent5" w:themeShade="BF"/>
          <w:sz w:val="22"/>
          <w:szCs w:val="22"/>
        </w:rPr>
        <w:t xml:space="preserve">Rozwój edukacji </w:t>
      </w:r>
    </w:p>
    <w:p w14:paraId="75B49ED9" w14:textId="77777777" w:rsidR="0093433C" w:rsidRPr="00890249" w:rsidRDefault="009A5872"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Wyzwania</w:t>
      </w:r>
      <w:r w:rsidR="00F95EB6" w:rsidRPr="00890249">
        <w:rPr>
          <w:rFonts w:asciiTheme="minorHAnsi" w:eastAsiaTheme="minorHAnsi" w:hAnsiTheme="minorHAnsi" w:cstheme="minorHAnsi"/>
          <w:b/>
          <w:color w:val="auto"/>
          <w:sz w:val="22"/>
          <w:szCs w:val="22"/>
          <w:lang w:eastAsia="en-US" w:bidi="ar-SA"/>
        </w:rPr>
        <w:t>:</w:t>
      </w:r>
    </w:p>
    <w:p w14:paraId="54AF7DD8" w14:textId="076E9DA1" w:rsidR="00B72154" w:rsidRPr="00890249" w:rsidRDefault="00875C92" w:rsidP="009F296A">
      <w:pPr>
        <w:pStyle w:val="Akapitzlist"/>
        <w:numPr>
          <w:ilvl w:val="0"/>
          <w:numId w:val="103"/>
        </w:numPr>
        <w:autoSpaceDE w:val="0"/>
        <w:autoSpaceDN w:val="0"/>
        <w:adjustRightInd w:val="0"/>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Poprawa dostępu do miejsc wychowania przedszkolnego oraz dostosowanie do potrzeb dzieci z</w:t>
      </w:r>
      <w:r w:rsidR="00220FED" w:rsidRPr="00890249">
        <w:rPr>
          <w:rFonts w:asciiTheme="minorHAnsi" w:eastAsiaTheme="minorHAnsi" w:hAnsiTheme="minorHAnsi" w:cstheme="minorHAnsi"/>
          <w:sz w:val="22"/>
          <w:szCs w:val="22"/>
          <w:lang w:eastAsia="en-US" w:bidi="ar-SA"/>
        </w:rPr>
        <w:t>e</w:t>
      </w:r>
      <w:r w:rsidRPr="00890249">
        <w:rPr>
          <w:rFonts w:asciiTheme="minorHAnsi" w:eastAsiaTheme="minorHAnsi" w:hAnsiTheme="minorHAnsi" w:cstheme="minorHAnsi"/>
          <w:sz w:val="22"/>
          <w:szCs w:val="22"/>
          <w:lang w:eastAsia="en-US" w:bidi="ar-SA"/>
        </w:rPr>
        <w:t xml:space="preserve"> SPE, w tym z niepełnosprawnościami</w:t>
      </w:r>
      <w:r w:rsidR="005C1EFE" w:rsidRPr="00890249">
        <w:rPr>
          <w:rFonts w:asciiTheme="minorHAnsi" w:eastAsiaTheme="minorHAnsi" w:hAnsiTheme="minorHAnsi" w:cstheme="minorHAnsi"/>
          <w:sz w:val="22"/>
          <w:szCs w:val="22"/>
          <w:lang w:eastAsia="en-US" w:bidi="ar-SA"/>
        </w:rPr>
        <w:t>.</w:t>
      </w:r>
    </w:p>
    <w:p w14:paraId="6B7BB310" w14:textId="4E28CD45" w:rsidR="00B72154" w:rsidRPr="00890249" w:rsidRDefault="00875C92" w:rsidP="009F296A">
      <w:pPr>
        <w:pStyle w:val="Akapitzlist"/>
        <w:numPr>
          <w:ilvl w:val="0"/>
          <w:numId w:val="103"/>
        </w:numPr>
        <w:autoSpaceDE w:val="0"/>
        <w:autoSpaceDN w:val="0"/>
        <w:adjustRightInd w:val="0"/>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Wyrównywanie szans edukacyjnych dla uczniów z rodzin</w:t>
      </w:r>
      <w:r w:rsidR="002D095D" w:rsidRPr="00890249">
        <w:rPr>
          <w:rFonts w:asciiTheme="minorHAnsi" w:eastAsiaTheme="minorHAnsi" w:hAnsiTheme="minorHAnsi" w:cstheme="minorHAnsi"/>
          <w:sz w:val="22"/>
          <w:szCs w:val="22"/>
          <w:lang w:eastAsia="en-US" w:bidi="ar-SA"/>
        </w:rPr>
        <w:t xml:space="preserve"> </w:t>
      </w:r>
      <w:r w:rsidR="00347F4E" w:rsidRPr="00890249">
        <w:rPr>
          <w:rFonts w:asciiTheme="minorHAnsi" w:eastAsiaTheme="minorHAnsi" w:hAnsiTheme="minorHAnsi" w:cstheme="minorHAnsi"/>
          <w:sz w:val="22"/>
          <w:szCs w:val="22"/>
          <w:lang w:eastAsia="en-US" w:bidi="ar-SA"/>
        </w:rPr>
        <w:t>z grup defaworyzowanych</w:t>
      </w:r>
      <w:r w:rsidRPr="00890249">
        <w:rPr>
          <w:rFonts w:asciiTheme="minorHAnsi" w:eastAsiaTheme="minorHAnsi" w:hAnsiTheme="minorHAnsi" w:cstheme="minorHAnsi"/>
          <w:sz w:val="22"/>
          <w:szCs w:val="22"/>
          <w:lang w:eastAsia="en-US" w:bidi="ar-SA"/>
        </w:rPr>
        <w:t>, mieszkających na obszarach zmarginalizowanych i/lub wiejskich</w:t>
      </w:r>
      <w:r w:rsidR="005C1EFE" w:rsidRPr="00890249">
        <w:rPr>
          <w:rFonts w:asciiTheme="minorHAnsi" w:eastAsiaTheme="minorHAnsi" w:hAnsiTheme="minorHAnsi" w:cstheme="minorHAnsi"/>
          <w:sz w:val="22"/>
          <w:szCs w:val="22"/>
          <w:lang w:eastAsia="en-US" w:bidi="ar-SA"/>
        </w:rPr>
        <w:t>.</w:t>
      </w:r>
    </w:p>
    <w:p w14:paraId="039166BA" w14:textId="0E57B872" w:rsidR="00B72154" w:rsidRPr="00890249" w:rsidRDefault="00875C92" w:rsidP="009F296A">
      <w:pPr>
        <w:pStyle w:val="Akapitzlist"/>
        <w:numPr>
          <w:ilvl w:val="0"/>
          <w:numId w:val="103"/>
        </w:numPr>
        <w:autoSpaceDE w:val="0"/>
        <w:autoSpaceDN w:val="0"/>
        <w:adjustRightInd w:val="0"/>
        <w:ind w:left="284" w:hanging="284"/>
        <w:rPr>
          <w:rFonts w:asciiTheme="minorHAnsi" w:eastAsiaTheme="minorEastAsia"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Zwiększenie udziału osób 15+ w kształceniu ustawicznym</w:t>
      </w:r>
      <w:r w:rsidR="458890BE" w:rsidRPr="00890249">
        <w:rPr>
          <w:rFonts w:asciiTheme="minorHAnsi" w:eastAsiaTheme="minorEastAsia" w:hAnsiTheme="minorHAnsi" w:cstheme="minorHAnsi"/>
          <w:sz w:val="22"/>
          <w:szCs w:val="22"/>
          <w:lang w:eastAsia="en-US" w:bidi="ar-SA"/>
        </w:rPr>
        <w:t>, z naci</w:t>
      </w:r>
      <w:r w:rsidR="007724A5" w:rsidRPr="00890249">
        <w:rPr>
          <w:rFonts w:asciiTheme="minorHAnsi" w:eastAsiaTheme="minorEastAsia" w:hAnsiTheme="minorHAnsi" w:cstheme="minorHAnsi"/>
          <w:sz w:val="22"/>
          <w:szCs w:val="22"/>
          <w:lang w:eastAsia="en-US" w:bidi="ar-SA"/>
        </w:rPr>
        <w:t>s</w:t>
      </w:r>
      <w:r w:rsidR="458890BE" w:rsidRPr="00890249">
        <w:rPr>
          <w:rFonts w:asciiTheme="minorHAnsi" w:eastAsiaTheme="minorEastAsia" w:hAnsiTheme="minorHAnsi" w:cstheme="minorHAnsi"/>
          <w:sz w:val="22"/>
          <w:szCs w:val="22"/>
          <w:lang w:eastAsia="en-US" w:bidi="ar-SA"/>
        </w:rPr>
        <w:t xml:space="preserve">kiem na </w:t>
      </w:r>
      <w:r w:rsidR="00347F4E" w:rsidRPr="00890249">
        <w:rPr>
          <w:rFonts w:asciiTheme="minorHAnsi" w:eastAsiaTheme="minorEastAsia" w:hAnsiTheme="minorHAnsi" w:cstheme="minorHAnsi"/>
          <w:sz w:val="22"/>
          <w:szCs w:val="22"/>
          <w:lang w:eastAsia="en-US" w:bidi="ar-SA"/>
        </w:rPr>
        <w:t xml:space="preserve">kwalifikacje </w:t>
      </w:r>
      <w:r w:rsidR="458890BE" w:rsidRPr="00890249">
        <w:rPr>
          <w:rFonts w:asciiTheme="minorHAnsi" w:eastAsiaTheme="minorEastAsia" w:hAnsiTheme="minorHAnsi" w:cstheme="minorHAnsi"/>
          <w:sz w:val="22"/>
          <w:szCs w:val="22"/>
          <w:lang w:eastAsia="en-US" w:bidi="ar-SA"/>
        </w:rPr>
        <w:t>zawodowe</w:t>
      </w:r>
      <w:r w:rsidR="005C1EFE" w:rsidRPr="00890249">
        <w:rPr>
          <w:rFonts w:asciiTheme="minorHAnsi" w:eastAsiaTheme="minorEastAsia" w:hAnsiTheme="minorHAnsi" w:cstheme="minorHAnsi"/>
          <w:sz w:val="22"/>
          <w:szCs w:val="22"/>
          <w:lang w:eastAsia="en-US" w:bidi="ar-SA"/>
        </w:rPr>
        <w:t>.</w:t>
      </w:r>
    </w:p>
    <w:p w14:paraId="625B438C" w14:textId="77777777" w:rsidR="0093433C" w:rsidRPr="00890249" w:rsidRDefault="00F95EB6" w:rsidP="00890249">
      <w:pPr>
        <w:pStyle w:val="Nagwek6"/>
        <w:rPr>
          <w:rFonts w:asciiTheme="minorHAnsi" w:eastAsiaTheme="minorHAnsi" w:hAnsiTheme="minorHAnsi" w:cstheme="minorHAnsi"/>
          <w:color w:val="auto"/>
          <w:sz w:val="22"/>
          <w:szCs w:val="22"/>
          <w:lang w:eastAsia="en-US" w:bidi="ar-SA"/>
        </w:rPr>
      </w:pPr>
      <w:r w:rsidRPr="00890249">
        <w:rPr>
          <w:rFonts w:asciiTheme="minorHAnsi" w:eastAsiaTheme="minorHAnsi" w:hAnsiTheme="minorHAnsi" w:cstheme="minorHAnsi"/>
          <w:color w:val="auto"/>
          <w:sz w:val="22"/>
          <w:szCs w:val="22"/>
          <w:lang w:eastAsia="en-US" w:bidi="ar-SA"/>
        </w:rPr>
        <w:t>Cel:</w:t>
      </w:r>
    </w:p>
    <w:p w14:paraId="179FEECF" w14:textId="1F9CFFD2" w:rsidR="0093433C" w:rsidRPr="00890249" w:rsidRDefault="00875C9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Osiągnięcie do 2030 </w:t>
      </w:r>
      <w:r w:rsidR="001F0062" w:rsidRPr="00890249">
        <w:rPr>
          <w:rFonts w:asciiTheme="minorHAnsi" w:hAnsiTheme="minorHAnsi" w:cstheme="minorHAnsi"/>
          <w:sz w:val="22"/>
          <w:szCs w:val="22"/>
          <w:lang w:eastAsia="en-US" w:bidi="ar-SA"/>
        </w:rPr>
        <w:t xml:space="preserve">wskaźnika </w:t>
      </w:r>
      <w:r w:rsidR="007724A5" w:rsidRPr="00890249">
        <w:rPr>
          <w:rFonts w:asciiTheme="minorHAnsi" w:hAnsiTheme="minorHAnsi" w:cstheme="minorHAnsi"/>
          <w:sz w:val="22"/>
          <w:szCs w:val="22"/>
          <w:lang w:eastAsia="en-US" w:bidi="ar-SA"/>
        </w:rPr>
        <w:t>odsetka osób</w:t>
      </w:r>
      <w:r w:rsidR="001F0062" w:rsidRPr="00890249">
        <w:rPr>
          <w:rFonts w:asciiTheme="minorHAnsi" w:hAnsiTheme="minorHAnsi" w:cstheme="minorHAnsi"/>
          <w:sz w:val="22"/>
          <w:szCs w:val="22"/>
          <w:lang w:eastAsia="en-US" w:bidi="ar-SA"/>
        </w:rPr>
        <w:t xml:space="preserve"> dorosłych uczestniczących w kształceniu lub szkoleniu </w:t>
      </w:r>
      <w:r w:rsidRPr="00890249">
        <w:rPr>
          <w:rFonts w:asciiTheme="minorHAnsi" w:hAnsiTheme="minorHAnsi" w:cstheme="minorHAnsi"/>
          <w:sz w:val="22"/>
          <w:szCs w:val="22"/>
          <w:lang w:eastAsia="en-US" w:bidi="ar-SA"/>
        </w:rPr>
        <w:t>(w wieku 25-64 lata</w:t>
      </w:r>
      <w:r w:rsidR="001F0062" w:rsidRPr="00890249">
        <w:rPr>
          <w:rFonts w:asciiTheme="minorHAnsi" w:hAnsiTheme="minorHAnsi" w:cstheme="minorHAnsi"/>
          <w:sz w:val="22"/>
          <w:szCs w:val="22"/>
          <w:lang w:eastAsia="en-US" w:bidi="ar-SA"/>
        </w:rPr>
        <w:t>) na poziomie śr</w:t>
      </w:r>
      <w:r w:rsidR="00027B11" w:rsidRPr="00890249">
        <w:rPr>
          <w:rFonts w:asciiTheme="minorHAnsi" w:hAnsiTheme="minorHAnsi" w:cstheme="minorHAnsi"/>
          <w:sz w:val="22"/>
          <w:szCs w:val="22"/>
          <w:lang w:eastAsia="en-US" w:bidi="ar-SA"/>
        </w:rPr>
        <w:t>.</w:t>
      </w:r>
      <w:r w:rsidR="001F0062" w:rsidRPr="00890249">
        <w:rPr>
          <w:rFonts w:asciiTheme="minorHAnsi" w:hAnsiTheme="minorHAnsi" w:cstheme="minorHAnsi"/>
          <w:sz w:val="22"/>
          <w:szCs w:val="22"/>
          <w:lang w:eastAsia="en-US" w:bidi="ar-SA"/>
        </w:rPr>
        <w:t xml:space="preserve"> UE</w:t>
      </w:r>
      <w:r w:rsidRPr="00890249">
        <w:rPr>
          <w:rStyle w:val="Odwoanieprzypisudolnego"/>
          <w:rFonts w:asciiTheme="minorHAnsi" w:eastAsiaTheme="minorHAnsi" w:hAnsiTheme="minorHAnsi" w:cstheme="minorHAnsi"/>
          <w:sz w:val="22"/>
          <w:szCs w:val="22"/>
          <w:lang w:eastAsia="en-US" w:bidi="ar-SA"/>
        </w:rPr>
        <w:footnoteReference w:id="26"/>
      </w:r>
      <w:r w:rsidRPr="00890249">
        <w:rPr>
          <w:rFonts w:asciiTheme="minorHAnsi" w:hAnsiTheme="minorHAnsi" w:cstheme="minorHAnsi"/>
          <w:sz w:val="22"/>
          <w:szCs w:val="22"/>
          <w:lang w:eastAsia="en-US" w:bidi="ar-SA"/>
        </w:rPr>
        <w:t>.</w:t>
      </w:r>
    </w:p>
    <w:p w14:paraId="28EE1108" w14:textId="650EEF48" w:rsidR="0093433C" w:rsidRPr="00890249" w:rsidRDefault="00875C9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Zwiększenie do 2030</w:t>
      </w:r>
      <w:r w:rsidR="00E81F23">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wskaźnika </w:t>
      </w:r>
      <w:r w:rsidR="001F0062" w:rsidRPr="00890249">
        <w:rPr>
          <w:rFonts w:asciiTheme="minorHAnsi" w:hAnsiTheme="minorHAnsi" w:cstheme="minorHAnsi"/>
          <w:sz w:val="22"/>
          <w:szCs w:val="22"/>
          <w:lang w:eastAsia="en-US" w:bidi="ar-SA"/>
        </w:rPr>
        <w:t>liczby os</w:t>
      </w:r>
      <w:r w:rsidR="00027B11" w:rsidRPr="00890249">
        <w:rPr>
          <w:rFonts w:asciiTheme="minorHAnsi" w:hAnsiTheme="minorHAnsi" w:cstheme="minorHAnsi"/>
          <w:sz w:val="22"/>
          <w:szCs w:val="22"/>
          <w:lang w:eastAsia="en-US" w:bidi="ar-SA"/>
        </w:rPr>
        <w:t>.</w:t>
      </w:r>
      <w:r w:rsidR="001F0062" w:rsidRPr="00890249">
        <w:rPr>
          <w:rFonts w:asciiTheme="minorHAnsi" w:hAnsiTheme="minorHAnsi" w:cstheme="minorHAnsi"/>
          <w:sz w:val="22"/>
          <w:szCs w:val="22"/>
          <w:lang w:eastAsia="en-US" w:bidi="ar-SA"/>
        </w:rPr>
        <w:t xml:space="preserve"> w wieku </w:t>
      </w:r>
      <w:r w:rsidR="00890249">
        <w:rPr>
          <w:rFonts w:asciiTheme="minorHAnsi" w:hAnsiTheme="minorHAnsi" w:cstheme="minorHAnsi"/>
          <w:sz w:val="22"/>
          <w:szCs w:val="22"/>
          <w:lang w:eastAsia="en-US" w:bidi="ar-SA"/>
        </w:rPr>
        <w:t>16-74 lat mających podstawowe i </w:t>
      </w:r>
      <w:r w:rsidR="001F0062" w:rsidRPr="00890249">
        <w:rPr>
          <w:rFonts w:asciiTheme="minorHAnsi" w:hAnsiTheme="minorHAnsi" w:cstheme="minorHAnsi"/>
          <w:sz w:val="22"/>
          <w:szCs w:val="22"/>
          <w:lang w:eastAsia="en-US" w:bidi="ar-SA"/>
        </w:rPr>
        <w:t xml:space="preserve">ponadpodstawowe umiejętności cyfrowe </w:t>
      </w:r>
      <w:r w:rsidRPr="00890249">
        <w:rPr>
          <w:rFonts w:asciiTheme="minorHAnsi" w:hAnsiTheme="minorHAnsi" w:cstheme="minorHAnsi"/>
          <w:sz w:val="22"/>
          <w:szCs w:val="22"/>
          <w:lang w:eastAsia="en-US" w:bidi="ar-SA"/>
        </w:rPr>
        <w:t>do poziomu 66%</w:t>
      </w:r>
      <w:r w:rsidRPr="00890249">
        <w:rPr>
          <w:rStyle w:val="Odwoanieprzypisudolnego"/>
          <w:rFonts w:asciiTheme="minorHAnsi" w:eastAsiaTheme="minorHAnsi" w:hAnsiTheme="minorHAnsi" w:cstheme="minorHAnsi"/>
          <w:sz w:val="22"/>
          <w:szCs w:val="22"/>
          <w:lang w:eastAsia="en-US" w:bidi="ar-SA"/>
        </w:rPr>
        <w:footnoteReference w:id="27"/>
      </w:r>
      <w:r w:rsidRPr="00890249">
        <w:rPr>
          <w:rFonts w:asciiTheme="minorHAnsi" w:hAnsiTheme="minorHAnsi" w:cstheme="minorHAnsi"/>
          <w:sz w:val="22"/>
          <w:szCs w:val="22"/>
          <w:lang w:eastAsia="en-US" w:bidi="ar-SA"/>
        </w:rPr>
        <w:t xml:space="preserve">. </w:t>
      </w:r>
    </w:p>
    <w:p w14:paraId="1448A254" w14:textId="08FE8EC0" w:rsidR="0093433C" w:rsidRPr="00890249" w:rsidRDefault="00875C9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Wzrost do 2030 </w:t>
      </w:r>
      <w:r w:rsidR="001F0062" w:rsidRPr="00890249">
        <w:rPr>
          <w:rFonts w:asciiTheme="minorHAnsi" w:hAnsiTheme="minorHAnsi" w:cstheme="minorHAnsi"/>
          <w:sz w:val="22"/>
          <w:szCs w:val="22"/>
          <w:lang w:eastAsia="en-US" w:bidi="ar-SA"/>
        </w:rPr>
        <w:t xml:space="preserve">liczby </w:t>
      </w:r>
      <w:r w:rsidRPr="00890249">
        <w:rPr>
          <w:rFonts w:asciiTheme="minorHAnsi" w:hAnsiTheme="minorHAnsi" w:cstheme="minorHAnsi"/>
          <w:sz w:val="22"/>
          <w:szCs w:val="22"/>
          <w:lang w:eastAsia="en-US" w:bidi="ar-SA"/>
        </w:rPr>
        <w:t>studentów kształcących się na kier</w:t>
      </w:r>
      <w:r w:rsidR="00027B11"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o profilu praktycznym</w:t>
      </w:r>
      <w:r w:rsidR="001F0062" w:rsidRPr="00890249">
        <w:rPr>
          <w:rFonts w:asciiTheme="minorHAnsi" w:hAnsiTheme="minorHAnsi" w:cstheme="minorHAnsi"/>
          <w:sz w:val="22"/>
          <w:szCs w:val="22"/>
          <w:lang w:eastAsia="en-US" w:bidi="ar-SA"/>
        </w:rPr>
        <w:t xml:space="preserve"> do 40% </w:t>
      </w:r>
      <w:r w:rsidRPr="00890249">
        <w:rPr>
          <w:rStyle w:val="Odwoanieprzypisudolnego"/>
          <w:rFonts w:asciiTheme="minorHAnsi" w:eastAsiaTheme="minorHAnsi" w:hAnsiTheme="minorHAnsi" w:cstheme="minorHAnsi"/>
          <w:sz w:val="22"/>
          <w:szCs w:val="22"/>
          <w:lang w:eastAsia="en-US" w:bidi="ar-SA"/>
        </w:rPr>
        <w:footnoteReference w:id="28"/>
      </w:r>
      <w:r w:rsidRPr="00890249">
        <w:rPr>
          <w:rFonts w:asciiTheme="minorHAnsi" w:hAnsiTheme="minorHAnsi" w:cstheme="minorHAnsi"/>
          <w:sz w:val="22"/>
          <w:szCs w:val="22"/>
          <w:lang w:eastAsia="en-US" w:bidi="ar-SA"/>
        </w:rPr>
        <w:t>.</w:t>
      </w:r>
    </w:p>
    <w:p w14:paraId="1F1E95D8" w14:textId="77777777" w:rsidR="0093433C" w:rsidRPr="00890249" w:rsidRDefault="00F95EB6"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Sytuacja aktualna:</w:t>
      </w:r>
    </w:p>
    <w:p w14:paraId="5B75E46D" w14:textId="17A550EC" w:rsidR="0093433C" w:rsidRPr="00890249" w:rsidRDefault="00875C92" w:rsidP="00890249">
      <w:pPr>
        <w:pStyle w:val="Tekstpodstawowy"/>
        <w:rPr>
          <w:rFonts w:asciiTheme="minorHAnsi" w:hAnsiTheme="minorHAnsi" w:cstheme="minorHAnsi"/>
          <w:b/>
          <w:sz w:val="22"/>
          <w:szCs w:val="22"/>
        </w:rPr>
      </w:pPr>
      <w:r w:rsidRPr="00890249">
        <w:rPr>
          <w:rFonts w:asciiTheme="minorHAnsi" w:hAnsiTheme="minorHAnsi" w:cstheme="minorHAnsi"/>
          <w:b/>
          <w:sz w:val="22"/>
          <w:szCs w:val="22"/>
        </w:rPr>
        <w:t>Edukacja przedszkolna</w:t>
      </w:r>
      <w:r w:rsidR="00B65D85" w:rsidRPr="00890249">
        <w:rPr>
          <w:rFonts w:asciiTheme="minorHAnsi" w:hAnsiTheme="minorHAnsi" w:cstheme="minorHAnsi"/>
          <w:b/>
          <w:sz w:val="22"/>
          <w:szCs w:val="22"/>
        </w:rPr>
        <w:t xml:space="preserve"> </w:t>
      </w:r>
    </w:p>
    <w:p w14:paraId="410E14E8" w14:textId="3FD5A14B" w:rsidR="0093433C" w:rsidRPr="00890249" w:rsidRDefault="0065772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rPr>
        <w:t xml:space="preserve">W regionie występują </w:t>
      </w:r>
      <w:r w:rsidR="00D70D55" w:rsidRPr="00890249">
        <w:rPr>
          <w:rFonts w:asciiTheme="minorHAnsi" w:hAnsiTheme="minorHAnsi" w:cstheme="minorHAnsi"/>
          <w:sz w:val="22"/>
          <w:szCs w:val="22"/>
          <w:lang w:eastAsia="en-US" w:bidi="ar-SA"/>
        </w:rPr>
        <w:t>duże</w:t>
      </w:r>
      <w:r w:rsidRPr="00890249">
        <w:rPr>
          <w:rFonts w:asciiTheme="minorHAnsi" w:hAnsiTheme="minorHAnsi" w:cstheme="minorHAnsi"/>
          <w:sz w:val="22"/>
          <w:szCs w:val="22"/>
          <w:lang w:eastAsia="en-US" w:bidi="ar-SA"/>
        </w:rPr>
        <w:t xml:space="preserve"> dysproporcje wewnątrzterytorialne w  dostęp</w:t>
      </w:r>
      <w:r w:rsidR="00027B11" w:rsidRPr="00890249">
        <w:rPr>
          <w:rFonts w:asciiTheme="minorHAnsi" w:hAnsiTheme="minorHAnsi" w:cstheme="minorHAnsi"/>
          <w:sz w:val="22"/>
          <w:szCs w:val="22"/>
          <w:lang w:eastAsia="en-US" w:bidi="ar-SA"/>
        </w:rPr>
        <w:t>ie</w:t>
      </w:r>
      <w:r w:rsidRPr="00890249">
        <w:rPr>
          <w:rFonts w:asciiTheme="minorHAnsi" w:hAnsiTheme="minorHAnsi" w:cstheme="minorHAnsi"/>
          <w:sz w:val="22"/>
          <w:szCs w:val="22"/>
          <w:lang w:eastAsia="en-US" w:bidi="ar-SA"/>
        </w:rPr>
        <w:t xml:space="preserve"> do wychowania przedszkolnego. Odsetek dzieci objętych wychowaniem przedszkolnym w 2018 r. wynosił 92% (Polska 89,5%): w miastach 107,3% (Polska 103,4</w:t>
      </w:r>
      <w:r w:rsidR="00737517"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w:t>
      </w:r>
      <w:r w:rsidR="00737517"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na wsi 75,2% (Polska 70,5</w:t>
      </w:r>
      <w:r w:rsidR="00737517"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w:t>
      </w:r>
    </w:p>
    <w:p w14:paraId="73AEB965" w14:textId="77777777" w:rsidR="0093433C" w:rsidRPr="00890249" w:rsidRDefault="00875C92"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lastRenderedPageBreak/>
        <w:t xml:space="preserve">Kształcenie ogólne i zawodowe </w:t>
      </w:r>
    </w:p>
    <w:p w14:paraId="77FBE32E" w14:textId="13EC5D6F" w:rsidR="0093433C" w:rsidRPr="00890249" w:rsidRDefault="00657724"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lang w:eastAsia="en-US" w:bidi="ar-SA"/>
        </w:rPr>
        <w:t xml:space="preserve">Liczba uczniów posiadających orzeczenie o potrzebie kształcenia specjalnego </w:t>
      </w:r>
      <w:r w:rsidR="00027B11" w:rsidRPr="00890249">
        <w:rPr>
          <w:rFonts w:asciiTheme="minorHAnsi" w:hAnsiTheme="minorHAnsi" w:cstheme="minorHAnsi"/>
          <w:sz w:val="22"/>
          <w:szCs w:val="22"/>
          <w:lang w:eastAsia="en-US" w:bidi="ar-SA"/>
        </w:rPr>
        <w:t>z uwagi</w:t>
      </w:r>
      <w:r w:rsidRPr="00890249">
        <w:rPr>
          <w:rFonts w:asciiTheme="minorHAnsi" w:hAnsiTheme="minorHAnsi" w:cstheme="minorHAnsi"/>
          <w:sz w:val="22"/>
          <w:szCs w:val="22"/>
          <w:lang w:eastAsia="en-US" w:bidi="ar-SA"/>
        </w:rPr>
        <w:t xml:space="preserve"> na niepełnosprawność lub inną przyczynę w roku szkolnym 2020/2021: 5 178. Słabością kształcenia jest niewystarczające przygotowanie do zawodu oraz kształcenie praktyczne. Odsetek młodzieży w woj. opolskim, która nie zdała egzaminu maturalnego w 2018 wynosił blisko 22% </w:t>
      </w:r>
      <w:r w:rsidR="00737517"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w kraju </w:t>
      </w:r>
      <w:r w:rsidR="00737517" w:rsidRPr="00890249">
        <w:rPr>
          <w:rFonts w:asciiTheme="minorHAnsi" w:hAnsiTheme="minorHAnsi" w:cstheme="minorHAnsi"/>
          <w:sz w:val="22"/>
          <w:szCs w:val="22"/>
          <w:lang w:eastAsia="en-US" w:bidi="ar-SA"/>
        </w:rPr>
        <w:t>– 20,3%</w:t>
      </w:r>
      <w:r w:rsidR="00890249">
        <w:rPr>
          <w:rFonts w:asciiTheme="minorHAnsi" w:hAnsiTheme="minorHAnsi" w:cstheme="minorHAnsi"/>
          <w:sz w:val="22"/>
          <w:szCs w:val="22"/>
          <w:lang w:eastAsia="en-US" w:bidi="ar-SA"/>
        </w:rPr>
        <w:t>), a </w:t>
      </w:r>
      <w:r w:rsidRPr="00890249">
        <w:rPr>
          <w:rFonts w:asciiTheme="minorHAnsi" w:hAnsiTheme="minorHAnsi" w:cstheme="minorHAnsi"/>
          <w:sz w:val="22"/>
          <w:szCs w:val="22"/>
          <w:lang w:eastAsia="en-US" w:bidi="ar-SA"/>
        </w:rPr>
        <w:t>odsetek młodzieży w regionie, która w 2018 nie uzyskała zaliczenia z egzaminu potwierdzającego kwalifikacje w zawodzie wynosił ok. 26% (w kraju</w:t>
      </w:r>
      <w:r w:rsidR="00737517" w:rsidRPr="00890249">
        <w:rPr>
          <w:rFonts w:asciiTheme="minorHAnsi" w:hAnsiTheme="minorHAnsi" w:cstheme="minorHAnsi"/>
          <w:sz w:val="22"/>
          <w:szCs w:val="22"/>
          <w:lang w:eastAsia="en-US" w:bidi="ar-SA"/>
        </w:rPr>
        <w:t xml:space="preserve"> – 24,72%</w:t>
      </w:r>
      <w:r w:rsidRPr="00890249">
        <w:rPr>
          <w:rFonts w:asciiTheme="minorHAnsi" w:hAnsiTheme="minorHAnsi" w:cstheme="minorHAnsi"/>
          <w:sz w:val="22"/>
          <w:szCs w:val="22"/>
          <w:lang w:eastAsia="en-US" w:bidi="ar-SA"/>
        </w:rPr>
        <w:t>). W</w:t>
      </w:r>
      <w:r w:rsidRPr="00890249">
        <w:rPr>
          <w:rFonts w:asciiTheme="minorHAnsi" w:hAnsiTheme="minorHAnsi" w:cstheme="minorHAnsi"/>
          <w:sz w:val="22"/>
          <w:szCs w:val="22"/>
        </w:rPr>
        <w:t xml:space="preserve"> RPO WO 2014-2020 stawiano na edukację zawodową: wsparto </w:t>
      </w:r>
      <w:r w:rsidR="00347F4E" w:rsidRPr="00890249">
        <w:rPr>
          <w:rFonts w:asciiTheme="minorHAnsi" w:hAnsiTheme="minorHAnsi" w:cstheme="minorHAnsi"/>
          <w:sz w:val="22"/>
          <w:szCs w:val="22"/>
        </w:rPr>
        <w:t>ok.</w:t>
      </w:r>
      <w:r w:rsidRPr="00890249">
        <w:rPr>
          <w:rFonts w:asciiTheme="minorHAnsi" w:hAnsiTheme="minorHAnsi" w:cstheme="minorHAnsi"/>
          <w:sz w:val="22"/>
          <w:szCs w:val="22"/>
        </w:rPr>
        <w:t xml:space="preserve"> 15 tys. uczniów szkół zawodowych, utworzono </w:t>
      </w:r>
      <w:r w:rsidR="00027B11" w:rsidRPr="00890249">
        <w:rPr>
          <w:rFonts w:asciiTheme="minorHAnsi" w:hAnsiTheme="minorHAnsi" w:cstheme="minorHAnsi"/>
          <w:sz w:val="22"/>
          <w:szCs w:val="22"/>
        </w:rPr>
        <w:t>ok.</w:t>
      </w:r>
      <w:r w:rsidRPr="00890249">
        <w:rPr>
          <w:rFonts w:asciiTheme="minorHAnsi" w:hAnsiTheme="minorHAnsi" w:cstheme="minorHAnsi"/>
          <w:sz w:val="22"/>
          <w:szCs w:val="22"/>
        </w:rPr>
        <w:t xml:space="preserve"> 600 dodatkowych miejsc przedszkolnych, a ponad 26 tys. dzieci objęto dodatkowymi zajęciami. </w:t>
      </w:r>
    </w:p>
    <w:p w14:paraId="6E3C0AB7" w14:textId="3AE20949" w:rsidR="0093433C" w:rsidRPr="00890249" w:rsidRDefault="00A44DD4"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Uczenie się dorosłych</w:t>
      </w:r>
      <w:r w:rsidR="00657724" w:rsidRPr="00890249">
        <w:rPr>
          <w:rFonts w:asciiTheme="minorHAnsi" w:eastAsiaTheme="minorHAnsi" w:hAnsiTheme="minorHAnsi" w:cstheme="minorHAnsi"/>
          <w:b/>
          <w:color w:val="auto"/>
          <w:sz w:val="22"/>
          <w:szCs w:val="22"/>
          <w:lang w:eastAsia="en-US" w:bidi="ar-SA"/>
        </w:rPr>
        <w:t xml:space="preserve"> </w:t>
      </w:r>
    </w:p>
    <w:p w14:paraId="4C30E641" w14:textId="6671C1F2" w:rsidR="0093433C" w:rsidRPr="00890249" w:rsidRDefault="00303768" w:rsidP="00890249">
      <w:pPr>
        <w:pStyle w:val="Tekstpodstawowy"/>
        <w:rPr>
          <w:rFonts w:asciiTheme="minorHAnsi" w:eastAsiaTheme="minorHAnsi" w:hAnsiTheme="minorHAnsi" w:cstheme="minorHAnsi"/>
          <w:sz w:val="22"/>
          <w:szCs w:val="22"/>
          <w:lang w:eastAsia="en-US" w:bidi="ar-SA"/>
        </w:rPr>
      </w:pPr>
      <w:r w:rsidRPr="00890249">
        <w:rPr>
          <w:rFonts w:asciiTheme="minorHAnsi" w:hAnsiTheme="minorHAnsi" w:cstheme="minorHAnsi"/>
          <w:noProof/>
          <w:sz w:val="22"/>
          <w:szCs w:val="22"/>
        </w:rPr>
        <w:t>O</w:t>
      </w:r>
      <w:r w:rsidR="00657724" w:rsidRPr="00890249">
        <w:rPr>
          <w:rFonts w:asciiTheme="minorHAnsi" w:hAnsiTheme="minorHAnsi" w:cstheme="minorHAnsi"/>
          <w:noProof/>
          <w:sz w:val="22"/>
          <w:szCs w:val="22"/>
        </w:rPr>
        <w:t>soby dorosłe uczestniczące w kształceniu lub szkoleniu</w:t>
      </w:r>
      <w:r w:rsidR="004F54AF" w:rsidRPr="00890249">
        <w:rPr>
          <w:rFonts w:asciiTheme="minorHAnsi" w:hAnsiTheme="minorHAnsi" w:cstheme="minorHAnsi"/>
          <w:noProof/>
          <w:sz w:val="22"/>
          <w:szCs w:val="22"/>
        </w:rPr>
        <w:t xml:space="preserve"> </w:t>
      </w:r>
      <w:r w:rsidR="00657724" w:rsidRPr="00890249">
        <w:rPr>
          <w:rFonts w:asciiTheme="minorHAnsi" w:hAnsiTheme="minorHAnsi" w:cstheme="minorHAnsi"/>
          <w:noProof/>
          <w:sz w:val="22"/>
          <w:szCs w:val="22"/>
        </w:rPr>
        <w:t>w 2018 stanowiły jedynie 3,7% (Polska 5,7%)</w:t>
      </w:r>
      <w:r w:rsidR="004F54AF" w:rsidRPr="00890249">
        <w:rPr>
          <w:rFonts w:asciiTheme="minorHAnsi" w:hAnsiTheme="minorHAnsi" w:cstheme="minorHAnsi"/>
          <w:noProof/>
          <w:sz w:val="22"/>
          <w:szCs w:val="22"/>
        </w:rPr>
        <w:t xml:space="preserve"> wśród osób w wieku 25-64 lata</w:t>
      </w:r>
      <w:r w:rsidR="00657724" w:rsidRPr="00890249">
        <w:rPr>
          <w:rFonts w:asciiTheme="minorHAnsi" w:hAnsiTheme="minorHAnsi" w:cstheme="minorHAnsi"/>
          <w:noProof/>
          <w:sz w:val="22"/>
          <w:szCs w:val="22"/>
        </w:rPr>
        <w:t>. Szacuje się, że w 2030 odsetek wynosić będzie 3,57%.  O</w:t>
      </w:r>
      <w:r w:rsidR="00657724" w:rsidRPr="00890249">
        <w:rPr>
          <w:rFonts w:asciiTheme="minorHAnsi" w:eastAsiaTheme="minorHAnsi" w:hAnsiTheme="minorHAnsi" w:cstheme="minorHAnsi"/>
          <w:sz w:val="22"/>
          <w:szCs w:val="22"/>
          <w:lang w:eastAsia="en-US" w:bidi="ar-SA"/>
        </w:rPr>
        <w:t xml:space="preserve">dsetek osób posiadających podstawowe lub ponadpodstawowe umiejętności cyfrowe w regionie był jednym z najniższych w kraju </w:t>
      </w:r>
      <w:r w:rsidR="00027B11" w:rsidRPr="00890249">
        <w:rPr>
          <w:rFonts w:asciiTheme="minorHAnsi" w:eastAsiaTheme="minorHAnsi" w:hAnsiTheme="minorHAnsi" w:cstheme="minorHAnsi"/>
          <w:sz w:val="22"/>
          <w:szCs w:val="22"/>
          <w:lang w:eastAsia="en-US" w:bidi="ar-SA"/>
        </w:rPr>
        <w:t xml:space="preserve">- </w:t>
      </w:r>
      <w:r w:rsidR="00657724" w:rsidRPr="00890249">
        <w:rPr>
          <w:rFonts w:asciiTheme="minorHAnsi" w:eastAsiaTheme="minorHAnsi" w:hAnsiTheme="minorHAnsi" w:cstheme="minorHAnsi"/>
          <w:sz w:val="22"/>
          <w:szCs w:val="22"/>
          <w:lang w:eastAsia="en-US" w:bidi="ar-SA"/>
        </w:rPr>
        <w:t xml:space="preserve">w 2018 41%, </w:t>
      </w:r>
      <w:r w:rsidR="00027B11" w:rsidRPr="00890249">
        <w:rPr>
          <w:rFonts w:asciiTheme="minorHAnsi" w:eastAsiaTheme="minorHAnsi" w:hAnsiTheme="minorHAnsi" w:cstheme="minorHAnsi"/>
          <w:sz w:val="22"/>
          <w:szCs w:val="22"/>
          <w:lang w:eastAsia="en-US" w:bidi="ar-SA"/>
        </w:rPr>
        <w:t>a</w:t>
      </w:r>
      <w:r w:rsidR="00657724" w:rsidRPr="00890249">
        <w:rPr>
          <w:rFonts w:asciiTheme="minorHAnsi" w:eastAsiaTheme="minorHAnsi" w:hAnsiTheme="minorHAnsi" w:cstheme="minorHAnsi"/>
          <w:sz w:val="22"/>
          <w:szCs w:val="22"/>
          <w:lang w:eastAsia="en-US" w:bidi="ar-SA"/>
        </w:rPr>
        <w:t xml:space="preserve"> np. w </w:t>
      </w:r>
      <w:r w:rsidR="00737517" w:rsidRPr="00890249">
        <w:rPr>
          <w:rFonts w:asciiTheme="minorHAnsi" w:eastAsiaTheme="minorHAnsi" w:hAnsiTheme="minorHAnsi" w:cstheme="minorHAnsi"/>
          <w:sz w:val="22"/>
          <w:szCs w:val="22"/>
          <w:lang w:eastAsia="en-US" w:bidi="ar-SA"/>
        </w:rPr>
        <w:t>woj.</w:t>
      </w:r>
      <w:r w:rsidR="00657724" w:rsidRPr="00890249">
        <w:rPr>
          <w:rFonts w:asciiTheme="minorHAnsi" w:eastAsiaTheme="minorHAnsi" w:hAnsiTheme="minorHAnsi" w:cstheme="minorHAnsi"/>
          <w:sz w:val="22"/>
          <w:szCs w:val="22"/>
          <w:lang w:eastAsia="en-US" w:bidi="ar-SA"/>
        </w:rPr>
        <w:t xml:space="preserve"> mazowieckim wynosił 54%. </w:t>
      </w:r>
    </w:p>
    <w:p w14:paraId="52BEC703" w14:textId="7733A921" w:rsidR="0093433C" w:rsidRPr="00890249" w:rsidRDefault="00504F35" w:rsidP="00890249">
      <w:pPr>
        <w:pStyle w:val="Tekstpodstawowy"/>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b/>
          <w:sz w:val="22"/>
          <w:szCs w:val="22"/>
          <w:lang w:eastAsia="en-US" w:bidi="ar-SA"/>
        </w:rPr>
        <w:t>I</w:t>
      </w:r>
      <w:r w:rsidR="00657724" w:rsidRPr="00890249">
        <w:rPr>
          <w:rFonts w:asciiTheme="minorHAnsi" w:eastAsiaTheme="minorHAnsi" w:hAnsiTheme="minorHAnsi" w:cstheme="minorHAnsi"/>
          <w:b/>
          <w:sz w:val="22"/>
          <w:szCs w:val="22"/>
          <w:lang w:eastAsia="en-US" w:bidi="ar-SA"/>
        </w:rPr>
        <w:t>nfrastruktur</w:t>
      </w:r>
      <w:r w:rsidRPr="00890249">
        <w:rPr>
          <w:rFonts w:asciiTheme="minorHAnsi" w:eastAsiaTheme="minorHAnsi" w:hAnsiTheme="minorHAnsi" w:cstheme="minorHAnsi"/>
          <w:b/>
          <w:sz w:val="22"/>
          <w:szCs w:val="22"/>
          <w:lang w:eastAsia="en-US" w:bidi="ar-SA"/>
        </w:rPr>
        <w:t>a</w:t>
      </w:r>
      <w:r w:rsidR="00657724" w:rsidRPr="00890249">
        <w:rPr>
          <w:rFonts w:asciiTheme="minorHAnsi" w:eastAsiaTheme="minorHAnsi" w:hAnsiTheme="minorHAnsi" w:cstheme="minorHAnsi"/>
          <w:b/>
          <w:sz w:val="22"/>
          <w:szCs w:val="22"/>
          <w:lang w:eastAsia="en-US" w:bidi="ar-SA"/>
        </w:rPr>
        <w:t xml:space="preserve"> edukacyjn</w:t>
      </w:r>
      <w:r w:rsidRPr="00890249">
        <w:rPr>
          <w:rFonts w:asciiTheme="minorHAnsi" w:eastAsiaTheme="minorHAnsi" w:hAnsiTheme="minorHAnsi" w:cstheme="minorHAnsi"/>
          <w:b/>
          <w:sz w:val="22"/>
          <w:szCs w:val="22"/>
          <w:lang w:eastAsia="en-US" w:bidi="ar-SA"/>
        </w:rPr>
        <w:t>a</w:t>
      </w:r>
      <w:r w:rsidR="007543F0" w:rsidRPr="00890249">
        <w:rPr>
          <w:rFonts w:asciiTheme="minorHAnsi" w:eastAsiaTheme="minorHAnsi" w:hAnsiTheme="minorHAnsi" w:cstheme="minorHAnsi"/>
          <w:sz w:val="22"/>
          <w:szCs w:val="22"/>
          <w:lang w:eastAsia="en-US" w:bidi="ar-SA"/>
        </w:rPr>
        <w:t xml:space="preserve"> </w:t>
      </w:r>
      <w:r w:rsidR="00657724" w:rsidRPr="00890249">
        <w:rPr>
          <w:rFonts w:asciiTheme="minorHAnsi" w:eastAsiaTheme="minorHAnsi" w:hAnsiTheme="minorHAnsi" w:cstheme="minorHAnsi"/>
          <w:sz w:val="22"/>
          <w:szCs w:val="22"/>
          <w:lang w:eastAsia="en-US" w:bidi="ar-SA"/>
        </w:rPr>
        <w:t xml:space="preserve"> </w:t>
      </w:r>
    </w:p>
    <w:p w14:paraId="30F1436C" w14:textId="26E08D51" w:rsidR="0093433C" w:rsidRPr="00890249" w:rsidRDefault="00657724"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rPr>
        <w:t>W</w:t>
      </w:r>
      <w:r w:rsidRPr="00890249">
        <w:rPr>
          <w:rFonts w:asciiTheme="minorHAnsi" w:hAnsiTheme="minorHAnsi" w:cstheme="minorHAnsi"/>
          <w:noProof/>
          <w:sz w:val="22"/>
          <w:szCs w:val="22"/>
        </w:rPr>
        <w:t xml:space="preserve"> regionie konieczne jest podejmowanie działań na rzecz wzmocnienia infrastruktury edukacyjnej, </w:t>
      </w:r>
      <w:r w:rsidR="00D70D55" w:rsidRPr="00890249">
        <w:rPr>
          <w:rFonts w:asciiTheme="minorHAnsi" w:hAnsiTheme="minorHAnsi" w:cstheme="minorHAnsi"/>
          <w:noProof/>
          <w:sz w:val="22"/>
          <w:szCs w:val="22"/>
        </w:rPr>
        <w:t>głównie</w:t>
      </w:r>
      <w:r w:rsidRPr="00890249">
        <w:rPr>
          <w:rFonts w:asciiTheme="minorHAnsi" w:hAnsiTheme="minorHAnsi" w:cstheme="minorHAnsi"/>
          <w:noProof/>
          <w:sz w:val="22"/>
          <w:szCs w:val="22"/>
        </w:rPr>
        <w:t xml:space="preserve"> dla </w:t>
      </w:r>
      <w:r w:rsidR="00504F35" w:rsidRPr="00890249">
        <w:rPr>
          <w:rFonts w:asciiTheme="minorHAnsi" w:hAnsiTheme="minorHAnsi" w:cstheme="minorHAnsi"/>
          <w:noProof/>
          <w:sz w:val="22"/>
          <w:szCs w:val="22"/>
        </w:rPr>
        <w:t>ośrodków wychowania przedszkolnego</w:t>
      </w:r>
      <w:r w:rsidRPr="00890249">
        <w:rPr>
          <w:rFonts w:asciiTheme="minorHAnsi" w:hAnsiTheme="minorHAnsi" w:cstheme="minorHAnsi"/>
          <w:noProof/>
          <w:sz w:val="22"/>
          <w:szCs w:val="22"/>
        </w:rPr>
        <w:t xml:space="preserve">, zawodowego oraz ustawicznego. </w:t>
      </w:r>
      <w:r w:rsidR="00BB7891" w:rsidRPr="00890249">
        <w:rPr>
          <w:rFonts w:asciiTheme="minorHAnsi" w:hAnsiTheme="minorHAnsi" w:cstheme="minorHAnsi"/>
          <w:noProof/>
          <w:sz w:val="22"/>
          <w:szCs w:val="22"/>
        </w:rPr>
        <w:t>Analiza regionalna wskazuje, iż w</w:t>
      </w:r>
      <w:r w:rsidR="00737517" w:rsidRPr="00890249">
        <w:rPr>
          <w:rFonts w:asciiTheme="minorHAnsi" w:hAnsiTheme="minorHAnsi" w:cstheme="minorHAnsi"/>
          <w:noProof/>
          <w:sz w:val="22"/>
          <w:szCs w:val="22"/>
        </w:rPr>
        <w:t xml:space="preserve"> dalszym stopniu istnieje potrzeba wspierania infrastr</w:t>
      </w:r>
      <w:r w:rsidR="00B405F9" w:rsidRPr="00890249">
        <w:rPr>
          <w:rFonts w:asciiTheme="minorHAnsi" w:hAnsiTheme="minorHAnsi" w:cstheme="minorHAnsi"/>
          <w:noProof/>
          <w:sz w:val="22"/>
          <w:szCs w:val="22"/>
        </w:rPr>
        <w:t>.</w:t>
      </w:r>
      <w:r w:rsidR="00737517" w:rsidRPr="00890249">
        <w:rPr>
          <w:rFonts w:asciiTheme="minorHAnsi" w:hAnsiTheme="minorHAnsi" w:cstheme="minorHAnsi"/>
          <w:noProof/>
          <w:sz w:val="22"/>
          <w:szCs w:val="22"/>
        </w:rPr>
        <w:t xml:space="preserve"> liceów</w:t>
      </w:r>
      <w:r w:rsidR="00F408BD" w:rsidRPr="00890249">
        <w:rPr>
          <w:rFonts w:asciiTheme="minorHAnsi" w:hAnsiTheme="minorHAnsi" w:cstheme="minorHAnsi"/>
          <w:noProof/>
          <w:sz w:val="22"/>
          <w:szCs w:val="22"/>
        </w:rPr>
        <w:t>,</w:t>
      </w:r>
      <w:r w:rsidR="00737517" w:rsidRPr="00890249">
        <w:rPr>
          <w:rFonts w:asciiTheme="minorHAnsi" w:hAnsiTheme="minorHAnsi" w:cstheme="minorHAnsi"/>
          <w:noProof/>
          <w:sz w:val="22"/>
          <w:szCs w:val="22"/>
        </w:rPr>
        <w:t xml:space="preserve"> </w:t>
      </w:r>
      <w:r w:rsidR="00D70D55" w:rsidRPr="00890249">
        <w:rPr>
          <w:rFonts w:asciiTheme="minorHAnsi" w:hAnsiTheme="minorHAnsi" w:cstheme="minorHAnsi"/>
          <w:noProof/>
          <w:sz w:val="22"/>
          <w:szCs w:val="22"/>
        </w:rPr>
        <w:t>gł.</w:t>
      </w:r>
      <w:r w:rsidR="00890249">
        <w:rPr>
          <w:rFonts w:asciiTheme="minorHAnsi" w:hAnsiTheme="minorHAnsi" w:cstheme="minorHAnsi"/>
          <w:noProof/>
          <w:sz w:val="22"/>
          <w:szCs w:val="22"/>
        </w:rPr>
        <w:t xml:space="preserve"> w </w:t>
      </w:r>
      <w:r w:rsidR="00BB7891" w:rsidRPr="00890249">
        <w:rPr>
          <w:rFonts w:asciiTheme="minorHAnsi" w:hAnsiTheme="minorHAnsi" w:cstheme="minorHAnsi"/>
          <w:noProof/>
          <w:sz w:val="22"/>
          <w:szCs w:val="22"/>
        </w:rPr>
        <w:t xml:space="preserve">odniesieniu do wyposażenia pracowni </w:t>
      </w:r>
      <w:r w:rsidR="00303768" w:rsidRPr="00890249">
        <w:rPr>
          <w:rFonts w:asciiTheme="minorHAnsi" w:hAnsiTheme="minorHAnsi" w:cstheme="minorHAnsi"/>
          <w:noProof/>
          <w:sz w:val="22"/>
          <w:szCs w:val="22"/>
        </w:rPr>
        <w:t>nauk ścisłych i praktycznych</w:t>
      </w:r>
      <w:r w:rsidR="00BB7891" w:rsidRPr="00890249">
        <w:rPr>
          <w:rFonts w:asciiTheme="minorHAnsi" w:hAnsiTheme="minorHAnsi" w:cstheme="minorHAnsi"/>
          <w:noProof/>
          <w:sz w:val="22"/>
          <w:szCs w:val="22"/>
        </w:rPr>
        <w:t>.</w:t>
      </w:r>
    </w:p>
    <w:p w14:paraId="56B9DDAD" w14:textId="6284B323" w:rsidR="0093433C" w:rsidRPr="00890249" w:rsidRDefault="00504F35" w:rsidP="00890249">
      <w:pPr>
        <w:pStyle w:val="Tekstpodstawowy"/>
        <w:rPr>
          <w:rFonts w:asciiTheme="minorHAnsi" w:eastAsia="Times New Roman" w:hAnsiTheme="minorHAnsi" w:cstheme="minorHAnsi"/>
          <w:sz w:val="22"/>
          <w:szCs w:val="22"/>
          <w:lang w:bidi="ar-SA"/>
        </w:rPr>
      </w:pPr>
      <w:r w:rsidRPr="00890249">
        <w:rPr>
          <w:rFonts w:asciiTheme="minorHAnsi" w:hAnsiTheme="minorHAnsi" w:cstheme="minorHAnsi"/>
          <w:noProof/>
          <w:sz w:val="22"/>
          <w:szCs w:val="22"/>
        </w:rPr>
        <w:t>Na każdym poziomie edukacji jest potrzeba wsparcia infrastr</w:t>
      </w:r>
      <w:r w:rsidR="00A0541F"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mającej na celu włączenie dzieci z SPE do </w:t>
      </w:r>
      <w:r w:rsidR="00DF57F1">
        <w:rPr>
          <w:rFonts w:asciiTheme="minorHAnsi" w:hAnsiTheme="minorHAnsi" w:cstheme="minorHAnsi"/>
          <w:noProof/>
          <w:sz w:val="22"/>
          <w:szCs w:val="22"/>
        </w:rPr>
        <w:t>placówek</w:t>
      </w:r>
      <w:r w:rsidRPr="00890249">
        <w:rPr>
          <w:rFonts w:asciiTheme="minorHAnsi" w:hAnsiTheme="minorHAnsi" w:cstheme="minorHAnsi"/>
          <w:noProof/>
          <w:sz w:val="22"/>
          <w:szCs w:val="22"/>
        </w:rPr>
        <w:t xml:space="preserve"> ogólnodostę</w:t>
      </w:r>
      <w:r w:rsidR="00B65D85" w:rsidRPr="00890249">
        <w:rPr>
          <w:rFonts w:asciiTheme="minorHAnsi" w:hAnsiTheme="minorHAnsi" w:cstheme="minorHAnsi"/>
          <w:noProof/>
          <w:sz w:val="22"/>
          <w:szCs w:val="22"/>
        </w:rPr>
        <w:t>pnych</w:t>
      </w:r>
      <w:r w:rsidRPr="00890249">
        <w:rPr>
          <w:rFonts w:asciiTheme="minorHAnsi" w:hAnsiTheme="minorHAnsi" w:cstheme="minorHAnsi"/>
          <w:noProof/>
          <w:sz w:val="22"/>
          <w:szCs w:val="22"/>
        </w:rPr>
        <w:t>.</w:t>
      </w:r>
      <w:r w:rsidR="00657724" w:rsidRPr="00890249">
        <w:rPr>
          <w:rFonts w:asciiTheme="minorHAnsi" w:hAnsiTheme="minorHAnsi" w:cstheme="minorHAnsi"/>
          <w:noProof/>
          <w:sz w:val="22"/>
          <w:szCs w:val="22"/>
        </w:rPr>
        <w:t xml:space="preserve"> </w:t>
      </w:r>
    </w:p>
    <w:p w14:paraId="4DDFD43F" w14:textId="77777777" w:rsidR="0093433C" w:rsidRPr="00890249" w:rsidRDefault="00A43991" w:rsidP="00890249">
      <w:pPr>
        <w:pStyle w:val="Nagwek5"/>
        <w:rPr>
          <w:rFonts w:asciiTheme="minorHAnsi" w:hAnsiTheme="minorHAnsi" w:cstheme="minorHAnsi"/>
          <w:b/>
          <w:color w:val="2F5496" w:themeColor="accent5" w:themeShade="BF"/>
          <w:sz w:val="22"/>
          <w:szCs w:val="22"/>
        </w:rPr>
      </w:pPr>
      <w:r w:rsidRPr="00890249">
        <w:rPr>
          <w:rFonts w:asciiTheme="minorHAnsi" w:hAnsiTheme="minorHAnsi" w:cstheme="minorHAnsi"/>
          <w:b/>
          <w:color w:val="2F5496" w:themeColor="accent5" w:themeShade="BF"/>
          <w:sz w:val="22"/>
          <w:szCs w:val="22"/>
        </w:rPr>
        <w:t xml:space="preserve">Rynek pracy </w:t>
      </w:r>
    </w:p>
    <w:p w14:paraId="544DA6E9" w14:textId="77777777" w:rsidR="0093433C" w:rsidRPr="00890249" w:rsidRDefault="00283FAE"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Wyzwania</w:t>
      </w:r>
      <w:r w:rsidR="0098685F" w:rsidRPr="00890249">
        <w:rPr>
          <w:rFonts w:asciiTheme="minorHAnsi" w:eastAsiaTheme="minorHAnsi" w:hAnsiTheme="minorHAnsi" w:cstheme="minorHAnsi"/>
          <w:b/>
          <w:color w:val="auto"/>
          <w:sz w:val="22"/>
          <w:szCs w:val="22"/>
          <w:lang w:eastAsia="en-US" w:bidi="ar-SA"/>
        </w:rPr>
        <w:t>:</w:t>
      </w:r>
    </w:p>
    <w:p w14:paraId="228CDDA8" w14:textId="21E27B8A" w:rsidR="00B72154" w:rsidRPr="00890249" w:rsidRDefault="00875C92" w:rsidP="009F296A">
      <w:pPr>
        <w:pStyle w:val="Akapitzlist"/>
        <w:numPr>
          <w:ilvl w:val="0"/>
          <w:numId w:val="125"/>
        </w:numPr>
        <w:ind w:left="426"/>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Zwiększenie dostępu do zatrudnienia w szczególności dla grup najbardziej oddalonych od rynku pracy</w:t>
      </w:r>
      <w:r w:rsidR="005C1EFE" w:rsidRPr="00890249">
        <w:rPr>
          <w:rFonts w:asciiTheme="minorHAnsi" w:eastAsiaTheme="minorHAnsi" w:hAnsiTheme="minorHAnsi" w:cstheme="minorHAnsi"/>
          <w:sz w:val="22"/>
          <w:szCs w:val="22"/>
          <w:lang w:eastAsia="en-US" w:bidi="ar-SA"/>
        </w:rPr>
        <w:t>.</w:t>
      </w:r>
    </w:p>
    <w:p w14:paraId="112047A2" w14:textId="7F23C427" w:rsidR="00B72154" w:rsidRPr="00890249" w:rsidRDefault="00875C92" w:rsidP="009F296A">
      <w:pPr>
        <w:pStyle w:val="Akapitzlist"/>
        <w:numPr>
          <w:ilvl w:val="0"/>
          <w:numId w:val="125"/>
        </w:numPr>
        <w:ind w:left="426"/>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noProof/>
          <w:sz w:val="22"/>
          <w:szCs w:val="22"/>
          <w:lang w:eastAsia="en-US"/>
        </w:rPr>
        <w:t xml:space="preserve">Dostosowanie potencjału </w:t>
      </w:r>
      <w:r w:rsidR="00347F4E" w:rsidRPr="00890249">
        <w:rPr>
          <w:rFonts w:asciiTheme="minorHAnsi" w:eastAsiaTheme="minorHAnsi" w:hAnsiTheme="minorHAnsi" w:cstheme="minorHAnsi"/>
          <w:noProof/>
          <w:sz w:val="22"/>
          <w:szCs w:val="22"/>
          <w:lang w:eastAsia="en-US"/>
        </w:rPr>
        <w:t>pracodawców</w:t>
      </w:r>
      <w:r w:rsidRPr="00890249">
        <w:rPr>
          <w:rFonts w:asciiTheme="minorHAnsi" w:eastAsiaTheme="minorHAnsi" w:hAnsiTheme="minorHAnsi" w:cstheme="minorHAnsi"/>
          <w:noProof/>
          <w:sz w:val="22"/>
          <w:szCs w:val="22"/>
          <w:lang w:eastAsia="en-US"/>
        </w:rPr>
        <w:t xml:space="preserve"> </w:t>
      </w:r>
      <w:r w:rsidR="00CA7B85" w:rsidRPr="00890249">
        <w:rPr>
          <w:rFonts w:asciiTheme="minorHAnsi" w:eastAsiaTheme="minorHAnsi" w:hAnsiTheme="minorHAnsi" w:cstheme="minorHAnsi"/>
          <w:noProof/>
          <w:sz w:val="22"/>
          <w:szCs w:val="22"/>
          <w:lang w:eastAsia="en-US"/>
        </w:rPr>
        <w:t xml:space="preserve">oraz </w:t>
      </w:r>
      <w:r w:rsidRPr="00890249">
        <w:rPr>
          <w:rFonts w:asciiTheme="minorHAnsi" w:eastAsiaTheme="minorHAnsi" w:hAnsiTheme="minorHAnsi" w:cstheme="minorHAnsi"/>
          <w:noProof/>
          <w:sz w:val="22"/>
          <w:szCs w:val="22"/>
          <w:lang w:eastAsia="en-US"/>
        </w:rPr>
        <w:t>ich pracowników do potrzeb rynku pracy</w:t>
      </w:r>
      <w:r w:rsidR="005C1EFE" w:rsidRPr="00890249">
        <w:rPr>
          <w:rFonts w:asciiTheme="minorHAnsi" w:eastAsiaTheme="minorHAnsi" w:hAnsiTheme="minorHAnsi" w:cstheme="minorHAnsi"/>
          <w:noProof/>
          <w:sz w:val="22"/>
          <w:szCs w:val="22"/>
          <w:lang w:eastAsia="en-US"/>
        </w:rPr>
        <w:t>.</w:t>
      </w:r>
    </w:p>
    <w:p w14:paraId="1E68BDE9" w14:textId="4491BAC3" w:rsidR="00B72154" w:rsidRPr="00890249" w:rsidRDefault="00875C92" w:rsidP="009F296A">
      <w:pPr>
        <w:pStyle w:val="Akapitzlist"/>
        <w:numPr>
          <w:ilvl w:val="0"/>
          <w:numId w:val="125"/>
        </w:numPr>
        <w:ind w:left="426"/>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Zapobieganie przedwczesnemu opuszczaniu rynku pracy poprzez m.in. </w:t>
      </w:r>
      <w:r w:rsidR="00283FAE" w:rsidRPr="00890249">
        <w:rPr>
          <w:rFonts w:asciiTheme="minorHAnsi" w:eastAsiaTheme="minorHAnsi" w:hAnsiTheme="minorHAnsi" w:cstheme="minorHAnsi"/>
          <w:sz w:val="22"/>
          <w:szCs w:val="22"/>
          <w:lang w:eastAsia="en-US" w:bidi="ar-SA"/>
        </w:rPr>
        <w:t>rehabilitację medyczną</w:t>
      </w:r>
      <w:r w:rsidR="005C1EFE" w:rsidRPr="00890249">
        <w:rPr>
          <w:rFonts w:asciiTheme="minorHAnsi" w:eastAsiaTheme="minorHAnsi" w:hAnsiTheme="minorHAnsi" w:cstheme="minorHAnsi"/>
          <w:sz w:val="22"/>
          <w:szCs w:val="22"/>
          <w:lang w:eastAsia="en-US" w:bidi="ar-SA"/>
        </w:rPr>
        <w:t>.</w:t>
      </w:r>
    </w:p>
    <w:p w14:paraId="71DA67EC" w14:textId="77777777" w:rsidR="0093433C" w:rsidRPr="00890249" w:rsidRDefault="0098685F" w:rsidP="00890249">
      <w:pPr>
        <w:pStyle w:val="Nagwek6"/>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color w:val="auto"/>
          <w:sz w:val="22"/>
          <w:szCs w:val="22"/>
          <w:lang w:eastAsia="en-US" w:bidi="ar-SA"/>
        </w:rPr>
        <w:t>Cel:</w:t>
      </w:r>
    </w:p>
    <w:p w14:paraId="2344C5E3" w14:textId="25B6A6A1" w:rsidR="0093433C" w:rsidRPr="00890249" w:rsidRDefault="00875C9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Osiągnięcie do 2030 r. wskaźnika zatrudnienia na poziomie 75%</w:t>
      </w:r>
      <w:r w:rsidR="00283FAE" w:rsidRPr="00890249">
        <w:rPr>
          <w:rStyle w:val="Odwoanieprzypisudolnego"/>
          <w:rFonts w:asciiTheme="minorHAnsi" w:eastAsiaTheme="minorHAnsi" w:hAnsiTheme="minorHAnsi" w:cstheme="minorHAnsi"/>
          <w:sz w:val="22"/>
          <w:szCs w:val="22"/>
          <w:lang w:eastAsia="en-US" w:bidi="ar-SA"/>
        </w:rPr>
        <w:footnoteReference w:id="29"/>
      </w:r>
      <w:r w:rsidR="0045541F"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w:t>
      </w:r>
    </w:p>
    <w:p w14:paraId="5F0D5154" w14:textId="6B233585" w:rsidR="0093433C" w:rsidRPr="00890249" w:rsidRDefault="00283FAE" w:rsidP="00890249">
      <w:pPr>
        <w:pStyle w:val="Nagwek7"/>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color w:val="auto"/>
          <w:sz w:val="22"/>
          <w:szCs w:val="22"/>
          <w:lang w:eastAsia="en-US" w:bidi="ar-SA"/>
        </w:rPr>
        <w:t>Wzrost przeciętnego trwania życia w zdrowiu w 2030 r. dla kobiet – 75 lat, dla mężczyzn – 69 lat</w:t>
      </w:r>
      <w:r w:rsidRPr="00890249">
        <w:rPr>
          <w:rStyle w:val="Odwoanieprzypisudolnego"/>
          <w:rFonts w:asciiTheme="minorHAnsi" w:eastAsiaTheme="minorHAnsi" w:hAnsiTheme="minorHAnsi" w:cstheme="minorHAnsi"/>
          <w:color w:val="auto"/>
          <w:sz w:val="22"/>
          <w:szCs w:val="22"/>
          <w:lang w:eastAsia="en-US" w:bidi="ar-SA"/>
        </w:rPr>
        <w:footnoteReference w:id="30"/>
      </w:r>
      <w:r w:rsidR="0045541F" w:rsidRPr="00890249">
        <w:rPr>
          <w:rFonts w:asciiTheme="minorHAnsi" w:eastAsiaTheme="minorHAnsi" w:hAnsiTheme="minorHAnsi" w:cstheme="minorHAnsi"/>
          <w:color w:val="auto"/>
          <w:sz w:val="22"/>
          <w:szCs w:val="22"/>
          <w:lang w:eastAsia="en-US" w:bidi="ar-SA"/>
        </w:rPr>
        <w:t>.</w:t>
      </w:r>
      <w:r w:rsidRPr="00890249">
        <w:rPr>
          <w:rFonts w:asciiTheme="minorHAnsi" w:eastAsiaTheme="minorHAnsi" w:hAnsiTheme="minorHAnsi" w:cstheme="minorHAnsi"/>
          <w:color w:val="auto"/>
          <w:sz w:val="22"/>
          <w:szCs w:val="22"/>
          <w:lang w:eastAsia="en-US" w:bidi="ar-SA"/>
        </w:rPr>
        <w:t xml:space="preserve"> </w:t>
      </w:r>
    </w:p>
    <w:p w14:paraId="222DBBB8" w14:textId="77777777" w:rsidR="0093433C" w:rsidRPr="00890249" w:rsidRDefault="0098685F" w:rsidP="00890249">
      <w:pPr>
        <w:pStyle w:val="Nagwek6"/>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color w:val="auto"/>
          <w:sz w:val="22"/>
          <w:szCs w:val="22"/>
          <w:lang w:eastAsia="en-US" w:bidi="ar-SA"/>
        </w:rPr>
        <w:t>Sytuacja aktualna:</w:t>
      </w:r>
    </w:p>
    <w:p w14:paraId="613AE509" w14:textId="75ED8E74" w:rsidR="0093433C" w:rsidRPr="00890249" w:rsidRDefault="0098685F"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Wartość wskaźnika zatrudnienia w </w:t>
      </w:r>
      <w:r w:rsidR="00F408BD" w:rsidRPr="00890249">
        <w:rPr>
          <w:rFonts w:asciiTheme="minorHAnsi" w:hAnsiTheme="minorHAnsi" w:cstheme="minorHAnsi"/>
          <w:sz w:val="22"/>
          <w:szCs w:val="22"/>
          <w:lang w:eastAsia="en-US" w:bidi="ar-SA"/>
        </w:rPr>
        <w:t>IV</w:t>
      </w:r>
      <w:r w:rsidRPr="00890249">
        <w:rPr>
          <w:rFonts w:asciiTheme="minorHAnsi" w:hAnsiTheme="minorHAnsi" w:cstheme="minorHAnsi"/>
          <w:sz w:val="22"/>
          <w:szCs w:val="22"/>
          <w:lang w:eastAsia="en-US" w:bidi="ar-SA"/>
        </w:rPr>
        <w:t xml:space="preserve"> kwartale 2021 r. w op</w:t>
      </w:r>
      <w:r w:rsidR="001600FD" w:rsidRPr="00890249">
        <w:rPr>
          <w:rFonts w:asciiTheme="minorHAnsi" w:hAnsiTheme="minorHAnsi" w:cstheme="minorHAnsi"/>
          <w:sz w:val="22"/>
          <w:szCs w:val="22"/>
          <w:lang w:eastAsia="en-US" w:bidi="ar-SA"/>
        </w:rPr>
        <w:t>olskim wynosił</w:t>
      </w:r>
      <w:r w:rsidRPr="00890249">
        <w:rPr>
          <w:rFonts w:asciiTheme="minorHAnsi" w:hAnsiTheme="minorHAnsi" w:cstheme="minorHAnsi"/>
          <w:sz w:val="22"/>
          <w:szCs w:val="22"/>
          <w:lang w:eastAsia="en-US" w:bidi="ar-SA"/>
        </w:rPr>
        <w:t>a</w:t>
      </w:r>
      <w:r w:rsidR="001600FD"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56,5%</w:t>
      </w:r>
      <w:r w:rsidR="00890249">
        <w:rPr>
          <w:rFonts w:asciiTheme="minorHAnsi" w:hAnsiTheme="minorHAnsi" w:cstheme="minorHAnsi"/>
          <w:sz w:val="22"/>
          <w:szCs w:val="22"/>
          <w:lang w:eastAsia="en-US" w:bidi="ar-SA"/>
        </w:rPr>
        <w:t xml:space="preserve"> i zmniejszyła się o </w:t>
      </w:r>
      <w:r w:rsidR="001600FD" w:rsidRPr="00890249">
        <w:rPr>
          <w:rFonts w:asciiTheme="minorHAnsi" w:hAnsiTheme="minorHAnsi" w:cstheme="minorHAnsi"/>
          <w:sz w:val="22"/>
          <w:szCs w:val="22"/>
          <w:lang w:eastAsia="en-US" w:bidi="ar-SA"/>
        </w:rPr>
        <w:t>1,2 p. p</w:t>
      </w:r>
      <w:r w:rsidRPr="00890249">
        <w:rPr>
          <w:rFonts w:asciiTheme="minorHAnsi" w:hAnsiTheme="minorHAnsi" w:cstheme="minorHAnsi"/>
          <w:sz w:val="22"/>
          <w:szCs w:val="22"/>
          <w:lang w:eastAsia="en-US" w:bidi="ar-SA"/>
        </w:rPr>
        <w:t>. w stosunku do pop</w:t>
      </w:r>
      <w:r w:rsidR="001600FD" w:rsidRPr="00890249">
        <w:rPr>
          <w:rFonts w:asciiTheme="minorHAnsi" w:hAnsiTheme="minorHAnsi" w:cstheme="minorHAnsi"/>
          <w:sz w:val="22"/>
          <w:szCs w:val="22"/>
          <w:lang w:eastAsia="en-US" w:bidi="ar-SA"/>
        </w:rPr>
        <w:t>rzedniego okresu (w kraju 56,3% i spadek o 0,1 p. p</w:t>
      </w:r>
      <w:r w:rsidRPr="00890249">
        <w:rPr>
          <w:rFonts w:asciiTheme="minorHAnsi" w:hAnsiTheme="minorHAnsi" w:cstheme="minorHAnsi"/>
          <w:sz w:val="22"/>
          <w:szCs w:val="22"/>
          <w:lang w:eastAsia="en-US" w:bidi="ar-SA"/>
        </w:rPr>
        <w:t>.)</w:t>
      </w:r>
      <w:r w:rsidR="001600FD"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rPr>
        <w:t xml:space="preserve"> </w:t>
      </w:r>
      <w:r w:rsidR="0074613F" w:rsidRPr="00890249">
        <w:rPr>
          <w:rFonts w:asciiTheme="minorHAnsi" w:hAnsiTheme="minorHAnsi" w:cstheme="minorHAnsi"/>
          <w:sz w:val="22"/>
          <w:szCs w:val="22"/>
        </w:rPr>
        <w:t>W</w:t>
      </w:r>
      <w:r w:rsidR="00890249">
        <w:rPr>
          <w:rFonts w:asciiTheme="minorHAnsi" w:hAnsiTheme="minorHAnsi" w:cstheme="minorHAnsi"/>
          <w:sz w:val="22"/>
          <w:szCs w:val="22"/>
        </w:rPr>
        <w:t>yższy wskaźnik w </w:t>
      </w:r>
      <w:r w:rsidR="00875C92" w:rsidRPr="00890249">
        <w:rPr>
          <w:rFonts w:asciiTheme="minorHAnsi" w:hAnsiTheme="minorHAnsi" w:cstheme="minorHAnsi"/>
          <w:sz w:val="22"/>
          <w:szCs w:val="22"/>
        </w:rPr>
        <w:t>woj</w:t>
      </w:r>
      <w:r w:rsidR="00B405F9" w:rsidRPr="00890249">
        <w:rPr>
          <w:rFonts w:asciiTheme="minorHAnsi" w:hAnsiTheme="minorHAnsi" w:cstheme="minorHAnsi"/>
          <w:sz w:val="22"/>
          <w:szCs w:val="22"/>
        </w:rPr>
        <w:t>.</w:t>
      </w:r>
      <w:r w:rsidR="00875C92" w:rsidRPr="00890249">
        <w:rPr>
          <w:rFonts w:asciiTheme="minorHAnsi" w:hAnsiTheme="minorHAnsi" w:cstheme="minorHAnsi"/>
          <w:sz w:val="22"/>
          <w:szCs w:val="22"/>
        </w:rPr>
        <w:t xml:space="preserve"> wystąpił wśród mężczyzn niż kobiet (65,6% wobec 48,4%), a </w:t>
      </w:r>
      <w:r w:rsidR="00CD5ECE" w:rsidRPr="00890249">
        <w:rPr>
          <w:rFonts w:asciiTheme="minorHAnsi" w:hAnsiTheme="minorHAnsi" w:cstheme="minorHAnsi"/>
          <w:sz w:val="22"/>
          <w:szCs w:val="22"/>
        </w:rPr>
        <w:t xml:space="preserve">jego </w:t>
      </w:r>
      <w:r w:rsidR="00875C92" w:rsidRPr="00890249">
        <w:rPr>
          <w:rFonts w:asciiTheme="minorHAnsi" w:hAnsiTheme="minorHAnsi" w:cstheme="minorHAnsi"/>
          <w:sz w:val="22"/>
          <w:szCs w:val="22"/>
        </w:rPr>
        <w:t>większą wartość odnotowano wśród mieszkańców wsi niż miast (58,1% wobec 55,4%)</w:t>
      </w:r>
      <w:r w:rsidR="001600FD" w:rsidRPr="00890249">
        <w:rPr>
          <w:rFonts w:asciiTheme="minorHAnsi" w:hAnsiTheme="minorHAnsi" w:cstheme="minorHAnsi"/>
          <w:sz w:val="22"/>
          <w:szCs w:val="22"/>
          <w:lang w:eastAsia="en-US" w:bidi="ar-SA"/>
        </w:rPr>
        <w:t xml:space="preserve"> </w:t>
      </w:r>
      <w:r w:rsidR="001600FD" w:rsidRPr="00890249">
        <w:rPr>
          <w:rStyle w:val="Odwoanieprzypisudolnego"/>
          <w:rFonts w:asciiTheme="minorHAnsi" w:eastAsiaTheme="minorHAnsi" w:hAnsiTheme="minorHAnsi" w:cstheme="minorHAnsi"/>
          <w:sz w:val="22"/>
          <w:szCs w:val="22"/>
          <w:lang w:eastAsia="en-US" w:bidi="ar-SA"/>
        </w:rPr>
        <w:footnoteReference w:id="31"/>
      </w:r>
      <w:r w:rsidRPr="00890249">
        <w:rPr>
          <w:rFonts w:asciiTheme="minorHAnsi" w:hAnsiTheme="minorHAnsi" w:cstheme="minorHAnsi"/>
          <w:sz w:val="22"/>
          <w:szCs w:val="22"/>
          <w:lang w:eastAsia="en-US" w:bidi="ar-SA"/>
        </w:rPr>
        <w:t>.</w:t>
      </w:r>
    </w:p>
    <w:p w14:paraId="1882D77D" w14:textId="50E59AEE" w:rsidR="0093433C" w:rsidRPr="00890249" w:rsidRDefault="00283FAE" w:rsidP="00890249">
      <w:pPr>
        <w:pStyle w:val="Tekstpodstawowy"/>
        <w:rPr>
          <w:rFonts w:asciiTheme="minorHAnsi" w:hAnsiTheme="minorHAnsi" w:cstheme="minorHAnsi"/>
          <w:color w:val="000000"/>
          <w:sz w:val="22"/>
          <w:szCs w:val="22"/>
          <w:lang w:eastAsia="en-US" w:bidi="ar-SA"/>
        </w:rPr>
      </w:pPr>
      <w:r w:rsidRPr="00890249">
        <w:rPr>
          <w:rFonts w:asciiTheme="minorHAnsi" w:hAnsiTheme="minorHAnsi" w:cstheme="minorHAnsi"/>
          <w:noProof/>
          <w:sz w:val="22"/>
          <w:szCs w:val="22"/>
          <w:lang w:eastAsia="en-US"/>
        </w:rPr>
        <w:t>D</w:t>
      </w:r>
      <w:r w:rsidR="00875C92" w:rsidRPr="00890249">
        <w:rPr>
          <w:rFonts w:asciiTheme="minorHAnsi" w:hAnsiTheme="minorHAnsi" w:cstheme="minorHAnsi"/>
          <w:noProof/>
          <w:sz w:val="22"/>
          <w:szCs w:val="22"/>
          <w:lang w:eastAsia="en-US"/>
        </w:rPr>
        <w:t>ynamiczne zmiany współczesn</w:t>
      </w:r>
      <w:r w:rsidR="002B39E5" w:rsidRPr="00890249">
        <w:rPr>
          <w:rFonts w:asciiTheme="minorHAnsi" w:hAnsiTheme="minorHAnsi" w:cstheme="minorHAnsi"/>
          <w:noProof/>
          <w:sz w:val="22"/>
          <w:szCs w:val="22"/>
          <w:lang w:eastAsia="en-US"/>
        </w:rPr>
        <w:t>ego</w:t>
      </w:r>
      <w:r w:rsidR="00875C92" w:rsidRPr="00890249">
        <w:rPr>
          <w:rFonts w:asciiTheme="minorHAnsi" w:hAnsiTheme="minorHAnsi" w:cstheme="minorHAnsi"/>
          <w:noProof/>
          <w:sz w:val="22"/>
          <w:szCs w:val="22"/>
          <w:lang w:eastAsia="en-US"/>
        </w:rPr>
        <w:t xml:space="preserve"> ryn</w:t>
      </w:r>
      <w:r w:rsidR="002B39E5" w:rsidRPr="00890249">
        <w:rPr>
          <w:rFonts w:asciiTheme="minorHAnsi" w:hAnsiTheme="minorHAnsi" w:cstheme="minorHAnsi"/>
          <w:noProof/>
          <w:sz w:val="22"/>
          <w:szCs w:val="22"/>
          <w:lang w:eastAsia="en-US"/>
        </w:rPr>
        <w:t>ku</w:t>
      </w:r>
      <w:r w:rsidR="00875C92" w:rsidRPr="00890249">
        <w:rPr>
          <w:rFonts w:asciiTheme="minorHAnsi" w:hAnsiTheme="minorHAnsi" w:cstheme="minorHAnsi"/>
          <w:noProof/>
          <w:sz w:val="22"/>
          <w:szCs w:val="22"/>
          <w:lang w:eastAsia="en-US"/>
        </w:rPr>
        <w:t xml:space="preserve"> pracy wymusza</w:t>
      </w:r>
      <w:r w:rsidR="002B39E5" w:rsidRPr="00890249">
        <w:rPr>
          <w:rFonts w:asciiTheme="minorHAnsi" w:hAnsiTheme="minorHAnsi" w:cstheme="minorHAnsi"/>
          <w:noProof/>
          <w:sz w:val="22"/>
          <w:szCs w:val="22"/>
          <w:lang w:eastAsia="en-US"/>
        </w:rPr>
        <w:t>ją</w:t>
      </w:r>
      <w:r w:rsidR="00875C92" w:rsidRPr="00890249">
        <w:rPr>
          <w:rFonts w:asciiTheme="minorHAnsi" w:hAnsiTheme="minorHAnsi" w:cstheme="minorHAnsi"/>
          <w:noProof/>
          <w:sz w:val="22"/>
          <w:szCs w:val="22"/>
          <w:lang w:eastAsia="en-US"/>
        </w:rPr>
        <w:t xml:space="preserve"> na pracownikach i pracodawcach elastyczność, </w:t>
      </w:r>
      <w:r w:rsidR="002B39E5" w:rsidRPr="00890249">
        <w:rPr>
          <w:rFonts w:asciiTheme="minorHAnsi" w:hAnsiTheme="minorHAnsi" w:cstheme="minorHAnsi"/>
          <w:noProof/>
          <w:sz w:val="22"/>
          <w:szCs w:val="22"/>
          <w:lang w:eastAsia="en-US"/>
        </w:rPr>
        <w:t>tj.</w:t>
      </w:r>
      <w:r w:rsidR="00875C92" w:rsidRPr="00890249">
        <w:rPr>
          <w:rFonts w:asciiTheme="minorHAnsi" w:hAnsiTheme="minorHAnsi" w:cstheme="minorHAnsi"/>
          <w:noProof/>
          <w:sz w:val="22"/>
          <w:szCs w:val="22"/>
          <w:lang w:eastAsia="en-US"/>
        </w:rPr>
        <w:t xml:space="preserve"> umiejętność szybkiego dostosowywania się do zmian i akceptowania ich jako naturalnego procesu w rozwoju.</w:t>
      </w:r>
      <w:r w:rsidR="00875C92" w:rsidRPr="00890249">
        <w:rPr>
          <w:rFonts w:asciiTheme="minorHAnsi" w:hAnsiTheme="minorHAnsi" w:cstheme="minorHAnsi"/>
          <w:sz w:val="22"/>
          <w:szCs w:val="22"/>
          <w:lang w:eastAsia="en-US" w:bidi="ar-SA"/>
        </w:rPr>
        <w:t xml:space="preserve"> </w:t>
      </w:r>
    </w:p>
    <w:p w14:paraId="4B6BA673" w14:textId="71085804" w:rsidR="0093433C" w:rsidRPr="00890249" w:rsidRDefault="00DF73F5" w:rsidP="00890249">
      <w:pPr>
        <w:pStyle w:val="Tekstpodstawowy"/>
        <w:rPr>
          <w:rFonts w:asciiTheme="minorHAnsi" w:hAnsiTheme="minorHAnsi" w:cstheme="minorHAnsi"/>
          <w:noProof/>
          <w:sz w:val="22"/>
          <w:szCs w:val="22"/>
        </w:rPr>
      </w:pPr>
      <w:r w:rsidRPr="00890249">
        <w:rPr>
          <w:rFonts w:asciiTheme="minorHAnsi" w:eastAsiaTheme="minorHAnsi" w:hAnsiTheme="minorHAnsi" w:cstheme="minorHAnsi"/>
          <w:sz w:val="22"/>
          <w:szCs w:val="22"/>
          <w:lang w:eastAsia="en-US" w:bidi="ar-SA"/>
        </w:rPr>
        <w:t>N</w:t>
      </w:r>
      <w:r w:rsidR="00875C92" w:rsidRPr="00890249">
        <w:rPr>
          <w:rFonts w:asciiTheme="minorHAnsi" w:eastAsiaTheme="minorHAnsi" w:hAnsiTheme="minorHAnsi" w:cstheme="minorHAnsi"/>
          <w:sz w:val="22"/>
          <w:szCs w:val="22"/>
          <w:lang w:eastAsia="en-US" w:bidi="ar-SA"/>
        </w:rPr>
        <w:t>ajdłuższy czas oczekiwania na świadczenia rehabilitacyjne w trybie pilnym na oddziale dziennym – 192 dni</w:t>
      </w:r>
      <w:r w:rsidR="002B39E5" w:rsidRPr="00890249">
        <w:rPr>
          <w:rFonts w:asciiTheme="minorHAnsi" w:eastAsiaTheme="minorHAnsi" w:hAnsiTheme="minorHAnsi" w:cstheme="minorHAnsi"/>
          <w:sz w:val="22"/>
          <w:szCs w:val="22"/>
          <w:lang w:eastAsia="en-US" w:bidi="ar-SA"/>
        </w:rPr>
        <w:t xml:space="preserve"> - </w:t>
      </w:r>
      <w:r w:rsidR="00875C92" w:rsidRPr="00890249">
        <w:rPr>
          <w:rFonts w:asciiTheme="minorHAnsi" w:eastAsiaTheme="minorHAnsi" w:hAnsiTheme="minorHAnsi" w:cstheme="minorHAnsi"/>
          <w:sz w:val="22"/>
          <w:szCs w:val="22"/>
          <w:lang w:eastAsia="en-US" w:bidi="ar-SA"/>
        </w:rPr>
        <w:t xml:space="preserve"> jeden z najwyższych wskaźników w kraju (176 dni śr. w Polsce)</w:t>
      </w:r>
      <w:r w:rsidRPr="00890249">
        <w:rPr>
          <w:rFonts w:asciiTheme="minorHAnsi" w:eastAsiaTheme="minorHAnsi" w:hAnsiTheme="minorHAnsi" w:cstheme="minorHAnsi"/>
          <w:sz w:val="22"/>
          <w:szCs w:val="22"/>
          <w:lang w:eastAsia="en-US" w:bidi="ar-SA"/>
        </w:rPr>
        <w:t xml:space="preserve">, </w:t>
      </w:r>
      <w:r w:rsidR="00255C36" w:rsidRPr="00890249">
        <w:rPr>
          <w:rFonts w:asciiTheme="minorHAnsi" w:eastAsiaTheme="minorHAnsi" w:hAnsiTheme="minorHAnsi" w:cstheme="minorHAnsi"/>
          <w:sz w:val="22"/>
          <w:szCs w:val="22"/>
          <w:lang w:eastAsia="en-US" w:bidi="ar-SA"/>
        </w:rPr>
        <w:t>a</w:t>
      </w:r>
      <w:r w:rsidR="007404A9">
        <w:rPr>
          <w:rFonts w:asciiTheme="minorHAnsi" w:eastAsiaTheme="minorHAnsi" w:hAnsiTheme="minorHAnsi" w:cstheme="minorHAnsi"/>
          <w:sz w:val="22"/>
          <w:szCs w:val="22"/>
          <w:lang w:eastAsia="en-US" w:bidi="ar-SA"/>
        </w:rPr>
        <w:t xml:space="preserve"> w przypadku stabilnym </w:t>
      </w:r>
      <w:r w:rsidR="007404A9">
        <w:rPr>
          <w:rFonts w:asciiTheme="minorHAnsi" w:eastAsiaTheme="minorHAnsi" w:hAnsiTheme="minorHAnsi" w:cstheme="minorHAnsi"/>
          <w:sz w:val="22"/>
          <w:szCs w:val="22"/>
          <w:lang w:eastAsia="en-US" w:bidi="ar-SA"/>
        </w:rPr>
        <w:lastRenderedPageBreak/>
        <w:t>najdłuższy</w:t>
      </w:r>
      <w:r w:rsidRPr="00890249">
        <w:rPr>
          <w:rFonts w:asciiTheme="minorHAnsi" w:eastAsiaTheme="minorHAnsi" w:hAnsiTheme="minorHAnsi" w:cstheme="minorHAnsi"/>
          <w:sz w:val="22"/>
          <w:szCs w:val="22"/>
          <w:lang w:eastAsia="en-US" w:bidi="ar-SA"/>
        </w:rPr>
        <w:t xml:space="preserve"> </w:t>
      </w:r>
      <w:r w:rsidR="00615CEC" w:rsidRPr="00890249">
        <w:rPr>
          <w:rFonts w:asciiTheme="minorHAnsi" w:eastAsiaTheme="minorHAnsi" w:hAnsiTheme="minorHAnsi" w:cstheme="minorHAnsi"/>
          <w:sz w:val="22"/>
          <w:szCs w:val="22"/>
          <w:lang w:eastAsia="en-US" w:bidi="ar-SA"/>
        </w:rPr>
        <w:t>c</w:t>
      </w:r>
      <w:r w:rsidRPr="00890249">
        <w:rPr>
          <w:rFonts w:asciiTheme="minorHAnsi" w:eastAsiaTheme="minorHAnsi" w:hAnsiTheme="minorHAnsi" w:cstheme="minorHAnsi"/>
          <w:sz w:val="22"/>
          <w:szCs w:val="22"/>
          <w:lang w:eastAsia="en-US" w:bidi="ar-SA"/>
        </w:rPr>
        <w:t>zas oczekiw</w:t>
      </w:r>
      <w:r w:rsidR="007404A9">
        <w:rPr>
          <w:rFonts w:asciiTheme="minorHAnsi" w:eastAsiaTheme="minorHAnsi" w:hAnsiTheme="minorHAnsi" w:cstheme="minorHAnsi"/>
          <w:sz w:val="22"/>
          <w:szCs w:val="22"/>
          <w:lang w:eastAsia="en-US" w:bidi="ar-SA"/>
        </w:rPr>
        <w:t>ania</w:t>
      </w:r>
      <w:r w:rsidRPr="00890249">
        <w:rPr>
          <w:rFonts w:asciiTheme="minorHAnsi" w:eastAsiaTheme="minorHAnsi" w:hAnsiTheme="minorHAnsi" w:cstheme="minorHAnsi"/>
          <w:sz w:val="22"/>
          <w:szCs w:val="22"/>
          <w:lang w:eastAsia="en-US" w:bidi="ar-SA"/>
        </w:rPr>
        <w:t xml:space="preserve"> </w:t>
      </w:r>
      <w:r w:rsidR="00615CEC" w:rsidRPr="00890249">
        <w:rPr>
          <w:rFonts w:asciiTheme="minorHAnsi" w:eastAsiaTheme="minorHAnsi" w:hAnsiTheme="minorHAnsi" w:cstheme="minorHAnsi"/>
          <w:sz w:val="22"/>
          <w:szCs w:val="22"/>
          <w:lang w:eastAsia="en-US" w:bidi="ar-SA"/>
        </w:rPr>
        <w:t>n</w:t>
      </w:r>
      <w:r w:rsidR="007404A9">
        <w:rPr>
          <w:rFonts w:asciiTheme="minorHAnsi" w:eastAsiaTheme="minorHAnsi" w:hAnsiTheme="minorHAnsi" w:cstheme="minorHAnsi"/>
          <w:sz w:val="22"/>
          <w:szCs w:val="22"/>
          <w:lang w:eastAsia="en-US" w:bidi="ar-SA"/>
        </w:rPr>
        <w:t>a rehabilitację</w:t>
      </w:r>
      <w:r w:rsidRPr="00890249">
        <w:rPr>
          <w:rFonts w:asciiTheme="minorHAnsi" w:eastAsiaTheme="minorHAnsi" w:hAnsiTheme="minorHAnsi" w:cstheme="minorHAnsi"/>
          <w:sz w:val="22"/>
          <w:szCs w:val="22"/>
          <w:lang w:eastAsia="en-US" w:bidi="ar-SA"/>
        </w:rPr>
        <w:t xml:space="preserve"> </w:t>
      </w:r>
      <w:r w:rsidR="00615CEC" w:rsidRPr="00890249">
        <w:rPr>
          <w:rFonts w:asciiTheme="minorHAnsi" w:eastAsiaTheme="minorHAnsi" w:hAnsiTheme="minorHAnsi" w:cstheme="minorHAnsi"/>
          <w:sz w:val="22"/>
          <w:szCs w:val="22"/>
          <w:lang w:eastAsia="en-US" w:bidi="ar-SA"/>
        </w:rPr>
        <w:t>n</w:t>
      </w:r>
      <w:r w:rsidRPr="00890249">
        <w:rPr>
          <w:rFonts w:asciiTheme="minorHAnsi" w:eastAsiaTheme="minorHAnsi" w:hAnsiTheme="minorHAnsi" w:cstheme="minorHAnsi"/>
          <w:sz w:val="22"/>
          <w:szCs w:val="22"/>
          <w:lang w:eastAsia="en-US" w:bidi="ar-SA"/>
        </w:rPr>
        <w:t>eurologiczną w war</w:t>
      </w:r>
      <w:r w:rsidR="002B39E5" w:rsidRPr="00890249">
        <w:rPr>
          <w:rFonts w:asciiTheme="minorHAnsi" w:eastAsiaTheme="minorHAnsi" w:hAnsiTheme="minorHAnsi" w:cstheme="minorHAnsi"/>
          <w:sz w:val="22"/>
          <w:szCs w:val="22"/>
          <w:lang w:eastAsia="en-US" w:bidi="ar-SA"/>
        </w:rPr>
        <w:t>.</w:t>
      </w:r>
      <w:r w:rsidRPr="00890249">
        <w:rPr>
          <w:rFonts w:asciiTheme="minorHAnsi" w:eastAsiaTheme="minorHAnsi" w:hAnsiTheme="minorHAnsi" w:cstheme="minorHAnsi"/>
          <w:sz w:val="22"/>
          <w:szCs w:val="22"/>
          <w:lang w:eastAsia="en-US" w:bidi="ar-SA"/>
        </w:rPr>
        <w:t xml:space="preserve"> stacjona</w:t>
      </w:r>
      <w:r w:rsidR="00E04E5D">
        <w:rPr>
          <w:rFonts w:asciiTheme="minorHAnsi" w:eastAsiaTheme="minorHAnsi" w:hAnsiTheme="minorHAnsi" w:cstheme="minorHAnsi"/>
          <w:sz w:val="22"/>
          <w:szCs w:val="22"/>
          <w:lang w:eastAsia="en-US" w:bidi="ar-SA"/>
        </w:rPr>
        <w:t>rnych – 1095 dni (śr. w </w:t>
      </w:r>
      <w:r w:rsidR="00615CEC" w:rsidRPr="00890249">
        <w:rPr>
          <w:rFonts w:asciiTheme="minorHAnsi" w:eastAsiaTheme="minorHAnsi" w:hAnsiTheme="minorHAnsi" w:cstheme="minorHAnsi"/>
          <w:sz w:val="22"/>
          <w:szCs w:val="22"/>
          <w:lang w:eastAsia="en-US" w:bidi="ar-SA"/>
        </w:rPr>
        <w:t>kraju 556 dni)</w:t>
      </w:r>
      <w:r w:rsidR="00875C92" w:rsidRPr="00890249">
        <w:rPr>
          <w:rStyle w:val="Odwoanieprzypisudolnego"/>
          <w:rFonts w:asciiTheme="minorHAnsi" w:eastAsiaTheme="minorHAnsi" w:hAnsiTheme="minorHAnsi" w:cstheme="minorHAnsi"/>
          <w:sz w:val="22"/>
          <w:szCs w:val="22"/>
          <w:lang w:eastAsia="en-US" w:bidi="ar-SA"/>
        </w:rPr>
        <w:footnoteReference w:id="32"/>
      </w:r>
      <w:r w:rsidRPr="00890249">
        <w:rPr>
          <w:rFonts w:asciiTheme="minorHAnsi" w:eastAsiaTheme="minorHAnsi" w:hAnsiTheme="minorHAnsi" w:cstheme="minorHAnsi"/>
          <w:sz w:val="22"/>
          <w:szCs w:val="22"/>
          <w:lang w:eastAsia="en-US" w:bidi="ar-SA"/>
        </w:rPr>
        <w:t>.</w:t>
      </w:r>
    </w:p>
    <w:p w14:paraId="199498A4" w14:textId="7DEB7815" w:rsidR="0093433C" w:rsidRPr="00890249" w:rsidRDefault="00A43991" w:rsidP="00890249">
      <w:pPr>
        <w:pStyle w:val="Nagwek5"/>
        <w:rPr>
          <w:rFonts w:asciiTheme="minorHAnsi" w:hAnsiTheme="minorHAnsi" w:cstheme="minorHAnsi"/>
          <w:b/>
          <w:color w:val="2F5496" w:themeColor="accent5" w:themeShade="BF"/>
          <w:sz w:val="22"/>
          <w:szCs w:val="22"/>
        </w:rPr>
      </w:pPr>
      <w:r w:rsidRPr="00890249">
        <w:rPr>
          <w:rFonts w:asciiTheme="minorHAnsi" w:hAnsiTheme="minorHAnsi" w:cstheme="minorHAnsi"/>
          <w:b/>
          <w:color w:val="2F5496" w:themeColor="accent5" w:themeShade="BF"/>
          <w:sz w:val="22"/>
          <w:szCs w:val="22"/>
        </w:rPr>
        <w:t>Włączenie społeczn</w:t>
      </w:r>
      <w:r w:rsidR="00E67EC5" w:rsidRPr="00890249">
        <w:rPr>
          <w:rFonts w:asciiTheme="minorHAnsi" w:hAnsiTheme="minorHAnsi" w:cstheme="minorHAnsi"/>
          <w:b/>
          <w:color w:val="2F5496" w:themeColor="accent5" w:themeShade="BF"/>
          <w:sz w:val="22"/>
          <w:szCs w:val="22"/>
        </w:rPr>
        <w:t>e</w:t>
      </w:r>
    </w:p>
    <w:p w14:paraId="34C46E34" w14:textId="77777777" w:rsidR="0093433C" w:rsidRPr="00890249" w:rsidRDefault="00E67EC5"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Wyzwania:</w:t>
      </w:r>
    </w:p>
    <w:p w14:paraId="6A5B8B87" w14:textId="4D6ACA58" w:rsidR="00B72154" w:rsidRPr="00890249" w:rsidRDefault="6C5C84D4" w:rsidP="009F296A">
      <w:pPr>
        <w:pStyle w:val="Akapitzlist"/>
        <w:numPr>
          <w:ilvl w:val="0"/>
          <w:numId w:val="102"/>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Zmniejszenie wykluczenia społecznego i ubóstwa</w:t>
      </w:r>
      <w:r w:rsidR="005C1EFE" w:rsidRPr="00890249">
        <w:rPr>
          <w:rFonts w:asciiTheme="minorHAnsi" w:eastAsiaTheme="minorEastAsia" w:hAnsiTheme="minorHAnsi" w:cstheme="minorHAnsi"/>
          <w:sz w:val="22"/>
          <w:szCs w:val="22"/>
          <w:lang w:eastAsia="en-US" w:bidi="ar-SA"/>
        </w:rPr>
        <w:t>.</w:t>
      </w:r>
    </w:p>
    <w:p w14:paraId="55049F58" w14:textId="27A9AD99" w:rsidR="00B72154" w:rsidRPr="00890249" w:rsidRDefault="00875C92" w:rsidP="009F296A">
      <w:pPr>
        <w:pStyle w:val="Akapitzlist"/>
        <w:numPr>
          <w:ilvl w:val="0"/>
          <w:numId w:val="102"/>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hAnsiTheme="minorHAnsi" w:cstheme="minorHAnsi"/>
          <w:sz w:val="22"/>
          <w:szCs w:val="22"/>
        </w:rPr>
        <w:t>Integracja społeczności romskiej oraz obywateli państw trzecich</w:t>
      </w:r>
      <w:r w:rsidR="005C1EFE" w:rsidRPr="00890249">
        <w:rPr>
          <w:rFonts w:asciiTheme="minorHAnsi" w:hAnsiTheme="minorHAnsi" w:cstheme="minorHAnsi"/>
          <w:sz w:val="22"/>
          <w:szCs w:val="22"/>
        </w:rPr>
        <w:t>.</w:t>
      </w:r>
    </w:p>
    <w:p w14:paraId="2D61E2FD" w14:textId="33757E68" w:rsidR="00B72154" w:rsidRPr="00890249" w:rsidRDefault="00875C92" w:rsidP="009F296A">
      <w:pPr>
        <w:pStyle w:val="Akapitzlist"/>
        <w:numPr>
          <w:ilvl w:val="0"/>
          <w:numId w:val="102"/>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Poprawa dostępu do usług społecznych</w:t>
      </w:r>
      <w:r w:rsidR="005C1EFE" w:rsidRPr="00890249">
        <w:rPr>
          <w:rFonts w:asciiTheme="minorHAnsi" w:eastAsiaTheme="minorHAnsi" w:hAnsiTheme="minorHAnsi" w:cstheme="minorHAnsi"/>
          <w:sz w:val="22"/>
          <w:szCs w:val="22"/>
          <w:lang w:eastAsia="en-US" w:bidi="ar-SA"/>
        </w:rPr>
        <w:t>.</w:t>
      </w:r>
    </w:p>
    <w:p w14:paraId="1F4DCC98" w14:textId="5053734F" w:rsidR="00B72154" w:rsidRPr="00890249" w:rsidRDefault="00E67EC5" w:rsidP="009F296A">
      <w:pPr>
        <w:pStyle w:val="Akapitzlist"/>
        <w:numPr>
          <w:ilvl w:val="0"/>
          <w:numId w:val="102"/>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Zmniejszenie l</w:t>
      </w:r>
      <w:r w:rsidR="00B405F9" w:rsidRPr="00890249">
        <w:rPr>
          <w:rFonts w:asciiTheme="minorHAnsi" w:eastAsiaTheme="minorHAnsi" w:hAnsiTheme="minorHAnsi" w:cstheme="minorHAnsi"/>
          <w:sz w:val="22"/>
          <w:szCs w:val="22"/>
          <w:lang w:eastAsia="en-US" w:bidi="ar-SA"/>
        </w:rPr>
        <w:t>.</w:t>
      </w:r>
      <w:r w:rsidRPr="00890249">
        <w:rPr>
          <w:rFonts w:asciiTheme="minorHAnsi" w:eastAsiaTheme="minorHAnsi" w:hAnsiTheme="minorHAnsi" w:cstheme="minorHAnsi"/>
          <w:sz w:val="22"/>
          <w:szCs w:val="22"/>
          <w:lang w:eastAsia="en-US" w:bidi="ar-SA"/>
        </w:rPr>
        <w:t xml:space="preserve"> dzieci umieszczonych w instytucjonalnych formach pieczy zastępczej</w:t>
      </w:r>
      <w:r w:rsidR="005C1EFE" w:rsidRPr="00890249">
        <w:rPr>
          <w:rFonts w:asciiTheme="minorHAnsi" w:eastAsiaTheme="minorHAnsi" w:hAnsiTheme="minorHAnsi" w:cstheme="minorHAnsi"/>
          <w:sz w:val="22"/>
          <w:szCs w:val="22"/>
          <w:lang w:eastAsia="en-US" w:bidi="ar-SA"/>
        </w:rPr>
        <w:t>.</w:t>
      </w:r>
    </w:p>
    <w:p w14:paraId="062ED818" w14:textId="77777777" w:rsidR="0093433C" w:rsidRPr="00890249" w:rsidRDefault="00875C92"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Cel:</w:t>
      </w:r>
    </w:p>
    <w:p w14:paraId="73AA0248" w14:textId="16768418" w:rsidR="0093433C" w:rsidRPr="00890249" w:rsidRDefault="00875C92" w:rsidP="00890249">
      <w:pPr>
        <w:pStyle w:val="Nagwek7"/>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color w:val="auto"/>
          <w:sz w:val="22"/>
          <w:szCs w:val="22"/>
          <w:lang w:eastAsia="en-US" w:bidi="ar-SA"/>
        </w:rPr>
        <w:t xml:space="preserve">Obniżenie do </w:t>
      </w:r>
      <w:r w:rsidR="00E67EC5" w:rsidRPr="00890249">
        <w:rPr>
          <w:rFonts w:asciiTheme="minorHAnsi" w:eastAsiaTheme="minorHAnsi" w:hAnsiTheme="minorHAnsi" w:cstheme="minorHAnsi"/>
          <w:color w:val="auto"/>
          <w:sz w:val="22"/>
          <w:szCs w:val="22"/>
          <w:lang w:eastAsia="en-US" w:bidi="ar-SA"/>
        </w:rPr>
        <w:t>2030 r. wskaź</w:t>
      </w:r>
      <w:r w:rsidR="007404A9">
        <w:rPr>
          <w:rFonts w:asciiTheme="minorHAnsi" w:eastAsiaTheme="minorHAnsi" w:hAnsiTheme="minorHAnsi" w:cstheme="minorHAnsi"/>
          <w:color w:val="auto"/>
          <w:sz w:val="22"/>
          <w:szCs w:val="22"/>
          <w:lang w:eastAsia="en-US" w:bidi="ar-SA"/>
        </w:rPr>
        <w:t>nika</w:t>
      </w:r>
      <w:r w:rsidR="00E67EC5" w:rsidRPr="00890249">
        <w:rPr>
          <w:rFonts w:asciiTheme="minorHAnsi" w:eastAsiaTheme="minorHAnsi" w:hAnsiTheme="minorHAnsi" w:cstheme="minorHAnsi"/>
          <w:color w:val="auto"/>
          <w:sz w:val="22"/>
          <w:szCs w:val="22"/>
          <w:lang w:eastAsia="en-US" w:bidi="ar-SA"/>
        </w:rPr>
        <w:t xml:space="preserve"> zagroż</w:t>
      </w:r>
      <w:r w:rsidR="007404A9">
        <w:rPr>
          <w:rFonts w:asciiTheme="minorHAnsi" w:eastAsiaTheme="minorHAnsi" w:hAnsiTheme="minorHAnsi" w:cstheme="minorHAnsi"/>
          <w:color w:val="auto"/>
          <w:sz w:val="22"/>
          <w:szCs w:val="22"/>
          <w:lang w:eastAsia="en-US" w:bidi="ar-SA"/>
        </w:rPr>
        <w:t>enia</w:t>
      </w:r>
      <w:r w:rsidR="00E67EC5" w:rsidRPr="00890249">
        <w:rPr>
          <w:rFonts w:asciiTheme="minorHAnsi" w:eastAsiaTheme="minorHAnsi" w:hAnsiTheme="minorHAnsi" w:cstheme="minorHAnsi"/>
          <w:color w:val="auto"/>
          <w:sz w:val="22"/>
          <w:szCs w:val="22"/>
          <w:lang w:eastAsia="en-US" w:bidi="ar-SA"/>
        </w:rPr>
        <w:t xml:space="preserve"> ubóstwem lub wyklucz</w:t>
      </w:r>
      <w:r w:rsidR="00B405F9" w:rsidRPr="00890249">
        <w:rPr>
          <w:rFonts w:asciiTheme="minorHAnsi" w:eastAsiaTheme="minorHAnsi" w:hAnsiTheme="minorHAnsi" w:cstheme="minorHAnsi"/>
          <w:color w:val="auto"/>
          <w:sz w:val="22"/>
          <w:szCs w:val="22"/>
          <w:lang w:eastAsia="en-US" w:bidi="ar-SA"/>
        </w:rPr>
        <w:t>.</w:t>
      </w:r>
      <w:r w:rsidR="00E67EC5" w:rsidRPr="00890249">
        <w:rPr>
          <w:rFonts w:asciiTheme="minorHAnsi" w:eastAsiaTheme="minorHAnsi" w:hAnsiTheme="minorHAnsi" w:cstheme="minorHAnsi"/>
          <w:color w:val="auto"/>
          <w:sz w:val="22"/>
          <w:szCs w:val="22"/>
          <w:lang w:eastAsia="en-US" w:bidi="ar-SA"/>
        </w:rPr>
        <w:t xml:space="preserve"> społ</w:t>
      </w:r>
      <w:r w:rsidR="00B405F9" w:rsidRPr="00890249">
        <w:rPr>
          <w:rFonts w:asciiTheme="minorHAnsi" w:eastAsiaTheme="minorHAnsi" w:hAnsiTheme="minorHAnsi" w:cstheme="minorHAnsi"/>
          <w:color w:val="auto"/>
          <w:sz w:val="22"/>
          <w:szCs w:val="22"/>
          <w:lang w:eastAsia="en-US" w:bidi="ar-SA"/>
        </w:rPr>
        <w:t>.</w:t>
      </w:r>
      <w:r w:rsidR="00E67EC5" w:rsidRPr="00890249">
        <w:rPr>
          <w:rFonts w:asciiTheme="minorHAnsi" w:eastAsiaTheme="minorHAnsi" w:hAnsiTheme="minorHAnsi" w:cstheme="minorHAnsi"/>
          <w:color w:val="auto"/>
          <w:sz w:val="22"/>
          <w:szCs w:val="22"/>
          <w:lang w:eastAsia="en-US" w:bidi="ar-SA"/>
        </w:rPr>
        <w:t xml:space="preserve"> do 17%</w:t>
      </w:r>
      <w:r w:rsidR="00E67EC5" w:rsidRPr="00890249">
        <w:rPr>
          <w:rStyle w:val="Odwoanieprzypisudolnego"/>
          <w:rFonts w:asciiTheme="minorHAnsi" w:eastAsiaTheme="minorHAnsi" w:hAnsiTheme="minorHAnsi" w:cstheme="minorHAnsi"/>
          <w:color w:val="auto"/>
          <w:sz w:val="22"/>
          <w:szCs w:val="22"/>
          <w:lang w:eastAsia="en-US" w:bidi="ar-SA"/>
        </w:rPr>
        <w:footnoteReference w:id="33"/>
      </w:r>
      <w:r w:rsidR="005C1EFE" w:rsidRPr="00890249">
        <w:rPr>
          <w:rFonts w:asciiTheme="minorHAnsi" w:eastAsiaTheme="minorHAnsi" w:hAnsiTheme="minorHAnsi" w:cstheme="minorHAnsi"/>
          <w:color w:val="auto"/>
          <w:sz w:val="22"/>
          <w:szCs w:val="22"/>
          <w:lang w:eastAsia="en-US" w:bidi="ar-SA"/>
        </w:rPr>
        <w:t>.</w:t>
      </w:r>
      <w:r w:rsidR="00E67EC5" w:rsidRPr="00890249">
        <w:rPr>
          <w:rFonts w:asciiTheme="minorHAnsi" w:eastAsiaTheme="minorHAnsi" w:hAnsiTheme="minorHAnsi" w:cstheme="minorHAnsi"/>
          <w:color w:val="auto"/>
          <w:sz w:val="22"/>
          <w:szCs w:val="22"/>
          <w:lang w:eastAsia="en-US" w:bidi="ar-SA"/>
        </w:rPr>
        <w:t xml:space="preserve"> </w:t>
      </w:r>
    </w:p>
    <w:p w14:paraId="4AF5E316" w14:textId="7E2D7D44" w:rsidR="0093433C" w:rsidRPr="00890249" w:rsidRDefault="000F124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Wzrost wskaź</w:t>
      </w:r>
      <w:r w:rsidR="007404A9">
        <w:rPr>
          <w:rFonts w:asciiTheme="minorHAnsi" w:hAnsiTheme="minorHAnsi" w:cstheme="minorHAnsi"/>
          <w:sz w:val="22"/>
          <w:szCs w:val="22"/>
          <w:lang w:eastAsia="en-US" w:bidi="ar-SA"/>
        </w:rPr>
        <w:t>nika</w:t>
      </w:r>
      <w:r w:rsidRPr="00890249">
        <w:rPr>
          <w:rFonts w:asciiTheme="minorHAnsi" w:hAnsiTheme="minorHAnsi" w:cstheme="minorHAnsi"/>
          <w:sz w:val="22"/>
          <w:szCs w:val="22"/>
          <w:lang w:eastAsia="en-US" w:bidi="ar-SA"/>
        </w:rPr>
        <w:t xml:space="preserve"> zatrudnienia osób niepełnosprawnych w wieku 16 – 64 lata (wg stanu na 2018 r. – 24,3%)</w:t>
      </w:r>
      <w:r w:rsidR="00AD716C" w:rsidRPr="00890249">
        <w:rPr>
          <w:rFonts w:asciiTheme="minorHAnsi" w:hAnsiTheme="minorHAnsi" w:cstheme="minorHAnsi"/>
          <w:sz w:val="22"/>
          <w:szCs w:val="22"/>
          <w:lang w:eastAsia="en-US" w:bidi="ar-SA"/>
        </w:rPr>
        <w:t>.</w:t>
      </w:r>
    </w:p>
    <w:p w14:paraId="1487DC11" w14:textId="77777777" w:rsidR="0093433C" w:rsidRPr="00890249" w:rsidRDefault="00E67EC5" w:rsidP="00890249">
      <w:pPr>
        <w:pStyle w:val="Nagwek6"/>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color w:val="auto"/>
          <w:sz w:val="22"/>
          <w:szCs w:val="22"/>
          <w:lang w:eastAsia="en-US" w:bidi="ar-SA"/>
        </w:rPr>
        <w:t>Sytuacja aktualna:</w:t>
      </w:r>
    </w:p>
    <w:p w14:paraId="41DCA5F4" w14:textId="7AADC997" w:rsidR="0093433C" w:rsidRPr="00890249" w:rsidRDefault="000F1242" w:rsidP="00890249">
      <w:pPr>
        <w:pStyle w:val="Tekstpodstawowy"/>
        <w:rPr>
          <w:rFonts w:asciiTheme="minorHAnsi" w:eastAsia="TimesNewRomanPSMT" w:hAnsiTheme="minorHAnsi" w:cstheme="minorHAnsi"/>
          <w:sz w:val="22"/>
          <w:szCs w:val="22"/>
        </w:rPr>
      </w:pPr>
      <w:r w:rsidRPr="00890249">
        <w:rPr>
          <w:rFonts w:asciiTheme="minorHAnsi" w:hAnsiTheme="minorHAnsi" w:cstheme="minorHAnsi"/>
          <w:noProof/>
          <w:sz w:val="22"/>
          <w:szCs w:val="22"/>
        </w:rPr>
        <w:t>S</w:t>
      </w:r>
      <w:r w:rsidR="00C76BC4" w:rsidRPr="00890249">
        <w:rPr>
          <w:rFonts w:asciiTheme="minorHAnsi" w:hAnsiTheme="minorHAnsi" w:cstheme="minorHAnsi"/>
          <w:noProof/>
          <w:sz w:val="22"/>
          <w:szCs w:val="22"/>
        </w:rPr>
        <w:t xml:space="preserve">kokowy wzrost liczby cudzoziemców w regionie - na koniec grudnia 2018 r. </w:t>
      </w:r>
      <w:r w:rsidR="00C76BC4" w:rsidRPr="00890249">
        <w:rPr>
          <w:rFonts w:asciiTheme="minorHAnsi" w:hAnsiTheme="minorHAnsi" w:cstheme="minorHAnsi"/>
          <w:color w:val="222222"/>
          <w:sz w:val="22"/>
          <w:szCs w:val="22"/>
          <w:shd w:val="clear" w:color="auto" w:fill="FFFFFF"/>
        </w:rPr>
        <w:t>l</w:t>
      </w:r>
      <w:r w:rsidR="00B405F9" w:rsidRPr="00890249">
        <w:rPr>
          <w:rFonts w:asciiTheme="minorHAnsi" w:hAnsiTheme="minorHAnsi" w:cstheme="minorHAnsi"/>
          <w:color w:val="222222"/>
          <w:sz w:val="22"/>
          <w:szCs w:val="22"/>
          <w:shd w:val="clear" w:color="auto" w:fill="FFFFFF"/>
        </w:rPr>
        <w:t>.</w:t>
      </w:r>
      <w:r w:rsidR="00C76BC4" w:rsidRPr="00890249">
        <w:rPr>
          <w:rFonts w:asciiTheme="minorHAnsi" w:hAnsiTheme="minorHAnsi" w:cstheme="minorHAnsi"/>
          <w:color w:val="222222"/>
          <w:sz w:val="22"/>
          <w:szCs w:val="22"/>
          <w:shd w:val="clear" w:color="auto" w:fill="FFFFFF"/>
        </w:rPr>
        <w:t xml:space="preserve"> obywateli państw trzecich zgłoszonych do ubezp</w:t>
      </w:r>
      <w:r w:rsidR="00B405F9" w:rsidRPr="00890249">
        <w:rPr>
          <w:rFonts w:asciiTheme="minorHAnsi" w:hAnsiTheme="minorHAnsi" w:cstheme="minorHAnsi"/>
          <w:color w:val="222222"/>
          <w:sz w:val="22"/>
          <w:szCs w:val="22"/>
          <w:shd w:val="clear" w:color="auto" w:fill="FFFFFF"/>
        </w:rPr>
        <w:t>.</w:t>
      </w:r>
      <w:r w:rsidR="00C76BC4" w:rsidRPr="00890249">
        <w:rPr>
          <w:rFonts w:asciiTheme="minorHAnsi" w:hAnsiTheme="minorHAnsi" w:cstheme="minorHAnsi"/>
          <w:color w:val="222222"/>
          <w:sz w:val="22"/>
          <w:szCs w:val="22"/>
          <w:shd w:val="clear" w:color="auto" w:fill="FFFFFF"/>
        </w:rPr>
        <w:t xml:space="preserve"> emerytalno – rentowych </w:t>
      </w:r>
      <w:r w:rsidR="00C76BC4" w:rsidRPr="00890249">
        <w:rPr>
          <w:rFonts w:asciiTheme="minorHAnsi" w:hAnsiTheme="minorHAnsi" w:cstheme="minorHAnsi"/>
          <w:noProof/>
          <w:sz w:val="22"/>
          <w:szCs w:val="22"/>
        </w:rPr>
        <w:t>wynosiła ponad 17 tys. os</w:t>
      </w:r>
      <w:r w:rsidR="00DF5DD3" w:rsidRPr="00890249">
        <w:rPr>
          <w:rFonts w:asciiTheme="minorHAnsi" w:hAnsiTheme="minorHAnsi" w:cstheme="minorHAnsi"/>
          <w:noProof/>
          <w:sz w:val="22"/>
          <w:szCs w:val="22"/>
        </w:rPr>
        <w:t>.</w:t>
      </w:r>
      <w:r w:rsidR="001838D3" w:rsidRPr="00890249">
        <w:rPr>
          <w:rFonts w:asciiTheme="minorHAnsi" w:hAnsiTheme="minorHAnsi" w:cstheme="minorHAnsi"/>
          <w:noProof/>
          <w:sz w:val="22"/>
          <w:szCs w:val="22"/>
        </w:rPr>
        <w:t xml:space="preserve"> </w:t>
      </w:r>
      <w:r w:rsidR="00890249">
        <w:rPr>
          <w:rFonts w:asciiTheme="minorHAnsi" w:hAnsiTheme="minorHAnsi" w:cstheme="minorHAnsi"/>
          <w:noProof/>
          <w:sz w:val="22"/>
          <w:szCs w:val="22"/>
        </w:rPr>
        <w:t>W związku z </w:t>
      </w:r>
      <w:r w:rsidR="00347F4E" w:rsidRPr="00890249">
        <w:rPr>
          <w:rFonts w:asciiTheme="minorHAnsi" w:hAnsiTheme="minorHAnsi" w:cstheme="minorHAnsi"/>
          <w:noProof/>
          <w:sz w:val="22"/>
          <w:szCs w:val="22"/>
        </w:rPr>
        <w:t>wybuchem wojny w Ukrainie</w:t>
      </w:r>
      <w:r w:rsidR="00F408BD" w:rsidRPr="00890249">
        <w:rPr>
          <w:rFonts w:asciiTheme="minorHAnsi" w:hAnsiTheme="minorHAnsi" w:cstheme="minorHAnsi"/>
          <w:noProof/>
          <w:sz w:val="22"/>
          <w:szCs w:val="22"/>
        </w:rPr>
        <w:t xml:space="preserve"> </w:t>
      </w:r>
      <w:r w:rsidR="001838D3" w:rsidRPr="00890249">
        <w:rPr>
          <w:rFonts w:asciiTheme="minorHAnsi" w:hAnsiTheme="minorHAnsi" w:cstheme="minorHAnsi"/>
          <w:noProof/>
          <w:sz w:val="22"/>
          <w:szCs w:val="22"/>
        </w:rPr>
        <w:t xml:space="preserve">na terenie woj. opolskiego, wg stanu na </w:t>
      </w:r>
      <w:r w:rsidR="00347F4E" w:rsidRPr="00890249">
        <w:rPr>
          <w:rFonts w:asciiTheme="minorHAnsi" w:hAnsiTheme="minorHAnsi" w:cstheme="minorHAnsi"/>
          <w:noProof/>
          <w:sz w:val="22"/>
          <w:szCs w:val="22"/>
        </w:rPr>
        <w:t>29 września</w:t>
      </w:r>
      <w:r w:rsidR="001838D3" w:rsidRPr="00890249">
        <w:rPr>
          <w:rFonts w:asciiTheme="minorHAnsi" w:hAnsiTheme="minorHAnsi" w:cstheme="minorHAnsi"/>
          <w:noProof/>
          <w:sz w:val="22"/>
          <w:szCs w:val="22"/>
        </w:rPr>
        <w:t xml:space="preserve"> 2022 r., przebywało ok. </w:t>
      </w:r>
      <w:r w:rsidR="00347F4E" w:rsidRPr="00890249">
        <w:rPr>
          <w:rFonts w:asciiTheme="minorHAnsi" w:hAnsiTheme="minorHAnsi" w:cstheme="minorHAnsi"/>
          <w:noProof/>
          <w:sz w:val="22"/>
          <w:szCs w:val="22"/>
        </w:rPr>
        <w:t>31</w:t>
      </w:r>
      <w:r w:rsidR="001838D3" w:rsidRPr="00890249">
        <w:rPr>
          <w:rFonts w:asciiTheme="minorHAnsi" w:hAnsiTheme="minorHAnsi" w:cstheme="minorHAnsi"/>
          <w:noProof/>
          <w:sz w:val="22"/>
          <w:szCs w:val="22"/>
        </w:rPr>
        <w:t xml:space="preserve"> tys. osób</w:t>
      </w:r>
      <w:r w:rsidR="001838D3" w:rsidRPr="00890249">
        <w:rPr>
          <w:rFonts w:asciiTheme="minorHAnsi" w:eastAsiaTheme="minorHAnsi" w:hAnsiTheme="minorHAnsi" w:cstheme="minorHAnsi"/>
          <w:sz w:val="22"/>
          <w:szCs w:val="22"/>
          <w:vertAlign w:val="superscript"/>
          <w:lang w:eastAsia="en-US" w:bidi="ar-SA"/>
        </w:rPr>
        <w:footnoteReference w:id="34"/>
      </w:r>
      <w:r w:rsidR="001838D3" w:rsidRPr="00890249">
        <w:rPr>
          <w:rFonts w:asciiTheme="minorHAnsi" w:hAnsiTheme="minorHAnsi" w:cstheme="minorHAnsi"/>
          <w:noProof/>
          <w:sz w:val="22"/>
          <w:szCs w:val="22"/>
        </w:rPr>
        <w:t xml:space="preserve">. </w:t>
      </w:r>
    </w:p>
    <w:p w14:paraId="099826F4" w14:textId="7A7B0DE8" w:rsidR="0093433C" w:rsidRPr="00890249" w:rsidRDefault="00C76BC4" w:rsidP="00890249">
      <w:pPr>
        <w:pStyle w:val="Tekstpodstawowy"/>
        <w:rPr>
          <w:rFonts w:asciiTheme="minorHAnsi" w:hAnsiTheme="minorHAnsi" w:cstheme="minorHAnsi"/>
          <w:noProof/>
          <w:sz w:val="22"/>
          <w:szCs w:val="22"/>
        </w:rPr>
      </w:pPr>
      <w:r w:rsidRPr="00890249">
        <w:rPr>
          <w:rFonts w:asciiTheme="minorHAnsi" w:eastAsia="TimesNewRomanPSMT" w:hAnsiTheme="minorHAnsi" w:cstheme="minorHAnsi"/>
          <w:sz w:val="22"/>
          <w:szCs w:val="22"/>
        </w:rPr>
        <w:t>W</w:t>
      </w:r>
      <w:r w:rsidRPr="00890249">
        <w:rPr>
          <w:rFonts w:asciiTheme="minorHAnsi" w:hAnsiTheme="minorHAnsi" w:cstheme="minorHAnsi"/>
          <w:sz w:val="22"/>
          <w:szCs w:val="22"/>
        </w:rPr>
        <w:t xml:space="preserve">g spisu powszechnego z 2011 r. wśród mieszkańców </w:t>
      </w:r>
      <w:r w:rsidR="00DF5DD3" w:rsidRPr="00890249">
        <w:rPr>
          <w:rFonts w:asciiTheme="minorHAnsi" w:hAnsiTheme="minorHAnsi" w:cstheme="minorHAnsi"/>
          <w:sz w:val="22"/>
          <w:szCs w:val="22"/>
        </w:rPr>
        <w:t>regionu</w:t>
      </w:r>
      <w:r w:rsidRPr="00890249">
        <w:rPr>
          <w:rFonts w:asciiTheme="minorHAnsi" w:hAnsiTheme="minorHAnsi" w:cstheme="minorHAnsi"/>
          <w:sz w:val="22"/>
          <w:szCs w:val="22"/>
        </w:rPr>
        <w:t xml:space="preserve"> przynależność do romskiej mniejszości etnicznej </w:t>
      </w:r>
      <w:r w:rsidR="00DF5DD3" w:rsidRPr="00890249">
        <w:rPr>
          <w:rFonts w:asciiTheme="minorHAnsi" w:hAnsiTheme="minorHAnsi" w:cstheme="minorHAnsi"/>
          <w:sz w:val="22"/>
          <w:szCs w:val="22"/>
        </w:rPr>
        <w:t>wskazało</w:t>
      </w:r>
      <w:r w:rsidRPr="00890249">
        <w:rPr>
          <w:rFonts w:asciiTheme="minorHAnsi" w:hAnsiTheme="minorHAnsi" w:cstheme="minorHAnsi"/>
          <w:sz w:val="22"/>
          <w:szCs w:val="22"/>
        </w:rPr>
        <w:t xml:space="preserve"> 1,1 tys. osób</w:t>
      </w:r>
      <w:r w:rsidRPr="00890249">
        <w:rPr>
          <w:rFonts w:asciiTheme="minorHAnsi" w:hAnsiTheme="minorHAnsi" w:cstheme="minorHAnsi"/>
          <w:sz w:val="22"/>
          <w:szCs w:val="22"/>
          <w:vertAlign w:val="superscript"/>
        </w:rPr>
        <w:footnoteReference w:id="35"/>
      </w:r>
      <w:r w:rsidR="001838D3" w:rsidRPr="00890249">
        <w:rPr>
          <w:rFonts w:asciiTheme="minorHAnsi" w:hAnsiTheme="minorHAnsi" w:cstheme="minorHAnsi"/>
          <w:sz w:val="22"/>
          <w:szCs w:val="22"/>
        </w:rPr>
        <w:t>, a wg. szacunków OUW w 2010 r. ok. 2 tys.</w:t>
      </w:r>
      <w:r w:rsidRPr="00890249">
        <w:rPr>
          <w:rFonts w:asciiTheme="minorHAnsi" w:hAnsiTheme="minorHAnsi" w:cstheme="minorHAnsi"/>
          <w:sz w:val="22"/>
          <w:szCs w:val="22"/>
        </w:rPr>
        <w:t xml:space="preserve"> </w:t>
      </w:r>
      <w:r w:rsidRPr="00890249">
        <w:rPr>
          <w:rFonts w:asciiTheme="minorHAnsi" w:hAnsiTheme="minorHAnsi" w:cstheme="minorHAnsi"/>
          <w:noProof/>
          <w:sz w:val="22"/>
          <w:szCs w:val="22"/>
        </w:rPr>
        <w:t>Stopa bezrobocia wśród Romów w 2013 r. wyniosła 70,3%, tj. była niższa o 2,1% od poz</w:t>
      </w:r>
      <w:r w:rsidR="00DF5DD3"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z 2005 r. (w  latach 2005–2013 współczynnik ten wynosił średnio 74,6%).</w:t>
      </w:r>
      <w:r w:rsidR="001838D3" w:rsidRPr="00890249">
        <w:rPr>
          <w:rFonts w:asciiTheme="minorHAnsi" w:hAnsiTheme="minorHAnsi" w:cstheme="minorHAnsi"/>
          <w:noProof/>
          <w:sz w:val="22"/>
          <w:szCs w:val="22"/>
        </w:rPr>
        <w:t xml:space="preserve"> Tylko 80% dzieci objętych obowiązkiem szkolnym uczęszcza do szkół</w:t>
      </w:r>
      <w:r w:rsidR="001838D3" w:rsidRPr="00890249">
        <w:rPr>
          <w:rStyle w:val="Odwoanieprzypisudolnego"/>
          <w:rFonts w:asciiTheme="minorHAnsi" w:hAnsiTheme="minorHAnsi" w:cstheme="minorHAnsi"/>
          <w:noProof/>
          <w:sz w:val="22"/>
          <w:szCs w:val="22"/>
        </w:rPr>
        <w:footnoteReference w:id="36"/>
      </w:r>
      <w:r w:rsidR="001838D3" w:rsidRPr="00890249">
        <w:rPr>
          <w:rFonts w:asciiTheme="minorHAnsi" w:hAnsiTheme="minorHAnsi" w:cstheme="minorHAnsi"/>
          <w:noProof/>
          <w:sz w:val="22"/>
          <w:szCs w:val="22"/>
        </w:rPr>
        <w:t>.</w:t>
      </w:r>
    </w:p>
    <w:p w14:paraId="029B7A30" w14:textId="265E8EF7" w:rsidR="0093433C" w:rsidRPr="00890249" w:rsidRDefault="000F1242"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rPr>
        <w:t>W usług</w:t>
      </w:r>
      <w:r w:rsidR="00DF5DD3" w:rsidRPr="00890249">
        <w:rPr>
          <w:rFonts w:asciiTheme="minorHAnsi" w:hAnsiTheme="minorHAnsi" w:cstheme="minorHAnsi"/>
          <w:sz w:val="22"/>
          <w:szCs w:val="22"/>
        </w:rPr>
        <w:t>ach</w:t>
      </w:r>
      <w:r w:rsidRPr="00890249">
        <w:rPr>
          <w:rFonts w:asciiTheme="minorHAnsi" w:hAnsiTheme="minorHAnsi" w:cstheme="minorHAnsi"/>
          <w:sz w:val="22"/>
          <w:szCs w:val="22"/>
        </w:rPr>
        <w:t xml:space="preserve"> społecznych n</w:t>
      </w:r>
      <w:r w:rsidR="00C76BC4" w:rsidRPr="00890249">
        <w:rPr>
          <w:rFonts w:asciiTheme="minorHAnsi" w:hAnsiTheme="minorHAnsi" w:cstheme="minorHAnsi"/>
          <w:sz w:val="22"/>
          <w:szCs w:val="22"/>
        </w:rPr>
        <w:t>ajpilniejszą potrzebą są nadal usługi opiekuńcze oraz asystenckie</w:t>
      </w:r>
      <w:r w:rsidRPr="00890249">
        <w:rPr>
          <w:rFonts w:asciiTheme="minorHAnsi" w:hAnsiTheme="minorHAnsi" w:cstheme="minorHAnsi"/>
          <w:sz w:val="22"/>
          <w:szCs w:val="22"/>
        </w:rPr>
        <w:t xml:space="preserve"> realizowane w formie </w:t>
      </w:r>
      <w:r w:rsidR="007404A9">
        <w:rPr>
          <w:rFonts w:asciiTheme="minorHAnsi" w:hAnsiTheme="minorHAnsi" w:cstheme="minorHAnsi"/>
          <w:sz w:val="22"/>
          <w:szCs w:val="22"/>
        </w:rPr>
        <w:t>DI</w:t>
      </w:r>
      <w:r w:rsidR="00C76BC4" w:rsidRPr="00890249">
        <w:rPr>
          <w:rFonts w:asciiTheme="minorHAnsi" w:hAnsiTheme="minorHAnsi" w:cstheme="minorHAnsi"/>
          <w:sz w:val="22"/>
          <w:szCs w:val="22"/>
        </w:rPr>
        <w:t xml:space="preserve">. </w:t>
      </w:r>
      <w:r w:rsidRPr="00890249">
        <w:rPr>
          <w:rFonts w:asciiTheme="minorHAnsi" w:hAnsiTheme="minorHAnsi" w:cstheme="minorHAnsi"/>
          <w:noProof/>
          <w:sz w:val="22"/>
          <w:szCs w:val="22"/>
        </w:rPr>
        <w:t>Wg stanu na 2020 r. w domach pomocy społecznej w regionie przebywał</w:t>
      </w:r>
      <w:r w:rsidR="00270033" w:rsidRPr="00890249">
        <w:rPr>
          <w:rFonts w:asciiTheme="minorHAnsi" w:hAnsiTheme="minorHAnsi" w:cstheme="minorHAnsi"/>
          <w:noProof/>
          <w:sz w:val="22"/>
          <w:szCs w:val="22"/>
        </w:rPr>
        <w:t>y</w:t>
      </w:r>
      <w:r w:rsidRPr="00890249">
        <w:rPr>
          <w:rFonts w:asciiTheme="minorHAnsi" w:hAnsiTheme="minorHAnsi" w:cstheme="minorHAnsi"/>
          <w:noProof/>
          <w:sz w:val="22"/>
          <w:szCs w:val="22"/>
        </w:rPr>
        <w:t xml:space="preserve"> 3 082 osoby, </w:t>
      </w:r>
      <w:r w:rsidR="00DF5DD3" w:rsidRPr="00890249">
        <w:rPr>
          <w:rFonts w:asciiTheme="minorHAnsi" w:hAnsiTheme="minorHAnsi" w:cstheme="minorHAnsi"/>
          <w:noProof/>
          <w:sz w:val="22"/>
          <w:szCs w:val="22"/>
        </w:rPr>
        <w:t>a</w:t>
      </w:r>
      <w:r w:rsidRPr="00890249">
        <w:rPr>
          <w:rFonts w:asciiTheme="minorHAnsi" w:hAnsiTheme="minorHAnsi" w:cstheme="minorHAnsi"/>
          <w:noProof/>
          <w:sz w:val="22"/>
          <w:szCs w:val="22"/>
        </w:rPr>
        <w:t xml:space="preserve"> np. w dziennych domach pomocy - 1 584 os</w:t>
      </w:r>
      <w:r w:rsidR="00362916" w:rsidRPr="00890249">
        <w:rPr>
          <w:rFonts w:asciiTheme="minorHAnsi" w:hAnsiTheme="minorHAnsi" w:cstheme="minorHAnsi"/>
          <w:noProof/>
          <w:sz w:val="22"/>
          <w:szCs w:val="22"/>
        </w:rPr>
        <w:t>oby</w:t>
      </w:r>
      <w:r w:rsidRPr="00890249">
        <w:rPr>
          <w:rFonts w:asciiTheme="minorHAnsi" w:hAnsiTheme="minorHAnsi" w:cstheme="minorHAnsi"/>
          <w:noProof/>
          <w:sz w:val="22"/>
          <w:szCs w:val="22"/>
        </w:rPr>
        <w:t xml:space="preserve"> (spadek w stosunku do 2019 r. o 17 osób).</w:t>
      </w:r>
    </w:p>
    <w:p w14:paraId="3E7AF6CC" w14:textId="09DC25ED" w:rsidR="0093433C" w:rsidRPr="00890249" w:rsidRDefault="000F1242"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w:t>
      </w:r>
      <w:r w:rsidR="00C76BC4" w:rsidRPr="00890249">
        <w:rPr>
          <w:rFonts w:asciiTheme="minorHAnsi" w:hAnsiTheme="minorHAnsi" w:cstheme="minorHAnsi"/>
          <w:noProof/>
          <w:sz w:val="22"/>
          <w:szCs w:val="22"/>
        </w:rPr>
        <w:t xml:space="preserve"> 2020 r.</w:t>
      </w:r>
      <w:r w:rsidR="00270033" w:rsidRPr="00890249">
        <w:rPr>
          <w:rFonts w:asciiTheme="minorHAnsi" w:hAnsiTheme="minorHAnsi" w:cstheme="minorHAnsi"/>
          <w:noProof/>
          <w:sz w:val="22"/>
          <w:szCs w:val="22"/>
        </w:rPr>
        <w:t>,</w:t>
      </w:r>
      <w:r w:rsidR="00C76BC4" w:rsidRPr="00890249">
        <w:rPr>
          <w:rFonts w:asciiTheme="minorHAnsi" w:hAnsiTheme="minorHAnsi" w:cstheme="minorHAnsi"/>
          <w:noProof/>
          <w:sz w:val="22"/>
          <w:szCs w:val="22"/>
        </w:rPr>
        <w:t xml:space="preserve"> jak w ubiegłych latach, l</w:t>
      </w:r>
      <w:r w:rsidR="005C1EFE" w:rsidRPr="00890249">
        <w:rPr>
          <w:rFonts w:asciiTheme="minorHAnsi" w:hAnsiTheme="minorHAnsi" w:cstheme="minorHAnsi"/>
          <w:noProof/>
          <w:sz w:val="22"/>
          <w:szCs w:val="22"/>
        </w:rPr>
        <w:t>.</w:t>
      </w:r>
      <w:r w:rsidR="00C76BC4" w:rsidRPr="00890249">
        <w:rPr>
          <w:rFonts w:asciiTheme="minorHAnsi" w:hAnsiTheme="minorHAnsi" w:cstheme="minorHAnsi"/>
          <w:noProof/>
          <w:sz w:val="22"/>
          <w:szCs w:val="22"/>
        </w:rPr>
        <w:t xml:space="preserve"> lokali socjalnych w woj. opolskim była mniejsza</w:t>
      </w:r>
      <w:r w:rsidR="00270033" w:rsidRPr="00890249">
        <w:rPr>
          <w:rFonts w:asciiTheme="minorHAnsi" w:hAnsiTheme="minorHAnsi" w:cstheme="minorHAnsi"/>
          <w:noProof/>
          <w:sz w:val="22"/>
          <w:szCs w:val="22"/>
        </w:rPr>
        <w:t>,</w:t>
      </w:r>
      <w:r w:rsidR="00C76BC4" w:rsidRPr="00890249">
        <w:rPr>
          <w:rFonts w:asciiTheme="minorHAnsi" w:hAnsiTheme="minorHAnsi" w:cstheme="minorHAnsi"/>
          <w:noProof/>
          <w:sz w:val="22"/>
          <w:szCs w:val="22"/>
        </w:rPr>
        <w:t xml:space="preserve"> niż</w:t>
      </w:r>
      <w:r w:rsidR="005E6D56">
        <w:t xml:space="preserve"> </w:t>
      </w:r>
      <w:r w:rsidR="00C76BC4" w:rsidRPr="00890249">
        <w:rPr>
          <w:rFonts w:asciiTheme="minorHAnsi" w:hAnsiTheme="minorHAnsi" w:cstheme="minorHAnsi"/>
          <w:noProof/>
          <w:sz w:val="22"/>
          <w:szCs w:val="22"/>
        </w:rPr>
        <w:t>l</w:t>
      </w:r>
      <w:r w:rsidR="005C1EFE" w:rsidRPr="00890249">
        <w:rPr>
          <w:rFonts w:asciiTheme="minorHAnsi" w:hAnsiTheme="minorHAnsi" w:cstheme="minorHAnsi"/>
          <w:noProof/>
          <w:sz w:val="22"/>
          <w:szCs w:val="22"/>
        </w:rPr>
        <w:t>.</w:t>
      </w:r>
      <w:r w:rsidR="005E6D56">
        <w:t> </w:t>
      </w:r>
      <w:r w:rsidR="00C76BC4" w:rsidRPr="00890249">
        <w:rPr>
          <w:rFonts w:asciiTheme="minorHAnsi" w:hAnsiTheme="minorHAnsi" w:cstheme="minorHAnsi"/>
          <w:noProof/>
          <w:sz w:val="22"/>
          <w:szCs w:val="22"/>
        </w:rPr>
        <w:t xml:space="preserve"> oczekujących (na mieszk</w:t>
      </w:r>
      <w:r w:rsidR="005C1EFE" w:rsidRPr="00890249">
        <w:rPr>
          <w:rFonts w:asciiTheme="minorHAnsi" w:hAnsiTheme="minorHAnsi" w:cstheme="minorHAnsi"/>
          <w:noProof/>
          <w:sz w:val="22"/>
          <w:szCs w:val="22"/>
        </w:rPr>
        <w:t>.</w:t>
      </w:r>
      <w:r w:rsidR="00C76BC4" w:rsidRPr="00890249">
        <w:rPr>
          <w:rFonts w:asciiTheme="minorHAnsi" w:hAnsiTheme="minorHAnsi" w:cstheme="minorHAnsi"/>
          <w:noProof/>
          <w:sz w:val="22"/>
          <w:szCs w:val="22"/>
        </w:rPr>
        <w:t xml:space="preserve"> socjalne oczekiwały 1 503 osoby). </w:t>
      </w:r>
    </w:p>
    <w:p w14:paraId="2AC7EF4D" w14:textId="05EF4022" w:rsidR="0093433C" w:rsidRPr="00890249" w:rsidRDefault="001F0062" w:rsidP="00890249">
      <w:pPr>
        <w:pStyle w:val="Tekstpodstawowy"/>
        <w:rPr>
          <w:rFonts w:asciiTheme="minorHAnsi" w:eastAsia="TimesNewRomanPSMT" w:hAnsiTheme="minorHAnsi" w:cstheme="minorHAnsi"/>
          <w:sz w:val="22"/>
          <w:szCs w:val="22"/>
        </w:rPr>
      </w:pPr>
      <w:r w:rsidRPr="00890249">
        <w:rPr>
          <w:rFonts w:asciiTheme="minorHAnsi" w:hAnsiTheme="minorHAnsi" w:cstheme="minorHAnsi"/>
          <w:sz w:val="22"/>
          <w:szCs w:val="22"/>
        </w:rPr>
        <w:t>W</w:t>
      </w:r>
      <w:r w:rsidR="00C76BC4" w:rsidRPr="00890249">
        <w:rPr>
          <w:rFonts w:asciiTheme="minorHAnsi" w:hAnsiTheme="minorHAnsi" w:cstheme="minorHAnsi"/>
          <w:sz w:val="22"/>
          <w:szCs w:val="22"/>
          <w:lang w:eastAsia="en-US" w:bidi="ar-SA"/>
        </w:rPr>
        <w:t xml:space="preserve">g danych na 2020 </w:t>
      </w:r>
      <w:r w:rsidR="00255C36" w:rsidRPr="00890249">
        <w:rPr>
          <w:rFonts w:asciiTheme="minorHAnsi" w:hAnsiTheme="minorHAnsi" w:cstheme="minorHAnsi"/>
          <w:sz w:val="22"/>
          <w:szCs w:val="22"/>
          <w:lang w:eastAsia="en-US" w:bidi="ar-SA"/>
        </w:rPr>
        <w:t xml:space="preserve">r. </w:t>
      </w:r>
      <w:r w:rsidR="00C76BC4" w:rsidRPr="00890249">
        <w:rPr>
          <w:rFonts w:asciiTheme="minorHAnsi" w:hAnsiTheme="minorHAnsi" w:cstheme="minorHAnsi"/>
          <w:sz w:val="22"/>
          <w:szCs w:val="22"/>
          <w:lang w:eastAsia="en-US" w:bidi="ar-SA"/>
        </w:rPr>
        <w:t xml:space="preserve">w woj. opolskim w systemie pieczy zastępczej umieszczonych było 1973 dzieci, z czego: 479 przebywało w jednej z 24 placówek opiekuńczo-wychowawczych w regionie, 1494 dzieci było w rodzinnej pieczy zastępczej. 3-krotnie więcej dzieci w rodzinach zastępczych i placówkach opiekuńczo–wychowawczych, niż w rodzinnych domach dziecka. </w:t>
      </w:r>
      <w:r w:rsidR="00F73930" w:rsidRPr="00890249">
        <w:rPr>
          <w:rFonts w:asciiTheme="minorHAnsi" w:hAnsiTheme="minorHAnsi" w:cstheme="minorHAnsi"/>
          <w:sz w:val="22"/>
          <w:szCs w:val="22"/>
        </w:rPr>
        <w:t>W Programie wydzielono alokację na działania zw. z wdrażaniem: Europejskiej Gwarancji dla Dzieci, która wynosi 26 </w:t>
      </w:r>
      <w:r w:rsidR="004B73D0" w:rsidRPr="00890249">
        <w:rPr>
          <w:rFonts w:asciiTheme="minorHAnsi" w:hAnsiTheme="minorHAnsi" w:cstheme="minorHAnsi"/>
          <w:sz w:val="22"/>
          <w:szCs w:val="22"/>
        </w:rPr>
        <w:t>076</w:t>
      </w:r>
      <w:r w:rsidR="00F73930" w:rsidRPr="00890249">
        <w:rPr>
          <w:rFonts w:asciiTheme="minorHAnsi" w:hAnsiTheme="minorHAnsi" w:cstheme="minorHAnsi"/>
          <w:sz w:val="22"/>
          <w:szCs w:val="22"/>
        </w:rPr>
        <w:t xml:space="preserve"> 77</w:t>
      </w:r>
      <w:r w:rsidR="008C332B" w:rsidRPr="00890249">
        <w:rPr>
          <w:rFonts w:asciiTheme="minorHAnsi" w:hAnsiTheme="minorHAnsi" w:cstheme="minorHAnsi"/>
          <w:sz w:val="22"/>
          <w:szCs w:val="22"/>
        </w:rPr>
        <w:t>4</w:t>
      </w:r>
      <w:r w:rsidR="00F73930" w:rsidRPr="00890249">
        <w:rPr>
          <w:rFonts w:asciiTheme="minorHAnsi" w:hAnsiTheme="minorHAnsi" w:cstheme="minorHAnsi"/>
          <w:sz w:val="22"/>
          <w:szCs w:val="22"/>
        </w:rPr>
        <w:t xml:space="preserve"> EUR oraz Gwarancji dla Młodzieży, która wynosi 2</w:t>
      </w:r>
      <w:r w:rsidR="004B73D0" w:rsidRPr="00890249">
        <w:rPr>
          <w:rFonts w:asciiTheme="minorHAnsi" w:hAnsiTheme="minorHAnsi" w:cstheme="minorHAnsi"/>
          <w:sz w:val="22"/>
          <w:szCs w:val="22"/>
        </w:rPr>
        <w:t>4</w:t>
      </w:r>
      <w:r w:rsidR="00F73930" w:rsidRPr="00890249">
        <w:rPr>
          <w:rFonts w:asciiTheme="minorHAnsi" w:hAnsiTheme="minorHAnsi" w:cstheme="minorHAnsi"/>
          <w:sz w:val="22"/>
          <w:szCs w:val="22"/>
        </w:rPr>
        <w:t> </w:t>
      </w:r>
      <w:r w:rsidR="004B73D0" w:rsidRPr="00890249">
        <w:rPr>
          <w:rFonts w:asciiTheme="minorHAnsi" w:hAnsiTheme="minorHAnsi" w:cstheme="minorHAnsi"/>
          <w:sz w:val="22"/>
          <w:szCs w:val="22"/>
        </w:rPr>
        <w:t>0</w:t>
      </w:r>
      <w:r w:rsidR="00F73930" w:rsidRPr="00890249">
        <w:rPr>
          <w:rFonts w:asciiTheme="minorHAnsi" w:hAnsiTheme="minorHAnsi" w:cstheme="minorHAnsi"/>
          <w:sz w:val="22"/>
          <w:szCs w:val="22"/>
        </w:rPr>
        <w:t>00 000 EUR.</w:t>
      </w:r>
    </w:p>
    <w:p w14:paraId="7AB7BD84" w14:textId="77777777" w:rsidR="0093433C" w:rsidRPr="00890249" w:rsidRDefault="00A43991" w:rsidP="00890249">
      <w:pPr>
        <w:pStyle w:val="Nagwek5"/>
        <w:rPr>
          <w:rFonts w:asciiTheme="minorHAnsi" w:hAnsiTheme="minorHAnsi" w:cstheme="minorHAnsi"/>
          <w:b/>
          <w:color w:val="2F5496" w:themeColor="accent5" w:themeShade="BF"/>
          <w:sz w:val="22"/>
          <w:szCs w:val="22"/>
        </w:rPr>
      </w:pPr>
      <w:r w:rsidRPr="00890249">
        <w:rPr>
          <w:rFonts w:asciiTheme="minorHAnsi" w:hAnsiTheme="minorHAnsi" w:cstheme="minorHAnsi"/>
          <w:b/>
          <w:color w:val="2F5496" w:themeColor="accent5" w:themeShade="BF"/>
          <w:sz w:val="22"/>
          <w:szCs w:val="22"/>
        </w:rPr>
        <w:t>Zdrowie</w:t>
      </w:r>
    </w:p>
    <w:p w14:paraId="58F06C69" w14:textId="77777777" w:rsidR="0093433C" w:rsidRPr="00890249" w:rsidRDefault="0053055F" w:rsidP="00890249">
      <w:pPr>
        <w:pStyle w:val="Nagwek6"/>
        <w:rPr>
          <w:rFonts w:asciiTheme="minorHAnsi" w:hAnsiTheme="minorHAnsi" w:cstheme="minorHAnsi"/>
          <w:b/>
          <w:sz w:val="22"/>
          <w:szCs w:val="22"/>
        </w:rPr>
      </w:pPr>
      <w:r w:rsidRPr="00890249">
        <w:rPr>
          <w:rFonts w:asciiTheme="minorHAnsi" w:hAnsiTheme="minorHAnsi" w:cstheme="minorHAnsi"/>
          <w:b/>
          <w:color w:val="auto"/>
          <w:sz w:val="22"/>
          <w:szCs w:val="22"/>
        </w:rPr>
        <w:t>Wyzwania:</w:t>
      </w:r>
    </w:p>
    <w:p w14:paraId="789C5EDC" w14:textId="77777777" w:rsidR="00B72154" w:rsidRPr="00890249" w:rsidRDefault="00875C92" w:rsidP="009F296A">
      <w:pPr>
        <w:pStyle w:val="Akapitzlist"/>
        <w:numPr>
          <w:ilvl w:val="0"/>
          <w:numId w:val="105"/>
        </w:numPr>
        <w:tabs>
          <w:tab w:val="left" w:pos="360"/>
          <w:tab w:val="left" w:pos="426"/>
        </w:tabs>
        <w:spacing w:before="60"/>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Poprawa dostępu do usług zdrowotnych </w:t>
      </w:r>
      <w:r w:rsidR="00615CEC" w:rsidRPr="00890249">
        <w:rPr>
          <w:rFonts w:asciiTheme="minorHAnsi" w:hAnsiTheme="minorHAnsi" w:cstheme="minorHAnsi"/>
          <w:sz w:val="22"/>
          <w:szCs w:val="22"/>
        </w:rPr>
        <w:t>–</w:t>
      </w:r>
      <w:r w:rsidRPr="00890249">
        <w:rPr>
          <w:rFonts w:asciiTheme="minorHAnsi" w:hAnsiTheme="minorHAnsi" w:cstheme="minorHAnsi"/>
          <w:sz w:val="22"/>
          <w:szCs w:val="22"/>
        </w:rPr>
        <w:t xml:space="preserve"> wzmocnienie</w:t>
      </w:r>
      <w:r w:rsidR="00615CEC" w:rsidRPr="00890249">
        <w:rPr>
          <w:rFonts w:asciiTheme="minorHAnsi" w:hAnsiTheme="minorHAnsi" w:cstheme="minorHAnsi"/>
          <w:sz w:val="22"/>
          <w:szCs w:val="22"/>
        </w:rPr>
        <w:t xml:space="preserve"> </w:t>
      </w:r>
      <w:r w:rsidRPr="00890249">
        <w:rPr>
          <w:rFonts w:asciiTheme="minorHAnsi" w:hAnsiTheme="minorHAnsi" w:cstheme="minorHAnsi"/>
          <w:sz w:val="22"/>
          <w:szCs w:val="22"/>
        </w:rPr>
        <w:t>roli POZ i AOS</w:t>
      </w:r>
      <w:r w:rsidR="00270033" w:rsidRPr="00890249">
        <w:rPr>
          <w:rFonts w:asciiTheme="minorHAnsi" w:hAnsiTheme="minorHAnsi" w:cstheme="minorHAnsi"/>
          <w:sz w:val="22"/>
          <w:szCs w:val="22"/>
        </w:rPr>
        <w:t>.</w:t>
      </w:r>
    </w:p>
    <w:p w14:paraId="21F004F3" w14:textId="65DA765D" w:rsidR="00B72154" w:rsidRPr="00890249" w:rsidRDefault="007404A9" w:rsidP="009F296A">
      <w:pPr>
        <w:pStyle w:val="Akapitzlist"/>
        <w:numPr>
          <w:ilvl w:val="0"/>
          <w:numId w:val="105"/>
        </w:numPr>
        <w:tabs>
          <w:tab w:val="left" w:pos="360"/>
          <w:tab w:val="left" w:pos="426"/>
        </w:tabs>
        <w:spacing w:before="60"/>
        <w:contextualSpacing w:val="0"/>
        <w:rPr>
          <w:rFonts w:asciiTheme="minorHAnsi" w:hAnsiTheme="minorHAnsi" w:cstheme="minorHAnsi"/>
          <w:sz w:val="22"/>
          <w:szCs w:val="22"/>
        </w:rPr>
      </w:pPr>
      <w:r>
        <w:rPr>
          <w:rFonts w:asciiTheme="minorHAnsi" w:hAnsiTheme="minorHAnsi" w:cstheme="minorHAnsi"/>
          <w:sz w:val="22"/>
          <w:szCs w:val="22"/>
        </w:rPr>
        <w:t>DI</w:t>
      </w:r>
      <w:r w:rsidR="00875C92" w:rsidRPr="00890249">
        <w:rPr>
          <w:rFonts w:asciiTheme="minorHAnsi" w:hAnsiTheme="minorHAnsi" w:cstheme="minorHAnsi"/>
          <w:sz w:val="22"/>
          <w:szCs w:val="22"/>
        </w:rPr>
        <w:t xml:space="preserve"> usług zdrowotnych </w:t>
      </w:r>
      <w:r w:rsidR="00615CEC" w:rsidRPr="00890249">
        <w:rPr>
          <w:rFonts w:asciiTheme="minorHAnsi" w:hAnsiTheme="minorHAnsi" w:cstheme="minorHAnsi"/>
          <w:sz w:val="22"/>
          <w:szCs w:val="22"/>
        </w:rPr>
        <w:t>w szczególności</w:t>
      </w:r>
      <w:r w:rsidR="00875C92" w:rsidRPr="00890249">
        <w:rPr>
          <w:rFonts w:asciiTheme="minorHAnsi" w:hAnsiTheme="minorHAnsi" w:cstheme="minorHAnsi"/>
          <w:sz w:val="22"/>
          <w:szCs w:val="22"/>
        </w:rPr>
        <w:t xml:space="preserve"> opieki długoterminowej</w:t>
      </w:r>
      <w:r w:rsidR="00270033" w:rsidRPr="00890249">
        <w:rPr>
          <w:rFonts w:asciiTheme="minorHAnsi" w:hAnsiTheme="minorHAnsi" w:cstheme="minorHAnsi"/>
          <w:sz w:val="22"/>
          <w:szCs w:val="22"/>
        </w:rPr>
        <w:t>.</w:t>
      </w:r>
    </w:p>
    <w:p w14:paraId="0FFAAED4" w14:textId="77777777" w:rsidR="00B72154" w:rsidRPr="00890249" w:rsidRDefault="00875C92" w:rsidP="009F296A">
      <w:pPr>
        <w:pStyle w:val="Akapitzlist"/>
        <w:numPr>
          <w:ilvl w:val="0"/>
          <w:numId w:val="105"/>
        </w:numPr>
        <w:tabs>
          <w:tab w:val="left" w:pos="360"/>
          <w:tab w:val="left" w:pos="426"/>
        </w:tabs>
        <w:spacing w:before="60"/>
        <w:contextualSpacing w:val="0"/>
        <w:rPr>
          <w:rFonts w:asciiTheme="minorHAnsi" w:hAnsiTheme="minorHAnsi" w:cstheme="minorHAnsi"/>
          <w:sz w:val="22"/>
          <w:szCs w:val="22"/>
        </w:rPr>
      </w:pPr>
      <w:r w:rsidRPr="00890249">
        <w:rPr>
          <w:rFonts w:asciiTheme="minorHAnsi" w:hAnsiTheme="minorHAnsi" w:cstheme="minorHAnsi"/>
          <w:sz w:val="22"/>
          <w:szCs w:val="22"/>
        </w:rPr>
        <w:lastRenderedPageBreak/>
        <w:t>Zwiększenie liczby kadry medycznej</w:t>
      </w:r>
      <w:r w:rsidR="00270033" w:rsidRPr="00890249">
        <w:rPr>
          <w:rFonts w:asciiTheme="minorHAnsi" w:hAnsiTheme="minorHAnsi" w:cstheme="minorHAnsi"/>
          <w:sz w:val="22"/>
          <w:szCs w:val="22"/>
        </w:rPr>
        <w:t>.</w:t>
      </w:r>
    </w:p>
    <w:p w14:paraId="1CD16F99" w14:textId="77777777" w:rsidR="0093433C" w:rsidRPr="00890249" w:rsidRDefault="00875C92" w:rsidP="00890249">
      <w:pPr>
        <w:pStyle w:val="Nagwek6"/>
        <w:rPr>
          <w:rFonts w:asciiTheme="minorHAnsi" w:hAnsiTheme="minorHAnsi" w:cstheme="minorHAnsi"/>
          <w:b/>
          <w:sz w:val="22"/>
          <w:szCs w:val="22"/>
        </w:rPr>
      </w:pPr>
      <w:r w:rsidRPr="00890249">
        <w:rPr>
          <w:rFonts w:asciiTheme="minorHAnsi" w:hAnsiTheme="minorHAnsi" w:cstheme="minorHAnsi"/>
          <w:b/>
          <w:color w:val="auto"/>
          <w:sz w:val="22"/>
          <w:szCs w:val="22"/>
        </w:rPr>
        <w:t>Cel:</w:t>
      </w:r>
    </w:p>
    <w:p w14:paraId="544652B8" w14:textId="12C9CA9D" w:rsidR="0093433C" w:rsidRPr="00890249" w:rsidRDefault="0053055F"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Do 2030 r. wydłużenie przeciętnego trwania życia w zdrowiu do 75 lat u kobiet i 69 lat u mężczyzn</w:t>
      </w:r>
      <w:r w:rsidRPr="00890249">
        <w:rPr>
          <w:rFonts w:asciiTheme="minorHAnsi" w:hAnsiTheme="minorHAnsi" w:cstheme="minorHAnsi"/>
          <w:sz w:val="22"/>
          <w:szCs w:val="22"/>
          <w:vertAlign w:val="superscript"/>
        </w:rPr>
        <w:footnoteReference w:id="37"/>
      </w:r>
      <w:r w:rsidRPr="00890249">
        <w:rPr>
          <w:rFonts w:asciiTheme="minorHAnsi" w:hAnsiTheme="minorHAnsi" w:cstheme="minorHAnsi"/>
          <w:sz w:val="22"/>
          <w:szCs w:val="22"/>
        </w:rPr>
        <w:t>. Wzrost wart</w:t>
      </w:r>
      <w:r w:rsidR="000E51A7" w:rsidRPr="00890249">
        <w:rPr>
          <w:rFonts w:asciiTheme="minorHAnsi" w:hAnsiTheme="minorHAnsi" w:cstheme="minorHAnsi"/>
          <w:sz w:val="22"/>
          <w:szCs w:val="22"/>
        </w:rPr>
        <w:t>.</w:t>
      </w:r>
      <w:r w:rsidR="00F75B6A" w:rsidRPr="00890249">
        <w:rPr>
          <w:rFonts w:asciiTheme="minorHAnsi" w:hAnsiTheme="minorHAnsi" w:cstheme="minorHAnsi"/>
          <w:sz w:val="22"/>
          <w:szCs w:val="22"/>
        </w:rPr>
        <w:t xml:space="preserve"> </w:t>
      </w:r>
      <w:r w:rsidRPr="00890249">
        <w:rPr>
          <w:rFonts w:asciiTheme="minorHAnsi" w:hAnsiTheme="minorHAnsi" w:cstheme="minorHAnsi"/>
          <w:sz w:val="22"/>
          <w:szCs w:val="22"/>
        </w:rPr>
        <w:t>wskaźnika liczb</w:t>
      </w:r>
      <w:r w:rsidR="00270033" w:rsidRPr="00890249">
        <w:rPr>
          <w:rFonts w:asciiTheme="minorHAnsi" w:hAnsiTheme="minorHAnsi" w:cstheme="minorHAnsi"/>
          <w:sz w:val="22"/>
          <w:szCs w:val="22"/>
        </w:rPr>
        <w:t>y</w:t>
      </w:r>
      <w:r w:rsidRPr="00890249">
        <w:rPr>
          <w:rFonts w:asciiTheme="minorHAnsi" w:hAnsiTheme="minorHAnsi" w:cstheme="minorHAnsi"/>
          <w:sz w:val="22"/>
          <w:szCs w:val="22"/>
        </w:rPr>
        <w:t xml:space="preserve"> lekarzy na 10</w:t>
      </w:r>
      <w:r w:rsidR="006F7654" w:rsidRPr="00890249">
        <w:rPr>
          <w:rFonts w:asciiTheme="minorHAnsi" w:hAnsiTheme="minorHAnsi" w:cstheme="minorHAnsi"/>
          <w:sz w:val="22"/>
          <w:szCs w:val="22"/>
        </w:rPr>
        <w:t>0</w:t>
      </w:r>
      <w:r w:rsidRPr="00890249">
        <w:rPr>
          <w:rFonts w:asciiTheme="minorHAnsi" w:hAnsiTheme="minorHAnsi" w:cstheme="minorHAnsi"/>
          <w:sz w:val="22"/>
          <w:szCs w:val="22"/>
        </w:rPr>
        <w:t xml:space="preserve"> tys. ludności (</w:t>
      </w:r>
      <w:r w:rsidR="000E51A7" w:rsidRPr="00890249">
        <w:rPr>
          <w:rFonts w:asciiTheme="minorHAnsi" w:hAnsiTheme="minorHAnsi" w:cstheme="minorHAnsi"/>
          <w:sz w:val="22"/>
          <w:szCs w:val="22"/>
        </w:rPr>
        <w:t>w</w:t>
      </w:r>
      <w:r w:rsidRPr="00890249">
        <w:rPr>
          <w:rFonts w:asciiTheme="minorHAnsi" w:hAnsiTheme="minorHAnsi" w:cstheme="minorHAnsi"/>
          <w:sz w:val="22"/>
          <w:szCs w:val="22"/>
        </w:rPr>
        <w:t xml:space="preserve"> 2020 r. – 2</w:t>
      </w:r>
      <w:r w:rsidR="006F7654" w:rsidRPr="00890249">
        <w:rPr>
          <w:rFonts w:asciiTheme="minorHAnsi" w:hAnsiTheme="minorHAnsi" w:cstheme="minorHAnsi"/>
          <w:sz w:val="22"/>
          <w:szCs w:val="22"/>
        </w:rPr>
        <w:t>59</w:t>
      </w:r>
      <w:r w:rsidRPr="00890249">
        <w:rPr>
          <w:rFonts w:asciiTheme="minorHAnsi" w:hAnsiTheme="minorHAnsi" w:cstheme="minorHAnsi"/>
          <w:sz w:val="22"/>
          <w:szCs w:val="22"/>
        </w:rPr>
        <w:t>,</w:t>
      </w:r>
      <w:r w:rsidR="006F7654" w:rsidRPr="00890249">
        <w:rPr>
          <w:rFonts w:asciiTheme="minorHAnsi" w:hAnsiTheme="minorHAnsi" w:cstheme="minorHAnsi"/>
          <w:sz w:val="22"/>
          <w:szCs w:val="22"/>
        </w:rPr>
        <w:t>6</w:t>
      </w:r>
      <w:r w:rsidRPr="00890249">
        <w:rPr>
          <w:rFonts w:asciiTheme="minorHAnsi" w:hAnsiTheme="minorHAnsi" w:cstheme="minorHAnsi"/>
          <w:sz w:val="22"/>
          <w:szCs w:val="22"/>
        </w:rPr>
        <w:t>) oraz liczby pielęgniarek na 10</w:t>
      </w:r>
      <w:r w:rsidR="006F7654" w:rsidRPr="00890249">
        <w:rPr>
          <w:rFonts w:asciiTheme="minorHAnsi" w:hAnsiTheme="minorHAnsi" w:cstheme="minorHAnsi"/>
          <w:sz w:val="22"/>
          <w:szCs w:val="22"/>
        </w:rPr>
        <w:t>0</w:t>
      </w:r>
      <w:r w:rsidRPr="00890249">
        <w:rPr>
          <w:rFonts w:asciiTheme="minorHAnsi" w:hAnsiTheme="minorHAnsi" w:cstheme="minorHAnsi"/>
          <w:sz w:val="22"/>
          <w:szCs w:val="22"/>
        </w:rPr>
        <w:t xml:space="preserve"> tys. ludności (</w:t>
      </w:r>
      <w:r w:rsidR="000E51A7" w:rsidRPr="00890249">
        <w:rPr>
          <w:rFonts w:asciiTheme="minorHAnsi" w:hAnsiTheme="minorHAnsi" w:cstheme="minorHAnsi"/>
          <w:sz w:val="22"/>
          <w:szCs w:val="22"/>
        </w:rPr>
        <w:t>w</w:t>
      </w:r>
      <w:r w:rsidRPr="00890249">
        <w:rPr>
          <w:rFonts w:asciiTheme="minorHAnsi" w:hAnsiTheme="minorHAnsi" w:cstheme="minorHAnsi"/>
          <w:sz w:val="22"/>
          <w:szCs w:val="22"/>
        </w:rPr>
        <w:t xml:space="preserve"> 2020 r. – </w:t>
      </w:r>
      <w:r w:rsidR="006F7654" w:rsidRPr="00890249">
        <w:rPr>
          <w:rFonts w:asciiTheme="minorHAnsi" w:hAnsiTheme="minorHAnsi" w:cstheme="minorHAnsi"/>
          <w:sz w:val="22"/>
          <w:szCs w:val="22"/>
        </w:rPr>
        <w:t>618,9</w:t>
      </w:r>
      <w:r w:rsidRPr="00890249">
        <w:rPr>
          <w:rFonts w:asciiTheme="minorHAnsi" w:hAnsiTheme="minorHAnsi" w:cstheme="minorHAnsi"/>
          <w:sz w:val="22"/>
          <w:szCs w:val="22"/>
        </w:rPr>
        <w:t>)</w:t>
      </w:r>
      <w:r w:rsidRPr="00890249">
        <w:rPr>
          <w:rFonts w:asciiTheme="minorHAnsi" w:hAnsiTheme="minorHAnsi" w:cstheme="minorHAnsi"/>
          <w:sz w:val="22"/>
          <w:szCs w:val="22"/>
          <w:vertAlign w:val="superscript"/>
        </w:rPr>
        <w:footnoteReference w:id="38"/>
      </w:r>
      <w:r w:rsidRPr="00890249">
        <w:rPr>
          <w:rFonts w:asciiTheme="minorHAnsi" w:hAnsiTheme="minorHAnsi" w:cstheme="minorHAnsi"/>
          <w:sz w:val="22"/>
          <w:szCs w:val="22"/>
        </w:rPr>
        <w:t>.</w:t>
      </w:r>
    </w:p>
    <w:p w14:paraId="3F000DD4" w14:textId="77777777" w:rsidR="0093433C" w:rsidRPr="00890249" w:rsidRDefault="00875C92" w:rsidP="00890249">
      <w:pPr>
        <w:pStyle w:val="Nagwek6"/>
        <w:rPr>
          <w:rFonts w:asciiTheme="minorHAnsi" w:hAnsiTheme="minorHAnsi" w:cstheme="minorHAnsi"/>
          <w:b/>
          <w:sz w:val="22"/>
          <w:szCs w:val="22"/>
        </w:rPr>
      </w:pPr>
      <w:r w:rsidRPr="00890249">
        <w:rPr>
          <w:rFonts w:asciiTheme="minorHAnsi" w:hAnsiTheme="minorHAnsi" w:cstheme="minorHAnsi"/>
          <w:b/>
          <w:color w:val="auto"/>
          <w:sz w:val="22"/>
          <w:szCs w:val="22"/>
        </w:rPr>
        <w:t>Sytuacja aktualna:</w:t>
      </w:r>
    </w:p>
    <w:p w14:paraId="4EB67001" w14:textId="54B5CE3B" w:rsidR="0093433C" w:rsidRPr="00890249" w:rsidRDefault="00DF73F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G</w:t>
      </w:r>
      <w:r w:rsidR="00875C92" w:rsidRPr="00890249">
        <w:rPr>
          <w:rFonts w:asciiTheme="minorHAnsi" w:hAnsiTheme="minorHAnsi" w:cstheme="minorHAnsi"/>
          <w:sz w:val="22"/>
          <w:szCs w:val="22"/>
        </w:rPr>
        <w:t>ł</w:t>
      </w:r>
      <w:r w:rsidR="00255C36" w:rsidRPr="00890249">
        <w:rPr>
          <w:rFonts w:asciiTheme="minorHAnsi" w:hAnsiTheme="minorHAnsi" w:cstheme="minorHAnsi"/>
          <w:sz w:val="22"/>
          <w:szCs w:val="22"/>
        </w:rPr>
        <w:t>.</w:t>
      </w:r>
      <w:r w:rsidR="00875C92" w:rsidRPr="00890249">
        <w:rPr>
          <w:rFonts w:asciiTheme="minorHAnsi" w:hAnsiTheme="minorHAnsi" w:cstheme="minorHAnsi"/>
          <w:sz w:val="22"/>
          <w:szCs w:val="22"/>
        </w:rPr>
        <w:t xml:space="preserve"> </w:t>
      </w:r>
      <w:r w:rsidRPr="00890249">
        <w:rPr>
          <w:rFonts w:asciiTheme="minorHAnsi" w:hAnsiTheme="minorHAnsi" w:cstheme="minorHAnsi"/>
          <w:sz w:val="22"/>
          <w:szCs w:val="22"/>
        </w:rPr>
        <w:t>problemami w regionie</w:t>
      </w:r>
      <w:r w:rsidR="00875C92" w:rsidRPr="00890249">
        <w:rPr>
          <w:rFonts w:asciiTheme="minorHAnsi" w:hAnsiTheme="minorHAnsi" w:cstheme="minorHAnsi"/>
          <w:sz w:val="22"/>
          <w:szCs w:val="22"/>
        </w:rPr>
        <w:t xml:space="preserve"> są: b</w:t>
      </w:r>
      <w:r w:rsidR="00875C92" w:rsidRPr="00890249">
        <w:rPr>
          <w:rFonts w:asciiTheme="minorHAnsi" w:hAnsiTheme="minorHAnsi" w:cstheme="minorHAnsi"/>
          <w:sz w:val="22"/>
          <w:szCs w:val="22"/>
          <w:lang w:eastAsia="en-US" w:bidi="ar-SA"/>
        </w:rPr>
        <w:t>rak kadry medycznej (</w:t>
      </w:r>
      <w:r w:rsidR="00875C92" w:rsidRPr="00890249">
        <w:rPr>
          <w:rFonts w:asciiTheme="minorHAnsi" w:hAnsiTheme="minorHAnsi" w:cstheme="minorHAnsi"/>
          <w:noProof/>
          <w:sz w:val="22"/>
          <w:szCs w:val="22"/>
        </w:rPr>
        <w:t xml:space="preserve">l. lekarzy </w:t>
      </w:r>
      <w:r w:rsidR="006F7654" w:rsidRPr="00890249">
        <w:rPr>
          <w:rFonts w:asciiTheme="minorHAnsi" w:hAnsiTheme="minorHAnsi" w:cstheme="minorHAnsi"/>
          <w:noProof/>
          <w:sz w:val="22"/>
          <w:szCs w:val="22"/>
        </w:rPr>
        <w:t>w woj.</w:t>
      </w:r>
      <w:r w:rsidR="00875C92" w:rsidRPr="00890249">
        <w:rPr>
          <w:rFonts w:asciiTheme="minorHAnsi" w:hAnsiTheme="minorHAnsi" w:cstheme="minorHAnsi"/>
          <w:noProof/>
          <w:sz w:val="22"/>
          <w:szCs w:val="22"/>
        </w:rPr>
        <w:t xml:space="preserve"> na 1</w:t>
      </w:r>
      <w:r w:rsidR="006F7654" w:rsidRPr="00890249">
        <w:rPr>
          <w:rFonts w:asciiTheme="minorHAnsi" w:hAnsiTheme="minorHAnsi" w:cstheme="minorHAnsi"/>
          <w:noProof/>
          <w:sz w:val="22"/>
          <w:szCs w:val="22"/>
        </w:rPr>
        <w:t>0</w:t>
      </w:r>
      <w:r w:rsidR="00875C92" w:rsidRPr="00890249">
        <w:rPr>
          <w:rFonts w:asciiTheme="minorHAnsi" w:hAnsiTheme="minorHAnsi" w:cstheme="minorHAnsi"/>
          <w:noProof/>
          <w:sz w:val="22"/>
          <w:szCs w:val="22"/>
        </w:rPr>
        <w:t xml:space="preserve">0 tys. osób w 2020 r. wynosiła </w:t>
      </w:r>
      <w:r w:rsidR="006F7654" w:rsidRPr="00890249">
        <w:rPr>
          <w:rFonts w:asciiTheme="minorHAnsi" w:hAnsiTheme="minorHAnsi" w:cstheme="minorHAnsi"/>
          <w:noProof/>
          <w:sz w:val="22"/>
          <w:szCs w:val="22"/>
        </w:rPr>
        <w:t>259,6 (przedostatnia lokata w kraju) przy śr. krajowej 3</w:t>
      </w:r>
      <w:r w:rsidR="00875C92" w:rsidRPr="00890249">
        <w:rPr>
          <w:rFonts w:asciiTheme="minorHAnsi" w:hAnsiTheme="minorHAnsi" w:cstheme="minorHAnsi"/>
          <w:noProof/>
          <w:sz w:val="22"/>
          <w:szCs w:val="22"/>
        </w:rPr>
        <w:t>4</w:t>
      </w:r>
      <w:r w:rsidR="006F7654" w:rsidRPr="00890249">
        <w:rPr>
          <w:rFonts w:asciiTheme="minorHAnsi" w:hAnsiTheme="minorHAnsi" w:cstheme="minorHAnsi"/>
          <w:noProof/>
          <w:sz w:val="22"/>
          <w:szCs w:val="22"/>
        </w:rPr>
        <w:t>6</w:t>
      </w:r>
      <w:r w:rsidR="00875C92" w:rsidRPr="00890249">
        <w:rPr>
          <w:rFonts w:asciiTheme="minorHAnsi" w:hAnsiTheme="minorHAnsi" w:cstheme="minorHAnsi"/>
          <w:noProof/>
          <w:sz w:val="22"/>
          <w:szCs w:val="22"/>
        </w:rPr>
        <w:t>,1</w:t>
      </w:r>
      <w:r w:rsidR="00416D0B" w:rsidRPr="00890249">
        <w:rPr>
          <w:rFonts w:asciiTheme="minorHAnsi" w:hAnsiTheme="minorHAnsi" w:cstheme="minorHAnsi"/>
          <w:noProof/>
          <w:sz w:val="22"/>
          <w:szCs w:val="22"/>
          <w:vertAlign w:val="superscript"/>
        </w:rPr>
        <w:footnoteReference w:id="39"/>
      </w:r>
      <w:r w:rsidR="00875C92" w:rsidRPr="00890249">
        <w:rPr>
          <w:rFonts w:asciiTheme="minorHAnsi" w:hAnsiTheme="minorHAnsi" w:cstheme="minorHAnsi"/>
          <w:noProof/>
          <w:sz w:val="22"/>
          <w:szCs w:val="22"/>
        </w:rPr>
        <w:t>)</w:t>
      </w:r>
      <w:r w:rsidR="00875C92" w:rsidRPr="00890249">
        <w:rPr>
          <w:rFonts w:asciiTheme="minorHAnsi" w:hAnsiTheme="minorHAnsi" w:cstheme="minorHAnsi"/>
          <w:sz w:val="22"/>
          <w:szCs w:val="22"/>
          <w:lang w:eastAsia="en-US" w:bidi="ar-SA"/>
        </w:rPr>
        <w:t>, długie kolejki do świadczeń zdrowotnych</w:t>
      </w:r>
      <w:r w:rsidR="00416D0B" w:rsidRPr="00890249">
        <w:rPr>
          <w:rFonts w:asciiTheme="minorHAnsi" w:hAnsiTheme="minorHAnsi" w:cstheme="minorHAnsi"/>
          <w:sz w:val="22"/>
          <w:szCs w:val="22"/>
        </w:rPr>
        <w:t xml:space="preserve"> (</w:t>
      </w:r>
      <w:r w:rsidR="00875C92" w:rsidRPr="00890249">
        <w:rPr>
          <w:rFonts w:asciiTheme="minorHAnsi" w:hAnsiTheme="minorHAnsi" w:cstheme="minorHAnsi"/>
          <w:sz w:val="22"/>
          <w:szCs w:val="22"/>
        </w:rPr>
        <w:t>śr. czas oczekiwania na świad. zdrow. przekraczał 100 dni</w:t>
      </w:r>
      <w:r w:rsidR="00416D0B" w:rsidRPr="00890249">
        <w:rPr>
          <w:rFonts w:asciiTheme="minorHAnsi" w:hAnsiTheme="minorHAnsi" w:cstheme="minorHAnsi"/>
          <w:sz w:val="22"/>
          <w:szCs w:val="22"/>
          <w:vertAlign w:val="superscript"/>
        </w:rPr>
        <w:footnoteReference w:id="40"/>
      </w:r>
      <w:r w:rsidR="002D7121" w:rsidRPr="00890249">
        <w:rPr>
          <w:rFonts w:asciiTheme="minorHAnsi" w:hAnsiTheme="minorHAnsi" w:cstheme="minorHAnsi"/>
          <w:sz w:val="22"/>
          <w:szCs w:val="22"/>
        </w:rPr>
        <w:t>)</w:t>
      </w:r>
      <w:r w:rsidR="00875C92"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noProof/>
          <w:sz w:val="22"/>
          <w:szCs w:val="22"/>
        </w:rPr>
        <w:t>słabo rozwinięta infrastruktura</w:t>
      </w:r>
      <w:r w:rsidRPr="00890249">
        <w:rPr>
          <w:rFonts w:asciiTheme="minorHAnsi" w:hAnsiTheme="minorHAnsi" w:cstheme="minorHAnsi"/>
          <w:noProof/>
          <w:sz w:val="22"/>
          <w:szCs w:val="22"/>
        </w:rPr>
        <w:t xml:space="preserve"> </w:t>
      </w:r>
      <w:r w:rsidR="00875C92" w:rsidRPr="00890249">
        <w:rPr>
          <w:rFonts w:asciiTheme="minorHAnsi" w:hAnsiTheme="minorHAnsi" w:cstheme="minorHAnsi"/>
          <w:noProof/>
          <w:sz w:val="22"/>
          <w:szCs w:val="22"/>
        </w:rPr>
        <w:t>zwłaszcza w POZ i AOS</w:t>
      </w:r>
      <w:r w:rsidR="00875C92" w:rsidRPr="00890249">
        <w:rPr>
          <w:rFonts w:asciiTheme="minorHAnsi" w:hAnsiTheme="minorHAnsi" w:cstheme="minorHAnsi"/>
          <w:sz w:val="22"/>
          <w:szCs w:val="22"/>
        </w:rPr>
        <w:t xml:space="preserve">. </w:t>
      </w:r>
    </w:p>
    <w:p w14:paraId="6245A13D" w14:textId="2D7DCD9F" w:rsidR="0093433C" w:rsidRPr="00890249" w:rsidRDefault="00DF73F5"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U</w:t>
      </w:r>
      <w:r w:rsidR="00416D0B" w:rsidRPr="00890249">
        <w:rPr>
          <w:rFonts w:asciiTheme="minorHAnsi" w:hAnsiTheme="minorHAnsi" w:cstheme="minorHAnsi"/>
          <w:noProof/>
          <w:sz w:val="22"/>
          <w:szCs w:val="22"/>
        </w:rPr>
        <w:t>dział % osób pow. 65 r.ż. zwiększy się z 20% obecnie do 36% w 2030 r.</w:t>
      </w:r>
      <w:r w:rsidR="002D7121" w:rsidRPr="00890249">
        <w:rPr>
          <w:rFonts w:asciiTheme="minorHAnsi" w:hAnsiTheme="minorHAnsi" w:cstheme="minorHAnsi"/>
          <w:noProof/>
          <w:sz w:val="22"/>
          <w:szCs w:val="22"/>
        </w:rPr>
        <w:t xml:space="preserve"> </w:t>
      </w:r>
      <w:r w:rsidR="000E51A7" w:rsidRPr="00890249">
        <w:rPr>
          <w:rFonts w:asciiTheme="minorHAnsi" w:hAnsiTheme="minorHAnsi" w:cstheme="minorHAnsi"/>
          <w:noProof/>
          <w:sz w:val="22"/>
          <w:szCs w:val="22"/>
        </w:rPr>
        <w:t xml:space="preserve">Konieczne </w:t>
      </w:r>
      <w:r w:rsidR="00416D0B" w:rsidRPr="00890249">
        <w:rPr>
          <w:rFonts w:asciiTheme="minorHAnsi" w:hAnsiTheme="minorHAnsi" w:cstheme="minorHAnsi"/>
          <w:sz w:val="22"/>
          <w:szCs w:val="22"/>
          <w:lang w:eastAsia="en-US" w:bidi="ar-SA"/>
        </w:rPr>
        <w:t>będzie: zapewnienie odp</w:t>
      </w:r>
      <w:r w:rsidR="00255C36" w:rsidRPr="00890249">
        <w:rPr>
          <w:rFonts w:asciiTheme="minorHAnsi" w:hAnsiTheme="minorHAnsi" w:cstheme="minorHAnsi"/>
          <w:sz w:val="22"/>
          <w:szCs w:val="22"/>
          <w:lang w:eastAsia="en-US" w:bidi="ar-SA"/>
        </w:rPr>
        <w:t>.</w:t>
      </w:r>
      <w:r w:rsidR="00416D0B" w:rsidRPr="00890249">
        <w:rPr>
          <w:rFonts w:asciiTheme="minorHAnsi" w:hAnsiTheme="minorHAnsi" w:cstheme="minorHAnsi"/>
          <w:sz w:val="22"/>
          <w:szCs w:val="22"/>
          <w:lang w:eastAsia="en-US" w:bidi="ar-SA"/>
        </w:rPr>
        <w:t xml:space="preserve"> poziomu opieki domowej dla osób potrzebujących wsparcia w codziennym funkcjonowaniu</w:t>
      </w:r>
      <w:r w:rsidR="00416D0B" w:rsidRPr="00890249">
        <w:rPr>
          <w:rFonts w:asciiTheme="minorHAnsi" w:hAnsiTheme="minorHAnsi" w:cstheme="minorHAnsi"/>
          <w:sz w:val="22"/>
          <w:szCs w:val="22"/>
          <w:vertAlign w:val="superscript"/>
          <w:lang w:eastAsia="en-US" w:bidi="ar-SA"/>
        </w:rPr>
        <w:footnoteReference w:id="41"/>
      </w:r>
      <w:r w:rsidR="00416D0B" w:rsidRPr="00890249">
        <w:rPr>
          <w:rFonts w:asciiTheme="minorHAnsi" w:hAnsiTheme="minorHAnsi" w:cstheme="minorHAnsi"/>
          <w:sz w:val="22"/>
          <w:szCs w:val="22"/>
          <w:lang w:eastAsia="en-US" w:bidi="ar-SA"/>
        </w:rPr>
        <w:t>, zwiększenie dostępności do opieki długoterminowej</w:t>
      </w:r>
      <w:r w:rsidR="003D60A7" w:rsidRPr="00890249">
        <w:rPr>
          <w:rStyle w:val="Odwoanieprzypisudolnego"/>
          <w:rFonts w:asciiTheme="minorHAnsi" w:eastAsiaTheme="minorHAnsi" w:hAnsiTheme="minorHAnsi" w:cstheme="minorHAnsi"/>
          <w:sz w:val="22"/>
          <w:szCs w:val="22"/>
          <w:lang w:eastAsia="en-US" w:bidi="ar-SA"/>
        </w:rPr>
        <w:footnoteReference w:id="42"/>
      </w:r>
      <w:r w:rsidR="00416D0B" w:rsidRPr="00890249">
        <w:rPr>
          <w:rFonts w:asciiTheme="minorHAnsi" w:hAnsiTheme="minorHAnsi" w:cstheme="minorHAnsi"/>
          <w:sz w:val="22"/>
          <w:szCs w:val="22"/>
          <w:lang w:eastAsia="en-US" w:bidi="ar-SA"/>
        </w:rPr>
        <w:t>, paliatywnej i hospicyjnej</w:t>
      </w:r>
      <w:r w:rsidR="003D60A7" w:rsidRPr="00890249">
        <w:rPr>
          <w:rStyle w:val="Odwoanieprzypisudolnego"/>
          <w:rFonts w:asciiTheme="minorHAnsi" w:eastAsiaTheme="minorHAnsi" w:hAnsiTheme="minorHAnsi" w:cstheme="minorHAnsi"/>
          <w:sz w:val="22"/>
          <w:szCs w:val="22"/>
          <w:lang w:eastAsia="en-US" w:bidi="ar-SA"/>
        </w:rPr>
        <w:footnoteReference w:id="43"/>
      </w:r>
      <w:r w:rsidR="00416D0B" w:rsidRPr="00890249">
        <w:rPr>
          <w:rFonts w:asciiTheme="minorHAnsi" w:hAnsiTheme="minorHAnsi" w:cstheme="minorHAnsi"/>
          <w:sz w:val="22"/>
          <w:szCs w:val="22"/>
          <w:lang w:eastAsia="en-US" w:bidi="ar-SA"/>
        </w:rPr>
        <w:t xml:space="preserve"> oraz </w:t>
      </w:r>
      <w:r w:rsidR="005F64F0" w:rsidRPr="00890249">
        <w:rPr>
          <w:rFonts w:asciiTheme="minorHAnsi" w:hAnsiTheme="minorHAnsi" w:cstheme="minorHAnsi"/>
          <w:sz w:val="22"/>
          <w:szCs w:val="22"/>
          <w:lang w:eastAsia="en-US" w:bidi="ar-SA"/>
        </w:rPr>
        <w:t>kompleksowe podejście do usług społecznych i zdrowotnych</w:t>
      </w:r>
      <w:r w:rsidR="00416D0B" w:rsidRPr="00890249">
        <w:rPr>
          <w:rFonts w:asciiTheme="minorHAnsi" w:hAnsiTheme="minorHAnsi" w:cstheme="minorHAnsi"/>
          <w:sz w:val="22"/>
          <w:szCs w:val="22"/>
          <w:lang w:eastAsia="en-US" w:bidi="ar-SA"/>
        </w:rPr>
        <w:t xml:space="preserve"> w celu zaspokajania potrzeb osób </w:t>
      </w:r>
      <w:r w:rsidR="005F64F0" w:rsidRPr="00890249">
        <w:rPr>
          <w:rFonts w:asciiTheme="minorHAnsi" w:hAnsiTheme="minorHAnsi" w:cstheme="minorHAnsi"/>
          <w:sz w:val="22"/>
          <w:szCs w:val="22"/>
          <w:lang w:eastAsia="en-US" w:bidi="ar-SA"/>
        </w:rPr>
        <w:t>wymagających wsparcia w codziennym funkcjonowaniu</w:t>
      </w:r>
      <w:r w:rsidR="00416D0B" w:rsidRPr="00890249">
        <w:rPr>
          <w:rFonts w:asciiTheme="minorHAnsi" w:hAnsiTheme="minorHAnsi" w:cstheme="minorHAnsi"/>
          <w:sz w:val="22"/>
          <w:szCs w:val="22"/>
          <w:lang w:eastAsia="en-US" w:bidi="ar-SA"/>
        </w:rPr>
        <w:t>.</w:t>
      </w:r>
    </w:p>
    <w:p w14:paraId="67F581C3" w14:textId="77777777" w:rsidR="0093433C" w:rsidRPr="00890249" w:rsidRDefault="008374CE" w:rsidP="00890249">
      <w:pPr>
        <w:pStyle w:val="Nagwek5"/>
        <w:rPr>
          <w:rFonts w:asciiTheme="minorHAnsi" w:hAnsiTheme="minorHAnsi" w:cstheme="minorHAnsi"/>
          <w:b/>
          <w:i/>
          <w:color w:val="2F5496" w:themeColor="accent5" w:themeShade="BF"/>
          <w:sz w:val="22"/>
          <w:szCs w:val="22"/>
        </w:rPr>
      </w:pPr>
      <w:r w:rsidRPr="00890249">
        <w:rPr>
          <w:rFonts w:asciiTheme="minorHAnsi" w:hAnsiTheme="minorHAnsi" w:cstheme="minorHAnsi"/>
          <w:b/>
          <w:i/>
          <w:color w:val="2F5496" w:themeColor="accent5" w:themeShade="BF"/>
          <w:sz w:val="22"/>
          <w:szCs w:val="22"/>
        </w:rPr>
        <w:t>Rewitalizacja</w:t>
      </w:r>
    </w:p>
    <w:p w14:paraId="58E9830F" w14:textId="079F364F" w:rsidR="0093433C" w:rsidRPr="00890249" w:rsidRDefault="003C3D2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rPr>
        <w:t xml:space="preserve">W </w:t>
      </w:r>
      <w:r w:rsidR="00B6533F" w:rsidRPr="00890249">
        <w:rPr>
          <w:rFonts w:asciiTheme="minorHAnsi" w:hAnsiTheme="minorHAnsi" w:cstheme="minorHAnsi"/>
          <w:sz w:val="22"/>
          <w:szCs w:val="22"/>
          <w:lang w:eastAsia="en-US"/>
        </w:rPr>
        <w:t>ramach</w:t>
      </w:r>
      <w:r w:rsidRPr="00890249">
        <w:rPr>
          <w:rFonts w:asciiTheme="minorHAnsi" w:hAnsiTheme="minorHAnsi" w:cstheme="minorHAnsi"/>
          <w:sz w:val="22"/>
          <w:szCs w:val="22"/>
          <w:lang w:eastAsia="en-US"/>
        </w:rPr>
        <w:t xml:space="preserve"> RPO WO 2014-2020 na obszarach miejskich</w:t>
      </w:r>
      <w:r w:rsidR="000E51A7" w:rsidRPr="00890249">
        <w:rPr>
          <w:rFonts w:asciiTheme="minorHAnsi" w:hAnsiTheme="minorHAnsi" w:cstheme="minorHAnsi"/>
          <w:sz w:val="22"/>
          <w:szCs w:val="22"/>
          <w:lang w:eastAsia="en-US"/>
        </w:rPr>
        <w:t xml:space="preserve">, </w:t>
      </w:r>
      <w:r w:rsidRPr="00890249">
        <w:rPr>
          <w:rFonts w:asciiTheme="minorHAnsi" w:hAnsiTheme="minorHAnsi" w:cstheme="minorHAnsi"/>
          <w:sz w:val="22"/>
          <w:szCs w:val="22"/>
          <w:lang w:eastAsia="en-US"/>
        </w:rPr>
        <w:t>utworzono</w:t>
      </w:r>
      <w:r w:rsidR="00E60599" w:rsidRPr="00890249">
        <w:rPr>
          <w:rFonts w:asciiTheme="minorHAnsi" w:hAnsiTheme="minorHAnsi" w:cstheme="minorHAnsi"/>
          <w:sz w:val="22"/>
          <w:szCs w:val="22"/>
          <w:lang w:eastAsia="en-US"/>
        </w:rPr>
        <w:t>/</w:t>
      </w:r>
      <w:r w:rsidRPr="00890249">
        <w:rPr>
          <w:rFonts w:asciiTheme="minorHAnsi" w:hAnsiTheme="minorHAnsi" w:cstheme="minorHAnsi"/>
          <w:sz w:val="22"/>
          <w:szCs w:val="22"/>
          <w:lang w:eastAsia="en-US"/>
        </w:rPr>
        <w:t>zrekultywowano ponad 270 tys. m</w:t>
      </w:r>
      <w:r w:rsidRPr="00890249">
        <w:rPr>
          <w:rFonts w:asciiTheme="minorHAnsi" w:hAnsiTheme="minorHAnsi" w:cstheme="minorHAnsi"/>
          <w:sz w:val="22"/>
          <w:szCs w:val="22"/>
          <w:vertAlign w:val="superscript"/>
          <w:lang w:eastAsia="en-US"/>
        </w:rPr>
        <w:t>2</w:t>
      </w:r>
      <w:r w:rsidR="0022469D" w:rsidRPr="00890249">
        <w:rPr>
          <w:rFonts w:asciiTheme="minorHAnsi" w:hAnsiTheme="minorHAnsi" w:cstheme="minorHAnsi"/>
          <w:sz w:val="22"/>
          <w:szCs w:val="22"/>
          <w:lang w:eastAsia="en-US"/>
        </w:rPr>
        <w:t>, zamieszkałych</w:t>
      </w:r>
      <w:r w:rsidR="00090DDD" w:rsidRPr="00890249">
        <w:rPr>
          <w:rFonts w:asciiTheme="minorHAnsi" w:hAnsiTheme="minorHAnsi" w:cstheme="minorHAnsi"/>
          <w:sz w:val="22"/>
          <w:szCs w:val="22"/>
          <w:lang w:eastAsia="en-US"/>
        </w:rPr>
        <w:t xml:space="preserve"> p</w:t>
      </w:r>
      <w:r w:rsidR="0022469D" w:rsidRPr="00890249">
        <w:rPr>
          <w:rFonts w:asciiTheme="minorHAnsi" w:hAnsiTheme="minorHAnsi" w:cstheme="minorHAnsi"/>
          <w:sz w:val="22"/>
          <w:szCs w:val="22"/>
          <w:lang w:eastAsia="en-US"/>
        </w:rPr>
        <w:t>rzez</w:t>
      </w:r>
      <w:r w:rsidR="00090DDD" w:rsidRPr="00890249">
        <w:rPr>
          <w:rFonts w:asciiTheme="minorHAnsi" w:hAnsiTheme="minorHAnsi" w:cstheme="minorHAnsi"/>
          <w:sz w:val="22"/>
          <w:szCs w:val="22"/>
          <w:lang w:eastAsia="en-US"/>
        </w:rPr>
        <w:t xml:space="preserve"> 116 tys.</w:t>
      </w:r>
      <w:r w:rsidR="0022469D" w:rsidRPr="00890249">
        <w:rPr>
          <w:rFonts w:asciiTheme="minorHAnsi" w:hAnsiTheme="minorHAnsi" w:cstheme="minorHAnsi"/>
          <w:sz w:val="22"/>
          <w:szCs w:val="22"/>
          <w:lang w:eastAsia="en-US"/>
        </w:rPr>
        <w:t xml:space="preserve"> osób</w:t>
      </w:r>
      <w:r w:rsidRPr="00890249">
        <w:rPr>
          <w:rFonts w:asciiTheme="minorHAnsi" w:hAnsiTheme="minorHAnsi" w:cstheme="minorHAnsi"/>
          <w:sz w:val="22"/>
          <w:szCs w:val="22"/>
          <w:lang w:eastAsia="en-US"/>
        </w:rPr>
        <w:t xml:space="preserve">. </w:t>
      </w:r>
      <w:r w:rsidR="00255C36" w:rsidRPr="00890249">
        <w:rPr>
          <w:rFonts w:asciiTheme="minorHAnsi" w:hAnsiTheme="minorHAnsi" w:cstheme="minorHAnsi"/>
          <w:sz w:val="22"/>
          <w:szCs w:val="22"/>
          <w:lang w:eastAsia="en-US"/>
        </w:rPr>
        <w:t>Celem było</w:t>
      </w:r>
      <w:r w:rsidRPr="00890249">
        <w:rPr>
          <w:rFonts w:asciiTheme="minorHAnsi" w:hAnsiTheme="minorHAnsi" w:cstheme="minorHAnsi"/>
          <w:sz w:val="22"/>
          <w:szCs w:val="22"/>
          <w:lang w:eastAsia="en-US"/>
        </w:rPr>
        <w:t xml:space="preserve"> wyrównywanie nierówności społ</w:t>
      </w:r>
      <w:r w:rsidR="0022469D" w:rsidRPr="00890249">
        <w:rPr>
          <w:rFonts w:asciiTheme="minorHAnsi" w:hAnsiTheme="minorHAnsi" w:cstheme="minorHAnsi"/>
          <w:sz w:val="22"/>
          <w:szCs w:val="22"/>
          <w:lang w:eastAsia="en-US"/>
        </w:rPr>
        <w:t xml:space="preserve">. </w:t>
      </w:r>
      <w:r w:rsidR="00255C36" w:rsidRPr="00890249">
        <w:rPr>
          <w:rFonts w:asciiTheme="minorHAnsi" w:hAnsiTheme="minorHAnsi" w:cstheme="minorHAnsi"/>
          <w:sz w:val="22"/>
          <w:szCs w:val="22"/>
          <w:lang w:eastAsia="en-US" w:bidi="ar-SA"/>
        </w:rPr>
        <w:t>E</w:t>
      </w:r>
      <w:r w:rsidRPr="00890249">
        <w:rPr>
          <w:rFonts w:asciiTheme="minorHAnsi" w:hAnsiTheme="minorHAnsi" w:cstheme="minorHAnsi"/>
          <w:sz w:val="22"/>
          <w:szCs w:val="22"/>
          <w:lang w:eastAsia="en-US" w:bidi="ar-SA"/>
        </w:rPr>
        <w:t>fekty rewitalizacji miast i ich wartość do</w:t>
      </w:r>
      <w:r w:rsidR="00C40696" w:rsidRPr="00890249">
        <w:rPr>
          <w:rFonts w:asciiTheme="minorHAnsi" w:hAnsiTheme="minorHAnsi" w:cstheme="minorHAnsi"/>
          <w:sz w:val="22"/>
          <w:szCs w:val="22"/>
          <w:lang w:eastAsia="en-US" w:bidi="ar-SA"/>
        </w:rPr>
        <w:t xml:space="preserve">daną </w:t>
      </w:r>
      <w:r w:rsidR="00F5241C" w:rsidRPr="00890249">
        <w:rPr>
          <w:rFonts w:asciiTheme="minorHAnsi" w:hAnsiTheme="minorHAnsi" w:cstheme="minorHAnsi"/>
          <w:sz w:val="22"/>
          <w:szCs w:val="22"/>
          <w:lang w:eastAsia="en-US" w:bidi="ar-SA"/>
        </w:rPr>
        <w:t>łączącą przedsięwzięcia z </w:t>
      </w:r>
      <w:r w:rsidRPr="00890249">
        <w:rPr>
          <w:rFonts w:asciiTheme="minorHAnsi" w:hAnsiTheme="minorHAnsi" w:cstheme="minorHAnsi"/>
          <w:sz w:val="22"/>
          <w:szCs w:val="22"/>
          <w:lang w:eastAsia="en-US" w:bidi="ar-SA"/>
        </w:rPr>
        <w:t>inicjatywami z EFS</w:t>
      </w:r>
      <w:r w:rsidR="00255C36" w:rsidRPr="00890249">
        <w:rPr>
          <w:rFonts w:asciiTheme="minorHAnsi" w:hAnsiTheme="minorHAnsi" w:cstheme="minorHAnsi"/>
          <w:sz w:val="22"/>
          <w:szCs w:val="22"/>
          <w:lang w:eastAsia="en-US" w:bidi="ar-SA"/>
        </w:rPr>
        <w:t xml:space="preserve"> spowodowały, że</w:t>
      </w:r>
      <w:r w:rsidRPr="00890249">
        <w:rPr>
          <w:rFonts w:asciiTheme="minorHAnsi" w:hAnsiTheme="minorHAnsi" w:cstheme="minorHAnsi"/>
          <w:sz w:val="22"/>
          <w:szCs w:val="22"/>
          <w:lang w:eastAsia="en-US" w:bidi="ar-SA"/>
        </w:rPr>
        <w:t xml:space="preserve"> </w:t>
      </w:r>
      <w:r w:rsidR="00C40696" w:rsidRPr="00890249">
        <w:rPr>
          <w:rFonts w:asciiTheme="minorHAnsi" w:hAnsiTheme="minorHAnsi" w:cstheme="minorHAnsi"/>
          <w:sz w:val="22"/>
          <w:szCs w:val="22"/>
          <w:lang w:eastAsia="en-US" w:bidi="ar-SA"/>
        </w:rPr>
        <w:t>w</w:t>
      </w:r>
      <w:r w:rsidRPr="00890249">
        <w:rPr>
          <w:rFonts w:asciiTheme="minorHAnsi" w:hAnsiTheme="minorHAnsi" w:cstheme="minorHAnsi"/>
          <w:sz w:val="22"/>
          <w:szCs w:val="22"/>
          <w:lang w:eastAsia="en-US" w:bidi="ar-SA"/>
        </w:rPr>
        <w:t xml:space="preserve"> perspektyw</w:t>
      </w:r>
      <w:r w:rsidR="00C40696" w:rsidRPr="00890249">
        <w:rPr>
          <w:rFonts w:asciiTheme="minorHAnsi" w:hAnsiTheme="minorHAnsi" w:cstheme="minorHAnsi"/>
          <w:sz w:val="22"/>
          <w:szCs w:val="22"/>
          <w:lang w:eastAsia="en-US" w:bidi="ar-SA"/>
        </w:rPr>
        <w:t xml:space="preserve">ie 2021-2027 </w:t>
      </w:r>
      <w:r w:rsidRPr="00890249">
        <w:rPr>
          <w:rFonts w:asciiTheme="minorHAnsi" w:hAnsiTheme="minorHAnsi" w:cstheme="minorHAnsi"/>
          <w:sz w:val="22"/>
          <w:szCs w:val="22"/>
          <w:lang w:eastAsia="en-US" w:bidi="ar-SA"/>
        </w:rPr>
        <w:t xml:space="preserve">rewitalizacją objęty </w:t>
      </w:r>
      <w:r w:rsidR="00E60599" w:rsidRPr="00890249">
        <w:rPr>
          <w:rFonts w:asciiTheme="minorHAnsi" w:hAnsiTheme="minorHAnsi" w:cstheme="minorHAnsi"/>
          <w:sz w:val="22"/>
          <w:szCs w:val="22"/>
          <w:lang w:eastAsia="en-US" w:bidi="ar-SA"/>
        </w:rPr>
        <w:t xml:space="preserve">będzie </w:t>
      </w:r>
      <w:r w:rsidRPr="00890249">
        <w:rPr>
          <w:rFonts w:asciiTheme="minorHAnsi" w:hAnsiTheme="minorHAnsi" w:cstheme="minorHAnsi"/>
          <w:sz w:val="22"/>
          <w:szCs w:val="22"/>
          <w:lang w:eastAsia="en-US" w:bidi="ar-SA"/>
        </w:rPr>
        <w:t xml:space="preserve">cały region, </w:t>
      </w:r>
      <w:r w:rsidR="00C40696" w:rsidRPr="00890249">
        <w:rPr>
          <w:rFonts w:asciiTheme="minorHAnsi" w:hAnsiTheme="minorHAnsi" w:cstheme="minorHAnsi"/>
          <w:sz w:val="22"/>
          <w:szCs w:val="22"/>
          <w:lang w:eastAsia="en-US" w:bidi="ar-SA"/>
        </w:rPr>
        <w:t>tj.</w:t>
      </w:r>
      <w:r w:rsidRPr="00890249">
        <w:rPr>
          <w:rFonts w:asciiTheme="minorHAnsi" w:hAnsiTheme="minorHAnsi" w:cstheme="minorHAnsi"/>
          <w:sz w:val="22"/>
          <w:szCs w:val="22"/>
          <w:lang w:eastAsia="en-US" w:bidi="ar-SA"/>
        </w:rPr>
        <w:t xml:space="preserve"> miasta i ich tereny przyległe</w:t>
      </w:r>
      <w:r w:rsidR="00C40696" w:rsidRPr="00890249">
        <w:rPr>
          <w:rFonts w:asciiTheme="minorHAnsi" w:hAnsiTheme="minorHAnsi" w:cstheme="minorHAnsi"/>
          <w:sz w:val="22"/>
          <w:szCs w:val="22"/>
          <w:lang w:eastAsia="en-US" w:bidi="ar-SA"/>
        </w:rPr>
        <w:t xml:space="preserve"> oraz </w:t>
      </w:r>
      <w:r w:rsidRPr="00890249">
        <w:rPr>
          <w:rFonts w:asciiTheme="minorHAnsi" w:hAnsiTheme="minorHAnsi" w:cstheme="minorHAnsi"/>
          <w:sz w:val="22"/>
          <w:szCs w:val="22"/>
          <w:lang w:eastAsia="en-US" w:bidi="ar-SA"/>
        </w:rPr>
        <w:t>gminy wiejskie.</w:t>
      </w:r>
    </w:p>
    <w:p w14:paraId="7664B506" w14:textId="66B59F4B" w:rsidR="0093433C" w:rsidRPr="00890249" w:rsidRDefault="003C3D23" w:rsidP="00890249">
      <w:pPr>
        <w:pStyle w:val="Tekstpodstawowy"/>
        <w:rPr>
          <w:rFonts w:asciiTheme="minorHAnsi" w:hAnsiTheme="minorHAnsi" w:cstheme="minorHAnsi"/>
          <w:b/>
          <w:sz w:val="22"/>
          <w:szCs w:val="22"/>
        </w:rPr>
      </w:pPr>
      <w:r w:rsidRPr="00890249">
        <w:rPr>
          <w:rFonts w:asciiTheme="minorHAnsi" w:hAnsiTheme="minorHAnsi" w:cstheme="minorHAnsi"/>
          <w:sz w:val="22"/>
          <w:szCs w:val="22"/>
        </w:rPr>
        <w:t xml:space="preserve">W opolskim niezbędna jest poprawa zdolności ośrodków miejskich do kreowania </w:t>
      </w:r>
      <w:r w:rsidR="00E60599" w:rsidRPr="00890249">
        <w:rPr>
          <w:rFonts w:asciiTheme="minorHAnsi" w:hAnsiTheme="minorHAnsi" w:cstheme="minorHAnsi"/>
          <w:sz w:val="22"/>
          <w:szCs w:val="22"/>
        </w:rPr>
        <w:t xml:space="preserve">zrównoważonego </w:t>
      </w:r>
      <w:r w:rsidRPr="00890249">
        <w:rPr>
          <w:rFonts w:asciiTheme="minorHAnsi" w:hAnsiTheme="minorHAnsi" w:cstheme="minorHAnsi"/>
          <w:sz w:val="22"/>
          <w:szCs w:val="22"/>
        </w:rPr>
        <w:t>r</w:t>
      </w:r>
      <w:r w:rsidR="00E60599" w:rsidRPr="00890249">
        <w:rPr>
          <w:rFonts w:asciiTheme="minorHAnsi" w:hAnsiTheme="minorHAnsi" w:cstheme="minorHAnsi"/>
          <w:sz w:val="22"/>
          <w:szCs w:val="22"/>
        </w:rPr>
        <w:t xml:space="preserve">ozwoju, wzrostu i zatrudnienia </w:t>
      </w:r>
      <w:r w:rsidRPr="00890249">
        <w:rPr>
          <w:rFonts w:asciiTheme="minorHAnsi" w:hAnsiTheme="minorHAnsi" w:cstheme="minorHAnsi"/>
          <w:sz w:val="22"/>
          <w:szCs w:val="22"/>
        </w:rPr>
        <w:t>(m.in. przez przeciwdziałanie negatywnym zjawiskom suburbanizacji, ponowne wykorzystanie zagosp</w:t>
      </w:r>
      <w:r w:rsidR="000E51A7" w:rsidRPr="00890249">
        <w:rPr>
          <w:rFonts w:asciiTheme="minorHAnsi" w:hAnsiTheme="minorHAnsi" w:cstheme="minorHAnsi"/>
          <w:sz w:val="22"/>
          <w:szCs w:val="22"/>
        </w:rPr>
        <w:t>.</w:t>
      </w:r>
      <w:r w:rsidRPr="00890249">
        <w:rPr>
          <w:rFonts w:asciiTheme="minorHAnsi" w:hAnsiTheme="minorHAnsi" w:cstheme="minorHAnsi"/>
          <w:sz w:val="22"/>
          <w:szCs w:val="22"/>
        </w:rPr>
        <w:t xml:space="preserve"> terenów, rewitalizację </w:t>
      </w:r>
      <w:r w:rsidR="00072596" w:rsidRPr="00890249">
        <w:rPr>
          <w:rFonts w:asciiTheme="minorHAnsi" w:hAnsiTheme="minorHAnsi" w:cstheme="minorHAnsi"/>
          <w:sz w:val="22"/>
          <w:szCs w:val="22"/>
        </w:rPr>
        <w:t xml:space="preserve">obszarów </w:t>
      </w:r>
      <w:r w:rsidRPr="00890249">
        <w:rPr>
          <w:rFonts w:asciiTheme="minorHAnsi" w:hAnsiTheme="minorHAnsi" w:cstheme="minorHAnsi"/>
          <w:sz w:val="22"/>
          <w:szCs w:val="22"/>
        </w:rPr>
        <w:t xml:space="preserve">zdegradowanych), wspomaganie ośrodków </w:t>
      </w:r>
      <w:r w:rsidR="00E60599" w:rsidRPr="00890249">
        <w:rPr>
          <w:rFonts w:asciiTheme="minorHAnsi" w:hAnsiTheme="minorHAnsi" w:cstheme="minorHAnsi"/>
          <w:sz w:val="22"/>
          <w:szCs w:val="22"/>
        </w:rPr>
        <w:t>z</w:t>
      </w:r>
      <w:r w:rsidRPr="00890249">
        <w:rPr>
          <w:rFonts w:asciiTheme="minorHAnsi" w:hAnsiTheme="minorHAnsi" w:cstheme="minorHAnsi"/>
          <w:sz w:val="22"/>
          <w:szCs w:val="22"/>
        </w:rPr>
        <w:t xml:space="preserve"> problemami rozwojowymi oraz stwarzanie warunków do partnerskiego zarządzania rozwojem. Poprawa spójności społecznej i terytorialnej na obszarach miejskich wymaga realizacji kompleksowych i zintegrowanych działań rewitalizacyjnych, </w:t>
      </w:r>
      <w:r w:rsidR="00C40696" w:rsidRPr="00890249">
        <w:rPr>
          <w:rFonts w:asciiTheme="minorHAnsi" w:hAnsiTheme="minorHAnsi" w:cstheme="minorHAnsi"/>
          <w:sz w:val="22"/>
          <w:szCs w:val="22"/>
        </w:rPr>
        <w:t>w</w:t>
      </w:r>
      <w:r w:rsidR="00FF78C9" w:rsidRPr="00890249">
        <w:rPr>
          <w:rFonts w:asciiTheme="minorHAnsi" w:hAnsiTheme="minorHAnsi" w:cstheme="minorHAnsi"/>
          <w:sz w:val="22"/>
          <w:szCs w:val="22"/>
        </w:rPr>
        <w:t> </w:t>
      </w:r>
      <w:r w:rsidRPr="00890249">
        <w:rPr>
          <w:rFonts w:asciiTheme="minorHAnsi" w:hAnsiTheme="minorHAnsi" w:cstheme="minorHAnsi"/>
          <w:sz w:val="22"/>
          <w:szCs w:val="22"/>
        </w:rPr>
        <w:t>wymiar</w:t>
      </w:r>
      <w:r w:rsidR="00C40696" w:rsidRPr="00890249">
        <w:rPr>
          <w:rFonts w:asciiTheme="minorHAnsi" w:hAnsiTheme="minorHAnsi" w:cstheme="minorHAnsi"/>
          <w:sz w:val="22"/>
          <w:szCs w:val="22"/>
        </w:rPr>
        <w:t>ze</w:t>
      </w:r>
      <w:r w:rsidRPr="00890249">
        <w:rPr>
          <w:rFonts w:asciiTheme="minorHAnsi" w:hAnsiTheme="minorHAnsi" w:cstheme="minorHAnsi"/>
          <w:sz w:val="22"/>
          <w:szCs w:val="22"/>
        </w:rPr>
        <w:t xml:space="preserve"> społeczny</w:t>
      </w:r>
      <w:r w:rsidR="00C40696" w:rsidRPr="00890249">
        <w:rPr>
          <w:rFonts w:asciiTheme="minorHAnsi" w:hAnsiTheme="minorHAnsi" w:cstheme="minorHAnsi"/>
          <w:sz w:val="22"/>
          <w:szCs w:val="22"/>
        </w:rPr>
        <w:t>m</w:t>
      </w:r>
      <w:r w:rsidRPr="00890249">
        <w:rPr>
          <w:rFonts w:asciiTheme="minorHAnsi" w:hAnsiTheme="minorHAnsi" w:cstheme="minorHAnsi"/>
          <w:sz w:val="22"/>
          <w:szCs w:val="22"/>
        </w:rPr>
        <w:t>, gospodarczy</w:t>
      </w:r>
      <w:r w:rsidR="00C40696" w:rsidRPr="00890249">
        <w:rPr>
          <w:rFonts w:asciiTheme="minorHAnsi" w:hAnsiTheme="minorHAnsi" w:cstheme="minorHAnsi"/>
          <w:sz w:val="22"/>
          <w:szCs w:val="22"/>
        </w:rPr>
        <w:t>m</w:t>
      </w:r>
      <w:r w:rsidR="00890249">
        <w:rPr>
          <w:rFonts w:asciiTheme="minorHAnsi" w:hAnsiTheme="minorHAnsi" w:cstheme="minorHAnsi"/>
          <w:sz w:val="22"/>
          <w:szCs w:val="22"/>
        </w:rPr>
        <w:t xml:space="preserve"> i </w:t>
      </w:r>
      <w:r w:rsidRPr="00890249">
        <w:rPr>
          <w:rFonts w:asciiTheme="minorHAnsi" w:hAnsiTheme="minorHAnsi" w:cstheme="minorHAnsi"/>
          <w:sz w:val="22"/>
          <w:szCs w:val="22"/>
        </w:rPr>
        <w:t>fizyczny</w:t>
      </w:r>
      <w:r w:rsidR="00C40696" w:rsidRPr="00890249">
        <w:rPr>
          <w:rFonts w:asciiTheme="minorHAnsi" w:hAnsiTheme="minorHAnsi" w:cstheme="minorHAnsi"/>
          <w:sz w:val="22"/>
          <w:szCs w:val="22"/>
        </w:rPr>
        <w:t>m</w:t>
      </w:r>
      <w:r w:rsidRPr="00890249">
        <w:rPr>
          <w:rFonts w:asciiTheme="minorHAnsi" w:hAnsiTheme="minorHAnsi" w:cstheme="minorHAnsi"/>
          <w:sz w:val="22"/>
          <w:szCs w:val="22"/>
        </w:rPr>
        <w:t>. Szansą rozwojową regionu jest także pełniejsze wykorzystanie potencjałów obszarów wiejskich</w:t>
      </w:r>
      <w:r w:rsidR="00072596" w:rsidRPr="00890249">
        <w:rPr>
          <w:rFonts w:asciiTheme="minorHAnsi" w:hAnsiTheme="minorHAnsi" w:cstheme="minorHAnsi"/>
          <w:sz w:val="22"/>
          <w:szCs w:val="22"/>
        </w:rPr>
        <w:t xml:space="preserve"> oraz małych miast</w:t>
      </w:r>
      <w:r w:rsidRPr="00890249">
        <w:rPr>
          <w:rFonts w:asciiTheme="minorHAnsi" w:hAnsiTheme="minorHAnsi" w:cstheme="minorHAnsi"/>
          <w:sz w:val="22"/>
          <w:szCs w:val="22"/>
        </w:rPr>
        <w:t xml:space="preserve">. </w:t>
      </w:r>
      <w:r w:rsidR="00535D2F" w:rsidRPr="00890249">
        <w:rPr>
          <w:rFonts w:asciiTheme="minorHAnsi" w:hAnsiTheme="minorHAnsi" w:cstheme="minorHAnsi"/>
          <w:sz w:val="22"/>
          <w:szCs w:val="22"/>
        </w:rPr>
        <w:t xml:space="preserve">Należy </w:t>
      </w:r>
      <w:r w:rsidR="00C40696" w:rsidRPr="00890249">
        <w:rPr>
          <w:rFonts w:asciiTheme="minorHAnsi" w:hAnsiTheme="minorHAnsi" w:cstheme="minorHAnsi"/>
          <w:sz w:val="22"/>
          <w:szCs w:val="22"/>
        </w:rPr>
        <w:t>więc</w:t>
      </w:r>
      <w:r w:rsidRPr="00890249">
        <w:rPr>
          <w:rFonts w:asciiTheme="minorHAnsi" w:hAnsiTheme="minorHAnsi" w:cstheme="minorHAnsi"/>
          <w:sz w:val="22"/>
          <w:szCs w:val="22"/>
        </w:rPr>
        <w:t xml:space="preserve"> wspomaga</w:t>
      </w:r>
      <w:r w:rsidR="00535D2F" w:rsidRPr="00890249">
        <w:rPr>
          <w:rFonts w:asciiTheme="minorHAnsi" w:hAnsiTheme="minorHAnsi" w:cstheme="minorHAnsi"/>
          <w:sz w:val="22"/>
          <w:szCs w:val="22"/>
        </w:rPr>
        <w:t>ć</w:t>
      </w:r>
      <w:r w:rsidRPr="00890249">
        <w:rPr>
          <w:rFonts w:asciiTheme="minorHAnsi" w:hAnsiTheme="minorHAnsi" w:cstheme="minorHAnsi"/>
          <w:sz w:val="22"/>
          <w:szCs w:val="22"/>
        </w:rPr>
        <w:t xml:space="preserve"> rewitalizacj</w:t>
      </w:r>
      <w:r w:rsidR="00535D2F" w:rsidRPr="00890249">
        <w:rPr>
          <w:rFonts w:asciiTheme="minorHAnsi" w:hAnsiTheme="minorHAnsi" w:cstheme="minorHAnsi"/>
          <w:sz w:val="22"/>
          <w:szCs w:val="22"/>
        </w:rPr>
        <w:t>ę</w:t>
      </w:r>
      <w:r w:rsidRPr="00890249">
        <w:rPr>
          <w:rFonts w:asciiTheme="minorHAnsi" w:hAnsiTheme="minorHAnsi" w:cstheme="minorHAnsi"/>
          <w:sz w:val="22"/>
          <w:szCs w:val="22"/>
        </w:rPr>
        <w:t xml:space="preserve"> tych obszarów</w:t>
      </w:r>
      <w:r w:rsidR="00072596" w:rsidRPr="00890249">
        <w:rPr>
          <w:rFonts w:asciiTheme="minorHAnsi" w:hAnsiTheme="minorHAnsi" w:cstheme="minorHAnsi"/>
          <w:sz w:val="22"/>
          <w:szCs w:val="22"/>
        </w:rPr>
        <w:t>.</w:t>
      </w:r>
      <w:r w:rsidRPr="00890249">
        <w:rPr>
          <w:rFonts w:asciiTheme="minorHAnsi" w:hAnsiTheme="minorHAnsi" w:cstheme="minorHAnsi"/>
          <w:sz w:val="22"/>
          <w:szCs w:val="22"/>
        </w:rPr>
        <w:t xml:space="preserve"> Interwencja w </w:t>
      </w:r>
      <w:r w:rsidR="00576779" w:rsidRPr="00890249">
        <w:rPr>
          <w:rFonts w:asciiTheme="minorHAnsi" w:hAnsiTheme="minorHAnsi" w:cstheme="minorHAnsi"/>
          <w:sz w:val="22"/>
          <w:szCs w:val="22"/>
        </w:rPr>
        <w:t xml:space="preserve">tym </w:t>
      </w:r>
      <w:r w:rsidRPr="00890249">
        <w:rPr>
          <w:rFonts w:asciiTheme="minorHAnsi" w:hAnsiTheme="minorHAnsi" w:cstheme="minorHAnsi"/>
          <w:sz w:val="22"/>
          <w:szCs w:val="22"/>
        </w:rPr>
        <w:t xml:space="preserve">obszarze będzie </w:t>
      </w:r>
      <w:r w:rsidR="00072596" w:rsidRPr="00890249">
        <w:rPr>
          <w:rFonts w:asciiTheme="minorHAnsi" w:hAnsiTheme="minorHAnsi" w:cstheme="minorHAnsi"/>
          <w:sz w:val="22"/>
          <w:szCs w:val="22"/>
        </w:rPr>
        <w:t>realizowana</w:t>
      </w:r>
      <w:r w:rsidRPr="00890249">
        <w:rPr>
          <w:rFonts w:asciiTheme="minorHAnsi" w:hAnsiTheme="minorHAnsi" w:cstheme="minorHAnsi"/>
          <w:sz w:val="22"/>
          <w:szCs w:val="22"/>
        </w:rPr>
        <w:t xml:space="preserve"> na podstawie </w:t>
      </w:r>
      <w:r w:rsidR="00C1573A" w:rsidRPr="00890249">
        <w:rPr>
          <w:rFonts w:asciiTheme="minorHAnsi" w:hAnsiTheme="minorHAnsi" w:cstheme="minorHAnsi"/>
          <w:sz w:val="22"/>
          <w:szCs w:val="22"/>
        </w:rPr>
        <w:t>GPR-ów</w:t>
      </w:r>
      <w:r w:rsidR="00FF78C9" w:rsidRPr="00890249">
        <w:rPr>
          <w:rFonts w:asciiTheme="minorHAnsi" w:hAnsiTheme="minorHAnsi" w:cstheme="minorHAnsi"/>
          <w:sz w:val="22"/>
          <w:szCs w:val="22"/>
        </w:rPr>
        <w:t xml:space="preserve"> </w:t>
      </w:r>
      <w:r w:rsidRPr="00890249">
        <w:rPr>
          <w:rFonts w:asciiTheme="minorHAnsi" w:hAnsiTheme="minorHAnsi" w:cstheme="minorHAnsi"/>
          <w:sz w:val="22"/>
          <w:szCs w:val="22"/>
        </w:rPr>
        <w:t>(jako IIT).</w:t>
      </w:r>
    </w:p>
    <w:p w14:paraId="3AEFCC15" w14:textId="77777777" w:rsidR="007404A9" w:rsidRDefault="007404A9" w:rsidP="00890249">
      <w:pPr>
        <w:pStyle w:val="Nagwek5"/>
        <w:rPr>
          <w:rFonts w:asciiTheme="minorHAnsi" w:hAnsiTheme="minorHAnsi" w:cstheme="minorHAnsi"/>
          <w:b/>
          <w:i/>
          <w:color w:val="2F5496" w:themeColor="accent5" w:themeShade="BF"/>
          <w:sz w:val="22"/>
          <w:szCs w:val="22"/>
        </w:rPr>
      </w:pPr>
    </w:p>
    <w:p w14:paraId="554E59F0" w14:textId="77777777" w:rsidR="007404A9" w:rsidRPr="007404A9" w:rsidRDefault="007404A9" w:rsidP="007404A9">
      <w:pPr>
        <w:pStyle w:val="Nagwek6"/>
        <w:rPr>
          <w:rFonts w:asciiTheme="minorHAnsi" w:hAnsiTheme="minorHAnsi" w:cstheme="minorHAnsi"/>
          <w:b/>
          <w:i/>
          <w:color w:val="2F5496"/>
          <w:sz w:val="22"/>
          <w:szCs w:val="22"/>
          <w:lang w:val="pl"/>
        </w:rPr>
      </w:pPr>
      <w:r w:rsidRPr="007404A9">
        <w:rPr>
          <w:rFonts w:asciiTheme="minorHAnsi" w:hAnsiTheme="minorHAnsi" w:cstheme="minorHAnsi"/>
          <w:b/>
          <w:i/>
          <w:color w:val="2F5496"/>
          <w:sz w:val="22"/>
          <w:szCs w:val="22"/>
          <w:lang w:val="pl"/>
        </w:rPr>
        <w:t xml:space="preserve">Wyzwania w zakresie zdolności administracyjnych, zarządzania oraz środków upraszczających </w:t>
      </w:r>
    </w:p>
    <w:p w14:paraId="39DD305E" w14:textId="34A4DA60" w:rsidR="007404A9" w:rsidRPr="00890249" w:rsidRDefault="007404A9" w:rsidP="007404A9">
      <w:pPr>
        <w:pStyle w:val="Tekstpodstawowy"/>
        <w:rPr>
          <w:rFonts w:asciiTheme="minorHAnsi" w:hAnsiTheme="minorHAnsi" w:cstheme="minorHAnsi"/>
          <w:sz w:val="22"/>
          <w:szCs w:val="22"/>
          <w:lang w:val="pl"/>
        </w:rPr>
      </w:pPr>
      <w:r w:rsidRPr="00890249">
        <w:rPr>
          <w:rFonts w:asciiTheme="minorHAnsi" w:hAnsiTheme="minorHAnsi" w:cstheme="minorHAnsi"/>
          <w:sz w:val="22"/>
          <w:szCs w:val="22"/>
          <w:lang w:val="pl"/>
        </w:rPr>
        <w:t>Kontynuowane będą dział. w zakr</w:t>
      </w:r>
      <w:r>
        <w:rPr>
          <w:rFonts w:asciiTheme="minorHAnsi" w:hAnsiTheme="minorHAnsi" w:cstheme="minorHAnsi"/>
          <w:sz w:val="22"/>
          <w:szCs w:val="22"/>
          <w:lang w:val="pl"/>
        </w:rPr>
        <w:t>esie</w:t>
      </w:r>
      <w:r w:rsidRPr="00890249">
        <w:rPr>
          <w:rFonts w:asciiTheme="minorHAnsi" w:hAnsiTheme="minorHAnsi" w:cstheme="minorHAnsi"/>
          <w:sz w:val="22"/>
          <w:szCs w:val="22"/>
          <w:lang w:val="pl"/>
        </w:rPr>
        <w:t xml:space="preserve"> utrzymania i zwiększenia zdoln</w:t>
      </w:r>
      <w:r>
        <w:rPr>
          <w:rFonts w:asciiTheme="minorHAnsi" w:hAnsiTheme="minorHAnsi" w:cstheme="minorHAnsi"/>
          <w:sz w:val="22"/>
          <w:szCs w:val="22"/>
          <w:lang w:val="pl"/>
        </w:rPr>
        <w:t>ości</w:t>
      </w:r>
      <w:r w:rsidRPr="00890249">
        <w:rPr>
          <w:rFonts w:asciiTheme="minorHAnsi" w:hAnsiTheme="minorHAnsi" w:cstheme="minorHAnsi"/>
          <w:sz w:val="22"/>
          <w:szCs w:val="22"/>
          <w:lang w:val="pl"/>
        </w:rPr>
        <w:t xml:space="preserve"> administ. instytucji Programu, m.in.: stabilizacja kadr, podn</w:t>
      </w:r>
      <w:r>
        <w:rPr>
          <w:rFonts w:asciiTheme="minorHAnsi" w:hAnsiTheme="minorHAnsi" w:cstheme="minorHAnsi"/>
          <w:sz w:val="22"/>
          <w:szCs w:val="22"/>
          <w:lang w:val="pl"/>
        </w:rPr>
        <w:t>oszenie</w:t>
      </w:r>
      <w:r w:rsidRPr="00890249">
        <w:rPr>
          <w:rFonts w:asciiTheme="minorHAnsi" w:hAnsiTheme="minorHAnsi" w:cstheme="minorHAnsi"/>
          <w:sz w:val="22"/>
          <w:szCs w:val="22"/>
          <w:lang w:val="pl"/>
        </w:rPr>
        <w:t xml:space="preserve"> kompetencji, wiedzy i umiejętności. IZ w coraz większym stopniu będzie korzystać z uproszcz. metod rozliczania wydatków zgodnie z art.</w:t>
      </w:r>
      <w:r w:rsidR="005E04BC">
        <w:rPr>
          <w:rFonts w:asciiTheme="minorHAnsi" w:hAnsiTheme="minorHAnsi" w:cstheme="minorHAnsi"/>
          <w:sz w:val="22"/>
          <w:szCs w:val="22"/>
          <w:lang w:val="pl"/>
        </w:rPr>
        <w:t xml:space="preserve"> 53 CPR. W </w:t>
      </w:r>
      <w:r>
        <w:rPr>
          <w:rFonts w:asciiTheme="minorHAnsi" w:hAnsiTheme="minorHAnsi" w:cstheme="minorHAnsi"/>
          <w:sz w:val="22"/>
          <w:szCs w:val="22"/>
          <w:lang w:val="pl"/>
        </w:rPr>
        <w:t>przypadku kontroli i </w:t>
      </w:r>
      <w:r w:rsidRPr="00890249">
        <w:rPr>
          <w:rFonts w:asciiTheme="minorHAnsi" w:hAnsiTheme="minorHAnsi" w:cstheme="minorHAnsi"/>
          <w:sz w:val="22"/>
          <w:szCs w:val="22"/>
          <w:lang w:val="pl"/>
        </w:rPr>
        <w:t xml:space="preserve">audytów, przewiduje się stosowanie zasady proporcjonalności. </w:t>
      </w:r>
    </w:p>
    <w:p w14:paraId="75955A5D" w14:textId="77777777" w:rsidR="007404A9" w:rsidRPr="00890249" w:rsidRDefault="007404A9" w:rsidP="007404A9">
      <w:pPr>
        <w:pStyle w:val="Tekstpodstawowy"/>
        <w:rPr>
          <w:rFonts w:asciiTheme="minorHAnsi" w:hAnsiTheme="minorHAnsi" w:cstheme="minorHAnsi"/>
          <w:sz w:val="22"/>
          <w:szCs w:val="22"/>
          <w:lang w:val="pl"/>
        </w:rPr>
      </w:pPr>
      <w:r w:rsidRPr="00890249">
        <w:rPr>
          <w:rFonts w:asciiTheme="minorHAnsi" w:hAnsiTheme="minorHAnsi" w:cstheme="minorHAnsi"/>
          <w:sz w:val="22"/>
          <w:szCs w:val="22"/>
          <w:lang w:val="pl"/>
        </w:rPr>
        <w:t>W zakresie komunikacji: standaryzacja stron internetowych, wykorzystanie nowocz</w:t>
      </w:r>
      <w:r>
        <w:rPr>
          <w:rFonts w:asciiTheme="minorHAnsi" w:hAnsiTheme="minorHAnsi" w:cstheme="minorHAnsi"/>
          <w:sz w:val="22"/>
          <w:szCs w:val="22"/>
          <w:lang w:val="pl"/>
        </w:rPr>
        <w:t>esnych</w:t>
      </w:r>
      <w:r w:rsidRPr="00890249">
        <w:rPr>
          <w:rFonts w:asciiTheme="minorHAnsi" w:hAnsiTheme="minorHAnsi" w:cstheme="minorHAnsi"/>
          <w:sz w:val="22"/>
          <w:szCs w:val="22"/>
          <w:lang w:val="pl"/>
        </w:rPr>
        <w:t xml:space="preserve"> </w:t>
      </w:r>
      <w:r>
        <w:rPr>
          <w:rFonts w:asciiTheme="minorHAnsi" w:hAnsiTheme="minorHAnsi" w:cstheme="minorHAnsi"/>
          <w:sz w:val="22"/>
          <w:szCs w:val="22"/>
          <w:lang w:val="pl"/>
        </w:rPr>
        <w:t>technologii i </w:t>
      </w:r>
      <w:r w:rsidRPr="00890249">
        <w:rPr>
          <w:rFonts w:asciiTheme="minorHAnsi" w:hAnsiTheme="minorHAnsi" w:cstheme="minorHAnsi"/>
          <w:sz w:val="22"/>
          <w:szCs w:val="22"/>
          <w:lang w:val="pl"/>
        </w:rPr>
        <w:t>elektr</w:t>
      </w:r>
      <w:r>
        <w:rPr>
          <w:rFonts w:asciiTheme="minorHAnsi" w:hAnsiTheme="minorHAnsi" w:cstheme="minorHAnsi"/>
          <w:sz w:val="22"/>
          <w:szCs w:val="22"/>
          <w:lang w:val="pl"/>
        </w:rPr>
        <w:t>oniczne</w:t>
      </w:r>
      <w:r w:rsidRPr="00890249">
        <w:rPr>
          <w:rFonts w:asciiTheme="minorHAnsi" w:hAnsiTheme="minorHAnsi" w:cstheme="minorHAnsi"/>
          <w:sz w:val="22"/>
          <w:szCs w:val="22"/>
          <w:lang w:val="pl"/>
        </w:rPr>
        <w:t xml:space="preserve"> generatory wniosków.</w:t>
      </w:r>
    </w:p>
    <w:p w14:paraId="59414973" w14:textId="77777777" w:rsidR="0093433C" w:rsidRPr="00890249" w:rsidRDefault="19FF5101" w:rsidP="00890249">
      <w:pPr>
        <w:pStyle w:val="Nagwek5"/>
        <w:rPr>
          <w:rFonts w:asciiTheme="minorHAnsi" w:hAnsiTheme="minorHAnsi" w:cstheme="minorHAnsi"/>
          <w:b/>
          <w:i/>
          <w:color w:val="2F5496" w:themeColor="accent5" w:themeShade="BF"/>
          <w:sz w:val="22"/>
          <w:szCs w:val="22"/>
        </w:rPr>
      </w:pPr>
      <w:r w:rsidRPr="00890249">
        <w:rPr>
          <w:rFonts w:asciiTheme="minorHAnsi" w:hAnsiTheme="minorHAnsi" w:cstheme="minorHAnsi"/>
          <w:b/>
          <w:i/>
          <w:color w:val="2F5496" w:themeColor="accent5" w:themeShade="BF"/>
          <w:sz w:val="22"/>
          <w:szCs w:val="22"/>
        </w:rPr>
        <w:lastRenderedPageBreak/>
        <w:t>Zasady h</w:t>
      </w:r>
      <w:r w:rsidRPr="007404A9">
        <w:rPr>
          <w:rFonts w:asciiTheme="minorHAnsi" w:hAnsiTheme="minorHAnsi" w:cstheme="minorHAnsi"/>
          <w:b/>
          <w:i/>
          <w:color w:val="2F5496"/>
          <w:sz w:val="22"/>
          <w:szCs w:val="22"/>
        </w:rPr>
        <w:t>oryzontalne</w:t>
      </w:r>
    </w:p>
    <w:p w14:paraId="29A818F6" w14:textId="77777777" w:rsidR="0093433C" w:rsidRPr="00890249" w:rsidRDefault="2F02C1FE"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Wybór projektów w trybie niekonkurencyjnym będzie się odbywał jedynie w oparciu o przesłanki określone w ustawie z dnia 24 marca 2022 r. o zasadach realizacji zadań finansowanych ze środków europejskich w perspektywie finansowej 2021–2027.</w:t>
      </w:r>
    </w:p>
    <w:p w14:paraId="115D9452" w14:textId="336709E5" w:rsidR="0093433C" w:rsidRPr="00890249" w:rsidRDefault="003F3830"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każdym CP, wszystkie inwestycje w infrastrukturę i usługi edukacyjne, społeczne i zdrowotne będą musiały być zgodne z zapisami art. 9 Rozp</w:t>
      </w:r>
      <w:r w:rsidR="00E81F23">
        <w:rPr>
          <w:rFonts w:asciiTheme="minorHAnsi" w:hAnsiTheme="minorHAnsi" w:cstheme="minorHAnsi"/>
          <w:sz w:val="22"/>
          <w:szCs w:val="22"/>
        </w:rPr>
        <w:t>.</w:t>
      </w:r>
      <w:r w:rsidRPr="00890249">
        <w:rPr>
          <w:rFonts w:asciiTheme="minorHAnsi" w:hAnsiTheme="minorHAnsi" w:cstheme="minorHAnsi"/>
          <w:sz w:val="22"/>
          <w:szCs w:val="22"/>
        </w:rPr>
        <w:t xml:space="preserve"> 1060</w:t>
      </w:r>
      <w:r w:rsidR="00890249">
        <w:rPr>
          <w:rFonts w:asciiTheme="minorHAnsi" w:hAnsiTheme="minorHAnsi" w:cstheme="minorHAnsi"/>
          <w:sz w:val="22"/>
          <w:szCs w:val="22"/>
        </w:rPr>
        <w:t>/2021, wymogami Konwencji ONZ o </w:t>
      </w:r>
      <w:r w:rsidRPr="00890249">
        <w:rPr>
          <w:rFonts w:asciiTheme="minorHAnsi" w:hAnsiTheme="minorHAnsi" w:cstheme="minorHAnsi"/>
          <w:sz w:val="22"/>
          <w:szCs w:val="22"/>
        </w:rPr>
        <w:t xml:space="preserve">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będą musiały wykazać zgodność ze strategią </w:t>
      </w:r>
      <w:r w:rsidR="00DF57F1">
        <w:rPr>
          <w:rFonts w:asciiTheme="minorHAnsi" w:hAnsiTheme="minorHAnsi" w:cstheme="minorHAnsi"/>
          <w:sz w:val="22"/>
          <w:szCs w:val="22"/>
        </w:rPr>
        <w:t>DI</w:t>
      </w:r>
      <w:r w:rsidRPr="00890249">
        <w:rPr>
          <w:rFonts w:asciiTheme="minorHAnsi" w:hAnsiTheme="minorHAnsi" w:cstheme="minorHAnsi"/>
          <w:sz w:val="22"/>
          <w:szCs w:val="22"/>
        </w:rPr>
        <w:t xml:space="preserve"> oraz odpowiednią polityką UE i ramami prawnymi odnośnie przestrzegania zobowiązań w zakresie praw człowieka, </w:t>
      </w:r>
      <w:r w:rsidR="00E81F23">
        <w:rPr>
          <w:rFonts w:asciiTheme="minorHAnsi" w:hAnsiTheme="minorHAnsi" w:cstheme="minorHAnsi"/>
          <w:sz w:val="22"/>
          <w:szCs w:val="22"/>
        </w:rPr>
        <w:t xml:space="preserve">tj.: </w:t>
      </w:r>
      <w:r w:rsidRPr="00890249">
        <w:rPr>
          <w:rFonts w:asciiTheme="minorHAnsi" w:hAnsiTheme="minorHAnsi" w:cstheme="minorHAnsi"/>
          <w:sz w:val="22"/>
          <w:szCs w:val="22"/>
        </w:rPr>
        <w:t>Kartą Praw Podstawowych, Europejskim Filarem Praw Społecznych, Strategią na rzecz praw osób niepełnosprawnych 2021-2030, Kon</w:t>
      </w:r>
      <w:r w:rsidR="005E04BC">
        <w:rPr>
          <w:rFonts w:asciiTheme="minorHAnsi" w:hAnsiTheme="minorHAnsi" w:cstheme="minorHAnsi"/>
          <w:sz w:val="22"/>
          <w:szCs w:val="22"/>
        </w:rPr>
        <w:t>wencją ONZ o Prawach Dziecka (w </w:t>
      </w:r>
      <w:r w:rsidRPr="00890249">
        <w:rPr>
          <w:rFonts w:asciiTheme="minorHAnsi" w:hAnsiTheme="minorHAnsi" w:cstheme="minorHAnsi"/>
          <w:sz w:val="22"/>
          <w:szCs w:val="22"/>
        </w:rPr>
        <w:t>szczególności art. 20 i 21). Zostanie t</w:t>
      </w:r>
      <w:r w:rsidR="00890249">
        <w:rPr>
          <w:rFonts w:asciiTheme="minorHAnsi" w:hAnsiTheme="minorHAnsi" w:cstheme="minorHAnsi"/>
          <w:sz w:val="22"/>
          <w:szCs w:val="22"/>
        </w:rPr>
        <w:t>o odpowiednio odzwierciedlone w </w:t>
      </w:r>
      <w:r w:rsidRPr="00890249">
        <w:rPr>
          <w:rFonts w:asciiTheme="minorHAnsi" w:hAnsiTheme="minorHAnsi" w:cstheme="minorHAnsi"/>
          <w:sz w:val="22"/>
          <w:szCs w:val="22"/>
        </w:rPr>
        <w:t>kryteriach wyboru projektów.</w:t>
      </w:r>
    </w:p>
    <w:p w14:paraId="5B4ACCBA" w14:textId="1D51F4C8" w:rsidR="00A83159" w:rsidRDefault="00A83159" w:rsidP="00890249">
      <w:pPr>
        <w:pStyle w:val="Tekstpodstawowy"/>
        <w:rPr>
          <w:rFonts w:asciiTheme="minorHAnsi" w:hAnsiTheme="minorHAnsi" w:cstheme="minorHAnsi"/>
          <w:sz w:val="22"/>
          <w:szCs w:val="22"/>
        </w:rPr>
      </w:pPr>
      <w:r w:rsidRPr="00A83159">
        <w:rPr>
          <w:rFonts w:asciiTheme="minorHAnsi" w:hAnsiTheme="minorHAnsi" w:cstheme="minorHAnsi"/>
          <w:sz w:val="22"/>
          <w:szCs w:val="22"/>
        </w:rPr>
        <w:t>W ramach Programu nie będzie finansowana infrastruktura placówek świadczących usługi w formie instytucjonalnej</w:t>
      </w:r>
      <w:r w:rsidR="009C0184">
        <w:rPr>
          <w:rFonts w:asciiTheme="minorHAnsi" w:hAnsiTheme="minorHAnsi" w:cstheme="minorHAnsi"/>
          <w:sz w:val="22"/>
          <w:szCs w:val="22"/>
        </w:rPr>
        <w:t>, która</w:t>
      </w:r>
      <w:r w:rsidRPr="00A83159">
        <w:rPr>
          <w:rFonts w:asciiTheme="minorHAnsi" w:hAnsiTheme="minorHAnsi" w:cstheme="minorHAnsi"/>
          <w:sz w:val="22"/>
          <w:szCs w:val="22"/>
        </w:rPr>
        <w:t xml:space="preserve"> powoduj</w:t>
      </w:r>
      <w:r w:rsidR="009C0184">
        <w:rPr>
          <w:rFonts w:asciiTheme="minorHAnsi" w:hAnsiTheme="minorHAnsi" w:cstheme="minorHAnsi"/>
          <w:sz w:val="22"/>
          <w:szCs w:val="22"/>
        </w:rPr>
        <w:t>e</w:t>
      </w:r>
      <w:r w:rsidRPr="00A83159">
        <w:rPr>
          <w:rFonts w:asciiTheme="minorHAnsi" w:hAnsiTheme="minorHAnsi" w:cstheme="minorHAnsi"/>
          <w:sz w:val="22"/>
          <w:szCs w:val="22"/>
        </w:rPr>
        <w:t xml:space="preserve"> segregację społeczną i przestrzenną poszczególnych grup społecznych.</w:t>
      </w:r>
    </w:p>
    <w:p w14:paraId="7BA0EAD2" w14:textId="6C286C61" w:rsidR="0093433C" w:rsidRPr="00890249" w:rsidRDefault="00B7657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 ramach </w:t>
      </w:r>
      <w:r w:rsidR="003B5DC6" w:rsidRPr="00890249">
        <w:rPr>
          <w:rFonts w:asciiTheme="minorHAnsi" w:hAnsiTheme="minorHAnsi" w:cstheme="minorHAnsi"/>
          <w:sz w:val="22"/>
          <w:szCs w:val="22"/>
        </w:rPr>
        <w:t xml:space="preserve">CP4 </w:t>
      </w:r>
      <w:r w:rsidRPr="00890249">
        <w:rPr>
          <w:rFonts w:asciiTheme="minorHAnsi" w:hAnsiTheme="minorHAnsi" w:cstheme="minorHAnsi"/>
          <w:sz w:val="22"/>
          <w:szCs w:val="22"/>
        </w:rPr>
        <w:t>EFRR inwestycje infrastrukturalne w placówki świadczące całodobową opiekę długoterminową (całodobowe usługi opiekuńcze) w instytucjonalnych formach są niedozwolone</w:t>
      </w:r>
      <w:r w:rsidRPr="00CC48DC">
        <w:rPr>
          <w:rFonts w:asciiTheme="minorHAnsi" w:hAnsiTheme="minorHAnsi" w:cstheme="minorHAnsi"/>
          <w:sz w:val="22"/>
          <w:szCs w:val="22"/>
        </w:rPr>
        <w:t xml:space="preserve">. Aby umożliwić przejście od opieki zinstytucjonalizowanej do środowiskowej, placówki te będą mogły być beneficjentem EFS+ na inwestycje stricte pozainfrastrukturalne, mające na celu </w:t>
      </w:r>
      <w:r w:rsidR="00DF57F1">
        <w:rPr>
          <w:rFonts w:asciiTheme="minorHAnsi" w:hAnsiTheme="minorHAnsi" w:cstheme="minorHAnsi"/>
          <w:sz w:val="22"/>
          <w:szCs w:val="22"/>
        </w:rPr>
        <w:t>DI</w:t>
      </w:r>
      <w:r w:rsidRPr="00CC48DC">
        <w:rPr>
          <w:rFonts w:asciiTheme="minorHAnsi" w:hAnsiTheme="minorHAnsi" w:cstheme="minorHAnsi"/>
          <w:sz w:val="22"/>
          <w:szCs w:val="22"/>
        </w:rPr>
        <w:t xml:space="preserve"> usług.</w:t>
      </w:r>
    </w:p>
    <w:p w14:paraId="07F37300" w14:textId="79DB8E62" w:rsidR="002D496B" w:rsidRPr="00890249" w:rsidRDefault="0007173E"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N</w:t>
      </w:r>
      <w:r w:rsidR="00875C92" w:rsidRPr="00890249">
        <w:rPr>
          <w:rFonts w:asciiTheme="minorHAnsi" w:hAnsiTheme="minorHAnsi" w:cstheme="minorHAnsi"/>
          <w:sz w:val="22"/>
          <w:szCs w:val="22"/>
        </w:rPr>
        <w:t xml:space="preserve">a potrzeby wdrażania programu zostanie przygotowana analiza grup będących w niekorzystnej sytuacji. </w:t>
      </w:r>
      <w:r w:rsidR="008B35B1" w:rsidRPr="00890249">
        <w:rPr>
          <w:rFonts w:asciiTheme="minorHAnsi" w:hAnsiTheme="minorHAnsi" w:cstheme="minorHAnsi"/>
          <w:sz w:val="22"/>
          <w:szCs w:val="22"/>
        </w:rPr>
        <w:t>Z</w:t>
      </w:r>
      <w:r w:rsidR="00875C92" w:rsidRPr="00890249">
        <w:rPr>
          <w:rFonts w:asciiTheme="minorHAnsi" w:hAnsiTheme="minorHAnsi" w:cstheme="minorHAnsi"/>
          <w:sz w:val="22"/>
          <w:szCs w:val="22"/>
        </w:rPr>
        <w:t xml:space="preserve">diagnozowane bariery zostaną uwzględnione w dokumentach wdrożeniowych. Zostanie to odpowiednio odzwierciedlone w kryteriach wyboru projektów, w tym premiujących </w:t>
      </w:r>
      <w:r w:rsidR="00DF57F1">
        <w:rPr>
          <w:rFonts w:asciiTheme="minorHAnsi" w:hAnsiTheme="minorHAnsi" w:cstheme="minorHAnsi"/>
          <w:sz w:val="22"/>
          <w:szCs w:val="22"/>
        </w:rPr>
        <w:t>dot.  wyrównywania szans</w:t>
      </w:r>
      <w:r w:rsidR="00875C92" w:rsidRPr="00890249">
        <w:rPr>
          <w:rFonts w:asciiTheme="minorHAnsi" w:hAnsiTheme="minorHAnsi" w:cstheme="minorHAnsi"/>
          <w:sz w:val="22"/>
          <w:szCs w:val="22"/>
        </w:rPr>
        <w:t xml:space="preserve"> grup zagrożonych dyskryminacją.</w:t>
      </w:r>
    </w:p>
    <w:p w14:paraId="3AD1F298" w14:textId="77777777" w:rsidR="002D496B" w:rsidRPr="00890249" w:rsidRDefault="002D496B">
      <w:pPr>
        <w:spacing w:before="0" w:after="160" w:line="259" w:lineRule="auto"/>
        <w:jc w:val="left"/>
        <w:rPr>
          <w:rFonts w:asciiTheme="minorHAnsi" w:hAnsiTheme="minorHAnsi" w:cstheme="minorHAnsi"/>
          <w:sz w:val="22"/>
          <w:szCs w:val="22"/>
        </w:rPr>
      </w:pPr>
      <w:r w:rsidRPr="00890249">
        <w:rPr>
          <w:rFonts w:asciiTheme="minorHAnsi" w:hAnsiTheme="minorHAnsi" w:cstheme="minorHAnsi"/>
          <w:sz w:val="22"/>
          <w:szCs w:val="22"/>
        </w:rPr>
        <w:br w:type="page"/>
      </w:r>
    </w:p>
    <w:p w14:paraId="082B45C8" w14:textId="4D151CD7" w:rsidR="0093433C" w:rsidRPr="00890249" w:rsidRDefault="0093433C" w:rsidP="002D496B">
      <w:pPr>
        <w:pStyle w:val="Tekstpodstawowy"/>
        <w:rPr>
          <w:rFonts w:asciiTheme="minorHAnsi" w:hAnsiTheme="minorHAnsi" w:cstheme="minorHAnsi"/>
          <w:sz w:val="22"/>
          <w:szCs w:val="22"/>
        </w:rPr>
      </w:pPr>
    </w:p>
    <w:p w14:paraId="29BE474C" w14:textId="77777777" w:rsidR="000429BE" w:rsidRPr="00890249" w:rsidRDefault="000429BE" w:rsidP="000429BE">
      <w:pPr>
        <w:spacing w:before="0" w:after="160" w:line="259" w:lineRule="auto"/>
        <w:rPr>
          <w:rFonts w:asciiTheme="minorHAnsi" w:hAnsiTheme="minorHAnsi" w:cstheme="minorHAnsi"/>
          <w:b/>
          <w:sz w:val="20"/>
          <w:szCs w:val="22"/>
        </w:rPr>
      </w:pPr>
      <w:r w:rsidRPr="00890249">
        <w:rPr>
          <w:rFonts w:asciiTheme="minorHAnsi" w:hAnsiTheme="minorHAnsi" w:cstheme="minorHAnsi"/>
          <w:b/>
          <w:sz w:val="20"/>
          <w:szCs w:val="22"/>
        </w:rPr>
        <w:t xml:space="preserve">Tabela 1. Główne wyzwania w zakresie rozwoju </w:t>
      </w:r>
    </w:p>
    <w:tbl>
      <w:tblPr>
        <w:tblStyle w:val="Tabela-Siatka2"/>
        <w:tblW w:w="5000"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881"/>
        <w:gridCol w:w="2303"/>
        <w:gridCol w:w="4877"/>
      </w:tblGrid>
      <w:tr w:rsidR="00BD7E4B" w:rsidRPr="00890249" w14:paraId="3939CFF9" w14:textId="77777777" w:rsidTr="18317E1B">
        <w:trPr>
          <w:tblHeader/>
        </w:trPr>
        <w:tc>
          <w:tcPr>
            <w:tcW w:w="1038" w:type="pct"/>
            <w:shd w:val="clear" w:color="auto" w:fill="D9D9D9" w:themeFill="background1" w:themeFillShade="D9"/>
          </w:tcPr>
          <w:p w14:paraId="66680E4F" w14:textId="77777777" w:rsidR="00F95F69" w:rsidRPr="00890249" w:rsidRDefault="00BD7E4B" w:rsidP="00514E3D">
            <w:pPr>
              <w:tabs>
                <w:tab w:val="left" w:pos="1545"/>
              </w:tabs>
              <w:spacing w:before="60" w:after="60"/>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Cel polityki </w:t>
            </w:r>
            <w:r w:rsidR="0059021B" w:rsidRPr="00890249">
              <w:rPr>
                <w:rFonts w:asciiTheme="minorHAnsi" w:hAnsiTheme="minorHAnsi" w:cstheme="minorHAnsi"/>
                <w:b/>
                <w:noProof/>
                <w:sz w:val="20"/>
              </w:rPr>
              <w:tab/>
            </w:r>
          </w:p>
        </w:tc>
        <w:tc>
          <w:tcPr>
            <w:tcW w:w="1271" w:type="pct"/>
            <w:shd w:val="clear" w:color="auto" w:fill="D9D9D9" w:themeFill="background1" w:themeFillShade="D9"/>
          </w:tcPr>
          <w:p w14:paraId="40F9E170" w14:textId="77777777" w:rsidR="00BD7E4B" w:rsidRPr="00890249" w:rsidRDefault="00BD7E4B" w:rsidP="004C571C">
            <w:pPr>
              <w:spacing w:before="60" w:after="60"/>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Cel szczegółowy lub odrębny priorytet* </w:t>
            </w:r>
          </w:p>
        </w:tc>
        <w:tc>
          <w:tcPr>
            <w:tcW w:w="2691" w:type="pct"/>
            <w:shd w:val="clear" w:color="auto" w:fill="D9D9D9" w:themeFill="background1" w:themeFillShade="D9"/>
          </w:tcPr>
          <w:p w14:paraId="4D4A5F60" w14:textId="77777777" w:rsidR="00BD7E4B" w:rsidRPr="00890249" w:rsidRDefault="00BD7E4B" w:rsidP="004C571C">
            <w:pPr>
              <w:spacing w:before="60" w:after="60"/>
              <w:rPr>
                <w:rFonts w:asciiTheme="minorHAnsi" w:eastAsia="Times New Roman" w:hAnsiTheme="minorHAnsi" w:cstheme="minorHAnsi"/>
                <w:b/>
                <w:iCs/>
                <w:noProof/>
                <w:sz w:val="20"/>
              </w:rPr>
            </w:pPr>
            <w:r w:rsidRPr="00890249">
              <w:rPr>
                <w:rFonts w:asciiTheme="minorHAnsi" w:hAnsiTheme="minorHAnsi" w:cstheme="minorHAnsi"/>
                <w:b/>
                <w:noProof/>
                <w:sz w:val="20"/>
              </w:rPr>
              <w:t>Uzasadnienie (streszczenie)</w:t>
            </w:r>
            <w:r w:rsidRPr="00890249">
              <w:rPr>
                <w:rFonts w:asciiTheme="minorHAnsi" w:hAnsiTheme="minorHAnsi" w:cstheme="minorHAnsi"/>
                <w:noProof/>
                <w:sz w:val="20"/>
              </w:rPr>
              <w:t xml:space="preserve"> [2 000 na każdy cel szczegółowy lub odrębny priorytet]</w:t>
            </w:r>
          </w:p>
        </w:tc>
      </w:tr>
      <w:tr w:rsidR="00BD7E4B" w:rsidRPr="00890249" w14:paraId="0391BC84" w14:textId="77777777" w:rsidTr="18317E1B">
        <w:tc>
          <w:tcPr>
            <w:tcW w:w="1038" w:type="pct"/>
            <w:vMerge w:val="restart"/>
          </w:tcPr>
          <w:p w14:paraId="79EC6516" w14:textId="77777777" w:rsidR="00BD7E4B" w:rsidRPr="00890249" w:rsidRDefault="00BD7E4B" w:rsidP="004C571C">
            <w:pPr>
              <w:spacing w:before="60" w:after="60"/>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CP 1.</w:t>
            </w:r>
          </w:p>
          <w:p w14:paraId="7CEEF0D4" w14:textId="77777777" w:rsidR="00BD7E4B" w:rsidRPr="00890249" w:rsidRDefault="00AA1F25" w:rsidP="00200DF6">
            <w:pPr>
              <w:spacing w:before="60" w:after="60"/>
              <w:jc w:val="left"/>
              <w:rPr>
                <w:rFonts w:asciiTheme="minorHAnsi" w:eastAsia="Times New Roman" w:hAnsiTheme="minorHAnsi" w:cstheme="minorHAnsi"/>
                <w:b/>
                <w:i/>
                <w:iCs/>
                <w:noProof/>
                <w:sz w:val="20"/>
              </w:rPr>
            </w:pPr>
            <w:r w:rsidRPr="00890249">
              <w:rPr>
                <w:rFonts w:asciiTheme="minorHAnsi" w:eastAsia="Times New Roman" w:hAnsiTheme="minorHAnsi" w:cstheme="minorHAnsi"/>
                <w:b/>
                <w:i/>
                <w:iCs/>
                <w:noProof/>
                <w:sz w:val="20"/>
              </w:rPr>
              <w:t xml:space="preserve">Bardziej konkurencyjna </w:t>
            </w:r>
            <w:r w:rsidR="00072762" w:rsidRPr="00890249">
              <w:rPr>
                <w:rFonts w:asciiTheme="minorHAnsi" w:eastAsia="Times New Roman" w:hAnsiTheme="minorHAnsi" w:cstheme="minorHAnsi"/>
                <w:b/>
                <w:i/>
                <w:iCs/>
                <w:noProof/>
                <w:sz w:val="20"/>
              </w:rPr>
              <w:t>i </w:t>
            </w:r>
            <w:r w:rsidRPr="00890249">
              <w:rPr>
                <w:rFonts w:asciiTheme="minorHAnsi" w:eastAsia="Times New Roman" w:hAnsiTheme="minorHAnsi" w:cstheme="minorHAnsi"/>
                <w:b/>
                <w:i/>
                <w:iCs/>
                <w:noProof/>
                <w:sz w:val="20"/>
              </w:rPr>
              <w:t xml:space="preserve">inteligentna Europa dzięki wspieraniu innowacyjnej </w:t>
            </w:r>
            <w:r w:rsidRPr="00890249">
              <w:rPr>
                <w:rFonts w:asciiTheme="minorHAnsi" w:eastAsia="Times New Roman" w:hAnsiTheme="minorHAnsi" w:cstheme="minorHAnsi"/>
                <w:b/>
                <w:i/>
                <w:iCs/>
                <w:noProof/>
                <w:sz w:val="20"/>
              </w:rPr>
              <w:br/>
              <w:t xml:space="preserve">i inteligentnej transformacji gospodarczej oraz regionalnej łączności cyfrowej </w:t>
            </w:r>
          </w:p>
        </w:tc>
        <w:tc>
          <w:tcPr>
            <w:tcW w:w="1271" w:type="pct"/>
          </w:tcPr>
          <w:p w14:paraId="7599EE52" w14:textId="77777777" w:rsidR="00BD7E4B" w:rsidRPr="00890249" w:rsidRDefault="00BD7E4B" w:rsidP="004C571C">
            <w:pPr>
              <w:spacing w:before="60" w:after="60"/>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(i) </w:t>
            </w:r>
          </w:p>
          <w:p w14:paraId="2D58C2FD" w14:textId="77777777" w:rsidR="00BD7E4B" w:rsidRPr="00890249" w:rsidRDefault="00545763" w:rsidP="00B00AFA">
            <w:pPr>
              <w:spacing w:before="60" w:after="60"/>
              <w:jc w:val="left"/>
              <w:rPr>
                <w:rFonts w:asciiTheme="minorHAnsi" w:eastAsia="Times New Roman" w:hAnsiTheme="minorHAnsi" w:cstheme="minorHAnsi"/>
                <w:i/>
                <w:iCs/>
                <w:noProof/>
                <w:sz w:val="20"/>
              </w:rPr>
            </w:pPr>
            <w:r w:rsidRPr="00890249">
              <w:rPr>
                <w:rFonts w:asciiTheme="minorHAnsi" w:eastAsia="Times New Roman" w:hAnsiTheme="minorHAnsi" w:cstheme="minorHAnsi"/>
                <w:i/>
                <w:iCs/>
                <w:noProof/>
                <w:sz w:val="20"/>
              </w:rPr>
              <w:t>Rozwijanie i </w:t>
            </w:r>
            <w:r w:rsidR="004D5E86" w:rsidRPr="00890249">
              <w:rPr>
                <w:rFonts w:asciiTheme="minorHAnsi" w:eastAsia="Times New Roman" w:hAnsiTheme="minorHAnsi" w:cstheme="minorHAnsi"/>
                <w:i/>
                <w:iCs/>
                <w:noProof/>
                <w:sz w:val="20"/>
              </w:rPr>
              <w:t>wzm</w:t>
            </w:r>
            <w:r w:rsidR="00072762" w:rsidRPr="00890249">
              <w:rPr>
                <w:rFonts w:asciiTheme="minorHAnsi" w:eastAsia="Times New Roman" w:hAnsiTheme="minorHAnsi" w:cstheme="minorHAnsi"/>
                <w:i/>
                <w:iCs/>
                <w:noProof/>
                <w:sz w:val="20"/>
              </w:rPr>
              <w:t>acnianie zdolności badawczych i </w:t>
            </w:r>
            <w:r w:rsidR="004D5E86" w:rsidRPr="00890249">
              <w:rPr>
                <w:rFonts w:asciiTheme="minorHAnsi" w:eastAsia="Times New Roman" w:hAnsiTheme="minorHAnsi" w:cstheme="minorHAnsi"/>
                <w:i/>
                <w:iCs/>
                <w:noProof/>
                <w:sz w:val="20"/>
              </w:rPr>
              <w:t>innowacyjnych oraz wykorzystywanie zaawansowanych technologii</w:t>
            </w:r>
          </w:p>
        </w:tc>
        <w:tc>
          <w:tcPr>
            <w:tcW w:w="2691" w:type="pct"/>
          </w:tcPr>
          <w:p w14:paraId="27745D90" w14:textId="77777777" w:rsidR="00465200" w:rsidRPr="00890249" w:rsidRDefault="00465200" w:rsidP="009F296A">
            <w:pPr>
              <w:numPr>
                <w:ilvl w:val="0"/>
                <w:numId w:val="11"/>
              </w:numPr>
              <w:spacing w:before="60" w:after="60"/>
              <w:ind w:left="341" w:hanging="284"/>
              <w:rPr>
                <w:rFonts w:asciiTheme="minorHAnsi" w:eastAsiaTheme="minorHAnsi" w:hAnsiTheme="minorHAnsi" w:cstheme="minorHAnsi"/>
                <w:sz w:val="20"/>
              </w:rPr>
            </w:pPr>
            <w:r w:rsidRPr="00890249">
              <w:rPr>
                <w:rFonts w:asciiTheme="minorHAnsi" w:hAnsiTheme="minorHAnsi" w:cstheme="minorHAnsi"/>
                <w:sz w:val="20"/>
              </w:rPr>
              <w:t xml:space="preserve">niski udział </w:t>
            </w:r>
            <w:r w:rsidR="00523596" w:rsidRPr="00890249">
              <w:rPr>
                <w:rFonts w:asciiTheme="minorHAnsi" w:hAnsiTheme="minorHAnsi" w:cstheme="minorHAnsi"/>
                <w:sz w:val="20"/>
              </w:rPr>
              <w:t>innowacyjnych przedsiębiorstw w </w:t>
            </w:r>
            <w:r w:rsidRPr="00890249">
              <w:rPr>
                <w:rFonts w:asciiTheme="minorHAnsi" w:hAnsiTheme="minorHAnsi" w:cstheme="minorHAnsi"/>
                <w:sz w:val="20"/>
              </w:rPr>
              <w:t>regionie</w:t>
            </w:r>
            <w:r w:rsidRPr="00890249">
              <w:rPr>
                <w:rFonts w:asciiTheme="minorHAnsi" w:eastAsiaTheme="minorHAnsi" w:hAnsiTheme="minorHAnsi" w:cstheme="minorHAnsi"/>
                <w:sz w:val="20"/>
                <w:szCs w:val="22"/>
              </w:rPr>
              <w:t xml:space="preserve"> - poniżej średniej krajowej</w:t>
            </w:r>
            <w:r w:rsidRPr="00890249">
              <w:rPr>
                <w:rStyle w:val="Odwoanieprzypisudolnego"/>
                <w:rFonts w:asciiTheme="minorHAnsi" w:eastAsiaTheme="minorHAnsi" w:hAnsiTheme="minorHAnsi" w:cstheme="minorHAnsi"/>
                <w:sz w:val="20"/>
                <w:szCs w:val="22"/>
              </w:rPr>
              <w:footnoteReference w:id="44"/>
            </w:r>
            <w:r w:rsidR="00072596" w:rsidRPr="00890249">
              <w:rPr>
                <w:rFonts w:asciiTheme="minorHAnsi" w:eastAsiaTheme="minorHAnsi" w:hAnsiTheme="minorHAnsi" w:cstheme="minorHAnsi"/>
                <w:sz w:val="20"/>
                <w:szCs w:val="22"/>
              </w:rPr>
              <w:t>. W</w:t>
            </w:r>
            <w:r w:rsidR="00BC32F2" w:rsidRPr="00890249">
              <w:rPr>
                <w:rFonts w:asciiTheme="minorHAnsi" w:eastAsiaTheme="minorHAnsi" w:hAnsiTheme="minorHAnsi" w:cstheme="minorHAnsi"/>
                <w:sz w:val="20"/>
                <w:szCs w:val="22"/>
              </w:rPr>
              <w:t xml:space="preserve"> roku 2019 średni udział przedsiębiorstw innowacyjnych w ogólnej liczbie przedsiębiorstw w skali kraju kształtował się na poziomie 15.5%</w:t>
            </w:r>
            <w:r w:rsidR="00072596" w:rsidRPr="00890249">
              <w:rPr>
                <w:rFonts w:asciiTheme="minorHAnsi" w:eastAsiaTheme="minorHAnsi" w:hAnsiTheme="minorHAnsi" w:cstheme="minorHAnsi"/>
                <w:sz w:val="20"/>
                <w:szCs w:val="22"/>
              </w:rPr>
              <w:t>,</w:t>
            </w:r>
            <w:r w:rsidR="00BC32F2" w:rsidRPr="00890249">
              <w:rPr>
                <w:rFonts w:asciiTheme="minorHAnsi" w:eastAsiaTheme="minorHAnsi" w:hAnsiTheme="minorHAnsi" w:cstheme="minorHAnsi"/>
                <w:sz w:val="20"/>
                <w:szCs w:val="22"/>
              </w:rPr>
              <w:t xml:space="preserve"> gdzie </w:t>
            </w:r>
            <w:r w:rsidR="005A23FA" w:rsidRPr="00890249">
              <w:rPr>
                <w:rFonts w:asciiTheme="minorHAnsi" w:eastAsiaTheme="minorHAnsi" w:hAnsiTheme="minorHAnsi" w:cstheme="minorHAnsi"/>
                <w:sz w:val="20"/>
                <w:szCs w:val="22"/>
              </w:rPr>
              <w:t>woj.</w:t>
            </w:r>
            <w:r w:rsidR="00BC32F2" w:rsidRPr="00890249">
              <w:rPr>
                <w:rFonts w:asciiTheme="minorHAnsi" w:eastAsiaTheme="minorHAnsi" w:hAnsiTheme="minorHAnsi" w:cstheme="minorHAnsi"/>
                <w:sz w:val="20"/>
                <w:szCs w:val="22"/>
              </w:rPr>
              <w:t xml:space="preserve"> opolskie</w:t>
            </w:r>
            <w:r w:rsidR="003803DE" w:rsidRPr="00890249">
              <w:rPr>
                <w:rFonts w:asciiTheme="minorHAnsi" w:eastAsiaTheme="minorHAnsi" w:hAnsiTheme="minorHAnsi" w:cstheme="minorHAnsi"/>
                <w:sz w:val="20"/>
                <w:szCs w:val="22"/>
              </w:rPr>
              <w:t xml:space="preserve"> </w:t>
            </w:r>
            <w:r w:rsidR="00BC32F2" w:rsidRPr="00890249">
              <w:rPr>
                <w:rFonts w:asciiTheme="minorHAnsi" w:eastAsiaTheme="minorHAnsi" w:hAnsiTheme="minorHAnsi" w:cstheme="minorHAnsi"/>
                <w:sz w:val="20"/>
                <w:szCs w:val="22"/>
              </w:rPr>
              <w:t>z wynikiem 11,7%  zajęło 10 miejsce na 13 możliwych</w:t>
            </w:r>
            <w:r w:rsidR="003803DE" w:rsidRPr="00890249">
              <w:rPr>
                <w:rFonts w:asciiTheme="minorHAnsi" w:eastAsiaTheme="minorHAnsi" w:hAnsiTheme="minorHAnsi" w:cstheme="minorHAnsi"/>
                <w:sz w:val="20"/>
                <w:szCs w:val="22"/>
              </w:rPr>
              <w:t>,</w:t>
            </w:r>
          </w:p>
          <w:p w14:paraId="36363607" w14:textId="77777777" w:rsidR="00BC32F2" w:rsidRPr="00890249" w:rsidRDefault="00BC32F2" w:rsidP="009F296A">
            <w:pPr>
              <w:numPr>
                <w:ilvl w:val="0"/>
                <w:numId w:val="11"/>
              </w:numPr>
              <w:spacing w:before="60" w:after="60"/>
              <w:ind w:left="339" w:hanging="284"/>
              <w:contextualSpacing/>
              <w:rPr>
                <w:rFonts w:asciiTheme="minorHAnsi" w:eastAsiaTheme="minorHAnsi" w:hAnsiTheme="minorHAnsi" w:cstheme="minorHAnsi"/>
                <w:sz w:val="20"/>
                <w:szCs w:val="18"/>
              </w:rPr>
            </w:pPr>
            <w:r w:rsidRPr="00890249">
              <w:rPr>
                <w:rFonts w:asciiTheme="minorHAnsi" w:eastAsiaTheme="minorHAnsi" w:hAnsiTheme="minorHAnsi" w:cstheme="minorHAnsi"/>
                <w:sz w:val="20"/>
                <w:szCs w:val="18"/>
              </w:rPr>
              <w:t>w latach 2017-2</w:t>
            </w:r>
            <w:r w:rsidR="00860575" w:rsidRPr="00890249">
              <w:rPr>
                <w:rFonts w:asciiTheme="minorHAnsi" w:eastAsiaTheme="minorHAnsi" w:hAnsiTheme="minorHAnsi" w:cstheme="minorHAnsi"/>
                <w:sz w:val="20"/>
                <w:szCs w:val="18"/>
              </w:rPr>
              <w:t>019 przedsiębiorstwa usługowe w </w:t>
            </w:r>
            <w:r w:rsidRPr="00890249">
              <w:rPr>
                <w:rFonts w:asciiTheme="minorHAnsi" w:eastAsiaTheme="minorHAnsi" w:hAnsiTheme="minorHAnsi" w:cstheme="minorHAnsi"/>
                <w:sz w:val="20"/>
                <w:szCs w:val="18"/>
              </w:rPr>
              <w:t>woj</w:t>
            </w:r>
            <w:r w:rsidR="00265BFE" w:rsidRPr="00890249">
              <w:rPr>
                <w:rFonts w:asciiTheme="minorHAnsi" w:eastAsiaTheme="minorHAnsi" w:hAnsiTheme="minorHAnsi" w:cstheme="minorHAnsi"/>
                <w:sz w:val="20"/>
                <w:szCs w:val="18"/>
              </w:rPr>
              <w:t>.</w:t>
            </w:r>
            <w:r w:rsidRPr="00890249">
              <w:rPr>
                <w:rFonts w:asciiTheme="minorHAnsi" w:eastAsiaTheme="minorHAnsi" w:hAnsiTheme="minorHAnsi" w:cstheme="minorHAnsi"/>
                <w:sz w:val="20"/>
                <w:szCs w:val="18"/>
              </w:rPr>
              <w:t xml:space="preserve"> opolsk</w:t>
            </w:r>
            <w:r w:rsidR="00860575" w:rsidRPr="00890249">
              <w:rPr>
                <w:rFonts w:asciiTheme="minorHAnsi" w:eastAsiaTheme="minorHAnsi" w:hAnsiTheme="minorHAnsi" w:cstheme="minorHAnsi"/>
                <w:sz w:val="20"/>
                <w:szCs w:val="18"/>
              </w:rPr>
              <w:t>im zaczęły częściej korzystać z </w:t>
            </w:r>
            <w:r w:rsidRPr="00890249">
              <w:rPr>
                <w:rFonts w:asciiTheme="minorHAnsi" w:eastAsiaTheme="minorHAnsi" w:hAnsiTheme="minorHAnsi" w:cstheme="minorHAnsi"/>
                <w:sz w:val="20"/>
                <w:szCs w:val="18"/>
              </w:rPr>
              <w:t>publicznej pomocy finansowej na innowacje (34,7%)</w:t>
            </w:r>
            <w:r w:rsidRPr="00890249">
              <w:rPr>
                <w:rStyle w:val="Odwoanieprzypisudolnego"/>
                <w:rFonts w:asciiTheme="minorHAnsi" w:eastAsiaTheme="minorHAnsi" w:hAnsiTheme="minorHAnsi" w:cstheme="minorHAnsi"/>
                <w:sz w:val="20"/>
                <w:szCs w:val="18"/>
              </w:rPr>
              <w:footnoteReference w:id="45"/>
            </w:r>
            <w:r w:rsidRPr="00890249">
              <w:rPr>
                <w:rFonts w:asciiTheme="minorHAnsi" w:eastAsiaTheme="minorHAnsi" w:hAnsiTheme="minorHAnsi" w:cstheme="minorHAnsi"/>
                <w:sz w:val="20"/>
                <w:szCs w:val="18"/>
              </w:rPr>
              <w:t>, aniżeli miało to miejsce w latach poprzednich (2,8% w latach 2009-2016)</w:t>
            </w:r>
            <w:r w:rsidR="003803DE" w:rsidRPr="00890249">
              <w:rPr>
                <w:rFonts w:asciiTheme="minorHAnsi" w:eastAsiaTheme="minorHAnsi" w:hAnsiTheme="minorHAnsi" w:cstheme="minorHAnsi"/>
                <w:sz w:val="20"/>
                <w:szCs w:val="18"/>
              </w:rPr>
              <w:t>,</w:t>
            </w:r>
            <w:r w:rsidRPr="00890249">
              <w:rPr>
                <w:rFonts w:asciiTheme="minorHAnsi" w:eastAsiaTheme="minorHAnsi" w:hAnsiTheme="minorHAnsi" w:cstheme="minorHAnsi"/>
                <w:sz w:val="20"/>
                <w:szCs w:val="18"/>
              </w:rPr>
              <w:t xml:space="preserve"> </w:t>
            </w:r>
          </w:p>
          <w:p w14:paraId="58C386C7" w14:textId="77777777" w:rsidR="00BC32F2" w:rsidRPr="00890249" w:rsidRDefault="00465200" w:rsidP="009F296A">
            <w:pPr>
              <w:numPr>
                <w:ilvl w:val="0"/>
                <w:numId w:val="11"/>
              </w:numPr>
              <w:spacing w:before="60" w:after="60"/>
              <w:ind w:left="339" w:hanging="284"/>
              <w:contextualSpacing/>
              <w:rPr>
                <w:rFonts w:asciiTheme="minorHAnsi" w:hAnsiTheme="minorHAnsi" w:cstheme="minorHAnsi"/>
                <w:b/>
                <w:sz w:val="20"/>
                <w:lang w:eastAsia="en-US" w:bidi="ar-SA"/>
              </w:rPr>
            </w:pPr>
            <w:r w:rsidRPr="00890249">
              <w:rPr>
                <w:rFonts w:asciiTheme="minorHAnsi" w:eastAsiaTheme="minorHAnsi" w:hAnsiTheme="minorHAnsi" w:cstheme="minorHAnsi"/>
                <w:sz w:val="20"/>
                <w:szCs w:val="22"/>
                <w:lang w:eastAsia="en-US" w:bidi="ar-SA"/>
              </w:rPr>
              <w:t>konieczność dalszego inwestowania w infrastrukturę B+R  oraz transfer wiedzy.</w:t>
            </w:r>
            <w:r w:rsidR="00BC32F2" w:rsidRPr="00890249">
              <w:rPr>
                <w:rFonts w:asciiTheme="minorHAnsi" w:eastAsiaTheme="minorHAnsi" w:hAnsiTheme="minorHAnsi" w:cstheme="minorHAnsi"/>
                <w:sz w:val="20"/>
                <w:szCs w:val="22"/>
                <w:lang w:eastAsia="en-US" w:bidi="ar-SA"/>
              </w:rPr>
              <w:t xml:space="preserve"> </w:t>
            </w:r>
            <w:r w:rsidR="003803DE" w:rsidRPr="00890249">
              <w:rPr>
                <w:rFonts w:asciiTheme="minorHAnsi" w:eastAsiaTheme="minorHAnsi" w:hAnsiTheme="minorHAnsi" w:cstheme="minorHAnsi"/>
                <w:sz w:val="20"/>
                <w:szCs w:val="22"/>
                <w:lang w:eastAsia="en-US" w:bidi="ar-SA"/>
              </w:rPr>
              <w:t xml:space="preserve">Woj. </w:t>
            </w:r>
            <w:r w:rsidR="00BC32F2" w:rsidRPr="00890249">
              <w:rPr>
                <w:rFonts w:asciiTheme="minorHAnsi" w:eastAsiaTheme="minorHAnsi" w:hAnsiTheme="minorHAnsi" w:cstheme="minorHAnsi"/>
                <w:sz w:val="20"/>
                <w:szCs w:val="22"/>
                <w:lang w:eastAsia="en-US" w:bidi="ar-SA"/>
              </w:rPr>
              <w:t>opolskie jest regionem o najmniejszej koncentracji podmiotów posiadających własną infrastrukturę B+R w Polsce</w:t>
            </w:r>
            <w:r w:rsidR="003803DE" w:rsidRPr="00890249">
              <w:rPr>
                <w:rFonts w:asciiTheme="minorHAnsi" w:eastAsiaTheme="minorHAnsi" w:hAnsiTheme="minorHAnsi" w:cstheme="minorHAnsi"/>
                <w:sz w:val="20"/>
                <w:szCs w:val="22"/>
                <w:lang w:eastAsia="en-US" w:bidi="ar-SA"/>
              </w:rPr>
              <w:t xml:space="preserve">. </w:t>
            </w:r>
            <w:r w:rsidR="005A23FA" w:rsidRPr="00890249">
              <w:rPr>
                <w:rFonts w:asciiTheme="minorHAnsi" w:eastAsiaTheme="minorHAnsi" w:hAnsiTheme="minorHAnsi" w:cstheme="minorHAnsi"/>
                <w:sz w:val="20"/>
                <w:szCs w:val="22"/>
                <w:lang w:eastAsia="en-US" w:bidi="ar-SA"/>
              </w:rPr>
              <w:t>P</w:t>
            </w:r>
            <w:r w:rsidR="00BC32F2" w:rsidRPr="00890249">
              <w:rPr>
                <w:rFonts w:asciiTheme="minorHAnsi" w:eastAsiaTheme="minorHAnsi" w:hAnsiTheme="minorHAnsi" w:cstheme="minorHAnsi"/>
                <w:sz w:val="20"/>
                <w:szCs w:val="22"/>
                <w:lang w:eastAsia="en-US" w:bidi="ar-SA"/>
              </w:rPr>
              <w:t>onad 2/3 urządzeń badawczych w nie nadaje się do użycia lub nie spełnia wymogów nowoczesnej gospodarki</w:t>
            </w:r>
            <w:r w:rsidR="00BC32F2" w:rsidRPr="00890249">
              <w:rPr>
                <w:rStyle w:val="Odwoanieprzypisudolnego"/>
                <w:rFonts w:asciiTheme="minorHAnsi" w:eastAsiaTheme="minorHAnsi" w:hAnsiTheme="minorHAnsi" w:cstheme="minorHAnsi"/>
                <w:sz w:val="20"/>
                <w:szCs w:val="22"/>
                <w:lang w:eastAsia="en-US" w:bidi="ar-SA"/>
              </w:rPr>
              <w:footnoteReference w:id="46"/>
            </w:r>
            <w:r w:rsidR="003803DE" w:rsidRPr="00890249">
              <w:rPr>
                <w:rFonts w:asciiTheme="minorHAnsi" w:eastAsiaTheme="minorHAnsi" w:hAnsiTheme="minorHAnsi" w:cstheme="minorHAnsi"/>
                <w:sz w:val="20"/>
                <w:szCs w:val="22"/>
                <w:lang w:eastAsia="en-US" w:bidi="ar-SA"/>
              </w:rPr>
              <w:t>,</w:t>
            </w:r>
          </w:p>
          <w:p w14:paraId="60167122" w14:textId="77777777" w:rsidR="00BC32F2" w:rsidRPr="00890249" w:rsidRDefault="00072596" w:rsidP="009F296A">
            <w:pPr>
              <w:numPr>
                <w:ilvl w:val="0"/>
                <w:numId w:val="11"/>
              </w:numPr>
              <w:spacing w:before="60" w:after="60"/>
              <w:ind w:left="339" w:hanging="284"/>
              <w:contextualSpacing/>
              <w:rPr>
                <w:rFonts w:asciiTheme="minorHAnsi" w:hAnsiTheme="minorHAnsi" w:cstheme="minorHAnsi"/>
                <w:sz w:val="20"/>
                <w:lang w:eastAsia="en-US" w:bidi="ar-SA"/>
              </w:rPr>
            </w:pPr>
            <w:r w:rsidRPr="00890249">
              <w:rPr>
                <w:rFonts w:asciiTheme="minorHAnsi" w:eastAsiaTheme="minorHAnsi" w:hAnsiTheme="minorHAnsi" w:cstheme="minorHAnsi"/>
                <w:sz w:val="20"/>
                <w:szCs w:val="22"/>
              </w:rPr>
              <w:t xml:space="preserve">należy </w:t>
            </w:r>
            <w:r w:rsidR="00BC32F2" w:rsidRPr="00890249">
              <w:rPr>
                <w:rFonts w:asciiTheme="minorHAnsi" w:eastAsiaTheme="minorHAnsi" w:hAnsiTheme="minorHAnsi" w:cstheme="minorHAnsi"/>
                <w:sz w:val="20"/>
                <w:szCs w:val="22"/>
              </w:rPr>
              <w:t>zwiększ</w:t>
            </w:r>
            <w:r w:rsidRPr="00890249">
              <w:rPr>
                <w:rFonts w:asciiTheme="minorHAnsi" w:eastAsiaTheme="minorHAnsi" w:hAnsiTheme="minorHAnsi" w:cstheme="minorHAnsi"/>
                <w:sz w:val="20"/>
                <w:szCs w:val="22"/>
              </w:rPr>
              <w:t>yć</w:t>
            </w:r>
            <w:r w:rsidR="00BC32F2" w:rsidRPr="00890249">
              <w:rPr>
                <w:rFonts w:asciiTheme="minorHAnsi" w:eastAsiaTheme="minorHAnsi" w:hAnsiTheme="minorHAnsi" w:cstheme="minorHAnsi"/>
                <w:sz w:val="20"/>
                <w:szCs w:val="22"/>
              </w:rPr>
              <w:t xml:space="preserve"> dostęp do profesjonalnych i wysoko wyspecjalizowanych usług świadczonych przez IOB na rzecz przedsiębiorstw</w:t>
            </w:r>
            <w:r w:rsidRPr="00890249">
              <w:rPr>
                <w:rFonts w:asciiTheme="minorHAnsi" w:eastAsiaTheme="minorHAnsi" w:hAnsiTheme="minorHAnsi" w:cstheme="minorHAnsi"/>
                <w:sz w:val="20"/>
                <w:szCs w:val="22"/>
              </w:rPr>
              <w:t>. Jest to</w:t>
            </w:r>
            <w:r w:rsidR="00BC32F2" w:rsidRPr="00890249">
              <w:rPr>
                <w:rFonts w:asciiTheme="minorHAnsi" w:eastAsiaTheme="minorHAnsi" w:hAnsiTheme="minorHAnsi" w:cstheme="minorHAnsi"/>
                <w:sz w:val="20"/>
                <w:szCs w:val="22"/>
              </w:rPr>
              <w:t xml:space="preserve"> czynnik warunkujący podniesienie konkurencyjności tego sektora</w:t>
            </w:r>
            <w:r w:rsidRPr="00890249">
              <w:rPr>
                <w:rFonts w:asciiTheme="minorHAnsi" w:eastAsiaTheme="minorHAnsi" w:hAnsiTheme="minorHAnsi" w:cstheme="minorHAnsi"/>
                <w:sz w:val="20"/>
                <w:szCs w:val="22"/>
              </w:rPr>
              <w:t>,</w:t>
            </w:r>
          </w:p>
          <w:p w14:paraId="6FBB6800" w14:textId="7A11E513" w:rsidR="00A63705" w:rsidRPr="00890249" w:rsidRDefault="00BC32F2" w:rsidP="009F296A">
            <w:pPr>
              <w:numPr>
                <w:ilvl w:val="0"/>
                <w:numId w:val="11"/>
              </w:numPr>
              <w:spacing w:before="60" w:after="60"/>
              <w:ind w:left="339" w:hanging="284"/>
              <w:contextualSpacing/>
              <w:rPr>
                <w:rFonts w:asciiTheme="minorHAnsi" w:hAnsiTheme="minorHAnsi" w:cstheme="minorHAnsi"/>
                <w:sz w:val="20"/>
                <w:lang w:eastAsia="en-US" w:bidi="ar-SA"/>
              </w:rPr>
            </w:pPr>
            <w:r w:rsidRPr="00890249">
              <w:rPr>
                <w:rFonts w:asciiTheme="minorHAnsi" w:eastAsiaTheme="minorHAnsi" w:hAnsiTheme="minorHAnsi" w:cstheme="minorHAnsi"/>
                <w:sz w:val="20"/>
              </w:rPr>
              <w:t>konieczność wzmacniania potencjału naukowego i badawczo-rozwojowego regionu, głównie w obszarze inteligentnych specjalizacji</w:t>
            </w:r>
            <w:r w:rsidR="00072596" w:rsidRPr="00890249">
              <w:rPr>
                <w:rFonts w:asciiTheme="minorHAnsi" w:eastAsiaTheme="minorHAnsi" w:hAnsiTheme="minorHAnsi" w:cstheme="minorHAnsi"/>
                <w:sz w:val="20"/>
              </w:rPr>
              <w:t xml:space="preserve">. Jest to </w:t>
            </w:r>
            <w:r w:rsidRPr="00890249">
              <w:rPr>
                <w:rFonts w:asciiTheme="minorHAnsi" w:eastAsiaTheme="minorHAnsi" w:hAnsiTheme="minorHAnsi" w:cstheme="minorHAnsi"/>
                <w:sz w:val="20"/>
              </w:rPr>
              <w:t>jedna z kluczowych rekomendacji dla polityki rozwoju woj. opolskiego</w:t>
            </w:r>
            <w:r w:rsidRPr="00890249">
              <w:rPr>
                <w:rFonts w:asciiTheme="minorHAnsi" w:eastAsiaTheme="minorHAnsi" w:hAnsiTheme="minorHAnsi" w:cstheme="minorHAnsi"/>
                <w:sz w:val="20"/>
                <w:vertAlign w:val="superscript"/>
              </w:rPr>
              <w:footnoteReference w:id="47"/>
            </w:r>
            <w:r w:rsidRPr="00890249">
              <w:rPr>
                <w:rFonts w:asciiTheme="minorHAnsi" w:eastAsiaTheme="minorHAnsi" w:hAnsiTheme="minorHAnsi" w:cstheme="minorHAnsi"/>
                <w:sz w:val="20"/>
              </w:rPr>
              <w:t xml:space="preserve"> </w:t>
            </w:r>
            <w:r w:rsidR="008374CE" w:rsidRPr="00890249">
              <w:rPr>
                <w:rFonts w:asciiTheme="minorHAnsi" w:eastAsia="Times New Roman" w:hAnsiTheme="minorHAnsi" w:cstheme="minorHAnsi"/>
                <w:noProof/>
                <w:color w:val="000000" w:themeColor="text1"/>
                <w:sz w:val="20"/>
                <w:szCs w:val="22"/>
              </w:rPr>
              <w:t>.</w:t>
            </w:r>
          </w:p>
        </w:tc>
      </w:tr>
      <w:tr w:rsidR="00BD7E4B" w:rsidRPr="00890249" w14:paraId="004BD74E" w14:textId="77777777" w:rsidTr="18317E1B">
        <w:tc>
          <w:tcPr>
            <w:tcW w:w="1038" w:type="pct"/>
            <w:vMerge/>
          </w:tcPr>
          <w:p w14:paraId="08F9D8D1" w14:textId="77777777" w:rsidR="00BD7E4B" w:rsidRPr="00890249" w:rsidRDefault="00BD7E4B" w:rsidP="004C571C">
            <w:pPr>
              <w:spacing w:before="60" w:after="60"/>
              <w:jc w:val="left"/>
              <w:rPr>
                <w:rFonts w:asciiTheme="minorHAnsi" w:eastAsia="Times New Roman" w:hAnsiTheme="minorHAnsi" w:cstheme="minorHAnsi"/>
                <w:b/>
                <w:iCs/>
                <w:noProof/>
                <w:sz w:val="20"/>
              </w:rPr>
            </w:pPr>
          </w:p>
        </w:tc>
        <w:tc>
          <w:tcPr>
            <w:tcW w:w="1271" w:type="pct"/>
          </w:tcPr>
          <w:p w14:paraId="73FF7AA0" w14:textId="77777777" w:rsidR="00BD7E4B" w:rsidRPr="00890249" w:rsidRDefault="00BD7E4B" w:rsidP="004C571C">
            <w:pPr>
              <w:spacing w:before="60" w:after="60"/>
              <w:jc w:val="left"/>
              <w:rPr>
                <w:rFonts w:asciiTheme="minorHAnsi" w:hAnsiTheme="minorHAnsi" w:cstheme="minorHAnsi"/>
                <w:sz w:val="20"/>
                <w:lang w:eastAsia="en-US" w:bidi="ar-SA"/>
              </w:rPr>
            </w:pPr>
            <w:r w:rsidRPr="00890249">
              <w:rPr>
                <w:rFonts w:asciiTheme="minorHAnsi" w:hAnsiTheme="minorHAnsi" w:cstheme="minorHAnsi"/>
                <w:sz w:val="20"/>
                <w:lang w:eastAsia="en-US" w:bidi="ar-SA"/>
              </w:rPr>
              <w:t xml:space="preserve">(ii) </w:t>
            </w:r>
          </w:p>
          <w:p w14:paraId="2B104EE0" w14:textId="77777777" w:rsidR="00BD7E4B" w:rsidRPr="00890249" w:rsidRDefault="00545763" w:rsidP="00545763">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lang w:eastAsia="en-US"/>
              </w:rPr>
              <w:t>Czerpanie korzyści z </w:t>
            </w:r>
            <w:r w:rsidR="006C7106" w:rsidRPr="00890249">
              <w:rPr>
                <w:rFonts w:asciiTheme="minorHAnsi" w:hAnsiTheme="minorHAnsi" w:cstheme="minorHAnsi"/>
                <w:i/>
                <w:sz w:val="20"/>
                <w:lang w:eastAsia="en-US"/>
              </w:rPr>
              <w:t>cyfryzacji dla obywateli, przedsiębiorstw, organizacji bada</w:t>
            </w:r>
            <w:r w:rsidR="00072762" w:rsidRPr="00890249">
              <w:rPr>
                <w:rFonts w:asciiTheme="minorHAnsi" w:hAnsiTheme="minorHAnsi" w:cstheme="minorHAnsi"/>
                <w:i/>
                <w:sz w:val="20"/>
                <w:lang w:eastAsia="en-US"/>
              </w:rPr>
              <w:t>wczych i </w:t>
            </w:r>
            <w:r w:rsidR="004D5E86" w:rsidRPr="00890249">
              <w:rPr>
                <w:rFonts w:asciiTheme="minorHAnsi" w:hAnsiTheme="minorHAnsi" w:cstheme="minorHAnsi"/>
                <w:i/>
                <w:sz w:val="20"/>
                <w:lang w:eastAsia="en-US"/>
              </w:rPr>
              <w:t>instytucji publicznych</w:t>
            </w:r>
          </w:p>
        </w:tc>
        <w:tc>
          <w:tcPr>
            <w:tcW w:w="2691" w:type="pct"/>
          </w:tcPr>
          <w:p w14:paraId="2BAEBFDE" w14:textId="77777777" w:rsidR="00465200" w:rsidRPr="00890249" w:rsidRDefault="00465200" w:rsidP="009F296A">
            <w:pPr>
              <w:numPr>
                <w:ilvl w:val="0"/>
                <w:numId w:val="12"/>
              </w:numPr>
              <w:spacing w:before="60" w:after="60"/>
              <w:ind w:left="339" w:hanging="284"/>
              <w:contextualSpacing/>
              <w:rPr>
                <w:rFonts w:asciiTheme="minorHAnsi" w:eastAsiaTheme="minorHAnsi" w:hAnsiTheme="minorHAnsi" w:cstheme="minorHAnsi"/>
                <w:color w:val="000000" w:themeColor="text1"/>
                <w:sz w:val="20"/>
                <w:szCs w:val="22"/>
                <w:shd w:val="clear" w:color="auto" w:fill="FFFFFF"/>
              </w:rPr>
            </w:pPr>
            <w:r w:rsidRPr="00890249">
              <w:rPr>
                <w:rFonts w:asciiTheme="minorHAnsi" w:eastAsiaTheme="minorHAnsi" w:hAnsiTheme="minorHAnsi" w:cstheme="minorHAnsi"/>
                <w:color w:val="000000" w:themeColor="text1"/>
                <w:sz w:val="20"/>
                <w:szCs w:val="22"/>
                <w:shd w:val="clear" w:color="auto" w:fill="FFFFFF"/>
              </w:rPr>
              <w:t>w regionie wartość wskaźnika dot. wykorzystania komputerów w przedsiębiorstwach w 2018 r. była najniższa w kraju,</w:t>
            </w:r>
          </w:p>
          <w:p w14:paraId="6A036EFA" w14:textId="77777777" w:rsidR="00465200" w:rsidRPr="00890249" w:rsidRDefault="00465200" w:rsidP="009F296A">
            <w:pPr>
              <w:numPr>
                <w:ilvl w:val="0"/>
                <w:numId w:val="12"/>
              </w:numPr>
              <w:spacing w:before="60" w:after="60"/>
              <w:ind w:left="339" w:hanging="284"/>
              <w:contextualSpacing/>
              <w:rPr>
                <w:rFonts w:asciiTheme="minorHAnsi" w:eastAsiaTheme="minorHAnsi" w:hAnsiTheme="minorHAnsi" w:cstheme="minorHAnsi"/>
                <w:color w:val="000000" w:themeColor="text1"/>
                <w:sz w:val="20"/>
                <w:szCs w:val="22"/>
                <w:shd w:val="clear" w:color="auto" w:fill="FFFFFF"/>
              </w:rPr>
            </w:pPr>
            <w:r w:rsidRPr="00890249">
              <w:rPr>
                <w:rFonts w:asciiTheme="minorHAnsi" w:eastAsiaTheme="minorHAnsi" w:hAnsiTheme="minorHAnsi" w:cstheme="minorHAnsi"/>
                <w:color w:val="000000" w:themeColor="text1"/>
                <w:sz w:val="20"/>
                <w:szCs w:val="22"/>
                <w:shd w:val="clear" w:color="auto" w:fill="FFFFFF"/>
              </w:rPr>
              <w:t>własną stronę internetową w województwie opolskim</w:t>
            </w:r>
            <w:r w:rsidRPr="00890249">
              <w:rPr>
                <w:rFonts w:asciiTheme="minorHAnsi" w:eastAsiaTheme="minorHAnsi" w:hAnsiTheme="minorHAnsi" w:cstheme="minorHAnsi"/>
                <w:color w:val="000000" w:themeColor="text1"/>
                <w:sz w:val="20"/>
                <w:szCs w:val="22"/>
                <w:shd w:val="clear" w:color="auto" w:fill="FFFFFF"/>
              </w:rPr>
              <w:br/>
              <w:t>w 2018 r. posiadało tylko ok. 60% przedsiębiorstw – 11 miejsce w kraju,</w:t>
            </w:r>
          </w:p>
          <w:p w14:paraId="20C56A07" w14:textId="77777777" w:rsidR="00465200" w:rsidRPr="00890249" w:rsidRDefault="00465200" w:rsidP="009F296A">
            <w:pPr>
              <w:numPr>
                <w:ilvl w:val="0"/>
                <w:numId w:val="12"/>
              </w:numPr>
              <w:spacing w:before="60" w:after="60"/>
              <w:ind w:left="339" w:hanging="284"/>
              <w:contextualSpacing/>
              <w:rPr>
                <w:rFonts w:asciiTheme="minorHAnsi" w:eastAsiaTheme="minorHAnsi" w:hAnsiTheme="minorHAnsi" w:cstheme="minorHAnsi"/>
                <w:color w:val="000000" w:themeColor="text1"/>
                <w:sz w:val="20"/>
                <w:szCs w:val="22"/>
                <w:shd w:val="clear" w:color="auto" w:fill="FFFFFF"/>
              </w:rPr>
            </w:pPr>
            <w:r w:rsidRPr="00890249">
              <w:rPr>
                <w:rFonts w:asciiTheme="minorHAnsi" w:eastAsiaTheme="minorHAnsi" w:hAnsiTheme="minorHAnsi" w:cstheme="minorHAnsi"/>
                <w:color w:val="000000" w:themeColor="text1"/>
                <w:sz w:val="20"/>
                <w:szCs w:val="22"/>
                <w:shd w:val="clear" w:color="auto" w:fill="FFFFFF"/>
              </w:rPr>
              <w:t>niska dynamika rozwoju gospodarki względem innych województw</w:t>
            </w:r>
            <w:r w:rsidRPr="00890249">
              <w:rPr>
                <w:rStyle w:val="Odwoanieprzypisudolnego"/>
                <w:rFonts w:asciiTheme="minorHAnsi" w:eastAsiaTheme="minorHAnsi" w:hAnsiTheme="minorHAnsi" w:cstheme="minorHAnsi"/>
                <w:color w:val="000000" w:themeColor="text1"/>
                <w:sz w:val="20"/>
                <w:szCs w:val="22"/>
              </w:rPr>
              <w:footnoteReference w:id="48"/>
            </w:r>
            <w:r w:rsidRPr="00890249">
              <w:rPr>
                <w:rFonts w:asciiTheme="minorHAnsi" w:eastAsiaTheme="minorHAnsi" w:hAnsiTheme="minorHAnsi" w:cstheme="minorHAnsi"/>
                <w:color w:val="000000" w:themeColor="text1"/>
                <w:sz w:val="20"/>
                <w:szCs w:val="22"/>
                <w:shd w:val="clear" w:color="auto" w:fill="FFFFFF"/>
              </w:rPr>
              <w:t>,</w:t>
            </w:r>
          </w:p>
          <w:p w14:paraId="50815606" w14:textId="77777777" w:rsidR="00465200" w:rsidRPr="00890249" w:rsidRDefault="00465200" w:rsidP="009F296A">
            <w:pPr>
              <w:numPr>
                <w:ilvl w:val="0"/>
                <w:numId w:val="12"/>
              </w:numPr>
              <w:spacing w:before="60" w:after="60"/>
              <w:ind w:left="339" w:hanging="284"/>
              <w:contextualSpacing/>
              <w:rPr>
                <w:rFonts w:asciiTheme="minorHAnsi" w:eastAsiaTheme="minorHAnsi" w:hAnsiTheme="minorHAnsi" w:cstheme="minorHAnsi"/>
                <w:color w:val="000000" w:themeColor="text1"/>
                <w:sz w:val="20"/>
                <w:szCs w:val="22"/>
                <w:shd w:val="clear" w:color="auto" w:fill="FFFFFF"/>
              </w:rPr>
            </w:pPr>
            <w:r w:rsidRPr="00890249">
              <w:rPr>
                <w:rFonts w:asciiTheme="minorHAnsi" w:eastAsiaTheme="minorHAnsi" w:hAnsiTheme="minorHAnsi" w:cstheme="minorHAnsi"/>
                <w:color w:val="000000" w:themeColor="text1"/>
                <w:sz w:val="20"/>
                <w:szCs w:val="22"/>
                <w:shd w:val="clear" w:color="auto" w:fill="FFFFFF"/>
              </w:rPr>
              <w:t>inteligentna reindustrializacja</w:t>
            </w:r>
            <w:r w:rsidR="00C83097" w:rsidRPr="00890249">
              <w:rPr>
                <w:rFonts w:asciiTheme="minorHAnsi" w:eastAsiaTheme="minorHAnsi" w:hAnsiTheme="minorHAnsi" w:cstheme="minorHAnsi"/>
                <w:color w:val="000000" w:themeColor="text1"/>
                <w:sz w:val="20"/>
                <w:szCs w:val="22"/>
                <w:shd w:val="clear" w:color="auto" w:fill="FFFFFF"/>
              </w:rPr>
              <w:t>,</w:t>
            </w:r>
            <w:r w:rsidRPr="00890249">
              <w:rPr>
                <w:rFonts w:asciiTheme="minorHAnsi" w:eastAsiaTheme="minorHAnsi" w:hAnsiTheme="minorHAnsi" w:cstheme="minorHAnsi"/>
                <w:color w:val="000000" w:themeColor="text1"/>
                <w:sz w:val="20"/>
                <w:szCs w:val="22"/>
                <w:shd w:val="clear" w:color="auto" w:fill="FFFFFF"/>
              </w:rPr>
              <w:t xml:space="preserve"> jako jeden z kluczowych uwarunkowań rozwojowych dla województwa opolskiego,</w:t>
            </w:r>
          </w:p>
          <w:p w14:paraId="0CCE08F6" w14:textId="77777777" w:rsidR="00465200" w:rsidRPr="00890249" w:rsidRDefault="00465200" w:rsidP="009F296A">
            <w:pPr>
              <w:numPr>
                <w:ilvl w:val="0"/>
                <w:numId w:val="12"/>
              </w:numPr>
              <w:spacing w:before="60" w:after="60"/>
              <w:ind w:left="339" w:hanging="284"/>
              <w:contextualSpacing/>
              <w:rPr>
                <w:rFonts w:asciiTheme="minorHAnsi" w:eastAsiaTheme="minorHAnsi" w:hAnsiTheme="minorHAnsi" w:cstheme="minorHAnsi"/>
                <w:noProof/>
                <w:sz w:val="20"/>
                <w:szCs w:val="22"/>
              </w:rPr>
            </w:pPr>
            <w:r w:rsidRPr="00890249">
              <w:rPr>
                <w:rFonts w:asciiTheme="minorHAnsi" w:eastAsiaTheme="minorHAnsi" w:hAnsiTheme="minorHAnsi" w:cstheme="minorHAnsi"/>
                <w:color w:val="000000" w:themeColor="text1"/>
                <w:sz w:val="20"/>
                <w:szCs w:val="22"/>
                <w:shd w:val="clear" w:color="auto" w:fill="FFFFFF"/>
              </w:rPr>
              <w:lastRenderedPageBreak/>
              <w:t>konieczność dalszego</w:t>
            </w:r>
            <w:r w:rsidRPr="00890249">
              <w:rPr>
                <w:rFonts w:asciiTheme="minorHAnsi" w:eastAsiaTheme="minorHAnsi" w:hAnsiTheme="minorHAnsi" w:cstheme="minorHAnsi"/>
                <w:color w:val="000000" w:themeColor="text1"/>
                <w:sz w:val="20"/>
                <w:szCs w:val="22"/>
              </w:rPr>
              <w:t xml:space="preserve"> wspierania inwestycji dot. rozwoju elektronicznych usług dla obywateli i przedsiębiorstw, a także przedsięwzięć dotyczących wdrażania technologii cyfrowych w MŚP</w:t>
            </w:r>
            <w:r w:rsidR="003B6AF6" w:rsidRPr="00890249">
              <w:rPr>
                <w:rFonts w:asciiTheme="minorHAnsi" w:eastAsiaTheme="minorHAnsi" w:hAnsiTheme="minorHAnsi" w:cstheme="minorHAnsi"/>
                <w:color w:val="000000" w:themeColor="text1"/>
                <w:sz w:val="20"/>
                <w:szCs w:val="22"/>
              </w:rPr>
              <w:t xml:space="preserve"> oraz w </w:t>
            </w:r>
            <w:r w:rsidR="004271BB" w:rsidRPr="00890249">
              <w:rPr>
                <w:rFonts w:asciiTheme="minorHAnsi" w:eastAsiaTheme="minorHAnsi" w:hAnsiTheme="minorHAnsi" w:cstheme="minorHAnsi"/>
                <w:color w:val="000000" w:themeColor="text1"/>
                <w:sz w:val="20"/>
                <w:szCs w:val="22"/>
              </w:rPr>
              <w:t>organizacjach badawczych i instytucjach</w:t>
            </w:r>
            <w:r w:rsidR="00C83097" w:rsidRPr="00890249">
              <w:rPr>
                <w:rFonts w:asciiTheme="minorHAnsi" w:eastAsiaTheme="minorHAnsi" w:hAnsiTheme="minorHAnsi" w:cstheme="minorHAnsi"/>
                <w:color w:val="000000" w:themeColor="text1"/>
                <w:sz w:val="20"/>
                <w:szCs w:val="22"/>
              </w:rPr>
              <w:t xml:space="preserve"> p</w:t>
            </w:r>
            <w:r w:rsidR="004271BB" w:rsidRPr="00890249">
              <w:rPr>
                <w:rFonts w:asciiTheme="minorHAnsi" w:eastAsiaTheme="minorHAnsi" w:hAnsiTheme="minorHAnsi" w:cstheme="minorHAnsi"/>
                <w:color w:val="000000" w:themeColor="text1"/>
                <w:sz w:val="20"/>
                <w:szCs w:val="22"/>
              </w:rPr>
              <w:t>ublicznych</w:t>
            </w:r>
            <w:r w:rsidRPr="00890249">
              <w:rPr>
                <w:rFonts w:asciiTheme="minorHAnsi" w:eastAsiaTheme="minorHAnsi" w:hAnsiTheme="minorHAnsi" w:cstheme="minorHAnsi"/>
                <w:color w:val="000000" w:themeColor="text1"/>
                <w:sz w:val="20"/>
                <w:szCs w:val="22"/>
              </w:rPr>
              <w:t>,</w:t>
            </w:r>
          </w:p>
          <w:p w14:paraId="573A849B" w14:textId="77777777" w:rsidR="00465200" w:rsidRPr="00890249" w:rsidRDefault="00465200" w:rsidP="009F296A">
            <w:pPr>
              <w:numPr>
                <w:ilvl w:val="0"/>
                <w:numId w:val="12"/>
              </w:numPr>
              <w:spacing w:before="60" w:after="60"/>
              <w:ind w:left="339" w:hanging="284"/>
              <w:contextualSpacing/>
              <w:rPr>
                <w:rFonts w:asciiTheme="minorHAnsi" w:eastAsiaTheme="minorHAnsi" w:hAnsiTheme="minorHAnsi" w:cstheme="minorHAnsi"/>
                <w:noProof/>
                <w:sz w:val="20"/>
                <w:szCs w:val="22"/>
              </w:rPr>
            </w:pPr>
            <w:r w:rsidRPr="00890249">
              <w:rPr>
                <w:rFonts w:asciiTheme="minorHAnsi" w:eastAsiaTheme="minorHAnsi" w:hAnsiTheme="minorHAnsi" w:cstheme="minorHAnsi"/>
                <w:color w:val="000000" w:themeColor="text1"/>
                <w:sz w:val="20"/>
                <w:szCs w:val="22"/>
              </w:rPr>
              <w:t>brak aktualnych oraz ustandaryzowanych rejestrów publicznych,</w:t>
            </w:r>
          </w:p>
          <w:p w14:paraId="7AFE13D5" w14:textId="77777777" w:rsidR="009A51C3" w:rsidRPr="00890249" w:rsidRDefault="00465200" w:rsidP="009F296A">
            <w:pPr>
              <w:numPr>
                <w:ilvl w:val="0"/>
                <w:numId w:val="12"/>
              </w:numPr>
              <w:spacing w:before="60" w:after="60"/>
              <w:ind w:left="339" w:hanging="284"/>
              <w:contextualSpacing/>
              <w:rPr>
                <w:rFonts w:asciiTheme="minorHAnsi" w:eastAsiaTheme="minorHAnsi" w:hAnsiTheme="minorHAnsi" w:cstheme="minorHAnsi"/>
                <w:noProof/>
                <w:sz w:val="20"/>
              </w:rPr>
            </w:pPr>
            <w:r w:rsidRPr="00890249">
              <w:rPr>
                <w:rFonts w:asciiTheme="minorHAnsi" w:eastAsiaTheme="minorHAnsi" w:hAnsiTheme="minorHAnsi" w:cstheme="minorHAnsi"/>
                <w:color w:val="000000" w:themeColor="text1"/>
                <w:sz w:val="20"/>
                <w:szCs w:val="22"/>
              </w:rPr>
              <w:t>dynamiczne zmiany społeczno-gospodarcze powodują, że oferowane na rynku regionalnym produkty i usługi nie spełniaj</w:t>
            </w:r>
            <w:r w:rsidR="00523596" w:rsidRPr="00890249">
              <w:rPr>
                <w:rFonts w:asciiTheme="minorHAnsi" w:eastAsiaTheme="minorHAnsi" w:hAnsiTheme="minorHAnsi" w:cstheme="minorHAnsi"/>
                <w:color w:val="000000" w:themeColor="text1"/>
                <w:sz w:val="20"/>
                <w:szCs w:val="22"/>
              </w:rPr>
              <w:t>ą oczekiwań klientów</w:t>
            </w:r>
            <w:r w:rsidR="00072596" w:rsidRPr="00890249">
              <w:rPr>
                <w:rFonts w:asciiTheme="minorHAnsi" w:eastAsiaTheme="minorHAnsi" w:hAnsiTheme="minorHAnsi" w:cstheme="minorHAnsi"/>
                <w:color w:val="000000" w:themeColor="text1"/>
                <w:sz w:val="20"/>
                <w:szCs w:val="22"/>
              </w:rPr>
              <w:t>,</w:t>
            </w:r>
            <w:r w:rsidR="00523596" w:rsidRPr="00890249">
              <w:rPr>
                <w:rFonts w:asciiTheme="minorHAnsi" w:eastAsiaTheme="minorHAnsi" w:hAnsiTheme="minorHAnsi" w:cstheme="minorHAnsi"/>
                <w:color w:val="000000" w:themeColor="text1"/>
                <w:sz w:val="20"/>
                <w:szCs w:val="22"/>
              </w:rPr>
              <w:t xml:space="preserve"> w </w:t>
            </w:r>
            <w:r w:rsidRPr="00890249">
              <w:rPr>
                <w:rFonts w:asciiTheme="minorHAnsi" w:eastAsiaTheme="minorHAnsi" w:hAnsiTheme="minorHAnsi" w:cstheme="minorHAnsi"/>
                <w:color w:val="000000" w:themeColor="text1"/>
                <w:sz w:val="20"/>
                <w:szCs w:val="22"/>
              </w:rPr>
              <w:t>tym przedsiębiorców.</w:t>
            </w:r>
          </w:p>
        </w:tc>
      </w:tr>
      <w:tr w:rsidR="00BD7E4B" w:rsidRPr="00890249" w14:paraId="261BD012" w14:textId="77777777" w:rsidTr="18317E1B">
        <w:tc>
          <w:tcPr>
            <w:tcW w:w="1038" w:type="pct"/>
            <w:vMerge/>
          </w:tcPr>
          <w:p w14:paraId="788F87CD" w14:textId="77777777" w:rsidR="00BD7E4B" w:rsidRPr="00890249" w:rsidRDefault="00BD7E4B" w:rsidP="004C571C">
            <w:pPr>
              <w:spacing w:before="60" w:after="60"/>
              <w:jc w:val="left"/>
              <w:rPr>
                <w:rFonts w:asciiTheme="minorHAnsi" w:eastAsia="Times New Roman" w:hAnsiTheme="minorHAnsi" w:cstheme="minorHAnsi"/>
                <w:b/>
                <w:iCs/>
                <w:noProof/>
                <w:sz w:val="20"/>
              </w:rPr>
            </w:pPr>
          </w:p>
        </w:tc>
        <w:tc>
          <w:tcPr>
            <w:tcW w:w="1271" w:type="pct"/>
          </w:tcPr>
          <w:p w14:paraId="3559B3B8" w14:textId="77777777" w:rsidR="006C7106" w:rsidRPr="00890249" w:rsidRDefault="00BD7E4B" w:rsidP="004C571C">
            <w:pPr>
              <w:spacing w:before="60" w:after="60"/>
              <w:jc w:val="left"/>
              <w:rPr>
                <w:rFonts w:asciiTheme="minorHAnsi" w:hAnsiTheme="minorHAnsi" w:cstheme="minorHAnsi"/>
                <w:i/>
                <w:sz w:val="20"/>
              </w:rPr>
            </w:pPr>
            <w:r w:rsidRPr="00890249">
              <w:rPr>
                <w:rFonts w:asciiTheme="minorHAnsi" w:hAnsiTheme="minorHAnsi" w:cstheme="minorHAnsi"/>
                <w:sz w:val="20"/>
              </w:rPr>
              <w:t xml:space="preserve">(iii) </w:t>
            </w:r>
          </w:p>
          <w:p w14:paraId="4D505F74" w14:textId="77777777" w:rsidR="00BD7E4B" w:rsidRPr="00890249" w:rsidRDefault="00200DF6" w:rsidP="00200DF6">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Wzmacnianie trwałego wzrostu i </w:t>
            </w:r>
            <w:r w:rsidR="00E46AF1" w:rsidRPr="00890249">
              <w:rPr>
                <w:rFonts w:asciiTheme="minorHAnsi" w:hAnsiTheme="minorHAnsi" w:cstheme="minorHAnsi"/>
                <w:i/>
                <w:sz w:val="20"/>
              </w:rPr>
              <w:t>konkurencyjności MŚP oraz tworzenie miejsc pracy w MŚP, w tym</w:t>
            </w:r>
            <w:r w:rsidR="004D5E86" w:rsidRPr="00890249">
              <w:rPr>
                <w:rFonts w:asciiTheme="minorHAnsi" w:hAnsiTheme="minorHAnsi" w:cstheme="minorHAnsi"/>
                <w:i/>
                <w:sz w:val="20"/>
              </w:rPr>
              <w:t xml:space="preserve"> poprzez inwestycje produkcyjne</w:t>
            </w:r>
          </w:p>
        </w:tc>
        <w:tc>
          <w:tcPr>
            <w:tcW w:w="2691" w:type="pct"/>
          </w:tcPr>
          <w:p w14:paraId="1F6AB52B" w14:textId="77777777" w:rsidR="00465200" w:rsidRPr="00890249" w:rsidRDefault="00465200" w:rsidP="009F296A">
            <w:pPr>
              <w:numPr>
                <w:ilvl w:val="0"/>
                <w:numId w:val="13"/>
              </w:numPr>
              <w:spacing w:before="60" w:after="60"/>
              <w:ind w:left="389"/>
              <w:contextualSpacing/>
              <w:rPr>
                <w:rFonts w:asciiTheme="minorHAnsi" w:eastAsiaTheme="minorHAnsi" w:hAnsiTheme="minorHAnsi" w:cstheme="minorHAnsi"/>
                <w:sz w:val="20"/>
                <w:szCs w:val="22"/>
              </w:rPr>
            </w:pPr>
            <w:r w:rsidRPr="00890249">
              <w:rPr>
                <w:rFonts w:asciiTheme="minorHAnsi" w:eastAsiaTheme="minorHAnsi" w:hAnsiTheme="minorHAnsi" w:cstheme="minorHAnsi"/>
                <w:sz w:val="20"/>
                <w:szCs w:val="22"/>
              </w:rPr>
              <w:t>niższe</w:t>
            </w:r>
            <w:r w:rsidR="00072596" w:rsidRPr="00890249">
              <w:rPr>
                <w:rFonts w:asciiTheme="minorHAnsi" w:eastAsiaTheme="minorHAnsi" w:hAnsiTheme="minorHAnsi" w:cstheme="minorHAnsi"/>
                <w:sz w:val="20"/>
                <w:szCs w:val="22"/>
              </w:rPr>
              <w:t>,</w:t>
            </w:r>
            <w:r w:rsidRPr="00890249">
              <w:rPr>
                <w:rFonts w:asciiTheme="minorHAnsi" w:eastAsiaTheme="minorHAnsi" w:hAnsiTheme="minorHAnsi" w:cstheme="minorHAnsi"/>
                <w:sz w:val="20"/>
                <w:szCs w:val="22"/>
              </w:rPr>
              <w:t xml:space="preserve"> niż przeciętne dla kraju wartości wskaźników przedsiębiorczości, odnosząc</w:t>
            </w:r>
            <w:r w:rsidR="00072596" w:rsidRPr="00890249">
              <w:rPr>
                <w:rFonts w:asciiTheme="minorHAnsi" w:eastAsiaTheme="minorHAnsi" w:hAnsiTheme="minorHAnsi" w:cstheme="minorHAnsi"/>
                <w:sz w:val="20"/>
                <w:szCs w:val="22"/>
              </w:rPr>
              <w:t>e</w:t>
            </w:r>
            <w:r w:rsidRPr="00890249">
              <w:rPr>
                <w:rFonts w:asciiTheme="minorHAnsi" w:eastAsiaTheme="minorHAnsi" w:hAnsiTheme="minorHAnsi" w:cstheme="minorHAnsi"/>
                <w:sz w:val="20"/>
                <w:szCs w:val="22"/>
              </w:rPr>
              <w:t xml:space="preserve"> się do liczby podmiotów gospodarki wpisanych do rejestru REGON oraz podmiotów nowo zarejestrowanych,</w:t>
            </w:r>
          </w:p>
          <w:p w14:paraId="5BB4E5CC" w14:textId="77777777" w:rsidR="00465200" w:rsidRPr="00890249" w:rsidRDefault="00465200" w:rsidP="009F296A">
            <w:pPr>
              <w:numPr>
                <w:ilvl w:val="0"/>
                <w:numId w:val="13"/>
              </w:numPr>
              <w:spacing w:before="60" w:after="60"/>
              <w:ind w:left="389"/>
              <w:contextualSpacing/>
              <w:rPr>
                <w:rFonts w:asciiTheme="minorHAnsi" w:eastAsiaTheme="minorHAnsi" w:hAnsiTheme="minorHAnsi" w:cstheme="minorHAnsi"/>
                <w:sz w:val="20"/>
                <w:szCs w:val="22"/>
              </w:rPr>
            </w:pPr>
            <w:r w:rsidRPr="00890249">
              <w:rPr>
                <w:rFonts w:asciiTheme="minorHAnsi" w:eastAsiaTheme="minorHAnsi" w:hAnsiTheme="minorHAnsi" w:cstheme="minorHAnsi"/>
                <w:sz w:val="20"/>
                <w:szCs w:val="22"/>
              </w:rPr>
              <w:t>niski poziom przedsiębiorczości</w:t>
            </w:r>
            <w:r w:rsidR="009F7B65" w:rsidRPr="00890249">
              <w:rPr>
                <w:rFonts w:asciiTheme="minorHAnsi" w:eastAsiaTheme="minorHAnsi" w:hAnsiTheme="minorHAnsi" w:cstheme="minorHAnsi"/>
                <w:sz w:val="20"/>
                <w:szCs w:val="22"/>
              </w:rPr>
              <w:t xml:space="preserve"> - </w:t>
            </w:r>
            <w:r w:rsidRPr="00890249">
              <w:rPr>
                <w:rFonts w:asciiTheme="minorHAnsi" w:eastAsiaTheme="minorHAnsi" w:hAnsiTheme="minorHAnsi" w:cstheme="minorHAnsi"/>
                <w:sz w:val="20"/>
                <w:szCs w:val="22"/>
              </w:rPr>
              <w:t>czynnik prowadzący do pogłębiania się luki przedsiębiorczości - 11 miejsce w kraju,</w:t>
            </w:r>
          </w:p>
          <w:p w14:paraId="45E09F45" w14:textId="77777777" w:rsidR="00465200" w:rsidRPr="00890249" w:rsidRDefault="00465200" w:rsidP="009F296A">
            <w:pPr>
              <w:numPr>
                <w:ilvl w:val="0"/>
                <w:numId w:val="13"/>
              </w:numPr>
              <w:spacing w:before="60" w:after="60"/>
              <w:ind w:left="389" w:hanging="283"/>
              <w:contextualSpacing/>
              <w:rPr>
                <w:rFonts w:asciiTheme="minorHAnsi" w:eastAsiaTheme="minorHAnsi" w:hAnsiTheme="minorHAnsi" w:cstheme="minorHAnsi"/>
                <w:sz w:val="20"/>
                <w:szCs w:val="22"/>
              </w:rPr>
            </w:pPr>
            <w:r w:rsidRPr="00890249">
              <w:rPr>
                <w:rFonts w:asciiTheme="minorHAnsi" w:eastAsiaTheme="minorHAnsi" w:hAnsiTheme="minorHAnsi" w:cstheme="minorHAnsi"/>
                <w:sz w:val="20"/>
                <w:szCs w:val="22"/>
              </w:rPr>
              <w:t>konieczność inwestowania w infrastrukturę przedsiębiorstw oraz w działalność okołobiznesową, jako jeden z prio</w:t>
            </w:r>
            <w:r w:rsidR="00523596" w:rsidRPr="00890249">
              <w:rPr>
                <w:rFonts w:asciiTheme="minorHAnsi" w:eastAsiaTheme="minorHAnsi" w:hAnsiTheme="minorHAnsi" w:cstheme="minorHAnsi"/>
                <w:sz w:val="20"/>
                <w:szCs w:val="22"/>
              </w:rPr>
              <w:t>rytetowych kierunków wsparcia w </w:t>
            </w:r>
            <w:r w:rsidRPr="00890249">
              <w:rPr>
                <w:rFonts w:asciiTheme="minorHAnsi" w:eastAsiaTheme="minorHAnsi" w:hAnsiTheme="minorHAnsi" w:cstheme="minorHAnsi"/>
                <w:sz w:val="20"/>
                <w:szCs w:val="22"/>
              </w:rPr>
              <w:t>perspektywie 2021-2027 z punktu widzenia jednostek samorządu terytorialnego</w:t>
            </w:r>
            <w:r w:rsidRPr="00890249">
              <w:rPr>
                <w:rFonts w:asciiTheme="minorHAnsi" w:eastAsiaTheme="minorHAnsi" w:hAnsiTheme="minorHAnsi" w:cstheme="minorHAnsi"/>
                <w:sz w:val="20"/>
                <w:vertAlign w:val="superscript"/>
              </w:rPr>
              <w:footnoteReference w:id="49"/>
            </w:r>
            <w:r w:rsidRPr="00890249">
              <w:rPr>
                <w:rFonts w:asciiTheme="minorHAnsi" w:eastAsiaTheme="minorHAnsi" w:hAnsiTheme="minorHAnsi" w:cstheme="minorHAnsi"/>
                <w:sz w:val="20"/>
                <w:szCs w:val="22"/>
              </w:rPr>
              <w:t>,</w:t>
            </w:r>
          </w:p>
          <w:p w14:paraId="554B03F0" w14:textId="77777777" w:rsidR="00465200" w:rsidRPr="00890249" w:rsidRDefault="00465200" w:rsidP="009F296A">
            <w:pPr>
              <w:numPr>
                <w:ilvl w:val="0"/>
                <w:numId w:val="13"/>
              </w:numPr>
              <w:spacing w:before="60" w:after="60"/>
              <w:ind w:left="389" w:hanging="283"/>
              <w:contextualSpacing/>
              <w:rPr>
                <w:rFonts w:asciiTheme="minorHAnsi" w:eastAsiaTheme="minorHAnsi" w:hAnsiTheme="minorHAnsi" w:cstheme="minorHAnsi"/>
                <w:sz w:val="20"/>
                <w:szCs w:val="22"/>
              </w:rPr>
            </w:pPr>
            <w:r w:rsidRPr="00890249">
              <w:rPr>
                <w:rFonts w:asciiTheme="minorHAnsi" w:eastAsiaTheme="minorHAnsi" w:hAnsiTheme="minorHAnsi" w:cstheme="minorHAnsi"/>
                <w:sz w:val="20"/>
                <w:szCs w:val="22"/>
              </w:rPr>
              <w:t>podniesienie konkurencyjności MŚP poprzez wdrażanie wyników prac B+R w przedsiębiorstwach,</w:t>
            </w:r>
          </w:p>
          <w:p w14:paraId="39344A86" w14:textId="7BFCA86B" w:rsidR="00A63705" w:rsidRPr="00890249" w:rsidRDefault="00465200" w:rsidP="009F296A">
            <w:pPr>
              <w:numPr>
                <w:ilvl w:val="0"/>
                <w:numId w:val="13"/>
              </w:numPr>
              <w:spacing w:before="60" w:after="60"/>
              <w:ind w:left="389" w:hanging="283"/>
              <w:contextualSpacing/>
              <w:rPr>
                <w:rFonts w:asciiTheme="minorHAnsi" w:eastAsiaTheme="minorHAnsi" w:hAnsiTheme="minorHAnsi" w:cstheme="minorHAnsi"/>
                <w:color w:val="000000" w:themeColor="text1"/>
                <w:sz w:val="20"/>
                <w:szCs w:val="22"/>
              </w:rPr>
            </w:pPr>
            <w:r w:rsidRPr="00890249">
              <w:rPr>
                <w:rFonts w:asciiTheme="minorHAnsi" w:eastAsiaTheme="minorHAnsi" w:hAnsiTheme="minorHAnsi" w:cstheme="minorHAnsi"/>
                <w:sz w:val="20"/>
                <w:szCs w:val="22"/>
              </w:rPr>
              <w:t>wsparcie innowacji w sektorze usług  z powodu nienajlepszej  kondycji tego  sektora, która  osłabia ogólną innowacyjność w regionie</w:t>
            </w:r>
            <w:r w:rsidR="00BC32F2" w:rsidRPr="00890249">
              <w:rPr>
                <w:rFonts w:asciiTheme="minorHAnsi" w:eastAsiaTheme="minorHAnsi" w:hAnsiTheme="minorHAnsi" w:cstheme="minorHAnsi"/>
                <w:sz w:val="20"/>
                <w:szCs w:val="22"/>
              </w:rPr>
              <w:t xml:space="preserve"> (w województwie opolskim obserwuje się wzrost z roku na rok aktywności innowacyjnej przedsiębiorstw i jest to zjawisko zgodne z tendencją ogólnopolską, jednak dynamika wzrostu na terenie woj.</w:t>
            </w:r>
            <w:r w:rsidR="00E23EB8" w:rsidRPr="00890249">
              <w:rPr>
                <w:rFonts w:asciiTheme="minorHAnsi" w:eastAsiaTheme="minorHAnsi" w:hAnsiTheme="minorHAnsi" w:cstheme="minorHAnsi"/>
                <w:sz w:val="20"/>
                <w:szCs w:val="22"/>
              </w:rPr>
              <w:t xml:space="preserve"> </w:t>
            </w:r>
            <w:r w:rsidR="00BC32F2" w:rsidRPr="00890249">
              <w:rPr>
                <w:rFonts w:asciiTheme="minorHAnsi" w:eastAsiaTheme="minorHAnsi" w:hAnsiTheme="minorHAnsi" w:cstheme="minorHAnsi"/>
                <w:sz w:val="20"/>
                <w:szCs w:val="22"/>
              </w:rPr>
              <w:t xml:space="preserve">opolskiego jest mniejsza niż w Polsce. </w:t>
            </w:r>
            <w:r w:rsidR="00E23EB8" w:rsidRPr="00890249">
              <w:rPr>
                <w:rFonts w:asciiTheme="minorHAnsi" w:eastAsiaTheme="minorHAnsi" w:hAnsiTheme="minorHAnsi" w:cstheme="minorHAnsi"/>
                <w:sz w:val="20"/>
                <w:szCs w:val="22"/>
              </w:rPr>
              <w:t>Do tak wolnego tempa wzrostu aktywności innowacyjnej przyczyniają się p</w:t>
            </w:r>
            <w:r w:rsidR="00BC32F2" w:rsidRPr="00890249">
              <w:rPr>
                <w:rFonts w:asciiTheme="minorHAnsi" w:eastAsiaTheme="minorHAnsi" w:hAnsiTheme="minorHAnsi" w:cstheme="minorHAnsi"/>
                <w:sz w:val="20"/>
                <w:szCs w:val="22"/>
              </w:rPr>
              <w:t xml:space="preserve">rzedsiębiorstwa usługowe. W latach 2017-2019 sektor usługowy zajmował 13 miejsce wśród województw z odsetkiem 6,5%. W stosunku do pierwszego miejsca z odsetkiem 20% </w:t>
            </w:r>
            <w:r w:rsidR="00BC32F2" w:rsidRPr="00890249">
              <w:rPr>
                <w:rStyle w:val="Odwoanieprzypisudolnego"/>
                <w:rFonts w:asciiTheme="minorHAnsi" w:eastAsiaTheme="minorHAnsi" w:hAnsiTheme="minorHAnsi" w:cstheme="minorHAnsi"/>
                <w:sz w:val="20"/>
                <w:szCs w:val="22"/>
              </w:rPr>
              <w:footnoteReference w:id="50"/>
            </w:r>
            <w:r w:rsidR="006B34A6">
              <w:rPr>
                <w:rFonts w:asciiTheme="minorHAnsi" w:eastAsiaTheme="minorHAnsi" w:hAnsiTheme="minorHAnsi" w:cstheme="minorHAnsi"/>
                <w:sz w:val="20"/>
                <w:szCs w:val="22"/>
              </w:rPr>
              <w:t>.</w:t>
            </w:r>
          </w:p>
        </w:tc>
      </w:tr>
      <w:tr w:rsidR="00BD7E4B" w:rsidRPr="00890249" w14:paraId="6488BD6E" w14:textId="77777777" w:rsidTr="18317E1B">
        <w:trPr>
          <w:trHeight w:val="363"/>
        </w:trPr>
        <w:tc>
          <w:tcPr>
            <w:tcW w:w="1038" w:type="pct"/>
            <w:vMerge/>
          </w:tcPr>
          <w:p w14:paraId="140A10C4" w14:textId="77777777" w:rsidR="00BD7E4B" w:rsidRPr="00890249" w:rsidRDefault="00BD7E4B" w:rsidP="004C571C">
            <w:pPr>
              <w:spacing w:before="60" w:after="60"/>
              <w:jc w:val="left"/>
              <w:rPr>
                <w:rFonts w:asciiTheme="minorHAnsi" w:eastAsia="Times New Roman" w:hAnsiTheme="minorHAnsi" w:cstheme="minorHAnsi"/>
                <w:b/>
                <w:iCs/>
                <w:noProof/>
                <w:sz w:val="20"/>
              </w:rPr>
            </w:pPr>
          </w:p>
        </w:tc>
        <w:tc>
          <w:tcPr>
            <w:tcW w:w="1271" w:type="pct"/>
          </w:tcPr>
          <w:p w14:paraId="6131FAF4" w14:textId="65D2A944" w:rsidR="00BD7E4B" w:rsidRPr="00890249" w:rsidRDefault="00BD7E4B" w:rsidP="18317E1B">
            <w:pPr>
              <w:spacing w:before="60" w:after="60"/>
              <w:jc w:val="left"/>
              <w:rPr>
                <w:rFonts w:asciiTheme="minorHAnsi" w:hAnsiTheme="minorHAnsi" w:cstheme="minorHAnsi"/>
                <w:sz w:val="20"/>
              </w:rPr>
            </w:pPr>
          </w:p>
          <w:p w14:paraId="557554FB" w14:textId="5487F47C" w:rsidR="00BD7E4B" w:rsidRPr="00890249" w:rsidRDefault="00BD7E4B" w:rsidP="18317E1B">
            <w:pPr>
              <w:spacing w:before="60" w:after="60"/>
              <w:jc w:val="left"/>
              <w:rPr>
                <w:rFonts w:asciiTheme="minorHAnsi" w:eastAsia="Times New Roman" w:hAnsiTheme="minorHAnsi" w:cstheme="minorHAnsi"/>
                <w:i/>
                <w:iCs/>
                <w:noProof/>
                <w:sz w:val="20"/>
              </w:rPr>
            </w:pPr>
          </w:p>
        </w:tc>
        <w:tc>
          <w:tcPr>
            <w:tcW w:w="2691" w:type="pct"/>
          </w:tcPr>
          <w:p w14:paraId="5CB345C7" w14:textId="114E25B6" w:rsidR="00BC32F2" w:rsidRPr="00F62734" w:rsidRDefault="00BC32F2" w:rsidP="00F62734">
            <w:pPr>
              <w:rPr>
                <w:rFonts w:asciiTheme="minorHAnsi" w:hAnsiTheme="minorHAnsi" w:cstheme="minorHAnsi"/>
                <w:noProof/>
                <w:sz w:val="20"/>
              </w:rPr>
            </w:pPr>
          </w:p>
        </w:tc>
      </w:tr>
      <w:tr w:rsidR="00604630" w:rsidRPr="00890249" w14:paraId="4898DA2C" w14:textId="77777777" w:rsidTr="18317E1B">
        <w:tc>
          <w:tcPr>
            <w:tcW w:w="1038" w:type="pct"/>
            <w:vMerge w:val="restart"/>
          </w:tcPr>
          <w:p w14:paraId="6CD81281" w14:textId="77777777" w:rsidR="00604630" w:rsidRPr="00890249" w:rsidRDefault="00604630" w:rsidP="005832D0">
            <w:pPr>
              <w:spacing w:before="60" w:after="60"/>
              <w:rPr>
                <w:rFonts w:asciiTheme="minorHAnsi" w:hAnsiTheme="minorHAnsi" w:cstheme="minorHAnsi"/>
                <w:b/>
                <w:sz w:val="20"/>
              </w:rPr>
            </w:pPr>
            <w:r w:rsidRPr="00890249">
              <w:rPr>
                <w:rFonts w:asciiTheme="minorHAnsi" w:hAnsiTheme="minorHAnsi" w:cstheme="minorHAnsi"/>
                <w:b/>
                <w:sz w:val="20"/>
              </w:rPr>
              <w:t xml:space="preserve">CP 2. </w:t>
            </w:r>
          </w:p>
          <w:p w14:paraId="384ACE22" w14:textId="77777777" w:rsidR="00604630" w:rsidRPr="00890249" w:rsidRDefault="00604630" w:rsidP="005832D0">
            <w:pPr>
              <w:spacing w:before="60" w:after="60"/>
              <w:jc w:val="left"/>
              <w:rPr>
                <w:rFonts w:asciiTheme="minorHAnsi" w:eastAsia="Times New Roman" w:hAnsiTheme="minorHAnsi" w:cstheme="minorHAnsi"/>
                <w:b/>
                <w:i/>
                <w:iCs/>
                <w:noProof/>
                <w:sz w:val="20"/>
              </w:rPr>
            </w:pPr>
            <w:r w:rsidRPr="00890249">
              <w:rPr>
                <w:rFonts w:asciiTheme="minorHAnsi" w:hAnsiTheme="minorHAnsi" w:cstheme="minorHAnsi"/>
                <w:b/>
                <w:i/>
                <w:sz w:val="20"/>
              </w:rPr>
              <w:t xml:space="preserve">Bardziej przyjazna dla środowiska, niskoemisyjna i przechodząca w kierunku gospodarki zeroemisyjnej oraz </w:t>
            </w:r>
            <w:r w:rsidRPr="00890249">
              <w:rPr>
                <w:rFonts w:asciiTheme="minorHAnsi" w:hAnsiTheme="minorHAnsi" w:cstheme="minorHAnsi"/>
                <w:b/>
                <w:i/>
                <w:sz w:val="20"/>
              </w:rPr>
              <w:lastRenderedPageBreak/>
              <w:t xml:space="preserve">odporna Europa dzięki promowaniu czystej </w:t>
            </w:r>
            <w:r w:rsidRPr="00890249">
              <w:rPr>
                <w:rFonts w:asciiTheme="minorHAnsi" w:hAnsiTheme="minorHAnsi" w:cstheme="minorHAnsi"/>
                <w:b/>
                <w:i/>
                <w:sz w:val="20"/>
              </w:rPr>
              <w:br/>
              <w:t xml:space="preserve">i sprawiedliwej transformacji energetycznej, zielonych i niebieskich inwestycji, gospodarki o obiegu zamkniętym, łagodzenia zmian klimatu i przystosowania się do nich, zapobiegania ryzyku i zarządzania ryzykiem, oraz zrównoważonej mobilności miejskiej </w:t>
            </w:r>
          </w:p>
        </w:tc>
        <w:tc>
          <w:tcPr>
            <w:tcW w:w="1271" w:type="pct"/>
          </w:tcPr>
          <w:p w14:paraId="28D2BE27" w14:textId="77777777" w:rsidR="00604630" w:rsidRPr="00890249" w:rsidRDefault="00604630" w:rsidP="005832D0">
            <w:pPr>
              <w:spacing w:before="60" w:after="60"/>
              <w:jc w:val="left"/>
              <w:rPr>
                <w:rFonts w:asciiTheme="minorHAnsi" w:hAnsiTheme="minorHAnsi" w:cstheme="minorHAnsi"/>
                <w:sz w:val="20"/>
              </w:rPr>
            </w:pPr>
            <w:r w:rsidRPr="00890249">
              <w:rPr>
                <w:rFonts w:asciiTheme="minorHAnsi" w:hAnsiTheme="minorHAnsi" w:cstheme="minorHAnsi"/>
                <w:sz w:val="20"/>
              </w:rPr>
              <w:lastRenderedPageBreak/>
              <w:t xml:space="preserve">(i) </w:t>
            </w:r>
          </w:p>
          <w:p w14:paraId="37D5A2CE" w14:textId="77777777" w:rsidR="00604630" w:rsidRPr="00890249" w:rsidRDefault="00604630" w:rsidP="005832D0">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Wspieranie efektywności energetycznej i redukcji emisji gazów cieplarnianych, promowanie środków na rzecz efektywności energetycznej</w:t>
            </w:r>
          </w:p>
        </w:tc>
        <w:tc>
          <w:tcPr>
            <w:tcW w:w="2691" w:type="pct"/>
          </w:tcPr>
          <w:p w14:paraId="19D37B00" w14:textId="77777777" w:rsidR="00604630" w:rsidRPr="00890249" w:rsidRDefault="00604630" w:rsidP="009F296A">
            <w:pPr>
              <w:numPr>
                <w:ilvl w:val="0"/>
                <w:numId w:val="9"/>
              </w:numPr>
              <w:spacing w:before="60" w:after="60"/>
              <w:ind w:left="359" w:hanging="308"/>
              <w:contextualSpacing/>
              <w:rPr>
                <w:rFonts w:asciiTheme="minorHAnsi" w:eastAsiaTheme="minorHAnsi" w:hAnsiTheme="minorHAnsi" w:cstheme="minorHAnsi"/>
                <w:sz w:val="20"/>
                <w:szCs w:val="22"/>
              </w:rPr>
            </w:pPr>
            <w:r w:rsidRPr="00890249">
              <w:rPr>
                <w:rFonts w:asciiTheme="minorHAnsi" w:hAnsiTheme="minorHAnsi" w:cstheme="minorHAnsi"/>
                <w:noProof/>
                <w:sz w:val="20"/>
              </w:rPr>
              <w:t>województwo opolskie charakteryzuje się bardzo wysokim poziomem emisji zanieczyszczeń</w:t>
            </w:r>
            <w:r w:rsidRPr="00890249">
              <w:rPr>
                <w:rFonts w:asciiTheme="minorHAnsi" w:eastAsiaTheme="minorHAnsi" w:hAnsiTheme="minorHAnsi" w:cstheme="minorHAnsi"/>
                <w:sz w:val="20"/>
                <w:szCs w:val="22"/>
              </w:rPr>
              <w:t xml:space="preserve"> - </w:t>
            </w:r>
            <w:r w:rsidRPr="00890249">
              <w:rPr>
                <w:rFonts w:asciiTheme="minorHAnsi" w:hAnsiTheme="minorHAnsi" w:cstheme="minorHAnsi"/>
                <w:noProof/>
                <w:sz w:val="20"/>
              </w:rPr>
              <w:t>łączna emisja zanieczyszczeń pyłowych (1 257 ton/rok) i gazowych (14871,6 tys. ton z CO</w:t>
            </w:r>
            <w:r w:rsidRPr="00890249">
              <w:rPr>
                <w:rFonts w:asciiTheme="minorHAnsi" w:hAnsiTheme="minorHAnsi" w:cstheme="minorHAnsi"/>
                <w:noProof/>
                <w:sz w:val="20"/>
                <w:vertAlign w:val="subscript"/>
              </w:rPr>
              <w:t>2</w:t>
            </w:r>
            <w:r w:rsidRPr="00890249">
              <w:rPr>
                <w:rFonts w:asciiTheme="minorHAnsi" w:hAnsiTheme="minorHAnsi" w:cstheme="minorHAnsi"/>
                <w:noProof/>
                <w:sz w:val="20"/>
              </w:rPr>
              <w:t>) plasowała region w 2018 r. na 11 i 5 pozycji w kraju,</w:t>
            </w:r>
          </w:p>
          <w:p w14:paraId="61227163" w14:textId="77777777" w:rsidR="00604630" w:rsidRPr="00890249" w:rsidRDefault="00604630" w:rsidP="009F296A">
            <w:pPr>
              <w:numPr>
                <w:ilvl w:val="0"/>
                <w:numId w:val="9"/>
              </w:numPr>
              <w:spacing w:before="60" w:after="60"/>
              <w:ind w:left="359" w:hanging="308"/>
              <w:contextualSpacing/>
              <w:rPr>
                <w:rFonts w:asciiTheme="minorHAnsi" w:eastAsiaTheme="minorHAnsi" w:hAnsiTheme="minorHAnsi" w:cstheme="minorHAnsi"/>
                <w:sz w:val="20"/>
                <w:szCs w:val="22"/>
              </w:rPr>
            </w:pPr>
            <w:r w:rsidRPr="00890249">
              <w:rPr>
                <w:rFonts w:asciiTheme="minorHAnsi" w:hAnsiTheme="minorHAnsi" w:cstheme="minorHAnsi"/>
                <w:noProof/>
                <w:sz w:val="20"/>
              </w:rPr>
              <w:lastRenderedPageBreak/>
              <w:t>w 2016 r. stopa ubóstwa energetycznego w gospodarstwach domowych jednorodzinnych wyniosła 18,5 % i była jedną z najwyższych w kraju</w:t>
            </w:r>
            <w:r w:rsidRPr="00890249">
              <w:rPr>
                <w:rStyle w:val="Odwoanieprzypisudolnego"/>
                <w:rFonts w:asciiTheme="minorHAnsi" w:hAnsiTheme="minorHAnsi" w:cstheme="minorHAnsi"/>
                <w:noProof/>
                <w:sz w:val="20"/>
              </w:rPr>
              <w:footnoteReference w:id="51"/>
            </w:r>
            <w:r w:rsidRPr="00890249">
              <w:rPr>
                <w:rFonts w:asciiTheme="minorHAnsi" w:hAnsiTheme="minorHAnsi" w:cstheme="minorHAnsi"/>
                <w:noProof/>
                <w:sz w:val="20"/>
              </w:rPr>
              <w:t>,</w:t>
            </w:r>
          </w:p>
          <w:p w14:paraId="0164BA43"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poziom energochłonności w dalszym ciągu pozostaje za wysoki (obserwowany jest wzrost zużycia energii, które w 2017 r. wyniosło 5077 GWh),</w:t>
            </w:r>
          </w:p>
          <w:p w14:paraId="104A40E8" w14:textId="1AE04875"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nieodpowiednia izolacja budynków publicznych </w:t>
            </w:r>
            <w:r w:rsidRPr="00890249">
              <w:rPr>
                <w:rFonts w:asciiTheme="minorHAnsi" w:hAnsiTheme="minorHAnsi" w:cstheme="minorHAnsi"/>
                <w:noProof/>
                <w:sz w:val="20"/>
              </w:rPr>
              <w:br/>
              <w:t>i prywatnych przyczynia się do zawyżonego zużycia energii</w:t>
            </w:r>
            <w:r w:rsidRPr="00890249">
              <w:rPr>
                <w:rFonts w:asciiTheme="minorHAnsi" w:hAnsiTheme="minorHAnsi" w:cstheme="minorHAnsi"/>
                <w:noProof/>
                <w:sz w:val="20"/>
                <w:vertAlign w:val="superscript"/>
              </w:rPr>
              <w:footnoteReference w:id="52"/>
            </w:r>
            <w:r w:rsidRPr="00890249">
              <w:rPr>
                <w:rFonts w:asciiTheme="minorHAnsi" w:hAnsiTheme="minorHAnsi" w:cstheme="minorHAnsi"/>
                <w:noProof/>
                <w:sz w:val="20"/>
              </w:rPr>
              <w:t>,</w:t>
            </w:r>
          </w:p>
          <w:p w14:paraId="0BA8D057"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istotnym czynnikiem ograniczającym rosnące zużycie energii są inwestycje w zakresie efektywności energetycznej, </w:t>
            </w:r>
          </w:p>
          <w:p w14:paraId="664D403B"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konieczność zmniejszenia zapotrzebowania na wytwarzanie energii elektrycznej i ciepła (energooszczędne technologie, systemy zarządzania energią oraz termomodernizacja energetyczna budynków),</w:t>
            </w:r>
          </w:p>
          <w:p w14:paraId="3CA5F67B" w14:textId="7FB98CFA"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eastAsia="Times New Roman" w:hAnsiTheme="minorHAnsi" w:cstheme="minorHAnsi"/>
                <w:noProof/>
                <w:sz w:val="20"/>
              </w:rPr>
              <w:t>KE w Sprawozdaniu krajowym – Polska 2019 zwraca uwagę na nieefektywność polskiej gospodarki pod względem ograniczeń emisji dwutlenku węgla. W dokumencie KE wskazuje, że nieodpowiednia izolacja budynków publicznych i prywatnych przyczynia się do zawyżonego zużycia energii. Działania planowane do</w:t>
            </w:r>
            <w:r>
              <w:rPr>
                <w:rFonts w:asciiTheme="minorHAnsi" w:eastAsia="Times New Roman" w:hAnsiTheme="minorHAnsi" w:cstheme="minorHAnsi"/>
                <w:noProof/>
                <w:sz w:val="20"/>
              </w:rPr>
              <w:t xml:space="preserve"> realizacji wpisują się zatem w </w:t>
            </w:r>
            <w:r w:rsidRPr="00890249">
              <w:rPr>
                <w:rFonts w:asciiTheme="minorHAnsi" w:eastAsia="Times New Roman" w:hAnsiTheme="minorHAnsi" w:cstheme="minorHAnsi"/>
                <w:noProof/>
                <w:sz w:val="20"/>
              </w:rPr>
              <w:t xml:space="preserve">zalecenia KE zawarte w </w:t>
            </w:r>
            <w:r w:rsidRPr="00890249">
              <w:rPr>
                <w:rFonts w:asciiTheme="minorHAnsi" w:eastAsia="Times New Roman" w:hAnsiTheme="minorHAnsi" w:cstheme="minorHAnsi"/>
                <w:i/>
                <w:noProof/>
                <w:sz w:val="20"/>
              </w:rPr>
              <w:t>Wytycznych inwestycyjnych dla Polski w zakresie finansowania polityki spójności na lata 2021-2027</w:t>
            </w:r>
            <w:r w:rsidRPr="00890249">
              <w:rPr>
                <w:rFonts w:asciiTheme="minorHAnsi" w:eastAsia="Times New Roman" w:hAnsiTheme="minorHAnsi" w:cstheme="minorHAnsi"/>
                <w:noProof/>
                <w:sz w:val="20"/>
              </w:rPr>
              <w:t xml:space="preserve"> (załącznik D)</w:t>
            </w:r>
            <w:r w:rsidRPr="00890249">
              <w:rPr>
                <w:rFonts w:asciiTheme="minorHAnsi" w:eastAsia="Times New Roman" w:hAnsiTheme="minorHAnsi" w:cstheme="minorHAnsi"/>
                <w:noProof/>
                <w:sz w:val="20"/>
                <w:vertAlign w:val="superscript"/>
              </w:rPr>
              <w:footnoteReference w:id="53"/>
            </w:r>
            <w:r w:rsidRPr="00890249">
              <w:rPr>
                <w:rFonts w:asciiTheme="minorHAnsi" w:eastAsia="Times New Roman" w:hAnsiTheme="minorHAnsi" w:cstheme="minorHAnsi"/>
                <w:noProof/>
                <w:sz w:val="20"/>
              </w:rPr>
              <w:t>.</w:t>
            </w:r>
          </w:p>
          <w:p w14:paraId="45EDA327"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eastAsia="Times New Roman" w:hAnsiTheme="minorHAnsi" w:cstheme="minorHAnsi"/>
                <w:noProof/>
                <w:sz w:val="20"/>
              </w:rPr>
              <w:t>na budynki przypada blisko 40% końcowego zużycia energii i 36% emisji gazów cieplarnianych w skali UE</w:t>
            </w:r>
            <w:r w:rsidRPr="00890249">
              <w:rPr>
                <w:rFonts w:asciiTheme="minorHAnsi" w:eastAsia="Times New Roman" w:hAnsiTheme="minorHAnsi" w:cstheme="minorHAnsi"/>
                <w:noProof/>
                <w:sz w:val="20"/>
                <w:vertAlign w:val="superscript"/>
              </w:rPr>
              <w:footnoteReference w:id="54"/>
            </w:r>
            <w:r w:rsidRPr="00890249">
              <w:rPr>
                <w:rFonts w:asciiTheme="minorHAnsi" w:eastAsia="Times New Roman" w:hAnsiTheme="minorHAnsi" w:cstheme="minorHAnsi"/>
                <w:noProof/>
                <w:sz w:val="20"/>
              </w:rPr>
              <w:t>, istotnym czynnikiem pozwalającym ograniczyć rosnące zużycie energii są inwestycje w celu poprawy efektywności energetycznej polegające m.in. na gruntownej modernizacji energetycznej budynków wykorzystywanych w sektorze MŚP, budynków użyteczności publicznej, a także budynków mieszkalnych.</w:t>
            </w:r>
            <w:r w:rsidRPr="00890249">
              <w:rPr>
                <w:rFonts w:asciiTheme="minorHAnsi" w:eastAsia="Times New Roman" w:hAnsiTheme="minorHAnsi" w:cstheme="minorHAnsi"/>
                <w:noProof/>
                <w:szCs w:val="22"/>
              </w:rPr>
              <w:t xml:space="preserve"> </w:t>
            </w:r>
          </w:p>
        </w:tc>
      </w:tr>
      <w:tr w:rsidR="00604630" w:rsidRPr="00890249" w14:paraId="65BCE443" w14:textId="77777777" w:rsidTr="18317E1B">
        <w:tc>
          <w:tcPr>
            <w:tcW w:w="1038" w:type="pct"/>
            <w:vMerge/>
          </w:tcPr>
          <w:p w14:paraId="2AF69D02"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51F21318" w14:textId="77777777" w:rsidR="00604630" w:rsidRPr="00890249" w:rsidRDefault="00604630" w:rsidP="004C571C">
            <w:pPr>
              <w:spacing w:before="60" w:after="60"/>
              <w:rPr>
                <w:rFonts w:asciiTheme="minorHAnsi" w:hAnsiTheme="minorHAnsi" w:cstheme="minorHAnsi"/>
                <w:sz w:val="20"/>
              </w:rPr>
            </w:pPr>
            <w:r w:rsidRPr="00890249">
              <w:rPr>
                <w:rFonts w:asciiTheme="minorHAnsi" w:hAnsiTheme="minorHAnsi" w:cstheme="minorHAnsi"/>
                <w:sz w:val="20"/>
              </w:rPr>
              <w:t xml:space="preserve">(ii) </w:t>
            </w:r>
          </w:p>
          <w:p w14:paraId="4ED3507E" w14:textId="77777777" w:rsidR="00604630" w:rsidRPr="00890249" w:rsidRDefault="00604630" w:rsidP="0000403B">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Promowanie odnawialnych źródeł energii, wspieranie energii odnawialnej zgodnie z dyrektywą (UE) 2018/200, w tym określonymi w niej kryteriami zrównoważonego rozwoju</w:t>
            </w:r>
          </w:p>
        </w:tc>
        <w:tc>
          <w:tcPr>
            <w:tcW w:w="2691" w:type="pct"/>
          </w:tcPr>
          <w:p w14:paraId="1BC3C446"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istnieje tendencja wzrostowa w zakresie wykorzystania OZE, jednak potrzeby energetyczne nadal są zaspokajane z tego źródła w bardzo niewielkiej części, </w:t>
            </w:r>
          </w:p>
          <w:p w14:paraId="404D6462"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niski udział energii odnawialnej w produkcji energii elektrycznej ogółem (w 2018 r - 5,2%) oraz niski odsetek korzystających z ekologicznych nośników energii, </w:t>
            </w:r>
          </w:p>
          <w:p w14:paraId="7410CADB"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niski stopień wykorzystania OZE w zużyciu energii elektrycznej w 2016 r. -  7,10%, (średnia krajowa - 27,25%),</w:t>
            </w:r>
          </w:p>
          <w:p w14:paraId="434329CC" w14:textId="77777777" w:rsidR="00604630" w:rsidRPr="00890249" w:rsidRDefault="00604630" w:rsidP="009F296A">
            <w:pPr>
              <w:numPr>
                <w:ilvl w:val="0"/>
                <w:numId w:val="9"/>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lastRenderedPageBreak/>
              <w:t>rozwój OZE identyfikowany jako szansa rozwojowa, szczególnie przy uwzględnieniu dogodnych uwarkowań przestrzennych województwa,</w:t>
            </w:r>
          </w:p>
          <w:p w14:paraId="02A742DE" w14:textId="77777777" w:rsidR="00604630" w:rsidRPr="00890249" w:rsidRDefault="00604630" w:rsidP="009F296A">
            <w:pPr>
              <w:numPr>
                <w:ilvl w:val="0"/>
                <w:numId w:val="9"/>
              </w:numPr>
              <w:spacing w:before="60" w:after="60"/>
              <w:ind w:left="359" w:hanging="308"/>
              <w:contextualSpacing/>
              <w:rPr>
                <w:rFonts w:asciiTheme="minorHAnsi" w:eastAsiaTheme="minorHAnsi" w:hAnsiTheme="minorHAnsi" w:cstheme="minorHAnsi"/>
                <w:noProof/>
                <w:sz w:val="20"/>
              </w:rPr>
            </w:pPr>
            <w:r w:rsidRPr="00890249">
              <w:rPr>
                <w:rFonts w:asciiTheme="minorHAnsi" w:hAnsiTheme="minorHAnsi" w:cstheme="minorHAnsi"/>
                <w:noProof/>
                <w:sz w:val="20"/>
              </w:rPr>
              <w:t>inicjatywy na rzecz zwiększenia rozwoju energetyki rozproszonej przyczynią się do wzrostu bezpieczeństwa energetycznego regionu,</w:t>
            </w:r>
          </w:p>
        </w:tc>
      </w:tr>
      <w:tr w:rsidR="00604630" w:rsidRPr="00890249" w14:paraId="44D530BC" w14:textId="77777777" w:rsidTr="18317E1B">
        <w:tc>
          <w:tcPr>
            <w:tcW w:w="1038" w:type="pct"/>
            <w:vMerge/>
          </w:tcPr>
          <w:p w14:paraId="1A8DBF3A"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4AEDD93B" w14:textId="77777777" w:rsidR="00604630" w:rsidRPr="00890249" w:rsidRDefault="00604630" w:rsidP="004C571C">
            <w:pPr>
              <w:spacing w:before="60" w:after="60"/>
              <w:rPr>
                <w:rFonts w:asciiTheme="minorHAnsi" w:hAnsiTheme="minorHAnsi" w:cstheme="minorHAnsi"/>
                <w:sz w:val="20"/>
              </w:rPr>
            </w:pPr>
            <w:r w:rsidRPr="00890249">
              <w:rPr>
                <w:rFonts w:asciiTheme="minorHAnsi" w:hAnsiTheme="minorHAnsi" w:cstheme="minorHAnsi"/>
                <w:sz w:val="20"/>
              </w:rPr>
              <w:t xml:space="preserve">(iv) </w:t>
            </w:r>
          </w:p>
          <w:p w14:paraId="21B37903" w14:textId="77777777" w:rsidR="00604630" w:rsidRPr="00890249" w:rsidRDefault="00604630" w:rsidP="00BA237D">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Wspieranie działań w zakresie dostosowania do zmiany klimatu, zapobiegania ryzyku i odporności na klęski żywiołów, wspieranie przystosowania się do zmiany klimatu i zapobiegania ryzyku związanemu z klęskami żywiołowymi i katastrofami, a także odporności, z uwzględnieniem podejścia ekosystemowego</w:t>
            </w:r>
          </w:p>
        </w:tc>
        <w:tc>
          <w:tcPr>
            <w:tcW w:w="2691" w:type="pct"/>
          </w:tcPr>
          <w:p w14:paraId="7D3633FD"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klęski żywiołowe, katastrofy ekologiczne, zmiany klimatyczne stanowią jedne z największych zagrożeń rozwojowych,</w:t>
            </w:r>
          </w:p>
          <w:p w14:paraId="23757131"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woj. opolskie jest obszarem zagrożonym cyklicznymi zalewami powodziowymi</w:t>
            </w:r>
            <w:r w:rsidRPr="00890249">
              <w:rPr>
                <w:rFonts w:asciiTheme="minorHAnsi" w:hAnsiTheme="minorHAnsi" w:cstheme="minorHAnsi"/>
              </w:rPr>
              <w:t xml:space="preserve"> </w:t>
            </w:r>
            <w:r w:rsidRPr="00890249">
              <w:rPr>
                <w:rFonts w:asciiTheme="minorHAnsi" w:hAnsiTheme="minorHAnsi" w:cstheme="minorHAnsi"/>
                <w:noProof/>
                <w:sz w:val="20"/>
              </w:rPr>
              <w:t>występującymi w dolinie Górnej Odry i w jej całym dorzeczu</w:t>
            </w:r>
            <w:r w:rsidRPr="00890249">
              <w:rPr>
                <w:rStyle w:val="Odwoanieprzypisudolnego"/>
                <w:rFonts w:asciiTheme="minorHAnsi" w:hAnsiTheme="minorHAnsi" w:cstheme="minorHAnsi"/>
                <w:noProof/>
                <w:sz w:val="20"/>
              </w:rPr>
              <w:footnoteReference w:id="55"/>
            </w:r>
            <w:r w:rsidRPr="00890249">
              <w:rPr>
                <w:rFonts w:asciiTheme="minorHAnsi" w:hAnsiTheme="minorHAnsi" w:cstheme="minorHAnsi"/>
                <w:noProof/>
                <w:sz w:val="20"/>
              </w:rPr>
              <w:t xml:space="preserve">, </w:t>
            </w:r>
          </w:p>
          <w:p w14:paraId="6B841713"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łączna długość wałów przeciwpowodziowych na terenie woj. opolskiego – ok. 420 km, łączna powierzchnia 34 zbiorników wodnych pełniących m.in. funkcje retencyjne – ok. 219 mln m</w:t>
            </w:r>
            <w:r w:rsidRPr="00890249">
              <w:rPr>
                <w:rFonts w:asciiTheme="minorHAnsi" w:hAnsiTheme="minorHAnsi" w:cstheme="minorHAnsi"/>
                <w:noProof/>
                <w:sz w:val="20"/>
                <w:vertAlign w:val="superscript"/>
              </w:rPr>
              <w:t xml:space="preserve">3 </w:t>
            </w:r>
            <w:r w:rsidRPr="00890249">
              <w:rPr>
                <w:rStyle w:val="Odwoanieprzypisudolnego"/>
                <w:rFonts w:asciiTheme="minorHAnsi" w:hAnsiTheme="minorHAnsi" w:cstheme="minorHAnsi"/>
                <w:noProof/>
                <w:sz w:val="20"/>
              </w:rPr>
              <w:footnoteReference w:id="56"/>
            </w:r>
            <w:r w:rsidRPr="00890249">
              <w:rPr>
                <w:rFonts w:asciiTheme="minorHAnsi" w:hAnsiTheme="minorHAnsi" w:cstheme="minorHAnsi"/>
                <w:noProof/>
                <w:sz w:val="20"/>
              </w:rPr>
              <w:t>,</w:t>
            </w:r>
          </w:p>
          <w:p w14:paraId="45762F89"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powódź, jaka wystąpiła w maju 2010 r. wykazała, że system ochrony przeciwpowodziowej jest nadal niepełny –zalaniu uległo około 3,3 tys. gospodarstw domowych, 162 budynki komunalne oraz uszkodzonych zostało ok. 230 km dróg</w:t>
            </w:r>
            <w:r w:rsidRPr="00890249">
              <w:rPr>
                <w:rStyle w:val="Odwoanieprzypisudolnego"/>
                <w:rFonts w:asciiTheme="minorHAnsi" w:hAnsiTheme="minorHAnsi" w:cstheme="minorHAnsi"/>
                <w:noProof/>
                <w:sz w:val="20"/>
              </w:rPr>
              <w:footnoteReference w:id="57"/>
            </w:r>
            <w:r w:rsidRPr="00890249">
              <w:rPr>
                <w:rFonts w:asciiTheme="minorHAnsi" w:hAnsiTheme="minorHAnsi" w:cstheme="minorHAnsi"/>
                <w:noProof/>
                <w:sz w:val="20"/>
              </w:rPr>
              <w:t>,</w:t>
            </w:r>
          </w:p>
          <w:p w14:paraId="620A6984"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„Polityka ekologiczna państwa 2030” przewiduje, że działania adaptacyjne będą polegały m.in. na : </w:t>
            </w:r>
          </w:p>
          <w:p w14:paraId="447EE97C" w14:textId="77777777" w:rsidR="00604630" w:rsidRPr="00890249" w:rsidRDefault="00604630" w:rsidP="009F296A">
            <w:pPr>
              <w:pStyle w:val="Akapitzlist"/>
              <w:numPr>
                <w:ilvl w:val="0"/>
                <w:numId w:val="56"/>
              </w:numPr>
              <w:spacing w:before="60" w:after="60"/>
              <w:ind w:left="673" w:hanging="284"/>
              <w:rPr>
                <w:rFonts w:asciiTheme="minorHAnsi" w:hAnsiTheme="minorHAnsi" w:cstheme="minorHAnsi"/>
                <w:b/>
                <w:noProof/>
                <w:sz w:val="20"/>
              </w:rPr>
            </w:pPr>
            <w:r w:rsidRPr="00890249">
              <w:rPr>
                <w:rFonts w:asciiTheme="minorHAnsi" w:hAnsiTheme="minorHAnsi" w:cstheme="minorHAnsi"/>
                <w:noProof/>
                <w:sz w:val="20"/>
              </w:rPr>
              <w:t>opracowaniu i wdrożeniu miejskich planów adaptacji do klimatu,</w:t>
            </w:r>
          </w:p>
          <w:p w14:paraId="53D00F8A" w14:textId="77777777" w:rsidR="00604630" w:rsidRPr="00890249" w:rsidRDefault="00604630" w:rsidP="009F296A">
            <w:pPr>
              <w:pStyle w:val="Akapitzlist"/>
              <w:numPr>
                <w:ilvl w:val="0"/>
                <w:numId w:val="56"/>
              </w:numPr>
              <w:spacing w:before="60" w:after="60"/>
              <w:ind w:left="673" w:hanging="284"/>
              <w:rPr>
                <w:rFonts w:asciiTheme="minorHAnsi" w:hAnsiTheme="minorHAnsi" w:cstheme="minorHAnsi"/>
                <w:b/>
                <w:noProof/>
                <w:sz w:val="20"/>
              </w:rPr>
            </w:pPr>
            <w:r w:rsidRPr="00890249">
              <w:rPr>
                <w:rFonts w:asciiTheme="minorHAnsi" w:hAnsiTheme="minorHAnsi" w:cstheme="minorHAnsi"/>
                <w:noProof/>
                <w:sz w:val="20"/>
              </w:rPr>
              <w:t>budowie niezbędnej infrastruktury przeciwpowodziowej i obiektów małej retencji,</w:t>
            </w:r>
          </w:p>
          <w:p w14:paraId="6FF104A3" w14:textId="77777777" w:rsidR="00604630" w:rsidRPr="00890249" w:rsidRDefault="00604630" w:rsidP="009F296A">
            <w:pPr>
              <w:pStyle w:val="Akapitzlist"/>
              <w:numPr>
                <w:ilvl w:val="0"/>
                <w:numId w:val="56"/>
              </w:numPr>
              <w:spacing w:before="60" w:after="60"/>
              <w:ind w:left="673" w:hanging="284"/>
              <w:rPr>
                <w:rFonts w:asciiTheme="minorHAnsi" w:hAnsiTheme="minorHAnsi" w:cstheme="minorHAnsi"/>
                <w:noProof/>
                <w:sz w:val="20"/>
              </w:rPr>
            </w:pPr>
            <w:r w:rsidRPr="00890249">
              <w:rPr>
                <w:rFonts w:asciiTheme="minorHAnsi" w:hAnsiTheme="minorHAnsi" w:cstheme="minorHAnsi"/>
                <w:noProof/>
                <w:sz w:val="20"/>
              </w:rPr>
              <w:t>rozwoju zielonej i niebieskiej infrastruktury,przeciwdziałaniu miejskim wyspom ciepła</w:t>
            </w:r>
            <w:r w:rsidRPr="00890249">
              <w:rPr>
                <w:rStyle w:val="Odwoanieprzypisudolnego"/>
                <w:rFonts w:asciiTheme="minorHAnsi" w:hAnsiTheme="minorHAnsi" w:cstheme="minorHAnsi"/>
                <w:noProof/>
                <w:sz w:val="20"/>
              </w:rPr>
              <w:footnoteReference w:id="58"/>
            </w:r>
            <w:r w:rsidRPr="00890249">
              <w:rPr>
                <w:rFonts w:asciiTheme="minorHAnsi" w:hAnsiTheme="minorHAnsi" w:cstheme="minorHAnsi"/>
                <w:noProof/>
                <w:sz w:val="20"/>
              </w:rPr>
              <w:t>,</w:t>
            </w:r>
          </w:p>
          <w:p w14:paraId="0C4BC373" w14:textId="77777777" w:rsidR="00604630" w:rsidRPr="00890249" w:rsidRDefault="00604630" w:rsidP="009F296A">
            <w:pPr>
              <w:pStyle w:val="Akapitzlist"/>
              <w:numPr>
                <w:ilvl w:val="0"/>
                <w:numId w:val="58"/>
              </w:numPr>
              <w:spacing w:before="0" w:after="0"/>
              <w:ind w:left="391" w:hanging="391"/>
              <w:rPr>
                <w:rFonts w:asciiTheme="minorHAnsi" w:hAnsiTheme="minorHAnsi" w:cstheme="minorHAnsi"/>
                <w:b/>
                <w:noProof/>
                <w:color w:val="003399"/>
                <w:sz w:val="20"/>
              </w:rPr>
            </w:pPr>
            <w:r w:rsidRPr="00890249">
              <w:rPr>
                <w:rFonts w:asciiTheme="minorHAnsi" w:hAnsiTheme="minorHAnsi" w:cstheme="minorHAnsi"/>
                <w:sz w:val="20"/>
              </w:rPr>
              <w:t>z powodu susz w regionie następują straty w produkcji rolnej i leśnej,</w:t>
            </w:r>
          </w:p>
          <w:p w14:paraId="5195CB59" w14:textId="77777777" w:rsidR="00604630" w:rsidRPr="00890249" w:rsidRDefault="00604630" w:rsidP="009F296A">
            <w:pPr>
              <w:pStyle w:val="Akapitzlist"/>
              <w:numPr>
                <w:ilvl w:val="0"/>
                <w:numId w:val="58"/>
              </w:numPr>
              <w:spacing w:before="0" w:after="0"/>
              <w:ind w:left="391" w:hanging="391"/>
              <w:rPr>
                <w:rFonts w:asciiTheme="minorHAnsi" w:hAnsiTheme="minorHAnsi" w:cstheme="minorHAnsi"/>
                <w:b/>
                <w:noProof/>
                <w:color w:val="003399"/>
                <w:sz w:val="20"/>
              </w:rPr>
            </w:pPr>
            <w:r w:rsidRPr="00890249">
              <w:rPr>
                <w:rFonts w:asciiTheme="minorHAnsi" w:hAnsiTheme="minorHAnsi" w:cstheme="minorHAnsi"/>
                <w:noProof/>
                <w:sz w:val="20"/>
              </w:rPr>
              <w:t>opolskie jest jednym z 5 województw, w których powierzchnia parków i terenów zieleni osiedlowej wynosi 2 lub mniej % powierzchni ogólnej</w:t>
            </w:r>
            <w:r w:rsidRPr="00890249">
              <w:rPr>
                <w:rStyle w:val="Odwoanieprzypisudolnego"/>
                <w:rFonts w:asciiTheme="minorHAnsi" w:hAnsiTheme="minorHAnsi" w:cstheme="minorHAnsi"/>
                <w:noProof/>
                <w:sz w:val="20"/>
              </w:rPr>
              <w:footnoteReference w:id="59"/>
            </w:r>
            <w:r w:rsidRPr="00890249">
              <w:rPr>
                <w:rFonts w:asciiTheme="minorHAnsi" w:hAnsiTheme="minorHAnsi" w:cstheme="minorHAnsi"/>
                <w:noProof/>
                <w:sz w:val="20"/>
              </w:rPr>
              <w:t>,</w:t>
            </w:r>
          </w:p>
          <w:p w14:paraId="7AA6F47D" w14:textId="77777777" w:rsidR="00604630" w:rsidRPr="00890249" w:rsidRDefault="00604630" w:rsidP="009F296A">
            <w:pPr>
              <w:pStyle w:val="Akapitzlist"/>
              <w:numPr>
                <w:ilvl w:val="0"/>
                <w:numId w:val="58"/>
              </w:numPr>
              <w:spacing w:before="0" w:after="0"/>
              <w:ind w:left="391" w:hanging="391"/>
              <w:rPr>
                <w:rFonts w:asciiTheme="minorHAnsi" w:hAnsiTheme="minorHAnsi" w:cstheme="minorHAnsi"/>
                <w:noProof/>
                <w:sz w:val="20"/>
              </w:rPr>
            </w:pPr>
            <w:r w:rsidRPr="00890249">
              <w:rPr>
                <w:rFonts w:asciiTheme="minorHAnsi" w:hAnsiTheme="minorHAnsi" w:cstheme="minorHAnsi"/>
                <w:noProof/>
                <w:sz w:val="20"/>
              </w:rPr>
              <w:t xml:space="preserve">niewystarczająca infrastruktura związana </w:t>
            </w:r>
            <w:r w:rsidRPr="00890249">
              <w:rPr>
                <w:rFonts w:asciiTheme="minorHAnsi" w:hAnsiTheme="minorHAnsi" w:cstheme="minorHAnsi"/>
                <w:noProof/>
                <w:sz w:val="20"/>
              </w:rPr>
              <w:br/>
              <w:t>z gromadzeniem i retencjowaniem wody – priorytetem KE jest zwiększenie potencjału magazynowania wody przez ekosystemy i poprawa odporności na susze,</w:t>
            </w:r>
          </w:p>
          <w:p w14:paraId="71FE5379" w14:textId="77777777" w:rsidR="00604630" w:rsidRPr="00890249" w:rsidRDefault="00604630" w:rsidP="009F296A">
            <w:pPr>
              <w:numPr>
                <w:ilvl w:val="0"/>
                <w:numId w:val="10"/>
              </w:numPr>
              <w:spacing w:before="60" w:after="60"/>
              <w:ind w:left="359" w:hanging="308"/>
              <w:contextualSpacing/>
              <w:rPr>
                <w:rFonts w:asciiTheme="minorHAnsi" w:eastAsiaTheme="minorHAnsi" w:hAnsiTheme="minorHAnsi" w:cstheme="minorHAnsi"/>
                <w:noProof/>
                <w:sz w:val="20"/>
              </w:rPr>
            </w:pPr>
            <w:r w:rsidRPr="00890249">
              <w:rPr>
                <w:rFonts w:asciiTheme="minorHAnsi" w:hAnsiTheme="minorHAnsi" w:cstheme="minorHAnsi"/>
                <w:noProof/>
                <w:sz w:val="20"/>
              </w:rPr>
              <w:t>wciąż poważnym problemem jest zły stan techniczny oraz brak sprzętu niezbędnego do prowadzenia akcji ratowniczych przez jednostki OSP, a także infrastruktury związanej z magazynowaniem wody do prowadzeni akcji ratowniczych, zwłaszcza na terenach leśnych.</w:t>
            </w:r>
          </w:p>
        </w:tc>
      </w:tr>
      <w:tr w:rsidR="00604630" w:rsidRPr="00890249" w14:paraId="58EC6A0A" w14:textId="77777777" w:rsidTr="18317E1B">
        <w:tc>
          <w:tcPr>
            <w:tcW w:w="1038" w:type="pct"/>
            <w:vMerge/>
          </w:tcPr>
          <w:p w14:paraId="41BB65CD"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4D3D4A94" w14:textId="77777777" w:rsidR="00604630" w:rsidRPr="00890249" w:rsidRDefault="00604630" w:rsidP="004C571C">
            <w:pPr>
              <w:spacing w:before="60" w:after="60"/>
              <w:rPr>
                <w:rFonts w:asciiTheme="minorHAnsi" w:hAnsiTheme="minorHAnsi" w:cstheme="minorHAnsi"/>
                <w:sz w:val="20"/>
              </w:rPr>
            </w:pPr>
            <w:r w:rsidRPr="00890249">
              <w:rPr>
                <w:rFonts w:asciiTheme="minorHAnsi" w:hAnsiTheme="minorHAnsi" w:cstheme="minorHAnsi"/>
                <w:sz w:val="20"/>
              </w:rPr>
              <w:t xml:space="preserve">(v) </w:t>
            </w:r>
          </w:p>
          <w:p w14:paraId="4362F931" w14:textId="77777777" w:rsidR="00604630" w:rsidRPr="00890249" w:rsidRDefault="00604630" w:rsidP="0000403B">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Wspieranie dostępu do wody oraz zrównoważonej gospodarki wodnej</w:t>
            </w:r>
          </w:p>
        </w:tc>
        <w:tc>
          <w:tcPr>
            <w:tcW w:w="2691" w:type="pct"/>
          </w:tcPr>
          <w:p w14:paraId="46FE9615"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wskaźnik mieszkańców korzystających z sieci kanalizacyjnej wynosi w miastach 91,6%, natomiast na obszarach wiejskich 51,9%, </w:t>
            </w:r>
          </w:p>
          <w:p w14:paraId="2FD06FD5" w14:textId="77777777" w:rsidR="00604630" w:rsidRPr="00890249" w:rsidRDefault="00604630" w:rsidP="009F296A">
            <w:pPr>
              <w:numPr>
                <w:ilvl w:val="0"/>
                <w:numId w:val="10"/>
              </w:numPr>
              <w:spacing w:before="60" w:after="60"/>
              <w:ind w:left="380"/>
              <w:contextualSpacing/>
              <w:rPr>
                <w:rFonts w:asciiTheme="minorHAnsi" w:hAnsiTheme="minorHAnsi" w:cstheme="minorHAnsi"/>
                <w:noProof/>
                <w:sz w:val="20"/>
              </w:rPr>
            </w:pPr>
            <w:r w:rsidRPr="00890249">
              <w:rPr>
                <w:rFonts w:asciiTheme="minorHAnsi" w:eastAsia="Times New Roman" w:hAnsiTheme="minorHAnsi" w:cstheme="minorHAnsi"/>
                <w:noProof/>
                <w:sz w:val="20"/>
              </w:rPr>
              <w:t>na terenie województwa 8 aglomeracji nie spełnia jeszcze wymogów Dyrektywy Rady z dnia 21 maja 1991 r. dotyczącej oczyszczania ścieków komunalnych,</w:t>
            </w:r>
            <w:r w:rsidRPr="00890249">
              <w:rPr>
                <w:rStyle w:val="Odwoanieprzypisudolnego"/>
                <w:rFonts w:asciiTheme="minorHAnsi" w:eastAsia="Times New Roman" w:hAnsiTheme="minorHAnsi" w:cstheme="minorHAnsi"/>
                <w:noProof/>
                <w:sz w:val="20"/>
              </w:rPr>
              <w:footnoteReference w:id="60"/>
            </w:r>
          </w:p>
          <w:p w14:paraId="6A5F0DCD" w14:textId="77777777" w:rsidR="00604630" w:rsidRPr="00890249" w:rsidRDefault="00604630" w:rsidP="009F296A">
            <w:pPr>
              <w:numPr>
                <w:ilvl w:val="0"/>
                <w:numId w:val="10"/>
              </w:numPr>
              <w:spacing w:before="60" w:after="60"/>
              <w:ind w:left="380"/>
              <w:contextualSpacing/>
              <w:rPr>
                <w:rFonts w:asciiTheme="minorHAnsi" w:hAnsiTheme="minorHAnsi" w:cstheme="minorHAnsi"/>
                <w:noProof/>
                <w:sz w:val="20"/>
              </w:rPr>
            </w:pPr>
            <w:r w:rsidRPr="00890249">
              <w:rPr>
                <w:rFonts w:asciiTheme="minorHAnsi" w:hAnsiTheme="minorHAnsi" w:cstheme="minorHAnsi"/>
                <w:noProof/>
                <w:sz w:val="20"/>
              </w:rPr>
              <w:t>istotnym problemem jest niezadowalający stan techniczny części istniejącej sieci kanalizacyjnej wynikający z wieku i struktury materiałowej rur kanalizacyjnych,</w:t>
            </w:r>
          </w:p>
          <w:p w14:paraId="5BA15FFE" w14:textId="77777777" w:rsidR="00604630" w:rsidRPr="00890249" w:rsidRDefault="00604630" w:rsidP="009F296A">
            <w:pPr>
              <w:numPr>
                <w:ilvl w:val="0"/>
                <w:numId w:val="10"/>
              </w:numPr>
              <w:spacing w:before="60" w:after="60"/>
              <w:ind w:left="380"/>
              <w:contextualSpacing/>
              <w:rPr>
                <w:rFonts w:asciiTheme="minorHAnsi" w:hAnsiTheme="minorHAnsi" w:cstheme="minorHAnsi"/>
                <w:b/>
                <w:noProof/>
                <w:color w:val="003399"/>
                <w:sz w:val="20"/>
              </w:rPr>
            </w:pPr>
            <w:r w:rsidRPr="00890249">
              <w:rPr>
                <w:rFonts w:asciiTheme="minorHAnsi" w:hAnsiTheme="minorHAnsi" w:cstheme="minorHAnsi"/>
                <w:noProof/>
                <w:sz w:val="20"/>
              </w:rPr>
              <w:t>w 2020 r. nastapił wzost awaryjności sieci wodociągowych w województwie (9,2% w stosunku do roku poprzedniego)</w:t>
            </w:r>
            <w:r w:rsidRPr="00890249">
              <w:rPr>
                <w:rStyle w:val="Odwoanieprzypisudolnego"/>
                <w:rFonts w:asciiTheme="minorHAnsi" w:hAnsiTheme="minorHAnsi" w:cstheme="minorHAnsi"/>
                <w:noProof/>
                <w:sz w:val="20"/>
              </w:rPr>
              <w:footnoteReference w:id="61"/>
            </w:r>
            <w:r w:rsidRPr="00890249">
              <w:rPr>
                <w:rFonts w:asciiTheme="minorHAnsi" w:hAnsiTheme="minorHAnsi" w:cstheme="minorHAnsi"/>
                <w:noProof/>
                <w:sz w:val="20"/>
              </w:rPr>
              <w:t>, czego najczęstszym powodem jest wiek sieci.</w:t>
            </w:r>
          </w:p>
        </w:tc>
      </w:tr>
      <w:tr w:rsidR="00604630" w:rsidRPr="00890249" w14:paraId="2ECD831E" w14:textId="77777777" w:rsidTr="18317E1B">
        <w:tc>
          <w:tcPr>
            <w:tcW w:w="1038" w:type="pct"/>
            <w:vMerge/>
          </w:tcPr>
          <w:p w14:paraId="00ACE883"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0460AC21" w14:textId="77777777" w:rsidR="00604630" w:rsidRPr="00890249" w:rsidRDefault="00604630" w:rsidP="004C571C">
            <w:pPr>
              <w:spacing w:before="60" w:after="60"/>
              <w:rPr>
                <w:rFonts w:asciiTheme="minorHAnsi" w:hAnsiTheme="minorHAnsi" w:cstheme="minorHAnsi"/>
                <w:sz w:val="20"/>
              </w:rPr>
            </w:pPr>
            <w:r w:rsidRPr="00890249">
              <w:rPr>
                <w:rFonts w:asciiTheme="minorHAnsi" w:hAnsiTheme="minorHAnsi" w:cstheme="minorHAnsi"/>
                <w:sz w:val="20"/>
              </w:rPr>
              <w:t xml:space="preserve">(vi) </w:t>
            </w:r>
          </w:p>
          <w:p w14:paraId="0BB82CDC" w14:textId="77777777" w:rsidR="00604630" w:rsidRPr="00890249" w:rsidRDefault="00604630">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Wspieranie transformacji w kierunku gospodarki o obiegu zamkniętym i gospodarki zasobooszczędnej</w:t>
            </w:r>
          </w:p>
        </w:tc>
        <w:tc>
          <w:tcPr>
            <w:tcW w:w="2691" w:type="pct"/>
          </w:tcPr>
          <w:p w14:paraId="339D9BBE"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w 2018 r. widoczny był wzrost ilości odpadów zebranych selektywnie (32,9%), jednak podstawową metodą unieszkodliwiania w dalszym ciągu jest ich składowanie, </w:t>
            </w:r>
          </w:p>
          <w:p w14:paraId="406C9BDA" w14:textId="3EE97333"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wśród najważniejszych problemów wymienia się m.in.: brak PSZOK w niektórych gminach województwa, brak kompleksowych rozwiązań zapewniających zagospodarowanie odpadów wydzielonych w instalacjach komunalnych, zwłaszcza frakcji nienadających się do recyklingu, zbyt mały udział selektywnego zbierania u źródła,</w:t>
            </w:r>
          </w:p>
          <w:p w14:paraId="21F0D2A3" w14:textId="531B01BB" w:rsidR="00604630" w:rsidRPr="00890249" w:rsidRDefault="00604630" w:rsidP="009F296A">
            <w:pPr>
              <w:numPr>
                <w:ilvl w:val="0"/>
                <w:numId w:val="10"/>
              </w:numPr>
              <w:spacing w:before="60" w:after="60"/>
              <w:ind w:left="359" w:hanging="308"/>
              <w:contextualSpacing/>
              <w:rPr>
                <w:rFonts w:asciiTheme="minorHAnsi" w:eastAsiaTheme="minorHAnsi" w:hAnsiTheme="minorHAnsi" w:cstheme="minorHAnsi"/>
                <w:noProof/>
                <w:sz w:val="20"/>
              </w:rPr>
            </w:pPr>
            <w:r w:rsidRPr="00890249">
              <w:rPr>
                <w:rFonts w:asciiTheme="minorHAnsi" w:hAnsiTheme="minorHAnsi" w:cstheme="minorHAnsi"/>
                <w:noProof/>
                <w:sz w:val="20"/>
              </w:rPr>
              <w:t>konieczny jest dalszy rozwój systemów selektywnego zbierania odpadów zapewniający pozyskanie odpadów nadających się do recyklingu oraz rozwój instalacji do przetwarzania bioodpadów.</w:t>
            </w:r>
          </w:p>
        </w:tc>
      </w:tr>
      <w:tr w:rsidR="00604630" w:rsidRPr="00890249" w14:paraId="702E3DEE" w14:textId="77777777" w:rsidTr="18317E1B">
        <w:tc>
          <w:tcPr>
            <w:tcW w:w="1038" w:type="pct"/>
            <w:vMerge/>
          </w:tcPr>
          <w:p w14:paraId="1D2BEFD1"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399BD734" w14:textId="77777777" w:rsidR="00604630" w:rsidRPr="00890249" w:rsidRDefault="00604630" w:rsidP="004C571C">
            <w:pPr>
              <w:spacing w:before="60" w:after="60"/>
              <w:jc w:val="left"/>
              <w:rPr>
                <w:rFonts w:asciiTheme="minorHAnsi" w:hAnsiTheme="minorHAnsi" w:cstheme="minorHAnsi"/>
                <w:sz w:val="20"/>
              </w:rPr>
            </w:pPr>
            <w:r w:rsidRPr="00890249">
              <w:rPr>
                <w:rFonts w:asciiTheme="minorHAnsi" w:hAnsiTheme="minorHAnsi" w:cstheme="minorHAnsi"/>
                <w:sz w:val="20"/>
              </w:rPr>
              <w:t>(vii)</w:t>
            </w:r>
          </w:p>
          <w:p w14:paraId="2A9BBB29" w14:textId="77777777" w:rsidR="00604630" w:rsidRPr="00890249" w:rsidRDefault="00604630" w:rsidP="003C64CF">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wzmacnianie ochrony i zachowania przyrody, różnorodności biologicznej oraz zielonej infrastruktury, w tym na obszarach miejskich oraz ograniczanie wszelkich rodzajów zanieczyszczenia</w:t>
            </w:r>
          </w:p>
        </w:tc>
        <w:tc>
          <w:tcPr>
            <w:tcW w:w="2691" w:type="pct"/>
          </w:tcPr>
          <w:p w14:paraId="3367E27F" w14:textId="77777777" w:rsidR="00604630" w:rsidRPr="00890249" w:rsidRDefault="00604630" w:rsidP="009F296A">
            <w:pPr>
              <w:pStyle w:val="Akapitzlist"/>
              <w:numPr>
                <w:ilvl w:val="0"/>
                <w:numId w:val="57"/>
              </w:numPr>
              <w:spacing w:before="60" w:after="60"/>
              <w:ind w:left="389" w:hanging="389"/>
              <w:rPr>
                <w:rFonts w:asciiTheme="minorHAnsi" w:hAnsiTheme="minorHAnsi" w:cstheme="minorHAnsi"/>
                <w:b/>
                <w:noProof/>
                <w:color w:val="003399"/>
                <w:sz w:val="20"/>
              </w:rPr>
            </w:pPr>
            <w:r w:rsidRPr="00890249">
              <w:rPr>
                <w:rFonts w:asciiTheme="minorHAnsi" w:hAnsiTheme="minorHAnsi" w:cstheme="minorHAnsi"/>
                <w:noProof/>
                <w:sz w:val="20"/>
              </w:rPr>
              <w:t>zjawiska stanowiące główne przyczyny utraty różnorodności biologicznej narastają - zagrożone degradacją cennych zasobów przyrodniczych są w szczególności tereny województwa opolskiego, lubelskiego, świętokrzyskiego</w:t>
            </w:r>
            <w:r w:rsidRPr="00890249">
              <w:rPr>
                <w:rStyle w:val="Odwoanieprzypisudolnego"/>
                <w:rFonts w:asciiTheme="minorHAnsi" w:hAnsiTheme="minorHAnsi" w:cstheme="minorHAnsi"/>
                <w:noProof/>
                <w:sz w:val="20"/>
              </w:rPr>
              <w:footnoteReference w:id="62"/>
            </w:r>
            <w:r w:rsidRPr="00890249">
              <w:rPr>
                <w:rFonts w:asciiTheme="minorHAnsi" w:hAnsiTheme="minorHAnsi" w:cstheme="minorHAnsi"/>
                <w:noProof/>
                <w:sz w:val="20"/>
              </w:rPr>
              <w:t>,</w:t>
            </w:r>
          </w:p>
          <w:p w14:paraId="3368EA5E" w14:textId="77777777" w:rsidR="00604630" w:rsidRPr="00890249" w:rsidRDefault="00604630" w:rsidP="009F296A">
            <w:pPr>
              <w:pStyle w:val="Akapitzlist"/>
              <w:numPr>
                <w:ilvl w:val="0"/>
                <w:numId w:val="57"/>
              </w:numPr>
              <w:spacing w:before="60" w:after="60"/>
              <w:ind w:left="389" w:hanging="389"/>
              <w:rPr>
                <w:rFonts w:asciiTheme="minorHAnsi" w:hAnsiTheme="minorHAnsi" w:cstheme="minorHAnsi"/>
                <w:b/>
                <w:noProof/>
                <w:color w:val="003399"/>
                <w:sz w:val="20"/>
              </w:rPr>
            </w:pPr>
            <w:r w:rsidRPr="00890249">
              <w:rPr>
                <w:rFonts w:asciiTheme="minorHAnsi" w:hAnsiTheme="minorHAnsi" w:cstheme="minorHAnsi"/>
                <w:noProof/>
                <w:sz w:val="20"/>
              </w:rPr>
              <w:t>znaczna część lasów województwa (ok. 82,7 tys. ha, tj. 33,2% pow. lasów, wzrost ok. 25,5% w okresie 2011-2016) wykazuje uszkodzenia przemysłowe (po województwie śląskim najwyższy odsetek w kraju) - region charakteryzuje się jednym z najwyższych w Polsce i w Europie zagrożeniem przez czynniki antropogeniczne, takich jak emisje szkodliwych gazów i pyłów, powodujące uszkodzenia koron drzew</w:t>
            </w:r>
            <w:r w:rsidRPr="00890249">
              <w:rPr>
                <w:rStyle w:val="Odwoanieprzypisudolnego"/>
                <w:rFonts w:asciiTheme="minorHAnsi" w:hAnsiTheme="minorHAnsi" w:cstheme="minorHAnsi"/>
                <w:noProof/>
                <w:sz w:val="20"/>
              </w:rPr>
              <w:footnoteReference w:id="63"/>
            </w:r>
            <w:r w:rsidRPr="00890249">
              <w:rPr>
                <w:rFonts w:asciiTheme="minorHAnsi" w:hAnsiTheme="minorHAnsi" w:cstheme="minorHAnsi"/>
                <w:noProof/>
                <w:sz w:val="20"/>
              </w:rPr>
              <w:t>,</w:t>
            </w:r>
          </w:p>
          <w:p w14:paraId="5AF3F5E2" w14:textId="77777777" w:rsidR="00604630" w:rsidRPr="00890249" w:rsidRDefault="00604630" w:rsidP="009F296A">
            <w:pPr>
              <w:pStyle w:val="Akapitzlist"/>
              <w:numPr>
                <w:ilvl w:val="0"/>
                <w:numId w:val="57"/>
              </w:numPr>
              <w:spacing w:before="60" w:after="60"/>
              <w:ind w:left="389" w:hanging="389"/>
              <w:rPr>
                <w:rFonts w:asciiTheme="minorHAnsi" w:hAnsiTheme="minorHAnsi" w:cstheme="minorHAnsi"/>
                <w:b/>
                <w:noProof/>
                <w:color w:val="003399"/>
                <w:sz w:val="20"/>
              </w:rPr>
            </w:pPr>
            <w:r w:rsidRPr="00890249">
              <w:rPr>
                <w:rFonts w:asciiTheme="minorHAnsi" w:hAnsiTheme="minorHAnsi" w:cstheme="minorHAnsi"/>
                <w:noProof/>
                <w:sz w:val="20"/>
              </w:rPr>
              <w:t>odwodnienia siedlisk (wynikające głównie z prowadzonych na dużą skalę w latach 50-tych i 70-tych melioracji) doprowadziły do sytuacji, w której torfowiska i inne mokradła w fazie akumulacji występują głównie w izolowanych enklawach (…).</w:t>
            </w:r>
            <w:r w:rsidRPr="00890249">
              <w:rPr>
                <w:rFonts w:asciiTheme="minorHAnsi" w:hAnsiTheme="minorHAnsi" w:cstheme="minorHAnsi"/>
                <w:sz w:val="20"/>
              </w:rPr>
              <w:t xml:space="preserve"> </w:t>
            </w:r>
            <w:r w:rsidRPr="00890249">
              <w:rPr>
                <w:rFonts w:asciiTheme="minorHAnsi" w:hAnsiTheme="minorHAnsi" w:cstheme="minorHAnsi"/>
                <w:sz w:val="20"/>
              </w:rPr>
              <w:lastRenderedPageBreak/>
              <w:t>W skali całego kraju bardzo niekorzystny jest nieprzerwany odpływ wody ze źle zmeliorowanych obszarów (…)</w:t>
            </w:r>
            <w:r w:rsidRPr="00890249">
              <w:rPr>
                <w:rStyle w:val="Odwoanieprzypisudolnego"/>
                <w:rFonts w:asciiTheme="minorHAnsi" w:hAnsiTheme="minorHAnsi" w:cstheme="minorHAnsi"/>
                <w:sz w:val="20"/>
              </w:rPr>
              <w:footnoteReference w:id="64"/>
            </w:r>
            <w:r w:rsidRPr="00890249">
              <w:rPr>
                <w:rFonts w:asciiTheme="minorHAnsi" w:hAnsiTheme="minorHAnsi" w:cstheme="minorHAnsi"/>
                <w:sz w:val="20"/>
              </w:rPr>
              <w:t>,</w:t>
            </w:r>
          </w:p>
          <w:p w14:paraId="5C2CC1DB" w14:textId="77777777" w:rsidR="00604630" w:rsidRPr="00890249" w:rsidRDefault="00604630" w:rsidP="009F296A">
            <w:pPr>
              <w:pStyle w:val="Akapitzlist"/>
              <w:numPr>
                <w:ilvl w:val="0"/>
                <w:numId w:val="57"/>
              </w:numPr>
              <w:spacing w:before="60" w:after="60"/>
              <w:ind w:left="389" w:hanging="389"/>
              <w:rPr>
                <w:rFonts w:asciiTheme="minorHAnsi" w:hAnsiTheme="minorHAnsi" w:cstheme="minorHAnsi"/>
                <w:b/>
                <w:noProof/>
                <w:color w:val="003399"/>
                <w:sz w:val="20"/>
              </w:rPr>
            </w:pPr>
            <w:r w:rsidRPr="00890249">
              <w:rPr>
                <w:rFonts w:asciiTheme="minorHAnsi" w:hAnsiTheme="minorHAnsi" w:cstheme="minorHAnsi"/>
                <w:sz w:val="20"/>
              </w:rPr>
              <w:t>główne przyczyny utraty bioróżnorodności:</w:t>
            </w:r>
          </w:p>
          <w:p w14:paraId="3C15D7D5" w14:textId="77777777" w:rsidR="00604630" w:rsidRPr="00890249" w:rsidRDefault="00604630" w:rsidP="009F296A">
            <w:pPr>
              <w:pStyle w:val="Akapitzlist"/>
              <w:numPr>
                <w:ilvl w:val="0"/>
                <w:numId w:val="59"/>
              </w:numPr>
              <w:spacing w:before="60" w:after="60"/>
              <w:rPr>
                <w:rFonts w:asciiTheme="minorHAnsi" w:hAnsiTheme="minorHAnsi" w:cstheme="minorHAnsi"/>
                <w:b/>
                <w:noProof/>
                <w:sz w:val="20"/>
              </w:rPr>
            </w:pPr>
            <w:r w:rsidRPr="00890249">
              <w:rPr>
                <w:rFonts w:asciiTheme="minorHAnsi" w:hAnsiTheme="minorHAnsi" w:cstheme="minorHAnsi"/>
                <w:noProof/>
                <w:sz w:val="20"/>
              </w:rPr>
              <w:t xml:space="preserve">zmiany użytkowania gruntów i mórz, </w:t>
            </w:r>
          </w:p>
          <w:p w14:paraId="2D05E816" w14:textId="77777777" w:rsidR="00604630" w:rsidRPr="00890249" w:rsidRDefault="00604630" w:rsidP="009F296A">
            <w:pPr>
              <w:pStyle w:val="Akapitzlist"/>
              <w:numPr>
                <w:ilvl w:val="0"/>
                <w:numId w:val="59"/>
              </w:numPr>
              <w:spacing w:before="60" w:after="60"/>
              <w:rPr>
                <w:rFonts w:asciiTheme="minorHAnsi" w:hAnsiTheme="minorHAnsi" w:cstheme="minorHAnsi"/>
                <w:b/>
                <w:noProof/>
                <w:sz w:val="20"/>
              </w:rPr>
            </w:pPr>
            <w:r w:rsidRPr="00890249">
              <w:rPr>
                <w:rFonts w:asciiTheme="minorHAnsi" w:hAnsiTheme="minorHAnsi" w:cstheme="minorHAnsi"/>
                <w:noProof/>
                <w:sz w:val="20"/>
              </w:rPr>
              <w:t xml:space="preserve">nadmierna eksploatacja zasobów, </w:t>
            </w:r>
          </w:p>
          <w:p w14:paraId="56A5686F" w14:textId="77777777" w:rsidR="00604630" w:rsidRPr="00890249" w:rsidRDefault="00604630" w:rsidP="009F296A">
            <w:pPr>
              <w:pStyle w:val="Akapitzlist"/>
              <w:numPr>
                <w:ilvl w:val="0"/>
                <w:numId w:val="59"/>
              </w:numPr>
              <w:spacing w:before="60" w:after="60"/>
              <w:rPr>
                <w:rFonts w:asciiTheme="minorHAnsi" w:hAnsiTheme="minorHAnsi" w:cstheme="minorHAnsi"/>
                <w:b/>
                <w:noProof/>
                <w:sz w:val="20"/>
              </w:rPr>
            </w:pPr>
            <w:r w:rsidRPr="00890249">
              <w:rPr>
                <w:rFonts w:asciiTheme="minorHAnsi" w:hAnsiTheme="minorHAnsi" w:cstheme="minorHAnsi"/>
                <w:noProof/>
                <w:sz w:val="20"/>
              </w:rPr>
              <w:t>zmiany klimatu, zanieczyszczenia,</w:t>
            </w:r>
          </w:p>
          <w:p w14:paraId="22A45F5D" w14:textId="77777777" w:rsidR="00604630" w:rsidRPr="00890249" w:rsidRDefault="00604630" w:rsidP="009F296A">
            <w:pPr>
              <w:pStyle w:val="Akapitzlist"/>
              <w:numPr>
                <w:ilvl w:val="0"/>
                <w:numId w:val="59"/>
              </w:numPr>
              <w:spacing w:before="60" w:after="60"/>
              <w:rPr>
                <w:rFonts w:asciiTheme="minorHAnsi" w:hAnsiTheme="minorHAnsi" w:cstheme="minorHAnsi"/>
                <w:noProof/>
                <w:sz w:val="20"/>
              </w:rPr>
            </w:pPr>
            <w:r w:rsidRPr="00890249">
              <w:rPr>
                <w:rFonts w:asciiTheme="minorHAnsi" w:hAnsiTheme="minorHAnsi" w:cstheme="minorHAnsi"/>
                <w:noProof/>
                <w:sz w:val="20"/>
              </w:rPr>
              <w:t>występowanie inwazyjnych gatunków obcych</w:t>
            </w:r>
            <w:r w:rsidRPr="00890249">
              <w:rPr>
                <w:rStyle w:val="Odwoanieprzypisudolnego"/>
                <w:rFonts w:asciiTheme="minorHAnsi" w:hAnsiTheme="minorHAnsi" w:cstheme="minorHAnsi"/>
                <w:noProof/>
                <w:sz w:val="20"/>
              </w:rPr>
              <w:footnoteReference w:id="65"/>
            </w:r>
            <w:r w:rsidRPr="00890249">
              <w:rPr>
                <w:rFonts w:asciiTheme="minorHAnsi" w:hAnsiTheme="minorHAnsi" w:cstheme="minorHAnsi"/>
                <w:noProof/>
                <w:sz w:val="20"/>
              </w:rPr>
              <w:t>.</w:t>
            </w:r>
          </w:p>
          <w:p w14:paraId="16EB41FD"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 xml:space="preserve">ze względu na niekorzystne uwarunkowania środowiskowe kluczowa jest ochrona zagrożonych siedlisk i gatunków w ich naturalnym środowisku i w ekosystemach zastępczych, </w:t>
            </w:r>
          </w:p>
          <w:p w14:paraId="2C771A07" w14:textId="4E1E4F81" w:rsidR="00604630" w:rsidRPr="00890249" w:rsidRDefault="00604630" w:rsidP="009F296A">
            <w:pPr>
              <w:numPr>
                <w:ilvl w:val="0"/>
                <w:numId w:val="10"/>
              </w:numPr>
              <w:spacing w:before="60" w:after="60"/>
              <w:ind w:left="359" w:hanging="308"/>
              <w:contextualSpacing/>
              <w:rPr>
                <w:rFonts w:asciiTheme="minorHAnsi" w:eastAsiaTheme="minorHAnsi" w:hAnsiTheme="minorHAnsi" w:cstheme="minorHAnsi"/>
                <w:noProof/>
                <w:sz w:val="20"/>
              </w:rPr>
            </w:pPr>
            <w:r w:rsidRPr="00890249">
              <w:rPr>
                <w:rFonts w:asciiTheme="minorHAnsi" w:hAnsiTheme="minorHAnsi" w:cstheme="minorHAnsi"/>
                <w:noProof/>
                <w:sz w:val="20"/>
              </w:rPr>
              <w:t>konieczne są działania rekultywacyjne na terenach zdegradowanych i poprzemysłowych, a także tworzenie zielonej infrastruktury, centrów ochrony różnorodności biologicznej, centrów edukacyjnych i ekoturystycznych, m.in parków miejskich i ogrodów botanicznych, ekoparków czy banków genów.</w:t>
            </w:r>
          </w:p>
        </w:tc>
      </w:tr>
      <w:tr w:rsidR="00604630" w:rsidRPr="00890249" w14:paraId="42CB41FE" w14:textId="77777777" w:rsidTr="18317E1B">
        <w:tc>
          <w:tcPr>
            <w:tcW w:w="1038" w:type="pct"/>
            <w:vMerge/>
          </w:tcPr>
          <w:p w14:paraId="390AC6ED"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6D7E487D" w14:textId="77777777" w:rsidR="00604630" w:rsidRPr="00890249" w:rsidRDefault="00604630" w:rsidP="004C571C">
            <w:pPr>
              <w:spacing w:before="60" w:after="60"/>
              <w:rPr>
                <w:rFonts w:asciiTheme="minorHAnsi" w:hAnsiTheme="minorHAnsi" w:cstheme="minorHAnsi"/>
                <w:sz w:val="20"/>
              </w:rPr>
            </w:pPr>
            <w:r w:rsidRPr="00890249">
              <w:rPr>
                <w:rFonts w:asciiTheme="minorHAnsi" w:hAnsiTheme="minorHAnsi" w:cstheme="minorHAnsi"/>
                <w:sz w:val="20"/>
              </w:rPr>
              <w:t xml:space="preserve">(viii) </w:t>
            </w:r>
          </w:p>
          <w:p w14:paraId="20AFCDD0" w14:textId="77777777" w:rsidR="00604630" w:rsidRPr="00890249" w:rsidRDefault="00604630" w:rsidP="004C571C">
            <w:pPr>
              <w:spacing w:before="60" w:after="60"/>
              <w:rPr>
                <w:rFonts w:asciiTheme="minorHAnsi" w:eastAsia="Times New Roman" w:hAnsiTheme="minorHAnsi" w:cstheme="minorHAnsi"/>
                <w:i/>
                <w:iCs/>
                <w:noProof/>
                <w:sz w:val="20"/>
              </w:rPr>
            </w:pPr>
            <w:r w:rsidRPr="00890249">
              <w:rPr>
                <w:rFonts w:asciiTheme="minorHAnsi" w:hAnsiTheme="minorHAnsi" w:cstheme="minorHAnsi"/>
                <w:i/>
                <w:sz w:val="20"/>
              </w:rPr>
              <w:t>Wspieranie zrównoważonej multimodalnej mobilności miejskiej jako elementu transformacji w kierunku gospodarki zeroemisyjnej</w:t>
            </w:r>
          </w:p>
        </w:tc>
        <w:tc>
          <w:tcPr>
            <w:tcW w:w="2691" w:type="pct"/>
          </w:tcPr>
          <w:p w14:paraId="13775558"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rozwój proekologicznych rozwiązań systemu transportu publicznego oraz infrastruktury rowerowej jest niezmiernie ważny dla zmniejszenia stopnia zanieczyszczenia powietrza,</w:t>
            </w:r>
          </w:p>
          <w:p w14:paraId="6411CDF5"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region charakteryzuje się najniższym w kraju wskaźnikiem przewozów pasażerskich komunikacją miejską (2018 r.  - 26,21 przewozu na jednego mieszkańca, przy średniej w Polsce 98,25)</w:t>
            </w:r>
            <w:r w:rsidRPr="00890249">
              <w:rPr>
                <w:rStyle w:val="Odwoanieprzypisudolnego"/>
                <w:rFonts w:asciiTheme="minorHAnsi" w:hAnsiTheme="minorHAnsi" w:cstheme="minorHAnsi"/>
                <w:noProof/>
                <w:sz w:val="20"/>
              </w:rPr>
              <w:footnoteReference w:id="66"/>
            </w:r>
            <w:r w:rsidRPr="00890249">
              <w:rPr>
                <w:rFonts w:asciiTheme="minorHAnsi" w:hAnsiTheme="minorHAnsi" w:cstheme="minorHAnsi"/>
                <w:noProof/>
                <w:sz w:val="20"/>
              </w:rPr>
              <w:t>,</w:t>
            </w:r>
          </w:p>
          <w:p w14:paraId="1A172AAA"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stan taboru w miastach obsługiwanych przez komunikację miejską nie jest adekwatny do potrzeb,</w:t>
            </w:r>
          </w:p>
          <w:p w14:paraId="05CC7C80"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brak zintegrowanego systemu komunikacji zbiorowej i wyeksploatowany, nieekologiczny tabor są przyczyną wzrostu zanieczyszczeń komunikacyjnych oraz systematycznego spadku zainteresowania usługami komunikacji publicznej,</w:t>
            </w:r>
          </w:p>
          <w:p w14:paraId="10D0EB95" w14:textId="77777777" w:rsidR="00604630" w:rsidRPr="00890249" w:rsidRDefault="00604630" w:rsidP="009F296A">
            <w:pPr>
              <w:numPr>
                <w:ilvl w:val="0"/>
                <w:numId w:val="10"/>
              </w:numPr>
              <w:spacing w:before="60" w:after="60"/>
              <w:ind w:left="359" w:hanging="308"/>
              <w:contextualSpacing/>
              <w:rPr>
                <w:rFonts w:asciiTheme="minorHAnsi" w:hAnsiTheme="minorHAnsi" w:cstheme="minorHAnsi"/>
                <w:noProof/>
                <w:sz w:val="20"/>
              </w:rPr>
            </w:pPr>
            <w:r w:rsidRPr="00890249">
              <w:rPr>
                <w:rFonts w:asciiTheme="minorHAnsi" w:hAnsiTheme="minorHAnsi" w:cstheme="minorHAnsi"/>
                <w:noProof/>
                <w:sz w:val="20"/>
              </w:rPr>
              <w:t>pomimo znacznego zasięgu terytorialnego Aglomeracji Opolskiej i odpowiedniego układu linii kolejowych brak jest kolei aglomeracyjnej,</w:t>
            </w:r>
          </w:p>
          <w:p w14:paraId="39EA65A2" w14:textId="77777777" w:rsidR="00604630" w:rsidRPr="00890249" w:rsidRDefault="00604630" w:rsidP="009F296A">
            <w:pPr>
              <w:numPr>
                <w:ilvl w:val="0"/>
                <w:numId w:val="10"/>
              </w:numPr>
              <w:spacing w:before="60" w:after="60"/>
              <w:ind w:left="359" w:hanging="308"/>
              <w:contextualSpacing/>
              <w:rPr>
                <w:rFonts w:asciiTheme="minorHAnsi" w:eastAsiaTheme="minorHAnsi" w:hAnsiTheme="minorHAnsi" w:cstheme="minorHAnsi"/>
                <w:noProof/>
                <w:sz w:val="20"/>
              </w:rPr>
            </w:pPr>
            <w:r w:rsidRPr="00890249">
              <w:rPr>
                <w:rFonts w:asciiTheme="minorHAnsi" w:hAnsiTheme="minorHAnsi" w:cstheme="minorHAnsi"/>
                <w:noProof/>
                <w:sz w:val="20"/>
              </w:rPr>
              <w:t>zmiany modelu życia oraz wzrostu rozwoju turystyki rowerowej,</w:t>
            </w:r>
          </w:p>
          <w:p w14:paraId="7049BBA9" w14:textId="77777777" w:rsidR="00604630" w:rsidRPr="00890249" w:rsidRDefault="00604630" w:rsidP="009F296A">
            <w:pPr>
              <w:numPr>
                <w:ilvl w:val="0"/>
                <w:numId w:val="10"/>
              </w:numPr>
              <w:spacing w:before="60" w:after="60"/>
              <w:ind w:left="359" w:hanging="308"/>
              <w:contextualSpacing/>
              <w:rPr>
                <w:rFonts w:asciiTheme="minorHAnsi" w:eastAsiaTheme="minorHAnsi" w:hAnsiTheme="minorHAnsi" w:cstheme="minorHAnsi"/>
                <w:noProof/>
                <w:sz w:val="20"/>
              </w:rPr>
            </w:pPr>
            <w:r w:rsidRPr="00890249">
              <w:rPr>
                <w:rFonts w:asciiTheme="minorHAnsi" w:hAnsiTheme="minorHAnsi" w:cstheme="minorHAnsi"/>
                <w:noProof/>
                <w:sz w:val="20"/>
              </w:rPr>
              <w:t>zmniejszenie niskiej emisji pochodzącej z ruchu samochodów poprzez promocję transportu zbioroweg,</w:t>
            </w:r>
          </w:p>
          <w:p w14:paraId="57B12AFE" w14:textId="77777777" w:rsidR="00604630" w:rsidRPr="00890249" w:rsidRDefault="00604630" w:rsidP="009F296A">
            <w:pPr>
              <w:numPr>
                <w:ilvl w:val="0"/>
                <w:numId w:val="10"/>
              </w:numPr>
              <w:spacing w:before="60" w:after="60"/>
              <w:ind w:left="359" w:hanging="308"/>
              <w:contextualSpacing/>
              <w:rPr>
                <w:rFonts w:asciiTheme="minorHAnsi" w:eastAsiaTheme="minorHAnsi" w:hAnsiTheme="minorHAnsi" w:cstheme="minorHAnsi"/>
                <w:noProof/>
                <w:sz w:val="20"/>
              </w:rPr>
            </w:pPr>
            <w:r w:rsidRPr="00890249">
              <w:rPr>
                <w:rFonts w:asciiTheme="minorHAnsi" w:eastAsia="Times New Roman" w:hAnsiTheme="minorHAnsi" w:cstheme="minorHAnsi"/>
                <w:noProof/>
                <w:sz w:val="20"/>
                <w:szCs w:val="22"/>
              </w:rPr>
              <w:t>Woj. opolskie pod względem emisji zanieczyszczeń należy do grupy regionów o znacznej skali obciążeń środowiska. W województwie funkcjonują dwie strefy, w których dokonuje się oceny jakości powietrza: Miasta Opola oraz opolska. Na podstawie dokonanej oceny jakości powietrza za rok 2019</w:t>
            </w:r>
            <w:r w:rsidRPr="00890249">
              <w:rPr>
                <w:rFonts w:asciiTheme="minorHAnsi" w:eastAsia="Times New Roman" w:hAnsiTheme="minorHAnsi" w:cstheme="minorHAnsi"/>
                <w:noProof/>
                <w:sz w:val="20"/>
                <w:szCs w:val="22"/>
                <w:vertAlign w:val="superscript"/>
              </w:rPr>
              <w:footnoteReference w:id="67"/>
            </w:r>
            <w:r w:rsidRPr="00890249">
              <w:rPr>
                <w:rFonts w:asciiTheme="minorHAnsi" w:eastAsia="Times New Roman" w:hAnsiTheme="minorHAnsi" w:cstheme="minorHAnsi"/>
                <w:noProof/>
                <w:sz w:val="20"/>
                <w:szCs w:val="22"/>
              </w:rPr>
              <w:t xml:space="preserve">, </w:t>
            </w:r>
            <w:r w:rsidRPr="00890249">
              <w:rPr>
                <w:rFonts w:asciiTheme="minorHAnsi" w:eastAsia="Times New Roman" w:hAnsiTheme="minorHAnsi" w:cstheme="minorHAnsi"/>
                <w:noProof/>
                <w:sz w:val="20"/>
                <w:szCs w:val="22"/>
              </w:rPr>
              <w:lastRenderedPageBreak/>
              <w:t xml:space="preserve">z uwzględnieniem kryteriów określonych w celu ochrony zdrowia, wskazano przekroczenia dopuszczalnego poziomu stężenia zanieczyszczeń (PM10, benzopirenu) dla obu stref (Klasa strefy C). </w:t>
            </w:r>
          </w:p>
        </w:tc>
      </w:tr>
      <w:tr w:rsidR="00604630" w:rsidRPr="00890249" w14:paraId="1390F684" w14:textId="77777777" w:rsidTr="18317E1B">
        <w:tc>
          <w:tcPr>
            <w:tcW w:w="1038" w:type="pct"/>
            <w:vMerge/>
          </w:tcPr>
          <w:p w14:paraId="183F8512" w14:textId="77777777" w:rsidR="00604630" w:rsidRPr="00890249" w:rsidRDefault="00604630" w:rsidP="004C571C">
            <w:pPr>
              <w:spacing w:before="60" w:after="60"/>
              <w:rPr>
                <w:rFonts w:asciiTheme="minorHAnsi" w:eastAsia="Times New Roman" w:hAnsiTheme="minorHAnsi" w:cstheme="minorHAnsi"/>
                <w:b/>
                <w:iCs/>
                <w:noProof/>
                <w:sz w:val="20"/>
              </w:rPr>
            </w:pPr>
          </w:p>
        </w:tc>
        <w:tc>
          <w:tcPr>
            <w:tcW w:w="1271" w:type="pct"/>
          </w:tcPr>
          <w:p w14:paraId="06DB2B69" w14:textId="77777777" w:rsidR="00604630" w:rsidRDefault="00604630" w:rsidP="004C571C">
            <w:pPr>
              <w:spacing w:before="60" w:after="60"/>
              <w:rPr>
                <w:rFonts w:asciiTheme="minorHAnsi" w:hAnsiTheme="minorHAnsi" w:cstheme="minorHAnsi"/>
                <w:sz w:val="20"/>
              </w:rPr>
            </w:pPr>
            <w:bookmarkStart w:id="4" w:name="_Hlk188263688"/>
            <w:r>
              <w:rPr>
                <w:rFonts w:asciiTheme="minorHAnsi" w:hAnsiTheme="minorHAnsi" w:cstheme="minorHAnsi"/>
                <w:sz w:val="20"/>
              </w:rPr>
              <w:t>(x)</w:t>
            </w:r>
          </w:p>
          <w:p w14:paraId="57E0B49E" w14:textId="7C6C76DE" w:rsidR="00604630" w:rsidRPr="00F62734" w:rsidRDefault="00604630" w:rsidP="00F62734">
            <w:pPr>
              <w:spacing w:before="60" w:after="60"/>
              <w:jc w:val="left"/>
              <w:rPr>
                <w:rFonts w:asciiTheme="minorHAnsi" w:hAnsiTheme="minorHAnsi" w:cstheme="minorHAnsi"/>
                <w:i/>
                <w:iCs/>
                <w:sz w:val="20"/>
              </w:rPr>
            </w:pPr>
            <w:r w:rsidRPr="00604630">
              <w:rPr>
                <w:rFonts w:asciiTheme="minorHAnsi" w:hAnsiTheme="minorHAnsi" w:cstheme="minorHAnsi"/>
                <w:i/>
                <w:sz w:val="20"/>
              </w:rPr>
              <w:t>Wspieranie inwestycji mających na celu odbudowę w odpowiedzi na klęskę żywiołową, która występuje między dniem 1 styczni</w:t>
            </w:r>
            <w:r>
              <w:rPr>
                <w:rFonts w:asciiTheme="minorHAnsi" w:hAnsiTheme="minorHAnsi" w:cstheme="minorHAnsi"/>
                <w:i/>
                <w:sz w:val="20"/>
              </w:rPr>
              <w:t xml:space="preserve">a </w:t>
            </w:r>
            <w:r w:rsidRPr="00604630">
              <w:rPr>
                <w:rFonts w:asciiTheme="minorHAnsi" w:hAnsiTheme="minorHAnsi" w:cstheme="minorHAnsi"/>
                <w:i/>
                <w:sz w:val="20"/>
              </w:rPr>
              <w:t>2024 r. a dniem 31 grudnia 2025 r.</w:t>
            </w:r>
            <w:bookmarkEnd w:id="4"/>
          </w:p>
        </w:tc>
        <w:tc>
          <w:tcPr>
            <w:tcW w:w="2691" w:type="pct"/>
          </w:tcPr>
          <w:p w14:paraId="14B57B3A" w14:textId="77777777" w:rsidR="00604630" w:rsidRDefault="00604630" w:rsidP="00604630">
            <w:pPr>
              <w:numPr>
                <w:ilvl w:val="0"/>
                <w:numId w:val="10"/>
              </w:numPr>
              <w:spacing w:before="0" w:after="0"/>
              <w:ind w:left="359" w:hanging="308"/>
              <w:rPr>
                <w:rFonts w:asciiTheme="minorHAnsi" w:hAnsiTheme="minorHAnsi" w:cstheme="minorHAnsi"/>
                <w:noProof/>
                <w:sz w:val="20"/>
              </w:rPr>
            </w:pPr>
            <w:r w:rsidRPr="00F62734">
              <w:rPr>
                <w:rFonts w:asciiTheme="minorHAnsi" w:hAnsiTheme="minorHAnsi" w:cstheme="minorHAnsi"/>
                <w:noProof/>
                <w:sz w:val="20"/>
              </w:rPr>
              <w:t>zwalczanie/usunięcie skutków powodzi, która we wrześniu 2024 r. dotknęła południowo-zachodni obszar województwa opolskiego</w:t>
            </w:r>
            <w:r>
              <w:rPr>
                <w:rFonts w:asciiTheme="minorHAnsi" w:hAnsiTheme="minorHAnsi" w:cstheme="minorHAnsi"/>
                <w:noProof/>
                <w:sz w:val="20"/>
              </w:rPr>
              <w:t>,</w:t>
            </w:r>
          </w:p>
          <w:p w14:paraId="66A92D90" w14:textId="55BC7CA0" w:rsidR="004E7693" w:rsidRPr="004E7693" w:rsidRDefault="00604630" w:rsidP="004E7693">
            <w:pPr>
              <w:numPr>
                <w:ilvl w:val="0"/>
                <w:numId w:val="10"/>
              </w:numPr>
              <w:spacing w:before="0" w:after="0"/>
              <w:ind w:left="359" w:hanging="308"/>
              <w:rPr>
                <w:rFonts w:asciiTheme="minorHAnsi" w:hAnsiTheme="minorHAnsi" w:cstheme="minorHAnsi"/>
                <w:noProof/>
                <w:sz w:val="20"/>
              </w:rPr>
            </w:pPr>
            <w:r>
              <w:rPr>
                <w:rFonts w:asciiTheme="minorHAnsi" w:hAnsiTheme="minorHAnsi" w:cstheme="minorHAnsi"/>
                <w:noProof/>
                <w:sz w:val="20"/>
              </w:rPr>
              <w:t>w tym celu wyodrębniony został Priorytet 13</w:t>
            </w:r>
            <w:r w:rsidR="004E7693">
              <w:rPr>
                <w:rFonts w:asciiTheme="minorHAnsi" w:hAnsiTheme="minorHAnsi" w:cstheme="minorHAnsi"/>
                <w:noProof/>
                <w:sz w:val="20"/>
              </w:rPr>
              <w:t xml:space="preserve"> w ramach którego zostaną podjęte działania mające charakter interwencyjny w odpowiedzi na skutki powodzi, </w:t>
            </w:r>
          </w:p>
          <w:p w14:paraId="627DEA43" w14:textId="18CF7714" w:rsidR="00604630" w:rsidRPr="00890249" w:rsidRDefault="00604630" w:rsidP="00F62734">
            <w:pPr>
              <w:numPr>
                <w:ilvl w:val="0"/>
                <w:numId w:val="10"/>
              </w:numPr>
              <w:spacing w:before="0" w:after="0"/>
              <w:ind w:left="359" w:hanging="308"/>
              <w:rPr>
                <w:rFonts w:asciiTheme="minorHAnsi" w:hAnsiTheme="minorHAnsi" w:cstheme="minorHAnsi"/>
                <w:noProof/>
                <w:sz w:val="20"/>
              </w:rPr>
            </w:pPr>
            <w:r>
              <w:rPr>
                <w:rFonts w:asciiTheme="minorHAnsi" w:hAnsiTheme="minorHAnsi" w:cstheme="minorHAnsi"/>
                <w:noProof/>
                <w:sz w:val="20"/>
              </w:rPr>
              <w:t>alokacja</w:t>
            </w:r>
            <w:r w:rsidRPr="00F62734">
              <w:rPr>
                <w:rFonts w:asciiTheme="minorHAnsi" w:hAnsiTheme="minorHAnsi" w:cstheme="minorHAnsi"/>
                <w:noProof/>
                <w:sz w:val="20"/>
              </w:rPr>
              <w:t xml:space="preserve"> zostanie przeznaczona na działania w następujących obszarach: wsparcie ochotniczych straży pożarnych, infrastruktura drogowa – drogi wojewódzkie, infrastruktura </w:t>
            </w:r>
            <w:r w:rsidR="00876A82">
              <w:rPr>
                <w:rFonts w:asciiTheme="minorHAnsi" w:hAnsiTheme="minorHAnsi" w:cstheme="minorHAnsi"/>
                <w:noProof/>
                <w:sz w:val="20"/>
              </w:rPr>
              <w:t>społeczno-</w:t>
            </w:r>
            <w:r w:rsidRPr="00F62734">
              <w:rPr>
                <w:rFonts w:asciiTheme="minorHAnsi" w:hAnsiTheme="minorHAnsi" w:cstheme="minorHAnsi"/>
                <w:noProof/>
                <w:sz w:val="20"/>
              </w:rPr>
              <w:t>publiczna</w:t>
            </w:r>
            <w:r w:rsidR="00876A82">
              <w:rPr>
                <w:rFonts w:asciiTheme="minorHAnsi" w:hAnsiTheme="minorHAnsi" w:cstheme="minorHAnsi"/>
                <w:noProof/>
                <w:sz w:val="20"/>
              </w:rPr>
              <w:t>, w tym drogi lokalne prowadzące do obiektów świadczących usługi społeczne.</w:t>
            </w:r>
          </w:p>
        </w:tc>
      </w:tr>
      <w:tr w:rsidR="00BD7E4B" w:rsidRPr="00890249" w14:paraId="529C54C4" w14:textId="77777777" w:rsidTr="18317E1B">
        <w:tc>
          <w:tcPr>
            <w:tcW w:w="1038" w:type="pct"/>
          </w:tcPr>
          <w:p w14:paraId="0AAF8073" w14:textId="77777777" w:rsidR="00BD7E4B" w:rsidRPr="00890249" w:rsidRDefault="00BD7E4B" w:rsidP="004C571C">
            <w:pPr>
              <w:spacing w:before="60" w:after="60"/>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Cel Polityki 3.</w:t>
            </w:r>
          </w:p>
          <w:p w14:paraId="09DF60B8" w14:textId="77777777" w:rsidR="00200DF6" w:rsidRPr="00890249" w:rsidRDefault="00AA1F25" w:rsidP="004C571C">
            <w:pPr>
              <w:spacing w:before="60" w:after="60"/>
              <w:jc w:val="left"/>
              <w:rPr>
                <w:rFonts w:asciiTheme="minorHAnsi" w:eastAsia="Times New Roman" w:hAnsiTheme="minorHAnsi" w:cstheme="minorHAnsi"/>
                <w:b/>
                <w:i/>
                <w:iCs/>
                <w:noProof/>
                <w:sz w:val="20"/>
              </w:rPr>
            </w:pPr>
            <w:r w:rsidRPr="00890249">
              <w:rPr>
                <w:rFonts w:asciiTheme="minorHAnsi" w:eastAsia="Times New Roman" w:hAnsiTheme="minorHAnsi" w:cstheme="minorHAnsi"/>
                <w:b/>
                <w:i/>
                <w:iCs/>
                <w:noProof/>
                <w:sz w:val="20"/>
              </w:rPr>
              <w:t>Lepiej połączona Europa dzięki zwiększeniu mobilności</w:t>
            </w:r>
            <w:r w:rsidR="00200DF6" w:rsidRPr="00890249">
              <w:rPr>
                <w:rFonts w:asciiTheme="minorHAnsi" w:eastAsia="Times New Roman" w:hAnsiTheme="minorHAnsi" w:cstheme="minorHAnsi"/>
                <w:b/>
                <w:i/>
                <w:iCs/>
                <w:noProof/>
                <w:sz w:val="20"/>
              </w:rPr>
              <w:t xml:space="preserve"> </w:t>
            </w:r>
          </w:p>
          <w:p w14:paraId="598E3B60" w14:textId="77777777" w:rsidR="002220D6" w:rsidRPr="00890249" w:rsidRDefault="002220D6" w:rsidP="004C571C">
            <w:pPr>
              <w:spacing w:before="60" w:after="60"/>
              <w:jc w:val="left"/>
              <w:rPr>
                <w:rFonts w:asciiTheme="minorHAnsi" w:eastAsia="Times New Roman" w:hAnsiTheme="minorHAnsi" w:cstheme="minorHAnsi"/>
                <w:b/>
                <w:i/>
                <w:iCs/>
                <w:noProof/>
                <w:sz w:val="20"/>
              </w:rPr>
            </w:pPr>
          </w:p>
        </w:tc>
        <w:tc>
          <w:tcPr>
            <w:tcW w:w="1271" w:type="pct"/>
          </w:tcPr>
          <w:p w14:paraId="4088A51F" w14:textId="77777777" w:rsidR="00072762" w:rsidRPr="00890249" w:rsidRDefault="00BD7E4B"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(ii) </w:t>
            </w:r>
          </w:p>
          <w:p w14:paraId="55336888" w14:textId="77777777" w:rsidR="000B4DD6" w:rsidRPr="00890249" w:rsidRDefault="00072762" w:rsidP="004C571C">
            <w:pPr>
              <w:spacing w:before="60" w:after="60"/>
              <w:jc w:val="left"/>
              <w:rPr>
                <w:rFonts w:asciiTheme="minorHAnsi" w:hAnsiTheme="minorHAnsi" w:cstheme="minorHAnsi"/>
                <w:sz w:val="20"/>
              </w:rPr>
            </w:pPr>
            <w:r w:rsidRPr="00890249">
              <w:rPr>
                <w:rFonts w:asciiTheme="minorHAnsi" w:hAnsiTheme="minorHAnsi" w:cstheme="minorHAnsi"/>
                <w:i/>
                <w:sz w:val="20"/>
              </w:rPr>
              <w:t>Rozwój i udoskonalanie zrównoważonej, odpornej na zmiany klimatu, inteligentnej i intermodalnej mobilności na poziomie krajowym, regionalnym i lokalnym, w tym poprawę dostępu do TEN-T oraz mobilności transgranicznej</w:t>
            </w:r>
          </w:p>
          <w:p w14:paraId="303E142E" w14:textId="77777777" w:rsidR="00BD7E4B" w:rsidRPr="00890249" w:rsidRDefault="00BD7E4B" w:rsidP="00855EB5">
            <w:pPr>
              <w:spacing w:before="60" w:after="60"/>
              <w:jc w:val="left"/>
              <w:rPr>
                <w:rFonts w:asciiTheme="minorHAnsi" w:hAnsiTheme="minorHAnsi" w:cstheme="minorHAnsi"/>
                <w:sz w:val="20"/>
              </w:rPr>
            </w:pPr>
          </w:p>
        </w:tc>
        <w:tc>
          <w:tcPr>
            <w:tcW w:w="2691" w:type="pct"/>
          </w:tcPr>
          <w:p w14:paraId="5898FC54" w14:textId="77777777" w:rsidR="00BD7E4B" w:rsidRPr="00890249" w:rsidRDefault="00BD7E4B" w:rsidP="009F296A">
            <w:pPr>
              <w:numPr>
                <w:ilvl w:val="0"/>
                <w:numId w:val="10"/>
              </w:numPr>
              <w:spacing w:before="0" w:after="0"/>
              <w:ind w:left="359" w:hanging="308"/>
              <w:rPr>
                <w:rFonts w:asciiTheme="minorHAnsi" w:hAnsiTheme="minorHAnsi" w:cstheme="minorHAnsi"/>
                <w:noProof/>
                <w:sz w:val="20"/>
              </w:rPr>
            </w:pPr>
            <w:r w:rsidRPr="00890249">
              <w:rPr>
                <w:rFonts w:asciiTheme="minorHAnsi" w:hAnsiTheme="minorHAnsi" w:cstheme="minorHAnsi"/>
                <w:noProof/>
                <w:sz w:val="20"/>
              </w:rPr>
              <w:t>pomimo realizacji w ostat</w:t>
            </w:r>
            <w:r w:rsidR="00E836C7" w:rsidRPr="00890249">
              <w:rPr>
                <w:rFonts w:asciiTheme="minorHAnsi" w:hAnsiTheme="minorHAnsi" w:cstheme="minorHAnsi"/>
                <w:noProof/>
                <w:sz w:val="20"/>
              </w:rPr>
              <w:t xml:space="preserve">nich latach ważnych inwestycji </w:t>
            </w:r>
            <w:r w:rsidRPr="00890249">
              <w:rPr>
                <w:rFonts w:asciiTheme="minorHAnsi" w:hAnsiTheme="minorHAnsi" w:cstheme="minorHAnsi"/>
                <w:noProof/>
                <w:sz w:val="20"/>
              </w:rPr>
              <w:t xml:space="preserve">w sieci dróg lokalnych oraz wojewódzkich, spójność transportowa regionu nie poprawiła się </w:t>
            </w:r>
            <w:r w:rsidR="00E836C7" w:rsidRPr="00890249">
              <w:rPr>
                <w:rFonts w:asciiTheme="minorHAnsi" w:hAnsiTheme="minorHAnsi" w:cstheme="minorHAnsi"/>
                <w:noProof/>
                <w:sz w:val="20"/>
              </w:rPr>
              <w:t>w </w:t>
            </w:r>
            <w:r w:rsidRPr="00890249">
              <w:rPr>
                <w:rFonts w:asciiTheme="minorHAnsi" w:hAnsiTheme="minorHAnsi" w:cstheme="minorHAnsi"/>
                <w:noProof/>
                <w:sz w:val="20"/>
              </w:rPr>
              <w:t>sposób wystarczający,</w:t>
            </w:r>
          </w:p>
          <w:p w14:paraId="001517A2" w14:textId="77777777" w:rsidR="00BD7E4B" w:rsidRPr="00890249" w:rsidRDefault="6A18DC9B" w:rsidP="009F296A">
            <w:pPr>
              <w:numPr>
                <w:ilvl w:val="0"/>
                <w:numId w:val="10"/>
              </w:numPr>
              <w:spacing w:before="0" w:after="100" w:afterAutospacing="1"/>
              <w:ind w:left="359" w:hanging="308"/>
              <w:rPr>
                <w:rFonts w:asciiTheme="minorHAnsi" w:hAnsiTheme="minorHAnsi" w:cstheme="minorHAnsi"/>
                <w:noProof/>
                <w:sz w:val="20"/>
              </w:rPr>
            </w:pPr>
            <w:r w:rsidRPr="00890249">
              <w:rPr>
                <w:rFonts w:asciiTheme="minorHAnsi" w:hAnsiTheme="minorHAnsi" w:cstheme="minorHAnsi"/>
                <w:noProof/>
                <w:sz w:val="20"/>
              </w:rPr>
              <w:t>wzrost natężenia ruchu, liczne „wąskie gardła” powodują narastanie niekorzystnych oddziaływań transportu drogowego na środowisko (hałas, wibracje i</w:t>
            </w:r>
            <w:r w:rsidR="66B99646" w:rsidRPr="00890249">
              <w:rPr>
                <w:rFonts w:asciiTheme="minorHAnsi" w:hAnsiTheme="minorHAnsi" w:cstheme="minorHAnsi"/>
                <w:noProof/>
                <w:sz w:val="20"/>
              </w:rPr>
              <w:t> </w:t>
            </w:r>
            <w:r w:rsidRPr="00890249">
              <w:rPr>
                <w:rFonts w:asciiTheme="minorHAnsi" w:hAnsiTheme="minorHAnsi" w:cstheme="minorHAnsi"/>
                <w:noProof/>
                <w:sz w:val="20"/>
              </w:rPr>
              <w:t>zanieczyszczenia powietrza) oraz uciążliwości dla</w:t>
            </w:r>
            <w:r w:rsidR="4B90C075" w:rsidRPr="00890249">
              <w:rPr>
                <w:rFonts w:asciiTheme="minorHAnsi" w:hAnsiTheme="minorHAnsi" w:cstheme="minorHAnsi"/>
                <w:noProof/>
                <w:sz w:val="20"/>
              </w:rPr>
              <w:t xml:space="preserve"> uczestników ruchu drogowego, w </w:t>
            </w:r>
            <w:r w:rsidRPr="00890249">
              <w:rPr>
                <w:rFonts w:asciiTheme="minorHAnsi" w:hAnsiTheme="minorHAnsi" w:cstheme="minorHAnsi"/>
                <w:noProof/>
                <w:sz w:val="20"/>
              </w:rPr>
              <w:t>tym strat czasu</w:t>
            </w:r>
            <w:r w:rsidR="76B384C3" w:rsidRPr="00890249">
              <w:rPr>
                <w:rFonts w:asciiTheme="minorHAnsi" w:hAnsiTheme="minorHAnsi" w:cstheme="minorHAnsi"/>
                <w:noProof/>
                <w:sz w:val="20"/>
              </w:rPr>
              <w:t xml:space="preserve"> i</w:t>
            </w:r>
            <w:r w:rsidR="067D5C84" w:rsidRPr="00890249">
              <w:rPr>
                <w:rFonts w:asciiTheme="minorHAnsi" w:hAnsiTheme="minorHAnsi" w:cstheme="minorHAnsi"/>
                <w:noProof/>
                <w:sz w:val="20"/>
              </w:rPr>
              <w:t> </w:t>
            </w:r>
            <w:r w:rsidRPr="00890249">
              <w:rPr>
                <w:rFonts w:asciiTheme="minorHAnsi" w:hAnsiTheme="minorHAnsi" w:cstheme="minorHAnsi"/>
                <w:noProof/>
                <w:sz w:val="20"/>
              </w:rPr>
              <w:t>zagrożeń bezpieczeństw</w:t>
            </w:r>
            <w:r w:rsidR="6651FA80" w:rsidRPr="00890249">
              <w:rPr>
                <w:rFonts w:asciiTheme="minorHAnsi" w:hAnsiTheme="minorHAnsi" w:cstheme="minorHAnsi"/>
                <w:noProof/>
                <w:sz w:val="20"/>
              </w:rPr>
              <w:t>a</w:t>
            </w:r>
            <w:r w:rsidRPr="00890249">
              <w:rPr>
                <w:rFonts w:asciiTheme="minorHAnsi" w:hAnsiTheme="minorHAnsi" w:cstheme="minorHAnsi"/>
                <w:noProof/>
                <w:sz w:val="20"/>
              </w:rPr>
              <w:t>,</w:t>
            </w:r>
          </w:p>
          <w:p w14:paraId="443851A8" w14:textId="065965CA" w:rsidR="0BCEB768" w:rsidRPr="00890249" w:rsidRDefault="0BCEB768" w:rsidP="009F296A">
            <w:pPr>
              <w:numPr>
                <w:ilvl w:val="0"/>
                <w:numId w:val="10"/>
              </w:numPr>
              <w:spacing w:before="0" w:afterAutospacing="1"/>
              <w:ind w:left="359" w:hanging="308"/>
              <w:rPr>
                <w:rFonts w:asciiTheme="minorHAnsi" w:hAnsiTheme="minorHAnsi" w:cstheme="minorHAnsi"/>
                <w:noProof/>
                <w:sz w:val="20"/>
              </w:rPr>
            </w:pPr>
            <w:r w:rsidRPr="00890249">
              <w:rPr>
                <w:rFonts w:asciiTheme="minorHAnsi" w:hAnsiTheme="minorHAnsi" w:cstheme="minorHAnsi"/>
                <w:noProof/>
                <w:sz w:val="20"/>
              </w:rPr>
              <w:t>Z uwagi na niską konkurencyjność i wykorzystanie transportu publicznego w prze</w:t>
            </w:r>
            <w:r w:rsidR="760FA1B9" w:rsidRPr="00890249">
              <w:rPr>
                <w:rFonts w:asciiTheme="minorHAnsi" w:hAnsiTheme="minorHAnsi" w:cstheme="minorHAnsi"/>
                <w:noProof/>
                <w:sz w:val="20"/>
              </w:rPr>
              <w:t>wozach pozamiejskich istnieje koniecz</w:t>
            </w:r>
            <w:r w:rsidR="005E04BC">
              <w:rPr>
                <w:rFonts w:asciiTheme="minorHAnsi" w:hAnsiTheme="minorHAnsi" w:cstheme="minorHAnsi"/>
                <w:noProof/>
                <w:sz w:val="20"/>
              </w:rPr>
              <w:t>ność podniesienia dostępności i </w:t>
            </w:r>
            <w:r w:rsidR="760FA1B9" w:rsidRPr="00890249">
              <w:rPr>
                <w:rFonts w:asciiTheme="minorHAnsi" w:hAnsiTheme="minorHAnsi" w:cstheme="minorHAnsi"/>
                <w:noProof/>
                <w:sz w:val="20"/>
              </w:rPr>
              <w:t>konkurecyjności zrównoważónego teransportu publicznego względem transportu drogowego</w:t>
            </w:r>
            <w:r w:rsidR="005E6D56">
              <w:rPr>
                <w:rFonts w:asciiTheme="minorHAnsi" w:hAnsiTheme="minorHAnsi" w:cstheme="minorHAnsi"/>
                <w:noProof/>
                <w:sz w:val="20"/>
              </w:rPr>
              <w:t>,</w:t>
            </w:r>
            <w:r w:rsidR="760FA1B9" w:rsidRPr="00890249">
              <w:rPr>
                <w:rFonts w:asciiTheme="minorHAnsi" w:hAnsiTheme="minorHAnsi" w:cstheme="minorHAnsi"/>
                <w:noProof/>
                <w:sz w:val="20"/>
              </w:rPr>
              <w:t xml:space="preserve"> </w:t>
            </w:r>
          </w:p>
          <w:p w14:paraId="3FA16F87" w14:textId="77777777" w:rsidR="00157161" w:rsidRPr="00890249" w:rsidRDefault="00BD7E4B" w:rsidP="009F296A">
            <w:pPr>
              <w:numPr>
                <w:ilvl w:val="0"/>
                <w:numId w:val="10"/>
              </w:numPr>
              <w:spacing w:before="0" w:after="100" w:afterAutospacing="1"/>
              <w:ind w:left="359" w:hanging="308"/>
              <w:rPr>
                <w:rFonts w:asciiTheme="minorHAnsi" w:hAnsiTheme="minorHAnsi" w:cstheme="minorHAnsi"/>
                <w:noProof/>
                <w:sz w:val="20"/>
              </w:rPr>
            </w:pPr>
            <w:r w:rsidRPr="00890249">
              <w:rPr>
                <w:rFonts w:asciiTheme="minorHAnsi" w:hAnsiTheme="minorHAnsi" w:cstheme="minorHAnsi"/>
                <w:noProof/>
                <w:sz w:val="20"/>
              </w:rPr>
              <w:t>rozwój sektora transportu leży w strategicznym interesie województwa i stanowi istotny czynnik atrakcyjności inwestycyjnej regionu przy jednoczesnym wzroście jakości życia</w:t>
            </w:r>
            <w:r w:rsidR="00200DF6" w:rsidRPr="00890249">
              <w:rPr>
                <w:rFonts w:asciiTheme="minorHAnsi" w:hAnsiTheme="minorHAnsi" w:cstheme="minorHAnsi"/>
                <w:noProof/>
                <w:sz w:val="20"/>
              </w:rPr>
              <w:t xml:space="preserve"> mieszkańców i </w:t>
            </w:r>
            <w:r w:rsidRPr="00890249">
              <w:rPr>
                <w:rFonts w:asciiTheme="minorHAnsi" w:hAnsiTheme="minorHAnsi" w:cstheme="minorHAnsi"/>
                <w:noProof/>
                <w:sz w:val="20"/>
              </w:rPr>
              <w:t>możliwości rozwoju gospodarczego</w:t>
            </w:r>
            <w:r w:rsidR="00157161" w:rsidRPr="00890249">
              <w:rPr>
                <w:rFonts w:asciiTheme="minorHAnsi" w:hAnsiTheme="minorHAnsi" w:cstheme="minorHAnsi"/>
                <w:noProof/>
                <w:sz w:val="20"/>
              </w:rPr>
              <w:t>,</w:t>
            </w:r>
          </w:p>
          <w:p w14:paraId="2F4058D3" w14:textId="77777777" w:rsidR="00BD7E4B" w:rsidRPr="00890249" w:rsidRDefault="005B7FB1" w:rsidP="009F296A">
            <w:pPr>
              <w:numPr>
                <w:ilvl w:val="0"/>
                <w:numId w:val="10"/>
              </w:numPr>
              <w:spacing w:before="0" w:after="0"/>
              <w:ind w:left="359" w:hanging="308"/>
              <w:rPr>
                <w:rFonts w:asciiTheme="minorHAnsi" w:hAnsiTheme="minorHAnsi" w:cstheme="minorHAnsi"/>
                <w:noProof/>
                <w:sz w:val="20"/>
              </w:rPr>
            </w:pPr>
            <w:r w:rsidRPr="00890249">
              <w:rPr>
                <w:rFonts w:asciiTheme="minorHAnsi" w:hAnsiTheme="minorHAnsi" w:cstheme="minorHAnsi"/>
                <w:noProof/>
                <w:sz w:val="20"/>
              </w:rPr>
              <w:t xml:space="preserve">konieczne </w:t>
            </w:r>
            <w:r w:rsidR="00B37FF8" w:rsidRPr="00890249">
              <w:rPr>
                <w:rFonts w:asciiTheme="minorHAnsi" w:hAnsiTheme="minorHAnsi" w:cstheme="minorHAnsi"/>
                <w:noProof/>
                <w:sz w:val="20"/>
              </w:rPr>
              <w:t xml:space="preserve">jest </w:t>
            </w:r>
            <w:r w:rsidR="00157161" w:rsidRPr="00890249">
              <w:rPr>
                <w:rFonts w:asciiTheme="minorHAnsi" w:hAnsiTheme="minorHAnsi" w:cstheme="minorHAnsi"/>
                <w:noProof/>
                <w:sz w:val="20"/>
              </w:rPr>
              <w:t xml:space="preserve">zapewnienie </w:t>
            </w:r>
            <w:r w:rsidR="00FC7D5A" w:rsidRPr="00890249">
              <w:rPr>
                <w:rFonts w:asciiTheme="minorHAnsi" w:hAnsiTheme="minorHAnsi" w:cstheme="minorHAnsi"/>
                <w:noProof/>
                <w:sz w:val="20"/>
              </w:rPr>
              <w:t>dostępności zarówno do sieci infrastruktury TEN-T, terenów inwestycyjnych, przejść granicznych</w:t>
            </w:r>
            <w:r w:rsidR="00C27733" w:rsidRPr="00890249">
              <w:rPr>
                <w:rFonts w:asciiTheme="minorHAnsi" w:hAnsiTheme="minorHAnsi" w:cstheme="minorHAnsi"/>
                <w:noProof/>
                <w:sz w:val="20"/>
              </w:rPr>
              <w:t>,</w:t>
            </w:r>
            <w:r w:rsidR="00FC7D5A" w:rsidRPr="00890249">
              <w:rPr>
                <w:rFonts w:asciiTheme="minorHAnsi" w:hAnsiTheme="minorHAnsi" w:cstheme="minorHAnsi"/>
                <w:noProof/>
                <w:sz w:val="20"/>
              </w:rPr>
              <w:t xml:space="preserve"> </w:t>
            </w:r>
            <w:r w:rsidR="007E47C5" w:rsidRPr="00890249">
              <w:rPr>
                <w:rFonts w:asciiTheme="minorHAnsi" w:hAnsiTheme="minorHAnsi" w:cstheme="minorHAnsi"/>
                <w:noProof/>
                <w:sz w:val="20"/>
              </w:rPr>
              <w:t>jak też</w:t>
            </w:r>
            <w:r w:rsidR="00FC7D5A" w:rsidRPr="00890249">
              <w:rPr>
                <w:rFonts w:asciiTheme="minorHAnsi" w:hAnsiTheme="minorHAnsi" w:cstheme="minorHAnsi"/>
                <w:noProof/>
                <w:sz w:val="20"/>
              </w:rPr>
              <w:t xml:space="preserve"> obiektów i szlaków drogowych</w:t>
            </w:r>
            <w:r w:rsidR="00F46EEB" w:rsidRPr="00890249">
              <w:rPr>
                <w:rFonts w:asciiTheme="minorHAnsi" w:hAnsiTheme="minorHAnsi" w:cstheme="minorHAnsi"/>
                <w:noProof/>
                <w:sz w:val="20"/>
              </w:rPr>
              <w:t xml:space="preserve"> oraz kolejowych</w:t>
            </w:r>
            <w:r w:rsidR="00FC7D5A" w:rsidRPr="00890249">
              <w:rPr>
                <w:rFonts w:asciiTheme="minorHAnsi" w:hAnsiTheme="minorHAnsi" w:cstheme="minorHAnsi"/>
                <w:noProof/>
                <w:sz w:val="20"/>
              </w:rPr>
              <w:t xml:space="preserve"> o</w:t>
            </w:r>
            <w:r w:rsidRPr="00890249">
              <w:rPr>
                <w:rFonts w:asciiTheme="minorHAnsi" w:hAnsiTheme="minorHAnsi" w:cstheme="minorHAnsi"/>
                <w:noProof/>
                <w:sz w:val="20"/>
              </w:rPr>
              <w:t> </w:t>
            </w:r>
            <w:r w:rsidR="00FC7D5A" w:rsidRPr="00890249">
              <w:rPr>
                <w:rFonts w:asciiTheme="minorHAnsi" w:hAnsiTheme="minorHAnsi" w:cstheme="minorHAnsi"/>
                <w:noProof/>
                <w:sz w:val="20"/>
              </w:rPr>
              <w:t>kluczowym znaczeniu dla rozwoju gospo</w:t>
            </w:r>
            <w:r w:rsidRPr="00890249">
              <w:rPr>
                <w:rFonts w:asciiTheme="minorHAnsi" w:hAnsiTheme="minorHAnsi" w:cstheme="minorHAnsi"/>
                <w:noProof/>
                <w:sz w:val="20"/>
              </w:rPr>
              <w:t>d</w:t>
            </w:r>
            <w:r w:rsidR="00FC7D5A" w:rsidRPr="00890249">
              <w:rPr>
                <w:rFonts w:asciiTheme="minorHAnsi" w:hAnsiTheme="minorHAnsi" w:cstheme="minorHAnsi"/>
                <w:noProof/>
                <w:sz w:val="20"/>
              </w:rPr>
              <w:t>arczego regionu.</w:t>
            </w:r>
          </w:p>
        </w:tc>
      </w:tr>
      <w:tr w:rsidR="0031121E" w:rsidRPr="00890249" w14:paraId="2E89BDA4" w14:textId="77777777" w:rsidTr="18317E1B">
        <w:tc>
          <w:tcPr>
            <w:tcW w:w="1038" w:type="pct"/>
            <w:vMerge w:val="restart"/>
          </w:tcPr>
          <w:p w14:paraId="526CD34C" w14:textId="77777777" w:rsidR="0031121E" w:rsidRPr="00890249" w:rsidRDefault="0031121E" w:rsidP="00DE135D">
            <w:pPr>
              <w:spacing w:before="60" w:after="60"/>
              <w:jc w:val="left"/>
              <w:rPr>
                <w:rFonts w:asciiTheme="minorHAnsi" w:hAnsiTheme="minorHAnsi" w:cstheme="minorHAnsi"/>
                <w:b/>
                <w:sz w:val="20"/>
                <w:lang w:eastAsia="en-US" w:bidi="ar-SA"/>
              </w:rPr>
            </w:pPr>
            <w:r w:rsidRPr="00890249">
              <w:rPr>
                <w:rFonts w:asciiTheme="minorHAnsi" w:hAnsiTheme="minorHAnsi" w:cstheme="minorHAnsi"/>
                <w:b/>
                <w:sz w:val="20"/>
                <w:lang w:eastAsia="en-US" w:bidi="ar-SA"/>
              </w:rPr>
              <w:t xml:space="preserve">Cel Polityki 4. </w:t>
            </w:r>
          </w:p>
          <w:p w14:paraId="33F2DA42" w14:textId="77777777" w:rsidR="0031121E" w:rsidRPr="00890249" w:rsidRDefault="00A270A6" w:rsidP="00DE135D">
            <w:pPr>
              <w:spacing w:before="60" w:after="60"/>
              <w:jc w:val="left"/>
              <w:rPr>
                <w:rFonts w:asciiTheme="minorHAnsi" w:eastAsia="Times New Roman" w:hAnsiTheme="minorHAnsi" w:cstheme="minorHAnsi"/>
                <w:b/>
                <w:iCs/>
                <w:noProof/>
                <w:sz w:val="20"/>
              </w:rPr>
            </w:pPr>
            <w:r w:rsidRPr="00890249">
              <w:rPr>
                <w:rFonts w:asciiTheme="minorHAnsi" w:hAnsiTheme="minorHAnsi" w:cstheme="minorHAnsi"/>
                <w:b/>
                <w:i/>
                <w:sz w:val="20"/>
                <w:lang w:eastAsia="en-US" w:bidi="ar-SA"/>
              </w:rPr>
              <w:t>Europa o silniejszym wymiarze społecznym, bardziej sprz</w:t>
            </w:r>
            <w:r w:rsidR="00072762" w:rsidRPr="00890249">
              <w:rPr>
                <w:rFonts w:asciiTheme="minorHAnsi" w:hAnsiTheme="minorHAnsi" w:cstheme="minorHAnsi"/>
                <w:b/>
                <w:i/>
                <w:sz w:val="20"/>
                <w:lang w:eastAsia="en-US" w:bidi="ar-SA"/>
              </w:rPr>
              <w:t>yjająca włączeniu społecznemu i </w:t>
            </w:r>
            <w:r w:rsidRPr="00890249">
              <w:rPr>
                <w:rFonts w:asciiTheme="minorHAnsi" w:hAnsiTheme="minorHAnsi" w:cstheme="minorHAnsi"/>
                <w:b/>
                <w:i/>
                <w:sz w:val="20"/>
                <w:lang w:eastAsia="en-US" w:bidi="ar-SA"/>
              </w:rPr>
              <w:t xml:space="preserve">wdrażająca  Europejski filar </w:t>
            </w:r>
            <w:r w:rsidRPr="00890249">
              <w:rPr>
                <w:rFonts w:asciiTheme="minorHAnsi" w:hAnsiTheme="minorHAnsi" w:cstheme="minorHAnsi"/>
                <w:b/>
                <w:i/>
                <w:sz w:val="20"/>
                <w:lang w:eastAsia="en-US" w:bidi="ar-SA"/>
              </w:rPr>
              <w:lastRenderedPageBreak/>
              <w:t xml:space="preserve">praw socjalnych </w:t>
            </w:r>
            <w:r w:rsidR="0031121E" w:rsidRPr="00890249">
              <w:rPr>
                <w:rFonts w:asciiTheme="minorHAnsi" w:hAnsiTheme="minorHAnsi" w:cstheme="minorHAnsi"/>
                <w:b/>
                <w:i/>
                <w:sz w:val="20"/>
                <w:lang w:eastAsia="en-US" w:bidi="ar-SA"/>
              </w:rPr>
              <w:t>(EFRR)</w:t>
            </w:r>
          </w:p>
          <w:p w14:paraId="06ABF30B" w14:textId="77777777" w:rsidR="0031121E" w:rsidRPr="00890249" w:rsidRDefault="0031121E" w:rsidP="004C571C">
            <w:pPr>
              <w:spacing w:before="60" w:after="60"/>
              <w:jc w:val="left"/>
              <w:rPr>
                <w:rFonts w:asciiTheme="minorHAnsi" w:eastAsia="Times New Roman" w:hAnsiTheme="minorHAnsi" w:cstheme="minorHAnsi"/>
                <w:b/>
                <w:iCs/>
                <w:noProof/>
                <w:sz w:val="20"/>
              </w:rPr>
            </w:pPr>
          </w:p>
        </w:tc>
        <w:tc>
          <w:tcPr>
            <w:tcW w:w="1271" w:type="pct"/>
          </w:tcPr>
          <w:p w14:paraId="0D97910A" w14:textId="77777777" w:rsidR="0031121E" w:rsidRPr="00890249" w:rsidRDefault="0031121E" w:rsidP="004C571C">
            <w:pPr>
              <w:spacing w:before="60" w:after="60"/>
              <w:jc w:val="left"/>
              <w:rPr>
                <w:rFonts w:asciiTheme="minorHAnsi" w:hAnsiTheme="minorHAnsi" w:cstheme="minorHAnsi"/>
                <w:sz w:val="20"/>
              </w:rPr>
            </w:pPr>
            <w:r w:rsidRPr="00890249">
              <w:rPr>
                <w:rFonts w:asciiTheme="minorHAnsi" w:hAnsiTheme="minorHAnsi" w:cstheme="minorHAnsi"/>
                <w:sz w:val="20"/>
              </w:rPr>
              <w:lastRenderedPageBreak/>
              <w:t>(ii)</w:t>
            </w:r>
          </w:p>
          <w:p w14:paraId="0AA3EE46" w14:textId="77777777" w:rsidR="0031121E" w:rsidRPr="00890249" w:rsidRDefault="008B2D6C" w:rsidP="000A1620">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Poprawa równego dostępu do wysokiej jakości usług sprzyjających włączeniu społecznemu w </w:t>
            </w:r>
            <w:r w:rsidR="00504B10" w:rsidRPr="00890249">
              <w:rPr>
                <w:rFonts w:asciiTheme="minorHAnsi" w:hAnsiTheme="minorHAnsi" w:cstheme="minorHAnsi"/>
                <w:i/>
                <w:sz w:val="20"/>
              </w:rPr>
              <w:t>zakresie kształcenia, szkoleń i </w:t>
            </w:r>
            <w:r w:rsidRPr="00890249">
              <w:rPr>
                <w:rFonts w:asciiTheme="minorHAnsi" w:hAnsiTheme="minorHAnsi" w:cstheme="minorHAnsi"/>
                <w:i/>
                <w:sz w:val="20"/>
              </w:rPr>
              <w:t xml:space="preserve">uczenia się przez całe życie poprzez rozwój łatwo dostępnej infrastruktury, w tym </w:t>
            </w:r>
            <w:r w:rsidRPr="00890249">
              <w:rPr>
                <w:rFonts w:asciiTheme="minorHAnsi" w:hAnsiTheme="minorHAnsi" w:cstheme="minorHAnsi"/>
                <w:i/>
                <w:sz w:val="20"/>
              </w:rPr>
              <w:lastRenderedPageBreak/>
              <w:t>poprzez wsp</w:t>
            </w:r>
            <w:r w:rsidR="000A1620" w:rsidRPr="00890249">
              <w:rPr>
                <w:rFonts w:asciiTheme="minorHAnsi" w:hAnsiTheme="minorHAnsi" w:cstheme="minorHAnsi"/>
                <w:i/>
                <w:sz w:val="20"/>
              </w:rPr>
              <w:t>ieranie</w:t>
            </w:r>
            <w:r w:rsidRPr="00890249">
              <w:rPr>
                <w:rFonts w:asciiTheme="minorHAnsi" w:hAnsiTheme="minorHAnsi" w:cstheme="minorHAnsi"/>
                <w:i/>
                <w:sz w:val="20"/>
              </w:rPr>
              <w:t xml:space="preserve"> odporności w zakresie kształcenia i szkolenia na odległość oraz online</w:t>
            </w:r>
          </w:p>
        </w:tc>
        <w:tc>
          <w:tcPr>
            <w:tcW w:w="2691" w:type="pct"/>
          </w:tcPr>
          <w:p w14:paraId="4DF8AB67" w14:textId="7BDCE944" w:rsidR="003C3C88" w:rsidRPr="00890249" w:rsidRDefault="00875C92" w:rsidP="009F296A">
            <w:pPr>
              <w:numPr>
                <w:ilvl w:val="0"/>
                <w:numId w:val="10"/>
              </w:numPr>
              <w:spacing w:before="0" w:after="0"/>
              <w:ind w:left="359" w:hanging="308"/>
              <w:rPr>
                <w:rFonts w:asciiTheme="minorHAnsi" w:hAnsiTheme="minorHAnsi" w:cstheme="minorHAnsi"/>
                <w:noProof/>
                <w:sz w:val="20"/>
              </w:rPr>
            </w:pPr>
            <w:r w:rsidRPr="00890249">
              <w:rPr>
                <w:rFonts w:asciiTheme="minorHAnsi" w:hAnsiTheme="minorHAnsi" w:cstheme="minorHAnsi"/>
                <w:sz w:val="20"/>
                <w:lang w:eastAsia="en-US" w:bidi="ar-SA"/>
              </w:rPr>
              <w:lastRenderedPageBreak/>
              <w:t xml:space="preserve">Planowane w regionie działania z zakresu infrastruktury edukacyjnej odpowiadają wytycznym Komisji Europejskiej wynikającym z Aneksu D </w:t>
            </w:r>
            <w:r w:rsidRPr="00890249">
              <w:rPr>
                <w:rFonts w:asciiTheme="minorHAnsi" w:hAnsiTheme="minorHAnsi" w:cstheme="minorHAnsi"/>
                <w:i/>
                <w:sz w:val="20"/>
                <w:lang w:eastAsia="en-US" w:bidi="ar-SA"/>
              </w:rPr>
              <w:t xml:space="preserve">Sprawozdania krajowego – Polska 2019 </w:t>
            </w:r>
            <w:r w:rsidRPr="00890249">
              <w:rPr>
                <w:rFonts w:asciiTheme="minorHAnsi" w:hAnsiTheme="minorHAnsi" w:cstheme="minorHAnsi"/>
                <w:sz w:val="20"/>
                <w:lang w:eastAsia="en-US" w:bidi="ar-SA"/>
              </w:rPr>
              <w:t xml:space="preserve">odnoszącym się do równego dostępu do kształcenia i szkolenia na wszystkich poziomach, podniesienia jakości edukacji oraz jej większego powiązania z rynkiem pracy oraz </w:t>
            </w:r>
            <w:r w:rsidRPr="00890249">
              <w:rPr>
                <w:rFonts w:asciiTheme="minorHAnsi" w:hAnsiTheme="minorHAnsi" w:cstheme="minorHAnsi"/>
                <w:i/>
                <w:sz w:val="20"/>
                <w:lang w:eastAsia="en-US" w:bidi="ar-SA"/>
              </w:rPr>
              <w:t>Zaleceniu Rady UE z 2019 r.</w:t>
            </w:r>
            <w:r w:rsidRPr="00890249">
              <w:rPr>
                <w:rFonts w:asciiTheme="minorHAnsi" w:hAnsiTheme="minorHAnsi" w:cstheme="minorHAnsi"/>
                <w:sz w:val="20"/>
                <w:lang w:eastAsia="en-US" w:bidi="ar-SA"/>
              </w:rPr>
              <w:t xml:space="preserve">, które dotyczy poprawy dostępu do opieki nad dziećmi. </w:t>
            </w:r>
          </w:p>
          <w:p w14:paraId="401CDE52" w14:textId="69E7C1CE" w:rsidR="00EE212F" w:rsidRPr="00890249" w:rsidRDefault="003C3C88" w:rsidP="009F296A">
            <w:pPr>
              <w:numPr>
                <w:ilvl w:val="0"/>
                <w:numId w:val="10"/>
              </w:numPr>
              <w:spacing w:before="0" w:after="0"/>
              <w:ind w:left="359" w:hanging="308"/>
              <w:rPr>
                <w:rFonts w:asciiTheme="minorHAnsi" w:hAnsiTheme="minorHAnsi" w:cstheme="minorHAnsi"/>
                <w:noProof/>
                <w:sz w:val="20"/>
              </w:rPr>
            </w:pPr>
            <w:r w:rsidRPr="00890249">
              <w:rPr>
                <w:rFonts w:asciiTheme="minorHAnsi" w:hAnsiTheme="minorHAnsi" w:cstheme="minorHAnsi"/>
                <w:sz w:val="20"/>
                <w:lang w:eastAsia="en-US" w:bidi="ar-SA"/>
              </w:rPr>
              <w:t>Działania</w:t>
            </w:r>
            <w:r w:rsidR="00875C92" w:rsidRPr="00890249">
              <w:rPr>
                <w:rFonts w:asciiTheme="minorHAnsi" w:hAnsiTheme="minorHAnsi" w:cstheme="minorHAnsi"/>
                <w:sz w:val="20"/>
                <w:lang w:eastAsia="en-US" w:bidi="ar-SA"/>
              </w:rPr>
              <w:t xml:space="preserve"> są zgodne z </w:t>
            </w:r>
            <w:r w:rsidR="00875C92" w:rsidRPr="00890249">
              <w:rPr>
                <w:rFonts w:asciiTheme="minorHAnsi" w:hAnsiTheme="minorHAnsi" w:cstheme="minorHAnsi"/>
                <w:i/>
                <w:sz w:val="20"/>
                <w:lang w:eastAsia="en-US" w:bidi="ar-SA"/>
              </w:rPr>
              <w:t>Europejskim filarem praw socjalnych</w:t>
            </w:r>
            <w:r w:rsidR="00875C92" w:rsidRPr="00890249">
              <w:rPr>
                <w:rFonts w:asciiTheme="minorHAnsi" w:hAnsiTheme="minorHAnsi" w:cstheme="minorHAnsi"/>
                <w:sz w:val="20"/>
                <w:lang w:eastAsia="en-US" w:bidi="ar-SA"/>
              </w:rPr>
              <w:t xml:space="preserve"> w zakresie zasady </w:t>
            </w:r>
            <w:r w:rsidR="005E04BC">
              <w:rPr>
                <w:rFonts w:asciiTheme="minorHAnsi" w:hAnsiTheme="minorHAnsi" w:cstheme="minorHAnsi"/>
                <w:i/>
                <w:sz w:val="20"/>
                <w:lang w:eastAsia="en-US" w:bidi="ar-SA"/>
              </w:rPr>
              <w:t>Kształcenie, szkolenie i </w:t>
            </w:r>
            <w:r w:rsidR="00875C92" w:rsidRPr="00890249">
              <w:rPr>
                <w:rFonts w:asciiTheme="minorHAnsi" w:hAnsiTheme="minorHAnsi" w:cstheme="minorHAnsi"/>
                <w:i/>
                <w:sz w:val="20"/>
                <w:lang w:eastAsia="en-US" w:bidi="ar-SA"/>
              </w:rPr>
              <w:t>uczenie się przez całe życie</w:t>
            </w:r>
            <w:r w:rsidR="00875C92" w:rsidRPr="00890249">
              <w:rPr>
                <w:rFonts w:asciiTheme="minorHAnsi" w:hAnsiTheme="minorHAnsi" w:cstheme="minorHAnsi"/>
                <w:sz w:val="20"/>
                <w:lang w:eastAsia="en-US" w:bidi="ar-SA"/>
              </w:rPr>
              <w:t xml:space="preserve">, która wskazuje, że każda </w:t>
            </w:r>
            <w:r w:rsidR="00875C92" w:rsidRPr="00890249">
              <w:rPr>
                <w:rFonts w:asciiTheme="minorHAnsi" w:hAnsiTheme="minorHAnsi" w:cstheme="minorHAnsi"/>
                <w:sz w:val="20"/>
                <w:lang w:eastAsia="en-US" w:bidi="ar-SA"/>
              </w:rPr>
              <w:lastRenderedPageBreak/>
              <w:t xml:space="preserve">osoba ma prawo do edukacji włączającej, charakteryzującej się dobrą jakością szkoleń i uczenia się przez całe życie oraz zasady </w:t>
            </w:r>
            <w:r w:rsidR="00875C92" w:rsidRPr="00890249">
              <w:rPr>
                <w:rFonts w:asciiTheme="minorHAnsi" w:hAnsiTheme="minorHAnsi" w:cstheme="minorHAnsi"/>
                <w:i/>
                <w:sz w:val="20"/>
                <w:lang w:eastAsia="en-US" w:bidi="ar-SA"/>
              </w:rPr>
              <w:t>Równość szans,</w:t>
            </w:r>
            <w:r w:rsidR="00875C92" w:rsidRPr="00890249">
              <w:rPr>
                <w:rFonts w:asciiTheme="minorHAnsi" w:hAnsiTheme="minorHAnsi" w:cstheme="minorHAnsi"/>
                <w:sz w:val="20"/>
                <w:lang w:eastAsia="en-US" w:bidi="ar-SA"/>
              </w:rPr>
              <w:t xml:space="preserve"> mówiącej o tym, że każdy ma prawo do równego traktowania </w:t>
            </w:r>
            <w:r w:rsidR="00875C92" w:rsidRPr="00890249">
              <w:rPr>
                <w:rFonts w:asciiTheme="minorHAnsi" w:hAnsiTheme="minorHAnsi" w:cstheme="minorHAnsi"/>
                <w:sz w:val="20"/>
              </w:rPr>
              <w:t>i równych</w:t>
            </w:r>
            <w:r w:rsidR="00875C92" w:rsidRPr="00890249">
              <w:rPr>
                <w:rFonts w:asciiTheme="minorHAnsi" w:hAnsiTheme="minorHAnsi" w:cstheme="minorHAnsi"/>
                <w:sz w:val="20"/>
                <w:lang w:eastAsia="en-US" w:bidi="ar-SA"/>
              </w:rPr>
              <w:t xml:space="preserve"> szans w dziedzinie m.in. edukacji. </w:t>
            </w:r>
            <w:r w:rsidR="58CDC942" w:rsidRPr="00890249">
              <w:rPr>
                <w:rFonts w:asciiTheme="minorHAnsi" w:hAnsiTheme="minorHAnsi" w:cstheme="minorHAnsi"/>
                <w:noProof/>
                <w:sz w:val="20"/>
              </w:rPr>
              <w:t>Zg</w:t>
            </w:r>
            <w:r w:rsidR="005E04BC">
              <w:rPr>
                <w:rFonts w:asciiTheme="minorHAnsi" w:hAnsiTheme="minorHAnsi" w:cstheme="minorHAnsi"/>
                <w:noProof/>
                <w:sz w:val="20"/>
              </w:rPr>
              <w:t>odnie z CSR na 2019 r. jednym z </w:t>
            </w:r>
            <w:r w:rsidR="58CDC942" w:rsidRPr="00890249">
              <w:rPr>
                <w:rFonts w:asciiTheme="minorHAnsi" w:hAnsiTheme="minorHAnsi" w:cstheme="minorHAnsi"/>
                <w:noProof/>
                <w:sz w:val="20"/>
              </w:rPr>
              <w:t xml:space="preserve">czynników, który może mieć w przyszłości decydujący wpływ na perspektywy wzrostu gospodarczego </w:t>
            </w:r>
            <w:r w:rsidR="005E04BC">
              <w:rPr>
                <w:rFonts w:asciiTheme="minorHAnsi" w:hAnsiTheme="minorHAnsi" w:cstheme="minorHAnsi"/>
                <w:noProof/>
                <w:sz w:val="20"/>
              </w:rPr>
              <w:t>jest dobry system kształcenia i </w:t>
            </w:r>
            <w:r w:rsidR="58CDC942" w:rsidRPr="00890249">
              <w:rPr>
                <w:rFonts w:asciiTheme="minorHAnsi" w:hAnsiTheme="minorHAnsi" w:cstheme="minorHAnsi"/>
                <w:noProof/>
                <w:sz w:val="20"/>
              </w:rPr>
              <w:t>szkolenia przez całe życie. Podnoszenie i nabywanie nowych umiejętności i kwalifikacji na szybko zmieniającym się rynku pracy ma kluczowe znaczenie dla zwiększenia zarówno aktywności ludności, jak i</w:t>
            </w:r>
            <w:r w:rsidR="005E04BC">
              <w:rPr>
                <w:rFonts w:asciiTheme="minorHAnsi" w:hAnsiTheme="minorHAnsi" w:cstheme="minorHAnsi"/>
                <w:noProof/>
                <w:sz w:val="20"/>
              </w:rPr>
              <w:t> </w:t>
            </w:r>
            <w:r w:rsidR="58CDC942" w:rsidRPr="00890249">
              <w:rPr>
                <w:rFonts w:asciiTheme="minorHAnsi" w:hAnsiTheme="minorHAnsi" w:cstheme="minorHAnsi"/>
                <w:noProof/>
                <w:sz w:val="20"/>
              </w:rPr>
              <w:t>zdolności gospodarki do innowacji. Zgodnie z CSR na 2020 r., aby nie pogłębiać nierówności, niezwykle istotne jest zapewnienie wszystkim osobom uczącym się, zwłaszcza tym</w:t>
            </w:r>
            <w:r w:rsidR="005E04BC">
              <w:rPr>
                <w:rFonts w:asciiTheme="minorHAnsi" w:hAnsiTheme="minorHAnsi" w:cstheme="minorHAnsi"/>
                <w:noProof/>
                <w:sz w:val="20"/>
              </w:rPr>
              <w:t>, które pochodzą ze środowisk o </w:t>
            </w:r>
            <w:r w:rsidR="58CDC942" w:rsidRPr="00890249">
              <w:rPr>
                <w:rFonts w:asciiTheme="minorHAnsi" w:hAnsiTheme="minorHAnsi" w:cstheme="minorHAnsi"/>
                <w:noProof/>
                <w:sz w:val="20"/>
              </w:rPr>
              <w:t>niekorzystnej sytuacji, dostępu do nauczania na odległość</w:t>
            </w:r>
            <w:r w:rsidR="6C734C8A" w:rsidRPr="00890249">
              <w:rPr>
                <w:rFonts w:asciiTheme="minorHAnsi" w:hAnsiTheme="minorHAnsi" w:cstheme="minorHAnsi"/>
                <w:noProof/>
                <w:sz w:val="20"/>
              </w:rPr>
              <w:t>.</w:t>
            </w:r>
          </w:p>
        </w:tc>
      </w:tr>
      <w:tr w:rsidR="0031121E" w:rsidRPr="00890249" w14:paraId="6B249835" w14:textId="77777777" w:rsidTr="18317E1B">
        <w:tc>
          <w:tcPr>
            <w:tcW w:w="1038" w:type="pct"/>
            <w:vMerge/>
          </w:tcPr>
          <w:p w14:paraId="753D0BD9" w14:textId="77777777" w:rsidR="0031121E" w:rsidRPr="00890249" w:rsidRDefault="0031121E" w:rsidP="004C571C">
            <w:pPr>
              <w:spacing w:before="60" w:after="60"/>
              <w:jc w:val="left"/>
              <w:rPr>
                <w:rFonts w:asciiTheme="minorHAnsi" w:hAnsiTheme="minorHAnsi" w:cstheme="minorHAnsi"/>
                <w:b/>
                <w:sz w:val="20"/>
                <w:lang w:eastAsia="en-US" w:bidi="ar-SA"/>
              </w:rPr>
            </w:pPr>
          </w:p>
        </w:tc>
        <w:tc>
          <w:tcPr>
            <w:tcW w:w="1271" w:type="pct"/>
          </w:tcPr>
          <w:p w14:paraId="41FC8AC7" w14:textId="77777777" w:rsidR="0031121E" w:rsidRPr="00890249" w:rsidRDefault="0031121E" w:rsidP="004C571C">
            <w:pPr>
              <w:spacing w:before="60" w:after="60"/>
              <w:jc w:val="left"/>
              <w:rPr>
                <w:rFonts w:asciiTheme="minorHAnsi" w:hAnsiTheme="minorHAnsi" w:cstheme="minorHAnsi"/>
                <w:sz w:val="20"/>
              </w:rPr>
            </w:pPr>
            <w:r w:rsidRPr="00890249">
              <w:rPr>
                <w:rFonts w:asciiTheme="minorHAnsi" w:hAnsiTheme="minorHAnsi" w:cstheme="minorHAnsi"/>
                <w:sz w:val="20"/>
              </w:rPr>
              <w:t>(iii)</w:t>
            </w:r>
          </w:p>
          <w:p w14:paraId="1064D361" w14:textId="77777777" w:rsidR="0031121E" w:rsidRPr="00890249" w:rsidRDefault="00D81B02" w:rsidP="000A1620">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Wspieranie włączenia społeczno-gospodarczego społeczności </w:t>
            </w:r>
            <w:r w:rsidR="0031121E" w:rsidRPr="00890249">
              <w:rPr>
                <w:rFonts w:asciiTheme="minorHAnsi" w:hAnsiTheme="minorHAnsi" w:cstheme="minorHAnsi"/>
                <w:i/>
                <w:sz w:val="20"/>
              </w:rPr>
              <w:t>marginalizowanych</w:t>
            </w:r>
            <w:r w:rsidR="000A1620" w:rsidRPr="00890249">
              <w:rPr>
                <w:rFonts w:asciiTheme="minorHAnsi" w:hAnsiTheme="minorHAnsi" w:cstheme="minorHAnsi"/>
                <w:i/>
                <w:sz w:val="20"/>
              </w:rPr>
              <w:t>,</w:t>
            </w:r>
            <w:r w:rsidR="0031121E" w:rsidRPr="00890249">
              <w:rPr>
                <w:rFonts w:asciiTheme="minorHAnsi" w:hAnsiTheme="minorHAnsi" w:cstheme="minorHAnsi"/>
                <w:i/>
                <w:sz w:val="20"/>
              </w:rPr>
              <w:t xml:space="preserve"> </w:t>
            </w:r>
            <w:r w:rsidRPr="00890249">
              <w:rPr>
                <w:rFonts w:asciiTheme="minorHAnsi" w:hAnsiTheme="minorHAnsi" w:cstheme="minorHAnsi"/>
                <w:i/>
                <w:sz w:val="20"/>
              </w:rPr>
              <w:t>gospodarstw domowych o niskich dochodach</w:t>
            </w:r>
            <w:r w:rsidR="00072762" w:rsidRPr="00890249">
              <w:rPr>
                <w:rFonts w:asciiTheme="minorHAnsi" w:hAnsiTheme="minorHAnsi" w:cstheme="minorHAnsi"/>
                <w:i/>
                <w:sz w:val="20"/>
              </w:rPr>
              <w:t xml:space="preserve">, </w:t>
            </w:r>
            <w:r w:rsidR="000A1620" w:rsidRPr="00890249">
              <w:rPr>
                <w:rFonts w:asciiTheme="minorHAnsi" w:hAnsiTheme="minorHAnsi" w:cstheme="minorHAnsi"/>
                <w:i/>
                <w:sz w:val="20"/>
              </w:rPr>
              <w:t xml:space="preserve">oraz grup </w:t>
            </w:r>
            <w:r w:rsidR="00072762" w:rsidRPr="00890249">
              <w:rPr>
                <w:rFonts w:asciiTheme="minorHAnsi" w:hAnsiTheme="minorHAnsi" w:cstheme="minorHAnsi"/>
                <w:i/>
                <w:sz w:val="20"/>
              </w:rPr>
              <w:t>w </w:t>
            </w:r>
            <w:r w:rsidR="0031121E" w:rsidRPr="00890249">
              <w:rPr>
                <w:rFonts w:asciiTheme="minorHAnsi" w:hAnsiTheme="minorHAnsi" w:cstheme="minorHAnsi"/>
                <w:i/>
                <w:sz w:val="20"/>
              </w:rPr>
              <w:t>niekorzystnej sytuacji</w:t>
            </w:r>
            <w:r w:rsidR="00072762" w:rsidRPr="00890249">
              <w:rPr>
                <w:rFonts w:asciiTheme="minorHAnsi" w:hAnsiTheme="minorHAnsi" w:cstheme="minorHAnsi"/>
                <w:i/>
                <w:sz w:val="20"/>
              </w:rPr>
              <w:t>, w tym osób o </w:t>
            </w:r>
            <w:r w:rsidRPr="00890249">
              <w:rPr>
                <w:rFonts w:asciiTheme="minorHAnsi" w:hAnsiTheme="minorHAnsi" w:cstheme="minorHAnsi"/>
                <w:i/>
                <w:sz w:val="20"/>
              </w:rPr>
              <w:t xml:space="preserve">szczególnych potrzebach, </w:t>
            </w:r>
            <w:r w:rsidR="0031121E" w:rsidRPr="00890249">
              <w:rPr>
                <w:rFonts w:asciiTheme="minorHAnsi" w:hAnsiTheme="minorHAnsi" w:cstheme="minorHAnsi"/>
                <w:i/>
                <w:sz w:val="20"/>
              </w:rPr>
              <w:t xml:space="preserve"> </w:t>
            </w:r>
            <w:r w:rsidRPr="00890249">
              <w:rPr>
                <w:rFonts w:asciiTheme="minorHAnsi" w:hAnsiTheme="minorHAnsi" w:cstheme="minorHAnsi"/>
                <w:i/>
                <w:sz w:val="20"/>
              </w:rPr>
              <w:t xml:space="preserve">dzięki </w:t>
            </w:r>
            <w:r w:rsidR="0031121E" w:rsidRPr="00890249">
              <w:rPr>
                <w:rFonts w:asciiTheme="minorHAnsi" w:hAnsiTheme="minorHAnsi" w:cstheme="minorHAnsi"/>
                <w:i/>
                <w:sz w:val="20"/>
              </w:rPr>
              <w:t>zintegrowan</w:t>
            </w:r>
            <w:r w:rsidRPr="00890249">
              <w:rPr>
                <w:rFonts w:asciiTheme="minorHAnsi" w:hAnsiTheme="minorHAnsi" w:cstheme="minorHAnsi"/>
                <w:i/>
                <w:sz w:val="20"/>
              </w:rPr>
              <w:t>ym</w:t>
            </w:r>
            <w:r w:rsidR="0031121E" w:rsidRPr="00890249">
              <w:rPr>
                <w:rFonts w:asciiTheme="minorHAnsi" w:hAnsiTheme="minorHAnsi" w:cstheme="minorHAnsi"/>
                <w:i/>
                <w:sz w:val="20"/>
              </w:rPr>
              <w:t xml:space="preserve"> działani</w:t>
            </w:r>
            <w:r w:rsidRPr="00890249">
              <w:rPr>
                <w:rFonts w:asciiTheme="minorHAnsi" w:hAnsiTheme="minorHAnsi" w:cstheme="minorHAnsi"/>
                <w:i/>
                <w:sz w:val="20"/>
              </w:rPr>
              <w:t xml:space="preserve">om </w:t>
            </w:r>
            <w:r w:rsidR="000A1620" w:rsidRPr="00890249">
              <w:rPr>
                <w:rFonts w:asciiTheme="minorHAnsi" w:hAnsiTheme="minorHAnsi" w:cstheme="minorHAnsi"/>
                <w:i/>
                <w:sz w:val="20"/>
              </w:rPr>
              <w:t xml:space="preserve">obejmującym </w:t>
            </w:r>
            <w:r w:rsidRPr="00890249">
              <w:rPr>
                <w:rFonts w:asciiTheme="minorHAnsi" w:hAnsiTheme="minorHAnsi" w:cstheme="minorHAnsi"/>
                <w:i/>
                <w:sz w:val="20"/>
              </w:rPr>
              <w:t>usługi mieszkaniowe i</w:t>
            </w:r>
            <w:r w:rsidR="0031121E" w:rsidRPr="00890249">
              <w:rPr>
                <w:rFonts w:asciiTheme="minorHAnsi" w:hAnsiTheme="minorHAnsi" w:cstheme="minorHAnsi"/>
                <w:i/>
                <w:sz w:val="20"/>
              </w:rPr>
              <w:t xml:space="preserve"> usługi społeczne</w:t>
            </w:r>
          </w:p>
        </w:tc>
        <w:tc>
          <w:tcPr>
            <w:tcW w:w="2691" w:type="pct"/>
          </w:tcPr>
          <w:p w14:paraId="070DF6F9" w14:textId="77777777" w:rsidR="00B72154" w:rsidRPr="00890249" w:rsidRDefault="7AC9418E" w:rsidP="009F296A">
            <w:pPr>
              <w:numPr>
                <w:ilvl w:val="0"/>
                <w:numId w:val="10"/>
              </w:numPr>
              <w:spacing w:before="0" w:after="0"/>
              <w:ind w:left="389" w:hanging="425"/>
              <w:rPr>
                <w:rFonts w:asciiTheme="minorHAnsi" w:hAnsiTheme="minorHAnsi" w:cstheme="minorHAnsi"/>
                <w:noProof/>
                <w:sz w:val="20"/>
              </w:rPr>
            </w:pPr>
            <w:r w:rsidRPr="00890249">
              <w:rPr>
                <w:rFonts w:asciiTheme="minorHAnsi" w:eastAsiaTheme="minorEastAsia" w:hAnsiTheme="minorHAnsi" w:cstheme="minorHAnsi"/>
                <w:sz w:val="20"/>
                <w:lang w:eastAsia="en-US" w:bidi="ar-SA"/>
              </w:rPr>
              <w:t xml:space="preserve">Zaplanowane działania są zgodne z </w:t>
            </w:r>
            <w:r w:rsidR="00875C92" w:rsidRPr="00890249">
              <w:rPr>
                <w:rFonts w:asciiTheme="minorHAnsi" w:eastAsiaTheme="minorEastAsia" w:hAnsiTheme="minorHAnsi" w:cstheme="minorHAnsi"/>
                <w:sz w:val="20"/>
                <w:lang w:eastAsia="en-US" w:bidi="ar-SA"/>
              </w:rPr>
              <w:t>z</w:t>
            </w:r>
            <w:r w:rsidRPr="00890249">
              <w:rPr>
                <w:rFonts w:asciiTheme="minorHAnsi" w:eastAsiaTheme="minorEastAsia" w:hAnsiTheme="minorHAnsi" w:cstheme="minorHAnsi"/>
                <w:sz w:val="20"/>
                <w:lang w:eastAsia="en-US" w:bidi="ar-SA"/>
              </w:rPr>
              <w:t>ałożeniami</w:t>
            </w:r>
            <w:r w:rsidR="00875C92" w:rsidRPr="00890249">
              <w:rPr>
                <w:rFonts w:asciiTheme="minorHAnsi" w:eastAsiaTheme="minorEastAsia" w:hAnsiTheme="minorHAnsi" w:cstheme="minorHAnsi"/>
                <w:sz w:val="20"/>
                <w:lang w:eastAsia="en-US" w:bidi="ar-SA"/>
              </w:rPr>
              <w:t xml:space="preserve"> </w:t>
            </w:r>
            <w:r w:rsidR="00875C92" w:rsidRPr="00890249">
              <w:rPr>
                <w:rFonts w:asciiTheme="minorHAnsi" w:eastAsiaTheme="minorEastAsia" w:hAnsiTheme="minorHAnsi" w:cstheme="minorHAnsi"/>
                <w:i/>
                <w:iCs/>
                <w:sz w:val="20"/>
                <w:lang w:eastAsia="en-US" w:bidi="ar-SA"/>
              </w:rPr>
              <w:t>Europejski</w:t>
            </w:r>
            <w:r w:rsidRPr="00890249">
              <w:rPr>
                <w:rFonts w:asciiTheme="minorHAnsi" w:eastAsiaTheme="minorEastAsia" w:hAnsiTheme="minorHAnsi" w:cstheme="minorHAnsi"/>
                <w:i/>
                <w:iCs/>
                <w:sz w:val="20"/>
                <w:lang w:eastAsia="en-US" w:bidi="ar-SA"/>
              </w:rPr>
              <w:t>ego</w:t>
            </w:r>
            <w:r w:rsidR="00875C92" w:rsidRPr="00890249">
              <w:rPr>
                <w:rFonts w:asciiTheme="minorHAnsi" w:eastAsiaTheme="minorEastAsia" w:hAnsiTheme="minorHAnsi" w:cstheme="minorHAnsi"/>
                <w:i/>
                <w:iCs/>
                <w:sz w:val="20"/>
                <w:lang w:eastAsia="en-US" w:bidi="ar-SA"/>
              </w:rPr>
              <w:t xml:space="preserve"> filar</w:t>
            </w:r>
            <w:r w:rsidRPr="00890249">
              <w:rPr>
                <w:rFonts w:asciiTheme="minorHAnsi" w:eastAsiaTheme="minorEastAsia" w:hAnsiTheme="minorHAnsi" w:cstheme="minorHAnsi"/>
                <w:i/>
                <w:iCs/>
                <w:sz w:val="20"/>
                <w:lang w:eastAsia="en-US" w:bidi="ar-SA"/>
              </w:rPr>
              <w:t>u</w:t>
            </w:r>
            <w:r w:rsidR="00875C92" w:rsidRPr="00890249">
              <w:rPr>
                <w:rFonts w:asciiTheme="minorHAnsi" w:eastAsiaTheme="minorEastAsia" w:hAnsiTheme="minorHAnsi" w:cstheme="minorHAnsi"/>
                <w:i/>
                <w:iCs/>
                <w:sz w:val="20"/>
                <w:lang w:eastAsia="en-US" w:bidi="ar-SA"/>
              </w:rPr>
              <w:t xml:space="preserve"> praw socjalnych</w:t>
            </w:r>
            <w:r w:rsidRPr="00890249">
              <w:rPr>
                <w:rFonts w:asciiTheme="minorHAnsi" w:eastAsiaTheme="minorEastAsia" w:hAnsiTheme="minorHAnsi" w:cstheme="minorHAnsi"/>
                <w:i/>
                <w:iCs/>
                <w:sz w:val="20"/>
                <w:lang w:eastAsia="en-US" w:bidi="ar-SA"/>
              </w:rPr>
              <w:t>, tj.:</w:t>
            </w:r>
            <w:r w:rsidR="00875C92" w:rsidRPr="00890249">
              <w:rPr>
                <w:rFonts w:asciiTheme="minorHAnsi" w:eastAsiaTheme="minorEastAsia" w:hAnsiTheme="minorHAnsi" w:cstheme="minorHAnsi"/>
                <w:sz w:val="20"/>
                <w:lang w:eastAsia="en-US" w:bidi="ar-SA"/>
              </w:rPr>
              <w:t xml:space="preserve"> </w:t>
            </w:r>
          </w:p>
          <w:p w14:paraId="3DC873EB" w14:textId="7715C4D5" w:rsidR="00B72154" w:rsidRPr="00890249" w:rsidRDefault="00875C92" w:rsidP="009F296A">
            <w:pPr>
              <w:pStyle w:val="Akapitzlist"/>
              <w:numPr>
                <w:ilvl w:val="0"/>
                <w:numId w:val="124"/>
              </w:numPr>
              <w:spacing w:before="0" w:after="0"/>
              <w:rPr>
                <w:rFonts w:asciiTheme="minorHAnsi" w:hAnsiTheme="minorHAnsi" w:cstheme="minorHAnsi"/>
                <w:noProof/>
                <w:sz w:val="20"/>
              </w:rPr>
            </w:pPr>
            <w:r w:rsidRPr="00890249">
              <w:rPr>
                <w:rFonts w:asciiTheme="minorHAnsi" w:eastAsiaTheme="minorEastAsia" w:hAnsiTheme="minorHAnsi" w:cstheme="minorHAnsi"/>
                <w:sz w:val="20"/>
                <w:lang w:eastAsia="en-US" w:bidi="ar-SA"/>
              </w:rPr>
              <w:t>dzieci mają prawo do ochrony przed ubóstwem oraz do szczególnych środków służą</w:t>
            </w:r>
            <w:r w:rsidR="7AC9418E" w:rsidRPr="00890249">
              <w:rPr>
                <w:rFonts w:asciiTheme="minorHAnsi" w:eastAsiaTheme="minorEastAsia" w:hAnsiTheme="minorHAnsi" w:cstheme="minorHAnsi"/>
                <w:sz w:val="20"/>
                <w:lang w:eastAsia="en-US" w:bidi="ar-SA"/>
              </w:rPr>
              <w:t>cych zwiększeniu równości szans</w:t>
            </w:r>
            <w:r w:rsidR="280F6388" w:rsidRPr="00890249">
              <w:rPr>
                <w:rFonts w:asciiTheme="minorHAnsi" w:eastAsiaTheme="minorEastAsia" w:hAnsiTheme="minorHAnsi" w:cstheme="minorHAnsi"/>
                <w:sz w:val="20"/>
                <w:lang w:eastAsia="en-US" w:bidi="ar-SA"/>
              </w:rPr>
              <w:t>,</w:t>
            </w:r>
            <w:r w:rsidRPr="00890249">
              <w:rPr>
                <w:rFonts w:asciiTheme="minorHAnsi" w:eastAsiaTheme="minorEastAsia" w:hAnsiTheme="minorHAnsi" w:cstheme="minorHAnsi"/>
                <w:sz w:val="20"/>
                <w:lang w:eastAsia="en-US" w:bidi="ar-SA"/>
              </w:rPr>
              <w:t xml:space="preserve"> </w:t>
            </w:r>
          </w:p>
          <w:p w14:paraId="571ADCD0" w14:textId="5BD2167E" w:rsidR="00B72154" w:rsidRPr="00890249" w:rsidRDefault="76EEB383" w:rsidP="009F296A">
            <w:pPr>
              <w:pStyle w:val="Akapitzlist"/>
              <w:numPr>
                <w:ilvl w:val="0"/>
                <w:numId w:val="124"/>
              </w:numPr>
              <w:spacing w:before="0" w:after="0"/>
              <w:rPr>
                <w:rFonts w:asciiTheme="minorHAnsi" w:hAnsiTheme="minorHAnsi" w:cstheme="minorHAnsi"/>
                <w:noProof/>
              </w:rPr>
            </w:pPr>
            <w:r w:rsidRPr="00890249">
              <w:rPr>
                <w:rFonts w:asciiTheme="minorHAnsi" w:eastAsiaTheme="minorEastAsia" w:hAnsiTheme="minorHAnsi" w:cstheme="minorHAnsi"/>
                <w:sz w:val="20"/>
                <w:lang w:eastAsia="en-US" w:bidi="ar-SA"/>
              </w:rPr>
              <w:t>należy zapewnić osobom potrzebującym dostęp do mieszkań socjalnych lub pomocy mieszkaniowej dobrej jakości</w:t>
            </w:r>
            <w:r w:rsidR="00F95385" w:rsidRPr="00890249">
              <w:rPr>
                <w:rFonts w:asciiTheme="minorHAnsi" w:eastAsiaTheme="minorEastAsia" w:hAnsiTheme="minorHAnsi" w:cstheme="minorHAnsi"/>
                <w:sz w:val="20"/>
                <w:lang w:eastAsia="en-US" w:bidi="ar-SA"/>
              </w:rPr>
              <w:t xml:space="preserve"> </w:t>
            </w:r>
            <w:r w:rsidR="00875C92" w:rsidRPr="00890249">
              <w:rPr>
                <w:rFonts w:asciiTheme="minorHAnsi" w:hAnsiTheme="minorHAnsi" w:cstheme="minorHAnsi"/>
                <w:sz w:val="20"/>
                <w:lang w:eastAsia="en-US" w:bidi="ar-SA"/>
              </w:rPr>
              <w:t>osoby niepełnosprawne mają prawo do otrzymania wsparcia dochodu, które zapewnia godne życie, usług, które pozwolą im na uczestnictwo w rynku pracy i w życiu społecznym, a także do środowiska pracy dostosowanego do ich potrzeb</w:t>
            </w:r>
            <w:r w:rsidR="00875C92" w:rsidRPr="00890249">
              <w:rPr>
                <w:rFonts w:asciiTheme="minorHAnsi" w:hAnsiTheme="minorHAnsi" w:cstheme="minorHAnsi"/>
                <w:noProof/>
                <w:sz w:val="20"/>
              </w:rPr>
              <w:t>.</w:t>
            </w:r>
          </w:p>
          <w:p w14:paraId="3C95EDA8" w14:textId="25B5C2E8" w:rsidR="00570F13" w:rsidRPr="00890249" w:rsidRDefault="00886749" w:rsidP="009F296A">
            <w:pPr>
              <w:numPr>
                <w:ilvl w:val="0"/>
                <w:numId w:val="10"/>
              </w:numPr>
              <w:spacing w:before="0" w:after="0"/>
              <w:ind w:left="389" w:hanging="425"/>
              <w:rPr>
                <w:rFonts w:asciiTheme="minorHAnsi" w:hAnsiTheme="minorHAnsi" w:cstheme="minorHAnsi"/>
                <w:noProof/>
                <w:sz w:val="20"/>
              </w:rPr>
            </w:pPr>
            <w:r w:rsidRPr="00890249">
              <w:rPr>
                <w:rFonts w:asciiTheme="minorHAnsi" w:hAnsiTheme="minorHAnsi" w:cstheme="minorHAnsi"/>
                <w:noProof/>
                <w:sz w:val="20"/>
              </w:rPr>
              <w:t>D</w:t>
            </w:r>
            <w:r w:rsidR="00875C92" w:rsidRPr="00890249">
              <w:rPr>
                <w:rFonts w:asciiTheme="minorHAnsi" w:hAnsiTheme="minorHAnsi" w:cstheme="minorHAnsi"/>
                <w:noProof/>
                <w:sz w:val="20"/>
              </w:rPr>
              <w:t xml:space="preserve">ziałania realizują </w:t>
            </w:r>
            <w:r w:rsidR="00520441" w:rsidRPr="00890249">
              <w:rPr>
                <w:rFonts w:asciiTheme="minorHAnsi" w:hAnsiTheme="minorHAnsi" w:cstheme="minorHAnsi"/>
                <w:noProof/>
                <w:sz w:val="20"/>
              </w:rPr>
              <w:t xml:space="preserve">cele: 1, 2, 3, 4 i 5 Strategii rozwoju usług społecznych </w:t>
            </w:r>
            <w:r w:rsidR="009A6C1D" w:rsidRPr="00890249">
              <w:rPr>
                <w:rFonts w:asciiTheme="minorHAnsi" w:hAnsiTheme="minorHAnsi" w:cstheme="minorHAnsi"/>
                <w:noProof/>
                <w:sz w:val="20"/>
              </w:rPr>
              <w:t>2021-2030 (z perspektywą do 2035r.)</w:t>
            </w:r>
            <w:r w:rsidRPr="00890249">
              <w:rPr>
                <w:rFonts w:asciiTheme="minorHAnsi" w:hAnsiTheme="minorHAnsi" w:cstheme="minorHAnsi"/>
                <w:noProof/>
                <w:sz w:val="20"/>
              </w:rPr>
              <w:t>,</w:t>
            </w:r>
          </w:p>
          <w:p w14:paraId="3F24357B" w14:textId="51D32C3A" w:rsidR="00B72154" w:rsidRPr="00A723EB" w:rsidRDefault="00886749" w:rsidP="009F296A">
            <w:pPr>
              <w:numPr>
                <w:ilvl w:val="0"/>
                <w:numId w:val="10"/>
              </w:numPr>
              <w:spacing w:before="0" w:after="0"/>
              <w:ind w:left="389" w:hanging="425"/>
              <w:rPr>
                <w:rFonts w:asciiTheme="minorHAnsi" w:hAnsiTheme="minorHAnsi" w:cstheme="minorHAnsi"/>
                <w:noProof/>
                <w:sz w:val="20"/>
              </w:rPr>
            </w:pPr>
            <w:r w:rsidRPr="00890249">
              <w:rPr>
                <w:rFonts w:asciiTheme="minorHAnsi" w:eastAsiaTheme="minorHAnsi" w:hAnsiTheme="minorHAnsi" w:cstheme="minorHAnsi"/>
                <w:bCs/>
                <w:sz w:val="20"/>
                <w:szCs w:val="22"/>
                <w:lang w:eastAsia="en-US" w:bidi="ar-SA"/>
              </w:rPr>
              <w:t>w</w:t>
            </w:r>
            <w:r w:rsidR="00570F13" w:rsidRPr="00890249">
              <w:rPr>
                <w:rFonts w:asciiTheme="minorHAnsi" w:eastAsiaTheme="minorHAnsi" w:hAnsiTheme="minorHAnsi" w:cstheme="minorHAnsi"/>
                <w:bCs/>
                <w:sz w:val="20"/>
                <w:szCs w:val="22"/>
                <w:lang w:eastAsia="en-US" w:bidi="ar-SA"/>
              </w:rPr>
              <w:t xml:space="preserve"> kontekście inwestycji w rozwój mieszkalnictwa  wsparcie jest zgodne z celem szczegółowym 4 Redukcja ubóstwa i wykluczenia społecznego oraz poprawy </w:t>
            </w:r>
            <w:r w:rsidR="00A723EB">
              <w:rPr>
                <w:rFonts w:asciiTheme="minorHAnsi" w:eastAsiaTheme="minorHAnsi" w:hAnsiTheme="minorHAnsi" w:cstheme="minorHAnsi"/>
                <w:bCs/>
                <w:sz w:val="20"/>
                <w:szCs w:val="22"/>
                <w:lang w:eastAsia="en-US" w:bidi="ar-SA"/>
              </w:rPr>
              <w:t>dostępu do usług świadczonych w </w:t>
            </w:r>
            <w:r w:rsidR="00570F13" w:rsidRPr="00890249">
              <w:rPr>
                <w:rFonts w:asciiTheme="minorHAnsi" w:eastAsiaTheme="minorHAnsi" w:hAnsiTheme="minorHAnsi" w:cstheme="minorHAnsi"/>
                <w:bCs/>
                <w:sz w:val="20"/>
                <w:szCs w:val="22"/>
                <w:lang w:eastAsia="en-US" w:bidi="ar-SA"/>
              </w:rPr>
              <w:t xml:space="preserve">odpowiedzi na wyzwania demograficzne </w:t>
            </w:r>
            <w:r w:rsidR="00570F13" w:rsidRPr="00890249">
              <w:rPr>
                <w:rFonts w:asciiTheme="minorHAnsi" w:eastAsiaTheme="minorHAnsi" w:hAnsiTheme="minorHAnsi" w:cstheme="minorHAnsi"/>
                <w:bCs/>
                <w:i/>
                <w:sz w:val="20"/>
                <w:szCs w:val="22"/>
                <w:lang w:eastAsia="en-US" w:bidi="ar-SA"/>
              </w:rPr>
              <w:t>Strategii Rozwoju Kapitału Ludzkiego 2030</w:t>
            </w:r>
            <w:r w:rsidRPr="00890249">
              <w:rPr>
                <w:rFonts w:asciiTheme="minorHAnsi" w:eastAsiaTheme="minorHAnsi" w:hAnsiTheme="minorHAnsi" w:cstheme="minorHAnsi"/>
                <w:bCs/>
                <w:i/>
                <w:sz w:val="20"/>
                <w:szCs w:val="22"/>
                <w:lang w:eastAsia="en-US" w:bidi="ar-SA"/>
              </w:rPr>
              <w:t>.</w:t>
            </w:r>
          </w:p>
        </w:tc>
      </w:tr>
      <w:tr w:rsidR="0031121E" w:rsidRPr="00890249" w14:paraId="79DAFA39" w14:textId="77777777" w:rsidTr="18317E1B">
        <w:tc>
          <w:tcPr>
            <w:tcW w:w="1038" w:type="pct"/>
            <w:vMerge/>
          </w:tcPr>
          <w:p w14:paraId="75F01200" w14:textId="77777777" w:rsidR="0031121E" w:rsidRPr="00890249" w:rsidRDefault="0031121E" w:rsidP="004C571C">
            <w:pPr>
              <w:spacing w:before="60" w:after="60"/>
              <w:jc w:val="left"/>
              <w:rPr>
                <w:rFonts w:asciiTheme="minorHAnsi" w:eastAsia="Times New Roman" w:hAnsiTheme="minorHAnsi" w:cstheme="minorHAnsi"/>
                <w:b/>
                <w:iCs/>
                <w:noProof/>
                <w:sz w:val="20"/>
              </w:rPr>
            </w:pPr>
          </w:p>
        </w:tc>
        <w:tc>
          <w:tcPr>
            <w:tcW w:w="1271" w:type="pct"/>
          </w:tcPr>
          <w:p w14:paraId="15EF87CF" w14:textId="77777777" w:rsidR="0031121E" w:rsidRPr="00890249" w:rsidRDefault="000A1620" w:rsidP="004C571C">
            <w:pPr>
              <w:spacing w:before="60" w:after="60"/>
              <w:jc w:val="left"/>
              <w:rPr>
                <w:rFonts w:asciiTheme="minorHAnsi" w:hAnsiTheme="minorHAnsi" w:cstheme="minorHAnsi"/>
                <w:sz w:val="20"/>
                <w:lang w:eastAsia="en-US" w:bidi="ar-SA"/>
              </w:rPr>
            </w:pPr>
            <w:r w:rsidRPr="00890249">
              <w:rPr>
                <w:rFonts w:asciiTheme="minorHAnsi" w:hAnsiTheme="minorHAnsi" w:cstheme="minorHAnsi"/>
                <w:sz w:val="20"/>
                <w:lang w:eastAsia="en-US" w:bidi="ar-SA"/>
              </w:rPr>
              <w:t>(</w:t>
            </w:r>
            <w:r w:rsidR="0031121E" w:rsidRPr="00890249">
              <w:rPr>
                <w:rFonts w:asciiTheme="minorHAnsi" w:hAnsiTheme="minorHAnsi" w:cstheme="minorHAnsi"/>
                <w:sz w:val="20"/>
                <w:lang w:eastAsia="en-US" w:bidi="ar-SA"/>
              </w:rPr>
              <w:t xml:space="preserve">v) </w:t>
            </w:r>
          </w:p>
          <w:p w14:paraId="2139C2C7" w14:textId="77777777" w:rsidR="0031121E" w:rsidRPr="00890249" w:rsidRDefault="00225470" w:rsidP="000A1620">
            <w:pPr>
              <w:spacing w:before="60" w:after="60"/>
              <w:jc w:val="left"/>
              <w:rPr>
                <w:rFonts w:asciiTheme="minorHAnsi" w:hAnsiTheme="minorHAnsi" w:cstheme="minorHAnsi"/>
                <w:i/>
                <w:sz w:val="20"/>
              </w:rPr>
            </w:pPr>
            <w:r w:rsidRPr="00890249">
              <w:rPr>
                <w:rFonts w:asciiTheme="minorHAnsi" w:hAnsiTheme="minorHAnsi" w:cstheme="minorHAnsi"/>
                <w:i/>
                <w:sz w:val="20"/>
                <w:lang w:eastAsia="en-US" w:bidi="ar-SA"/>
              </w:rPr>
              <w:t>Zapewnianie</w:t>
            </w:r>
            <w:r w:rsidR="0031121E" w:rsidRPr="00890249">
              <w:rPr>
                <w:rFonts w:asciiTheme="minorHAnsi" w:hAnsiTheme="minorHAnsi" w:cstheme="minorHAnsi"/>
                <w:i/>
                <w:sz w:val="20"/>
                <w:lang w:eastAsia="en-US" w:bidi="ar-SA"/>
              </w:rPr>
              <w:t xml:space="preserve"> równego dostępu do opieki zdrowotnej </w:t>
            </w:r>
            <w:r w:rsidR="00D81B02" w:rsidRPr="00890249">
              <w:rPr>
                <w:rFonts w:asciiTheme="minorHAnsi" w:hAnsiTheme="minorHAnsi" w:cstheme="minorHAnsi"/>
                <w:i/>
                <w:sz w:val="20"/>
                <w:lang w:eastAsia="en-US" w:bidi="ar-SA"/>
              </w:rPr>
              <w:t xml:space="preserve">i wspieranie odporności systemów opieki zdrowotnej, </w:t>
            </w:r>
            <w:r w:rsidR="0031121E" w:rsidRPr="00890249">
              <w:rPr>
                <w:rFonts w:asciiTheme="minorHAnsi" w:hAnsiTheme="minorHAnsi" w:cstheme="minorHAnsi"/>
                <w:i/>
                <w:sz w:val="20"/>
                <w:lang w:eastAsia="en-US" w:bidi="ar-SA"/>
              </w:rPr>
              <w:br/>
              <w:t>w tym podstawowej opieki zdrowotnej</w:t>
            </w:r>
            <w:r w:rsidR="00D81B02" w:rsidRPr="00890249">
              <w:rPr>
                <w:rFonts w:asciiTheme="minorHAnsi" w:hAnsiTheme="minorHAnsi" w:cstheme="minorHAnsi"/>
                <w:i/>
                <w:sz w:val="20"/>
                <w:lang w:eastAsia="en-US" w:bidi="ar-SA"/>
              </w:rPr>
              <w:t xml:space="preserve">, oraz wspieranie przechodzenia od opieki </w:t>
            </w:r>
            <w:r w:rsidR="00D81B02" w:rsidRPr="00890249">
              <w:rPr>
                <w:rFonts w:asciiTheme="minorHAnsi" w:hAnsiTheme="minorHAnsi" w:cstheme="minorHAnsi"/>
                <w:i/>
                <w:sz w:val="20"/>
                <w:lang w:eastAsia="en-US" w:bidi="ar-SA"/>
              </w:rPr>
              <w:lastRenderedPageBreak/>
              <w:t>instytucjonaln</w:t>
            </w:r>
            <w:r w:rsidR="0035005D" w:rsidRPr="00890249">
              <w:rPr>
                <w:rFonts w:asciiTheme="minorHAnsi" w:hAnsiTheme="minorHAnsi" w:cstheme="minorHAnsi"/>
                <w:i/>
                <w:sz w:val="20"/>
                <w:lang w:eastAsia="en-US" w:bidi="ar-SA"/>
              </w:rPr>
              <w:t>ej do opieki rodzinnej i </w:t>
            </w:r>
            <w:r w:rsidR="00D81B02" w:rsidRPr="00890249">
              <w:rPr>
                <w:rFonts w:asciiTheme="minorHAnsi" w:hAnsiTheme="minorHAnsi" w:cstheme="minorHAnsi"/>
                <w:i/>
                <w:sz w:val="20"/>
                <w:lang w:eastAsia="en-US" w:bidi="ar-SA"/>
              </w:rPr>
              <w:t>środowiskowej</w:t>
            </w:r>
          </w:p>
        </w:tc>
        <w:tc>
          <w:tcPr>
            <w:tcW w:w="2691" w:type="pct"/>
          </w:tcPr>
          <w:p w14:paraId="3FF21712" w14:textId="77777777" w:rsidR="00B72154" w:rsidRPr="00890249" w:rsidRDefault="00875C92" w:rsidP="00890249">
            <w:pPr>
              <w:spacing w:before="60" w:after="60"/>
              <w:rPr>
                <w:rFonts w:asciiTheme="minorHAnsi" w:eastAsiaTheme="minorHAnsi" w:hAnsiTheme="minorHAnsi" w:cstheme="minorHAnsi"/>
                <w:noProof/>
                <w:sz w:val="20"/>
              </w:rPr>
            </w:pPr>
            <w:r w:rsidRPr="00890249">
              <w:rPr>
                <w:rFonts w:asciiTheme="minorHAnsi" w:eastAsiaTheme="minorHAnsi" w:hAnsiTheme="minorHAnsi" w:cstheme="minorHAnsi"/>
                <w:noProof/>
                <w:sz w:val="20"/>
              </w:rPr>
              <w:lastRenderedPageBreak/>
              <w:t>Przewidziane do realizacji formy wsparcia</w:t>
            </w:r>
            <w:r w:rsidR="008076BB" w:rsidRPr="00890249">
              <w:rPr>
                <w:rFonts w:asciiTheme="minorHAnsi" w:eastAsiaTheme="minorHAnsi" w:hAnsiTheme="minorHAnsi" w:cstheme="minorHAnsi"/>
                <w:noProof/>
                <w:sz w:val="20"/>
              </w:rPr>
              <w:t>:</w:t>
            </w:r>
            <w:r w:rsidRPr="00890249">
              <w:rPr>
                <w:rFonts w:asciiTheme="minorHAnsi" w:eastAsiaTheme="minorHAnsi" w:hAnsiTheme="minorHAnsi" w:cstheme="minorHAnsi"/>
                <w:noProof/>
                <w:sz w:val="20"/>
              </w:rPr>
              <w:t xml:space="preserve"> </w:t>
            </w:r>
          </w:p>
          <w:p w14:paraId="456BF205" w14:textId="6FE079A8" w:rsidR="00B72154" w:rsidRPr="00890249" w:rsidRDefault="00875C92" w:rsidP="009F296A">
            <w:pPr>
              <w:pStyle w:val="Akapitzlist"/>
              <w:numPr>
                <w:ilvl w:val="0"/>
                <w:numId w:val="109"/>
              </w:numPr>
              <w:spacing w:before="60" w:after="60"/>
              <w:ind w:left="389" w:hanging="389"/>
              <w:rPr>
                <w:rFonts w:asciiTheme="minorHAnsi" w:eastAsiaTheme="minorHAnsi" w:hAnsiTheme="minorHAnsi" w:cstheme="minorHAnsi"/>
                <w:noProof/>
                <w:sz w:val="20"/>
              </w:rPr>
            </w:pPr>
            <w:r w:rsidRPr="00890249">
              <w:rPr>
                <w:rFonts w:asciiTheme="minorHAnsi" w:eastAsiaTheme="minorHAnsi" w:hAnsiTheme="minorHAnsi" w:cstheme="minorHAnsi"/>
                <w:noProof/>
                <w:sz w:val="20"/>
              </w:rPr>
              <w:t xml:space="preserve">są zgodne z </w:t>
            </w:r>
            <w:r w:rsidRPr="00890249">
              <w:rPr>
                <w:rFonts w:asciiTheme="minorHAnsi" w:eastAsiaTheme="minorHAnsi" w:hAnsiTheme="minorHAnsi" w:cstheme="minorHAnsi"/>
                <w:i/>
                <w:noProof/>
                <w:sz w:val="20"/>
              </w:rPr>
              <w:t>Załącznikiem D do Sprawozdania Krajowego 2019</w:t>
            </w:r>
            <w:r w:rsidRPr="00890249">
              <w:rPr>
                <w:rFonts w:asciiTheme="minorHAnsi" w:eastAsiaTheme="minorHAnsi" w:hAnsiTheme="minorHAnsi" w:cstheme="minorHAnsi"/>
                <w:noProof/>
                <w:sz w:val="20"/>
              </w:rPr>
              <w:t>, zgodnie z którym system opieki zdrowotnej jest zbyt skoncentrowany na szpitalach. Inwestycje będą ws</w:t>
            </w:r>
            <w:r w:rsidR="003D60A7" w:rsidRPr="00890249">
              <w:rPr>
                <w:rFonts w:asciiTheme="minorHAnsi" w:eastAsiaTheme="minorHAnsi" w:hAnsiTheme="minorHAnsi" w:cstheme="minorHAnsi"/>
                <w:noProof/>
                <w:sz w:val="20"/>
              </w:rPr>
              <w:t>p</w:t>
            </w:r>
            <w:r w:rsidRPr="00890249">
              <w:rPr>
                <w:rFonts w:asciiTheme="minorHAnsi" w:eastAsiaTheme="minorHAnsi" w:hAnsiTheme="minorHAnsi" w:cstheme="minorHAnsi"/>
                <w:noProof/>
                <w:sz w:val="20"/>
              </w:rPr>
              <w:t>ierać przejście z opieki szpitaln</w:t>
            </w:r>
            <w:r w:rsidR="003D60A7" w:rsidRPr="00890249">
              <w:rPr>
                <w:rFonts w:asciiTheme="minorHAnsi" w:eastAsiaTheme="minorHAnsi" w:hAnsiTheme="minorHAnsi" w:cstheme="minorHAnsi"/>
                <w:noProof/>
                <w:sz w:val="20"/>
              </w:rPr>
              <w:t>ej i instytucjonalnej na przystę</w:t>
            </w:r>
            <w:r w:rsidRPr="00890249">
              <w:rPr>
                <w:rFonts w:asciiTheme="minorHAnsi" w:eastAsiaTheme="minorHAnsi" w:hAnsiTheme="minorHAnsi" w:cstheme="minorHAnsi"/>
                <w:noProof/>
                <w:sz w:val="20"/>
              </w:rPr>
              <w:t>pne cenowo i wysokiej jakości usługi w zakresie opieki domowej i usługi środowiskowe, a takż</w:t>
            </w:r>
            <w:r w:rsidR="003D60A7" w:rsidRPr="00890249">
              <w:rPr>
                <w:rFonts w:asciiTheme="minorHAnsi" w:eastAsiaTheme="minorHAnsi" w:hAnsiTheme="minorHAnsi" w:cstheme="minorHAnsi"/>
                <w:noProof/>
                <w:sz w:val="20"/>
              </w:rPr>
              <w:t>e koordynację</w:t>
            </w:r>
            <w:r w:rsidRPr="00890249">
              <w:rPr>
                <w:rFonts w:asciiTheme="minorHAnsi" w:eastAsiaTheme="minorHAnsi" w:hAnsiTheme="minorHAnsi" w:cstheme="minorHAnsi"/>
                <w:noProof/>
                <w:sz w:val="20"/>
              </w:rPr>
              <w:t xml:space="preserve"> opieki zdrowotnej, opieki społecznej i opieki długoterminowej</w:t>
            </w:r>
            <w:r w:rsidR="00886749" w:rsidRPr="00890249">
              <w:rPr>
                <w:rFonts w:asciiTheme="minorHAnsi" w:eastAsiaTheme="minorHAnsi" w:hAnsiTheme="minorHAnsi" w:cstheme="minorHAnsi"/>
                <w:noProof/>
                <w:sz w:val="20"/>
              </w:rPr>
              <w:t>,</w:t>
            </w:r>
          </w:p>
          <w:p w14:paraId="1354054A" w14:textId="719A76C6" w:rsidR="00B72154" w:rsidRPr="00890249" w:rsidRDefault="00875C92" w:rsidP="009F296A">
            <w:pPr>
              <w:numPr>
                <w:ilvl w:val="0"/>
                <w:numId w:val="14"/>
              </w:numPr>
              <w:spacing w:before="60" w:after="60"/>
              <w:ind w:left="357" w:hanging="357"/>
              <w:contextualSpacing/>
              <w:rPr>
                <w:rFonts w:asciiTheme="minorHAnsi" w:eastAsiaTheme="minorHAnsi" w:hAnsiTheme="minorHAnsi" w:cstheme="minorHAnsi"/>
                <w:color w:val="FF0000"/>
                <w:sz w:val="20"/>
                <w:szCs w:val="22"/>
                <w:lang w:eastAsia="en-US" w:bidi="ar-SA"/>
              </w:rPr>
            </w:pPr>
            <w:r w:rsidRPr="00890249">
              <w:rPr>
                <w:rFonts w:asciiTheme="minorHAnsi" w:hAnsiTheme="minorHAnsi" w:cstheme="minorHAnsi"/>
                <w:sz w:val="20"/>
                <w:szCs w:val="22"/>
                <w:lang w:eastAsia="en-US"/>
              </w:rPr>
              <w:lastRenderedPageBreak/>
              <w:t xml:space="preserve">wpisują się w zalecenia </w:t>
            </w:r>
            <w:r w:rsidRPr="00890249">
              <w:rPr>
                <w:rFonts w:asciiTheme="minorHAnsi" w:hAnsiTheme="minorHAnsi" w:cstheme="minorHAnsi"/>
                <w:i/>
                <w:sz w:val="20"/>
                <w:szCs w:val="22"/>
                <w:lang w:eastAsia="en-US"/>
              </w:rPr>
              <w:t>Rady w sprawie krajowego programu reform Polski na 2020 r.</w:t>
            </w:r>
            <w:r w:rsidRPr="00890249">
              <w:rPr>
                <w:rFonts w:asciiTheme="minorHAnsi" w:hAnsiTheme="minorHAnsi" w:cstheme="minorHAnsi"/>
                <w:sz w:val="20"/>
                <w:szCs w:val="22"/>
                <w:lang w:eastAsia="en-US"/>
              </w:rPr>
              <w:t xml:space="preserve"> tj.: poprawa dostępności, odporności i skuteczności systemu ochrony zdrowia</w:t>
            </w:r>
            <w:r w:rsidR="00886749" w:rsidRPr="00890249">
              <w:rPr>
                <w:rFonts w:asciiTheme="minorHAnsi" w:hAnsiTheme="minorHAnsi" w:cstheme="minorHAnsi"/>
                <w:sz w:val="20"/>
                <w:szCs w:val="22"/>
                <w:lang w:eastAsia="en-US"/>
              </w:rPr>
              <w:t>,</w:t>
            </w:r>
          </w:p>
          <w:p w14:paraId="195BB24A" w14:textId="57B24764" w:rsidR="00B72154" w:rsidRPr="00890249" w:rsidRDefault="00875C92" w:rsidP="009F296A">
            <w:pPr>
              <w:numPr>
                <w:ilvl w:val="0"/>
                <w:numId w:val="14"/>
              </w:numPr>
              <w:spacing w:before="60" w:after="60"/>
              <w:ind w:left="357" w:hanging="357"/>
              <w:contextualSpacing/>
              <w:rPr>
                <w:rFonts w:asciiTheme="minorHAnsi" w:eastAsiaTheme="minorHAnsi" w:hAnsiTheme="minorHAnsi" w:cstheme="minorHAnsi"/>
                <w:color w:val="FF0000"/>
                <w:sz w:val="20"/>
                <w:szCs w:val="22"/>
                <w:lang w:eastAsia="en-US" w:bidi="ar-SA"/>
              </w:rPr>
            </w:pPr>
            <w:r w:rsidRPr="00890249">
              <w:rPr>
                <w:rFonts w:asciiTheme="minorHAnsi" w:hAnsiTheme="minorHAnsi" w:cstheme="minorHAnsi"/>
                <w:sz w:val="20"/>
                <w:szCs w:val="22"/>
                <w:lang w:eastAsia="en-US"/>
              </w:rPr>
              <w:t xml:space="preserve">wpisują się w </w:t>
            </w:r>
            <w:r w:rsidRPr="00890249">
              <w:rPr>
                <w:rFonts w:asciiTheme="minorHAnsi" w:hAnsiTheme="minorHAnsi" w:cstheme="minorHAnsi"/>
                <w:i/>
                <w:sz w:val="20"/>
                <w:szCs w:val="22"/>
                <w:lang w:eastAsia="en-US"/>
              </w:rPr>
              <w:t>zalecenia KE</w:t>
            </w:r>
            <w:r w:rsidRPr="00890249">
              <w:rPr>
                <w:rFonts w:asciiTheme="minorHAnsi" w:hAnsiTheme="minorHAnsi" w:cstheme="minorHAnsi"/>
                <w:sz w:val="20"/>
                <w:szCs w:val="22"/>
                <w:lang w:eastAsia="en-US"/>
              </w:rPr>
              <w:t xml:space="preserve"> określone jako wysoce priorytetowe w celu promowania aktywnego i zdrowego s</w:t>
            </w:r>
            <w:r w:rsidR="00A723EB">
              <w:rPr>
                <w:rFonts w:asciiTheme="minorHAnsi" w:hAnsiTheme="minorHAnsi" w:cstheme="minorHAnsi"/>
                <w:sz w:val="20"/>
                <w:szCs w:val="22"/>
                <w:lang w:eastAsia="en-US"/>
              </w:rPr>
              <w:t>tarzenia się, poprawy równego i </w:t>
            </w:r>
            <w:r w:rsidRPr="00890249">
              <w:rPr>
                <w:rFonts w:asciiTheme="minorHAnsi" w:hAnsiTheme="minorHAnsi" w:cstheme="minorHAnsi"/>
                <w:sz w:val="20"/>
                <w:szCs w:val="22"/>
                <w:lang w:eastAsia="en-US"/>
              </w:rPr>
              <w:t>szybkiego dostępu do wysokiej jakości, zrównoważonych, p</w:t>
            </w:r>
            <w:r w:rsidR="00A723EB">
              <w:rPr>
                <w:rFonts w:asciiTheme="minorHAnsi" w:hAnsiTheme="minorHAnsi" w:cstheme="minorHAnsi"/>
                <w:sz w:val="20"/>
                <w:szCs w:val="22"/>
                <w:lang w:eastAsia="en-US"/>
              </w:rPr>
              <w:t>rzystępnych cenowo usług oraz w </w:t>
            </w:r>
            <w:r w:rsidRPr="00890249">
              <w:rPr>
                <w:rFonts w:asciiTheme="minorHAnsi" w:hAnsiTheme="minorHAnsi" w:cstheme="minorHAnsi"/>
                <w:sz w:val="20"/>
                <w:szCs w:val="22"/>
                <w:lang w:eastAsia="en-US"/>
              </w:rPr>
              <w:t>celu poprawy dostępności, skuteczności i odporności systemu opieki zdrowotnej i opieki długoterminowej zgodnie z </w:t>
            </w:r>
            <w:r w:rsidRPr="00890249">
              <w:rPr>
                <w:rFonts w:asciiTheme="minorHAnsi" w:hAnsiTheme="minorHAnsi" w:cstheme="minorHAnsi"/>
                <w:i/>
                <w:sz w:val="20"/>
                <w:szCs w:val="22"/>
                <w:lang w:eastAsia="en-US"/>
              </w:rPr>
              <w:t>Wytycznymi inwestycyjnymi dla Polski w zakresie finansowania polityki spójności na lata 2021-2027</w:t>
            </w:r>
            <w:r w:rsidRPr="00890249">
              <w:rPr>
                <w:rFonts w:asciiTheme="minorHAnsi" w:hAnsiTheme="minorHAnsi" w:cstheme="minorHAnsi"/>
                <w:i/>
                <w:sz w:val="20"/>
                <w:szCs w:val="22"/>
                <w:vertAlign w:val="superscript"/>
                <w:lang w:eastAsia="en-US"/>
              </w:rPr>
              <w:footnoteReference w:id="68"/>
            </w:r>
            <w:r w:rsidR="00886749" w:rsidRPr="00890249">
              <w:rPr>
                <w:rFonts w:asciiTheme="minorHAnsi" w:hAnsiTheme="minorHAnsi" w:cstheme="minorHAnsi"/>
                <w:i/>
                <w:sz w:val="20"/>
                <w:szCs w:val="22"/>
                <w:lang w:eastAsia="en-US"/>
              </w:rPr>
              <w:t>,</w:t>
            </w:r>
          </w:p>
          <w:p w14:paraId="664306A6" w14:textId="1517652C" w:rsidR="0095783B" w:rsidRPr="00890249" w:rsidRDefault="00875C92" w:rsidP="009F296A">
            <w:pPr>
              <w:numPr>
                <w:ilvl w:val="0"/>
                <w:numId w:val="14"/>
              </w:numPr>
              <w:spacing w:before="60" w:after="60"/>
              <w:ind w:left="357" w:hanging="357"/>
              <w:contextualSpacing/>
              <w:rPr>
                <w:rFonts w:asciiTheme="minorHAnsi" w:eastAsiaTheme="minorHAnsi" w:hAnsiTheme="minorHAnsi" w:cstheme="minorHAnsi"/>
                <w:noProof/>
                <w:sz w:val="20"/>
              </w:rPr>
            </w:pPr>
            <w:r w:rsidRPr="00890249">
              <w:rPr>
                <w:rFonts w:asciiTheme="minorHAnsi" w:eastAsiaTheme="minorHAnsi" w:hAnsiTheme="minorHAnsi" w:cstheme="minorHAnsi"/>
                <w:noProof/>
                <w:sz w:val="20"/>
              </w:rPr>
              <w:t xml:space="preserve">są zgodne z założeniami </w:t>
            </w:r>
            <w:r w:rsidRPr="00890249">
              <w:rPr>
                <w:rFonts w:asciiTheme="minorHAnsi" w:eastAsiaTheme="minorHAnsi" w:hAnsiTheme="minorHAnsi" w:cstheme="minorHAnsi"/>
                <w:i/>
                <w:noProof/>
                <w:sz w:val="20"/>
              </w:rPr>
              <w:t>Europejskiego filaru praw socjalnych</w:t>
            </w:r>
            <w:r w:rsidRPr="00890249">
              <w:rPr>
                <w:rFonts w:asciiTheme="minorHAnsi" w:eastAsiaTheme="minorHAnsi" w:hAnsiTheme="minorHAnsi" w:cstheme="minorHAnsi"/>
                <w:noProof/>
                <w:sz w:val="20"/>
              </w:rPr>
              <w:t>, które stanowią, że: każdy ma prawo do szybkiego dostępu do przystępnej cenowo, prewencyjnej i objawowej opieki zdrowotnej dobrej jakości.</w:t>
            </w:r>
          </w:p>
          <w:p w14:paraId="3A2A0A54" w14:textId="28AD538E" w:rsidR="00B72154" w:rsidRPr="00890249" w:rsidRDefault="701A86F4" w:rsidP="00890249">
            <w:pPr>
              <w:spacing w:before="60" w:after="60"/>
              <w:contextualSpacing/>
              <w:rPr>
                <w:rFonts w:asciiTheme="minorHAnsi" w:hAnsiTheme="minorHAnsi" w:cstheme="minorHAnsi"/>
                <w:b/>
                <w:noProof/>
                <w:color w:val="003399"/>
              </w:rPr>
            </w:pPr>
            <w:r w:rsidRPr="00890249">
              <w:rPr>
                <w:rFonts w:asciiTheme="minorHAnsi" w:eastAsiaTheme="minorEastAsia" w:hAnsiTheme="minorHAnsi" w:cstheme="minorHAnsi"/>
                <w:noProof/>
                <w:sz w:val="20"/>
              </w:rPr>
              <w:t>Wsparcie dotyczące infrastruktury zdrowotnej w regionie będzie realizowane na za</w:t>
            </w:r>
            <w:r w:rsidR="00A723EB">
              <w:rPr>
                <w:rFonts w:asciiTheme="minorHAnsi" w:eastAsiaTheme="minorEastAsia" w:hAnsiTheme="minorHAnsi" w:cstheme="minorHAnsi"/>
                <w:noProof/>
                <w:sz w:val="20"/>
              </w:rPr>
              <w:t>sadach i w zakresie zgodnym z </w:t>
            </w:r>
            <w:r w:rsidRPr="00890249">
              <w:rPr>
                <w:rFonts w:asciiTheme="minorHAnsi" w:eastAsiaTheme="minorEastAsia" w:hAnsiTheme="minorHAnsi" w:cstheme="minorHAnsi"/>
                <w:noProof/>
                <w:sz w:val="20"/>
              </w:rPr>
              <w:t xml:space="preserve">dokumentem pn. </w:t>
            </w:r>
            <w:r w:rsidR="00875C92" w:rsidRPr="00890249">
              <w:rPr>
                <w:rFonts w:asciiTheme="minorHAnsi" w:eastAsiaTheme="minorEastAsia" w:hAnsiTheme="minorHAnsi" w:cstheme="minorHAnsi"/>
                <w:i/>
                <w:iCs/>
                <w:noProof/>
                <w:sz w:val="20"/>
              </w:rPr>
              <w:t>Zdrowa przyszłość. Ramy strategiczne rozwoju systemu ochr</w:t>
            </w:r>
            <w:r w:rsidR="00A723EB">
              <w:rPr>
                <w:rFonts w:asciiTheme="minorHAnsi" w:eastAsiaTheme="minorEastAsia" w:hAnsiTheme="minorHAnsi" w:cstheme="minorHAnsi"/>
                <w:i/>
                <w:iCs/>
                <w:noProof/>
                <w:sz w:val="20"/>
              </w:rPr>
              <w:t>ony zdrowia na lata 2021-2027 z </w:t>
            </w:r>
            <w:r w:rsidR="00875C92" w:rsidRPr="00890249">
              <w:rPr>
                <w:rFonts w:asciiTheme="minorHAnsi" w:eastAsiaTheme="minorEastAsia" w:hAnsiTheme="minorHAnsi" w:cstheme="minorHAnsi"/>
                <w:i/>
                <w:iCs/>
                <w:noProof/>
                <w:sz w:val="20"/>
              </w:rPr>
              <w:t>perspektywą do 2030</w:t>
            </w:r>
            <w:r w:rsidRPr="00890249">
              <w:rPr>
                <w:rFonts w:asciiTheme="minorHAnsi" w:eastAsiaTheme="minorEastAsia" w:hAnsiTheme="minorHAnsi" w:cstheme="minorHAnsi"/>
                <w:noProof/>
                <w:sz w:val="20"/>
              </w:rPr>
              <w:t xml:space="preserve"> tj. 1.1 Zapewnienie równej dostępności do świadczeń zdrowotnych w ilości i czasie adekwatnych do uzasadnionych potrzeb zdrowotnych społeczeństwa, 2.4 Optymalizacja piramidy świadczeń oraz 3.2 Rozwój i modernizacja infrastruktury ochrony zdrowia zgodny z potrzebami zdrowotnymi społeczeństwa, a także Mapami Potrzeb oraz Wojewódzkim Planem Transformacji.</w:t>
            </w:r>
          </w:p>
        </w:tc>
      </w:tr>
      <w:tr w:rsidR="00500AA9" w:rsidRPr="00890249" w14:paraId="432651A0" w14:textId="77777777" w:rsidTr="18317E1B">
        <w:tc>
          <w:tcPr>
            <w:tcW w:w="1038" w:type="pct"/>
            <w:vMerge w:val="restart"/>
          </w:tcPr>
          <w:p w14:paraId="60BE685F" w14:textId="77777777" w:rsidR="00500AA9" w:rsidRPr="00890249" w:rsidRDefault="00500AA9" w:rsidP="004C571C">
            <w:pPr>
              <w:spacing w:before="60" w:after="60"/>
              <w:jc w:val="left"/>
              <w:rPr>
                <w:rFonts w:asciiTheme="minorHAnsi" w:hAnsiTheme="minorHAnsi" w:cstheme="minorHAnsi"/>
                <w:b/>
                <w:sz w:val="20"/>
                <w:lang w:eastAsia="en-US" w:bidi="ar-SA"/>
              </w:rPr>
            </w:pPr>
            <w:r w:rsidRPr="00890249">
              <w:rPr>
                <w:rFonts w:asciiTheme="minorHAnsi" w:hAnsiTheme="minorHAnsi" w:cstheme="minorHAnsi"/>
                <w:b/>
                <w:sz w:val="20"/>
                <w:lang w:eastAsia="en-US" w:bidi="ar-SA"/>
              </w:rPr>
              <w:lastRenderedPageBreak/>
              <w:t xml:space="preserve">Cel Polityki 4. </w:t>
            </w:r>
          </w:p>
          <w:p w14:paraId="03B6F489" w14:textId="77777777" w:rsidR="00500AA9" w:rsidRPr="00890249" w:rsidRDefault="00500AA9" w:rsidP="004C571C">
            <w:pPr>
              <w:spacing w:before="60" w:after="60"/>
              <w:jc w:val="left"/>
              <w:rPr>
                <w:rFonts w:asciiTheme="minorHAnsi" w:eastAsia="Times New Roman" w:hAnsiTheme="minorHAnsi" w:cstheme="minorHAnsi"/>
                <w:b/>
                <w:iCs/>
                <w:noProof/>
                <w:sz w:val="20"/>
              </w:rPr>
            </w:pPr>
            <w:r w:rsidRPr="00890249">
              <w:rPr>
                <w:rFonts w:asciiTheme="minorHAnsi" w:hAnsiTheme="minorHAnsi" w:cstheme="minorHAnsi"/>
                <w:b/>
                <w:i/>
                <w:sz w:val="20"/>
                <w:lang w:eastAsia="en-US" w:bidi="ar-SA"/>
              </w:rPr>
              <w:t>Europa o silniejszym wymiarze społecznym, bardziej sprzyjająca włączeniu społecznemu i wdrażająca  Europejski filar praw socjalnych (EFS)</w:t>
            </w:r>
          </w:p>
          <w:p w14:paraId="1CCFCE17"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6B22032C"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(a) </w:t>
            </w:r>
          </w:p>
          <w:p w14:paraId="12E09F61" w14:textId="77777777" w:rsidR="00500AA9" w:rsidRPr="00890249" w:rsidRDefault="00500AA9" w:rsidP="000A1620">
            <w:pPr>
              <w:spacing w:before="60" w:after="60"/>
              <w:jc w:val="left"/>
              <w:rPr>
                <w:rFonts w:asciiTheme="minorHAnsi" w:eastAsia="Times New Roman" w:hAnsiTheme="minorHAnsi" w:cstheme="minorHAnsi"/>
                <w:i/>
                <w:iCs/>
                <w:noProof/>
                <w:sz w:val="20"/>
              </w:rPr>
            </w:pPr>
            <w:r w:rsidRPr="00890249">
              <w:rPr>
                <w:rFonts w:asciiTheme="minorHAnsi" w:hAnsiTheme="minorHAnsi" w:cstheme="minorHAnsi"/>
                <w:i/>
                <w:sz w:val="20"/>
              </w:rPr>
              <w:t xml:space="preserve">Poprawa dostępu do zatrudnienia i działań aktywizujących dla wszystkich osób poszukujących pracy, w szczególności osób młodych, zwłaszcza poprzez wdrażanie gwarancji dla młodzieży, </w:t>
            </w:r>
            <w:r w:rsidRPr="00890249">
              <w:rPr>
                <w:rFonts w:asciiTheme="minorHAnsi" w:hAnsiTheme="minorHAnsi" w:cstheme="minorHAnsi"/>
                <w:i/>
                <w:sz w:val="20"/>
              </w:rPr>
              <w:br/>
              <w:t xml:space="preserve">długotrwale bezrobotnych oraz grup znajdujących się w niekorzystnej sytuacji na rynku pracy, jak również  dla osób biernych zawodowo, </w:t>
            </w:r>
            <w:r w:rsidRPr="00890249">
              <w:rPr>
                <w:rFonts w:asciiTheme="minorHAnsi" w:hAnsiTheme="minorHAnsi" w:cstheme="minorHAnsi"/>
                <w:i/>
                <w:sz w:val="20"/>
              </w:rPr>
              <w:br/>
              <w:t xml:space="preserve">a także poprzez </w:t>
            </w:r>
            <w:r w:rsidRPr="00890249">
              <w:rPr>
                <w:rFonts w:asciiTheme="minorHAnsi" w:hAnsiTheme="minorHAnsi" w:cstheme="minorHAnsi"/>
                <w:i/>
                <w:sz w:val="20"/>
              </w:rPr>
              <w:lastRenderedPageBreak/>
              <w:t xml:space="preserve">promowanie samozatrudnienia </w:t>
            </w:r>
            <w:r w:rsidRPr="00890249">
              <w:rPr>
                <w:rFonts w:asciiTheme="minorHAnsi" w:hAnsiTheme="minorHAnsi" w:cstheme="minorHAnsi"/>
                <w:i/>
                <w:sz w:val="20"/>
              </w:rPr>
              <w:br/>
              <w:t>i ekonomii społecznej</w:t>
            </w:r>
          </w:p>
        </w:tc>
        <w:tc>
          <w:tcPr>
            <w:tcW w:w="2691" w:type="pct"/>
          </w:tcPr>
          <w:p w14:paraId="4A5B42A2" w14:textId="65FE5A02" w:rsidR="00B72154" w:rsidRPr="00890249" w:rsidRDefault="00875C92" w:rsidP="009F296A">
            <w:pPr>
              <w:pStyle w:val="Akapitzlist"/>
              <w:numPr>
                <w:ilvl w:val="0"/>
                <w:numId w:val="98"/>
              </w:numPr>
              <w:ind w:left="389" w:hanging="425"/>
              <w:rPr>
                <w:rFonts w:asciiTheme="minorHAnsi" w:hAnsiTheme="minorHAnsi" w:cstheme="minorHAnsi"/>
                <w:color w:val="000000"/>
                <w:sz w:val="20"/>
              </w:rPr>
            </w:pPr>
            <w:r w:rsidRPr="00890249">
              <w:rPr>
                <w:rFonts w:asciiTheme="minorHAnsi" w:hAnsiTheme="minorHAnsi" w:cstheme="minorHAnsi"/>
                <w:sz w:val="20"/>
              </w:rPr>
              <w:lastRenderedPageBreak/>
              <w:t xml:space="preserve">Prawo do wsparcia na rzecz poprawy perspektyw zatrudnienia lub prowadzenia działalności na własny rachunek stanowi jeden z priorytetów </w:t>
            </w:r>
            <w:r w:rsidRPr="00890249">
              <w:rPr>
                <w:rFonts w:asciiTheme="minorHAnsi" w:hAnsiTheme="minorHAnsi" w:cstheme="minorHAnsi"/>
                <w:i/>
                <w:sz w:val="20"/>
              </w:rPr>
              <w:t>Europejskiego filaru praw socjalnych</w:t>
            </w:r>
            <w:r w:rsidRPr="00890249">
              <w:rPr>
                <w:rFonts w:asciiTheme="minorHAnsi" w:hAnsiTheme="minorHAnsi" w:cstheme="minorHAnsi"/>
                <w:sz w:val="20"/>
                <w:vertAlign w:val="superscript"/>
              </w:rPr>
              <w:footnoteReference w:id="69"/>
            </w:r>
            <w:r w:rsidRPr="00890249">
              <w:rPr>
                <w:rFonts w:asciiTheme="minorHAnsi" w:hAnsiTheme="minorHAnsi" w:cstheme="minorHAnsi"/>
                <w:sz w:val="20"/>
              </w:rPr>
              <w:t xml:space="preserve">. </w:t>
            </w:r>
          </w:p>
          <w:p w14:paraId="2A180CC1" w14:textId="0ACEC9DD" w:rsidR="00B72154" w:rsidRPr="00890249" w:rsidRDefault="00875C92" w:rsidP="009F296A">
            <w:pPr>
              <w:pStyle w:val="Akapitzlist"/>
              <w:numPr>
                <w:ilvl w:val="0"/>
                <w:numId w:val="98"/>
              </w:numPr>
              <w:ind w:left="389" w:hanging="425"/>
              <w:rPr>
                <w:rFonts w:asciiTheme="minorHAnsi" w:hAnsiTheme="minorHAnsi" w:cstheme="minorHAnsi"/>
                <w:sz w:val="20"/>
              </w:rPr>
            </w:pPr>
            <w:r w:rsidRPr="00890249">
              <w:rPr>
                <w:rFonts w:asciiTheme="minorHAnsi" w:hAnsiTheme="minorHAnsi" w:cstheme="minorHAnsi"/>
                <w:sz w:val="20"/>
              </w:rPr>
              <w:t xml:space="preserve">Podjęcie działań w </w:t>
            </w:r>
            <w:r w:rsidR="00A723EB">
              <w:rPr>
                <w:rFonts w:asciiTheme="minorHAnsi" w:hAnsiTheme="minorHAnsi" w:cstheme="minorHAnsi"/>
                <w:sz w:val="20"/>
              </w:rPr>
              <w:t>celu zwiększenia uczestnictwa w </w:t>
            </w:r>
            <w:r w:rsidRPr="00890249">
              <w:rPr>
                <w:rFonts w:asciiTheme="minorHAnsi" w:hAnsiTheme="minorHAnsi" w:cstheme="minorHAnsi"/>
                <w:sz w:val="20"/>
              </w:rPr>
              <w:t>rynku pracy stanowi jedno z zaleceń Rady Europejskiej na 2019 r.</w:t>
            </w:r>
            <w:r w:rsidRPr="00890249">
              <w:rPr>
                <w:rStyle w:val="Odwoanieprzypisudolnego"/>
                <w:rFonts w:asciiTheme="minorHAnsi" w:hAnsiTheme="minorHAnsi" w:cstheme="minorHAnsi"/>
                <w:sz w:val="20"/>
              </w:rPr>
              <w:footnoteReference w:id="70"/>
            </w:r>
          </w:p>
          <w:p w14:paraId="0FCCE97E" w14:textId="0A7C8EF1" w:rsidR="00B72154" w:rsidRPr="00890249" w:rsidRDefault="00875C92" w:rsidP="009F296A">
            <w:pPr>
              <w:pStyle w:val="Akapitzlist"/>
              <w:numPr>
                <w:ilvl w:val="0"/>
                <w:numId w:val="98"/>
              </w:numPr>
              <w:ind w:left="389" w:hanging="425"/>
              <w:rPr>
                <w:rFonts w:asciiTheme="minorHAnsi" w:hAnsiTheme="minorHAnsi" w:cstheme="minorHAnsi"/>
                <w:color w:val="000000" w:themeColor="text1"/>
                <w:lang w:eastAsia="en-US" w:bidi="ar-SA"/>
              </w:rPr>
            </w:pPr>
            <w:r w:rsidRPr="00890249">
              <w:rPr>
                <w:rFonts w:asciiTheme="minorHAnsi" w:eastAsiaTheme="minorHAnsi" w:hAnsiTheme="minorHAnsi" w:cstheme="minorHAnsi"/>
                <w:sz w:val="20"/>
                <w:lang w:eastAsia="en-US" w:bidi="ar-SA"/>
              </w:rPr>
              <w:t xml:space="preserve">W kontekście </w:t>
            </w:r>
            <w:r w:rsidR="001A6F07" w:rsidRPr="00890249">
              <w:rPr>
                <w:rFonts w:asciiTheme="minorHAnsi" w:eastAsiaTheme="minorHAnsi" w:hAnsiTheme="minorHAnsi" w:cstheme="minorHAnsi"/>
                <w:sz w:val="20"/>
                <w:lang w:eastAsia="en-US" w:bidi="ar-SA"/>
              </w:rPr>
              <w:t>działań skierowanych do niewykorzystanych zasobów pracy</w:t>
            </w:r>
            <w:r w:rsidR="00C77D33" w:rsidRPr="00890249">
              <w:rPr>
                <w:rFonts w:asciiTheme="minorHAnsi" w:eastAsiaTheme="minorHAnsi" w:hAnsiTheme="minorHAnsi" w:cstheme="minorHAnsi"/>
                <w:sz w:val="20"/>
                <w:lang w:eastAsia="en-US" w:bidi="ar-SA"/>
              </w:rPr>
              <w:t>,</w:t>
            </w:r>
            <w:r w:rsidR="001A6F07" w:rsidRPr="00890249">
              <w:rPr>
                <w:rFonts w:asciiTheme="minorHAnsi" w:eastAsiaTheme="minorHAnsi" w:hAnsiTheme="minorHAnsi" w:cstheme="minorHAnsi"/>
                <w:sz w:val="20"/>
                <w:lang w:eastAsia="en-US" w:bidi="ar-SA"/>
              </w:rPr>
              <w:t xml:space="preserve"> tj. osób 50+, kobiet i osób o niskich kwalifikacjach</w:t>
            </w:r>
            <w:r w:rsidRPr="00890249">
              <w:rPr>
                <w:rFonts w:asciiTheme="minorHAnsi" w:eastAsiaTheme="minorHAnsi" w:hAnsiTheme="minorHAnsi" w:cstheme="minorHAnsi"/>
                <w:sz w:val="20"/>
                <w:lang w:eastAsia="en-US" w:bidi="ar-SA"/>
              </w:rPr>
              <w:t xml:space="preserve"> wsparcie je</w:t>
            </w:r>
            <w:r w:rsidR="001A6F07" w:rsidRPr="00890249">
              <w:rPr>
                <w:rFonts w:asciiTheme="minorHAnsi" w:eastAsiaTheme="minorHAnsi" w:hAnsiTheme="minorHAnsi" w:cstheme="minorHAnsi"/>
                <w:sz w:val="20"/>
                <w:lang w:eastAsia="en-US" w:bidi="ar-SA"/>
              </w:rPr>
              <w:t>st zgodne z celem szczegółowym 3</w:t>
            </w:r>
            <w:r w:rsidRPr="00890249">
              <w:rPr>
                <w:rFonts w:asciiTheme="minorHAnsi" w:eastAsiaTheme="minorHAnsi" w:hAnsiTheme="minorHAnsi" w:cstheme="minorHAnsi"/>
                <w:sz w:val="20"/>
                <w:lang w:eastAsia="en-US" w:bidi="ar-SA"/>
              </w:rPr>
              <w:t xml:space="preserve"> </w:t>
            </w:r>
            <w:r w:rsidR="001A6F07" w:rsidRPr="00890249">
              <w:rPr>
                <w:rFonts w:asciiTheme="minorHAnsi" w:eastAsiaTheme="minorHAnsi" w:hAnsiTheme="minorHAnsi" w:cstheme="minorHAnsi"/>
                <w:sz w:val="20"/>
                <w:lang w:eastAsia="en-US" w:bidi="ar-SA"/>
              </w:rPr>
              <w:t>Wzrost i poprawa wykorzystania potencjału kapitału ludzkiego na rynku pracy</w:t>
            </w:r>
            <w:r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i/>
                <w:sz w:val="20"/>
                <w:lang w:eastAsia="en-US" w:bidi="ar-SA"/>
              </w:rPr>
              <w:t>Strategii Rozwoju Kapitału Ludzkiego 2030</w:t>
            </w:r>
            <w:r w:rsidRPr="00890249">
              <w:rPr>
                <w:rFonts w:asciiTheme="minorHAnsi" w:eastAsiaTheme="minorHAnsi" w:hAnsiTheme="minorHAnsi" w:cstheme="minorHAnsi"/>
                <w:sz w:val="20"/>
                <w:lang w:eastAsia="en-US" w:bidi="ar-SA"/>
              </w:rPr>
              <w:t>.</w:t>
            </w:r>
          </w:p>
        </w:tc>
      </w:tr>
      <w:tr w:rsidR="001E3EE2" w:rsidRPr="00890249" w14:paraId="032774AB" w14:textId="77777777" w:rsidTr="18317E1B">
        <w:tc>
          <w:tcPr>
            <w:tcW w:w="1038" w:type="pct"/>
            <w:vMerge/>
          </w:tcPr>
          <w:p w14:paraId="30165293" w14:textId="77777777" w:rsidR="001E3EE2" w:rsidRPr="00890249" w:rsidRDefault="001E3EE2" w:rsidP="00500AA9">
            <w:pPr>
              <w:spacing w:before="60" w:after="60"/>
              <w:jc w:val="left"/>
              <w:rPr>
                <w:rFonts w:asciiTheme="minorHAnsi" w:eastAsia="Times New Roman" w:hAnsiTheme="minorHAnsi" w:cstheme="minorHAnsi"/>
                <w:b/>
                <w:iCs/>
                <w:noProof/>
                <w:sz w:val="20"/>
              </w:rPr>
            </w:pPr>
          </w:p>
        </w:tc>
        <w:tc>
          <w:tcPr>
            <w:tcW w:w="1271" w:type="pct"/>
          </w:tcPr>
          <w:p w14:paraId="636A9702" w14:textId="5E2940F0" w:rsidR="00B72154" w:rsidRPr="00890249" w:rsidRDefault="00875C92" w:rsidP="00890249">
            <w:pPr>
              <w:spacing w:before="240" w:after="240"/>
              <w:jc w:val="left"/>
              <w:rPr>
                <w:rFonts w:asciiTheme="minorHAnsi" w:hAnsiTheme="minorHAnsi" w:cstheme="minorHAnsi"/>
                <w:noProof/>
                <w:color w:val="000000" w:themeColor="text1"/>
                <w:sz w:val="20"/>
              </w:rPr>
            </w:pPr>
            <w:r w:rsidRPr="00890249">
              <w:rPr>
                <w:rFonts w:asciiTheme="minorHAnsi" w:hAnsiTheme="minorHAnsi" w:cstheme="minorHAnsi"/>
                <w:noProof/>
                <w:color w:val="000000" w:themeColor="text1"/>
                <w:sz w:val="20"/>
              </w:rPr>
              <w:t>(c)</w:t>
            </w:r>
            <w:r w:rsidRPr="00890249">
              <w:rPr>
                <w:rFonts w:asciiTheme="minorHAnsi" w:hAnsiTheme="minorHAnsi" w:cstheme="minorHAnsi"/>
                <w:noProof/>
                <w:color w:val="000000" w:themeColor="text1"/>
                <w:sz w:val="20"/>
              </w:rPr>
              <w:br/>
            </w:r>
            <w:r w:rsidRPr="00890249">
              <w:rPr>
                <w:rFonts w:asciiTheme="minorHAnsi" w:hAnsiTheme="minorHAnsi" w:cstheme="minorHAnsi"/>
                <w:i/>
                <w:noProof/>
                <w:color w:val="000000" w:themeColor="text1"/>
                <w:sz w:val="20"/>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2691" w:type="pct"/>
          </w:tcPr>
          <w:p w14:paraId="0B301E1E" w14:textId="1B88896D" w:rsidR="00AF220D" w:rsidRPr="00890249" w:rsidRDefault="00AF220D" w:rsidP="009F296A">
            <w:pPr>
              <w:numPr>
                <w:ilvl w:val="0"/>
                <w:numId w:val="98"/>
              </w:numPr>
              <w:autoSpaceDE w:val="0"/>
              <w:autoSpaceDN w:val="0"/>
              <w:adjustRightInd w:val="0"/>
              <w:ind w:left="245" w:hanging="245"/>
              <w:rPr>
                <w:rFonts w:asciiTheme="minorHAnsi" w:hAnsiTheme="minorHAnsi" w:cstheme="minorHAnsi"/>
                <w:sz w:val="20"/>
                <w:szCs w:val="22"/>
                <w:lang w:eastAsia="en-US"/>
              </w:rPr>
            </w:pPr>
            <w:r w:rsidRPr="00890249">
              <w:rPr>
                <w:rFonts w:asciiTheme="minorHAnsi" w:hAnsiTheme="minorHAnsi" w:cstheme="minorHAnsi"/>
                <w:sz w:val="20"/>
                <w:szCs w:val="22"/>
                <w:lang w:eastAsia="en-US"/>
              </w:rPr>
              <w:t>Równouprawnienie płci, w tym w odniesieniu do udziału w rynku</w:t>
            </w:r>
            <w:r w:rsidR="00A723EB">
              <w:rPr>
                <w:rFonts w:asciiTheme="minorHAnsi" w:hAnsiTheme="minorHAnsi" w:cstheme="minorHAnsi"/>
                <w:sz w:val="20"/>
                <w:szCs w:val="22"/>
                <w:lang w:eastAsia="en-US"/>
              </w:rPr>
              <w:t xml:space="preserve"> pracy, warunków zatrudnienia i </w:t>
            </w:r>
            <w:r w:rsidRPr="00890249">
              <w:rPr>
                <w:rFonts w:asciiTheme="minorHAnsi" w:hAnsiTheme="minorHAnsi" w:cstheme="minorHAnsi"/>
                <w:sz w:val="20"/>
                <w:szCs w:val="22"/>
                <w:lang w:eastAsia="en-US"/>
              </w:rPr>
              <w:t xml:space="preserve">możliwości </w:t>
            </w:r>
            <w:r w:rsidR="00A723EB">
              <w:rPr>
                <w:rFonts w:asciiTheme="minorHAnsi" w:hAnsiTheme="minorHAnsi" w:cstheme="minorHAnsi"/>
                <w:sz w:val="20"/>
                <w:szCs w:val="22"/>
                <w:lang w:eastAsia="en-US"/>
              </w:rPr>
              <w:t>rozwoju kariery stanowi jeden z </w:t>
            </w:r>
            <w:r w:rsidRPr="00890249">
              <w:rPr>
                <w:rFonts w:asciiTheme="minorHAnsi" w:hAnsiTheme="minorHAnsi" w:cstheme="minorHAnsi"/>
                <w:sz w:val="20"/>
                <w:szCs w:val="22"/>
                <w:lang w:eastAsia="en-US"/>
              </w:rPr>
              <w:t xml:space="preserve">priorytetów </w:t>
            </w:r>
            <w:r w:rsidRPr="00890249">
              <w:rPr>
                <w:rFonts w:asciiTheme="minorHAnsi" w:hAnsiTheme="minorHAnsi" w:cstheme="minorHAnsi"/>
                <w:i/>
                <w:sz w:val="20"/>
                <w:szCs w:val="22"/>
                <w:lang w:eastAsia="en-US"/>
              </w:rPr>
              <w:t>Europejskiego filaru praw socjalnych</w:t>
            </w:r>
            <w:r w:rsidRPr="00890249">
              <w:rPr>
                <w:rFonts w:asciiTheme="minorHAnsi" w:hAnsiTheme="minorHAnsi" w:cstheme="minorHAnsi"/>
                <w:sz w:val="20"/>
                <w:szCs w:val="22"/>
                <w:vertAlign w:val="superscript"/>
                <w:lang w:eastAsia="en-US"/>
              </w:rPr>
              <w:footnoteReference w:id="71"/>
            </w:r>
            <w:r w:rsidRPr="00890249">
              <w:rPr>
                <w:rFonts w:asciiTheme="minorHAnsi" w:hAnsiTheme="minorHAnsi" w:cstheme="minorHAnsi"/>
                <w:sz w:val="20"/>
                <w:szCs w:val="22"/>
                <w:lang w:eastAsia="en-US"/>
              </w:rPr>
              <w:t xml:space="preserve">. </w:t>
            </w:r>
          </w:p>
          <w:p w14:paraId="50001813" w14:textId="2F078D6C" w:rsidR="00AF220D" w:rsidRPr="00890249" w:rsidRDefault="00AF220D" w:rsidP="009F296A">
            <w:pPr>
              <w:numPr>
                <w:ilvl w:val="0"/>
                <w:numId w:val="98"/>
              </w:numPr>
              <w:autoSpaceDE w:val="0"/>
              <w:autoSpaceDN w:val="0"/>
              <w:adjustRightInd w:val="0"/>
              <w:ind w:left="245" w:hanging="245"/>
              <w:rPr>
                <w:rFonts w:asciiTheme="minorHAnsi" w:hAnsiTheme="minorHAnsi" w:cstheme="minorHAnsi"/>
                <w:sz w:val="20"/>
                <w:szCs w:val="22"/>
                <w:lang w:eastAsia="en-US"/>
              </w:rPr>
            </w:pPr>
            <w:r w:rsidRPr="00890249">
              <w:rPr>
                <w:rFonts w:asciiTheme="minorHAnsi" w:hAnsiTheme="minorHAnsi" w:cstheme="minorHAnsi"/>
                <w:bCs/>
                <w:sz w:val="20"/>
                <w:szCs w:val="22"/>
                <w:lang w:eastAsia="en-US"/>
              </w:rPr>
              <w:t>Zwalczanie przemocy na tle płciowym, przełamywanie stereotypów związanyc</w:t>
            </w:r>
            <w:r w:rsidR="00A723EB">
              <w:rPr>
                <w:rFonts w:asciiTheme="minorHAnsi" w:hAnsiTheme="minorHAnsi" w:cstheme="minorHAnsi"/>
                <w:bCs/>
                <w:sz w:val="20"/>
                <w:szCs w:val="22"/>
                <w:lang w:eastAsia="en-US"/>
              </w:rPr>
              <w:t>h z płcią, niwelowanie różnic w </w:t>
            </w:r>
            <w:r w:rsidRPr="00890249">
              <w:rPr>
                <w:rFonts w:asciiTheme="minorHAnsi" w:hAnsiTheme="minorHAnsi" w:cstheme="minorHAnsi"/>
                <w:bCs/>
                <w:sz w:val="20"/>
                <w:szCs w:val="22"/>
                <w:lang w:eastAsia="en-US"/>
              </w:rPr>
              <w:t xml:space="preserve">traktowaniu kobiet i mężczyzn na rynku pracy są głównymi celami </w:t>
            </w:r>
            <w:r w:rsidRPr="00890249">
              <w:rPr>
                <w:rFonts w:asciiTheme="minorHAnsi" w:hAnsiTheme="minorHAnsi" w:cstheme="minorHAnsi"/>
                <w:bCs/>
                <w:i/>
                <w:sz w:val="20"/>
                <w:szCs w:val="22"/>
                <w:lang w:eastAsia="en-US"/>
              </w:rPr>
              <w:t>Strategii na rzecz równouprawnienia płci na lata 2020–2025</w:t>
            </w:r>
            <w:r w:rsidRPr="00890249">
              <w:rPr>
                <w:rFonts w:asciiTheme="minorHAnsi" w:hAnsiTheme="minorHAnsi" w:cstheme="minorHAnsi"/>
                <w:bCs/>
                <w:sz w:val="20"/>
                <w:szCs w:val="22"/>
                <w:lang w:eastAsia="en-US"/>
              </w:rPr>
              <w:t xml:space="preserve">.  </w:t>
            </w:r>
          </w:p>
          <w:p w14:paraId="2EA86D11" w14:textId="6147A22E" w:rsidR="00B72154" w:rsidRPr="00890249" w:rsidRDefault="00AF220D" w:rsidP="009F296A">
            <w:pPr>
              <w:numPr>
                <w:ilvl w:val="0"/>
                <w:numId w:val="98"/>
              </w:numPr>
              <w:autoSpaceDE w:val="0"/>
              <w:autoSpaceDN w:val="0"/>
              <w:adjustRightInd w:val="0"/>
              <w:ind w:left="245" w:hanging="245"/>
              <w:rPr>
                <w:rFonts w:asciiTheme="minorHAnsi" w:hAnsiTheme="minorHAnsi" w:cstheme="minorHAnsi"/>
                <w:sz w:val="20"/>
                <w:szCs w:val="22"/>
                <w:lang w:eastAsia="en-US"/>
              </w:rPr>
            </w:pPr>
            <w:r w:rsidRPr="00890249">
              <w:rPr>
                <w:rFonts w:asciiTheme="minorHAnsi" w:hAnsiTheme="minorHAnsi" w:cstheme="minorHAnsi"/>
                <w:sz w:val="20"/>
                <w:szCs w:val="22"/>
                <w:lang w:eastAsia="en-US"/>
              </w:rPr>
              <w:t xml:space="preserve">Podjęcie działań w celu </w:t>
            </w:r>
            <w:r w:rsidR="00A723EB">
              <w:rPr>
                <w:rFonts w:asciiTheme="minorHAnsi" w:hAnsiTheme="minorHAnsi" w:cstheme="minorHAnsi"/>
                <w:sz w:val="20"/>
                <w:szCs w:val="22"/>
                <w:lang w:eastAsia="en-US"/>
              </w:rPr>
              <w:t>zwiększenia uczestnictwa w </w:t>
            </w:r>
            <w:r w:rsidRPr="00890249">
              <w:rPr>
                <w:rFonts w:asciiTheme="minorHAnsi" w:hAnsiTheme="minorHAnsi" w:cstheme="minorHAnsi"/>
                <w:sz w:val="20"/>
                <w:szCs w:val="22"/>
                <w:lang w:eastAsia="en-US"/>
              </w:rPr>
              <w:t>rynku pracy stanowi jedno z zaleceń Rady Europejskiej na 2019 r.</w:t>
            </w:r>
            <w:r w:rsidRPr="00890249">
              <w:rPr>
                <w:rFonts w:asciiTheme="minorHAnsi" w:hAnsiTheme="minorHAnsi" w:cstheme="minorHAnsi"/>
                <w:sz w:val="20"/>
                <w:szCs w:val="22"/>
                <w:vertAlign w:val="superscript"/>
                <w:lang w:eastAsia="en-US"/>
              </w:rPr>
              <w:footnoteReference w:id="72"/>
            </w:r>
            <w:r w:rsidR="00F73930" w:rsidRPr="00890249">
              <w:rPr>
                <w:rFonts w:asciiTheme="minorHAnsi" w:hAnsiTheme="minorHAnsi" w:cstheme="minorHAnsi"/>
                <w:sz w:val="20"/>
                <w:szCs w:val="22"/>
                <w:lang w:eastAsia="en-US"/>
              </w:rPr>
              <w:t>.</w:t>
            </w:r>
          </w:p>
          <w:p w14:paraId="0E6CE8B1" w14:textId="5B48CE46" w:rsidR="00B72154" w:rsidRPr="00890249" w:rsidRDefault="00AF220D" w:rsidP="009F296A">
            <w:pPr>
              <w:numPr>
                <w:ilvl w:val="0"/>
                <w:numId w:val="98"/>
              </w:numPr>
              <w:autoSpaceDE w:val="0"/>
              <w:autoSpaceDN w:val="0"/>
              <w:adjustRightInd w:val="0"/>
              <w:ind w:left="245" w:hanging="245"/>
              <w:rPr>
                <w:rFonts w:asciiTheme="minorHAnsi" w:hAnsiTheme="minorHAnsi" w:cstheme="minorHAnsi"/>
                <w:sz w:val="20"/>
                <w:szCs w:val="22"/>
                <w:lang w:eastAsia="en-US"/>
              </w:rPr>
            </w:pPr>
            <w:r w:rsidRPr="00890249">
              <w:rPr>
                <w:rFonts w:asciiTheme="minorHAnsi" w:hAnsiTheme="minorHAnsi" w:cstheme="minorHAnsi"/>
                <w:sz w:val="20"/>
                <w:szCs w:val="22"/>
                <w:lang w:eastAsia="en-US"/>
              </w:rPr>
              <w:t>W kontekście działań skierowanych do niewykorzystanych zasobów pracy, tj. osób 50+, kobiet i osób o niskich kwalif</w:t>
            </w:r>
            <w:r w:rsidR="00A723EB">
              <w:rPr>
                <w:rFonts w:asciiTheme="minorHAnsi" w:hAnsiTheme="minorHAnsi" w:cstheme="minorHAnsi"/>
                <w:sz w:val="20"/>
                <w:szCs w:val="22"/>
                <w:lang w:eastAsia="en-US"/>
              </w:rPr>
              <w:t>ikacjach wsparcie jest zgodne z </w:t>
            </w:r>
            <w:r w:rsidRPr="00890249">
              <w:rPr>
                <w:rFonts w:asciiTheme="minorHAnsi" w:hAnsiTheme="minorHAnsi" w:cstheme="minorHAnsi"/>
                <w:sz w:val="20"/>
                <w:szCs w:val="22"/>
                <w:lang w:eastAsia="en-US"/>
              </w:rPr>
              <w:t xml:space="preserve">celem szczegółowym 3 Wzrost i poprawa wykorzystania potencjału kapitału ludzkiego na rynku pracy </w:t>
            </w:r>
            <w:r w:rsidRPr="00890249">
              <w:rPr>
                <w:rFonts w:asciiTheme="minorHAnsi" w:hAnsiTheme="minorHAnsi" w:cstheme="minorHAnsi"/>
                <w:i/>
                <w:sz w:val="20"/>
                <w:szCs w:val="22"/>
                <w:lang w:eastAsia="en-US"/>
              </w:rPr>
              <w:t>Strategii Rozwoju Kapitału Ludzkiego 2030</w:t>
            </w:r>
            <w:r w:rsidRPr="00890249">
              <w:rPr>
                <w:rFonts w:asciiTheme="minorHAnsi" w:hAnsiTheme="minorHAnsi" w:cstheme="minorHAnsi"/>
                <w:sz w:val="20"/>
                <w:szCs w:val="22"/>
                <w:lang w:eastAsia="en-US"/>
              </w:rPr>
              <w:t>.</w:t>
            </w:r>
          </w:p>
        </w:tc>
      </w:tr>
      <w:tr w:rsidR="00500AA9" w:rsidRPr="00890249" w14:paraId="5FBCA651" w14:textId="77777777" w:rsidTr="18317E1B">
        <w:tc>
          <w:tcPr>
            <w:tcW w:w="1038" w:type="pct"/>
            <w:vMerge/>
          </w:tcPr>
          <w:p w14:paraId="1BB37799"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4EFFFA41" w14:textId="77777777" w:rsidR="00500AA9" w:rsidRPr="00890249" w:rsidRDefault="00500AA9" w:rsidP="004C571C">
            <w:pPr>
              <w:spacing w:before="60" w:after="60"/>
              <w:jc w:val="left"/>
              <w:rPr>
                <w:rFonts w:asciiTheme="minorHAnsi" w:hAnsiTheme="minorHAnsi" w:cstheme="minorHAnsi"/>
                <w:b/>
                <w:bCs/>
                <w:sz w:val="20"/>
              </w:rPr>
            </w:pPr>
            <w:r w:rsidRPr="00890249">
              <w:rPr>
                <w:rFonts w:asciiTheme="minorHAnsi" w:hAnsiTheme="minorHAnsi" w:cstheme="minorHAnsi"/>
                <w:sz w:val="20"/>
              </w:rPr>
              <w:t>(d)</w:t>
            </w:r>
          </w:p>
          <w:p w14:paraId="4D308001" w14:textId="77777777" w:rsidR="00500AA9" w:rsidRPr="00890249" w:rsidRDefault="00500AA9" w:rsidP="000A1620">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Wspieranie </w:t>
            </w:r>
            <w:r w:rsidRPr="00890249">
              <w:rPr>
                <w:rFonts w:asciiTheme="minorHAnsi" w:hAnsiTheme="minorHAnsi" w:cstheme="minorHAnsi"/>
                <w:bCs/>
                <w:i/>
                <w:sz w:val="20"/>
              </w:rPr>
              <w:t xml:space="preserve">dostosowania pracowników, przedsiębiorstw </w:t>
            </w:r>
            <w:r w:rsidRPr="00890249">
              <w:rPr>
                <w:rFonts w:asciiTheme="minorHAnsi" w:hAnsiTheme="minorHAnsi" w:cstheme="minorHAnsi"/>
                <w:bCs/>
                <w:i/>
                <w:sz w:val="20"/>
              </w:rPr>
              <w:br/>
              <w:t xml:space="preserve">i przedsiębiorców do zmian, wspieranie aktywnego i zdrowego starzenia się oraz </w:t>
            </w:r>
            <w:r w:rsidRPr="00890249">
              <w:rPr>
                <w:rFonts w:asciiTheme="minorHAnsi" w:hAnsiTheme="minorHAnsi" w:cstheme="minorHAnsi"/>
                <w:i/>
                <w:sz w:val="20"/>
              </w:rPr>
              <w:t xml:space="preserve">zdrowego </w:t>
            </w:r>
            <w:r w:rsidRPr="00890249">
              <w:rPr>
                <w:rFonts w:asciiTheme="minorHAnsi" w:hAnsiTheme="minorHAnsi" w:cstheme="minorHAnsi"/>
                <w:i/>
                <w:sz w:val="20"/>
              </w:rPr>
              <w:br/>
              <w:t>i dobrze dostosowanego środowiska pracy, w które uwzględnia zagrożenia dla zdrowia</w:t>
            </w:r>
          </w:p>
        </w:tc>
        <w:tc>
          <w:tcPr>
            <w:tcW w:w="2691" w:type="pct"/>
          </w:tcPr>
          <w:p w14:paraId="58AB91E2" w14:textId="5872CBDB" w:rsidR="00B72154" w:rsidRPr="00890249" w:rsidRDefault="00875C92" w:rsidP="009F296A">
            <w:pPr>
              <w:pStyle w:val="Akapitzlist"/>
              <w:numPr>
                <w:ilvl w:val="0"/>
                <w:numId w:val="99"/>
              </w:numPr>
              <w:autoSpaceDE w:val="0"/>
              <w:autoSpaceDN w:val="0"/>
              <w:adjustRightInd w:val="0"/>
              <w:ind w:left="389" w:hanging="389"/>
              <w:rPr>
                <w:rFonts w:asciiTheme="minorHAnsi" w:eastAsiaTheme="minorHAnsi" w:hAnsiTheme="minorHAnsi" w:cstheme="minorHAnsi"/>
                <w:color w:val="FF0000"/>
                <w:szCs w:val="22"/>
                <w:lang w:eastAsia="en-US" w:bidi="ar-SA"/>
              </w:rPr>
            </w:pPr>
            <w:r w:rsidRPr="00890249">
              <w:rPr>
                <w:rFonts w:asciiTheme="minorHAnsi" w:hAnsiTheme="minorHAnsi" w:cstheme="minorHAnsi"/>
                <w:sz w:val="20"/>
                <w:szCs w:val="22"/>
                <w:lang w:eastAsia="en-US"/>
              </w:rPr>
              <w:t>Działania z zakres</w:t>
            </w:r>
            <w:r w:rsidR="00A723EB">
              <w:rPr>
                <w:rFonts w:asciiTheme="minorHAnsi" w:hAnsiTheme="minorHAnsi" w:cstheme="minorHAnsi"/>
                <w:sz w:val="20"/>
                <w:szCs w:val="22"/>
                <w:lang w:eastAsia="en-US"/>
              </w:rPr>
              <w:t>u ochrony zdrowia wpisują się w </w:t>
            </w:r>
            <w:r w:rsidRPr="00890249">
              <w:rPr>
                <w:rFonts w:asciiTheme="minorHAnsi" w:hAnsiTheme="minorHAnsi" w:cstheme="minorHAnsi"/>
                <w:sz w:val="20"/>
                <w:szCs w:val="22"/>
                <w:lang w:eastAsia="en-US"/>
              </w:rPr>
              <w:t xml:space="preserve">zalecenia Rady w sprawie krajowego programu reform Polski na 2019 r. tj.: </w:t>
            </w:r>
            <w:r w:rsidRPr="00890249">
              <w:rPr>
                <w:rFonts w:asciiTheme="minorHAnsi" w:hAnsiTheme="minorHAnsi" w:cstheme="minorHAnsi"/>
                <w:i/>
                <w:sz w:val="20"/>
                <w:szCs w:val="22"/>
                <w:lang w:eastAsia="en-US"/>
              </w:rPr>
              <w:t xml:space="preserve">zwiększenie uczestnictwa w rynku pracy poprzez lepszy dostęp do opieki długoterminowej </w:t>
            </w:r>
            <w:r w:rsidRPr="00890249">
              <w:rPr>
                <w:rFonts w:asciiTheme="minorHAnsi" w:hAnsiTheme="minorHAnsi" w:cstheme="minorHAnsi"/>
                <w:sz w:val="20"/>
                <w:szCs w:val="22"/>
                <w:lang w:eastAsia="en-US"/>
              </w:rPr>
              <w:t xml:space="preserve">oraz zalecenia Rady (…) na 2020 r. tj.: </w:t>
            </w:r>
            <w:r w:rsidRPr="00890249">
              <w:rPr>
                <w:rFonts w:asciiTheme="minorHAnsi" w:hAnsiTheme="minorHAnsi" w:cstheme="minorHAnsi"/>
                <w:i/>
                <w:sz w:val="20"/>
                <w:szCs w:val="22"/>
                <w:lang w:eastAsia="en-US"/>
              </w:rPr>
              <w:t>poprawa dostępności, odporności i skuteczności systemu ochrony zdrowia</w:t>
            </w:r>
            <w:r w:rsidRPr="00890249">
              <w:rPr>
                <w:rFonts w:asciiTheme="minorHAnsi" w:hAnsiTheme="minorHAnsi" w:cstheme="minorHAnsi"/>
                <w:sz w:val="20"/>
                <w:szCs w:val="22"/>
                <w:lang w:eastAsia="en-US"/>
              </w:rPr>
              <w:t>. Inwestycje te wpisują się także w zalecenia KE, określone jako wysoce priorytetowe w celu promowania aktywnego i zdrowego starzenia się, poprawy równego i szybkiego dostępu do wysokiej jakości, zrównoważonych, p</w:t>
            </w:r>
            <w:r w:rsidR="00A723EB">
              <w:rPr>
                <w:rFonts w:asciiTheme="minorHAnsi" w:hAnsiTheme="minorHAnsi" w:cstheme="minorHAnsi"/>
                <w:sz w:val="20"/>
                <w:szCs w:val="22"/>
                <w:lang w:eastAsia="en-US"/>
              </w:rPr>
              <w:t>rzystępnych cenowo usług oraz w </w:t>
            </w:r>
            <w:r w:rsidRPr="00890249">
              <w:rPr>
                <w:rFonts w:asciiTheme="minorHAnsi" w:hAnsiTheme="minorHAnsi" w:cstheme="minorHAnsi"/>
                <w:sz w:val="20"/>
                <w:szCs w:val="22"/>
                <w:lang w:eastAsia="en-US"/>
              </w:rPr>
              <w:t xml:space="preserve">celu poprawy dostępności, skuteczności i odporności systemu opieki zdrowotnej i opieki długoterminowej zgodnie z </w:t>
            </w:r>
            <w:r w:rsidRPr="00890249">
              <w:rPr>
                <w:rFonts w:asciiTheme="minorHAnsi" w:hAnsiTheme="minorHAnsi" w:cstheme="minorHAnsi"/>
                <w:i/>
                <w:sz w:val="20"/>
                <w:szCs w:val="22"/>
                <w:lang w:eastAsia="en-US"/>
              </w:rPr>
              <w:t>Wytycznymi inwestycyjnymi dla Polski w zakresie finansowania polityki spójności na lata 2021-2027</w:t>
            </w:r>
            <w:r w:rsidRPr="00890249">
              <w:rPr>
                <w:rFonts w:asciiTheme="minorHAnsi" w:hAnsiTheme="minorHAnsi" w:cstheme="minorHAnsi"/>
                <w:i/>
                <w:vertAlign w:val="superscript"/>
                <w:lang w:eastAsia="en-US"/>
              </w:rPr>
              <w:footnoteReference w:id="73"/>
            </w:r>
            <w:r w:rsidRPr="00890249">
              <w:rPr>
                <w:rFonts w:asciiTheme="minorHAnsi" w:hAnsiTheme="minorHAnsi" w:cstheme="minorHAnsi"/>
                <w:i/>
                <w:sz w:val="20"/>
                <w:szCs w:val="22"/>
                <w:lang w:eastAsia="en-US"/>
              </w:rPr>
              <w:t>.</w:t>
            </w:r>
            <w:r w:rsidRPr="00890249">
              <w:rPr>
                <w:rFonts w:asciiTheme="minorHAnsi" w:hAnsiTheme="minorHAnsi" w:cstheme="minorHAnsi"/>
                <w:sz w:val="20"/>
                <w:szCs w:val="22"/>
                <w:lang w:eastAsia="en-US"/>
              </w:rPr>
              <w:t xml:space="preserve"> </w:t>
            </w:r>
          </w:p>
          <w:p w14:paraId="65D837E5" w14:textId="1D761408" w:rsidR="00B72154" w:rsidRPr="00890249" w:rsidRDefault="00875C92" w:rsidP="009F296A">
            <w:pPr>
              <w:pStyle w:val="Akapitzlist"/>
              <w:numPr>
                <w:ilvl w:val="0"/>
                <w:numId w:val="99"/>
              </w:numPr>
              <w:autoSpaceDE w:val="0"/>
              <w:autoSpaceDN w:val="0"/>
              <w:adjustRightInd w:val="0"/>
              <w:ind w:left="389" w:hanging="389"/>
              <w:rPr>
                <w:rFonts w:asciiTheme="minorHAnsi" w:eastAsiaTheme="minorHAnsi" w:hAnsiTheme="minorHAnsi" w:cstheme="minorHAnsi"/>
                <w:color w:val="FF0000"/>
                <w:szCs w:val="22"/>
                <w:lang w:eastAsia="en-US" w:bidi="ar-SA"/>
              </w:rPr>
            </w:pPr>
            <w:r w:rsidRPr="00890249">
              <w:rPr>
                <w:rFonts w:asciiTheme="minorHAnsi" w:hAnsiTheme="minorHAnsi" w:cstheme="minorHAnsi"/>
                <w:sz w:val="20"/>
                <w:lang w:eastAsia="en-US"/>
              </w:rPr>
              <w:t xml:space="preserve">Promocja elastycznych form zatrudnienia wypełnia natomiast zalecenie Rady w sprawie krajowego programu reform Polski na 2020 r., które podkreśla konieczność </w:t>
            </w:r>
            <w:r w:rsidRPr="00890249">
              <w:rPr>
                <w:rFonts w:asciiTheme="minorHAnsi" w:hAnsiTheme="minorHAnsi" w:cstheme="minorHAnsi"/>
                <w:sz w:val="20"/>
              </w:rPr>
              <w:t>udoskonalania elastycznych form organizacji pracy i pracy w zmniejszonym wymiarze czasu</w:t>
            </w:r>
            <w:r w:rsidRPr="00890249">
              <w:rPr>
                <w:rFonts w:asciiTheme="minorHAnsi" w:hAnsiTheme="minorHAnsi" w:cstheme="minorHAnsi"/>
              </w:rPr>
              <w:t>.</w:t>
            </w:r>
          </w:p>
          <w:p w14:paraId="32E54C78" w14:textId="77777777" w:rsidR="00B72154" w:rsidRPr="00890249" w:rsidRDefault="00875C92" w:rsidP="009F296A">
            <w:pPr>
              <w:pStyle w:val="Akapitzlist"/>
              <w:numPr>
                <w:ilvl w:val="0"/>
                <w:numId w:val="115"/>
              </w:numPr>
              <w:ind w:left="389" w:hanging="389"/>
              <w:rPr>
                <w:rFonts w:asciiTheme="minorHAnsi" w:eastAsiaTheme="minorHAnsi" w:hAnsiTheme="minorHAnsi" w:cstheme="minorHAnsi"/>
                <w:sz w:val="20"/>
                <w:szCs w:val="22"/>
                <w:lang w:eastAsia="en-US" w:bidi="ar-SA"/>
              </w:rPr>
            </w:pPr>
            <w:r w:rsidRPr="00890249">
              <w:rPr>
                <w:rFonts w:asciiTheme="minorHAnsi" w:eastAsiaTheme="minorHAnsi" w:hAnsiTheme="minorHAnsi" w:cstheme="minorHAnsi"/>
                <w:sz w:val="20"/>
                <w:szCs w:val="22"/>
                <w:lang w:eastAsia="en-US" w:bidi="ar-SA"/>
              </w:rPr>
              <w:t xml:space="preserve">Wszystkie zaplanowane do realizacji działania wpisują się w założenia </w:t>
            </w:r>
            <w:r w:rsidRPr="00890249">
              <w:rPr>
                <w:rFonts w:asciiTheme="minorHAnsi" w:eastAsiaTheme="minorHAnsi" w:hAnsiTheme="minorHAnsi" w:cstheme="minorHAnsi"/>
                <w:i/>
                <w:sz w:val="20"/>
                <w:szCs w:val="22"/>
                <w:lang w:eastAsia="en-US" w:bidi="ar-SA"/>
              </w:rPr>
              <w:t xml:space="preserve">Europejskiego filaru praw </w:t>
            </w:r>
            <w:r w:rsidRPr="00890249">
              <w:rPr>
                <w:rFonts w:asciiTheme="minorHAnsi" w:eastAsiaTheme="minorHAnsi" w:hAnsiTheme="minorHAnsi" w:cstheme="minorHAnsi"/>
                <w:i/>
                <w:sz w:val="20"/>
                <w:szCs w:val="22"/>
                <w:lang w:eastAsia="en-US" w:bidi="ar-SA"/>
              </w:rPr>
              <w:lastRenderedPageBreak/>
              <w:t>socjalnych</w:t>
            </w:r>
            <w:r w:rsidRPr="00890249">
              <w:rPr>
                <w:rFonts w:asciiTheme="minorHAnsi" w:eastAsiaTheme="minorHAnsi" w:hAnsiTheme="minorHAnsi" w:cstheme="minorHAnsi"/>
                <w:sz w:val="20"/>
                <w:szCs w:val="22"/>
                <w:lang w:eastAsia="en-US" w:bidi="ar-SA"/>
              </w:rPr>
              <w:t xml:space="preserve"> tj.: pracownicy mają prawo do wysokiego poziomu ochrony zdrowia i bezpieczeństwa w miejscu pracy oraz do środowiska pracy dostosowanego do ich potrzeb zawodowych, które pozwala im przedłużyć okres ich uczestnictwa w rynku pracy.</w:t>
            </w:r>
          </w:p>
          <w:p w14:paraId="7BE58310" w14:textId="1A4D5374" w:rsidR="00B72154" w:rsidRPr="00890249" w:rsidRDefault="001849DE" w:rsidP="00890249">
            <w:pPr>
              <w:ind w:left="389" w:hanging="425"/>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w:t>
            </w:r>
            <w:r w:rsidRPr="00890249">
              <w:rPr>
                <w:rFonts w:asciiTheme="minorHAnsi" w:eastAsiaTheme="minorHAnsi" w:hAnsiTheme="minorHAnsi" w:cstheme="minorHAnsi"/>
                <w:sz w:val="20"/>
                <w:lang w:eastAsia="en-US" w:bidi="ar-SA"/>
              </w:rPr>
              <w:tab/>
              <w:t>Wsparcie realizuje cel szczegółowy 1 Podniesienie poziomu kompetencji</w:t>
            </w:r>
            <w:r w:rsidR="00A723EB">
              <w:rPr>
                <w:rFonts w:asciiTheme="minorHAnsi" w:eastAsiaTheme="minorHAnsi" w:hAnsiTheme="minorHAnsi" w:cstheme="minorHAnsi"/>
                <w:sz w:val="20"/>
                <w:lang w:eastAsia="en-US" w:bidi="ar-SA"/>
              </w:rPr>
              <w:t xml:space="preserve"> oraz kwalifikacji obywateli, w </w:t>
            </w:r>
            <w:r w:rsidRPr="00890249">
              <w:rPr>
                <w:rFonts w:asciiTheme="minorHAnsi" w:eastAsiaTheme="minorHAnsi" w:hAnsiTheme="minorHAnsi" w:cstheme="minorHAnsi"/>
                <w:sz w:val="20"/>
                <w:lang w:eastAsia="en-US" w:bidi="ar-SA"/>
              </w:rPr>
              <w:t xml:space="preserve">tym cyfrowych Strategii </w:t>
            </w:r>
            <w:r w:rsidR="00F73930" w:rsidRPr="00890249">
              <w:rPr>
                <w:rFonts w:asciiTheme="minorHAnsi" w:eastAsiaTheme="minorHAnsi" w:hAnsiTheme="minorHAnsi" w:cstheme="minorHAnsi"/>
                <w:sz w:val="20"/>
                <w:lang w:eastAsia="en-US" w:bidi="ar-SA"/>
              </w:rPr>
              <w:t>Rozwoju Kapitału Ludzkiego 2030.</w:t>
            </w:r>
          </w:p>
          <w:p w14:paraId="7CF1B513" w14:textId="52B809A2" w:rsidR="00B72154" w:rsidRPr="00A723EB" w:rsidRDefault="00F73930" w:rsidP="009F296A">
            <w:pPr>
              <w:pStyle w:val="Akapitzlist"/>
              <w:numPr>
                <w:ilvl w:val="0"/>
                <w:numId w:val="115"/>
              </w:numPr>
              <w:ind w:left="387" w:hanging="425"/>
              <w:rPr>
                <w:rFonts w:asciiTheme="minorHAnsi" w:eastAsiaTheme="minorHAnsi" w:hAnsiTheme="minorHAnsi" w:cstheme="minorHAnsi"/>
                <w:sz w:val="20"/>
                <w:lang w:eastAsia="en-US" w:bidi="ar-SA"/>
              </w:rPr>
            </w:pPr>
            <w:r w:rsidRPr="00890249">
              <w:rPr>
                <w:rFonts w:asciiTheme="minorHAnsi" w:eastAsia="Times New Roman" w:hAnsiTheme="minorHAnsi" w:cstheme="minorHAnsi"/>
                <w:sz w:val="20"/>
                <w:szCs w:val="24"/>
                <w:lang w:eastAsia="en-US" w:bidi="ar-SA"/>
              </w:rPr>
              <w:t xml:space="preserve">Wsparcie dotyczące usług zdrowotnych w regionie będzie realizowane na zasadach i w zakresie zgodnym z dokumentem pn. </w:t>
            </w:r>
            <w:r w:rsidRPr="00890249">
              <w:rPr>
                <w:rFonts w:asciiTheme="minorHAnsi" w:eastAsia="Times New Roman" w:hAnsiTheme="minorHAnsi" w:cstheme="minorHAnsi"/>
                <w:i/>
                <w:sz w:val="20"/>
                <w:szCs w:val="24"/>
                <w:lang w:eastAsia="en-US" w:bidi="ar-SA"/>
              </w:rPr>
              <w:t xml:space="preserve">Zdrowa przyszłość. Ramy strategiczne rozwoju systemu ochrony zdrowia na lata 2021-2027 z perspektywą do 2030 </w:t>
            </w:r>
            <w:r w:rsidR="00A723EB">
              <w:rPr>
                <w:rFonts w:asciiTheme="minorHAnsi" w:eastAsia="Times New Roman" w:hAnsiTheme="minorHAnsi" w:cstheme="minorHAnsi"/>
                <w:sz w:val="20"/>
                <w:szCs w:val="24"/>
                <w:lang w:eastAsia="en-US" w:bidi="ar-SA"/>
              </w:rPr>
              <w:t>wraz z </w:t>
            </w:r>
            <w:r w:rsidRPr="00890249">
              <w:rPr>
                <w:rFonts w:asciiTheme="minorHAnsi" w:eastAsia="Times New Roman" w:hAnsiTheme="minorHAnsi" w:cstheme="minorHAnsi"/>
                <w:sz w:val="20"/>
                <w:szCs w:val="24"/>
                <w:lang w:eastAsia="en-US" w:bidi="ar-SA"/>
              </w:rPr>
              <w:t>załącznikami dotyczącymi deinstytucjonalizacji opieki długoterminowej i opieki psychiatrycznej</w:t>
            </w:r>
            <w:r w:rsidRPr="00890249">
              <w:rPr>
                <w:rFonts w:asciiTheme="minorHAnsi" w:hAnsiTheme="minorHAnsi" w:cstheme="minorHAnsi"/>
                <w:vertAlign w:val="superscript"/>
                <w:lang w:eastAsia="en-US" w:bidi="ar-SA"/>
              </w:rPr>
              <w:footnoteReference w:id="74"/>
            </w:r>
            <w:r w:rsidR="00A723EB">
              <w:rPr>
                <w:rFonts w:asciiTheme="minorHAnsi" w:eastAsia="Times New Roman" w:hAnsiTheme="minorHAnsi" w:cstheme="minorHAnsi"/>
                <w:sz w:val="20"/>
                <w:szCs w:val="24"/>
                <w:lang w:eastAsia="en-US" w:bidi="ar-SA"/>
              </w:rPr>
              <w:t>, a </w:t>
            </w:r>
            <w:r w:rsidRPr="00890249">
              <w:rPr>
                <w:rFonts w:asciiTheme="minorHAnsi" w:eastAsia="Times New Roman" w:hAnsiTheme="minorHAnsi" w:cstheme="minorHAnsi"/>
                <w:sz w:val="20"/>
                <w:szCs w:val="24"/>
                <w:lang w:eastAsia="en-US" w:bidi="ar-SA"/>
              </w:rPr>
              <w:t>także Wojewódzkim Planem Transformacji</w:t>
            </w:r>
            <w:r w:rsidRPr="00890249">
              <w:rPr>
                <w:rStyle w:val="Odwoanieprzypisudolnego"/>
                <w:rFonts w:asciiTheme="minorHAnsi" w:eastAsia="Times New Roman" w:hAnsiTheme="minorHAnsi" w:cstheme="minorHAnsi"/>
                <w:sz w:val="20"/>
                <w:szCs w:val="24"/>
                <w:lang w:eastAsia="en-US" w:bidi="ar-SA"/>
              </w:rPr>
              <w:footnoteReference w:id="75"/>
            </w:r>
            <w:r w:rsidRPr="00890249">
              <w:rPr>
                <w:rFonts w:asciiTheme="minorHAnsi" w:eastAsia="Times New Roman" w:hAnsiTheme="minorHAnsi" w:cstheme="minorHAnsi"/>
                <w:sz w:val="20"/>
                <w:szCs w:val="24"/>
                <w:lang w:eastAsia="en-US" w:bidi="ar-SA"/>
              </w:rPr>
              <w:t>.</w:t>
            </w:r>
          </w:p>
        </w:tc>
      </w:tr>
      <w:tr w:rsidR="00500AA9" w:rsidRPr="00890249" w14:paraId="57AB8543" w14:textId="77777777" w:rsidTr="18317E1B">
        <w:tc>
          <w:tcPr>
            <w:tcW w:w="1038" w:type="pct"/>
            <w:vMerge/>
          </w:tcPr>
          <w:p w14:paraId="63455A8C"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76AFA6FD"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(f)</w:t>
            </w:r>
          </w:p>
          <w:p w14:paraId="4BA63AF6" w14:textId="1FAF9882" w:rsidR="00500AA9" w:rsidRPr="00890249" w:rsidRDefault="00500AA9" w:rsidP="00B70BE5">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Wspieranie równego dostępu do dobrej jakości, włączającego kształcenia </w:t>
            </w:r>
            <w:r w:rsidRPr="00890249">
              <w:rPr>
                <w:rFonts w:asciiTheme="minorHAnsi" w:hAnsiTheme="minorHAnsi" w:cstheme="minorHAnsi"/>
                <w:i/>
                <w:sz w:val="20"/>
              </w:rPr>
              <w:br/>
              <w:t xml:space="preserve">i szkolenia oraz możliwości ich ukończenia, w szczególności w odniesieniu do grup niekorzystnej sytuacji, od wczesnej edukacji i opieki nad dzieckiem przez ogólne i zawodowe kształcenie </w:t>
            </w:r>
            <w:r w:rsidRPr="00890249">
              <w:rPr>
                <w:rFonts w:asciiTheme="minorHAnsi" w:hAnsiTheme="minorHAnsi" w:cstheme="minorHAnsi"/>
                <w:i/>
                <w:sz w:val="20"/>
              </w:rPr>
              <w:br/>
              <w:t>i szkolenie, po szkolnictwo wyższe, a także kształcenie i uczenie się dorosłych, w tym ułatwianie mobilności edukacyjnej dla wszystkich i dostępności dla osób z niepełnosprawnościami</w:t>
            </w:r>
          </w:p>
        </w:tc>
        <w:tc>
          <w:tcPr>
            <w:tcW w:w="2691" w:type="pct"/>
          </w:tcPr>
          <w:p w14:paraId="4330BD5E" w14:textId="167F040F" w:rsidR="00B72154" w:rsidRPr="00890249" w:rsidRDefault="001849DE" w:rsidP="009F296A">
            <w:pPr>
              <w:pStyle w:val="Akapitzlist"/>
              <w:numPr>
                <w:ilvl w:val="0"/>
                <w:numId w:val="114"/>
              </w:numPr>
              <w:ind w:left="389" w:hanging="425"/>
              <w:rPr>
                <w:rFonts w:asciiTheme="minorHAnsi" w:eastAsiaTheme="minorHAnsi" w:hAnsiTheme="minorHAnsi" w:cstheme="minorHAnsi"/>
                <w:sz w:val="20"/>
                <w:szCs w:val="22"/>
                <w:lang w:eastAsia="en-US" w:bidi="ar-SA"/>
              </w:rPr>
            </w:pPr>
            <w:r w:rsidRPr="00890249">
              <w:rPr>
                <w:rFonts w:asciiTheme="minorHAnsi" w:eastAsiaTheme="minorHAnsi" w:hAnsiTheme="minorHAnsi" w:cstheme="minorHAnsi"/>
                <w:sz w:val="20"/>
                <w:szCs w:val="22"/>
                <w:lang w:eastAsia="en-US" w:bidi="ar-SA"/>
              </w:rPr>
              <w:t>Zaplanowane do rea</w:t>
            </w:r>
            <w:r w:rsidR="00A723EB">
              <w:rPr>
                <w:rFonts w:asciiTheme="minorHAnsi" w:eastAsiaTheme="minorHAnsi" w:hAnsiTheme="minorHAnsi" w:cstheme="minorHAnsi"/>
                <w:sz w:val="20"/>
                <w:szCs w:val="22"/>
                <w:lang w:eastAsia="en-US" w:bidi="ar-SA"/>
              </w:rPr>
              <w:t>lizacji działania wpisują się w </w:t>
            </w:r>
            <w:r w:rsidRPr="00890249">
              <w:rPr>
                <w:rFonts w:asciiTheme="minorHAnsi" w:eastAsiaTheme="minorHAnsi" w:hAnsiTheme="minorHAnsi" w:cstheme="minorHAnsi"/>
                <w:sz w:val="20"/>
                <w:szCs w:val="22"/>
                <w:lang w:eastAsia="en-US" w:bidi="ar-SA"/>
              </w:rPr>
              <w:t xml:space="preserve">założenia </w:t>
            </w:r>
            <w:r w:rsidRPr="00890249">
              <w:rPr>
                <w:rFonts w:asciiTheme="minorHAnsi" w:eastAsiaTheme="minorHAnsi" w:hAnsiTheme="minorHAnsi" w:cstheme="minorHAnsi"/>
                <w:i/>
                <w:sz w:val="20"/>
                <w:szCs w:val="22"/>
                <w:lang w:eastAsia="en-US" w:bidi="ar-SA"/>
              </w:rPr>
              <w:t>Europejskiego filaru praw socjalnych</w:t>
            </w:r>
            <w:r w:rsidR="00C77D33" w:rsidRPr="00890249">
              <w:rPr>
                <w:rFonts w:asciiTheme="minorHAnsi" w:eastAsiaTheme="minorHAnsi" w:hAnsiTheme="minorHAnsi" w:cstheme="minorHAnsi"/>
                <w:i/>
                <w:sz w:val="20"/>
                <w:szCs w:val="22"/>
                <w:lang w:eastAsia="en-US" w:bidi="ar-SA"/>
              </w:rPr>
              <w:t>,</w:t>
            </w:r>
            <w:r w:rsidRPr="00890249">
              <w:rPr>
                <w:rFonts w:asciiTheme="minorHAnsi" w:eastAsiaTheme="minorHAnsi" w:hAnsiTheme="minorHAnsi" w:cstheme="minorHAnsi"/>
                <w:sz w:val="20"/>
                <w:szCs w:val="22"/>
                <w:lang w:eastAsia="en-US" w:bidi="ar-SA"/>
              </w:rPr>
              <w:t xml:space="preserve"> tj.: </w:t>
            </w:r>
            <w:r w:rsidR="00C77D33" w:rsidRPr="00890249">
              <w:rPr>
                <w:rFonts w:asciiTheme="minorHAnsi" w:eastAsiaTheme="minorHAnsi" w:hAnsiTheme="minorHAnsi" w:cstheme="minorHAnsi"/>
                <w:sz w:val="20"/>
                <w:szCs w:val="22"/>
                <w:lang w:eastAsia="en-US" w:bidi="ar-SA"/>
              </w:rPr>
              <w:t>d</w:t>
            </w:r>
            <w:r w:rsidRPr="00890249">
              <w:rPr>
                <w:rFonts w:asciiTheme="minorHAnsi" w:eastAsiaTheme="minorHAnsi" w:hAnsiTheme="minorHAnsi" w:cstheme="minorHAnsi"/>
                <w:sz w:val="20"/>
                <w:szCs w:val="22"/>
                <w:lang w:eastAsia="en-US" w:bidi="ar-SA"/>
              </w:rPr>
              <w:t>zieci mają prawo do wczesnej edukacji i opieki, które charakteryzują się dobrą jakością i przystępną ceną.</w:t>
            </w:r>
          </w:p>
          <w:p w14:paraId="3FDD9C5C" w14:textId="37E5E708" w:rsidR="00B72154" w:rsidRPr="00890249" w:rsidRDefault="00875C92" w:rsidP="009F296A">
            <w:pPr>
              <w:pStyle w:val="Akapitzlist"/>
              <w:numPr>
                <w:ilvl w:val="0"/>
                <w:numId w:val="114"/>
              </w:numPr>
              <w:ind w:left="389" w:hanging="425"/>
              <w:rPr>
                <w:rFonts w:asciiTheme="minorHAnsi" w:eastAsiaTheme="minorHAnsi" w:hAnsiTheme="minorHAnsi" w:cstheme="minorHAnsi"/>
                <w:sz w:val="20"/>
                <w:szCs w:val="22"/>
                <w:lang w:eastAsia="en-US" w:bidi="ar-SA"/>
              </w:rPr>
            </w:pPr>
            <w:r w:rsidRPr="00890249">
              <w:rPr>
                <w:rFonts w:asciiTheme="minorHAnsi" w:eastAsiaTheme="minorHAnsi" w:hAnsiTheme="minorHAnsi" w:cstheme="minorHAnsi"/>
                <w:sz w:val="20"/>
                <w:szCs w:val="22"/>
                <w:lang w:eastAsia="en-US" w:bidi="ar-SA"/>
              </w:rPr>
              <w:t>Wsparcie realizuje cel szczegółowy 1 Podniesienie poziomu kompetencji</w:t>
            </w:r>
            <w:r w:rsidR="00A723EB">
              <w:rPr>
                <w:rFonts w:asciiTheme="minorHAnsi" w:eastAsiaTheme="minorHAnsi" w:hAnsiTheme="minorHAnsi" w:cstheme="minorHAnsi"/>
                <w:sz w:val="20"/>
                <w:szCs w:val="22"/>
                <w:lang w:eastAsia="en-US" w:bidi="ar-SA"/>
              </w:rPr>
              <w:t xml:space="preserve"> oraz kwalifikacji obywateli, w </w:t>
            </w:r>
            <w:r w:rsidRPr="00890249">
              <w:rPr>
                <w:rFonts w:asciiTheme="minorHAnsi" w:eastAsiaTheme="minorHAnsi" w:hAnsiTheme="minorHAnsi" w:cstheme="minorHAnsi"/>
                <w:sz w:val="20"/>
                <w:szCs w:val="22"/>
                <w:lang w:eastAsia="en-US" w:bidi="ar-SA"/>
              </w:rPr>
              <w:t xml:space="preserve">tym cyfrowych </w:t>
            </w:r>
            <w:r w:rsidRPr="00890249">
              <w:rPr>
                <w:rFonts w:asciiTheme="minorHAnsi" w:eastAsiaTheme="minorHAnsi" w:hAnsiTheme="minorHAnsi" w:cstheme="minorHAnsi"/>
                <w:i/>
                <w:sz w:val="20"/>
                <w:szCs w:val="22"/>
                <w:lang w:eastAsia="en-US" w:bidi="ar-SA"/>
              </w:rPr>
              <w:t>Strategii Rozwoju Kapitału Ludzkiego 2030</w:t>
            </w:r>
            <w:r w:rsidRPr="00890249">
              <w:rPr>
                <w:rFonts w:asciiTheme="minorHAnsi" w:eastAsiaTheme="minorHAnsi" w:hAnsiTheme="minorHAnsi" w:cstheme="minorHAnsi"/>
                <w:sz w:val="20"/>
                <w:szCs w:val="22"/>
                <w:lang w:eastAsia="en-US" w:bidi="ar-SA"/>
              </w:rPr>
              <w:t>.</w:t>
            </w:r>
          </w:p>
          <w:p w14:paraId="7B93297C" w14:textId="2C5EA9BB" w:rsidR="00B72154" w:rsidRPr="00890249" w:rsidRDefault="00B72154" w:rsidP="00890249">
            <w:pPr>
              <w:pStyle w:val="Akapitzlist"/>
              <w:rPr>
                <w:rFonts w:asciiTheme="minorHAnsi" w:hAnsiTheme="minorHAnsi" w:cstheme="minorHAnsi"/>
                <w:lang w:eastAsia="en-US" w:bidi="ar-SA"/>
              </w:rPr>
            </w:pPr>
          </w:p>
        </w:tc>
      </w:tr>
      <w:tr w:rsidR="00500AA9" w:rsidRPr="00890249" w14:paraId="392E591E" w14:textId="77777777" w:rsidTr="18317E1B">
        <w:tc>
          <w:tcPr>
            <w:tcW w:w="1038" w:type="pct"/>
            <w:vMerge/>
          </w:tcPr>
          <w:p w14:paraId="6A24480F"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0CED56CC"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(g) </w:t>
            </w:r>
          </w:p>
          <w:p w14:paraId="08278071" w14:textId="77777777" w:rsidR="00500AA9" w:rsidRPr="00890249" w:rsidRDefault="00500AA9" w:rsidP="00F0713A">
            <w:pPr>
              <w:spacing w:before="60" w:after="60"/>
              <w:jc w:val="left"/>
              <w:rPr>
                <w:rFonts w:asciiTheme="minorHAnsi" w:hAnsiTheme="minorHAnsi" w:cstheme="minorHAnsi"/>
                <w:i/>
                <w:sz w:val="20"/>
                <w:highlight w:val="yellow"/>
              </w:rPr>
            </w:pPr>
            <w:r w:rsidRPr="00890249">
              <w:rPr>
                <w:rFonts w:asciiTheme="minorHAnsi" w:hAnsiTheme="minorHAnsi" w:cstheme="minorHAnsi"/>
                <w:i/>
                <w:sz w:val="20"/>
              </w:rPr>
              <w:t xml:space="preserve">Wspieranie uczenia się przez całe życie, </w:t>
            </w:r>
            <w:r w:rsidRPr="00890249">
              <w:rPr>
                <w:rFonts w:asciiTheme="minorHAnsi" w:hAnsiTheme="minorHAnsi" w:cstheme="minorHAnsi"/>
                <w:i/>
                <w:sz w:val="20"/>
              </w:rPr>
              <w:br/>
              <w:t xml:space="preserve">w szczególności elastycznych możliwości podnoszenia i zmiany </w:t>
            </w:r>
            <w:r w:rsidRPr="00890249">
              <w:rPr>
                <w:rFonts w:asciiTheme="minorHAnsi" w:hAnsiTheme="minorHAnsi" w:cstheme="minorHAnsi"/>
                <w:i/>
                <w:sz w:val="20"/>
              </w:rPr>
              <w:lastRenderedPageBreak/>
              <w:t xml:space="preserve">kwalifikacji dla wszystkich, </w:t>
            </w:r>
            <w:r w:rsidRPr="00890249">
              <w:rPr>
                <w:rFonts w:asciiTheme="minorHAnsi" w:hAnsiTheme="minorHAnsi" w:cstheme="minorHAnsi"/>
                <w:i/>
                <w:sz w:val="20"/>
              </w:rPr>
              <w:br/>
              <w:t xml:space="preserve">z uwzględnieniem umiejętności w zakresie przedsiębiorczości i kompetencji cyfrowych, lepsze przewidywanie zmian </w:t>
            </w:r>
            <w:r w:rsidRPr="00890249">
              <w:rPr>
                <w:rFonts w:asciiTheme="minorHAnsi" w:hAnsiTheme="minorHAnsi" w:cstheme="minorHAnsi"/>
                <w:i/>
                <w:sz w:val="20"/>
              </w:rPr>
              <w:br/>
              <w:t>i zapotrzebowania na nowe umiejętności na podstawie potrzeb rynku pracy, ułatwianie zmian ścieżki kariery zawodowej</w:t>
            </w:r>
            <w:r w:rsidRPr="00890249">
              <w:rPr>
                <w:rFonts w:asciiTheme="minorHAnsi" w:hAnsiTheme="minorHAnsi" w:cstheme="minorHAnsi"/>
                <w:i/>
                <w:sz w:val="20"/>
              </w:rPr>
              <w:br/>
              <w:t>i wspieranie mobilności zawodowej</w:t>
            </w:r>
          </w:p>
        </w:tc>
        <w:tc>
          <w:tcPr>
            <w:tcW w:w="2691" w:type="pct"/>
          </w:tcPr>
          <w:p w14:paraId="6E772898" w14:textId="77777777" w:rsidR="00B72154" w:rsidRPr="00890249" w:rsidRDefault="00615CEC" w:rsidP="00890249">
            <w:pPr>
              <w:spacing w:before="0" w:after="0"/>
              <w:rPr>
                <w:rFonts w:asciiTheme="minorHAnsi" w:hAnsiTheme="minorHAnsi" w:cstheme="minorHAnsi"/>
                <w:noProof/>
                <w:sz w:val="20"/>
              </w:rPr>
            </w:pPr>
            <w:r w:rsidRPr="00890249">
              <w:rPr>
                <w:rFonts w:asciiTheme="minorHAnsi" w:eastAsiaTheme="minorHAnsi" w:hAnsiTheme="minorHAnsi" w:cstheme="minorHAnsi"/>
                <w:sz w:val="20"/>
                <w:szCs w:val="22"/>
                <w:lang w:eastAsia="en-US" w:bidi="ar-SA"/>
              </w:rPr>
              <w:lastRenderedPageBreak/>
              <w:t>Zaplanowane do realizacji działania wpisują się w</w:t>
            </w:r>
            <w:r w:rsidR="00813B87" w:rsidRPr="00890249">
              <w:rPr>
                <w:rFonts w:asciiTheme="minorHAnsi" w:eastAsiaTheme="minorHAnsi" w:hAnsiTheme="minorHAnsi" w:cstheme="minorHAnsi"/>
                <w:sz w:val="20"/>
                <w:szCs w:val="22"/>
                <w:lang w:eastAsia="en-US" w:bidi="ar-SA"/>
              </w:rPr>
              <w:t>:</w:t>
            </w:r>
          </w:p>
          <w:p w14:paraId="6C5D3C3D" w14:textId="46A24599" w:rsidR="00B72154" w:rsidRPr="00890249" w:rsidRDefault="00875C92" w:rsidP="009F296A">
            <w:pPr>
              <w:pStyle w:val="Bezodstpw"/>
              <w:numPr>
                <w:ilvl w:val="0"/>
                <w:numId w:val="107"/>
              </w:numPr>
              <w:ind w:left="389" w:hanging="425"/>
              <w:rPr>
                <w:rFonts w:asciiTheme="minorHAnsi" w:hAnsiTheme="minorHAnsi" w:cstheme="minorHAnsi"/>
                <w:noProof/>
                <w:sz w:val="20"/>
              </w:rPr>
            </w:pPr>
            <w:r w:rsidRPr="00890249">
              <w:rPr>
                <w:rFonts w:asciiTheme="minorHAnsi" w:hAnsiTheme="minorHAnsi" w:cstheme="minorHAnsi"/>
                <w:sz w:val="20"/>
                <w:lang w:eastAsia="en-US" w:bidi="ar-SA"/>
              </w:rPr>
              <w:t xml:space="preserve">założenia </w:t>
            </w:r>
            <w:r w:rsidRPr="00890249">
              <w:rPr>
                <w:rFonts w:asciiTheme="minorHAnsi" w:hAnsiTheme="minorHAnsi" w:cstheme="minorHAnsi"/>
                <w:i/>
                <w:sz w:val="20"/>
                <w:lang w:eastAsia="en-US" w:bidi="ar-SA"/>
              </w:rPr>
              <w:t>Europejskiego filaru praw socjalnych</w:t>
            </w:r>
            <w:r w:rsidRPr="00890249">
              <w:rPr>
                <w:rFonts w:asciiTheme="minorHAnsi" w:hAnsiTheme="minorHAnsi" w:cstheme="minorHAnsi"/>
                <w:sz w:val="20"/>
                <w:lang w:eastAsia="en-US" w:bidi="ar-SA"/>
              </w:rPr>
              <w:t xml:space="preserve"> tj.: </w:t>
            </w:r>
            <w:r w:rsidR="00C77D33" w:rsidRPr="00890249">
              <w:rPr>
                <w:rFonts w:asciiTheme="minorHAnsi" w:hAnsiTheme="minorHAnsi" w:cstheme="minorHAnsi"/>
                <w:sz w:val="20"/>
                <w:lang w:eastAsia="en-US" w:bidi="ar-SA"/>
              </w:rPr>
              <w:t>k</w:t>
            </w:r>
            <w:r w:rsidRPr="00890249">
              <w:rPr>
                <w:rFonts w:asciiTheme="minorHAnsi" w:hAnsiTheme="minorHAnsi" w:cstheme="minorHAnsi"/>
                <w:sz w:val="20"/>
                <w:lang w:eastAsia="en-US" w:bidi="ar-SA"/>
              </w:rPr>
              <w:t xml:space="preserve">ażda osoba ma prawo do edukacji włączającej, charakteryzującej się dobrą jakością, szkoleń i uczenia się przez całe życie w celu utrzymania i nabywania umiejętności, które pozwolą jej w pełni </w:t>
            </w:r>
            <w:r w:rsidRPr="00890249">
              <w:rPr>
                <w:rFonts w:asciiTheme="minorHAnsi" w:hAnsiTheme="minorHAnsi" w:cstheme="minorHAnsi"/>
                <w:sz w:val="20"/>
                <w:lang w:eastAsia="en-US" w:bidi="ar-SA"/>
              </w:rPr>
              <w:lastRenderedPageBreak/>
              <w:t>uczestniczyć w życiu społeczeństwa i skutecznie radzić sobie ze zmianami na rynku pracy</w:t>
            </w:r>
          </w:p>
          <w:p w14:paraId="65E7A09B" w14:textId="5A54D02D" w:rsidR="00B72154" w:rsidRPr="00890249" w:rsidRDefault="6A519670" w:rsidP="009F296A">
            <w:pPr>
              <w:pStyle w:val="Bezodstpw"/>
              <w:numPr>
                <w:ilvl w:val="0"/>
                <w:numId w:val="107"/>
              </w:numPr>
              <w:ind w:left="389" w:hanging="389"/>
              <w:rPr>
                <w:rFonts w:asciiTheme="minorHAnsi" w:hAnsiTheme="minorHAnsi" w:cstheme="minorHAnsi"/>
                <w:noProof/>
                <w:sz w:val="20"/>
              </w:rPr>
            </w:pPr>
            <w:r w:rsidRPr="00890249">
              <w:rPr>
                <w:rFonts w:asciiTheme="minorHAnsi" w:hAnsiTheme="minorHAnsi" w:cstheme="minorHAnsi"/>
                <w:noProof/>
                <w:sz w:val="20"/>
              </w:rPr>
              <w:t xml:space="preserve">zalecenia </w:t>
            </w:r>
            <w:r w:rsidR="00875C92" w:rsidRPr="00890249">
              <w:rPr>
                <w:rFonts w:asciiTheme="minorHAnsi" w:hAnsiTheme="minorHAnsi" w:cstheme="minorHAnsi"/>
                <w:i/>
                <w:iCs/>
                <w:noProof/>
                <w:sz w:val="20"/>
              </w:rPr>
              <w:t>Rady w sprawie krajowego programu reform Polski na 2019 r., tj.:</w:t>
            </w:r>
            <w:r w:rsidRPr="00890249">
              <w:rPr>
                <w:rFonts w:asciiTheme="minorHAnsi" w:hAnsiTheme="minorHAnsi" w:cstheme="minorHAnsi"/>
                <w:noProof/>
                <w:sz w:val="20"/>
              </w:rPr>
              <w:t xml:space="preserve"> wspieranie wysokiej jakości edukacji i rozwijanie umiejętności odpowiadających potrzebom rynku pracy, zwłaszcza poprzez kształcenie dorosłych</w:t>
            </w:r>
            <w:r w:rsidR="00CC2068" w:rsidRPr="00890249">
              <w:rPr>
                <w:rFonts w:asciiTheme="minorHAnsi" w:hAnsiTheme="minorHAnsi" w:cstheme="minorHAnsi"/>
                <w:noProof/>
                <w:sz w:val="20"/>
              </w:rPr>
              <w:t xml:space="preserve"> </w:t>
            </w:r>
          </w:p>
          <w:p w14:paraId="019E83AE" w14:textId="0A3799B5" w:rsidR="00B72154" w:rsidRPr="00890249" w:rsidRDefault="001849DE" w:rsidP="009F296A">
            <w:pPr>
              <w:pStyle w:val="Bezodstpw"/>
              <w:numPr>
                <w:ilvl w:val="0"/>
                <w:numId w:val="107"/>
              </w:numPr>
              <w:ind w:left="389" w:hanging="389"/>
              <w:rPr>
                <w:rFonts w:asciiTheme="minorHAnsi" w:hAnsiTheme="minorHAnsi" w:cstheme="minorHAnsi"/>
                <w:noProof/>
              </w:rPr>
            </w:pPr>
            <w:r w:rsidRPr="00890249">
              <w:rPr>
                <w:rFonts w:asciiTheme="minorHAnsi" w:hAnsiTheme="minorHAnsi" w:cstheme="minorHAnsi"/>
                <w:noProof/>
                <w:sz w:val="20"/>
              </w:rPr>
              <w:t>cel szczegółowy 1 Podniesienie poziomu kompetencji oraz kwalifikacji obywateli, w tym cyfrowych Strategii Rozwoju Kapitału Ludzkiego 2030.</w:t>
            </w:r>
          </w:p>
        </w:tc>
      </w:tr>
      <w:tr w:rsidR="00500AA9" w:rsidRPr="00890249" w14:paraId="0DEA1F66" w14:textId="77777777" w:rsidTr="18317E1B">
        <w:tc>
          <w:tcPr>
            <w:tcW w:w="1038" w:type="pct"/>
            <w:vMerge/>
          </w:tcPr>
          <w:p w14:paraId="421DA280"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05EFDC33"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(h) </w:t>
            </w:r>
          </w:p>
          <w:p w14:paraId="5DDF3FE1" w14:textId="77777777" w:rsidR="00500AA9" w:rsidRPr="00890249" w:rsidRDefault="00500AA9" w:rsidP="007A698B">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Wspieranie aktywnego włączenia społecznego, w  celu promowania równości szans, niedyskryminacji </w:t>
            </w:r>
            <w:r w:rsidRPr="00890249">
              <w:rPr>
                <w:rFonts w:asciiTheme="minorHAnsi" w:hAnsiTheme="minorHAnsi" w:cstheme="minorHAnsi"/>
                <w:i/>
                <w:sz w:val="20"/>
              </w:rPr>
              <w:br/>
              <w:t xml:space="preserve">i aktywnego uczestnictwa, oraz zwiększanie zdolności do zatrudnienia, w szczególności grup w niekorzystnej sytuacji </w:t>
            </w:r>
          </w:p>
        </w:tc>
        <w:tc>
          <w:tcPr>
            <w:tcW w:w="2691" w:type="pct"/>
          </w:tcPr>
          <w:p w14:paraId="58A29326" w14:textId="0DED8FC1" w:rsidR="00B72154" w:rsidRPr="00890249" w:rsidRDefault="001A6F07" w:rsidP="009F296A">
            <w:pPr>
              <w:pStyle w:val="Akapitzlist"/>
              <w:numPr>
                <w:ilvl w:val="0"/>
                <w:numId w:val="116"/>
              </w:numPr>
              <w:ind w:left="389" w:hanging="389"/>
              <w:rPr>
                <w:rFonts w:asciiTheme="minorHAnsi" w:hAnsiTheme="minorHAnsi" w:cstheme="minorHAnsi"/>
                <w:sz w:val="20"/>
                <w:lang w:eastAsia="en-US" w:bidi="ar-SA"/>
              </w:rPr>
            </w:pPr>
            <w:r w:rsidRPr="00890249">
              <w:rPr>
                <w:rFonts w:asciiTheme="minorHAnsi" w:eastAsiaTheme="minorHAnsi" w:hAnsiTheme="minorHAnsi" w:cstheme="minorHAnsi"/>
                <w:bCs/>
                <w:sz w:val="20"/>
                <w:szCs w:val="22"/>
                <w:lang w:eastAsia="en-US" w:bidi="ar-SA"/>
              </w:rPr>
              <w:t>Aktywi</w:t>
            </w:r>
            <w:r w:rsidR="00A723EB">
              <w:rPr>
                <w:rFonts w:asciiTheme="minorHAnsi" w:eastAsiaTheme="minorHAnsi" w:hAnsiTheme="minorHAnsi" w:cstheme="minorHAnsi"/>
                <w:bCs/>
                <w:sz w:val="20"/>
                <w:szCs w:val="22"/>
                <w:lang w:eastAsia="en-US" w:bidi="ar-SA"/>
              </w:rPr>
              <w:t>zacja społeczno-zawodowa osób z </w:t>
            </w:r>
            <w:r w:rsidRPr="00890249">
              <w:rPr>
                <w:rFonts w:asciiTheme="minorHAnsi" w:eastAsiaTheme="minorHAnsi" w:hAnsiTheme="minorHAnsi" w:cstheme="minorHAnsi"/>
                <w:bCs/>
                <w:sz w:val="20"/>
                <w:szCs w:val="22"/>
                <w:lang w:eastAsia="en-US" w:bidi="ar-SA"/>
              </w:rPr>
              <w:t xml:space="preserve">niepełnosprawnościami będzie </w:t>
            </w:r>
            <w:r w:rsidR="00C77D33" w:rsidRPr="00890249">
              <w:rPr>
                <w:rFonts w:asciiTheme="minorHAnsi" w:eastAsiaTheme="minorHAnsi" w:hAnsiTheme="minorHAnsi" w:cstheme="minorHAnsi"/>
                <w:bCs/>
                <w:sz w:val="20"/>
                <w:szCs w:val="22"/>
                <w:lang w:eastAsia="en-US" w:bidi="ar-SA"/>
              </w:rPr>
              <w:t>wspierana</w:t>
            </w:r>
            <w:r w:rsidRPr="00890249">
              <w:rPr>
                <w:rFonts w:asciiTheme="minorHAnsi" w:eastAsiaTheme="minorHAnsi" w:hAnsiTheme="minorHAnsi" w:cstheme="minorHAnsi"/>
                <w:bCs/>
                <w:sz w:val="20"/>
                <w:szCs w:val="22"/>
                <w:lang w:eastAsia="en-US" w:bidi="ar-SA"/>
              </w:rPr>
              <w:t xml:space="preserve"> zgodnie </w:t>
            </w:r>
            <w:r w:rsidR="00A723EB">
              <w:rPr>
                <w:rFonts w:asciiTheme="minorHAnsi" w:eastAsiaTheme="minorHAnsi" w:hAnsiTheme="minorHAnsi" w:cstheme="minorHAnsi"/>
                <w:bCs/>
                <w:sz w:val="20"/>
                <w:szCs w:val="22"/>
                <w:lang w:eastAsia="en-US" w:bidi="ar-SA"/>
              </w:rPr>
              <w:t>z </w:t>
            </w:r>
            <w:r w:rsidRPr="00890249">
              <w:rPr>
                <w:rFonts w:asciiTheme="minorHAnsi" w:eastAsiaTheme="minorHAnsi" w:hAnsiTheme="minorHAnsi" w:cstheme="minorHAnsi"/>
                <w:bCs/>
                <w:i/>
                <w:sz w:val="20"/>
                <w:szCs w:val="22"/>
                <w:lang w:eastAsia="en-US" w:bidi="ar-SA"/>
              </w:rPr>
              <w:t>Konwencją ONZ o prawach osób niepełnosprawnych</w:t>
            </w:r>
            <w:r w:rsidRPr="00890249">
              <w:rPr>
                <w:rStyle w:val="Odwoanieprzypisudolnego"/>
                <w:rFonts w:asciiTheme="minorHAnsi" w:eastAsiaTheme="minorHAnsi" w:hAnsiTheme="minorHAnsi" w:cstheme="minorHAnsi"/>
                <w:bCs/>
                <w:i/>
                <w:sz w:val="20"/>
                <w:szCs w:val="22"/>
                <w:lang w:eastAsia="en-US" w:bidi="ar-SA"/>
              </w:rPr>
              <w:footnoteReference w:id="76"/>
            </w:r>
            <w:r w:rsidRPr="00890249">
              <w:rPr>
                <w:rFonts w:asciiTheme="minorHAnsi" w:eastAsiaTheme="minorHAnsi" w:hAnsiTheme="minorHAnsi" w:cstheme="minorHAnsi"/>
                <w:bCs/>
                <w:i/>
                <w:sz w:val="20"/>
                <w:szCs w:val="22"/>
                <w:lang w:eastAsia="en-US" w:bidi="ar-SA"/>
              </w:rPr>
              <w:t>,</w:t>
            </w:r>
            <w:r w:rsidRPr="00890249">
              <w:rPr>
                <w:rFonts w:asciiTheme="minorHAnsi" w:eastAsiaTheme="minorHAnsi" w:hAnsiTheme="minorHAnsi" w:cstheme="minorHAnsi"/>
                <w:bCs/>
                <w:sz w:val="20"/>
                <w:szCs w:val="22"/>
                <w:lang w:eastAsia="en-US" w:bidi="ar-SA"/>
              </w:rPr>
              <w:t xml:space="preserve"> co oznacza, że działania koncentrować będą się na promowaniu otwartego rynku pracy dla osób z niepełnosprawnościami. </w:t>
            </w:r>
            <w:r w:rsidRPr="00890249">
              <w:rPr>
                <w:rFonts w:asciiTheme="minorHAnsi" w:eastAsiaTheme="minorHAnsi" w:hAnsiTheme="minorHAnsi" w:cstheme="minorHAnsi"/>
                <w:sz w:val="20"/>
                <w:szCs w:val="22"/>
                <w:lang w:eastAsia="en-US" w:bidi="ar-SA"/>
              </w:rPr>
              <w:t>Zaplanowane do rea</w:t>
            </w:r>
            <w:r w:rsidR="00A723EB">
              <w:rPr>
                <w:rFonts w:asciiTheme="minorHAnsi" w:eastAsiaTheme="minorHAnsi" w:hAnsiTheme="minorHAnsi" w:cstheme="minorHAnsi"/>
                <w:sz w:val="20"/>
                <w:szCs w:val="22"/>
                <w:lang w:eastAsia="en-US" w:bidi="ar-SA"/>
              </w:rPr>
              <w:t>lizacji działania wpisują się w </w:t>
            </w:r>
            <w:r w:rsidRPr="00890249">
              <w:rPr>
                <w:rFonts w:asciiTheme="minorHAnsi" w:hAnsiTheme="minorHAnsi" w:cstheme="minorHAnsi"/>
                <w:sz w:val="20"/>
                <w:lang w:eastAsia="en-US" w:bidi="ar-SA"/>
              </w:rPr>
              <w:t xml:space="preserve">założenia </w:t>
            </w:r>
            <w:r w:rsidRPr="00890249">
              <w:rPr>
                <w:rFonts w:asciiTheme="minorHAnsi" w:hAnsiTheme="minorHAnsi" w:cstheme="minorHAnsi"/>
                <w:i/>
                <w:sz w:val="20"/>
                <w:lang w:eastAsia="en-US" w:bidi="ar-SA"/>
              </w:rPr>
              <w:t>Europejskiego filaru praw socjalnych</w:t>
            </w:r>
            <w:r w:rsidR="00C77D33" w:rsidRPr="00890249">
              <w:rPr>
                <w:rFonts w:asciiTheme="minorHAnsi" w:hAnsiTheme="minorHAnsi" w:cstheme="minorHAnsi"/>
                <w:i/>
                <w:sz w:val="20"/>
                <w:lang w:eastAsia="en-US" w:bidi="ar-SA"/>
              </w:rPr>
              <w:t>.</w:t>
            </w:r>
            <w:r w:rsidRPr="00890249">
              <w:rPr>
                <w:rFonts w:asciiTheme="minorHAnsi" w:hAnsiTheme="minorHAnsi" w:cstheme="minorHAnsi"/>
                <w:sz w:val="20"/>
                <w:lang w:eastAsia="en-US" w:bidi="ar-SA"/>
              </w:rPr>
              <w:t xml:space="preserve"> tj.: </w:t>
            </w:r>
            <w:r w:rsidR="00C77D33" w:rsidRPr="00890249">
              <w:rPr>
                <w:rFonts w:asciiTheme="minorHAnsi" w:hAnsiTheme="minorHAnsi" w:cstheme="minorHAnsi"/>
                <w:sz w:val="20"/>
                <w:lang w:eastAsia="en-US" w:bidi="ar-SA"/>
              </w:rPr>
              <w:t>o</w:t>
            </w:r>
            <w:r w:rsidRPr="00890249">
              <w:rPr>
                <w:rFonts w:asciiTheme="minorHAnsi" w:hAnsiTheme="minorHAnsi" w:cstheme="minorHAnsi"/>
                <w:sz w:val="20"/>
                <w:lang w:eastAsia="en-US" w:bidi="ar-SA"/>
              </w:rPr>
              <w:t>soby niepełnosprawne mają prawo do otrzymania wsparcia dochodu, które zapewnia godne życie, usług, które pozwolą im na uczestnictwo w rynku pracy i w życiu społecznym, a także do środowiska pracy dostosowanego do ich potrzeb</w:t>
            </w:r>
          </w:p>
          <w:p w14:paraId="6FF3EEAB" w14:textId="60BE04B3" w:rsidR="00B72154" w:rsidRPr="00890249" w:rsidRDefault="00875C92" w:rsidP="009F296A">
            <w:pPr>
              <w:pStyle w:val="Akapitzlist"/>
              <w:numPr>
                <w:ilvl w:val="0"/>
                <w:numId w:val="116"/>
              </w:numPr>
              <w:ind w:left="389" w:hanging="389"/>
              <w:rPr>
                <w:rFonts w:asciiTheme="minorHAnsi" w:hAnsiTheme="minorHAnsi" w:cstheme="minorHAnsi"/>
                <w:sz w:val="20"/>
                <w:lang w:eastAsia="en-US" w:bidi="ar-SA"/>
              </w:rPr>
            </w:pPr>
            <w:r w:rsidRPr="00890249">
              <w:rPr>
                <w:rFonts w:asciiTheme="minorHAnsi" w:eastAsiaTheme="minorHAnsi" w:hAnsiTheme="minorHAnsi" w:cstheme="minorHAnsi"/>
                <w:bCs/>
                <w:sz w:val="20"/>
                <w:szCs w:val="22"/>
                <w:lang w:eastAsia="en-US" w:bidi="ar-SA"/>
              </w:rPr>
              <w:t>W kontekście działań skierowanych do niewykorzystanych zasobów pracy</w:t>
            </w:r>
            <w:r w:rsidR="00C77D33" w:rsidRPr="00890249">
              <w:rPr>
                <w:rFonts w:asciiTheme="minorHAnsi" w:eastAsiaTheme="minorHAnsi" w:hAnsiTheme="minorHAnsi" w:cstheme="minorHAnsi"/>
                <w:bCs/>
                <w:sz w:val="20"/>
                <w:szCs w:val="22"/>
                <w:lang w:eastAsia="en-US" w:bidi="ar-SA"/>
              </w:rPr>
              <w:t>,</w:t>
            </w:r>
            <w:r w:rsidRPr="00890249">
              <w:rPr>
                <w:rFonts w:asciiTheme="minorHAnsi" w:eastAsiaTheme="minorHAnsi" w:hAnsiTheme="minorHAnsi" w:cstheme="minorHAnsi"/>
                <w:bCs/>
                <w:sz w:val="20"/>
                <w:szCs w:val="22"/>
                <w:lang w:eastAsia="en-US" w:bidi="ar-SA"/>
              </w:rPr>
              <w:t xml:space="preserve"> tj. </w:t>
            </w:r>
            <w:r w:rsidR="001A6F07" w:rsidRPr="00890249">
              <w:rPr>
                <w:rFonts w:asciiTheme="minorHAnsi" w:eastAsiaTheme="minorHAnsi" w:hAnsiTheme="minorHAnsi" w:cstheme="minorHAnsi"/>
                <w:bCs/>
                <w:sz w:val="20"/>
                <w:szCs w:val="22"/>
                <w:lang w:eastAsia="en-US" w:bidi="ar-SA"/>
              </w:rPr>
              <w:t xml:space="preserve">osób biernych zawodowo i </w:t>
            </w:r>
            <w:r w:rsidRPr="00890249">
              <w:rPr>
                <w:rFonts w:asciiTheme="minorHAnsi" w:eastAsiaTheme="minorHAnsi" w:hAnsiTheme="minorHAnsi" w:cstheme="minorHAnsi"/>
                <w:bCs/>
                <w:sz w:val="20"/>
                <w:szCs w:val="22"/>
                <w:lang w:eastAsia="en-US" w:bidi="ar-SA"/>
              </w:rPr>
              <w:t xml:space="preserve">osób z niepełnosprawnościami wsparcie jest zgodne </w:t>
            </w:r>
            <w:r w:rsidR="00A723EB">
              <w:rPr>
                <w:rFonts w:asciiTheme="minorHAnsi" w:eastAsiaTheme="minorHAnsi" w:hAnsiTheme="minorHAnsi" w:cstheme="minorHAnsi"/>
                <w:bCs/>
                <w:sz w:val="20"/>
                <w:szCs w:val="22"/>
                <w:lang w:eastAsia="en-US" w:bidi="ar-SA"/>
              </w:rPr>
              <w:t>z celem szczegółowym 3 Wzrost i </w:t>
            </w:r>
            <w:r w:rsidRPr="00890249">
              <w:rPr>
                <w:rFonts w:asciiTheme="minorHAnsi" w:eastAsiaTheme="minorHAnsi" w:hAnsiTheme="minorHAnsi" w:cstheme="minorHAnsi"/>
                <w:bCs/>
                <w:sz w:val="20"/>
                <w:szCs w:val="22"/>
                <w:lang w:eastAsia="en-US" w:bidi="ar-SA"/>
              </w:rPr>
              <w:t>poprawa wykorzystania potencjału kapitału ludzkiego na rynku pracy Strategii Rozwoju Kapitału Ludzkiego 2030.</w:t>
            </w:r>
          </w:p>
          <w:p w14:paraId="28603551" w14:textId="1BF6032E" w:rsidR="00B72154" w:rsidRPr="00A723EB" w:rsidRDefault="00875C92" w:rsidP="009F296A">
            <w:pPr>
              <w:pStyle w:val="Akapitzlist"/>
              <w:numPr>
                <w:ilvl w:val="0"/>
                <w:numId w:val="116"/>
              </w:numPr>
              <w:ind w:left="389" w:hanging="389"/>
              <w:rPr>
                <w:rFonts w:asciiTheme="minorHAnsi" w:eastAsiaTheme="minorHAnsi" w:hAnsiTheme="minorHAnsi" w:cstheme="minorHAnsi"/>
                <w:bCs/>
                <w:sz w:val="20"/>
                <w:szCs w:val="22"/>
                <w:lang w:eastAsia="en-US" w:bidi="ar-SA"/>
              </w:rPr>
            </w:pPr>
            <w:r w:rsidRPr="00890249">
              <w:rPr>
                <w:rFonts w:asciiTheme="minorHAnsi" w:eastAsiaTheme="minorHAnsi" w:hAnsiTheme="minorHAnsi" w:cstheme="minorHAnsi"/>
                <w:bCs/>
                <w:sz w:val="20"/>
                <w:szCs w:val="22"/>
                <w:lang w:eastAsia="en-US" w:bidi="ar-SA"/>
              </w:rPr>
              <w:t xml:space="preserve">W kontekście </w:t>
            </w:r>
            <w:r w:rsidR="00E30EFB" w:rsidRPr="00890249">
              <w:rPr>
                <w:rFonts w:asciiTheme="minorHAnsi" w:eastAsiaTheme="minorHAnsi" w:hAnsiTheme="minorHAnsi" w:cstheme="minorHAnsi"/>
                <w:bCs/>
                <w:sz w:val="20"/>
                <w:szCs w:val="22"/>
                <w:lang w:eastAsia="en-US" w:bidi="ar-SA"/>
              </w:rPr>
              <w:t>konieczności rozwoju ekonomii społecznej</w:t>
            </w:r>
            <w:r w:rsidRPr="00890249">
              <w:rPr>
                <w:rFonts w:asciiTheme="minorHAnsi" w:eastAsiaTheme="minorHAnsi" w:hAnsiTheme="minorHAnsi" w:cstheme="minorHAnsi"/>
                <w:bCs/>
                <w:sz w:val="20"/>
                <w:szCs w:val="22"/>
                <w:lang w:eastAsia="en-US" w:bidi="ar-SA"/>
              </w:rPr>
              <w:t xml:space="preserve"> wsparcie jest zgodne z celem szczegółowym 4 Redukcja ubóstwa i wykluczenia społecznego oraz poprawy dostępu do usług świadczonych w odpowiedzi na wyzwania demograficzne </w:t>
            </w:r>
            <w:r w:rsidRPr="00890249">
              <w:rPr>
                <w:rFonts w:asciiTheme="minorHAnsi" w:eastAsiaTheme="minorHAnsi" w:hAnsiTheme="minorHAnsi" w:cstheme="minorHAnsi"/>
                <w:bCs/>
                <w:i/>
                <w:sz w:val="20"/>
                <w:szCs w:val="22"/>
                <w:lang w:eastAsia="en-US" w:bidi="ar-SA"/>
              </w:rPr>
              <w:t>Strategii Rozwoju Kapitału Ludzkiego 2030.</w:t>
            </w:r>
          </w:p>
        </w:tc>
      </w:tr>
      <w:tr w:rsidR="00500AA9" w:rsidRPr="00890249" w14:paraId="3B305E8D" w14:textId="77777777" w:rsidTr="18317E1B">
        <w:tc>
          <w:tcPr>
            <w:tcW w:w="1038" w:type="pct"/>
            <w:vMerge/>
          </w:tcPr>
          <w:p w14:paraId="69C33DA8"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02213951"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(i) </w:t>
            </w:r>
          </w:p>
          <w:p w14:paraId="4FA07F63" w14:textId="77777777" w:rsidR="00500AA9" w:rsidRPr="00890249" w:rsidRDefault="00500AA9" w:rsidP="007A698B">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Wspieranie integracji społeczno-gospodarczej obywateli państw trzecich, w tym migrantów </w:t>
            </w:r>
            <w:r w:rsidRPr="00890249">
              <w:rPr>
                <w:rFonts w:asciiTheme="minorHAnsi" w:hAnsiTheme="minorHAnsi" w:cstheme="minorHAnsi"/>
                <w:i/>
                <w:sz w:val="20"/>
              </w:rPr>
              <w:br/>
            </w:r>
          </w:p>
        </w:tc>
        <w:tc>
          <w:tcPr>
            <w:tcW w:w="2691" w:type="pct"/>
          </w:tcPr>
          <w:p w14:paraId="5695F382" w14:textId="098DFF1C" w:rsidR="00B72154" w:rsidRPr="00890249" w:rsidRDefault="00411115" w:rsidP="009F296A">
            <w:pPr>
              <w:numPr>
                <w:ilvl w:val="0"/>
                <w:numId w:val="15"/>
              </w:numPr>
              <w:spacing w:before="60" w:after="60"/>
              <w:ind w:left="387" w:hanging="387"/>
              <w:contextualSpacing/>
              <w:rPr>
                <w:rFonts w:asciiTheme="minorHAnsi" w:hAnsiTheme="minorHAnsi" w:cstheme="minorHAnsi"/>
                <w:noProof/>
                <w:sz w:val="20"/>
              </w:rPr>
            </w:pPr>
            <w:r w:rsidRPr="00890249">
              <w:rPr>
                <w:rFonts w:asciiTheme="minorHAnsi" w:eastAsiaTheme="minorHAnsi" w:hAnsiTheme="minorHAnsi" w:cstheme="minorHAnsi"/>
                <w:sz w:val="20"/>
                <w:szCs w:val="22"/>
                <w:lang w:eastAsia="en-US" w:bidi="ar-SA"/>
              </w:rPr>
              <w:t xml:space="preserve">Wsparcie realizowane będzie zgodnie z założeniami </w:t>
            </w:r>
            <w:r w:rsidR="00875C92" w:rsidRPr="00890249">
              <w:rPr>
                <w:rFonts w:asciiTheme="minorHAnsi" w:eastAsiaTheme="minorHAnsi" w:hAnsiTheme="minorHAnsi" w:cstheme="minorHAnsi"/>
                <w:i/>
                <w:sz w:val="20"/>
                <w:szCs w:val="22"/>
                <w:lang w:eastAsia="en-US" w:bidi="ar-SA"/>
              </w:rPr>
              <w:t>Krajowego Prog</w:t>
            </w:r>
            <w:r w:rsidR="00A723EB">
              <w:rPr>
                <w:rFonts w:asciiTheme="minorHAnsi" w:eastAsiaTheme="minorHAnsi" w:hAnsiTheme="minorHAnsi" w:cstheme="minorHAnsi"/>
                <w:i/>
                <w:sz w:val="20"/>
                <w:szCs w:val="22"/>
                <w:lang w:eastAsia="en-US" w:bidi="ar-SA"/>
              </w:rPr>
              <w:t>ramu Przeciwdziałania Ubóstwu i </w:t>
            </w:r>
            <w:r w:rsidR="00875C92" w:rsidRPr="00890249">
              <w:rPr>
                <w:rFonts w:asciiTheme="minorHAnsi" w:eastAsiaTheme="minorHAnsi" w:hAnsiTheme="minorHAnsi" w:cstheme="minorHAnsi"/>
                <w:i/>
                <w:sz w:val="20"/>
                <w:szCs w:val="22"/>
                <w:lang w:eastAsia="en-US" w:bidi="ar-SA"/>
              </w:rPr>
              <w:t xml:space="preserve">Wykluczeniu Społecznemu Aktualizacja </w:t>
            </w:r>
            <w:r w:rsidR="004A7543" w:rsidRPr="00890249">
              <w:rPr>
                <w:rFonts w:asciiTheme="minorHAnsi" w:eastAsiaTheme="minorHAnsi" w:hAnsiTheme="minorHAnsi" w:cstheme="minorHAnsi"/>
                <w:i/>
                <w:sz w:val="20"/>
                <w:szCs w:val="22"/>
                <w:lang w:eastAsia="en-US" w:bidi="ar-SA"/>
              </w:rPr>
              <w:t xml:space="preserve">2021-2027, polityka publiczna </w:t>
            </w:r>
            <w:r w:rsidR="00875C92" w:rsidRPr="00890249">
              <w:rPr>
                <w:rFonts w:asciiTheme="minorHAnsi" w:eastAsiaTheme="minorHAnsi" w:hAnsiTheme="minorHAnsi" w:cstheme="minorHAnsi"/>
                <w:i/>
                <w:sz w:val="20"/>
                <w:szCs w:val="22"/>
                <w:lang w:eastAsia="en-US" w:bidi="ar-SA"/>
              </w:rPr>
              <w:t>z perspektywą do roku 2030</w:t>
            </w:r>
            <w:r w:rsidR="004A7543" w:rsidRPr="00890249">
              <w:rPr>
                <w:rFonts w:asciiTheme="minorHAnsi" w:eastAsiaTheme="minorHAnsi" w:hAnsiTheme="minorHAnsi" w:cstheme="minorHAnsi"/>
                <w:i/>
                <w:sz w:val="20"/>
                <w:szCs w:val="22"/>
                <w:lang w:eastAsia="en-US" w:bidi="ar-SA"/>
              </w:rPr>
              <w:t xml:space="preserve"> (</w:t>
            </w:r>
            <w:r w:rsidR="00875C92" w:rsidRPr="00890249">
              <w:rPr>
                <w:rFonts w:asciiTheme="minorHAnsi" w:eastAsiaTheme="minorHAnsi" w:hAnsiTheme="minorHAnsi" w:cstheme="minorHAnsi"/>
                <w:sz w:val="20"/>
                <w:szCs w:val="22"/>
                <w:lang w:eastAsia="en-US" w:bidi="ar-SA"/>
              </w:rPr>
              <w:t>Priorytet V</w:t>
            </w:r>
            <w:r w:rsidR="004A7543" w:rsidRPr="00890249">
              <w:rPr>
                <w:rFonts w:asciiTheme="minorHAnsi" w:eastAsiaTheme="minorHAnsi" w:hAnsiTheme="minorHAnsi" w:cstheme="minorHAnsi"/>
                <w:i/>
                <w:sz w:val="20"/>
                <w:szCs w:val="22"/>
                <w:lang w:eastAsia="en-US" w:bidi="ar-SA"/>
              </w:rPr>
              <w:t xml:space="preserve"> Integracja cudzoziemców – rozwój usług </w:t>
            </w:r>
            <w:r w:rsidR="004A7543" w:rsidRPr="00890249">
              <w:rPr>
                <w:rFonts w:asciiTheme="minorHAnsi" w:eastAsiaTheme="minorHAnsi" w:hAnsiTheme="minorHAnsi" w:cstheme="minorHAnsi"/>
                <w:i/>
                <w:sz w:val="20"/>
                <w:szCs w:val="22"/>
                <w:lang w:eastAsia="en-US" w:bidi="ar-SA"/>
              </w:rPr>
              <w:lastRenderedPageBreak/>
              <w:t xml:space="preserve">społecznych dla migrantów </w:t>
            </w:r>
            <w:r w:rsidR="003B5DC6" w:rsidRPr="00890249">
              <w:rPr>
                <w:rFonts w:asciiTheme="minorHAnsi" w:eastAsiaTheme="minorHAnsi" w:hAnsiTheme="minorHAnsi" w:cstheme="minorHAnsi"/>
                <w:i/>
                <w:sz w:val="20"/>
                <w:szCs w:val="22"/>
                <w:lang w:eastAsia="en-US" w:bidi="ar-SA"/>
              </w:rPr>
              <w:t xml:space="preserve">oraz wsparcie integracji na rynku pracy </w:t>
            </w:r>
            <w:r w:rsidR="004A7543" w:rsidRPr="00890249">
              <w:rPr>
                <w:rFonts w:asciiTheme="minorHAnsi" w:eastAsiaTheme="minorHAnsi" w:hAnsiTheme="minorHAnsi" w:cstheme="minorHAnsi"/>
                <w:i/>
                <w:sz w:val="20"/>
                <w:szCs w:val="22"/>
                <w:lang w:eastAsia="en-US" w:bidi="ar-SA"/>
              </w:rPr>
              <w:t>)</w:t>
            </w:r>
            <w:r w:rsidR="004A7543" w:rsidRPr="00890249">
              <w:rPr>
                <w:rStyle w:val="Odwoanieprzypisudolnego"/>
                <w:rFonts w:asciiTheme="minorHAnsi" w:eastAsiaTheme="minorHAnsi" w:hAnsiTheme="minorHAnsi" w:cstheme="minorHAnsi"/>
                <w:i/>
                <w:sz w:val="20"/>
                <w:szCs w:val="22"/>
                <w:lang w:eastAsia="en-US" w:bidi="ar-SA"/>
              </w:rPr>
              <w:footnoteReference w:id="77"/>
            </w:r>
            <w:r w:rsidRPr="00890249">
              <w:rPr>
                <w:rFonts w:asciiTheme="minorHAnsi" w:hAnsiTheme="minorHAnsi" w:cstheme="minorHAnsi"/>
                <w:noProof/>
                <w:sz w:val="20"/>
              </w:rPr>
              <w:t>.</w:t>
            </w:r>
          </w:p>
          <w:p w14:paraId="4F884E4A" w14:textId="7A24CA8A" w:rsidR="00A63705" w:rsidRPr="00890249" w:rsidRDefault="00875C92" w:rsidP="009F296A">
            <w:pPr>
              <w:numPr>
                <w:ilvl w:val="0"/>
                <w:numId w:val="15"/>
              </w:numPr>
              <w:spacing w:before="60" w:after="60"/>
              <w:ind w:left="301" w:hanging="284"/>
              <w:contextualSpacing/>
              <w:rPr>
                <w:rFonts w:asciiTheme="minorHAnsi" w:eastAsiaTheme="minorHAnsi" w:hAnsiTheme="minorHAnsi" w:cstheme="minorHAnsi"/>
                <w:noProof/>
                <w:sz w:val="20"/>
              </w:rPr>
            </w:pPr>
            <w:r w:rsidRPr="00890249">
              <w:rPr>
                <w:rFonts w:asciiTheme="minorHAnsi" w:eastAsiaTheme="minorEastAsia" w:hAnsiTheme="minorHAnsi" w:cstheme="minorHAnsi"/>
                <w:sz w:val="20"/>
                <w:lang w:eastAsia="en-US" w:bidi="ar-SA"/>
              </w:rPr>
              <w:t xml:space="preserve">W kontekście działań </w:t>
            </w:r>
            <w:r w:rsidR="2998F780" w:rsidRPr="00890249">
              <w:rPr>
                <w:rFonts w:asciiTheme="minorHAnsi" w:eastAsiaTheme="minorEastAsia" w:hAnsiTheme="minorHAnsi" w:cstheme="minorHAnsi"/>
                <w:sz w:val="20"/>
                <w:lang w:eastAsia="en-US" w:bidi="ar-SA"/>
              </w:rPr>
              <w:t>aktywizacji zawodowej imigrantów</w:t>
            </w:r>
            <w:r w:rsidRPr="00890249">
              <w:rPr>
                <w:rFonts w:asciiTheme="minorHAnsi" w:eastAsiaTheme="minorEastAsia" w:hAnsiTheme="minorHAnsi" w:cstheme="minorHAnsi"/>
                <w:sz w:val="20"/>
                <w:lang w:eastAsia="en-US" w:bidi="ar-SA"/>
              </w:rPr>
              <w:t xml:space="preserve"> wsparcie jest zgodne z celem szczegółowym 3 Wzrost i poprawa wykorzystania potencjału kapitału ludzkiego na rynku pracy </w:t>
            </w:r>
            <w:r w:rsidRPr="00890249">
              <w:rPr>
                <w:rFonts w:asciiTheme="minorHAnsi" w:eastAsiaTheme="minorEastAsia" w:hAnsiTheme="minorHAnsi" w:cstheme="minorHAnsi"/>
                <w:i/>
                <w:iCs/>
                <w:sz w:val="20"/>
                <w:lang w:eastAsia="en-US" w:bidi="ar-SA"/>
              </w:rPr>
              <w:t>Strategii Rozwoju Kapitału Ludzkiego 2030.</w:t>
            </w:r>
          </w:p>
        </w:tc>
      </w:tr>
      <w:tr w:rsidR="00500AA9" w:rsidRPr="00890249" w14:paraId="3400F6B3" w14:textId="77777777" w:rsidTr="18317E1B">
        <w:tc>
          <w:tcPr>
            <w:tcW w:w="1038" w:type="pct"/>
            <w:vMerge/>
          </w:tcPr>
          <w:p w14:paraId="49A80FC1"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4F71325C" w14:textId="77777777" w:rsidR="00500AA9" w:rsidRPr="00890249" w:rsidRDefault="00500AA9" w:rsidP="00D442B5">
            <w:pPr>
              <w:spacing w:before="60" w:after="60"/>
              <w:jc w:val="left"/>
              <w:rPr>
                <w:rFonts w:asciiTheme="minorHAnsi" w:hAnsiTheme="minorHAnsi" w:cstheme="minorHAnsi"/>
                <w:i/>
                <w:sz w:val="20"/>
              </w:rPr>
            </w:pPr>
            <w:r w:rsidRPr="00890249">
              <w:rPr>
                <w:rFonts w:asciiTheme="minorHAnsi" w:hAnsiTheme="minorHAnsi" w:cstheme="minorHAnsi"/>
                <w:sz w:val="20"/>
              </w:rPr>
              <w:t>(j)</w:t>
            </w:r>
            <w:r w:rsidRPr="00890249">
              <w:rPr>
                <w:rFonts w:asciiTheme="minorHAnsi" w:hAnsiTheme="minorHAnsi" w:cstheme="minorHAnsi"/>
                <w:i/>
                <w:sz w:val="20"/>
              </w:rPr>
              <w:t xml:space="preserve"> </w:t>
            </w:r>
          </w:p>
          <w:p w14:paraId="44A5C5B1" w14:textId="77777777" w:rsidR="00500AA9" w:rsidRPr="00890249" w:rsidRDefault="00500AA9" w:rsidP="00D442B5">
            <w:pPr>
              <w:spacing w:before="60" w:after="60"/>
              <w:jc w:val="left"/>
              <w:rPr>
                <w:rFonts w:asciiTheme="minorHAnsi" w:hAnsiTheme="minorHAnsi" w:cstheme="minorHAnsi"/>
                <w:sz w:val="20"/>
              </w:rPr>
            </w:pPr>
            <w:r w:rsidRPr="00890249">
              <w:rPr>
                <w:rFonts w:asciiTheme="minorHAnsi" w:hAnsiTheme="minorHAnsi" w:cstheme="minorHAnsi"/>
                <w:i/>
                <w:sz w:val="20"/>
              </w:rPr>
              <w:t>Wspieranie integracji społeczno-gospodarczej społeczności marginalizowanych, takich jak Romowie</w:t>
            </w:r>
          </w:p>
        </w:tc>
        <w:tc>
          <w:tcPr>
            <w:tcW w:w="2691" w:type="pct"/>
          </w:tcPr>
          <w:p w14:paraId="16C26686" w14:textId="1BC95BE6" w:rsidR="00E30EFB" w:rsidRPr="00890249" w:rsidRDefault="3AAB804D" w:rsidP="009F296A">
            <w:pPr>
              <w:numPr>
                <w:ilvl w:val="0"/>
                <w:numId w:val="15"/>
              </w:numPr>
              <w:spacing w:before="60" w:after="60"/>
              <w:ind w:left="301" w:hanging="284"/>
              <w:contextualSpacing/>
              <w:rPr>
                <w:rFonts w:asciiTheme="minorHAnsi" w:hAnsiTheme="minorHAnsi" w:cstheme="minorHAnsi"/>
                <w:noProof/>
                <w:sz w:val="20"/>
              </w:rPr>
            </w:pPr>
            <w:r w:rsidRPr="00890249">
              <w:rPr>
                <w:rFonts w:asciiTheme="minorHAnsi" w:eastAsiaTheme="minorEastAsia" w:hAnsiTheme="minorHAnsi" w:cstheme="minorHAnsi"/>
                <w:sz w:val="20"/>
              </w:rPr>
              <w:t>Wsparcie realizowane będzie zgodnie z założeniami Unijnych Strategicznych ram dla Romów na rzecz równości, włączenia i uczestnictwa</w:t>
            </w:r>
            <w:r w:rsidR="00411115" w:rsidRPr="00890249">
              <w:rPr>
                <w:rStyle w:val="Odwoanieprzypisudolnego"/>
                <w:rFonts w:asciiTheme="minorHAnsi" w:eastAsiaTheme="minorHAnsi" w:hAnsiTheme="minorHAnsi" w:cstheme="minorHAnsi"/>
                <w:sz w:val="20"/>
              </w:rPr>
              <w:footnoteReference w:id="78"/>
            </w:r>
            <w:r w:rsidRPr="00890249">
              <w:rPr>
                <w:rFonts w:asciiTheme="minorHAnsi" w:hAnsiTheme="minorHAnsi" w:cstheme="minorHAnsi"/>
                <w:sz w:val="20"/>
                <w:lang w:eastAsia="en-US" w:bidi="ar-SA"/>
              </w:rPr>
              <w:t xml:space="preserve"> oraz z </w:t>
            </w:r>
            <w:r w:rsidRPr="00890249">
              <w:rPr>
                <w:rFonts w:asciiTheme="minorHAnsi" w:hAnsiTheme="minorHAnsi" w:cstheme="minorHAnsi"/>
                <w:i/>
                <w:iCs/>
                <w:sz w:val="20"/>
                <w:lang w:eastAsia="en-US" w:bidi="ar-SA"/>
              </w:rPr>
              <w:t>Programem na rzecz integracji spo</w:t>
            </w:r>
            <w:r w:rsidR="00A723EB">
              <w:rPr>
                <w:rFonts w:asciiTheme="minorHAnsi" w:hAnsiTheme="minorHAnsi" w:cstheme="minorHAnsi"/>
                <w:i/>
                <w:iCs/>
                <w:sz w:val="20"/>
                <w:lang w:eastAsia="en-US" w:bidi="ar-SA"/>
              </w:rPr>
              <w:t>łecznej i obywatelskiej Romów w </w:t>
            </w:r>
            <w:r w:rsidRPr="00890249">
              <w:rPr>
                <w:rFonts w:asciiTheme="minorHAnsi" w:hAnsiTheme="minorHAnsi" w:cstheme="minorHAnsi"/>
                <w:i/>
                <w:iCs/>
                <w:sz w:val="20"/>
                <w:lang w:eastAsia="en-US" w:bidi="ar-SA"/>
              </w:rPr>
              <w:t>Polsce na lata 2021-2030</w:t>
            </w:r>
            <w:r w:rsidR="00411115" w:rsidRPr="00890249">
              <w:rPr>
                <w:rStyle w:val="Odwoanieprzypisudolnego"/>
                <w:rFonts w:asciiTheme="minorHAnsi" w:hAnsiTheme="minorHAnsi" w:cstheme="minorHAnsi"/>
                <w:i/>
                <w:szCs w:val="24"/>
                <w:lang w:eastAsia="en-US" w:bidi="ar-SA"/>
              </w:rPr>
              <w:footnoteReference w:id="79"/>
            </w:r>
            <w:r w:rsidRPr="00890249">
              <w:rPr>
                <w:rFonts w:asciiTheme="minorHAnsi" w:hAnsiTheme="minorHAnsi" w:cstheme="minorHAnsi"/>
                <w:i/>
                <w:iCs/>
                <w:lang w:eastAsia="en-US" w:bidi="ar-SA"/>
              </w:rPr>
              <w:t>.</w:t>
            </w:r>
          </w:p>
          <w:p w14:paraId="2E5CAA60" w14:textId="1E603E21" w:rsidR="00B72154" w:rsidRPr="00890249" w:rsidRDefault="3AAB804D" w:rsidP="009F296A">
            <w:pPr>
              <w:numPr>
                <w:ilvl w:val="0"/>
                <w:numId w:val="15"/>
              </w:numPr>
              <w:spacing w:before="60" w:after="60"/>
              <w:ind w:left="301" w:hanging="284"/>
              <w:contextualSpacing/>
              <w:rPr>
                <w:rFonts w:asciiTheme="minorHAnsi" w:hAnsiTheme="minorHAnsi" w:cstheme="minorHAnsi"/>
                <w:noProof/>
              </w:rPr>
            </w:pPr>
            <w:r w:rsidRPr="00890249">
              <w:rPr>
                <w:rFonts w:asciiTheme="minorHAnsi" w:eastAsiaTheme="minorEastAsia" w:hAnsiTheme="minorHAnsi" w:cstheme="minorHAnsi"/>
                <w:sz w:val="20"/>
              </w:rPr>
              <w:t xml:space="preserve">Wsparcie dzieci romskich będzie zgodne z </w:t>
            </w:r>
            <w:r w:rsidR="00875C92" w:rsidRPr="00890249">
              <w:rPr>
                <w:rFonts w:asciiTheme="minorHAnsi" w:eastAsiaTheme="minorEastAsia" w:hAnsiTheme="minorHAnsi" w:cstheme="minorHAnsi"/>
                <w:i/>
                <w:iCs/>
                <w:sz w:val="20"/>
              </w:rPr>
              <w:t>Europejskim filarem praw socjalnych</w:t>
            </w:r>
            <w:r w:rsidRPr="00890249">
              <w:rPr>
                <w:rFonts w:asciiTheme="minorHAnsi" w:eastAsiaTheme="minorEastAsia" w:hAnsiTheme="minorHAnsi" w:cstheme="minorHAnsi"/>
                <w:sz w:val="20"/>
              </w:rPr>
              <w:t>, w którym wskazane jest prawo dzieci do edukacji, ochrony przed ubóstwem oraz do szczególnych środków służących zwiększeniu równości szans.</w:t>
            </w:r>
          </w:p>
        </w:tc>
      </w:tr>
      <w:tr w:rsidR="00500AA9" w:rsidRPr="00890249" w14:paraId="7D6C8338" w14:textId="77777777" w:rsidTr="18317E1B">
        <w:tc>
          <w:tcPr>
            <w:tcW w:w="1038" w:type="pct"/>
            <w:vMerge/>
          </w:tcPr>
          <w:p w14:paraId="2404F1FE" w14:textId="77777777" w:rsidR="00500AA9" w:rsidRPr="00890249" w:rsidRDefault="00500AA9" w:rsidP="00500AA9">
            <w:pPr>
              <w:spacing w:before="60" w:after="60"/>
              <w:jc w:val="left"/>
              <w:rPr>
                <w:rFonts w:asciiTheme="minorHAnsi" w:eastAsia="Times New Roman" w:hAnsiTheme="minorHAnsi" w:cstheme="minorHAnsi"/>
                <w:b/>
                <w:iCs/>
                <w:noProof/>
                <w:sz w:val="20"/>
              </w:rPr>
            </w:pPr>
          </w:p>
        </w:tc>
        <w:tc>
          <w:tcPr>
            <w:tcW w:w="1271" w:type="pct"/>
          </w:tcPr>
          <w:p w14:paraId="6CC46341"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(k) </w:t>
            </w:r>
          </w:p>
          <w:p w14:paraId="4520A77A" w14:textId="77777777" w:rsidR="00500AA9" w:rsidRPr="00890249" w:rsidRDefault="00500AA9" w:rsidP="007A698B">
            <w:pPr>
              <w:spacing w:before="60" w:after="60"/>
              <w:jc w:val="left"/>
              <w:rPr>
                <w:rFonts w:asciiTheme="minorHAnsi" w:hAnsiTheme="minorHAnsi" w:cstheme="minorHAnsi"/>
                <w:sz w:val="20"/>
              </w:rPr>
            </w:pPr>
            <w:r w:rsidRPr="00890249">
              <w:rPr>
                <w:rFonts w:asciiTheme="minorHAnsi" w:hAnsiTheme="minorHAnsi" w:cstheme="minorHAnsi"/>
                <w:i/>
                <w:sz w:val="20"/>
              </w:rPr>
              <w:t xml:space="preserve">Zwiększanie równego </w:t>
            </w:r>
            <w:r w:rsidRPr="00890249">
              <w:rPr>
                <w:rFonts w:asciiTheme="minorHAnsi" w:hAnsiTheme="minorHAnsi" w:cstheme="minorHAnsi"/>
                <w:i/>
                <w:sz w:val="20"/>
              </w:rPr>
              <w:br/>
              <w:t xml:space="preserve">i szybkiego dostępu do dobrej jakości, trwałych </w:t>
            </w:r>
            <w:r w:rsidRPr="00890249">
              <w:rPr>
                <w:rFonts w:asciiTheme="minorHAnsi" w:hAnsiTheme="minorHAnsi" w:cstheme="minorHAnsi"/>
                <w:i/>
                <w:sz w:val="20"/>
              </w:rPr>
              <w:br/>
              <w:t xml:space="preserve">i przystępnych cenowo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w:t>
            </w:r>
            <w:r w:rsidRPr="00890249">
              <w:rPr>
                <w:rFonts w:asciiTheme="minorHAnsi" w:hAnsiTheme="minorHAnsi" w:cstheme="minorHAnsi"/>
                <w:i/>
                <w:sz w:val="20"/>
              </w:rPr>
              <w:br/>
              <w:t>i odporności systemów ochrony zdrowia i usług opieki długoterminowej</w:t>
            </w:r>
          </w:p>
        </w:tc>
        <w:tc>
          <w:tcPr>
            <w:tcW w:w="2691" w:type="pct"/>
          </w:tcPr>
          <w:p w14:paraId="10C5DEB2" w14:textId="77777777" w:rsidR="008076BB" w:rsidRPr="00890249" w:rsidRDefault="008076BB" w:rsidP="008076BB">
            <w:pPr>
              <w:spacing w:before="60" w:after="60"/>
              <w:rPr>
                <w:rFonts w:asciiTheme="minorHAnsi" w:eastAsiaTheme="minorHAnsi" w:hAnsiTheme="minorHAnsi" w:cstheme="minorHAnsi"/>
                <w:noProof/>
                <w:sz w:val="20"/>
              </w:rPr>
            </w:pPr>
            <w:r w:rsidRPr="00890249">
              <w:rPr>
                <w:rFonts w:asciiTheme="minorHAnsi" w:eastAsiaTheme="minorHAnsi" w:hAnsiTheme="minorHAnsi" w:cstheme="minorHAnsi"/>
                <w:noProof/>
                <w:sz w:val="20"/>
              </w:rPr>
              <w:t xml:space="preserve">Przewidziane do realizacji formy wsparcia: </w:t>
            </w:r>
          </w:p>
          <w:p w14:paraId="1C81C985" w14:textId="57B1434D" w:rsidR="00B72154" w:rsidRPr="00890249" w:rsidRDefault="008076BB" w:rsidP="009F296A">
            <w:pPr>
              <w:numPr>
                <w:ilvl w:val="0"/>
                <w:numId w:val="3"/>
              </w:numPr>
              <w:spacing w:before="60" w:after="60"/>
              <w:ind w:left="247" w:hanging="247"/>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noProof/>
                <w:sz w:val="20"/>
              </w:rPr>
              <w:t xml:space="preserve">są zgodne z </w:t>
            </w:r>
            <w:r w:rsidRPr="00890249">
              <w:rPr>
                <w:rFonts w:asciiTheme="minorHAnsi" w:eastAsiaTheme="minorHAnsi" w:hAnsiTheme="minorHAnsi" w:cstheme="minorHAnsi"/>
                <w:i/>
                <w:noProof/>
                <w:sz w:val="20"/>
              </w:rPr>
              <w:t>Załącznikiem D do Sprawozdania Krajowego 2019</w:t>
            </w:r>
            <w:r w:rsidRPr="00890249">
              <w:rPr>
                <w:rFonts w:asciiTheme="minorHAnsi" w:eastAsiaTheme="minorHAnsi" w:hAnsiTheme="minorHAnsi" w:cstheme="minorHAnsi"/>
                <w:noProof/>
                <w:sz w:val="20"/>
              </w:rPr>
              <w:t>, zgodnie z którym system opieki zdrowotnej jest zbyt skoncentrowany na szpitalach. Inwestycje będą ws</w:t>
            </w:r>
            <w:r w:rsidR="00C77D33" w:rsidRPr="00890249">
              <w:rPr>
                <w:rFonts w:asciiTheme="minorHAnsi" w:eastAsiaTheme="minorHAnsi" w:hAnsiTheme="minorHAnsi" w:cstheme="minorHAnsi"/>
                <w:noProof/>
                <w:sz w:val="20"/>
              </w:rPr>
              <w:t>p</w:t>
            </w:r>
            <w:r w:rsidRPr="00890249">
              <w:rPr>
                <w:rFonts w:asciiTheme="minorHAnsi" w:eastAsiaTheme="minorHAnsi" w:hAnsiTheme="minorHAnsi" w:cstheme="minorHAnsi"/>
                <w:noProof/>
                <w:sz w:val="20"/>
              </w:rPr>
              <w:t xml:space="preserve">ierać </w:t>
            </w:r>
            <w:r w:rsidR="00A723EB">
              <w:rPr>
                <w:rFonts w:asciiTheme="minorHAnsi" w:eastAsiaTheme="minorHAnsi" w:hAnsiTheme="minorHAnsi" w:cstheme="minorHAnsi"/>
                <w:noProof/>
                <w:sz w:val="20"/>
              </w:rPr>
              <w:t>przejście z opieki szpitalnej i </w:t>
            </w:r>
            <w:r w:rsidRPr="00890249">
              <w:rPr>
                <w:rFonts w:asciiTheme="minorHAnsi" w:eastAsiaTheme="minorHAnsi" w:hAnsiTheme="minorHAnsi" w:cstheme="minorHAnsi"/>
                <w:noProof/>
                <w:sz w:val="20"/>
              </w:rPr>
              <w:t>instytucjonalnej na przyst</w:t>
            </w:r>
            <w:r w:rsidR="00C77D33" w:rsidRPr="00890249">
              <w:rPr>
                <w:rFonts w:asciiTheme="minorHAnsi" w:eastAsiaTheme="minorHAnsi" w:hAnsiTheme="minorHAnsi" w:cstheme="minorHAnsi"/>
                <w:noProof/>
                <w:sz w:val="20"/>
              </w:rPr>
              <w:t>ę</w:t>
            </w:r>
            <w:r w:rsidRPr="00890249">
              <w:rPr>
                <w:rFonts w:asciiTheme="minorHAnsi" w:eastAsiaTheme="minorHAnsi" w:hAnsiTheme="minorHAnsi" w:cstheme="minorHAnsi"/>
                <w:noProof/>
                <w:sz w:val="20"/>
              </w:rPr>
              <w:t>pne cenowo i wysokiej jakości usługi w zakresie opieki domowej i usługi środowiskowe, a także koordynacj</w:t>
            </w:r>
            <w:r w:rsidR="00C77D33" w:rsidRPr="00890249">
              <w:rPr>
                <w:rFonts w:asciiTheme="minorHAnsi" w:eastAsiaTheme="minorHAnsi" w:hAnsiTheme="minorHAnsi" w:cstheme="minorHAnsi"/>
                <w:noProof/>
                <w:sz w:val="20"/>
              </w:rPr>
              <w:t>ą</w:t>
            </w:r>
            <w:r w:rsidRPr="00890249">
              <w:rPr>
                <w:rFonts w:asciiTheme="minorHAnsi" w:eastAsiaTheme="minorHAnsi" w:hAnsiTheme="minorHAnsi" w:cstheme="minorHAnsi"/>
                <w:noProof/>
                <w:sz w:val="20"/>
              </w:rPr>
              <w:t xml:space="preserve"> opieki zdrowotnej, opieki społecznej i opieki długoterminowej.</w:t>
            </w:r>
            <w:r w:rsidR="00367DA0" w:rsidRPr="00890249">
              <w:rPr>
                <w:rFonts w:asciiTheme="minorHAnsi" w:eastAsiaTheme="minorHAnsi" w:hAnsiTheme="minorHAnsi" w:cstheme="minorHAnsi"/>
                <w:sz w:val="20"/>
                <w:lang w:eastAsia="en-US" w:bidi="ar-SA"/>
              </w:rPr>
              <w:t xml:space="preserve">wpisują się w </w:t>
            </w:r>
            <w:r w:rsidR="009B35C0" w:rsidRPr="00890249">
              <w:rPr>
                <w:rFonts w:asciiTheme="minorHAnsi" w:hAnsiTheme="minorHAnsi" w:cstheme="minorHAnsi"/>
                <w:sz w:val="20"/>
                <w:szCs w:val="22"/>
                <w:lang w:eastAsia="en-US"/>
              </w:rPr>
              <w:t>zalecenia Rady w sprawie krajowego programu reform Polski na 2020 r.</w:t>
            </w:r>
            <w:r w:rsidR="00071806" w:rsidRPr="00890249">
              <w:rPr>
                <w:rFonts w:asciiTheme="minorHAnsi" w:hAnsiTheme="minorHAnsi" w:cstheme="minorHAnsi"/>
                <w:sz w:val="20"/>
                <w:szCs w:val="22"/>
                <w:lang w:eastAsia="en-US"/>
              </w:rPr>
              <w:t>,</w:t>
            </w:r>
            <w:r w:rsidR="009B35C0" w:rsidRPr="00890249">
              <w:rPr>
                <w:rFonts w:asciiTheme="minorHAnsi" w:hAnsiTheme="minorHAnsi" w:cstheme="minorHAnsi"/>
                <w:sz w:val="20"/>
                <w:szCs w:val="22"/>
                <w:lang w:eastAsia="en-US"/>
              </w:rPr>
              <w:t xml:space="preserve"> tj.: </w:t>
            </w:r>
            <w:r w:rsidR="009B35C0" w:rsidRPr="00890249">
              <w:rPr>
                <w:rFonts w:asciiTheme="minorHAnsi" w:hAnsiTheme="minorHAnsi" w:cstheme="minorHAnsi"/>
                <w:i/>
                <w:sz w:val="20"/>
                <w:szCs w:val="22"/>
                <w:lang w:eastAsia="en-US"/>
              </w:rPr>
              <w:t>poprawa dostępności, odporności i skuteczności systemu ochrony zdrowia</w:t>
            </w:r>
            <w:r w:rsidR="009B35C0" w:rsidRPr="00890249">
              <w:rPr>
                <w:rFonts w:asciiTheme="minorHAnsi" w:hAnsiTheme="minorHAnsi" w:cstheme="minorHAnsi"/>
                <w:sz w:val="20"/>
                <w:szCs w:val="22"/>
                <w:lang w:eastAsia="en-US"/>
              </w:rPr>
              <w:t>. Ponadto zaplanowane działania wpisują się w zalecenia KE określone jako wysoce priorytetowe w celu promowania aktywnego i zdrowego starzenia się, poprawy równego i szybkiego dostępu do wysokiej jakości, zrównoważonych, przystępnych cenowo usług oraz w celu poprawy dostępności, skuteczności i odporności systemu opieki zdrowotnej i opieki długoterminowej zgodnie z </w:t>
            </w:r>
            <w:r w:rsidR="009B35C0" w:rsidRPr="00890249">
              <w:rPr>
                <w:rFonts w:asciiTheme="minorHAnsi" w:hAnsiTheme="minorHAnsi" w:cstheme="minorHAnsi"/>
                <w:i/>
                <w:sz w:val="20"/>
                <w:szCs w:val="22"/>
                <w:lang w:eastAsia="en-US"/>
              </w:rPr>
              <w:t>Wytycznymi inwestycyjnymi dla Polski w zakresie finansowania polityki spójności na lata 2021-2027</w:t>
            </w:r>
            <w:r w:rsidR="009B35C0" w:rsidRPr="00890249">
              <w:rPr>
                <w:rFonts w:asciiTheme="minorHAnsi" w:hAnsiTheme="minorHAnsi" w:cstheme="minorHAnsi"/>
                <w:i/>
                <w:sz w:val="20"/>
                <w:szCs w:val="22"/>
                <w:vertAlign w:val="superscript"/>
                <w:lang w:eastAsia="en-US"/>
              </w:rPr>
              <w:footnoteReference w:id="80"/>
            </w:r>
            <w:r w:rsidR="009B35C0" w:rsidRPr="00890249">
              <w:rPr>
                <w:rFonts w:asciiTheme="minorHAnsi" w:hAnsiTheme="minorHAnsi" w:cstheme="minorHAnsi"/>
                <w:i/>
                <w:sz w:val="20"/>
                <w:szCs w:val="22"/>
                <w:lang w:eastAsia="en-US"/>
              </w:rPr>
              <w:t>.</w:t>
            </w:r>
          </w:p>
          <w:p w14:paraId="3A1CB6FA" w14:textId="6AB0CEF8" w:rsidR="00B72154" w:rsidRPr="00890249" w:rsidRDefault="00875C92" w:rsidP="009F296A">
            <w:pPr>
              <w:numPr>
                <w:ilvl w:val="0"/>
                <w:numId w:val="3"/>
              </w:numPr>
              <w:spacing w:before="60" w:after="60"/>
              <w:ind w:left="247" w:hanging="247"/>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noProof/>
                <w:sz w:val="20"/>
              </w:rPr>
              <w:t xml:space="preserve">są zgodne z założeniami </w:t>
            </w:r>
            <w:r w:rsidRPr="00890249">
              <w:rPr>
                <w:rFonts w:asciiTheme="minorHAnsi" w:eastAsiaTheme="minorHAnsi" w:hAnsiTheme="minorHAnsi" w:cstheme="minorHAnsi"/>
                <w:i/>
                <w:noProof/>
                <w:sz w:val="20"/>
              </w:rPr>
              <w:t>Europejskiego filaru praw socjalnych</w:t>
            </w:r>
            <w:r w:rsidRPr="00890249">
              <w:rPr>
                <w:rFonts w:asciiTheme="minorHAnsi" w:eastAsiaTheme="minorHAnsi" w:hAnsiTheme="minorHAnsi" w:cstheme="minorHAnsi"/>
                <w:noProof/>
                <w:sz w:val="20"/>
              </w:rPr>
              <w:t xml:space="preserve">, które stanowią, że: </w:t>
            </w:r>
          </w:p>
          <w:p w14:paraId="7AA46F7B" w14:textId="3F538190" w:rsidR="00B72154" w:rsidRPr="00890249" w:rsidRDefault="00875C92" w:rsidP="009F296A">
            <w:pPr>
              <w:pStyle w:val="Akapitzlist"/>
              <w:numPr>
                <w:ilvl w:val="0"/>
                <w:numId w:val="106"/>
              </w:numPr>
              <w:spacing w:before="60" w:after="60"/>
              <w:rPr>
                <w:rFonts w:asciiTheme="minorHAnsi" w:eastAsiaTheme="minorHAnsi" w:hAnsiTheme="minorHAnsi" w:cstheme="minorHAnsi"/>
                <w:sz w:val="20"/>
                <w:lang w:eastAsia="en-US" w:bidi="ar-SA"/>
              </w:rPr>
            </w:pPr>
            <w:r w:rsidRPr="00890249">
              <w:rPr>
                <w:rFonts w:asciiTheme="minorHAnsi" w:eastAsiaTheme="minorHAnsi" w:hAnsiTheme="minorHAnsi" w:cstheme="minorHAnsi"/>
                <w:noProof/>
                <w:sz w:val="20"/>
              </w:rPr>
              <w:t>każdy ma prawo do szybkiego dostępu do prz</w:t>
            </w:r>
            <w:r w:rsidR="00A723EB">
              <w:rPr>
                <w:rFonts w:asciiTheme="minorHAnsi" w:eastAsiaTheme="minorHAnsi" w:hAnsiTheme="minorHAnsi" w:cstheme="minorHAnsi"/>
                <w:noProof/>
                <w:sz w:val="20"/>
              </w:rPr>
              <w:t>ystępnej cenowo, prewencyjnej i </w:t>
            </w:r>
            <w:r w:rsidRPr="00890249">
              <w:rPr>
                <w:rFonts w:asciiTheme="minorHAnsi" w:eastAsiaTheme="minorHAnsi" w:hAnsiTheme="minorHAnsi" w:cstheme="minorHAnsi"/>
                <w:noProof/>
                <w:sz w:val="20"/>
              </w:rPr>
              <w:t>objawowej opieki zdrowotnej dobrej jakości</w:t>
            </w:r>
            <w:r w:rsidR="00B70BE5" w:rsidRPr="00890249">
              <w:rPr>
                <w:rFonts w:asciiTheme="minorHAnsi" w:eastAsiaTheme="minorHAnsi" w:hAnsiTheme="minorHAnsi" w:cstheme="minorHAnsi"/>
                <w:noProof/>
                <w:sz w:val="20"/>
              </w:rPr>
              <w:t>;</w:t>
            </w:r>
          </w:p>
          <w:p w14:paraId="776CBF00" w14:textId="793D8A65" w:rsidR="00B72154" w:rsidRPr="00890249" w:rsidRDefault="00B70BE5" w:rsidP="009F296A">
            <w:pPr>
              <w:pStyle w:val="Akapitzlist"/>
              <w:numPr>
                <w:ilvl w:val="0"/>
                <w:numId w:val="106"/>
              </w:numPr>
              <w:spacing w:before="60" w:after="60"/>
              <w:rPr>
                <w:rFonts w:asciiTheme="minorHAnsi" w:eastAsiaTheme="minorHAnsi" w:hAnsiTheme="minorHAnsi" w:cstheme="minorHAnsi"/>
                <w:sz w:val="20"/>
                <w:lang w:eastAsia="en-US" w:bidi="ar-SA"/>
              </w:rPr>
            </w:pPr>
            <w:r w:rsidRPr="00890249">
              <w:rPr>
                <w:rFonts w:asciiTheme="minorHAnsi" w:eastAsiaTheme="minorHAnsi" w:hAnsiTheme="minorHAnsi" w:cstheme="minorHAnsi"/>
                <w:noProof/>
                <w:sz w:val="20"/>
              </w:rPr>
              <w:lastRenderedPageBreak/>
              <w:t>każdy ma</w:t>
            </w:r>
            <w:r w:rsidR="00A723EB">
              <w:rPr>
                <w:rFonts w:asciiTheme="minorHAnsi" w:eastAsiaTheme="minorHAnsi" w:hAnsiTheme="minorHAnsi" w:cstheme="minorHAnsi"/>
                <w:noProof/>
                <w:sz w:val="20"/>
              </w:rPr>
              <w:t xml:space="preserve"> prawo do przystępnych cenowo i </w:t>
            </w:r>
            <w:r w:rsidRPr="00890249">
              <w:rPr>
                <w:rFonts w:asciiTheme="minorHAnsi" w:eastAsiaTheme="minorHAnsi" w:hAnsiTheme="minorHAnsi" w:cstheme="minorHAnsi"/>
                <w:noProof/>
                <w:sz w:val="20"/>
              </w:rPr>
              <w:t>dobrej jakości usług opieki długoterminowej, w szczególności opieki w domu i usług środowiskowych</w:t>
            </w:r>
            <w:r w:rsidR="00A57D89" w:rsidRPr="00890249">
              <w:rPr>
                <w:rFonts w:asciiTheme="minorHAnsi" w:eastAsiaTheme="minorHAnsi" w:hAnsiTheme="minorHAnsi" w:cstheme="minorHAnsi"/>
                <w:noProof/>
                <w:sz w:val="20"/>
              </w:rPr>
              <w:t>;</w:t>
            </w:r>
            <w:r w:rsidR="00875C92" w:rsidRPr="00890249">
              <w:rPr>
                <w:rFonts w:asciiTheme="minorHAnsi" w:eastAsiaTheme="minorHAnsi" w:hAnsiTheme="minorHAnsi" w:cstheme="minorHAnsi"/>
                <w:noProof/>
                <w:sz w:val="20"/>
              </w:rPr>
              <w:t>należy zapewnić osobom potrzebującym dostęp do mieszkań socjalnych lub pomocy mieszkaniowej dobrej jakości;</w:t>
            </w:r>
          </w:p>
          <w:p w14:paraId="21E8509F" w14:textId="77777777" w:rsidR="00B72154" w:rsidRPr="00890249" w:rsidRDefault="00875C92" w:rsidP="009F296A">
            <w:pPr>
              <w:pStyle w:val="Akapitzlist"/>
              <w:numPr>
                <w:ilvl w:val="0"/>
                <w:numId w:val="111"/>
              </w:numPr>
              <w:spacing w:before="60" w:after="60"/>
              <w:ind w:left="247" w:hanging="247"/>
              <w:rPr>
                <w:rFonts w:asciiTheme="minorHAnsi" w:eastAsiaTheme="minorHAnsi" w:hAnsiTheme="minorHAnsi" w:cstheme="minorHAnsi"/>
                <w:sz w:val="20"/>
                <w:lang w:eastAsia="en-US" w:bidi="ar-SA"/>
              </w:rPr>
            </w:pPr>
            <w:r w:rsidRPr="00890249">
              <w:rPr>
                <w:rFonts w:asciiTheme="minorHAnsi" w:hAnsiTheme="minorHAnsi" w:cstheme="minorHAnsi"/>
                <w:noProof/>
                <w:sz w:val="20"/>
              </w:rPr>
              <w:t xml:space="preserve">Działania realizują cele: </w:t>
            </w:r>
            <w:r w:rsidR="00D923B6" w:rsidRPr="00890249">
              <w:rPr>
                <w:rFonts w:asciiTheme="minorHAnsi" w:hAnsiTheme="minorHAnsi" w:cstheme="minorHAnsi"/>
                <w:noProof/>
                <w:sz w:val="20"/>
              </w:rPr>
              <w:t>2, 3 i 4</w:t>
            </w:r>
            <w:r w:rsidRPr="00890249">
              <w:rPr>
                <w:rFonts w:asciiTheme="minorHAnsi" w:hAnsiTheme="minorHAnsi" w:cstheme="minorHAnsi"/>
                <w:noProof/>
                <w:sz w:val="20"/>
              </w:rPr>
              <w:t xml:space="preserve"> Strategii rozwoju usług społecznych 2021-2030 (z perspektywą do 2035r.</w:t>
            </w:r>
            <w:r w:rsidR="001A6F07" w:rsidRPr="00890249">
              <w:rPr>
                <w:rFonts w:asciiTheme="minorHAnsi" w:hAnsiTheme="minorHAnsi" w:cstheme="minorHAnsi"/>
                <w:noProof/>
                <w:sz w:val="20"/>
              </w:rPr>
              <w:t>)</w:t>
            </w:r>
          </w:p>
          <w:p w14:paraId="3A201FB0" w14:textId="76847047" w:rsidR="00B72154" w:rsidRPr="00890249" w:rsidRDefault="00875C92" w:rsidP="009F296A">
            <w:pPr>
              <w:pStyle w:val="Akapitzlist"/>
              <w:numPr>
                <w:ilvl w:val="0"/>
                <w:numId w:val="111"/>
              </w:numPr>
              <w:spacing w:before="60" w:after="60"/>
              <w:ind w:left="247" w:hanging="247"/>
              <w:rPr>
                <w:rFonts w:asciiTheme="minorHAnsi" w:eastAsiaTheme="minorHAnsi" w:hAnsiTheme="minorHAnsi" w:cstheme="minorHAnsi"/>
                <w:sz w:val="20"/>
                <w:lang w:eastAsia="en-US" w:bidi="ar-SA"/>
              </w:rPr>
            </w:pPr>
            <w:r w:rsidRPr="00890249">
              <w:rPr>
                <w:rFonts w:asciiTheme="minorHAnsi" w:hAnsiTheme="minorHAnsi" w:cstheme="minorHAnsi"/>
                <w:noProof/>
                <w:sz w:val="20"/>
              </w:rPr>
              <w:t xml:space="preserve">W kontekście opieki nad matką </w:t>
            </w:r>
            <w:r w:rsidR="001A6F07" w:rsidRPr="00890249">
              <w:rPr>
                <w:rFonts w:asciiTheme="minorHAnsi" w:hAnsiTheme="minorHAnsi" w:cstheme="minorHAnsi"/>
                <w:noProof/>
                <w:sz w:val="20"/>
              </w:rPr>
              <w:t xml:space="preserve">i dzieckiem, </w:t>
            </w:r>
            <w:r w:rsidRPr="00890249">
              <w:rPr>
                <w:rFonts w:asciiTheme="minorHAnsi" w:hAnsiTheme="minorHAnsi" w:cstheme="minorHAnsi"/>
                <w:noProof/>
                <w:sz w:val="20"/>
              </w:rPr>
              <w:t xml:space="preserve">opieki długoterminowej, paliatywnej i hospicyjnej </w:t>
            </w:r>
            <w:r w:rsidR="001A6F07" w:rsidRPr="00890249">
              <w:rPr>
                <w:rFonts w:asciiTheme="minorHAnsi" w:hAnsiTheme="minorHAnsi" w:cstheme="minorHAnsi"/>
                <w:noProof/>
                <w:sz w:val="20"/>
              </w:rPr>
              <w:t xml:space="preserve">oraz profilaktyki chorób cywilizacyjnych </w:t>
            </w:r>
            <w:r w:rsidRPr="00890249">
              <w:rPr>
                <w:rFonts w:asciiTheme="minorHAnsi" w:hAnsiTheme="minorHAnsi" w:cstheme="minorHAnsi"/>
                <w:noProof/>
                <w:sz w:val="20"/>
              </w:rPr>
              <w:t xml:space="preserve">wsparcie jest zgodne z celem szczegółowym 2 Poprawa zdrowia obywateli oraz systemu opieki zdrowotnej </w:t>
            </w:r>
            <w:r w:rsidRPr="00890249">
              <w:rPr>
                <w:rFonts w:asciiTheme="minorHAnsi" w:hAnsiTheme="minorHAnsi" w:cstheme="minorHAnsi"/>
                <w:i/>
                <w:noProof/>
                <w:sz w:val="20"/>
              </w:rPr>
              <w:t>Strategii Rozwoju Kapitału Ludzkiego 2030</w:t>
            </w:r>
            <w:r w:rsidRPr="00890249">
              <w:rPr>
                <w:rFonts w:asciiTheme="minorHAnsi" w:hAnsiTheme="minorHAnsi" w:cstheme="minorHAnsi"/>
                <w:noProof/>
                <w:sz w:val="20"/>
              </w:rPr>
              <w:t>.</w:t>
            </w:r>
          </w:p>
        </w:tc>
      </w:tr>
      <w:tr w:rsidR="00500AA9" w:rsidRPr="00890249" w14:paraId="24AA70C2" w14:textId="77777777" w:rsidTr="18317E1B">
        <w:tc>
          <w:tcPr>
            <w:tcW w:w="1038" w:type="pct"/>
            <w:vMerge/>
          </w:tcPr>
          <w:p w14:paraId="46F2E4D8" w14:textId="77777777" w:rsidR="00500AA9" w:rsidRPr="00890249" w:rsidRDefault="00500AA9" w:rsidP="00482271">
            <w:pPr>
              <w:spacing w:before="60" w:after="60"/>
              <w:jc w:val="left"/>
              <w:rPr>
                <w:rFonts w:asciiTheme="minorHAnsi" w:eastAsia="Times New Roman" w:hAnsiTheme="minorHAnsi" w:cstheme="minorHAnsi"/>
                <w:b/>
                <w:iCs/>
                <w:noProof/>
                <w:sz w:val="20"/>
              </w:rPr>
            </w:pPr>
          </w:p>
        </w:tc>
        <w:tc>
          <w:tcPr>
            <w:tcW w:w="1271" w:type="pct"/>
          </w:tcPr>
          <w:p w14:paraId="6F4202B7" w14:textId="77777777" w:rsidR="00500AA9" w:rsidRPr="00890249" w:rsidRDefault="00500AA9" w:rsidP="004C571C">
            <w:pPr>
              <w:spacing w:before="60" w:after="60"/>
              <w:jc w:val="left"/>
              <w:rPr>
                <w:rFonts w:asciiTheme="minorHAnsi" w:hAnsiTheme="minorHAnsi" w:cstheme="minorHAnsi"/>
                <w:sz w:val="20"/>
              </w:rPr>
            </w:pPr>
            <w:r w:rsidRPr="00890249">
              <w:rPr>
                <w:rFonts w:asciiTheme="minorHAnsi" w:hAnsiTheme="minorHAnsi" w:cstheme="minorHAnsi"/>
                <w:sz w:val="20"/>
              </w:rPr>
              <w:t>(l)</w:t>
            </w:r>
          </w:p>
          <w:p w14:paraId="526F14ED" w14:textId="77777777" w:rsidR="00500AA9" w:rsidRPr="00890249" w:rsidRDefault="00500AA9" w:rsidP="004C571C">
            <w:pPr>
              <w:spacing w:before="60" w:after="60"/>
              <w:jc w:val="left"/>
              <w:rPr>
                <w:rFonts w:asciiTheme="minorHAnsi" w:hAnsiTheme="minorHAnsi" w:cstheme="minorHAnsi"/>
                <w:i/>
                <w:sz w:val="20"/>
              </w:rPr>
            </w:pPr>
            <w:r w:rsidRPr="00890249">
              <w:rPr>
                <w:rFonts w:asciiTheme="minorHAnsi" w:hAnsiTheme="minorHAnsi" w:cstheme="minorHAnsi"/>
                <w:i/>
                <w:sz w:val="20"/>
              </w:rPr>
              <w:t>Wspieranie integracji społecznej osób zagrożonych ubóstwem lub wykluczeniem społecznym, w tym osób najbardziej potrzebujących i dzieci</w:t>
            </w:r>
          </w:p>
        </w:tc>
        <w:tc>
          <w:tcPr>
            <w:tcW w:w="2691" w:type="pct"/>
          </w:tcPr>
          <w:p w14:paraId="0A82980D" w14:textId="77777777" w:rsidR="00B72154" w:rsidRPr="00890249" w:rsidRDefault="00875C92" w:rsidP="009F296A">
            <w:pPr>
              <w:pStyle w:val="Bezodstpw"/>
              <w:numPr>
                <w:ilvl w:val="0"/>
                <w:numId w:val="111"/>
              </w:numPr>
              <w:ind w:left="247" w:hanging="283"/>
              <w:rPr>
                <w:rFonts w:asciiTheme="minorHAnsi" w:hAnsiTheme="minorHAnsi" w:cstheme="minorHAnsi"/>
                <w:sz w:val="20"/>
                <w:lang w:eastAsia="en-US" w:bidi="ar-SA"/>
              </w:rPr>
            </w:pPr>
            <w:r w:rsidRPr="00890249">
              <w:rPr>
                <w:rFonts w:asciiTheme="minorHAnsi" w:hAnsiTheme="minorHAnsi" w:cstheme="minorHAnsi"/>
                <w:sz w:val="20"/>
                <w:lang w:eastAsia="en-US" w:bidi="ar-SA"/>
              </w:rPr>
              <w:t xml:space="preserve">Zaplanowane działania są zgodne z założeniami </w:t>
            </w:r>
            <w:r w:rsidRPr="00890249">
              <w:rPr>
                <w:rFonts w:asciiTheme="minorHAnsi" w:hAnsiTheme="minorHAnsi" w:cstheme="minorHAnsi"/>
                <w:i/>
                <w:sz w:val="20"/>
                <w:lang w:eastAsia="en-US" w:bidi="ar-SA"/>
              </w:rPr>
              <w:t>Europejskiego filaru praw socjalnych</w:t>
            </w:r>
            <w:r w:rsidRPr="00890249">
              <w:rPr>
                <w:rFonts w:asciiTheme="minorHAnsi" w:hAnsiTheme="minorHAnsi" w:cstheme="minorHAnsi"/>
                <w:sz w:val="20"/>
                <w:lang w:eastAsia="en-US" w:bidi="ar-SA"/>
              </w:rPr>
              <w:t xml:space="preserve">, które stanowią, że: </w:t>
            </w:r>
          </w:p>
          <w:p w14:paraId="4F0FD6EE" w14:textId="0D5F8DA2" w:rsidR="00B72154" w:rsidRPr="00890249" w:rsidRDefault="00A65125" w:rsidP="009F296A">
            <w:pPr>
              <w:pStyle w:val="Bezodstpw"/>
              <w:numPr>
                <w:ilvl w:val="0"/>
                <w:numId w:val="108"/>
              </w:numPr>
              <w:rPr>
                <w:rFonts w:asciiTheme="minorHAnsi" w:hAnsiTheme="minorHAnsi" w:cstheme="minorHAnsi"/>
                <w:sz w:val="20"/>
                <w:lang w:eastAsia="en-US" w:bidi="ar-SA"/>
              </w:rPr>
            </w:pPr>
            <w:r w:rsidRPr="00890249">
              <w:rPr>
                <w:rFonts w:asciiTheme="minorHAnsi" w:hAnsiTheme="minorHAnsi" w:cstheme="minorHAnsi"/>
                <w:sz w:val="20"/>
                <w:lang w:eastAsia="en-US" w:bidi="ar-SA"/>
              </w:rPr>
              <w:t xml:space="preserve">dzieci mają prawo do ochrony przed ubóstwem. Dzieci </w:t>
            </w:r>
            <w:r w:rsidR="00A723EB">
              <w:rPr>
                <w:rFonts w:asciiTheme="minorHAnsi" w:hAnsiTheme="minorHAnsi" w:cstheme="minorHAnsi"/>
                <w:sz w:val="20"/>
                <w:lang w:eastAsia="en-US" w:bidi="ar-SA"/>
              </w:rPr>
              <w:t>ze środowisk znajdujących się w </w:t>
            </w:r>
            <w:r w:rsidRPr="00890249">
              <w:rPr>
                <w:rFonts w:asciiTheme="minorHAnsi" w:hAnsiTheme="minorHAnsi" w:cstheme="minorHAnsi"/>
                <w:sz w:val="20"/>
                <w:lang w:eastAsia="en-US" w:bidi="ar-SA"/>
              </w:rPr>
              <w:t>niekorzystnej sytuacji mają prawo do szczególnych środków służących zwiększeniu równości szans</w:t>
            </w:r>
            <w:r w:rsidR="00A70019" w:rsidRPr="00890249">
              <w:rPr>
                <w:rFonts w:asciiTheme="minorHAnsi" w:hAnsiTheme="minorHAnsi" w:cstheme="minorHAnsi"/>
                <w:sz w:val="20"/>
                <w:lang w:eastAsia="en-US" w:bidi="ar-SA"/>
              </w:rPr>
              <w:t xml:space="preserve"> (</w:t>
            </w:r>
            <w:r w:rsidR="00A70019" w:rsidRPr="00890249">
              <w:rPr>
                <w:rFonts w:asciiTheme="minorHAnsi" w:eastAsiaTheme="minorHAnsi" w:hAnsiTheme="minorHAnsi" w:cstheme="minorHAnsi"/>
                <w:sz w:val="20"/>
                <w:lang w:eastAsia="en-US" w:bidi="ar-SA"/>
              </w:rPr>
              <w:t>Dlatego też tak istotne będzie kontynuowanie wsparcia ukierunkowanego na potrzeby dzieci z rodzin przeżywających trudności wychowawcze i dysfunkcyjnych, a także dzieci pozbawionych opieki rodzicielsk</w:t>
            </w:r>
            <w:r w:rsidR="00046933" w:rsidRPr="00890249">
              <w:rPr>
                <w:rFonts w:asciiTheme="minorHAnsi" w:eastAsiaTheme="minorHAnsi" w:hAnsiTheme="minorHAnsi" w:cstheme="minorHAnsi"/>
                <w:sz w:val="20"/>
                <w:lang w:eastAsia="en-US" w:bidi="ar-SA"/>
              </w:rPr>
              <w:t>iej</w:t>
            </w:r>
            <w:r w:rsidR="00A70019" w:rsidRPr="00890249">
              <w:rPr>
                <w:rFonts w:asciiTheme="minorHAnsi" w:eastAsiaTheme="minorHAnsi" w:hAnsiTheme="minorHAnsi" w:cstheme="minorHAnsi"/>
                <w:sz w:val="20"/>
                <w:lang w:eastAsia="en-US" w:bidi="ar-SA"/>
              </w:rPr>
              <w:t>)</w:t>
            </w:r>
            <w:r w:rsidRPr="00890249">
              <w:rPr>
                <w:rFonts w:asciiTheme="minorHAnsi" w:hAnsiTheme="minorHAnsi" w:cstheme="minorHAnsi"/>
                <w:sz w:val="20"/>
                <w:lang w:eastAsia="en-US" w:bidi="ar-SA"/>
              </w:rPr>
              <w:t>;</w:t>
            </w:r>
          </w:p>
          <w:p w14:paraId="1EB48A86" w14:textId="58739D25" w:rsidR="00B72154" w:rsidRPr="00890249" w:rsidRDefault="00A65125" w:rsidP="009F296A">
            <w:pPr>
              <w:pStyle w:val="Bezodstpw"/>
              <w:numPr>
                <w:ilvl w:val="0"/>
                <w:numId w:val="108"/>
              </w:numPr>
              <w:rPr>
                <w:rFonts w:asciiTheme="minorHAnsi" w:hAnsiTheme="minorHAnsi" w:cstheme="minorHAnsi"/>
                <w:sz w:val="20"/>
                <w:lang w:eastAsia="en-US" w:bidi="ar-SA"/>
              </w:rPr>
            </w:pPr>
            <w:r w:rsidRPr="00890249">
              <w:rPr>
                <w:rFonts w:asciiTheme="minorHAnsi" w:hAnsiTheme="minorHAnsi" w:cstheme="minorHAnsi"/>
                <w:sz w:val="20"/>
                <w:lang w:eastAsia="en-US" w:bidi="ar-SA"/>
              </w:rPr>
              <w:t>osoby bezdomne otrzymują odpowiednie schronienie oraz świadczone są na ich rzecz usługi służące promowaniu ich integracji społecznej</w:t>
            </w:r>
            <w:r w:rsidR="00A57D89" w:rsidRPr="00890249">
              <w:rPr>
                <w:rFonts w:asciiTheme="minorHAnsi" w:hAnsiTheme="minorHAnsi" w:cstheme="minorHAnsi"/>
                <w:sz w:val="20"/>
                <w:lang w:eastAsia="en-US" w:bidi="ar-SA"/>
              </w:rPr>
              <w:t>;</w:t>
            </w:r>
          </w:p>
          <w:p w14:paraId="0F3306EE" w14:textId="77777777" w:rsidR="00B72154" w:rsidRPr="00890249" w:rsidRDefault="00875C92" w:rsidP="009F296A">
            <w:pPr>
              <w:pStyle w:val="Bezodstpw"/>
              <w:numPr>
                <w:ilvl w:val="0"/>
                <w:numId w:val="108"/>
              </w:numPr>
              <w:rPr>
                <w:rFonts w:asciiTheme="minorHAnsi" w:eastAsiaTheme="minorHAnsi" w:hAnsiTheme="minorHAnsi" w:cstheme="minorHAnsi"/>
                <w:sz w:val="20"/>
                <w:lang w:eastAsia="en-US" w:bidi="ar-SA"/>
              </w:rPr>
            </w:pPr>
            <w:r w:rsidRPr="00890249">
              <w:rPr>
                <w:rFonts w:asciiTheme="minorHAnsi" w:eastAsiaTheme="minorHAnsi" w:hAnsiTheme="minorHAnsi" w:cstheme="minorHAnsi"/>
                <w:noProof/>
                <w:sz w:val="20"/>
              </w:rPr>
              <w:t>należy zapewnić osobom potrzebującym dostęp do mieszkań socjalnych lub pomocy mieszkaniowej dobrej jakości</w:t>
            </w:r>
            <w:r w:rsidR="00D923B6" w:rsidRPr="00890249">
              <w:rPr>
                <w:rFonts w:asciiTheme="minorHAnsi" w:eastAsiaTheme="minorHAnsi" w:hAnsiTheme="minorHAnsi" w:cstheme="minorHAnsi"/>
                <w:noProof/>
                <w:sz w:val="20"/>
              </w:rPr>
              <w:t>.</w:t>
            </w:r>
          </w:p>
          <w:p w14:paraId="339DA08B" w14:textId="77777777" w:rsidR="00B72154" w:rsidRPr="00890249" w:rsidRDefault="00D923B6" w:rsidP="009F296A">
            <w:pPr>
              <w:pStyle w:val="Bezodstpw"/>
              <w:numPr>
                <w:ilvl w:val="0"/>
                <w:numId w:val="111"/>
              </w:numPr>
              <w:ind w:left="247" w:hanging="283"/>
              <w:rPr>
                <w:rFonts w:asciiTheme="minorHAnsi" w:eastAsiaTheme="minorHAnsi" w:hAnsiTheme="minorHAnsi" w:cstheme="minorHAnsi"/>
                <w:noProof/>
                <w:sz w:val="20"/>
              </w:rPr>
            </w:pPr>
            <w:r w:rsidRPr="00890249">
              <w:rPr>
                <w:rFonts w:asciiTheme="minorHAnsi" w:eastAsiaTheme="minorHAnsi" w:hAnsiTheme="minorHAnsi" w:cstheme="minorHAnsi"/>
                <w:noProof/>
                <w:sz w:val="20"/>
              </w:rPr>
              <w:t>Działania realizują cele: 1 i 5 Strategii rozwoju usług społecznych 2021-2030 (z perspektywą do 2035r.)</w:t>
            </w:r>
          </w:p>
          <w:p w14:paraId="134A4E4C" w14:textId="31F235B1" w:rsidR="00B72154" w:rsidRPr="00A723EB" w:rsidRDefault="00E30EFB" w:rsidP="009F296A">
            <w:pPr>
              <w:pStyle w:val="Bezodstpw"/>
              <w:numPr>
                <w:ilvl w:val="0"/>
                <w:numId w:val="111"/>
              </w:numPr>
              <w:ind w:left="247" w:hanging="283"/>
              <w:rPr>
                <w:rFonts w:asciiTheme="minorHAnsi" w:eastAsiaTheme="minorHAnsi" w:hAnsiTheme="minorHAnsi" w:cstheme="minorHAnsi"/>
                <w:i/>
                <w:noProof/>
                <w:sz w:val="20"/>
              </w:rPr>
            </w:pPr>
            <w:r w:rsidRPr="00890249">
              <w:rPr>
                <w:rFonts w:asciiTheme="minorHAnsi" w:eastAsiaTheme="minorHAnsi" w:hAnsiTheme="minorHAnsi" w:cstheme="minorHAnsi"/>
                <w:noProof/>
                <w:sz w:val="20"/>
              </w:rPr>
              <w:t xml:space="preserve">W kontekście profilaktyki wykluczenia społecznego na rzecz rodzin, w tym z osobami </w:t>
            </w:r>
            <w:r w:rsidR="00046933" w:rsidRPr="00890249">
              <w:rPr>
                <w:rFonts w:asciiTheme="minorHAnsi" w:eastAsiaTheme="minorHAnsi" w:hAnsiTheme="minorHAnsi" w:cstheme="minorHAnsi"/>
                <w:noProof/>
                <w:sz w:val="20"/>
              </w:rPr>
              <w:t xml:space="preserve">z </w:t>
            </w:r>
            <w:r w:rsidRPr="00890249">
              <w:rPr>
                <w:rFonts w:asciiTheme="minorHAnsi" w:eastAsiaTheme="minorHAnsi" w:hAnsiTheme="minorHAnsi" w:cstheme="minorHAnsi"/>
                <w:noProof/>
                <w:sz w:val="20"/>
              </w:rPr>
              <w:t>niepełnosprawn</w:t>
            </w:r>
            <w:r w:rsidR="00046933" w:rsidRPr="00890249">
              <w:rPr>
                <w:rFonts w:asciiTheme="minorHAnsi" w:eastAsiaTheme="minorHAnsi" w:hAnsiTheme="minorHAnsi" w:cstheme="minorHAnsi"/>
                <w:noProof/>
                <w:sz w:val="20"/>
              </w:rPr>
              <w:t>ościami</w:t>
            </w:r>
            <w:r w:rsidRPr="00890249">
              <w:rPr>
                <w:rFonts w:asciiTheme="minorHAnsi" w:eastAsiaTheme="minorHAnsi" w:hAnsiTheme="minorHAnsi" w:cstheme="minorHAnsi"/>
                <w:noProof/>
                <w:sz w:val="20"/>
              </w:rPr>
              <w:t xml:space="preserve"> oraz będących w kryzysie wsparcie jest zgodne z celem szczegółowym 4 Redukcja ubóstwa i wykluczenia społecznego oraz poprawy dostępu do usług świadczonych w odpowiedzi na wyzwania demograficzne </w:t>
            </w:r>
            <w:r w:rsidR="00875C92" w:rsidRPr="00890249">
              <w:rPr>
                <w:rFonts w:asciiTheme="minorHAnsi" w:eastAsiaTheme="minorHAnsi" w:hAnsiTheme="minorHAnsi" w:cstheme="minorHAnsi"/>
                <w:i/>
                <w:noProof/>
                <w:sz w:val="20"/>
              </w:rPr>
              <w:t>Strategii Rozwoju Kapitału Ludzkiego 2030.</w:t>
            </w:r>
          </w:p>
        </w:tc>
      </w:tr>
      <w:tr w:rsidR="008F44AA" w:rsidRPr="00890249" w14:paraId="2E61164D" w14:textId="77777777" w:rsidTr="18317E1B">
        <w:tc>
          <w:tcPr>
            <w:tcW w:w="1038" w:type="pct"/>
            <w:vMerge w:val="restart"/>
          </w:tcPr>
          <w:p w14:paraId="39B49054" w14:textId="77777777" w:rsidR="008F44AA" w:rsidRPr="00890249" w:rsidRDefault="008F44AA" w:rsidP="008A49FA">
            <w:pPr>
              <w:spacing w:before="60"/>
              <w:jc w:val="left"/>
              <w:rPr>
                <w:rFonts w:asciiTheme="minorHAnsi" w:eastAsia="Times New Roman" w:hAnsiTheme="minorHAnsi" w:cstheme="minorHAnsi"/>
                <w:b/>
                <w:i/>
                <w:iCs/>
                <w:noProof/>
                <w:sz w:val="20"/>
              </w:rPr>
            </w:pPr>
            <w:r w:rsidRPr="00890249">
              <w:rPr>
                <w:rFonts w:asciiTheme="minorHAnsi" w:eastAsia="Times New Roman" w:hAnsiTheme="minorHAnsi" w:cstheme="minorHAnsi"/>
                <w:b/>
                <w:iCs/>
                <w:noProof/>
                <w:sz w:val="20"/>
              </w:rPr>
              <w:t xml:space="preserve">Cel Poltyki 5. </w:t>
            </w:r>
            <w:r w:rsidRPr="00890249">
              <w:rPr>
                <w:rFonts w:asciiTheme="minorHAnsi" w:eastAsia="Times New Roman" w:hAnsiTheme="minorHAnsi" w:cstheme="minorHAnsi"/>
                <w:b/>
                <w:i/>
                <w:iCs/>
                <w:noProof/>
                <w:sz w:val="20"/>
              </w:rPr>
              <w:t xml:space="preserve">Europa bliższa obywatelom dzięki wspieraniu zrównoważonego i zintegrowanego rozwoju wszystkich rodzajów terytoriów </w:t>
            </w:r>
            <w:r w:rsidRPr="00890249">
              <w:rPr>
                <w:rFonts w:asciiTheme="minorHAnsi" w:eastAsia="Times New Roman" w:hAnsiTheme="minorHAnsi" w:cstheme="minorHAnsi"/>
                <w:b/>
                <w:i/>
                <w:iCs/>
                <w:noProof/>
                <w:sz w:val="20"/>
              </w:rPr>
              <w:lastRenderedPageBreak/>
              <w:t>i inicjatyw lokalnych</w:t>
            </w:r>
          </w:p>
          <w:p w14:paraId="5F11B5CA" w14:textId="77777777" w:rsidR="008F44AA" w:rsidRPr="00890249" w:rsidRDefault="008F44AA" w:rsidP="008A49FA">
            <w:pPr>
              <w:spacing w:before="60"/>
              <w:jc w:val="left"/>
              <w:rPr>
                <w:rFonts w:asciiTheme="minorHAnsi" w:eastAsia="Times New Roman" w:hAnsiTheme="minorHAnsi" w:cstheme="minorHAnsi"/>
                <w:b/>
                <w:iCs/>
                <w:noProof/>
                <w:sz w:val="20"/>
              </w:rPr>
            </w:pPr>
          </w:p>
        </w:tc>
        <w:tc>
          <w:tcPr>
            <w:tcW w:w="1271" w:type="pct"/>
          </w:tcPr>
          <w:p w14:paraId="4577E6F7" w14:textId="77777777" w:rsidR="008F44AA" w:rsidRPr="00890249" w:rsidRDefault="008F44AA" w:rsidP="004C571C">
            <w:pPr>
              <w:spacing w:before="60" w:after="60"/>
              <w:jc w:val="left"/>
              <w:rPr>
                <w:rFonts w:asciiTheme="minorHAnsi" w:hAnsiTheme="minorHAnsi" w:cstheme="minorHAnsi"/>
                <w:sz w:val="20"/>
              </w:rPr>
            </w:pPr>
            <w:r w:rsidRPr="00890249">
              <w:rPr>
                <w:rFonts w:asciiTheme="minorHAnsi" w:hAnsiTheme="minorHAnsi" w:cstheme="minorHAnsi"/>
                <w:sz w:val="20"/>
              </w:rPr>
              <w:lastRenderedPageBreak/>
              <w:t xml:space="preserve">(i) </w:t>
            </w:r>
          </w:p>
          <w:p w14:paraId="23E470BE" w14:textId="77777777" w:rsidR="008F44AA" w:rsidRPr="00890249" w:rsidRDefault="008F44AA" w:rsidP="004C571C">
            <w:pPr>
              <w:spacing w:before="60" w:after="60"/>
              <w:jc w:val="left"/>
              <w:rPr>
                <w:rFonts w:asciiTheme="minorHAnsi" w:hAnsiTheme="minorHAnsi" w:cstheme="minorHAnsi"/>
                <w:i/>
                <w:sz w:val="20"/>
              </w:rPr>
            </w:pPr>
            <w:r w:rsidRPr="00890249">
              <w:rPr>
                <w:rFonts w:asciiTheme="minorHAnsi" w:hAnsiTheme="minorHAnsi" w:cstheme="minorHAnsi"/>
                <w:i/>
                <w:sz w:val="20"/>
              </w:rPr>
              <w:t>Wspieranie zintegrowanego</w:t>
            </w:r>
            <w:r w:rsidRPr="00890249">
              <w:rPr>
                <w:rFonts w:asciiTheme="minorHAnsi" w:hAnsiTheme="minorHAnsi" w:cstheme="minorHAnsi"/>
                <w:i/>
                <w:sz w:val="20"/>
              </w:rPr>
              <w:br/>
              <w:t xml:space="preserve"> i sprzyjającego włączeniu społecznemu rozwoju społecznego, gospodarczego </w:t>
            </w:r>
            <w:r w:rsidRPr="00890249">
              <w:rPr>
                <w:rFonts w:asciiTheme="minorHAnsi" w:hAnsiTheme="minorHAnsi" w:cstheme="minorHAnsi"/>
                <w:i/>
                <w:sz w:val="20"/>
              </w:rPr>
              <w:br/>
              <w:t xml:space="preserve">i środowiskowego, kultury, dziedzictwa </w:t>
            </w:r>
            <w:r w:rsidRPr="00890249">
              <w:rPr>
                <w:rFonts w:asciiTheme="minorHAnsi" w:hAnsiTheme="minorHAnsi" w:cstheme="minorHAnsi"/>
                <w:i/>
                <w:sz w:val="20"/>
              </w:rPr>
              <w:lastRenderedPageBreak/>
              <w:t xml:space="preserve">naturalnego, zrównoważonej turystyki </w:t>
            </w:r>
            <w:r w:rsidRPr="00890249">
              <w:rPr>
                <w:rFonts w:asciiTheme="minorHAnsi" w:hAnsiTheme="minorHAnsi" w:cstheme="minorHAnsi"/>
                <w:i/>
                <w:sz w:val="20"/>
              </w:rPr>
              <w:br/>
              <w:t>i bezpieczeństwa na obszarach miejskich</w:t>
            </w:r>
          </w:p>
        </w:tc>
        <w:tc>
          <w:tcPr>
            <w:tcW w:w="2691" w:type="pct"/>
          </w:tcPr>
          <w:p w14:paraId="0DC5E8CA" w14:textId="77777777" w:rsidR="00A63705" w:rsidRPr="00890249" w:rsidRDefault="008F44AA" w:rsidP="009F296A">
            <w:pPr>
              <w:pStyle w:val="Akapitzlist"/>
              <w:numPr>
                <w:ilvl w:val="0"/>
                <w:numId w:val="54"/>
              </w:numPr>
              <w:spacing w:before="60" w:after="60"/>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lastRenderedPageBreak/>
              <w:t>m</w:t>
            </w:r>
            <w:r w:rsidR="008374CE" w:rsidRPr="00890249">
              <w:rPr>
                <w:rFonts w:asciiTheme="minorHAnsi" w:eastAsiaTheme="minorHAnsi" w:hAnsiTheme="minorHAnsi" w:cstheme="minorHAnsi"/>
                <w:sz w:val="20"/>
                <w:lang w:eastAsia="en-US" w:bidi="ar-SA"/>
              </w:rPr>
              <w:t xml:space="preserve">iasta są ogniskami rozwoju społeczno-gospodarczego, </w:t>
            </w:r>
            <w:r w:rsidR="00724B83" w:rsidRPr="00890249">
              <w:rPr>
                <w:rFonts w:asciiTheme="minorHAnsi" w:eastAsiaTheme="minorHAnsi" w:hAnsiTheme="minorHAnsi" w:cstheme="minorHAnsi"/>
                <w:sz w:val="20"/>
                <w:lang w:eastAsia="en-US" w:bidi="ar-SA"/>
              </w:rPr>
              <w:t xml:space="preserve">a </w:t>
            </w:r>
            <w:r w:rsidR="008374CE" w:rsidRPr="00890249">
              <w:rPr>
                <w:rFonts w:asciiTheme="minorHAnsi" w:eastAsiaTheme="minorHAnsi" w:hAnsiTheme="minorHAnsi" w:cstheme="minorHAnsi"/>
                <w:sz w:val="20"/>
                <w:lang w:eastAsia="en-US" w:bidi="ar-SA"/>
              </w:rPr>
              <w:t>zlokalizowane w nich funkcje i</w:t>
            </w:r>
            <w:r w:rsidRPr="00890249">
              <w:rPr>
                <w:rFonts w:asciiTheme="minorHAnsi" w:eastAsiaTheme="minorHAnsi" w:hAnsiTheme="minorHAnsi" w:cstheme="minorHAnsi"/>
                <w:sz w:val="20"/>
                <w:lang w:eastAsia="en-US" w:bidi="ar-SA"/>
              </w:rPr>
              <w:t> </w:t>
            </w:r>
            <w:r w:rsidR="008374CE" w:rsidRPr="00890249">
              <w:rPr>
                <w:rFonts w:asciiTheme="minorHAnsi" w:eastAsiaTheme="minorHAnsi" w:hAnsiTheme="minorHAnsi" w:cstheme="minorHAnsi"/>
                <w:sz w:val="20"/>
                <w:lang w:eastAsia="en-US" w:bidi="ar-SA"/>
              </w:rPr>
              <w:t>instytucje oraz zasoby są podstawą organizacji przestrzennej, w tym tworzenia i istnienia relacji miasto-otoczenie na różnych poziomach</w:t>
            </w:r>
            <w:r w:rsidR="00832270" w:rsidRPr="00890249">
              <w:rPr>
                <w:rFonts w:asciiTheme="minorHAnsi" w:eastAsiaTheme="minorHAnsi" w:hAnsiTheme="minorHAnsi" w:cstheme="minorHAnsi"/>
                <w:sz w:val="20"/>
                <w:lang w:eastAsia="en-US" w:bidi="ar-SA"/>
              </w:rPr>
              <w:t>:</w:t>
            </w:r>
            <w:r w:rsidR="008374CE"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 xml:space="preserve">regionalnym, </w:t>
            </w:r>
            <w:r w:rsidR="008374CE" w:rsidRPr="00890249">
              <w:rPr>
                <w:rFonts w:asciiTheme="minorHAnsi" w:eastAsiaTheme="minorHAnsi" w:hAnsiTheme="minorHAnsi" w:cstheme="minorHAnsi"/>
                <w:sz w:val="20"/>
                <w:lang w:eastAsia="en-US" w:bidi="ar-SA"/>
              </w:rPr>
              <w:t xml:space="preserve">subregionalnym i </w:t>
            </w:r>
            <w:r w:rsidRPr="00890249">
              <w:rPr>
                <w:rFonts w:asciiTheme="minorHAnsi" w:eastAsiaTheme="minorHAnsi" w:hAnsiTheme="minorHAnsi" w:cstheme="minorHAnsi"/>
                <w:sz w:val="20"/>
                <w:lang w:eastAsia="en-US" w:bidi="ar-SA"/>
              </w:rPr>
              <w:t>lokalnym,</w:t>
            </w:r>
          </w:p>
          <w:p w14:paraId="7C8056F6" w14:textId="77777777" w:rsidR="004C140E" w:rsidRPr="00890249" w:rsidRDefault="008F44AA"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 xml:space="preserve">działania będą </w:t>
            </w:r>
            <w:r w:rsidR="00832270" w:rsidRPr="00890249">
              <w:rPr>
                <w:rFonts w:asciiTheme="minorHAnsi" w:eastAsiaTheme="minorHAnsi" w:hAnsiTheme="minorHAnsi" w:cstheme="minorHAnsi"/>
                <w:sz w:val="20"/>
                <w:lang w:eastAsia="en-US" w:bidi="ar-SA"/>
              </w:rPr>
              <w:t>realizowane przez</w:t>
            </w:r>
            <w:r w:rsidRPr="00890249">
              <w:rPr>
                <w:rFonts w:asciiTheme="minorHAnsi" w:eastAsiaTheme="minorHAnsi" w:hAnsiTheme="minorHAnsi" w:cstheme="minorHAnsi"/>
                <w:sz w:val="20"/>
                <w:lang w:eastAsia="en-US" w:bidi="ar-SA"/>
              </w:rPr>
              <w:t xml:space="preserve"> </w:t>
            </w:r>
            <w:r w:rsidR="008374CE" w:rsidRPr="00890249">
              <w:rPr>
                <w:rFonts w:asciiTheme="minorHAnsi" w:eastAsiaTheme="minorHAnsi" w:hAnsiTheme="minorHAnsi" w:cstheme="minorHAnsi"/>
                <w:sz w:val="20"/>
                <w:lang w:eastAsia="en-US" w:bidi="ar-SA"/>
              </w:rPr>
              <w:t>projekty</w:t>
            </w:r>
            <w:r w:rsidRPr="00890249">
              <w:rPr>
                <w:rFonts w:asciiTheme="minorHAnsi" w:eastAsiaTheme="minorHAnsi" w:hAnsiTheme="minorHAnsi" w:cstheme="minorHAnsi"/>
                <w:sz w:val="20"/>
                <w:lang w:eastAsia="en-US" w:bidi="ar-SA"/>
              </w:rPr>
              <w:t xml:space="preserve"> </w:t>
            </w:r>
            <w:r w:rsidR="008374CE" w:rsidRPr="00890249">
              <w:rPr>
                <w:rFonts w:asciiTheme="minorHAnsi" w:eastAsiaTheme="minorHAnsi" w:hAnsiTheme="minorHAnsi" w:cstheme="minorHAnsi"/>
                <w:sz w:val="20"/>
                <w:lang w:eastAsia="en-US" w:bidi="ar-SA"/>
              </w:rPr>
              <w:t>wynikające</w:t>
            </w:r>
            <w:r w:rsidRPr="00890249">
              <w:rPr>
                <w:rFonts w:asciiTheme="minorHAnsi" w:eastAsiaTheme="minorHAnsi" w:hAnsiTheme="minorHAnsi" w:cstheme="minorHAnsi"/>
                <w:sz w:val="20"/>
                <w:lang w:eastAsia="en-US" w:bidi="ar-SA"/>
              </w:rPr>
              <w:t xml:space="preserve"> </w:t>
            </w:r>
            <w:r w:rsidR="008374CE" w:rsidRPr="00890249">
              <w:rPr>
                <w:rFonts w:asciiTheme="minorHAnsi" w:eastAsiaTheme="minorHAnsi" w:hAnsiTheme="minorHAnsi" w:cstheme="minorHAnsi"/>
                <w:sz w:val="20"/>
                <w:lang w:eastAsia="en-US" w:bidi="ar-SA"/>
              </w:rPr>
              <w:t>ze</w:t>
            </w:r>
            <w:r w:rsidRPr="00890249">
              <w:rPr>
                <w:rFonts w:asciiTheme="minorHAnsi" w:eastAsiaTheme="minorHAnsi" w:hAnsiTheme="minorHAnsi" w:cstheme="minorHAnsi"/>
                <w:sz w:val="20"/>
                <w:lang w:eastAsia="en-US" w:bidi="ar-SA"/>
              </w:rPr>
              <w:t xml:space="preserve"> </w:t>
            </w:r>
            <w:r w:rsidR="008374CE" w:rsidRPr="00890249">
              <w:rPr>
                <w:rFonts w:asciiTheme="minorHAnsi" w:eastAsiaTheme="minorHAnsi" w:hAnsiTheme="minorHAnsi" w:cstheme="minorHAnsi"/>
                <w:sz w:val="20"/>
                <w:lang w:eastAsia="en-US" w:bidi="ar-SA"/>
              </w:rPr>
              <w:t>strategii</w:t>
            </w:r>
            <w:r w:rsidRPr="00890249">
              <w:rPr>
                <w:rFonts w:asciiTheme="minorHAnsi" w:eastAsiaTheme="minorHAnsi" w:hAnsiTheme="minorHAnsi" w:cstheme="minorHAnsi"/>
                <w:sz w:val="20"/>
                <w:lang w:eastAsia="en-US" w:bidi="ar-SA"/>
              </w:rPr>
              <w:t xml:space="preserve"> </w:t>
            </w:r>
            <w:r w:rsidR="008374CE" w:rsidRPr="00890249">
              <w:rPr>
                <w:rFonts w:asciiTheme="minorHAnsi" w:eastAsiaTheme="minorHAnsi" w:hAnsiTheme="minorHAnsi" w:cstheme="minorHAnsi"/>
                <w:sz w:val="20"/>
                <w:lang w:eastAsia="en-US" w:bidi="ar-SA"/>
              </w:rPr>
              <w:t>terytorialnych</w:t>
            </w:r>
            <w:r w:rsidRPr="00890249">
              <w:rPr>
                <w:rFonts w:asciiTheme="minorHAnsi" w:eastAsiaTheme="minorHAnsi" w:hAnsiTheme="minorHAnsi" w:cstheme="minorHAnsi"/>
                <w:sz w:val="20"/>
                <w:lang w:eastAsia="en-US" w:bidi="ar-SA"/>
              </w:rPr>
              <w:t xml:space="preserve"> </w:t>
            </w:r>
            <w:r w:rsidR="00724B83" w:rsidRPr="00890249">
              <w:rPr>
                <w:rFonts w:asciiTheme="minorHAnsi" w:eastAsiaTheme="minorHAnsi" w:hAnsiTheme="minorHAnsi" w:cstheme="minorHAnsi"/>
                <w:sz w:val="20"/>
                <w:lang w:eastAsia="en-US" w:bidi="ar-SA"/>
              </w:rPr>
              <w:t>(ZIT i II</w:t>
            </w:r>
            <w:r w:rsidRPr="00890249">
              <w:rPr>
                <w:rFonts w:asciiTheme="minorHAnsi" w:eastAsiaTheme="minorHAnsi" w:hAnsiTheme="minorHAnsi" w:cstheme="minorHAnsi"/>
                <w:sz w:val="20"/>
                <w:lang w:eastAsia="en-US" w:bidi="ar-SA"/>
              </w:rPr>
              <w:t>T),</w:t>
            </w:r>
          </w:p>
          <w:p w14:paraId="62950371" w14:textId="77777777" w:rsidR="00A63705" w:rsidRPr="00890249" w:rsidRDefault="004C140E"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lastRenderedPageBreak/>
              <w:t xml:space="preserve">doświadczenia z perspektywy finansowej 2014-2020 wskazują, że współpraca między JST jest pozytywnym i niezbędnym elementem do realizacji potrzeb społecznych, </w:t>
            </w:r>
          </w:p>
          <w:p w14:paraId="09B1EB6F" w14:textId="77777777" w:rsidR="00A63705" w:rsidRPr="00890249" w:rsidRDefault="00724B83" w:rsidP="009F296A">
            <w:pPr>
              <w:pStyle w:val="Akapitzlist"/>
              <w:numPr>
                <w:ilvl w:val="0"/>
                <w:numId w:val="3"/>
              </w:numPr>
              <w:spacing w:before="60" w:after="60"/>
              <w:ind w:left="303" w:hanging="303"/>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wsparcie zrównoważonego rozwoju gmin miejskich będzie realizowane</w:t>
            </w:r>
            <w:r w:rsidR="008374CE" w:rsidRPr="00890249">
              <w:rPr>
                <w:rFonts w:asciiTheme="minorHAnsi" w:eastAsiaTheme="minorHAnsi" w:hAnsiTheme="minorHAnsi" w:cstheme="minorHAnsi"/>
                <w:sz w:val="20"/>
                <w:lang w:eastAsia="en-US" w:bidi="ar-SA"/>
              </w:rPr>
              <w:t xml:space="preserve"> m.in.</w:t>
            </w:r>
            <w:r w:rsidRPr="00890249">
              <w:rPr>
                <w:rFonts w:asciiTheme="minorHAnsi" w:eastAsiaTheme="minorHAnsi" w:hAnsiTheme="minorHAnsi" w:cstheme="minorHAnsi"/>
                <w:sz w:val="20"/>
                <w:lang w:eastAsia="en-US" w:bidi="ar-SA"/>
              </w:rPr>
              <w:t xml:space="preserve"> poprzez </w:t>
            </w:r>
            <w:r w:rsidR="008374CE" w:rsidRPr="00890249">
              <w:rPr>
                <w:rFonts w:asciiTheme="minorHAnsi" w:eastAsiaTheme="minorHAnsi" w:hAnsiTheme="minorHAnsi" w:cstheme="minorHAnsi"/>
                <w:sz w:val="20"/>
                <w:lang w:eastAsia="en-US" w:bidi="ar-SA"/>
              </w:rPr>
              <w:t>projekty z zakresu kultury i turystyki, bazujące na potencjale</w:t>
            </w:r>
            <w:r w:rsidRPr="00890249">
              <w:rPr>
                <w:rFonts w:asciiTheme="minorHAnsi" w:eastAsiaTheme="minorHAnsi" w:hAnsiTheme="minorHAnsi" w:cstheme="minorHAnsi"/>
                <w:sz w:val="20"/>
                <w:lang w:eastAsia="en-US" w:bidi="ar-SA"/>
              </w:rPr>
              <w:t xml:space="preserve"> </w:t>
            </w:r>
            <w:r w:rsidR="008374CE" w:rsidRPr="00890249">
              <w:rPr>
                <w:rFonts w:asciiTheme="minorHAnsi" w:eastAsiaTheme="minorHAnsi" w:hAnsiTheme="minorHAnsi" w:cstheme="minorHAnsi"/>
                <w:sz w:val="20"/>
                <w:lang w:eastAsia="en-US" w:bidi="ar-SA"/>
              </w:rPr>
              <w:t>endogenicznym danego obszaru</w:t>
            </w:r>
            <w:r w:rsidRPr="00890249">
              <w:rPr>
                <w:rFonts w:asciiTheme="minorHAnsi" w:eastAsiaTheme="minorHAnsi" w:hAnsiTheme="minorHAnsi" w:cstheme="minorHAnsi"/>
                <w:sz w:val="20"/>
                <w:lang w:eastAsia="en-US" w:bidi="ar-SA"/>
              </w:rPr>
              <w:t>,</w:t>
            </w:r>
          </w:p>
          <w:p w14:paraId="09A1AB96" w14:textId="77777777" w:rsidR="00B72154" w:rsidRPr="00890249" w:rsidRDefault="25F9CACC" w:rsidP="009F296A">
            <w:pPr>
              <w:numPr>
                <w:ilvl w:val="0"/>
                <w:numId w:val="3"/>
              </w:numPr>
              <w:spacing w:before="60" w:after="60"/>
              <w:ind w:left="303" w:hanging="303"/>
              <w:contextualSpacing/>
              <w:rPr>
                <w:rFonts w:asciiTheme="minorHAnsi" w:eastAsiaTheme="minorEastAsia" w:hAnsiTheme="minorHAnsi" w:cstheme="minorHAnsi"/>
                <w:sz w:val="20"/>
                <w:lang w:eastAsia="en-US" w:bidi="ar-SA"/>
              </w:rPr>
            </w:pPr>
            <w:r w:rsidRPr="00890249">
              <w:rPr>
                <w:rFonts w:asciiTheme="minorHAnsi" w:eastAsiaTheme="minorEastAsia" w:hAnsiTheme="minorHAnsi" w:cstheme="minorHAnsi"/>
                <w:sz w:val="20"/>
                <w:lang w:eastAsia="en-US" w:bidi="ar-SA"/>
              </w:rPr>
              <w:t>wzmocnienie powiązań pomiędzy ob</w:t>
            </w:r>
            <w:r w:rsidR="31D6D6FD" w:rsidRPr="00890249">
              <w:rPr>
                <w:rFonts w:asciiTheme="minorHAnsi" w:eastAsiaTheme="minorEastAsia" w:hAnsiTheme="minorHAnsi" w:cstheme="minorHAnsi"/>
                <w:sz w:val="20"/>
                <w:lang w:eastAsia="en-US" w:bidi="ar-SA"/>
              </w:rPr>
              <w:t xml:space="preserve">szarami miejskimi i wiejskimi stanowi </w:t>
            </w:r>
            <w:r w:rsidRPr="00890249">
              <w:rPr>
                <w:rFonts w:asciiTheme="minorHAnsi" w:eastAsiaTheme="minorEastAsia" w:hAnsiTheme="minorHAnsi" w:cstheme="minorHAnsi"/>
                <w:sz w:val="20"/>
                <w:lang w:eastAsia="en-US" w:bidi="ar-SA"/>
              </w:rPr>
              <w:t xml:space="preserve">główne wyzwanie polityki spójności </w:t>
            </w:r>
            <w:r w:rsidR="1650ECCE" w:rsidRPr="00890249">
              <w:rPr>
                <w:rFonts w:asciiTheme="minorHAnsi" w:eastAsiaTheme="minorEastAsia" w:hAnsiTheme="minorHAnsi" w:cstheme="minorHAnsi"/>
                <w:sz w:val="20"/>
                <w:lang w:eastAsia="en-US" w:bidi="ar-SA"/>
              </w:rPr>
              <w:t xml:space="preserve">na lata </w:t>
            </w:r>
            <w:r w:rsidRPr="00890249">
              <w:rPr>
                <w:rFonts w:asciiTheme="minorHAnsi" w:eastAsiaTheme="minorEastAsia" w:hAnsiTheme="minorHAnsi" w:cstheme="minorHAnsi"/>
                <w:sz w:val="20"/>
                <w:lang w:eastAsia="en-US" w:bidi="ar-SA"/>
              </w:rPr>
              <w:t>2021-2027,</w:t>
            </w:r>
          </w:p>
          <w:p w14:paraId="1A405E0E" w14:textId="4023A2AE" w:rsidR="00B72154" w:rsidRPr="00890249" w:rsidRDefault="00351D90" w:rsidP="009F296A">
            <w:pPr>
              <w:numPr>
                <w:ilvl w:val="0"/>
                <w:numId w:val="3"/>
              </w:numPr>
              <w:spacing w:before="60" w:after="60"/>
              <w:ind w:left="303" w:hanging="303"/>
              <w:contextualSpacing/>
              <w:rPr>
                <w:rFonts w:asciiTheme="minorHAnsi" w:eastAsiaTheme="minorEastAsia" w:hAnsiTheme="minorHAnsi" w:cstheme="minorHAnsi"/>
                <w:b/>
                <w:color w:val="003399"/>
                <w:sz w:val="20"/>
                <w:lang w:eastAsia="en-US" w:bidi="ar-SA"/>
              </w:rPr>
            </w:pPr>
            <w:r w:rsidRPr="00890249">
              <w:rPr>
                <w:rFonts w:asciiTheme="minorHAnsi" w:eastAsiaTheme="minorEastAsia" w:hAnsiTheme="minorHAnsi" w:cstheme="minorHAnsi"/>
                <w:sz w:val="20"/>
                <w:lang w:eastAsia="en-US" w:bidi="ar-SA"/>
              </w:rPr>
              <w:t>działania będą zgodne z zaleceniami ETO dot. wsparcia UE na rzecz turystyki</w:t>
            </w:r>
            <w:r w:rsidR="00A723EB">
              <w:rPr>
                <w:rFonts w:asciiTheme="minorHAnsi" w:eastAsiaTheme="minorEastAsia" w:hAnsiTheme="minorHAnsi" w:cstheme="minorHAnsi"/>
                <w:sz w:val="20"/>
                <w:lang w:eastAsia="en-US" w:bidi="ar-SA"/>
              </w:rPr>
              <w:t>, zalecaniami dot. inwestycji w </w:t>
            </w:r>
            <w:r w:rsidRPr="00890249">
              <w:rPr>
                <w:rFonts w:asciiTheme="minorHAnsi" w:eastAsiaTheme="minorEastAsia" w:hAnsiTheme="minorHAnsi" w:cstheme="minorHAnsi"/>
                <w:sz w:val="20"/>
                <w:lang w:eastAsia="en-US" w:bidi="ar-SA"/>
              </w:rPr>
              <w:t>obiekty kultury oraz zaleceniami ICOMOS dot. dziedzictwa kulturowego,</w:t>
            </w:r>
          </w:p>
          <w:p w14:paraId="3264FA48" w14:textId="77777777" w:rsidR="00A63705" w:rsidRPr="00890249" w:rsidRDefault="008374CE"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region zróżnicowany kulturowo z bogatym dorobkiem kulturalnym (materialnym i niematerialnym),</w:t>
            </w:r>
            <w:r w:rsidR="00210F27" w:rsidRPr="00890249">
              <w:rPr>
                <w:rFonts w:asciiTheme="minorHAnsi" w:eastAsiaTheme="minorHAnsi" w:hAnsiTheme="minorHAnsi" w:cstheme="minorHAnsi"/>
                <w:sz w:val="20"/>
                <w:lang w:eastAsia="en-US" w:bidi="ar-SA"/>
              </w:rPr>
              <w:t xml:space="preserve"> a co za tym idzie</w:t>
            </w:r>
            <w:r w:rsidRPr="00890249">
              <w:rPr>
                <w:rFonts w:asciiTheme="minorHAnsi" w:eastAsiaTheme="minorHAnsi" w:hAnsiTheme="minorHAnsi" w:cstheme="minorHAnsi"/>
                <w:sz w:val="20"/>
                <w:lang w:eastAsia="en-US" w:bidi="ar-SA"/>
              </w:rPr>
              <w:t xml:space="preserve"> </w:t>
            </w:r>
            <w:r w:rsidR="00210F27" w:rsidRPr="00890249">
              <w:rPr>
                <w:rFonts w:asciiTheme="minorHAnsi" w:eastAsiaTheme="minorHAnsi" w:hAnsiTheme="minorHAnsi" w:cstheme="minorHAnsi"/>
                <w:sz w:val="20"/>
                <w:lang w:eastAsia="en-US" w:bidi="ar-SA"/>
              </w:rPr>
              <w:t>z</w:t>
            </w:r>
            <w:r w:rsidRPr="00890249">
              <w:rPr>
                <w:rFonts w:asciiTheme="minorHAnsi" w:eastAsiaTheme="minorHAnsi" w:hAnsiTheme="minorHAnsi" w:cstheme="minorHAnsi"/>
                <w:sz w:val="20"/>
                <w:lang w:eastAsia="en-US" w:bidi="ar-SA"/>
              </w:rPr>
              <w:t>asadne jest wzmocnienie regionalnej</w:t>
            </w:r>
            <w:r w:rsidR="00210F27"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oferty turystycznej, opartej na zasobach</w:t>
            </w:r>
            <w:r w:rsidR="00210F27"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dziedzictwa kulturowego, naturalnego i</w:t>
            </w:r>
            <w:r w:rsidR="00210F27"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bogactwie krajobrazu, jako obszaru o</w:t>
            </w:r>
            <w:r w:rsidR="00210F27"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znacznym potencjale rozwoju i tworzenia</w:t>
            </w:r>
            <w:r w:rsidR="00210F27"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miejsc pracy</w:t>
            </w:r>
            <w:r w:rsidR="00210F27" w:rsidRPr="00890249">
              <w:rPr>
                <w:rFonts w:asciiTheme="minorHAnsi" w:eastAsiaTheme="minorHAnsi" w:hAnsiTheme="minorHAnsi" w:cstheme="minorHAnsi"/>
                <w:sz w:val="20"/>
                <w:lang w:eastAsia="en-US" w:bidi="ar-SA"/>
              </w:rPr>
              <w:t>,</w:t>
            </w:r>
          </w:p>
          <w:p w14:paraId="66E262A9" w14:textId="77777777" w:rsidR="00210F27" w:rsidRPr="00890249" w:rsidRDefault="002727A2"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celem interwencji będzie zapewnienie mieszkańcom regionu równego dostępu do kultury, jak również realizacji funkcji społecznych i ogólnorozwojowych pełnionych przez instytucje sektora kultury i </w:t>
            </w:r>
            <w:r w:rsidR="00210F27" w:rsidRPr="00890249">
              <w:rPr>
                <w:rFonts w:asciiTheme="minorHAnsi" w:eastAsiaTheme="minorHAnsi" w:hAnsiTheme="minorHAnsi" w:cstheme="minorHAnsi"/>
                <w:sz w:val="20"/>
                <w:lang w:eastAsia="en-US" w:bidi="ar-SA"/>
              </w:rPr>
              <w:t xml:space="preserve">dziedzictwa kulturowego oraz turystyki, </w:t>
            </w:r>
          </w:p>
          <w:p w14:paraId="15EFEAAD" w14:textId="77777777" w:rsidR="008F44AA" w:rsidRPr="00890249" w:rsidRDefault="00832270"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 xml:space="preserve">konieczność </w:t>
            </w:r>
            <w:r w:rsidR="008F44AA" w:rsidRPr="00890249">
              <w:rPr>
                <w:rFonts w:asciiTheme="minorHAnsi" w:eastAsiaTheme="minorHAnsi" w:hAnsiTheme="minorHAnsi" w:cstheme="minorHAnsi"/>
                <w:sz w:val="20"/>
                <w:lang w:eastAsia="en-US" w:bidi="ar-SA"/>
              </w:rPr>
              <w:t>wspierani</w:t>
            </w:r>
            <w:r w:rsidRPr="00890249">
              <w:rPr>
                <w:rFonts w:asciiTheme="minorHAnsi" w:eastAsiaTheme="minorHAnsi" w:hAnsiTheme="minorHAnsi" w:cstheme="minorHAnsi"/>
                <w:sz w:val="20"/>
                <w:lang w:eastAsia="en-US" w:bidi="ar-SA"/>
              </w:rPr>
              <w:t>a</w:t>
            </w:r>
            <w:r w:rsidR="008F44AA" w:rsidRPr="00890249">
              <w:rPr>
                <w:rFonts w:asciiTheme="minorHAnsi" w:eastAsiaTheme="minorHAnsi" w:hAnsiTheme="minorHAnsi" w:cstheme="minorHAnsi"/>
                <w:sz w:val="20"/>
                <w:lang w:eastAsia="en-US" w:bidi="ar-SA"/>
              </w:rPr>
              <w:t xml:space="preserve"> walorów i usług turystycznych,</w:t>
            </w:r>
          </w:p>
          <w:p w14:paraId="300ABD4D" w14:textId="77777777" w:rsidR="008F44AA" w:rsidRPr="00890249" w:rsidRDefault="008F44AA"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niska aktywność kulturalna mieszkańców,</w:t>
            </w:r>
          </w:p>
          <w:p w14:paraId="270CED45" w14:textId="77777777" w:rsidR="008F44AA" w:rsidRPr="00890249" w:rsidRDefault="008F44AA"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wsparci</w:t>
            </w:r>
            <w:r w:rsidR="002727A2" w:rsidRPr="00890249">
              <w:rPr>
                <w:rFonts w:asciiTheme="minorHAnsi" w:eastAsiaTheme="minorHAnsi" w:hAnsiTheme="minorHAnsi" w:cstheme="minorHAnsi"/>
                <w:sz w:val="20"/>
                <w:lang w:eastAsia="en-US" w:bidi="ar-SA"/>
              </w:rPr>
              <w:t>e</w:t>
            </w:r>
            <w:r w:rsidRPr="00890249">
              <w:rPr>
                <w:rFonts w:asciiTheme="minorHAnsi" w:eastAsiaTheme="minorHAnsi" w:hAnsiTheme="minorHAnsi" w:cstheme="minorHAnsi"/>
                <w:sz w:val="20"/>
                <w:lang w:eastAsia="en-US" w:bidi="ar-SA"/>
              </w:rPr>
              <w:t xml:space="preserve"> realizacji zintegrowanych działań rewitalizacyjnych</w:t>
            </w:r>
            <w:r w:rsidR="00257A54" w:rsidRPr="00890249">
              <w:rPr>
                <w:rFonts w:asciiTheme="minorHAnsi" w:eastAsiaTheme="minorHAnsi" w:hAnsiTheme="minorHAnsi" w:cstheme="minorHAnsi"/>
                <w:sz w:val="20"/>
                <w:lang w:eastAsia="en-US" w:bidi="ar-SA"/>
              </w:rPr>
              <w:t xml:space="preserve"> </w:t>
            </w:r>
            <w:r w:rsidR="002727A2" w:rsidRPr="00890249">
              <w:rPr>
                <w:rFonts w:asciiTheme="minorHAnsi" w:eastAsiaTheme="minorHAnsi" w:hAnsiTheme="minorHAnsi" w:cstheme="minorHAnsi"/>
                <w:sz w:val="20"/>
                <w:lang w:eastAsia="en-US" w:bidi="ar-SA"/>
              </w:rPr>
              <w:t>będzie</w:t>
            </w:r>
            <w:r w:rsidR="00257A54" w:rsidRPr="00890249">
              <w:rPr>
                <w:rFonts w:asciiTheme="minorHAnsi" w:eastAsiaTheme="minorHAnsi" w:hAnsiTheme="minorHAnsi" w:cstheme="minorHAnsi"/>
                <w:sz w:val="20"/>
                <w:lang w:eastAsia="en-US" w:bidi="ar-SA"/>
              </w:rPr>
              <w:t xml:space="preserve"> odpowiedzią na koncentrację problemów społecznych i gospodarczych w ośrodkach miejskich, borykającyc</w:t>
            </w:r>
            <w:r w:rsidR="002727A2" w:rsidRPr="00890249">
              <w:rPr>
                <w:rFonts w:asciiTheme="minorHAnsi" w:eastAsiaTheme="minorHAnsi" w:hAnsiTheme="minorHAnsi" w:cstheme="minorHAnsi"/>
                <w:sz w:val="20"/>
                <w:lang w:eastAsia="en-US" w:bidi="ar-SA"/>
              </w:rPr>
              <w:t xml:space="preserve">h się z wyzwaniami rozwojowymi, tj. </w:t>
            </w:r>
            <w:r w:rsidR="00DA4088" w:rsidRPr="00890249">
              <w:rPr>
                <w:rFonts w:asciiTheme="minorHAnsi" w:eastAsiaTheme="minorHAnsi" w:hAnsiTheme="minorHAnsi" w:cstheme="minorHAnsi"/>
                <w:sz w:val="20"/>
                <w:lang w:eastAsia="en-US" w:bidi="ar-SA"/>
              </w:rPr>
              <w:t>wysoka stopa bezrobocia, niski poziom aktywności gospodarczej, wyższe występowanie zjawisk patologicznyc</w:t>
            </w:r>
            <w:r w:rsidR="002727A2" w:rsidRPr="00890249">
              <w:rPr>
                <w:rFonts w:asciiTheme="minorHAnsi" w:eastAsiaTheme="minorHAnsi" w:hAnsiTheme="minorHAnsi" w:cstheme="minorHAnsi"/>
                <w:sz w:val="20"/>
                <w:lang w:eastAsia="en-US" w:bidi="ar-SA"/>
              </w:rPr>
              <w:t>h</w:t>
            </w:r>
            <w:r w:rsidR="00DA4088" w:rsidRPr="00890249">
              <w:rPr>
                <w:rFonts w:asciiTheme="minorHAnsi" w:eastAsiaTheme="minorHAnsi" w:hAnsiTheme="minorHAnsi" w:cstheme="minorHAnsi"/>
                <w:sz w:val="20"/>
                <w:lang w:eastAsia="en-US" w:bidi="ar-SA"/>
              </w:rPr>
              <w:t>,</w:t>
            </w:r>
          </w:p>
          <w:p w14:paraId="35F72FAE" w14:textId="77777777" w:rsidR="00A63705" w:rsidRPr="00890249" w:rsidRDefault="008F44AA"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zwiększenie współpracy w zakresie współdecydowania oraz współzarządzania procesami rozwojowymi przez samorządy terytorialne i społeczeństwo obywatelskie (oddolne inicjatywy społeczności lokalnych)</w:t>
            </w:r>
            <w:r w:rsidR="0064163D" w:rsidRPr="00890249">
              <w:rPr>
                <w:rFonts w:asciiTheme="minorHAnsi" w:eastAsiaTheme="minorHAnsi" w:hAnsiTheme="minorHAnsi" w:cstheme="minorHAnsi"/>
                <w:sz w:val="20"/>
                <w:lang w:eastAsia="en-US" w:bidi="ar-SA"/>
              </w:rPr>
              <w:t>,</w:t>
            </w:r>
          </w:p>
          <w:p w14:paraId="66ED0837" w14:textId="5AACF792" w:rsidR="00A63705" w:rsidRPr="00890249" w:rsidRDefault="0064163D" w:rsidP="009F296A">
            <w:pPr>
              <w:numPr>
                <w:ilvl w:val="0"/>
                <w:numId w:val="3"/>
              </w:numPr>
              <w:spacing w:before="60" w:after="60"/>
              <w:ind w:left="303" w:hanging="303"/>
              <w:contextualSpacing/>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działania będą uzupełnione o wybrane działania z CP2,</w:t>
            </w:r>
            <w:r w:rsidR="00A216E6" w:rsidRPr="00890249">
              <w:rPr>
                <w:rFonts w:asciiTheme="minorHAnsi" w:eastAsiaTheme="minorHAnsi" w:hAnsiTheme="minorHAnsi" w:cstheme="minorHAnsi"/>
                <w:sz w:val="20"/>
                <w:lang w:eastAsia="en-US" w:bidi="ar-SA"/>
              </w:rPr>
              <w:t xml:space="preserve"> CP 3 i</w:t>
            </w:r>
            <w:r w:rsidRPr="00890249">
              <w:rPr>
                <w:rFonts w:asciiTheme="minorHAnsi" w:eastAsiaTheme="minorHAnsi" w:hAnsiTheme="minorHAnsi" w:cstheme="minorHAnsi"/>
                <w:sz w:val="20"/>
                <w:lang w:eastAsia="en-US" w:bidi="ar-SA"/>
              </w:rPr>
              <w:t xml:space="preserve"> CP4</w:t>
            </w:r>
            <w:r w:rsidR="00351D90" w:rsidRPr="00890249">
              <w:rPr>
                <w:rFonts w:asciiTheme="minorHAnsi" w:eastAsiaTheme="minorHAnsi" w:hAnsiTheme="minorHAnsi" w:cstheme="minorHAnsi"/>
                <w:sz w:val="20"/>
                <w:lang w:eastAsia="en-US" w:bidi="ar-SA"/>
              </w:rPr>
              <w:t>.</w:t>
            </w:r>
            <w:r w:rsidRPr="00890249">
              <w:rPr>
                <w:rFonts w:asciiTheme="minorHAnsi" w:eastAsiaTheme="minorHAnsi" w:hAnsiTheme="minorHAnsi" w:cstheme="minorHAnsi"/>
                <w:sz w:val="20"/>
                <w:lang w:eastAsia="en-US" w:bidi="ar-SA"/>
              </w:rPr>
              <w:t xml:space="preserve"> </w:t>
            </w:r>
          </w:p>
        </w:tc>
      </w:tr>
      <w:tr w:rsidR="008F44AA" w:rsidRPr="00890249" w14:paraId="50F52042" w14:textId="77777777" w:rsidTr="18317E1B">
        <w:tc>
          <w:tcPr>
            <w:tcW w:w="1038" w:type="pct"/>
            <w:vMerge/>
          </w:tcPr>
          <w:p w14:paraId="5DA14629" w14:textId="77777777" w:rsidR="008F44AA" w:rsidRPr="00890249" w:rsidRDefault="008F44AA" w:rsidP="004C571C">
            <w:pPr>
              <w:spacing w:before="60" w:after="60"/>
              <w:jc w:val="left"/>
              <w:rPr>
                <w:rFonts w:asciiTheme="minorHAnsi" w:eastAsia="Times New Roman" w:hAnsiTheme="minorHAnsi" w:cstheme="minorHAnsi"/>
                <w:b/>
                <w:iCs/>
                <w:noProof/>
                <w:sz w:val="20"/>
              </w:rPr>
            </w:pPr>
          </w:p>
        </w:tc>
        <w:tc>
          <w:tcPr>
            <w:tcW w:w="1271" w:type="pct"/>
          </w:tcPr>
          <w:p w14:paraId="0F0D89F5" w14:textId="77777777" w:rsidR="008F44AA" w:rsidRPr="00890249" w:rsidRDefault="008F44AA" w:rsidP="004C571C">
            <w:pPr>
              <w:spacing w:before="60" w:after="60"/>
              <w:jc w:val="left"/>
              <w:rPr>
                <w:rFonts w:asciiTheme="minorHAnsi" w:hAnsiTheme="minorHAnsi" w:cstheme="minorHAnsi"/>
                <w:sz w:val="20"/>
              </w:rPr>
            </w:pPr>
            <w:r w:rsidRPr="00890249">
              <w:rPr>
                <w:rFonts w:asciiTheme="minorHAnsi" w:hAnsiTheme="minorHAnsi" w:cstheme="minorHAnsi"/>
                <w:sz w:val="20"/>
              </w:rPr>
              <w:t xml:space="preserve">(ii) </w:t>
            </w:r>
          </w:p>
          <w:p w14:paraId="15724789" w14:textId="77777777" w:rsidR="008F44AA" w:rsidRPr="00890249" w:rsidRDefault="008F44AA" w:rsidP="004C571C">
            <w:pPr>
              <w:spacing w:before="60" w:after="60"/>
              <w:jc w:val="left"/>
              <w:rPr>
                <w:rFonts w:asciiTheme="minorHAnsi" w:hAnsiTheme="minorHAnsi" w:cstheme="minorHAnsi"/>
                <w:i/>
                <w:sz w:val="20"/>
              </w:rPr>
            </w:pPr>
            <w:r w:rsidRPr="00890249">
              <w:rPr>
                <w:rFonts w:asciiTheme="minorHAnsi" w:hAnsiTheme="minorHAnsi" w:cstheme="minorHAnsi"/>
                <w:i/>
                <w:sz w:val="20"/>
              </w:rPr>
              <w:t xml:space="preserve">Wspieranie zintegrowanego </w:t>
            </w:r>
            <w:r w:rsidRPr="00890249">
              <w:rPr>
                <w:rFonts w:asciiTheme="minorHAnsi" w:hAnsiTheme="minorHAnsi" w:cstheme="minorHAnsi"/>
                <w:i/>
                <w:sz w:val="20"/>
              </w:rPr>
              <w:br/>
              <w:t xml:space="preserve">i sprzyjającego włączeniu społecznemu rozwoju społecznego, gospodarczego </w:t>
            </w:r>
            <w:r w:rsidRPr="00890249">
              <w:rPr>
                <w:rFonts w:asciiTheme="minorHAnsi" w:hAnsiTheme="minorHAnsi" w:cstheme="minorHAnsi"/>
                <w:i/>
                <w:sz w:val="20"/>
              </w:rPr>
              <w:br/>
              <w:t xml:space="preserve">i środowiskowego, na poziomie lokalnym, </w:t>
            </w:r>
            <w:r w:rsidRPr="00890249">
              <w:rPr>
                <w:rFonts w:asciiTheme="minorHAnsi" w:hAnsiTheme="minorHAnsi" w:cstheme="minorHAnsi"/>
                <w:i/>
                <w:sz w:val="20"/>
              </w:rPr>
              <w:lastRenderedPageBreak/>
              <w:t xml:space="preserve">kultury, dziedzictwa naturalnego, zrównoważonej turystyki </w:t>
            </w:r>
            <w:r w:rsidRPr="00890249">
              <w:rPr>
                <w:rFonts w:asciiTheme="minorHAnsi" w:hAnsiTheme="minorHAnsi" w:cstheme="minorHAnsi"/>
                <w:i/>
                <w:sz w:val="20"/>
              </w:rPr>
              <w:br/>
              <w:t>i bezpieczeństwa na obszarach innych niż miejskie</w:t>
            </w:r>
          </w:p>
        </w:tc>
        <w:tc>
          <w:tcPr>
            <w:tcW w:w="2691" w:type="pct"/>
          </w:tcPr>
          <w:p w14:paraId="5C2F09D7" w14:textId="77777777" w:rsidR="00A63705" w:rsidRPr="00890249" w:rsidRDefault="00535077" w:rsidP="009F296A">
            <w:pPr>
              <w:pStyle w:val="Akapitzlist"/>
              <w:numPr>
                <w:ilvl w:val="0"/>
                <w:numId w:val="55"/>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lastRenderedPageBreak/>
              <w:t>administracyjnie województwo opolskie dzieli się na 12 powiatów, w tym 1 powiat grodzki (Opole) oraz 71 gmin (w tym 3 miejskie, 33 miejsko-wiejskie i 35 wiejskich),</w:t>
            </w:r>
          </w:p>
          <w:p w14:paraId="13996A5B" w14:textId="77777777" w:rsidR="00A63705" w:rsidRPr="00890249" w:rsidRDefault="00140563" w:rsidP="009F296A">
            <w:pPr>
              <w:pStyle w:val="Akapitzlist"/>
              <w:numPr>
                <w:ilvl w:val="0"/>
                <w:numId w:val="55"/>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obszar</w:t>
            </w:r>
            <w:r w:rsidR="00535077" w:rsidRPr="00890249">
              <w:rPr>
                <w:rFonts w:asciiTheme="minorHAnsi" w:eastAsiaTheme="minorHAnsi" w:hAnsiTheme="minorHAnsi" w:cstheme="minorHAnsi"/>
                <w:sz w:val="20"/>
                <w:lang w:eastAsia="en-US" w:bidi="ar-SA"/>
              </w:rPr>
              <w:t xml:space="preserve">y wiejskie </w:t>
            </w:r>
            <w:r w:rsidR="00AC3D65" w:rsidRPr="00890249">
              <w:rPr>
                <w:rFonts w:asciiTheme="minorHAnsi" w:eastAsiaTheme="minorHAnsi" w:hAnsiTheme="minorHAnsi" w:cstheme="minorHAnsi"/>
                <w:sz w:val="20"/>
                <w:lang w:eastAsia="en-US" w:bidi="ar-SA"/>
              </w:rPr>
              <w:t xml:space="preserve">stanowiące ok. 90 % obszaru regionu </w:t>
            </w:r>
            <w:r w:rsidR="00535077" w:rsidRPr="00890249">
              <w:rPr>
                <w:rFonts w:asciiTheme="minorHAnsi" w:eastAsiaTheme="minorHAnsi" w:hAnsiTheme="minorHAnsi" w:cstheme="minorHAnsi"/>
                <w:sz w:val="20"/>
                <w:lang w:eastAsia="en-US" w:bidi="ar-SA"/>
              </w:rPr>
              <w:t>(</w:t>
            </w:r>
            <w:r w:rsidRPr="00890249">
              <w:rPr>
                <w:rFonts w:asciiTheme="minorHAnsi" w:eastAsiaTheme="minorHAnsi" w:hAnsiTheme="minorHAnsi" w:cstheme="minorHAnsi"/>
                <w:sz w:val="20"/>
                <w:lang w:eastAsia="en-US" w:bidi="ar-SA"/>
              </w:rPr>
              <w:t>gmi</w:t>
            </w:r>
            <w:r w:rsidR="00535077" w:rsidRPr="00890249">
              <w:rPr>
                <w:rFonts w:asciiTheme="minorHAnsi" w:eastAsiaTheme="minorHAnsi" w:hAnsiTheme="minorHAnsi" w:cstheme="minorHAnsi"/>
                <w:sz w:val="20"/>
                <w:lang w:eastAsia="en-US" w:bidi="ar-SA"/>
              </w:rPr>
              <w:t>ny relatywnie wielofunkcyjne z </w:t>
            </w:r>
            <w:r w:rsidRPr="00890249">
              <w:rPr>
                <w:rFonts w:asciiTheme="minorHAnsi" w:eastAsiaTheme="minorHAnsi" w:hAnsiTheme="minorHAnsi" w:cstheme="minorHAnsi"/>
                <w:sz w:val="20"/>
                <w:lang w:eastAsia="en-US" w:bidi="ar-SA"/>
              </w:rPr>
              <w:t>dobrze rozwiniętym sektorem rolniczym</w:t>
            </w:r>
            <w:r w:rsidR="00535077" w:rsidRPr="00890249">
              <w:rPr>
                <w:rFonts w:asciiTheme="minorHAnsi" w:eastAsiaTheme="minorHAnsi" w:hAnsiTheme="minorHAnsi" w:cstheme="minorHAnsi"/>
                <w:sz w:val="20"/>
                <w:lang w:eastAsia="en-US" w:bidi="ar-SA"/>
              </w:rPr>
              <w:t>)</w:t>
            </w:r>
            <w:r w:rsidR="009A6B68" w:rsidRPr="00890249">
              <w:rPr>
                <w:rFonts w:asciiTheme="minorHAnsi" w:eastAsiaTheme="minorHAnsi" w:hAnsiTheme="minorHAnsi" w:cstheme="minorHAnsi"/>
                <w:sz w:val="20"/>
                <w:lang w:eastAsia="en-US" w:bidi="ar-SA"/>
              </w:rPr>
              <w:t xml:space="preserve"> wymagają skutecznych inwestycj</w:t>
            </w:r>
            <w:r w:rsidR="00832270" w:rsidRPr="00890249">
              <w:rPr>
                <w:rFonts w:asciiTheme="minorHAnsi" w:eastAsiaTheme="minorHAnsi" w:hAnsiTheme="minorHAnsi" w:cstheme="minorHAnsi"/>
                <w:sz w:val="20"/>
                <w:lang w:eastAsia="en-US" w:bidi="ar-SA"/>
              </w:rPr>
              <w:t>i</w:t>
            </w:r>
            <w:r w:rsidR="009A6B68" w:rsidRPr="00890249">
              <w:rPr>
                <w:rFonts w:asciiTheme="minorHAnsi" w:eastAsiaTheme="minorHAnsi" w:hAnsiTheme="minorHAnsi" w:cstheme="minorHAnsi"/>
                <w:sz w:val="20"/>
                <w:lang w:eastAsia="en-US" w:bidi="ar-SA"/>
              </w:rPr>
              <w:t>, by region w dalszym ciągu się rozwijał, a ludzie chcieli tu żyć i pracować,</w:t>
            </w:r>
          </w:p>
          <w:p w14:paraId="7F91D216" w14:textId="77777777" w:rsidR="00A63705" w:rsidRPr="00890249" w:rsidRDefault="00C33A6F" w:rsidP="009F296A">
            <w:pPr>
              <w:pStyle w:val="Akapitzlist"/>
              <w:numPr>
                <w:ilvl w:val="0"/>
                <w:numId w:val="55"/>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lastRenderedPageBreak/>
              <w:t>podejmowanie</w:t>
            </w:r>
            <w:r w:rsidR="00140563" w:rsidRPr="00890249">
              <w:rPr>
                <w:rFonts w:asciiTheme="minorHAnsi" w:eastAsiaTheme="minorHAnsi" w:hAnsiTheme="minorHAnsi" w:cstheme="minorHAnsi"/>
                <w:sz w:val="20"/>
                <w:lang w:eastAsia="en-US" w:bidi="ar-SA"/>
              </w:rPr>
              <w:t xml:space="preserve"> </w:t>
            </w:r>
            <w:r w:rsidRPr="00890249">
              <w:rPr>
                <w:rFonts w:asciiTheme="minorHAnsi" w:eastAsiaTheme="minorHAnsi" w:hAnsiTheme="minorHAnsi" w:cstheme="minorHAnsi"/>
                <w:sz w:val="20"/>
                <w:lang w:eastAsia="en-US" w:bidi="ar-SA"/>
              </w:rPr>
              <w:t>działań</w:t>
            </w:r>
            <w:r w:rsidR="00140563" w:rsidRPr="00890249">
              <w:rPr>
                <w:rFonts w:asciiTheme="minorHAnsi" w:eastAsiaTheme="minorHAnsi" w:hAnsiTheme="minorHAnsi" w:cstheme="minorHAnsi"/>
                <w:sz w:val="20"/>
                <w:lang w:eastAsia="en-US" w:bidi="ar-SA"/>
              </w:rPr>
              <w:t xml:space="preserve"> </w:t>
            </w:r>
            <w:r w:rsidR="00303012" w:rsidRPr="00890249">
              <w:rPr>
                <w:rFonts w:asciiTheme="minorHAnsi" w:eastAsiaTheme="minorHAnsi" w:hAnsiTheme="minorHAnsi" w:cstheme="minorHAnsi"/>
                <w:sz w:val="20"/>
                <w:lang w:eastAsia="en-US" w:bidi="ar-SA"/>
              </w:rPr>
              <w:t>mając</w:t>
            </w:r>
            <w:r w:rsidR="008374CE" w:rsidRPr="00890249">
              <w:rPr>
                <w:rFonts w:asciiTheme="minorHAnsi" w:eastAsiaTheme="minorHAnsi" w:hAnsiTheme="minorHAnsi" w:cstheme="minorHAnsi"/>
                <w:sz w:val="20"/>
                <w:lang w:eastAsia="en-US" w:bidi="ar-SA"/>
              </w:rPr>
              <w:t>ych na celu zrównoważony rozwój obszarów wiejskich,</w:t>
            </w:r>
            <w:r w:rsidRPr="00890249">
              <w:rPr>
                <w:rFonts w:asciiTheme="minorHAnsi" w:eastAsiaTheme="minorHAnsi" w:hAnsiTheme="minorHAnsi" w:cstheme="minorHAnsi"/>
                <w:sz w:val="20"/>
                <w:lang w:eastAsia="en-US" w:bidi="ar-SA"/>
              </w:rPr>
              <w:t xml:space="preserve"> m.in. przez projekty z zakresu kultury i turystyki, bazujące na potencjale endogenicznym danego obszaru,</w:t>
            </w:r>
          </w:p>
          <w:p w14:paraId="18359C91" w14:textId="77777777" w:rsidR="00A63705" w:rsidRPr="00890249" w:rsidRDefault="008374CE" w:rsidP="009F296A">
            <w:pPr>
              <w:pStyle w:val="Akapitzlist"/>
              <w:numPr>
                <w:ilvl w:val="0"/>
                <w:numId w:val="55"/>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wzmocnienie powiązań</w:t>
            </w:r>
            <w:r w:rsidR="003C1818" w:rsidRPr="00890249">
              <w:rPr>
                <w:rFonts w:asciiTheme="minorHAnsi" w:eastAsiaTheme="minorHAnsi" w:hAnsiTheme="minorHAnsi" w:cstheme="minorHAnsi"/>
                <w:sz w:val="20"/>
                <w:lang w:eastAsia="en-US" w:bidi="ar-SA"/>
              </w:rPr>
              <w:t xml:space="preserve"> pomiędzy obszarami miejskimi i </w:t>
            </w:r>
            <w:r w:rsidRPr="00890249">
              <w:rPr>
                <w:rFonts w:asciiTheme="minorHAnsi" w:eastAsiaTheme="minorHAnsi" w:hAnsiTheme="minorHAnsi" w:cstheme="minorHAnsi"/>
                <w:sz w:val="20"/>
                <w:lang w:eastAsia="en-US" w:bidi="ar-SA"/>
              </w:rPr>
              <w:t xml:space="preserve">wiejskimi – główne wyzwanie polityki spójności </w:t>
            </w:r>
            <w:r w:rsidR="00832270" w:rsidRPr="00890249">
              <w:rPr>
                <w:rFonts w:asciiTheme="minorHAnsi" w:eastAsiaTheme="minorHAnsi" w:hAnsiTheme="minorHAnsi" w:cstheme="minorHAnsi"/>
                <w:sz w:val="20"/>
                <w:lang w:eastAsia="en-US" w:bidi="ar-SA"/>
              </w:rPr>
              <w:t xml:space="preserve">na lata </w:t>
            </w:r>
            <w:r w:rsidRPr="00890249">
              <w:rPr>
                <w:rFonts w:asciiTheme="minorHAnsi" w:eastAsiaTheme="minorHAnsi" w:hAnsiTheme="minorHAnsi" w:cstheme="minorHAnsi"/>
                <w:sz w:val="20"/>
                <w:lang w:eastAsia="en-US" w:bidi="ar-SA"/>
              </w:rPr>
              <w:t>2021-2027 oraz odzwierciedlenie w wizji rozwoju Województwa Opolskiego do 2030</w:t>
            </w:r>
            <w:r w:rsidR="00750F00" w:rsidRPr="00890249">
              <w:rPr>
                <w:rStyle w:val="Odwoanieprzypisudolnego"/>
                <w:rFonts w:asciiTheme="minorHAnsi" w:eastAsiaTheme="minorHAnsi" w:hAnsiTheme="minorHAnsi" w:cstheme="minorHAnsi"/>
                <w:sz w:val="20"/>
                <w:lang w:eastAsia="en-US" w:bidi="ar-SA"/>
              </w:rPr>
              <w:footnoteReference w:id="81"/>
            </w:r>
            <w:r w:rsidRPr="00890249">
              <w:rPr>
                <w:rFonts w:asciiTheme="minorHAnsi" w:eastAsiaTheme="minorHAnsi" w:hAnsiTheme="minorHAnsi" w:cstheme="minorHAnsi"/>
                <w:sz w:val="20"/>
                <w:lang w:eastAsia="en-US" w:bidi="ar-SA"/>
              </w:rPr>
              <w:t>,</w:t>
            </w:r>
          </w:p>
          <w:p w14:paraId="5BC422D8" w14:textId="77777777" w:rsidR="001B5518" w:rsidRPr="00890249" w:rsidRDefault="001B5518" w:rsidP="009F296A">
            <w:pPr>
              <w:pStyle w:val="Akapitzlist"/>
              <w:numPr>
                <w:ilvl w:val="0"/>
                <w:numId w:val="55"/>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obszary wiejskie mają mniejszą odporność na zjawiska kryzysowe,</w:t>
            </w:r>
          </w:p>
          <w:p w14:paraId="0E798CD7" w14:textId="77777777" w:rsidR="00A63705" w:rsidRPr="00890249" w:rsidRDefault="001B5518" w:rsidP="009F296A">
            <w:pPr>
              <w:pStyle w:val="Akapitzlist"/>
              <w:numPr>
                <w:ilvl w:val="0"/>
                <w:numId w:val="55"/>
              </w:numPr>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szansą rozwojową regionu jest pełniejsze wykorzystanie potencjałów terytorialnych obszarów wiejskich - istotne jest w tym zakresie m.in. wspomaganie rewitalizacji tych obszarów,</w:t>
            </w:r>
          </w:p>
          <w:p w14:paraId="681CDBCF" w14:textId="77777777" w:rsidR="00A63705" w:rsidRPr="00890249" w:rsidRDefault="008374CE" w:rsidP="009F296A">
            <w:pPr>
              <w:pStyle w:val="Akapitzlist"/>
              <w:numPr>
                <w:ilvl w:val="0"/>
                <w:numId w:val="3"/>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niezbędn</w:t>
            </w:r>
            <w:r w:rsidR="00832270" w:rsidRPr="00890249">
              <w:rPr>
                <w:rFonts w:asciiTheme="minorHAnsi" w:eastAsiaTheme="minorHAnsi" w:hAnsiTheme="minorHAnsi" w:cstheme="minorHAnsi"/>
                <w:sz w:val="20"/>
                <w:lang w:eastAsia="en-US" w:bidi="ar-SA"/>
              </w:rPr>
              <w:t>a</w:t>
            </w:r>
            <w:r w:rsidRPr="00890249">
              <w:rPr>
                <w:rFonts w:asciiTheme="minorHAnsi" w:eastAsiaTheme="minorHAnsi" w:hAnsiTheme="minorHAnsi" w:cstheme="minorHAnsi"/>
                <w:sz w:val="20"/>
                <w:lang w:eastAsia="en-US" w:bidi="ar-SA"/>
              </w:rPr>
              <w:t xml:space="preserve"> jest </w:t>
            </w:r>
            <w:r w:rsidR="009D3AC4" w:rsidRPr="00890249">
              <w:rPr>
                <w:rFonts w:asciiTheme="minorHAnsi" w:eastAsiaTheme="minorHAnsi" w:hAnsiTheme="minorHAnsi" w:cstheme="minorHAnsi"/>
                <w:sz w:val="20"/>
                <w:lang w:eastAsia="en-US" w:bidi="ar-SA"/>
              </w:rPr>
              <w:t xml:space="preserve">interwencja </w:t>
            </w:r>
            <w:r w:rsidRPr="00890249">
              <w:rPr>
                <w:rFonts w:asciiTheme="minorHAnsi" w:eastAsiaTheme="minorHAnsi" w:hAnsiTheme="minorHAnsi" w:cstheme="minorHAnsi"/>
                <w:sz w:val="20"/>
                <w:lang w:eastAsia="en-US" w:bidi="ar-SA"/>
              </w:rPr>
              <w:t>na rzecz kompleksowej rewitalizacji obszarów wiejskich borykających się z</w:t>
            </w:r>
            <w:r w:rsidR="00D70D89" w:rsidRPr="00890249">
              <w:rPr>
                <w:rFonts w:asciiTheme="minorHAnsi" w:hAnsiTheme="minorHAnsi" w:cstheme="minorHAnsi"/>
              </w:rPr>
              <w:t> </w:t>
            </w:r>
            <w:r w:rsidRPr="00890249">
              <w:rPr>
                <w:rFonts w:asciiTheme="minorHAnsi" w:eastAsiaTheme="minorHAnsi" w:hAnsiTheme="minorHAnsi" w:cstheme="minorHAnsi"/>
                <w:sz w:val="20"/>
                <w:lang w:eastAsia="en-US" w:bidi="ar-SA"/>
              </w:rPr>
              <w:t>problemami społecznymi, gospodarczymi, przestrzennymi i środowiskowymi celem ograniczenia ich dalszej degradacji i peryferializacji rozwojowej,</w:t>
            </w:r>
          </w:p>
          <w:p w14:paraId="7334F057" w14:textId="0DAD14FD" w:rsidR="00A63705" w:rsidRPr="00890249" w:rsidRDefault="0064163D" w:rsidP="009F296A">
            <w:pPr>
              <w:pStyle w:val="Akapitzlist"/>
              <w:numPr>
                <w:ilvl w:val="0"/>
                <w:numId w:val="3"/>
              </w:numPr>
              <w:spacing w:before="60" w:after="60"/>
              <w:ind w:left="247" w:hanging="247"/>
              <w:rPr>
                <w:rFonts w:asciiTheme="minorHAnsi" w:eastAsiaTheme="minorHAnsi" w:hAnsiTheme="minorHAnsi" w:cstheme="minorHAnsi"/>
                <w:sz w:val="20"/>
                <w:lang w:eastAsia="en-US" w:bidi="ar-SA"/>
              </w:rPr>
            </w:pPr>
            <w:r w:rsidRPr="00890249">
              <w:rPr>
                <w:rFonts w:asciiTheme="minorHAnsi" w:eastAsiaTheme="minorHAnsi" w:hAnsiTheme="minorHAnsi" w:cstheme="minorHAnsi"/>
                <w:sz w:val="20"/>
                <w:lang w:eastAsia="en-US" w:bidi="ar-SA"/>
              </w:rPr>
              <w:t>działania będą uzupełnione o wybrane działania z CP2,</w:t>
            </w:r>
            <w:r w:rsidR="00A216E6" w:rsidRPr="00890249">
              <w:rPr>
                <w:rFonts w:asciiTheme="minorHAnsi" w:eastAsiaTheme="minorHAnsi" w:hAnsiTheme="minorHAnsi" w:cstheme="minorHAnsi"/>
                <w:sz w:val="20"/>
                <w:lang w:eastAsia="en-US" w:bidi="ar-SA"/>
              </w:rPr>
              <w:t xml:space="preserve"> CP 3 i</w:t>
            </w:r>
            <w:r w:rsidRPr="00890249">
              <w:rPr>
                <w:rFonts w:asciiTheme="minorHAnsi" w:eastAsiaTheme="minorHAnsi" w:hAnsiTheme="minorHAnsi" w:cstheme="minorHAnsi"/>
                <w:sz w:val="20"/>
                <w:lang w:eastAsia="en-US" w:bidi="ar-SA"/>
              </w:rPr>
              <w:t xml:space="preserve"> CP4</w:t>
            </w:r>
            <w:r w:rsidR="0022469D" w:rsidRPr="00890249">
              <w:rPr>
                <w:rFonts w:asciiTheme="minorHAnsi" w:eastAsiaTheme="minorHAnsi" w:hAnsiTheme="minorHAnsi" w:cstheme="minorHAnsi"/>
                <w:sz w:val="20"/>
                <w:lang w:eastAsia="en-US" w:bidi="ar-SA"/>
              </w:rPr>
              <w:t>.</w:t>
            </w:r>
            <w:r w:rsidRPr="00890249">
              <w:rPr>
                <w:rFonts w:asciiTheme="minorHAnsi" w:eastAsiaTheme="minorHAnsi" w:hAnsiTheme="minorHAnsi" w:cstheme="minorHAnsi"/>
                <w:sz w:val="20"/>
                <w:lang w:eastAsia="en-US" w:bidi="ar-SA"/>
              </w:rPr>
              <w:t xml:space="preserve"> </w:t>
            </w:r>
          </w:p>
        </w:tc>
      </w:tr>
    </w:tbl>
    <w:p w14:paraId="770C245C" w14:textId="77777777" w:rsidR="0093433C" w:rsidRPr="00890249" w:rsidRDefault="00BD7E4B" w:rsidP="00890249">
      <w:pPr>
        <w:pStyle w:val="Legenda"/>
        <w:rPr>
          <w:rFonts w:asciiTheme="minorHAnsi" w:hAnsiTheme="minorHAnsi" w:cstheme="minorHAnsi"/>
          <w:noProof/>
        </w:rPr>
      </w:pPr>
      <w:r w:rsidRPr="00890249">
        <w:rPr>
          <w:rFonts w:asciiTheme="minorHAnsi" w:hAnsiTheme="minorHAnsi" w:cstheme="minorHAnsi"/>
          <w:noProof/>
        </w:rPr>
        <w:lastRenderedPageBreak/>
        <w:t>*Odrębne priorytety zgodnie z rozporządzeniem w sprawie EFS+</w:t>
      </w:r>
    </w:p>
    <w:p w14:paraId="554D3097" w14:textId="77777777" w:rsidR="003F2A65" w:rsidRPr="00890249" w:rsidRDefault="003F2A65" w:rsidP="00B87856">
      <w:pPr>
        <w:pStyle w:val="Nagwek1"/>
        <w:numPr>
          <w:ilvl w:val="0"/>
          <w:numId w:val="0"/>
        </w:numPr>
        <w:rPr>
          <w:rFonts w:cstheme="minorHAnsi"/>
        </w:rPr>
      </w:pPr>
      <w:bookmarkStart w:id="5" w:name="_Toc27046630"/>
      <w:bookmarkStart w:id="6" w:name="_Toc27046676"/>
      <w:r w:rsidRPr="00890249">
        <w:rPr>
          <w:rFonts w:cstheme="minorHAnsi"/>
        </w:rPr>
        <w:br w:type="page"/>
      </w:r>
    </w:p>
    <w:p w14:paraId="3AB8766D" w14:textId="15340268" w:rsidR="00385B19" w:rsidRPr="00EE43C5" w:rsidRDefault="00275613" w:rsidP="00EE43C5">
      <w:pPr>
        <w:pStyle w:val="Nagwek1"/>
      </w:pPr>
      <w:bookmarkStart w:id="7" w:name="_Toc188266906"/>
      <w:r w:rsidRPr="00EE43C5">
        <w:lastRenderedPageBreak/>
        <w:t>PRIORYTETY</w:t>
      </w:r>
      <w:bookmarkEnd w:id="7"/>
      <w:r w:rsidRPr="00EE43C5">
        <w:t xml:space="preserve"> </w:t>
      </w:r>
      <w:bookmarkEnd w:id="5"/>
      <w:bookmarkEnd w:id="6"/>
    </w:p>
    <w:p w14:paraId="4A3ED58C" w14:textId="77777777" w:rsidR="0093433C" w:rsidRPr="007758ED" w:rsidRDefault="00F417C4" w:rsidP="00890249">
      <w:pPr>
        <w:rPr>
          <w:rFonts w:asciiTheme="minorHAnsi" w:hAnsiTheme="minorHAnsi" w:cstheme="minorHAnsi"/>
          <w:b/>
          <w:noProof/>
        </w:rPr>
      </w:pPr>
      <w:r w:rsidRPr="007758ED">
        <w:rPr>
          <w:rFonts w:asciiTheme="minorHAnsi" w:hAnsiTheme="minorHAnsi" w:cstheme="minorHAnsi"/>
          <w:b/>
          <w:noProof/>
        </w:rPr>
        <w:t>Tabela 1 T: Struktura programu*</w:t>
      </w:r>
      <w:bookmarkStart w:id="8" w:name="_Toc27046631"/>
      <w:bookmarkStart w:id="9" w:name="_Toc27046677"/>
    </w:p>
    <w:tbl>
      <w:tblPr>
        <w:tblW w:w="10207" w:type="dxa"/>
        <w:tblInd w:w="-431"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852"/>
        <w:gridCol w:w="2268"/>
        <w:gridCol w:w="1417"/>
        <w:gridCol w:w="1559"/>
        <w:gridCol w:w="1134"/>
        <w:gridCol w:w="1560"/>
        <w:gridCol w:w="1417"/>
      </w:tblGrid>
      <w:tr w:rsidR="00DF3517" w:rsidRPr="00890249" w14:paraId="5D180C4B" w14:textId="77777777" w:rsidTr="00127CF0">
        <w:trPr>
          <w:trHeight w:val="600"/>
          <w:tblHeader/>
        </w:trPr>
        <w:tc>
          <w:tcPr>
            <w:tcW w:w="852" w:type="dxa"/>
            <w:shd w:val="clear" w:color="auto" w:fill="D9D9D9" w:themeFill="background1" w:themeFillShade="D9"/>
            <w:vAlign w:val="center"/>
            <w:hideMark/>
          </w:tcPr>
          <w:p w14:paraId="1E848946" w14:textId="77777777" w:rsidR="00F417C4" w:rsidRPr="00890249" w:rsidRDefault="00F417C4" w:rsidP="00F417C4">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 xml:space="preserve">Nr </w:t>
            </w:r>
          </w:p>
        </w:tc>
        <w:tc>
          <w:tcPr>
            <w:tcW w:w="2268" w:type="dxa"/>
            <w:shd w:val="clear" w:color="auto" w:fill="D9D9D9" w:themeFill="background1" w:themeFillShade="D9"/>
            <w:vAlign w:val="center"/>
            <w:hideMark/>
          </w:tcPr>
          <w:p w14:paraId="5D930D48" w14:textId="77777777" w:rsidR="00F417C4" w:rsidRPr="00890249" w:rsidRDefault="00F417C4" w:rsidP="00E1456D">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Tytuł</w:t>
            </w:r>
          </w:p>
        </w:tc>
        <w:tc>
          <w:tcPr>
            <w:tcW w:w="1417" w:type="dxa"/>
            <w:shd w:val="clear" w:color="auto" w:fill="D9D9D9" w:themeFill="background1" w:themeFillShade="D9"/>
            <w:vAlign w:val="center"/>
            <w:hideMark/>
          </w:tcPr>
          <w:p w14:paraId="6D716E9A" w14:textId="77777777" w:rsidR="00F417C4" w:rsidRPr="00890249" w:rsidRDefault="00F417C4" w:rsidP="008430FD">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POMOC TECHNICZNA</w:t>
            </w:r>
          </w:p>
        </w:tc>
        <w:tc>
          <w:tcPr>
            <w:tcW w:w="1559" w:type="dxa"/>
            <w:shd w:val="clear" w:color="auto" w:fill="D9D9D9" w:themeFill="background1" w:themeFillShade="D9"/>
            <w:vAlign w:val="center"/>
          </w:tcPr>
          <w:p w14:paraId="33ACF5EB" w14:textId="77777777" w:rsidR="00F417C4" w:rsidRPr="00890249" w:rsidRDefault="00F417C4" w:rsidP="008430FD">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Podstawa obliczania</w:t>
            </w:r>
          </w:p>
        </w:tc>
        <w:tc>
          <w:tcPr>
            <w:tcW w:w="1134" w:type="dxa"/>
            <w:shd w:val="clear" w:color="auto" w:fill="D9D9D9" w:themeFill="background1" w:themeFillShade="D9"/>
            <w:vAlign w:val="center"/>
            <w:hideMark/>
          </w:tcPr>
          <w:p w14:paraId="0D630879" w14:textId="77777777" w:rsidR="00F417C4" w:rsidRPr="00890249" w:rsidRDefault="00F417C4" w:rsidP="008430FD">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Fundusz</w:t>
            </w:r>
          </w:p>
        </w:tc>
        <w:tc>
          <w:tcPr>
            <w:tcW w:w="1560" w:type="dxa"/>
            <w:shd w:val="clear" w:color="auto" w:fill="D9D9D9" w:themeFill="background1" w:themeFillShade="D9"/>
            <w:vAlign w:val="center"/>
            <w:hideMark/>
          </w:tcPr>
          <w:p w14:paraId="2B48C41A" w14:textId="77777777" w:rsidR="00F417C4" w:rsidRPr="00890249" w:rsidRDefault="00F417C4" w:rsidP="008430FD">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Kategoria wpieranego regionu</w:t>
            </w:r>
          </w:p>
        </w:tc>
        <w:tc>
          <w:tcPr>
            <w:tcW w:w="1417" w:type="dxa"/>
            <w:shd w:val="clear" w:color="auto" w:fill="D9D9D9" w:themeFill="background1" w:themeFillShade="D9"/>
            <w:vAlign w:val="center"/>
          </w:tcPr>
          <w:p w14:paraId="2197F17D" w14:textId="77777777" w:rsidR="00F417C4" w:rsidRPr="00890249" w:rsidRDefault="00F417C4" w:rsidP="008430FD">
            <w:pPr>
              <w:spacing w:after="0"/>
              <w:jc w:val="center"/>
              <w:rPr>
                <w:rFonts w:asciiTheme="minorHAnsi" w:eastAsia="Times New Roman" w:hAnsiTheme="minorHAnsi" w:cstheme="minorHAnsi"/>
                <w:b/>
                <w:noProof/>
                <w:sz w:val="20"/>
              </w:rPr>
            </w:pPr>
            <w:r w:rsidRPr="00890249">
              <w:rPr>
                <w:rFonts w:asciiTheme="minorHAnsi" w:hAnsiTheme="minorHAnsi" w:cstheme="minorHAnsi"/>
                <w:b/>
                <w:noProof/>
                <w:sz w:val="20"/>
              </w:rPr>
              <w:t>Wybrany cel szczegółowy (CS)</w:t>
            </w:r>
          </w:p>
        </w:tc>
      </w:tr>
      <w:tr w:rsidR="00F417C4" w:rsidRPr="00890249" w14:paraId="23A9AC0F" w14:textId="77777777" w:rsidTr="0044296B">
        <w:trPr>
          <w:trHeight w:val="182"/>
        </w:trPr>
        <w:tc>
          <w:tcPr>
            <w:tcW w:w="852" w:type="dxa"/>
            <w:vMerge w:val="restart"/>
            <w:shd w:val="clear" w:color="auto" w:fill="auto"/>
            <w:noWrap/>
            <w:vAlign w:val="center"/>
            <w:hideMark/>
          </w:tcPr>
          <w:p w14:paraId="7E9C88D0"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1</w:t>
            </w:r>
          </w:p>
        </w:tc>
        <w:tc>
          <w:tcPr>
            <w:tcW w:w="2268" w:type="dxa"/>
            <w:vMerge w:val="restart"/>
            <w:shd w:val="clear" w:color="auto" w:fill="auto"/>
            <w:noWrap/>
            <w:vAlign w:val="center"/>
            <w:hideMark/>
          </w:tcPr>
          <w:p w14:paraId="56397F29" w14:textId="029B33D5" w:rsidR="00F417C4" w:rsidRPr="00890249" w:rsidRDefault="00AC0A64" w:rsidP="00650880">
            <w:pPr>
              <w:spacing w:after="0"/>
              <w:jc w:val="center"/>
              <w:rPr>
                <w:rFonts w:asciiTheme="minorHAnsi" w:hAnsiTheme="minorHAnsi" w:cstheme="minorHAnsi"/>
                <w:noProof/>
                <w:sz w:val="20"/>
              </w:rPr>
            </w:pPr>
            <w:r w:rsidRPr="00890249">
              <w:rPr>
                <w:rFonts w:asciiTheme="minorHAnsi" w:hAnsiTheme="minorHAnsi" w:cstheme="minorHAnsi"/>
                <w:noProof/>
                <w:sz w:val="20"/>
              </w:rPr>
              <w:t xml:space="preserve"> </w:t>
            </w:r>
            <w:r w:rsidR="00875C92" w:rsidRPr="00890249">
              <w:rPr>
                <w:rFonts w:asciiTheme="minorHAnsi" w:eastAsia="Times New Roman" w:hAnsiTheme="minorHAnsi" w:cstheme="minorHAnsi"/>
                <w:color w:val="000000"/>
                <w:sz w:val="20"/>
                <w:lang w:bidi="ar-SA"/>
              </w:rPr>
              <w:t>FUNDUSZE EUROPEJSKIE NA RZECZ WZROSTU INNOWACYJNOŚCI I KONKURENCYJNOŚCI OPOLSKIEGO</w:t>
            </w:r>
          </w:p>
        </w:tc>
        <w:tc>
          <w:tcPr>
            <w:tcW w:w="1417" w:type="dxa"/>
            <w:vMerge w:val="restart"/>
            <w:shd w:val="clear" w:color="auto" w:fill="auto"/>
            <w:noWrap/>
            <w:vAlign w:val="center"/>
            <w:hideMark/>
          </w:tcPr>
          <w:p w14:paraId="76D01B70"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Nie</w:t>
            </w:r>
          </w:p>
        </w:tc>
        <w:tc>
          <w:tcPr>
            <w:tcW w:w="1559" w:type="dxa"/>
            <w:vMerge w:val="restart"/>
            <w:shd w:val="clear" w:color="auto" w:fill="auto"/>
            <w:noWrap/>
            <w:vAlign w:val="center"/>
          </w:tcPr>
          <w:p w14:paraId="28B985D5"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vMerge w:val="restart"/>
            <w:shd w:val="clear" w:color="auto" w:fill="auto"/>
            <w:noWrap/>
            <w:vAlign w:val="center"/>
            <w:hideMark/>
          </w:tcPr>
          <w:p w14:paraId="705016D1"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EFRR</w:t>
            </w:r>
          </w:p>
        </w:tc>
        <w:tc>
          <w:tcPr>
            <w:tcW w:w="1560" w:type="dxa"/>
            <w:vMerge w:val="restart"/>
            <w:shd w:val="clear" w:color="auto" w:fill="auto"/>
            <w:noWrap/>
            <w:vAlign w:val="center"/>
            <w:hideMark/>
          </w:tcPr>
          <w:p w14:paraId="4B8832FB"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4318A61E" w14:textId="77777777" w:rsidR="00F417C4" w:rsidRPr="00890249" w:rsidRDefault="00F417C4" w:rsidP="0044296B">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i</w:t>
            </w:r>
          </w:p>
        </w:tc>
      </w:tr>
      <w:tr w:rsidR="00F417C4" w:rsidRPr="00890249" w14:paraId="1CE4D4F0" w14:textId="77777777" w:rsidTr="0044296B">
        <w:trPr>
          <w:trHeight w:val="244"/>
        </w:trPr>
        <w:tc>
          <w:tcPr>
            <w:tcW w:w="852" w:type="dxa"/>
            <w:vMerge/>
            <w:vAlign w:val="center"/>
          </w:tcPr>
          <w:p w14:paraId="3F3A8926"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tcPr>
          <w:p w14:paraId="43AC5E81"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tcPr>
          <w:p w14:paraId="46B263B0"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44A73533"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5DB0AC55"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5DD02BA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Align w:val="center"/>
          </w:tcPr>
          <w:p w14:paraId="16282374"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ii</w:t>
            </w:r>
          </w:p>
        </w:tc>
      </w:tr>
      <w:tr w:rsidR="00F417C4" w:rsidRPr="00890249" w14:paraId="6D2FB37E" w14:textId="77777777" w:rsidTr="00DF3517">
        <w:trPr>
          <w:trHeight w:val="300"/>
        </w:trPr>
        <w:tc>
          <w:tcPr>
            <w:tcW w:w="852" w:type="dxa"/>
            <w:vMerge/>
            <w:vAlign w:val="center"/>
            <w:hideMark/>
          </w:tcPr>
          <w:p w14:paraId="11C9ACB8"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hideMark/>
          </w:tcPr>
          <w:p w14:paraId="00F3C4CC"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hideMark/>
          </w:tcPr>
          <w:p w14:paraId="22D17132"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57F04FA6"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hideMark/>
          </w:tcPr>
          <w:p w14:paraId="392C7965"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hideMark/>
          </w:tcPr>
          <w:p w14:paraId="7A39F101"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Align w:val="center"/>
          </w:tcPr>
          <w:p w14:paraId="1BDFA0FC"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iii</w:t>
            </w:r>
          </w:p>
        </w:tc>
      </w:tr>
      <w:tr w:rsidR="00F417C4" w:rsidRPr="00890249" w14:paraId="1B8A6AD5" w14:textId="77777777" w:rsidTr="00DF3517">
        <w:trPr>
          <w:trHeight w:val="300"/>
        </w:trPr>
        <w:tc>
          <w:tcPr>
            <w:tcW w:w="852" w:type="dxa"/>
            <w:vMerge/>
            <w:vAlign w:val="center"/>
          </w:tcPr>
          <w:p w14:paraId="5A05E1B5"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tcPr>
          <w:p w14:paraId="2EB0BD30"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tcPr>
          <w:p w14:paraId="4D56AB82"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10FE8899"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0FCB1E6A"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7E5A9142"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Align w:val="center"/>
          </w:tcPr>
          <w:p w14:paraId="73839F7D" w14:textId="6A4005FB" w:rsidR="00515F21" w:rsidRPr="00F62734" w:rsidRDefault="00515F21" w:rsidP="00515F21">
            <w:pPr>
              <w:spacing w:after="0"/>
              <w:jc w:val="center"/>
              <w:rPr>
                <w:rFonts w:asciiTheme="minorHAnsi" w:hAnsiTheme="minorHAnsi" w:cstheme="minorHAnsi"/>
                <w:noProof/>
                <w:sz w:val="20"/>
              </w:rPr>
            </w:pPr>
          </w:p>
        </w:tc>
      </w:tr>
      <w:tr w:rsidR="00F417C4" w:rsidRPr="00890249" w14:paraId="4DD08F75" w14:textId="77777777" w:rsidTr="00DF3517">
        <w:trPr>
          <w:trHeight w:val="153"/>
        </w:trPr>
        <w:tc>
          <w:tcPr>
            <w:tcW w:w="852" w:type="dxa"/>
            <w:vMerge w:val="restart"/>
            <w:vAlign w:val="center"/>
          </w:tcPr>
          <w:p w14:paraId="283140ED"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2</w:t>
            </w:r>
          </w:p>
        </w:tc>
        <w:tc>
          <w:tcPr>
            <w:tcW w:w="2268" w:type="dxa"/>
            <w:vMerge w:val="restart"/>
            <w:vAlign w:val="center"/>
          </w:tcPr>
          <w:p w14:paraId="04948BE2" w14:textId="172025DC" w:rsidR="00F417C4" w:rsidRPr="00890249" w:rsidRDefault="00875C92" w:rsidP="000617E1">
            <w:pPr>
              <w:spacing w:after="0"/>
              <w:jc w:val="center"/>
              <w:rPr>
                <w:rFonts w:asciiTheme="minorHAnsi" w:eastAsia="Times New Roman" w:hAnsiTheme="minorHAnsi" w:cstheme="minorHAnsi"/>
                <w:noProof/>
                <w:sz w:val="20"/>
              </w:rPr>
            </w:pPr>
            <w:r w:rsidRPr="00890249">
              <w:rPr>
                <w:rFonts w:asciiTheme="minorHAnsi" w:hAnsiTheme="minorHAnsi" w:cstheme="minorHAnsi"/>
                <w:sz w:val="20"/>
              </w:rPr>
              <w:t>FUNDUSZE EUROPEJSKIE DLA CZYSTEJ ENERGII I OCHRONY ZASOBÓW ŚRODOWISKA OPOLSKIEGO</w:t>
            </w:r>
          </w:p>
        </w:tc>
        <w:tc>
          <w:tcPr>
            <w:tcW w:w="1417" w:type="dxa"/>
            <w:vMerge w:val="restart"/>
            <w:vAlign w:val="center"/>
          </w:tcPr>
          <w:p w14:paraId="51C71107"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vMerge w:val="restart"/>
            <w:shd w:val="clear" w:color="auto" w:fill="auto"/>
            <w:noWrap/>
            <w:vAlign w:val="center"/>
          </w:tcPr>
          <w:p w14:paraId="5CE50EA9"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vMerge w:val="restart"/>
            <w:shd w:val="clear" w:color="auto" w:fill="auto"/>
            <w:noWrap/>
            <w:vAlign w:val="center"/>
          </w:tcPr>
          <w:p w14:paraId="5A70506B"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EFRR</w:t>
            </w:r>
          </w:p>
        </w:tc>
        <w:tc>
          <w:tcPr>
            <w:tcW w:w="1560" w:type="dxa"/>
            <w:vMerge w:val="restart"/>
            <w:shd w:val="clear" w:color="auto" w:fill="auto"/>
            <w:noWrap/>
            <w:vAlign w:val="center"/>
          </w:tcPr>
          <w:p w14:paraId="21CA0FB6"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5FC96FBD"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i</w:t>
            </w:r>
          </w:p>
        </w:tc>
      </w:tr>
      <w:tr w:rsidR="00F417C4" w:rsidRPr="00890249" w14:paraId="628FE69A" w14:textId="77777777" w:rsidTr="00DF3517">
        <w:trPr>
          <w:trHeight w:val="147"/>
        </w:trPr>
        <w:tc>
          <w:tcPr>
            <w:tcW w:w="852" w:type="dxa"/>
            <w:vMerge/>
            <w:vAlign w:val="center"/>
          </w:tcPr>
          <w:p w14:paraId="551C67A0"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tcPr>
          <w:p w14:paraId="3DC04316"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tcPr>
          <w:p w14:paraId="13DA744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3EAC17C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6B19A993"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528B5CA5" w14:textId="77777777" w:rsidR="00F417C4" w:rsidRPr="00890249" w:rsidRDefault="00F417C4" w:rsidP="008430FD">
            <w:pPr>
              <w:spacing w:after="0"/>
              <w:jc w:val="center"/>
              <w:rPr>
                <w:rFonts w:asciiTheme="minorHAnsi" w:hAnsiTheme="minorHAnsi" w:cstheme="minorHAnsi"/>
                <w:noProof/>
                <w:sz w:val="20"/>
              </w:rPr>
            </w:pPr>
          </w:p>
        </w:tc>
        <w:tc>
          <w:tcPr>
            <w:tcW w:w="1417" w:type="dxa"/>
            <w:vAlign w:val="center"/>
          </w:tcPr>
          <w:p w14:paraId="476E03AD"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ii</w:t>
            </w:r>
          </w:p>
        </w:tc>
      </w:tr>
      <w:tr w:rsidR="00F417C4" w:rsidRPr="00890249" w14:paraId="02F0820F" w14:textId="77777777" w:rsidTr="00DF3517">
        <w:trPr>
          <w:trHeight w:val="147"/>
        </w:trPr>
        <w:tc>
          <w:tcPr>
            <w:tcW w:w="852" w:type="dxa"/>
            <w:vMerge/>
            <w:vAlign w:val="center"/>
          </w:tcPr>
          <w:p w14:paraId="458E8B38"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tcPr>
          <w:p w14:paraId="087FC50E"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tcPr>
          <w:p w14:paraId="28B7582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1CBE384C"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48828ACF"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531400D0" w14:textId="77777777" w:rsidR="00F417C4" w:rsidRPr="00890249" w:rsidRDefault="00F417C4" w:rsidP="008430FD">
            <w:pPr>
              <w:spacing w:after="0"/>
              <w:jc w:val="center"/>
              <w:rPr>
                <w:rFonts w:asciiTheme="minorHAnsi" w:hAnsiTheme="minorHAnsi" w:cstheme="minorHAnsi"/>
                <w:noProof/>
                <w:sz w:val="20"/>
              </w:rPr>
            </w:pPr>
          </w:p>
        </w:tc>
        <w:tc>
          <w:tcPr>
            <w:tcW w:w="1417" w:type="dxa"/>
            <w:vAlign w:val="center"/>
          </w:tcPr>
          <w:p w14:paraId="41700EB1"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iv</w:t>
            </w:r>
          </w:p>
        </w:tc>
      </w:tr>
      <w:tr w:rsidR="00F417C4" w:rsidRPr="00890249" w14:paraId="02509573" w14:textId="77777777" w:rsidTr="00DF3517">
        <w:trPr>
          <w:trHeight w:val="147"/>
        </w:trPr>
        <w:tc>
          <w:tcPr>
            <w:tcW w:w="852" w:type="dxa"/>
            <w:vMerge/>
            <w:vAlign w:val="center"/>
          </w:tcPr>
          <w:p w14:paraId="5FBA202F"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tcPr>
          <w:p w14:paraId="0271A7C3"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tcPr>
          <w:p w14:paraId="5D3D918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1E057A0F"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532865E4"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4FD9D0DE" w14:textId="77777777" w:rsidR="00F417C4" w:rsidRPr="00890249" w:rsidRDefault="00F417C4" w:rsidP="008430FD">
            <w:pPr>
              <w:spacing w:after="0"/>
              <w:jc w:val="center"/>
              <w:rPr>
                <w:rFonts w:asciiTheme="minorHAnsi" w:hAnsiTheme="minorHAnsi" w:cstheme="minorHAnsi"/>
                <w:noProof/>
                <w:sz w:val="20"/>
              </w:rPr>
            </w:pPr>
          </w:p>
        </w:tc>
        <w:tc>
          <w:tcPr>
            <w:tcW w:w="1417" w:type="dxa"/>
            <w:vAlign w:val="center"/>
          </w:tcPr>
          <w:p w14:paraId="722EA3D8"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v</w:t>
            </w:r>
          </w:p>
        </w:tc>
      </w:tr>
      <w:tr w:rsidR="00F417C4" w:rsidRPr="00890249" w14:paraId="475C705A" w14:textId="77777777" w:rsidTr="00DF3517">
        <w:trPr>
          <w:trHeight w:val="147"/>
        </w:trPr>
        <w:tc>
          <w:tcPr>
            <w:tcW w:w="852" w:type="dxa"/>
            <w:vMerge/>
            <w:vAlign w:val="center"/>
          </w:tcPr>
          <w:p w14:paraId="6882198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2268" w:type="dxa"/>
            <w:vMerge/>
            <w:vAlign w:val="center"/>
          </w:tcPr>
          <w:p w14:paraId="621ACF40"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417" w:type="dxa"/>
            <w:vMerge/>
            <w:vAlign w:val="center"/>
          </w:tcPr>
          <w:p w14:paraId="398DAE5B"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0B66A650"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7C0708F3" w14:textId="77777777" w:rsidR="00F417C4" w:rsidRPr="00890249" w:rsidRDefault="00F417C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34EF53D4" w14:textId="77777777" w:rsidR="00F417C4" w:rsidRPr="00890249" w:rsidRDefault="00F417C4" w:rsidP="008430FD">
            <w:pPr>
              <w:spacing w:after="0"/>
              <w:jc w:val="center"/>
              <w:rPr>
                <w:rFonts w:asciiTheme="minorHAnsi" w:hAnsiTheme="minorHAnsi" w:cstheme="minorHAnsi"/>
                <w:noProof/>
                <w:sz w:val="20"/>
              </w:rPr>
            </w:pPr>
          </w:p>
        </w:tc>
        <w:tc>
          <w:tcPr>
            <w:tcW w:w="1417" w:type="dxa"/>
            <w:vAlign w:val="center"/>
          </w:tcPr>
          <w:p w14:paraId="5C6FC81A"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vi</w:t>
            </w:r>
          </w:p>
        </w:tc>
      </w:tr>
      <w:tr w:rsidR="005F1F6A" w:rsidRPr="00890249" w14:paraId="0996EEE0" w14:textId="77777777" w:rsidTr="00F67167">
        <w:trPr>
          <w:trHeight w:val="358"/>
        </w:trPr>
        <w:tc>
          <w:tcPr>
            <w:tcW w:w="852" w:type="dxa"/>
            <w:vMerge/>
            <w:vAlign w:val="center"/>
          </w:tcPr>
          <w:p w14:paraId="404EFD8B" w14:textId="77777777" w:rsidR="005F1F6A" w:rsidRPr="00890249" w:rsidRDefault="005F1F6A" w:rsidP="008430FD">
            <w:pPr>
              <w:spacing w:after="0"/>
              <w:jc w:val="center"/>
              <w:rPr>
                <w:rFonts w:asciiTheme="minorHAnsi" w:eastAsia="Times New Roman" w:hAnsiTheme="minorHAnsi" w:cstheme="minorHAnsi"/>
                <w:noProof/>
                <w:sz w:val="20"/>
              </w:rPr>
            </w:pPr>
          </w:p>
        </w:tc>
        <w:tc>
          <w:tcPr>
            <w:tcW w:w="2268" w:type="dxa"/>
            <w:vMerge/>
            <w:vAlign w:val="center"/>
          </w:tcPr>
          <w:p w14:paraId="316196F6" w14:textId="77777777" w:rsidR="005F1F6A" w:rsidRPr="00890249" w:rsidRDefault="005F1F6A" w:rsidP="008430FD">
            <w:pPr>
              <w:spacing w:after="0"/>
              <w:jc w:val="center"/>
              <w:rPr>
                <w:rFonts w:asciiTheme="minorHAnsi" w:eastAsia="Times New Roman" w:hAnsiTheme="minorHAnsi" w:cstheme="minorHAnsi"/>
                <w:noProof/>
                <w:sz w:val="20"/>
              </w:rPr>
            </w:pPr>
          </w:p>
        </w:tc>
        <w:tc>
          <w:tcPr>
            <w:tcW w:w="1417" w:type="dxa"/>
            <w:vMerge/>
            <w:vAlign w:val="center"/>
          </w:tcPr>
          <w:p w14:paraId="07E93090" w14:textId="77777777" w:rsidR="005F1F6A" w:rsidRPr="00890249" w:rsidRDefault="005F1F6A"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17F8CBF2" w14:textId="77777777" w:rsidR="005F1F6A" w:rsidRPr="00890249" w:rsidRDefault="005F1F6A"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3EB4CF44" w14:textId="77777777" w:rsidR="005F1F6A" w:rsidRPr="00890249" w:rsidRDefault="005F1F6A"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39804111" w14:textId="77777777" w:rsidR="005F1F6A" w:rsidRPr="00890249" w:rsidRDefault="005F1F6A" w:rsidP="008430FD">
            <w:pPr>
              <w:spacing w:after="0"/>
              <w:jc w:val="center"/>
              <w:rPr>
                <w:rFonts w:asciiTheme="minorHAnsi" w:hAnsiTheme="minorHAnsi" w:cstheme="minorHAnsi"/>
                <w:noProof/>
                <w:sz w:val="20"/>
              </w:rPr>
            </w:pPr>
          </w:p>
        </w:tc>
        <w:tc>
          <w:tcPr>
            <w:tcW w:w="1417" w:type="dxa"/>
            <w:vAlign w:val="center"/>
          </w:tcPr>
          <w:p w14:paraId="084CE918" w14:textId="77777777" w:rsidR="005F1F6A" w:rsidRPr="00890249" w:rsidRDefault="005F1F6A" w:rsidP="00F67167">
            <w:pPr>
              <w:spacing w:after="0"/>
              <w:jc w:val="center"/>
              <w:rPr>
                <w:rFonts w:asciiTheme="minorHAnsi" w:hAnsiTheme="minorHAnsi" w:cstheme="minorHAnsi"/>
                <w:noProof/>
                <w:sz w:val="20"/>
              </w:rPr>
            </w:pPr>
            <w:r w:rsidRPr="00890249">
              <w:rPr>
                <w:rFonts w:asciiTheme="minorHAnsi" w:hAnsiTheme="minorHAnsi" w:cstheme="minorHAnsi"/>
                <w:noProof/>
                <w:sz w:val="20"/>
              </w:rPr>
              <w:t>vii</w:t>
            </w:r>
          </w:p>
        </w:tc>
      </w:tr>
      <w:tr w:rsidR="005F1F6A" w:rsidRPr="00890249" w14:paraId="576956F3" w14:textId="77777777" w:rsidTr="00DF3517">
        <w:trPr>
          <w:trHeight w:val="147"/>
        </w:trPr>
        <w:tc>
          <w:tcPr>
            <w:tcW w:w="852" w:type="dxa"/>
            <w:vAlign w:val="center"/>
          </w:tcPr>
          <w:p w14:paraId="7E56C0D7" w14:textId="77777777" w:rsidR="005F1F6A" w:rsidRPr="00890249" w:rsidRDefault="005F1F6A"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3</w:t>
            </w:r>
          </w:p>
        </w:tc>
        <w:tc>
          <w:tcPr>
            <w:tcW w:w="2268" w:type="dxa"/>
            <w:vAlign w:val="center"/>
          </w:tcPr>
          <w:p w14:paraId="61310485" w14:textId="4759143C" w:rsidR="005F1F6A" w:rsidRPr="00890249" w:rsidRDefault="00875C92" w:rsidP="008430FD">
            <w:pPr>
              <w:spacing w:after="0"/>
              <w:jc w:val="center"/>
              <w:rPr>
                <w:rFonts w:asciiTheme="minorHAnsi" w:eastAsia="Times New Roman" w:hAnsiTheme="minorHAnsi" w:cstheme="minorHAnsi"/>
                <w:noProof/>
                <w:sz w:val="20"/>
              </w:rPr>
            </w:pPr>
            <w:r w:rsidRPr="00890249">
              <w:rPr>
                <w:rFonts w:asciiTheme="minorHAnsi" w:hAnsiTheme="minorHAnsi" w:cstheme="minorHAnsi"/>
                <w:sz w:val="20"/>
              </w:rPr>
              <w:t xml:space="preserve">FUNDUSZE EUROPEJSKIE NA ZRÓWNOWAŻONY TRANSPORT MIEJSKI </w:t>
            </w:r>
            <w:r w:rsidR="00D8617E" w:rsidRPr="00890249">
              <w:rPr>
                <w:rFonts w:asciiTheme="minorHAnsi" w:hAnsiTheme="minorHAnsi" w:cstheme="minorHAnsi"/>
                <w:sz w:val="20"/>
              </w:rPr>
              <w:t>OPOLSKIEGO</w:t>
            </w:r>
          </w:p>
        </w:tc>
        <w:tc>
          <w:tcPr>
            <w:tcW w:w="1417" w:type="dxa"/>
            <w:vAlign w:val="center"/>
          </w:tcPr>
          <w:p w14:paraId="30874B71" w14:textId="77777777" w:rsidR="005F1F6A" w:rsidRPr="00890249" w:rsidRDefault="005F1F6A"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shd w:val="clear" w:color="auto" w:fill="auto"/>
            <w:noWrap/>
            <w:vAlign w:val="center"/>
          </w:tcPr>
          <w:p w14:paraId="516601D2" w14:textId="77777777" w:rsidR="005F1F6A" w:rsidRPr="00890249" w:rsidRDefault="005F1F6A"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shd w:val="clear" w:color="auto" w:fill="auto"/>
            <w:noWrap/>
            <w:vAlign w:val="center"/>
          </w:tcPr>
          <w:p w14:paraId="5160B1FA" w14:textId="77777777" w:rsidR="005F1F6A" w:rsidRPr="00890249" w:rsidRDefault="005F1F6A"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EFRR</w:t>
            </w:r>
          </w:p>
        </w:tc>
        <w:tc>
          <w:tcPr>
            <w:tcW w:w="1560" w:type="dxa"/>
            <w:shd w:val="clear" w:color="auto" w:fill="auto"/>
            <w:noWrap/>
            <w:vAlign w:val="center"/>
          </w:tcPr>
          <w:p w14:paraId="059891C0" w14:textId="77777777" w:rsidR="005F1F6A" w:rsidRPr="00890249" w:rsidRDefault="005F1F6A"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491C22A1" w14:textId="77777777" w:rsidR="005F1F6A" w:rsidRPr="00890249" w:rsidRDefault="005F1F6A"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viii</w:t>
            </w:r>
          </w:p>
        </w:tc>
      </w:tr>
      <w:tr w:rsidR="00F417C4" w:rsidRPr="00890249" w14:paraId="1857182E" w14:textId="77777777" w:rsidTr="00DF3517">
        <w:trPr>
          <w:trHeight w:val="147"/>
        </w:trPr>
        <w:tc>
          <w:tcPr>
            <w:tcW w:w="852" w:type="dxa"/>
            <w:vAlign w:val="center"/>
          </w:tcPr>
          <w:p w14:paraId="7F3987A8" w14:textId="77777777" w:rsidR="00F417C4" w:rsidRPr="00890249" w:rsidRDefault="005F1F6A"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4</w:t>
            </w:r>
          </w:p>
        </w:tc>
        <w:tc>
          <w:tcPr>
            <w:tcW w:w="2268" w:type="dxa"/>
            <w:vAlign w:val="center"/>
          </w:tcPr>
          <w:p w14:paraId="5D164100" w14:textId="3F6A0BD4" w:rsidR="00F417C4" w:rsidRPr="00890249" w:rsidRDefault="00875C92">
            <w:pPr>
              <w:spacing w:after="0"/>
              <w:jc w:val="center"/>
              <w:rPr>
                <w:rFonts w:asciiTheme="minorHAnsi" w:eastAsia="Times New Roman" w:hAnsiTheme="minorHAnsi" w:cstheme="minorHAnsi"/>
                <w:noProof/>
                <w:sz w:val="20"/>
              </w:rPr>
            </w:pPr>
            <w:r w:rsidRPr="00890249">
              <w:rPr>
                <w:rFonts w:asciiTheme="minorHAnsi" w:hAnsiTheme="minorHAnsi" w:cstheme="minorHAnsi"/>
                <w:sz w:val="20"/>
              </w:rPr>
              <w:t>FUNDUSZE EUROPEJSKIE NA RZECZ SPÓJNOŚCI I DOSTĘPNOŚCI KOMUNIKACYJNEJ OPOLSKIEGO</w:t>
            </w:r>
          </w:p>
        </w:tc>
        <w:tc>
          <w:tcPr>
            <w:tcW w:w="1417" w:type="dxa"/>
            <w:vAlign w:val="center"/>
          </w:tcPr>
          <w:p w14:paraId="39C87857"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shd w:val="clear" w:color="auto" w:fill="auto"/>
            <w:noWrap/>
            <w:vAlign w:val="center"/>
          </w:tcPr>
          <w:p w14:paraId="5ABD6531"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shd w:val="clear" w:color="auto" w:fill="auto"/>
            <w:noWrap/>
            <w:vAlign w:val="center"/>
          </w:tcPr>
          <w:p w14:paraId="2EDFDC7F" w14:textId="77777777" w:rsidR="00F417C4" w:rsidRPr="00890249" w:rsidRDefault="00F417C4"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EFRR</w:t>
            </w:r>
          </w:p>
        </w:tc>
        <w:tc>
          <w:tcPr>
            <w:tcW w:w="1560" w:type="dxa"/>
            <w:shd w:val="clear" w:color="auto" w:fill="auto"/>
            <w:noWrap/>
            <w:vAlign w:val="center"/>
          </w:tcPr>
          <w:p w14:paraId="5D1AC9DA"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67BEA89A" w14:textId="77777777" w:rsidR="00F417C4" w:rsidRPr="00890249" w:rsidRDefault="00F417C4"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ii</w:t>
            </w:r>
          </w:p>
        </w:tc>
      </w:tr>
      <w:tr w:rsidR="00064383" w:rsidRPr="00890249" w14:paraId="24FE4E09" w14:textId="77777777" w:rsidTr="00DF3517">
        <w:trPr>
          <w:trHeight w:val="406"/>
        </w:trPr>
        <w:tc>
          <w:tcPr>
            <w:tcW w:w="852" w:type="dxa"/>
            <w:vMerge w:val="restart"/>
            <w:vAlign w:val="center"/>
          </w:tcPr>
          <w:p w14:paraId="60475654"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5</w:t>
            </w:r>
          </w:p>
        </w:tc>
        <w:tc>
          <w:tcPr>
            <w:tcW w:w="2268" w:type="dxa"/>
            <w:vMerge w:val="restart"/>
            <w:vAlign w:val="center"/>
          </w:tcPr>
          <w:p w14:paraId="2BC7C882" w14:textId="6254892C" w:rsidR="00064383" w:rsidRPr="00890249" w:rsidRDefault="00570C57" w:rsidP="00DE135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FUNDUSZE EUROPEJSKIE WSPIERAJĄCE OPOLSKI RYNEK PRACY I EDUKACJĘ</w:t>
            </w:r>
          </w:p>
        </w:tc>
        <w:tc>
          <w:tcPr>
            <w:tcW w:w="1417" w:type="dxa"/>
            <w:vMerge w:val="restart"/>
            <w:vAlign w:val="center"/>
          </w:tcPr>
          <w:p w14:paraId="2A63DD99"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vMerge w:val="restart"/>
            <w:shd w:val="clear" w:color="auto" w:fill="auto"/>
            <w:noWrap/>
            <w:vAlign w:val="center"/>
          </w:tcPr>
          <w:p w14:paraId="5438FD2A"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p w14:paraId="29551225"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134" w:type="dxa"/>
            <w:vMerge w:val="restart"/>
            <w:shd w:val="clear" w:color="auto" w:fill="auto"/>
            <w:noWrap/>
            <w:vAlign w:val="center"/>
          </w:tcPr>
          <w:p w14:paraId="3FA5DFC5"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EFS+</w:t>
            </w:r>
          </w:p>
        </w:tc>
        <w:tc>
          <w:tcPr>
            <w:tcW w:w="1560" w:type="dxa"/>
            <w:vMerge w:val="restart"/>
            <w:shd w:val="clear" w:color="auto" w:fill="auto"/>
            <w:noWrap/>
            <w:vAlign w:val="center"/>
          </w:tcPr>
          <w:p w14:paraId="59866999" w14:textId="77777777" w:rsidR="00064383" w:rsidRPr="00890249" w:rsidRDefault="00064383" w:rsidP="008430FD">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148DF50A"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a</w:t>
            </w:r>
          </w:p>
        </w:tc>
      </w:tr>
      <w:tr w:rsidR="00970874" w:rsidRPr="00890249" w14:paraId="325B28EE" w14:textId="77777777" w:rsidTr="00DF3517">
        <w:trPr>
          <w:trHeight w:val="406"/>
        </w:trPr>
        <w:tc>
          <w:tcPr>
            <w:tcW w:w="852" w:type="dxa"/>
            <w:vMerge/>
            <w:vAlign w:val="center"/>
          </w:tcPr>
          <w:p w14:paraId="3011DA37" w14:textId="77777777" w:rsidR="00970874" w:rsidRPr="00890249" w:rsidRDefault="00970874" w:rsidP="008430FD">
            <w:pPr>
              <w:spacing w:after="0"/>
              <w:jc w:val="center"/>
              <w:rPr>
                <w:rFonts w:asciiTheme="minorHAnsi" w:eastAsia="Times New Roman" w:hAnsiTheme="minorHAnsi" w:cstheme="minorHAnsi"/>
                <w:noProof/>
                <w:sz w:val="20"/>
              </w:rPr>
            </w:pPr>
          </w:p>
        </w:tc>
        <w:tc>
          <w:tcPr>
            <w:tcW w:w="2268" w:type="dxa"/>
            <w:vMerge/>
            <w:vAlign w:val="center"/>
          </w:tcPr>
          <w:p w14:paraId="37ED3032" w14:textId="77777777" w:rsidR="00970874" w:rsidRPr="00890249" w:rsidRDefault="00970874" w:rsidP="008430FD">
            <w:pPr>
              <w:spacing w:after="0"/>
              <w:jc w:val="center"/>
              <w:rPr>
                <w:rFonts w:asciiTheme="minorHAnsi" w:eastAsia="Times New Roman" w:hAnsiTheme="minorHAnsi" w:cstheme="minorHAnsi"/>
                <w:noProof/>
                <w:sz w:val="20"/>
                <w:highlight w:val="yellow"/>
              </w:rPr>
            </w:pPr>
          </w:p>
        </w:tc>
        <w:tc>
          <w:tcPr>
            <w:tcW w:w="1417" w:type="dxa"/>
            <w:vMerge/>
            <w:vAlign w:val="center"/>
          </w:tcPr>
          <w:p w14:paraId="215EBB31" w14:textId="77777777" w:rsidR="00970874" w:rsidRPr="00890249" w:rsidRDefault="00970874"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4A401626" w14:textId="77777777" w:rsidR="00970874" w:rsidRPr="00890249" w:rsidRDefault="00970874"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179E975C" w14:textId="77777777" w:rsidR="00970874" w:rsidRPr="00890249" w:rsidRDefault="00970874"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3A2158F3" w14:textId="77777777" w:rsidR="00970874" w:rsidRPr="00890249" w:rsidRDefault="00970874" w:rsidP="008430FD">
            <w:pPr>
              <w:spacing w:after="0"/>
              <w:jc w:val="center"/>
              <w:rPr>
                <w:rFonts w:asciiTheme="minorHAnsi" w:hAnsiTheme="minorHAnsi" w:cstheme="minorHAnsi"/>
                <w:noProof/>
                <w:sz w:val="20"/>
              </w:rPr>
            </w:pPr>
          </w:p>
        </w:tc>
        <w:tc>
          <w:tcPr>
            <w:tcW w:w="1417" w:type="dxa"/>
            <w:vAlign w:val="center"/>
          </w:tcPr>
          <w:p w14:paraId="2C5E226B" w14:textId="6E3E05EE" w:rsidR="00970874" w:rsidRPr="00890249" w:rsidRDefault="00970874" w:rsidP="00F66356">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w:t>
            </w:r>
          </w:p>
        </w:tc>
      </w:tr>
      <w:tr w:rsidR="00064383" w:rsidRPr="00890249" w14:paraId="1D2BC016" w14:textId="77777777" w:rsidTr="00DF3517">
        <w:trPr>
          <w:trHeight w:val="406"/>
        </w:trPr>
        <w:tc>
          <w:tcPr>
            <w:tcW w:w="852" w:type="dxa"/>
            <w:vMerge/>
            <w:vAlign w:val="center"/>
          </w:tcPr>
          <w:p w14:paraId="4B047B19"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2268" w:type="dxa"/>
            <w:vMerge/>
            <w:vAlign w:val="center"/>
          </w:tcPr>
          <w:p w14:paraId="05F34108" w14:textId="77777777" w:rsidR="00064383" w:rsidRPr="00890249" w:rsidRDefault="00064383" w:rsidP="008430FD">
            <w:pPr>
              <w:spacing w:after="0"/>
              <w:jc w:val="center"/>
              <w:rPr>
                <w:rFonts w:asciiTheme="minorHAnsi" w:eastAsia="Times New Roman" w:hAnsiTheme="minorHAnsi" w:cstheme="minorHAnsi"/>
                <w:noProof/>
                <w:sz w:val="20"/>
                <w:highlight w:val="yellow"/>
              </w:rPr>
            </w:pPr>
          </w:p>
        </w:tc>
        <w:tc>
          <w:tcPr>
            <w:tcW w:w="1417" w:type="dxa"/>
            <w:vMerge/>
            <w:vAlign w:val="center"/>
          </w:tcPr>
          <w:p w14:paraId="6012864D"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41B7333B"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2C35308E"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0F94946D" w14:textId="77777777" w:rsidR="00064383" w:rsidRPr="00890249" w:rsidRDefault="00064383" w:rsidP="008430FD">
            <w:pPr>
              <w:spacing w:after="0"/>
              <w:jc w:val="center"/>
              <w:rPr>
                <w:rFonts w:asciiTheme="minorHAnsi" w:hAnsiTheme="minorHAnsi" w:cstheme="minorHAnsi"/>
                <w:noProof/>
                <w:sz w:val="20"/>
              </w:rPr>
            </w:pPr>
          </w:p>
        </w:tc>
        <w:tc>
          <w:tcPr>
            <w:tcW w:w="1417" w:type="dxa"/>
            <w:vAlign w:val="center"/>
          </w:tcPr>
          <w:p w14:paraId="520ECF18" w14:textId="77777777" w:rsidR="00064383" w:rsidRPr="00890249" w:rsidRDefault="00064383" w:rsidP="00F66356">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d</w:t>
            </w:r>
          </w:p>
        </w:tc>
      </w:tr>
      <w:tr w:rsidR="00064383" w:rsidRPr="00890249" w14:paraId="2A5B4FCA" w14:textId="77777777" w:rsidTr="00DF3517">
        <w:trPr>
          <w:trHeight w:val="410"/>
        </w:trPr>
        <w:tc>
          <w:tcPr>
            <w:tcW w:w="852" w:type="dxa"/>
            <w:vMerge/>
            <w:vAlign w:val="center"/>
          </w:tcPr>
          <w:p w14:paraId="3274C2D7"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2268" w:type="dxa"/>
            <w:vMerge/>
            <w:vAlign w:val="center"/>
          </w:tcPr>
          <w:p w14:paraId="44638A72" w14:textId="77777777" w:rsidR="00064383" w:rsidRPr="00890249" w:rsidRDefault="00064383" w:rsidP="008430FD">
            <w:pPr>
              <w:spacing w:after="0"/>
              <w:jc w:val="center"/>
              <w:rPr>
                <w:rFonts w:asciiTheme="minorHAnsi" w:eastAsia="Times New Roman" w:hAnsiTheme="minorHAnsi" w:cstheme="minorHAnsi"/>
                <w:noProof/>
                <w:sz w:val="20"/>
                <w:highlight w:val="yellow"/>
              </w:rPr>
            </w:pPr>
          </w:p>
        </w:tc>
        <w:tc>
          <w:tcPr>
            <w:tcW w:w="1417" w:type="dxa"/>
            <w:vMerge/>
            <w:vAlign w:val="center"/>
          </w:tcPr>
          <w:p w14:paraId="39C3172C"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0C5CD212"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5FF3C345"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259719E4" w14:textId="77777777" w:rsidR="00064383" w:rsidRPr="00890249" w:rsidRDefault="00064383" w:rsidP="008430FD">
            <w:pPr>
              <w:spacing w:after="0"/>
              <w:jc w:val="center"/>
              <w:rPr>
                <w:rFonts w:asciiTheme="minorHAnsi" w:hAnsiTheme="minorHAnsi" w:cstheme="minorHAnsi"/>
                <w:noProof/>
                <w:sz w:val="20"/>
              </w:rPr>
            </w:pPr>
          </w:p>
        </w:tc>
        <w:tc>
          <w:tcPr>
            <w:tcW w:w="1417" w:type="dxa"/>
            <w:vAlign w:val="center"/>
          </w:tcPr>
          <w:p w14:paraId="30C901EB"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f</w:t>
            </w:r>
          </w:p>
        </w:tc>
      </w:tr>
      <w:tr w:rsidR="00064383" w:rsidRPr="00890249" w14:paraId="57C8B4FC" w14:textId="77777777" w:rsidTr="00DF3517">
        <w:trPr>
          <w:trHeight w:val="410"/>
        </w:trPr>
        <w:tc>
          <w:tcPr>
            <w:tcW w:w="852" w:type="dxa"/>
            <w:vMerge/>
            <w:vAlign w:val="center"/>
          </w:tcPr>
          <w:p w14:paraId="0C10D3CC"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2268" w:type="dxa"/>
            <w:vMerge/>
            <w:vAlign w:val="center"/>
          </w:tcPr>
          <w:p w14:paraId="7C9A03A9" w14:textId="77777777" w:rsidR="00064383" w:rsidRPr="00890249" w:rsidRDefault="00064383" w:rsidP="008430FD">
            <w:pPr>
              <w:spacing w:after="0"/>
              <w:jc w:val="center"/>
              <w:rPr>
                <w:rFonts w:asciiTheme="minorHAnsi" w:eastAsia="Times New Roman" w:hAnsiTheme="minorHAnsi" w:cstheme="minorHAnsi"/>
                <w:noProof/>
                <w:sz w:val="20"/>
                <w:highlight w:val="yellow"/>
              </w:rPr>
            </w:pPr>
          </w:p>
        </w:tc>
        <w:tc>
          <w:tcPr>
            <w:tcW w:w="1417" w:type="dxa"/>
            <w:vMerge/>
            <w:vAlign w:val="center"/>
          </w:tcPr>
          <w:p w14:paraId="3B8B6055"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6CFB731E"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057C48BA" w14:textId="77777777" w:rsidR="00064383" w:rsidRPr="00890249" w:rsidRDefault="00064383" w:rsidP="008430FD">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0BFEC0BE" w14:textId="77777777" w:rsidR="00064383" w:rsidRPr="00890249" w:rsidRDefault="00064383" w:rsidP="008430FD">
            <w:pPr>
              <w:spacing w:after="0"/>
              <w:jc w:val="center"/>
              <w:rPr>
                <w:rFonts w:asciiTheme="minorHAnsi" w:hAnsiTheme="minorHAnsi" w:cstheme="minorHAnsi"/>
                <w:noProof/>
                <w:sz w:val="20"/>
              </w:rPr>
            </w:pPr>
          </w:p>
        </w:tc>
        <w:tc>
          <w:tcPr>
            <w:tcW w:w="1417" w:type="dxa"/>
            <w:vAlign w:val="center"/>
          </w:tcPr>
          <w:p w14:paraId="47350334" w14:textId="77777777" w:rsidR="00064383" w:rsidRPr="00890249" w:rsidRDefault="00064383" w:rsidP="008430FD">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g</w:t>
            </w:r>
          </w:p>
        </w:tc>
      </w:tr>
      <w:tr w:rsidR="00570C57" w:rsidRPr="00890249" w14:paraId="1F9C2446" w14:textId="77777777" w:rsidTr="00DF3517">
        <w:trPr>
          <w:trHeight w:val="414"/>
        </w:trPr>
        <w:tc>
          <w:tcPr>
            <w:tcW w:w="852" w:type="dxa"/>
            <w:vMerge w:val="restart"/>
            <w:vAlign w:val="center"/>
          </w:tcPr>
          <w:p w14:paraId="49D4123F"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6</w:t>
            </w:r>
          </w:p>
        </w:tc>
        <w:tc>
          <w:tcPr>
            <w:tcW w:w="2268" w:type="dxa"/>
            <w:vMerge w:val="restart"/>
            <w:vAlign w:val="center"/>
          </w:tcPr>
          <w:p w14:paraId="67CCC789" w14:textId="77777777" w:rsidR="00570C57" w:rsidRPr="00890249" w:rsidRDefault="00875C92" w:rsidP="00570C57">
            <w:pPr>
              <w:spacing w:after="0"/>
              <w:jc w:val="center"/>
              <w:rPr>
                <w:rFonts w:asciiTheme="minorHAnsi" w:eastAsia="Times New Roman" w:hAnsiTheme="minorHAnsi" w:cstheme="minorHAnsi"/>
                <w:noProof/>
                <w:sz w:val="20"/>
                <w:highlight w:val="yellow"/>
              </w:rPr>
            </w:pPr>
            <w:r w:rsidRPr="00890249">
              <w:rPr>
                <w:rFonts w:asciiTheme="minorHAnsi" w:eastAsia="Times New Roman" w:hAnsiTheme="minorHAnsi" w:cstheme="minorHAnsi"/>
                <w:noProof/>
                <w:sz w:val="20"/>
              </w:rPr>
              <w:t>FUNDUSZE EUROPEJSKIE WSPIERAJĄCE WŁĄCZENIE SPOŁECZNE W OPOLSKIM</w:t>
            </w:r>
          </w:p>
        </w:tc>
        <w:tc>
          <w:tcPr>
            <w:tcW w:w="1417" w:type="dxa"/>
            <w:vMerge w:val="restart"/>
            <w:vAlign w:val="center"/>
          </w:tcPr>
          <w:p w14:paraId="360FCC01"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vMerge w:val="restart"/>
            <w:shd w:val="clear" w:color="auto" w:fill="auto"/>
            <w:noWrap/>
            <w:vAlign w:val="center"/>
          </w:tcPr>
          <w:p w14:paraId="17121829"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p w14:paraId="2C358F8C"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val="restart"/>
            <w:shd w:val="clear" w:color="auto" w:fill="auto"/>
            <w:noWrap/>
            <w:vAlign w:val="center"/>
          </w:tcPr>
          <w:p w14:paraId="1DD0BF9C"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EFS+</w:t>
            </w:r>
          </w:p>
        </w:tc>
        <w:tc>
          <w:tcPr>
            <w:tcW w:w="1560" w:type="dxa"/>
            <w:vMerge w:val="restart"/>
            <w:shd w:val="clear" w:color="auto" w:fill="auto"/>
            <w:noWrap/>
            <w:vAlign w:val="center"/>
          </w:tcPr>
          <w:p w14:paraId="6C537DAA"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5A08D339"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h</w:t>
            </w:r>
          </w:p>
        </w:tc>
      </w:tr>
      <w:tr w:rsidR="00570C57" w:rsidRPr="00890249" w14:paraId="585B40A0" w14:textId="77777777" w:rsidTr="00DF3517">
        <w:trPr>
          <w:trHeight w:val="414"/>
        </w:trPr>
        <w:tc>
          <w:tcPr>
            <w:tcW w:w="852" w:type="dxa"/>
            <w:vMerge/>
            <w:vAlign w:val="center"/>
          </w:tcPr>
          <w:p w14:paraId="442860DB"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2268" w:type="dxa"/>
            <w:vMerge/>
            <w:vAlign w:val="center"/>
          </w:tcPr>
          <w:p w14:paraId="5C1879B7"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Merge/>
            <w:vAlign w:val="center"/>
          </w:tcPr>
          <w:p w14:paraId="32023840"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1A34AFC4"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7247B4BD"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43ED9BE3" w14:textId="77777777" w:rsidR="00570C57" w:rsidRPr="00890249" w:rsidRDefault="00570C57" w:rsidP="00570C57">
            <w:pPr>
              <w:spacing w:after="0"/>
              <w:jc w:val="center"/>
              <w:rPr>
                <w:rFonts w:asciiTheme="minorHAnsi" w:hAnsiTheme="minorHAnsi" w:cstheme="minorHAnsi"/>
                <w:noProof/>
                <w:sz w:val="20"/>
              </w:rPr>
            </w:pPr>
          </w:p>
        </w:tc>
        <w:tc>
          <w:tcPr>
            <w:tcW w:w="1417" w:type="dxa"/>
            <w:vAlign w:val="center"/>
          </w:tcPr>
          <w:p w14:paraId="0D823C98"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i</w:t>
            </w:r>
          </w:p>
        </w:tc>
      </w:tr>
      <w:tr w:rsidR="00570C57" w:rsidRPr="00890249" w14:paraId="7982DC50" w14:textId="77777777" w:rsidTr="00DF3517">
        <w:trPr>
          <w:trHeight w:val="414"/>
        </w:trPr>
        <w:tc>
          <w:tcPr>
            <w:tcW w:w="852" w:type="dxa"/>
            <w:vMerge/>
            <w:vAlign w:val="center"/>
          </w:tcPr>
          <w:p w14:paraId="3FCB16D0"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2268" w:type="dxa"/>
            <w:vMerge/>
            <w:vAlign w:val="center"/>
          </w:tcPr>
          <w:p w14:paraId="6D36F77C"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Merge/>
            <w:vAlign w:val="center"/>
          </w:tcPr>
          <w:p w14:paraId="70C14CA6"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42A67F34"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086AD452"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05600CE2" w14:textId="77777777" w:rsidR="00570C57" w:rsidRPr="00890249" w:rsidRDefault="00570C57" w:rsidP="00570C57">
            <w:pPr>
              <w:spacing w:after="0"/>
              <w:jc w:val="center"/>
              <w:rPr>
                <w:rFonts w:asciiTheme="minorHAnsi" w:hAnsiTheme="minorHAnsi" w:cstheme="minorHAnsi"/>
                <w:noProof/>
                <w:sz w:val="20"/>
              </w:rPr>
            </w:pPr>
          </w:p>
        </w:tc>
        <w:tc>
          <w:tcPr>
            <w:tcW w:w="1417" w:type="dxa"/>
            <w:vAlign w:val="center"/>
          </w:tcPr>
          <w:p w14:paraId="50DAEB54"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j</w:t>
            </w:r>
          </w:p>
        </w:tc>
      </w:tr>
      <w:tr w:rsidR="00570C57" w:rsidRPr="00890249" w14:paraId="45C2FFD5" w14:textId="77777777" w:rsidTr="00DF3517">
        <w:trPr>
          <w:trHeight w:val="414"/>
        </w:trPr>
        <w:tc>
          <w:tcPr>
            <w:tcW w:w="852" w:type="dxa"/>
            <w:vMerge/>
            <w:vAlign w:val="center"/>
          </w:tcPr>
          <w:p w14:paraId="2C4AF15C"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2268" w:type="dxa"/>
            <w:vMerge/>
            <w:vAlign w:val="center"/>
          </w:tcPr>
          <w:p w14:paraId="521A197B"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Merge/>
            <w:vAlign w:val="center"/>
          </w:tcPr>
          <w:p w14:paraId="4E507354"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7F6529B7"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66FE4744"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4400EA39" w14:textId="77777777" w:rsidR="00570C57" w:rsidRPr="00890249" w:rsidRDefault="00570C57" w:rsidP="00570C57">
            <w:pPr>
              <w:spacing w:after="0"/>
              <w:jc w:val="center"/>
              <w:rPr>
                <w:rFonts w:asciiTheme="minorHAnsi" w:hAnsiTheme="minorHAnsi" w:cstheme="minorHAnsi"/>
                <w:noProof/>
                <w:sz w:val="20"/>
              </w:rPr>
            </w:pPr>
          </w:p>
        </w:tc>
        <w:tc>
          <w:tcPr>
            <w:tcW w:w="1417" w:type="dxa"/>
            <w:vAlign w:val="center"/>
          </w:tcPr>
          <w:p w14:paraId="72266379"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l</w:t>
            </w:r>
          </w:p>
        </w:tc>
      </w:tr>
      <w:tr w:rsidR="00570C57" w:rsidRPr="00890249" w14:paraId="69FDE2CD" w14:textId="77777777" w:rsidTr="00890249">
        <w:trPr>
          <w:trHeight w:val="1575"/>
        </w:trPr>
        <w:tc>
          <w:tcPr>
            <w:tcW w:w="852" w:type="dxa"/>
            <w:vAlign w:val="center"/>
          </w:tcPr>
          <w:p w14:paraId="64DD775A"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7</w:t>
            </w:r>
          </w:p>
        </w:tc>
        <w:tc>
          <w:tcPr>
            <w:tcW w:w="2268" w:type="dxa"/>
            <w:vAlign w:val="center"/>
          </w:tcPr>
          <w:p w14:paraId="1F38A3E5"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FUNDUSZE EUROPEJSKIE WSPIERAJĄCE USŁUGI SPOŁECZNE I ZDROWOTNE W OPOLSKIM</w:t>
            </w:r>
          </w:p>
        </w:tc>
        <w:tc>
          <w:tcPr>
            <w:tcW w:w="1417" w:type="dxa"/>
            <w:vAlign w:val="center"/>
          </w:tcPr>
          <w:p w14:paraId="5AF446C1"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shd w:val="clear" w:color="auto" w:fill="auto"/>
            <w:noWrap/>
            <w:vAlign w:val="center"/>
          </w:tcPr>
          <w:p w14:paraId="684B4DA7"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p w14:paraId="2BEEDCF5"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shd w:val="clear" w:color="auto" w:fill="auto"/>
            <w:noWrap/>
            <w:vAlign w:val="center"/>
          </w:tcPr>
          <w:p w14:paraId="059F5BF4"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EFS+</w:t>
            </w:r>
          </w:p>
        </w:tc>
        <w:tc>
          <w:tcPr>
            <w:tcW w:w="1560" w:type="dxa"/>
            <w:shd w:val="clear" w:color="auto" w:fill="auto"/>
            <w:noWrap/>
            <w:vAlign w:val="center"/>
          </w:tcPr>
          <w:p w14:paraId="4D9754EA"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41A17477"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k</w:t>
            </w:r>
          </w:p>
        </w:tc>
      </w:tr>
      <w:tr w:rsidR="00626973" w:rsidRPr="00890249" w14:paraId="4C3A344A" w14:textId="77777777" w:rsidTr="00C30955">
        <w:trPr>
          <w:trHeight w:val="90"/>
        </w:trPr>
        <w:tc>
          <w:tcPr>
            <w:tcW w:w="852" w:type="dxa"/>
            <w:vMerge w:val="restart"/>
            <w:vAlign w:val="center"/>
          </w:tcPr>
          <w:p w14:paraId="4BF2D00D" w14:textId="601F4FEC"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8</w:t>
            </w:r>
          </w:p>
        </w:tc>
        <w:tc>
          <w:tcPr>
            <w:tcW w:w="2268" w:type="dxa"/>
            <w:vMerge w:val="restart"/>
            <w:shd w:val="clear" w:color="auto" w:fill="auto"/>
            <w:vAlign w:val="center"/>
          </w:tcPr>
          <w:p w14:paraId="3D246D0C" w14:textId="77777777" w:rsidR="00626973" w:rsidRPr="00890249" w:rsidRDefault="00875C92" w:rsidP="00570C57">
            <w:pPr>
              <w:spacing w:after="0"/>
              <w:jc w:val="center"/>
              <w:rPr>
                <w:rFonts w:asciiTheme="minorHAnsi" w:hAnsiTheme="minorHAnsi" w:cstheme="minorHAnsi"/>
                <w:sz w:val="20"/>
              </w:rPr>
            </w:pPr>
            <w:r w:rsidRPr="00890249">
              <w:rPr>
                <w:rFonts w:asciiTheme="minorHAnsi" w:hAnsiTheme="minorHAnsi" w:cstheme="minorHAnsi"/>
                <w:sz w:val="20"/>
              </w:rPr>
              <w:t>EUROPEJSKI BUDŻET DLA SPOŁECZEŃSTWA OPOLSKIEGO</w:t>
            </w:r>
          </w:p>
        </w:tc>
        <w:tc>
          <w:tcPr>
            <w:tcW w:w="1417" w:type="dxa"/>
            <w:vMerge w:val="restart"/>
            <w:shd w:val="clear" w:color="auto" w:fill="auto"/>
            <w:vAlign w:val="center"/>
          </w:tcPr>
          <w:p w14:paraId="39783589" w14:textId="77777777" w:rsidR="00626973" w:rsidRPr="00890249" w:rsidRDefault="00626973"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Nie</w:t>
            </w:r>
          </w:p>
        </w:tc>
        <w:tc>
          <w:tcPr>
            <w:tcW w:w="1559" w:type="dxa"/>
            <w:vMerge w:val="restart"/>
            <w:shd w:val="clear" w:color="auto" w:fill="auto"/>
            <w:noWrap/>
            <w:vAlign w:val="center"/>
          </w:tcPr>
          <w:p w14:paraId="53AA89E2"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vMerge w:val="restart"/>
            <w:shd w:val="clear" w:color="auto" w:fill="auto"/>
            <w:noWrap/>
            <w:vAlign w:val="center"/>
          </w:tcPr>
          <w:p w14:paraId="50787705"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EFS+</w:t>
            </w:r>
          </w:p>
        </w:tc>
        <w:tc>
          <w:tcPr>
            <w:tcW w:w="1560" w:type="dxa"/>
            <w:vMerge w:val="restart"/>
            <w:shd w:val="clear" w:color="auto" w:fill="auto"/>
            <w:noWrap/>
            <w:vAlign w:val="center"/>
          </w:tcPr>
          <w:p w14:paraId="387AE571"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Region słabiej rozwinięty</w:t>
            </w:r>
          </w:p>
        </w:tc>
        <w:tc>
          <w:tcPr>
            <w:tcW w:w="1417" w:type="dxa"/>
          </w:tcPr>
          <w:p w14:paraId="5DC0E5BC" w14:textId="77777777" w:rsidR="00626973" w:rsidRPr="00890249" w:rsidRDefault="00626973" w:rsidP="00570C57">
            <w:pPr>
              <w:spacing w:after="0"/>
              <w:jc w:val="center"/>
              <w:rPr>
                <w:rFonts w:asciiTheme="minorHAnsi" w:hAnsiTheme="minorHAnsi" w:cstheme="minorHAnsi"/>
                <w:sz w:val="20"/>
              </w:rPr>
            </w:pPr>
            <w:r w:rsidRPr="00890249">
              <w:rPr>
                <w:rFonts w:asciiTheme="minorHAnsi" w:hAnsiTheme="minorHAnsi" w:cstheme="minorHAnsi"/>
                <w:sz w:val="20"/>
              </w:rPr>
              <w:t>a</w:t>
            </w:r>
          </w:p>
        </w:tc>
      </w:tr>
      <w:tr w:rsidR="00DE716B" w:rsidRPr="00890249" w14:paraId="5B2BBEAC" w14:textId="77777777" w:rsidTr="00C30955">
        <w:trPr>
          <w:trHeight w:val="90"/>
        </w:trPr>
        <w:tc>
          <w:tcPr>
            <w:tcW w:w="852" w:type="dxa"/>
            <w:vMerge/>
            <w:vAlign w:val="center"/>
          </w:tcPr>
          <w:p w14:paraId="1754D3D8" w14:textId="77777777" w:rsidR="00DE716B" w:rsidRPr="00890249" w:rsidRDefault="00DE716B"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2C4FBC3E" w14:textId="77777777" w:rsidR="00DE716B" w:rsidRPr="00890249" w:rsidRDefault="00DE716B" w:rsidP="00570C57">
            <w:pPr>
              <w:spacing w:after="0"/>
              <w:jc w:val="center"/>
              <w:rPr>
                <w:rFonts w:asciiTheme="minorHAnsi" w:hAnsiTheme="minorHAnsi" w:cstheme="minorHAnsi"/>
                <w:sz w:val="20"/>
              </w:rPr>
            </w:pPr>
          </w:p>
        </w:tc>
        <w:tc>
          <w:tcPr>
            <w:tcW w:w="1417" w:type="dxa"/>
            <w:vMerge/>
            <w:shd w:val="clear" w:color="auto" w:fill="auto"/>
            <w:vAlign w:val="center"/>
          </w:tcPr>
          <w:p w14:paraId="09F567E6" w14:textId="77777777" w:rsidR="00DE716B" w:rsidRPr="00890249" w:rsidRDefault="00DE716B" w:rsidP="00570C57">
            <w:pPr>
              <w:spacing w:after="0"/>
              <w:jc w:val="center"/>
              <w:rPr>
                <w:rFonts w:asciiTheme="minorHAnsi" w:hAnsiTheme="minorHAnsi" w:cstheme="minorHAnsi"/>
                <w:noProof/>
                <w:sz w:val="20"/>
              </w:rPr>
            </w:pPr>
          </w:p>
        </w:tc>
        <w:tc>
          <w:tcPr>
            <w:tcW w:w="1559" w:type="dxa"/>
            <w:vMerge/>
            <w:shd w:val="clear" w:color="auto" w:fill="auto"/>
            <w:noWrap/>
            <w:vAlign w:val="center"/>
          </w:tcPr>
          <w:p w14:paraId="269FA013" w14:textId="77777777" w:rsidR="00DE716B" w:rsidRPr="00890249" w:rsidRDefault="00DE716B"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54CCB13F" w14:textId="77777777" w:rsidR="00DE716B" w:rsidRPr="00890249" w:rsidRDefault="00DE716B"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4BB8AE81" w14:textId="77777777" w:rsidR="00DE716B" w:rsidRPr="00890249" w:rsidRDefault="00DE716B" w:rsidP="00570C57">
            <w:pPr>
              <w:spacing w:after="0"/>
              <w:jc w:val="center"/>
              <w:rPr>
                <w:rFonts w:asciiTheme="minorHAnsi" w:eastAsia="Times New Roman" w:hAnsiTheme="minorHAnsi" w:cstheme="minorHAnsi"/>
                <w:noProof/>
                <w:sz w:val="20"/>
              </w:rPr>
            </w:pPr>
          </w:p>
        </w:tc>
        <w:tc>
          <w:tcPr>
            <w:tcW w:w="1417" w:type="dxa"/>
          </w:tcPr>
          <w:p w14:paraId="070B64EE" w14:textId="383EBFE0" w:rsidR="00DE716B" w:rsidRPr="00890249" w:rsidRDefault="00DE716B" w:rsidP="00570C57">
            <w:pPr>
              <w:spacing w:after="0"/>
              <w:jc w:val="center"/>
              <w:rPr>
                <w:rFonts w:asciiTheme="minorHAnsi" w:hAnsiTheme="minorHAnsi" w:cstheme="minorHAnsi"/>
                <w:sz w:val="20"/>
              </w:rPr>
            </w:pPr>
            <w:r w:rsidRPr="00890249">
              <w:rPr>
                <w:rFonts w:asciiTheme="minorHAnsi" w:hAnsiTheme="minorHAnsi" w:cstheme="minorHAnsi"/>
                <w:sz w:val="20"/>
              </w:rPr>
              <w:t>c</w:t>
            </w:r>
          </w:p>
        </w:tc>
      </w:tr>
      <w:tr w:rsidR="00626973" w:rsidRPr="00890249" w14:paraId="0FF42007" w14:textId="77777777" w:rsidTr="0036277B">
        <w:trPr>
          <w:trHeight w:val="90"/>
        </w:trPr>
        <w:tc>
          <w:tcPr>
            <w:tcW w:w="852" w:type="dxa"/>
            <w:vMerge/>
            <w:vAlign w:val="center"/>
          </w:tcPr>
          <w:p w14:paraId="6FF4D04C"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1DE7F683"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66E8BFA7"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0A0D4F20"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3BA12FDA"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31B5A500" w14:textId="77777777" w:rsidR="00626973" w:rsidRPr="00890249" w:rsidRDefault="00626973" w:rsidP="00570C57">
            <w:pPr>
              <w:spacing w:after="0"/>
              <w:jc w:val="center"/>
              <w:rPr>
                <w:rFonts w:asciiTheme="minorHAnsi" w:hAnsiTheme="minorHAnsi" w:cstheme="minorHAnsi"/>
                <w:noProof/>
                <w:sz w:val="20"/>
              </w:rPr>
            </w:pPr>
          </w:p>
        </w:tc>
        <w:tc>
          <w:tcPr>
            <w:tcW w:w="1417" w:type="dxa"/>
          </w:tcPr>
          <w:p w14:paraId="2087AC92"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sz w:val="20"/>
              </w:rPr>
              <w:t>f</w:t>
            </w:r>
          </w:p>
        </w:tc>
      </w:tr>
      <w:tr w:rsidR="00626973" w:rsidRPr="00890249" w14:paraId="517A5797" w14:textId="77777777" w:rsidTr="0036277B">
        <w:trPr>
          <w:trHeight w:val="90"/>
        </w:trPr>
        <w:tc>
          <w:tcPr>
            <w:tcW w:w="852" w:type="dxa"/>
            <w:vMerge/>
            <w:vAlign w:val="center"/>
          </w:tcPr>
          <w:p w14:paraId="237D6EDB"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1E1297E2"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4A598827"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67C90BD8"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26D848D8"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526F451C" w14:textId="77777777" w:rsidR="00626973" w:rsidRPr="00890249" w:rsidRDefault="00626973" w:rsidP="00570C57">
            <w:pPr>
              <w:spacing w:after="0"/>
              <w:jc w:val="center"/>
              <w:rPr>
                <w:rFonts w:asciiTheme="minorHAnsi" w:hAnsiTheme="minorHAnsi" w:cstheme="minorHAnsi"/>
                <w:noProof/>
                <w:sz w:val="20"/>
              </w:rPr>
            </w:pPr>
          </w:p>
        </w:tc>
        <w:tc>
          <w:tcPr>
            <w:tcW w:w="1417" w:type="dxa"/>
          </w:tcPr>
          <w:p w14:paraId="11BB1752"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sz w:val="20"/>
              </w:rPr>
              <w:t>g</w:t>
            </w:r>
          </w:p>
        </w:tc>
      </w:tr>
      <w:tr w:rsidR="00626973" w:rsidRPr="00890249" w14:paraId="7D766A60" w14:textId="77777777" w:rsidTr="0036277B">
        <w:trPr>
          <w:trHeight w:val="90"/>
        </w:trPr>
        <w:tc>
          <w:tcPr>
            <w:tcW w:w="852" w:type="dxa"/>
            <w:vMerge/>
            <w:vAlign w:val="center"/>
          </w:tcPr>
          <w:p w14:paraId="5D7F1B8A"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7050553F"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54E3431A"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2D9227F8"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5B1421AB"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2E5C8F63" w14:textId="77777777" w:rsidR="00626973" w:rsidRPr="00890249" w:rsidRDefault="00626973" w:rsidP="00570C57">
            <w:pPr>
              <w:spacing w:after="0"/>
              <w:jc w:val="center"/>
              <w:rPr>
                <w:rFonts w:asciiTheme="minorHAnsi" w:hAnsiTheme="minorHAnsi" w:cstheme="minorHAnsi"/>
                <w:noProof/>
                <w:sz w:val="20"/>
              </w:rPr>
            </w:pPr>
          </w:p>
        </w:tc>
        <w:tc>
          <w:tcPr>
            <w:tcW w:w="1417" w:type="dxa"/>
          </w:tcPr>
          <w:p w14:paraId="2FF5A2E1"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sz w:val="20"/>
              </w:rPr>
              <w:t>h</w:t>
            </w:r>
          </w:p>
        </w:tc>
      </w:tr>
      <w:tr w:rsidR="00970874" w:rsidRPr="00890249" w14:paraId="478379AF" w14:textId="77777777" w:rsidTr="0036277B">
        <w:trPr>
          <w:trHeight w:val="90"/>
        </w:trPr>
        <w:tc>
          <w:tcPr>
            <w:tcW w:w="852" w:type="dxa"/>
            <w:vMerge/>
            <w:vAlign w:val="center"/>
          </w:tcPr>
          <w:p w14:paraId="73AFB173" w14:textId="77777777" w:rsidR="00970874" w:rsidRPr="00890249" w:rsidRDefault="00970874"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3637787F" w14:textId="77777777" w:rsidR="00970874" w:rsidRPr="00890249" w:rsidRDefault="00970874"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09167363" w14:textId="77777777" w:rsidR="00970874" w:rsidRPr="00890249" w:rsidRDefault="00970874"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3D5548E0" w14:textId="77777777" w:rsidR="00970874" w:rsidRPr="00890249" w:rsidRDefault="00970874"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0BD97DCA" w14:textId="77777777" w:rsidR="00970874" w:rsidRPr="00890249" w:rsidRDefault="00970874"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31BB5BA4" w14:textId="77777777" w:rsidR="00970874" w:rsidRPr="00890249" w:rsidRDefault="00970874" w:rsidP="00570C57">
            <w:pPr>
              <w:spacing w:after="0"/>
              <w:jc w:val="center"/>
              <w:rPr>
                <w:rFonts w:asciiTheme="minorHAnsi" w:hAnsiTheme="minorHAnsi" w:cstheme="minorHAnsi"/>
                <w:noProof/>
                <w:sz w:val="20"/>
              </w:rPr>
            </w:pPr>
          </w:p>
        </w:tc>
        <w:tc>
          <w:tcPr>
            <w:tcW w:w="1417" w:type="dxa"/>
          </w:tcPr>
          <w:p w14:paraId="7BB77153" w14:textId="19E00438" w:rsidR="00970874" w:rsidRPr="00890249" w:rsidRDefault="00970874" w:rsidP="00570C57">
            <w:pPr>
              <w:spacing w:after="0"/>
              <w:jc w:val="center"/>
              <w:rPr>
                <w:rFonts w:asciiTheme="minorHAnsi" w:hAnsiTheme="minorHAnsi" w:cstheme="minorHAnsi"/>
                <w:sz w:val="20"/>
              </w:rPr>
            </w:pPr>
            <w:r w:rsidRPr="00890249">
              <w:rPr>
                <w:rFonts w:asciiTheme="minorHAnsi" w:hAnsiTheme="minorHAnsi" w:cstheme="minorHAnsi"/>
                <w:sz w:val="20"/>
              </w:rPr>
              <w:t>i</w:t>
            </w:r>
          </w:p>
        </w:tc>
      </w:tr>
      <w:tr w:rsidR="00626973" w:rsidRPr="00890249" w14:paraId="0318700D" w14:textId="77777777" w:rsidTr="0036277B">
        <w:trPr>
          <w:trHeight w:val="90"/>
        </w:trPr>
        <w:tc>
          <w:tcPr>
            <w:tcW w:w="852" w:type="dxa"/>
            <w:vMerge/>
            <w:vAlign w:val="center"/>
          </w:tcPr>
          <w:p w14:paraId="42DBE082"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0840A9FB"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33C5B1FD"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424A0C67"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2DCAAEED"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53A575F7" w14:textId="77777777" w:rsidR="00626973" w:rsidRPr="00890249" w:rsidRDefault="00626973" w:rsidP="00570C57">
            <w:pPr>
              <w:spacing w:after="0"/>
              <w:jc w:val="center"/>
              <w:rPr>
                <w:rFonts w:asciiTheme="minorHAnsi" w:hAnsiTheme="minorHAnsi" w:cstheme="minorHAnsi"/>
                <w:noProof/>
                <w:sz w:val="20"/>
              </w:rPr>
            </w:pPr>
          </w:p>
        </w:tc>
        <w:tc>
          <w:tcPr>
            <w:tcW w:w="1417" w:type="dxa"/>
            <w:vAlign w:val="center"/>
          </w:tcPr>
          <w:p w14:paraId="0DAB6398"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k</w:t>
            </w:r>
          </w:p>
        </w:tc>
      </w:tr>
      <w:tr w:rsidR="00626973" w:rsidRPr="00890249" w14:paraId="4FE0F218" w14:textId="77777777" w:rsidTr="0036277B">
        <w:trPr>
          <w:trHeight w:val="90"/>
        </w:trPr>
        <w:tc>
          <w:tcPr>
            <w:tcW w:w="852" w:type="dxa"/>
            <w:vMerge/>
            <w:vAlign w:val="center"/>
          </w:tcPr>
          <w:p w14:paraId="5B8F4E2E"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23B7220B"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43A1B69E"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2DE7B533"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2D1F2B49" w14:textId="77777777" w:rsidR="00626973" w:rsidRPr="00890249" w:rsidRDefault="00626973"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1FCC6D7B" w14:textId="77777777" w:rsidR="00626973" w:rsidRPr="00890249" w:rsidRDefault="00626973" w:rsidP="00570C57">
            <w:pPr>
              <w:spacing w:after="0"/>
              <w:jc w:val="center"/>
              <w:rPr>
                <w:rFonts w:asciiTheme="minorHAnsi" w:hAnsiTheme="minorHAnsi" w:cstheme="minorHAnsi"/>
                <w:noProof/>
                <w:sz w:val="20"/>
              </w:rPr>
            </w:pPr>
          </w:p>
        </w:tc>
        <w:tc>
          <w:tcPr>
            <w:tcW w:w="1417" w:type="dxa"/>
            <w:vAlign w:val="center"/>
          </w:tcPr>
          <w:p w14:paraId="0090D8FC" w14:textId="77777777" w:rsidR="00626973" w:rsidRPr="00890249" w:rsidRDefault="00626973"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l</w:t>
            </w:r>
          </w:p>
        </w:tc>
      </w:tr>
      <w:tr w:rsidR="00570C57" w:rsidRPr="00890249" w14:paraId="40D81CBE" w14:textId="77777777" w:rsidTr="00890249">
        <w:trPr>
          <w:trHeight w:val="90"/>
        </w:trPr>
        <w:tc>
          <w:tcPr>
            <w:tcW w:w="852" w:type="dxa"/>
            <w:vMerge w:val="restart"/>
            <w:vAlign w:val="center"/>
          </w:tcPr>
          <w:p w14:paraId="03B4658E"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9</w:t>
            </w:r>
          </w:p>
        </w:tc>
        <w:tc>
          <w:tcPr>
            <w:tcW w:w="2268" w:type="dxa"/>
            <w:vMerge w:val="restart"/>
            <w:shd w:val="clear" w:color="auto" w:fill="auto"/>
            <w:vAlign w:val="center"/>
          </w:tcPr>
          <w:p w14:paraId="3AA8A791"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 xml:space="preserve">FUNDUSZE EUROPEJSKIE WSPIERAJĄCE INWESTYCJE SPOŁECZNE W OPOLSKIM </w:t>
            </w:r>
          </w:p>
        </w:tc>
        <w:tc>
          <w:tcPr>
            <w:tcW w:w="1417" w:type="dxa"/>
            <w:vMerge w:val="restart"/>
            <w:shd w:val="clear" w:color="auto" w:fill="auto"/>
            <w:vAlign w:val="center"/>
          </w:tcPr>
          <w:p w14:paraId="73313B3E"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vMerge w:val="restart"/>
            <w:shd w:val="clear" w:color="auto" w:fill="auto"/>
            <w:noWrap/>
            <w:vAlign w:val="center"/>
          </w:tcPr>
          <w:p w14:paraId="42BAA3FF"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vMerge w:val="restart"/>
            <w:shd w:val="clear" w:color="auto" w:fill="auto"/>
            <w:noWrap/>
            <w:vAlign w:val="center"/>
          </w:tcPr>
          <w:p w14:paraId="0D324BD3"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EFRR</w:t>
            </w:r>
          </w:p>
        </w:tc>
        <w:tc>
          <w:tcPr>
            <w:tcW w:w="1560" w:type="dxa"/>
            <w:vMerge w:val="restart"/>
            <w:shd w:val="clear" w:color="auto" w:fill="auto"/>
            <w:noWrap/>
            <w:vAlign w:val="center"/>
          </w:tcPr>
          <w:p w14:paraId="5D939D7D"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eastAsia="Times New Roman" w:hAnsiTheme="minorHAnsi" w:cstheme="minorHAnsi"/>
                <w:noProof/>
                <w:sz w:val="20"/>
              </w:rPr>
              <w:t>Region słabiej rozwinięty</w:t>
            </w:r>
          </w:p>
        </w:tc>
        <w:tc>
          <w:tcPr>
            <w:tcW w:w="1417" w:type="dxa"/>
            <w:vAlign w:val="center"/>
          </w:tcPr>
          <w:p w14:paraId="030DBB53"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ii</w:t>
            </w:r>
          </w:p>
        </w:tc>
      </w:tr>
      <w:tr w:rsidR="00570C57" w:rsidRPr="00890249" w14:paraId="5B4D7452" w14:textId="77777777" w:rsidTr="00890249">
        <w:trPr>
          <w:trHeight w:val="90"/>
        </w:trPr>
        <w:tc>
          <w:tcPr>
            <w:tcW w:w="852" w:type="dxa"/>
            <w:vMerge/>
            <w:vAlign w:val="center"/>
          </w:tcPr>
          <w:p w14:paraId="3DD38AB4"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777CF886"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1057246B"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7A1CDA89"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3FF8A66A"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41151908"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Align w:val="center"/>
          </w:tcPr>
          <w:p w14:paraId="616E30A7"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iii</w:t>
            </w:r>
          </w:p>
        </w:tc>
      </w:tr>
      <w:tr w:rsidR="00570C57" w:rsidRPr="00890249" w14:paraId="4E3F298B" w14:textId="77777777" w:rsidTr="00890249">
        <w:trPr>
          <w:trHeight w:val="90"/>
        </w:trPr>
        <w:tc>
          <w:tcPr>
            <w:tcW w:w="852" w:type="dxa"/>
            <w:vMerge/>
            <w:vAlign w:val="center"/>
          </w:tcPr>
          <w:p w14:paraId="45745F15"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2268" w:type="dxa"/>
            <w:vMerge/>
            <w:shd w:val="clear" w:color="auto" w:fill="auto"/>
            <w:vAlign w:val="center"/>
          </w:tcPr>
          <w:p w14:paraId="1C7074AF"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Merge/>
            <w:shd w:val="clear" w:color="auto" w:fill="auto"/>
            <w:vAlign w:val="center"/>
          </w:tcPr>
          <w:p w14:paraId="21391F10"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27697936"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145BE2A3"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24124EC6"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Align w:val="center"/>
          </w:tcPr>
          <w:p w14:paraId="6D64C750"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v</w:t>
            </w:r>
          </w:p>
        </w:tc>
      </w:tr>
      <w:tr w:rsidR="00570C57" w:rsidRPr="00890249" w14:paraId="2ABC3B01" w14:textId="77777777" w:rsidTr="00DF3517">
        <w:trPr>
          <w:trHeight w:val="453"/>
        </w:trPr>
        <w:tc>
          <w:tcPr>
            <w:tcW w:w="852" w:type="dxa"/>
            <w:vMerge w:val="restart"/>
            <w:vAlign w:val="center"/>
          </w:tcPr>
          <w:p w14:paraId="68299F79" w14:textId="2E61F0EA"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10</w:t>
            </w:r>
          </w:p>
        </w:tc>
        <w:tc>
          <w:tcPr>
            <w:tcW w:w="2268" w:type="dxa"/>
            <w:vMerge w:val="restart"/>
            <w:vAlign w:val="center"/>
          </w:tcPr>
          <w:p w14:paraId="1FD7C6F7" w14:textId="7E6419A5"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 xml:space="preserve">FUNDUSZE EUROPEJSKIE NA </w:t>
            </w:r>
            <w:r w:rsidR="00351C0E" w:rsidRPr="00890249">
              <w:rPr>
                <w:rFonts w:asciiTheme="minorHAnsi" w:eastAsia="Times New Roman" w:hAnsiTheme="minorHAnsi" w:cstheme="minorHAnsi"/>
                <w:noProof/>
                <w:sz w:val="20"/>
              </w:rPr>
              <w:t>WZMACNIA</w:t>
            </w:r>
            <w:r w:rsidRPr="00890249">
              <w:rPr>
                <w:rFonts w:asciiTheme="minorHAnsi" w:eastAsia="Times New Roman" w:hAnsiTheme="minorHAnsi" w:cstheme="minorHAnsi"/>
                <w:noProof/>
                <w:sz w:val="20"/>
              </w:rPr>
              <w:t>NIE POTENCJAŁÓW ENDOGENICZNYCH OPOLSKIEGO</w:t>
            </w:r>
          </w:p>
        </w:tc>
        <w:tc>
          <w:tcPr>
            <w:tcW w:w="1417" w:type="dxa"/>
            <w:vMerge w:val="restart"/>
            <w:vAlign w:val="center"/>
          </w:tcPr>
          <w:p w14:paraId="33F8BBB0"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Nie</w:t>
            </w:r>
          </w:p>
        </w:tc>
        <w:tc>
          <w:tcPr>
            <w:tcW w:w="1559" w:type="dxa"/>
            <w:vMerge w:val="restart"/>
            <w:shd w:val="clear" w:color="auto" w:fill="auto"/>
            <w:noWrap/>
            <w:vAlign w:val="center"/>
          </w:tcPr>
          <w:p w14:paraId="68450D20"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vMerge w:val="restart"/>
            <w:shd w:val="clear" w:color="auto" w:fill="auto"/>
            <w:noWrap/>
            <w:vAlign w:val="center"/>
          </w:tcPr>
          <w:p w14:paraId="3C157BB0"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EFRR</w:t>
            </w:r>
          </w:p>
        </w:tc>
        <w:tc>
          <w:tcPr>
            <w:tcW w:w="1560" w:type="dxa"/>
            <w:vMerge w:val="restart"/>
            <w:shd w:val="clear" w:color="auto" w:fill="auto"/>
            <w:noWrap/>
            <w:vAlign w:val="center"/>
          </w:tcPr>
          <w:p w14:paraId="1F36DA78" w14:textId="77777777" w:rsidR="00570C57" w:rsidRPr="00890249" w:rsidRDefault="00570C57" w:rsidP="00570C57">
            <w:pPr>
              <w:spacing w:after="0"/>
              <w:jc w:val="center"/>
              <w:rPr>
                <w:rFonts w:asciiTheme="minorHAnsi" w:hAnsiTheme="minorHAnsi" w:cstheme="minorHAnsi"/>
                <w:noProof/>
                <w:sz w:val="20"/>
              </w:rPr>
            </w:pPr>
            <w:r w:rsidRPr="00890249">
              <w:rPr>
                <w:rFonts w:asciiTheme="minorHAnsi" w:hAnsiTheme="minorHAnsi" w:cstheme="minorHAnsi"/>
                <w:noProof/>
                <w:sz w:val="20"/>
              </w:rPr>
              <w:t>Region słabiej rozwinięty</w:t>
            </w:r>
          </w:p>
        </w:tc>
        <w:tc>
          <w:tcPr>
            <w:tcW w:w="1417" w:type="dxa"/>
            <w:vAlign w:val="center"/>
          </w:tcPr>
          <w:p w14:paraId="1667E4AB"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i</w:t>
            </w:r>
          </w:p>
        </w:tc>
      </w:tr>
      <w:tr w:rsidR="00570C57" w:rsidRPr="00890249" w14:paraId="00F6414A" w14:textId="77777777" w:rsidTr="00DF3517">
        <w:trPr>
          <w:trHeight w:val="374"/>
        </w:trPr>
        <w:tc>
          <w:tcPr>
            <w:tcW w:w="852" w:type="dxa"/>
            <w:vMerge/>
            <w:vAlign w:val="center"/>
          </w:tcPr>
          <w:p w14:paraId="123068C3"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2268" w:type="dxa"/>
            <w:vMerge/>
            <w:vAlign w:val="center"/>
          </w:tcPr>
          <w:p w14:paraId="662FBAAF"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417" w:type="dxa"/>
            <w:vMerge/>
            <w:vAlign w:val="center"/>
          </w:tcPr>
          <w:p w14:paraId="5019AE1B"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59" w:type="dxa"/>
            <w:vMerge/>
            <w:shd w:val="clear" w:color="auto" w:fill="auto"/>
            <w:noWrap/>
            <w:vAlign w:val="center"/>
          </w:tcPr>
          <w:p w14:paraId="0439162F"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134" w:type="dxa"/>
            <w:vMerge/>
            <w:shd w:val="clear" w:color="auto" w:fill="auto"/>
            <w:noWrap/>
            <w:vAlign w:val="center"/>
          </w:tcPr>
          <w:p w14:paraId="1D14AA6B" w14:textId="77777777" w:rsidR="00570C57" w:rsidRPr="00890249" w:rsidRDefault="00570C57" w:rsidP="00570C57">
            <w:pPr>
              <w:spacing w:after="0"/>
              <w:jc w:val="center"/>
              <w:rPr>
                <w:rFonts w:asciiTheme="minorHAnsi" w:eastAsia="Times New Roman" w:hAnsiTheme="minorHAnsi" w:cstheme="minorHAnsi"/>
                <w:noProof/>
                <w:sz w:val="20"/>
              </w:rPr>
            </w:pPr>
          </w:p>
        </w:tc>
        <w:tc>
          <w:tcPr>
            <w:tcW w:w="1560" w:type="dxa"/>
            <w:vMerge/>
            <w:shd w:val="clear" w:color="auto" w:fill="auto"/>
            <w:noWrap/>
            <w:vAlign w:val="center"/>
          </w:tcPr>
          <w:p w14:paraId="3CDA9E31" w14:textId="77777777" w:rsidR="00570C57" w:rsidRPr="00890249" w:rsidRDefault="00570C57" w:rsidP="00570C57">
            <w:pPr>
              <w:spacing w:after="0"/>
              <w:jc w:val="center"/>
              <w:rPr>
                <w:rFonts w:asciiTheme="minorHAnsi" w:hAnsiTheme="minorHAnsi" w:cstheme="minorHAnsi"/>
                <w:noProof/>
                <w:sz w:val="20"/>
              </w:rPr>
            </w:pPr>
          </w:p>
        </w:tc>
        <w:tc>
          <w:tcPr>
            <w:tcW w:w="1417" w:type="dxa"/>
            <w:vAlign w:val="center"/>
          </w:tcPr>
          <w:p w14:paraId="29F3970B" w14:textId="77777777" w:rsidR="00570C57" w:rsidRPr="00890249" w:rsidRDefault="00570C57"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ii</w:t>
            </w:r>
          </w:p>
        </w:tc>
      </w:tr>
      <w:tr w:rsidR="00604630" w:rsidRPr="00890249" w14:paraId="77258471" w14:textId="77777777" w:rsidTr="00604630">
        <w:trPr>
          <w:trHeight w:val="428"/>
        </w:trPr>
        <w:tc>
          <w:tcPr>
            <w:tcW w:w="852" w:type="dxa"/>
            <w:shd w:val="clear" w:color="auto" w:fill="auto"/>
            <w:noWrap/>
            <w:vAlign w:val="center"/>
            <w:hideMark/>
          </w:tcPr>
          <w:p w14:paraId="02336185" w14:textId="5AC03827"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11</w:t>
            </w:r>
          </w:p>
        </w:tc>
        <w:tc>
          <w:tcPr>
            <w:tcW w:w="2268" w:type="dxa"/>
            <w:vMerge w:val="restart"/>
            <w:shd w:val="clear" w:color="auto" w:fill="auto"/>
            <w:noWrap/>
            <w:vAlign w:val="center"/>
            <w:hideMark/>
          </w:tcPr>
          <w:p w14:paraId="0830D030" w14:textId="77777777"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POMOC TECHNICZNA</w:t>
            </w:r>
          </w:p>
        </w:tc>
        <w:tc>
          <w:tcPr>
            <w:tcW w:w="1417" w:type="dxa"/>
            <w:vMerge w:val="restart"/>
            <w:shd w:val="clear" w:color="auto" w:fill="auto"/>
            <w:noWrap/>
            <w:vAlign w:val="center"/>
            <w:hideMark/>
          </w:tcPr>
          <w:p w14:paraId="53AF6822" w14:textId="77777777"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Tak</w:t>
            </w:r>
          </w:p>
        </w:tc>
        <w:tc>
          <w:tcPr>
            <w:tcW w:w="1559" w:type="dxa"/>
            <w:vMerge w:val="restart"/>
            <w:shd w:val="clear" w:color="auto" w:fill="auto"/>
            <w:noWrap/>
            <w:vAlign w:val="center"/>
          </w:tcPr>
          <w:p w14:paraId="0B3AD5BD" w14:textId="77777777"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shd w:val="clear" w:color="auto" w:fill="auto"/>
            <w:noWrap/>
            <w:vAlign w:val="center"/>
          </w:tcPr>
          <w:p w14:paraId="6B2677EB" w14:textId="3532524A"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EFRR</w:t>
            </w:r>
          </w:p>
        </w:tc>
        <w:tc>
          <w:tcPr>
            <w:tcW w:w="1560" w:type="dxa"/>
            <w:vMerge w:val="restart"/>
            <w:shd w:val="clear" w:color="auto" w:fill="auto"/>
            <w:noWrap/>
            <w:vAlign w:val="center"/>
            <w:hideMark/>
          </w:tcPr>
          <w:p w14:paraId="3DD35E6B" w14:textId="77777777"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Region słabiej rozwinięty</w:t>
            </w:r>
          </w:p>
        </w:tc>
        <w:tc>
          <w:tcPr>
            <w:tcW w:w="1417" w:type="dxa"/>
            <w:vMerge w:val="restart"/>
            <w:vAlign w:val="center"/>
          </w:tcPr>
          <w:p w14:paraId="70DA0603" w14:textId="77777777"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hAnsiTheme="minorHAnsi" w:cstheme="minorHAnsi"/>
                <w:noProof/>
                <w:sz w:val="20"/>
              </w:rPr>
              <w:t>nie dotyczy</w:t>
            </w:r>
          </w:p>
        </w:tc>
      </w:tr>
      <w:tr w:rsidR="00604630" w:rsidRPr="00890249" w14:paraId="438871D8" w14:textId="77777777" w:rsidTr="00DF3517">
        <w:trPr>
          <w:trHeight w:val="427"/>
        </w:trPr>
        <w:tc>
          <w:tcPr>
            <w:tcW w:w="852" w:type="dxa"/>
            <w:shd w:val="clear" w:color="auto" w:fill="auto"/>
            <w:noWrap/>
            <w:vAlign w:val="center"/>
          </w:tcPr>
          <w:p w14:paraId="7C1113FF" w14:textId="36CFDD89" w:rsidR="00604630" w:rsidRPr="00890249" w:rsidRDefault="00604630" w:rsidP="00570C57">
            <w:pPr>
              <w:spacing w:after="0"/>
              <w:jc w:val="center"/>
              <w:rPr>
                <w:rFonts w:asciiTheme="minorHAnsi" w:eastAsia="Times New Roman" w:hAnsiTheme="minorHAnsi" w:cstheme="minorHAnsi"/>
                <w:noProof/>
                <w:sz w:val="20"/>
              </w:rPr>
            </w:pPr>
            <w:r>
              <w:rPr>
                <w:rFonts w:asciiTheme="minorHAnsi" w:eastAsia="Times New Roman" w:hAnsiTheme="minorHAnsi" w:cstheme="minorHAnsi"/>
                <w:noProof/>
                <w:sz w:val="20"/>
              </w:rPr>
              <w:t>12</w:t>
            </w:r>
          </w:p>
        </w:tc>
        <w:tc>
          <w:tcPr>
            <w:tcW w:w="2268" w:type="dxa"/>
            <w:vMerge/>
            <w:shd w:val="clear" w:color="auto" w:fill="auto"/>
            <w:noWrap/>
            <w:vAlign w:val="center"/>
          </w:tcPr>
          <w:p w14:paraId="36392568" w14:textId="77777777" w:rsidR="00604630" w:rsidRPr="00890249" w:rsidRDefault="00604630" w:rsidP="00570C57">
            <w:pPr>
              <w:spacing w:after="0"/>
              <w:jc w:val="center"/>
              <w:rPr>
                <w:rFonts w:asciiTheme="minorHAnsi" w:hAnsiTheme="minorHAnsi" w:cstheme="minorHAnsi"/>
                <w:noProof/>
                <w:sz w:val="20"/>
              </w:rPr>
            </w:pPr>
          </w:p>
        </w:tc>
        <w:tc>
          <w:tcPr>
            <w:tcW w:w="1417" w:type="dxa"/>
            <w:vMerge/>
            <w:shd w:val="clear" w:color="auto" w:fill="auto"/>
            <w:noWrap/>
            <w:vAlign w:val="center"/>
          </w:tcPr>
          <w:p w14:paraId="495CE5B7" w14:textId="77777777" w:rsidR="00604630" w:rsidRPr="00890249" w:rsidRDefault="00604630" w:rsidP="00570C57">
            <w:pPr>
              <w:spacing w:after="0"/>
              <w:jc w:val="center"/>
              <w:rPr>
                <w:rFonts w:asciiTheme="minorHAnsi" w:hAnsiTheme="minorHAnsi" w:cstheme="minorHAnsi"/>
                <w:noProof/>
                <w:sz w:val="20"/>
              </w:rPr>
            </w:pPr>
          </w:p>
        </w:tc>
        <w:tc>
          <w:tcPr>
            <w:tcW w:w="1559" w:type="dxa"/>
            <w:vMerge/>
            <w:shd w:val="clear" w:color="auto" w:fill="auto"/>
            <w:noWrap/>
            <w:vAlign w:val="center"/>
          </w:tcPr>
          <w:p w14:paraId="0BE57CA5" w14:textId="77777777" w:rsidR="00604630" w:rsidRPr="00890249" w:rsidRDefault="00604630" w:rsidP="00570C57">
            <w:pPr>
              <w:spacing w:after="0"/>
              <w:jc w:val="center"/>
              <w:rPr>
                <w:rFonts w:asciiTheme="minorHAnsi" w:eastAsia="Times New Roman" w:hAnsiTheme="minorHAnsi" w:cstheme="minorHAnsi"/>
                <w:noProof/>
                <w:sz w:val="20"/>
              </w:rPr>
            </w:pPr>
          </w:p>
        </w:tc>
        <w:tc>
          <w:tcPr>
            <w:tcW w:w="1134" w:type="dxa"/>
            <w:shd w:val="clear" w:color="auto" w:fill="auto"/>
            <w:noWrap/>
            <w:vAlign w:val="center"/>
          </w:tcPr>
          <w:p w14:paraId="7DEB6D46" w14:textId="08C56203"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EFS+</w:t>
            </w:r>
          </w:p>
        </w:tc>
        <w:tc>
          <w:tcPr>
            <w:tcW w:w="1560" w:type="dxa"/>
            <w:vMerge/>
            <w:shd w:val="clear" w:color="auto" w:fill="auto"/>
            <w:noWrap/>
            <w:vAlign w:val="center"/>
          </w:tcPr>
          <w:p w14:paraId="4BCC247E" w14:textId="77777777" w:rsidR="00604630" w:rsidRPr="00890249" w:rsidRDefault="00604630" w:rsidP="00570C57">
            <w:pPr>
              <w:spacing w:after="0"/>
              <w:jc w:val="center"/>
              <w:rPr>
                <w:rFonts w:asciiTheme="minorHAnsi" w:eastAsia="Times New Roman" w:hAnsiTheme="minorHAnsi" w:cstheme="minorHAnsi"/>
                <w:noProof/>
                <w:sz w:val="20"/>
              </w:rPr>
            </w:pPr>
          </w:p>
        </w:tc>
        <w:tc>
          <w:tcPr>
            <w:tcW w:w="1417" w:type="dxa"/>
            <w:vMerge/>
            <w:vAlign w:val="center"/>
          </w:tcPr>
          <w:p w14:paraId="71A0DE98" w14:textId="77777777" w:rsidR="00604630" w:rsidRPr="00890249" w:rsidRDefault="00604630" w:rsidP="00570C57">
            <w:pPr>
              <w:spacing w:after="0"/>
              <w:jc w:val="center"/>
              <w:rPr>
                <w:rFonts w:asciiTheme="minorHAnsi" w:hAnsiTheme="minorHAnsi" w:cstheme="minorHAnsi"/>
                <w:noProof/>
                <w:sz w:val="20"/>
              </w:rPr>
            </w:pPr>
          </w:p>
        </w:tc>
      </w:tr>
      <w:tr w:rsidR="00604630" w:rsidRPr="00890249" w14:paraId="72A82614" w14:textId="77777777" w:rsidTr="00DF3517">
        <w:trPr>
          <w:trHeight w:val="610"/>
        </w:trPr>
        <w:tc>
          <w:tcPr>
            <w:tcW w:w="852" w:type="dxa"/>
            <w:shd w:val="clear" w:color="auto" w:fill="auto"/>
            <w:noWrap/>
            <w:vAlign w:val="center"/>
          </w:tcPr>
          <w:p w14:paraId="1851F760" w14:textId="271BF9AA" w:rsidR="00604630" w:rsidRPr="00890249" w:rsidRDefault="00604630" w:rsidP="00570C57">
            <w:pPr>
              <w:spacing w:after="0"/>
              <w:jc w:val="center"/>
              <w:rPr>
                <w:rFonts w:asciiTheme="minorHAnsi" w:eastAsia="Times New Roman" w:hAnsiTheme="minorHAnsi" w:cstheme="minorHAnsi"/>
                <w:noProof/>
                <w:sz w:val="20"/>
              </w:rPr>
            </w:pPr>
            <w:r>
              <w:rPr>
                <w:rFonts w:asciiTheme="minorHAnsi" w:eastAsia="Times New Roman" w:hAnsiTheme="minorHAnsi" w:cstheme="minorHAnsi"/>
                <w:noProof/>
                <w:sz w:val="20"/>
              </w:rPr>
              <w:t>13</w:t>
            </w:r>
          </w:p>
        </w:tc>
        <w:tc>
          <w:tcPr>
            <w:tcW w:w="2268" w:type="dxa"/>
            <w:shd w:val="clear" w:color="auto" w:fill="auto"/>
            <w:noWrap/>
            <w:vAlign w:val="center"/>
          </w:tcPr>
          <w:p w14:paraId="1B8BD733" w14:textId="0EDA12B1" w:rsidR="00604630" w:rsidRPr="00890249" w:rsidRDefault="00604630" w:rsidP="00570C57">
            <w:pPr>
              <w:spacing w:after="0"/>
              <w:jc w:val="center"/>
              <w:rPr>
                <w:rFonts w:asciiTheme="minorHAnsi" w:hAnsiTheme="minorHAnsi" w:cstheme="minorHAnsi"/>
                <w:noProof/>
                <w:sz w:val="20"/>
              </w:rPr>
            </w:pPr>
            <w:r>
              <w:rPr>
                <w:rFonts w:asciiTheme="minorHAnsi" w:hAnsiTheme="minorHAnsi" w:cstheme="minorHAnsi"/>
                <w:noProof/>
                <w:sz w:val="20"/>
              </w:rPr>
              <w:t>FUNDUSZE EUROPEJSKIE NA RZCZ ODBUDOWY I ODPORNOŚCI OPOLSKIEGO PO POWODZI</w:t>
            </w:r>
            <w:r w:rsidR="00EB344B">
              <w:rPr>
                <w:rFonts w:asciiTheme="minorHAnsi" w:hAnsiTheme="minorHAnsi" w:cstheme="minorHAnsi"/>
                <w:noProof/>
                <w:sz w:val="20"/>
              </w:rPr>
              <w:t xml:space="preserve"> (RESTORE)</w:t>
            </w:r>
          </w:p>
        </w:tc>
        <w:tc>
          <w:tcPr>
            <w:tcW w:w="1417" w:type="dxa"/>
            <w:shd w:val="clear" w:color="auto" w:fill="auto"/>
            <w:noWrap/>
            <w:vAlign w:val="center"/>
          </w:tcPr>
          <w:p w14:paraId="5ECB7147" w14:textId="0BBC1464" w:rsidR="00604630" w:rsidRPr="00890249" w:rsidRDefault="00604630" w:rsidP="00570C57">
            <w:pPr>
              <w:spacing w:after="0"/>
              <w:jc w:val="center"/>
              <w:rPr>
                <w:rFonts w:asciiTheme="minorHAnsi" w:hAnsiTheme="minorHAnsi" w:cstheme="minorHAnsi"/>
                <w:noProof/>
                <w:sz w:val="20"/>
              </w:rPr>
            </w:pPr>
            <w:r>
              <w:rPr>
                <w:rFonts w:asciiTheme="minorHAnsi" w:hAnsiTheme="minorHAnsi" w:cstheme="minorHAnsi"/>
                <w:noProof/>
                <w:sz w:val="20"/>
              </w:rPr>
              <w:t>Nie</w:t>
            </w:r>
          </w:p>
        </w:tc>
        <w:tc>
          <w:tcPr>
            <w:tcW w:w="1559" w:type="dxa"/>
            <w:shd w:val="clear" w:color="auto" w:fill="auto"/>
            <w:noWrap/>
            <w:vAlign w:val="center"/>
          </w:tcPr>
          <w:p w14:paraId="3DC5A203" w14:textId="0DF96FC8"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Całkowite koszty kwalifikowalne</w:t>
            </w:r>
          </w:p>
        </w:tc>
        <w:tc>
          <w:tcPr>
            <w:tcW w:w="1134" w:type="dxa"/>
            <w:shd w:val="clear" w:color="auto" w:fill="auto"/>
            <w:noWrap/>
            <w:vAlign w:val="center"/>
          </w:tcPr>
          <w:p w14:paraId="61E5122C" w14:textId="6A1C7B9C" w:rsidR="00604630" w:rsidRPr="00890249" w:rsidRDefault="00604630" w:rsidP="00570C57">
            <w:pPr>
              <w:spacing w:after="0"/>
              <w:jc w:val="center"/>
              <w:rPr>
                <w:rFonts w:asciiTheme="minorHAnsi" w:eastAsia="Times New Roman" w:hAnsiTheme="minorHAnsi" w:cstheme="minorHAnsi"/>
                <w:noProof/>
                <w:sz w:val="20"/>
              </w:rPr>
            </w:pPr>
            <w:r>
              <w:rPr>
                <w:rFonts w:asciiTheme="minorHAnsi" w:eastAsia="Times New Roman" w:hAnsiTheme="minorHAnsi" w:cstheme="minorHAnsi"/>
                <w:noProof/>
                <w:sz w:val="20"/>
              </w:rPr>
              <w:t>EFRR</w:t>
            </w:r>
          </w:p>
        </w:tc>
        <w:tc>
          <w:tcPr>
            <w:tcW w:w="1560" w:type="dxa"/>
            <w:shd w:val="clear" w:color="auto" w:fill="auto"/>
            <w:noWrap/>
            <w:vAlign w:val="center"/>
          </w:tcPr>
          <w:p w14:paraId="2BF70DF5" w14:textId="16AD5A09" w:rsidR="00604630" w:rsidRPr="00890249" w:rsidRDefault="00604630" w:rsidP="00570C57">
            <w:pPr>
              <w:spacing w:after="0"/>
              <w:jc w:val="center"/>
              <w:rPr>
                <w:rFonts w:asciiTheme="minorHAnsi" w:eastAsia="Times New Roman" w:hAnsiTheme="minorHAnsi" w:cstheme="minorHAnsi"/>
                <w:noProof/>
                <w:sz w:val="20"/>
              </w:rPr>
            </w:pPr>
            <w:r w:rsidRPr="00890249">
              <w:rPr>
                <w:rFonts w:asciiTheme="minorHAnsi" w:eastAsia="Times New Roman" w:hAnsiTheme="minorHAnsi" w:cstheme="minorHAnsi"/>
                <w:noProof/>
                <w:sz w:val="20"/>
              </w:rPr>
              <w:t>Region słabiej rozwinięty</w:t>
            </w:r>
          </w:p>
        </w:tc>
        <w:tc>
          <w:tcPr>
            <w:tcW w:w="1417" w:type="dxa"/>
            <w:vAlign w:val="center"/>
          </w:tcPr>
          <w:p w14:paraId="3FDF4007" w14:textId="7B6C0837" w:rsidR="00604630" w:rsidRPr="00890249" w:rsidRDefault="00604630" w:rsidP="00570C57">
            <w:pPr>
              <w:spacing w:after="0"/>
              <w:jc w:val="center"/>
              <w:rPr>
                <w:rFonts w:asciiTheme="minorHAnsi" w:hAnsiTheme="minorHAnsi" w:cstheme="minorHAnsi"/>
                <w:noProof/>
                <w:sz w:val="20"/>
              </w:rPr>
            </w:pPr>
            <w:r>
              <w:rPr>
                <w:rFonts w:asciiTheme="minorHAnsi" w:hAnsiTheme="minorHAnsi" w:cstheme="minorHAnsi"/>
                <w:noProof/>
                <w:sz w:val="20"/>
              </w:rPr>
              <w:t>x</w:t>
            </w:r>
          </w:p>
        </w:tc>
      </w:tr>
    </w:tbl>
    <w:p w14:paraId="6476BF23" w14:textId="3C5F50C9" w:rsidR="0093433C" w:rsidRPr="007758ED" w:rsidRDefault="007758ED" w:rsidP="007758ED">
      <w:pPr>
        <w:pStyle w:val="Listapunktowana"/>
        <w:numPr>
          <w:ilvl w:val="0"/>
          <w:numId w:val="0"/>
        </w:numPr>
        <w:ind w:left="-426"/>
        <w:rPr>
          <w:rFonts w:asciiTheme="minorHAnsi" w:hAnsiTheme="minorHAnsi" w:cstheme="minorHAnsi"/>
          <w:noProof/>
          <w:sz w:val="22"/>
        </w:rPr>
      </w:pPr>
      <w:r w:rsidRPr="007758ED">
        <w:rPr>
          <w:rFonts w:asciiTheme="minorHAnsi" w:hAnsiTheme="minorHAnsi" w:cstheme="minorHAnsi"/>
          <w:b/>
          <w:noProof/>
        </w:rPr>
        <w:t>*</w:t>
      </w:r>
      <w:r w:rsidR="00FE1E82" w:rsidRPr="007758ED">
        <w:rPr>
          <w:rFonts w:asciiTheme="minorHAnsi" w:hAnsiTheme="minorHAnsi" w:cstheme="minorHAnsi"/>
          <w:noProof/>
          <w:sz w:val="22"/>
        </w:rPr>
        <w:t>Informacje dotyczące tej tabeli będą służyć jako wkład techniczny przy wypełnianiu innych pól i tabeli we wzorze w formacie elektronicznym. Nie dotyczy EFMR.</w:t>
      </w:r>
    </w:p>
    <w:p w14:paraId="208A0FAC" w14:textId="77777777" w:rsidR="00F21389" w:rsidRPr="00890249" w:rsidRDefault="00F21389" w:rsidP="00F417C4">
      <w:pPr>
        <w:spacing w:before="240" w:after="240"/>
        <w:rPr>
          <w:rFonts w:asciiTheme="minorHAnsi" w:hAnsiTheme="minorHAnsi" w:cstheme="minorHAnsi"/>
          <w:b/>
          <w:noProof/>
        </w:rPr>
      </w:pPr>
      <w:r w:rsidRPr="00890249">
        <w:rPr>
          <w:rFonts w:asciiTheme="minorHAnsi" w:hAnsiTheme="minorHAnsi" w:cstheme="minorHAnsi"/>
        </w:rPr>
        <w:br w:type="page"/>
      </w:r>
    </w:p>
    <w:p w14:paraId="5DD02F08" w14:textId="28FAE6BD" w:rsidR="00B87856" w:rsidRDefault="00B87856" w:rsidP="00AC1BD0">
      <w:pPr>
        <w:pStyle w:val="Nagwek1"/>
        <w:numPr>
          <w:ilvl w:val="0"/>
          <w:numId w:val="0"/>
        </w:numPr>
        <w:ind w:left="360" w:hanging="360"/>
      </w:pPr>
      <w:bookmarkStart w:id="10" w:name="_Toc188266907"/>
      <w:r w:rsidRPr="00E37BF5">
        <w:lastRenderedPageBreak/>
        <w:t>2.1 PRIORYTETY INNE NIŻ POMOC TECHNICZNA</w:t>
      </w:r>
      <w:bookmarkEnd w:id="10"/>
    </w:p>
    <w:p w14:paraId="72414FD9" w14:textId="77777777" w:rsidR="00E37BF5" w:rsidRPr="00E37BF5" w:rsidRDefault="00E37BF5" w:rsidP="00E37BF5"/>
    <w:p w14:paraId="16A92571" w14:textId="775C4272" w:rsidR="00681F9E" w:rsidRDefault="00CC12AA" w:rsidP="00EE43C5">
      <w:pPr>
        <w:pStyle w:val="Nagwek3"/>
        <w:rPr>
          <w:rFonts w:eastAsia="Calibri"/>
        </w:rPr>
      </w:pPr>
      <w:bookmarkStart w:id="11" w:name="_Toc188266908"/>
      <w:r w:rsidRPr="00890249">
        <w:rPr>
          <w:rFonts w:eastAsia="Calibri"/>
        </w:rPr>
        <w:t>2.1</w:t>
      </w:r>
      <w:r w:rsidR="006E2942" w:rsidRPr="00890249">
        <w:rPr>
          <w:rFonts w:eastAsia="Calibri"/>
        </w:rPr>
        <w:t>.1</w:t>
      </w:r>
      <w:r w:rsidRPr="00890249">
        <w:rPr>
          <w:rFonts w:eastAsia="Calibri"/>
        </w:rPr>
        <w:t xml:space="preserve"> </w:t>
      </w:r>
      <w:r w:rsidR="00E127B6" w:rsidRPr="00890249">
        <w:rPr>
          <w:rFonts w:eastAsia="Calibri"/>
        </w:rPr>
        <w:t>FUNDUSZE EUROPEJSKIE NA</w:t>
      </w:r>
      <w:r w:rsidR="00E37BF5">
        <w:rPr>
          <w:rFonts w:eastAsia="Calibri"/>
        </w:rPr>
        <w:t xml:space="preserve"> RZECZ WZROSTU INNOWACYJNOŚCI I </w:t>
      </w:r>
      <w:r w:rsidR="00E127B6" w:rsidRPr="00890249">
        <w:rPr>
          <w:rFonts w:eastAsia="Calibri"/>
        </w:rPr>
        <w:t>KONKURENCYJNOŚCI OPOLSKIEGO</w:t>
      </w:r>
      <w:bookmarkEnd w:id="8"/>
      <w:bookmarkEnd w:id="9"/>
      <w:bookmarkEnd w:id="11"/>
    </w:p>
    <w:tbl>
      <w:tblPr>
        <w:tblW w:w="9322" w:type="dxa"/>
        <w:tblLook w:val="04A0" w:firstRow="1" w:lastRow="0" w:firstColumn="1" w:lastColumn="0" w:noHBand="0" w:noVBand="1"/>
      </w:tblPr>
      <w:tblGrid>
        <w:gridCol w:w="9322"/>
      </w:tblGrid>
      <w:tr w:rsidR="00950B58" w:rsidRPr="00890249" w14:paraId="2476EC88" w14:textId="77777777" w:rsidTr="000B7697">
        <w:tc>
          <w:tcPr>
            <w:tcW w:w="9322" w:type="dxa"/>
          </w:tcPr>
          <w:p w14:paraId="720E2A3A" w14:textId="77777777" w:rsidR="00950B58" w:rsidRPr="00890249" w:rsidRDefault="00875C92" w:rsidP="000B7697">
            <w:pPr>
              <w:spacing w:before="0" w:after="0"/>
              <w:jc w:val="left"/>
              <w:rPr>
                <w:rFonts w:asciiTheme="minorHAnsi" w:hAnsiTheme="minorHAnsi" w:cstheme="minorHAnsi"/>
                <w:noProof/>
                <w:sz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950B58"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50B58" w:rsidRPr="00890249">
              <w:rPr>
                <w:rFonts w:asciiTheme="minorHAnsi" w:hAnsiTheme="minorHAnsi" w:cstheme="minorHAnsi"/>
                <w:noProof/>
                <w:sz w:val="20"/>
                <w:szCs w:val="22"/>
              </w:rPr>
              <w:t xml:space="preserve"> Ten priorytet dotyczy zatrudnienia ludzi młodych</w:t>
            </w:r>
          </w:p>
        </w:tc>
      </w:tr>
      <w:tr w:rsidR="00950B58" w:rsidRPr="00890249" w14:paraId="634FE28B" w14:textId="77777777" w:rsidTr="000B7697">
        <w:tc>
          <w:tcPr>
            <w:tcW w:w="9322" w:type="dxa"/>
          </w:tcPr>
          <w:p w14:paraId="015CE1D2" w14:textId="77777777" w:rsidR="00950B58" w:rsidRPr="00890249" w:rsidRDefault="00875C92" w:rsidP="000B7697">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50B58"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50B58" w:rsidRPr="00890249">
              <w:rPr>
                <w:rFonts w:asciiTheme="minorHAnsi" w:hAnsiTheme="minorHAnsi" w:cstheme="minorHAnsi"/>
                <w:noProof/>
                <w:sz w:val="20"/>
                <w:szCs w:val="22"/>
              </w:rPr>
              <w:t xml:space="preserve"> Ten priorytet dotyczy inowacyjnych działań społecznych</w:t>
            </w:r>
          </w:p>
        </w:tc>
      </w:tr>
      <w:tr w:rsidR="00950B58" w:rsidRPr="00890249" w14:paraId="0BD2B94F" w14:textId="77777777" w:rsidTr="000B7697">
        <w:tc>
          <w:tcPr>
            <w:tcW w:w="9322" w:type="dxa"/>
          </w:tcPr>
          <w:p w14:paraId="0AB2E39D" w14:textId="77777777" w:rsidR="00950B58" w:rsidRPr="00890249" w:rsidRDefault="00875C92" w:rsidP="000B7697">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50B58"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50B58"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m) rozporządzenia w sprawie EFS+</w:t>
            </w:r>
          </w:p>
        </w:tc>
      </w:tr>
      <w:tr w:rsidR="00950B58" w:rsidRPr="00890249" w14:paraId="77FA6E05" w14:textId="77777777" w:rsidTr="000B7697">
        <w:tc>
          <w:tcPr>
            <w:tcW w:w="9322" w:type="dxa"/>
          </w:tcPr>
          <w:p w14:paraId="2E1BB2D0" w14:textId="77777777" w:rsidR="00950B58" w:rsidRPr="00890249" w:rsidRDefault="00875C92" w:rsidP="000B7697">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50B58"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50B58"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77A7A85B" w14:textId="77777777" w:rsidR="00950B58" w:rsidRPr="00890249" w:rsidRDefault="00875C92" w:rsidP="000B7697">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50B58"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50B58"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75F2A03E" w14:textId="77777777" w:rsidR="00950B58" w:rsidRPr="00890249" w:rsidRDefault="00875C92" w:rsidP="000B7697">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50B58"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50B58"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2F0350E2" w14:textId="77777777" w:rsidR="009B66E4" w:rsidRPr="00890249" w:rsidRDefault="009B66E4" w:rsidP="009B66E4">
      <w:pPr>
        <w:pStyle w:val="Legenda"/>
        <w:rPr>
          <w:rFonts w:asciiTheme="minorHAnsi" w:hAnsiTheme="minorHAnsi" w:cstheme="minorHAnsi"/>
          <w:noProof/>
        </w:rPr>
      </w:pPr>
    </w:p>
    <w:p w14:paraId="2F8861C0" w14:textId="77777777" w:rsidR="009B66E4" w:rsidRPr="00890249" w:rsidRDefault="009B66E4" w:rsidP="009B66E4">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t>2.1.1.1 (i) Cel szczegółowy</w:t>
      </w:r>
    </w:p>
    <w:p w14:paraId="1E1AC1C4" w14:textId="77777777" w:rsidR="009B66E4" w:rsidRPr="00890249" w:rsidRDefault="009B66E4" w:rsidP="009B66E4">
      <w:pPr>
        <w:rPr>
          <w:rFonts w:asciiTheme="minorHAnsi" w:hAnsiTheme="minorHAnsi" w:cstheme="minorHAnsi"/>
          <w:b/>
          <w:i/>
          <w:noProof/>
          <w:color w:val="2F5496" w:themeColor="accent5" w:themeShade="BF"/>
          <w:sz w:val="22"/>
        </w:rPr>
      </w:pPr>
      <w:r w:rsidRPr="00890249">
        <w:rPr>
          <w:rFonts w:asciiTheme="minorHAnsi" w:hAnsiTheme="minorHAnsi" w:cstheme="minorHAnsi"/>
          <w:b/>
          <w:noProof/>
          <w:color w:val="2F5496" w:themeColor="accent5" w:themeShade="BF"/>
          <w:sz w:val="22"/>
        </w:rPr>
        <w:t xml:space="preserve">(i) </w:t>
      </w:r>
      <w:r w:rsidRPr="00890249">
        <w:rPr>
          <w:rFonts w:asciiTheme="minorHAnsi" w:hAnsiTheme="minorHAnsi" w:cstheme="minorHAnsi"/>
          <w:b/>
          <w:noProof/>
          <w:color w:val="2F5496" w:themeColor="accent5" w:themeShade="BF"/>
        </w:rPr>
        <w:t>Rozwijanie i wzmacnianie zdolności badawczych i innowacyjnych oraz wykorzystywanie zaawansowanych technologii</w:t>
      </w:r>
    </w:p>
    <w:p w14:paraId="03884CD4" w14:textId="77777777" w:rsidR="009B66E4" w:rsidRPr="00890249" w:rsidRDefault="009B66E4" w:rsidP="009B66E4">
      <w:pPr>
        <w:rPr>
          <w:rFonts w:asciiTheme="minorHAnsi" w:hAnsiTheme="minorHAnsi" w:cstheme="minorHAnsi"/>
          <w:b/>
          <w:noProof/>
          <w:sz w:val="22"/>
          <w:szCs w:val="22"/>
        </w:rPr>
      </w:pPr>
      <w:r w:rsidRPr="00890249">
        <w:rPr>
          <w:rFonts w:asciiTheme="minorHAnsi" w:hAnsiTheme="minorHAnsi" w:cstheme="minorHAnsi"/>
          <w:b/>
          <w:noProof/>
          <w:sz w:val="22"/>
          <w:szCs w:val="22"/>
        </w:rPr>
        <w:t>2.1.1.1.1 (i) Interwencje w ramach funduszy</w:t>
      </w:r>
    </w:p>
    <w:p w14:paraId="4B6D53F6" w14:textId="581121D0" w:rsidR="0093433C" w:rsidRPr="00890249" w:rsidRDefault="009B66E4" w:rsidP="00890249">
      <w:pPr>
        <w:pStyle w:val="Tekstpodstawowy"/>
        <w:rPr>
          <w:rFonts w:asciiTheme="minorHAnsi" w:hAnsiTheme="minorHAnsi" w:cstheme="minorHAnsi"/>
          <w:noProof/>
        </w:rPr>
      </w:pPr>
      <w:r w:rsidRPr="00890249">
        <w:rPr>
          <w:rFonts w:asciiTheme="minorHAnsi" w:hAnsiTheme="minorHAnsi" w:cstheme="minorHAnsi"/>
          <w:b/>
          <w:noProof/>
          <w:color w:val="2F5496" w:themeColor="accent5" w:themeShade="BF"/>
          <w:sz w:val="22"/>
          <w:szCs w:val="22"/>
        </w:rPr>
        <w:t>Powiązane rodzaje działań</w:t>
      </w:r>
    </w:p>
    <w:p w14:paraId="7B38C3D8" w14:textId="327F30E8" w:rsidR="004249F6" w:rsidRPr="00890249" w:rsidRDefault="00DD53DE" w:rsidP="00890249">
      <w:pPr>
        <w:pStyle w:val="Akapitzlist"/>
        <w:ind w:left="0"/>
        <w:rPr>
          <w:rFonts w:asciiTheme="minorHAnsi" w:hAnsiTheme="minorHAnsi" w:cstheme="minorHAnsi"/>
          <w:sz w:val="22"/>
          <w:szCs w:val="22"/>
        </w:rPr>
      </w:pPr>
      <w:r w:rsidRPr="00890249">
        <w:rPr>
          <w:rFonts w:asciiTheme="minorHAnsi" w:hAnsiTheme="minorHAnsi" w:cstheme="minorHAnsi"/>
          <w:sz w:val="22"/>
          <w:szCs w:val="22"/>
        </w:rPr>
        <w:t>Innowacyjność jest kluczowym czynnikiem warunkującym długoterminowy regionalny wzrost gospodarczy</w:t>
      </w:r>
      <w:r w:rsidR="000B2D28" w:rsidRPr="00890249">
        <w:rPr>
          <w:rStyle w:val="Odwoanieprzypisudolnego"/>
          <w:rFonts w:asciiTheme="minorHAnsi" w:hAnsiTheme="minorHAnsi" w:cstheme="minorHAnsi"/>
          <w:sz w:val="22"/>
          <w:szCs w:val="22"/>
        </w:rPr>
        <w:footnoteReference w:id="82"/>
      </w:r>
      <w:r w:rsidR="000B2D28" w:rsidRPr="00890249">
        <w:rPr>
          <w:rFonts w:asciiTheme="minorHAnsi" w:hAnsiTheme="minorHAnsi" w:cstheme="minorHAnsi"/>
          <w:sz w:val="22"/>
          <w:szCs w:val="22"/>
        </w:rPr>
        <w:t>.</w:t>
      </w:r>
      <w:r w:rsidR="000B2D28" w:rsidRPr="00890249">
        <w:rPr>
          <w:rFonts w:asciiTheme="minorHAnsi" w:eastAsia="Times New Roman" w:hAnsiTheme="minorHAnsi" w:cstheme="minorHAnsi"/>
          <w:noProof/>
          <w:sz w:val="22"/>
          <w:szCs w:val="22"/>
        </w:rPr>
        <w:t xml:space="preserve"> Poziom innowacyjności</w:t>
      </w:r>
      <w:r w:rsidR="00E92400" w:rsidRPr="00890249">
        <w:rPr>
          <w:rFonts w:asciiTheme="minorHAnsi" w:eastAsia="Times New Roman" w:hAnsiTheme="minorHAnsi" w:cstheme="minorHAnsi"/>
          <w:noProof/>
          <w:sz w:val="22"/>
          <w:szCs w:val="22"/>
        </w:rPr>
        <w:t xml:space="preserve"> </w:t>
      </w:r>
      <w:r w:rsidR="000B2D28" w:rsidRPr="00890249">
        <w:rPr>
          <w:rFonts w:asciiTheme="minorHAnsi" w:eastAsia="Times New Roman" w:hAnsiTheme="minorHAnsi" w:cstheme="minorHAnsi"/>
          <w:noProof/>
          <w:sz w:val="22"/>
          <w:szCs w:val="22"/>
        </w:rPr>
        <w:t xml:space="preserve">w województwie opolskim jest jednym z najniższych </w:t>
      </w:r>
      <w:r w:rsidR="000C622E" w:rsidRPr="00890249">
        <w:rPr>
          <w:rFonts w:asciiTheme="minorHAnsi" w:eastAsia="Times New Roman" w:hAnsiTheme="minorHAnsi" w:cstheme="minorHAnsi"/>
          <w:noProof/>
          <w:sz w:val="22"/>
          <w:szCs w:val="22"/>
        </w:rPr>
        <w:br/>
      </w:r>
      <w:r w:rsidR="000B2D28" w:rsidRPr="00890249">
        <w:rPr>
          <w:rFonts w:asciiTheme="minorHAnsi" w:eastAsia="Times New Roman" w:hAnsiTheme="minorHAnsi" w:cstheme="minorHAnsi"/>
          <w:noProof/>
          <w:sz w:val="22"/>
          <w:szCs w:val="22"/>
        </w:rPr>
        <w:t>w kraju</w:t>
      </w:r>
      <w:r w:rsidR="00E06A2B" w:rsidRPr="00890249">
        <w:rPr>
          <w:rStyle w:val="Odwoanieprzypisudolnego"/>
          <w:rFonts w:asciiTheme="minorHAnsi" w:eastAsia="Times New Roman" w:hAnsiTheme="minorHAnsi" w:cstheme="minorHAnsi"/>
          <w:noProof/>
          <w:sz w:val="22"/>
          <w:szCs w:val="22"/>
        </w:rPr>
        <w:footnoteReference w:id="83"/>
      </w:r>
      <w:r w:rsidR="000B2D28" w:rsidRPr="00890249">
        <w:rPr>
          <w:rFonts w:asciiTheme="minorHAnsi" w:eastAsia="Times New Roman" w:hAnsiTheme="minorHAnsi" w:cstheme="minorHAnsi"/>
          <w:noProof/>
          <w:sz w:val="22"/>
          <w:szCs w:val="22"/>
        </w:rPr>
        <w:t>. W</w:t>
      </w:r>
      <w:r w:rsidR="008506CB" w:rsidRPr="00890249">
        <w:rPr>
          <w:rFonts w:asciiTheme="minorHAnsi" w:eastAsia="Times New Roman" w:hAnsiTheme="minorHAnsi" w:cstheme="minorHAnsi"/>
          <w:noProof/>
          <w:sz w:val="22"/>
          <w:szCs w:val="22"/>
        </w:rPr>
        <w:t xml:space="preserve"> województwie opolskim odsetek innowacyjnych przedsiębiorstw przemysłowych jest wyższy, niż usługowych</w:t>
      </w:r>
      <w:r w:rsidR="00E06A2B" w:rsidRPr="00890249">
        <w:rPr>
          <w:rStyle w:val="Odwoanieprzypisudolnego"/>
          <w:rFonts w:asciiTheme="minorHAnsi" w:eastAsia="Times New Roman" w:hAnsiTheme="minorHAnsi" w:cstheme="minorHAnsi"/>
          <w:noProof/>
          <w:sz w:val="22"/>
          <w:szCs w:val="22"/>
        </w:rPr>
        <w:footnoteReference w:id="84"/>
      </w:r>
      <w:r w:rsidR="008506CB" w:rsidRPr="00890249">
        <w:rPr>
          <w:rFonts w:asciiTheme="minorHAnsi" w:eastAsia="Times New Roman" w:hAnsiTheme="minorHAnsi" w:cstheme="minorHAnsi"/>
          <w:noProof/>
          <w:sz w:val="22"/>
          <w:szCs w:val="22"/>
        </w:rPr>
        <w:t xml:space="preserve">. W ostatnich latach udział innowacyjnych przedsiębiorstw usługowych był zdecydowanie niższy, niż </w:t>
      </w:r>
      <w:r w:rsidR="000B2D28" w:rsidRPr="00890249">
        <w:rPr>
          <w:rFonts w:asciiTheme="minorHAnsi" w:eastAsia="Times New Roman" w:hAnsiTheme="minorHAnsi" w:cstheme="minorHAnsi"/>
          <w:noProof/>
          <w:sz w:val="22"/>
          <w:szCs w:val="22"/>
        </w:rPr>
        <w:t>średnia dla</w:t>
      </w:r>
      <w:r w:rsidR="008506CB" w:rsidRPr="00890249">
        <w:rPr>
          <w:rFonts w:asciiTheme="minorHAnsi" w:eastAsia="Times New Roman" w:hAnsiTheme="minorHAnsi" w:cstheme="minorHAnsi"/>
          <w:noProof/>
          <w:sz w:val="22"/>
          <w:szCs w:val="22"/>
        </w:rPr>
        <w:t xml:space="preserve"> kraju</w:t>
      </w:r>
      <w:r w:rsidR="00E06A2B" w:rsidRPr="00890249">
        <w:rPr>
          <w:rStyle w:val="Odwoanieprzypisudolnego"/>
          <w:rFonts w:asciiTheme="minorHAnsi" w:eastAsia="Times New Roman" w:hAnsiTheme="minorHAnsi" w:cstheme="minorHAnsi"/>
          <w:noProof/>
          <w:sz w:val="22"/>
          <w:szCs w:val="22"/>
        </w:rPr>
        <w:footnoteReference w:id="85"/>
      </w:r>
      <w:r w:rsidR="008506CB" w:rsidRPr="00890249">
        <w:rPr>
          <w:rFonts w:asciiTheme="minorHAnsi" w:eastAsia="Times New Roman" w:hAnsiTheme="minorHAnsi" w:cstheme="minorHAnsi"/>
          <w:noProof/>
          <w:sz w:val="22"/>
          <w:szCs w:val="22"/>
        </w:rPr>
        <w:t xml:space="preserve">. </w:t>
      </w:r>
      <w:r w:rsidR="0013754F" w:rsidRPr="00890249">
        <w:rPr>
          <w:rFonts w:asciiTheme="minorHAnsi" w:hAnsiTheme="minorHAnsi" w:cstheme="minorHAnsi"/>
          <w:sz w:val="22"/>
          <w:szCs w:val="22"/>
        </w:rPr>
        <w:t xml:space="preserve">Niezbędne jest dokonanie przełomu w sferze innowacyjności regionalnej gospodarki. </w:t>
      </w:r>
      <w:r w:rsidR="000B2D28" w:rsidRPr="00890249">
        <w:rPr>
          <w:rFonts w:asciiTheme="minorHAnsi" w:eastAsia="Times New Roman" w:hAnsiTheme="minorHAnsi" w:cstheme="minorHAnsi"/>
          <w:noProof/>
          <w:sz w:val="22"/>
          <w:szCs w:val="22"/>
        </w:rPr>
        <w:t>Zatem interwencja publiczna w ramach EFRR w obszarze innowacyjności jest nadal wymagana.</w:t>
      </w:r>
    </w:p>
    <w:p w14:paraId="372F62AA" w14:textId="4AB856F8"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Pomimo przeznaczenia 189,3 mln zł z RPO WO 2014-2020 na wsparcie 87 projektów z obszaru innowacji Opolszczyzna </w:t>
      </w:r>
      <w:r w:rsidR="000B2D28" w:rsidRPr="00890249">
        <w:rPr>
          <w:rFonts w:asciiTheme="minorHAnsi" w:hAnsiTheme="minorHAnsi" w:cstheme="minorHAnsi"/>
          <w:noProof/>
          <w:sz w:val="22"/>
          <w:szCs w:val="22"/>
        </w:rPr>
        <w:t xml:space="preserve">w zakresie ilości innowacyjnych przedsiębiorstw wypada </w:t>
      </w:r>
      <w:r w:rsidRPr="00890249">
        <w:rPr>
          <w:rFonts w:asciiTheme="minorHAnsi" w:hAnsiTheme="minorHAnsi" w:cstheme="minorHAnsi"/>
          <w:noProof/>
          <w:sz w:val="22"/>
          <w:szCs w:val="22"/>
        </w:rPr>
        <w:t xml:space="preserve">najsłabiej </w:t>
      </w:r>
      <w:r w:rsidR="000B2D28" w:rsidRPr="00890249">
        <w:rPr>
          <w:rFonts w:asciiTheme="minorHAnsi" w:hAnsiTheme="minorHAnsi" w:cstheme="minorHAnsi"/>
          <w:noProof/>
          <w:sz w:val="22"/>
          <w:szCs w:val="22"/>
        </w:rPr>
        <w:t xml:space="preserve">na tle innych regionów </w:t>
      </w:r>
      <w:r w:rsidRPr="00890249">
        <w:rPr>
          <w:rFonts w:asciiTheme="minorHAnsi" w:hAnsiTheme="minorHAnsi" w:cstheme="minorHAnsi"/>
          <w:noProof/>
          <w:sz w:val="22"/>
          <w:szCs w:val="22"/>
        </w:rPr>
        <w:t xml:space="preserve">w </w:t>
      </w:r>
      <w:r w:rsidR="000B2D28" w:rsidRPr="00890249">
        <w:rPr>
          <w:rFonts w:asciiTheme="minorHAnsi" w:hAnsiTheme="minorHAnsi" w:cstheme="minorHAnsi"/>
          <w:noProof/>
          <w:sz w:val="22"/>
          <w:szCs w:val="22"/>
        </w:rPr>
        <w:t xml:space="preserve">skali </w:t>
      </w:r>
      <w:r w:rsidRPr="00890249">
        <w:rPr>
          <w:rFonts w:asciiTheme="minorHAnsi" w:hAnsiTheme="minorHAnsi" w:cstheme="minorHAnsi"/>
          <w:noProof/>
          <w:sz w:val="22"/>
          <w:szCs w:val="22"/>
        </w:rPr>
        <w:t>kraju</w:t>
      </w:r>
      <w:r w:rsidR="000B2D28"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Istnieje więc potrzeba silniejszej koncentracji działań dotyczących przezwyciężenia barier we wprowadzeniu</w:t>
      </w:r>
      <w:r w:rsidR="00420C4B" w:rsidRPr="00890249">
        <w:rPr>
          <w:rFonts w:asciiTheme="minorHAnsi" w:hAnsiTheme="minorHAnsi" w:cstheme="minorHAnsi"/>
          <w:noProof/>
          <w:sz w:val="22"/>
          <w:szCs w:val="22"/>
        </w:rPr>
        <w:t>, a także w podnoszeniu poziomu</w:t>
      </w:r>
      <w:r w:rsidRPr="00890249">
        <w:rPr>
          <w:rFonts w:asciiTheme="minorHAnsi" w:hAnsiTheme="minorHAnsi" w:cstheme="minorHAnsi"/>
          <w:noProof/>
          <w:sz w:val="22"/>
          <w:szCs w:val="22"/>
        </w:rPr>
        <w:t xml:space="preserve"> innowacji w przeds</w:t>
      </w:r>
      <w:r w:rsidR="008506CB" w:rsidRPr="00890249">
        <w:rPr>
          <w:rFonts w:asciiTheme="minorHAnsi" w:hAnsiTheme="minorHAnsi" w:cstheme="minorHAnsi"/>
          <w:noProof/>
          <w:sz w:val="22"/>
          <w:szCs w:val="22"/>
        </w:rPr>
        <w:t>iębiorstwach</w:t>
      </w:r>
      <w:r w:rsidR="00E92400" w:rsidRPr="00890249">
        <w:rPr>
          <w:rFonts w:asciiTheme="minorHAnsi" w:hAnsiTheme="minorHAnsi" w:cstheme="minorHAnsi"/>
          <w:noProof/>
          <w:sz w:val="22"/>
          <w:szCs w:val="22"/>
        </w:rPr>
        <w:t>.</w:t>
      </w:r>
    </w:p>
    <w:p w14:paraId="1249A24A" w14:textId="1F022053" w:rsidR="0093433C" w:rsidRPr="00890249" w:rsidRDefault="004249F6" w:rsidP="00890249">
      <w:pPr>
        <w:pStyle w:val="Tekstpodstawowy"/>
        <w:rPr>
          <w:rFonts w:asciiTheme="minorHAnsi" w:hAnsiTheme="minorHAnsi" w:cstheme="minorHAnsi"/>
          <w:sz w:val="22"/>
          <w:szCs w:val="22"/>
        </w:rPr>
      </w:pPr>
      <w:r w:rsidRPr="00890249">
        <w:rPr>
          <w:rFonts w:asciiTheme="minorHAnsi" w:eastAsia="Times New Roman" w:hAnsiTheme="minorHAnsi" w:cstheme="minorHAnsi"/>
          <w:noProof/>
          <w:sz w:val="22"/>
          <w:szCs w:val="22"/>
        </w:rPr>
        <w:t xml:space="preserve">Badanie </w:t>
      </w:r>
      <w:r w:rsidR="008506CB" w:rsidRPr="00890249">
        <w:rPr>
          <w:rFonts w:asciiTheme="minorHAnsi" w:eastAsia="Times New Roman" w:hAnsiTheme="minorHAnsi" w:cstheme="minorHAnsi"/>
          <w:noProof/>
          <w:sz w:val="22"/>
          <w:szCs w:val="22"/>
        </w:rPr>
        <w:t xml:space="preserve">dotyczące </w:t>
      </w:r>
      <w:r w:rsidRPr="00890249">
        <w:rPr>
          <w:rFonts w:asciiTheme="minorHAnsi" w:hAnsiTheme="minorHAnsi" w:cstheme="minorHAnsi"/>
          <w:sz w:val="22"/>
          <w:szCs w:val="22"/>
        </w:rPr>
        <w:t>identyfikacj</w:t>
      </w:r>
      <w:r w:rsidR="008506CB" w:rsidRPr="00890249">
        <w:rPr>
          <w:rFonts w:asciiTheme="minorHAnsi" w:hAnsiTheme="minorHAnsi" w:cstheme="minorHAnsi"/>
          <w:sz w:val="22"/>
          <w:szCs w:val="22"/>
        </w:rPr>
        <w:t>i</w:t>
      </w:r>
      <w:r w:rsidRPr="00890249">
        <w:rPr>
          <w:rFonts w:asciiTheme="minorHAnsi" w:hAnsiTheme="minorHAnsi" w:cstheme="minorHAnsi"/>
          <w:sz w:val="22"/>
          <w:szCs w:val="22"/>
        </w:rPr>
        <w:t xml:space="preserve"> i ocen</w:t>
      </w:r>
      <w:r w:rsidR="008506CB" w:rsidRPr="00890249">
        <w:rPr>
          <w:rFonts w:asciiTheme="minorHAnsi" w:hAnsiTheme="minorHAnsi" w:cstheme="minorHAnsi"/>
          <w:sz w:val="22"/>
          <w:szCs w:val="22"/>
        </w:rPr>
        <w:t>y</w:t>
      </w:r>
      <w:r w:rsidRPr="00890249">
        <w:rPr>
          <w:rFonts w:asciiTheme="minorHAnsi" w:hAnsiTheme="minorHAnsi" w:cstheme="minorHAnsi"/>
          <w:sz w:val="22"/>
          <w:szCs w:val="22"/>
        </w:rPr>
        <w:t xml:space="preserve"> potencjału B+R+I przeds</w:t>
      </w:r>
      <w:r w:rsidR="00E92400" w:rsidRPr="00890249">
        <w:rPr>
          <w:rFonts w:asciiTheme="minorHAnsi" w:hAnsiTheme="minorHAnsi" w:cstheme="minorHAnsi"/>
          <w:sz w:val="22"/>
          <w:szCs w:val="22"/>
        </w:rPr>
        <w:t>iębiorstw</w:t>
      </w:r>
      <w:r w:rsidRPr="00890249">
        <w:rPr>
          <w:rFonts w:asciiTheme="minorHAnsi" w:hAnsiTheme="minorHAnsi" w:cstheme="minorHAnsi"/>
          <w:sz w:val="22"/>
          <w:szCs w:val="22"/>
        </w:rPr>
        <w:t xml:space="preserve"> regionu i ich współpracy z sektorem B+R oraz ocen</w:t>
      </w:r>
      <w:r w:rsidR="0005088F" w:rsidRPr="00890249">
        <w:rPr>
          <w:rFonts w:asciiTheme="minorHAnsi" w:hAnsiTheme="minorHAnsi" w:cstheme="minorHAnsi"/>
          <w:sz w:val="22"/>
          <w:szCs w:val="22"/>
        </w:rPr>
        <w:t>a</w:t>
      </w:r>
      <w:r w:rsidRPr="00890249">
        <w:rPr>
          <w:rFonts w:asciiTheme="minorHAnsi" w:hAnsiTheme="minorHAnsi" w:cstheme="minorHAnsi"/>
          <w:sz w:val="22"/>
          <w:szCs w:val="22"/>
        </w:rPr>
        <w:t xml:space="preserve"> interwencji </w:t>
      </w:r>
      <w:r w:rsidRPr="00890249">
        <w:rPr>
          <w:rFonts w:asciiTheme="minorHAnsi" w:eastAsia="Times New Roman" w:hAnsiTheme="minorHAnsi" w:cstheme="minorHAnsi"/>
          <w:noProof/>
          <w:sz w:val="22"/>
          <w:szCs w:val="22"/>
        </w:rPr>
        <w:t>RPO WO 2014-2020 wska</w:t>
      </w:r>
      <w:r w:rsidR="00E37BF5">
        <w:rPr>
          <w:rFonts w:asciiTheme="minorHAnsi" w:eastAsia="Times New Roman" w:hAnsiTheme="minorHAnsi" w:cstheme="minorHAnsi"/>
          <w:noProof/>
          <w:sz w:val="22"/>
          <w:szCs w:val="22"/>
        </w:rPr>
        <w:t>zuje na większą aktywność MŚP w </w:t>
      </w:r>
      <w:r w:rsidRPr="00890249">
        <w:rPr>
          <w:rFonts w:asciiTheme="minorHAnsi" w:eastAsia="Times New Roman" w:hAnsiTheme="minorHAnsi" w:cstheme="minorHAnsi"/>
          <w:noProof/>
          <w:sz w:val="22"/>
          <w:szCs w:val="22"/>
        </w:rPr>
        <w:t xml:space="preserve">B+R. Do jej efektów należały najczęściej: wdrożenie nowych produktów/procesów/usług, rozwój nowych technologii, zatrudnienie nowych specjalistów oraz realizacja nowych projektów B+R. </w:t>
      </w:r>
      <w:r w:rsidRPr="00890249">
        <w:rPr>
          <w:rFonts w:asciiTheme="minorHAnsi" w:hAnsiTheme="minorHAnsi" w:cstheme="minorHAnsi"/>
          <w:sz w:val="22"/>
          <w:szCs w:val="22"/>
        </w:rPr>
        <w:t xml:space="preserve">Wdrożenie wyników prac B+R do gospodarki w związku ze wsparciem z RPO WO </w:t>
      </w:r>
      <w:r w:rsidRPr="00890249">
        <w:rPr>
          <w:rFonts w:asciiTheme="minorHAnsi" w:eastAsia="Times New Roman" w:hAnsiTheme="minorHAnsi" w:cstheme="minorHAnsi"/>
          <w:noProof/>
          <w:sz w:val="22"/>
          <w:szCs w:val="22"/>
        </w:rPr>
        <w:t xml:space="preserve">2014-2020 </w:t>
      </w:r>
      <w:r w:rsidRPr="00890249">
        <w:rPr>
          <w:rFonts w:asciiTheme="minorHAnsi" w:hAnsiTheme="minorHAnsi" w:cstheme="minorHAnsi"/>
          <w:sz w:val="22"/>
          <w:szCs w:val="22"/>
        </w:rPr>
        <w:t>nastąpiło w 36,1% badanych przeds</w:t>
      </w:r>
      <w:r w:rsidR="008506CB" w:rsidRPr="00890249">
        <w:rPr>
          <w:rFonts w:asciiTheme="minorHAnsi" w:hAnsiTheme="minorHAnsi" w:cstheme="minorHAnsi"/>
          <w:sz w:val="22"/>
          <w:szCs w:val="22"/>
        </w:rPr>
        <w:t>iębiorstwach</w:t>
      </w:r>
      <w:r w:rsidRPr="00890249">
        <w:rPr>
          <w:rFonts w:asciiTheme="minorHAnsi" w:hAnsiTheme="minorHAnsi" w:cstheme="minorHAnsi"/>
          <w:sz w:val="22"/>
          <w:szCs w:val="22"/>
        </w:rPr>
        <w:t>. W 92,3% dotyczyło wprowadzenia na rynek nowych produktów oraz w 19,2% sprzedaży technologii innym przeds.</w:t>
      </w:r>
      <w:r w:rsidRPr="00890249">
        <w:rPr>
          <w:rStyle w:val="Odwoanieprzypisudolnego"/>
          <w:rFonts w:asciiTheme="minorHAnsi" w:hAnsiTheme="minorHAnsi" w:cstheme="minorHAnsi"/>
          <w:sz w:val="22"/>
          <w:szCs w:val="22"/>
        </w:rPr>
        <w:footnoteReference w:id="86"/>
      </w:r>
      <w:r w:rsidR="0005088F" w:rsidRPr="00890249">
        <w:rPr>
          <w:rFonts w:asciiTheme="minorHAnsi" w:hAnsiTheme="minorHAnsi" w:cstheme="minorHAnsi"/>
          <w:sz w:val="22"/>
          <w:szCs w:val="22"/>
        </w:rPr>
        <w:t>.</w:t>
      </w:r>
      <w:r w:rsidRPr="00890249">
        <w:rPr>
          <w:rFonts w:asciiTheme="minorHAnsi" w:hAnsiTheme="minorHAnsi" w:cstheme="minorHAnsi"/>
          <w:sz w:val="22"/>
          <w:szCs w:val="22"/>
        </w:rPr>
        <w:t xml:space="preserve"> </w:t>
      </w:r>
      <w:r w:rsidR="008506CB" w:rsidRPr="00890249">
        <w:rPr>
          <w:rFonts w:asciiTheme="minorHAnsi" w:hAnsiTheme="minorHAnsi" w:cstheme="minorHAnsi"/>
          <w:sz w:val="22"/>
          <w:szCs w:val="22"/>
        </w:rPr>
        <w:t>Przedsiębiorstwa</w:t>
      </w:r>
      <w:r w:rsidRPr="00890249">
        <w:rPr>
          <w:rFonts w:asciiTheme="minorHAnsi" w:hAnsiTheme="minorHAnsi" w:cstheme="minorHAnsi"/>
          <w:sz w:val="22"/>
          <w:szCs w:val="22"/>
        </w:rPr>
        <w:t xml:space="preserve">, które podjęły wyzwanie prowadzenia prac B+R+I nieustannie i dość dynamicznie się rozwijają, a </w:t>
      </w:r>
      <w:r w:rsidR="008506CB" w:rsidRPr="00890249">
        <w:rPr>
          <w:rFonts w:asciiTheme="minorHAnsi" w:hAnsiTheme="minorHAnsi" w:cstheme="minorHAnsi"/>
          <w:sz w:val="22"/>
          <w:szCs w:val="22"/>
        </w:rPr>
        <w:t>więc</w:t>
      </w:r>
      <w:r w:rsidRPr="00890249">
        <w:rPr>
          <w:rFonts w:asciiTheme="minorHAnsi" w:hAnsiTheme="minorHAnsi" w:cstheme="minorHAnsi"/>
          <w:sz w:val="22"/>
          <w:szCs w:val="22"/>
        </w:rPr>
        <w:t xml:space="preserve"> doskonalą swoje produkty, procesy technologiczne, jak i osiągane wyniki. W związku z tym konieczne są </w:t>
      </w:r>
      <w:r w:rsidRPr="00890249">
        <w:rPr>
          <w:rFonts w:asciiTheme="minorHAnsi" w:hAnsiTheme="minorHAnsi" w:cstheme="minorHAnsi"/>
          <w:sz w:val="22"/>
          <w:szCs w:val="22"/>
        </w:rPr>
        <w:lastRenderedPageBreak/>
        <w:t xml:space="preserve">inwestycje w nową infrastrukturę, gdyż aktualna niestety często nie daje możliwości dokonania progresu innowacyjnego, jest niewystarczająca na podjęcie procesu nowych badań i działalności B+R, albo jej w ogóle nie ma. </w:t>
      </w:r>
    </w:p>
    <w:p w14:paraId="063BC788" w14:textId="3613B259" w:rsidR="0093433C" w:rsidRPr="00890249" w:rsidRDefault="00D62F3C"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Wsparcie </w:t>
      </w:r>
      <w:r w:rsidR="00E13AB7" w:rsidRPr="00890249">
        <w:rPr>
          <w:rFonts w:asciiTheme="minorHAnsi" w:hAnsiTheme="minorHAnsi" w:cstheme="minorHAnsi"/>
          <w:sz w:val="22"/>
          <w:szCs w:val="22"/>
        </w:rPr>
        <w:t xml:space="preserve">przedsiębiorstw </w:t>
      </w:r>
      <w:r w:rsidRPr="00890249">
        <w:rPr>
          <w:rFonts w:asciiTheme="minorHAnsi" w:hAnsiTheme="minorHAnsi" w:cstheme="minorHAnsi"/>
          <w:sz w:val="22"/>
          <w:szCs w:val="22"/>
        </w:rPr>
        <w:t>w cs (i) zostanie przeznaczone na budowę, rozbudowę oraz zakup wyposażenia dla zaplecza B+R w celu rozwoju działalności innowacyjnej</w:t>
      </w:r>
      <w:r w:rsidR="00E13AB7" w:rsidRPr="00890249">
        <w:rPr>
          <w:rFonts w:asciiTheme="minorHAnsi" w:hAnsiTheme="minorHAnsi" w:cstheme="minorHAnsi"/>
          <w:sz w:val="22"/>
          <w:szCs w:val="22"/>
        </w:rPr>
        <w:t xml:space="preserve"> m.in. w kierunku </w:t>
      </w:r>
      <w:r w:rsidR="00E13AB7" w:rsidRPr="00890249">
        <w:rPr>
          <w:rFonts w:asciiTheme="minorHAnsi" w:eastAsia="Times New Roman" w:hAnsiTheme="minorHAnsi" w:cstheme="minorHAnsi"/>
          <w:noProof/>
          <w:sz w:val="22"/>
          <w:szCs w:val="22"/>
        </w:rPr>
        <w:t xml:space="preserve">wykorzystania rozwiązań z zakresu </w:t>
      </w:r>
      <w:r w:rsidR="004B6E58">
        <w:rPr>
          <w:rFonts w:asciiTheme="minorHAnsi" w:eastAsia="Times New Roman" w:hAnsiTheme="minorHAnsi" w:cstheme="minorHAnsi"/>
          <w:noProof/>
          <w:sz w:val="22"/>
          <w:szCs w:val="22"/>
        </w:rPr>
        <w:t>-</w:t>
      </w:r>
      <w:r w:rsidR="009F23A7" w:rsidRPr="00890249" w:rsidDel="009F23A7">
        <w:rPr>
          <w:rFonts w:asciiTheme="minorHAnsi" w:eastAsia="Times New Roman" w:hAnsiTheme="minorHAnsi" w:cstheme="minorHAnsi"/>
          <w:noProof/>
          <w:sz w:val="22"/>
          <w:szCs w:val="22"/>
        </w:rPr>
        <w:t xml:space="preserve"> </w:t>
      </w:r>
      <w:r w:rsidR="00E13AB7" w:rsidRPr="00890249">
        <w:rPr>
          <w:rFonts w:asciiTheme="minorHAnsi" w:eastAsia="Times New Roman" w:hAnsiTheme="minorHAnsi" w:cstheme="minorHAnsi"/>
          <w:noProof/>
          <w:sz w:val="22"/>
          <w:szCs w:val="22"/>
        </w:rPr>
        <w:t>transformacji cyfrowej</w:t>
      </w:r>
      <w:r w:rsidR="00E13AB7" w:rsidRPr="00890249">
        <w:rPr>
          <w:rFonts w:asciiTheme="minorHAnsi" w:hAnsiTheme="minorHAnsi" w:cstheme="minorHAnsi"/>
          <w:sz w:val="22"/>
          <w:szCs w:val="22"/>
        </w:rPr>
        <w:t>, powstania zaawansowanej technologii produktów, wdrażania innowacyjnych badań w regionie oraz powstania nowych rozwiązań technologicznych i organizacyjnych.</w:t>
      </w:r>
      <w:r w:rsidRPr="00890249">
        <w:rPr>
          <w:rFonts w:asciiTheme="minorHAnsi" w:hAnsiTheme="minorHAnsi" w:cstheme="minorHAnsi"/>
          <w:sz w:val="22"/>
          <w:szCs w:val="22"/>
        </w:rPr>
        <w:t xml:space="preserve"> </w:t>
      </w:r>
    </w:p>
    <w:p w14:paraId="08F0F9DE" w14:textId="78161873" w:rsidR="0093433C" w:rsidRPr="00890249" w:rsidRDefault="004249F6" w:rsidP="00890249">
      <w:pPr>
        <w:pStyle w:val="Tekstpodstawowy"/>
        <w:rPr>
          <w:rFonts w:asciiTheme="minorHAnsi" w:eastAsia="Times New Roman" w:hAnsiTheme="minorHAnsi" w:cstheme="minorHAnsi"/>
          <w:noProof/>
          <w:sz w:val="22"/>
          <w:szCs w:val="22"/>
        </w:rPr>
      </w:pPr>
      <w:r w:rsidRPr="00890249">
        <w:rPr>
          <w:rFonts w:asciiTheme="minorHAnsi" w:hAnsiTheme="minorHAnsi" w:cstheme="minorHAnsi"/>
          <w:sz w:val="22"/>
          <w:szCs w:val="22"/>
        </w:rPr>
        <w:t>Nowa infrastruktura B+R org</w:t>
      </w:r>
      <w:r w:rsidR="00E13AB7" w:rsidRPr="00890249">
        <w:rPr>
          <w:rFonts w:asciiTheme="minorHAnsi" w:hAnsiTheme="minorHAnsi" w:cstheme="minorHAnsi"/>
          <w:sz w:val="22"/>
          <w:szCs w:val="22"/>
        </w:rPr>
        <w:t>anizacji badawczych</w:t>
      </w:r>
      <w:r w:rsidRPr="00890249">
        <w:rPr>
          <w:rFonts w:asciiTheme="minorHAnsi" w:hAnsiTheme="minorHAnsi" w:cstheme="minorHAnsi"/>
          <w:sz w:val="22"/>
          <w:szCs w:val="22"/>
        </w:rPr>
        <w:t xml:space="preserve"> mająca poprawić konkurencyjność </w:t>
      </w:r>
      <w:r w:rsidR="00E13AB7" w:rsidRPr="00890249">
        <w:rPr>
          <w:rFonts w:asciiTheme="minorHAnsi" w:hAnsiTheme="minorHAnsi" w:cstheme="minorHAnsi"/>
          <w:sz w:val="22"/>
          <w:szCs w:val="22"/>
        </w:rPr>
        <w:t xml:space="preserve">i innowacyjność </w:t>
      </w:r>
      <w:r w:rsidRPr="00890249">
        <w:rPr>
          <w:rFonts w:asciiTheme="minorHAnsi" w:hAnsiTheme="minorHAnsi" w:cstheme="minorHAnsi"/>
          <w:sz w:val="22"/>
          <w:szCs w:val="22"/>
        </w:rPr>
        <w:t xml:space="preserve">regionalnej gospodarki będzie finansowana </w:t>
      </w:r>
      <w:r w:rsidR="000760D9" w:rsidRPr="00890249">
        <w:rPr>
          <w:rFonts w:asciiTheme="minorHAnsi" w:hAnsiTheme="minorHAnsi" w:cstheme="minorHAnsi"/>
          <w:sz w:val="22"/>
          <w:szCs w:val="22"/>
        </w:rPr>
        <w:t>zgodnie z zasadami określonymi w UP</w:t>
      </w:r>
      <w:r w:rsidR="000A24BA" w:rsidRPr="00890249">
        <w:rPr>
          <w:rFonts w:asciiTheme="minorHAnsi" w:hAnsiTheme="minorHAnsi" w:cstheme="minorHAnsi"/>
          <w:sz w:val="22"/>
          <w:szCs w:val="22"/>
        </w:rPr>
        <w:t xml:space="preserve"> i</w:t>
      </w:r>
      <w:r w:rsidR="000760D9" w:rsidRPr="00890249">
        <w:rPr>
          <w:rFonts w:asciiTheme="minorHAnsi" w:hAnsiTheme="minorHAnsi" w:cstheme="minorHAnsi"/>
          <w:sz w:val="22"/>
          <w:szCs w:val="22"/>
        </w:rPr>
        <w:t xml:space="preserve"> </w:t>
      </w:r>
      <w:r w:rsidRPr="00890249">
        <w:rPr>
          <w:rFonts w:asciiTheme="minorHAnsi" w:hAnsiTheme="minorHAnsi" w:cstheme="minorHAnsi"/>
          <w:sz w:val="22"/>
          <w:szCs w:val="22"/>
        </w:rPr>
        <w:t>tylko po przedstawieniu analizy popytu dotyczącej jej wykorzystania gospodarczego</w:t>
      </w:r>
      <w:r w:rsidR="00E13AB7" w:rsidRPr="00890249">
        <w:rPr>
          <w:rFonts w:asciiTheme="minorHAnsi" w:hAnsiTheme="minorHAnsi" w:cstheme="minorHAnsi"/>
          <w:sz w:val="22"/>
          <w:szCs w:val="22"/>
        </w:rPr>
        <w:t>.</w:t>
      </w:r>
      <w:r w:rsidRPr="00890249">
        <w:rPr>
          <w:rFonts w:asciiTheme="minorHAnsi" w:hAnsiTheme="minorHAnsi" w:cstheme="minorHAnsi"/>
          <w:sz w:val="22"/>
          <w:szCs w:val="22"/>
        </w:rPr>
        <w:t xml:space="preserve"> </w:t>
      </w:r>
      <w:r w:rsidR="000760D9" w:rsidRPr="00890249">
        <w:rPr>
          <w:rFonts w:asciiTheme="minorHAnsi" w:hAnsiTheme="minorHAnsi" w:cstheme="minorHAnsi"/>
          <w:sz w:val="22"/>
          <w:szCs w:val="22"/>
        </w:rPr>
        <w:t xml:space="preserve">Wyniki </w:t>
      </w:r>
      <w:r w:rsidR="00E13AB7" w:rsidRPr="00890249">
        <w:rPr>
          <w:rFonts w:asciiTheme="minorHAnsi" w:hAnsiTheme="minorHAnsi" w:cstheme="minorHAnsi"/>
          <w:sz w:val="22"/>
          <w:szCs w:val="22"/>
        </w:rPr>
        <w:t xml:space="preserve">przeprowadzonego badania ankietowego </w:t>
      </w:r>
      <w:r w:rsidR="000760D9" w:rsidRPr="00890249">
        <w:rPr>
          <w:rFonts w:asciiTheme="minorHAnsi" w:hAnsiTheme="minorHAnsi" w:cstheme="minorHAnsi"/>
          <w:sz w:val="22"/>
          <w:szCs w:val="22"/>
        </w:rPr>
        <w:t xml:space="preserve">potrzeb w zakresie infrastruktury B+R </w:t>
      </w:r>
      <w:r w:rsidR="00DA00F3" w:rsidRPr="00890249">
        <w:rPr>
          <w:rFonts w:asciiTheme="minorHAnsi" w:hAnsiTheme="minorHAnsi" w:cstheme="minorHAnsi"/>
          <w:sz w:val="22"/>
          <w:szCs w:val="22"/>
        </w:rPr>
        <w:t xml:space="preserve">organizacji badawczych </w:t>
      </w:r>
      <w:r w:rsidR="000760D9" w:rsidRPr="00890249">
        <w:rPr>
          <w:rFonts w:asciiTheme="minorHAnsi" w:eastAsia="Times New Roman" w:hAnsiTheme="minorHAnsi" w:cstheme="minorHAnsi"/>
          <w:noProof/>
          <w:sz w:val="22"/>
          <w:szCs w:val="22"/>
        </w:rPr>
        <w:t xml:space="preserve">wykazały, iż bieżący </w:t>
      </w:r>
      <w:r w:rsidR="005044D5" w:rsidRPr="00890249">
        <w:rPr>
          <w:rFonts w:asciiTheme="minorHAnsi" w:eastAsia="Times New Roman" w:hAnsiTheme="minorHAnsi" w:cstheme="minorHAnsi"/>
          <w:noProof/>
          <w:sz w:val="22"/>
          <w:szCs w:val="22"/>
        </w:rPr>
        <w:t xml:space="preserve">jej </w:t>
      </w:r>
      <w:r w:rsidR="000760D9" w:rsidRPr="00890249">
        <w:rPr>
          <w:rFonts w:asciiTheme="minorHAnsi" w:eastAsia="Times New Roman" w:hAnsiTheme="minorHAnsi" w:cstheme="minorHAnsi"/>
          <w:noProof/>
          <w:sz w:val="22"/>
          <w:szCs w:val="22"/>
        </w:rPr>
        <w:t>stan</w:t>
      </w:r>
      <w:r w:rsidR="000760D9" w:rsidRPr="00890249">
        <w:rPr>
          <w:rFonts w:asciiTheme="minorHAnsi" w:hAnsiTheme="minorHAnsi" w:cstheme="minorHAnsi"/>
          <w:sz w:val="22"/>
          <w:szCs w:val="22"/>
        </w:rPr>
        <w:t xml:space="preserve"> nie pozwala na realizację badań w planowanych obszarach w perspektywie 2021-2027</w:t>
      </w:r>
      <w:r w:rsidR="00DA00F3" w:rsidRPr="00890249">
        <w:rPr>
          <w:rFonts w:asciiTheme="minorHAnsi" w:hAnsiTheme="minorHAnsi" w:cstheme="minorHAnsi"/>
          <w:sz w:val="22"/>
          <w:szCs w:val="22"/>
        </w:rPr>
        <w:t>.</w:t>
      </w:r>
      <w:r w:rsidR="003D107E" w:rsidRPr="00890249">
        <w:rPr>
          <w:rFonts w:asciiTheme="minorHAnsi" w:hAnsiTheme="minorHAnsi" w:cstheme="minorHAnsi"/>
          <w:sz w:val="22"/>
          <w:szCs w:val="22"/>
        </w:rPr>
        <w:t xml:space="preserve"> </w:t>
      </w:r>
      <w:r w:rsidRPr="00890249">
        <w:rPr>
          <w:rFonts w:asciiTheme="minorHAnsi" w:eastAsia="Times New Roman" w:hAnsiTheme="minorHAnsi" w:cstheme="minorHAnsi"/>
          <w:noProof/>
          <w:sz w:val="22"/>
          <w:szCs w:val="22"/>
        </w:rPr>
        <w:t>Unowocześnienie infrastruktury w zakresie badań, rozwoju i innowacji będzie skuteczną odpowiedzią sektora nauki na potrzeby przeds</w:t>
      </w:r>
      <w:r w:rsidR="00DA00F3" w:rsidRPr="00890249">
        <w:rPr>
          <w:rFonts w:asciiTheme="minorHAnsi" w:eastAsia="Times New Roman" w:hAnsiTheme="minorHAnsi" w:cstheme="minorHAnsi"/>
          <w:noProof/>
          <w:sz w:val="22"/>
          <w:szCs w:val="22"/>
        </w:rPr>
        <w:t>iębiorstw</w:t>
      </w:r>
      <w:r w:rsidRPr="00890249">
        <w:rPr>
          <w:rFonts w:asciiTheme="minorHAnsi" w:eastAsia="Times New Roman" w:hAnsiTheme="minorHAnsi" w:cstheme="minorHAnsi"/>
          <w:noProof/>
          <w:sz w:val="22"/>
          <w:szCs w:val="22"/>
        </w:rPr>
        <w:t xml:space="preserve"> we wdrażaniu nowych technologii, umożliwi efektywniejsze wykorzystanie posiadanej już aparatury</w:t>
      </w:r>
      <w:r w:rsidR="00DA00F3" w:rsidRPr="00890249">
        <w:rPr>
          <w:rFonts w:asciiTheme="minorHAnsi" w:hAnsiTheme="minorHAnsi" w:cstheme="minorHAnsi"/>
          <w:sz w:val="22"/>
          <w:szCs w:val="22"/>
        </w:rPr>
        <w:t xml:space="preserve"> oraz</w:t>
      </w:r>
      <w:r w:rsidRPr="00890249">
        <w:rPr>
          <w:rFonts w:asciiTheme="minorHAnsi" w:hAnsiTheme="minorHAnsi" w:cstheme="minorHAnsi"/>
          <w:sz w:val="22"/>
          <w:szCs w:val="22"/>
        </w:rPr>
        <w:t xml:space="preserve"> rozwój kapitału B+R</w:t>
      </w:r>
      <w:r w:rsidR="00DA00F3" w:rsidRPr="00890249">
        <w:rPr>
          <w:rFonts w:asciiTheme="minorHAnsi" w:hAnsiTheme="minorHAnsi" w:cstheme="minorHAnsi"/>
          <w:sz w:val="22"/>
          <w:szCs w:val="22"/>
        </w:rPr>
        <w:t>.</w:t>
      </w:r>
      <w:r w:rsidR="000C622E" w:rsidRPr="00890249">
        <w:rPr>
          <w:rFonts w:asciiTheme="minorHAnsi" w:hAnsiTheme="minorHAnsi" w:cstheme="minorHAnsi"/>
          <w:sz w:val="22"/>
          <w:szCs w:val="22"/>
        </w:rPr>
        <w:t xml:space="preserve"> </w:t>
      </w:r>
      <w:r w:rsidRPr="00890249">
        <w:rPr>
          <w:rFonts w:asciiTheme="minorHAnsi" w:eastAsia="Times New Roman" w:hAnsiTheme="minorHAnsi" w:cstheme="minorHAnsi"/>
          <w:noProof/>
          <w:sz w:val="22"/>
          <w:szCs w:val="22"/>
        </w:rPr>
        <w:t>Wsparcie org</w:t>
      </w:r>
      <w:r w:rsidR="00DA00F3" w:rsidRPr="00890249">
        <w:rPr>
          <w:rFonts w:asciiTheme="minorHAnsi" w:eastAsia="Times New Roman" w:hAnsiTheme="minorHAnsi" w:cstheme="minorHAnsi"/>
          <w:noProof/>
          <w:sz w:val="22"/>
          <w:szCs w:val="22"/>
        </w:rPr>
        <w:t>anizacji badawczych</w:t>
      </w:r>
      <w:r w:rsidRPr="00890249">
        <w:rPr>
          <w:rFonts w:asciiTheme="minorHAnsi" w:eastAsia="Times New Roman" w:hAnsiTheme="minorHAnsi" w:cstheme="minorHAnsi"/>
          <w:noProof/>
          <w:sz w:val="22"/>
          <w:szCs w:val="22"/>
        </w:rPr>
        <w:t xml:space="preserve"> przyczyni się do rozwoju inteligentnych specjalizacji regionalnych przez poszerzenie współpracy między instytucjami naukowymi a przeds</w:t>
      </w:r>
      <w:r w:rsidR="00DA00F3" w:rsidRPr="00890249">
        <w:rPr>
          <w:rFonts w:asciiTheme="minorHAnsi" w:eastAsia="Times New Roman" w:hAnsiTheme="minorHAnsi" w:cstheme="minorHAnsi"/>
          <w:noProof/>
          <w:sz w:val="22"/>
          <w:szCs w:val="22"/>
        </w:rPr>
        <w:t>iębiorstwami</w:t>
      </w:r>
      <w:r w:rsidRPr="00890249">
        <w:rPr>
          <w:rFonts w:asciiTheme="minorHAnsi" w:eastAsia="Times New Roman" w:hAnsiTheme="minorHAnsi" w:cstheme="minorHAnsi"/>
          <w:noProof/>
          <w:sz w:val="22"/>
          <w:szCs w:val="22"/>
        </w:rPr>
        <w:t>, poprawę zdolności rynkowych jednostek B+R, wzrost innowacji w przeds</w:t>
      </w:r>
      <w:r w:rsidR="00DA00F3" w:rsidRPr="00890249">
        <w:rPr>
          <w:rFonts w:asciiTheme="minorHAnsi" w:eastAsia="Times New Roman" w:hAnsiTheme="minorHAnsi" w:cstheme="minorHAnsi"/>
          <w:noProof/>
          <w:sz w:val="22"/>
          <w:szCs w:val="22"/>
        </w:rPr>
        <w:t>iębiorstwach</w:t>
      </w:r>
      <w:r w:rsidRPr="00890249">
        <w:rPr>
          <w:rFonts w:asciiTheme="minorHAnsi" w:eastAsia="Times New Roman" w:hAnsiTheme="minorHAnsi" w:cstheme="minorHAnsi"/>
          <w:noProof/>
          <w:sz w:val="22"/>
          <w:szCs w:val="22"/>
        </w:rPr>
        <w:t xml:space="preserve">, promowanie postaw przedsiębiorczych w nauce, a także zwiększy poziom komercyjnego wykorzystania infrastruktury B+R. Rozwijane będą centra badań </w:t>
      </w:r>
      <w:r w:rsidR="00DA00F3" w:rsidRPr="00890249">
        <w:rPr>
          <w:rFonts w:asciiTheme="minorHAnsi" w:eastAsia="Times New Roman" w:hAnsiTheme="minorHAnsi" w:cstheme="minorHAnsi"/>
          <w:noProof/>
          <w:sz w:val="22"/>
          <w:szCs w:val="22"/>
        </w:rPr>
        <w:t>i</w:t>
      </w:r>
      <w:r w:rsidRPr="00890249">
        <w:rPr>
          <w:rFonts w:asciiTheme="minorHAnsi" w:eastAsia="Times New Roman" w:hAnsiTheme="minorHAnsi" w:cstheme="minorHAnsi"/>
          <w:noProof/>
          <w:sz w:val="22"/>
          <w:szCs w:val="22"/>
        </w:rPr>
        <w:t xml:space="preserve"> rozwoju wzmacniające poziom współpracy pomiędzy publicznymi centrami badawczymi a sektorem przeds</w:t>
      </w:r>
      <w:r w:rsidR="00DA00F3" w:rsidRPr="00890249">
        <w:rPr>
          <w:rFonts w:asciiTheme="minorHAnsi" w:eastAsia="Times New Roman" w:hAnsiTheme="minorHAnsi" w:cstheme="minorHAnsi"/>
          <w:noProof/>
          <w:sz w:val="22"/>
          <w:szCs w:val="22"/>
        </w:rPr>
        <w:t>iębiorstw</w:t>
      </w:r>
      <w:r w:rsidRPr="00890249">
        <w:rPr>
          <w:rFonts w:asciiTheme="minorHAnsi" w:eastAsia="Times New Roman" w:hAnsiTheme="minorHAnsi" w:cstheme="minorHAnsi"/>
          <w:noProof/>
          <w:sz w:val="22"/>
          <w:szCs w:val="22"/>
        </w:rPr>
        <w:t xml:space="preserve">. Jednym z elementów wzmocnienia </w:t>
      </w:r>
      <w:r w:rsidR="005044D5" w:rsidRPr="00890249">
        <w:rPr>
          <w:rFonts w:asciiTheme="minorHAnsi" w:eastAsia="Times New Roman" w:hAnsiTheme="minorHAnsi" w:cstheme="minorHAnsi"/>
          <w:noProof/>
          <w:sz w:val="22"/>
          <w:szCs w:val="22"/>
        </w:rPr>
        <w:t xml:space="preserve">centrów badawczych </w:t>
      </w:r>
      <w:r w:rsidRPr="00890249">
        <w:rPr>
          <w:rFonts w:asciiTheme="minorHAnsi" w:eastAsia="Times New Roman" w:hAnsiTheme="minorHAnsi" w:cstheme="minorHAnsi"/>
          <w:noProof/>
          <w:sz w:val="22"/>
          <w:szCs w:val="22"/>
        </w:rPr>
        <w:t xml:space="preserve">może być powstanie </w:t>
      </w:r>
      <w:r w:rsidR="00DA00F3" w:rsidRPr="00890249">
        <w:rPr>
          <w:rFonts w:asciiTheme="minorHAnsi" w:eastAsia="Times New Roman" w:hAnsiTheme="minorHAnsi" w:cstheme="minorHAnsi"/>
          <w:noProof/>
          <w:sz w:val="22"/>
          <w:szCs w:val="22"/>
        </w:rPr>
        <w:t xml:space="preserve">w nich </w:t>
      </w:r>
      <w:r w:rsidRPr="00890249">
        <w:rPr>
          <w:rFonts w:asciiTheme="minorHAnsi" w:eastAsia="Times New Roman" w:hAnsiTheme="minorHAnsi" w:cstheme="minorHAnsi"/>
          <w:noProof/>
          <w:sz w:val="22"/>
          <w:szCs w:val="22"/>
        </w:rPr>
        <w:t>zespołów zorientowanych na obsługę klientów/przedsiębiorstw w zakresie tworzenia nowych technologii oraz wsparcia i wdrażania wyników badań i ich komercjalizacji. W tym celu rozwijane będą kompetencje pracowników org</w:t>
      </w:r>
      <w:r w:rsidR="00DA00F3" w:rsidRPr="00890249">
        <w:rPr>
          <w:rFonts w:asciiTheme="minorHAnsi" w:eastAsia="Times New Roman" w:hAnsiTheme="minorHAnsi" w:cstheme="minorHAnsi"/>
          <w:noProof/>
          <w:sz w:val="22"/>
          <w:szCs w:val="22"/>
        </w:rPr>
        <w:t>anizacji badawczych</w:t>
      </w:r>
      <w:r w:rsidRPr="00890249">
        <w:rPr>
          <w:rFonts w:asciiTheme="minorHAnsi" w:eastAsia="Times New Roman" w:hAnsiTheme="minorHAnsi" w:cstheme="minorHAnsi"/>
          <w:noProof/>
          <w:sz w:val="22"/>
          <w:szCs w:val="22"/>
        </w:rPr>
        <w:t xml:space="preserve"> jako obligatoryjny element projektów w zakresie pub</w:t>
      </w:r>
      <w:r w:rsidR="0034742E" w:rsidRPr="00890249">
        <w:rPr>
          <w:rFonts w:asciiTheme="minorHAnsi" w:eastAsia="Times New Roman" w:hAnsiTheme="minorHAnsi" w:cstheme="minorHAnsi"/>
          <w:noProof/>
          <w:sz w:val="22"/>
          <w:szCs w:val="22"/>
        </w:rPr>
        <w:t>licznej</w:t>
      </w:r>
      <w:r w:rsidRPr="00890249">
        <w:rPr>
          <w:rFonts w:asciiTheme="minorHAnsi" w:eastAsia="Times New Roman" w:hAnsiTheme="minorHAnsi" w:cstheme="minorHAnsi"/>
          <w:noProof/>
          <w:sz w:val="22"/>
          <w:szCs w:val="22"/>
        </w:rPr>
        <w:t xml:space="preserve"> infrastruktury badawczej.</w:t>
      </w:r>
    </w:p>
    <w:p w14:paraId="2EB8098F" w14:textId="06A81958" w:rsidR="0093433C" w:rsidRPr="00890249" w:rsidRDefault="00D62F3C"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rPr>
        <w:t>W ramach interwencji planowane jest systemowe wsparcie w zakresie budowy potencjału regionu we wsparciu działalności B+R przedsiębiorstw oraz konsorcjów przedsiębiorstw z org</w:t>
      </w:r>
      <w:r w:rsidR="0034742E" w:rsidRPr="00890249">
        <w:rPr>
          <w:rFonts w:asciiTheme="minorHAnsi" w:hAnsiTheme="minorHAnsi" w:cstheme="minorHAnsi"/>
          <w:sz w:val="22"/>
          <w:szCs w:val="22"/>
        </w:rPr>
        <w:t>anizacjami</w:t>
      </w:r>
      <w:r w:rsidRPr="00890249">
        <w:rPr>
          <w:rFonts w:asciiTheme="minorHAnsi" w:hAnsiTheme="minorHAnsi" w:cstheme="minorHAnsi"/>
          <w:sz w:val="22"/>
          <w:szCs w:val="22"/>
        </w:rPr>
        <w:t xml:space="preserve"> badawczymi i</w:t>
      </w:r>
      <w:r w:rsidR="00FF2B8D" w:rsidRPr="00890249">
        <w:rPr>
          <w:rFonts w:asciiTheme="minorHAnsi" w:hAnsiTheme="minorHAnsi" w:cstheme="minorHAnsi"/>
          <w:sz w:val="22"/>
          <w:szCs w:val="22"/>
        </w:rPr>
        <w:t> </w:t>
      </w:r>
      <w:r w:rsidRPr="00890249">
        <w:rPr>
          <w:rFonts w:asciiTheme="minorHAnsi" w:hAnsiTheme="minorHAnsi" w:cstheme="minorHAnsi"/>
          <w:sz w:val="22"/>
          <w:szCs w:val="22"/>
        </w:rPr>
        <w:t xml:space="preserve">IOB. </w:t>
      </w:r>
      <w:r w:rsidR="0034742E" w:rsidRPr="00890249">
        <w:rPr>
          <w:rFonts w:asciiTheme="minorHAnsi" w:hAnsiTheme="minorHAnsi" w:cstheme="minorHAnsi"/>
          <w:sz w:val="22"/>
          <w:szCs w:val="22"/>
        </w:rPr>
        <w:t>Prowadzone będą</w:t>
      </w:r>
      <w:r w:rsidRPr="00890249">
        <w:rPr>
          <w:rFonts w:asciiTheme="minorHAnsi" w:hAnsiTheme="minorHAnsi" w:cstheme="minorHAnsi"/>
          <w:sz w:val="22"/>
          <w:szCs w:val="22"/>
        </w:rPr>
        <w:t xml:space="preserve"> działania związane z finansowaniem usług proinnowacyjnych świadczonych przez jednostki B+R</w:t>
      </w:r>
      <w:r w:rsidR="0034742E" w:rsidRPr="00890249">
        <w:rPr>
          <w:rFonts w:asciiTheme="minorHAnsi" w:hAnsiTheme="minorHAnsi" w:cstheme="minorHAnsi"/>
          <w:sz w:val="22"/>
          <w:szCs w:val="22"/>
        </w:rPr>
        <w:t xml:space="preserve">. Dotyczyć one </w:t>
      </w:r>
      <w:r w:rsidRPr="00890249">
        <w:rPr>
          <w:rFonts w:asciiTheme="minorHAnsi" w:hAnsiTheme="minorHAnsi" w:cstheme="minorHAnsi"/>
          <w:sz w:val="22"/>
          <w:szCs w:val="22"/>
        </w:rPr>
        <w:t>będą m.in. prowadzenia prac B+R, czy wdrożenia innowacji</w:t>
      </w:r>
      <w:r w:rsidR="00FF2B8D" w:rsidRPr="00890249">
        <w:rPr>
          <w:rFonts w:asciiTheme="minorHAnsi" w:hAnsiTheme="minorHAnsi" w:cstheme="minorHAnsi"/>
          <w:sz w:val="22"/>
          <w:szCs w:val="22"/>
        </w:rPr>
        <w:t>, przy czym w</w:t>
      </w:r>
      <w:r w:rsidRPr="00890249">
        <w:rPr>
          <w:rFonts w:asciiTheme="minorHAnsi" w:hAnsiTheme="minorHAnsi" w:cstheme="minorHAnsi"/>
          <w:sz w:val="22"/>
          <w:szCs w:val="22"/>
        </w:rPr>
        <w:t>arunkiem udzielania wsparcia dla MŚP jest posiadanie akredytacji krajowej, której celem jest zapewnienie wysokiej </w:t>
      </w:r>
      <w:r w:rsidRPr="00890249">
        <w:rPr>
          <w:rFonts w:asciiTheme="minorHAnsi" w:hAnsiTheme="minorHAnsi" w:cstheme="minorHAnsi"/>
          <w:bCs/>
          <w:sz w:val="22"/>
          <w:szCs w:val="22"/>
        </w:rPr>
        <w:t>jakości usług OI</w:t>
      </w:r>
      <w:r w:rsidRPr="00890249">
        <w:rPr>
          <w:rFonts w:asciiTheme="minorHAnsi" w:hAnsiTheme="minorHAnsi" w:cstheme="minorHAnsi"/>
          <w:b/>
          <w:bCs/>
          <w:sz w:val="22"/>
          <w:szCs w:val="22"/>
        </w:rPr>
        <w:t xml:space="preserve"> </w:t>
      </w:r>
      <w:r w:rsidRPr="00890249">
        <w:rPr>
          <w:rFonts w:asciiTheme="minorHAnsi" w:hAnsiTheme="minorHAnsi" w:cstheme="minorHAnsi"/>
          <w:sz w:val="22"/>
          <w:szCs w:val="22"/>
        </w:rPr>
        <w:t xml:space="preserve">w zakresie innowacyjnego rozwoju MŚP. </w:t>
      </w:r>
      <w:r w:rsidR="00366F9B" w:rsidRPr="00890249">
        <w:rPr>
          <w:rFonts w:asciiTheme="minorHAnsi" w:hAnsiTheme="minorHAnsi" w:cstheme="minorHAnsi"/>
          <w:sz w:val="22"/>
          <w:szCs w:val="22"/>
        </w:rPr>
        <w:t xml:space="preserve">Kolejnym działaniem będzie wsparcie dla innowacyjnych start-up-ów. </w:t>
      </w:r>
      <w:r w:rsidRPr="00890249">
        <w:rPr>
          <w:rFonts w:asciiTheme="minorHAnsi" w:hAnsiTheme="minorHAnsi" w:cstheme="minorHAnsi"/>
          <w:sz w:val="22"/>
          <w:szCs w:val="22"/>
        </w:rPr>
        <w:t>Wsparcie</w:t>
      </w:r>
      <w:r w:rsidR="00FF2B8D" w:rsidRPr="00890249">
        <w:rPr>
          <w:rFonts w:asciiTheme="minorHAnsi" w:hAnsiTheme="minorHAnsi" w:cstheme="minorHAnsi"/>
          <w:sz w:val="22"/>
          <w:szCs w:val="22"/>
        </w:rPr>
        <w:t xml:space="preserve"> systemowe</w:t>
      </w:r>
      <w:r w:rsidRPr="00890249">
        <w:rPr>
          <w:rFonts w:asciiTheme="minorHAnsi" w:hAnsiTheme="minorHAnsi" w:cstheme="minorHAnsi"/>
          <w:sz w:val="22"/>
          <w:szCs w:val="22"/>
        </w:rPr>
        <w:t xml:space="preserve"> będzie skoncentrowane na s</w:t>
      </w:r>
      <w:r w:rsidRPr="00890249">
        <w:rPr>
          <w:rFonts w:asciiTheme="minorHAnsi" w:hAnsiTheme="minorHAnsi" w:cstheme="minorHAnsi"/>
          <w:noProof/>
          <w:sz w:val="22"/>
          <w:szCs w:val="22"/>
        </w:rPr>
        <w:t>tworzeniu oraz rozwijaniu sieci innowacji przedsiębiorców i</w:t>
      </w:r>
      <w:r w:rsidR="00FF2B8D" w:rsidRPr="00890249">
        <w:rPr>
          <w:rFonts w:asciiTheme="minorHAnsi" w:hAnsiTheme="minorHAnsi" w:cstheme="minorHAnsi"/>
          <w:noProof/>
          <w:sz w:val="22"/>
          <w:szCs w:val="22"/>
        </w:rPr>
        <w:t> </w:t>
      </w:r>
      <w:r w:rsidRPr="00890249">
        <w:rPr>
          <w:rFonts w:asciiTheme="minorHAnsi" w:hAnsiTheme="minorHAnsi" w:cstheme="minorHAnsi"/>
          <w:noProof/>
          <w:sz w:val="22"/>
          <w:szCs w:val="22"/>
        </w:rPr>
        <w:t>naukowców m.in. poprzez wzmacnianie współpracy</w:t>
      </w:r>
      <w:r w:rsidR="005044D5"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np. interdyscyplinarne zespoły naukowców i przedsiębiorców, wprowadzenie doktoratów wdrożeniowych i praktycznych prac dyplomowych w celu wypracowania nowych rozwiązań technologicznych dla MŚP, które w</w:t>
      </w:r>
      <w:r w:rsidR="00FF2B8D" w:rsidRPr="00890249">
        <w:rPr>
          <w:rFonts w:asciiTheme="minorHAnsi" w:hAnsiTheme="minorHAnsi" w:cstheme="minorHAnsi"/>
          <w:noProof/>
          <w:sz w:val="22"/>
          <w:szCs w:val="22"/>
        </w:rPr>
        <w:t> </w:t>
      </w:r>
      <w:r w:rsidRPr="00890249">
        <w:rPr>
          <w:rFonts w:asciiTheme="minorHAnsi" w:hAnsiTheme="minorHAnsi" w:cstheme="minorHAnsi"/>
          <w:noProof/>
          <w:sz w:val="22"/>
          <w:szCs w:val="22"/>
        </w:rPr>
        <w:t>długofalowym czasie przyczynią się do transferu wiedzy z nauki do przedsiębiorców. Wsparcie przeznaczone będzie na procesy sieciowania oraz procesy badawcze w obszarach istniejących Regionalnych Inteligentnych Specjalizacji oraz zaktualizowanych w  Proces</w:t>
      </w:r>
      <w:r w:rsidR="005044D5" w:rsidRPr="00890249">
        <w:rPr>
          <w:rFonts w:asciiTheme="minorHAnsi" w:hAnsiTheme="minorHAnsi" w:cstheme="minorHAnsi"/>
          <w:noProof/>
          <w:sz w:val="22"/>
          <w:szCs w:val="22"/>
        </w:rPr>
        <w:t>ie</w:t>
      </w:r>
      <w:r w:rsidRPr="00890249">
        <w:rPr>
          <w:rFonts w:asciiTheme="minorHAnsi" w:hAnsiTheme="minorHAnsi" w:cstheme="minorHAnsi"/>
          <w:noProof/>
          <w:sz w:val="22"/>
          <w:szCs w:val="22"/>
        </w:rPr>
        <w:t xml:space="preserve"> Przedsiębiorczego Odkrywania (PPO).</w:t>
      </w:r>
      <w:r w:rsidR="009750F1" w:rsidRPr="00890249">
        <w:rPr>
          <w:rFonts w:asciiTheme="minorHAnsi" w:hAnsiTheme="minorHAnsi" w:cstheme="minorHAnsi"/>
          <w:noProof/>
          <w:sz w:val="22"/>
          <w:szCs w:val="22"/>
        </w:rPr>
        <w:t xml:space="preserve"> </w:t>
      </w:r>
    </w:p>
    <w:p w14:paraId="6AE834A0" w14:textId="61552AEC" w:rsidR="0093433C" w:rsidRPr="00890249" w:rsidRDefault="004249F6"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 ramach cs (i) realizowane będą projekty </w:t>
      </w:r>
      <w:r w:rsidRPr="00890249">
        <w:rPr>
          <w:rFonts w:asciiTheme="minorHAnsi" w:eastAsia="Times New Roman" w:hAnsiTheme="minorHAnsi" w:cstheme="minorHAnsi"/>
          <w:noProof/>
          <w:sz w:val="22"/>
          <w:szCs w:val="22"/>
        </w:rPr>
        <w:t>w infrastrukturę B+R</w:t>
      </w:r>
      <w:r w:rsidRPr="00890249">
        <w:rPr>
          <w:rFonts w:asciiTheme="minorHAnsi" w:hAnsiTheme="minorHAnsi" w:cstheme="minorHAnsi"/>
          <w:sz w:val="22"/>
          <w:szCs w:val="22"/>
        </w:rPr>
        <w:t xml:space="preserve"> umożliwiające rozwój branż zidentyfikowanych w RSIWO 2030 (tworzone przy współpracy </w:t>
      </w:r>
      <w:r w:rsidRPr="00890249">
        <w:rPr>
          <w:rFonts w:asciiTheme="minorHAnsi" w:eastAsia="Times New Roman" w:hAnsiTheme="minorHAnsi" w:cstheme="minorHAnsi"/>
          <w:noProof/>
          <w:sz w:val="22"/>
          <w:szCs w:val="22"/>
        </w:rPr>
        <w:t>MŚP, jednostek B+R, org. bad., samorządów, IOB oraz innch podmiotów systemu innowacji</w:t>
      </w:r>
      <w:r w:rsidRPr="00890249">
        <w:rPr>
          <w:rFonts w:asciiTheme="minorHAnsi" w:hAnsiTheme="minorHAnsi" w:cstheme="minorHAnsi"/>
          <w:sz w:val="22"/>
          <w:szCs w:val="22"/>
        </w:rPr>
        <w:t>) jako inteligentne specjalizacje regionalne</w:t>
      </w:r>
      <w:r w:rsidR="005044D5" w:rsidRPr="00890249">
        <w:rPr>
          <w:rFonts w:asciiTheme="minorHAnsi" w:hAnsiTheme="minorHAnsi" w:cstheme="minorHAnsi"/>
          <w:sz w:val="22"/>
          <w:szCs w:val="22"/>
        </w:rPr>
        <w:t>,</w:t>
      </w:r>
      <w:r w:rsidRPr="00890249">
        <w:rPr>
          <w:rFonts w:asciiTheme="minorHAnsi" w:hAnsiTheme="minorHAnsi" w:cstheme="minorHAnsi"/>
          <w:sz w:val="22"/>
          <w:szCs w:val="22"/>
        </w:rPr>
        <w:t xml:space="preserve"> tj.:</w:t>
      </w:r>
    </w:p>
    <w:p w14:paraId="1A542800" w14:textId="03AC0B61" w:rsidR="0093433C" w:rsidRPr="00890249" w:rsidRDefault="004249F6" w:rsidP="009F296A">
      <w:pPr>
        <w:pStyle w:val="Listapunktowana3"/>
        <w:numPr>
          <w:ilvl w:val="0"/>
          <w:numId w:val="64"/>
        </w:numPr>
        <w:spacing w:before="0" w:after="0"/>
        <w:ind w:left="941" w:hanging="357"/>
        <w:contextualSpacing w:val="0"/>
        <w:rPr>
          <w:rFonts w:asciiTheme="minorHAnsi" w:hAnsiTheme="minorHAnsi" w:cstheme="minorHAnsi"/>
          <w:sz w:val="22"/>
          <w:szCs w:val="22"/>
        </w:rPr>
      </w:pPr>
      <w:r w:rsidRPr="00890249">
        <w:rPr>
          <w:rFonts w:asciiTheme="minorHAnsi" w:hAnsiTheme="minorHAnsi" w:cstheme="minorHAnsi"/>
          <w:sz w:val="22"/>
          <w:szCs w:val="22"/>
        </w:rPr>
        <w:t>tech</w:t>
      </w:r>
      <w:r w:rsidR="00366F9B" w:rsidRPr="00890249">
        <w:rPr>
          <w:rFonts w:asciiTheme="minorHAnsi" w:hAnsiTheme="minorHAnsi" w:cstheme="minorHAnsi"/>
          <w:sz w:val="22"/>
          <w:szCs w:val="22"/>
        </w:rPr>
        <w:t>nologie</w:t>
      </w:r>
      <w:r w:rsidRPr="00890249">
        <w:rPr>
          <w:rFonts w:asciiTheme="minorHAnsi" w:hAnsiTheme="minorHAnsi" w:cstheme="minorHAnsi"/>
          <w:sz w:val="22"/>
          <w:szCs w:val="22"/>
        </w:rPr>
        <w:t xml:space="preserve"> chemiczne,</w:t>
      </w:r>
    </w:p>
    <w:p w14:paraId="76F2289A" w14:textId="7A3D3B56" w:rsidR="0093433C" w:rsidRPr="00890249" w:rsidRDefault="004249F6" w:rsidP="009F296A">
      <w:pPr>
        <w:pStyle w:val="Listapunktowana3"/>
        <w:numPr>
          <w:ilvl w:val="0"/>
          <w:numId w:val="64"/>
        </w:numPr>
        <w:spacing w:before="0" w:after="0"/>
        <w:ind w:left="941" w:hanging="357"/>
        <w:contextualSpacing w:val="0"/>
        <w:rPr>
          <w:rFonts w:asciiTheme="minorHAnsi" w:hAnsiTheme="minorHAnsi" w:cstheme="minorHAnsi"/>
          <w:sz w:val="22"/>
          <w:szCs w:val="22"/>
        </w:rPr>
      </w:pPr>
      <w:r w:rsidRPr="00890249">
        <w:rPr>
          <w:rFonts w:asciiTheme="minorHAnsi" w:hAnsiTheme="minorHAnsi" w:cstheme="minorHAnsi"/>
          <w:sz w:val="22"/>
          <w:szCs w:val="22"/>
        </w:rPr>
        <w:t>zrównoważone tech</w:t>
      </w:r>
      <w:r w:rsidR="00366F9B" w:rsidRPr="00890249">
        <w:rPr>
          <w:rFonts w:asciiTheme="minorHAnsi" w:hAnsiTheme="minorHAnsi" w:cstheme="minorHAnsi"/>
          <w:sz w:val="22"/>
          <w:szCs w:val="22"/>
        </w:rPr>
        <w:t>nologie</w:t>
      </w:r>
      <w:r w:rsidRPr="00890249">
        <w:rPr>
          <w:rFonts w:asciiTheme="minorHAnsi" w:hAnsiTheme="minorHAnsi" w:cstheme="minorHAnsi"/>
          <w:sz w:val="22"/>
          <w:szCs w:val="22"/>
        </w:rPr>
        <w:t xml:space="preserve"> budownictwa i drewna,</w:t>
      </w:r>
    </w:p>
    <w:p w14:paraId="53E3A597" w14:textId="1A1A4DCD" w:rsidR="0093433C" w:rsidRPr="00890249" w:rsidRDefault="004249F6" w:rsidP="009F296A">
      <w:pPr>
        <w:pStyle w:val="Listapunktowana3"/>
        <w:numPr>
          <w:ilvl w:val="0"/>
          <w:numId w:val="64"/>
        </w:numPr>
        <w:spacing w:before="0" w:after="0"/>
        <w:ind w:left="941" w:hanging="357"/>
        <w:contextualSpacing w:val="0"/>
        <w:rPr>
          <w:rFonts w:asciiTheme="minorHAnsi" w:hAnsiTheme="minorHAnsi" w:cstheme="minorHAnsi"/>
          <w:sz w:val="22"/>
          <w:szCs w:val="22"/>
        </w:rPr>
      </w:pPr>
      <w:r w:rsidRPr="00890249">
        <w:rPr>
          <w:rFonts w:asciiTheme="minorHAnsi" w:hAnsiTheme="minorHAnsi" w:cstheme="minorHAnsi"/>
          <w:sz w:val="22"/>
          <w:szCs w:val="22"/>
        </w:rPr>
        <w:t>tech</w:t>
      </w:r>
      <w:r w:rsidR="00366F9B" w:rsidRPr="00890249">
        <w:rPr>
          <w:rFonts w:asciiTheme="minorHAnsi" w:hAnsiTheme="minorHAnsi" w:cstheme="minorHAnsi"/>
          <w:sz w:val="22"/>
          <w:szCs w:val="22"/>
        </w:rPr>
        <w:t>nologie</w:t>
      </w:r>
      <w:r w:rsidRPr="00890249">
        <w:rPr>
          <w:rFonts w:asciiTheme="minorHAnsi" w:hAnsiTheme="minorHAnsi" w:cstheme="minorHAnsi"/>
          <w:sz w:val="22"/>
          <w:szCs w:val="22"/>
        </w:rPr>
        <w:t xml:space="preserve"> przemysłu maszynowego i metalowego,</w:t>
      </w:r>
    </w:p>
    <w:p w14:paraId="46C265AB" w14:textId="7E27792D" w:rsidR="0093433C" w:rsidRPr="00890249" w:rsidRDefault="004249F6" w:rsidP="009F296A">
      <w:pPr>
        <w:pStyle w:val="Listapunktowana3"/>
        <w:numPr>
          <w:ilvl w:val="0"/>
          <w:numId w:val="64"/>
        </w:numPr>
        <w:spacing w:before="0" w:after="0"/>
        <w:ind w:left="941" w:hanging="357"/>
        <w:contextualSpacing w:val="0"/>
        <w:rPr>
          <w:rFonts w:asciiTheme="minorHAnsi" w:hAnsiTheme="minorHAnsi" w:cstheme="minorHAnsi"/>
          <w:sz w:val="22"/>
          <w:szCs w:val="22"/>
        </w:rPr>
      </w:pPr>
      <w:r w:rsidRPr="00890249">
        <w:rPr>
          <w:rFonts w:asciiTheme="minorHAnsi" w:hAnsiTheme="minorHAnsi" w:cstheme="minorHAnsi"/>
          <w:sz w:val="22"/>
          <w:szCs w:val="22"/>
        </w:rPr>
        <w:t>tech</w:t>
      </w:r>
      <w:r w:rsidR="00366F9B" w:rsidRPr="00890249">
        <w:rPr>
          <w:rFonts w:asciiTheme="minorHAnsi" w:hAnsiTheme="minorHAnsi" w:cstheme="minorHAnsi"/>
          <w:sz w:val="22"/>
          <w:szCs w:val="22"/>
        </w:rPr>
        <w:t>nologie</w:t>
      </w:r>
      <w:r w:rsidRPr="00890249">
        <w:rPr>
          <w:rFonts w:asciiTheme="minorHAnsi" w:hAnsiTheme="minorHAnsi" w:cstheme="minorHAnsi"/>
          <w:sz w:val="22"/>
          <w:szCs w:val="22"/>
        </w:rPr>
        <w:t xml:space="preserve"> rolno – spożywcze,</w:t>
      </w:r>
    </w:p>
    <w:p w14:paraId="1E39BB2F" w14:textId="77777777" w:rsidR="0093433C" w:rsidRPr="00890249" w:rsidRDefault="004249F6" w:rsidP="009F296A">
      <w:pPr>
        <w:pStyle w:val="Listapunktowana4"/>
        <w:numPr>
          <w:ilvl w:val="0"/>
          <w:numId w:val="64"/>
        </w:numPr>
        <w:spacing w:before="0" w:after="0"/>
        <w:ind w:left="941" w:hanging="357"/>
        <w:contextualSpacing w:val="0"/>
        <w:rPr>
          <w:rFonts w:asciiTheme="minorHAnsi" w:hAnsiTheme="minorHAnsi" w:cstheme="minorHAnsi"/>
          <w:sz w:val="22"/>
          <w:szCs w:val="22"/>
        </w:rPr>
      </w:pPr>
      <w:r w:rsidRPr="00890249">
        <w:rPr>
          <w:rFonts w:asciiTheme="minorHAnsi" w:hAnsiTheme="minorHAnsi" w:cstheme="minorHAnsi"/>
          <w:sz w:val="22"/>
          <w:szCs w:val="22"/>
        </w:rPr>
        <w:t>procesy, produkty i usługi ochrony zdrowia i jakości życia</w:t>
      </w:r>
      <w:r w:rsidR="000C622E" w:rsidRPr="00890249">
        <w:rPr>
          <w:rFonts w:asciiTheme="minorHAnsi" w:hAnsiTheme="minorHAnsi" w:cstheme="minorHAnsi"/>
          <w:sz w:val="22"/>
          <w:szCs w:val="22"/>
        </w:rPr>
        <w:t xml:space="preserve"> </w:t>
      </w:r>
    </w:p>
    <w:p w14:paraId="27CECD8C" w14:textId="4B60AD08" w:rsidR="0093433C" w:rsidRPr="00890249" w:rsidRDefault="00D62F3C" w:rsidP="009F296A">
      <w:pPr>
        <w:pStyle w:val="Listapunktowana3"/>
        <w:numPr>
          <w:ilvl w:val="0"/>
          <w:numId w:val="64"/>
        </w:numPr>
        <w:spacing w:before="0" w:after="0"/>
        <w:ind w:left="941" w:hanging="357"/>
        <w:contextualSpacing w:val="0"/>
        <w:rPr>
          <w:rFonts w:asciiTheme="minorHAnsi" w:hAnsiTheme="minorHAnsi" w:cstheme="minorHAnsi"/>
          <w:sz w:val="22"/>
          <w:szCs w:val="22"/>
        </w:rPr>
      </w:pPr>
      <w:r w:rsidRPr="00890249">
        <w:rPr>
          <w:rFonts w:asciiTheme="minorHAnsi" w:hAnsiTheme="minorHAnsi" w:cstheme="minorHAnsi"/>
          <w:sz w:val="22"/>
          <w:szCs w:val="22"/>
        </w:rPr>
        <w:lastRenderedPageBreak/>
        <w:t>oraz obszary badawcze zidentyfikowane w ramach PPO</w:t>
      </w:r>
      <w:r w:rsidR="00366F9B" w:rsidRPr="00890249">
        <w:rPr>
          <w:rFonts w:asciiTheme="minorHAnsi" w:hAnsiTheme="minorHAnsi" w:cstheme="minorHAnsi"/>
          <w:sz w:val="22"/>
          <w:szCs w:val="22"/>
        </w:rPr>
        <w:t>.</w:t>
      </w:r>
    </w:p>
    <w:p w14:paraId="59E188E5" w14:textId="77777777" w:rsidR="0093433C" w:rsidRPr="00890249" w:rsidRDefault="004249F6"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Planowane typy przedsięwzięć:</w:t>
      </w:r>
    </w:p>
    <w:p w14:paraId="064AF460" w14:textId="5BFF4847"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I</w:t>
      </w:r>
      <w:r w:rsidR="0036277B" w:rsidRPr="00890249">
        <w:rPr>
          <w:rFonts w:asciiTheme="minorHAnsi" w:hAnsiTheme="minorHAnsi" w:cstheme="minorHAnsi"/>
          <w:noProof/>
          <w:sz w:val="22"/>
          <w:szCs w:val="22"/>
        </w:rPr>
        <w:t xml:space="preserve">nfrastruktura i prace B+R przed. </w:t>
      </w:r>
    </w:p>
    <w:p w14:paraId="4DE20CF8" w14:textId="33772265"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I</w:t>
      </w:r>
      <w:r w:rsidR="0036277B" w:rsidRPr="00890249">
        <w:rPr>
          <w:rFonts w:asciiTheme="minorHAnsi" w:hAnsiTheme="minorHAnsi" w:cstheme="minorHAnsi"/>
          <w:noProof/>
          <w:sz w:val="22"/>
          <w:szCs w:val="22"/>
        </w:rPr>
        <w:t>nfrastruktura B+R organizacji badawczych</w:t>
      </w:r>
    </w:p>
    <w:p w14:paraId="656D2DC5" w14:textId="55AAF8D6"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B</w:t>
      </w:r>
      <w:r w:rsidR="0036277B" w:rsidRPr="00890249">
        <w:rPr>
          <w:rFonts w:asciiTheme="minorHAnsi" w:hAnsiTheme="minorHAnsi" w:cstheme="minorHAnsi"/>
          <w:noProof/>
          <w:sz w:val="22"/>
          <w:szCs w:val="22"/>
        </w:rPr>
        <w:t>udowa potencjału regionu we wsparciu działalności B+R przeds. oraz konsorcjów przeds. z organizacjami badawczymi i IOB</w:t>
      </w:r>
    </w:p>
    <w:p w14:paraId="18888609" w14:textId="2C2F1FD5"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P</w:t>
      </w:r>
      <w:r w:rsidR="0036277B" w:rsidRPr="00890249">
        <w:rPr>
          <w:rFonts w:asciiTheme="minorHAnsi" w:hAnsiTheme="minorHAnsi" w:cstheme="minorHAnsi"/>
          <w:noProof/>
          <w:sz w:val="22"/>
          <w:szCs w:val="22"/>
        </w:rPr>
        <w:t>roinnowacyjne usługi jednostek B+R dla MŚP</w:t>
      </w:r>
      <w:r w:rsidR="00FF2B8D" w:rsidRPr="00890249">
        <w:rPr>
          <w:rFonts w:asciiTheme="minorHAnsi" w:hAnsiTheme="minorHAnsi" w:cstheme="minorHAnsi"/>
          <w:noProof/>
          <w:sz w:val="22"/>
          <w:szCs w:val="22"/>
        </w:rPr>
        <w:t>,</w:t>
      </w:r>
      <w:r w:rsidR="0036277B" w:rsidRPr="00890249">
        <w:rPr>
          <w:rFonts w:asciiTheme="minorHAnsi" w:hAnsiTheme="minorHAnsi" w:cstheme="minorHAnsi"/>
          <w:noProof/>
          <w:sz w:val="22"/>
          <w:szCs w:val="22"/>
        </w:rPr>
        <w:t xml:space="preserve"> wsparcie start-up-ów</w:t>
      </w:r>
    </w:p>
    <w:p w14:paraId="0EDA2FAA" w14:textId="3B0BE2EE"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D</w:t>
      </w:r>
      <w:r w:rsidR="0036277B" w:rsidRPr="00890249">
        <w:rPr>
          <w:rFonts w:asciiTheme="minorHAnsi" w:hAnsiTheme="minorHAnsi" w:cstheme="minorHAnsi"/>
          <w:noProof/>
          <w:sz w:val="22"/>
          <w:szCs w:val="22"/>
        </w:rPr>
        <w:t>oktoraty wdrożeniowe i praktyczne prace dyplomowe</w:t>
      </w:r>
    </w:p>
    <w:p w14:paraId="70EC17BE" w14:textId="6FE63CFC"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W</w:t>
      </w:r>
      <w:r w:rsidR="00E80A8E" w:rsidRPr="00890249">
        <w:rPr>
          <w:rFonts w:asciiTheme="minorHAnsi" w:hAnsiTheme="minorHAnsi" w:cstheme="minorHAnsi"/>
          <w:noProof/>
          <w:sz w:val="22"/>
          <w:szCs w:val="22"/>
        </w:rPr>
        <w:t xml:space="preserve">sparcie </w:t>
      </w:r>
      <w:r w:rsidR="0036277B" w:rsidRPr="00890249">
        <w:rPr>
          <w:rFonts w:asciiTheme="minorHAnsi" w:hAnsiTheme="minorHAnsi" w:cstheme="minorHAnsi"/>
          <w:noProof/>
          <w:sz w:val="22"/>
          <w:szCs w:val="22"/>
        </w:rPr>
        <w:t>dla naukowców i przed. w zakresie wymiany mysli naukowej idoswiadczeń</w:t>
      </w:r>
    </w:p>
    <w:p w14:paraId="3FAC4FDF" w14:textId="204FC27B" w:rsidR="0093433C" w:rsidRPr="00890249" w:rsidRDefault="00620DB9" w:rsidP="009F296A">
      <w:pPr>
        <w:pStyle w:val="Lista3"/>
        <w:numPr>
          <w:ilvl w:val="0"/>
          <w:numId w:val="149"/>
        </w:numPr>
        <w:rPr>
          <w:rFonts w:asciiTheme="minorHAnsi" w:hAnsiTheme="minorHAnsi" w:cstheme="minorHAnsi"/>
          <w:noProof/>
          <w:sz w:val="22"/>
          <w:szCs w:val="22"/>
        </w:rPr>
      </w:pPr>
      <w:r>
        <w:rPr>
          <w:rFonts w:asciiTheme="minorHAnsi" w:hAnsiTheme="minorHAnsi" w:cstheme="minorHAnsi"/>
          <w:noProof/>
          <w:sz w:val="22"/>
          <w:szCs w:val="22"/>
        </w:rPr>
        <w:t>I</w:t>
      </w:r>
      <w:r w:rsidR="0036277B" w:rsidRPr="00890249">
        <w:rPr>
          <w:rFonts w:asciiTheme="minorHAnsi" w:hAnsiTheme="minorHAnsi" w:cstheme="minorHAnsi"/>
          <w:noProof/>
          <w:sz w:val="22"/>
          <w:szCs w:val="22"/>
        </w:rPr>
        <w:t>dentyfikacja nowych kierunków badań naukowych i prac rozwojowych w ramach PPO na rzecz RSI</w:t>
      </w:r>
    </w:p>
    <w:p w14:paraId="1E9C92C5" w14:textId="56809656" w:rsidR="0093433C" w:rsidRPr="00876A82" w:rsidRDefault="00620DB9" w:rsidP="00876A82">
      <w:pPr>
        <w:pStyle w:val="Lista3"/>
        <w:numPr>
          <w:ilvl w:val="0"/>
          <w:numId w:val="149"/>
        </w:numPr>
        <w:rPr>
          <w:rFonts w:asciiTheme="minorHAnsi" w:hAnsiTheme="minorHAnsi" w:cstheme="minorHAnsi"/>
          <w:sz w:val="22"/>
          <w:szCs w:val="22"/>
          <w:lang w:eastAsia="en-US" w:bidi="ar-SA"/>
        </w:rPr>
      </w:pPr>
      <w:r w:rsidRPr="00876A82">
        <w:rPr>
          <w:rFonts w:asciiTheme="minorHAnsi" w:hAnsiTheme="minorHAnsi" w:cstheme="minorHAnsi"/>
          <w:noProof/>
          <w:sz w:val="22"/>
          <w:szCs w:val="22"/>
        </w:rPr>
        <w:t>P</w:t>
      </w:r>
      <w:r w:rsidR="0036277B" w:rsidRPr="00876A82">
        <w:rPr>
          <w:rFonts w:asciiTheme="minorHAnsi" w:hAnsiTheme="minorHAnsi" w:cstheme="minorHAnsi"/>
          <w:noProof/>
          <w:sz w:val="22"/>
          <w:szCs w:val="22"/>
        </w:rPr>
        <w:t>odnoszenie kompetencji pracowników MŚP wyłącznie jako uzupełniający element projektu</w:t>
      </w:r>
      <w:r w:rsidR="00955131">
        <w:rPr>
          <w:rFonts w:asciiTheme="minorHAnsi" w:hAnsiTheme="minorHAnsi" w:cstheme="minorHAnsi"/>
          <w:noProof/>
          <w:sz w:val="22"/>
          <w:szCs w:val="22"/>
        </w:rPr>
        <w:t>.</w:t>
      </w:r>
    </w:p>
    <w:p w14:paraId="4FFDA75A" w14:textId="667948F0" w:rsidR="0093433C" w:rsidRPr="00890249" w:rsidRDefault="005044D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Planowane są</w:t>
      </w:r>
      <w:r w:rsidR="00D62F3C" w:rsidRPr="00890249">
        <w:rPr>
          <w:rFonts w:asciiTheme="minorHAnsi" w:hAnsiTheme="minorHAnsi" w:cstheme="minorHAnsi"/>
          <w:sz w:val="22"/>
          <w:szCs w:val="22"/>
        </w:rPr>
        <w:t xml:space="preserve"> preferencj</w:t>
      </w:r>
      <w:r w:rsidRPr="00890249">
        <w:rPr>
          <w:rFonts w:asciiTheme="minorHAnsi" w:hAnsiTheme="minorHAnsi" w:cstheme="minorHAnsi"/>
          <w:sz w:val="22"/>
          <w:szCs w:val="22"/>
        </w:rPr>
        <w:t>e</w:t>
      </w:r>
      <w:r w:rsidR="00D62F3C" w:rsidRPr="00890249">
        <w:rPr>
          <w:rFonts w:asciiTheme="minorHAnsi" w:hAnsiTheme="minorHAnsi" w:cstheme="minorHAnsi"/>
          <w:sz w:val="22"/>
          <w:szCs w:val="22"/>
        </w:rPr>
        <w:t xml:space="preserve"> dla projektów z terenów: OSI krajowe,</w:t>
      </w:r>
      <w:r w:rsidR="00D62F3C" w:rsidRPr="00890249" w:rsidDel="001959CE">
        <w:rPr>
          <w:rFonts w:asciiTheme="minorHAnsi" w:hAnsiTheme="minorHAnsi" w:cstheme="minorHAnsi"/>
          <w:sz w:val="22"/>
          <w:szCs w:val="22"/>
        </w:rPr>
        <w:t xml:space="preserve"> </w:t>
      </w:r>
      <w:r w:rsidR="00D62F3C" w:rsidRPr="00890249">
        <w:rPr>
          <w:rFonts w:asciiTheme="minorHAnsi" w:hAnsiTheme="minorHAnsi" w:cstheme="minorHAnsi"/>
          <w:sz w:val="22"/>
          <w:szCs w:val="22"/>
        </w:rPr>
        <w:t>OSI regionalne – Subregionu P</w:t>
      </w:r>
      <w:r w:rsidR="00D92105" w:rsidRPr="00890249">
        <w:rPr>
          <w:rFonts w:asciiTheme="minorHAnsi" w:hAnsiTheme="minorHAnsi" w:cstheme="minorHAnsi"/>
          <w:sz w:val="22"/>
          <w:szCs w:val="22"/>
        </w:rPr>
        <w:t>ołudniowego</w:t>
      </w:r>
      <w:r w:rsidR="00D62F3C" w:rsidRPr="00890249">
        <w:rPr>
          <w:rFonts w:asciiTheme="minorHAnsi" w:hAnsiTheme="minorHAnsi" w:cstheme="minorHAnsi"/>
          <w:sz w:val="22"/>
          <w:szCs w:val="22"/>
        </w:rPr>
        <w:t xml:space="preserve"> (powiaty: głubczycki, nyski, prudnicki), które charakteryzują się niższymi wskaźnikami rozwoju gospodarczego, a także przedsiębiorstw we wczesnej fazie rozwoju (do 24 m-cy).</w:t>
      </w:r>
    </w:p>
    <w:p w14:paraId="09D82033" w14:textId="34297F0A"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Wdrażanie rozwiązań cyfrowych w MŚP </w:t>
      </w:r>
      <w:r w:rsidR="00835E9E" w:rsidRPr="00890249">
        <w:rPr>
          <w:rFonts w:asciiTheme="minorHAnsi" w:hAnsiTheme="minorHAnsi" w:cstheme="minorHAnsi"/>
          <w:noProof/>
          <w:sz w:val="22"/>
          <w:szCs w:val="22"/>
        </w:rPr>
        <w:t>możliwe będzie jako</w:t>
      </w:r>
      <w:r w:rsidR="00B7215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element projekt</w:t>
      </w:r>
      <w:r w:rsidR="00835E9E" w:rsidRPr="00890249">
        <w:rPr>
          <w:rFonts w:asciiTheme="minorHAnsi" w:hAnsiTheme="minorHAnsi" w:cstheme="minorHAnsi"/>
          <w:noProof/>
          <w:sz w:val="22"/>
          <w:szCs w:val="22"/>
        </w:rPr>
        <w:t>u</w:t>
      </w:r>
      <w:r w:rsidRPr="00890249">
        <w:rPr>
          <w:rFonts w:asciiTheme="minorHAnsi" w:hAnsiTheme="minorHAnsi" w:cstheme="minorHAnsi"/>
          <w:noProof/>
          <w:sz w:val="22"/>
          <w:szCs w:val="22"/>
        </w:rPr>
        <w:t>.</w:t>
      </w:r>
    </w:p>
    <w:p w14:paraId="23C32E27" w14:textId="65EC21C5"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4249F6"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791B988F" w14:textId="77777777" w:rsidR="009B66E4" w:rsidRPr="00890249" w:rsidRDefault="009B66E4" w:rsidP="009B66E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3A43C36B" w14:textId="77777777" w:rsidR="0093433C" w:rsidRPr="00890249" w:rsidRDefault="004249F6" w:rsidP="00890249">
      <w:pPr>
        <w:pStyle w:val="Tekstpodstawowy"/>
        <w:rPr>
          <w:rFonts w:asciiTheme="minorHAnsi" w:hAnsiTheme="minorHAnsi" w:cstheme="minorHAnsi"/>
          <w:noProof/>
        </w:rPr>
      </w:pPr>
      <w:r w:rsidRPr="00890249">
        <w:rPr>
          <w:rFonts w:asciiTheme="minorHAnsi" w:hAnsiTheme="minorHAnsi" w:cstheme="minorHAnsi"/>
          <w:noProof/>
        </w:rPr>
        <w:t>Przedsiębiorstwa, organizacje badawcze, jednostki B+R, jednostki samorządu terytorialnego, mieszkańcy.</w:t>
      </w:r>
    </w:p>
    <w:p w14:paraId="6EC8A6B8" w14:textId="77777777" w:rsidR="009B66E4" w:rsidRPr="00890249" w:rsidRDefault="009B66E4" w:rsidP="009B66E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264633D6" w14:textId="77777777" w:rsidR="0093433C" w:rsidRPr="00890249" w:rsidRDefault="00A32776" w:rsidP="00890249">
      <w:pPr>
        <w:pStyle w:val="Tekstpodstawowy"/>
        <w:rPr>
          <w:rFonts w:asciiTheme="minorHAnsi" w:eastAsiaTheme="minorHAnsi" w:hAnsiTheme="minorHAnsi" w:cstheme="minorHAnsi"/>
          <w:b/>
          <w:sz w:val="22"/>
          <w:szCs w:val="22"/>
          <w:lang w:eastAsia="en-US" w:bidi="ar-SA"/>
        </w:rPr>
      </w:pPr>
      <w:r w:rsidRPr="00890249">
        <w:rPr>
          <w:rFonts w:asciiTheme="minorHAnsi" w:eastAsiaTheme="minorHAnsi" w:hAnsiTheme="minorHAnsi" w:cstheme="minorHAnsi"/>
          <w:b/>
          <w:sz w:val="22"/>
          <w:szCs w:val="22"/>
          <w:lang w:eastAsia="en-US" w:bidi="ar-SA"/>
        </w:rPr>
        <w:t>ZAPISY DOTYCZĄ CAŁEGO PROGRAMU:</w:t>
      </w:r>
    </w:p>
    <w:p w14:paraId="0E4A6749" w14:textId="6E261BC9" w:rsidR="0093433C" w:rsidRPr="00890249" w:rsidRDefault="004249F6"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będzie realizowane z poszanowaniem fundamentalny</w:t>
      </w:r>
      <w:r w:rsidR="00E37BF5">
        <w:rPr>
          <w:rFonts w:asciiTheme="minorHAnsi" w:hAnsiTheme="minorHAnsi" w:cstheme="minorHAnsi"/>
          <w:sz w:val="22"/>
          <w:szCs w:val="22"/>
          <w:lang w:eastAsia="en-US" w:bidi="ar-SA"/>
        </w:rPr>
        <w:t>ch praw człowieka określonych w </w:t>
      </w:r>
      <w:r w:rsidRPr="00890249">
        <w:rPr>
          <w:rFonts w:asciiTheme="minorHAnsi" w:hAnsiTheme="minorHAnsi" w:cstheme="minorHAnsi"/>
          <w:sz w:val="22"/>
          <w:szCs w:val="22"/>
          <w:lang w:eastAsia="en-US" w:bidi="ar-SA"/>
        </w:rPr>
        <w:t>Karcie Praw Podstawowych Unii Europejskiej, w tym m.in.: nied</w:t>
      </w:r>
      <w:r w:rsidR="009B66E4" w:rsidRPr="00890249">
        <w:rPr>
          <w:rFonts w:asciiTheme="minorHAnsi" w:hAnsiTheme="minorHAnsi" w:cstheme="minorHAnsi"/>
          <w:sz w:val="22"/>
          <w:szCs w:val="22"/>
          <w:lang w:eastAsia="en-US" w:bidi="ar-SA"/>
        </w:rPr>
        <w:t xml:space="preserve">yskryminacją, równością kobiet </w:t>
      </w:r>
      <w:r w:rsidR="000B6842">
        <w:rPr>
          <w:rFonts w:asciiTheme="minorHAnsi" w:hAnsiTheme="minorHAnsi" w:cstheme="minorHAnsi"/>
          <w:sz w:val="22"/>
          <w:szCs w:val="22"/>
          <w:lang w:eastAsia="en-US" w:bidi="ar-SA"/>
        </w:rPr>
        <w:t>i </w:t>
      </w:r>
      <w:r w:rsidRPr="00890249">
        <w:rPr>
          <w:rFonts w:asciiTheme="minorHAnsi" w:hAnsiTheme="minorHAnsi" w:cstheme="minorHAnsi"/>
          <w:sz w:val="22"/>
          <w:szCs w:val="22"/>
          <w:lang w:eastAsia="en-US" w:bidi="ar-SA"/>
        </w:rPr>
        <w:t>mężczyzn, integracją osób niepełnosprawnych. Ponadto będzie zgodne z zasadami transparentności i niedyskryminacji, a także z warunkami określonymi w art. 9 Rozporządzenia UE 2021/1060,</w:t>
      </w:r>
      <w:r w:rsidR="00204763">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tj. w zakresie równości szans kobiet i mężczyzn oraz niedyskryminacji, a także zrównoważonego rozwoju oraz Załącznikiem III do Rozporządzenia UE 2021/1060. </w:t>
      </w:r>
    </w:p>
    <w:p w14:paraId="74DE5964" w14:textId="77777777" w:rsidR="0093433C" w:rsidRPr="00890249" w:rsidRDefault="004249F6"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6C72A65C" w14:textId="77777777" w:rsidR="0093433C" w:rsidRPr="00890249" w:rsidRDefault="004249F6"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0E687391" w14:textId="77777777" w:rsidR="0093433C" w:rsidRPr="00890249" w:rsidRDefault="004249F6" w:rsidP="009F296A">
      <w:pPr>
        <w:pStyle w:val="Listapunktowana"/>
        <w:numPr>
          <w:ilvl w:val="0"/>
          <w:numId w:val="34"/>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4F306F8D" w14:textId="77777777" w:rsidR="0093433C" w:rsidRPr="00890249" w:rsidRDefault="004249F6" w:rsidP="009F296A">
      <w:pPr>
        <w:pStyle w:val="Listapunktowana"/>
        <w:numPr>
          <w:ilvl w:val="0"/>
          <w:numId w:val="66"/>
        </w:numPr>
        <w:rPr>
          <w:rFonts w:asciiTheme="minorHAnsi" w:hAnsiTheme="minorHAnsi" w:cstheme="minorHAnsi"/>
          <w:sz w:val="22"/>
          <w:szCs w:val="22"/>
          <w:lang w:eastAsia="en-US"/>
        </w:rPr>
      </w:pPr>
      <w:r w:rsidRPr="00890249">
        <w:rPr>
          <w:rFonts w:asciiTheme="minorHAnsi" w:eastAsiaTheme="minorHAnsi" w:hAnsiTheme="minorHAnsi" w:cstheme="minorHAnsi"/>
          <w:sz w:val="22"/>
          <w:szCs w:val="22"/>
          <w:lang w:eastAsia="en-US" w:bidi="ar-SA"/>
        </w:rPr>
        <w:t xml:space="preserve">formułowanie kryteriów wyboru projektów wskazujących na odmowę dofinansowania dla </w:t>
      </w:r>
      <w:r w:rsidRPr="00890249">
        <w:rPr>
          <w:rFonts w:asciiTheme="minorHAnsi" w:hAnsiTheme="minorHAnsi" w:cstheme="minorHAnsi"/>
          <w:sz w:val="22"/>
          <w:szCs w:val="22"/>
          <w:lang w:eastAsia="en-US" w:bidi="ar-SA"/>
        </w:rPr>
        <w:t xml:space="preserve">beneficjenta, będącego </w:t>
      </w:r>
      <w:r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437DD825" w14:textId="77777777" w:rsidR="0093433C" w:rsidRPr="00890249" w:rsidRDefault="004249F6" w:rsidP="009F296A">
      <w:pPr>
        <w:pStyle w:val="Listapunktowana"/>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3B8EF35F" w14:textId="77777777" w:rsidR="0093433C" w:rsidRPr="00890249" w:rsidRDefault="004249F6" w:rsidP="009F296A">
      <w:pPr>
        <w:pStyle w:val="Listapunktowana"/>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0FE51962" w14:textId="77777777" w:rsidR="0093433C" w:rsidRPr="00890249" w:rsidRDefault="004249F6" w:rsidP="009F296A">
      <w:pPr>
        <w:pStyle w:val="Listapunktowana"/>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 xml:space="preserve">włączenie do Komitetu Monitorującego członków organizacji pozarządowych oraz reprezentantów mniejszości, w tym etnicznych, </w:t>
      </w:r>
    </w:p>
    <w:p w14:paraId="4B6ED8E7" w14:textId="77777777" w:rsidR="0093433C" w:rsidRPr="00890249" w:rsidRDefault="18C5A4CC" w:rsidP="009F296A">
      <w:pPr>
        <w:pStyle w:val="Listapunktowana"/>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3CA90D22" w14:textId="551680F8"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Z uwagi na zakres tematyczny celu szczegółowego  zostan</w:t>
      </w:r>
      <w:r w:rsidR="003A358C" w:rsidRPr="00890249">
        <w:rPr>
          <w:rFonts w:asciiTheme="minorHAnsi" w:hAnsiTheme="minorHAnsi" w:cstheme="minorHAnsi"/>
          <w:sz w:val="22"/>
          <w:szCs w:val="22"/>
        </w:rPr>
        <w:t>ą</w:t>
      </w:r>
      <w:r w:rsidRPr="00890249">
        <w:rPr>
          <w:rFonts w:asciiTheme="minorHAnsi" w:hAnsiTheme="minorHAnsi" w:cstheme="minorHAnsi"/>
          <w:sz w:val="22"/>
          <w:szCs w:val="22"/>
        </w:rPr>
        <w:t xml:space="preserve"> podj</w:t>
      </w:r>
      <w:r w:rsidR="003A358C" w:rsidRPr="00890249">
        <w:rPr>
          <w:rFonts w:asciiTheme="minorHAnsi" w:hAnsiTheme="minorHAnsi" w:cstheme="minorHAnsi"/>
          <w:sz w:val="22"/>
          <w:szCs w:val="22"/>
        </w:rPr>
        <w:t>ę</w:t>
      </w:r>
      <w:r w:rsidRPr="00890249">
        <w:rPr>
          <w:rFonts w:asciiTheme="minorHAnsi" w:hAnsiTheme="minorHAnsi" w:cstheme="minorHAnsi"/>
          <w:sz w:val="22"/>
          <w:szCs w:val="22"/>
        </w:rPr>
        <w:t>te dzia</w:t>
      </w:r>
      <w:r w:rsidR="003A358C" w:rsidRPr="00890249">
        <w:rPr>
          <w:rFonts w:asciiTheme="minorHAnsi" w:hAnsiTheme="minorHAnsi" w:cstheme="minorHAnsi"/>
          <w:sz w:val="22"/>
          <w:szCs w:val="22"/>
        </w:rPr>
        <w:t>ł</w:t>
      </w:r>
      <w:r w:rsidRPr="00890249">
        <w:rPr>
          <w:rFonts w:asciiTheme="minorHAnsi" w:hAnsiTheme="minorHAnsi" w:cstheme="minorHAnsi"/>
          <w:sz w:val="22"/>
          <w:szCs w:val="22"/>
        </w:rPr>
        <w:t>ania w celu zobowiązania do prowadzenia polityki równości szans m.in. równościowa rekrutacja (stosowanie procedur rekrutacyjnych opartych na obiektywnych kryteriach), powoływanie mieszanych zespołów/grup do realizacji celów i zadań, promowanie równości szans jako elementu kultury organizacyjnej; monitoring wynagrodzeń – analiza poziomu wynagrodzeń, w tym kontrolowanie poziomu współczynnika dyskryminacji płacowej.</w:t>
      </w:r>
    </w:p>
    <w:p w14:paraId="7E413AEC" w14:textId="77777777" w:rsidR="009B66E4" w:rsidRPr="00890249" w:rsidRDefault="009B66E4" w:rsidP="009B66E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1D86F584" w14:textId="77777777" w:rsidR="0093433C" w:rsidRPr="00890249" w:rsidRDefault="004249F6" w:rsidP="00890249">
      <w:pPr>
        <w:pStyle w:val="Tekstpodstawowy"/>
        <w:rPr>
          <w:rFonts w:asciiTheme="minorHAnsi" w:hAnsiTheme="minorHAnsi" w:cstheme="minorHAnsi"/>
          <w:noProof/>
          <w:sz w:val="22"/>
        </w:rPr>
      </w:pPr>
      <w:r w:rsidRPr="00890249">
        <w:rPr>
          <w:rFonts w:asciiTheme="minorHAnsi" w:hAnsiTheme="minorHAnsi" w:cstheme="minorHAnsi"/>
          <w:noProof/>
          <w:sz w:val="22"/>
        </w:rPr>
        <w:t>Wsparciem zostanie objęty cały obszar województwa opolskiego</w:t>
      </w:r>
      <w:r w:rsidR="005B1C43" w:rsidRPr="00890249">
        <w:rPr>
          <w:rFonts w:asciiTheme="minorHAnsi" w:hAnsiTheme="minorHAnsi" w:cstheme="minorHAnsi"/>
          <w:noProof/>
          <w:sz w:val="22"/>
        </w:rPr>
        <w:t>.</w:t>
      </w:r>
    </w:p>
    <w:p w14:paraId="530949B4" w14:textId="77777777" w:rsidR="009B66E4" w:rsidRPr="00890249" w:rsidRDefault="009B66E4" w:rsidP="009B66E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63C5CD95" w14:textId="574F630F"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cs (i) będą wspierane inicjatywy polegające na nawiązywaniu współpracy międzyregionalnej oraz międzynarodowej skutkującej wymianą dobrych praktyk i doświadczeń w celu podnoszenia innowacyjności regionu.</w:t>
      </w:r>
    </w:p>
    <w:p w14:paraId="021D4075"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Obecnie współpraca międzynarodowa jest realizowana przez woj. opolskie poprzez udział w konsorcjach projektowych programów międzynarodowych np.: </w:t>
      </w:r>
    </w:p>
    <w:p w14:paraId="21838ADF" w14:textId="77777777" w:rsidR="004249F6" w:rsidRPr="00890249" w:rsidRDefault="004249F6" w:rsidP="009F296A">
      <w:pPr>
        <w:pStyle w:val="Akapitzlist"/>
        <w:numPr>
          <w:ilvl w:val="0"/>
          <w:numId w:val="131"/>
        </w:numPr>
        <w:ind w:left="426"/>
        <w:rPr>
          <w:rFonts w:asciiTheme="minorHAnsi" w:hAnsiTheme="minorHAnsi" w:cstheme="minorHAnsi"/>
          <w:noProof/>
          <w:sz w:val="22"/>
          <w:szCs w:val="22"/>
          <w:lang w:val="en-US"/>
        </w:rPr>
      </w:pPr>
      <w:r w:rsidRPr="00890249">
        <w:rPr>
          <w:rFonts w:asciiTheme="minorHAnsi" w:hAnsiTheme="minorHAnsi" w:cstheme="minorHAnsi"/>
          <w:noProof/>
          <w:sz w:val="22"/>
          <w:szCs w:val="22"/>
          <w:lang w:val="en-US"/>
        </w:rPr>
        <w:t>SMEs &amp; European Original Geographical Indications, Interreg Europe,</w:t>
      </w:r>
    </w:p>
    <w:p w14:paraId="4E734E6C" w14:textId="77777777" w:rsidR="004249F6" w:rsidRPr="00890249" w:rsidRDefault="004249F6" w:rsidP="009F296A">
      <w:pPr>
        <w:pStyle w:val="Akapitzlist"/>
        <w:numPr>
          <w:ilvl w:val="0"/>
          <w:numId w:val="131"/>
        </w:numPr>
        <w:ind w:left="426"/>
        <w:rPr>
          <w:rFonts w:asciiTheme="minorHAnsi" w:hAnsiTheme="minorHAnsi" w:cstheme="minorHAnsi"/>
          <w:noProof/>
          <w:sz w:val="22"/>
          <w:szCs w:val="22"/>
          <w:lang w:val="en-US"/>
        </w:rPr>
      </w:pPr>
      <w:r w:rsidRPr="00890249">
        <w:rPr>
          <w:rFonts w:asciiTheme="minorHAnsi" w:hAnsiTheme="minorHAnsi" w:cstheme="minorHAnsi"/>
          <w:noProof/>
          <w:sz w:val="22"/>
          <w:szCs w:val="22"/>
          <w:lang w:val="en-US"/>
        </w:rPr>
        <w:t>MABA on Re3 Start, Interreg Baltic Sea,</w:t>
      </w:r>
    </w:p>
    <w:p w14:paraId="38947507" w14:textId="77777777" w:rsidR="004249F6" w:rsidRPr="00890249" w:rsidRDefault="004249F6" w:rsidP="009F296A">
      <w:pPr>
        <w:pStyle w:val="Akapitzlist"/>
        <w:numPr>
          <w:ilvl w:val="0"/>
          <w:numId w:val="131"/>
        </w:numPr>
        <w:ind w:left="426"/>
        <w:rPr>
          <w:rFonts w:asciiTheme="minorHAnsi" w:hAnsiTheme="minorHAnsi" w:cstheme="minorHAnsi"/>
          <w:noProof/>
          <w:sz w:val="22"/>
          <w:szCs w:val="22"/>
          <w:lang w:val="en-US"/>
        </w:rPr>
      </w:pPr>
      <w:r w:rsidRPr="00890249">
        <w:rPr>
          <w:rFonts w:asciiTheme="minorHAnsi" w:hAnsiTheme="minorHAnsi" w:cstheme="minorHAnsi"/>
          <w:noProof/>
          <w:sz w:val="22"/>
          <w:szCs w:val="22"/>
          <w:lang w:val="en-US"/>
        </w:rPr>
        <w:t>Circular Economy Solutions for Central Europe area, Interreg Central Europe,</w:t>
      </w:r>
    </w:p>
    <w:p w14:paraId="325A67AF" w14:textId="77777777" w:rsidR="004249F6" w:rsidRPr="00890249" w:rsidRDefault="004249F6" w:rsidP="009F296A">
      <w:pPr>
        <w:pStyle w:val="Akapitzlist"/>
        <w:numPr>
          <w:ilvl w:val="0"/>
          <w:numId w:val="131"/>
        </w:numPr>
        <w:ind w:left="426"/>
        <w:rPr>
          <w:rFonts w:asciiTheme="minorHAnsi" w:hAnsiTheme="minorHAnsi" w:cstheme="minorHAnsi"/>
          <w:noProof/>
          <w:sz w:val="22"/>
          <w:szCs w:val="22"/>
        </w:rPr>
      </w:pPr>
      <w:r w:rsidRPr="00890249">
        <w:rPr>
          <w:rFonts w:asciiTheme="minorHAnsi" w:hAnsiTheme="minorHAnsi" w:cstheme="minorHAnsi"/>
          <w:noProof/>
          <w:sz w:val="22"/>
          <w:szCs w:val="22"/>
        </w:rPr>
        <w:t>CreativeMove2030, Interreg Central Europe.</w:t>
      </w:r>
    </w:p>
    <w:p w14:paraId="749CCD0B"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Samorząd Województwa Opolskiego (w ramach jednostki organizacyjnej Opolskie Centrum Rozwoju Gospodarki) kontynuować będzie koordynację działań upowszechniających i promujących ofertę wsparcia programów międzynarodowych, tj. Horyzont Europa czy Interreg wśród opolskich firm.</w:t>
      </w:r>
    </w:p>
    <w:p w14:paraId="5F55F24F"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Podczas wyboru projektów premiowane będą inwestycje, które zakładają współpracę z partnerem posiadającym siedzibę poza granicami Polski.</w:t>
      </w:r>
      <w:r w:rsidR="005B1C43" w:rsidRPr="00890249" w:rsidDel="005B1C43">
        <w:rPr>
          <w:rFonts w:asciiTheme="minorHAnsi" w:hAnsiTheme="minorHAnsi" w:cstheme="minorHAnsi"/>
          <w:noProof/>
          <w:sz w:val="22"/>
          <w:szCs w:val="22"/>
        </w:rPr>
        <w:t xml:space="preserve"> </w:t>
      </w:r>
    </w:p>
    <w:p w14:paraId="30EEEEA3" w14:textId="77777777" w:rsidR="003B28AF" w:rsidRPr="00890249" w:rsidRDefault="003B28AF" w:rsidP="003B28AF">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74727F93" w14:textId="77777777" w:rsidR="0093433C" w:rsidRPr="00890249" w:rsidRDefault="00F604D4" w:rsidP="00890249">
      <w:pPr>
        <w:pStyle w:val="Nagwek7"/>
        <w:rPr>
          <w:rFonts w:asciiTheme="minorHAnsi" w:hAnsiTheme="minorHAnsi" w:cstheme="minorHAnsi"/>
          <w:sz w:val="22"/>
          <w:szCs w:val="22"/>
        </w:rPr>
      </w:pPr>
      <w:r w:rsidRPr="00890249">
        <w:rPr>
          <w:rFonts w:asciiTheme="minorHAnsi" w:hAnsiTheme="minorHAnsi" w:cstheme="minorHAnsi"/>
          <w:i w:val="0"/>
          <w:color w:val="auto"/>
          <w:sz w:val="22"/>
          <w:szCs w:val="22"/>
        </w:rPr>
        <w:t>Dotacje w obszarze:</w:t>
      </w:r>
    </w:p>
    <w:p w14:paraId="13B0B497" w14:textId="5FE4EE51" w:rsidR="00A253D4" w:rsidRPr="00890249" w:rsidRDefault="00F604D4" w:rsidP="009F296A">
      <w:pPr>
        <w:pStyle w:val="Akapitzlist"/>
        <w:numPr>
          <w:ilvl w:val="0"/>
          <w:numId w:val="157"/>
        </w:numPr>
        <w:rPr>
          <w:rFonts w:asciiTheme="minorHAnsi" w:hAnsiTheme="minorHAnsi" w:cstheme="minorHAnsi"/>
          <w:noProof/>
          <w:sz w:val="22"/>
          <w:szCs w:val="22"/>
        </w:rPr>
      </w:pPr>
      <w:r w:rsidRPr="00890249">
        <w:rPr>
          <w:rFonts w:asciiTheme="minorHAnsi" w:hAnsiTheme="minorHAnsi" w:cstheme="minorHAnsi"/>
          <w:sz w:val="22"/>
          <w:szCs w:val="22"/>
        </w:rPr>
        <w:t>p</w:t>
      </w:r>
      <w:r w:rsidR="003E1A12" w:rsidRPr="00890249">
        <w:rPr>
          <w:rFonts w:asciiTheme="minorHAnsi" w:hAnsiTheme="minorHAnsi" w:cstheme="minorHAnsi"/>
          <w:sz w:val="22"/>
          <w:szCs w:val="22"/>
        </w:rPr>
        <w:t>rac B+R oraz infrastruktur</w:t>
      </w:r>
      <w:r w:rsidRPr="00890249">
        <w:rPr>
          <w:rFonts w:asciiTheme="minorHAnsi" w:hAnsiTheme="minorHAnsi" w:cstheme="minorHAnsi"/>
          <w:sz w:val="22"/>
          <w:szCs w:val="22"/>
        </w:rPr>
        <w:t>y</w:t>
      </w:r>
      <w:r w:rsidR="003E1A12" w:rsidRPr="00890249">
        <w:rPr>
          <w:rFonts w:asciiTheme="minorHAnsi" w:hAnsiTheme="minorHAnsi" w:cstheme="minorHAnsi"/>
          <w:sz w:val="22"/>
          <w:szCs w:val="22"/>
        </w:rPr>
        <w:t xml:space="preserve"> B+R</w:t>
      </w:r>
      <w:r w:rsidR="00623CA1" w:rsidRPr="00890249">
        <w:rPr>
          <w:rFonts w:asciiTheme="minorHAnsi" w:hAnsiTheme="minorHAnsi" w:cstheme="minorHAnsi"/>
          <w:sz w:val="22"/>
          <w:szCs w:val="22"/>
        </w:rPr>
        <w:t xml:space="preserve">, a także w </w:t>
      </w:r>
      <w:r w:rsidR="005044D5" w:rsidRPr="00890249">
        <w:rPr>
          <w:rFonts w:asciiTheme="minorHAnsi" w:hAnsiTheme="minorHAnsi" w:cstheme="minorHAnsi"/>
          <w:sz w:val="22"/>
          <w:szCs w:val="22"/>
        </w:rPr>
        <w:t>kompleksow</w:t>
      </w:r>
      <w:r w:rsidRPr="00890249">
        <w:rPr>
          <w:rFonts w:asciiTheme="minorHAnsi" w:hAnsiTheme="minorHAnsi" w:cstheme="minorHAnsi"/>
          <w:sz w:val="22"/>
          <w:szCs w:val="22"/>
        </w:rPr>
        <w:t>ych projekt</w:t>
      </w:r>
      <w:r w:rsidR="00623CA1" w:rsidRPr="00890249">
        <w:rPr>
          <w:rFonts w:asciiTheme="minorHAnsi" w:hAnsiTheme="minorHAnsi" w:cstheme="minorHAnsi"/>
          <w:sz w:val="22"/>
          <w:szCs w:val="22"/>
        </w:rPr>
        <w:t>ach</w:t>
      </w:r>
      <w:r w:rsidR="005044D5" w:rsidRPr="00890249">
        <w:rPr>
          <w:rFonts w:asciiTheme="minorHAnsi" w:hAnsiTheme="minorHAnsi" w:cstheme="minorHAnsi"/>
          <w:sz w:val="22"/>
          <w:szCs w:val="22"/>
        </w:rPr>
        <w:t xml:space="preserve"> B+R (zakup</w:t>
      </w:r>
      <w:r w:rsidR="000B5C3E" w:rsidRPr="00890249">
        <w:rPr>
          <w:rFonts w:asciiTheme="minorHAnsi" w:hAnsiTheme="minorHAnsi" w:cstheme="minorHAnsi"/>
          <w:sz w:val="22"/>
          <w:szCs w:val="22"/>
        </w:rPr>
        <w:t xml:space="preserve"> </w:t>
      </w:r>
      <w:r w:rsidR="005044D5" w:rsidRPr="00890249">
        <w:rPr>
          <w:rFonts w:asciiTheme="minorHAnsi" w:hAnsiTheme="minorHAnsi" w:cstheme="minorHAnsi"/>
          <w:sz w:val="22"/>
          <w:szCs w:val="22"/>
        </w:rPr>
        <w:t>infrastruktury</w:t>
      </w:r>
      <w:r w:rsidR="00623CA1" w:rsidRPr="00890249">
        <w:rPr>
          <w:rFonts w:asciiTheme="minorHAnsi" w:hAnsiTheme="minorHAnsi" w:cstheme="minorHAnsi"/>
          <w:sz w:val="22"/>
          <w:szCs w:val="22"/>
        </w:rPr>
        <w:t xml:space="preserve"> B+R</w:t>
      </w:r>
      <w:r w:rsidR="005044D5" w:rsidRPr="00890249">
        <w:rPr>
          <w:rFonts w:asciiTheme="minorHAnsi" w:hAnsiTheme="minorHAnsi" w:cstheme="minorHAnsi"/>
          <w:sz w:val="22"/>
          <w:szCs w:val="22"/>
        </w:rPr>
        <w:t xml:space="preserve">, </w:t>
      </w:r>
      <w:r w:rsidR="00623CA1" w:rsidRPr="00890249">
        <w:rPr>
          <w:rFonts w:asciiTheme="minorHAnsi" w:hAnsiTheme="minorHAnsi" w:cstheme="minorHAnsi"/>
          <w:sz w:val="22"/>
          <w:szCs w:val="22"/>
        </w:rPr>
        <w:t>prac</w:t>
      </w:r>
      <w:r w:rsidR="000B5C3E" w:rsidRPr="00890249">
        <w:rPr>
          <w:rFonts w:asciiTheme="minorHAnsi" w:hAnsiTheme="minorHAnsi" w:cstheme="minorHAnsi"/>
          <w:sz w:val="22"/>
          <w:szCs w:val="22"/>
        </w:rPr>
        <w:t xml:space="preserve">e </w:t>
      </w:r>
      <w:r w:rsidR="005044D5" w:rsidRPr="00890249">
        <w:rPr>
          <w:rFonts w:asciiTheme="minorHAnsi" w:hAnsiTheme="minorHAnsi" w:cstheme="minorHAnsi"/>
          <w:sz w:val="22"/>
          <w:szCs w:val="22"/>
        </w:rPr>
        <w:t xml:space="preserve">B+R) </w:t>
      </w:r>
      <w:r w:rsidRPr="00890249">
        <w:rPr>
          <w:rFonts w:asciiTheme="minorHAnsi" w:hAnsiTheme="minorHAnsi" w:cstheme="minorHAnsi"/>
          <w:sz w:val="22"/>
          <w:szCs w:val="22"/>
        </w:rPr>
        <w:t xml:space="preserve">- </w:t>
      </w:r>
      <w:r w:rsidR="003E1A12" w:rsidRPr="00890249">
        <w:rPr>
          <w:rFonts w:asciiTheme="minorHAnsi" w:hAnsiTheme="minorHAnsi" w:cstheme="minorHAnsi"/>
          <w:sz w:val="22"/>
          <w:szCs w:val="22"/>
        </w:rPr>
        <w:t>to rodzaj</w:t>
      </w:r>
      <w:r w:rsidR="005044D5" w:rsidRPr="00890249">
        <w:rPr>
          <w:rFonts w:asciiTheme="minorHAnsi" w:hAnsiTheme="minorHAnsi" w:cstheme="minorHAnsi"/>
          <w:sz w:val="22"/>
          <w:szCs w:val="22"/>
        </w:rPr>
        <w:t>e</w:t>
      </w:r>
      <w:r w:rsidR="003E1A12" w:rsidRPr="00890249">
        <w:rPr>
          <w:rFonts w:asciiTheme="minorHAnsi" w:hAnsiTheme="minorHAnsi" w:cstheme="minorHAnsi"/>
          <w:sz w:val="22"/>
          <w:szCs w:val="22"/>
        </w:rPr>
        <w:t xml:space="preserve"> inwestycji, któr</w:t>
      </w:r>
      <w:r w:rsidR="005044D5" w:rsidRPr="00890249">
        <w:rPr>
          <w:rFonts w:asciiTheme="minorHAnsi" w:hAnsiTheme="minorHAnsi" w:cstheme="minorHAnsi"/>
          <w:sz w:val="22"/>
          <w:szCs w:val="22"/>
        </w:rPr>
        <w:t>e</w:t>
      </w:r>
      <w:r w:rsidR="003E1A12" w:rsidRPr="00890249">
        <w:rPr>
          <w:rFonts w:asciiTheme="minorHAnsi" w:hAnsiTheme="minorHAnsi" w:cstheme="minorHAnsi"/>
          <w:sz w:val="22"/>
          <w:szCs w:val="22"/>
        </w:rPr>
        <w:t xml:space="preserve"> nie </w:t>
      </w:r>
      <w:r w:rsidR="005044D5" w:rsidRPr="00890249">
        <w:rPr>
          <w:rFonts w:asciiTheme="minorHAnsi" w:hAnsiTheme="minorHAnsi" w:cstheme="minorHAnsi"/>
          <w:sz w:val="22"/>
          <w:szCs w:val="22"/>
        </w:rPr>
        <w:t>są</w:t>
      </w:r>
      <w:r w:rsidR="003E1A12" w:rsidRPr="00890249">
        <w:rPr>
          <w:rFonts w:asciiTheme="minorHAnsi" w:hAnsiTheme="minorHAnsi" w:cstheme="minorHAnsi"/>
          <w:sz w:val="22"/>
          <w:szCs w:val="22"/>
        </w:rPr>
        <w:t xml:space="preserve"> bezpośrednio ukierunkowan</w:t>
      </w:r>
      <w:r w:rsidR="005044D5" w:rsidRPr="00890249">
        <w:rPr>
          <w:rFonts w:asciiTheme="minorHAnsi" w:hAnsiTheme="minorHAnsi" w:cstheme="minorHAnsi"/>
          <w:sz w:val="22"/>
          <w:szCs w:val="22"/>
        </w:rPr>
        <w:t>e</w:t>
      </w:r>
      <w:r w:rsidR="003E1A12" w:rsidRPr="00890249">
        <w:rPr>
          <w:rFonts w:asciiTheme="minorHAnsi" w:hAnsiTheme="minorHAnsi" w:cstheme="minorHAnsi"/>
          <w:sz w:val="22"/>
          <w:szCs w:val="22"/>
        </w:rPr>
        <w:t xml:space="preserve"> na osiągnięcie krótkoterminowych zysków, </w:t>
      </w:r>
      <w:r w:rsidR="005044D5" w:rsidRPr="00890249">
        <w:rPr>
          <w:rFonts w:asciiTheme="minorHAnsi" w:hAnsiTheme="minorHAnsi" w:cstheme="minorHAnsi"/>
          <w:sz w:val="22"/>
          <w:szCs w:val="22"/>
        </w:rPr>
        <w:t xml:space="preserve">a </w:t>
      </w:r>
      <w:r w:rsidR="003E1A12" w:rsidRPr="00890249">
        <w:rPr>
          <w:rFonts w:asciiTheme="minorHAnsi" w:hAnsiTheme="minorHAnsi" w:cstheme="minorHAnsi"/>
          <w:sz w:val="22"/>
          <w:szCs w:val="22"/>
        </w:rPr>
        <w:t>dodatkowo obarczone są ryzykiem niepowodzenia</w:t>
      </w:r>
      <w:r w:rsidR="00623CA1" w:rsidRPr="00890249">
        <w:rPr>
          <w:rFonts w:asciiTheme="minorHAnsi" w:hAnsiTheme="minorHAnsi" w:cstheme="minorHAnsi"/>
          <w:sz w:val="22"/>
          <w:szCs w:val="22"/>
        </w:rPr>
        <w:t>,</w:t>
      </w:r>
    </w:p>
    <w:p w14:paraId="14151585" w14:textId="614A7E3D" w:rsidR="00E92400" w:rsidRPr="00DC0124" w:rsidRDefault="00623CA1" w:rsidP="00DC0124">
      <w:pPr>
        <w:pStyle w:val="Akapitzlist"/>
        <w:numPr>
          <w:ilvl w:val="0"/>
          <w:numId w:val="157"/>
        </w:numPr>
        <w:rPr>
          <w:rFonts w:asciiTheme="minorHAnsi" w:hAnsiTheme="minorHAnsi" w:cstheme="minorHAnsi"/>
          <w:noProof/>
          <w:sz w:val="22"/>
          <w:szCs w:val="22"/>
        </w:rPr>
      </w:pPr>
      <w:r w:rsidRPr="00DC0124">
        <w:rPr>
          <w:rFonts w:asciiTheme="minorHAnsi" w:hAnsiTheme="minorHAnsi" w:cstheme="minorHAnsi"/>
          <w:sz w:val="22"/>
          <w:szCs w:val="22"/>
        </w:rPr>
        <w:t>w</w:t>
      </w:r>
      <w:r w:rsidRPr="00DC0124">
        <w:rPr>
          <w:rFonts w:asciiTheme="minorHAnsi" w:hAnsiTheme="minorHAnsi" w:cstheme="minorHAnsi"/>
          <w:noProof/>
          <w:sz w:val="22"/>
          <w:szCs w:val="22"/>
        </w:rPr>
        <w:t>sparcia dla proinnowacyjnych usług – ich efekty są rozłożone w czasie, a same usługi nie są bezpośrednio</w:t>
      </w:r>
      <w:r w:rsidR="00E92400" w:rsidRPr="00DC0124">
        <w:rPr>
          <w:rFonts w:asciiTheme="minorHAnsi" w:hAnsiTheme="minorHAnsi" w:cstheme="minorHAnsi"/>
          <w:noProof/>
          <w:sz w:val="22"/>
          <w:szCs w:val="22"/>
        </w:rPr>
        <w:t xml:space="preserve"> </w:t>
      </w:r>
      <w:r w:rsidRPr="00DC0124">
        <w:rPr>
          <w:rFonts w:asciiTheme="minorHAnsi" w:hAnsiTheme="minorHAnsi" w:cstheme="minorHAnsi"/>
          <w:noProof/>
          <w:sz w:val="22"/>
          <w:szCs w:val="22"/>
        </w:rPr>
        <w:t>powiązane z przychodami</w:t>
      </w:r>
      <w:r w:rsidR="009750F1" w:rsidRPr="00DC0124">
        <w:rPr>
          <w:rFonts w:asciiTheme="minorHAnsi" w:hAnsiTheme="minorHAnsi" w:cstheme="minorHAnsi"/>
          <w:noProof/>
          <w:sz w:val="22"/>
          <w:szCs w:val="22"/>
        </w:rPr>
        <w:t>,</w:t>
      </w:r>
    </w:p>
    <w:p w14:paraId="60D9FBED" w14:textId="0E3F92F9" w:rsidR="004249F6" w:rsidRPr="00890249" w:rsidRDefault="00623CA1" w:rsidP="009F296A">
      <w:pPr>
        <w:pStyle w:val="Akapitzlist"/>
        <w:numPr>
          <w:ilvl w:val="0"/>
          <w:numId w:val="157"/>
        </w:numPr>
        <w:rPr>
          <w:rFonts w:asciiTheme="minorHAnsi" w:hAnsiTheme="minorHAnsi" w:cstheme="minorHAnsi"/>
          <w:noProof/>
          <w:sz w:val="22"/>
          <w:szCs w:val="22"/>
        </w:rPr>
      </w:pPr>
      <w:r w:rsidRPr="00890249">
        <w:rPr>
          <w:rFonts w:asciiTheme="minorHAnsi" w:hAnsiTheme="minorHAnsi" w:cstheme="minorHAnsi"/>
          <w:noProof/>
          <w:sz w:val="22"/>
          <w:szCs w:val="22"/>
        </w:rPr>
        <w:t>pozostały</w:t>
      </w:r>
      <w:r w:rsidR="00E92400" w:rsidRPr="00890249">
        <w:rPr>
          <w:rFonts w:asciiTheme="minorHAnsi" w:hAnsiTheme="minorHAnsi" w:cstheme="minorHAnsi"/>
          <w:noProof/>
          <w:sz w:val="22"/>
          <w:szCs w:val="22"/>
        </w:rPr>
        <w:t>ch</w:t>
      </w:r>
      <w:r w:rsidRPr="00890249">
        <w:rPr>
          <w:rFonts w:asciiTheme="minorHAnsi" w:hAnsiTheme="minorHAnsi" w:cstheme="minorHAnsi"/>
          <w:noProof/>
          <w:sz w:val="22"/>
          <w:szCs w:val="22"/>
        </w:rPr>
        <w:t xml:space="preserve"> </w:t>
      </w:r>
      <w:r w:rsidR="00E92400" w:rsidRPr="00890249">
        <w:rPr>
          <w:rFonts w:asciiTheme="minorHAnsi" w:hAnsiTheme="minorHAnsi" w:cstheme="minorHAnsi"/>
          <w:noProof/>
          <w:sz w:val="22"/>
          <w:szCs w:val="22"/>
        </w:rPr>
        <w:t>działań</w:t>
      </w:r>
      <w:r w:rsidRPr="00890249">
        <w:rPr>
          <w:rFonts w:asciiTheme="minorHAnsi" w:hAnsiTheme="minorHAnsi" w:cstheme="minorHAnsi"/>
          <w:noProof/>
          <w:sz w:val="22"/>
          <w:szCs w:val="22"/>
        </w:rPr>
        <w:t xml:space="preserve"> </w:t>
      </w:r>
      <w:r w:rsidR="00E92400" w:rsidRPr="00890249">
        <w:rPr>
          <w:rFonts w:asciiTheme="minorHAnsi" w:hAnsiTheme="minorHAnsi" w:cstheme="minorHAnsi"/>
          <w:noProof/>
          <w:sz w:val="22"/>
          <w:szCs w:val="22"/>
        </w:rPr>
        <w:t xml:space="preserve">w </w:t>
      </w:r>
      <w:r w:rsidRPr="00890249">
        <w:rPr>
          <w:rFonts w:asciiTheme="minorHAnsi" w:hAnsiTheme="minorHAnsi" w:cstheme="minorHAnsi"/>
          <w:noProof/>
          <w:sz w:val="22"/>
          <w:szCs w:val="22"/>
        </w:rPr>
        <w:t>cs (i)</w:t>
      </w:r>
      <w:r w:rsidR="00E92400" w:rsidRPr="00890249">
        <w:rPr>
          <w:rFonts w:asciiTheme="minorHAnsi" w:hAnsiTheme="minorHAnsi" w:cstheme="minorHAnsi"/>
          <w:noProof/>
          <w:sz w:val="22"/>
          <w:szCs w:val="22"/>
        </w:rPr>
        <w:t xml:space="preserve"> – nie są one </w:t>
      </w:r>
      <w:r w:rsidRPr="00890249">
        <w:rPr>
          <w:rFonts w:asciiTheme="minorHAnsi" w:hAnsiTheme="minorHAnsi" w:cstheme="minorHAnsi"/>
          <w:noProof/>
          <w:sz w:val="22"/>
          <w:szCs w:val="22"/>
        </w:rPr>
        <w:t>ukierunkowan</w:t>
      </w:r>
      <w:r w:rsidR="00E92400" w:rsidRPr="00890249">
        <w:rPr>
          <w:rFonts w:asciiTheme="minorHAnsi" w:hAnsiTheme="minorHAnsi" w:cstheme="minorHAnsi"/>
          <w:noProof/>
          <w:sz w:val="22"/>
          <w:szCs w:val="22"/>
        </w:rPr>
        <w:t xml:space="preserve">e </w:t>
      </w:r>
      <w:r w:rsidRPr="00890249">
        <w:rPr>
          <w:rFonts w:asciiTheme="minorHAnsi" w:hAnsiTheme="minorHAnsi" w:cstheme="minorHAnsi"/>
          <w:noProof/>
          <w:sz w:val="22"/>
          <w:szCs w:val="22"/>
        </w:rPr>
        <w:t>bezpośrednio na osiąganie zysków</w:t>
      </w:r>
      <w:r w:rsidR="00E92400"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t>
      </w:r>
    </w:p>
    <w:p w14:paraId="4E19D35D" w14:textId="6E7DF4FB" w:rsidR="0093433C" w:rsidRPr="00890249" w:rsidRDefault="00796236" w:rsidP="00796236">
      <w:pPr>
        <w:spacing w:before="240" w:after="240"/>
        <w:jc w:val="left"/>
        <w:rPr>
          <w:rFonts w:asciiTheme="minorHAnsi" w:hAnsiTheme="minorHAnsi" w:cstheme="minorHAnsi"/>
          <w:b/>
          <w:noProof/>
          <w:sz w:val="22"/>
          <w:szCs w:val="22"/>
        </w:rPr>
      </w:pPr>
      <w:r w:rsidRPr="00796236">
        <w:rPr>
          <w:rFonts w:asciiTheme="minorHAnsi" w:hAnsiTheme="minorHAnsi" w:cstheme="minorHAnsi"/>
          <w:b/>
          <w:noProof/>
          <w:sz w:val="22"/>
          <w:szCs w:val="22"/>
        </w:rPr>
        <w:t>2.1.1.1.2 (i) Wskaźniki</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108"/>
        <w:gridCol w:w="691"/>
        <w:gridCol w:w="968"/>
        <w:gridCol w:w="691"/>
        <w:gridCol w:w="2212"/>
        <w:gridCol w:w="829"/>
        <w:gridCol w:w="1106"/>
        <w:gridCol w:w="970"/>
      </w:tblGrid>
      <w:tr w:rsidR="004249F6" w:rsidRPr="00890249" w14:paraId="2AF2BEC2" w14:textId="77777777" w:rsidTr="00890249">
        <w:trPr>
          <w:trHeight w:val="425"/>
        </w:trPr>
        <w:tc>
          <w:tcPr>
            <w:tcW w:w="5000" w:type="pct"/>
            <w:gridSpan w:val="9"/>
            <w:shd w:val="clear" w:color="auto" w:fill="D9D9D9" w:themeFill="background1" w:themeFillShade="D9"/>
          </w:tcPr>
          <w:p w14:paraId="7654B6B9" w14:textId="77777777" w:rsidR="004249F6" w:rsidRPr="00890249" w:rsidRDefault="004249F6" w:rsidP="004B59D6">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5B1C43" w:rsidRPr="00890249" w14:paraId="58C885D5" w14:textId="77777777" w:rsidTr="005B1C43">
        <w:trPr>
          <w:cantSplit/>
          <w:trHeight w:val="1647"/>
        </w:trPr>
        <w:tc>
          <w:tcPr>
            <w:tcW w:w="286" w:type="pct"/>
            <w:shd w:val="clear" w:color="auto" w:fill="F2F2F2" w:themeFill="background1" w:themeFillShade="F2"/>
            <w:textDirection w:val="btLr"/>
            <w:vAlign w:val="center"/>
          </w:tcPr>
          <w:p w14:paraId="3D8CF384"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lastRenderedPageBreak/>
              <w:t>Priorytet</w:t>
            </w:r>
          </w:p>
        </w:tc>
        <w:tc>
          <w:tcPr>
            <w:tcW w:w="609" w:type="pct"/>
            <w:shd w:val="clear" w:color="auto" w:fill="F2F2F2" w:themeFill="background1" w:themeFillShade="F2"/>
            <w:textDirection w:val="btLr"/>
            <w:vAlign w:val="center"/>
          </w:tcPr>
          <w:p w14:paraId="6366DD07"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0" w:type="pct"/>
            <w:shd w:val="clear" w:color="auto" w:fill="F2F2F2" w:themeFill="background1" w:themeFillShade="F2"/>
            <w:textDirection w:val="btLr"/>
            <w:vAlign w:val="center"/>
          </w:tcPr>
          <w:p w14:paraId="7C3A39B8"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32" w:type="pct"/>
            <w:shd w:val="clear" w:color="auto" w:fill="F2F2F2" w:themeFill="background1" w:themeFillShade="F2"/>
            <w:textDirection w:val="btLr"/>
            <w:vAlign w:val="center"/>
          </w:tcPr>
          <w:p w14:paraId="60C5426D"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380" w:type="pct"/>
            <w:shd w:val="clear" w:color="auto" w:fill="F2F2F2" w:themeFill="background1" w:themeFillShade="F2"/>
            <w:textDirection w:val="btLr"/>
            <w:vAlign w:val="center"/>
          </w:tcPr>
          <w:p w14:paraId="0A922FBC"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16" w:type="pct"/>
            <w:shd w:val="clear" w:color="auto" w:fill="F2F2F2" w:themeFill="background1" w:themeFillShade="F2"/>
            <w:textDirection w:val="btLr"/>
            <w:vAlign w:val="center"/>
          </w:tcPr>
          <w:p w14:paraId="253DF47F"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56" w:type="pct"/>
            <w:shd w:val="clear" w:color="auto" w:fill="F2F2F2" w:themeFill="background1" w:themeFillShade="F2"/>
            <w:textDirection w:val="btLr"/>
            <w:vAlign w:val="center"/>
          </w:tcPr>
          <w:p w14:paraId="54D984A0"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08" w:type="pct"/>
            <w:shd w:val="clear" w:color="auto" w:fill="F2F2F2" w:themeFill="background1" w:themeFillShade="F2"/>
            <w:textDirection w:val="btLr"/>
            <w:vAlign w:val="center"/>
          </w:tcPr>
          <w:p w14:paraId="37C1DBD2"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33" w:type="pct"/>
            <w:shd w:val="clear" w:color="auto" w:fill="F2F2F2" w:themeFill="background1" w:themeFillShade="F2"/>
            <w:textDirection w:val="btLr"/>
            <w:vAlign w:val="center"/>
          </w:tcPr>
          <w:p w14:paraId="231ADE22"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5B1C43" w:rsidRPr="00890249" w14:paraId="0F540B6F" w14:textId="77777777" w:rsidTr="00890249">
        <w:trPr>
          <w:trHeight w:val="340"/>
        </w:trPr>
        <w:tc>
          <w:tcPr>
            <w:tcW w:w="286" w:type="pct"/>
            <w:vAlign w:val="center"/>
          </w:tcPr>
          <w:p w14:paraId="1FC32129" w14:textId="77777777" w:rsidR="004249F6" w:rsidRPr="00890249" w:rsidRDefault="004249F6" w:rsidP="004B59D6">
            <w:pP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609" w:type="pct"/>
            <w:vAlign w:val="center"/>
          </w:tcPr>
          <w:p w14:paraId="1BDBE123"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1.i</w:t>
            </w:r>
          </w:p>
        </w:tc>
        <w:tc>
          <w:tcPr>
            <w:tcW w:w="380" w:type="pct"/>
            <w:vAlign w:val="center"/>
          </w:tcPr>
          <w:p w14:paraId="5D58BAE1"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32" w:type="pct"/>
            <w:vAlign w:val="center"/>
          </w:tcPr>
          <w:p w14:paraId="3006284D"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380" w:type="pct"/>
            <w:vAlign w:val="center"/>
          </w:tcPr>
          <w:p w14:paraId="7744CE49"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sz w:val="18"/>
                <w:szCs w:val="16"/>
              </w:rPr>
              <w:t>RCO001</w:t>
            </w:r>
          </w:p>
        </w:tc>
        <w:tc>
          <w:tcPr>
            <w:tcW w:w="1216" w:type="pct"/>
            <w:shd w:val="clear" w:color="auto" w:fill="auto"/>
            <w:vAlign w:val="center"/>
          </w:tcPr>
          <w:p w14:paraId="25AACF31" w14:textId="77777777" w:rsidR="004249F6" w:rsidRPr="00890249" w:rsidRDefault="004249F6" w:rsidP="004B59D6">
            <w:pPr>
              <w:jc w:val="left"/>
              <w:rPr>
                <w:rFonts w:asciiTheme="minorHAnsi" w:hAnsiTheme="minorHAnsi" w:cstheme="minorHAnsi"/>
                <w:i/>
                <w:noProof/>
                <w:sz w:val="18"/>
                <w:szCs w:val="16"/>
              </w:rPr>
            </w:pPr>
            <w:r w:rsidRPr="00890249">
              <w:rPr>
                <w:rFonts w:asciiTheme="minorHAnsi" w:hAnsiTheme="minorHAnsi" w:cstheme="minorHAnsi"/>
                <w:i/>
                <w:sz w:val="18"/>
                <w:szCs w:val="16"/>
              </w:rPr>
              <w:t>Przedsiębiorstwa objęte wsparciem (w tym: mikro, małe, średnie, duże)</w:t>
            </w:r>
          </w:p>
        </w:tc>
        <w:tc>
          <w:tcPr>
            <w:tcW w:w="456" w:type="pct"/>
            <w:vAlign w:val="center"/>
          </w:tcPr>
          <w:p w14:paraId="24DB4A44"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przeds.</w:t>
            </w:r>
          </w:p>
        </w:tc>
        <w:tc>
          <w:tcPr>
            <w:tcW w:w="608" w:type="pct"/>
            <w:shd w:val="clear" w:color="auto" w:fill="auto"/>
            <w:vAlign w:val="center"/>
          </w:tcPr>
          <w:p w14:paraId="0BBCE6C7" w14:textId="76AF2DEA" w:rsidR="004249F6" w:rsidRPr="00890249" w:rsidRDefault="0038195D"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25</w:t>
            </w:r>
          </w:p>
        </w:tc>
        <w:tc>
          <w:tcPr>
            <w:tcW w:w="533" w:type="pct"/>
            <w:shd w:val="clear" w:color="auto" w:fill="auto"/>
            <w:vAlign w:val="center"/>
          </w:tcPr>
          <w:p w14:paraId="68EE0C20" w14:textId="3A64FCB9" w:rsidR="004249F6" w:rsidRPr="00890249" w:rsidRDefault="002E1346" w:rsidP="0038195D">
            <w:pPr>
              <w:jc w:val="center"/>
              <w:rPr>
                <w:rFonts w:asciiTheme="minorHAnsi" w:hAnsiTheme="minorHAnsi" w:cstheme="minorHAnsi"/>
                <w:noProof/>
                <w:sz w:val="18"/>
                <w:szCs w:val="16"/>
              </w:rPr>
            </w:pPr>
            <w:r>
              <w:rPr>
                <w:rFonts w:asciiTheme="minorHAnsi" w:hAnsiTheme="minorHAnsi" w:cstheme="minorHAnsi"/>
                <w:noProof/>
                <w:sz w:val="18"/>
                <w:szCs w:val="16"/>
              </w:rPr>
              <w:t>93</w:t>
            </w:r>
          </w:p>
        </w:tc>
      </w:tr>
      <w:tr w:rsidR="005B1C43" w:rsidRPr="00890249" w14:paraId="13FEC2C4" w14:textId="77777777" w:rsidTr="00890249">
        <w:trPr>
          <w:trHeight w:val="340"/>
        </w:trPr>
        <w:tc>
          <w:tcPr>
            <w:tcW w:w="286" w:type="pct"/>
            <w:vAlign w:val="center"/>
          </w:tcPr>
          <w:p w14:paraId="264752B4" w14:textId="77777777" w:rsidR="00D225DE" w:rsidRPr="00890249" w:rsidRDefault="00D225DE" w:rsidP="00D225DE">
            <w:pP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609" w:type="pct"/>
            <w:vAlign w:val="center"/>
          </w:tcPr>
          <w:p w14:paraId="193C91C5"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8"/>
                <w:lang w:eastAsia="en-US" w:bidi="ar-SA"/>
              </w:rPr>
              <w:t>1.i</w:t>
            </w:r>
          </w:p>
        </w:tc>
        <w:tc>
          <w:tcPr>
            <w:tcW w:w="380" w:type="pct"/>
            <w:vAlign w:val="center"/>
          </w:tcPr>
          <w:p w14:paraId="43B0E5E4"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8"/>
                <w:lang w:eastAsia="en-US" w:bidi="ar-SA"/>
              </w:rPr>
              <w:t>EFRR</w:t>
            </w:r>
          </w:p>
        </w:tc>
        <w:tc>
          <w:tcPr>
            <w:tcW w:w="532" w:type="pct"/>
            <w:vAlign w:val="center"/>
          </w:tcPr>
          <w:p w14:paraId="747045EC"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380" w:type="pct"/>
            <w:vAlign w:val="center"/>
          </w:tcPr>
          <w:p w14:paraId="123776BB" w14:textId="77777777" w:rsidR="00D225DE" w:rsidRPr="00890249" w:rsidRDefault="00D225DE" w:rsidP="00D225DE">
            <w:pPr>
              <w:jc w:val="center"/>
              <w:rPr>
                <w:rFonts w:asciiTheme="minorHAnsi" w:hAnsiTheme="minorHAnsi" w:cstheme="minorHAnsi"/>
                <w:i/>
                <w:sz w:val="18"/>
                <w:szCs w:val="16"/>
              </w:rPr>
            </w:pPr>
            <w:r w:rsidRPr="00890249">
              <w:rPr>
                <w:rFonts w:asciiTheme="minorHAnsi" w:hAnsiTheme="minorHAnsi" w:cstheme="minorHAnsi"/>
                <w:i/>
                <w:noProof/>
                <w:sz w:val="18"/>
                <w:szCs w:val="18"/>
              </w:rPr>
              <w:t>RCO002</w:t>
            </w:r>
          </w:p>
        </w:tc>
        <w:tc>
          <w:tcPr>
            <w:tcW w:w="1216" w:type="pct"/>
            <w:shd w:val="clear" w:color="auto" w:fill="auto"/>
            <w:vAlign w:val="center"/>
          </w:tcPr>
          <w:p w14:paraId="74D2B17B" w14:textId="77777777" w:rsidR="00D225DE" w:rsidRPr="00890249" w:rsidRDefault="00D225DE" w:rsidP="00D225DE">
            <w:pPr>
              <w:jc w:val="left"/>
              <w:rPr>
                <w:rFonts w:asciiTheme="minorHAnsi" w:hAnsiTheme="minorHAnsi" w:cstheme="minorHAnsi"/>
                <w:i/>
                <w:sz w:val="18"/>
                <w:szCs w:val="16"/>
              </w:rPr>
            </w:pPr>
            <w:r w:rsidRPr="00890249">
              <w:rPr>
                <w:rFonts w:asciiTheme="minorHAnsi" w:eastAsiaTheme="minorHAnsi" w:hAnsiTheme="minorHAnsi" w:cstheme="minorHAnsi"/>
                <w:i/>
                <w:noProof/>
                <w:sz w:val="18"/>
                <w:szCs w:val="18"/>
                <w:lang w:eastAsia="en-US" w:bidi="ar-SA"/>
              </w:rPr>
              <w:t>Przedsiębiorstwa objęte wsparciem w formie dotacji</w:t>
            </w:r>
          </w:p>
        </w:tc>
        <w:tc>
          <w:tcPr>
            <w:tcW w:w="456" w:type="pct"/>
            <w:vAlign w:val="center"/>
          </w:tcPr>
          <w:p w14:paraId="51EFBBCF"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8"/>
                <w:lang w:eastAsia="en-US" w:bidi="ar-SA"/>
              </w:rPr>
              <w:t>przeds.</w:t>
            </w:r>
          </w:p>
        </w:tc>
        <w:tc>
          <w:tcPr>
            <w:tcW w:w="608" w:type="pct"/>
            <w:shd w:val="clear" w:color="auto" w:fill="auto"/>
            <w:vAlign w:val="center"/>
          </w:tcPr>
          <w:p w14:paraId="7504E56A" w14:textId="77777777" w:rsidR="00D225DE" w:rsidRPr="00890249" w:rsidRDefault="00875C92" w:rsidP="00D225DE">
            <w:pPr>
              <w:jc w:val="center"/>
              <w:rPr>
                <w:rFonts w:asciiTheme="minorHAnsi" w:hAnsiTheme="minorHAnsi" w:cstheme="minorHAnsi"/>
                <w:noProof/>
                <w:sz w:val="18"/>
                <w:szCs w:val="16"/>
              </w:rPr>
            </w:pPr>
            <w:r w:rsidRPr="00890249">
              <w:rPr>
                <w:rFonts w:asciiTheme="minorHAnsi" w:hAnsiTheme="minorHAnsi" w:cstheme="minorHAnsi"/>
                <w:noProof/>
                <w:sz w:val="18"/>
                <w:szCs w:val="16"/>
              </w:rPr>
              <w:t>17</w:t>
            </w:r>
          </w:p>
        </w:tc>
        <w:tc>
          <w:tcPr>
            <w:tcW w:w="533" w:type="pct"/>
            <w:shd w:val="clear" w:color="auto" w:fill="auto"/>
            <w:vAlign w:val="center"/>
          </w:tcPr>
          <w:p w14:paraId="57E1FEF4" w14:textId="4F400B30" w:rsidR="00D225DE" w:rsidRPr="00890249" w:rsidDel="00D225DE" w:rsidRDefault="002E1346" w:rsidP="00D225DE">
            <w:pPr>
              <w:jc w:val="center"/>
              <w:rPr>
                <w:rFonts w:asciiTheme="minorHAnsi" w:hAnsiTheme="minorHAnsi" w:cstheme="minorHAnsi"/>
                <w:noProof/>
                <w:sz w:val="18"/>
                <w:szCs w:val="16"/>
              </w:rPr>
            </w:pPr>
            <w:r>
              <w:rPr>
                <w:rFonts w:asciiTheme="minorHAnsi" w:hAnsiTheme="minorHAnsi" w:cstheme="minorHAnsi"/>
                <w:noProof/>
                <w:sz w:val="18"/>
                <w:szCs w:val="16"/>
              </w:rPr>
              <w:t>93</w:t>
            </w:r>
          </w:p>
        </w:tc>
      </w:tr>
      <w:tr w:rsidR="005B1C43" w:rsidRPr="00890249" w14:paraId="50D2AA82" w14:textId="77777777" w:rsidTr="00890249">
        <w:trPr>
          <w:trHeight w:val="332"/>
        </w:trPr>
        <w:tc>
          <w:tcPr>
            <w:tcW w:w="286" w:type="pct"/>
            <w:vAlign w:val="center"/>
          </w:tcPr>
          <w:p w14:paraId="1A10478B" w14:textId="77777777" w:rsidR="00790193" w:rsidRPr="00890249" w:rsidRDefault="00790193" w:rsidP="00790193">
            <w:pP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609" w:type="pct"/>
            <w:vAlign w:val="center"/>
          </w:tcPr>
          <w:p w14:paraId="7D956AF2"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1.i</w:t>
            </w:r>
          </w:p>
        </w:tc>
        <w:tc>
          <w:tcPr>
            <w:tcW w:w="380" w:type="pct"/>
            <w:vAlign w:val="center"/>
          </w:tcPr>
          <w:p w14:paraId="6834C2BE"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32" w:type="pct"/>
            <w:vAlign w:val="center"/>
          </w:tcPr>
          <w:p w14:paraId="4B1FE48A"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380" w:type="pct"/>
            <w:vAlign w:val="center"/>
          </w:tcPr>
          <w:p w14:paraId="218F6318" w14:textId="77777777" w:rsidR="00790193" w:rsidRPr="00890249" w:rsidRDefault="00790193" w:rsidP="00790193">
            <w:pPr>
              <w:jc w:val="center"/>
              <w:rPr>
                <w:rFonts w:asciiTheme="minorHAnsi" w:hAnsiTheme="minorHAnsi" w:cstheme="minorHAnsi"/>
                <w:i/>
                <w:sz w:val="18"/>
                <w:szCs w:val="16"/>
              </w:rPr>
            </w:pPr>
            <w:r w:rsidRPr="00890249">
              <w:rPr>
                <w:rFonts w:asciiTheme="minorHAnsi" w:hAnsiTheme="minorHAnsi" w:cstheme="minorHAnsi"/>
                <w:i/>
                <w:sz w:val="18"/>
                <w:szCs w:val="16"/>
              </w:rPr>
              <w:t>RCO006</w:t>
            </w:r>
          </w:p>
        </w:tc>
        <w:tc>
          <w:tcPr>
            <w:tcW w:w="1216" w:type="pct"/>
            <w:shd w:val="clear" w:color="auto" w:fill="auto"/>
            <w:vAlign w:val="center"/>
          </w:tcPr>
          <w:p w14:paraId="14D944D9" w14:textId="77777777" w:rsidR="00790193" w:rsidRPr="00890249" w:rsidRDefault="00790193" w:rsidP="00790193">
            <w:pPr>
              <w:jc w:val="left"/>
              <w:rPr>
                <w:rFonts w:asciiTheme="minorHAnsi" w:hAnsiTheme="minorHAnsi" w:cstheme="minorHAnsi"/>
                <w:i/>
                <w:sz w:val="18"/>
                <w:szCs w:val="16"/>
              </w:rPr>
            </w:pPr>
            <w:r w:rsidRPr="00890249">
              <w:rPr>
                <w:rFonts w:asciiTheme="minorHAnsi" w:hAnsiTheme="minorHAnsi" w:cstheme="minorHAnsi"/>
                <w:i/>
                <w:sz w:val="18"/>
                <w:szCs w:val="16"/>
              </w:rPr>
              <w:t>Naukowcy pracujący we wspieranych obiektach badawczych</w:t>
            </w:r>
          </w:p>
        </w:tc>
        <w:tc>
          <w:tcPr>
            <w:tcW w:w="456" w:type="pct"/>
            <w:vAlign w:val="center"/>
          </w:tcPr>
          <w:p w14:paraId="6E32E3FD"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EPC</w:t>
            </w:r>
          </w:p>
        </w:tc>
        <w:tc>
          <w:tcPr>
            <w:tcW w:w="608" w:type="pct"/>
            <w:shd w:val="clear" w:color="auto" w:fill="auto"/>
            <w:vAlign w:val="center"/>
          </w:tcPr>
          <w:p w14:paraId="316152BA" w14:textId="77777777" w:rsidR="00790193" w:rsidRPr="00890249" w:rsidRDefault="00790193" w:rsidP="00790193">
            <w:pPr>
              <w:jc w:val="center"/>
              <w:rPr>
                <w:rFonts w:asciiTheme="minorHAnsi" w:hAnsiTheme="minorHAnsi" w:cstheme="minorHAnsi"/>
                <w:noProof/>
                <w:sz w:val="18"/>
                <w:szCs w:val="16"/>
              </w:rPr>
            </w:pPr>
            <w:r w:rsidRPr="00890249">
              <w:rPr>
                <w:rFonts w:asciiTheme="minorHAnsi" w:hAnsiTheme="minorHAnsi" w:cstheme="minorHAnsi"/>
                <w:noProof/>
                <w:sz w:val="18"/>
                <w:szCs w:val="16"/>
              </w:rPr>
              <w:t>4</w:t>
            </w:r>
          </w:p>
        </w:tc>
        <w:tc>
          <w:tcPr>
            <w:tcW w:w="533" w:type="pct"/>
            <w:shd w:val="clear" w:color="auto" w:fill="auto"/>
            <w:vAlign w:val="center"/>
          </w:tcPr>
          <w:p w14:paraId="7DAF801C" w14:textId="66FA234D" w:rsidR="00790193" w:rsidRPr="00890249" w:rsidRDefault="002E1346" w:rsidP="00790193">
            <w:pPr>
              <w:jc w:val="center"/>
              <w:rPr>
                <w:rFonts w:asciiTheme="minorHAnsi" w:hAnsiTheme="minorHAnsi" w:cstheme="minorHAnsi"/>
                <w:noProof/>
                <w:sz w:val="18"/>
                <w:szCs w:val="16"/>
              </w:rPr>
            </w:pPr>
            <w:r>
              <w:rPr>
                <w:rFonts w:asciiTheme="minorHAnsi" w:hAnsiTheme="minorHAnsi" w:cstheme="minorHAnsi"/>
                <w:noProof/>
                <w:sz w:val="18"/>
                <w:szCs w:val="16"/>
              </w:rPr>
              <w:t>75</w:t>
            </w:r>
          </w:p>
        </w:tc>
      </w:tr>
      <w:tr w:rsidR="005B1C43" w:rsidRPr="00890249" w14:paraId="427A23D1" w14:textId="77777777" w:rsidTr="00890249">
        <w:trPr>
          <w:trHeight w:val="332"/>
        </w:trPr>
        <w:tc>
          <w:tcPr>
            <w:tcW w:w="286" w:type="pct"/>
            <w:vAlign w:val="center"/>
          </w:tcPr>
          <w:p w14:paraId="3CE40C47" w14:textId="77777777" w:rsidR="00790193" w:rsidRPr="00890249" w:rsidRDefault="00790193" w:rsidP="00790193">
            <w:pP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609" w:type="pct"/>
            <w:vAlign w:val="center"/>
          </w:tcPr>
          <w:p w14:paraId="13B7CB79"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1.i</w:t>
            </w:r>
          </w:p>
        </w:tc>
        <w:tc>
          <w:tcPr>
            <w:tcW w:w="380" w:type="pct"/>
            <w:vAlign w:val="center"/>
          </w:tcPr>
          <w:p w14:paraId="0D05A5F8"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32" w:type="pct"/>
            <w:vAlign w:val="center"/>
          </w:tcPr>
          <w:p w14:paraId="2CBCD9BC"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380" w:type="pct"/>
            <w:vAlign w:val="center"/>
          </w:tcPr>
          <w:p w14:paraId="63F9D571" w14:textId="77777777" w:rsidR="00790193" w:rsidRPr="00890249" w:rsidRDefault="00790193" w:rsidP="00790193">
            <w:pPr>
              <w:jc w:val="center"/>
              <w:rPr>
                <w:rFonts w:asciiTheme="minorHAnsi" w:hAnsiTheme="minorHAnsi" w:cstheme="minorHAnsi"/>
                <w:i/>
                <w:sz w:val="18"/>
                <w:szCs w:val="16"/>
              </w:rPr>
            </w:pPr>
            <w:r w:rsidRPr="00890249">
              <w:rPr>
                <w:rFonts w:asciiTheme="minorHAnsi" w:hAnsiTheme="minorHAnsi" w:cstheme="minorHAnsi"/>
                <w:i/>
                <w:sz w:val="18"/>
                <w:szCs w:val="16"/>
              </w:rPr>
              <w:t>RCO008</w:t>
            </w:r>
          </w:p>
        </w:tc>
        <w:tc>
          <w:tcPr>
            <w:tcW w:w="1216" w:type="pct"/>
            <w:shd w:val="clear" w:color="auto" w:fill="auto"/>
            <w:vAlign w:val="center"/>
          </w:tcPr>
          <w:p w14:paraId="027E2938" w14:textId="77777777" w:rsidR="00790193" w:rsidRPr="00890249" w:rsidRDefault="00790193" w:rsidP="00790193">
            <w:pPr>
              <w:jc w:val="left"/>
              <w:rPr>
                <w:rFonts w:asciiTheme="minorHAnsi" w:hAnsiTheme="minorHAnsi" w:cstheme="minorHAnsi"/>
                <w:i/>
                <w:sz w:val="18"/>
                <w:szCs w:val="16"/>
              </w:rPr>
            </w:pPr>
            <w:r w:rsidRPr="00890249">
              <w:rPr>
                <w:rFonts w:asciiTheme="minorHAnsi" w:hAnsiTheme="minorHAnsi" w:cstheme="minorHAnsi"/>
                <w:i/>
                <w:sz w:val="18"/>
                <w:szCs w:val="16"/>
              </w:rPr>
              <w:t>Nominalna wartość sprzętu na potrzeby badań naukowych i innowacji</w:t>
            </w:r>
          </w:p>
        </w:tc>
        <w:tc>
          <w:tcPr>
            <w:tcW w:w="456" w:type="pct"/>
            <w:vAlign w:val="center"/>
          </w:tcPr>
          <w:p w14:paraId="3D0002AA"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EUR</w:t>
            </w:r>
          </w:p>
        </w:tc>
        <w:tc>
          <w:tcPr>
            <w:tcW w:w="608" w:type="pct"/>
            <w:shd w:val="clear" w:color="auto" w:fill="auto"/>
            <w:vAlign w:val="center"/>
          </w:tcPr>
          <w:p w14:paraId="44730BE0" w14:textId="77777777" w:rsidR="00790193" w:rsidRPr="00890249" w:rsidRDefault="00790193" w:rsidP="00790193">
            <w:pPr>
              <w:jc w:val="center"/>
              <w:rPr>
                <w:rFonts w:asciiTheme="minorHAnsi" w:hAnsiTheme="minorHAnsi" w:cstheme="minorHAnsi"/>
                <w:noProof/>
                <w:sz w:val="18"/>
                <w:szCs w:val="16"/>
              </w:rPr>
            </w:pPr>
            <w:r w:rsidRPr="00890249">
              <w:rPr>
                <w:rFonts w:asciiTheme="minorHAnsi" w:hAnsiTheme="minorHAnsi" w:cstheme="minorHAnsi"/>
                <w:noProof/>
                <w:sz w:val="18"/>
                <w:szCs w:val="16"/>
              </w:rPr>
              <w:t>5 300 000</w:t>
            </w:r>
          </w:p>
        </w:tc>
        <w:tc>
          <w:tcPr>
            <w:tcW w:w="533" w:type="pct"/>
            <w:shd w:val="clear" w:color="auto" w:fill="auto"/>
            <w:vAlign w:val="center"/>
          </w:tcPr>
          <w:p w14:paraId="0C9B723C" w14:textId="25292C46" w:rsidR="00790193" w:rsidRPr="00890249" w:rsidRDefault="002E1346" w:rsidP="00790193">
            <w:pPr>
              <w:jc w:val="center"/>
              <w:rPr>
                <w:rFonts w:asciiTheme="minorHAnsi" w:hAnsiTheme="minorHAnsi" w:cstheme="minorHAnsi"/>
                <w:noProof/>
                <w:sz w:val="18"/>
                <w:szCs w:val="16"/>
              </w:rPr>
            </w:pPr>
            <w:r>
              <w:rPr>
                <w:rFonts w:asciiTheme="minorHAnsi" w:hAnsiTheme="minorHAnsi" w:cstheme="minorHAnsi"/>
                <w:noProof/>
                <w:sz w:val="18"/>
                <w:szCs w:val="16"/>
              </w:rPr>
              <w:t>11 200</w:t>
            </w:r>
            <w:r w:rsidR="00790193" w:rsidRPr="00890249">
              <w:rPr>
                <w:rFonts w:asciiTheme="minorHAnsi" w:hAnsiTheme="minorHAnsi" w:cstheme="minorHAnsi"/>
                <w:noProof/>
                <w:sz w:val="18"/>
                <w:szCs w:val="16"/>
              </w:rPr>
              <w:t xml:space="preserve"> 000</w:t>
            </w:r>
          </w:p>
        </w:tc>
      </w:tr>
      <w:tr w:rsidR="005B1C43" w:rsidRPr="00890249" w14:paraId="7E278BEE" w14:textId="77777777" w:rsidTr="00890249">
        <w:trPr>
          <w:trHeight w:val="332"/>
        </w:trPr>
        <w:tc>
          <w:tcPr>
            <w:tcW w:w="286" w:type="pct"/>
            <w:vAlign w:val="center"/>
          </w:tcPr>
          <w:p w14:paraId="62BCCF5B" w14:textId="77777777" w:rsidR="00790193" w:rsidRPr="00890249" w:rsidRDefault="00790193" w:rsidP="00790193">
            <w:pP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609" w:type="pct"/>
            <w:vAlign w:val="center"/>
          </w:tcPr>
          <w:p w14:paraId="006BCC60"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1.i</w:t>
            </w:r>
          </w:p>
        </w:tc>
        <w:tc>
          <w:tcPr>
            <w:tcW w:w="380" w:type="pct"/>
            <w:vAlign w:val="center"/>
          </w:tcPr>
          <w:p w14:paraId="428C2B15"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32" w:type="pct"/>
            <w:vAlign w:val="center"/>
          </w:tcPr>
          <w:p w14:paraId="165DA4EA"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380" w:type="pct"/>
            <w:vAlign w:val="center"/>
          </w:tcPr>
          <w:p w14:paraId="218C739C" w14:textId="77777777" w:rsidR="00790193" w:rsidRPr="00890249" w:rsidRDefault="00790193" w:rsidP="00790193">
            <w:pPr>
              <w:jc w:val="center"/>
              <w:rPr>
                <w:rFonts w:asciiTheme="minorHAnsi" w:hAnsiTheme="minorHAnsi" w:cstheme="minorHAnsi"/>
                <w:i/>
                <w:sz w:val="18"/>
                <w:szCs w:val="16"/>
              </w:rPr>
            </w:pPr>
            <w:r w:rsidRPr="00890249">
              <w:rPr>
                <w:rFonts w:asciiTheme="minorHAnsi" w:hAnsiTheme="minorHAnsi" w:cstheme="minorHAnsi"/>
                <w:i/>
                <w:sz w:val="18"/>
                <w:szCs w:val="16"/>
              </w:rPr>
              <w:t>RCO010</w:t>
            </w:r>
          </w:p>
        </w:tc>
        <w:tc>
          <w:tcPr>
            <w:tcW w:w="1216" w:type="pct"/>
            <w:shd w:val="clear" w:color="auto" w:fill="auto"/>
            <w:vAlign w:val="center"/>
          </w:tcPr>
          <w:p w14:paraId="243BEFE8" w14:textId="77777777" w:rsidR="00790193" w:rsidRPr="00890249" w:rsidRDefault="00790193" w:rsidP="00790193">
            <w:pPr>
              <w:jc w:val="left"/>
              <w:rPr>
                <w:rFonts w:asciiTheme="minorHAnsi" w:hAnsiTheme="minorHAnsi" w:cstheme="minorHAnsi"/>
                <w:i/>
                <w:sz w:val="18"/>
                <w:szCs w:val="16"/>
              </w:rPr>
            </w:pPr>
            <w:r w:rsidRPr="00890249">
              <w:rPr>
                <w:rFonts w:asciiTheme="minorHAnsi" w:hAnsiTheme="minorHAnsi" w:cstheme="minorHAnsi"/>
                <w:i/>
                <w:sz w:val="18"/>
                <w:szCs w:val="16"/>
              </w:rPr>
              <w:t>Przedsiębiorstwa współpracujące z organizacjami badawczymi</w:t>
            </w:r>
          </w:p>
        </w:tc>
        <w:tc>
          <w:tcPr>
            <w:tcW w:w="456" w:type="pct"/>
            <w:vAlign w:val="center"/>
          </w:tcPr>
          <w:p w14:paraId="2A6F4EA8" w14:textId="77777777" w:rsidR="00790193" w:rsidRPr="00890249" w:rsidRDefault="00790193" w:rsidP="0079019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przeds.</w:t>
            </w:r>
          </w:p>
        </w:tc>
        <w:tc>
          <w:tcPr>
            <w:tcW w:w="608" w:type="pct"/>
            <w:shd w:val="clear" w:color="auto" w:fill="auto"/>
            <w:vAlign w:val="center"/>
          </w:tcPr>
          <w:p w14:paraId="0B293F6D" w14:textId="77777777" w:rsidR="00790193" w:rsidRPr="00890249" w:rsidRDefault="00790193" w:rsidP="00790193">
            <w:pPr>
              <w:jc w:val="center"/>
              <w:rPr>
                <w:rFonts w:asciiTheme="minorHAnsi" w:hAnsiTheme="minorHAnsi" w:cstheme="minorHAnsi"/>
                <w:noProof/>
                <w:sz w:val="18"/>
                <w:szCs w:val="16"/>
              </w:rPr>
            </w:pPr>
            <w:r w:rsidRPr="00890249">
              <w:rPr>
                <w:rFonts w:asciiTheme="minorHAnsi" w:hAnsiTheme="minorHAnsi" w:cstheme="minorHAnsi"/>
                <w:noProof/>
                <w:sz w:val="18"/>
                <w:szCs w:val="16"/>
              </w:rPr>
              <w:t>13</w:t>
            </w:r>
          </w:p>
        </w:tc>
        <w:tc>
          <w:tcPr>
            <w:tcW w:w="533" w:type="pct"/>
            <w:shd w:val="clear" w:color="auto" w:fill="auto"/>
            <w:vAlign w:val="center"/>
          </w:tcPr>
          <w:p w14:paraId="4872FB82" w14:textId="4B2C8AB6" w:rsidR="00790193" w:rsidRPr="00890249" w:rsidRDefault="002E1346" w:rsidP="0038195D">
            <w:pPr>
              <w:jc w:val="center"/>
              <w:rPr>
                <w:rFonts w:asciiTheme="minorHAnsi" w:hAnsiTheme="minorHAnsi" w:cstheme="minorHAnsi"/>
                <w:noProof/>
                <w:sz w:val="18"/>
                <w:szCs w:val="16"/>
              </w:rPr>
            </w:pPr>
            <w:r>
              <w:rPr>
                <w:rFonts w:asciiTheme="minorHAnsi" w:hAnsiTheme="minorHAnsi" w:cstheme="minorHAnsi"/>
                <w:noProof/>
                <w:sz w:val="18"/>
                <w:szCs w:val="16"/>
              </w:rPr>
              <w:t>65</w:t>
            </w:r>
          </w:p>
        </w:tc>
      </w:tr>
    </w:tbl>
    <w:p w14:paraId="27EC39D1" w14:textId="1452A43A" w:rsidR="004249F6" w:rsidRPr="00890249" w:rsidRDefault="004249F6" w:rsidP="001E517C">
      <w:pPr>
        <w:spacing w:before="0" w:after="160" w:line="259" w:lineRule="auto"/>
        <w:jc w:val="left"/>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830"/>
        <w:gridCol w:w="629"/>
        <w:gridCol w:w="1031"/>
        <w:gridCol w:w="828"/>
        <w:gridCol w:w="1522"/>
        <w:gridCol w:w="553"/>
        <w:gridCol w:w="692"/>
        <w:gridCol w:w="553"/>
        <w:gridCol w:w="743"/>
        <w:gridCol w:w="605"/>
        <w:gridCol w:w="556"/>
      </w:tblGrid>
      <w:tr w:rsidR="004249F6" w:rsidRPr="00890249" w14:paraId="4D98B736" w14:textId="77777777" w:rsidTr="004B59D6">
        <w:trPr>
          <w:trHeight w:val="480"/>
        </w:trPr>
        <w:tc>
          <w:tcPr>
            <w:tcW w:w="5000" w:type="pct"/>
            <w:gridSpan w:val="12"/>
            <w:shd w:val="clear" w:color="auto" w:fill="D9D9D9" w:themeFill="background1" w:themeFillShade="D9"/>
          </w:tcPr>
          <w:p w14:paraId="2C72DD18" w14:textId="77777777" w:rsidR="004249F6" w:rsidRPr="00890249" w:rsidRDefault="004249F6" w:rsidP="004B59D6">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4249F6" w:rsidRPr="00890249" w14:paraId="123F82CD" w14:textId="77777777" w:rsidTr="004249F6">
        <w:trPr>
          <w:cantSplit/>
          <w:trHeight w:val="1768"/>
        </w:trPr>
        <w:tc>
          <w:tcPr>
            <w:tcW w:w="286" w:type="pct"/>
            <w:shd w:val="clear" w:color="auto" w:fill="F2F2F2" w:themeFill="background1" w:themeFillShade="F2"/>
            <w:textDirection w:val="btLr"/>
            <w:vAlign w:val="center"/>
          </w:tcPr>
          <w:p w14:paraId="76B9761E"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58" w:type="pct"/>
            <w:shd w:val="clear" w:color="auto" w:fill="F2F2F2" w:themeFill="background1" w:themeFillShade="F2"/>
            <w:textDirection w:val="btLr"/>
            <w:vAlign w:val="center"/>
          </w:tcPr>
          <w:p w14:paraId="43F5657E"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47" w:type="pct"/>
            <w:shd w:val="clear" w:color="auto" w:fill="F2F2F2" w:themeFill="background1" w:themeFillShade="F2"/>
            <w:textDirection w:val="btLr"/>
            <w:vAlign w:val="center"/>
          </w:tcPr>
          <w:p w14:paraId="384371B5"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69" w:type="pct"/>
            <w:shd w:val="clear" w:color="auto" w:fill="F2F2F2" w:themeFill="background1" w:themeFillShade="F2"/>
            <w:textDirection w:val="btLr"/>
            <w:vAlign w:val="center"/>
          </w:tcPr>
          <w:p w14:paraId="0E6E0BEB"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57" w:type="pct"/>
            <w:shd w:val="clear" w:color="auto" w:fill="F2F2F2" w:themeFill="background1" w:themeFillShade="F2"/>
            <w:textDirection w:val="btLr"/>
            <w:vAlign w:val="center"/>
          </w:tcPr>
          <w:p w14:paraId="2ECBDDB6"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840" w:type="pct"/>
            <w:shd w:val="clear" w:color="auto" w:fill="F2F2F2" w:themeFill="background1" w:themeFillShade="F2"/>
            <w:textDirection w:val="btLr"/>
            <w:vAlign w:val="center"/>
          </w:tcPr>
          <w:p w14:paraId="5E055074"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305" w:type="pct"/>
            <w:shd w:val="clear" w:color="auto" w:fill="F2F2F2" w:themeFill="background1" w:themeFillShade="F2"/>
            <w:textDirection w:val="btLr"/>
            <w:vAlign w:val="center"/>
          </w:tcPr>
          <w:p w14:paraId="0CEC5AF8"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626A93FD"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05" w:type="pct"/>
            <w:shd w:val="clear" w:color="auto" w:fill="F2F2F2" w:themeFill="background1" w:themeFillShade="F2"/>
            <w:textDirection w:val="btLr"/>
            <w:vAlign w:val="center"/>
          </w:tcPr>
          <w:p w14:paraId="2DBC3E15"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410" w:type="pct"/>
            <w:shd w:val="clear" w:color="auto" w:fill="F2F2F2" w:themeFill="background1" w:themeFillShade="F2"/>
            <w:textDirection w:val="btLr"/>
            <w:vAlign w:val="center"/>
          </w:tcPr>
          <w:p w14:paraId="29A6780F"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7258956A"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6" w:type="pct"/>
            <w:shd w:val="clear" w:color="auto" w:fill="F2F2F2" w:themeFill="background1" w:themeFillShade="F2"/>
            <w:textDirection w:val="btLr"/>
            <w:vAlign w:val="center"/>
          </w:tcPr>
          <w:p w14:paraId="4B68E5AA" w14:textId="77777777" w:rsidR="004249F6" w:rsidRPr="00890249" w:rsidRDefault="004249F6" w:rsidP="004B59D6">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4249F6" w:rsidRPr="00890249" w14:paraId="28026C66" w14:textId="77777777" w:rsidTr="004249F6">
        <w:trPr>
          <w:trHeight w:val="434"/>
        </w:trPr>
        <w:tc>
          <w:tcPr>
            <w:tcW w:w="286" w:type="pct"/>
            <w:vAlign w:val="center"/>
          </w:tcPr>
          <w:p w14:paraId="2989B65C"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CP1</w:t>
            </w:r>
          </w:p>
        </w:tc>
        <w:tc>
          <w:tcPr>
            <w:tcW w:w="458" w:type="pct"/>
            <w:vAlign w:val="center"/>
          </w:tcPr>
          <w:p w14:paraId="2325B0A1"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1.i</w:t>
            </w:r>
          </w:p>
        </w:tc>
        <w:tc>
          <w:tcPr>
            <w:tcW w:w="347" w:type="pct"/>
            <w:vAlign w:val="center"/>
          </w:tcPr>
          <w:p w14:paraId="77F5D5B8"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569" w:type="pct"/>
            <w:vAlign w:val="center"/>
          </w:tcPr>
          <w:p w14:paraId="2D14EDC1"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słabiej rozwinięte</w:t>
            </w:r>
          </w:p>
        </w:tc>
        <w:tc>
          <w:tcPr>
            <w:tcW w:w="457" w:type="pct"/>
            <w:vAlign w:val="center"/>
          </w:tcPr>
          <w:p w14:paraId="16F1CCF9"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RCR001</w:t>
            </w:r>
          </w:p>
        </w:tc>
        <w:tc>
          <w:tcPr>
            <w:tcW w:w="840" w:type="pct"/>
            <w:shd w:val="clear" w:color="auto" w:fill="auto"/>
            <w:vAlign w:val="center"/>
          </w:tcPr>
          <w:p w14:paraId="5551275A" w14:textId="77777777" w:rsidR="004249F6" w:rsidRPr="00890249" w:rsidRDefault="004249F6" w:rsidP="004B59D6">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Miejsca pracy utworzone we wspieranych jednostkach</w:t>
            </w:r>
          </w:p>
        </w:tc>
        <w:tc>
          <w:tcPr>
            <w:tcW w:w="305" w:type="pct"/>
            <w:vAlign w:val="center"/>
          </w:tcPr>
          <w:p w14:paraId="255F78B2"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EPC</w:t>
            </w:r>
          </w:p>
        </w:tc>
        <w:tc>
          <w:tcPr>
            <w:tcW w:w="382" w:type="pct"/>
            <w:vAlign w:val="center"/>
          </w:tcPr>
          <w:p w14:paraId="5AA605B3"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5" w:type="pct"/>
            <w:vAlign w:val="center"/>
          </w:tcPr>
          <w:p w14:paraId="2E359758"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10" w:type="pct"/>
            <w:shd w:val="clear" w:color="auto" w:fill="auto"/>
            <w:vAlign w:val="center"/>
          </w:tcPr>
          <w:p w14:paraId="58FBD359" w14:textId="06D240E9" w:rsidR="004249F6" w:rsidRPr="00890249" w:rsidRDefault="002E1346" w:rsidP="0038195D">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46</w:t>
            </w:r>
          </w:p>
        </w:tc>
        <w:tc>
          <w:tcPr>
            <w:tcW w:w="334" w:type="pct"/>
            <w:shd w:val="clear" w:color="auto" w:fill="auto"/>
            <w:vAlign w:val="center"/>
          </w:tcPr>
          <w:p w14:paraId="4FE7E901" w14:textId="77777777" w:rsidR="004249F6" w:rsidRPr="00890249" w:rsidRDefault="004249F6" w:rsidP="004B59D6">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6" w:type="pct"/>
            <w:vAlign w:val="center"/>
          </w:tcPr>
          <w:p w14:paraId="0EE2A5E1"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r w:rsidR="004249F6" w:rsidRPr="00890249" w14:paraId="3A65D7B2" w14:textId="77777777" w:rsidTr="004249F6">
        <w:trPr>
          <w:trHeight w:val="434"/>
        </w:trPr>
        <w:tc>
          <w:tcPr>
            <w:tcW w:w="286" w:type="pct"/>
            <w:vAlign w:val="center"/>
          </w:tcPr>
          <w:p w14:paraId="00055FB9"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CP1</w:t>
            </w:r>
          </w:p>
        </w:tc>
        <w:tc>
          <w:tcPr>
            <w:tcW w:w="458" w:type="pct"/>
            <w:vAlign w:val="center"/>
          </w:tcPr>
          <w:p w14:paraId="6935E770"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1.i</w:t>
            </w:r>
          </w:p>
        </w:tc>
        <w:tc>
          <w:tcPr>
            <w:tcW w:w="347" w:type="pct"/>
            <w:vAlign w:val="center"/>
          </w:tcPr>
          <w:p w14:paraId="53FCAC79"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569" w:type="pct"/>
            <w:vAlign w:val="center"/>
          </w:tcPr>
          <w:p w14:paraId="1F717E2B"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słabiej rozwinięte</w:t>
            </w:r>
          </w:p>
        </w:tc>
        <w:tc>
          <w:tcPr>
            <w:tcW w:w="457" w:type="pct"/>
            <w:vAlign w:val="center"/>
          </w:tcPr>
          <w:p w14:paraId="6001F3C9"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RCR002</w:t>
            </w:r>
          </w:p>
        </w:tc>
        <w:tc>
          <w:tcPr>
            <w:tcW w:w="840" w:type="pct"/>
            <w:shd w:val="clear" w:color="auto" w:fill="auto"/>
            <w:vAlign w:val="center"/>
          </w:tcPr>
          <w:p w14:paraId="45F260C1" w14:textId="77777777" w:rsidR="004249F6" w:rsidRPr="00890249" w:rsidRDefault="004249F6" w:rsidP="004B59D6">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Inwestycje prywatne uzupełniające wsparcie publiczne</w:t>
            </w:r>
            <w:r w:rsidRPr="00890249">
              <w:rPr>
                <w:rFonts w:asciiTheme="minorHAnsi" w:hAnsiTheme="minorHAnsi" w:cstheme="minorHAnsi"/>
                <w:i/>
                <w:noProof/>
                <w:sz w:val="18"/>
                <w:szCs w:val="16"/>
                <w:lang w:eastAsia="en-US" w:bidi="ar-SA"/>
              </w:rPr>
              <w:br/>
              <w:t>(w tym: dotacje, instrumenty finansowe)</w:t>
            </w:r>
          </w:p>
        </w:tc>
        <w:tc>
          <w:tcPr>
            <w:tcW w:w="305" w:type="pct"/>
            <w:vAlign w:val="center"/>
          </w:tcPr>
          <w:p w14:paraId="7E7693D1"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EUR</w:t>
            </w:r>
          </w:p>
        </w:tc>
        <w:tc>
          <w:tcPr>
            <w:tcW w:w="382" w:type="pct"/>
            <w:vAlign w:val="center"/>
          </w:tcPr>
          <w:p w14:paraId="2611B29C"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5" w:type="pct"/>
            <w:vAlign w:val="center"/>
          </w:tcPr>
          <w:p w14:paraId="0FFDE3EA"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10" w:type="pct"/>
            <w:shd w:val="clear" w:color="auto" w:fill="auto"/>
            <w:vAlign w:val="center"/>
          </w:tcPr>
          <w:p w14:paraId="1A1D484D" w14:textId="628D6CC4" w:rsidR="004249F6" w:rsidRPr="00890249" w:rsidRDefault="002E1346">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16 100</w:t>
            </w:r>
            <w:r w:rsidR="004249F6" w:rsidRPr="00890249">
              <w:rPr>
                <w:rFonts w:asciiTheme="minorHAnsi" w:hAnsiTheme="minorHAnsi" w:cstheme="minorHAnsi"/>
                <w:noProof/>
                <w:sz w:val="18"/>
                <w:szCs w:val="16"/>
                <w:lang w:eastAsia="en-US" w:bidi="ar-SA"/>
              </w:rPr>
              <w:t xml:space="preserve"> 000</w:t>
            </w:r>
          </w:p>
        </w:tc>
        <w:tc>
          <w:tcPr>
            <w:tcW w:w="334" w:type="pct"/>
            <w:shd w:val="clear" w:color="auto" w:fill="auto"/>
            <w:vAlign w:val="center"/>
          </w:tcPr>
          <w:p w14:paraId="706B5F9A" w14:textId="77777777" w:rsidR="004249F6" w:rsidRPr="00890249" w:rsidRDefault="004249F6" w:rsidP="004B59D6">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6" w:type="pct"/>
            <w:vAlign w:val="center"/>
          </w:tcPr>
          <w:p w14:paraId="623F8889"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r w:rsidR="004249F6" w:rsidRPr="00890249" w14:paraId="5A4B7361" w14:textId="77777777" w:rsidTr="004249F6">
        <w:trPr>
          <w:trHeight w:val="434"/>
        </w:trPr>
        <w:tc>
          <w:tcPr>
            <w:tcW w:w="286" w:type="pct"/>
            <w:vAlign w:val="center"/>
          </w:tcPr>
          <w:p w14:paraId="70109F07"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458" w:type="pct"/>
            <w:vAlign w:val="center"/>
          </w:tcPr>
          <w:p w14:paraId="48B1C7CD"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1.i</w:t>
            </w:r>
          </w:p>
        </w:tc>
        <w:tc>
          <w:tcPr>
            <w:tcW w:w="347" w:type="pct"/>
            <w:vAlign w:val="center"/>
          </w:tcPr>
          <w:p w14:paraId="674AF1D7"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569" w:type="pct"/>
            <w:vAlign w:val="center"/>
          </w:tcPr>
          <w:p w14:paraId="412CB44D"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57" w:type="pct"/>
            <w:vAlign w:val="center"/>
          </w:tcPr>
          <w:p w14:paraId="6B0DB6BA"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RCR005</w:t>
            </w:r>
          </w:p>
        </w:tc>
        <w:tc>
          <w:tcPr>
            <w:tcW w:w="840" w:type="pct"/>
            <w:shd w:val="clear" w:color="auto" w:fill="auto"/>
            <w:vAlign w:val="center"/>
          </w:tcPr>
          <w:p w14:paraId="0827E5B9" w14:textId="77777777" w:rsidR="004249F6" w:rsidRPr="00890249" w:rsidRDefault="004249F6" w:rsidP="004B59D6">
            <w:pPr>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MŚP wprowadzające innowacje wewnątrz przedsiębiorstwa</w:t>
            </w:r>
          </w:p>
        </w:tc>
        <w:tc>
          <w:tcPr>
            <w:tcW w:w="305" w:type="pct"/>
            <w:vAlign w:val="center"/>
          </w:tcPr>
          <w:p w14:paraId="7DA4B043"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przeds.</w:t>
            </w:r>
          </w:p>
        </w:tc>
        <w:tc>
          <w:tcPr>
            <w:tcW w:w="382" w:type="pct"/>
            <w:vAlign w:val="center"/>
          </w:tcPr>
          <w:p w14:paraId="320AF42D"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5" w:type="pct"/>
            <w:vAlign w:val="center"/>
          </w:tcPr>
          <w:p w14:paraId="6946234F"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10" w:type="pct"/>
            <w:shd w:val="clear" w:color="auto" w:fill="auto"/>
            <w:vAlign w:val="center"/>
          </w:tcPr>
          <w:p w14:paraId="42C57A0C" w14:textId="66928A8B" w:rsidR="004249F6" w:rsidRPr="00890249" w:rsidDel="007A5953" w:rsidRDefault="002E1346">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84</w:t>
            </w:r>
          </w:p>
        </w:tc>
        <w:tc>
          <w:tcPr>
            <w:tcW w:w="334" w:type="pct"/>
            <w:shd w:val="clear" w:color="auto" w:fill="auto"/>
            <w:vAlign w:val="center"/>
          </w:tcPr>
          <w:p w14:paraId="2CE7EADD" w14:textId="77777777" w:rsidR="004249F6" w:rsidRPr="00890249" w:rsidRDefault="004249F6" w:rsidP="004B59D6">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6" w:type="pct"/>
            <w:vAlign w:val="center"/>
          </w:tcPr>
          <w:p w14:paraId="5829E538"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bl>
    <w:p w14:paraId="1B962882" w14:textId="77777777" w:rsidR="00BA2CBD" w:rsidRPr="00890249" w:rsidRDefault="001E517C" w:rsidP="001E517C">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br w:type="page"/>
      </w:r>
    </w:p>
    <w:p w14:paraId="4F76C671" w14:textId="77777777" w:rsidR="003B28AF" w:rsidRPr="00890249" w:rsidRDefault="003B28AF" w:rsidP="003B28AF">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2.1.1.1.3 (i) Orientacyjny podział zasobów programu (UE) według rodzaju interwencji</w:t>
      </w:r>
    </w:p>
    <w:tbl>
      <w:tblPr>
        <w:tblStyle w:val="Tabela-Siatka"/>
        <w:tblW w:w="0" w:type="auto"/>
        <w:tblLayout w:type="fixed"/>
        <w:tblLook w:val="04A0" w:firstRow="1" w:lastRow="0" w:firstColumn="1" w:lastColumn="0" w:noHBand="0" w:noVBand="1"/>
      </w:tblPr>
      <w:tblGrid>
        <w:gridCol w:w="959"/>
        <w:gridCol w:w="992"/>
        <w:gridCol w:w="1134"/>
        <w:gridCol w:w="1276"/>
        <w:gridCol w:w="3402"/>
        <w:gridCol w:w="1525"/>
      </w:tblGrid>
      <w:tr w:rsidR="004249F6" w:rsidRPr="00890249" w14:paraId="0A3519BC" w14:textId="77777777" w:rsidTr="004B59D6">
        <w:tc>
          <w:tcPr>
            <w:tcW w:w="9288" w:type="dxa"/>
            <w:gridSpan w:val="6"/>
            <w:shd w:val="clear" w:color="auto" w:fill="D9D9D9" w:themeFill="background1" w:themeFillShade="D9"/>
          </w:tcPr>
          <w:p w14:paraId="18F1AAE0"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4249F6" w:rsidRPr="00890249" w14:paraId="47D53BE9" w14:textId="77777777" w:rsidTr="004B59D6">
        <w:tc>
          <w:tcPr>
            <w:tcW w:w="959" w:type="dxa"/>
            <w:shd w:val="clear" w:color="auto" w:fill="F2F2F2" w:themeFill="background1" w:themeFillShade="F2"/>
          </w:tcPr>
          <w:p w14:paraId="32290A47"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992" w:type="dxa"/>
            <w:shd w:val="clear" w:color="auto" w:fill="F2F2F2" w:themeFill="background1" w:themeFillShade="F2"/>
          </w:tcPr>
          <w:p w14:paraId="6B7C1C7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134" w:type="dxa"/>
            <w:shd w:val="clear" w:color="auto" w:fill="F2F2F2" w:themeFill="background1" w:themeFillShade="F2"/>
          </w:tcPr>
          <w:p w14:paraId="135DA0F5"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276" w:type="dxa"/>
            <w:shd w:val="clear" w:color="auto" w:fill="F2F2F2" w:themeFill="background1" w:themeFillShade="F2"/>
          </w:tcPr>
          <w:p w14:paraId="09F49DAA"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3402" w:type="dxa"/>
            <w:shd w:val="clear" w:color="auto" w:fill="F2F2F2" w:themeFill="background1" w:themeFillShade="F2"/>
          </w:tcPr>
          <w:p w14:paraId="08514140"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525" w:type="dxa"/>
            <w:shd w:val="clear" w:color="auto" w:fill="F2F2F2" w:themeFill="background1" w:themeFillShade="F2"/>
          </w:tcPr>
          <w:p w14:paraId="3040FA76"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6E102A22" w14:textId="77777777" w:rsidTr="004B59D6">
        <w:trPr>
          <w:trHeight w:val="1476"/>
        </w:trPr>
        <w:tc>
          <w:tcPr>
            <w:tcW w:w="959" w:type="dxa"/>
            <w:vMerge w:val="restart"/>
            <w:vAlign w:val="center"/>
          </w:tcPr>
          <w:p w14:paraId="5A683894"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1</w:t>
            </w:r>
          </w:p>
        </w:tc>
        <w:tc>
          <w:tcPr>
            <w:tcW w:w="992" w:type="dxa"/>
            <w:vMerge w:val="restart"/>
            <w:vAlign w:val="center"/>
          </w:tcPr>
          <w:p w14:paraId="6B4F64EC"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134" w:type="dxa"/>
            <w:vMerge w:val="restart"/>
            <w:vAlign w:val="center"/>
          </w:tcPr>
          <w:p w14:paraId="5FDFA5CC"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276" w:type="dxa"/>
            <w:vMerge w:val="restart"/>
            <w:vAlign w:val="center"/>
          </w:tcPr>
          <w:p w14:paraId="21E86AE3"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p>
        </w:tc>
        <w:tc>
          <w:tcPr>
            <w:tcW w:w="3402" w:type="dxa"/>
          </w:tcPr>
          <w:p w14:paraId="6C594FE4"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001 </w:t>
            </w:r>
            <w:r w:rsidRPr="00890249">
              <w:rPr>
                <w:rFonts w:asciiTheme="minorHAnsi" w:hAnsiTheme="minorHAnsi" w:cstheme="minorHAnsi"/>
                <w:sz w:val="20"/>
                <w:szCs w:val="20"/>
              </w:rPr>
              <w:t xml:space="preserve">Inwestycje w środki trwałe, w tym infrastrukturę badawczą, w mikroprzedsiębiorstwach bezpośrednio związane z działaniami badawczymi i innowacyjnymi </w:t>
            </w:r>
          </w:p>
        </w:tc>
        <w:tc>
          <w:tcPr>
            <w:tcW w:w="1525" w:type="dxa"/>
          </w:tcPr>
          <w:p w14:paraId="395ADE55" w14:textId="59BEAEDA" w:rsidR="004249F6" w:rsidRPr="00890249" w:rsidRDefault="004249F6" w:rsidP="004B59D6">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2 025 000</w:t>
            </w:r>
          </w:p>
        </w:tc>
      </w:tr>
      <w:tr w:rsidR="004249F6" w:rsidRPr="00890249" w14:paraId="183FC8C1" w14:textId="77777777" w:rsidTr="004B59D6">
        <w:trPr>
          <w:trHeight w:val="501"/>
        </w:trPr>
        <w:tc>
          <w:tcPr>
            <w:tcW w:w="959" w:type="dxa"/>
            <w:vMerge/>
          </w:tcPr>
          <w:p w14:paraId="7D2D5096"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4E797C9C"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25AE38BA"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27C2F90F"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7DD984D8"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002 </w:t>
            </w:r>
            <w:r w:rsidRPr="00890249">
              <w:rPr>
                <w:rFonts w:asciiTheme="minorHAnsi" w:hAnsiTheme="minorHAnsi" w:cstheme="minorHAnsi"/>
                <w:sz w:val="20"/>
                <w:szCs w:val="20"/>
              </w:rPr>
              <w:t xml:space="preserve">Inwestycje w środki trwałe, w tym infrastrukturę badawczą, w małych i średnich przedsiębiorstwach (w tym prywatnych organizacjach badawczych) bezpośrednio związane z działaniami badawczymi i innowacyjnymi </w:t>
            </w:r>
          </w:p>
        </w:tc>
        <w:tc>
          <w:tcPr>
            <w:tcW w:w="1525" w:type="dxa"/>
          </w:tcPr>
          <w:p w14:paraId="1CCA4EDA" w14:textId="78F89425" w:rsidR="004249F6" w:rsidRPr="00890249" w:rsidRDefault="004249F6" w:rsidP="004B59D6">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7 425 000</w:t>
            </w:r>
          </w:p>
        </w:tc>
      </w:tr>
      <w:tr w:rsidR="004249F6" w:rsidRPr="00890249" w14:paraId="2DE0DEB2" w14:textId="77777777" w:rsidTr="004B59D6">
        <w:trPr>
          <w:trHeight w:val="501"/>
        </w:trPr>
        <w:tc>
          <w:tcPr>
            <w:tcW w:w="959" w:type="dxa"/>
            <w:vMerge/>
          </w:tcPr>
          <w:p w14:paraId="6205597F"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02473E9F"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023A194E"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09E97A04"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5CFAAA29"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004 </w:t>
            </w:r>
            <w:r w:rsidRPr="00890249">
              <w:rPr>
                <w:rFonts w:asciiTheme="minorHAnsi" w:hAnsiTheme="minorHAnsi" w:cstheme="minorHAnsi"/>
                <w:sz w:val="20"/>
                <w:szCs w:val="20"/>
              </w:rPr>
              <w:t xml:space="preserve">Inwestycje w środki trwałe, w tym infrastrukturę badawczą, w publicznych organizacjach badawczych i instytucjach szkolnictwa wyższego bezpośrednio związane z działaniami badawczymi i innowacyjnymi </w:t>
            </w:r>
          </w:p>
        </w:tc>
        <w:tc>
          <w:tcPr>
            <w:tcW w:w="1525" w:type="dxa"/>
          </w:tcPr>
          <w:p w14:paraId="175EE0C0" w14:textId="1ED9F38E" w:rsidR="004249F6" w:rsidRPr="00890249" w:rsidRDefault="005D7FA3"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8 070 000</w:t>
            </w:r>
          </w:p>
        </w:tc>
      </w:tr>
      <w:tr w:rsidR="004249F6" w:rsidRPr="00890249" w14:paraId="0D543110" w14:textId="77777777" w:rsidTr="004B59D6">
        <w:trPr>
          <w:trHeight w:val="501"/>
        </w:trPr>
        <w:tc>
          <w:tcPr>
            <w:tcW w:w="959" w:type="dxa"/>
            <w:vMerge/>
          </w:tcPr>
          <w:p w14:paraId="26CC2E4E"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02191F6F"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18D7A88A"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246966FE"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7AA0D2DF"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005 </w:t>
            </w:r>
            <w:r w:rsidRPr="00890249">
              <w:rPr>
                <w:rFonts w:asciiTheme="minorHAnsi" w:hAnsiTheme="minorHAnsi" w:cstheme="minorHAnsi"/>
                <w:sz w:val="20"/>
                <w:szCs w:val="20"/>
              </w:rPr>
              <w:t xml:space="preserve">Inwestycje w wartości niematerialne i prawne w mikroprzedsiębiorstwach bezpośrednio związane z działaniami badawczymi i innowacyjnymi </w:t>
            </w:r>
          </w:p>
        </w:tc>
        <w:tc>
          <w:tcPr>
            <w:tcW w:w="1525" w:type="dxa"/>
          </w:tcPr>
          <w:p w14:paraId="06C6A27C" w14:textId="77777777" w:rsidR="004249F6" w:rsidRPr="00890249" w:rsidRDefault="004249F6" w:rsidP="004B59D6">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675 000</w:t>
            </w:r>
          </w:p>
        </w:tc>
      </w:tr>
      <w:tr w:rsidR="004249F6" w:rsidRPr="00890249" w14:paraId="0A003EDA" w14:textId="77777777" w:rsidTr="004B59D6">
        <w:trPr>
          <w:trHeight w:val="501"/>
        </w:trPr>
        <w:tc>
          <w:tcPr>
            <w:tcW w:w="959" w:type="dxa"/>
            <w:vMerge/>
          </w:tcPr>
          <w:p w14:paraId="71EAE742"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5BB6D4DF"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10115FA2"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058E7D8E"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467370CD"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006 </w:t>
            </w:r>
            <w:r w:rsidRPr="00890249">
              <w:rPr>
                <w:rFonts w:asciiTheme="minorHAnsi" w:hAnsiTheme="minorHAnsi" w:cstheme="minorHAnsi"/>
                <w:sz w:val="20"/>
                <w:szCs w:val="20"/>
              </w:rPr>
              <w:t xml:space="preserve">Inwestycje w wartości niematerialne i prawne w MŚP (w tym prywatnych organizacjach badawczych) bezpośrednio związane z działaniami badawczymi i innowacyjnymi </w:t>
            </w:r>
          </w:p>
        </w:tc>
        <w:tc>
          <w:tcPr>
            <w:tcW w:w="1525" w:type="dxa"/>
          </w:tcPr>
          <w:p w14:paraId="55BB357F" w14:textId="77777777" w:rsidR="004249F6" w:rsidRPr="00890249" w:rsidRDefault="004249F6" w:rsidP="004B59D6">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3 375 000</w:t>
            </w:r>
          </w:p>
        </w:tc>
      </w:tr>
      <w:tr w:rsidR="004249F6" w:rsidRPr="00890249" w14:paraId="0EF675BF" w14:textId="77777777" w:rsidTr="004B59D6">
        <w:trPr>
          <w:trHeight w:val="501"/>
        </w:trPr>
        <w:tc>
          <w:tcPr>
            <w:tcW w:w="959" w:type="dxa"/>
            <w:vMerge/>
          </w:tcPr>
          <w:p w14:paraId="4677F262"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029A747E"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7A73C5E9"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467C6811"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2DB13EA6"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008 </w:t>
            </w:r>
            <w:r w:rsidRPr="00890249">
              <w:rPr>
                <w:rFonts w:asciiTheme="minorHAnsi" w:hAnsiTheme="minorHAnsi" w:cstheme="minorHAnsi"/>
                <w:sz w:val="20"/>
                <w:szCs w:val="20"/>
              </w:rPr>
              <w:t xml:space="preserve">Inwestycje w wartości niematerialne i prawne w MŚP (w tym prywatnych organizacjach badawczych) bezpośrednio związane z działaniami badawczymi i innowacyjnymi </w:t>
            </w:r>
          </w:p>
        </w:tc>
        <w:tc>
          <w:tcPr>
            <w:tcW w:w="1525" w:type="dxa"/>
          </w:tcPr>
          <w:p w14:paraId="03BD446B" w14:textId="2A614822" w:rsidR="004249F6" w:rsidRPr="00890249" w:rsidRDefault="005D7FA3"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2 690 000</w:t>
            </w:r>
          </w:p>
        </w:tc>
      </w:tr>
      <w:tr w:rsidR="004249F6" w:rsidRPr="00890249" w14:paraId="2AC13DEA" w14:textId="77777777" w:rsidTr="004B59D6">
        <w:trPr>
          <w:trHeight w:val="501"/>
        </w:trPr>
        <w:tc>
          <w:tcPr>
            <w:tcW w:w="959" w:type="dxa"/>
            <w:vMerge/>
          </w:tcPr>
          <w:p w14:paraId="200FCEB2"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19793FE2"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5B9483F0"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6B9668EC"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044424AB"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009 </w:t>
            </w:r>
            <w:r w:rsidRPr="00890249">
              <w:rPr>
                <w:rFonts w:asciiTheme="minorHAnsi" w:hAnsiTheme="minorHAnsi" w:cstheme="minorHAnsi"/>
                <w:sz w:val="20"/>
                <w:szCs w:val="20"/>
              </w:rPr>
              <w:t xml:space="preserve">Działania badawcze i innowacyjne w mikroprzedsiębiorstwach, w tym tworzenie sieci kontaktów (badania przemysłowe, eksperymentalne prace rozwojowe, studia wykonalności) </w:t>
            </w:r>
          </w:p>
        </w:tc>
        <w:tc>
          <w:tcPr>
            <w:tcW w:w="1525" w:type="dxa"/>
          </w:tcPr>
          <w:p w14:paraId="453F5C35" w14:textId="71190702" w:rsidR="004249F6" w:rsidRPr="00890249" w:rsidRDefault="00524A18"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900 000</w:t>
            </w:r>
          </w:p>
        </w:tc>
      </w:tr>
      <w:tr w:rsidR="004249F6" w:rsidRPr="00890249" w14:paraId="0E5C9261" w14:textId="77777777" w:rsidTr="004B59D6">
        <w:trPr>
          <w:trHeight w:val="501"/>
        </w:trPr>
        <w:tc>
          <w:tcPr>
            <w:tcW w:w="959" w:type="dxa"/>
            <w:vMerge/>
          </w:tcPr>
          <w:p w14:paraId="5270F99F"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53252AC4"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53E69185"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4F697FDF"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1D5B5EB6"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010 </w:t>
            </w:r>
            <w:r w:rsidRPr="00890249">
              <w:rPr>
                <w:rFonts w:asciiTheme="minorHAnsi" w:hAnsiTheme="minorHAnsi" w:cstheme="minorHAnsi"/>
                <w:sz w:val="20"/>
                <w:szCs w:val="20"/>
              </w:rPr>
              <w:t xml:space="preserve">Działania badawcze i innowacyjne w MŚP, w tym tworzenie sieci kontaktów </w:t>
            </w:r>
          </w:p>
        </w:tc>
        <w:tc>
          <w:tcPr>
            <w:tcW w:w="1525" w:type="dxa"/>
          </w:tcPr>
          <w:p w14:paraId="554D37A5" w14:textId="682EBC94" w:rsidR="004249F6" w:rsidRPr="00890249" w:rsidRDefault="00524A18"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900 000</w:t>
            </w:r>
          </w:p>
        </w:tc>
      </w:tr>
      <w:tr w:rsidR="004249F6" w:rsidRPr="00890249" w14:paraId="16880820" w14:textId="77777777" w:rsidTr="004B59D6">
        <w:trPr>
          <w:trHeight w:val="501"/>
        </w:trPr>
        <w:tc>
          <w:tcPr>
            <w:tcW w:w="959" w:type="dxa"/>
            <w:vMerge/>
          </w:tcPr>
          <w:p w14:paraId="10685A20"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0E562AA9"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1AAF4F3E"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527FB9B1"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09038FAC"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012 </w:t>
            </w:r>
            <w:r w:rsidRPr="00890249">
              <w:rPr>
                <w:rFonts w:asciiTheme="minorHAnsi" w:hAnsiTheme="minorHAnsi" w:cstheme="minorHAnsi"/>
                <w:sz w:val="20"/>
                <w:szCs w:val="20"/>
              </w:rPr>
              <w:t xml:space="preserve">Działania badawcze i innowacyjne w publicznych organizacjach badawczych, instytucjach szkolnictwa wyższego i ośrodkach kompetencji, w </w:t>
            </w:r>
            <w:r w:rsidRPr="00890249">
              <w:rPr>
                <w:rFonts w:asciiTheme="minorHAnsi" w:hAnsiTheme="minorHAnsi" w:cstheme="minorHAnsi"/>
                <w:sz w:val="20"/>
                <w:szCs w:val="20"/>
              </w:rPr>
              <w:lastRenderedPageBreak/>
              <w:t xml:space="preserve">tym tworzenie sieci kontaktów (badania przemysłowe, eksperymentalne prace rozwojowe, studia wykonalności) </w:t>
            </w:r>
          </w:p>
        </w:tc>
        <w:tc>
          <w:tcPr>
            <w:tcW w:w="1525" w:type="dxa"/>
          </w:tcPr>
          <w:p w14:paraId="68AB8130" w14:textId="6405667C" w:rsidR="004249F6" w:rsidRPr="00890249" w:rsidRDefault="005D7FA3"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2 690 000</w:t>
            </w:r>
          </w:p>
        </w:tc>
      </w:tr>
      <w:tr w:rsidR="004249F6" w:rsidRPr="00890249" w14:paraId="2234C6F8" w14:textId="77777777" w:rsidTr="004B59D6">
        <w:trPr>
          <w:trHeight w:val="717"/>
        </w:trPr>
        <w:tc>
          <w:tcPr>
            <w:tcW w:w="959" w:type="dxa"/>
            <w:vMerge/>
          </w:tcPr>
          <w:p w14:paraId="7BAC667F"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1FE52327"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34826350"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0928CD3B"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7D5609C0"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024 </w:t>
            </w:r>
            <w:r w:rsidRPr="00890249">
              <w:rPr>
                <w:rFonts w:asciiTheme="minorHAnsi" w:hAnsiTheme="minorHAnsi" w:cstheme="minorHAnsi"/>
                <w:sz w:val="20"/>
                <w:szCs w:val="20"/>
              </w:rPr>
              <w:t xml:space="preserve">Zaawansowane usługi wsparcia dla MŚP i grup MŚP (w tym usługi w zakresie zarządzania, marketingu i projektowania) </w:t>
            </w:r>
          </w:p>
        </w:tc>
        <w:tc>
          <w:tcPr>
            <w:tcW w:w="1525" w:type="dxa"/>
          </w:tcPr>
          <w:p w14:paraId="68C1093A" w14:textId="3E399264" w:rsidR="004249F6" w:rsidRPr="00890249" w:rsidRDefault="00524A18"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675 000</w:t>
            </w:r>
          </w:p>
          <w:p w14:paraId="508BE749" w14:textId="77777777" w:rsidR="004249F6" w:rsidRPr="00890249" w:rsidRDefault="004249F6" w:rsidP="004B59D6">
            <w:pPr>
              <w:jc w:val="right"/>
              <w:rPr>
                <w:rFonts w:asciiTheme="minorHAnsi" w:eastAsia="Times New Roman" w:hAnsiTheme="minorHAnsi" w:cstheme="minorHAnsi"/>
                <w:iCs/>
                <w:noProof/>
                <w:sz w:val="20"/>
              </w:rPr>
            </w:pPr>
          </w:p>
        </w:tc>
      </w:tr>
      <w:tr w:rsidR="00EC4645" w:rsidRPr="00890249" w14:paraId="2D43DD61" w14:textId="77777777" w:rsidTr="004B59D6">
        <w:trPr>
          <w:trHeight w:val="717"/>
        </w:trPr>
        <w:tc>
          <w:tcPr>
            <w:tcW w:w="959" w:type="dxa"/>
            <w:vMerge/>
          </w:tcPr>
          <w:p w14:paraId="30BE12C6" w14:textId="77777777" w:rsidR="00EC4645" w:rsidRPr="00890249" w:rsidRDefault="00EC4645" w:rsidP="004B59D6">
            <w:pPr>
              <w:jc w:val="center"/>
              <w:rPr>
                <w:rFonts w:asciiTheme="minorHAnsi" w:eastAsia="Times New Roman" w:hAnsiTheme="minorHAnsi" w:cstheme="minorHAnsi"/>
                <w:iCs/>
                <w:noProof/>
                <w:sz w:val="20"/>
              </w:rPr>
            </w:pPr>
          </w:p>
        </w:tc>
        <w:tc>
          <w:tcPr>
            <w:tcW w:w="992" w:type="dxa"/>
            <w:vMerge/>
          </w:tcPr>
          <w:p w14:paraId="06E30D60" w14:textId="77777777" w:rsidR="00EC4645" w:rsidRPr="00890249" w:rsidRDefault="00EC4645" w:rsidP="004B59D6">
            <w:pPr>
              <w:jc w:val="center"/>
              <w:rPr>
                <w:rFonts w:asciiTheme="minorHAnsi" w:eastAsia="Times New Roman" w:hAnsiTheme="minorHAnsi" w:cstheme="minorHAnsi"/>
                <w:iCs/>
                <w:noProof/>
                <w:sz w:val="20"/>
              </w:rPr>
            </w:pPr>
          </w:p>
        </w:tc>
        <w:tc>
          <w:tcPr>
            <w:tcW w:w="1134" w:type="dxa"/>
            <w:vMerge/>
          </w:tcPr>
          <w:p w14:paraId="4F84CE60" w14:textId="77777777" w:rsidR="00EC4645" w:rsidRPr="00890249" w:rsidRDefault="00EC4645" w:rsidP="004B59D6">
            <w:pPr>
              <w:jc w:val="center"/>
              <w:rPr>
                <w:rFonts w:asciiTheme="minorHAnsi" w:eastAsia="Times New Roman" w:hAnsiTheme="minorHAnsi" w:cstheme="minorHAnsi"/>
                <w:iCs/>
                <w:noProof/>
                <w:sz w:val="20"/>
              </w:rPr>
            </w:pPr>
          </w:p>
        </w:tc>
        <w:tc>
          <w:tcPr>
            <w:tcW w:w="1276" w:type="dxa"/>
            <w:vMerge/>
          </w:tcPr>
          <w:p w14:paraId="34EE230D" w14:textId="77777777" w:rsidR="00EC4645" w:rsidRPr="00890249" w:rsidRDefault="00EC4645" w:rsidP="004B59D6">
            <w:pPr>
              <w:jc w:val="center"/>
              <w:rPr>
                <w:rFonts w:asciiTheme="minorHAnsi" w:eastAsia="Times New Roman" w:hAnsiTheme="minorHAnsi" w:cstheme="minorHAnsi"/>
                <w:iCs/>
                <w:noProof/>
                <w:sz w:val="20"/>
              </w:rPr>
            </w:pPr>
          </w:p>
        </w:tc>
        <w:tc>
          <w:tcPr>
            <w:tcW w:w="3402" w:type="dxa"/>
          </w:tcPr>
          <w:p w14:paraId="2EC36BF6" w14:textId="2A6B4745" w:rsidR="00EC4645" w:rsidRPr="00890249" w:rsidRDefault="00EC4645" w:rsidP="00EC4645">
            <w:pPr>
              <w:pStyle w:val="Default"/>
              <w:rPr>
                <w:rFonts w:asciiTheme="minorHAnsi" w:eastAsia="Times New Roman" w:hAnsiTheme="minorHAnsi" w:cstheme="minorHAnsi"/>
                <w:iCs/>
                <w:noProof/>
                <w:sz w:val="20"/>
                <w:szCs w:val="20"/>
              </w:rPr>
            </w:pPr>
            <w:r w:rsidRPr="00890249">
              <w:rPr>
                <w:rFonts w:asciiTheme="minorHAnsi" w:eastAsia="Times New Roman" w:hAnsiTheme="minorHAnsi" w:cstheme="minorHAnsi"/>
                <w:iCs/>
                <w:noProof/>
                <w:sz w:val="20"/>
                <w:szCs w:val="20"/>
              </w:rPr>
              <w:t>028 Transfer technologii i współpraca między przedsiębiorstwami, organizacjami badawczymi i sektorem szkolnictwa wyższego</w:t>
            </w:r>
          </w:p>
        </w:tc>
        <w:tc>
          <w:tcPr>
            <w:tcW w:w="1525" w:type="dxa"/>
          </w:tcPr>
          <w:p w14:paraId="1A1185BA" w14:textId="41B1DD05" w:rsidR="00EC4645" w:rsidRPr="00890249" w:rsidDel="00F570D7" w:rsidRDefault="00524A18"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405 000</w:t>
            </w:r>
          </w:p>
        </w:tc>
      </w:tr>
      <w:tr w:rsidR="004249F6" w:rsidRPr="00890249" w14:paraId="42A24B4C" w14:textId="77777777" w:rsidTr="004B59D6">
        <w:trPr>
          <w:trHeight w:val="501"/>
        </w:trPr>
        <w:tc>
          <w:tcPr>
            <w:tcW w:w="959" w:type="dxa"/>
            <w:vMerge/>
          </w:tcPr>
          <w:p w14:paraId="5DC1DDB3"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71631269"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00C6460D"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517A1698"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53C1B610"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029 </w:t>
            </w:r>
            <w:r w:rsidRPr="00890249">
              <w:rPr>
                <w:rFonts w:asciiTheme="minorHAnsi" w:hAnsiTheme="minorHAnsi" w:cstheme="minorHAnsi"/>
                <w:sz w:val="20"/>
                <w:szCs w:val="20"/>
              </w:rPr>
              <w:t xml:space="preserve">Procesy badawcze i innowacyjne, transfer technologii i współpraca między przedsiębiorstwami, organizacjami badawczymi i uczelniami wyższymi, koncentrujące się na gospodarce niskoemisyjnej, odporności i przystosowaniu się do zmian klimatu </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497257E2" w14:textId="5F78E8B9" w:rsidR="004249F6" w:rsidRPr="00890249" w:rsidRDefault="00524A18"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1 170 000</w:t>
            </w:r>
          </w:p>
        </w:tc>
      </w:tr>
      <w:tr w:rsidR="004249F6" w:rsidRPr="00890249" w14:paraId="2B6DDDC1" w14:textId="77777777" w:rsidTr="003B28AF">
        <w:trPr>
          <w:trHeight w:val="1303"/>
        </w:trPr>
        <w:tc>
          <w:tcPr>
            <w:tcW w:w="959" w:type="dxa"/>
            <w:vMerge/>
          </w:tcPr>
          <w:p w14:paraId="672F8669" w14:textId="77777777" w:rsidR="004249F6" w:rsidRPr="00890249" w:rsidRDefault="004249F6" w:rsidP="004B59D6">
            <w:pPr>
              <w:jc w:val="center"/>
              <w:rPr>
                <w:rFonts w:asciiTheme="minorHAnsi" w:eastAsia="Times New Roman" w:hAnsiTheme="minorHAnsi" w:cstheme="minorHAnsi"/>
                <w:iCs/>
                <w:noProof/>
                <w:sz w:val="20"/>
              </w:rPr>
            </w:pPr>
          </w:p>
        </w:tc>
        <w:tc>
          <w:tcPr>
            <w:tcW w:w="992" w:type="dxa"/>
            <w:vMerge/>
          </w:tcPr>
          <w:p w14:paraId="25446840" w14:textId="77777777" w:rsidR="004249F6" w:rsidRPr="00890249" w:rsidRDefault="004249F6" w:rsidP="004B59D6">
            <w:pPr>
              <w:jc w:val="center"/>
              <w:rPr>
                <w:rFonts w:asciiTheme="minorHAnsi" w:eastAsia="Times New Roman" w:hAnsiTheme="minorHAnsi" w:cstheme="minorHAnsi"/>
                <w:iCs/>
                <w:noProof/>
                <w:sz w:val="20"/>
              </w:rPr>
            </w:pPr>
          </w:p>
        </w:tc>
        <w:tc>
          <w:tcPr>
            <w:tcW w:w="1134" w:type="dxa"/>
            <w:vMerge/>
          </w:tcPr>
          <w:p w14:paraId="4C602DA0"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20C32CD1" w14:textId="77777777" w:rsidR="004249F6" w:rsidRPr="00890249" w:rsidRDefault="004249F6" w:rsidP="004B59D6">
            <w:pPr>
              <w:jc w:val="center"/>
              <w:rPr>
                <w:rFonts w:asciiTheme="minorHAnsi" w:eastAsia="Times New Roman" w:hAnsiTheme="minorHAnsi" w:cstheme="minorHAnsi"/>
                <w:iCs/>
                <w:noProof/>
                <w:sz w:val="20"/>
              </w:rPr>
            </w:pPr>
          </w:p>
        </w:tc>
        <w:tc>
          <w:tcPr>
            <w:tcW w:w="3402" w:type="dxa"/>
          </w:tcPr>
          <w:p w14:paraId="2A016207" w14:textId="2F4FA2C3"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030 </w:t>
            </w:r>
            <w:r w:rsidRPr="00890249">
              <w:rPr>
                <w:rFonts w:asciiTheme="minorHAnsi" w:hAnsiTheme="minorHAnsi" w:cstheme="minorHAnsi"/>
                <w:sz w:val="20"/>
                <w:szCs w:val="20"/>
              </w:rPr>
              <w:t xml:space="preserve">Procesy badawcze i innowacyjne, transfer technologii i współpraca między przedsiębiorstwami koncentrujące się na gospodarce o obiegu zamkniętym </w:t>
            </w:r>
          </w:p>
        </w:tc>
        <w:tc>
          <w:tcPr>
            <w:tcW w:w="1525" w:type="dxa"/>
            <w:tcBorders>
              <w:top w:val="single" w:sz="4" w:space="0" w:color="auto"/>
              <w:left w:val="single" w:sz="4" w:space="0" w:color="auto"/>
              <w:right w:val="single" w:sz="4" w:space="0" w:color="auto"/>
            </w:tcBorders>
            <w:shd w:val="clear" w:color="000000" w:fill="FFFFFF"/>
            <w:vAlign w:val="center"/>
          </w:tcPr>
          <w:p w14:paraId="121A7419" w14:textId="3C84EE3A" w:rsidR="004249F6" w:rsidRPr="00890249" w:rsidRDefault="00EF1D4F"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450 000</w:t>
            </w:r>
          </w:p>
          <w:p w14:paraId="1BE4967C" w14:textId="77777777" w:rsidR="004249F6" w:rsidRPr="00890249" w:rsidRDefault="004249F6" w:rsidP="004B59D6">
            <w:pPr>
              <w:jc w:val="right"/>
              <w:rPr>
                <w:rFonts w:asciiTheme="minorHAnsi" w:eastAsia="Times New Roman" w:hAnsiTheme="minorHAnsi" w:cstheme="minorHAnsi"/>
                <w:iCs/>
                <w:noProof/>
                <w:sz w:val="20"/>
              </w:rPr>
            </w:pPr>
          </w:p>
        </w:tc>
      </w:tr>
    </w:tbl>
    <w:p w14:paraId="30E0EC43" w14:textId="4C1F2DA2" w:rsidR="006B023E" w:rsidRPr="00890249" w:rsidRDefault="006B023E" w:rsidP="0076486A">
      <w:pPr>
        <w:spacing w:before="0" w:after="160" w:line="259" w:lineRule="auto"/>
        <w:jc w:val="left"/>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555"/>
        <w:gridCol w:w="1047"/>
        <w:gridCol w:w="1475"/>
        <w:gridCol w:w="1276"/>
        <w:gridCol w:w="1658"/>
        <w:gridCol w:w="2311"/>
      </w:tblGrid>
      <w:tr w:rsidR="004249F6" w:rsidRPr="00890249" w14:paraId="5945EB13" w14:textId="77777777" w:rsidTr="004B59D6">
        <w:tc>
          <w:tcPr>
            <w:tcW w:w="9322" w:type="dxa"/>
            <w:gridSpan w:val="6"/>
            <w:shd w:val="clear" w:color="auto" w:fill="D9D9D9" w:themeFill="background1" w:themeFillShade="D9"/>
          </w:tcPr>
          <w:p w14:paraId="3FD49431"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4249F6" w:rsidRPr="00890249" w14:paraId="01D8B1B5" w14:textId="77777777" w:rsidTr="004B59D6">
        <w:tc>
          <w:tcPr>
            <w:tcW w:w="1555" w:type="dxa"/>
            <w:shd w:val="clear" w:color="auto" w:fill="F2F2F2" w:themeFill="background1" w:themeFillShade="F2"/>
          </w:tcPr>
          <w:p w14:paraId="6A58187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47" w:type="dxa"/>
            <w:shd w:val="clear" w:color="auto" w:fill="F2F2F2" w:themeFill="background1" w:themeFillShade="F2"/>
          </w:tcPr>
          <w:p w14:paraId="50B02C0E"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75" w:type="dxa"/>
            <w:shd w:val="clear" w:color="auto" w:fill="F2F2F2" w:themeFill="background1" w:themeFillShade="F2"/>
          </w:tcPr>
          <w:p w14:paraId="1196FB37"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276" w:type="dxa"/>
            <w:shd w:val="clear" w:color="auto" w:fill="F2F2F2" w:themeFill="background1" w:themeFillShade="F2"/>
          </w:tcPr>
          <w:p w14:paraId="6830368F"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8" w:type="dxa"/>
            <w:shd w:val="clear" w:color="auto" w:fill="F2F2F2" w:themeFill="background1" w:themeFillShade="F2"/>
          </w:tcPr>
          <w:p w14:paraId="1CA9F407"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11" w:type="dxa"/>
            <w:shd w:val="clear" w:color="auto" w:fill="F2F2F2" w:themeFill="background1" w:themeFillShade="F2"/>
          </w:tcPr>
          <w:p w14:paraId="3F036F7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070EE" w:rsidRPr="00890249" w14:paraId="4EB580EB" w14:textId="77777777" w:rsidTr="003B28AF">
        <w:trPr>
          <w:trHeight w:val="256"/>
        </w:trPr>
        <w:tc>
          <w:tcPr>
            <w:tcW w:w="1555" w:type="dxa"/>
            <w:vMerge w:val="restart"/>
            <w:vAlign w:val="center"/>
          </w:tcPr>
          <w:p w14:paraId="71260F12" w14:textId="77777777" w:rsidR="005070EE" w:rsidRPr="00890249" w:rsidRDefault="005070EE"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1</w:t>
            </w:r>
          </w:p>
        </w:tc>
        <w:tc>
          <w:tcPr>
            <w:tcW w:w="1047" w:type="dxa"/>
            <w:vMerge w:val="restart"/>
            <w:vAlign w:val="center"/>
          </w:tcPr>
          <w:p w14:paraId="5C1D06B9" w14:textId="77777777" w:rsidR="005070EE" w:rsidRPr="00890249" w:rsidRDefault="005070EE"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475" w:type="dxa"/>
            <w:vMerge w:val="restart"/>
            <w:vAlign w:val="center"/>
          </w:tcPr>
          <w:p w14:paraId="6097C83D" w14:textId="77777777" w:rsidR="005070EE" w:rsidRPr="00890249" w:rsidRDefault="005070EE"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276" w:type="dxa"/>
            <w:vMerge w:val="restart"/>
            <w:vAlign w:val="center"/>
          </w:tcPr>
          <w:p w14:paraId="39E9AE9E" w14:textId="77777777" w:rsidR="005070EE" w:rsidRPr="00890249" w:rsidRDefault="005070EE"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w:t>
            </w:r>
          </w:p>
        </w:tc>
        <w:tc>
          <w:tcPr>
            <w:tcW w:w="1658" w:type="dxa"/>
          </w:tcPr>
          <w:p w14:paraId="54DCB0CC" w14:textId="77777777" w:rsidR="005070EE" w:rsidRPr="00890249" w:rsidRDefault="005070EE"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 </w:t>
            </w:r>
            <w:r w:rsidRPr="00890249">
              <w:rPr>
                <w:rFonts w:asciiTheme="minorHAnsi" w:hAnsiTheme="minorHAnsi" w:cstheme="minorHAnsi"/>
                <w:sz w:val="20"/>
                <w:szCs w:val="20"/>
              </w:rPr>
              <w:t xml:space="preserve">Dotacja </w:t>
            </w:r>
          </w:p>
        </w:tc>
        <w:tc>
          <w:tcPr>
            <w:tcW w:w="2311" w:type="dxa"/>
          </w:tcPr>
          <w:p w14:paraId="3177744D" w14:textId="52B40BEC" w:rsidR="005070EE" w:rsidRPr="00890249" w:rsidRDefault="005D7FA3"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31 450 000</w:t>
            </w:r>
          </w:p>
        </w:tc>
      </w:tr>
      <w:tr w:rsidR="00B63E54" w:rsidRPr="00890249" w14:paraId="2A58E4A2" w14:textId="77777777" w:rsidTr="003B28AF">
        <w:trPr>
          <w:trHeight w:val="256"/>
        </w:trPr>
        <w:tc>
          <w:tcPr>
            <w:tcW w:w="1555" w:type="dxa"/>
            <w:vMerge/>
            <w:vAlign w:val="center"/>
          </w:tcPr>
          <w:p w14:paraId="6CD94D26" w14:textId="77777777" w:rsidR="00B63E54" w:rsidRPr="00890249" w:rsidRDefault="00B63E54" w:rsidP="004B59D6">
            <w:pPr>
              <w:jc w:val="center"/>
              <w:rPr>
                <w:rFonts w:asciiTheme="minorHAnsi" w:eastAsia="Times New Roman" w:hAnsiTheme="minorHAnsi" w:cstheme="minorHAnsi"/>
                <w:iCs/>
                <w:noProof/>
                <w:sz w:val="20"/>
              </w:rPr>
            </w:pPr>
          </w:p>
        </w:tc>
        <w:tc>
          <w:tcPr>
            <w:tcW w:w="1047" w:type="dxa"/>
            <w:vMerge/>
            <w:vAlign w:val="center"/>
          </w:tcPr>
          <w:p w14:paraId="6771955A" w14:textId="77777777" w:rsidR="00B63E54" w:rsidRPr="00890249" w:rsidRDefault="00B63E54" w:rsidP="004B59D6">
            <w:pPr>
              <w:jc w:val="center"/>
              <w:rPr>
                <w:rFonts w:asciiTheme="minorHAnsi" w:eastAsia="Times New Roman" w:hAnsiTheme="minorHAnsi" w:cstheme="minorHAnsi"/>
                <w:iCs/>
                <w:noProof/>
                <w:sz w:val="20"/>
              </w:rPr>
            </w:pPr>
          </w:p>
        </w:tc>
        <w:tc>
          <w:tcPr>
            <w:tcW w:w="1475" w:type="dxa"/>
            <w:vMerge/>
            <w:vAlign w:val="center"/>
          </w:tcPr>
          <w:p w14:paraId="0B7B82ED" w14:textId="77777777" w:rsidR="00B63E54" w:rsidRPr="00890249" w:rsidRDefault="00B63E54" w:rsidP="004B59D6">
            <w:pPr>
              <w:jc w:val="center"/>
              <w:rPr>
                <w:rFonts w:asciiTheme="minorHAnsi" w:eastAsia="Times New Roman" w:hAnsiTheme="minorHAnsi" w:cstheme="minorHAnsi"/>
                <w:iCs/>
                <w:noProof/>
                <w:sz w:val="20"/>
              </w:rPr>
            </w:pPr>
          </w:p>
        </w:tc>
        <w:tc>
          <w:tcPr>
            <w:tcW w:w="1276" w:type="dxa"/>
            <w:vMerge/>
            <w:vAlign w:val="center"/>
          </w:tcPr>
          <w:p w14:paraId="1C5A80C9" w14:textId="77777777" w:rsidR="00B63E54" w:rsidRPr="00890249" w:rsidRDefault="00B63E54" w:rsidP="004B59D6">
            <w:pPr>
              <w:jc w:val="center"/>
              <w:rPr>
                <w:rFonts w:asciiTheme="minorHAnsi" w:eastAsia="Times New Roman" w:hAnsiTheme="minorHAnsi" w:cstheme="minorHAnsi"/>
                <w:iCs/>
                <w:noProof/>
                <w:sz w:val="20"/>
              </w:rPr>
            </w:pPr>
          </w:p>
        </w:tc>
        <w:tc>
          <w:tcPr>
            <w:tcW w:w="1658" w:type="dxa"/>
          </w:tcPr>
          <w:p w14:paraId="570B6BD2" w14:textId="086DA9BD" w:rsidR="00B63E54" w:rsidRPr="00890249" w:rsidRDefault="00B63E54" w:rsidP="004B59D6">
            <w:pPr>
              <w:pStyle w:val="Default"/>
              <w:rPr>
                <w:rFonts w:asciiTheme="minorHAnsi" w:eastAsia="Times New Roman" w:hAnsiTheme="minorHAnsi" w:cstheme="minorHAnsi"/>
                <w:iCs/>
                <w:noProof/>
                <w:sz w:val="20"/>
                <w:szCs w:val="20"/>
              </w:rPr>
            </w:pPr>
            <w:r>
              <w:rPr>
                <w:rFonts w:asciiTheme="minorHAnsi" w:eastAsia="Times New Roman" w:hAnsiTheme="minorHAnsi" w:cstheme="minorHAnsi"/>
                <w:iCs/>
                <w:noProof/>
                <w:sz w:val="20"/>
                <w:szCs w:val="20"/>
              </w:rPr>
              <w:t>03 Wsparcie poprzez instrumenty finansowe: pożyczka</w:t>
            </w:r>
          </w:p>
        </w:tc>
        <w:tc>
          <w:tcPr>
            <w:tcW w:w="2311" w:type="dxa"/>
          </w:tcPr>
          <w:p w14:paraId="3F11E425" w14:textId="77777777" w:rsidR="00B63E54" w:rsidRDefault="00B63E54" w:rsidP="004B59D6">
            <w:pPr>
              <w:jc w:val="right"/>
              <w:rPr>
                <w:rFonts w:asciiTheme="minorHAnsi" w:eastAsia="Times New Roman" w:hAnsiTheme="minorHAnsi" w:cstheme="minorHAnsi"/>
                <w:iCs/>
                <w:noProof/>
                <w:sz w:val="20"/>
              </w:rPr>
            </w:pPr>
          </w:p>
          <w:p w14:paraId="6C343818" w14:textId="603A494E" w:rsidR="00B63E54" w:rsidRPr="00890249" w:rsidRDefault="00EF1D4F"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0</w:t>
            </w:r>
          </w:p>
        </w:tc>
      </w:tr>
      <w:tr w:rsidR="005070EE" w:rsidRPr="00890249" w14:paraId="43DFE473" w14:textId="77777777" w:rsidTr="004B59D6">
        <w:trPr>
          <w:trHeight w:val="978"/>
        </w:trPr>
        <w:tc>
          <w:tcPr>
            <w:tcW w:w="1555" w:type="dxa"/>
            <w:vMerge/>
            <w:vAlign w:val="center"/>
          </w:tcPr>
          <w:p w14:paraId="0A66740D" w14:textId="77777777" w:rsidR="005070EE" w:rsidRPr="00890249" w:rsidRDefault="005070EE" w:rsidP="004B59D6">
            <w:pPr>
              <w:jc w:val="center"/>
              <w:rPr>
                <w:rFonts w:asciiTheme="minorHAnsi" w:eastAsia="Times New Roman" w:hAnsiTheme="minorHAnsi" w:cstheme="minorHAnsi"/>
                <w:iCs/>
                <w:noProof/>
                <w:sz w:val="20"/>
              </w:rPr>
            </w:pPr>
          </w:p>
        </w:tc>
        <w:tc>
          <w:tcPr>
            <w:tcW w:w="1047" w:type="dxa"/>
            <w:vMerge/>
            <w:vAlign w:val="center"/>
          </w:tcPr>
          <w:p w14:paraId="177EBD04" w14:textId="77777777" w:rsidR="005070EE" w:rsidRPr="00890249" w:rsidRDefault="005070EE" w:rsidP="004B59D6">
            <w:pPr>
              <w:jc w:val="center"/>
              <w:rPr>
                <w:rFonts w:asciiTheme="minorHAnsi" w:eastAsia="Times New Roman" w:hAnsiTheme="minorHAnsi" w:cstheme="minorHAnsi"/>
                <w:iCs/>
                <w:noProof/>
                <w:sz w:val="20"/>
              </w:rPr>
            </w:pPr>
          </w:p>
        </w:tc>
        <w:tc>
          <w:tcPr>
            <w:tcW w:w="1475" w:type="dxa"/>
            <w:vMerge/>
            <w:vAlign w:val="center"/>
          </w:tcPr>
          <w:p w14:paraId="7425EEF5" w14:textId="77777777" w:rsidR="005070EE" w:rsidRPr="00890249" w:rsidRDefault="005070EE" w:rsidP="004B59D6">
            <w:pPr>
              <w:jc w:val="center"/>
              <w:rPr>
                <w:rFonts w:asciiTheme="minorHAnsi" w:eastAsia="Times New Roman" w:hAnsiTheme="minorHAnsi" w:cstheme="minorHAnsi"/>
                <w:iCs/>
                <w:noProof/>
                <w:sz w:val="20"/>
              </w:rPr>
            </w:pPr>
          </w:p>
        </w:tc>
        <w:tc>
          <w:tcPr>
            <w:tcW w:w="1276" w:type="dxa"/>
            <w:vMerge/>
            <w:vAlign w:val="center"/>
          </w:tcPr>
          <w:p w14:paraId="6E4D2928" w14:textId="77777777" w:rsidR="005070EE" w:rsidRPr="00890249" w:rsidRDefault="005070EE" w:rsidP="004B59D6">
            <w:pPr>
              <w:jc w:val="center"/>
              <w:rPr>
                <w:rFonts w:asciiTheme="minorHAnsi" w:eastAsia="Times New Roman" w:hAnsiTheme="minorHAnsi" w:cstheme="minorHAnsi"/>
                <w:iCs/>
                <w:noProof/>
                <w:sz w:val="20"/>
              </w:rPr>
            </w:pPr>
          </w:p>
        </w:tc>
        <w:tc>
          <w:tcPr>
            <w:tcW w:w="1658" w:type="dxa"/>
          </w:tcPr>
          <w:p w14:paraId="4DFDC5B5" w14:textId="77777777" w:rsidR="005070EE" w:rsidRPr="00890249" w:rsidRDefault="005070EE" w:rsidP="005070EE">
            <w:pPr>
              <w:pStyle w:val="Default"/>
              <w:rPr>
                <w:rFonts w:asciiTheme="minorHAnsi" w:hAnsiTheme="minorHAnsi" w:cstheme="minorHAnsi"/>
                <w:sz w:val="20"/>
                <w:szCs w:val="20"/>
              </w:rPr>
            </w:pPr>
            <w:r w:rsidRPr="00890249">
              <w:rPr>
                <w:rFonts w:asciiTheme="minorHAnsi" w:eastAsia="Times New Roman" w:hAnsiTheme="minorHAnsi" w:cstheme="minorHAnsi"/>
                <w:iCs/>
                <w:noProof/>
                <w:sz w:val="20"/>
                <w:szCs w:val="20"/>
              </w:rPr>
              <w:t xml:space="preserve">05 </w:t>
            </w:r>
            <w:r w:rsidRPr="00890249">
              <w:rPr>
                <w:rFonts w:asciiTheme="minorHAnsi" w:hAnsiTheme="minorHAnsi" w:cstheme="minorHAnsi"/>
                <w:sz w:val="20"/>
                <w:szCs w:val="20"/>
              </w:rPr>
              <w:t xml:space="preserve">Wsparcie poprzez instrumenty finansowe: dotacje w ramach operacji instrumentu finansowego </w:t>
            </w:r>
          </w:p>
          <w:p w14:paraId="2130E2FD" w14:textId="19A8B158" w:rsidR="005070EE" w:rsidRPr="00890249" w:rsidRDefault="005070EE" w:rsidP="004B59D6">
            <w:pPr>
              <w:pStyle w:val="Default"/>
              <w:rPr>
                <w:rFonts w:asciiTheme="minorHAnsi" w:eastAsia="Times New Roman" w:hAnsiTheme="minorHAnsi" w:cstheme="minorHAnsi"/>
                <w:iCs/>
                <w:noProof/>
                <w:sz w:val="20"/>
                <w:szCs w:val="20"/>
              </w:rPr>
            </w:pPr>
          </w:p>
        </w:tc>
        <w:tc>
          <w:tcPr>
            <w:tcW w:w="2311" w:type="dxa"/>
          </w:tcPr>
          <w:p w14:paraId="6B80B656" w14:textId="371B16BE" w:rsidR="005070EE" w:rsidRPr="00890249" w:rsidDel="00140789" w:rsidRDefault="00EF1D4F"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0</w:t>
            </w:r>
          </w:p>
        </w:tc>
      </w:tr>
    </w:tbl>
    <w:p w14:paraId="241F9422" w14:textId="77777777" w:rsidR="004249F6" w:rsidRPr="00890249" w:rsidRDefault="004249F6" w:rsidP="004249F6">
      <w:pPr>
        <w:spacing w:before="0" w:after="160" w:line="259" w:lineRule="auto"/>
        <w:jc w:val="left"/>
        <w:rPr>
          <w:rFonts w:asciiTheme="minorHAnsi" w:hAnsiTheme="minorHAnsi" w:cstheme="minorHAnsi"/>
          <w:b/>
          <w:noProof/>
          <w:color w:val="FF0000"/>
          <w:sz w:val="22"/>
          <w:szCs w:val="22"/>
        </w:rPr>
      </w:pPr>
    </w:p>
    <w:tbl>
      <w:tblPr>
        <w:tblStyle w:val="Tabela-Siatka4"/>
        <w:tblW w:w="0" w:type="auto"/>
        <w:tblLook w:val="04A0" w:firstRow="1" w:lastRow="0" w:firstColumn="1" w:lastColumn="0" w:noHBand="0" w:noVBand="1"/>
      </w:tblPr>
      <w:tblGrid>
        <w:gridCol w:w="1504"/>
        <w:gridCol w:w="1032"/>
        <w:gridCol w:w="1454"/>
        <w:gridCol w:w="1273"/>
        <w:gridCol w:w="1686"/>
        <w:gridCol w:w="2112"/>
      </w:tblGrid>
      <w:tr w:rsidR="004249F6" w:rsidRPr="00890249" w14:paraId="32D69002" w14:textId="77777777" w:rsidTr="004B59D6">
        <w:tc>
          <w:tcPr>
            <w:tcW w:w="9288" w:type="dxa"/>
            <w:gridSpan w:val="6"/>
            <w:shd w:val="clear" w:color="auto" w:fill="D9D9D9" w:themeFill="background1" w:themeFillShade="D9"/>
          </w:tcPr>
          <w:p w14:paraId="6A82B13E" w14:textId="49A2772A"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F17884">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4249F6" w:rsidRPr="00890249" w14:paraId="1BDCF51B" w14:textId="77777777" w:rsidTr="004B59D6">
        <w:tc>
          <w:tcPr>
            <w:tcW w:w="1545" w:type="dxa"/>
            <w:shd w:val="clear" w:color="auto" w:fill="F2F2F2" w:themeFill="background1" w:themeFillShade="F2"/>
          </w:tcPr>
          <w:p w14:paraId="6C5F798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44" w:type="dxa"/>
            <w:shd w:val="clear" w:color="auto" w:fill="F2F2F2" w:themeFill="background1" w:themeFillShade="F2"/>
          </w:tcPr>
          <w:p w14:paraId="25C7652D"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88" w:type="dxa"/>
            <w:shd w:val="clear" w:color="auto" w:fill="F2F2F2" w:themeFill="background1" w:themeFillShade="F2"/>
          </w:tcPr>
          <w:p w14:paraId="6D813D7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276" w:type="dxa"/>
            <w:shd w:val="clear" w:color="auto" w:fill="F2F2F2" w:themeFill="background1" w:themeFillShade="F2"/>
          </w:tcPr>
          <w:p w14:paraId="12211C4A"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701" w:type="dxa"/>
            <w:shd w:val="clear" w:color="auto" w:fill="F2F2F2" w:themeFill="background1" w:themeFillShade="F2"/>
          </w:tcPr>
          <w:p w14:paraId="1B46ECC5"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234" w:type="dxa"/>
            <w:shd w:val="clear" w:color="auto" w:fill="F2F2F2" w:themeFill="background1" w:themeFillShade="F2"/>
          </w:tcPr>
          <w:p w14:paraId="0AF609A7"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0B1902C0" w14:textId="77777777" w:rsidTr="004B59D6">
        <w:tc>
          <w:tcPr>
            <w:tcW w:w="1545" w:type="dxa"/>
            <w:vMerge w:val="restart"/>
            <w:vAlign w:val="center"/>
          </w:tcPr>
          <w:p w14:paraId="06B3D172"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lastRenderedPageBreak/>
              <w:t>CP 1</w:t>
            </w:r>
          </w:p>
        </w:tc>
        <w:tc>
          <w:tcPr>
            <w:tcW w:w="1044" w:type="dxa"/>
            <w:vMerge w:val="restart"/>
            <w:vAlign w:val="center"/>
          </w:tcPr>
          <w:p w14:paraId="3B76C494"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488" w:type="dxa"/>
            <w:vMerge w:val="restart"/>
            <w:vAlign w:val="center"/>
          </w:tcPr>
          <w:p w14:paraId="56602427"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276" w:type="dxa"/>
            <w:vMerge w:val="restart"/>
          </w:tcPr>
          <w:p w14:paraId="4157C376"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(i)</w:t>
            </w:r>
          </w:p>
        </w:tc>
        <w:tc>
          <w:tcPr>
            <w:tcW w:w="1701" w:type="dxa"/>
          </w:tcPr>
          <w:p w14:paraId="5EF250CB"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b/>
                <w:iCs/>
                <w:noProof/>
                <w:sz w:val="20"/>
                <w:szCs w:val="20"/>
              </w:rPr>
              <w:t xml:space="preserve">26 </w:t>
            </w:r>
            <w:r w:rsidRPr="00890249">
              <w:rPr>
                <w:rFonts w:asciiTheme="minorHAnsi" w:hAnsiTheme="minorHAnsi" w:cstheme="minorHAnsi"/>
                <w:sz w:val="20"/>
                <w:szCs w:val="20"/>
              </w:rPr>
              <w:t xml:space="preserve">Miasta, małe miasta i przedmieścia </w:t>
            </w:r>
          </w:p>
        </w:tc>
        <w:tc>
          <w:tcPr>
            <w:tcW w:w="2234" w:type="dxa"/>
          </w:tcPr>
          <w:p w14:paraId="11126E2A" w14:textId="78C253F5" w:rsidR="004249F6" w:rsidRPr="00F62734" w:rsidRDefault="005D7FA3" w:rsidP="004B59D6">
            <w:pPr>
              <w:jc w:val="right"/>
              <w:rPr>
                <w:rFonts w:asciiTheme="minorHAnsi" w:eastAsia="Times New Roman" w:hAnsiTheme="minorHAnsi" w:cstheme="minorHAnsi"/>
                <w:bCs/>
                <w:iCs/>
                <w:noProof/>
                <w:sz w:val="20"/>
              </w:rPr>
            </w:pPr>
            <w:r>
              <w:rPr>
                <w:rFonts w:asciiTheme="minorHAnsi" w:eastAsia="Times New Roman" w:hAnsiTheme="minorHAnsi" w:cstheme="minorHAnsi"/>
                <w:bCs/>
                <w:iCs/>
                <w:noProof/>
                <w:sz w:val="20"/>
              </w:rPr>
              <w:t>13 450 000</w:t>
            </w:r>
          </w:p>
        </w:tc>
      </w:tr>
      <w:tr w:rsidR="004249F6" w:rsidRPr="00890249" w14:paraId="21826962" w14:textId="77777777" w:rsidTr="004B59D6">
        <w:tc>
          <w:tcPr>
            <w:tcW w:w="1545" w:type="dxa"/>
            <w:vMerge/>
            <w:vAlign w:val="center"/>
          </w:tcPr>
          <w:p w14:paraId="598B29C9" w14:textId="77777777" w:rsidR="004249F6" w:rsidRPr="00890249" w:rsidRDefault="004249F6" w:rsidP="004B59D6">
            <w:pPr>
              <w:jc w:val="center"/>
              <w:rPr>
                <w:rFonts w:asciiTheme="minorHAnsi" w:eastAsia="Times New Roman" w:hAnsiTheme="minorHAnsi" w:cstheme="minorHAnsi"/>
                <w:iCs/>
                <w:noProof/>
                <w:sz w:val="20"/>
              </w:rPr>
            </w:pPr>
          </w:p>
        </w:tc>
        <w:tc>
          <w:tcPr>
            <w:tcW w:w="1044" w:type="dxa"/>
            <w:vMerge/>
            <w:vAlign w:val="center"/>
          </w:tcPr>
          <w:p w14:paraId="4ACEDA09" w14:textId="77777777" w:rsidR="004249F6" w:rsidRPr="00890249" w:rsidRDefault="004249F6" w:rsidP="004B59D6">
            <w:pPr>
              <w:jc w:val="center"/>
              <w:rPr>
                <w:rFonts w:asciiTheme="minorHAnsi" w:eastAsia="Times New Roman" w:hAnsiTheme="minorHAnsi" w:cstheme="minorHAnsi"/>
                <w:iCs/>
                <w:noProof/>
                <w:sz w:val="20"/>
              </w:rPr>
            </w:pPr>
          </w:p>
        </w:tc>
        <w:tc>
          <w:tcPr>
            <w:tcW w:w="1488" w:type="dxa"/>
            <w:vMerge/>
            <w:vAlign w:val="center"/>
          </w:tcPr>
          <w:p w14:paraId="7C8F7930" w14:textId="77777777" w:rsidR="004249F6" w:rsidRPr="00890249" w:rsidRDefault="004249F6" w:rsidP="004B59D6">
            <w:pPr>
              <w:jc w:val="center"/>
              <w:rPr>
                <w:rFonts w:asciiTheme="minorHAnsi" w:eastAsia="Times New Roman" w:hAnsiTheme="minorHAnsi" w:cstheme="minorHAnsi"/>
                <w:iCs/>
                <w:noProof/>
                <w:sz w:val="20"/>
              </w:rPr>
            </w:pPr>
          </w:p>
        </w:tc>
        <w:tc>
          <w:tcPr>
            <w:tcW w:w="1276" w:type="dxa"/>
            <w:vMerge/>
          </w:tcPr>
          <w:p w14:paraId="27291230" w14:textId="77777777" w:rsidR="004249F6" w:rsidRPr="00890249" w:rsidRDefault="004249F6" w:rsidP="004B59D6">
            <w:pPr>
              <w:jc w:val="center"/>
              <w:rPr>
                <w:rFonts w:asciiTheme="minorHAnsi" w:eastAsia="Times New Roman" w:hAnsiTheme="minorHAnsi" w:cstheme="minorHAnsi"/>
                <w:b/>
                <w:iCs/>
                <w:noProof/>
                <w:sz w:val="20"/>
              </w:rPr>
            </w:pPr>
          </w:p>
        </w:tc>
        <w:tc>
          <w:tcPr>
            <w:tcW w:w="1701" w:type="dxa"/>
          </w:tcPr>
          <w:p w14:paraId="6DAB76B4"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b/>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234" w:type="dxa"/>
          </w:tcPr>
          <w:p w14:paraId="65F5CB3A" w14:textId="521BC5B4" w:rsidR="004249F6" w:rsidRPr="00F62734" w:rsidRDefault="00EF1D4F" w:rsidP="004B59D6">
            <w:pPr>
              <w:jc w:val="right"/>
              <w:rPr>
                <w:rFonts w:asciiTheme="minorHAnsi" w:eastAsia="Times New Roman" w:hAnsiTheme="minorHAnsi" w:cstheme="minorHAnsi"/>
                <w:bCs/>
                <w:iCs/>
                <w:noProof/>
                <w:sz w:val="20"/>
              </w:rPr>
            </w:pPr>
            <w:r>
              <w:rPr>
                <w:rFonts w:asciiTheme="minorHAnsi" w:eastAsia="Times New Roman" w:hAnsiTheme="minorHAnsi" w:cstheme="minorHAnsi"/>
                <w:bCs/>
                <w:iCs/>
                <w:noProof/>
                <w:sz w:val="20"/>
              </w:rPr>
              <w:t>18 000 000</w:t>
            </w:r>
          </w:p>
        </w:tc>
      </w:tr>
    </w:tbl>
    <w:p w14:paraId="23118B00" w14:textId="77777777" w:rsidR="004249F6" w:rsidRPr="00890249" w:rsidRDefault="004249F6" w:rsidP="004249F6">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4249F6" w:rsidRPr="00890249" w14:paraId="07B54A51" w14:textId="77777777" w:rsidTr="004B59D6">
        <w:tc>
          <w:tcPr>
            <w:tcW w:w="9288" w:type="dxa"/>
            <w:gridSpan w:val="6"/>
            <w:shd w:val="clear" w:color="auto" w:fill="D9D9D9" w:themeFill="background1" w:themeFillShade="D9"/>
          </w:tcPr>
          <w:p w14:paraId="730E53E4"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obszary tematyczne EFS+</w:t>
            </w:r>
          </w:p>
        </w:tc>
      </w:tr>
      <w:tr w:rsidR="004249F6" w:rsidRPr="00890249" w14:paraId="08D1CCFC" w14:textId="77777777" w:rsidTr="004B59D6">
        <w:tc>
          <w:tcPr>
            <w:tcW w:w="1599" w:type="dxa"/>
            <w:shd w:val="clear" w:color="auto" w:fill="F2F2F2" w:themeFill="background1" w:themeFillShade="F2"/>
          </w:tcPr>
          <w:p w14:paraId="50F0BBE6"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3E65426B"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4DB1D0D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9A6D839"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50C1DB0C"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37FD3B1E"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68484C2A" w14:textId="77777777" w:rsidTr="004B59D6">
        <w:tc>
          <w:tcPr>
            <w:tcW w:w="1599" w:type="dxa"/>
            <w:vAlign w:val="center"/>
          </w:tcPr>
          <w:p w14:paraId="73B1A647"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1</w:t>
            </w:r>
          </w:p>
        </w:tc>
        <w:tc>
          <w:tcPr>
            <w:tcW w:w="1061" w:type="dxa"/>
            <w:vAlign w:val="center"/>
          </w:tcPr>
          <w:p w14:paraId="0144DD9E"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49F6B88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19132EB4"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0FF36BC9"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087AC0EF"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389EE211" w14:textId="77777777" w:rsidR="004249F6" w:rsidRPr="00890249" w:rsidRDefault="004249F6" w:rsidP="004249F6">
      <w:pPr>
        <w:spacing w:before="0" w:after="24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4249F6" w:rsidRPr="00890249" w14:paraId="16B69E66" w14:textId="77777777" w:rsidTr="004B59D6">
        <w:tc>
          <w:tcPr>
            <w:tcW w:w="9322" w:type="dxa"/>
            <w:gridSpan w:val="6"/>
            <w:shd w:val="clear" w:color="auto" w:fill="D9D9D9" w:themeFill="background1" w:themeFillShade="D9"/>
          </w:tcPr>
          <w:p w14:paraId="425374DA" w14:textId="77777777" w:rsidR="004249F6" w:rsidRPr="00890249" w:rsidRDefault="004249F6" w:rsidP="004B59D6">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4249F6" w:rsidRPr="00890249" w14:paraId="6E879E60" w14:textId="77777777" w:rsidTr="00890249">
        <w:tc>
          <w:tcPr>
            <w:tcW w:w="1475" w:type="dxa"/>
            <w:shd w:val="clear" w:color="auto" w:fill="F2F2F2" w:themeFill="background1" w:themeFillShade="F2"/>
          </w:tcPr>
          <w:p w14:paraId="76E7624D"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281" w:type="dxa"/>
            <w:shd w:val="clear" w:color="auto" w:fill="F2F2F2" w:themeFill="background1" w:themeFillShade="F2"/>
          </w:tcPr>
          <w:p w14:paraId="25B32D78"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357" w:type="dxa"/>
            <w:shd w:val="clear" w:color="auto" w:fill="F2F2F2" w:themeFill="background1" w:themeFillShade="F2"/>
          </w:tcPr>
          <w:p w14:paraId="65E4140E"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576" w:type="dxa"/>
            <w:shd w:val="clear" w:color="auto" w:fill="F2F2F2" w:themeFill="background1" w:themeFillShade="F2"/>
          </w:tcPr>
          <w:p w14:paraId="79E25784"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761" w:type="dxa"/>
            <w:shd w:val="clear" w:color="auto" w:fill="F2F2F2" w:themeFill="background1" w:themeFillShade="F2"/>
          </w:tcPr>
          <w:p w14:paraId="7B445B82"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1872" w:type="dxa"/>
            <w:shd w:val="clear" w:color="auto" w:fill="F2F2F2" w:themeFill="background1" w:themeFillShade="F2"/>
          </w:tcPr>
          <w:p w14:paraId="08779479"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4249F6" w:rsidRPr="00890249" w14:paraId="0A3CE333" w14:textId="77777777" w:rsidTr="00890249">
        <w:tc>
          <w:tcPr>
            <w:tcW w:w="1475" w:type="dxa"/>
            <w:vAlign w:val="center"/>
          </w:tcPr>
          <w:p w14:paraId="63D3C075" w14:textId="77777777" w:rsidR="004249F6" w:rsidRPr="00890249" w:rsidRDefault="004249F6" w:rsidP="004B59D6">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1</w:t>
            </w:r>
          </w:p>
        </w:tc>
        <w:tc>
          <w:tcPr>
            <w:tcW w:w="1281" w:type="dxa"/>
            <w:vAlign w:val="center"/>
          </w:tcPr>
          <w:p w14:paraId="4D8B44CF" w14:textId="77777777" w:rsidR="004249F6" w:rsidRPr="00890249" w:rsidRDefault="004249F6" w:rsidP="004B59D6">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357" w:type="dxa"/>
            <w:vAlign w:val="center"/>
          </w:tcPr>
          <w:p w14:paraId="72DBA026" w14:textId="77777777" w:rsidR="004249F6" w:rsidRPr="00890249" w:rsidRDefault="004249F6" w:rsidP="004B59D6">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576" w:type="dxa"/>
            <w:shd w:val="clear" w:color="auto" w:fill="auto"/>
            <w:vAlign w:val="center"/>
          </w:tcPr>
          <w:p w14:paraId="6E9BC1AC" w14:textId="77777777" w:rsidR="004249F6" w:rsidRPr="00890249" w:rsidRDefault="004249F6" w:rsidP="004B59D6">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(i)</w:t>
            </w:r>
          </w:p>
        </w:tc>
        <w:tc>
          <w:tcPr>
            <w:tcW w:w="1761" w:type="dxa"/>
            <w:shd w:val="clear" w:color="auto" w:fill="auto"/>
            <w:vAlign w:val="center"/>
          </w:tcPr>
          <w:p w14:paraId="6861C4AA" w14:textId="76DA88DF" w:rsidR="004249F6" w:rsidRPr="00890249" w:rsidRDefault="00F2522A" w:rsidP="00F2522A">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004249F6" w:rsidRPr="00890249">
              <w:rPr>
                <w:rFonts w:asciiTheme="minorHAnsi" w:eastAsia="Times New Roman" w:hAnsiTheme="minorHAnsi" w:cstheme="minorHAnsi"/>
                <w:iCs/>
                <w:noProof/>
                <w:sz w:val="20"/>
                <w:szCs w:val="20"/>
              </w:rPr>
              <w:t xml:space="preserve"> </w:t>
            </w:r>
            <w:r w:rsidR="004249F6"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004249F6" w:rsidRPr="00890249">
              <w:rPr>
                <w:rFonts w:asciiTheme="minorHAnsi" w:hAnsiTheme="minorHAnsi" w:cstheme="minorHAnsi"/>
                <w:sz w:val="20"/>
                <w:szCs w:val="20"/>
              </w:rPr>
              <w:t xml:space="preserve">równouprawnienia płci </w:t>
            </w:r>
          </w:p>
        </w:tc>
        <w:tc>
          <w:tcPr>
            <w:tcW w:w="1872" w:type="dxa"/>
            <w:shd w:val="clear" w:color="auto" w:fill="auto"/>
            <w:vAlign w:val="center"/>
          </w:tcPr>
          <w:p w14:paraId="09C29E3B" w14:textId="0E7C7338" w:rsidR="004249F6" w:rsidRPr="00890249" w:rsidRDefault="005D7FA3" w:rsidP="004B59D6">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31 450 000</w:t>
            </w:r>
          </w:p>
        </w:tc>
      </w:tr>
    </w:tbl>
    <w:p w14:paraId="5CE4E3FB" w14:textId="3C840EF5" w:rsidR="00476844" w:rsidRPr="00890249" w:rsidRDefault="00476844" w:rsidP="0076486A">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07FDC3C1" w14:textId="77777777" w:rsidR="00476844" w:rsidRPr="00890249" w:rsidRDefault="00476844" w:rsidP="00476844">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2.1.1.2 (ii) Cel szczegółowy</w:t>
      </w:r>
    </w:p>
    <w:p w14:paraId="2D4B864A" w14:textId="77777777" w:rsidR="00476844" w:rsidRPr="00890249" w:rsidRDefault="00476844" w:rsidP="0047684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(ii) </w:t>
      </w:r>
      <w:r w:rsidRPr="00890249">
        <w:rPr>
          <w:rFonts w:asciiTheme="minorHAnsi" w:hAnsiTheme="minorHAnsi" w:cstheme="minorHAnsi"/>
          <w:b/>
          <w:noProof/>
          <w:color w:val="2F5496" w:themeColor="accent5" w:themeShade="BF"/>
          <w:szCs w:val="22"/>
        </w:rPr>
        <w:t>Czerpanie korzyści z cyfryzacji dla obywateli, przedsiębiorstw, organizacji badawczych i instytucji publicznych</w:t>
      </w:r>
    </w:p>
    <w:p w14:paraId="456B856F" w14:textId="77777777" w:rsidR="00476844" w:rsidRPr="00890249" w:rsidRDefault="00476844" w:rsidP="00476844">
      <w:pPr>
        <w:rPr>
          <w:rFonts w:asciiTheme="minorHAnsi" w:hAnsiTheme="minorHAnsi" w:cstheme="minorHAnsi"/>
          <w:b/>
          <w:noProof/>
          <w:sz w:val="22"/>
        </w:rPr>
      </w:pPr>
      <w:r w:rsidRPr="00890249">
        <w:rPr>
          <w:rFonts w:asciiTheme="minorHAnsi" w:hAnsiTheme="minorHAnsi" w:cstheme="minorHAnsi"/>
          <w:b/>
          <w:noProof/>
          <w:sz w:val="22"/>
        </w:rPr>
        <w:t>2.1.1.2.1 (ii) Interwencje w ramach funduszy</w:t>
      </w:r>
    </w:p>
    <w:p w14:paraId="3EF644D5" w14:textId="48EACC87" w:rsidR="000A3E85" w:rsidRPr="00890249" w:rsidRDefault="00476844" w:rsidP="00890249">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5992DA05" w14:textId="29C3339F"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Kluczowym </w:t>
      </w:r>
      <w:r w:rsidR="007D543C" w:rsidRPr="00890249">
        <w:rPr>
          <w:rFonts w:asciiTheme="minorHAnsi" w:hAnsiTheme="minorHAnsi" w:cstheme="minorHAnsi"/>
          <w:noProof/>
          <w:sz w:val="22"/>
          <w:szCs w:val="22"/>
        </w:rPr>
        <w:t xml:space="preserve">warunkiem </w:t>
      </w:r>
      <w:r w:rsidRPr="00890249">
        <w:rPr>
          <w:rFonts w:asciiTheme="minorHAnsi" w:hAnsiTheme="minorHAnsi" w:cstheme="minorHAnsi"/>
          <w:noProof/>
          <w:sz w:val="22"/>
          <w:szCs w:val="22"/>
        </w:rPr>
        <w:t xml:space="preserve">rozwojowym dla regionu jest tzw. inteligentna reindustrializacja wdrażająca w tradycyjnych sektorach przemysłu cyfrowe rozwiązania techniczno-technologiczno-organizacyjne, jak </w:t>
      </w:r>
      <w:r w:rsidR="007D543C" w:rsidRPr="00890249">
        <w:rPr>
          <w:rFonts w:asciiTheme="minorHAnsi" w:hAnsiTheme="minorHAnsi" w:cstheme="minorHAnsi"/>
          <w:noProof/>
          <w:sz w:val="22"/>
          <w:szCs w:val="22"/>
        </w:rPr>
        <w:t xml:space="preserve">też </w:t>
      </w:r>
      <w:r w:rsidRPr="00890249">
        <w:rPr>
          <w:rFonts w:asciiTheme="minorHAnsi" w:hAnsiTheme="minorHAnsi" w:cstheme="minorHAnsi"/>
          <w:noProof/>
          <w:sz w:val="22"/>
          <w:szCs w:val="22"/>
        </w:rPr>
        <w:t>rozwijająca nowe gałęzie przemysłu, w szczególności bazujące na technologiach cyfrowych</w:t>
      </w:r>
      <w:r w:rsidRPr="00890249">
        <w:rPr>
          <w:rFonts w:asciiTheme="minorHAnsi" w:hAnsiTheme="minorHAnsi" w:cstheme="minorHAnsi"/>
          <w:noProof/>
          <w:sz w:val="22"/>
          <w:szCs w:val="22"/>
          <w:vertAlign w:val="superscript"/>
        </w:rPr>
        <w:footnoteReference w:id="87"/>
      </w:r>
      <w:r w:rsidRPr="00890249">
        <w:rPr>
          <w:rFonts w:asciiTheme="minorHAnsi" w:hAnsiTheme="minorHAnsi" w:cstheme="minorHAnsi"/>
          <w:noProof/>
          <w:sz w:val="22"/>
          <w:szCs w:val="22"/>
        </w:rPr>
        <w:t xml:space="preserve"> oraz kierująca działania MŚP w stronę transformacji Przemysłu 4.0.</w:t>
      </w:r>
    </w:p>
    <w:p w14:paraId="5AC669C9" w14:textId="6EE05FAD"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Zgodnie z </w:t>
      </w:r>
      <w:r w:rsidRPr="00890249">
        <w:rPr>
          <w:rFonts w:asciiTheme="minorHAnsi" w:hAnsiTheme="minorHAnsi" w:cstheme="minorHAnsi"/>
          <w:i/>
          <w:noProof/>
          <w:sz w:val="22"/>
          <w:szCs w:val="22"/>
        </w:rPr>
        <w:t>Wytycznymi inwestycyjnymi(…)</w:t>
      </w:r>
      <w:r w:rsidRPr="00890249">
        <w:rPr>
          <w:rFonts w:asciiTheme="minorHAnsi" w:hAnsiTheme="minorHAnsi" w:cstheme="minorHAnsi"/>
          <w:noProof/>
          <w:sz w:val="22"/>
          <w:szCs w:val="22"/>
          <w:vertAlign w:val="superscript"/>
        </w:rPr>
        <w:footnoteReference w:id="88"/>
      </w:r>
      <w:r w:rsidRPr="00890249">
        <w:rPr>
          <w:rFonts w:asciiTheme="minorHAnsi" w:hAnsiTheme="minorHAnsi" w:cstheme="minorHAnsi"/>
          <w:noProof/>
          <w:sz w:val="22"/>
          <w:szCs w:val="22"/>
        </w:rPr>
        <w:t xml:space="preserve"> stosowanie</w:t>
      </w:r>
      <w:r w:rsidR="000423FF" w:rsidRPr="00890249">
        <w:rPr>
          <w:rFonts w:asciiTheme="minorHAnsi" w:hAnsiTheme="minorHAnsi" w:cstheme="minorHAnsi"/>
          <w:noProof/>
          <w:sz w:val="22"/>
          <w:szCs w:val="22"/>
        </w:rPr>
        <w:t xml:space="preserve"> t</w:t>
      </w:r>
      <w:r w:rsidRPr="00890249">
        <w:rPr>
          <w:rFonts w:asciiTheme="minorHAnsi" w:hAnsiTheme="minorHAnsi" w:cstheme="minorHAnsi"/>
          <w:noProof/>
          <w:sz w:val="22"/>
          <w:szCs w:val="22"/>
        </w:rPr>
        <w:t>echnologii informacyjnych przez przedsiębiorstwa oraz obywateli i wykorzystywanie interakcji cyfrowych z administracją publiczną nadal pozostaje na niskim poziomie. Zalecenia Rady UE dla Polski w 2020 r.</w:t>
      </w:r>
      <w:r w:rsidRPr="00890249">
        <w:rPr>
          <w:rStyle w:val="Odwoanieprzypisudolnego"/>
          <w:rFonts w:asciiTheme="minorHAnsi" w:hAnsiTheme="minorHAnsi" w:cstheme="minorHAnsi"/>
          <w:noProof/>
          <w:sz w:val="22"/>
          <w:szCs w:val="22"/>
        </w:rPr>
        <w:footnoteReference w:id="89"/>
      </w:r>
      <w:r w:rsidRPr="00890249">
        <w:rPr>
          <w:rFonts w:asciiTheme="minorHAnsi" w:hAnsiTheme="minorHAnsi" w:cstheme="minorHAnsi"/>
          <w:noProof/>
          <w:sz w:val="22"/>
          <w:szCs w:val="22"/>
        </w:rPr>
        <w:t xml:space="preserve"> odwołują</w:t>
      </w:r>
      <w:r w:rsidR="007D543C" w:rsidRPr="00890249">
        <w:rPr>
          <w:rFonts w:asciiTheme="minorHAnsi" w:hAnsiTheme="minorHAnsi" w:cstheme="minorHAnsi"/>
          <w:noProof/>
          <w:sz w:val="22"/>
          <w:szCs w:val="22"/>
        </w:rPr>
        <w:t>c</w:t>
      </w:r>
      <w:r w:rsidRPr="00890249">
        <w:rPr>
          <w:rFonts w:asciiTheme="minorHAnsi" w:hAnsiTheme="minorHAnsi" w:cstheme="minorHAnsi"/>
          <w:noProof/>
          <w:sz w:val="22"/>
          <w:szCs w:val="22"/>
        </w:rPr>
        <w:t xml:space="preserve"> się do kryzysu gospodarczego jako następstwa pandemii COVID-19, wskazują na potrzebę transformacji cyfrowej przed. i administracji pub., podnoszenia umiejętności cyfrowych oraz przyspieszenia wdrażania usług e-zdrowia</w:t>
      </w:r>
      <w:r w:rsidRPr="00890249">
        <w:rPr>
          <w:rStyle w:val="Odwoanieprzypisudolnego"/>
          <w:rFonts w:asciiTheme="minorHAnsi" w:hAnsiTheme="minorHAnsi" w:cstheme="minorHAnsi"/>
          <w:noProof/>
          <w:sz w:val="22"/>
          <w:szCs w:val="22"/>
        </w:rPr>
        <w:footnoteReference w:id="90"/>
      </w:r>
      <w:r w:rsidRPr="00890249">
        <w:rPr>
          <w:rFonts w:asciiTheme="minorHAnsi" w:hAnsiTheme="minorHAnsi" w:cstheme="minorHAnsi"/>
          <w:noProof/>
          <w:sz w:val="22"/>
          <w:szCs w:val="22"/>
        </w:rPr>
        <w:t>.</w:t>
      </w:r>
      <w:r w:rsidR="00875C92" w:rsidRPr="00890249">
        <w:rPr>
          <w:rFonts w:asciiTheme="minorHAnsi" w:hAnsiTheme="minorHAnsi" w:cstheme="minorHAnsi"/>
          <w:noProof/>
          <w:sz w:val="22"/>
          <w:szCs w:val="22"/>
        </w:rPr>
        <w:t xml:space="preserve"> Podstawą do podejmowania działań nadzwyczajnych w przyszłości mogą być także kryzysy wywołane innymi czynnikami globalnymi lub lokalnymi. </w:t>
      </w:r>
    </w:p>
    <w:p w14:paraId="248E2372" w14:textId="2816C820" w:rsidR="004249F6" w:rsidRPr="00890249" w:rsidRDefault="18C5A4CC" w:rsidP="18317E1B">
      <w:pPr>
        <w:pStyle w:val="NormalnyWeb"/>
        <w:spacing w:before="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Niezbędne jest </w:t>
      </w:r>
      <w:r w:rsidR="007D543C" w:rsidRPr="00890249">
        <w:rPr>
          <w:rFonts w:asciiTheme="minorHAnsi" w:eastAsia="Times New Roman" w:hAnsiTheme="minorHAnsi" w:cstheme="minorHAnsi"/>
          <w:noProof/>
          <w:sz w:val="22"/>
          <w:szCs w:val="22"/>
        </w:rPr>
        <w:t xml:space="preserve">więc </w:t>
      </w:r>
      <w:r w:rsidRPr="00890249">
        <w:rPr>
          <w:rFonts w:asciiTheme="minorHAnsi" w:eastAsia="Times New Roman" w:hAnsiTheme="minorHAnsi" w:cstheme="minorHAnsi"/>
          <w:noProof/>
          <w:sz w:val="22"/>
          <w:szCs w:val="22"/>
        </w:rPr>
        <w:t xml:space="preserve">inwestowanie w rozwój e-usług i zasobów cyfrowych dla obywateli i przeds., a także wdrażanie technologii cyfrowych w MŚP i administracji pub. oraz w narzędzia pozwalające na podniesienie odporności na cyberzagrożenia w regionie. Zakup sprzętu informatycznego </w:t>
      </w:r>
      <w:r w:rsidR="618B7D7A" w:rsidRPr="00890249">
        <w:rPr>
          <w:rFonts w:asciiTheme="minorHAnsi" w:eastAsia="Times New Roman" w:hAnsiTheme="minorHAnsi" w:cstheme="minorHAnsi"/>
          <w:noProof/>
          <w:sz w:val="22"/>
          <w:szCs w:val="22"/>
        </w:rPr>
        <w:t xml:space="preserve">będzie </w:t>
      </w:r>
      <w:r w:rsidRPr="00890249">
        <w:rPr>
          <w:rFonts w:asciiTheme="minorHAnsi" w:eastAsia="Times New Roman" w:hAnsiTheme="minorHAnsi" w:cstheme="minorHAnsi"/>
          <w:noProof/>
          <w:sz w:val="22"/>
          <w:szCs w:val="22"/>
        </w:rPr>
        <w:t xml:space="preserve"> elementem uzupełniającym projekt, niezbędnym do budowy, rozbudowy, bądź modernizacji systemu teleinf</w:t>
      </w:r>
      <w:r w:rsidR="007D543C" w:rsidRPr="00890249">
        <w:rPr>
          <w:rFonts w:asciiTheme="minorHAnsi" w:eastAsia="Times New Roman" w:hAnsiTheme="minorHAnsi" w:cstheme="minorHAnsi"/>
          <w:noProof/>
          <w:sz w:val="22"/>
          <w:szCs w:val="22"/>
        </w:rPr>
        <w:t>or</w:t>
      </w:r>
      <w:r w:rsidRPr="00890249">
        <w:rPr>
          <w:rFonts w:asciiTheme="minorHAnsi" w:eastAsia="Times New Roman" w:hAnsiTheme="minorHAnsi" w:cstheme="minorHAnsi"/>
          <w:noProof/>
          <w:sz w:val="22"/>
          <w:szCs w:val="22"/>
        </w:rPr>
        <w:t>matycznego, jeżeli przeprowadzona analiza wska</w:t>
      </w:r>
      <w:r w:rsidR="007D543C" w:rsidRPr="00890249">
        <w:rPr>
          <w:rFonts w:asciiTheme="minorHAnsi" w:eastAsia="Times New Roman" w:hAnsiTheme="minorHAnsi" w:cstheme="minorHAnsi"/>
          <w:noProof/>
          <w:sz w:val="22"/>
          <w:szCs w:val="22"/>
        </w:rPr>
        <w:t>że</w:t>
      </w:r>
      <w:r w:rsidRPr="00890249">
        <w:rPr>
          <w:rFonts w:asciiTheme="minorHAnsi" w:eastAsia="Times New Roman" w:hAnsiTheme="minorHAnsi" w:cstheme="minorHAnsi"/>
          <w:noProof/>
          <w:sz w:val="22"/>
          <w:szCs w:val="22"/>
        </w:rPr>
        <w:t xml:space="preserve"> niedostępność zasobów. </w:t>
      </w:r>
    </w:p>
    <w:p w14:paraId="7BF2A547" w14:textId="2F4A1B44" w:rsidR="004249F6" w:rsidRPr="00890249" w:rsidRDefault="18C5A4CC" w:rsidP="18317E1B">
      <w:pPr>
        <w:pStyle w:val="NormalnyWeb"/>
        <w:spacing w:before="0"/>
        <w:rPr>
          <w:rFonts w:asciiTheme="minorHAnsi" w:eastAsia="Times New Roman" w:hAnsiTheme="minorHAnsi" w:cstheme="minorHAnsi"/>
          <w:sz w:val="22"/>
          <w:szCs w:val="22"/>
          <w:lang w:bidi="ar-SA"/>
        </w:rPr>
      </w:pPr>
      <w:r w:rsidRPr="00890249">
        <w:rPr>
          <w:rFonts w:asciiTheme="minorHAnsi" w:eastAsia="Times New Roman" w:hAnsiTheme="minorHAnsi" w:cstheme="minorHAnsi"/>
          <w:sz w:val="22"/>
          <w:szCs w:val="22"/>
          <w:lang w:bidi="ar-SA"/>
        </w:rPr>
        <w:t>W cs (ii) wsparcie skierowane będzie na wdrażanie szeroko rozumianej technologii informatyczno-komunikacyjnej w MŚP jako projekty</w:t>
      </w:r>
      <w:r w:rsidR="39090B15" w:rsidRPr="00890249">
        <w:rPr>
          <w:rFonts w:asciiTheme="minorHAnsi" w:eastAsia="Times New Roman" w:hAnsiTheme="minorHAnsi" w:cstheme="minorHAnsi"/>
          <w:sz w:val="22"/>
          <w:szCs w:val="22"/>
          <w:lang w:bidi="ar-SA"/>
        </w:rPr>
        <w:t xml:space="preserve"> przyczyniając się do</w:t>
      </w:r>
      <w:r w:rsidR="6F038731" w:rsidRPr="00890249">
        <w:rPr>
          <w:rFonts w:asciiTheme="minorHAnsi" w:eastAsia="Times New Roman" w:hAnsiTheme="minorHAnsi" w:cstheme="minorHAnsi"/>
          <w:sz w:val="22"/>
          <w:szCs w:val="22"/>
          <w:lang w:bidi="ar-SA"/>
        </w:rPr>
        <w:t xml:space="preserve"> zmiany modeli biznesowych i</w:t>
      </w:r>
      <w:r w:rsidR="005B1C43" w:rsidRPr="00890249">
        <w:rPr>
          <w:rFonts w:asciiTheme="minorHAnsi" w:eastAsia="Times New Roman" w:hAnsiTheme="minorHAnsi" w:cstheme="minorHAnsi"/>
          <w:sz w:val="22"/>
          <w:szCs w:val="22"/>
          <w:lang w:bidi="ar-SA"/>
        </w:rPr>
        <w:t xml:space="preserve"> </w:t>
      </w:r>
      <w:r w:rsidR="39090B15" w:rsidRPr="00890249">
        <w:rPr>
          <w:rFonts w:asciiTheme="minorHAnsi" w:eastAsia="Times New Roman" w:hAnsiTheme="minorHAnsi" w:cstheme="minorHAnsi"/>
          <w:sz w:val="22"/>
          <w:szCs w:val="22"/>
          <w:lang w:bidi="ar-SA"/>
        </w:rPr>
        <w:t>transformacji cyfrowej</w:t>
      </w:r>
      <w:r w:rsidRPr="00890249">
        <w:rPr>
          <w:rFonts w:asciiTheme="minorHAnsi" w:eastAsia="Times New Roman" w:hAnsiTheme="minorHAnsi" w:cstheme="minorHAnsi"/>
          <w:sz w:val="22"/>
          <w:szCs w:val="22"/>
          <w:lang w:bidi="ar-SA"/>
        </w:rPr>
        <w:t xml:space="preserve">. Natomiast </w:t>
      </w:r>
      <w:r w:rsidR="007D543C" w:rsidRPr="00890249">
        <w:rPr>
          <w:rFonts w:asciiTheme="minorHAnsi" w:eastAsia="Times New Roman" w:hAnsiTheme="minorHAnsi" w:cstheme="minorHAnsi"/>
          <w:sz w:val="22"/>
          <w:szCs w:val="22"/>
          <w:lang w:bidi="ar-SA"/>
        </w:rPr>
        <w:t xml:space="preserve">elementy rozwiązań cyfrowych w przeds. będą mogły być częścią projektów </w:t>
      </w:r>
      <w:r w:rsidR="00A37420">
        <w:rPr>
          <w:rFonts w:asciiTheme="minorHAnsi" w:eastAsia="Times New Roman" w:hAnsiTheme="minorHAnsi" w:cstheme="minorHAnsi"/>
          <w:sz w:val="22"/>
          <w:szCs w:val="22"/>
          <w:lang w:bidi="ar-SA"/>
        </w:rPr>
        <w:t>w </w:t>
      </w:r>
      <w:r w:rsidRPr="00890249">
        <w:rPr>
          <w:rFonts w:asciiTheme="minorHAnsi" w:eastAsia="Times New Roman" w:hAnsiTheme="minorHAnsi" w:cstheme="minorHAnsi"/>
          <w:sz w:val="22"/>
          <w:szCs w:val="22"/>
          <w:lang w:bidi="ar-SA"/>
        </w:rPr>
        <w:t>ramach cs (i) oraz (iii)</w:t>
      </w:r>
      <w:r w:rsidR="007D543C" w:rsidRPr="00890249">
        <w:rPr>
          <w:rFonts w:asciiTheme="minorHAnsi" w:eastAsia="Times New Roman" w:hAnsiTheme="minorHAnsi" w:cstheme="minorHAnsi"/>
          <w:sz w:val="22"/>
          <w:szCs w:val="22"/>
          <w:lang w:bidi="ar-SA"/>
        </w:rPr>
        <w:t>.</w:t>
      </w:r>
      <w:r w:rsidRPr="00890249">
        <w:rPr>
          <w:rFonts w:asciiTheme="minorHAnsi" w:eastAsia="Times New Roman" w:hAnsiTheme="minorHAnsi" w:cstheme="minorHAnsi"/>
          <w:sz w:val="22"/>
          <w:szCs w:val="22"/>
          <w:lang w:bidi="ar-SA"/>
        </w:rPr>
        <w:t xml:space="preserve"> </w:t>
      </w:r>
    </w:p>
    <w:p w14:paraId="26BB7EF8" w14:textId="120B7312" w:rsidR="004249F6" w:rsidRPr="00890249" w:rsidRDefault="18C5A4CC" w:rsidP="18317E1B">
      <w:pPr>
        <w:pStyle w:val="NormalnyWeb"/>
        <w:spacing w:before="0" w:after="0"/>
        <w:rPr>
          <w:rFonts w:asciiTheme="minorHAnsi" w:eastAsia="Times New Roman" w:hAnsiTheme="minorHAnsi" w:cstheme="minorHAnsi"/>
          <w:sz w:val="22"/>
          <w:szCs w:val="22"/>
          <w:lang w:bidi="ar-SA"/>
        </w:rPr>
      </w:pPr>
      <w:r w:rsidRPr="00890249">
        <w:rPr>
          <w:rFonts w:asciiTheme="minorHAnsi" w:eastAsia="Times New Roman" w:hAnsiTheme="minorHAnsi" w:cstheme="minorHAnsi"/>
          <w:noProof/>
          <w:sz w:val="22"/>
          <w:szCs w:val="22"/>
        </w:rPr>
        <w:t>W obszarze e-usług publicznych wspierane</w:t>
      </w:r>
      <w:r w:rsidR="70CAC344" w:rsidRPr="00890249">
        <w:rPr>
          <w:rFonts w:asciiTheme="minorHAnsi" w:eastAsia="Times New Roman" w:hAnsiTheme="minorHAnsi" w:cstheme="minorHAnsi"/>
          <w:noProof/>
          <w:sz w:val="22"/>
          <w:szCs w:val="22"/>
        </w:rPr>
        <w:t xml:space="preserve"> będzie tworzenie</w:t>
      </w:r>
      <w:r w:rsidRPr="00890249">
        <w:rPr>
          <w:rFonts w:asciiTheme="minorHAnsi" w:eastAsia="Times New Roman" w:hAnsiTheme="minorHAnsi" w:cstheme="minorHAnsi"/>
          <w:noProof/>
          <w:sz w:val="22"/>
          <w:szCs w:val="22"/>
        </w:rPr>
        <w:t xml:space="preserve"> usług</w:t>
      </w:r>
      <w:r w:rsidR="271C4EFA" w:rsidRPr="00890249">
        <w:rPr>
          <w:rFonts w:asciiTheme="minorHAnsi" w:eastAsia="Times New Roman" w:hAnsiTheme="minorHAnsi" w:cstheme="minorHAnsi"/>
          <w:noProof/>
          <w:sz w:val="22"/>
          <w:szCs w:val="22"/>
        </w:rPr>
        <w:t xml:space="preserve"> o </w:t>
      </w:r>
      <w:r w:rsidRPr="00890249">
        <w:rPr>
          <w:rFonts w:asciiTheme="minorHAnsi" w:eastAsia="Times New Roman" w:hAnsiTheme="minorHAnsi" w:cstheme="minorHAnsi"/>
          <w:noProof/>
          <w:sz w:val="22"/>
          <w:szCs w:val="22"/>
        </w:rPr>
        <w:t>najwyższy</w:t>
      </w:r>
      <w:r w:rsidR="5E2E7349" w:rsidRPr="00890249">
        <w:rPr>
          <w:rFonts w:asciiTheme="minorHAnsi" w:eastAsia="Times New Roman" w:hAnsiTheme="minorHAnsi" w:cstheme="minorHAnsi"/>
          <w:noProof/>
          <w:sz w:val="22"/>
          <w:szCs w:val="22"/>
        </w:rPr>
        <w:t>m</w:t>
      </w:r>
      <w:r w:rsidRPr="00890249">
        <w:rPr>
          <w:rFonts w:asciiTheme="minorHAnsi" w:eastAsia="Times New Roman" w:hAnsiTheme="minorHAnsi" w:cstheme="minorHAnsi"/>
          <w:noProof/>
          <w:sz w:val="22"/>
          <w:szCs w:val="22"/>
        </w:rPr>
        <w:t xml:space="preserve"> poziom</w:t>
      </w:r>
      <w:r w:rsidR="169664D5" w:rsidRPr="00890249">
        <w:rPr>
          <w:rFonts w:asciiTheme="minorHAnsi" w:eastAsia="Times New Roman" w:hAnsiTheme="minorHAnsi" w:cstheme="minorHAnsi"/>
          <w:noProof/>
          <w:sz w:val="22"/>
          <w:szCs w:val="22"/>
        </w:rPr>
        <w:t>ie</w:t>
      </w:r>
      <w:r w:rsidRPr="00890249">
        <w:rPr>
          <w:rFonts w:asciiTheme="minorHAnsi" w:eastAsia="Times New Roman" w:hAnsiTheme="minorHAnsi" w:cstheme="minorHAnsi"/>
          <w:noProof/>
          <w:sz w:val="22"/>
          <w:szCs w:val="22"/>
        </w:rPr>
        <w:t xml:space="preserve"> dojrzałości, ukierunkowane wyłącznie na dostarczenie w pełni dostępnych usług online. Chcąc </w:t>
      </w:r>
      <w:r w:rsidR="17BE68C2" w:rsidRPr="00890249">
        <w:rPr>
          <w:rFonts w:asciiTheme="minorHAnsi" w:eastAsia="Times New Roman" w:hAnsiTheme="minorHAnsi" w:cstheme="minorHAnsi"/>
          <w:noProof/>
          <w:sz w:val="22"/>
          <w:szCs w:val="22"/>
        </w:rPr>
        <w:t xml:space="preserve">efektywnie </w:t>
      </w:r>
      <w:r w:rsidRPr="00890249">
        <w:rPr>
          <w:rFonts w:asciiTheme="minorHAnsi" w:eastAsia="Times New Roman" w:hAnsiTheme="minorHAnsi" w:cstheme="minorHAnsi"/>
          <w:noProof/>
          <w:sz w:val="22"/>
          <w:szCs w:val="22"/>
        </w:rPr>
        <w:t>wdrożyć e-usługi  projekty  będą uzupełnione o odpowiednie szkolenia</w:t>
      </w:r>
      <w:r w:rsidR="5C9AB6C6" w:rsidRPr="00890249">
        <w:rPr>
          <w:rFonts w:asciiTheme="minorHAnsi" w:eastAsia="Times New Roman" w:hAnsiTheme="minorHAnsi" w:cstheme="minorHAnsi"/>
          <w:noProof/>
          <w:sz w:val="22"/>
          <w:szCs w:val="22"/>
        </w:rPr>
        <w:t xml:space="preserve"> dla pracownik</w:t>
      </w:r>
      <w:r w:rsidR="5C9AB6C6" w:rsidRPr="00890249">
        <w:rPr>
          <w:rFonts w:asciiTheme="minorHAnsi" w:eastAsia="Times New Roman" w:hAnsiTheme="minorHAnsi" w:cstheme="minorHAnsi"/>
          <w:sz w:val="22"/>
          <w:szCs w:val="22"/>
          <w:lang w:bidi="ar-SA"/>
        </w:rPr>
        <w:t>ó</w:t>
      </w:r>
      <w:r w:rsidR="5C9AB6C6" w:rsidRPr="00890249">
        <w:rPr>
          <w:rFonts w:asciiTheme="minorHAnsi" w:eastAsia="Times New Roman" w:hAnsiTheme="minorHAnsi" w:cstheme="minorHAnsi"/>
          <w:noProof/>
          <w:sz w:val="22"/>
          <w:szCs w:val="22"/>
        </w:rPr>
        <w:t>w</w:t>
      </w:r>
      <w:r w:rsidR="00C0493C" w:rsidRPr="00890249">
        <w:rPr>
          <w:rFonts w:asciiTheme="minorHAnsi" w:hAnsiTheme="minorHAnsi" w:cstheme="minorHAnsi"/>
          <w:noProof/>
          <w:sz w:val="22"/>
          <w:szCs w:val="22"/>
        </w:rPr>
        <w:t xml:space="preserve">. </w:t>
      </w:r>
      <w:r w:rsidRPr="00890249">
        <w:rPr>
          <w:rFonts w:asciiTheme="minorHAnsi" w:eastAsia="Times New Roman" w:hAnsiTheme="minorHAnsi" w:cstheme="minorHAnsi"/>
          <w:noProof/>
          <w:sz w:val="22"/>
          <w:szCs w:val="22"/>
        </w:rPr>
        <w:t xml:space="preserve">Działania </w:t>
      </w:r>
      <w:r w:rsidR="51AEF906" w:rsidRPr="00890249">
        <w:rPr>
          <w:rFonts w:asciiTheme="minorHAnsi" w:eastAsia="Times New Roman" w:hAnsiTheme="minorHAnsi" w:cstheme="minorHAnsi"/>
          <w:noProof/>
          <w:sz w:val="22"/>
          <w:szCs w:val="22"/>
        </w:rPr>
        <w:t>zwi</w:t>
      </w:r>
      <w:r w:rsidR="00C0493C" w:rsidRPr="00890249">
        <w:rPr>
          <w:rFonts w:asciiTheme="minorHAnsi" w:eastAsia="Times New Roman" w:hAnsiTheme="minorHAnsi" w:cstheme="minorHAnsi"/>
          <w:noProof/>
          <w:sz w:val="22"/>
          <w:szCs w:val="22"/>
        </w:rPr>
        <w:t>ą</w:t>
      </w:r>
      <w:r w:rsidR="51AEF906" w:rsidRPr="00890249">
        <w:rPr>
          <w:rFonts w:asciiTheme="minorHAnsi" w:eastAsia="Times New Roman" w:hAnsiTheme="minorHAnsi" w:cstheme="minorHAnsi"/>
          <w:noProof/>
          <w:sz w:val="22"/>
          <w:szCs w:val="22"/>
        </w:rPr>
        <w:t>zane z tworzeniem lub znacznym ulepszeniem e-us</w:t>
      </w:r>
      <w:r w:rsidR="00C0493C" w:rsidRPr="00890249">
        <w:rPr>
          <w:rFonts w:asciiTheme="minorHAnsi" w:eastAsia="Times New Roman" w:hAnsiTheme="minorHAnsi" w:cstheme="minorHAnsi"/>
          <w:noProof/>
          <w:sz w:val="22"/>
          <w:szCs w:val="22"/>
        </w:rPr>
        <w:t>łu</w:t>
      </w:r>
      <w:r w:rsidR="51AEF906" w:rsidRPr="00890249">
        <w:rPr>
          <w:rFonts w:asciiTheme="minorHAnsi" w:eastAsia="Times New Roman" w:hAnsiTheme="minorHAnsi" w:cstheme="minorHAnsi"/>
          <w:noProof/>
          <w:sz w:val="22"/>
          <w:szCs w:val="22"/>
        </w:rPr>
        <w:t xml:space="preserve">g </w:t>
      </w:r>
      <w:r w:rsidRPr="00890249">
        <w:rPr>
          <w:rFonts w:asciiTheme="minorHAnsi" w:eastAsia="Times New Roman" w:hAnsiTheme="minorHAnsi" w:cstheme="minorHAnsi"/>
          <w:noProof/>
          <w:sz w:val="22"/>
          <w:szCs w:val="22"/>
        </w:rPr>
        <w:t xml:space="preserve">będą komplementarne </w:t>
      </w:r>
      <w:r w:rsidR="37CFA6BF" w:rsidRPr="00890249">
        <w:rPr>
          <w:rFonts w:asciiTheme="minorHAnsi" w:eastAsia="Times New Roman" w:hAnsiTheme="minorHAnsi" w:cstheme="minorHAnsi"/>
          <w:noProof/>
          <w:sz w:val="22"/>
          <w:szCs w:val="22"/>
        </w:rPr>
        <w:t>i</w:t>
      </w:r>
      <w:r w:rsidR="00F111C0" w:rsidRPr="00890249">
        <w:rPr>
          <w:rFonts w:asciiTheme="minorHAnsi" w:eastAsia="Times New Roman" w:hAnsiTheme="minorHAnsi" w:cstheme="minorHAnsi"/>
          <w:noProof/>
          <w:sz w:val="22"/>
          <w:szCs w:val="22"/>
        </w:rPr>
        <w:t> </w:t>
      </w:r>
      <w:r w:rsidR="37CFA6BF" w:rsidRPr="00890249">
        <w:rPr>
          <w:rFonts w:asciiTheme="minorHAnsi" w:eastAsia="Times New Roman" w:hAnsiTheme="minorHAnsi" w:cstheme="minorHAnsi"/>
          <w:noProof/>
          <w:sz w:val="22"/>
          <w:szCs w:val="22"/>
        </w:rPr>
        <w:t xml:space="preserve">interoperacyjne </w:t>
      </w:r>
      <w:r w:rsidRPr="00890249">
        <w:rPr>
          <w:rFonts w:asciiTheme="minorHAnsi" w:eastAsia="Times New Roman" w:hAnsiTheme="minorHAnsi" w:cstheme="minorHAnsi"/>
          <w:noProof/>
          <w:sz w:val="22"/>
          <w:szCs w:val="22"/>
        </w:rPr>
        <w:t xml:space="preserve">w stosunku do działań realizowanych na poziomie centralnym oraz będą </w:t>
      </w:r>
      <w:r w:rsidRPr="00890249">
        <w:rPr>
          <w:rFonts w:asciiTheme="minorHAnsi" w:hAnsiTheme="minorHAnsi" w:cstheme="minorHAnsi"/>
          <w:sz w:val="22"/>
          <w:szCs w:val="22"/>
        </w:rPr>
        <w:t xml:space="preserve">opierać się na istniejących już e-usługach lub zakładać </w:t>
      </w:r>
      <w:r w:rsidRPr="00890249">
        <w:rPr>
          <w:rFonts w:asciiTheme="minorHAnsi" w:hAnsiTheme="minorHAnsi" w:cstheme="minorHAnsi"/>
          <w:sz w:val="22"/>
          <w:szCs w:val="22"/>
          <w:shd w:val="clear" w:color="auto" w:fill="FFFFFF"/>
        </w:rPr>
        <w:t>rozszerzenie</w:t>
      </w:r>
      <w:r w:rsidRPr="00890249">
        <w:rPr>
          <w:rFonts w:asciiTheme="minorHAnsi" w:hAnsiTheme="minorHAnsi" w:cstheme="minorHAnsi"/>
          <w:noProof/>
          <w:sz w:val="22"/>
          <w:szCs w:val="22"/>
        </w:rPr>
        <w:t xml:space="preserve"> ich funkcjonalności. </w:t>
      </w:r>
      <w:r w:rsidR="02B1E949" w:rsidRPr="00890249">
        <w:rPr>
          <w:rFonts w:asciiTheme="minorHAnsi" w:eastAsia="Times New Roman" w:hAnsiTheme="minorHAnsi" w:cstheme="minorHAnsi"/>
          <w:noProof/>
          <w:sz w:val="22"/>
          <w:szCs w:val="22"/>
        </w:rPr>
        <w:t>B</w:t>
      </w:r>
      <w:r w:rsidRPr="00890249">
        <w:rPr>
          <w:rFonts w:asciiTheme="minorHAnsi" w:eastAsia="Times New Roman" w:hAnsiTheme="minorHAnsi" w:cstheme="minorHAnsi"/>
          <w:noProof/>
          <w:sz w:val="22"/>
          <w:szCs w:val="22"/>
        </w:rPr>
        <w:t>ędą  wdraża</w:t>
      </w:r>
      <w:r w:rsidR="00C0493C" w:rsidRPr="00890249">
        <w:rPr>
          <w:rFonts w:asciiTheme="minorHAnsi" w:eastAsia="Times New Roman" w:hAnsiTheme="minorHAnsi" w:cstheme="minorHAnsi"/>
          <w:noProof/>
          <w:sz w:val="22"/>
          <w:szCs w:val="22"/>
        </w:rPr>
        <w:t>ł</w:t>
      </w:r>
      <w:r w:rsidR="42169AFD" w:rsidRPr="00890249">
        <w:rPr>
          <w:rFonts w:asciiTheme="minorHAnsi" w:eastAsia="Times New Roman" w:hAnsiTheme="minorHAnsi" w:cstheme="minorHAnsi"/>
          <w:noProof/>
          <w:sz w:val="22"/>
          <w:szCs w:val="22"/>
        </w:rPr>
        <w:t>y r</w:t>
      </w:r>
      <w:r w:rsidR="00C0493C" w:rsidRPr="00890249">
        <w:rPr>
          <w:rFonts w:asciiTheme="minorHAnsi" w:eastAsia="Times New Roman" w:hAnsiTheme="minorHAnsi" w:cstheme="minorHAnsi"/>
          <w:noProof/>
          <w:sz w:val="22"/>
          <w:szCs w:val="22"/>
        </w:rPr>
        <w:t>ó</w:t>
      </w:r>
      <w:r w:rsidR="42169AFD" w:rsidRPr="00890249">
        <w:rPr>
          <w:rFonts w:asciiTheme="minorHAnsi" w:eastAsia="Times New Roman" w:hAnsiTheme="minorHAnsi" w:cstheme="minorHAnsi"/>
          <w:noProof/>
          <w:sz w:val="22"/>
          <w:szCs w:val="22"/>
        </w:rPr>
        <w:t>wnie</w:t>
      </w:r>
      <w:r w:rsidR="00C0493C" w:rsidRPr="00890249">
        <w:rPr>
          <w:rFonts w:asciiTheme="minorHAnsi" w:eastAsia="Times New Roman" w:hAnsiTheme="minorHAnsi" w:cstheme="minorHAnsi"/>
          <w:noProof/>
          <w:sz w:val="22"/>
          <w:szCs w:val="22"/>
        </w:rPr>
        <w:t>ż</w:t>
      </w:r>
      <w:r w:rsidRPr="00890249">
        <w:rPr>
          <w:rFonts w:asciiTheme="minorHAnsi" w:eastAsia="Times New Roman" w:hAnsiTheme="minorHAnsi" w:cstheme="minorHAnsi"/>
          <w:noProof/>
          <w:sz w:val="22"/>
          <w:szCs w:val="22"/>
        </w:rPr>
        <w:t xml:space="preserve"> system</w:t>
      </w:r>
      <w:r w:rsidR="7FE93849" w:rsidRPr="00890249">
        <w:rPr>
          <w:rFonts w:asciiTheme="minorHAnsi" w:eastAsia="Times New Roman" w:hAnsiTheme="minorHAnsi" w:cstheme="minorHAnsi"/>
          <w:noProof/>
          <w:sz w:val="22"/>
          <w:szCs w:val="22"/>
        </w:rPr>
        <w:t>y</w:t>
      </w:r>
      <w:r w:rsidRPr="00890249">
        <w:rPr>
          <w:rFonts w:asciiTheme="minorHAnsi" w:eastAsia="Times New Roman" w:hAnsiTheme="minorHAnsi" w:cstheme="minorHAnsi"/>
          <w:noProof/>
          <w:sz w:val="22"/>
          <w:szCs w:val="22"/>
        </w:rPr>
        <w:t xml:space="preserve"> usprawnienia komunikacji pomiędzy systemami usługodawców, a systemami regionalnymi lub krajowymi. </w:t>
      </w:r>
      <w:r w:rsidRPr="00890249">
        <w:rPr>
          <w:rFonts w:asciiTheme="minorHAnsi" w:hAnsiTheme="minorHAnsi" w:cstheme="minorHAnsi"/>
          <w:noProof/>
          <w:sz w:val="22"/>
          <w:szCs w:val="22"/>
        </w:rPr>
        <w:t>Wspierane będą działania zwiększające jakość oferty usług administracji samorządowej, a także instytucji pub. za pośrednictwem istniejących i nowych technologii</w:t>
      </w:r>
      <w:r w:rsidR="007D543C"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t>
      </w:r>
      <w:r w:rsidR="007D543C" w:rsidRPr="00890249">
        <w:rPr>
          <w:rFonts w:asciiTheme="minorHAnsi" w:hAnsiTheme="minorHAnsi" w:cstheme="minorHAnsi"/>
          <w:noProof/>
          <w:sz w:val="22"/>
          <w:szCs w:val="22"/>
        </w:rPr>
        <w:t>Celem tych działań będzie</w:t>
      </w:r>
      <w:r w:rsidRPr="00890249">
        <w:rPr>
          <w:rFonts w:asciiTheme="minorHAnsi" w:hAnsiTheme="minorHAnsi" w:cstheme="minorHAnsi"/>
          <w:noProof/>
          <w:sz w:val="22"/>
          <w:szCs w:val="22"/>
        </w:rPr>
        <w:t xml:space="preserve"> wdrożeni</w:t>
      </w:r>
      <w:r w:rsidR="007D543C" w:rsidRPr="00890249">
        <w:rPr>
          <w:rFonts w:asciiTheme="minorHAnsi" w:hAnsiTheme="minorHAnsi" w:cstheme="minorHAnsi"/>
          <w:noProof/>
          <w:sz w:val="22"/>
          <w:szCs w:val="22"/>
        </w:rPr>
        <w:t>e</w:t>
      </w:r>
      <w:r w:rsidRPr="00890249">
        <w:rPr>
          <w:rFonts w:asciiTheme="minorHAnsi" w:hAnsiTheme="minorHAnsi" w:cstheme="minorHAnsi"/>
          <w:noProof/>
          <w:sz w:val="22"/>
          <w:szCs w:val="22"/>
        </w:rPr>
        <w:t xml:space="preserve"> innowacyjnych rozwiązań usprawni</w:t>
      </w:r>
      <w:r w:rsidR="007D543C" w:rsidRPr="00890249">
        <w:rPr>
          <w:rFonts w:asciiTheme="minorHAnsi" w:hAnsiTheme="minorHAnsi" w:cstheme="minorHAnsi"/>
          <w:noProof/>
          <w:sz w:val="22"/>
          <w:szCs w:val="22"/>
        </w:rPr>
        <w:t>ających</w:t>
      </w:r>
      <w:r w:rsidRPr="00890249">
        <w:rPr>
          <w:rFonts w:asciiTheme="minorHAnsi" w:hAnsiTheme="minorHAnsi" w:cstheme="minorHAnsi"/>
          <w:noProof/>
          <w:sz w:val="22"/>
          <w:szCs w:val="22"/>
        </w:rPr>
        <w:t xml:space="preserve"> koordynacj</w:t>
      </w:r>
      <w:r w:rsidR="007D543C" w:rsidRPr="00890249">
        <w:rPr>
          <w:rFonts w:asciiTheme="minorHAnsi" w:hAnsiTheme="minorHAnsi" w:cstheme="minorHAnsi"/>
          <w:noProof/>
          <w:sz w:val="22"/>
          <w:szCs w:val="22"/>
        </w:rPr>
        <w:t xml:space="preserve">ę </w:t>
      </w:r>
      <w:r w:rsidR="00A37420">
        <w:rPr>
          <w:rFonts w:asciiTheme="minorHAnsi" w:hAnsiTheme="minorHAnsi" w:cstheme="minorHAnsi"/>
          <w:noProof/>
          <w:sz w:val="22"/>
          <w:szCs w:val="22"/>
        </w:rPr>
        <w:t>procesów w </w:t>
      </w:r>
      <w:r w:rsidRPr="00890249">
        <w:rPr>
          <w:rFonts w:asciiTheme="minorHAnsi" w:hAnsiTheme="minorHAnsi" w:cstheme="minorHAnsi"/>
          <w:noProof/>
          <w:sz w:val="22"/>
          <w:szCs w:val="22"/>
        </w:rPr>
        <w:t>urzędach, jednocześnie prowadząc do podniesienia jakości życia w regionie</w:t>
      </w:r>
      <w:r w:rsidR="000A24BA"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lang w:bidi="ar-SA"/>
        </w:rPr>
        <w:t xml:space="preserve">Planowane jest m.in. </w:t>
      </w:r>
      <w:r w:rsidRPr="00890249">
        <w:rPr>
          <w:rFonts w:asciiTheme="minorHAnsi" w:eastAsia="Times New Roman" w:hAnsiTheme="minorHAnsi" w:cstheme="minorHAnsi"/>
          <w:sz w:val="22"/>
          <w:szCs w:val="22"/>
          <w:lang w:bidi="ar-SA"/>
        </w:rPr>
        <w:t>rozszerzenie stosowania chmur obliczeniowych niezbędnych do rozwijania nowoczesnej administracji poprzez wdrażanie systemów zarządzania obiegiem dokumentów zintegrowanych z</w:t>
      </w:r>
      <w:r w:rsidR="00F111C0" w:rsidRPr="00890249">
        <w:rPr>
          <w:rFonts w:asciiTheme="minorHAnsi" w:eastAsia="Times New Roman" w:hAnsiTheme="minorHAnsi" w:cstheme="minorHAnsi"/>
          <w:sz w:val="22"/>
          <w:szCs w:val="22"/>
          <w:lang w:bidi="ar-SA"/>
        </w:rPr>
        <w:t> </w:t>
      </w:r>
      <w:r w:rsidRPr="00890249">
        <w:rPr>
          <w:rFonts w:asciiTheme="minorHAnsi" w:eastAsia="Times New Roman" w:hAnsiTheme="minorHAnsi" w:cstheme="minorHAnsi"/>
          <w:sz w:val="22"/>
          <w:szCs w:val="22"/>
          <w:lang w:bidi="ar-SA"/>
        </w:rPr>
        <w:t>lokalnymi systemami dziedzinowymi. Wspierane będą działania mające na celu promowanie platform rozwijających „inteligentne miasta”, umożliwiające rozwój np. Inteligentnych Systemów Transportowych (ITS)</w:t>
      </w:r>
      <w:r w:rsidR="00C0493C" w:rsidRPr="00890249">
        <w:rPr>
          <w:rFonts w:asciiTheme="minorHAnsi" w:eastAsia="Times New Roman" w:hAnsiTheme="minorHAnsi" w:cstheme="minorHAnsi"/>
          <w:sz w:val="22"/>
          <w:szCs w:val="22"/>
          <w:lang w:bidi="ar-SA"/>
        </w:rPr>
        <w:t>.</w:t>
      </w:r>
      <w:r w:rsidRPr="00890249">
        <w:rPr>
          <w:rFonts w:asciiTheme="minorHAnsi" w:eastAsia="Times New Roman" w:hAnsiTheme="minorHAnsi" w:cstheme="minorHAnsi"/>
          <w:sz w:val="22"/>
          <w:szCs w:val="22"/>
          <w:lang w:bidi="ar-SA"/>
        </w:rPr>
        <w:t xml:space="preserve"> Planowany jest dalszy rozwój e-usług w zakresie rozwiązań Elektronicznej Platformy Administracji Publicznej. </w:t>
      </w:r>
      <w:r w:rsidR="007D543C" w:rsidRPr="00890249">
        <w:rPr>
          <w:rFonts w:asciiTheme="minorHAnsi" w:eastAsia="Times New Roman" w:hAnsiTheme="minorHAnsi" w:cstheme="minorHAnsi"/>
          <w:sz w:val="22"/>
          <w:szCs w:val="22"/>
          <w:lang w:bidi="ar-SA"/>
        </w:rPr>
        <w:t>N</w:t>
      </w:r>
      <w:r w:rsidRPr="00890249">
        <w:rPr>
          <w:rFonts w:asciiTheme="minorHAnsi" w:eastAsia="Times New Roman" w:hAnsiTheme="minorHAnsi" w:cstheme="minorHAnsi"/>
          <w:sz w:val="22"/>
          <w:szCs w:val="22"/>
          <w:lang w:bidi="ar-SA"/>
        </w:rPr>
        <w:t>ow</w:t>
      </w:r>
      <w:r w:rsidR="007D543C" w:rsidRPr="00890249">
        <w:rPr>
          <w:rFonts w:asciiTheme="minorHAnsi" w:eastAsia="Times New Roman" w:hAnsiTheme="minorHAnsi" w:cstheme="minorHAnsi"/>
          <w:sz w:val="22"/>
          <w:szCs w:val="22"/>
          <w:lang w:bidi="ar-SA"/>
        </w:rPr>
        <w:t>e</w:t>
      </w:r>
      <w:r w:rsidRPr="00890249">
        <w:rPr>
          <w:rFonts w:asciiTheme="minorHAnsi" w:eastAsia="Times New Roman" w:hAnsiTheme="minorHAnsi" w:cstheme="minorHAnsi"/>
          <w:sz w:val="22"/>
          <w:szCs w:val="22"/>
          <w:lang w:bidi="ar-SA"/>
        </w:rPr>
        <w:t xml:space="preserve"> e-usług</w:t>
      </w:r>
      <w:r w:rsidR="007D543C" w:rsidRPr="00890249">
        <w:rPr>
          <w:rFonts w:asciiTheme="minorHAnsi" w:eastAsia="Times New Roman" w:hAnsiTheme="minorHAnsi" w:cstheme="minorHAnsi"/>
          <w:sz w:val="22"/>
          <w:szCs w:val="22"/>
          <w:lang w:bidi="ar-SA"/>
        </w:rPr>
        <w:t>i</w:t>
      </w:r>
      <w:r w:rsidRPr="00890249">
        <w:rPr>
          <w:rFonts w:asciiTheme="minorHAnsi" w:eastAsia="Times New Roman" w:hAnsiTheme="minorHAnsi" w:cstheme="minorHAnsi"/>
          <w:sz w:val="22"/>
          <w:szCs w:val="22"/>
          <w:lang w:bidi="ar-SA"/>
        </w:rPr>
        <w:t xml:space="preserve"> rozwijan</w:t>
      </w:r>
      <w:r w:rsidR="007D543C" w:rsidRPr="00890249">
        <w:rPr>
          <w:rFonts w:asciiTheme="minorHAnsi" w:eastAsia="Times New Roman" w:hAnsiTheme="minorHAnsi" w:cstheme="minorHAnsi"/>
          <w:sz w:val="22"/>
          <w:szCs w:val="22"/>
          <w:lang w:bidi="ar-SA"/>
        </w:rPr>
        <w:t>e</w:t>
      </w:r>
      <w:r w:rsidRPr="00890249">
        <w:rPr>
          <w:rFonts w:asciiTheme="minorHAnsi" w:eastAsia="Times New Roman" w:hAnsiTheme="minorHAnsi" w:cstheme="minorHAnsi"/>
          <w:sz w:val="22"/>
          <w:szCs w:val="22"/>
          <w:lang w:bidi="ar-SA"/>
        </w:rPr>
        <w:t xml:space="preserve"> na szczeblu regionalnym poprzez platformę usług regionalnych, </w:t>
      </w:r>
      <w:r w:rsidRPr="00890249">
        <w:rPr>
          <w:rFonts w:asciiTheme="minorHAnsi" w:eastAsia="Times New Roman" w:hAnsiTheme="minorHAnsi" w:cstheme="minorHAnsi"/>
          <w:sz w:val="22"/>
          <w:szCs w:val="22"/>
          <w:lang w:bidi="ar-SA"/>
        </w:rPr>
        <w:lastRenderedPageBreak/>
        <w:t>nie będą powielały rozwiązań istniejących, dostępnych na szczeblu centralnym, z którymi poprzez odpowiednie interfejsy API mogą być sprzężone.</w:t>
      </w:r>
    </w:p>
    <w:p w14:paraId="0202B269" w14:textId="50E45280" w:rsidR="004249F6" w:rsidRPr="00890249" w:rsidRDefault="18C5A4CC" w:rsidP="18317E1B">
      <w:pPr>
        <w:rPr>
          <w:rFonts w:asciiTheme="minorHAnsi" w:hAnsiTheme="minorHAnsi" w:cstheme="minorHAnsi"/>
          <w:sz w:val="22"/>
          <w:szCs w:val="22"/>
        </w:rPr>
      </w:pPr>
      <w:r w:rsidRPr="00890249">
        <w:rPr>
          <w:rFonts w:asciiTheme="minorHAnsi" w:hAnsiTheme="minorHAnsi" w:cstheme="minorHAnsi"/>
          <w:noProof/>
          <w:sz w:val="22"/>
          <w:szCs w:val="22"/>
        </w:rPr>
        <w:t>Wspierane będą projekty wdrożeniowe w zakresie e-zdrowia, m.in. przez in</w:t>
      </w:r>
      <w:r w:rsidR="000760D9" w:rsidRPr="00890249">
        <w:rPr>
          <w:rFonts w:asciiTheme="minorHAnsi" w:hAnsiTheme="minorHAnsi" w:cstheme="minorHAnsi"/>
          <w:noProof/>
          <w:sz w:val="22"/>
          <w:szCs w:val="22"/>
        </w:rPr>
        <w:t>westycje w infrastrukturę informatyczną</w:t>
      </w:r>
      <w:r w:rsidR="006E5161" w:rsidRPr="00890249">
        <w:rPr>
          <w:rFonts w:asciiTheme="minorHAnsi" w:hAnsiTheme="minorHAnsi" w:cstheme="minorHAnsi"/>
          <w:noProof/>
          <w:sz w:val="22"/>
          <w:szCs w:val="22"/>
        </w:rPr>
        <w:t>,</w:t>
      </w:r>
      <w:r w:rsidR="000760D9" w:rsidRPr="00890249">
        <w:rPr>
          <w:rFonts w:asciiTheme="minorHAnsi" w:hAnsiTheme="minorHAnsi" w:cstheme="minorHAnsi"/>
          <w:noProof/>
          <w:sz w:val="22"/>
          <w:szCs w:val="22"/>
        </w:rPr>
        <w:t xml:space="preserve"> interoperacyjną z platformą krajową lub regionalną oraz </w:t>
      </w:r>
      <w:r w:rsidRPr="00890249">
        <w:rPr>
          <w:rFonts w:asciiTheme="minorHAnsi" w:hAnsiTheme="minorHAnsi" w:cstheme="minorHAnsi"/>
          <w:noProof/>
          <w:sz w:val="22"/>
          <w:szCs w:val="22"/>
        </w:rPr>
        <w:t>tworzenie sieci współpracy jednostek medycznych na terenie woj. Inwestycje</w:t>
      </w:r>
      <w:r w:rsidR="00077445" w:rsidRPr="00890249">
        <w:rPr>
          <w:rFonts w:asciiTheme="minorHAnsi" w:hAnsiTheme="minorHAnsi" w:cstheme="minorHAnsi"/>
          <w:noProof/>
          <w:sz w:val="22"/>
          <w:szCs w:val="22"/>
        </w:rPr>
        <w:t xml:space="preserve"> w elektroniczne usługi zdrowotne</w:t>
      </w:r>
      <w:r w:rsidRPr="00890249">
        <w:rPr>
          <w:rFonts w:asciiTheme="minorHAnsi" w:hAnsiTheme="minorHAnsi" w:cstheme="minorHAnsi"/>
          <w:noProof/>
          <w:sz w:val="22"/>
          <w:szCs w:val="22"/>
        </w:rPr>
        <w:t xml:space="preserve"> będą</w:t>
      </w:r>
      <w:r w:rsidR="00077445" w:rsidRPr="00890249">
        <w:rPr>
          <w:rFonts w:asciiTheme="minorHAnsi" w:hAnsiTheme="minorHAnsi" w:cstheme="minorHAnsi"/>
          <w:noProof/>
          <w:sz w:val="22"/>
          <w:szCs w:val="22"/>
        </w:rPr>
        <w:t xml:space="preserve"> musiały być powiązane z nowymi lub zmodernizowanymi</w:t>
      </w:r>
      <w:r w:rsidR="00137957" w:rsidRPr="00890249">
        <w:rPr>
          <w:rFonts w:asciiTheme="minorHAnsi" w:hAnsiTheme="minorHAnsi" w:cstheme="minorHAnsi"/>
          <w:noProof/>
          <w:sz w:val="22"/>
          <w:szCs w:val="22"/>
        </w:rPr>
        <w:t xml:space="preserve"> e-usługami</w:t>
      </w:r>
      <w:r w:rsidR="005E7557" w:rsidRPr="00890249">
        <w:rPr>
          <w:rFonts w:asciiTheme="minorHAnsi" w:hAnsiTheme="minorHAnsi" w:cstheme="minorHAnsi"/>
          <w:noProof/>
          <w:sz w:val="22"/>
          <w:szCs w:val="22"/>
        </w:rPr>
        <w:t>.</w:t>
      </w:r>
      <w:r w:rsidR="2D621853" w:rsidRPr="00890249">
        <w:rPr>
          <w:rFonts w:asciiTheme="minorHAnsi" w:hAnsiTheme="minorHAnsi" w:cstheme="minorHAnsi"/>
          <w:noProof/>
          <w:sz w:val="22"/>
          <w:szCs w:val="22"/>
        </w:rPr>
        <w:t xml:space="preserve"> </w:t>
      </w:r>
      <w:r w:rsidR="005E7557" w:rsidRPr="00890249">
        <w:rPr>
          <w:rFonts w:asciiTheme="minorHAnsi" w:hAnsiTheme="minorHAnsi" w:cstheme="minorHAnsi"/>
          <w:noProof/>
          <w:sz w:val="22"/>
          <w:szCs w:val="22"/>
        </w:rPr>
        <w:t xml:space="preserve">Polegać będą na tworzeniu systemów informatycznych w placówkach opieki zdrowotnej w regionie, a także zapewniać ich interdyscyplinarność, tj. telemedycyna, </w:t>
      </w:r>
      <w:r w:rsidRPr="00890249">
        <w:rPr>
          <w:rFonts w:asciiTheme="minorHAnsi" w:hAnsiTheme="minorHAnsi" w:cstheme="minorHAnsi"/>
          <w:noProof/>
          <w:sz w:val="22"/>
          <w:szCs w:val="22"/>
        </w:rPr>
        <w:t>informatyzacja, e-rejestracja, elektroniczna dokumentacja medyczna, elektroniczna archiwizacja ze szczególnym naciskiem na bezpieczeństwo danych.</w:t>
      </w:r>
      <w:r w:rsidR="000C622E" w:rsidRPr="00890249">
        <w:rPr>
          <w:rFonts w:asciiTheme="minorHAnsi" w:hAnsiTheme="minorHAnsi" w:cstheme="minorHAnsi"/>
          <w:noProof/>
          <w:sz w:val="22"/>
          <w:szCs w:val="22"/>
        </w:rPr>
        <w:t xml:space="preserve"> </w:t>
      </w:r>
      <w:r w:rsidR="000C622E" w:rsidRPr="00890249">
        <w:rPr>
          <w:rFonts w:asciiTheme="minorHAnsi" w:hAnsiTheme="minorHAnsi" w:cstheme="minorHAnsi"/>
          <w:noProof/>
          <w:sz w:val="22"/>
          <w:szCs w:val="22"/>
        </w:rPr>
        <w:br/>
      </w:r>
      <w:r w:rsidRPr="00890249">
        <w:rPr>
          <w:rFonts w:asciiTheme="minorHAnsi" w:hAnsiTheme="minorHAnsi" w:cstheme="minorHAnsi"/>
          <w:noProof/>
          <w:sz w:val="22"/>
          <w:szCs w:val="22"/>
        </w:rPr>
        <w:t xml:space="preserve">E-działania w zakresie e-rejestracji i elektronicznej dokumentacji medycznej </w:t>
      </w:r>
      <w:r w:rsidRPr="00890249">
        <w:rPr>
          <w:rFonts w:asciiTheme="minorHAnsi" w:hAnsiTheme="minorHAnsi" w:cstheme="minorHAnsi"/>
          <w:sz w:val="22"/>
          <w:szCs w:val="22"/>
        </w:rPr>
        <w:t xml:space="preserve">będą miały na celu m.in. wdrożenie w regionie lub w podmiotach leczniczych rozwiązań centralnych. </w:t>
      </w:r>
    </w:p>
    <w:p w14:paraId="7576B51B" w14:textId="78032D8D" w:rsidR="0093433C" w:rsidRPr="00890249" w:rsidRDefault="18C5A4C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Warunkiem złożenia projektów z obszaru e-zdrowia jest posiadanie przez wnioskodawcę pozytywnej opinii ministra właściwego ds. zdrowia w zakresie zgodności projektu z dokumentami strategicznymi i programowymi w obszarze zdrowia cyfrowego oraz jego komplementarności i interoperacyjności  z rozwiązaniami w zakresie e-zdrowia obowiązującymi na dzień złożenia wniosku o wydanie opinii.</w:t>
      </w:r>
      <w:r w:rsidR="25CB5BCA" w:rsidRPr="00890249">
        <w:rPr>
          <w:rFonts w:asciiTheme="minorHAnsi" w:hAnsiTheme="minorHAnsi" w:cstheme="minorHAnsi"/>
          <w:noProof/>
          <w:sz w:val="22"/>
          <w:szCs w:val="22"/>
        </w:rPr>
        <w:t xml:space="preserve"> </w:t>
      </w:r>
      <w:r w:rsidR="0C5D4D43" w:rsidRPr="00890249">
        <w:rPr>
          <w:rFonts w:asciiTheme="minorHAnsi" w:hAnsiTheme="minorHAnsi" w:cstheme="minorHAnsi"/>
          <w:noProof/>
          <w:sz w:val="22"/>
          <w:szCs w:val="22"/>
        </w:rPr>
        <w:t>Projekty te b</w:t>
      </w:r>
      <w:r w:rsidR="00875C92" w:rsidRPr="00890249">
        <w:rPr>
          <w:rFonts w:asciiTheme="minorHAnsi" w:hAnsiTheme="minorHAnsi" w:cstheme="minorHAnsi"/>
          <w:noProof/>
          <w:sz w:val="22"/>
          <w:szCs w:val="22"/>
        </w:rPr>
        <w:t xml:space="preserve">ędą także podlegały uzgodnieniom na forum Komitetu Sterującego do spraw koordynacji </w:t>
      </w:r>
      <w:r w:rsidR="00F111C0" w:rsidRPr="00890249">
        <w:rPr>
          <w:rFonts w:asciiTheme="minorHAnsi" w:hAnsiTheme="minorHAnsi" w:cstheme="minorHAnsi"/>
          <w:noProof/>
          <w:sz w:val="22"/>
          <w:szCs w:val="22"/>
        </w:rPr>
        <w:t>inter</w:t>
      </w:r>
      <w:r w:rsidR="003D107E" w:rsidRPr="00890249">
        <w:rPr>
          <w:rFonts w:asciiTheme="minorHAnsi" w:hAnsiTheme="minorHAnsi" w:cstheme="minorHAnsi"/>
          <w:noProof/>
          <w:sz w:val="22"/>
          <w:szCs w:val="22"/>
        </w:rPr>
        <w:t>w</w:t>
      </w:r>
      <w:r w:rsidR="00F111C0" w:rsidRPr="00890249">
        <w:rPr>
          <w:rFonts w:asciiTheme="minorHAnsi" w:hAnsiTheme="minorHAnsi" w:cstheme="minorHAnsi"/>
          <w:noProof/>
          <w:sz w:val="22"/>
          <w:szCs w:val="22"/>
        </w:rPr>
        <w:t>encji</w:t>
      </w:r>
      <w:r w:rsidR="00875C92" w:rsidRPr="00890249">
        <w:rPr>
          <w:rFonts w:asciiTheme="minorHAnsi" w:hAnsiTheme="minorHAnsi" w:cstheme="minorHAnsi"/>
          <w:noProof/>
          <w:sz w:val="22"/>
          <w:szCs w:val="22"/>
        </w:rPr>
        <w:t xml:space="preserve"> w sektorze zdrowia zgodnie z przyjętym systemem koordynacji.</w:t>
      </w:r>
    </w:p>
    <w:p w14:paraId="5DF61F34" w14:textId="77777777" w:rsidR="0093433C" w:rsidRPr="00890249" w:rsidRDefault="0020031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Inwestycje w platformy e-usług (kosztowne systemy informatyczne) muszą być uzasadnione analizą kosztów i korzyści przeprowadzoną celem sprawdzenia czy podobne rozwiązania nie są opracowywane lub planowane na poziomie krajowym (np. ePUAP, gov.pl). </w:t>
      </w:r>
    </w:p>
    <w:p w14:paraId="76484924" w14:textId="77777777" w:rsidR="0093433C" w:rsidRPr="00890249" w:rsidRDefault="0020031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Model wdrożenia lub modernizacji e-usług w projekcie musi być zgodny z zasadami Architektury Informacyjnej Państwa</w:t>
      </w:r>
      <w:r w:rsidRPr="00890249">
        <w:rPr>
          <w:rStyle w:val="Odwoanieprzypisudolnego"/>
          <w:rFonts w:asciiTheme="minorHAnsi" w:hAnsiTheme="minorHAnsi" w:cstheme="minorHAnsi"/>
          <w:noProof/>
          <w:sz w:val="22"/>
          <w:szCs w:val="22"/>
        </w:rPr>
        <w:footnoteReference w:id="91"/>
      </w:r>
      <w:r w:rsidRPr="00890249">
        <w:rPr>
          <w:rFonts w:asciiTheme="minorHAnsi" w:hAnsiTheme="minorHAnsi" w:cstheme="minorHAnsi"/>
          <w:noProof/>
          <w:sz w:val="22"/>
          <w:szCs w:val="22"/>
        </w:rPr>
        <w:t>.</w:t>
      </w:r>
    </w:p>
    <w:p w14:paraId="5EBB45DE" w14:textId="77777777" w:rsidR="0093433C" w:rsidRPr="00890249" w:rsidRDefault="00BD280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Projekty z zakresu cyfryzacji powiatowego i wojewódzkiego zasobu geodezji będą realizowane po uzyskaniu pozytywnej opinii Głównego Geodety Kraju.</w:t>
      </w:r>
    </w:p>
    <w:p w14:paraId="0303F50D" w14:textId="757E29CD" w:rsidR="0093433C" w:rsidRPr="00890249" w:rsidRDefault="004249F6" w:rsidP="00890249">
      <w:pPr>
        <w:pStyle w:val="Tekstpodstawowy"/>
        <w:rPr>
          <w:rFonts w:asciiTheme="minorHAnsi" w:eastAsiaTheme="minorHAnsi" w:hAnsiTheme="minorHAnsi" w:cstheme="minorHAnsi"/>
          <w:sz w:val="22"/>
          <w:szCs w:val="22"/>
          <w:lang w:eastAsia="en-US" w:bidi="ar-SA"/>
        </w:rPr>
      </w:pPr>
      <w:r w:rsidRPr="00890249">
        <w:rPr>
          <w:rFonts w:asciiTheme="minorHAnsi" w:hAnsiTheme="minorHAnsi" w:cstheme="minorHAnsi"/>
          <w:noProof/>
          <w:sz w:val="22"/>
          <w:szCs w:val="22"/>
        </w:rPr>
        <w:t>Wsparciem zostanie objęta digitalizacja zasobów naukowych, kulturowych i administracji,  posiadanych przez instytucje szczebla regionalnego i lokalnego oraz zapewnienie powszechnego, otwartego dostępu do tych zasobów w postaci cyfrowej. Przed</w:t>
      </w:r>
      <w:r w:rsidRPr="00890249">
        <w:rPr>
          <w:rFonts w:asciiTheme="minorHAnsi" w:eastAsiaTheme="minorHAnsi" w:hAnsiTheme="minorHAnsi" w:cstheme="minorHAnsi"/>
          <w:noProof/>
          <w:sz w:val="22"/>
          <w:szCs w:val="22"/>
          <w:lang w:eastAsia="en-US" w:bidi="ar-SA"/>
        </w:rPr>
        <w:t>sięwzięcia powinny otwierać drogę do wspólnej europejskiej przestrzeni danych dziedzictwa kulturowego oraz do przepływu wysokiej jakości danych mi</w:t>
      </w:r>
      <w:r w:rsidRPr="00890249">
        <w:rPr>
          <w:rFonts w:asciiTheme="minorHAnsi" w:hAnsiTheme="minorHAnsi" w:cstheme="minorHAnsi"/>
          <w:noProof/>
          <w:sz w:val="22"/>
          <w:szCs w:val="22"/>
        </w:rPr>
        <w:t>ę</w:t>
      </w:r>
      <w:r w:rsidRPr="00890249">
        <w:rPr>
          <w:rFonts w:asciiTheme="minorHAnsi" w:eastAsiaTheme="minorHAnsi" w:hAnsiTheme="minorHAnsi" w:cstheme="minorHAnsi"/>
          <w:noProof/>
          <w:sz w:val="22"/>
          <w:szCs w:val="22"/>
          <w:lang w:eastAsia="en-US" w:bidi="ar-SA"/>
        </w:rPr>
        <w:t>dzy instytucjami dziedzictwa kult., MŚP oraz twórcami i przed. typu start-up</w:t>
      </w:r>
      <w:r w:rsidRPr="00890249">
        <w:rPr>
          <w:rFonts w:asciiTheme="minorHAnsi" w:hAnsiTheme="minorHAnsi" w:cstheme="minorHAnsi"/>
          <w:noProof/>
          <w:sz w:val="22"/>
          <w:szCs w:val="22"/>
        </w:rPr>
        <w:t>,</w:t>
      </w:r>
      <w:r w:rsidR="00A37420">
        <w:rPr>
          <w:rFonts w:asciiTheme="minorHAnsi" w:eastAsiaTheme="minorHAnsi" w:hAnsiTheme="minorHAnsi" w:cstheme="minorHAnsi"/>
          <w:noProof/>
          <w:sz w:val="22"/>
          <w:szCs w:val="22"/>
          <w:lang w:eastAsia="en-US" w:bidi="ar-SA"/>
        </w:rPr>
        <w:t xml:space="preserve"> a </w:t>
      </w:r>
      <w:r w:rsidRPr="00890249">
        <w:rPr>
          <w:rFonts w:asciiTheme="minorHAnsi" w:eastAsiaTheme="minorHAnsi" w:hAnsiTheme="minorHAnsi" w:cstheme="minorHAnsi"/>
          <w:noProof/>
          <w:sz w:val="22"/>
          <w:szCs w:val="22"/>
          <w:lang w:eastAsia="en-US" w:bidi="ar-SA"/>
        </w:rPr>
        <w:t xml:space="preserve">także dawać impuls do ponownego wykorzystania zdigitalizowanych zasobów dziedzictwa kult. </w:t>
      </w:r>
      <w:r w:rsidR="00A37420">
        <w:rPr>
          <w:rFonts w:asciiTheme="minorHAnsi" w:eastAsiaTheme="minorHAnsi" w:hAnsiTheme="minorHAnsi" w:cstheme="minorHAnsi"/>
          <w:noProof/>
          <w:sz w:val="22"/>
          <w:szCs w:val="22"/>
          <w:lang w:eastAsia="en-US" w:bidi="ar-SA"/>
        </w:rPr>
        <w:t>w </w:t>
      </w:r>
      <w:r w:rsidRPr="00890249">
        <w:rPr>
          <w:rFonts w:asciiTheme="minorHAnsi" w:eastAsiaTheme="minorHAnsi" w:hAnsiTheme="minorHAnsi" w:cstheme="minorHAnsi"/>
          <w:noProof/>
          <w:sz w:val="22"/>
          <w:szCs w:val="22"/>
          <w:lang w:eastAsia="en-US" w:bidi="ar-SA"/>
        </w:rPr>
        <w:t>innych dziedzinach (np. w edukacji, turystyce, sektorach kreatywnych i sektorach kultury) wywierając przy tym pozytywny wpływ na rozwój ekonomiczny, zgodnie z zaleceniami Komisji (UE) 2021/1970</w:t>
      </w:r>
      <w:r w:rsidRPr="00890249">
        <w:rPr>
          <w:rStyle w:val="Odwoanieprzypisudolnego"/>
          <w:rFonts w:asciiTheme="minorHAnsi" w:hAnsiTheme="minorHAnsi" w:cstheme="minorHAnsi"/>
          <w:bCs/>
          <w:sz w:val="22"/>
          <w:szCs w:val="22"/>
        </w:rPr>
        <w:footnoteReference w:id="92"/>
      </w:r>
      <w:r w:rsidRPr="00890249">
        <w:rPr>
          <w:rFonts w:asciiTheme="minorHAnsi" w:eastAsiaTheme="minorHAnsi" w:hAnsiTheme="minorHAnsi" w:cstheme="minorHAnsi"/>
          <w:sz w:val="22"/>
          <w:szCs w:val="22"/>
          <w:lang w:eastAsia="en-US" w:bidi="ar-SA"/>
        </w:rPr>
        <w:t xml:space="preserve">. </w:t>
      </w:r>
    </w:p>
    <w:p w14:paraId="4197B994" w14:textId="4EF0418A" w:rsidR="0093433C" w:rsidRPr="00890249" w:rsidRDefault="18C5A4C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Digitalizacja zasobów naukowych, kulturowych i administracji </w:t>
      </w:r>
      <w:r w:rsidR="00A37420">
        <w:rPr>
          <w:rFonts w:asciiTheme="minorHAnsi" w:hAnsiTheme="minorHAnsi" w:cstheme="minorHAnsi"/>
          <w:noProof/>
          <w:sz w:val="22"/>
          <w:szCs w:val="22"/>
        </w:rPr>
        <w:t>będzie przeprowadzana zgodnie z </w:t>
      </w:r>
      <w:r w:rsidRPr="00890249">
        <w:rPr>
          <w:rFonts w:asciiTheme="minorHAnsi" w:hAnsiTheme="minorHAnsi" w:cstheme="minorHAnsi"/>
          <w:noProof/>
          <w:sz w:val="22"/>
          <w:szCs w:val="22"/>
        </w:rPr>
        <w:t>Dyrektywą Parlamentu Europejskiego i Rady (UE) 2019/1024</w:t>
      </w:r>
      <w:r w:rsidR="004249F6" w:rsidRPr="00890249">
        <w:rPr>
          <w:rStyle w:val="Odwoanieprzypisudolnego"/>
          <w:rFonts w:asciiTheme="minorHAnsi" w:hAnsiTheme="minorHAnsi" w:cstheme="minorHAnsi"/>
          <w:noProof/>
          <w:sz w:val="22"/>
          <w:szCs w:val="22"/>
        </w:rPr>
        <w:footnoteReference w:id="93"/>
      </w:r>
      <w:r w:rsidRPr="00890249">
        <w:rPr>
          <w:rFonts w:asciiTheme="minorHAnsi" w:hAnsiTheme="minorHAnsi" w:cstheme="minorHAnsi"/>
          <w:noProof/>
          <w:sz w:val="22"/>
          <w:szCs w:val="22"/>
        </w:rPr>
        <w:t>.</w:t>
      </w:r>
      <w:r w:rsidR="004249F6" w:rsidRPr="00890249">
        <w:rPr>
          <w:rFonts w:asciiTheme="minorHAnsi" w:hAnsiTheme="minorHAnsi" w:cstheme="minorHAnsi"/>
          <w:noProof/>
          <w:sz w:val="22"/>
          <w:szCs w:val="22"/>
        </w:rPr>
        <w:t>Realizowane w cs (ii) przedsięwzięcia powinny być kompatybilne i komplementarne z planowanymi projektami w ramach programów krajowych FENG oraz FERC, a także interoperacyjne z istniejącymi/planowanymi projektami</w:t>
      </w:r>
      <w:r w:rsidR="00204763">
        <w:rPr>
          <w:rFonts w:asciiTheme="minorHAnsi" w:hAnsiTheme="minorHAnsi" w:cstheme="minorHAnsi"/>
          <w:noProof/>
          <w:sz w:val="22"/>
          <w:szCs w:val="22"/>
        </w:rPr>
        <w:t> </w:t>
      </w:r>
      <w:r w:rsidR="004249F6" w:rsidRPr="00890249">
        <w:rPr>
          <w:rFonts w:asciiTheme="minorHAnsi" w:hAnsiTheme="minorHAnsi" w:cstheme="minorHAnsi"/>
          <w:noProof/>
          <w:sz w:val="22"/>
          <w:szCs w:val="22"/>
        </w:rPr>
        <w:t xml:space="preserve"> </w:t>
      </w:r>
      <w:r w:rsidR="00204763">
        <w:rPr>
          <w:rFonts w:asciiTheme="minorHAnsi" w:hAnsiTheme="minorHAnsi" w:cstheme="minorHAnsi"/>
          <w:noProof/>
          <w:sz w:val="22"/>
          <w:szCs w:val="22"/>
        </w:rPr>
        <w:t>e-</w:t>
      </w:r>
      <w:r w:rsidR="004249F6" w:rsidRPr="00890249">
        <w:rPr>
          <w:rFonts w:asciiTheme="minorHAnsi" w:hAnsiTheme="minorHAnsi" w:cstheme="minorHAnsi"/>
          <w:noProof/>
          <w:sz w:val="22"/>
          <w:szCs w:val="22"/>
        </w:rPr>
        <w:t xml:space="preserve">administracji. Usługi elektroniczne będą musiały być dostosowane do Dyrektywy </w:t>
      </w:r>
      <w:r w:rsidR="004249F6" w:rsidRPr="00890249">
        <w:rPr>
          <w:rFonts w:asciiTheme="minorHAnsi" w:hAnsiTheme="minorHAnsi" w:cstheme="minorHAnsi"/>
          <w:sz w:val="22"/>
          <w:szCs w:val="22"/>
        </w:rPr>
        <w:t>Parlamentu Europejskiego i Rady (UE) 2016/2102</w:t>
      </w:r>
      <w:r w:rsidR="004249F6" w:rsidRPr="00890249">
        <w:rPr>
          <w:rStyle w:val="Odwoanieprzypisudolnego"/>
          <w:rFonts w:asciiTheme="minorHAnsi" w:hAnsiTheme="minorHAnsi" w:cstheme="minorHAnsi"/>
          <w:bCs/>
          <w:noProof/>
          <w:sz w:val="22"/>
          <w:szCs w:val="22"/>
        </w:rPr>
        <w:footnoteReference w:id="94"/>
      </w:r>
      <w:r w:rsidR="004249F6" w:rsidRPr="00890249">
        <w:rPr>
          <w:rFonts w:asciiTheme="minorHAnsi" w:hAnsiTheme="minorHAnsi" w:cstheme="minorHAnsi"/>
          <w:noProof/>
          <w:sz w:val="22"/>
          <w:szCs w:val="22"/>
        </w:rPr>
        <w:t xml:space="preserve">. </w:t>
      </w:r>
    </w:p>
    <w:p w14:paraId="31A03A62"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Preferowane będą projekty realizowane w partnerstwie.</w:t>
      </w:r>
    </w:p>
    <w:p w14:paraId="0F902CB2" w14:textId="77777777" w:rsidR="0093433C" w:rsidRPr="00890249" w:rsidRDefault="004249F6"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Planowane typy przedsięwzięć:</w:t>
      </w:r>
    </w:p>
    <w:p w14:paraId="4AAB6467" w14:textId="4F351C73" w:rsidR="00B72154" w:rsidRPr="00890249" w:rsidRDefault="00620DB9" w:rsidP="009F296A">
      <w:pPr>
        <w:pStyle w:val="Akapitzlist"/>
        <w:numPr>
          <w:ilvl w:val="0"/>
          <w:numId w:val="146"/>
        </w:numPr>
        <w:spacing w:line="276" w:lineRule="auto"/>
        <w:ind w:left="567"/>
        <w:rPr>
          <w:rFonts w:asciiTheme="minorHAnsi" w:eastAsia="Times New Roman" w:hAnsiTheme="minorHAnsi" w:cstheme="minorHAnsi"/>
          <w:noProof/>
          <w:sz w:val="22"/>
          <w:szCs w:val="22"/>
        </w:rPr>
      </w:pPr>
      <w:r>
        <w:rPr>
          <w:rFonts w:asciiTheme="minorHAnsi" w:eastAsia="Times New Roman" w:hAnsiTheme="minorHAnsi" w:cstheme="minorHAnsi"/>
          <w:noProof/>
          <w:sz w:val="22"/>
          <w:szCs w:val="22"/>
        </w:rPr>
        <w:t>W</w:t>
      </w:r>
      <w:r w:rsidR="00875C92" w:rsidRPr="00890249">
        <w:rPr>
          <w:rFonts w:asciiTheme="minorHAnsi" w:eastAsia="Times New Roman" w:hAnsiTheme="minorHAnsi" w:cstheme="minorHAnsi"/>
          <w:noProof/>
          <w:sz w:val="22"/>
          <w:szCs w:val="22"/>
        </w:rPr>
        <w:t>drażanie TIK w MŚP</w:t>
      </w:r>
      <w:r w:rsidR="00137957" w:rsidRPr="00890249">
        <w:rPr>
          <w:rFonts w:asciiTheme="minorHAnsi" w:eastAsia="Times New Roman" w:hAnsiTheme="minorHAnsi" w:cstheme="minorHAnsi"/>
          <w:noProof/>
          <w:sz w:val="22"/>
          <w:szCs w:val="22"/>
        </w:rPr>
        <w:t>,</w:t>
      </w:r>
    </w:p>
    <w:p w14:paraId="1E90592D" w14:textId="366C9DA0" w:rsidR="00B72154" w:rsidRPr="00890249" w:rsidRDefault="00620DB9" w:rsidP="009F296A">
      <w:pPr>
        <w:pStyle w:val="Akapitzlist"/>
        <w:numPr>
          <w:ilvl w:val="0"/>
          <w:numId w:val="146"/>
        </w:numPr>
        <w:spacing w:line="276" w:lineRule="auto"/>
        <w:ind w:left="567"/>
        <w:rPr>
          <w:rFonts w:asciiTheme="minorHAnsi" w:hAnsiTheme="minorHAnsi" w:cstheme="minorHAnsi"/>
          <w:noProof/>
          <w:sz w:val="22"/>
          <w:szCs w:val="22"/>
        </w:rPr>
      </w:pPr>
      <w:r>
        <w:rPr>
          <w:rFonts w:asciiTheme="minorHAnsi" w:hAnsiTheme="minorHAnsi" w:cstheme="minorHAnsi"/>
          <w:noProof/>
          <w:sz w:val="22"/>
          <w:szCs w:val="22"/>
        </w:rPr>
        <w:t>U</w:t>
      </w:r>
      <w:r w:rsidR="00875C92" w:rsidRPr="00890249">
        <w:rPr>
          <w:rFonts w:asciiTheme="minorHAnsi" w:hAnsiTheme="minorHAnsi" w:cstheme="minorHAnsi"/>
          <w:noProof/>
          <w:sz w:val="22"/>
          <w:szCs w:val="22"/>
        </w:rPr>
        <w:t>sługi w zakresie e-zdrowia</w:t>
      </w:r>
      <w:r w:rsidR="006E5161" w:rsidRPr="00890249">
        <w:rPr>
          <w:rFonts w:asciiTheme="minorHAnsi" w:hAnsiTheme="minorHAnsi" w:cstheme="minorHAnsi"/>
          <w:noProof/>
          <w:sz w:val="22"/>
          <w:szCs w:val="22"/>
        </w:rPr>
        <w:t xml:space="preserve">, w tym </w:t>
      </w:r>
      <w:r w:rsidR="000A24BA" w:rsidRPr="00890249">
        <w:rPr>
          <w:rFonts w:asciiTheme="minorHAnsi" w:hAnsiTheme="minorHAnsi" w:cstheme="minorHAnsi"/>
          <w:noProof/>
          <w:sz w:val="22"/>
          <w:szCs w:val="22"/>
        </w:rPr>
        <w:t>telemedycyna</w:t>
      </w:r>
      <w:r w:rsidR="00875C92" w:rsidRPr="00890249">
        <w:rPr>
          <w:rFonts w:asciiTheme="minorHAnsi" w:hAnsiTheme="minorHAnsi" w:cstheme="minorHAnsi"/>
          <w:noProof/>
          <w:sz w:val="22"/>
          <w:szCs w:val="22"/>
        </w:rPr>
        <w:t xml:space="preserve"> i e-administracji, w tym e-platformy,</w:t>
      </w:r>
    </w:p>
    <w:p w14:paraId="22B9C734" w14:textId="77777777" w:rsidR="00B72154" w:rsidRPr="00890249" w:rsidRDefault="004249F6" w:rsidP="009F296A">
      <w:pPr>
        <w:pStyle w:val="Akapitzlist"/>
        <w:numPr>
          <w:ilvl w:val="0"/>
          <w:numId w:val="146"/>
        </w:numPr>
        <w:spacing w:after="0" w:line="276" w:lineRule="auto"/>
        <w:ind w:left="567" w:hanging="357"/>
        <w:contextualSpacing w:val="0"/>
        <w:rPr>
          <w:rFonts w:asciiTheme="minorHAnsi" w:eastAsia="Times New Roman" w:hAnsiTheme="minorHAnsi" w:cstheme="minorHAnsi"/>
          <w:noProof/>
          <w:color w:val="000000" w:themeColor="text1"/>
          <w:sz w:val="22"/>
          <w:szCs w:val="22"/>
        </w:rPr>
      </w:pPr>
      <w:r w:rsidRPr="00890249">
        <w:rPr>
          <w:rFonts w:asciiTheme="minorHAnsi" w:eastAsia="Times New Roman" w:hAnsiTheme="minorHAnsi" w:cstheme="minorHAnsi"/>
          <w:noProof/>
          <w:color w:val="000000" w:themeColor="text1"/>
          <w:sz w:val="22"/>
          <w:szCs w:val="22"/>
        </w:rPr>
        <w:t xml:space="preserve">tworzenie i wprowadzanie </w:t>
      </w:r>
      <w:r w:rsidRPr="00890249">
        <w:rPr>
          <w:rFonts w:asciiTheme="minorHAnsi" w:hAnsiTheme="minorHAnsi" w:cstheme="minorHAnsi"/>
          <w:sz w:val="22"/>
          <w:szCs w:val="22"/>
        </w:rPr>
        <w:t>mobilnych aplikacji do realizacji i wspomagania cyfrowych usług publicznych,</w:t>
      </w:r>
    </w:p>
    <w:p w14:paraId="4C1BD4AE" w14:textId="78ED3140" w:rsidR="00B72154" w:rsidRPr="00890249" w:rsidRDefault="00620DB9" w:rsidP="009F296A">
      <w:pPr>
        <w:pStyle w:val="Akapitzlist"/>
        <w:numPr>
          <w:ilvl w:val="0"/>
          <w:numId w:val="146"/>
        </w:numPr>
        <w:spacing w:line="276" w:lineRule="auto"/>
        <w:ind w:left="567" w:hanging="357"/>
        <w:rPr>
          <w:rFonts w:asciiTheme="minorHAnsi" w:eastAsia="Times New Roman" w:hAnsiTheme="minorHAnsi" w:cstheme="minorHAnsi"/>
          <w:noProof/>
          <w:color w:val="000000" w:themeColor="text1"/>
          <w:sz w:val="22"/>
          <w:szCs w:val="22"/>
        </w:rPr>
      </w:pPr>
      <w:r>
        <w:rPr>
          <w:rFonts w:asciiTheme="minorHAnsi" w:eastAsia="Times New Roman" w:hAnsiTheme="minorHAnsi" w:cstheme="minorHAnsi"/>
          <w:noProof/>
          <w:sz w:val="22"/>
          <w:szCs w:val="22"/>
        </w:rPr>
        <w:t>C</w:t>
      </w:r>
      <w:r w:rsidR="00137957" w:rsidRPr="00890249">
        <w:rPr>
          <w:rFonts w:asciiTheme="minorHAnsi" w:eastAsia="Times New Roman" w:hAnsiTheme="minorHAnsi" w:cstheme="minorHAnsi"/>
          <w:noProof/>
          <w:sz w:val="22"/>
          <w:szCs w:val="22"/>
        </w:rPr>
        <w:t>yberbezpieczeństwo,</w:t>
      </w:r>
    </w:p>
    <w:p w14:paraId="62BAF94A" w14:textId="699E9979" w:rsidR="00B72154" w:rsidRPr="00890249" w:rsidRDefault="00620DB9" w:rsidP="009F296A">
      <w:pPr>
        <w:pStyle w:val="Akapitzlist"/>
        <w:numPr>
          <w:ilvl w:val="0"/>
          <w:numId w:val="146"/>
        </w:numPr>
        <w:spacing w:line="276" w:lineRule="auto"/>
        <w:ind w:left="567" w:hanging="357"/>
        <w:rPr>
          <w:rFonts w:asciiTheme="minorHAnsi" w:eastAsia="Times New Roman" w:hAnsiTheme="minorHAnsi" w:cstheme="minorHAnsi"/>
          <w:noProof/>
          <w:color w:val="000000" w:themeColor="text1"/>
          <w:sz w:val="22"/>
          <w:szCs w:val="22"/>
        </w:rPr>
      </w:pPr>
      <w:r>
        <w:rPr>
          <w:rFonts w:asciiTheme="minorHAnsi" w:eastAsia="Times New Roman" w:hAnsiTheme="minorHAnsi" w:cstheme="minorHAnsi"/>
          <w:noProof/>
          <w:sz w:val="22"/>
          <w:szCs w:val="22"/>
        </w:rPr>
        <w:t>R</w:t>
      </w:r>
      <w:r w:rsidR="00137957" w:rsidRPr="00890249">
        <w:rPr>
          <w:rFonts w:asciiTheme="minorHAnsi" w:eastAsia="Times New Roman" w:hAnsiTheme="minorHAnsi" w:cstheme="minorHAnsi"/>
          <w:noProof/>
          <w:sz w:val="22"/>
          <w:szCs w:val="22"/>
        </w:rPr>
        <w:t>ozwój infrastruktury danych przestrzennych,</w:t>
      </w:r>
    </w:p>
    <w:p w14:paraId="39FA832B" w14:textId="3EA4A02E" w:rsidR="00B72154" w:rsidRPr="00890249" w:rsidRDefault="00620DB9" w:rsidP="009F296A">
      <w:pPr>
        <w:pStyle w:val="Akapitzlist"/>
        <w:numPr>
          <w:ilvl w:val="0"/>
          <w:numId w:val="146"/>
        </w:numPr>
        <w:spacing w:line="276" w:lineRule="auto"/>
        <w:ind w:left="567" w:hanging="357"/>
        <w:rPr>
          <w:rFonts w:asciiTheme="minorHAnsi" w:eastAsia="Times New Roman" w:hAnsiTheme="minorHAnsi" w:cstheme="minorHAnsi"/>
          <w:noProof/>
          <w:color w:val="000000" w:themeColor="text1"/>
          <w:sz w:val="22"/>
          <w:szCs w:val="22"/>
        </w:rPr>
      </w:pPr>
      <w:r>
        <w:rPr>
          <w:rFonts w:asciiTheme="minorHAnsi" w:eastAsia="Times New Roman" w:hAnsiTheme="minorHAnsi" w:cstheme="minorHAnsi"/>
          <w:noProof/>
          <w:sz w:val="22"/>
          <w:szCs w:val="22"/>
        </w:rPr>
        <w:t>T</w:t>
      </w:r>
      <w:r w:rsidR="00137957" w:rsidRPr="00890249">
        <w:rPr>
          <w:rFonts w:asciiTheme="minorHAnsi" w:eastAsia="Times New Roman" w:hAnsiTheme="minorHAnsi" w:cstheme="minorHAnsi"/>
          <w:noProof/>
          <w:sz w:val="22"/>
          <w:szCs w:val="22"/>
        </w:rPr>
        <w:t>ransformacja cyfrowa administracji pub., w tym jednostek służby zdrowia,</w:t>
      </w:r>
    </w:p>
    <w:p w14:paraId="5A86E90D" w14:textId="799E707C" w:rsidR="00B72154" w:rsidRPr="00890249" w:rsidRDefault="00620DB9" w:rsidP="009F296A">
      <w:pPr>
        <w:pStyle w:val="Akapitzlist"/>
        <w:numPr>
          <w:ilvl w:val="0"/>
          <w:numId w:val="146"/>
        </w:numPr>
        <w:spacing w:line="276" w:lineRule="auto"/>
        <w:ind w:left="567" w:hanging="357"/>
        <w:rPr>
          <w:rFonts w:asciiTheme="minorHAnsi" w:eastAsia="Times New Roman" w:hAnsiTheme="minorHAnsi" w:cstheme="minorHAnsi"/>
          <w:noProof/>
          <w:color w:val="000000" w:themeColor="text1"/>
          <w:sz w:val="22"/>
          <w:szCs w:val="22"/>
        </w:rPr>
      </w:pPr>
      <w:r>
        <w:rPr>
          <w:rFonts w:asciiTheme="minorHAnsi" w:eastAsia="Times New Roman" w:hAnsiTheme="minorHAnsi" w:cstheme="minorHAnsi"/>
          <w:noProof/>
          <w:sz w:val="22"/>
          <w:szCs w:val="22"/>
        </w:rPr>
        <w:t>D</w:t>
      </w:r>
      <w:r w:rsidR="00137957" w:rsidRPr="00890249">
        <w:rPr>
          <w:rFonts w:asciiTheme="minorHAnsi" w:eastAsia="Times New Roman" w:hAnsiTheme="minorHAnsi" w:cstheme="minorHAnsi"/>
          <w:noProof/>
          <w:sz w:val="22"/>
          <w:szCs w:val="22"/>
        </w:rPr>
        <w:t>igitalizacja i udostępnianie zasobów naukowych, kulturowych i administracji,</w:t>
      </w:r>
    </w:p>
    <w:p w14:paraId="04A78F2A" w14:textId="2BCC19AF" w:rsidR="00B72154" w:rsidRPr="00890249" w:rsidRDefault="00620DB9" w:rsidP="009F296A">
      <w:pPr>
        <w:pStyle w:val="Akapitzlist"/>
        <w:numPr>
          <w:ilvl w:val="0"/>
          <w:numId w:val="146"/>
        </w:numPr>
        <w:spacing w:line="276" w:lineRule="auto"/>
        <w:ind w:left="567" w:hanging="357"/>
        <w:rPr>
          <w:rFonts w:asciiTheme="minorHAnsi" w:eastAsia="Times New Roman" w:hAnsiTheme="minorHAnsi" w:cstheme="minorHAnsi"/>
          <w:noProof/>
          <w:color w:val="000000" w:themeColor="text1"/>
          <w:sz w:val="22"/>
          <w:szCs w:val="22"/>
        </w:rPr>
      </w:pPr>
      <w:r>
        <w:rPr>
          <w:rFonts w:asciiTheme="minorHAnsi" w:hAnsiTheme="minorHAnsi" w:cstheme="minorHAnsi"/>
          <w:sz w:val="22"/>
          <w:szCs w:val="22"/>
        </w:rPr>
        <w:t>C</w:t>
      </w:r>
      <w:r w:rsidR="18C5A4CC" w:rsidRPr="00890249">
        <w:rPr>
          <w:rFonts w:asciiTheme="minorHAnsi" w:hAnsiTheme="minorHAnsi" w:cstheme="minorHAnsi"/>
          <w:sz w:val="22"/>
          <w:szCs w:val="22"/>
        </w:rPr>
        <w:t>yfryzacja procesów wewnątrz sektora administracji publicznej, w tym zakup sprzętu i oprogramowania</w:t>
      </w:r>
      <w:r w:rsidR="54739B87" w:rsidRPr="00890249">
        <w:rPr>
          <w:rFonts w:asciiTheme="minorHAnsi" w:hAnsiTheme="minorHAnsi" w:cstheme="minorHAnsi"/>
          <w:sz w:val="22"/>
          <w:szCs w:val="22"/>
        </w:rPr>
        <w:t xml:space="preserve"> (jako element projektu)</w:t>
      </w:r>
      <w:r w:rsidR="00137957" w:rsidRPr="00890249">
        <w:rPr>
          <w:rFonts w:asciiTheme="minorHAnsi" w:hAnsiTheme="minorHAnsi" w:cstheme="minorHAnsi"/>
          <w:sz w:val="22"/>
          <w:szCs w:val="22"/>
        </w:rPr>
        <w:t>.</w:t>
      </w:r>
    </w:p>
    <w:p w14:paraId="4D9F1F21" w14:textId="755068AD"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4249F6" w:rsidRPr="00890249">
        <w:rPr>
          <w:rFonts w:asciiTheme="minorHAnsi" w:eastAsia="Times New Roman" w:hAnsiTheme="minorHAnsi" w:cstheme="minorHAnsi"/>
          <w:noProof/>
          <w:color w:val="000000" w:themeColor="text1"/>
          <w:sz w:val="22"/>
          <w:szCs w:val="22"/>
        </w:rPr>
        <w:t>są zgodne z zasadą DNSH. Ze względu na ich charakter przyjmuje się, że ni</w:t>
      </w:r>
      <w:r w:rsidR="004249F6" w:rsidRPr="00890249">
        <w:rPr>
          <w:rFonts w:asciiTheme="minorHAnsi" w:hAnsiTheme="minorHAnsi" w:cstheme="minorHAnsi"/>
          <w:noProof/>
          <w:sz w:val="22"/>
          <w:szCs w:val="22"/>
        </w:rPr>
        <w:t>e mają negatywnego wpływu na środowisko.</w:t>
      </w:r>
    </w:p>
    <w:p w14:paraId="3755555A" w14:textId="77777777" w:rsidR="00476844" w:rsidRPr="00890249" w:rsidRDefault="00476844" w:rsidP="0047684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57E603B6"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Dla przedsięwzięć dotyczących wdrażania TIK projekty skierowane będą do MŚP.</w:t>
      </w:r>
    </w:p>
    <w:p w14:paraId="0158C236"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Dla przedsięwzięć dotyczących cyfryzacji zasobów i platform e-usług publicznych szczebla lokalnego, ponadlokalnego i regionalnego projekty skierowane będą do mieszkańców regionu oraz pracowników </w:t>
      </w:r>
      <w:r w:rsidRPr="00890249">
        <w:rPr>
          <w:rFonts w:asciiTheme="minorHAnsi" w:eastAsia="Times New Roman" w:hAnsiTheme="minorHAnsi" w:cstheme="minorHAnsi"/>
          <w:bCs/>
          <w:noProof/>
          <w:sz w:val="22"/>
          <w:szCs w:val="22"/>
        </w:rPr>
        <w:t>administracji publicznej</w:t>
      </w:r>
      <w:r w:rsidRPr="00890249">
        <w:rPr>
          <w:rFonts w:asciiTheme="minorHAnsi" w:hAnsiTheme="minorHAnsi" w:cstheme="minorHAnsi"/>
          <w:noProof/>
          <w:sz w:val="22"/>
          <w:szCs w:val="22"/>
        </w:rPr>
        <w:t xml:space="preserve">. </w:t>
      </w:r>
    </w:p>
    <w:p w14:paraId="59EA0F91"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odniesieniu do rozwoju systemu usług w zakresie e-zdrowia projekty skierowane będą do pacjentów i kadry medycznej.</w:t>
      </w:r>
    </w:p>
    <w:p w14:paraId="13084C31" w14:textId="77777777" w:rsidR="00476844" w:rsidRPr="00890249" w:rsidRDefault="00476844" w:rsidP="0047684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3AA7B5D8" w14:textId="77777777" w:rsidR="0093433C" w:rsidRPr="00890249" w:rsidRDefault="18C5A4C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Dyskryminacja zarówno bezpośrednia, jak i pośrednia ze względu na płeć, pochodzenie rasowe lub etniczne, religię lub światopogląd, niepełnosprawność, wiek, orientację oraz tożsamość seksualną pracowników przedsiębiorstw </w:t>
      </w:r>
      <w:r w:rsidRPr="00890249">
        <w:rPr>
          <w:rFonts w:asciiTheme="minorHAnsi" w:hAnsiTheme="minorHAnsi" w:cstheme="minorHAnsi"/>
          <w:sz w:val="22"/>
          <w:szCs w:val="22"/>
          <w:lang w:eastAsia="en-US"/>
        </w:rPr>
        <w:t xml:space="preserve">zamierzających zwiększyć swoją innowacyjność oraz uczestników przedsięwzięć dotyczących cyfryzacji zasobów i platform e-usług publicznych szczebla lokalnego </w:t>
      </w:r>
      <w:r w:rsidR="004249F6" w:rsidRPr="00890249">
        <w:rPr>
          <w:rFonts w:asciiTheme="minorHAnsi" w:hAnsiTheme="minorHAnsi" w:cstheme="minorHAnsi"/>
          <w:sz w:val="22"/>
          <w:szCs w:val="22"/>
        </w:rPr>
        <w:br/>
      </w:r>
      <w:r w:rsidRPr="00890249">
        <w:rPr>
          <w:rFonts w:asciiTheme="minorHAnsi" w:hAnsiTheme="minorHAnsi" w:cstheme="minorHAnsi"/>
          <w:sz w:val="22"/>
          <w:szCs w:val="22"/>
          <w:lang w:eastAsia="en-US"/>
        </w:rPr>
        <w:t xml:space="preserve">i regionalnego oraz rozwoju systemu usług w zakresie e-zdrowia </w:t>
      </w:r>
      <w:r w:rsidRPr="00890249">
        <w:rPr>
          <w:rFonts w:asciiTheme="minorHAnsi" w:hAnsiTheme="minorHAnsi" w:cstheme="minorHAnsi"/>
          <w:sz w:val="22"/>
          <w:szCs w:val="22"/>
          <w:lang w:eastAsia="en-US" w:bidi="ar-SA"/>
        </w:rPr>
        <w:t xml:space="preserve">może skutkować stresem mniejszościowym, poczuciem alienacji, izolacją społeczną, brakiem akceptacji wśród społeczności oraz brakiem wsparcia społecznego. </w:t>
      </w:r>
    </w:p>
    <w:p w14:paraId="1766BCEE" w14:textId="6117D40D"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Konieczność zapewnienia równego dostępu do produktów, rezultatów projektu poprzez wymóg uwzględnienia zasady uniwersalnego projektowania i stosowania w produktach projektu standardu dostępności cyfrowej WCAG 2.1. na poziomie AA. Beneficjenci </w:t>
      </w:r>
      <w:r w:rsidR="00436B36" w:rsidRPr="00890249">
        <w:rPr>
          <w:rFonts w:asciiTheme="minorHAnsi" w:hAnsiTheme="minorHAnsi" w:cstheme="minorHAnsi"/>
          <w:sz w:val="22"/>
          <w:szCs w:val="22"/>
        </w:rPr>
        <w:t xml:space="preserve">zobowiązani będą do </w:t>
      </w:r>
      <w:r w:rsidR="00A37420">
        <w:rPr>
          <w:rFonts w:asciiTheme="minorHAnsi" w:hAnsiTheme="minorHAnsi" w:cstheme="minorHAnsi"/>
          <w:sz w:val="22"/>
          <w:szCs w:val="22"/>
        </w:rPr>
        <w:t xml:space="preserve"> tworzenia i </w:t>
      </w:r>
      <w:r w:rsidRPr="00890249">
        <w:rPr>
          <w:rFonts w:asciiTheme="minorHAnsi" w:hAnsiTheme="minorHAnsi" w:cstheme="minorHAnsi"/>
          <w:sz w:val="22"/>
          <w:szCs w:val="22"/>
        </w:rPr>
        <w:t xml:space="preserve">świadczenia usług elektronicznych spełniających </w:t>
      </w:r>
      <w:r w:rsidR="00436B36" w:rsidRPr="00890249">
        <w:rPr>
          <w:rFonts w:asciiTheme="minorHAnsi" w:hAnsiTheme="minorHAnsi" w:cstheme="minorHAnsi"/>
          <w:sz w:val="22"/>
          <w:szCs w:val="22"/>
        </w:rPr>
        <w:t xml:space="preserve"> </w:t>
      </w:r>
      <w:r w:rsidRPr="00890249">
        <w:rPr>
          <w:rFonts w:asciiTheme="minorHAnsi" w:hAnsiTheme="minorHAnsi" w:cstheme="minorHAnsi"/>
          <w:sz w:val="22"/>
          <w:szCs w:val="22"/>
        </w:rPr>
        <w:t>standardy dostępności zgodnie z dyrektywami (UE) 2019/882  w sprawie wymogów dostępności produktów i usług i (UE) 2016/2102 w sprawie dostępności stron internetowych i mobilnych aplikacji organów sektora publicznego.</w:t>
      </w:r>
    </w:p>
    <w:p w14:paraId="272B60AC" w14:textId="541424D8"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Udostępnianie zasobów ze źródeł administracyjnych w ramach rozwoju e-administracji, digitalizacji zbiorów w postaci cyfrowej, czy rozwój e-zdrowia służyć będzie realizacji zasady włączenia społecznego i zapewni m.in. osobom z niepełnosprawnościami, mieszkańcom wsi, osobom o niskim poziomie wyksztalcenia, osobom starszym szeroki udział w życiu społecznym..</w:t>
      </w:r>
    </w:p>
    <w:p w14:paraId="53E078B3" w14:textId="77777777" w:rsidR="00476844" w:rsidRPr="00890249" w:rsidRDefault="00476844" w:rsidP="00476844">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69EDF3E5"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Wsparciem zostanie objęty cały obszar województwa opolskiego.</w:t>
      </w:r>
    </w:p>
    <w:p w14:paraId="343DAFBA" w14:textId="71B0D0C1" w:rsidR="00476844" w:rsidRPr="00890249" w:rsidRDefault="00476844" w:rsidP="00476844">
      <w:pPr>
        <w:rPr>
          <w:rFonts w:asciiTheme="minorHAnsi" w:hAnsiTheme="minorHAnsi" w:cstheme="minorHAnsi"/>
          <w:noProof/>
          <w:vanish/>
          <w:sz w:val="22"/>
          <w:szCs w:val="22"/>
        </w:rPr>
      </w:pPr>
      <w:r w:rsidRPr="00890249">
        <w:rPr>
          <w:rFonts w:asciiTheme="minorHAnsi" w:hAnsiTheme="minorHAnsi" w:cstheme="minorHAnsi"/>
          <w:noProof/>
          <w:vanish/>
          <w:sz w:val="22"/>
          <w:szCs w:val="22"/>
        </w:rPr>
        <w:br w:type="page"/>
      </w:r>
    </w:p>
    <w:p w14:paraId="2E2FC478" w14:textId="77777777" w:rsidR="00476844" w:rsidRPr="00890249" w:rsidRDefault="00476844" w:rsidP="0047684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3EB7ADC2"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Wspierane będą inicjatywy polegające na nawiązaniu współpracy międzyregionalnej </w:t>
      </w:r>
      <w:r w:rsidRPr="00890249">
        <w:rPr>
          <w:rFonts w:asciiTheme="minorHAnsi" w:hAnsiTheme="minorHAnsi" w:cstheme="minorHAnsi"/>
          <w:noProof/>
          <w:sz w:val="22"/>
          <w:szCs w:val="22"/>
        </w:rPr>
        <w:br/>
        <w:t xml:space="preserve">i międzynarodowej mogącej przysłużyć się wymianie doświadczeń i dobrych praktyk we wdrażaniu nowoczesnych technologii i systemów łączności. Współpraca międzynarodowa będzie realizowana przez woj. opolskie poprzez udział w konsorcjach projektowych programów międzynarodowych, np.: </w:t>
      </w:r>
    </w:p>
    <w:p w14:paraId="346D3DB5" w14:textId="77777777" w:rsidR="004249F6" w:rsidRPr="00890249" w:rsidRDefault="004249F6" w:rsidP="009F296A">
      <w:pPr>
        <w:pStyle w:val="Akapitzlist"/>
        <w:numPr>
          <w:ilvl w:val="0"/>
          <w:numId w:val="100"/>
        </w:numPr>
        <w:tabs>
          <w:tab w:val="left" w:pos="0"/>
        </w:tabs>
        <w:spacing w:before="0" w:after="0"/>
        <w:ind w:left="426"/>
        <w:rPr>
          <w:rFonts w:asciiTheme="minorHAnsi" w:hAnsiTheme="minorHAnsi" w:cstheme="minorHAnsi"/>
          <w:sz w:val="22"/>
          <w:szCs w:val="22"/>
          <w:lang w:val="en-GB"/>
        </w:rPr>
      </w:pPr>
      <w:r w:rsidRPr="00890249">
        <w:rPr>
          <w:rFonts w:asciiTheme="minorHAnsi" w:hAnsiTheme="minorHAnsi" w:cstheme="minorHAnsi"/>
          <w:sz w:val="22"/>
          <w:szCs w:val="22"/>
          <w:lang w:val="en-GB"/>
        </w:rPr>
        <w:t>SMEs &amp; European Original Geographical Indications, Interreg Europe,</w:t>
      </w:r>
    </w:p>
    <w:p w14:paraId="5DE50B5D" w14:textId="77777777" w:rsidR="004249F6" w:rsidRPr="00890249" w:rsidRDefault="004249F6" w:rsidP="009F296A">
      <w:pPr>
        <w:pStyle w:val="Akapitzlist"/>
        <w:numPr>
          <w:ilvl w:val="0"/>
          <w:numId w:val="100"/>
        </w:numPr>
        <w:tabs>
          <w:tab w:val="left" w:pos="0"/>
        </w:tabs>
        <w:spacing w:before="0" w:after="0"/>
        <w:ind w:left="426"/>
        <w:rPr>
          <w:rFonts w:asciiTheme="minorHAnsi" w:hAnsiTheme="minorHAnsi" w:cstheme="minorHAnsi"/>
          <w:noProof/>
          <w:sz w:val="22"/>
          <w:szCs w:val="22"/>
          <w:lang w:val="en-US"/>
        </w:rPr>
      </w:pPr>
      <w:r w:rsidRPr="00890249">
        <w:rPr>
          <w:rFonts w:asciiTheme="minorHAnsi" w:hAnsiTheme="minorHAnsi" w:cstheme="minorHAnsi"/>
          <w:sz w:val="22"/>
          <w:szCs w:val="22"/>
          <w:lang w:val="en-US"/>
        </w:rPr>
        <w:t xml:space="preserve">MABA on Re3 Start, </w:t>
      </w:r>
      <w:r w:rsidRPr="00890249">
        <w:rPr>
          <w:rFonts w:asciiTheme="minorHAnsi" w:hAnsiTheme="minorHAnsi" w:cstheme="minorHAnsi"/>
          <w:noProof/>
          <w:sz w:val="22"/>
          <w:szCs w:val="22"/>
          <w:lang w:val="en-US"/>
        </w:rPr>
        <w:t>Interreg Baltic See,</w:t>
      </w:r>
    </w:p>
    <w:p w14:paraId="36F1DAFC" w14:textId="77777777" w:rsidR="004249F6" w:rsidRPr="00890249" w:rsidRDefault="004249F6" w:rsidP="009F296A">
      <w:pPr>
        <w:pStyle w:val="Default"/>
        <w:numPr>
          <w:ilvl w:val="0"/>
          <w:numId w:val="100"/>
        </w:numPr>
        <w:ind w:left="426"/>
        <w:rPr>
          <w:rFonts w:asciiTheme="minorHAnsi" w:hAnsiTheme="minorHAnsi" w:cstheme="minorHAnsi"/>
          <w:sz w:val="22"/>
          <w:szCs w:val="22"/>
          <w:lang w:val="en-US"/>
        </w:rPr>
      </w:pPr>
      <w:r w:rsidRPr="00890249">
        <w:rPr>
          <w:rFonts w:asciiTheme="minorHAnsi" w:hAnsiTheme="minorHAnsi" w:cstheme="minorHAnsi"/>
          <w:sz w:val="22"/>
          <w:szCs w:val="22"/>
          <w:lang w:val="en-US"/>
        </w:rPr>
        <w:t xml:space="preserve">Circular Economy Solutions for Central Europe area, </w:t>
      </w:r>
      <w:r w:rsidRPr="00890249">
        <w:rPr>
          <w:rFonts w:asciiTheme="minorHAnsi" w:hAnsiTheme="minorHAnsi" w:cstheme="minorHAnsi"/>
          <w:noProof/>
          <w:sz w:val="22"/>
          <w:szCs w:val="22"/>
          <w:lang w:val="en-US"/>
        </w:rPr>
        <w:t>Interreg Central Europe,</w:t>
      </w:r>
    </w:p>
    <w:p w14:paraId="776AB41C" w14:textId="77777777" w:rsidR="004249F6" w:rsidRPr="00890249" w:rsidRDefault="004249F6" w:rsidP="009F296A">
      <w:pPr>
        <w:pStyle w:val="Default"/>
        <w:numPr>
          <w:ilvl w:val="0"/>
          <w:numId w:val="100"/>
        </w:numPr>
        <w:ind w:left="426"/>
        <w:rPr>
          <w:rFonts w:asciiTheme="minorHAnsi" w:hAnsiTheme="minorHAnsi" w:cstheme="minorHAnsi"/>
          <w:sz w:val="22"/>
          <w:szCs w:val="22"/>
        </w:rPr>
      </w:pPr>
      <w:r w:rsidRPr="00890249">
        <w:rPr>
          <w:rFonts w:asciiTheme="minorHAnsi" w:hAnsiTheme="minorHAnsi" w:cstheme="minorHAnsi"/>
          <w:noProof/>
          <w:sz w:val="22"/>
          <w:szCs w:val="22"/>
        </w:rPr>
        <w:t>CreativeMove2030, Interreg Central Europe.</w:t>
      </w:r>
    </w:p>
    <w:p w14:paraId="538C89B6" w14:textId="77777777" w:rsidR="004249F6" w:rsidRPr="00890249" w:rsidRDefault="004249F6" w:rsidP="00890249">
      <w:pPr>
        <w:pStyle w:val="Default"/>
        <w:spacing w:before="240"/>
        <w:jc w:val="both"/>
        <w:rPr>
          <w:rFonts w:asciiTheme="minorHAnsi" w:hAnsiTheme="minorHAnsi" w:cstheme="minorHAnsi"/>
          <w:noProof/>
          <w:sz w:val="22"/>
          <w:szCs w:val="22"/>
        </w:rPr>
      </w:pPr>
      <w:r w:rsidRPr="00890249">
        <w:rPr>
          <w:rFonts w:asciiTheme="minorHAnsi" w:hAnsiTheme="minorHAnsi" w:cstheme="minorHAnsi"/>
          <w:sz w:val="22"/>
          <w:szCs w:val="22"/>
        </w:rPr>
        <w:t>Podczas wyboru projektów premiowane będą inwestycje, które zakładają współpracę z partnerem posiadającym siedzibę poza granicami Polski.</w:t>
      </w:r>
    </w:p>
    <w:p w14:paraId="5657F2A1" w14:textId="77777777" w:rsidR="00476844" w:rsidRPr="00890249" w:rsidRDefault="00476844" w:rsidP="0047684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1B82B68A" w14:textId="77777777" w:rsidR="00BF1390" w:rsidRPr="00BF1390" w:rsidRDefault="00BF1390" w:rsidP="00BF1390">
      <w:pPr>
        <w:pStyle w:val="Tekstpodstawowy"/>
        <w:rPr>
          <w:rFonts w:asciiTheme="minorHAnsi" w:hAnsiTheme="minorHAnsi" w:cstheme="minorHAnsi"/>
          <w:sz w:val="22"/>
          <w:szCs w:val="22"/>
        </w:rPr>
      </w:pPr>
      <w:r w:rsidRPr="00BF1390">
        <w:rPr>
          <w:rFonts w:asciiTheme="minorHAnsi" w:hAnsiTheme="minorHAnsi" w:cstheme="minorHAnsi"/>
          <w:sz w:val="22"/>
          <w:szCs w:val="22"/>
        </w:rPr>
        <w:t>IF / IF połączone z dotacjami w ramach jednej operacji  w obszarze wdrażania TIK w MŚP poprzez:</w:t>
      </w:r>
    </w:p>
    <w:p w14:paraId="00A186E1" w14:textId="77777777" w:rsidR="00BF1390" w:rsidRPr="00BF1390" w:rsidRDefault="00BF1390" w:rsidP="00BF1390">
      <w:pPr>
        <w:pStyle w:val="Tekstpodstawowy"/>
        <w:rPr>
          <w:rFonts w:asciiTheme="minorHAnsi" w:hAnsiTheme="minorHAnsi" w:cstheme="minorHAnsi"/>
          <w:sz w:val="22"/>
          <w:szCs w:val="22"/>
        </w:rPr>
      </w:pPr>
      <w:r w:rsidRPr="00BF1390">
        <w:rPr>
          <w:rFonts w:asciiTheme="minorHAnsi" w:hAnsiTheme="minorHAnsi" w:cstheme="minorHAnsi"/>
          <w:sz w:val="22"/>
          <w:szCs w:val="22"/>
        </w:rPr>
        <w:t xml:space="preserve">- wdrożenie specjalistycznych rozwiązań cyfrowych, których następstwem będą: zmiana modeli biznesowych, zmiana w procesach produkcyjnych lub organizacyjnych firmy </w:t>
      </w:r>
    </w:p>
    <w:p w14:paraId="4C46BFA9" w14:textId="4FC028CC" w:rsidR="00BF1390" w:rsidRPr="00890249" w:rsidRDefault="00BF1390" w:rsidP="00BF1390">
      <w:pPr>
        <w:pStyle w:val="Tekstpodstawowy"/>
        <w:rPr>
          <w:rFonts w:asciiTheme="minorHAnsi" w:hAnsiTheme="minorHAnsi" w:cstheme="minorHAnsi"/>
          <w:sz w:val="22"/>
          <w:szCs w:val="22"/>
        </w:rPr>
      </w:pPr>
      <w:r w:rsidRPr="00BF1390">
        <w:rPr>
          <w:rFonts w:asciiTheme="minorHAnsi" w:hAnsiTheme="minorHAnsi" w:cstheme="minorHAnsi"/>
          <w:sz w:val="22"/>
          <w:szCs w:val="22"/>
        </w:rPr>
        <w:t>- realizację rozwiązań cyfrowych o mniej specjalistycznym charakterze (np. oprogramowanie biurowe, księgowe, systemy operacyjne).</w:t>
      </w:r>
    </w:p>
    <w:p w14:paraId="50B9EEB9" w14:textId="77777777" w:rsidR="0093433C" w:rsidRPr="00890249" w:rsidRDefault="004727C6"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Dotacje w obszarze:</w:t>
      </w:r>
    </w:p>
    <w:p w14:paraId="0C0F05B5" w14:textId="3ABF5FCF" w:rsidR="00476844" w:rsidRPr="00890249" w:rsidRDefault="004727C6" w:rsidP="009F296A">
      <w:pPr>
        <w:pStyle w:val="Akapitzlist"/>
        <w:numPr>
          <w:ilvl w:val="0"/>
          <w:numId w:val="166"/>
        </w:numPr>
        <w:rPr>
          <w:rFonts w:asciiTheme="minorHAnsi" w:hAnsiTheme="minorHAnsi" w:cstheme="minorHAnsi"/>
          <w:noProof/>
          <w:sz w:val="22"/>
          <w:szCs w:val="22"/>
        </w:rPr>
      </w:pPr>
      <w:r w:rsidRPr="00890249">
        <w:rPr>
          <w:rFonts w:asciiTheme="minorHAnsi" w:hAnsiTheme="minorHAnsi" w:cstheme="minorHAnsi"/>
          <w:noProof/>
          <w:sz w:val="22"/>
          <w:szCs w:val="22"/>
        </w:rPr>
        <w:t>cyfryzacji w JST</w:t>
      </w:r>
      <w:r w:rsidR="0013754F"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w:t>
      </w:r>
      <w:r w:rsidR="0013754F"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instytucjach publicznych </w:t>
      </w:r>
      <w:r w:rsidR="005B1C43"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zastosowanie instrumentów zwrotnych wymaga zagwarantowania środków na spłatę zobowiązań, co powoduje wzrost wydatków bez zapewnienia dodatkowego źródła dochodu,</w:t>
      </w:r>
    </w:p>
    <w:p w14:paraId="50D64719" w14:textId="04C7CDC6" w:rsidR="00476844" w:rsidRPr="00890249" w:rsidRDefault="004727C6" w:rsidP="009F296A">
      <w:pPr>
        <w:pStyle w:val="Akapitzlist"/>
        <w:numPr>
          <w:ilvl w:val="0"/>
          <w:numId w:val="166"/>
        </w:numPr>
        <w:rPr>
          <w:rFonts w:asciiTheme="minorHAnsi" w:hAnsiTheme="minorHAnsi" w:cstheme="minorHAnsi"/>
          <w:noProof/>
          <w:sz w:val="22"/>
          <w:szCs w:val="22"/>
        </w:rPr>
      </w:pPr>
      <w:r w:rsidRPr="00890249">
        <w:rPr>
          <w:rFonts w:asciiTheme="minorHAnsi" w:hAnsiTheme="minorHAnsi" w:cstheme="minorHAnsi"/>
          <w:noProof/>
          <w:sz w:val="22"/>
          <w:szCs w:val="22"/>
        </w:rPr>
        <w:t>e-zdrowia</w:t>
      </w:r>
      <w:r w:rsidR="005B1C43" w:rsidRPr="00890249">
        <w:rPr>
          <w:rFonts w:asciiTheme="minorHAnsi" w:hAnsiTheme="minorHAnsi" w:cstheme="minorHAnsi"/>
          <w:noProof/>
          <w:sz w:val="22"/>
          <w:szCs w:val="22"/>
        </w:rPr>
        <w:t xml:space="preserve"> – </w:t>
      </w:r>
      <w:r w:rsidRPr="00890249">
        <w:rPr>
          <w:rFonts w:asciiTheme="minorHAnsi" w:hAnsiTheme="minorHAnsi" w:cstheme="minorHAnsi"/>
          <w:noProof/>
          <w:sz w:val="22"/>
          <w:szCs w:val="22"/>
        </w:rPr>
        <w:t>biorąc pod uwagę skutki pandemii COVID-19 oraz ogromne potrzeby w tym obszarze, sektor publiczny nie jest w stanie zapewnić odpowiedniej opieki wszystkim potrzebującym mieszkańcom regionu, a inwestycje nie mają ch</w:t>
      </w:r>
      <w:r w:rsidR="005B1C43" w:rsidRPr="00890249">
        <w:rPr>
          <w:rFonts w:asciiTheme="minorHAnsi" w:hAnsiTheme="minorHAnsi" w:cstheme="minorHAnsi"/>
          <w:noProof/>
          <w:sz w:val="22"/>
          <w:szCs w:val="22"/>
        </w:rPr>
        <w:t>a</w:t>
      </w:r>
      <w:r w:rsidRPr="00890249">
        <w:rPr>
          <w:rFonts w:asciiTheme="minorHAnsi" w:hAnsiTheme="minorHAnsi" w:cstheme="minorHAnsi"/>
          <w:noProof/>
          <w:sz w:val="22"/>
          <w:szCs w:val="22"/>
        </w:rPr>
        <w:t>rakteru komercyjnego.</w:t>
      </w:r>
    </w:p>
    <w:p w14:paraId="04F69A54" w14:textId="77777777" w:rsidR="00476844" w:rsidRPr="00890249" w:rsidRDefault="00476844" w:rsidP="00476844">
      <w:pPr>
        <w:rPr>
          <w:rFonts w:asciiTheme="minorHAnsi" w:hAnsiTheme="minorHAnsi" w:cstheme="minorHAnsi"/>
          <w:b/>
          <w:noProof/>
          <w:sz w:val="22"/>
          <w:szCs w:val="22"/>
        </w:rPr>
      </w:pPr>
      <w:r w:rsidRPr="00890249">
        <w:rPr>
          <w:rFonts w:asciiTheme="minorHAnsi" w:hAnsiTheme="minorHAnsi" w:cstheme="minorHAnsi"/>
          <w:b/>
          <w:noProof/>
          <w:sz w:val="22"/>
          <w:szCs w:val="22"/>
        </w:rPr>
        <w:t>2.1.1.2.2 (ii)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73"/>
        <w:gridCol w:w="690"/>
        <w:gridCol w:w="970"/>
        <w:gridCol w:w="830"/>
        <w:gridCol w:w="2071"/>
        <w:gridCol w:w="968"/>
        <w:gridCol w:w="968"/>
        <w:gridCol w:w="1076"/>
      </w:tblGrid>
      <w:tr w:rsidR="004249F6" w:rsidRPr="00890249" w14:paraId="64D68AF3" w14:textId="77777777" w:rsidTr="004B59D6">
        <w:trPr>
          <w:trHeight w:val="425"/>
        </w:trPr>
        <w:tc>
          <w:tcPr>
            <w:tcW w:w="5000" w:type="pct"/>
            <w:gridSpan w:val="9"/>
            <w:shd w:val="clear" w:color="auto" w:fill="D9D9D9" w:themeFill="background1" w:themeFillShade="D9"/>
          </w:tcPr>
          <w:p w14:paraId="0A6F2476" w14:textId="77777777" w:rsidR="004249F6" w:rsidRPr="00890249" w:rsidRDefault="004249F6" w:rsidP="004B59D6">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5B1C43" w:rsidRPr="00890249" w14:paraId="5FD1877E" w14:textId="77777777" w:rsidTr="00890249">
        <w:trPr>
          <w:cantSplit/>
          <w:trHeight w:val="1647"/>
        </w:trPr>
        <w:tc>
          <w:tcPr>
            <w:tcW w:w="284" w:type="pct"/>
            <w:shd w:val="clear" w:color="auto" w:fill="F2F2F2" w:themeFill="background1" w:themeFillShade="F2"/>
            <w:textDirection w:val="btLr"/>
            <w:vAlign w:val="center"/>
          </w:tcPr>
          <w:p w14:paraId="159D6795"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537" w:type="pct"/>
            <w:shd w:val="clear" w:color="auto" w:fill="F2F2F2" w:themeFill="background1" w:themeFillShade="F2"/>
            <w:textDirection w:val="btLr"/>
            <w:vAlign w:val="center"/>
          </w:tcPr>
          <w:p w14:paraId="529B6C16"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1" w:type="pct"/>
            <w:shd w:val="clear" w:color="auto" w:fill="F2F2F2" w:themeFill="background1" w:themeFillShade="F2"/>
            <w:textDirection w:val="btLr"/>
            <w:vAlign w:val="center"/>
          </w:tcPr>
          <w:p w14:paraId="2F8E613C"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35" w:type="pct"/>
            <w:shd w:val="clear" w:color="auto" w:fill="F2F2F2" w:themeFill="background1" w:themeFillShade="F2"/>
            <w:textDirection w:val="btLr"/>
            <w:vAlign w:val="center"/>
          </w:tcPr>
          <w:p w14:paraId="0434FB17"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58" w:type="pct"/>
            <w:shd w:val="clear" w:color="auto" w:fill="F2F2F2" w:themeFill="background1" w:themeFillShade="F2"/>
            <w:textDirection w:val="btLr"/>
            <w:vAlign w:val="center"/>
          </w:tcPr>
          <w:p w14:paraId="7F914EFC"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143" w:type="pct"/>
            <w:shd w:val="clear" w:color="auto" w:fill="F2F2F2" w:themeFill="background1" w:themeFillShade="F2"/>
            <w:textDirection w:val="btLr"/>
            <w:vAlign w:val="center"/>
          </w:tcPr>
          <w:p w14:paraId="04900B24"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534" w:type="pct"/>
            <w:shd w:val="clear" w:color="auto" w:fill="F2F2F2" w:themeFill="background1" w:themeFillShade="F2"/>
            <w:textDirection w:val="btLr"/>
            <w:vAlign w:val="center"/>
          </w:tcPr>
          <w:p w14:paraId="250825A4"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34" w:type="pct"/>
            <w:shd w:val="clear" w:color="auto" w:fill="F2F2F2" w:themeFill="background1" w:themeFillShade="F2"/>
            <w:textDirection w:val="btLr"/>
            <w:vAlign w:val="center"/>
          </w:tcPr>
          <w:p w14:paraId="4498DBF2"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3" w:type="pct"/>
            <w:shd w:val="clear" w:color="auto" w:fill="F2F2F2" w:themeFill="background1" w:themeFillShade="F2"/>
            <w:textDirection w:val="btLr"/>
            <w:vAlign w:val="center"/>
          </w:tcPr>
          <w:p w14:paraId="373AA4D0"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4249F6" w:rsidRPr="00890249" w14:paraId="3B6FE29E" w14:textId="77777777" w:rsidTr="00890249">
        <w:trPr>
          <w:trHeight w:val="340"/>
        </w:trPr>
        <w:tc>
          <w:tcPr>
            <w:tcW w:w="284" w:type="pct"/>
            <w:vAlign w:val="center"/>
          </w:tcPr>
          <w:p w14:paraId="0447D501"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7" w:type="pct"/>
            <w:vAlign w:val="center"/>
          </w:tcPr>
          <w:p w14:paraId="52C32DE0"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1.ii</w:t>
            </w:r>
          </w:p>
        </w:tc>
        <w:tc>
          <w:tcPr>
            <w:tcW w:w="381" w:type="pct"/>
            <w:vAlign w:val="center"/>
          </w:tcPr>
          <w:p w14:paraId="24C3D227"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EFRR</w:t>
            </w:r>
          </w:p>
        </w:tc>
        <w:tc>
          <w:tcPr>
            <w:tcW w:w="535" w:type="pct"/>
            <w:vAlign w:val="center"/>
          </w:tcPr>
          <w:p w14:paraId="0761EB9A"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58" w:type="pct"/>
            <w:vAlign w:val="center"/>
          </w:tcPr>
          <w:p w14:paraId="529826B8"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sz w:val="18"/>
                <w:szCs w:val="16"/>
                <w:lang w:eastAsia="en-US" w:bidi="ar-SA"/>
              </w:rPr>
              <w:t>RCO001</w:t>
            </w:r>
          </w:p>
        </w:tc>
        <w:tc>
          <w:tcPr>
            <w:tcW w:w="1143" w:type="pct"/>
            <w:shd w:val="clear" w:color="auto" w:fill="auto"/>
            <w:vAlign w:val="center"/>
          </w:tcPr>
          <w:p w14:paraId="32124E64" w14:textId="77777777" w:rsidR="004249F6" w:rsidRPr="00890249" w:rsidRDefault="004249F6" w:rsidP="004B59D6">
            <w:pPr>
              <w:jc w:val="left"/>
              <w:rPr>
                <w:rFonts w:asciiTheme="minorHAnsi" w:hAnsiTheme="minorHAnsi" w:cstheme="minorHAnsi"/>
                <w:i/>
                <w:noProof/>
                <w:sz w:val="18"/>
                <w:szCs w:val="16"/>
              </w:rPr>
            </w:pPr>
            <w:r w:rsidRPr="00890249">
              <w:rPr>
                <w:rFonts w:asciiTheme="minorHAnsi" w:hAnsiTheme="minorHAnsi" w:cstheme="minorHAnsi"/>
                <w:i/>
                <w:sz w:val="18"/>
                <w:szCs w:val="16"/>
              </w:rPr>
              <w:t>Przedsiębiorstwa objęte wsparciem (w tym: mikro, małe, średnie, duże)</w:t>
            </w:r>
          </w:p>
        </w:tc>
        <w:tc>
          <w:tcPr>
            <w:tcW w:w="534" w:type="pct"/>
            <w:vAlign w:val="center"/>
          </w:tcPr>
          <w:p w14:paraId="03561B3D"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przeds.</w:t>
            </w:r>
          </w:p>
        </w:tc>
        <w:tc>
          <w:tcPr>
            <w:tcW w:w="534" w:type="pct"/>
            <w:shd w:val="clear" w:color="auto" w:fill="auto"/>
            <w:vAlign w:val="center"/>
          </w:tcPr>
          <w:p w14:paraId="195F9C86"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12</w:t>
            </w:r>
          </w:p>
        </w:tc>
        <w:tc>
          <w:tcPr>
            <w:tcW w:w="593" w:type="pct"/>
            <w:shd w:val="clear" w:color="auto" w:fill="auto"/>
            <w:vAlign w:val="center"/>
          </w:tcPr>
          <w:p w14:paraId="04047E5A"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60</w:t>
            </w:r>
          </w:p>
        </w:tc>
      </w:tr>
      <w:tr w:rsidR="00D225DE" w:rsidRPr="00890249" w14:paraId="31A21FA7" w14:textId="77777777" w:rsidTr="00890249">
        <w:trPr>
          <w:trHeight w:val="340"/>
        </w:trPr>
        <w:tc>
          <w:tcPr>
            <w:tcW w:w="284" w:type="pct"/>
            <w:vAlign w:val="center"/>
          </w:tcPr>
          <w:p w14:paraId="4E558969"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7" w:type="pct"/>
            <w:vAlign w:val="center"/>
          </w:tcPr>
          <w:p w14:paraId="42855BF5" w14:textId="77777777" w:rsidR="00D225DE" w:rsidRPr="00890249" w:rsidRDefault="00D225DE" w:rsidP="00D225D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1.ii</w:t>
            </w:r>
          </w:p>
        </w:tc>
        <w:tc>
          <w:tcPr>
            <w:tcW w:w="381" w:type="pct"/>
            <w:vAlign w:val="center"/>
          </w:tcPr>
          <w:p w14:paraId="1125A58A" w14:textId="77777777" w:rsidR="00D225DE" w:rsidRPr="00890249" w:rsidRDefault="00D225DE" w:rsidP="00D225D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EFRR</w:t>
            </w:r>
          </w:p>
        </w:tc>
        <w:tc>
          <w:tcPr>
            <w:tcW w:w="535" w:type="pct"/>
            <w:vAlign w:val="center"/>
          </w:tcPr>
          <w:p w14:paraId="6C4C694F"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58" w:type="pct"/>
            <w:vAlign w:val="center"/>
          </w:tcPr>
          <w:p w14:paraId="4A70F528" w14:textId="77777777" w:rsidR="00D225DE" w:rsidRPr="00890249" w:rsidRDefault="00D225DE" w:rsidP="00D225DE">
            <w:pPr>
              <w:jc w:val="center"/>
              <w:rPr>
                <w:rFonts w:asciiTheme="minorHAnsi" w:hAnsiTheme="minorHAnsi" w:cstheme="minorHAnsi"/>
                <w:i/>
                <w:sz w:val="18"/>
                <w:szCs w:val="16"/>
                <w:lang w:eastAsia="en-US" w:bidi="ar-SA"/>
              </w:rPr>
            </w:pPr>
            <w:r w:rsidRPr="00890249">
              <w:rPr>
                <w:rFonts w:asciiTheme="minorHAnsi" w:hAnsiTheme="minorHAnsi" w:cstheme="minorHAnsi"/>
                <w:i/>
                <w:noProof/>
                <w:sz w:val="18"/>
                <w:szCs w:val="18"/>
              </w:rPr>
              <w:t>RCO003</w:t>
            </w:r>
          </w:p>
        </w:tc>
        <w:tc>
          <w:tcPr>
            <w:tcW w:w="1143" w:type="pct"/>
            <w:shd w:val="clear" w:color="auto" w:fill="auto"/>
            <w:vAlign w:val="center"/>
          </w:tcPr>
          <w:p w14:paraId="6A79EA4D" w14:textId="77777777" w:rsidR="00D225DE" w:rsidRPr="00890249" w:rsidRDefault="00D225DE">
            <w:pPr>
              <w:jc w:val="left"/>
              <w:rPr>
                <w:rFonts w:asciiTheme="minorHAnsi" w:hAnsiTheme="minorHAnsi" w:cstheme="minorHAnsi"/>
                <w:i/>
                <w:sz w:val="18"/>
                <w:szCs w:val="16"/>
              </w:rPr>
            </w:pPr>
            <w:r w:rsidRPr="00890249">
              <w:rPr>
                <w:rFonts w:asciiTheme="minorHAnsi" w:eastAsiaTheme="minorHAnsi" w:hAnsiTheme="minorHAnsi" w:cstheme="minorHAnsi"/>
                <w:i/>
                <w:noProof/>
                <w:sz w:val="18"/>
                <w:szCs w:val="18"/>
                <w:lang w:eastAsia="en-US" w:bidi="ar-SA"/>
              </w:rPr>
              <w:t>Przedsiębiorstwa objęte wsparciem z instrumentów finansowych</w:t>
            </w:r>
          </w:p>
        </w:tc>
        <w:tc>
          <w:tcPr>
            <w:tcW w:w="534" w:type="pct"/>
            <w:vAlign w:val="center"/>
          </w:tcPr>
          <w:p w14:paraId="621E85F4" w14:textId="77777777" w:rsidR="00D225DE" w:rsidRPr="00890249" w:rsidRDefault="00D225DE" w:rsidP="00D225D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przeds.</w:t>
            </w:r>
          </w:p>
        </w:tc>
        <w:tc>
          <w:tcPr>
            <w:tcW w:w="534" w:type="pct"/>
            <w:shd w:val="clear" w:color="auto" w:fill="auto"/>
            <w:vAlign w:val="center"/>
          </w:tcPr>
          <w:p w14:paraId="4805D6C1" w14:textId="77777777" w:rsidR="00D225DE" w:rsidRPr="00890249" w:rsidRDefault="00875C92" w:rsidP="00D225DE">
            <w:pPr>
              <w:jc w:val="center"/>
              <w:rPr>
                <w:rFonts w:asciiTheme="minorHAnsi" w:hAnsiTheme="minorHAnsi" w:cstheme="minorHAnsi"/>
                <w:noProof/>
                <w:sz w:val="18"/>
                <w:szCs w:val="16"/>
              </w:rPr>
            </w:pPr>
            <w:r w:rsidRPr="00890249">
              <w:rPr>
                <w:rFonts w:asciiTheme="minorHAnsi" w:hAnsiTheme="minorHAnsi" w:cstheme="minorHAnsi"/>
                <w:noProof/>
                <w:sz w:val="18"/>
                <w:szCs w:val="16"/>
              </w:rPr>
              <w:t>12</w:t>
            </w:r>
          </w:p>
        </w:tc>
        <w:tc>
          <w:tcPr>
            <w:tcW w:w="593" w:type="pct"/>
            <w:shd w:val="clear" w:color="auto" w:fill="auto"/>
            <w:vAlign w:val="center"/>
          </w:tcPr>
          <w:p w14:paraId="230C8048" w14:textId="77777777" w:rsidR="00D225DE" w:rsidRPr="00890249" w:rsidRDefault="00875C92" w:rsidP="00D225DE">
            <w:pPr>
              <w:jc w:val="center"/>
              <w:rPr>
                <w:rFonts w:asciiTheme="minorHAnsi" w:hAnsiTheme="minorHAnsi" w:cstheme="minorHAnsi"/>
                <w:noProof/>
                <w:sz w:val="18"/>
                <w:szCs w:val="16"/>
              </w:rPr>
            </w:pPr>
            <w:r w:rsidRPr="00890249">
              <w:rPr>
                <w:rFonts w:asciiTheme="minorHAnsi" w:hAnsiTheme="minorHAnsi" w:cstheme="minorHAnsi"/>
                <w:noProof/>
                <w:sz w:val="18"/>
                <w:szCs w:val="16"/>
              </w:rPr>
              <w:t>60</w:t>
            </w:r>
          </w:p>
        </w:tc>
      </w:tr>
      <w:tr w:rsidR="00D225DE" w:rsidRPr="00890249" w14:paraId="6714F111" w14:textId="77777777" w:rsidTr="00890249">
        <w:trPr>
          <w:trHeight w:val="332"/>
        </w:trPr>
        <w:tc>
          <w:tcPr>
            <w:tcW w:w="284" w:type="pct"/>
            <w:vAlign w:val="center"/>
          </w:tcPr>
          <w:p w14:paraId="33A506CF"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7" w:type="pct"/>
            <w:vAlign w:val="center"/>
          </w:tcPr>
          <w:p w14:paraId="5D03156E"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1.ii</w:t>
            </w:r>
          </w:p>
        </w:tc>
        <w:tc>
          <w:tcPr>
            <w:tcW w:w="381" w:type="pct"/>
            <w:vAlign w:val="center"/>
          </w:tcPr>
          <w:p w14:paraId="5A59FBD2"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EFRR</w:t>
            </w:r>
          </w:p>
        </w:tc>
        <w:tc>
          <w:tcPr>
            <w:tcW w:w="535" w:type="pct"/>
            <w:vAlign w:val="center"/>
          </w:tcPr>
          <w:p w14:paraId="491E7F7B"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58" w:type="pct"/>
            <w:vAlign w:val="center"/>
          </w:tcPr>
          <w:p w14:paraId="320D6382" w14:textId="77777777" w:rsidR="00D225DE" w:rsidRPr="00890249" w:rsidRDefault="00D225DE" w:rsidP="00D225DE">
            <w:pPr>
              <w:jc w:val="center"/>
              <w:rPr>
                <w:rFonts w:asciiTheme="minorHAnsi" w:hAnsiTheme="minorHAnsi" w:cstheme="minorHAnsi"/>
                <w:i/>
                <w:sz w:val="18"/>
                <w:szCs w:val="16"/>
              </w:rPr>
            </w:pPr>
            <w:r w:rsidRPr="00890249">
              <w:rPr>
                <w:rFonts w:asciiTheme="minorHAnsi" w:hAnsiTheme="minorHAnsi" w:cstheme="minorHAnsi"/>
                <w:i/>
                <w:sz w:val="18"/>
                <w:szCs w:val="16"/>
                <w:lang w:eastAsia="en-US" w:bidi="ar-SA"/>
              </w:rPr>
              <w:t>RCO014</w:t>
            </w:r>
          </w:p>
        </w:tc>
        <w:tc>
          <w:tcPr>
            <w:tcW w:w="1143" w:type="pct"/>
            <w:shd w:val="clear" w:color="auto" w:fill="auto"/>
            <w:vAlign w:val="center"/>
          </w:tcPr>
          <w:p w14:paraId="46AF3330" w14:textId="77777777" w:rsidR="00D225DE" w:rsidRPr="00890249" w:rsidRDefault="00D225DE" w:rsidP="00D225DE">
            <w:pPr>
              <w:jc w:val="left"/>
              <w:rPr>
                <w:rFonts w:asciiTheme="minorHAnsi" w:hAnsiTheme="minorHAnsi" w:cstheme="minorHAnsi"/>
                <w:i/>
                <w:sz w:val="18"/>
                <w:szCs w:val="16"/>
              </w:rPr>
            </w:pPr>
            <w:r w:rsidRPr="00890249">
              <w:rPr>
                <w:rFonts w:asciiTheme="minorHAnsi" w:hAnsiTheme="minorHAnsi" w:cstheme="minorHAnsi"/>
                <w:i/>
                <w:sz w:val="18"/>
                <w:szCs w:val="16"/>
                <w:lang w:eastAsia="en-US" w:bidi="ar-SA"/>
              </w:rPr>
              <w:t>Instytucje publiczne otrzymujące wsparcie na opracowywanie usług, produktów i procesów cyfrowych</w:t>
            </w:r>
          </w:p>
        </w:tc>
        <w:tc>
          <w:tcPr>
            <w:tcW w:w="534" w:type="pct"/>
            <w:vAlign w:val="center"/>
          </w:tcPr>
          <w:p w14:paraId="4A4BA4C9" w14:textId="77777777" w:rsidR="00D225DE" w:rsidRPr="00890249" w:rsidRDefault="00D225DE" w:rsidP="00D225DE">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szt.</w:t>
            </w:r>
          </w:p>
        </w:tc>
        <w:tc>
          <w:tcPr>
            <w:tcW w:w="534" w:type="pct"/>
            <w:shd w:val="clear" w:color="auto" w:fill="auto"/>
            <w:vAlign w:val="center"/>
          </w:tcPr>
          <w:p w14:paraId="52FD7F85" w14:textId="77777777" w:rsidR="00D225DE" w:rsidRPr="00890249" w:rsidRDefault="00D225DE" w:rsidP="00D225DE">
            <w:pPr>
              <w:jc w:val="center"/>
              <w:rPr>
                <w:rFonts w:asciiTheme="minorHAnsi" w:hAnsiTheme="minorHAnsi" w:cstheme="minorHAnsi"/>
                <w:noProof/>
                <w:sz w:val="18"/>
                <w:szCs w:val="16"/>
              </w:rPr>
            </w:pPr>
            <w:r w:rsidRPr="00890249">
              <w:rPr>
                <w:rFonts w:asciiTheme="minorHAnsi" w:hAnsiTheme="minorHAnsi" w:cstheme="minorHAnsi"/>
                <w:noProof/>
                <w:sz w:val="18"/>
                <w:szCs w:val="16"/>
              </w:rPr>
              <w:t>4</w:t>
            </w:r>
          </w:p>
        </w:tc>
        <w:tc>
          <w:tcPr>
            <w:tcW w:w="593" w:type="pct"/>
            <w:shd w:val="clear" w:color="auto" w:fill="auto"/>
            <w:vAlign w:val="center"/>
          </w:tcPr>
          <w:p w14:paraId="6211FC9D" w14:textId="0F330D19" w:rsidR="00D225DE" w:rsidRPr="00890249" w:rsidRDefault="006766E3" w:rsidP="00D225DE">
            <w:pPr>
              <w:jc w:val="center"/>
              <w:rPr>
                <w:rFonts w:asciiTheme="minorHAnsi" w:hAnsiTheme="minorHAnsi" w:cstheme="minorHAnsi"/>
                <w:noProof/>
                <w:sz w:val="18"/>
                <w:szCs w:val="16"/>
              </w:rPr>
            </w:pPr>
            <w:r>
              <w:rPr>
                <w:rFonts w:asciiTheme="minorHAnsi" w:hAnsiTheme="minorHAnsi" w:cstheme="minorHAnsi"/>
                <w:noProof/>
                <w:sz w:val="18"/>
                <w:szCs w:val="16"/>
              </w:rPr>
              <w:t>18</w:t>
            </w:r>
          </w:p>
        </w:tc>
      </w:tr>
    </w:tbl>
    <w:p w14:paraId="72AB12A0" w14:textId="77777777" w:rsidR="004249F6" w:rsidRPr="00890249" w:rsidRDefault="004249F6" w:rsidP="006023F3">
      <w:pPr>
        <w:spacing w:before="0" w:after="160" w:line="259" w:lineRule="auto"/>
        <w:jc w:val="left"/>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832"/>
        <w:gridCol w:w="830"/>
        <w:gridCol w:w="970"/>
        <w:gridCol w:w="830"/>
        <w:gridCol w:w="1383"/>
        <w:gridCol w:w="692"/>
        <w:gridCol w:w="553"/>
        <w:gridCol w:w="553"/>
        <w:gridCol w:w="741"/>
        <w:gridCol w:w="605"/>
        <w:gridCol w:w="555"/>
      </w:tblGrid>
      <w:tr w:rsidR="004249F6" w:rsidRPr="00890249" w14:paraId="32E6EE3D" w14:textId="77777777" w:rsidTr="004B59D6">
        <w:trPr>
          <w:trHeight w:val="480"/>
        </w:trPr>
        <w:tc>
          <w:tcPr>
            <w:tcW w:w="5000" w:type="pct"/>
            <w:gridSpan w:val="12"/>
            <w:shd w:val="clear" w:color="auto" w:fill="D9D9D9" w:themeFill="background1" w:themeFillShade="D9"/>
          </w:tcPr>
          <w:p w14:paraId="27F66755" w14:textId="77777777" w:rsidR="004249F6" w:rsidRPr="00890249" w:rsidRDefault="004249F6" w:rsidP="004B59D6">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4249F6" w:rsidRPr="00890249" w14:paraId="6D08A142" w14:textId="77777777" w:rsidTr="004B59D6">
        <w:trPr>
          <w:cantSplit/>
          <w:trHeight w:val="1768"/>
        </w:trPr>
        <w:tc>
          <w:tcPr>
            <w:tcW w:w="286" w:type="pct"/>
            <w:shd w:val="clear" w:color="auto" w:fill="F2F2F2" w:themeFill="background1" w:themeFillShade="F2"/>
            <w:textDirection w:val="btLr"/>
            <w:vAlign w:val="center"/>
          </w:tcPr>
          <w:p w14:paraId="604E6323"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59" w:type="pct"/>
            <w:shd w:val="clear" w:color="auto" w:fill="F2F2F2" w:themeFill="background1" w:themeFillShade="F2"/>
            <w:textDirection w:val="btLr"/>
            <w:vAlign w:val="center"/>
          </w:tcPr>
          <w:p w14:paraId="3A3E32C5"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458" w:type="pct"/>
            <w:shd w:val="clear" w:color="auto" w:fill="F2F2F2" w:themeFill="background1" w:themeFillShade="F2"/>
            <w:textDirection w:val="btLr"/>
            <w:vAlign w:val="center"/>
          </w:tcPr>
          <w:p w14:paraId="7F2E8F79"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35" w:type="pct"/>
            <w:shd w:val="clear" w:color="auto" w:fill="F2F2F2" w:themeFill="background1" w:themeFillShade="F2"/>
            <w:textDirection w:val="btLr"/>
            <w:vAlign w:val="center"/>
          </w:tcPr>
          <w:p w14:paraId="384301FA"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58" w:type="pct"/>
            <w:shd w:val="clear" w:color="auto" w:fill="F2F2F2" w:themeFill="background1" w:themeFillShade="F2"/>
            <w:textDirection w:val="btLr"/>
            <w:vAlign w:val="center"/>
          </w:tcPr>
          <w:p w14:paraId="7DAFB8BF"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3" w:type="pct"/>
            <w:shd w:val="clear" w:color="auto" w:fill="F2F2F2" w:themeFill="background1" w:themeFillShade="F2"/>
            <w:textDirection w:val="btLr"/>
            <w:vAlign w:val="center"/>
          </w:tcPr>
          <w:p w14:paraId="594F6AED"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382" w:type="pct"/>
            <w:shd w:val="clear" w:color="auto" w:fill="F2F2F2" w:themeFill="background1" w:themeFillShade="F2"/>
            <w:textDirection w:val="btLr"/>
            <w:vAlign w:val="center"/>
          </w:tcPr>
          <w:p w14:paraId="56C5E388"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05" w:type="pct"/>
            <w:shd w:val="clear" w:color="auto" w:fill="F2F2F2" w:themeFill="background1" w:themeFillShade="F2"/>
            <w:textDirection w:val="btLr"/>
            <w:vAlign w:val="center"/>
          </w:tcPr>
          <w:p w14:paraId="00B6C5A8"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05" w:type="pct"/>
            <w:shd w:val="clear" w:color="auto" w:fill="F2F2F2" w:themeFill="background1" w:themeFillShade="F2"/>
            <w:textDirection w:val="btLr"/>
            <w:vAlign w:val="center"/>
          </w:tcPr>
          <w:p w14:paraId="7EC96B0F"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409" w:type="pct"/>
            <w:shd w:val="clear" w:color="auto" w:fill="F2F2F2" w:themeFill="background1" w:themeFillShade="F2"/>
            <w:textDirection w:val="btLr"/>
            <w:vAlign w:val="center"/>
          </w:tcPr>
          <w:p w14:paraId="101D2506"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49221EE3"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6" w:type="pct"/>
            <w:shd w:val="clear" w:color="auto" w:fill="F2F2F2" w:themeFill="background1" w:themeFillShade="F2"/>
            <w:textDirection w:val="btLr"/>
            <w:vAlign w:val="center"/>
          </w:tcPr>
          <w:p w14:paraId="3D07BDC9" w14:textId="77777777" w:rsidR="004249F6" w:rsidRPr="00890249" w:rsidRDefault="004249F6" w:rsidP="004B59D6">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4249F6" w:rsidRPr="00890249" w14:paraId="702E55DC" w14:textId="77777777" w:rsidTr="004B59D6">
        <w:trPr>
          <w:trHeight w:val="434"/>
        </w:trPr>
        <w:tc>
          <w:tcPr>
            <w:tcW w:w="286" w:type="pct"/>
            <w:vAlign w:val="center"/>
          </w:tcPr>
          <w:p w14:paraId="7F1F47A0"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CP1</w:t>
            </w:r>
          </w:p>
        </w:tc>
        <w:tc>
          <w:tcPr>
            <w:tcW w:w="459" w:type="pct"/>
            <w:vAlign w:val="center"/>
          </w:tcPr>
          <w:p w14:paraId="6E0BBFA1"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1.ii</w:t>
            </w:r>
          </w:p>
        </w:tc>
        <w:tc>
          <w:tcPr>
            <w:tcW w:w="458" w:type="pct"/>
            <w:vAlign w:val="center"/>
          </w:tcPr>
          <w:p w14:paraId="53C38317"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35" w:type="pct"/>
            <w:vAlign w:val="center"/>
          </w:tcPr>
          <w:p w14:paraId="0E88F016"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słabiej rozwinięte</w:t>
            </w:r>
          </w:p>
        </w:tc>
        <w:tc>
          <w:tcPr>
            <w:tcW w:w="458" w:type="pct"/>
            <w:vAlign w:val="center"/>
          </w:tcPr>
          <w:p w14:paraId="366F3098"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4"/>
              </w:rPr>
              <w:t>RCR011</w:t>
            </w:r>
          </w:p>
        </w:tc>
        <w:tc>
          <w:tcPr>
            <w:tcW w:w="763" w:type="pct"/>
            <w:shd w:val="clear" w:color="auto" w:fill="auto"/>
            <w:vAlign w:val="center"/>
          </w:tcPr>
          <w:p w14:paraId="62A7FE53" w14:textId="77777777" w:rsidR="004249F6" w:rsidRPr="00890249" w:rsidRDefault="004249F6" w:rsidP="004B59D6">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4"/>
              </w:rPr>
              <w:t>Użytkownicy nowych i zmodernizowanych publicznych usług,  produktów i procesów cyfrowych</w:t>
            </w:r>
          </w:p>
        </w:tc>
        <w:tc>
          <w:tcPr>
            <w:tcW w:w="382" w:type="pct"/>
            <w:vAlign w:val="center"/>
          </w:tcPr>
          <w:p w14:paraId="61D49E73"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4"/>
              </w:rPr>
              <w:t>użytkownicy/rok</w:t>
            </w:r>
          </w:p>
        </w:tc>
        <w:tc>
          <w:tcPr>
            <w:tcW w:w="305" w:type="pct"/>
            <w:vAlign w:val="center"/>
          </w:tcPr>
          <w:p w14:paraId="34CF9BFD" w14:textId="2AA68197" w:rsidR="004249F6" w:rsidRPr="00890249" w:rsidRDefault="00D225DE"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0</w:t>
            </w:r>
          </w:p>
        </w:tc>
        <w:tc>
          <w:tcPr>
            <w:tcW w:w="305" w:type="pct"/>
            <w:vAlign w:val="center"/>
          </w:tcPr>
          <w:p w14:paraId="1B9FF634"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09" w:type="pct"/>
            <w:shd w:val="clear" w:color="auto" w:fill="auto"/>
            <w:vAlign w:val="center"/>
          </w:tcPr>
          <w:p w14:paraId="62B4F2B1" w14:textId="348A1F58" w:rsidR="004249F6" w:rsidRPr="00890249" w:rsidRDefault="006766E3" w:rsidP="004B59D6">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19 000</w:t>
            </w:r>
          </w:p>
        </w:tc>
        <w:tc>
          <w:tcPr>
            <w:tcW w:w="334" w:type="pct"/>
            <w:shd w:val="clear" w:color="auto" w:fill="auto"/>
            <w:vAlign w:val="center"/>
          </w:tcPr>
          <w:p w14:paraId="52CF6D48" w14:textId="77777777" w:rsidR="004249F6" w:rsidRPr="00890249" w:rsidRDefault="004249F6" w:rsidP="004B59D6">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6" w:type="pct"/>
            <w:vAlign w:val="center"/>
          </w:tcPr>
          <w:p w14:paraId="7AA03C18"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r w:rsidR="004249F6" w:rsidRPr="00890249" w14:paraId="59AC18E2" w14:textId="77777777" w:rsidTr="004B59D6">
        <w:trPr>
          <w:trHeight w:val="434"/>
        </w:trPr>
        <w:tc>
          <w:tcPr>
            <w:tcW w:w="286" w:type="pct"/>
            <w:vAlign w:val="center"/>
          </w:tcPr>
          <w:p w14:paraId="3CA0BD8D"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459" w:type="pct"/>
            <w:vAlign w:val="center"/>
          </w:tcPr>
          <w:p w14:paraId="7D94A1F6"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1.ii</w:t>
            </w:r>
          </w:p>
        </w:tc>
        <w:tc>
          <w:tcPr>
            <w:tcW w:w="458" w:type="pct"/>
            <w:vAlign w:val="center"/>
          </w:tcPr>
          <w:p w14:paraId="4A164F1B"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35" w:type="pct"/>
            <w:vAlign w:val="center"/>
          </w:tcPr>
          <w:p w14:paraId="54E598A6"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58" w:type="pct"/>
            <w:vAlign w:val="center"/>
          </w:tcPr>
          <w:p w14:paraId="071DE9FB" w14:textId="77777777" w:rsidR="004249F6" w:rsidRPr="00890249" w:rsidRDefault="004249F6" w:rsidP="004B59D6">
            <w:pPr>
              <w:jc w:val="center"/>
              <w:rPr>
                <w:rFonts w:asciiTheme="minorHAnsi" w:hAnsiTheme="minorHAnsi" w:cstheme="minorHAnsi"/>
                <w:i/>
                <w:noProof/>
                <w:sz w:val="18"/>
                <w:szCs w:val="14"/>
              </w:rPr>
            </w:pPr>
            <w:r w:rsidRPr="00890249">
              <w:rPr>
                <w:rFonts w:asciiTheme="minorHAnsi" w:hAnsiTheme="minorHAnsi" w:cstheme="minorHAnsi"/>
                <w:i/>
                <w:noProof/>
                <w:sz w:val="18"/>
                <w:szCs w:val="14"/>
              </w:rPr>
              <w:t>RCR002</w:t>
            </w:r>
          </w:p>
        </w:tc>
        <w:tc>
          <w:tcPr>
            <w:tcW w:w="763" w:type="pct"/>
            <w:shd w:val="clear" w:color="auto" w:fill="auto"/>
            <w:vAlign w:val="center"/>
          </w:tcPr>
          <w:p w14:paraId="21A5F536" w14:textId="77777777" w:rsidR="004249F6" w:rsidRPr="00890249" w:rsidRDefault="004249F6" w:rsidP="004B59D6">
            <w:pPr>
              <w:jc w:val="left"/>
              <w:rPr>
                <w:rFonts w:asciiTheme="minorHAnsi" w:hAnsiTheme="minorHAnsi" w:cstheme="minorHAnsi"/>
                <w:i/>
                <w:noProof/>
                <w:sz w:val="18"/>
                <w:szCs w:val="14"/>
              </w:rPr>
            </w:pPr>
            <w:r w:rsidRPr="00890249">
              <w:rPr>
                <w:rFonts w:asciiTheme="minorHAnsi" w:hAnsiTheme="minorHAnsi" w:cstheme="minorHAnsi"/>
                <w:i/>
                <w:sz w:val="18"/>
                <w:szCs w:val="16"/>
              </w:rPr>
              <w:t>Inwestycje prywatne uzupełniające wsparcie publiczne (w tym: dotacje, instrumenty finansowe)</w:t>
            </w:r>
          </w:p>
        </w:tc>
        <w:tc>
          <w:tcPr>
            <w:tcW w:w="382" w:type="pct"/>
            <w:vAlign w:val="center"/>
          </w:tcPr>
          <w:p w14:paraId="76BCE6D7" w14:textId="77777777" w:rsidR="004249F6" w:rsidRPr="00890249" w:rsidRDefault="004249F6" w:rsidP="004B59D6">
            <w:pPr>
              <w:jc w:val="center"/>
              <w:rPr>
                <w:rFonts w:asciiTheme="minorHAnsi" w:hAnsiTheme="minorHAnsi" w:cstheme="minorHAnsi"/>
                <w:i/>
                <w:noProof/>
                <w:sz w:val="18"/>
                <w:szCs w:val="14"/>
              </w:rPr>
            </w:pPr>
            <w:r w:rsidRPr="00890249">
              <w:rPr>
                <w:rFonts w:asciiTheme="minorHAnsi" w:hAnsiTheme="minorHAnsi" w:cstheme="minorHAnsi"/>
                <w:i/>
                <w:noProof/>
                <w:sz w:val="18"/>
                <w:szCs w:val="14"/>
              </w:rPr>
              <w:t>EUR</w:t>
            </w:r>
          </w:p>
        </w:tc>
        <w:tc>
          <w:tcPr>
            <w:tcW w:w="305" w:type="pct"/>
            <w:vAlign w:val="center"/>
          </w:tcPr>
          <w:p w14:paraId="47F0B839"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5" w:type="pct"/>
            <w:vAlign w:val="center"/>
          </w:tcPr>
          <w:p w14:paraId="78D82EC2"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09" w:type="pct"/>
            <w:shd w:val="clear" w:color="auto" w:fill="auto"/>
            <w:vAlign w:val="center"/>
          </w:tcPr>
          <w:p w14:paraId="1886B054"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2 400 000</w:t>
            </w:r>
          </w:p>
        </w:tc>
        <w:tc>
          <w:tcPr>
            <w:tcW w:w="334" w:type="pct"/>
            <w:shd w:val="clear" w:color="auto" w:fill="auto"/>
            <w:vAlign w:val="center"/>
          </w:tcPr>
          <w:p w14:paraId="02275711" w14:textId="77777777" w:rsidR="004249F6" w:rsidRPr="00890249" w:rsidRDefault="004249F6" w:rsidP="004B59D6">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6" w:type="pct"/>
            <w:vAlign w:val="center"/>
          </w:tcPr>
          <w:p w14:paraId="3A43E4C4"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bl>
    <w:p w14:paraId="3A43733D" w14:textId="77777777" w:rsidR="00BA2CBD" w:rsidRPr="00890249" w:rsidRDefault="00D00826" w:rsidP="006023F3">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br w:type="page"/>
      </w:r>
    </w:p>
    <w:p w14:paraId="4439668A" w14:textId="77777777" w:rsidR="006452BC" w:rsidRPr="00890249" w:rsidRDefault="006452BC" w:rsidP="006452B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2.1.1.2.3 (ii) Orientacyjny podział zasobów programu (UE) według rodzaju interwencji</w:t>
      </w:r>
    </w:p>
    <w:tbl>
      <w:tblPr>
        <w:tblStyle w:val="Tabela-Siatka"/>
        <w:tblW w:w="0" w:type="auto"/>
        <w:tblLook w:val="04A0" w:firstRow="1" w:lastRow="0" w:firstColumn="1" w:lastColumn="0" w:noHBand="0" w:noVBand="1"/>
      </w:tblPr>
      <w:tblGrid>
        <w:gridCol w:w="1226"/>
        <w:gridCol w:w="985"/>
        <w:gridCol w:w="1388"/>
        <w:gridCol w:w="1403"/>
        <w:gridCol w:w="2272"/>
        <w:gridCol w:w="1787"/>
      </w:tblGrid>
      <w:tr w:rsidR="004249F6" w:rsidRPr="00890249" w14:paraId="49B37C3B" w14:textId="77777777" w:rsidTr="004B59D6">
        <w:tc>
          <w:tcPr>
            <w:tcW w:w="9288" w:type="dxa"/>
            <w:gridSpan w:val="6"/>
            <w:shd w:val="clear" w:color="auto" w:fill="D9D9D9" w:themeFill="background1" w:themeFillShade="D9"/>
          </w:tcPr>
          <w:p w14:paraId="0C55914A"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4249F6" w:rsidRPr="00890249" w14:paraId="43EBBC40" w14:textId="77777777" w:rsidTr="004B59D6">
        <w:tc>
          <w:tcPr>
            <w:tcW w:w="1242" w:type="dxa"/>
            <w:shd w:val="clear" w:color="auto" w:fill="F2F2F2" w:themeFill="background1" w:themeFillShade="F2"/>
          </w:tcPr>
          <w:p w14:paraId="05B1ADB1"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993" w:type="dxa"/>
            <w:shd w:val="clear" w:color="auto" w:fill="F2F2F2" w:themeFill="background1" w:themeFillShade="F2"/>
          </w:tcPr>
          <w:p w14:paraId="0C611301"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7" w:type="dxa"/>
            <w:shd w:val="clear" w:color="auto" w:fill="F2F2F2" w:themeFill="background1" w:themeFillShade="F2"/>
          </w:tcPr>
          <w:p w14:paraId="0322CD95"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418" w:type="dxa"/>
            <w:shd w:val="clear" w:color="auto" w:fill="F2F2F2" w:themeFill="background1" w:themeFillShade="F2"/>
          </w:tcPr>
          <w:p w14:paraId="693573CA"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2334" w:type="dxa"/>
            <w:shd w:val="clear" w:color="auto" w:fill="F2F2F2" w:themeFill="background1" w:themeFillShade="F2"/>
          </w:tcPr>
          <w:p w14:paraId="42A80219"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84" w:type="dxa"/>
            <w:shd w:val="clear" w:color="auto" w:fill="F2F2F2" w:themeFill="background1" w:themeFillShade="F2"/>
          </w:tcPr>
          <w:p w14:paraId="42655146"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6F5E0563" w14:textId="77777777" w:rsidTr="004B59D6">
        <w:tc>
          <w:tcPr>
            <w:tcW w:w="1242" w:type="dxa"/>
            <w:vMerge w:val="restart"/>
            <w:vAlign w:val="center"/>
          </w:tcPr>
          <w:p w14:paraId="45A1CA93"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1</w:t>
            </w:r>
          </w:p>
        </w:tc>
        <w:tc>
          <w:tcPr>
            <w:tcW w:w="993" w:type="dxa"/>
            <w:vMerge w:val="restart"/>
            <w:vAlign w:val="center"/>
          </w:tcPr>
          <w:p w14:paraId="6AE555BF"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417" w:type="dxa"/>
            <w:vMerge w:val="restart"/>
            <w:vAlign w:val="center"/>
          </w:tcPr>
          <w:p w14:paraId="7B177340"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418" w:type="dxa"/>
            <w:vMerge w:val="restart"/>
            <w:vAlign w:val="center"/>
          </w:tcPr>
          <w:p w14:paraId="4DAD499F"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2334" w:type="dxa"/>
          </w:tcPr>
          <w:p w14:paraId="0BEE3DD8"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013 </w:t>
            </w:r>
            <w:r w:rsidRPr="00890249">
              <w:rPr>
                <w:rFonts w:asciiTheme="minorHAnsi" w:hAnsiTheme="minorHAnsi" w:cstheme="minorHAnsi"/>
                <w:sz w:val="20"/>
                <w:szCs w:val="20"/>
              </w:rPr>
              <w:t xml:space="preserve">Cyfryzacja MŚP (w tym handel elektroniczny, e-biznes i sieciowe procesy biznesowe, ośrodki innowacji cyfrowych, żywe laboratoria, przedsiębiorcy internetowi i przedsiębiorstwa ICT typu start-up, usługi B2B) </w:t>
            </w:r>
          </w:p>
        </w:tc>
        <w:tc>
          <w:tcPr>
            <w:tcW w:w="1884" w:type="dxa"/>
          </w:tcPr>
          <w:p w14:paraId="4DC73C38" w14:textId="77777777" w:rsidR="004249F6" w:rsidRPr="00890249" w:rsidRDefault="004249F6" w:rsidP="004B59D6">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5 000 000</w:t>
            </w:r>
          </w:p>
        </w:tc>
      </w:tr>
      <w:tr w:rsidR="004249F6" w:rsidRPr="00890249" w14:paraId="6D2CCEFE" w14:textId="77777777" w:rsidTr="004B59D6">
        <w:trPr>
          <w:trHeight w:val="494"/>
        </w:trPr>
        <w:tc>
          <w:tcPr>
            <w:tcW w:w="1242" w:type="dxa"/>
            <w:vMerge/>
          </w:tcPr>
          <w:p w14:paraId="05018707" w14:textId="77777777" w:rsidR="004249F6" w:rsidRPr="00890249" w:rsidRDefault="004249F6" w:rsidP="004B59D6">
            <w:pPr>
              <w:jc w:val="center"/>
              <w:rPr>
                <w:rFonts w:asciiTheme="minorHAnsi" w:eastAsia="Times New Roman" w:hAnsiTheme="minorHAnsi" w:cstheme="minorHAnsi"/>
                <w:iCs/>
                <w:noProof/>
                <w:sz w:val="20"/>
              </w:rPr>
            </w:pPr>
          </w:p>
        </w:tc>
        <w:tc>
          <w:tcPr>
            <w:tcW w:w="993" w:type="dxa"/>
            <w:vMerge/>
          </w:tcPr>
          <w:p w14:paraId="26A5C5ED" w14:textId="77777777" w:rsidR="004249F6" w:rsidRPr="00890249" w:rsidRDefault="004249F6" w:rsidP="004B59D6">
            <w:pPr>
              <w:jc w:val="center"/>
              <w:rPr>
                <w:rFonts w:asciiTheme="minorHAnsi" w:eastAsia="Times New Roman" w:hAnsiTheme="minorHAnsi" w:cstheme="minorHAnsi"/>
                <w:iCs/>
                <w:noProof/>
                <w:sz w:val="20"/>
              </w:rPr>
            </w:pPr>
          </w:p>
        </w:tc>
        <w:tc>
          <w:tcPr>
            <w:tcW w:w="1417" w:type="dxa"/>
            <w:vMerge/>
          </w:tcPr>
          <w:p w14:paraId="40A6D948" w14:textId="77777777" w:rsidR="004249F6" w:rsidRPr="00890249" w:rsidRDefault="004249F6" w:rsidP="004B59D6">
            <w:pPr>
              <w:jc w:val="center"/>
              <w:rPr>
                <w:rFonts w:asciiTheme="minorHAnsi" w:eastAsia="Times New Roman" w:hAnsiTheme="minorHAnsi" w:cstheme="minorHAnsi"/>
                <w:iCs/>
                <w:noProof/>
                <w:sz w:val="20"/>
              </w:rPr>
            </w:pPr>
          </w:p>
        </w:tc>
        <w:tc>
          <w:tcPr>
            <w:tcW w:w="1418" w:type="dxa"/>
            <w:vMerge/>
          </w:tcPr>
          <w:p w14:paraId="5BEA843C" w14:textId="77777777" w:rsidR="004249F6" w:rsidRPr="00890249" w:rsidRDefault="004249F6" w:rsidP="004B59D6">
            <w:pPr>
              <w:jc w:val="center"/>
              <w:rPr>
                <w:rFonts w:asciiTheme="minorHAnsi" w:eastAsia="Times New Roman" w:hAnsiTheme="minorHAnsi" w:cstheme="minorHAnsi"/>
                <w:iCs/>
                <w:noProof/>
                <w:sz w:val="20"/>
              </w:rPr>
            </w:pPr>
          </w:p>
        </w:tc>
        <w:tc>
          <w:tcPr>
            <w:tcW w:w="2334" w:type="dxa"/>
          </w:tcPr>
          <w:p w14:paraId="4EDFCCE9"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016 </w:t>
            </w:r>
            <w:r w:rsidRPr="00890249">
              <w:rPr>
                <w:rFonts w:asciiTheme="minorHAnsi" w:hAnsiTheme="minorHAnsi" w:cstheme="minorHAnsi"/>
                <w:sz w:val="20"/>
                <w:szCs w:val="20"/>
              </w:rPr>
              <w:t xml:space="preserve">Rozwiązania TIK, usługi elektroniczne, aplikacje dla administracji </w:t>
            </w:r>
          </w:p>
        </w:tc>
        <w:tc>
          <w:tcPr>
            <w:tcW w:w="1884" w:type="dxa"/>
          </w:tcPr>
          <w:p w14:paraId="7AC4DBAF" w14:textId="31E153B4" w:rsidR="004249F6" w:rsidRPr="00890249" w:rsidRDefault="00EA09A9"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3 000 000</w:t>
            </w:r>
          </w:p>
        </w:tc>
      </w:tr>
      <w:tr w:rsidR="004249F6" w:rsidRPr="00890249" w14:paraId="7E57B9EE" w14:textId="77777777" w:rsidTr="004B59D6">
        <w:tc>
          <w:tcPr>
            <w:tcW w:w="1242" w:type="dxa"/>
            <w:vMerge/>
          </w:tcPr>
          <w:p w14:paraId="6B0DE161" w14:textId="77777777" w:rsidR="004249F6" w:rsidRPr="00890249" w:rsidRDefault="004249F6" w:rsidP="004B59D6">
            <w:pPr>
              <w:jc w:val="center"/>
              <w:rPr>
                <w:rFonts w:asciiTheme="minorHAnsi" w:eastAsia="Times New Roman" w:hAnsiTheme="minorHAnsi" w:cstheme="minorHAnsi"/>
                <w:iCs/>
                <w:noProof/>
                <w:sz w:val="20"/>
              </w:rPr>
            </w:pPr>
          </w:p>
        </w:tc>
        <w:tc>
          <w:tcPr>
            <w:tcW w:w="993" w:type="dxa"/>
            <w:vMerge/>
          </w:tcPr>
          <w:p w14:paraId="0E8C30DD" w14:textId="77777777" w:rsidR="004249F6" w:rsidRPr="00890249" w:rsidRDefault="004249F6" w:rsidP="004B59D6">
            <w:pPr>
              <w:jc w:val="center"/>
              <w:rPr>
                <w:rFonts w:asciiTheme="minorHAnsi" w:eastAsia="Times New Roman" w:hAnsiTheme="minorHAnsi" w:cstheme="minorHAnsi"/>
                <w:iCs/>
                <w:noProof/>
                <w:sz w:val="20"/>
              </w:rPr>
            </w:pPr>
          </w:p>
        </w:tc>
        <w:tc>
          <w:tcPr>
            <w:tcW w:w="1417" w:type="dxa"/>
            <w:vMerge/>
          </w:tcPr>
          <w:p w14:paraId="333B540B" w14:textId="77777777" w:rsidR="004249F6" w:rsidRPr="00890249" w:rsidRDefault="004249F6" w:rsidP="004B59D6">
            <w:pPr>
              <w:jc w:val="center"/>
              <w:rPr>
                <w:rFonts w:asciiTheme="minorHAnsi" w:eastAsia="Times New Roman" w:hAnsiTheme="minorHAnsi" w:cstheme="minorHAnsi"/>
                <w:iCs/>
                <w:noProof/>
                <w:sz w:val="20"/>
              </w:rPr>
            </w:pPr>
          </w:p>
        </w:tc>
        <w:tc>
          <w:tcPr>
            <w:tcW w:w="1418" w:type="dxa"/>
            <w:vMerge/>
          </w:tcPr>
          <w:p w14:paraId="061407F6" w14:textId="77777777" w:rsidR="004249F6" w:rsidRPr="00890249" w:rsidRDefault="004249F6" w:rsidP="004B59D6">
            <w:pPr>
              <w:jc w:val="center"/>
              <w:rPr>
                <w:rFonts w:asciiTheme="minorHAnsi" w:eastAsia="Times New Roman" w:hAnsiTheme="minorHAnsi" w:cstheme="minorHAnsi"/>
                <w:iCs/>
                <w:noProof/>
                <w:sz w:val="20"/>
              </w:rPr>
            </w:pPr>
          </w:p>
        </w:tc>
        <w:tc>
          <w:tcPr>
            <w:tcW w:w="2334" w:type="dxa"/>
          </w:tcPr>
          <w:p w14:paraId="4982134D" w14:textId="77777777" w:rsidR="004249F6" w:rsidRPr="00890249" w:rsidRDefault="004249F6" w:rsidP="004B59D6">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017 </w:t>
            </w:r>
            <w:r w:rsidRPr="00890249">
              <w:rPr>
                <w:rFonts w:asciiTheme="minorHAnsi" w:hAnsiTheme="minorHAnsi" w:cstheme="minorHAnsi"/>
                <w:sz w:val="20"/>
              </w:rPr>
              <w:t>Rozwiązania TIK, usługi elektroniczne, aplikacje dla administracji zgodne z kryteriami redukcji emisji gazów cieplarnianych lub kryteriami efektywności energetycznej</w:t>
            </w:r>
          </w:p>
        </w:tc>
        <w:tc>
          <w:tcPr>
            <w:tcW w:w="1884" w:type="dxa"/>
          </w:tcPr>
          <w:p w14:paraId="1E2B4DE3" w14:textId="2C54E6F9" w:rsidR="004249F6" w:rsidRPr="00890249" w:rsidRDefault="00EA09A9"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750 000</w:t>
            </w:r>
          </w:p>
        </w:tc>
      </w:tr>
      <w:tr w:rsidR="004249F6" w:rsidRPr="00890249" w14:paraId="06A80EA8" w14:textId="77777777" w:rsidTr="004B59D6">
        <w:tc>
          <w:tcPr>
            <w:tcW w:w="1242" w:type="dxa"/>
            <w:vMerge/>
          </w:tcPr>
          <w:p w14:paraId="0684CFB5" w14:textId="77777777" w:rsidR="004249F6" w:rsidRPr="00890249" w:rsidRDefault="004249F6" w:rsidP="004B59D6">
            <w:pPr>
              <w:jc w:val="center"/>
              <w:rPr>
                <w:rFonts w:asciiTheme="minorHAnsi" w:eastAsia="Times New Roman" w:hAnsiTheme="minorHAnsi" w:cstheme="minorHAnsi"/>
                <w:iCs/>
                <w:noProof/>
                <w:sz w:val="20"/>
              </w:rPr>
            </w:pPr>
          </w:p>
        </w:tc>
        <w:tc>
          <w:tcPr>
            <w:tcW w:w="993" w:type="dxa"/>
            <w:vMerge/>
          </w:tcPr>
          <w:p w14:paraId="30210A21" w14:textId="77777777" w:rsidR="004249F6" w:rsidRPr="00890249" w:rsidRDefault="004249F6" w:rsidP="004B59D6">
            <w:pPr>
              <w:jc w:val="center"/>
              <w:rPr>
                <w:rFonts w:asciiTheme="minorHAnsi" w:eastAsia="Times New Roman" w:hAnsiTheme="minorHAnsi" w:cstheme="minorHAnsi"/>
                <w:iCs/>
                <w:noProof/>
                <w:sz w:val="20"/>
              </w:rPr>
            </w:pPr>
          </w:p>
        </w:tc>
        <w:tc>
          <w:tcPr>
            <w:tcW w:w="1417" w:type="dxa"/>
            <w:vMerge/>
          </w:tcPr>
          <w:p w14:paraId="7E8E5061" w14:textId="77777777" w:rsidR="004249F6" w:rsidRPr="00890249" w:rsidRDefault="004249F6" w:rsidP="004B59D6">
            <w:pPr>
              <w:jc w:val="center"/>
              <w:rPr>
                <w:rFonts w:asciiTheme="minorHAnsi" w:eastAsia="Times New Roman" w:hAnsiTheme="minorHAnsi" w:cstheme="minorHAnsi"/>
                <w:iCs/>
                <w:noProof/>
                <w:sz w:val="20"/>
              </w:rPr>
            </w:pPr>
          </w:p>
        </w:tc>
        <w:tc>
          <w:tcPr>
            <w:tcW w:w="1418" w:type="dxa"/>
            <w:vMerge/>
          </w:tcPr>
          <w:p w14:paraId="34AE8283" w14:textId="77777777" w:rsidR="004249F6" w:rsidRPr="00890249" w:rsidRDefault="004249F6" w:rsidP="004B59D6">
            <w:pPr>
              <w:jc w:val="center"/>
              <w:rPr>
                <w:rFonts w:asciiTheme="minorHAnsi" w:eastAsia="Times New Roman" w:hAnsiTheme="minorHAnsi" w:cstheme="minorHAnsi"/>
                <w:iCs/>
                <w:noProof/>
                <w:sz w:val="20"/>
              </w:rPr>
            </w:pPr>
          </w:p>
        </w:tc>
        <w:tc>
          <w:tcPr>
            <w:tcW w:w="2334" w:type="dxa"/>
          </w:tcPr>
          <w:p w14:paraId="25D1BD60"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019 </w:t>
            </w:r>
            <w:r w:rsidRPr="00890249">
              <w:rPr>
                <w:rFonts w:asciiTheme="minorHAnsi" w:hAnsiTheme="minorHAnsi" w:cstheme="minorHAnsi"/>
                <w:sz w:val="20"/>
                <w:szCs w:val="20"/>
              </w:rPr>
              <w:t xml:space="preserve">Usługi i aplikacje w zakresie e-zdrowia (w tym e-opieka, internet rzeczy w zakresie aktywności fizycznej i nowoczesnych technologii w służbie osobom starszym) </w:t>
            </w:r>
          </w:p>
        </w:tc>
        <w:tc>
          <w:tcPr>
            <w:tcW w:w="1884" w:type="dxa"/>
          </w:tcPr>
          <w:p w14:paraId="7A5AC0EC" w14:textId="502DBC57" w:rsidR="004249F6" w:rsidRPr="00890249" w:rsidRDefault="00EA09A9"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1 250 000</w:t>
            </w:r>
          </w:p>
        </w:tc>
      </w:tr>
    </w:tbl>
    <w:p w14:paraId="7846EC50" w14:textId="77777777" w:rsidR="00F10BC2" w:rsidRPr="00890249" w:rsidRDefault="00F10BC2" w:rsidP="0076486A">
      <w:pPr>
        <w:spacing w:before="0" w:after="160" w:line="259" w:lineRule="auto"/>
        <w:jc w:val="left"/>
        <w:rPr>
          <w:rFonts w:asciiTheme="minorHAnsi" w:hAnsiTheme="minorHAnsi" w:cstheme="minorHAnsi"/>
          <w:b/>
          <w:noProof/>
          <w:color w:val="FF0000"/>
          <w:sz w:val="22"/>
          <w:szCs w:val="22"/>
        </w:rPr>
      </w:pPr>
    </w:p>
    <w:p w14:paraId="53E4BC7C" w14:textId="77777777" w:rsidR="009C0BDE" w:rsidRPr="00890249" w:rsidRDefault="009C0BDE" w:rsidP="00D85A2D">
      <w:pPr>
        <w:spacing w:before="0"/>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528"/>
        <w:gridCol w:w="1039"/>
        <w:gridCol w:w="1666"/>
        <w:gridCol w:w="1262"/>
        <w:gridCol w:w="1598"/>
        <w:gridCol w:w="2229"/>
      </w:tblGrid>
      <w:tr w:rsidR="004249F6" w:rsidRPr="00890249" w14:paraId="24C6C04E" w14:textId="77777777" w:rsidTr="004B59D6">
        <w:tc>
          <w:tcPr>
            <w:tcW w:w="9322" w:type="dxa"/>
            <w:gridSpan w:val="6"/>
            <w:shd w:val="clear" w:color="auto" w:fill="D9D9D9" w:themeFill="background1" w:themeFillShade="D9"/>
          </w:tcPr>
          <w:p w14:paraId="091FD1F8"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4249F6" w:rsidRPr="00890249" w14:paraId="39AA9F1F" w14:textId="77777777" w:rsidTr="004B59D6">
        <w:tc>
          <w:tcPr>
            <w:tcW w:w="1528" w:type="dxa"/>
            <w:shd w:val="clear" w:color="auto" w:fill="F2F2F2" w:themeFill="background1" w:themeFillShade="F2"/>
          </w:tcPr>
          <w:p w14:paraId="77CC466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39" w:type="dxa"/>
            <w:shd w:val="clear" w:color="auto" w:fill="F2F2F2" w:themeFill="background1" w:themeFillShade="F2"/>
          </w:tcPr>
          <w:p w14:paraId="72B6B87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666" w:type="dxa"/>
            <w:shd w:val="clear" w:color="auto" w:fill="F2F2F2" w:themeFill="background1" w:themeFillShade="F2"/>
          </w:tcPr>
          <w:p w14:paraId="66D054A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262" w:type="dxa"/>
            <w:shd w:val="clear" w:color="auto" w:fill="F2F2F2" w:themeFill="background1" w:themeFillShade="F2"/>
          </w:tcPr>
          <w:p w14:paraId="614D2C6A"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598" w:type="dxa"/>
            <w:shd w:val="clear" w:color="auto" w:fill="F2F2F2" w:themeFill="background1" w:themeFillShade="F2"/>
          </w:tcPr>
          <w:p w14:paraId="68ADC7DB"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229" w:type="dxa"/>
            <w:shd w:val="clear" w:color="auto" w:fill="F2F2F2" w:themeFill="background1" w:themeFillShade="F2"/>
          </w:tcPr>
          <w:p w14:paraId="6DD9053B"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6EB3868A" w14:textId="77777777" w:rsidTr="004B59D6">
        <w:trPr>
          <w:trHeight w:val="425"/>
        </w:trPr>
        <w:tc>
          <w:tcPr>
            <w:tcW w:w="1528" w:type="dxa"/>
            <w:vMerge w:val="restart"/>
            <w:vAlign w:val="center"/>
          </w:tcPr>
          <w:p w14:paraId="61A7374F"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1</w:t>
            </w:r>
          </w:p>
        </w:tc>
        <w:tc>
          <w:tcPr>
            <w:tcW w:w="1039" w:type="dxa"/>
            <w:vMerge w:val="restart"/>
            <w:vAlign w:val="center"/>
          </w:tcPr>
          <w:p w14:paraId="6701C3BD"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666" w:type="dxa"/>
            <w:vMerge w:val="restart"/>
            <w:vAlign w:val="center"/>
          </w:tcPr>
          <w:p w14:paraId="49BF1508"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262" w:type="dxa"/>
            <w:vMerge w:val="restart"/>
            <w:vAlign w:val="center"/>
          </w:tcPr>
          <w:p w14:paraId="4296B8E9"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598" w:type="dxa"/>
          </w:tcPr>
          <w:p w14:paraId="2B4096CA"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 </w:t>
            </w:r>
            <w:r w:rsidRPr="00890249">
              <w:rPr>
                <w:rFonts w:asciiTheme="minorHAnsi" w:hAnsiTheme="minorHAnsi" w:cstheme="minorHAnsi"/>
                <w:sz w:val="20"/>
                <w:szCs w:val="20"/>
              </w:rPr>
              <w:t xml:space="preserve">Dotacja </w:t>
            </w:r>
          </w:p>
        </w:tc>
        <w:tc>
          <w:tcPr>
            <w:tcW w:w="2229" w:type="dxa"/>
          </w:tcPr>
          <w:p w14:paraId="67E59C8C" w14:textId="059F464D" w:rsidR="004249F6" w:rsidRPr="00890249" w:rsidRDefault="00EA09A9"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5 000 000</w:t>
            </w:r>
          </w:p>
        </w:tc>
      </w:tr>
      <w:tr w:rsidR="00B91413" w:rsidRPr="00890249" w14:paraId="3D4B6055" w14:textId="77777777" w:rsidTr="004B59D6">
        <w:trPr>
          <w:trHeight w:val="425"/>
        </w:trPr>
        <w:tc>
          <w:tcPr>
            <w:tcW w:w="1528" w:type="dxa"/>
            <w:vMerge/>
            <w:vAlign w:val="center"/>
          </w:tcPr>
          <w:p w14:paraId="783D5A9C" w14:textId="77777777" w:rsidR="00B91413" w:rsidRPr="00890249" w:rsidRDefault="00B91413" w:rsidP="004B59D6">
            <w:pPr>
              <w:jc w:val="center"/>
              <w:rPr>
                <w:rFonts w:asciiTheme="minorHAnsi" w:eastAsia="Times New Roman" w:hAnsiTheme="minorHAnsi" w:cstheme="minorHAnsi"/>
                <w:iCs/>
                <w:noProof/>
                <w:sz w:val="20"/>
              </w:rPr>
            </w:pPr>
          </w:p>
        </w:tc>
        <w:tc>
          <w:tcPr>
            <w:tcW w:w="1039" w:type="dxa"/>
            <w:vMerge/>
            <w:vAlign w:val="center"/>
          </w:tcPr>
          <w:p w14:paraId="64CA03E3" w14:textId="77777777" w:rsidR="00B91413" w:rsidRPr="00890249" w:rsidRDefault="00B91413" w:rsidP="004B59D6">
            <w:pPr>
              <w:jc w:val="center"/>
              <w:rPr>
                <w:rFonts w:asciiTheme="minorHAnsi" w:eastAsia="Times New Roman" w:hAnsiTheme="minorHAnsi" w:cstheme="minorHAnsi"/>
                <w:iCs/>
                <w:noProof/>
                <w:sz w:val="20"/>
              </w:rPr>
            </w:pPr>
          </w:p>
        </w:tc>
        <w:tc>
          <w:tcPr>
            <w:tcW w:w="1666" w:type="dxa"/>
            <w:vMerge/>
            <w:vAlign w:val="center"/>
          </w:tcPr>
          <w:p w14:paraId="350406FD" w14:textId="77777777" w:rsidR="00B91413" w:rsidRPr="00890249" w:rsidRDefault="00B91413" w:rsidP="004B59D6">
            <w:pPr>
              <w:jc w:val="center"/>
              <w:rPr>
                <w:rFonts w:asciiTheme="minorHAnsi" w:eastAsia="Times New Roman" w:hAnsiTheme="minorHAnsi" w:cstheme="minorHAnsi"/>
                <w:iCs/>
                <w:noProof/>
                <w:sz w:val="20"/>
              </w:rPr>
            </w:pPr>
          </w:p>
        </w:tc>
        <w:tc>
          <w:tcPr>
            <w:tcW w:w="1262" w:type="dxa"/>
            <w:vMerge/>
            <w:vAlign w:val="center"/>
          </w:tcPr>
          <w:p w14:paraId="768CE47C" w14:textId="77777777" w:rsidR="00B91413" w:rsidRPr="00890249" w:rsidRDefault="00B91413" w:rsidP="004B59D6">
            <w:pPr>
              <w:jc w:val="center"/>
              <w:rPr>
                <w:rFonts w:asciiTheme="minorHAnsi" w:eastAsia="Times New Roman" w:hAnsiTheme="minorHAnsi" w:cstheme="minorHAnsi"/>
                <w:iCs/>
                <w:noProof/>
                <w:sz w:val="20"/>
              </w:rPr>
            </w:pPr>
          </w:p>
        </w:tc>
        <w:tc>
          <w:tcPr>
            <w:tcW w:w="1598" w:type="dxa"/>
          </w:tcPr>
          <w:p w14:paraId="16265B51" w14:textId="77777777" w:rsidR="00B91413" w:rsidRPr="00890249" w:rsidRDefault="00B91413" w:rsidP="004B59D6">
            <w:pPr>
              <w:pStyle w:val="Default"/>
              <w:rPr>
                <w:rFonts w:asciiTheme="minorHAnsi" w:eastAsia="Times New Roman" w:hAnsiTheme="minorHAnsi" w:cstheme="minorHAnsi"/>
                <w:iCs/>
                <w:noProof/>
                <w:sz w:val="20"/>
                <w:szCs w:val="20"/>
              </w:rPr>
            </w:pPr>
            <w:r w:rsidRPr="00890249">
              <w:rPr>
                <w:rFonts w:asciiTheme="minorHAnsi" w:eastAsia="Times New Roman" w:hAnsiTheme="minorHAnsi" w:cstheme="minorHAnsi"/>
                <w:iCs/>
                <w:noProof/>
                <w:sz w:val="20"/>
                <w:szCs w:val="20"/>
              </w:rPr>
              <w:t xml:space="preserve">03 </w:t>
            </w:r>
            <w:r w:rsidRPr="00890249">
              <w:rPr>
                <w:rFonts w:asciiTheme="minorHAnsi" w:hAnsiTheme="minorHAnsi" w:cstheme="minorHAnsi"/>
                <w:sz w:val="20"/>
                <w:szCs w:val="20"/>
              </w:rPr>
              <w:t>Wsparcie poprzez instrumenty finansowe: pożyczka</w:t>
            </w:r>
          </w:p>
        </w:tc>
        <w:tc>
          <w:tcPr>
            <w:tcW w:w="2229" w:type="dxa"/>
          </w:tcPr>
          <w:p w14:paraId="5889E60D" w14:textId="79603C19" w:rsidR="00B91413" w:rsidRPr="00890249" w:rsidRDefault="00723BB5"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3 530 000</w:t>
            </w:r>
          </w:p>
        </w:tc>
      </w:tr>
      <w:tr w:rsidR="004249F6" w:rsidRPr="00890249" w14:paraId="4ED9576B" w14:textId="77777777" w:rsidTr="004B59D6">
        <w:trPr>
          <w:trHeight w:val="360"/>
        </w:trPr>
        <w:tc>
          <w:tcPr>
            <w:tcW w:w="1528" w:type="dxa"/>
            <w:vMerge/>
            <w:vAlign w:val="center"/>
          </w:tcPr>
          <w:p w14:paraId="0FBB6E08" w14:textId="77777777" w:rsidR="004249F6" w:rsidRPr="00890249" w:rsidRDefault="004249F6" w:rsidP="004B59D6">
            <w:pPr>
              <w:jc w:val="center"/>
              <w:rPr>
                <w:rFonts w:asciiTheme="minorHAnsi" w:eastAsia="Times New Roman" w:hAnsiTheme="minorHAnsi" w:cstheme="minorHAnsi"/>
                <w:iCs/>
                <w:noProof/>
                <w:sz w:val="20"/>
              </w:rPr>
            </w:pPr>
          </w:p>
        </w:tc>
        <w:tc>
          <w:tcPr>
            <w:tcW w:w="1039" w:type="dxa"/>
            <w:vMerge/>
            <w:vAlign w:val="center"/>
          </w:tcPr>
          <w:p w14:paraId="2478D185" w14:textId="77777777" w:rsidR="004249F6" w:rsidRPr="00890249" w:rsidRDefault="004249F6" w:rsidP="004B59D6">
            <w:pPr>
              <w:jc w:val="center"/>
              <w:rPr>
                <w:rFonts w:asciiTheme="minorHAnsi" w:eastAsia="Times New Roman" w:hAnsiTheme="minorHAnsi" w:cstheme="minorHAnsi"/>
                <w:iCs/>
                <w:noProof/>
                <w:sz w:val="20"/>
              </w:rPr>
            </w:pPr>
          </w:p>
        </w:tc>
        <w:tc>
          <w:tcPr>
            <w:tcW w:w="1666" w:type="dxa"/>
            <w:vMerge/>
            <w:vAlign w:val="center"/>
          </w:tcPr>
          <w:p w14:paraId="4A0AA006" w14:textId="77777777" w:rsidR="004249F6" w:rsidRPr="00890249" w:rsidRDefault="004249F6" w:rsidP="004B59D6">
            <w:pPr>
              <w:jc w:val="center"/>
              <w:rPr>
                <w:rFonts w:asciiTheme="minorHAnsi" w:eastAsia="Times New Roman" w:hAnsiTheme="minorHAnsi" w:cstheme="minorHAnsi"/>
                <w:iCs/>
                <w:noProof/>
                <w:sz w:val="20"/>
              </w:rPr>
            </w:pPr>
          </w:p>
        </w:tc>
        <w:tc>
          <w:tcPr>
            <w:tcW w:w="1262" w:type="dxa"/>
            <w:vMerge/>
            <w:vAlign w:val="center"/>
          </w:tcPr>
          <w:p w14:paraId="14A9F5AD" w14:textId="77777777" w:rsidR="004249F6" w:rsidRPr="00890249" w:rsidRDefault="004249F6" w:rsidP="004B59D6">
            <w:pPr>
              <w:jc w:val="center"/>
              <w:rPr>
                <w:rFonts w:asciiTheme="minorHAnsi" w:eastAsia="Times New Roman" w:hAnsiTheme="minorHAnsi" w:cstheme="minorHAnsi"/>
                <w:iCs/>
                <w:noProof/>
                <w:sz w:val="20"/>
              </w:rPr>
            </w:pPr>
          </w:p>
        </w:tc>
        <w:tc>
          <w:tcPr>
            <w:tcW w:w="1598" w:type="dxa"/>
          </w:tcPr>
          <w:p w14:paraId="5742AC1D" w14:textId="77777777" w:rsidR="004249F6" w:rsidRPr="00890249" w:rsidRDefault="004249F6" w:rsidP="004B59D6">
            <w:pPr>
              <w:pStyle w:val="Default"/>
              <w:spacing w:before="120"/>
              <w:jc w:val="both"/>
              <w:rPr>
                <w:rFonts w:asciiTheme="minorHAnsi" w:hAnsiTheme="minorHAnsi" w:cstheme="minorHAnsi"/>
                <w:sz w:val="20"/>
                <w:szCs w:val="20"/>
              </w:rPr>
            </w:pPr>
            <w:r w:rsidRPr="00890249">
              <w:rPr>
                <w:rFonts w:asciiTheme="minorHAnsi" w:eastAsia="Times New Roman" w:hAnsiTheme="minorHAnsi" w:cstheme="minorHAnsi"/>
                <w:iCs/>
                <w:noProof/>
                <w:sz w:val="20"/>
                <w:szCs w:val="20"/>
              </w:rPr>
              <w:t xml:space="preserve">05 </w:t>
            </w:r>
            <w:r w:rsidRPr="00890249">
              <w:rPr>
                <w:rFonts w:asciiTheme="minorHAnsi" w:hAnsiTheme="minorHAnsi" w:cstheme="minorHAnsi"/>
                <w:sz w:val="20"/>
                <w:szCs w:val="20"/>
              </w:rPr>
              <w:t xml:space="preserve">Wsparcie poprzez instrumenty finansowe: dotacje w ramach operacji instrumentu finansowego </w:t>
            </w:r>
          </w:p>
          <w:p w14:paraId="33D1AC34" w14:textId="77777777" w:rsidR="004249F6" w:rsidRPr="00890249" w:rsidRDefault="004249F6" w:rsidP="004B59D6">
            <w:pPr>
              <w:pStyle w:val="Default"/>
              <w:rPr>
                <w:rFonts w:asciiTheme="minorHAnsi" w:hAnsiTheme="minorHAnsi" w:cstheme="minorHAnsi"/>
                <w:sz w:val="20"/>
              </w:rPr>
            </w:pPr>
          </w:p>
        </w:tc>
        <w:tc>
          <w:tcPr>
            <w:tcW w:w="2229" w:type="dxa"/>
          </w:tcPr>
          <w:p w14:paraId="0DC80E4D" w14:textId="07BE9427" w:rsidR="004249F6" w:rsidRPr="00890249" w:rsidDel="00D30EE6" w:rsidRDefault="00723BB5"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1 470 000</w:t>
            </w:r>
          </w:p>
        </w:tc>
      </w:tr>
    </w:tbl>
    <w:p w14:paraId="02FB8D99" w14:textId="77777777" w:rsidR="004249F6" w:rsidRPr="00890249" w:rsidRDefault="004249F6" w:rsidP="00D85A2D">
      <w:pPr>
        <w:spacing w:before="0"/>
        <w:rPr>
          <w:rFonts w:asciiTheme="minorHAnsi" w:hAnsiTheme="minorHAnsi" w:cstheme="minorHAnsi"/>
          <w:b/>
          <w:noProof/>
          <w:color w:val="FF0000"/>
          <w:sz w:val="22"/>
          <w:szCs w:val="22"/>
        </w:rPr>
      </w:pPr>
    </w:p>
    <w:tbl>
      <w:tblPr>
        <w:tblStyle w:val="Tabela-Siatka4"/>
        <w:tblW w:w="9322" w:type="dxa"/>
        <w:tblLook w:val="04A0" w:firstRow="1" w:lastRow="0" w:firstColumn="1" w:lastColumn="0" w:noHBand="0" w:noVBand="1"/>
      </w:tblPr>
      <w:tblGrid>
        <w:gridCol w:w="1489"/>
        <w:gridCol w:w="1028"/>
        <w:gridCol w:w="1618"/>
        <w:gridCol w:w="1563"/>
        <w:gridCol w:w="1520"/>
        <w:gridCol w:w="2104"/>
      </w:tblGrid>
      <w:tr w:rsidR="004249F6" w:rsidRPr="00890249" w14:paraId="04334F99" w14:textId="77777777" w:rsidTr="004B59D6">
        <w:tc>
          <w:tcPr>
            <w:tcW w:w="9322" w:type="dxa"/>
            <w:gridSpan w:val="6"/>
            <w:shd w:val="clear" w:color="auto" w:fill="D9D9D9" w:themeFill="background1" w:themeFillShade="D9"/>
          </w:tcPr>
          <w:p w14:paraId="0773E560" w14:textId="47CA2009"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F17884">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4249F6" w:rsidRPr="00890249" w14:paraId="083A0DBB" w14:textId="77777777" w:rsidTr="004B59D6">
        <w:tc>
          <w:tcPr>
            <w:tcW w:w="1566" w:type="dxa"/>
            <w:shd w:val="clear" w:color="auto" w:fill="F2F2F2" w:themeFill="background1" w:themeFillShade="F2"/>
          </w:tcPr>
          <w:p w14:paraId="3F816223"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619EA0D2"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1D8C95D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355E4FF9"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7E2ED3A0"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348" w:type="dxa"/>
            <w:shd w:val="clear" w:color="auto" w:fill="F2F2F2" w:themeFill="background1" w:themeFillShade="F2"/>
          </w:tcPr>
          <w:p w14:paraId="6579AEF6"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3EF72675" w14:textId="77777777" w:rsidTr="004B59D6">
        <w:tc>
          <w:tcPr>
            <w:tcW w:w="1566" w:type="dxa"/>
            <w:vAlign w:val="center"/>
          </w:tcPr>
          <w:p w14:paraId="362D63C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1</w:t>
            </w:r>
          </w:p>
        </w:tc>
        <w:tc>
          <w:tcPr>
            <w:tcW w:w="1051" w:type="dxa"/>
            <w:vAlign w:val="center"/>
          </w:tcPr>
          <w:p w14:paraId="065A710A"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15" w:type="dxa"/>
            <w:vAlign w:val="center"/>
          </w:tcPr>
          <w:p w14:paraId="56AF3DA3"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620" w:type="dxa"/>
          </w:tcPr>
          <w:p w14:paraId="1BDC681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(ii)</w:t>
            </w:r>
          </w:p>
        </w:tc>
        <w:tc>
          <w:tcPr>
            <w:tcW w:w="1022" w:type="dxa"/>
          </w:tcPr>
          <w:p w14:paraId="7192E877"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b/>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348" w:type="dxa"/>
          </w:tcPr>
          <w:p w14:paraId="2BED0575" w14:textId="303BC6AC" w:rsidR="00B72154" w:rsidRPr="00890249" w:rsidRDefault="00EA09A9" w:rsidP="00890249">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10 000 000</w:t>
            </w:r>
          </w:p>
        </w:tc>
      </w:tr>
    </w:tbl>
    <w:p w14:paraId="2A8B1EE3" w14:textId="77777777" w:rsidR="004249F6" w:rsidRPr="00890249" w:rsidRDefault="004249F6" w:rsidP="00D85A2D">
      <w:pPr>
        <w:spacing w:before="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4249F6" w:rsidRPr="00890249" w14:paraId="6B601971" w14:textId="77777777" w:rsidTr="004B59D6">
        <w:tc>
          <w:tcPr>
            <w:tcW w:w="9288" w:type="dxa"/>
            <w:gridSpan w:val="6"/>
            <w:shd w:val="clear" w:color="auto" w:fill="D9D9D9" w:themeFill="background1" w:themeFillShade="D9"/>
          </w:tcPr>
          <w:p w14:paraId="362CAFC6"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obszary tematyczne EFS+</w:t>
            </w:r>
          </w:p>
        </w:tc>
      </w:tr>
      <w:tr w:rsidR="004249F6" w:rsidRPr="00890249" w14:paraId="2BEA57C8" w14:textId="77777777" w:rsidTr="004B59D6">
        <w:tc>
          <w:tcPr>
            <w:tcW w:w="1599" w:type="dxa"/>
            <w:shd w:val="clear" w:color="auto" w:fill="F2F2F2" w:themeFill="background1" w:themeFillShade="F2"/>
          </w:tcPr>
          <w:p w14:paraId="60BCEE13"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4B0629A4"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46785125"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0CDC6B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414E39B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710A1C3E"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53AED7BB" w14:textId="77777777" w:rsidTr="004B59D6">
        <w:tc>
          <w:tcPr>
            <w:tcW w:w="1599" w:type="dxa"/>
            <w:vAlign w:val="center"/>
          </w:tcPr>
          <w:p w14:paraId="583664C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1</w:t>
            </w:r>
          </w:p>
        </w:tc>
        <w:tc>
          <w:tcPr>
            <w:tcW w:w="1061" w:type="dxa"/>
            <w:vAlign w:val="center"/>
          </w:tcPr>
          <w:p w14:paraId="39C601D0"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7C404D45"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49E13F8F"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61503594"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5D24466E"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7596FEBE" w14:textId="77777777" w:rsidR="004249F6" w:rsidRPr="00890249" w:rsidRDefault="004249F6" w:rsidP="00D85A2D">
      <w:pPr>
        <w:spacing w:before="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4249F6" w:rsidRPr="00890249" w14:paraId="6CD18C9D" w14:textId="77777777" w:rsidTr="004B59D6">
        <w:tc>
          <w:tcPr>
            <w:tcW w:w="9322" w:type="dxa"/>
            <w:gridSpan w:val="6"/>
            <w:shd w:val="clear" w:color="auto" w:fill="D9D9D9" w:themeFill="background1" w:themeFillShade="D9"/>
          </w:tcPr>
          <w:p w14:paraId="3CB7A8BF" w14:textId="77777777" w:rsidR="004249F6" w:rsidRPr="00890249" w:rsidRDefault="004249F6" w:rsidP="004B59D6">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4249F6" w:rsidRPr="00890249" w14:paraId="7DB47FB1" w14:textId="77777777" w:rsidTr="004B59D6">
        <w:tc>
          <w:tcPr>
            <w:tcW w:w="1570" w:type="dxa"/>
            <w:shd w:val="clear" w:color="auto" w:fill="F2F2F2" w:themeFill="background1" w:themeFillShade="F2"/>
          </w:tcPr>
          <w:p w14:paraId="3E0C4C16"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78CFB4F1"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535D704B"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42A9D911"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08F949A1"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5E8A60E8"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4249F6" w:rsidRPr="00890249" w14:paraId="421FF322" w14:textId="77777777" w:rsidTr="004B59D6">
        <w:tc>
          <w:tcPr>
            <w:tcW w:w="1570" w:type="dxa"/>
            <w:vAlign w:val="center"/>
          </w:tcPr>
          <w:p w14:paraId="10939A39" w14:textId="77777777" w:rsidR="004249F6" w:rsidRPr="00890249" w:rsidRDefault="004249F6" w:rsidP="004B59D6">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1</w:t>
            </w:r>
          </w:p>
        </w:tc>
        <w:tc>
          <w:tcPr>
            <w:tcW w:w="1360" w:type="dxa"/>
            <w:vAlign w:val="center"/>
          </w:tcPr>
          <w:p w14:paraId="099025FF" w14:textId="77777777" w:rsidR="004249F6" w:rsidRPr="00890249" w:rsidRDefault="004249F6" w:rsidP="004B59D6">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7A0E5E55" w14:textId="77777777" w:rsidR="004249F6" w:rsidRPr="00890249" w:rsidRDefault="004249F6" w:rsidP="004B59D6">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vAlign w:val="center"/>
          </w:tcPr>
          <w:p w14:paraId="1445D3A6" w14:textId="77777777" w:rsidR="004249F6" w:rsidRPr="00890249" w:rsidRDefault="004249F6" w:rsidP="004B59D6">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(ii)</w:t>
            </w:r>
          </w:p>
        </w:tc>
        <w:tc>
          <w:tcPr>
            <w:tcW w:w="1026" w:type="dxa"/>
            <w:shd w:val="clear" w:color="auto" w:fill="auto"/>
            <w:vAlign w:val="center"/>
          </w:tcPr>
          <w:p w14:paraId="55D54904" w14:textId="6CD216D8" w:rsidR="004249F6" w:rsidRPr="00890249" w:rsidRDefault="002F0631" w:rsidP="004B59D6">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725F03C1" w14:textId="6BE45001" w:rsidR="004249F6" w:rsidRPr="00890249" w:rsidRDefault="00EA09A9" w:rsidP="004B59D6">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10 000 000</w:t>
            </w:r>
          </w:p>
        </w:tc>
      </w:tr>
    </w:tbl>
    <w:p w14:paraId="14033354" w14:textId="77777777" w:rsidR="00234FEB" w:rsidRPr="00890249" w:rsidRDefault="00234FEB" w:rsidP="00A36662">
      <w:pPr>
        <w:spacing w:before="0" w:after="160" w:line="259" w:lineRule="auto"/>
        <w:jc w:val="left"/>
        <w:rPr>
          <w:rFonts w:asciiTheme="minorHAnsi" w:hAnsiTheme="minorHAnsi" w:cstheme="minorHAnsi"/>
          <w:b/>
          <w:noProof/>
          <w:color w:val="FF0000"/>
          <w:sz w:val="22"/>
          <w:szCs w:val="22"/>
        </w:rPr>
      </w:pPr>
    </w:p>
    <w:p w14:paraId="59D4E692" w14:textId="77777777" w:rsidR="009D6802" w:rsidRPr="00890249" w:rsidRDefault="00234FEB" w:rsidP="00A36662">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2E498BAD" w14:textId="77777777" w:rsidR="006452BC" w:rsidRPr="00890249" w:rsidRDefault="006452BC" w:rsidP="006452BC">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2.1.1.3 (iii) Cel szczegółowy</w:t>
      </w:r>
    </w:p>
    <w:p w14:paraId="56802850" w14:textId="77777777" w:rsidR="006452BC" w:rsidRPr="00890249" w:rsidRDefault="006452BC" w:rsidP="006452BC">
      <w:pPr>
        <w:rPr>
          <w:rFonts w:asciiTheme="minorHAnsi" w:hAnsiTheme="minorHAnsi" w:cstheme="minorHAnsi"/>
          <w:b/>
          <w:i/>
          <w:noProof/>
          <w:color w:val="2F5496" w:themeColor="accent5" w:themeShade="BF"/>
          <w:szCs w:val="24"/>
        </w:rPr>
      </w:pPr>
      <w:r w:rsidRPr="00890249">
        <w:rPr>
          <w:rFonts w:asciiTheme="minorHAnsi" w:hAnsiTheme="minorHAnsi" w:cstheme="minorHAnsi"/>
          <w:b/>
          <w:noProof/>
          <w:color w:val="2F5496" w:themeColor="accent5" w:themeShade="BF"/>
          <w:szCs w:val="24"/>
        </w:rPr>
        <w:t>(iii) Wzmacnianie trwałego wzrostu i konkurencyjności MŚP oraz tworzenie miejsc pracy w MŚP, w tym poprzez inwestycje produkcyjne</w:t>
      </w:r>
    </w:p>
    <w:p w14:paraId="0D97754F" w14:textId="77777777" w:rsidR="006452BC" w:rsidRPr="00890249" w:rsidRDefault="006452BC" w:rsidP="006452B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2.1.1.3.1 (iii) Interwencje w ramach funduszy</w:t>
      </w:r>
    </w:p>
    <w:p w14:paraId="067C0EED" w14:textId="77777777" w:rsidR="006452BC" w:rsidRPr="00890249" w:rsidRDefault="006452BC" w:rsidP="006452B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6E12644A" w14:textId="636CE15A" w:rsidR="0093433C" w:rsidRPr="00890249" w:rsidRDefault="0006341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celu szczegółow</w:t>
      </w:r>
      <w:r w:rsidR="00F26C1B" w:rsidRPr="00890249">
        <w:rPr>
          <w:rFonts w:asciiTheme="minorHAnsi" w:hAnsiTheme="minorHAnsi" w:cstheme="minorHAnsi"/>
          <w:noProof/>
          <w:sz w:val="22"/>
          <w:szCs w:val="22"/>
        </w:rPr>
        <w:t>ego</w:t>
      </w:r>
      <w:r w:rsidRPr="00890249">
        <w:rPr>
          <w:rFonts w:asciiTheme="minorHAnsi" w:hAnsiTheme="minorHAnsi" w:cstheme="minorHAnsi"/>
          <w:noProof/>
          <w:sz w:val="22"/>
          <w:szCs w:val="22"/>
        </w:rPr>
        <w:t xml:space="preserve"> (iii) realizowane będą działania ukierunkowane na</w:t>
      </w:r>
      <w:r w:rsidR="005E19C4" w:rsidRPr="00890249">
        <w:rPr>
          <w:rFonts w:asciiTheme="minorHAnsi" w:hAnsiTheme="minorHAnsi" w:cstheme="minorHAnsi"/>
          <w:noProof/>
          <w:sz w:val="22"/>
          <w:szCs w:val="22"/>
        </w:rPr>
        <w:t xml:space="preserve"> pobudzenie wzrostu liczby podmiotów gospodarczych, </w:t>
      </w:r>
      <w:r w:rsidRPr="00890249">
        <w:rPr>
          <w:rFonts w:asciiTheme="minorHAnsi" w:hAnsiTheme="minorHAnsi" w:cstheme="minorHAnsi"/>
          <w:noProof/>
          <w:sz w:val="22"/>
          <w:szCs w:val="22"/>
        </w:rPr>
        <w:t>rozwój potencjału regionalnych przedsiebiorstw oraz zwiekszeni</w:t>
      </w:r>
      <w:r w:rsidR="00C13709" w:rsidRPr="00890249">
        <w:rPr>
          <w:rFonts w:asciiTheme="minorHAnsi" w:hAnsiTheme="minorHAnsi" w:cstheme="minorHAnsi"/>
          <w:noProof/>
          <w:sz w:val="22"/>
          <w:szCs w:val="22"/>
        </w:rPr>
        <w:t>e</w:t>
      </w:r>
      <w:r w:rsidRPr="00890249">
        <w:rPr>
          <w:rFonts w:asciiTheme="minorHAnsi" w:hAnsiTheme="minorHAnsi" w:cstheme="minorHAnsi"/>
          <w:noProof/>
          <w:sz w:val="22"/>
          <w:szCs w:val="22"/>
        </w:rPr>
        <w:t xml:space="preserve"> liczby miejsc pracy w sektorze MŚP</w:t>
      </w:r>
      <w:r w:rsidR="005E19C4"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t>
      </w:r>
      <w:r w:rsidR="00B44A0A" w:rsidRPr="00890249">
        <w:rPr>
          <w:rFonts w:asciiTheme="minorHAnsi" w:hAnsiTheme="minorHAnsi" w:cstheme="minorHAnsi"/>
          <w:noProof/>
          <w:sz w:val="22"/>
          <w:szCs w:val="22"/>
        </w:rPr>
        <w:t xml:space="preserve">W 2020 r. liczba przedsiębiorstw niefinansowych prowadzących działalność gospodarczą wynosiła 47,0 na 1 </w:t>
      </w:r>
      <w:r w:rsidR="005755CA" w:rsidRPr="00890249">
        <w:rPr>
          <w:rFonts w:asciiTheme="minorHAnsi" w:hAnsiTheme="minorHAnsi" w:cstheme="minorHAnsi"/>
          <w:noProof/>
          <w:sz w:val="22"/>
          <w:szCs w:val="22"/>
        </w:rPr>
        <w:t>000 mieszkańców</w:t>
      </w:r>
      <w:r w:rsidR="00F26C1B" w:rsidRPr="00890249">
        <w:rPr>
          <w:rFonts w:asciiTheme="minorHAnsi" w:hAnsiTheme="minorHAnsi" w:cstheme="minorHAnsi"/>
          <w:noProof/>
          <w:sz w:val="22"/>
          <w:szCs w:val="22"/>
        </w:rPr>
        <w:t>,</w:t>
      </w:r>
      <w:r w:rsidR="005755CA" w:rsidRPr="00890249">
        <w:rPr>
          <w:rFonts w:asciiTheme="minorHAnsi" w:hAnsiTheme="minorHAnsi" w:cstheme="minorHAnsi"/>
          <w:noProof/>
          <w:sz w:val="22"/>
          <w:szCs w:val="22"/>
        </w:rPr>
        <w:t xml:space="preserve"> co daje bardzo odległe</w:t>
      </w:r>
      <w:r w:rsidR="00F26C1B" w:rsidRPr="00890249">
        <w:rPr>
          <w:rFonts w:asciiTheme="minorHAnsi" w:hAnsiTheme="minorHAnsi" w:cstheme="minorHAnsi"/>
          <w:noProof/>
          <w:sz w:val="22"/>
          <w:szCs w:val="22"/>
        </w:rPr>
        <w:t>,</w:t>
      </w:r>
      <w:r w:rsidR="005755CA" w:rsidRPr="00890249">
        <w:rPr>
          <w:rFonts w:asciiTheme="minorHAnsi" w:hAnsiTheme="minorHAnsi" w:cstheme="minorHAnsi"/>
          <w:noProof/>
          <w:sz w:val="22"/>
          <w:szCs w:val="22"/>
        </w:rPr>
        <w:t xml:space="preserve"> bo 13 miejsce w stosunku do pozostałych </w:t>
      </w:r>
      <w:r w:rsidR="005E19C4" w:rsidRPr="00890249">
        <w:rPr>
          <w:rFonts w:asciiTheme="minorHAnsi" w:hAnsiTheme="minorHAnsi" w:cstheme="minorHAnsi"/>
          <w:noProof/>
          <w:sz w:val="22"/>
          <w:szCs w:val="22"/>
        </w:rPr>
        <w:t>województw</w:t>
      </w:r>
      <w:r w:rsidR="005E19C4" w:rsidRPr="00890249">
        <w:rPr>
          <w:rStyle w:val="Odwoanieprzypisudolnego"/>
          <w:rFonts w:asciiTheme="minorHAnsi" w:hAnsiTheme="minorHAnsi" w:cstheme="minorHAnsi"/>
          <w:noProof/>
          <w:sz w:val="22"/>
          <w:szCs w:val="22"/>
        </w:rPr>
        <w:footnoteReference w:id="95"/>
      </w:r>
      <w:r w:rsidR="005755CA" w:rsidRPr="00890249">
        <w:rPr>
          <w:rFonts w:asciiTheme="minorHAnsi" w:hAnsiTheme="minorHAnsi" w:cstheme="minorHAnsi"/>
          <w:noProof/>
          <w:sz w:val="22"/>
          <w:szCs w:val="22"/>
        </w:rPr>
        <w:t xml:space="preserve">. </w:t>
      </w:r>
      <w:r w:rsidR="00B44A0A" w:rsidRPr="00890249">
        <w:rPr>
          <w:rFonts w:asciiTheme="minorHAnsi" w:hAnsiTheme="minorHAnsi" w:cstheme="minorHAnsi"/>
          <w:noProof/>
          <w:sz w:val="22"/>
          <w:szCs w:val="22"/>
        </w:rPr>
        <w:t>Niski poziom przedsiębiorczości prowadzi do pogłębiania się luki przedsiębiorczości wz</w:t>
      </w:r>
      <w:r w:rsidR="005755CA" w:rsidRPr="00890249">
        <w:rPr>
          <w:rFonts w:asciiTheme="minorHAnsi" w:hAnsiTheme="minorHAnsi" w:cstheme="minorHAnsi"/>
          <w:noProof/>
          <w:sz w:val="22"/>
          <w:szCs w:val="22"/>
        </w:rPr>
        <w:t>ględem średniej dla Polski (59,0</w:t>
      </w:r>
      <w:r w:rsidR="00B44A0A" w:rsidRPr="00890249">
        <w:rPr>
          <w:rFonts w:asciiTheme="minorHAnsi" w:hAnsiTheme="minorHAnsi" w:cstheme="minorHAnsi"/>
          <w:noProof/>
          <w:sz w:val="22"/>
          <w:szCs w:val="22"/>
        </w:rPr>
        <w:t>). W rankingu PARP pod względem syntetycznego wskaźnika przedsiębiorczości województwo zajmuje 11 miejsce</w:t>
      </w:r>
      <w:r w:rsidR="00B44A0A" w:rsidRPr="00890249">
        <w:rPr>
          <w:rFonts w:asciiTheme="minorHAnsi" w:hAnsiTheme="minorHAnsi" w:cstheme="minorHAnsi"/>
          <w:noProof/>
          <w:sz w:val="22"/>
          <w:szCs w:val="22"/>
          <w:vertAlign w:val="superscript"/>
        </w:rPr>
        <w:footnoteReference w:id="96"/>
      </w:r>
      <w:r w:rsidR="00B44A0A" w:rsidRPr="00890249">
        <w:rPr>
          <w:rFonts w:asciiTheme="minorHAnsi" w:hAnsiTheme="minorHAnsi" w:cstheme="minorHAnsi"/>
          <w:noProof/>
          <w:sz w:val="22"/>
          <w:szCs w:val="22"/>
        </w:rPr>
        <w:t>.</w:t>
      </w:r>
    </w:p>
    <w:p w14:paraId="3FCB4F54" w14:textId="2B37AF09" w:rsidR="0093433C" w:rsidRPr="00890249" w:rsidRDefault="00C13709"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Obserwuj</w:t>
      </w:r>
      <w:r w:rsidR="001B10DF" w:rsidRPr="00890249">
        <w:rPr>
          <w:rFonts w:asciiTheme="minorHAnsi" w:hAnsiTheme="minorHAnsi" w:cstheme="minorHAnsi"/>
          <w:noProof/>
          <w:sz w:val="22"/>
          <w:szCs w:val="22"/>
        </w:rPr>
        <w:t>ą</w:t>
      </w:r>
      <w:r w:rsidRPr="00890249">
        <w:rPr>
          <w:rFonts w:asciiTheme="minorHAnsi" w:hAnsiTheme="minorHAnsi" w:cstheme="minorHAnsi"/>
          <w:noProof/>
          <w:sz w:val="22"/>
          <w:szCs w:val="22"/>
        </w:rPr>
        <w:t>c rankingi oraz analizy aktywnych MŚP w kraju oraz widoczne odległe miejsce regionu w</w:t>
      </w:r>
      <w:r w:rsidR="0013754F" w:rsidRPr="00890249">
        <w:rPr>
          <w:rFonts w:asciiTheme="minorHAnsi" w:hAnsiTheme="minorHAnsi" w:cstheme="minorHAnsi"/>
          <w:noProof/>
          <w:sz w:val="22"/>
          <w:szCs w:val="22"/>
        </w:rPr>
        <w:t>ymagana jest silniejsza koncentracja na działaniach pozwalających</w:t>
      </w:r>
      <w:r w:rsidR="0013754F" w:rsidRPr="00890249">
        <w:rPr>
          <w:rFonts w:asciiTheme="minorHAnsi" w:hAnsiTheme="minorHAnsi" w:cstheme="minorHAnsi"/>
          <w:sz w:val="22"/>
          <w:szCs w:val="22"/>
        </w:rPr>
        <w:t>, aby Opolszczyzna mogła się stać konkurencyjna i mogła dorównać w tym zakresie innym regionom, a przynajmniej widocznie zmniejszyć do nich</w:t>
      </w:r>
      <w:r w:rsidR="00CE186D" w:rsidRPr="00890249">
        <w:rPr>
          <w:rFonts w:asciiTheme="minorHAnsi" w:hAnsiTheme="minorHAnsi" w:cstheme="minorHAnsi"/>
          <w:sz w:val="22"/>
          <w:szCs w:val="22"/>
        </w:rPr>
        <w:t xml:space="preserve"> dystans</w:t>
      </w:r>
      <w:r w:rsidR="0013754F" w:rsidRPr="00890249">
        <w:rPr>
          <w:rFonts w:asciiTheme="minorHAnsi" w:hAnsiTheme="minorHAnsi" w:cstheme="minorHAnsi"/>
          <w:sz w:val="22"/>
          <w:szCs w:val="22"/>
        </w:rPr>
        <w:t xml:space="preserve">. Niezbędne jest położenie dużego nacisku na obszar innowacyjności </w:t>
      </w:r>
      <w:r w:rsidR="00BB5479" w:rsidRPr="00890249">
        <w:rPr>
          <w:rFonts w:asciiTheme="minorHAnsi" w:hAnsiTheme="minorHAnsi" w:cstheme="minorHAnsi"/>
          <w:sz w:val="22"/>
          <w:szCs w:val="22"/>
        </w:rPr>
        <w:br/>
      </w:r>
      <w:r w:rsidR="0013754F" w:rsidRPr="00890249">
        <w:rPr>
          <w:rFonts w:asciiTheme="minorHAnsi" w:hAnsiTheme="minorHAnsi" w:cstheme="minorHAnsi"/>
          <w:sz w:val="22"/>
          <w:szCs w:val="22"/>
        </w:rPr>
        <w:t xml:space="preserve">i konkurencyjności oraz jego znaczne wzmocnienie w perspektywie finansowej 2021-2027. </w:t>
      </w:r>
    </w:p>
    <w:p w14:paraId="17E23ADB" w14:textId="32AB6BCC" w:rsidR="0093433C" w:rsidRPr="00890249" w:rsidRDefault="00F26C1B"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Interwencja publiczna w latach 2021-2027 obejmować będzie m.in. wsparcie infrastruktury w MŚP, niezbędnej do podniesienia poziomu przedsiębiorczości w regionie. Oferowane wsparcie będzie miało charakter kompleksowy i obejmie pomoc na każdym etapie prowadzenia działalności począwszy od jej rozpoczęcia, m.in. poprzez doradztwo w przygotowaniu biznesplanu, badania rynku, aż po wsparcie infrastruktury, czy też szkolenia.</w:t>
      </w:r>
    </w:p>
    <w:p w14:paraId="5CF8948F" w14:textId="77777777" w:rsidR="0093433C" w:rsidRPr="00890249" w:rsidRDefault="00AF00F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perspektywie finansowej 2014-2020 wsparcie IOB m.in. poprzez dofinansowanie kosztów świadczenia wybranych usług dla przedsiębiorców przyczyniło się do osiągnięcia </w:t>
      </w:r>
      <w:r w:rsidR="00F26C1B" w:rsidRPr="00890249">
        <w:rPr>
          <w:rFonts w:asciiTheme="minorHAnsi" w:hAnsiTheme="minorHAnsi" w:cstheme="minorHAnsi"/>
          <w:noProof/>
          <w:sz w:val="22"/>
          <w:szCs w:val="22"/>
        </w:rPr>
        <w:t>następujących celów</w:t>
      </w:r>
      <w:r w:rsidRPr="00890249">
        <w:rPr>
          <w:rFonts w:asciiTheme="minorHAnsi" w:hAnsiTheme="minorHAnsi" w:cstheme="minorHAnsi"/>
          <w:noProof/>
          <w:sz w:val="22"/>
          <w:szCs w:val="22"/>
        </w:rPr>
        <w:t xml:space="preserve">:  </w:t>
      </w:r>
    </w:p>
    <w:p w14:paraId="47682A36" w14:textId="77777777" w:rsidR="0093433C" w:rsidRPr="00890249" w:rsidRDefault="00AF00F7" w:rsidP="009F296A">
      <w:pPr>
        <w:pStyle w:val="Listapunktowana2"/>
        <w:numPr>
          <w:ilvl w:val="0"/>
          <w:numId w:val="23"/>
        </w:numPr>
        <w:rPr>
          <w:rFonts w:asciiTheme="minorHAnsi" w:hAnsiTheme="minorHAnsi" w:cstheme="minorHAnsi"/>
          <w:noProof/>
          <w:sz w:val="22"/>
          <w:szCs w:val="22"/>
        </w:rPr>
      </w:pPr>
      <w:r w:rsidRPr="00890249">
        <w:rPr>
          <w:rFonts w:asciiTheme="minorHAnsi" w:hAnsiTheme="minorHAnsi" w:cstheme="minorHAnsi"/>
          <w:noProof/>
          <w:sz w:val="22"/>
          <w:szCs w:val="22"/>
        </w:rPr>
        <w:t xml:space="preserve">zwiększenie oferty usług okołobiznesowych, świadczonych na rzecz rozwoju innowacyjnej gospodarki, </w:t>
      </w:r>
    </w:p>
    <w:p w14:paraId="0228218D" w14:textId="77777777" w:rsidR="0093433C" w:rsidRPr="00890249" w:rsidRDefault="00AF00F7" w:rsidP="009F296A">
      <w:pPr>
        <w:pStyle w:val="Listapunktowana2"/>
        <w:numPr>
          <w:ilvl w:val="0"/>
          <w:numId w:val="23"/>
        </w:numPr>
        <w:rPr>
          <w:rFonts w:asciiTheme="minorHAnsi" w:hAnsiTheme="minorHAnsi" w:cstheme="minorHAnsi"/>
          <w:noProof/>
          <w:sz w:val="22"/>
          <w:szCs w:val="22"/>
        </w:rPr>
      </w:pPr>
      <w:r w:rsidRPr="00890249">
        <w:rPr>
          <w:rFonts w:asciiTheme="minorHAnsi" w:hAnsiTheme="minorHAnsi" w:cstheme="minorHAnsi"/>
          <w:noProof/>
          <w:sz w:val="22"/>
          <w:szCs w:val="22"/>
        </w:rPr>
        <w:t xml:space="preserve">wzmocnienie współpracy sektora IOB z przedsiębiorstwami, </w:t>
      </w:r>
    </w:p>
    <w:p w14:paraId="589BE015" w14:textId="77777777" w:rsidR="0093433C" w:rsidRPr="00890249" w:rsidRDefault="00AF00F7" w:rsidP="009F296A">
      <w:pPr>
        <w:pStyle w:val="Listapunktowana2"/>
        <w:numPr>
          <w:ilvl w:val="0"/>
          <w:numId w:val="23"/>
        </w:numPr>
        <w:rPr>
          <w:rFonts w:asciiTheme="minorHAnsi" w:hAnsiTheme="minorHAnsi" w:cstheme="minorHAnsi"/>
          <w:noProof/>
          <w:sz w:val="22"/>
          <w:szCs w:val="22"/>
        </w:rPr>
      </w:pPr>
      <w:r w:rsidRPr="00890249">
        <w:rPr>
          <w:rFonts w:asciiTheme="minorHAnsi" w:hAnsiTheme="minorHAnsi" w:cstheme="minorHAnsi"/>
          <w:noProof/>
          <w:sz w:val="22"/>
          <w:szCs w:val="22"/>
        </w:rPr>
        <w:t>wzmocnienie promocji innowacyjności i przedsiębiorczości,</w:t>
      </w:r>
    </w:p>
    <w:p w14:paraId="6EF078DE" w14:textId="77777777" w:rsidR="0093433C" w:rsidRPr="00890249" w:rsidRDefault="00AF00F7" w:rsidP="009F296A">
      <w:pPr>
        <w:pStyle w:val="Listapunktowana2"/>
        <w:numPr>
          <w:ilvl w:val="0"/>
          <w:numId w:val="23"/>
        </w:numPr>
        <w:rPr>
          <w:rFonts w:asciiTheme="minorHAnsi" w:hAnsiTheme="minorHAnsi" w:cstheme="minorHAnsi"/>
          <w:noProof/>
          <w:sz w:val="22"/>
          <w:szCs w:val="22"/>
        </w:rPr>
      </w:pPr>
      <w:r w:rsidRPr="00890249">
        <w:rPr>
          <w:rFonts w:asciiTheme="minorHAnsi" w:hAnsiTheme="minorHAnsi" w:cstheme="minorHAnsi"/>
          <w:noProof/>
          <w:sz w:val="22"/>
          <w:szCs w:val="22"/>
        </w:rPr>
        <w:t>upowszechnianie praktyk proinnowacyjnych, zwłaszcza wśród przedsiębiorców instytucji publicznych, poprzez komercjalizację wynalazków i wiedzy.</w:t>
      </w:r>
    </w:p>
    <w:p w14:paraId="1A59DB6E" w14:textId="77777777" w:rsidR="0093433C" w:rsidRPr="00890249" w:rsidRDefault="00E374E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Niezbędne jest dalsze inwestowanie w profesjonalizację i podnoszenie jakości usług świadczonych przez IOB na rzecz MŚP. KSRR 2030 jako jeden z kierunków działań wskazuje dalsze wspieranie systemu popytowego</w:t>
      </w:r>
      <w:r w:rsidRPr="00890249">
        <w:rPr>
          <w:rFonts w:asciiTheme="minorHAnsi" w:hAnsiTheme="minorHAnsi" w:cstheme="minorHAnsi"/>
          <w:noProof/>
          <w:sz w:val="22"/>
          <w:szCs w:val="22"/>
          <w:vertAlign w:val="superscript"/>
        </w:rPr>
        <w:footnoteReference w:id="97"/>
      </w:r>
      <w:r w:rsidRPr="00890249">
        <w:rPr>
          <w:rFonts w:asciiTheme="minorHAnsi" w:hAnsiTheme="minorHAnsi" w:cstheme="minorHAnsi"/>
          <w:noProof/>
          <w:sz w:val="22"/>
          <w:szCs w:val="22"/>
        </w:rPr>
        <w:t xml:space="preserve">. </w:t>
      </w:r>
    </w:p>
    <w:p w14:paraId="0443CB54" w14:textId="77777777" w:rsidR="0093433C" w:rsidRPr="00890249" w:rsidRDefault="00E374E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Wnioski z dokumentów regionalnych znajdują potwierdzenie w opracowaniach KE, </w:t>
      </w:r>
      <w:r w:rsidRPr="00890249">
        <w:rPr>
          <w:rFonts w:asciiTheme="minorHAnsi" w:hAnsiTheme="minorHAnsi" w:cstheme="minorHAnsi"/>
          <w:noProof/>
          <w:sz w:val="22"/>
          <w:szCs w:val="22"/>
        </w:rPr>
        <w:br/>
        <w:t xml:space="preserve">w których wskazuje się na konieczność dalszego wspierania działań zwiększających wydajność </w:t>
      </w:r>
      <w:r w:rsidRPr="00890249">
        <w:rPr>
          <w:rFonts w:asciiTheme="minorHAnsi" w:hAnsiTheme="minorHAnsi" w:cstheme="minorHAnsi"/>
          <w:noProof/>
          <w:sz w:val="22"/>
          <w:szCs w:val="22"/>
        </w:rPr>
        <w:br/>
        <w:t>i poprawiających konkurencyjność MŚP oraz stymulowanie środowiska przedsiębiorczości, a także  ułatwianie dostępu do zaawansowanych usług dla przedsiębiorstw</w:t>
      </w:r>
      <w:r w:rsidRPr="00890249">
        <w:rPr>
          <w:rFonts w:asciiTheme="minorHAnsi" w:hAnsiTheme="minorHAnsi" w:cstheme="minorHAnsi"/>
          <w:noProof/>
          <w:sz w:val="22"/>
          <w:szCs w:val="22"/>
          <w:vertAlign w:val="superscript"/>
        </w:rPr>
        <w:footnoteReference w:id="98"/>
      </w:r>
      <w:r w:rsidRPr="00890249">
        <w:rPr>
          <w:rFonts w:asciiTheme="minorHAnsi" w:hAnsiTheme="minorHAnsi" w:cstheme="minorHAnsi"/>
          <w:noProof/>
          <w:sz w:val="22"/>
          <w:szCs w:val="22"/>
        </w:rPr>
        <w:t xml:space="preserve">. </w:t>
      </w:r>
    </w:p>
    <w:p w14:paraId="37DC0A1E" w14:textId="005B3C6F" w:rsidR="0093433C" w:rsidRPr="00890249" w:rsidRDefault="0093433C" w:rsidP="00890249">
      <w:pPr>
        <w:pStyle w:val="Tekstpodstawowy"/>
        <w:rPr>
          <w:rFonts w:asciiTheme="minorHAnsi" w:hAnsiTheme="minorHAnsi" w:cstheme="minorHAnsi"/>
          <w:sz w:val="22"/>
          <w:szCs w:val="22"/>
        </w:rPr>
      </w:pPr>
    </w:p>
    <w:p w14:paraId="523E579A" w14:textId="7414104B" w:rsidR="007038AC" w:rsidRDefault="00F26C1B"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lastRenderedPageBreak/>
        <w:t xml:space="preserve">W ramach cs (iii) wspierane będą przedsięwzięcia mające na celu tworzenie produktów i usług </w:t>
      </w:r>
      <w:r w:rsidR="00BB5479" w:rsidRPr="00890249">
        <w:rPr>
          <w:rFonts w:asciiTheme="minorHAnsi" w:hAnsiTheme="minorHAnsi" w:cstheme="minorHAnsi"/>
          <w:sz w:val="22"/>
          <w:szCs w:val="22"/>
        </w:rPr>
        <w:br/>
      </w:r>
      <w:r w:rsidRPr="00890249">
        <w:rPr>
          <w:rFonts w:asciiTheme="minorHAnsi" w:hAnsiTheme="minorHAnsi" w:cstheme="minorHAnsi"/>
          <w:sz w:val="22"/>
          <w:szCs w:val="22"/>
        </w:rPr>
        <w:t>o zaawansowanych możliwościach z istotnym wkładem technologicznym. Realizowane projekty będą polegać m.in. na rozbudowie MŚP, prowadzącej do wprowadzenia na rynek nowych produktów/usług, zmianie procesu produkcyjnego lub sposobu świadczenia usług, a także inwestycjach w nowoczesne maszyny i sprzęt produkcyjny.</w:t>
      </w:r>
      <w:r w:rsidR="00227A2E">
        <w:rPr>
          <w:rFonts w:asciiTheme="minorHAnsi" w:hAnsiTheme="minorHAnsi" w:cstheme="minorHAnsi"/>
          <w:sz w:val="22"/>
          <w:szCs w:val="22"/>
        </w:rPr>
        <w:t xml:space="preserve"> </w:t>
      </w:r>
    </w:p>
    <w:p w14:paraId="45DD56AA" w14:textId="30DE397E" w:rsidR="0093433C" w:rsidRPr="00890249" w:rsidRDefault="000D3982" w:rsidP="00890249">
      <w:pPr>
        <w:pStyle w:val="Tekstpodstawowy"/>
        <w:rPr>
          <w:rFonts w:asciiTheme="minorHAnsi" w:hAnsiTheme="minorHAnsi" w:cstheme="minorHAnsi"/>
          <w:noProof/>
          <w:sz w:val="22"/>
          <w:szCs w:val="22"/>
        </w:rPr>
      </w:pPr>
      <w:r w:rsidRPr="001714D8">
        <w:rPr>
          <w:rFonts w:ascii="Calibri" w:hAnsi="Calibri" w:cs="Calibri"/>
          <w:sz w:val="22"/>
          <w:szCs w:val="18"/>
        </w:rPr>
        <w:t>Powódź, która we wrześniu 2024 roku dotknęła południowo – zachodnią część Polski objęła swoim zasięgiem znaczną część województwa opolskiego, gdzie dokonała nieodwracalnych zniszczeń. Ucierpiały gminy położone na terenie powiatów</w:t>
      </w:r>
      <w:r w:rsidRPr="001714D8">
        <w:rPr>
          <w:rStyle w:val="Odwoanieprzypisudolnego"/>
          <w:rFonts w:ascii="Calibri" w:hAnsi="Calibri" w:cs="Calibri"/>
          <w:sz w:val="22"/>
          <w:szCs w:val="18"/>
        </w:rPr>
        <w:footnoteReference w:id="99"/>
      </w:r>
      <w:r w:rsidRPr="001714D8">
        <w:rPr>
          <w:rFonts w:ascii="Calibri" w:hAnsi="Calibri" w:cs="Calibri"/>
          <w:sz w:val="22"/>
          <w:szCs w:val="18"/>
        </w:rPr>
        <w:t>: brzeskim, kędzierzyńsko – kozielskim, krapkowickim, opolskim. Powódź swym zasięgiem dotarła również do Subregionu Południowego (powiat: głubczycki, nyski, prudnicki)</w:t>
      </w:r>
      <w:r w:rsidRPr="001714D8">
        <w:rPr>
          <w:rStyle w:val="Odwoanieprzypisudolnego"/>
          <w:rFonts w:ascii="Calibri" w:hAnsi="Calibri" w:cs="Calibri"/>
          <w:sz w:val="22"/>
          <w:szCs w:val="18"/>
        </w:rPr>
        <w:footnoteReference w:id="100"/>
      </w:r>
      <w:r w:rsidRPr="001714D8">
        <w:rPr>
          <w:rFonts w:ascii="Calibri" w:hAnsi="Calibri" w:cs="Calibri"/>
          <w:sz w:val="22"/>
          <w:szCs w:val="18"/>
        </w:rPr>
        <w:t>, który w stosunku do reszty powiatów województwa jest na najniższym poziomie rozwoju. Dlatego konieczne jest wspieranie inwestycji, które umożliwią MŚP z terenu tych powiatów pozostanie w regionie i utrzymanie dotychczasowych, czy też stworzenie nowych miejsc pracy, ale także pozwolą na ich dalszy rozwój i wzmocnienie oferowanych produktów/usług</w:t>
      </w:r>
      <w:r>
        <w:rPr>
          <w:rFonts w:ascii="Calibri" w:hAnsi="Calibri" w:cs="Calibri"/>
          <w:sz w:val="22"/>
          <w:szCs w:val="18"/>
        </w:rPr>
        <w:t xml:space="preserve">. </w:t>
      </w:r>
      <w:r w:rsidR="0036277B" w:rsidRPr="00890249">
        <w:rPr>
          <w:rFonts w:asciiTheme="minorHAnsi" w:hAnsiTheme="minorHAnsi" w:cstheme="minorHAnsi"/>
          <w:noProof/>
          <w:sz w:val="22"/>
          <w:szCs w:val="22"/>
        </w:rPr>
        <w:t>W celu wzrostu konkurencyjności opolskiej gospodarki konieczne jest również otwarcie nowych kanałów biznesowych przyczyniających się do wzrostu sprzedaży za granicą poprzez uczestnictwo MŚP w targach, wystawach, działaniach promujących produkty i usługi w kraju i za granicą. W ramach cs (iii) wspierane będą inwestycje w obszarach ważnych dla rozwoju regionu, przede wszystkim w ramach specjalizacji regionalnych, zgodnie z RSIWO2030</w:t>
      </w:r>
      <w:r w:rsidR="00CC7D4B" w:rsidRPr="00890249">
        <w:rPr>
          <w:rFonts w:asciiTheme="minorHAnsi" w:hAnsiTheme="minorHAnsi" w:cstheme="minorHAnsi"/>
          <w:noProof/>
          <w:sz w:val="22"/>
          <w:szCs w:val="22"/>
        </w:rPr>
        <w:t>.</w:t>
      </w:r>
      <w:r w:rsidR="00F26C1B" w:rsidRPr="00890249">
        <w:rPr>
          <w:rFonts w:asciiTheme="minorHAnsi" w:hAnsiTheme="minorHAnsi" w:cstheme="minorHAnsi"/>
          <w:noProof/>
          <w:sz w:val="22"/>
          <w:szCs w:val="22"/>
        </w:rPr>
        <w:t xml:space="preserve"> </w:t>
      </w:r>
      <w:r w:rsidR="00CC7D4B" w:rsidRPr="00890249">
        <w:rPr>
          <w:rFonts w:asciiTheme="minorHAnsi" w:hAnsiTheme="minorHAnsi" w:cstheme="minorHAnsi"/>
          <w:noProof/>
          <w:sz w:val="22"/>
          <w:szCs w:val="22"/>
        </w:rPr>
        <w:t>P</w:t>
      </w:r>
      <w:r w:rsidR="0036277B" w:rsidRPr="00890249">
        <w:rPr>
          <w:rFonts w:asciiTheme="minorHAnsi" w:hAnsiTheme="minorHAnsi" w:cstheme="minorHAnsi"/>
          <w:noProof/>
          <w:sz w:val="22"/>
          <w:szCs w:val="22"/>
        </w:rPr>
        <w:t>romowane będą w szczególności przedsięwzięcia dotyczące rozwiązań wspierających transformację gospodarki w kierunku automatyzacji, cyfryzacji oraz  obiegu zamknięt</w:t>
      </w:r>
      <w:r w:rsidR="00CC7D4B" w:rsidRPr="00890249">
        <w:rPr>
          <w:rFonts w:asciiTheme="minorHAnsi" w:hAnsiTheme="minorHAnsi" w:cstheme="minorHAnsi"/>
          <w:noProof/>
          <w:sz w:val="22"/>
          <w:szCs w:val="22"/>
        </w:rPr>
        <w:t>ego</w:t>
      </w:r>
      <w:r w:rsidR="0036277B" w:rsidRPr="00890249">
        <w:rPr>
          <w:rFonts w:asciiTheme="minorHAnsi" w:hAnsiTheme="minorHAnsi" w:cstheme="minorHAnsi"/>
          <w:noProof/>
          <w:sz w:val="22"/>
          <w:szCs w:val="22"/>
        </w:rPr>
        <w:t xml:space="preserve"> i niskoemisyjn</w:t>
      </w:r>
      <w:r w:rsidR="00CC7D4B" w:rsidRPr="00890249">
        <w:rPr>
          <w:rFonts w:asciiTheme="minorHAnsi" w:hAnsiTheme="minorHAnsi" w:cstheme="minorHAnsi"/>
          <w:noProof/>
          <w:sz w:val="22"/>
          <w:szCs w:val="22"/>
        </w:rPr>
        <w:t>ości</w:t>
      </w:r>
      <w:r w:rsidR="0036277B" w:rsidRPr="00890249">
        <w:rPr>
          <w:rFonts w:asciiTheme="minorHAnsi" w:hAnsiTheme="minorHAnsi" w:cstheme="minorHAnsi"/>
          <w:noProof/>
          <w:sz w:val="22"/>
          <w:szCs w:val="22"/>
        </w:rPr>
        <w:t xml:space="preserve">. W przypadku, gdy JST będzie koordynatorem działań systemowych na rzecz MŚP bezpośrednimi i pośrednimi </w:t>
      </w:r>
      <w:r w:rsidR="00E80A8E" w:rsidRPr="00890249">
        <w:rPr>
          <w:rFonts w:asciiTheme="minorHAnsi" w:hAnsiTheme="minorHAnsi" w:cstheme="minorHAnsi"/>
          <w:noProof/>
          <w:sz w:val="22"/>
          <w:szCs w:val="22"/>
        </w:rPr>
        <w:t xml:space="preserve">odbiorcami </w:t>
      </w:r>
      <w:r w:rsidR="0036277B" w:rsidRPr="00890249">
        <w:rPr>
          <w:rFonts w:asciiTheme="minorHAnsi" w:hAnsiTheme="minorHAnsi" w:cstheme="minorHAnsi"/>
          <w:noProof/>
          <w:sz w:val="22"/>
          <w:szCs w:val="22"/>
        </w:rPr>
        <w:t xml:space="preserve">wsparcia będą MŚP. </w:t>
      </w:r>
    </w:p>
    <w:p w14:paraId="034CBBC1" w14:textId="585053B0" w:rsidR="0093433C" w:rsidRPr="00890249" w:rsidRDefault="00F26C1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Każde MŚP może zostać wsparte </w:t>
      </w:r>
      <w:r w:rsidR="004249F6" w:rsidRPr="00890249">
        <w:rPr>
          <w:rFonts w:asciiTheme="minorHAnsi" w:hAnsiTheme="minorHAnsi" w:cstheme="minorHAnsi"/>
          <w:noProof/>
          <w:sz w:val="22"/>
          <w:szCs w:val="22"/>
        </w:rPr>
        <w:t>profesjonalny</w:t>
      </w:r>
      <w:r w:rsidRPr="00890249">
        <w:rPr>
          <w:rFonts w:asciiTheme="minorHAnsi" w:hAnsiTheme="minorHAnsi" w:cstheme="minorHAnsi"/>
          <w:noProof/>
          <w:sz w:val="22"/>
          <w:szCs w:val="22"/>
        </w:rPr>
        <w:t>mi</w:t>
      </w:r>
      <w:r w:rsidR="004249F6" w:rsidRPr="00890249">
        <w:rPr>
          <w:rFonts w:asciiTheme="minorHAnsi" w:hAnsiTheme="minorHAnsi" w:cstheme="minorHAnsi"/>
          <w:noProof/>
          <w:sz w:val="22"/>
          <w:szCs w:val="22"/>
        </w:rPr>
        <w:t xml:space="preserve"> i wysoko wyspecjalizowany</w:t>
      </w:r>
      <w:r w:rsidRPr="00890249">
        <w:rPr>
          <w:rFonts w:asciiTheme="minorHAnsi" w:hAnsiTheme="minorHAnsi" w:cstheme="minorHAnsi"/>
          <w:noProof/>
          <w:sz w:val="22"/>
          <w:szCs w:val="22"/>
        </w:rPr>
        <w:t>mi</w:t>
      </w:r>
      <w:r w:rsidR="004249F6" w:rsidRPr="00890249">
        <w:rPr>
          <w:rFonts w:asciiTheme="minorHAnsi" w:hAnsiTheme="minorHAnsi" w:cstheme="minorHAnsi"/>
          <w:noProof/>
          <w:sz w:val="22"/>
          <w:szCs w:val="22"/>
        </w:rPr>
        <w:t xml:space="preserve"> usług</w:t>
      </w:r>
      <w:r w:rsidRPr="00890249">
        <w:rPr>
          <w:rFonts w:asciiTheme="minorHAnsi" w:hAnsiTheme="minorHAnsi" w:cstheme="minorHAnsi"/>
          <w:noProof/>
          <w:sz w:val="22"/>
          <w:szCs w:val="22"/>
        </w:rPr>
        <w:t>ami</w:t>
      </w:r>
      <w:r w:rsidR="004249F6" w:rsidRPr="00890249">
        <w:rPr>
          <w:rFonts w:asciiTheme="minorHAnsi" w:hAnsiTheme="minorHAnsi" w:cstheme="minorHAnsi"/>
          <w:noProof/>
          <w:sz w:val="22"/>
          <w:szCs w:val="22"/>
        </w:rPr>
        <w:t xml:space="preserve"> świadczony</w:t>
      </w:r>
      <w:r w:rsidRPr="00890249">
        <w:rPr>
          <w:rFonts w:asciiTheme="minorHAnsi" w:hAnsiTheme="minorHAnsi" w:cstheme="minorHAnsi"/>
          <w:noProof/>
          <w:sz w:val="22"/>
          <w:szCs w:val="22"/>
        </w:rPr>
        <w:t>mi</w:t>
      </w:r>
      <w:r w:rsidR="004249F6" w:rsidRPr="00890249">
        <w:rPr>
          <w:rFonts w:asciiTheme="minorHAnsi" w:hAnsiTheme="minorHAnsi" w:cstheme="minorHAnsi"/>
          <w:noProof/>
          <w:sz w:val="22"/>
          <w:szCs w:val="22"/>
        </w:rPr>
        <w:t xml:space="preserve"> przez IOB</w:t>
      </w:r>
      <w:r w:rsidRPr="00890249">
        <w:rPr>
          <w:rFonts w:asciiTheme="minorHAnsi" w:hAnsiTheme="minorHAnsi" w:cstheme="minorHAnsi"/>
          <w:noProof/>
          <w:sz w:val="22"/>
          <w:szCs w:val="22"/>
        </w:rPr>
        <w:t xml:space="preserve">, co </w:t>
      </w:r>
      <w:r w:rsidR="004249F6" w:rsidRPr="00890249">
        <w:rPr>
          <w:rFonts w:asciiTheme="minorHAnsi" w:hAnsiTheme="minorHAnsi" w:cstheme="minorHAnsi"/>
          <w:noProof/>
          <w:sz w:val="22"/>
          <w:szCs w:val="22"/>
        </w:rPr>
        <w:t>przyczyni się do podniesienia konkurencyjności tego sektora. Wsparcie planowane jest dla istniejących IOB w</w:t>
      </w:r>
      <w:r w:rsidR="00CA15B8" w:rsidRPr="00890249">
        <w:rPr>
          <w:rFonts w:asciiTheme="minorHAnsi" w:hAnsiTheme="minorHAnsi" w:cstheme="minorHAnsi"/>
          <w:noProof/>
          <w:sz w:val="22"/>
          <w:szCs w:val="22"/>
        </w:rPr>
        <w:t> </w:t>
      </w:r>
      <w:r w:rsidR="004249F6" w:rsidRPr="00890249">
        <w:rPr>
          <w:rFonts w:asciiTheme="minorHAnsi" w:hAnsiTheme="minorHAnsi" w:cstheme="minorHAnsi"/>
          <w:noProof/>
          <w:sz w:val="22"/>
          <w:szCs w:val="22"/>
        </w:rPr>
        <w:t>oparciu o mechanizm analiz popytowych wraz z ich regularnym monitorowaniem w celu zapewnienia optymalnego wsparcia na rzecz MŚP</w:t>
      </w:r>
      <w:r w:rsidR="00025D3D" w:rsidRPr="00890249">
        <w:rPr>
          <w:rFonts w:asciiTheme="minorHAnsi" w:hAnsiTheme="minorHAnsi" w:cstheme="minorHAnsi"/>
          <w:noProof/>
          <w:sz w:val="22"/>
          <w:szCs w:val="22"/>
        </w:rPr>
        <w:t xml:space="preserve">, szczególnie poza dużymi ośrodkami miejskimi, </w:t>
      </w:r>
      <w:r w:rsidR="0036277B" w:rsidRPr="00890249">
        <w:rPr>
          <w:rFonts w:asciiTheme="minorHAnsi" w:hAnsiTheme="minorHAnsi" w:cstheme="minorHAnsi"/>
          <w:noProof/>
          <w:sz w:val="22"/>
          <w:szCs w:val="22"/>
        </w:rPr>
        <w:t>przy jednoczesnym zachowaniu spójnej komunikacji pomi</w:t>
      </w:r>
      <w:r w:rsidR="00603644" w:rsidRPr="00890249">
        <w:rPr>
          <w:rFonts w:asciiTheme="minorHAnsi" w:hAnsiTheme="minorHAnsi" w:cstheme="minorHAnsi"/>
          <w:noProof/>
          <w:sz w:val="22"/>
          <w:szCs w:val="22"/>
        </w:rPr>
        <w:t>ę</w:t>
      </w:r>
      <w:r w:rsidR="0036277B" w:rsidRPr="00890249">
        <w:rPr>
          <w:rFonts w:asciiTheme="minorHAnsi" w:hAnsiTheme="minorHAnsi" w:cstheme="minorHAnsi"/>
          <w:noProof/>
          <w:sz w:val="22"/>
          <w:szCs w:val="22"/>
        </w:rPr>
        <w:t xml:space="preserve">dzy </w:t>
      </w:r>
      <w:r w:rsidR="003E1A12" w:rsidRPr="00890249">
        <w:rPr>
          <w:rFonts w:asciiTheme="minorHAnsi" w:hAnsiTheme="minorHAnsi" w:cstheme="minorHAnsi"/>
          <w:noProof/>
          <w:sz w:val="22"/>
          <w:szCs w:val="22"/>
        </w:rPr>
        <w:t>IOB</w:t>
      </w:r>
      <w:r w:rsidR="0036277B" w:rsidRPr="00890249">
        <w:rPr>
          <w:rFonts w:asciiTheme="minorHAnsi" w:hAnsiTheme="minorHAnsi" w:cstheme="minorHAnsi"/>
          <w:noProof/>
          <w:sz w:val="22"/>
          <w:szCs w:val="22"/>
        </w:rPr>
        <w:t xml:space="preserve"> w zakresie oferowanych usług.</w:t>
      </w:r>
      <w:r w:rsidR="00CA15B8" w:rsidRPr="00890249">
        <w:rPr>
          <w:rFonts w:asciiTheme="minorHAnsi" w:hAnsiTheme="minorHAnsi" w:cstheme="minorHAnsi"/>
          <w:noProof/>
          <w:sz w:val="22"/>
          <w:szCs w:val="22"/>
        </w:rPr>
        <w:t xml:space="preserve"> </w:t>
      </w:r>
    </w:p>
    <w:p w14:paraId="5D25BB00" w14:textId="44E56EE9" w:rsidR="0093433C" w:rsidRPr="00890249" w:rsidRDefault="00E06A2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w:t>
      </w:r>
      <w:r w:rsidR="003E1A12" w:rsidRPr="00890249">
        <w:rPr>
          <w:rFonts w:asciiTheme="minorHAnsi" w:hAnsiTheme="minorHAnsi" w:cstheme="minorHAnsi"/>
          <w:noProof/>
          <w:sz w:val="22"/>
          <w:szCs w:val="22"/>
        </w:rPr>
        <w:t xml:space="preserve"> celu minimalizacji barier rozwojowych oraz dopasowania ofert regionalnych jednostek B+R do potrzeb MŚP region planuje wspieranie </w:t>
      </w:r>
      <w:r w:rsidR="003E1A12" w:rsidRPr="00890249">
        <w:rPr>
          <w:rFonts w:asciiTheme="minorHAnsi" w:eastAsia="Times New Roman" w:hAnsiTheme="minorHAnsi" w:cstheme="minorHAnsi"/>
          <w:color w:val="000000"/>
          <w:sz w:val="22"/>
          <w:szCs w:val="22"/>
        </w:rPr>
        <w:t xml:space="preserve">działalności badawczo-rozwojowej przedsiębiorstw oraz konsorcjów przedsiębiorstw z organizacjami badawczymi </w:t>
      </w:r>
      <w:r w:rsidR="003E1A12" w:rsidRPr="00890249">
        <w:rPr>
          <w:rFonts w:asciiTheme="minorHAnsi" w:hAnsiTheme="minorHAnsi" w:cstheme="minorHAnsi"/>
          <w:noProof/>
          <w:sz w:val="22"/>
          <w:szCs w:val="22"/>
        </w:rPr>
        <w:t>w cs (i), które w długofalowym czasie przyczynią się do wzrostu konkurencyjności MŚP oraz ich zdolności badawczo-rozwojowych.</w:t>
      </w:r>
    </w:p>
    <w:p w14:paraId="5D268A76" w14:textId="3E4249C2" w:rsidR="0093433C" w:rsidRDefault="003E1A12"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celu szczegółowym (iii) zaplanowane jest </w:t>
      </w:r>
      <w:r w:rsidR="00F26C1B" w:rsidRPr="00890249">
        <w:rPr>
          <w:rFonts w:asciiTheme="minorHAnsi" w:hAnsiTheme="minorHAnsi" w:cstheme="minorHAnsi"/>
          <w:noProof/>
          <w:sz w:val="22"/>
          <w:szCs w:val="22"/>
        </w:rPr>
        <w:t xml:space="preserve">więc </w:t>
      </w:r>
      <w:r w:rsidRPr="00890249">
        <w:rPr>
          <w:rFonts w:asciiTheme="minorHAnsi" w:hAnsiTheme="minorHAnsi" w:cstheme="minorHAnsi"/>
          <w:noProof/>
          <w:sz w:val="22"/>
          <w:szCs w:val="22"/>
        </w:rPr>
        <w:t>wsparcie działań w zakresie wdr</w:t>
      </w:r>
      <w:r w:rsidR="00CA15B8" w:rsidRPr="00890249">
        <w:rPr>
          <w:rFonts w:asciiTheme="minorHAnsi" w:hAnsiTheme="minorHAnsi" w:cstheme="minorHAnsi"/>
          <w:noProof/>
          <w:sz w:val="22"/>
          <w:szCs w:val="22"/>
        </w:rPr>
        <w:t>o</w:t>
      </w:r>
      <w:r w:rsidRPr="00890249">
        <w:rPr>
          <w:rFonts w:asciiTheme="minorHAnsi" w:hAnsiTheme="minorHAnsi" w:cstheme="minorHAnsi"/>
          <w:noProof/>
          <w:sz w:val="22"/>
          <w:szCs w:val="22"/>
        </w:rPr>
        <w:t>ż</w:t>
      </w:r>
      <w:r w:rsidR="00CA15B8" w:rsidRPr="00890249">
        <w:rPr>
          <w:rFonts w:asciiTheme="minorHAnsi" w:hAnsiTheme="minorHAnsi" w:cstheme="minorHAnsi"/>
          <w:noProof/>
          <w:sz w:val="22"/>
          <w:szCs w:val="22"/>
        </w:rPr>
        <w:t>e</w:t>
      </w:r>
      <w:r w:rsidRPr="00890249">
        <w:rPr>
          <w:rFonts w:asciiTheme="minorHAnsi" w:hAnsiTheme="minorHAnsi" w:cstheme="minorHAnsi"/>
          <w:noProof/>
          <w:sz w:val="22"/>
          <w:szCs w:val="22"/>
        </w:rPr>
        <w:t>nia wyn</w:t>
      </w:r>
      <w:r w:rsidR="000E6A9C">
        <w:rPr>
          <w:rFonts w:asciiTheme="minorHAnsi" w:hAnsiTheme="minorHAnsi" w:cstheme="minorHAnsi"/>
          <w:noProof/>
          <w:sz w:val="22"/>
          <w:szCs w:val="22"/>
        </w:rPr>
        <w:t>i</w:t>
      </w:r>
      <w:r w:rsidRPr="00890249">
        <w:rPr>
          <w:rFonts w:asciiTheme="minorHAnsi" w:hAnsiTheme="minorHAnsi" w:cstheme="minorHAnsi"/>
          <w:noProof/>
          <w:sz w:val="22"/>
          <w:szCs w:val="22"/>
        </w:rPr>
        <w:t>ków prac B+R przez MŚP</w:t>
      </w:r>
      <w:r w:rsidR="008850C1" w:rsidRPr="00890249">
        <w:rPr>
          <w:rFonts w:asciiTheme="minorHAnsi" w:hAnsiTheme="minorHAnsi" w:cstheme="minorHAnsi"/>
          <w:noProof/>
          <w:sz w:val="22"/>
          <w:szCs w:val="22"/>
        </w:rPr>
        <w:t xml:space="preserve">, w tym również </w:t>
      </w:r>
      <w:r w:rsidRPr="00890249">
        <w:rPr>
          <w:rFonts w:asciiTheme="minorHAnsi" w:hAnsiTheme="minorHAnsi" w:cstheme="minorHAnsi"/>
          <w:noProof/>
          <w:sz w:val="22"/>
          <w:szCs w:val="22"/>
        </w:rPr>
        <w:t>wypracowan</w:t>
      </w:r>
      <w:r w:rsidR="008850C1" w:rsidRPr="00890249">
        <w:rPr>
          <w:rFonts w:asciiTheme="minorHAnsi" w:hAnsiTheme="minorHAnsi" w:cstheme="minorHAnsi"/>
          <w:noProof/>
          <w:sz w:val="22"/>
          <w:szCs w:val="22"/>
        </w:rPr>
        <w:t>ych</w:t>
      </w:r>
      <w:r w:rsidRPr="00890249">
        <w:rPr>
          <w:rFonts w:asciiTheme="minorHAnsi" w:hAnsiTheme="minorHAnsi" w:cstheme="minorHAnsi"/>
          <w:noProof/>
          <w:sz w:val="22"/>
          <w:szCs w:val="22"/>
        </w:rPr>
        <w:t xml:space="preserve"> w ramach celu szczegółowego (i). </w:t>
      </w:r>
    </w:p>
    <w:p w14:paraId="606C3B9B" w14:textId="77777777" w:rsidR="0093433C" w:rsidRPr="00890249" w:rsidRDefault="004249F6"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Planowane typy przedsięwzięć:</w:t>
      </w:r>
      <w:r w:rsidRPr="00890249">
        <w:rPr>
          <w:rFonts w:asciiTheme="minorHAnsi" w:hAnsiTheme="minorHAnsi" w:cstheme="minorHAnsi"/>
          <w:noProof/>
          <w:sz w:val="22"/>
          <w:szCs w:val="22"/>
          <w:lang w:eastAsia="en-US" w:bidi="ar-SA"/>
        </w:rPr>
        <w:tab/>
      </w:r>
    </w:p>
    <w:p w14:paraId="35B81E51" w14:textId="7E005A3C" w:rsidR="004249F6" w:rsidRPr="00890249" w:rsidRDefault="00620DB9" w:rsidP="009F296A">
      <w:pPr>
        <w:pStyle w:val="Akapitzlist"/>
        <w:numPr>
          <w:ilvl w:val="0"/>
          <w:numId w:val="133"/>
        </w:numPr>
        <w:contextualSpacing w:val="0"/>
        <w:rPr>
          <w:rFonts w:asciiTheme="minorHAnsi" w:hAnsiTheme="minorHAnsi" w:cstheme="minorHAnsi"/>
          <w:noProof/>
          <w:sz w:val="22"/>
          <w:szCs w:val="22"/>
        </w:rPr>
      </w:pPr>
      <w:r>
        <w:rPr>
          <w:rFonts w:asciiTheme="minorHAnsi" w:hAnsiTheme="minorHAnsi" w:cstheme="minorHAnsi"/>
          <w:noProof/>
          <w:color w:val="000000" w:themeColor="text1"/>
          <w:sz w:val="22"/>
          <w:szCs w:val="22"/>
        </w:rPr>
        <w:t>W</w:t>
      </w:r>
      <w:r w:rsidR="004249F6" w:rsidRPr="00890249">
        <w:rPr>
          <w:rFonts w:asciiTheme="minorHAnsi" w:hAnsiTheme="minorHAnsi" w:cstheme="minorHAnsi"/>
          <w:noProof/>
          <w:color w:val="000000" w:themeColor="text1"/>
          <w:sz w:val="22"/>
          <w:szCs w:val="22"/>
        </w:rPr>
        <w:t xml:space="preserve">sparcie dla nowopowstałych </w:t>
      </w:r>
      <w:r w:rsidR="0036277B" w:rsidRPr="00890249">
        <w:rPr>
          <w:rFonts w:asciiTheme="minorHAnsi" w:hAnsiTheme="minorHAnsi" w:cstheme="minorHAnsi"/>
          <w:noProof/>
          <w:color w:val="000000" w:themeColor="text1"/>
          <w:sz w:val="22"/>
          <w:szCs w:val="22"/>
        </w:rPr>
        <w:t>MŚP</w:t>
      </w:r>
      <w:r w:rsidR="004249F6" w:rsidRPr="00890249">
        <w:rPr>
          <w:rFonts w:asciiTheme="minorHAnsi" w:hAnsiTheme="minorHAnsi" w:cstheme="minorHAnsi"/>
          <w:noProof/>
          <w:color w:val="000000" w:themeColor="text1"/>
          <w:sz w:val="22"/>
          <w:szCs w:val="22"/>
        </w:rPr>
        <w:t xml:space="preserve"> </w:t>
      </w:r>
      <w:r w:rsidR="004249F6" w:rsidRPr="00890249">
        <w:rPr>
          <w:rFonts w:asciiTheme="minorHAnsi" w:eastAsia="Times New Roman" w:hAnsiTheme="minorHAnsi" w:cstheme="minorHAnsi"/>
          <w:color w:val="000000"/>
          <w:sz w:val="22"/>
          <w:szCs w:val="22"/>
        </w:rPr>
        <w:t>(</w:t>
      </w:r>
      <w:r w:rsidR="00F26C1B" w:rsidRPr="00890249">
        <w:rPr>
          <w:rFonts w:asciiTheme="minorHAnsi" w:eastAsia="Times New Roman" w:hAnsiTheme="minorHAnsi" w:cstheme="minorHAnsi"/>
          <w:color w:val="000000"/>
          <w:sz w:val="22"/>
          <w:szCs w:val="22"/>
        </w:rPr>
        <w:t xml:space="preserve">działających </w:t>
      </w:r>
      <w:r w:rsidR="004249F6" w:rsidRPr="00890249">
        <w:rPr>
          <w:rFonts w:asciiTheme="minorHAnsi" w:eastAsia="Times New Roman" w:hAnsiTheme="minorHAnsi" w:cstheme="minorHAnsi"/>
          <w:color w:val="000000"/>
          <w:sz w:val="22"/>
          <w:szCs w:val="22"/>
        </w:rPr>
        <w:t xml:space="preserve">do 24 miesięcy), </w:t>
      </w:r>
      <w:r w:rsidR="004249F6" w:rsidRPr="00890249">
        <w:rPr>
          <w:rFonts w:asciiTheme="minorHAnsi" w:hAnsiTheme="minorHAnsi" w:cstheme="minorHAnsi"/>
          <w:sz w:val="22"/>
          <w:szCs w:val="22"/>
        </w:rPr>
        <w:t xml:space="preserve">w tym poprzez usługi doradcze świadczone przez </w:t>
      </w:r>
      <w:r w:rsidR="0036277B" w:rsidRPr="00890249">
        <w:rPr>
          <w:rFonts w:asciiTheme="minorHAnsi" w:hAnsiTheme="minorHAnsi" w:cstheme="minorHAnsi"/>
          <w:sz w:val="22"/>
          <w:szCs w:val="22"/>
        </w:rPr>
        <w:t>IOB</w:t>
      </w:r>
      <w:r w:rsidR="003B5213" w:rsidRPr="00890249">
        <w:rPr>
          <w:rFonts w:asciiTheme="minorHAnsi" w:hAnsiTheme="minorHAnsi" w:cstheme="minorHAnsi"/>
          <w:sz w:val="22"/>
          <w:szCs w:val="22"/>
        </w:rPr>
        <w:t xml:space="preserve"> </w:t>
      </w:r>
      <w:r w:rsidR="00F26C1B" w:rsidRPr="00890249">
        <w:rPr>
          <w:rFonts w:asciiTheme="minorHAnsi" w:hAnsiTheme="minorHAnsi" w:cstheme="minorHAnsi"/>
          <w:sz w:val="22"/>
          <w:szCs w:val="22"/>
        </w:rPr>
        <w:t xml:space="preserve">, </w:t>
      </w:r>
      <w:r w:rsidR="004249F6" w:rsidRPr="00890249">
        <w:rPr>
          <w:rFonts w:asciiTheme="minorHAnsi" w:hAnsiTheme="minorHAnsi" w:cstheme="minorHAnsi"/>
          <w:sz w:val="22"/>
          <w:szCs w:val="22"/>
        </w:rPr>
        <w:t>na które udzielane będą np. bony lub granty</w:t>
      </w:r>
    </w:p>
    <w:p w14:paraId="736FDE64" w14:textId="0EA188B7" w:rsidR="004249F6" w:rsidRPr="00890249" w:rsidRDefault="00620DB9" w:rsidP="009F296A">
      <w:pPr>
        <w:pStyle w:val="Akapitzlist"/>
        <w:numPr>
          <w:ilvl w:val="0"/>
          <w:numId w:val="133"/>
        </w:numPr>
        <w:contextualSpacing w:val="0"/>
        <w:rPr>
          <w:rFonts w:asciiTheme="minorHAnsi" w:hAnsiTheme="minorHAnsi" w:cstheme="minorHAnsi"/>
          <w:noProof/>
          <w:sz w:val="22"/>
          <w:szCs w:val="22"/>
        </w:rPr>
      </w:pPr>
      <w:r>
        <w:rPr>
          <w:rFonts w:asciiTheme="minorHAnsi" w:hAnsiTheme="minorHAnsi" w:cstheme="minorHAnsi"/>
          <w:noProof/>
          <w:sz w:val="22"/>
          <w:szCs w:val="22"/>
        </w:rPr>
        <w:t>W</w:t>
      </w:r>
      <w:r w:rsidR="004249F6" w:rsidRPr="00890249">
        <w:rPr>
          <w:rFonts w:asciiTheme="minorHAnsi" w:hAnsiTheme="minorHAnsi" w:cstheme="minorHAnsi"/>
          <w:noProof/>
          <w:sz w:val="22"/>
          <w:szCs w:val="22"/>
        </w:rPr>
        <w:t>sparcie współpracy gospodarczej MŚP w wymiarze krajowym i międzynarodowym</w:t>
      </w:r>
    </w:p>
    <w:p w14:paraId="25B3A1C8" w14:textId="2516029B" w:rsidR="004249F6" w:rsidRPr="00890249" w:rsidRDefault="00620DB9" w:rsidP="009F296A">
      <w:pPr>
        <w:pStyle w:val="Akapitzlist"/>
        <w:numPr>
          <w:ilvl w:val="0"/>
          <w:numId w:val="133"/>
        </w:numPr>
        <w:contextualSpacing w:val="0"/>
        <w:rPr>
          <w:rFonts w:asciiTheme="minorHAnsi" w:hAnsiTheme="minorHAnsi" w:cstheme="minorHAnsi"/>
          <w:noProof/>
          <w:sz w:val="22"/>
          <w:szCs w:val="22"/>
        </w:rPr>
      </w:pPr>
      <w:r>
        <w:rPr>
          <w:rFonts w:asciiTheme="minorHAnsi" w:hAnsiTheme="minorHAnsi" w:cstheme="minorHAnsi"/>
          <w:noProof/>
          <w:sz w:val="22"/>
          <w:szCs w:val="22"/>
        </w:rPr>
        <w:t>P</w:t>
      </w:r>
      <w:r w:rsidR="004249F6" w:rsidRPr="00890249">
        <w:rPr>
          <w:rFonts w:asciiTheme="minorHAnsi" w:hAnsiTheme="minorHAnsi" w:cstheme="minorHAnsi"/>
          <w:noProof/>
          <w:sz w:val="22"/>
          <w:szCs w:val="22"/>
        </w:rPr>
        <w:t xml:space="preserve">romocja </w:t>
      </w:r>
      <w:r w:rsidR="00025D3D" w:rsidRPr="00890249">
        <w:rPr>
          <w:rFonts w:asciiTheme="minorHAnsi" w:hAnsiTheme="minorHAnsi" w:cstheme="minorHAnsi"/>
          <w:noProof/>
          <w:sz w:val="22"/>
          <w:szCs w:val="22"/>
        </w:rPr>
        <w:t xml:space="preserve">gospodarcza </w:t>
      </w:r>
      <w:r w:rsidR="004249F6" w:rsidRPr="00890249">
        <w:rPr>
          <w:rFonts w:asciiTheme="minorHAnsi" w:hAnsiTheme="minorHAnsi" w:cstheme="minorHAnsi"/>
          <w:noProof/>
          <w:sz w:val="22"/>
          <w:szCs w:val="22"/>
        </w:rPr>
        <w:t>MŚP, w tym udział w wydarzeniach krajowych i międzynarodowych, m.in. misjach/targach</w:t>
      </w:r>
    </w:p>
    <w:p w14:paraId="77524E71" w14:textId="2CCDA627" w:rsidR="004249F6" w:rsidRPr="00890249" w:rsidRDefault="00620DB9" w:rsidP="009F296A">
      <w:pPr>
        <w:pStyle w:val="Akapitzlist"/>
        <w:numPr>
          <w:ilvl w:val="0"/>
          <w:numId w:val="133"/>
        </w:numPr>
        <w:spacing w:before="0" w:after="60"/>
        <w:rPr>
          <w:rFonts w:asciiTheme="minorHAnsi" w:hAnsiTheme="minorHAnsi" w:cstheme="minorHAnsi"/>
          <w:sz w:val="22"/>
          <w:szCs w:val="22"/>
        </w:rPr>
      </w:pPr>
      <w:r>
        <w:rPr>
          <w:rFonts w:asciiTheme="minorHAnsi" w:hAnsiTheme="minorHAnsi" w:cstheme="minorHAnsi"/>
          <w:sz w:val="22"/>
          <w:szCs w:val="22"/>
        </w:rPr>
        <w:t>I</w:t>
      </w:r>
      <w:r w:rsidR="004249F6" w:rsidRPr="00890249">
        <w:rPr>
          <w:rFonts w:asciiTheme="minorHAnsi" w:hAnsiTheme="minorHAnsi" w:cstheme="minorHAnsi"/>
          <w:sz w:val="22"/>
          <w:szCs w:val="22"/>
        </w:rPr>
        <w:t>nwestycje w nowoczesne maszyny i urządzenia oraz sprzęt produkcyjny, wartości niematerialne i prawne wraz z doradztwem/szkoleniem, w celu wprowadzenia na rynek nowych lub ulepszonych produktów lub usług</w:t>
      </w:r>
    </w:p>
    <w:p w14:paraId="2B984E9F" w14:textId="0F803E79" w:rsidR="004249F6" w:rsidRPr="00890249" w:rsidRDefault="00620DB9" w:rsidP="009F296A">
      <w:pPr>
        <w:pStyle w:val="Akapitzlist"/>
        <w:numPr>
          <w:ilvl w:val="0"/>
          <w:numId w:val="133"/>
        </w:numPr>
        <w:ind w:left="714" w:right="170" w:hanging="357"/>
        <w:contextualSpacing w:val="0"/>
        <w:rPr>
          <w:rFonts w:asciiTheme="minorHAnsi" w:hAnsiTheme="minorHAnsi" w:cstheme="minorHAnsi"/>
          <w:sz w:val="22"/>
          <w:szCs w:val="22"/>
        </w:rPr>
      </w:pPr>
      <w:r>
        <w:rPr>
          <w:rFonts w:asciiTheme="minorHAnsi" w:hAnsiTheme="minorHAnsi" w:cstheme="minorHAnsi"/>
          <w:sz w:val="22"/>
          <w:szCs w:val="22"/>
        </w:rPr>
        <w:t>I</w:t>
      </w:r>
      <w:r w:rsidR="004249F6" w:rsidRPr="00890249">
        <w:rPr>
          <w:rFonts w:asciiTheme="minorHAnsi" w:hAnsiTheme="minorHAnsi" w:cstheme="minorHAnsi"/>
          <w:sz w:val="22"/>
          <w:szCs w:val="22"/>
        </w:rPr>
        <w:t>nwestycje w rozwój MŚP zwiększając</w:t>
      </w:r>
      <w:r w:rsidR="00F26C1B" w:rsidRPr="00890249">
        <w:rPr>
          <w:rFonts w:asciiTheme="minorHAnsi" w:hAnsiTheme="minorHAnsi" w:cstheme="minorHAnsi"/>
          <w:sz w:val="22"/>
          <w:szCs w:val="22"/>
        </w:rPr>
        <w:t>e</w:t>
      </w:r>
      <w:r w:rsidR="004249F6" w:rsidRPr="00890249">
        <w:rPr>
          <w:rFonts w:asciiTheme="minorHAnsi" w:hAnsiTheme="minorHAnsi" w:cstheme="minorHAnsi"/>
          <w:sz w:val="22"/>
          <w:szCs w:val="22"/>
        </w:rPr>
        <w:t xml:space="preserve"> skalę ich działalności</w:t>
      </w:r>
      <w:r w:rsidR="004249F6" w:rsidRPr="00890249">
        <w:rPr>
          <w:rFonts w:asciiTheme="minorHAnsi" w:eastAsia="Times New Roman" w:hAnsiTheme="minorHAnsi" w:cstheme="minorHAnsi"/>
          <w:sz w:val="22"/>
          <w:szCs w:val="22"/>
        </w:rPr>
        <w:t xml:space="preserve"> oraz wzrost zasięgu oferty</w:t>
      </w:r>
    </w:p>
    <w:p w14:paraId="0D0CF01F" w14:textId="2803195B" w:rsidR="004249F6" w:rsidRPr="00890249" w:rsidRDefault="00620DB9" w:rsidP="009F296A">
      <w:pPr>
        <w:pStyle w:val="Akapitzlist"/>
        <w:numPr>
          <w:ilvl w:val="0"/>
          <w:numId w:val="133"/>
        </w:numPr>
        <w:ind w:left="714" w:hanging="357"/>
        <w:rPr>
          <w:rFonts w:asciiTheme="minorHAnsi" w:hAnsiTheme="minorHAnsi" w:cstheme="minorHAnsi"/>
          <w:sz w:val="22"/>
          <w:szCs w:val="22"/>
        </w:rPr>
      </w:pPr>
      <w:r>
        <w:rPr>
          <w:rFonts w:asciiTheme="minorHAnsi" w:hAnsiTheme="minorHAnsi" w:cstheme="minorHAnsi"/>
          <w:sz w:val="22"/>
          <w:szCs w:val="22"/>
        </w:rPr>
        <w:lastRenderedPageBreak/>
        <w:t>U</w:t>
      </w:r>
      <w:r w:rsidR="004249F6" w:rsidRPr="00890249">
        <w:rPr>
          <w:rFonts w:asciiTheme="minorHAnsi" w:hAnsiTheme="minorHAnsi" w:cstheme="minorHAnsi"/>
          <w:sz w:val="22"/>
          <w:szCs w:val="22"/>
        </w:rPr>
        <w:t>dzielanie voucherów dla MŚP na profesjonalne usługi świadczone przez akredytowane IOB</w:t>
      </w:r>
    </w:p>
    <w:p w14:paraId="63178737" w14:textId="1CA77AA1" w:rsidR="003B5213" w:rsidRPr="00890249" w:rsidRDefault="00620DB9" w:rsidP="009F296A">
      <w:pPr>
        <w:pStyle w:val="Akapitzlist"/>
        <w:numPr>
          <w:ilvl w:val="0"/>
          <w:numId w:val="133"/>
        </w:numPr>
        <w:ind w:left="714" w:hanging="357"/>
        <w:contextualSpacing w:val="0"/>
        <w:rPr>
          <w:rFonts w:asciiTheme="minorHAnsi" w:eastAsia="Times New Roman" w:hAnsiTheme="minorHAnsi" w:cstheme="minorHAnsi"/>
          <w:sz w:val="22"/>
          <w:szCs w:val="22"/>
        </w:rPr>
      </w:pPr>
      <w:r>
        <w:rPr>
          <w:rFonts w:asciiTheme="minorHAnsi" w:eastAsia="Times New Roman" w:hAnsiTheme="minorHAnsi" w:cstheme="minorHAnsi"/>
          <w:sz w:val="22"/>
          <w:szCs w:val="22"/>
        </w:rPr>
        <w:t>W</w:t>
      </w:r>
      <w:r w:rsidR="003B5213" w:rsidRPr="00890249">
        <w:rPr>
          <w:rFonts w:asciiTheme="minorHAnsi" w:eastAsia="Times New Roman" w:hAnsiTheme="minorHAnsi" w:cstheme="minorHAnsi"/>
          <w:sz w:val="22"/>
          <w:szCs w:val="22"/>
        </w:rPr>
        <w:t>sparcie istniejących IOB w zakresie profesjonalizacji i podnoszenia jakości usług świadczonych na rzecz MŚP</w:t>
      </w:r>
      <w:r w:rsidR="00BF1390">
        <w:rPr>
          <w:rFonts w:asciiTheme="minorHAnsi" w:eastAsia="Times New Roman" w:hAnsiTheme="minorHAnsi" w:cstheme="minorHAnsi"/>
          <w:sz w:val="22"/>
          <w:szCs w:val="22"/>
        </w:rPr>
        <w:t xml:space="preserve"> m.in.</w:t>
      </w:r>
      <w:r w:rsidR="003B5213" w:rsidRPr="00890249">
        <w:rPr>
          <w:rFonts w:asciiTheme="minorHAnsi" w:eastAsia="Times New Roman" w:hAnsiTheme="minorHAnsi" w:cstheme="minorHAnsi"/>
          <w:sz w:val="22"/>
          <w:szCs w:val="22"/>
        </w:rPr>
        <w:t xml:space="preserve"> poprzez rozwój kompetencji i</w:t>
      </w:r>
      <w:r w:rsidR="00A37420">
        <w:rPr>
          <w:rFonts w:asciiTheme="minorHAnsi" w:eastAsia="Times New Roman" w:hAnsiTheme="minorHAnsi" w:cstheme="minorHAnsi"/>
          <w:sz w:val="22"/>
          <w:szCs w:val="22"/>
        </w:rPr>
        <w:t xml:space="preserve"> kwalifikacji pracowników IOB w </w:t>
      </w:r>
      <w:r w:rsidR="003B5213" w:rsidRPr="00890249">
        <w:rPr>
          <w:rFonts w:asciiTheme="minorHAnsi" w:eastAsia="Times New Roman" w:hAnsiTheme="minorHAnsi" w:cstheme="minorHAnsi"/>
          <w:sz w:val="22"/>
          <w:szCs w:val="22"/>
        </w:rPr>
        <w:t>celu dążenia do uzyskania akredytacji</w:t>
      </w:r>
    </w:p>
    <w:p w14:paraId="630F3AA2" w14:textId="5A9D46A4" w:rsidR="009A1E76" w:rsidRPr="00890249" w:rsidRDefault="00620DB9" w:rsidP="009F296A">
      <w:pPr>
        <w:pStyle w:val="Akapitzlist"/>
        <w:numPr>
          <w:ilvl w:val="0"/>
          <w:numId w:val="133"/>
        </w:numPr>
        <w:ind w:left="714" w:right="170" w:hanging="357"/>
        <w:contextualSpacing w:val="0"/>
        <w:rPr>
          <w:rFonts w:asciiTheme="minorHAnsi" w:eastAsia="Times New Roman" w:hAnsiTheme="minorHAnsi" w:cstheme="minorHAnsi"/>
          <w:sz w:val="22"/>
          <w:szCs w:val="22"/>
        </w:rPr>
      </w:pPr>
      <w:r>
        <w:rPr>
          <w:rFonts w:asciiTheme="minorHAnsi" w:eastAsia="Times New Roman" w:hAnsiTheme="minorHAnsi" w:cstheme="minorHAnsi"/>
          <w:sz w:val="22"/>
          <w:szCs w:val="22"/>
        </w:rPr>
        <w:t>W</w:t>
      </w:r>
      <w:r w:rsidR="00875C92" w:rsidRPr="00890249">
        <w:rPr>
          <w:rFonts w:asciiTheme="minorHAnsi" w:eastAsia="Times New Roman" w:hAnsiTheme="minorHAnsi" w:cstheme="minorHAnsi"/>
          <w:sz w:val="22"/>
          <w:szCs w:val="22"/>
        </w:rPr>
        <w:t>drożenie wyników prac B+R przez MŚP</w:t>
      </w:r>
      <w:r w:rsidR="00D245B1" w:rsidRPr="00890249">
        <w:rPr>
          <w:rFonts w:asciiTheme="minorHAnsi" w:eastAsia="Times New Roman" w:hAnsiTheme="minorHAnsi" w:cstheme="minorHAnsi"/>
          <w:sz w:val="22"/>
          <w:szCs w:val="22"/>
        </w:rPr>
        <w:t>.</w:t>
      </w:r>
    </w:p>
    <w:p w14:paraId="73D758AA" w14:textId="438D9E16" w:rsidR="0093433C" w:rsidRPr="00890249" w:rsidRDefault="003E1A12" w:rsidP="00890249">
      <w:pPr>
        <w:pStyle w:val="Tekstpodstawowy"/>
        <w:rPr>
          <w:rFonts w:asciiTheme="minorHAnsi" w:hAnsiTheme="minorHAnsi" w:cstheme="minorHAnsi"/>
          <w:sz w:val="22"/>
          <w:szCs w:val="22"/>
        </w:rPr>
      </w:pPr>
      <w:r w:rsidRPr="00890249">
        <w:rPr>
          <w:rFonts w:asciiTheme="minorHAnsi" w:eastAsia="Times New Roman" w:hAnsiTheme="minorHAnsi" w:cstheme="minorHAnsi"/>
          <w:sz w:val="22"/>
          <w:szCs w:val="22"/>
        </w:rPr>
        <w:t xml:space="preserve">Planowane są preferencje </w:t>
      </w:r>
      <w:r w:rsidRPr="00890249">
        <w:rPr>
          <w:rFonts w:asciiTheme="minorHAnsi" w:hAnsiTheme="minorHAnsi" w:cstheme="minorHAnsi"/>
          <w:sz w:val="22"/>
          <w:szCs w:val="22"/>
        </w:rPr>
        <w:t>dla regionalnych IOB funkcjonujących poza dużymi ośrodkami miejskimi oraz dla projektów realizowanych na terenach wpisujących się w OSI krajowe oraz OSI regionalne – Subregionu Południowy</w:t>
      </w:r>
      <w:r w:rsidR="008850C1" w:rsidRPr="00890249">
        <w:rPr>
          <w:rFonts w:asciiTheme="minorHAnsi" w:hAnsiTheme="minorHAnsi" w:cstheme="minorHAnsi"/>
          <w:sz w:val="22"/>
          <w:szCs w:val="22"/>
        </w:rPr>
        <w:t xml:space="preserve"> </w:t>
      </w:r>
      <w:r w:rsidR="00152536" w:rsidRPr="00890249">
        <w:rPr>
          <w:rFonts w:asciiTheme="minorHAnsi" w:hAnsiTheme="minorHAnsi" w:cstheme="minorHAnsi"/>
          <w:sz w:val="22"/>
          <w:szCs w:val="22"/>
        </w:rPr>
        <w:t>(powiaty: głubczycki, nyski, prudnicki)</w:t>
      </w:r>
      <w:r w:rsidRPr="00890249">
        <w:rPr>
          <w:rFonts w:asciiTheme="minorHAnsi" w:hAnsiTheme="minorHAnsi" w:cstheme="minorHAnsi"/>
          <w:sz w:val="22"/>
          <w:szCs w:val="22"/>
        </w:rPr>
        <w:t>, które charakteryzują się niższymi wskaźnikami rozwoju społeczno-gospodarcz</w:t>
      </w:r>
      <w:r w:rsidR="00603644" w:rsidRPr="00890249">
        <w:rPr>
          <w:rFonts w:asciiTheme="minorHAnsi" w:hAnsiTheme="minorHAnsi" w:cstheme="minorHAnsi"/>
          <w:sz w:val="22"/>
          <w:szCs w:val="22"/>
        </w:rPr>
        <w:t>ego</w:t>
      </w:r>
      <w:r w:rsidRPr="00890249">
        <w:rPr>
          <w:rFonts w:asciiTheme="minorHAnsi" w:hAnsiTheme="minorHAnsi" w:cstheme="minorHAnsi"/>
          <w:sz w:val="22"/>
          <w:szCs w:val="22"/>
        </w:rPr>
        <w:t xml:space="preserve">. </w:t>
      </w:r>
    </w:p>
    <w:p w14:paraId="4336DE42" w14:textId="2AF69CEB"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4249F6" w:rsidRPr="00890249">
        <w:rPr>
          <w:rFonts w:asciiTheme="minorHAnsi" w:hAnsiTheme="minorHAnsi" w:cstheme="minorHAnsi"/>
          <w:noProof/>
          <w:sz w:val="22"/>
          <w:szCs w:val="22"/>
        </w:rPr>
        <w:t>są zgodne z zasadą DNSH. Ze względu na ich charakter przyjmuje się, że nie mają negatywnego wpływu na środowisko.</w:t>
      </w:r>
    </w:p>
    <w:p w14:paraId="39C259C4" w14:textId="76C2CCFD"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Wdrażanie rozwiązań cyfrowych w MŚP </w:t>
      </w:r>
      <w:r w:rsidR="00835E9E" w:rsidRPr="00890249">
        <w:rPr>
          <w:rFonts w:asciiTheme="minorHAnsi" w:hAnsiTheme="minorHAnsi" w:cstheme="minorHAnsi"/>
          <w:noProof/>
          <w:sz w:val="22"/>
          <w:szCs w:val="22"/>
        </w:rPr>
        <w:t>możliwe będzie jako</w:t>
      </w:r>
      <w:r w:rsidRPr="00890249">
        <w:rPr>
          <w:rFonts w:asciiTheme="minorHAnsi" w:hAnsiTheme="minorHAnsi" w:cstheme="minorHAnsi"/>
          <w:noProof/>
          <w:sz w:val="22"/>
          <w:szCs w:val="22"/>
        </w:rPr>
        <w:t xml:space="preserve"> element projekt</w:t>
      </w:r>
      <w:r w:rsidR="00835E9E" w:rsidRPr="00890249">
        <w:rPr>
          <w:rFonts w:asciiTheme="minorHAnsi" w:hAnsiTheme="minorHAnsi" w:cstheme="minorHAnsi"/>
          <w:noProof/>
          <w:sz w:val="22"/>
          <w:szCs w:val="22"/>
        </w:rPr>
        <w:t>u</w:t>
      </w:r>
      <w:r w:rsidRPr="00890249">
        <w:rPr>
          <w:rFonts w:asciiTheme="minorHAnsi" w:hAnsiTheme="minorHAnsi" w:cstheme="minorHAnsi"/>
          <w:noProof/>
          <w:sz w:val="22"/>
          <w:szCs w:val="22"/>
        </w:rPr>
        <w:t>.</w:t>
      </w:r>
    </w:p>
    <w:p w14:paraId="164B3E34" w14:textId="77777777" w:rsidR="006452BC" w:rsidRPr="00890249" w:rsidRDefault="006452BC" w:rsidP="006452B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0C56BCFD" w14:textId="2A3EFABA"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MŚP, instytucje otoczenia biznesu, jednostki samorządu terytorialnego, mieszkańcy.</w:t>
      </w:r>
    </w:p>
    <w:p w14:paraId="4EA3FE98" w14:textId="77777777" w:rsidR="006452BC" w:rsidRPr="00890249" w:rsidRDefault="006452BC" w:rsidP="006452B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7A01A55F" w14:textId="77777777" w:rsidR="0093433C" w:rsidRPr="00890249" w:rsidRDefault="18C5A4C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Dyskryminacja zarówno bezpośrednia, jak i pośrednia ze względu na płeć, pochodzenie rasowe lub etniczne, religię lub światopogląd, niepełnosprawność, wiek, orientację oraz tożsamość seksualną pracowników</w:t>
      </w:r>
      <w:r w:rsidRPr="00890249">
        <w:rPr>
          <w:rFonts w:asciiTheme="minorHAnsi" w:hAnsiTheme="minorHAnsi" w:cstheme="minorHAnsi"/>
          <w:noProof/>
          <w:sz w:val="22"/>
          <w:szCs w:val="22"/>
        </w:rPr>
        <w:t xml:space="preserve"> przedsiębiorców zamierzających zwiększyć swoją innowacyjność oraz uczestników przedsięwzięć dotyczących promocji gospodarki, promocji i internacjonalizacji innowacyjnych przędsiębiorstw, </w:t>
      </w:r>
      <w:r w:rsidRPr="00890249">
        <w:rPr>
          <w:rFonts w:asciiTheme="minorHAnsi" w:hAnsiTheme="minorHAnsi" w:cstheme="minorHAnsi"/>
          <w:sz w:val="22"/>
          <w:szCs w:val="22"/>
          <w:lang w:eastAsia="en-US" w:bidi="ar-SA"/>
        </w:rPr>
        <w:t xml:space="preserve">może skutkować stresem mniejszościowym, poczuciem alienacji, izolacją społeczną, brakiem akceptacji wśród społeczności oraz brakiem wsparcia społecznego. </w:t>
      </w:r>
    </w:p>
    <w:p w14:paraId="1A27ED37" w14:textId="6CE52D04"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Z uwagi na zakres tematyczny c</w:t>
      </w:r>
      <w:r w:rsidR="008B3961" w:rsidRPr="00890249">
        <w:rPr>
          <w:rFonts w:asciiTheme="minorHAnsi" w:hAnsiTheme="minorHAnsi" w:cstheme="minorHAnsi"/>
          <w:sz w:val="22"/>
          <w:szCs w:val="22"/>
        </w:rPr>
        <w:t>s</w:t>
      </w:r>
      <w:r w:rsidR="00F26C1B" w:rsidRPr="00890249">
        <w:rPr>
          <w:rFonts w:asciiTheme="minorHAnsi" w:hAnsiTheme="minorHAnsi" w:cstheme="minorHAnsi"/>
          <w:sz w:val="22"/>
          <w:szCs w:val="22"/>
        </w:rPr>
        <w:t xml:space="preserve"> (iii)</w:t>
      </w:r>
      <w:r w:rsidRPr="00890249">
        <w:rPr>
          <w:rFonts w:asciiTheme="minorHAnsi" w:hAnsiTheme="minorHAnsi" w:cstheme="minorHAnsi"/>
          <w:sz w:val="22"/>
          <w:szCs w:val="22"/>
        </w:rPr>
        <w:t xml:space="preserve"> w związku z widocznymi ograniczeniami dla wchodzących na rynek przedsiębiorców, w szczególności innowacyjnych firm, w cs (iii) zapewnione będzie finansowanie start-upów. Interwencja EFRR w działaniu może wpły</w:t>
      </w:r>
      <w:r w:rsidR="00A37420">
        <w:rPr>
          <w:rFonts w:asciiTheme="minorHAnsi" w:hAnsiTheme="minorHAnsi" w:cstheme="minorHAnsi"/>
          <w:sz w:val="22"/>
          <w:szCs w:val="22"/>
        </w:rPr>
        <w:t>wać na dostęp do finansowania i </w:t>
      </w:r>
      <w:r w:rsidRPr="00890249">
        <w:rPr>
          <w:rFonts w:asciiTheme="minorHAnsi" w:hAnsiTheme="minorHAnsi" w:cstheme="minorHAnsi"/>
          <w:sz w:val="22"/>
          <w:szCs w:val="22"/>
        </w:rPr>
        <w:t xml:space="preserve">doradztwa ze względu na przesłankę jaką jest wiek: młodzi przedsiębiorcy. </w:t>
      </w:r>
    </w:p>
    <w:p w14:paraId="664D3F98" w14:textId="60183759"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Ponadto, zostaną wdrożone działania promujące równość szans lub środki promujące zaangażowanie kobiet, w szczególności młodych. Przewidziane zostaną działania umożliwiające podnosze</w:t>
      </w:r>
      <w:r w:rsidR="00A37420">
        <w:rPr>
          <w:rFonts w:asciiTheme="minorHAnsi" w:hAnsiTheme="minorHAnsi" w:cstheme="minorHAnsi"/>
          <w:sz w:val="22"/>
          <w:szCs w:val="22"/>
        </w:rPr>
        <w:t>nie wiedzy i </w:t>
      </w:r>
      <w:r w:rsidRPr="00890249">
        <w:rPr>
          <w:rFonts w:asciiTheme="minorHAnsi" w:hAnsiTheme="minorHAnsi" w:cstheme="minorHAnsi"/>
          <w:sz w:val="22"/>
          <w:szCs w:val="22"/>
        </w:rPr>
        <w:t>świadomości dot. m.in. wsparcie kompetencji zarządzania różnorodnością, wsparcia kompetencji managerskich kobiet, unikania stereotypów itp.</w:t>
      </w:r>
    </w:p>
    <w:p w14:paraId="1D7D14B3" w14:textId="50D10771"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Rekrutacja uczestników projekt</w:t>
      </w:r>
      <w:r w:rsidR="008B3961" w:rsidRPr="00890249">
        <w:rPr>
          <w:rFonts w:asciiTheme="minorHAnsi" w:hAnsiTheme="minorHAnsi" w:cstheme="minorHAnsi"/>
          <w:sz w:val="22"/>
          <w:szCs w:val="22"/>
        </w:rPr>
        <w:t>ó</w:t>
      </w:r>
      <w:r w:rsidRPr="00890249">
        <w:rPr>
          <w:rFonts w:asciiTheme="minorHAnsi" w:hAnsiTheme="minorHAnsi" w:cstheme="minorHAnsi"/>
          <w:sz w:val="22"/>
          <w:szCs w:val="22"/>
        </w:rPr>
        <w:t>w i szkoleń będzie uwzględniała możliwość dotarcia do wszystkich zainteresowanych poprzez różne kanały przekazu. Zapewniony zostanie równy dostęp dla KiM i/lub OzN do szkoleń/usług doradczych.</w:t>
      </w:r>
    </w:p>
    <w:p w14:paraId="435551A5" w14:textId="7E175C81"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Projektowane przez beneficjent</w:t>
      </w:r>
      <w:r w:rsidR="0035140A" w:rsidRPr="00890249">
        <w:rPr>
          <w:rFonts w:asciiTheme="minorHAnsi" w:hAnsiTheme="minorHAnsi" w:cstheme="minorHAnsi"/>
          <w:sz w:val="22"/>
          <w:szCs w:val="22"/>
        </w:rPr>
        <w:t>ó</w:t>
      </w:r>
      <w:r w:rsidRPr="00890249">
        <w:rPr>
          <w:rFonts w:asciiTheme="minorHAnsi" w:hAnsiTheme="minorHAnsi" w:cstheme="minorHAnsi"/>
          <w:sz w:val="22"/>
          <w:szCs w:val="22"/>
        </w:rPr>
        <w:t>w systemy teleinformatyczne, dokumenty oraz strony internetowe powinny spełniać standardy WCAG 2.1. na poziomie AA.</w:t>
      </w:r>
    </w:p>
    <w:p w14:paraId="21CB37B4" w14:textId="77777777" w:rsidR="006452BC" w:rsidRPr="00890249" w:rsidRDefault="006452BC" w:rsidP="006452B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7325EE26"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województwa opolskiego. </w:t>
      </w:r>
    </w:p>
    <w:p w14:paraId="78455EEB" w14:textId="77777777" w:rsidR="006452BC" w:rsidRPr="00890249" w:rsidRDefault="006452BC" w:rsidP="006452B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2CFFF04A" w14:textId="77777777" w:rsidR="0093433C" w:rsidRPr="00890249" w:rsidRDefault="004249F6" w:rsidP="00890249">
      <w:pPr>
        <w:pStyle w:val="Tekstpodstawowy"/>
        <w:rPr>
          <w:rFonts w:asciiTheme="minorHAnsi" w:hAnsiTheme="minorHAnsi" w:cstheme="minorHAnsi"/>
          <w:noProof/>
          <w:sz w:val="22"/>
          <w:szCs w:val="22"/>
        </w:rPr>
      </w:pPr>
      <w:bookmarkStart w:id="12" w:name="OLE_LINK1"/>
      <w:r w:rsidRPr="00890249">
        <w:rPr>
          <w:rFonts w:asciiTheme="minorHAnsi" w:hAnsiTheme="minorHAnsi" w:cstheme="minorHAnsi"/>
          <w:noProof/>
          <w:sz w:val="22"/>
          <w:szCs w:val="22"/>
        </w:rPr>
        <w:t>W ramach cs (iii) przewiduje się możliwość realizacji działań polegajacych na nawiązaniu współpracy międzyregionalnej oraz międzynarodowej skutkującej wymianą dobrych praktyk i doświadczeń w celu wzmacniania trwałego wzrostu i konkurencyjności MŚP regionu.</w:t>
      </w:r>
    </w:p>
    <w:p w14:paraId="55FDB4A6" w14:textId="23C27964"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Planowana współpraca międzynarodowa realizowana pomiędzy woj. opolskim, a państwem członkowskim (Czechy - Interreg VI-A CZ-PL) zapewni mechanizm komplementarności z FEO 2021-2027.  Działania w perspektywie 2021-2027 będą skierowane na usługi, których celem jest </w:t>
      </w:r>
      <w:r w:rsidRPr="00890249">
        <w:rPr>
          <w:rFonts w:asciiTheme="minorHAnsi" w:hAnsiTheme="minorHAnsi" w:cstheme="minorHAnsi"/>
          <w:noProof/>
          <w:sz w:val="22"/>
          <w:szCs w:val="22"/>
        </w:rPr>
        <w:lastRenderedPageBreak/>
        <w:t>pośrednictwo i tworzenie partnerstw transgranicznych MŚP, rozpoczynanie i rozwijanie ich działalności na rynku drugiego kraju oraz transgraniczne pośrednictwo w zakresie usług innowacyjnych i badawczych.</w:t>
      </w:r>
    </w:p>
    <w:p w14:paraId="336D1597" w14:textId="77777777"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Podczas wyboru projektów premiowane będą inwestycje, które zakładają współpracę z partnerem posiadającym siedzibę poza granicami Polski.</w:t>
      </w:r>
      <w:bookmarkEnd w:id="12"/>
    </w:p>
    <w:p w14:paraId="1AD1D1BF" w14:textId="77777777" w:rsidR="006452BC" w:rsidRPr="00890249" w:rsidRDefault="006452BC" w:rsidP="006452B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0BBFF516" w14:textId="700457B6"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IF oraz IF połączone z dotacjami w ramach jednej operacji</w:t>
      </w:r>
      <w:r w:rsidRPr="00890249">
        <w:rPr>
          <w:rFonts w:asciiTheme="minorHAnsi" w:hAnsiTheme="minorHAnsi" w:cstheme="minorHAnsi"/>
          <w:noProof/>
          <w:sz w:val="22"/>
          <w:szCs w:val="22"/>
          <w:vertAlign w:val="superscript"/>
        </w:rPr>
        <w:footnoteReference w:id="101"/>
      </w:r>
      <w:r w:rsidRPr="00890249">
        <w:rPr>
          <w:rFonts w:asciiTheme="minorHAnsi" w:hAnsiTheme="minorHAnsi" w:cstheme="minorHAnsi"/>
          <w:noProof/>
          <w:sz w:val="22"/>
          <w:szCs w:val="22"/>
          <w:vertAlign w:val="superscript"/>
        </w:rPr>
        <w:t xml:space="preserve">  </w:t>
      </w:r>
      <w:r w:rsidRPr="00890249">
        <w:rPr>
          <w:rFonts w:asciiTheme="minorHAnsi" w:hAnsiTheme="minorHAnsi" w:cstheme="minorHAnsi"/>
          <w:noProof/>
          <w:sz w:val="22"/>
          <w:szCs w:val="22"/>
        </w:rPr>
        <w:t>w obszarach:</w:t>
      </w:r>
    </w:p>
    <w:p w14:paraId="5F9F97EC" w14:textId="616022A0" w:rsidR="004249F6" w:rsidRPr="00890249" w:rsidRDefault="004249F6" w:rsidP="009F296A">
      <w:pPr>
        <w:pStyle w:val="Akapitzlist"/>
        <w:numPr>
          <w:ilvl w:val="0"/>
          <w:numId w:val="132"/>
        </w:numPr>
        <w:tabs>
          <w:tab w:val="left" w:pos="426"/>
        </w:tabs>
        <w:spacing w:before="0" w:after="60"/>
        <w:ind w:left="709" w:hanging="283"/>
        <w:contextualSpacing w:val="0"/>
        <w:rPr>
          <w:rFonts w:asciiTheme="minorHAnsi" w:hAnsiTheme="minorHAnsi" w:cstheme="minorHAnsi"/>
          <w:sz w:val="22"/>
          <w:szCs w:val="22"/>
        </w:rPr>
      </w:pPr>
      <w:r w:rsidRPr="00890249">
        <w:rPr>
          <w:rFonts w:asciiTheme="minorHAnsi" w:hAnsiTheme="minorHAnsi" w:cstheme="minorHAnsi"/>
          <w:sz w:val="22"/>
          <w:szCs w:val="22"/>
        </w:rPr>
        <w:t>inwestycj</w:t>
      </w:r>
      <w:r w:rsidR="00715A29" w:rsidRPr="00890249">
        <w:rPr>
          <w:rFonts w:asciiTheme="minorHAnsi" w:hAnsiTheme="minorHAnsi" w:cstheme="minorHAnsi"/>
          <w:sz w:val="22"/>
          <w:szCs w:val="22"/>
        </w:rPr>
        <w:t>i</w:t>
      </w:r>
      <w:r w:rsidRPr="00890249">
        <w:rPr>
          <w:rFonts w:asciiTheme="minorHAnsi" w:hAnsiTheme="minorHAnsi" w:cstheme="minorHAnsi"/>
          <w:sz w:val="22"/>
          <w:szCs w:val="22"/>
        </w:rPr>
        <w:t xml:space="preserve"> w nowoczesne maszyny i urządzenia   (…)</w:t>
      </w:r>
      <w:r w:rsidR="00485F87" w:rsidRPr="00890249">
        <w:rPr>
          <w:rFonts w:asciiTheme="minorHAnsi" w:hAnsiTheme="minorHAnsi" w:cstheme="minorHAnsi"/>
          <w:sz w:val="22"/>
          <w:szCs w:val="22"/>
        </w:rPr>
        <w:t xml:space="preserve"> -</w:t>
      </w:r>
      <w:r w:rsidRPr="00890249">
        <w:rPr>
          <w:rFonts w:asciiTheme="minorHAnsi" w:hAnsiTheme="minorHAnsi" w:cstheme="minorHAnsi"/>
          <w:sz w:val="22"/>
          <w:szCs w:val="22"/>
        </w:rPr>
        <w:t xml:space="preserve"> </w:t>
      </w:r>
      <w:r w:rsidR="00715A29" w:rsidRPr="00890249">
        <w:rPr>
          <w:rFonts w:asciiTheme="minorHAnsi" w:hAnsiTheme="minorHAnsi" w:cstheme="minorHAnsi"/>
          <w:sz w:val="22"/>
          <w:szCs w:val="22"/>
        </w:rPr>
        <w:t>(</w:t>
      </w:r>
      <w:r w:rsidRPr="00890249">
        <w:rPr>
          <w:rFonts w:asciiTheme="minorHAnsi" w:hAnsiTheme="minorHAnsi" w:cstheme="minorHAnsi"/>
          <w:sz w:val="22"/>
          <w:szCs w:val="22"/>
        </w:rPr>
        <w:t>typ 4</w:t>
      </w:r>
      <w:r w:rsidR="00715A29" w:rsidRPr="00890249">
        <w:rPr>
          <w:rFonts w:asciiTheme="minorHAnsi" w:hAnsiTheme="minorHAnsi" w:cstheme="minorHAnsi"/>
          <w:sz w:val="22"/>
          <w:szCs w:val="22"/>
        </w:rPr>
        <w:t>)</w:t>
      </w:r>
      <w:r w:rsidRPr="00890249">
        <w:rPr>
          <w:rFonts w:asciiTheme="minorHAnsi" w:hAnsiTheme="minorHAnsi" w:cstheme="minorHAnsi"/>
          <w:sz w:val="22"/>
          <w:szCs w:val="22"/>
        </w:rPr>
        <w:t xml:space="preserve"> </w:t>
      </w:r>
    </w:p>
    <w:p w14:paraId="08942875" w14:textId="553B502A" w:rsidR="004249F6" w:rsidRPr="00890249" w:rsidRDefault="004249F6" w:rsidP="009F296A">
      <w:pPr>
        <w:pStyle w:val="Akapitzlist"/>
        <w:numPr>
          <w:ilvl w:val="0"/>
          <w:numId w:val="132"/>
        </w:numPr>
        <w:spacing w:before="0" w:after="60"/>
        <w:ind w:left="709" w:hanging="213"/>
        <w:contextualSpacing w:val="0"/>
        <w:rPr>
          <w:rFonts w:asciiTheme="minorHAnsi" w:hAnsiTheme="minorHAnsi" w:cstheme="minorHAnsi"/>
          <w:noProof/>
          <w:sz w:val="22"/>
          <w:szCs w:val="22"/>
        </w:rPr>
      </w:pPr>
      <w:r w:rsidRPr="00890249">
        <w:rPr>
          <w:rFonts w:asciiTheme="minorHAnsi" w:hAnsiTheme="minorHAnsi" w:cstheme="minorHAnsi"/>
          <w:sz w:val="22"/>
          <w:szCs w:val="22"/>
        </w:rPr>
        <w:t>inwestycj</w:t>
      </w:r>
      <w:r w:rsidR="00715A29" w:rsidRPr="00890249">
        <w:rPr>
          <w:rFonts w:asciiTheme="minorHAnsi" w:hAnsiTheme="minorHAnsi" w:cstheme="minorHAnsi"/>
          <w:sz w:val="22"/>
          <w:szCs w:val="22"/>
        </w:rPr>
        <w:t>i</w:t>
      </w:r>
      <w:r w:rsidRPr="00890249">
        <w:rPr>
          <w:rFonts w:asciiTheme="minorHAnsi" w:hAnsiTheme="minorHAnsi" w:cstheme="minorHAnsi"/>
          <w:sz w:val="22"/>
          <w:szCs w:val="22"/>
        </w:rPr>
        <w:t xml:space="preserve"> w rozwój MŚP (…)</w:t>
      </w:r>
      <w:r w:rsidR="00715A29" w:rsidRPr="00890249">
        <w:rPr>
          <w:rFonts w:asciiTheme="minorHAnsi" w:hAnsiTheme="minorHAnsi" w:cstheme="minorHAnsi"/>
          <w:noProof/>
          <w:sz w:val="22"/>
          <w:szCs w:val="22"/>
        </w:rPr>
        <w:t xml:space="preserve"> – (</w:t>
      </w:r>
      <w:r w:rsidRPr="00890249">
        <w:rPr>
          <w:rFonts w:asciiTheme="minorHAnsi" w:hAnsiTheme="minorHAnsi" w:cstheme="minorHAnsi"/>
          <w:noProof/>
          <w:sz w:val="22"/>
          <w:szCs w:val="22"/>
        </w:rPr>
        <w:t>typ 5</w:t>
      </w:r>
      <w:r w:rsidR="00715A29" w:rsidRPr="00890249">
        <w:rPr>
          <w:rFonts w:asciiTheme="minorHAnsi" w:hAnsiTheme="minorHAnsi" w:cstheme="minorHAnsi"/>
          <w:noProof/>
          <w:sz w:val="22"/>
          <w:szCs w:val="22"/>
        </w:rPr>
        <w:t>).</w:t>
      </w:r>
    </w:p>
    <w:p w14:paraId="3C4FFDC8" w14:textId="77777777" w:rsidR="006452BC" w:rsidRPr="00890249" w:rsidRDefault="006452BC" w:rsidP="00F62734">
      <w:pPr>
        <w:spacing w:before="0" w:after="60"/>
        <w:rPr>
          <w:rFonts w:asciiTheme="minorHAnsi" w:hAnsiTheme="minorHAnsi" w:cstheme="minorHAnsi"/>
          <w:noProof/>
          <w:sz w:val="22"/>
          <w:szCs w:val="22"/>
        </w:rPr>
      </w:pPr>
      <w:r w:rsidRPr="00890249">
        <w:rPr>
          <w:rFonts w:asciiTheme="minorHAnsi" w:hAnsiTheme="minorHAnsi" w:cstheme="minorHAnsi"/>
          <w:noProof/>
          <w:sz w:val="22"/>
          <w:szCs w:val="22"/>
        </w:rPr>
        <w:t>Dotacje warunkowe w obszarze wdrożenia wyników prac B+R przez MŚP.</w:t>
      </w:r>
    </w:p>
    <w:p w14:paraId="2B19B09E" w14:textId="310D5042" w:rsidR="0093433C" w:rsidRPr="00890249" w:rsidRDefault="004249F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Dotacje w </w:t>
      </w:r>
      <w:r w:rsidR="00715A29" w:rsidRPr="00890249">
        <w:rPr>
          <w:rFonts w:asciiTheme="minorHAnsi" w:hAnsiTheme="minorHAnsi" w:cstheme="minorHAnsi"/>
          <w:noProof/>
          <w:sz w:val="22"/>
          <w:szCs w:val="22"/>
        </w:rPr>
        <w:t>obszarze</w:t>
      </w:r>
      <w:r w:rsidRPr="00890249">
        <w:rPr>
          <w:rFonts w:asciiTheme="minorHAnsi" w:hAnsiTheme="minorHAnsi" w:cstheme="minorHAnsi"/>
          <w:noProof/>
          <w:sz w:val="22"/>
          <w:szCs w:val="22"/>
        </w:rPr>
        <w:t>:</w:t>
      </w:r>
    </w:p>
    <w:p w14:paraId="25C8EBAE" w14:textId="75EDC750" w:rsidR="004249F6" w:rsidRPr="00890249" w:rsidRDefault="004249F6" w:rsidP="009F296A">
      <w:pPr>
        <w:pStyle w:val="Akapitzlist"/>
        <w:numPr>
          <w:ilvl w:val="0"/>
          <w:numId w:val="3"/>
        </w:numPr>
        <w:spacing w:before="0" w:after="0"/>
        <w:ind w:left="850" w:hanging="357"/>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nowopowstałych firm (do 24 m-cy) </w:t>
      </w:r>
      <w:r w:rsidR="00485F87" w:rsidRPr="00890249">
        <w:rPr>
          <w:rFonts w:asciiTheme="minorHAnsi" w:hAnsiTheme="minorHAnsi" w:cstheme="minorHAnsi"/>
          <w:sz w:val="22"/>
          <w:szCs w:val="22"/>
        </w:rPr>
        <w:t xml:space="preserve">- </w:t>
      </w:r>
      <w:r w:rsidR="00715A29" w:rsidRPr="00890249">
        <w:rPr>
          <w:rFonts w:asciiTheme="minorHAnsi" w:hAnsiTheme="minorHAnsi" w:cstheme="minorHAnsi"/>
          <w:sz w:val="22"/>
          <w:szCs w:val="22"/>
        </w:rPr>
        <w:t xml:space="preserve">(typ 1) </w:t>
      </w:r>
      <w:r w:rsidRPr="00890249">
        <w:rPr>
          <w:rFonts w:asciiTheme="minorHAnsi" w:hAnsiTheme="minorHAnsi" w:cstheme="minorHAnsi"/>
          <w:sz w:val="22"/>
          <w:szCs w:val="22"/>
        </w:rPr>
        <w:t>- brak zdolności kredytowej</w:t>
      </w:r>
      <w:r w:rsidR="00485F87" w:rsidRPr="00890249">
        <w:rPr>
          <w:rFonts w:asciiTheme="minorHAnsi" w:hAnsiTheme="minorHAnsi" w:cstheme="minorHAnsi"/>
          <w:sz w:val="22"/>
          <w:szCs w:val="22"/>
        </w:rPr>
        <w:t>,</w:t>
      </w:r>
    </w:p>
    <w:p w14:paraId="28064575" w14:textId="609229EA" w:rsidR="004249F6" w:rsidRPr="00890249" w:rsidRDefault="004249F6" w:rsidP="009F296A">
      <w:pPr>
        <w:pStyle w:val="Akapitzlist"/>
        <w:numPr>
          <w:ilvl w:val="0"/>
          <w:numId w:val="3"/>
        </w:numPr>
        <w:spacing w:before="0" w:after="0"/>
        <w:ind w:left="851"/>
        <w:rPr>
          <w:rFonts w:asciiTheme="minorHAnsi" w:hAnsiTheme="minorHAnsi" w:cstheme="minorHAnsi"/>
          <w:sz w:val="22"/>
          <w:szCs w:val="22"/>
        </w:rPr>
      </w:pPr>
      <w:r w:rsidRPr="00890249">
        <w:rPr>
          <w:rFonts w:asciiTheme="minorHAnsi" w:hAnsiTheme="minorHAnsi" w:cstheme="minorHAnsi"/>
          <w:sz w:val="22"/>
          <w:szCs w:val="22"/>
        </w:rPr>
        <w:t>współpracy gosp. oraz promocji MŚP</w:t>
      </w:r>
      <w:r w:rsidR="00485F87" w:rsidRPr="00890249">
        <w:rPr>
          <w:rFonts w:asciiTheme="minorHAnsi" w:hAnsiTheme="minorHAnsi" w:cstheme="minorHAnsi"/>
          <w:sz w:val="22"/>
          <w:szCs w:val="22"/>
        </w:rPr>
        <w:t xml:space="preserve"> - </w:t>
      </w:r>
      <w:r w:rsidRPr="00890249">
        <w:rPr>
          <w:rFonts w:asciiTheme="minorHAnsi" w:hAnsiTheme="minorHAnsi" w:cstheme="minorHAnsi"/>
          <w:sz w:val="22"/>
          <w:szCs w:val="22"/>
        </w:rPr>
        <w:t>(typ 2 i 3)</w:t>
      </w:r>
      <w:r w:rsidR="00D245B1" w:rsidRPr="00890249">
        <w:rPr>
          <w:rFonts w:asciiTheme="minorHAnsi" w:hAnsiTheme="minorHAnsi" w:cstheme="minorHAnsi"/>
          <w:sz w:val="22"/>
          <w:szCs w:val="22"/>
        </w:rPr>
        <w:t xml:space="preserve"> </w:t>
      </w:r>
      <w:r w:rsidRPr="00890249">
        <w:rPr>
          <w:rFonts w:asciiTheme="minorHAnsi" w:hAnsiTheme="minorHAnsi" w:cstheme="minorHAnsi"/>
          <w:noProof/>
          <w:sz w:val="22"/>
          <w:szCs w:val="22"/>
        </w:rPr>
        <w:t xml:space="preserve">- </w:t>
      </w:r>
      <w:r w:rsidRPr="00890249">
        <w:rPr>
          <w:rFonts w:asciiTheme="minorHAnsi" w:hAnsiTheme="minorHAnsi" w:cstheme="minorHAnsi"/>
          <w:sz w:val="22"/>
          <w:szCs w:val="22"/>
        </w:rPr>
        <w:t>działania o dużym stopniu</w:t>
      </w:r>
      <w:r w:rsidRPr="00890249">
        <w:rPr>
          <w:rFonts w:asciiTheme="minorHAnsi" w:hAnsiTheme="minorHAnsi" w:cstheme="minorHAnsi"/>
          <w:b/>
          <w:sz w:val="22"/>
          <w:szCs w:val="22"/>
        </w:rPr>
        <w:t xml:space="preserve"> </w:t>
      </w:r>
      <w:r w:rsidRPr="00890249">
        <w:rPr>
          <w:rFonts w:asciiTheme="minorHAnsi" w:hAnsiTheme="minorHAnsi" w:cstheme="minorHAnsi"/>
          <w:sz w:val="22"/>
          <w:szCs w:val="22"/>
        </w:rPr>
        <w:t>ryzyka,</w:t>
      </w:r>
      <w:r w:rsidRPr="00890249">
        <w:rPr>
          <w:rFonts w:asciiTheme="minorHAnsi" w:hAnsiTheme="minorHAnsi" w:cstheme="minorHAnsi"/>
          <w:b/>
          <w:sz w:val="22"/>
          <w:szCs w:val="22"/>
        </w:rPr>
        <w:t xml:space="preserve"> </w:t>
      </w:r>
      <w:r w:rsidRPr="00890249">
        <w:rPr>
          <w:rFonts w:asciiTheme="minorHAnsi" w:hAnsiTheme="minorHAnsi" w:cstheme="minorHAnsi"/>
          <w:sz w:val="22"/>
          <w:szCs w:val="22"/>
        </w:rPr>
        <w:t>rozłożone w czasie i przynoszące efekty finansowe dopiero po kilku latach</w:t>
      </w:r>
      <w:r w:rsidR="00485F87" w:rsidRPr="00890249">
        <w:rPr>
          <w:rFonts w:asciiTheme="minorHAnsi" w:hAnsiTheme="minorHAnsi" w:cstheme="minorHAnsi"/>
          <w:sz w:val="22"/>
          <w:szCs w:val="22"/>
        </w:rPr>
        <w:t>,</w:t>
      </w:r>
    </w:p>
    <w:p w14:paraId="2E76B5E7" w14:textId="452B7112" w:rsidR="003E1A12" w:rsidRPr="008F09A3" w:rsidRDefault="003E1A12" w:rsidP="009F296A">
      <w:pPr>
        <w:pStyle w:val="Akapitzlist"/>
        <w:numPr>
          <w:ilvl w:val="0"/>
          <w:numId w:val="3"/>
        </w:numPr>
        <w:ind w:left="851"/>
        <w:rPr>
          <w:rFonts w:asciiTheme="minorHAnsi" w:eastAsia="Times New Roman" w:hAnsiTheme="minorHAnsi" w:cstheme="minorHAnsi"/>
          <w:color w:val="000000"/>
          <w:sz w:val="22"/>
          <w:szCs w:val="22"/>
        </w:rPr>
      </w:pPr>
      <w:r w:rsidRPr="00890249">
        <w:rPr>
          <w:rFonts w:asciiTheme="minorHAnsi" w:hAnsiTheme="minorHAnsi" w:cstheme="minorHAnsi"/>
          <w:sz w:val="22"/>
          <w:szCs w:val="22"/>
        </w:rPr>
        <w:t xml:space="preserve">inwestycji wskazanych w typie 4 i 5 dla MŚP </w:t>
      </w:r>
      <w:r w:rsidRPr="00890249">
        <w:rPr>
          <w:rFonts w:asciiTheme="minorHAnsi" w:eastAsia="Times New Roman" w:hAnsiTheme="minorHAnsi" w:cstheme="minorHAnsi"/>
          <w:sz w:val="22"/>
          <w:szCs w:val="22"/>
        </w:rPr>
        <w:t xml:space="preserve">– </w:t>
      </w:r>
      <w:r w:rsidRPr="00890249">
        <w:rPr>
          <w:rFonts w:asciiTheme="minorHAnsi" w:hAnsiTheme="minorHAnsi" w:cstheme="minorHAnsi"/>
          <w:noProof/>
          <w:sz w:val="22"/>
          <w:szCs w:val="22"/>
        </w:rPr>
        <w:t>z terenu Sub</w:t>
      </w:r>
      <w:r w:rsidR="00D93E0F" w:rsidRPr="00890249">
        <w:rPr>
          <w:rFonts w:asciiTheme="minorHAnsi" w:hAnsiTheme="minorHAnsi" w:cstheme="minorHAnsi"/>
          <w:noProof/>
          <w:sz w:val="22"/>
          <w:szCs w:val="22"/>
        </w:rPr>
        <w:t xml:space="preserve">regionu </w:t>
      </w:r>
      <w:r w:rsidRPr="00890249">
        <w:rPr>
          <w:rFonts w:asciiTheme="minorHAnsi" w:hAnsiTheme="minorHAnsi" w:cstheme="minorHAnsi"/>
          <w:noProof/>
          <w:sz w:val="22"/>
          <w:szCs w:val="22"/>
        </w:rPr>
        <w:t>P</w:t>
      </w:r>
      <w:r w:rsidR="00D93E0F" w:rsidRPr="00890249">
        <w:rPr>
          <w:rFonts w:asciiTheme="minorHAnsi" w:hAnsiTheme="minorHAnsi" w:cstheme="minorHAnsi"/>
          <w:noProof/>
          <w:sz w:val="22"/>
          <w:szCs w:val="22"/>
        </w:rPr>
        <w:t>ołudniowego</w:t>
      </w:r>
      <w:r w:rsidRPr="00890249">
        <w:rPr>
          <w:rFonts w:asciiTheme="minorHAnsi" w:hAnsiTheme="minorHAnsi" w:cstheme="minorHAnsi"/>
          <w:noProof/>
          <w:sz w:val="22"/>
          <w:szCs w:val="22"/>
        </w:rPr>
        <w:t xml:space="preserve"> (powiaty:</w:t>
      </w:r>
      <w:r w:rsidR="00152536"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głubczycki,</w:t>
      </w:r>
      <w:r w:rsidR="00152536"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nyski i prudnicki)</w:t>
      </w:r>
      <w:r w:rsidR="00152536" w:rsidRPr="00890249">
        <w:rPr>
          <w:rFonts w:asciiTheme="minorHAnsi" w:hAnsiTheme="minorHAnsi" w:cstheme="minorHAnsi"/>
          <w:noProof/>
          <w:sz w:val="22"/>
          <w:szCs w:val="22"/>
        </w:rPr>
        <w:t>,</w:t>
      </w:r>
      <w:r w:rsidR="006D618E" w:rsidRPr="00890249">
        <w:rPr>
          <w:rFonts w:asciiTheme="minorHAnsi" w:hAnsiTheme="minorHAnsi" w:cstheme="minorHAnsi"/>
          <w:sz w:val="22"/>
          <w:szCs w:val="22"/>
        </w:rPr>
        <w:t xml:space="preserve"> które charakteryzują się niższymi wskaźnikami rozwoju społeczno </w:t>
      </w:r>
      <w:r w:rsidR="00485F87" w:rsidRPr="00890249">
        <w:rPr>
          <w:rFonts w:asciiTheme="minorHAnsi" w:hAnsiTheme="minorHAnsi" w:cstheme="minorHAnsi"/>
          <w:sz w:val="22"/>
          <w:szCs w:val="22"/>
        </w:rPr>
        <w:t>–</w:t>
      </w:r>
      <w:r w:rsidR="006D618E" w:rsidRPr="00890249">
        <w:rPr>
          <w:rFonts w:asciiTheme="minorHAnsi" w:hAnsiTheme="minorHAnsi" w:cstheme="minorHAnsi"/>
          <w:sz w:val="22"/>
          <w:szCs w:val="22"/>
        </w:rPr>
        <w:t xml:space="preserve"> gospodarcz</w:t>
      </w:r>
      <w:r w:rsidR="00715A29" w:rsidRPr="00890249">
        <w:rPr>
          <w:rFonts w:asciiTheme="minorHAnsi" w:hAnsiTheme="minorHAnsi" w:cstheme="minorHAnsi"/>
          <w:sz w:val="22"/>
          <w:szCs w:val="22"/>
        </w:rPr>
        <w:t>ego</w:t>
      </w:r>
      <w:r w:rsidR="00485F87" w:rsidRPr="00890249">
        <w:rPr>
          <w:rFonts w:asciiTheme="minorHAnsi" w:hAnsiTheme="minorHAnsi" w:cstheme="minorHAnsi"/>
          <w:sz w:val="22"/>
          <w:szCs w:val="22"/>
        </w:rPr>
        <w:t>,</w:t>
      </w:r>
      <w:r w:rsidR="00002BC7">
        <w:rPr>
          <w:rFonts w:asciiTheme="minorHAnsi" w:hAnsiTheme="minorHAnsi" w:cstheme="minorHAnsi"/>
          <w:sz w:val="22"/>
          <w:szCs w:val="22"/>
        </w:rPr>
        <w:t xml:space="preserve"> </w:t>
      </w:r>
      <w:r w:rsidR="00002BC7" w:rsidRPr="00F62734">
        <w:rPr>
          <w:rFonts w:ascii="Calibri" w:hAnsi="Calibri" w:cs="Calibri"/>
          <w:sz w:val="22"/>
          <w:szCs w:val="22"/>
        </w:rPr>
        <w:t>a także gmin położonych na terenie powiatów: brzeski</w:t>
      </w:r>
      <w:r w:rsidR="008F09A3">
        <w:rPr>
          <w:rFonts w:ascii="Calibri" w:hAnsi="Calibri" w:cs="Calibri"/>
          <w:sz w:val="22"/>
          <w:szCs w:val="22"/>
        </w:rPr>
        <w:t>ego</w:t>
      </w:r>
      <w:r w:rsidR="00002BC7" w:rsidRPr="00F62734">
        <w:rPr>
          <w:rFonts w:ascii="Calibri" w:hAnsi="Calibri" w:cs="Calibri"/>
          <w:sz w:val="22"/>
          <w:szCs w:val="22"/>
        </w:rPr>
        <w:t>, kędzierzyńsko – kozielski</w:t>
      </w:r>
      <w:r w:rsidR="008F09A3">
        <w:rPr>
          <w:rFonts w:ascii="Calibri" w:hAnsi="Calibri" w:cs="Calibri"/>
          <w:sz w:val="22"/>
          <w:szCs w:val="22"/>
        </w:rPr>
        <w:t>ego</w:t>
      </w:r>
      <w:r w:rsidR="00002BC7" w:rsidRPr="00F62734">
        <w:rPr>
          <w:rFonts w:ascii="Calibri" w:hAnsi="Calibri" w:cs="Calibri"/>
          <w:sz w:val="22"/>
          <w:szCs w:val="22"/>
        </w:rPr>
        <w:t>, krapkowicki</w:t>
      </w:r>
      <w:r w:rsidR="008F09A3">
        <w:rPr>
          <w:rFonts w:ascii="Calibri" w:hAnsi="Calibri" w:cs="Calibri"/>
          <w:sz w:val="22"/>
          <w:szCs w:val="22"/>
        </w:rPr>
        <w:t>ego</w:t>
      </w:r>
      <w:r w:rsidR="00002BC7" w:rsidRPr="00F62734">
        <w:rPr>
          <w:rFonts w:ascii="Calibri" w:hAnsi="Calibri" w:cs="Calibri"/>
          <w:sz w:val="22"/>
          <w:szCs w:val="22"/>
        </w:rPr>
        <w:t>, opolski</w:t>
      </w:r>
      <w:r w:rsidR="008F09A3">
        <w:rPr>
          <w:rFonts w:ascii="Calibri" w:hAnsi="Calibri" w:cs="Calibri"/>
          <w:sz w:val="22"/>
          <w:szCs w:val="22"/>
        </w:rPr>
        <w:t>ego</w:t>
      </w:r>
      <w:r w:rsidR="00002BC7" w:rsidRPr="00F62734">
        <w:rPr>
          <w:rFonts w:ascii="Calibri" w:hAnsi="Calibri" w:cs="Calibri"/>
          <w:sz w:val="22"/>
          <w:szCs w:val="22"/>
        </w:rPr>
        <w:t>.</w:t>
      </w:r>
    </w:p>
    <w:p w14:paraId="13A36BC7" w14:textId="1022ABF3" w:rsidR="004249F6" w:rsidRPr="008F09A3" w:rsidRDefault="00D245B1" w:rsidP="009F296A">
      <w:pPr>
        <w:pStyle w:val="Akapitzlist"/>
        <w:numPr>
          <w:ilvl w:val="0"/>
          <w:numId w:val="3"/>
        </w:numPr>
        <w:spacing w:before="0" w:after="0"/>
        <w:ind w:left="851"/>
        <w:contextualSpacing w:val="0"/>
        <w:rPr>
          <w:rFonts w:asciiTheme="minorHAnsi" w:eastAsia="Times New Roman" w:hAnsiTheme="minorHAnsi" w:cstheme="minorHAnsi"/>
          <w:color w:val="000000"/>
          <w:sz w:val="22"/>
          <w:szCs w:val="22"/>
        </w:rPr>
      </w:pPr>
      <w:r w:rsidRPr="008F09A3">
        <w:rPr>
          <w:rFonts w:asciiTheme="minorHAnsi" w:hAnsiTheme="minorHAnsi" w:cstheme="minorHAnsi"/>
          <w:sz w:val="22"/>
          <w:szCs w:val="22"/>
        </w:rPr>
        <w:t xml:space="preserve">udzielania </w:t>
      </w:r>
      <w:r w:rsidR="006D618E" w:rsidRPr="008F09A3">
        <w:rPr>
          <w:rFonts w:asciiTheme="minorHAnsi" w:hAnsiTheme="minorHAnsi" w:cstheme="minorHAnsi"/>
          <w:sz w:val="22"/>
          <w:szCs w:val="22"/>
        </w:rPr>
        <w:t>voucher</w:t>
      </w:r>
      <w:r w:rsidRPr="008F09A3">
        <w:rPr>
          <w:rFonts w:asciiTheme="minorHAnsi" w:hAnsiTheme="minorHAnsi" w:cstheme="minorHAnsi"/>
          <w:sz w:val="22"/>
          <w:szCs w:val="22"/>
        </w:rPr>
        <w:t>ów</w:t>
      </w:r>
      <w:r w:rsidR="006D618E" w:rsidRPr="008F09A3">
        <w:rPr>
          <w:rFonts w:asciiTheme="minorHAnsi" w:hAnsiTheme="minorHAnsi" w:cstheme="minorHAnsi"/>
          <w:sz w:val="22"/>
          <w:szCs w:val="22"/>
        </w:rPr>
        <w:t xml:space="preserve"> dla MŚP na profesjonalne usługi świadczone przez akredytowane IOB</w:t>
      </w:r>
      <w:r w:rsidR="00715A29" w:rsidRPr="008F09A3">
        <w:rPr>
          <w:rFonts w:asciiTheme="minorHAnsi" w:hAnsiTheme="minorHAnsi" w:cstheme="minorHAnsi"/>
          <w:sz w:val="22"/>
          <w:szCs w:val="22"/>
        </w:rPr>
        <w:t xml:space="preserve"> (typ 6) oraz </w:t>
      </w:r>
      <w:r w:rsidR="004249F6" w:rsidRPr="008F09A3">
        <w:rPr>
          <w:rFonts w:asciiTheme="minorHAnsi" w:eastAsia="Times New Roman" w:hAnsiTheme="minorHAnsi" w:cstheme="minorHAnsi"/>
          <w:color w:val="000000"/>
          <w:sz w:val="22"/>
          <w:szCs w:val="22"/>
        </w:rPr>
        <w:t>wsparci</w:t>
      </w:r>
      <w:r w:rsidR="006D618E" w:rsidRPr="008F09A3">
        <w:rPr>
          <w:rFonts w:asciiTheme="minorHAnsi" w:eastAsia="Times New Roman" w:hAnsiTheme="minorHAnsi" w:cstheme="minorHAnsi"/>
          <w:color w:val="000000"/>
          <w:sz w:val="22"/>
          <w:szCs w:val="22"/>
        </w:rPr>
        <w:t>a</w:t>
      </w:r>
      <w:r w:rsidR="009A1E76" w:rsidRPr="008F09A3">
        <w:rPr>
          <w:rFonts w:asciiTheme="minorHAnsi" w:eastAsia="Times New Roman" w:hAnsiTheme="minorHAnsi" w:cstheme="minorHAnsi"/>
          <w:color w:val="000000"/>
          <w:sz w:val="22"/>
          <w:szCs w:val="22"/>
        </w:rPr>
        <w:t xml:space="preserve"> </w:t>
      </w:r>
      <w:r w:rsidR="004249F6" w:rsidRPr="008F09A3">
        <w:rPr>
          <w:rFonts w:asciiTheme="minorHAnsi" w:eastAsia="Times New Roman" w:hAnsiTheme="minorHAnsi" w:cstheme="minorHAnsi"/>
          <w:color w:val="000000"/>
          <w:sz w:val="22"/>
          <w:szCs w:val="22"/>
        </w:rPr>
        <w:t>istniejących IOB (typ</w:t>
      </w:r>
      <w:r w:rsidR="00715A29" w:rsidRPr="008F09A3">
        <w:rPr>
          <w:rFonts w:asciiTheme="minorHAnsi" w:eastAsia="Times New Roman" w:hAnsiTheme="minorHAnsi" w:cstheme="minorHAnsi"/>
          <w:color w:val="000000"/>
          <w:sz w:val="22"/>
          <w:szCs w:val="22"/>
        </w:rPr>
        <w:t xml:space="preserve"> </w:t>
      </w:r>
      <w:r w:rsidR="004249F6" w:rsidRPr="008F09A3">
        <w:rPr>
          <w:rFonts w:asciiTheme="minorHAnsi" w:eastAsia="Times New Roman" w:hAnsiTheme="minorHAnsi" w:cstheme="minorHAnsi"/>
          <w:color w:val="000000"/>
          <w:sz w:val="22"/>
          <w:szCs w:val="22"/>
        </w:rPr>
        <w:t xml:space="preserve">7) </w:t>
      </w:r>
      <w:r w:rsidR="00B27003" w:rsidRPr="008F09A3">
        <w:rPr>
          <w:rFonts w:asciiTheme="minorHAnsi" w:hAnsiTheme="minorHAnsi" w:cstheme="minorHAnsi"/>
          <w:sz w:val="22"/>
          <w:szCs w:val="22"/>
        </w:rPr>
        <w:t>–</w:t>
      </w:r>
      <w:r w:rsidR="004249F6" w:rsidRPr="008F09A3">
        <w:rPr>
          <w:rFonts w:asciiTheme="minorHAnsi" w:hAnsiTheme="minorHAnsi" w:cstheme="minorHAnsi"/>
          <w:sz w:val="22"/>
          <w:szCs w:val="22"/>
        </w:rPr>
        <w:t xml:space="preserve"> </w:t>
      </w:r>
      <w:r w:rsidR="00B27003" w:rsidRPr="008F09A3">
        <w:rPr>
          <w:rFonts w:asciiTheme="minorHAnsi" w:hAnsiTheme="minorHAnsi" w:cstheme="minorHAnsi"/>
          <w:sz w:val="22"/>
          <w:szCs w:val="22"/>
        </w:rPr>
        <w:t xml:space="preserve">bezpośrednim założeniem tego typu projektów nie jest generowanie zysków </w:t>
      </w:r>
      <w:r w:rsidR="004249F6" w:rsidRPr="008F09A3">
        <w:rPr>
          <w:rFonts w:asciiTheme="minorHAnsi" w:hAnsiTheme="minorHAnsi" w:cstheme="minorHAnsi"/>
          <w:sz w:val="22"/>
          <w:szCs w:val="22"/>
        </w:rPr>
        <w:t>lub oszczędności</w:t>
      </w:r>
      <w:r w:rsidR="00485F87" w:rsidRPr="008F09A3">
        <w:rPr>
          <w:rFonts w:asciiTheme="minorHAnsi" w:hAnsiTheme="minorHAnsi" w:cstheme="minorHAnsi"/>
          <w:sz w:val="22"/>
          <w:szCs w:val="22"/>
        </w:rPr>
        <w:t>.</w:t>
      </w:r>
    </w:p>
    <w:p w14:paraId="41D9F7EC" w14:textId="77777777" w:rsidR="002033C0" w:rsidRPr="00890249" w:rsidRDefault="002033C0" w:rsidP="00202CB1">
      <w:pPr>
        <w:spacing w:before="0" w:after="0"/>
        <w:rPr>
          <w:rFonts w:asciiTheme="minorHAnsi" w:hAnsiTheme="minorHAnsi" w:cstheme="minorHAnsi"/>
          <w:noProof/>
          <w:sz w:val="22"/>
          <w:szCs w:val="22"/>
        </w:rPr>
      </w:pPr>
    </w:p>
    <w:p w14:paraId="3FB04DFD" w14:textId="77777777" w:rsidR="006452BC" w:rsidRPr="00890249" w:rsidRDefault="006452BC" w:rsidP="006452BC">
      <w:pPr>
        <w:spacing w:before="0" w:after="0"/>
        <w:rPr>
          <w:rFonts w:asciiTheme="minorHAnsi" w:hAnsiTheme="minorHAnsi" w:cstheme="minorHAnsi"/>
          <w:b/>
          <w:noProof/>
          <w:sz w:val="22"/>
          <w:szCs w:val="22"/>
        </w:rPr>
      </w:pPr>
      <w:r w:rsidRPr="00890249">
        <w:rPr>
          <w:rFonts w:asciiTheme="minorHAnsi" w:hAnsiTheme="minorHAnsi" w:cstheme="minorHAnsi"/>
          <w:b/>
          <w:noProof/>
          <w:sz w:val="22"/>
          <w:szCs w:val="22"/>
        </w:rPr>
        <w:t>2.1.1.3.2 (iii) Wskaźniki</w:t>
      </w:r>
    </w:p>
    <w:p w14:paraId="0DC19265" w14:textId="77777777" w:rsidR="00AD34AB" w:rsidRPr="00890249" w:rsidRDefault="00AD34AB" w:rsidP="00D82962">
      <w:pPr>
        <w:spacing w:before="0" w:after="0"/>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971"/>
        <w:gridCol w:w="692"/>
        <w:gridCol w:w="1113"/>
        <w:gridCol w:w="968"/>
        <w:gridCol w:w="2215"/>
        <w:gridCol w:w="968"/>
        <w:gridCol w:w="830"/>
        <w:gridCol w:w="792"/>
      </w:tblGrid>
      <w:tr w:rsidR="004249F6" w:rsidRPr="00890249" w14:paraId="3A7A3AA1" w14:textId="77777777" w:rsidTr="004B59D6">
        <w:trPr>
          <w:trHeight w:val="333"/>
        </w:trPr>
        <w:tc>
          <w:tcPr>
            <w:tcW w:w="5000" w:type="pct"/>
            <w:gridSpan w:val="9"/>
            <w:shd w:val="clear" w:color="auto" w:fill="D9D9D9" w:themeFill="background1" w:themeFillShade="D9"/>
          </w:tcPr>
          <w:p w14:paraId="5619E530" w14:textId="77777777" w:rsidR="004249F6" w:rsidRPr="00890249" w:rsidRDefault="004249F6" w:rsidP="004B59D6">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5B1C43" w:rsidRPr="00890249" w14:paraId="57D12F7C" w14:textId="77777777" w:rsidTr="00890249">
        <w:trPr>
          <w:cantSplit/>
          <w:trHeight w:val="1647"/>
        </w:trPr>
        <w:tc>
          <w:tcPr>
            <w:tcW w:w="283" w:type="pct"/>
            <w:shd w:val="clear" w:color="auto" w:fill="F2F2F2" w:themeFill="background1" w:themeFillShade="F2"/>
            <w:textDirection w:val="btLr"/>
            <w:vAlign w:val="center"/>
          </w:tcPr>
          <w:p w14:paraId="7E28044E"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536" w:type="pct"/>
            <w:shd w:val="clear" w:color="auto" w:fill="F2F2F2" w:themeFill="background1" w:themeFillShade="F2"/>
            <w:textDirection w:val="btLr"/>
            <w:vAlign w:val="center"/>
          </w:tcPr>
          <w:p w14:paraId="603A3206"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2" w:type="pct"/>
            <w:shd w:val="clear" w:color="auto" w:fill="F2F2F2" w:themeFill="background1" w:themeFillShade="F2"/>
            <w:textDirection w:val="btLr"/>
            <w:vAlign w:val="center"/>
          </w:tcPr>
          <w:p w14:paraId="339DFC9A"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614" w:type="pct"/>
            <w:shd w:val="clear" w:color="auto" w:fill="F2F2F2" w:themeFill="background1" w:themeFillShade="F2"/>
            <w:textDirection w:val="btLr"/>
            <w:vAlign w:val="center"/>
          </w:tcPr>
          <w:p w14:paraId="4EF0736A"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534" w:type="pct"/>
            <w:shd w:val="clear" w:color="auto" w:fill="F2F2F2" w:themeFill="background1" w:themeFillShade="F2"/>
            <w:textDirection w:val="btLr"/>
            <w:vAlign w:val="center"/>
          </w:tcPr>
          <w:p w14:paraId="798890AE"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2" w:type="pct"/>
            <w:shd w:val="clear" w:color="auto" w:fill="F2F2F2" w:themeFill="background1" w:themeFillShade="F2"/>
            <w:textDirection w:val="btLr"/>
            <w:vAlign w:val="center"/>
          </w:tcPr>
          <w:p w14:paraId="072367FD"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534" w:type="pct"/>
            <w:shd w:val="clear" w:color="auto" w:fill="F2F2F2" w:themeFill="background1" w:themeFillShade="F2"/>
            <w:textDirection w:val="btLr"/>
            <w:vAlign w:val="center"/>
          </w:tcPr>
          <w:p w14:paraId="7459034A"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458" w:type="pct"/>
            <w:shd w:val="clear" w:color="auto" w:fill="F2F2F2" w:themeFill="background1" w:themeFillShade="F2"/>
            <w:textDirection w:val="btLr"/>
            <w:vAlign w:val="center"/>
          </w:tcPr>
          <w:p w14:paraId="15E0186F"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438" w:type="pct"/>
            <w:shd w:val="clear" w:color="auto" w:fill="F2F2F2" w:themeFill="background1" w:themeFillShade="F2"/>
            <w:textDirection w:val="btLr"/>
            <w:vAlign w:val="center"/>
          </w:tcPr>
          <w:p w14:paraId="51161930" w14:textId="77777777" w:rsidR="004249F6" w:rsidRPr="00890249" w:rsidRDefault="004249F6" w:rsidP="004B59D6">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5B1C43" w:rsidRPr="00890249" w14:paraId="74B90704" w14:textId="77777777" w:rsidTr="00890249">
        <w:trPr>
          <w:trHeight w:val="340"/>
        </w:trPr>
        <w:tc>
          <w:tcPr>
            <w:tcW w:w="283" w:type="pct"/>
            <w:vAlign w:val="center"/>
          </w:tcPr>
          <w:p w14:paraId="0F179B37"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6" w:type="pct"/>
            <w:vAlign w:val="center"/>
          </w:tcPr>
          <w:p w14:paraId="17AA476D"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1.iii</w:t>
            </w:r>
          </w:p>
        </w:tc>
        <w:tc>
          <w:tcPr>
            <w:tcW w:w="382" w:type="pct"/>
            <w:vAlign w:val="center"/>
          </w:tcPr>
          <w:p w14:paraId="7A82EE25"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EFRR</w:t>
            </w:r>
          </w:p>
        </w:tc>
        <w:tc>
          <w:tcPr>
            <w:tcW w:w="614" w:type="pct"/>
            <w:vAlign w:val="center"/>
          </w:tcPr>
          <w:p w14:paraId="0BF70193"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20"/>
              </w:rPr>
              <w:t>Słabiej rozwinięte</w:t>
            </w:r>
          </w:p>
        </w:tc>
        <w:tc>
          <w:tcPr>
            <w:tcW w:w="534" w:type="pct"/>
            <w:vAlign w:val="center"/>
          </w:tcPr>
          <w:p w14:paraId="1E0408E5"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sz w:val="18"/>
                <w:szCs w:val="16"/>
                <w:lang w:eastAsia="en-US" w:bidi="ar-SA"/>
              </w:rPr>
              <w:t>RCO001</w:t>
            </w:r>
          </w:p>
        </w:tc>
        <w:tc>
          <w:tcPr>
            <w:tcW w:w="1222" w:type="pct"/>
            <w:shd w:val="clear" w:color="auto" w:fill="auto"/>
            <w:vAlign w:val="center"/>
          </w:tcPr>
          <w:p w14:paraId="1BD5FE47" w14:textId="77777777" w:rsidR="004249F6" w:rsidRPr="00890249" w:rsidRDefault="004249F6" w:rsidP="004B59D6">
            <w:pPr>
              <w:jc w:val="left"/>
              <w:rPr>
                <w:rFonts w:asciiTheme="minorHAnsi" w:hAnsiTheme="minorHAnsi" w:cstheme="minorHAnsi"/>
                <w:i/>
                <w:noProof/>
                <w:sz w:val="18"/>
                <w:szCs w:val="16"/>
              </w:rPr>
            </w:pPr>
            <w:r w:rsidRPr="00890249">
              <w:rPr>
                <w:rFonts w:asciiTheme="minorHAnsi" w:hAnsiTheme="minorHAnsi" w:cstheme="minorHAnsi"/>
                <w:i/>
                <w:sz w:val="18"/>
                <w:szCs w:val="16"/>
                <w:lang w:eastAsia="en-US" w:bidi="ar-SA"/>
              </w:rPr>
              <w:t>Przedsiębiorstwa objęte wsparciem (w tym: mikro, małe, średnie, duże)</w:t>
            </w:r>
          </w:p>
        </w:tc>
        <w:tc>
          <w:tcPr>
            <w:tcW w:w="534" w:type="pct"/>
            <w:vAlign w:val="center"/>
          </w:tcPr>
          <w:p w14:paraId="7B88AF66"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przeds.</w:t>
            </w:r>
          </w:p>
        </w:tc>
        <w:tc>
          <w:tcPr>
            <w:tcW w:w="458" w:type="pct"/>
            <w:shd w:val="clear" w:color="auto" w:fill="auto"/>
            <w:vAlign w:val="center"/>
          </w:tcPr>
          <w:p w14:paraId="45BDD271" w14:textId="6AE15659" w:rsidR="004249F6" w:rsidRPr="00890249" w:rsidRDefault="00875C92" w:rsidP="004B59D6">
            <w:pPr>
              <w:jc w:val="center"/>
              <w:rPr>
                <w:rFonts w:asciiTheme="minorHAnsi" w:hAnsiTheme="minorHAnsi" w:cstheme="minorHAnsi"/>
                <w:i/>
                <w:noProof/>
                <w:sz w:val="18"/>
                <w:szCs w:val="16"/>
              </w:rPr>
            </w:pPr>
            <w:r w:rsidRPr="00890249">
              <w:rPr>
                <w:rFonts w:asciiTheme="minorHAnsi" w:hAnsiTheme="minorHAnsi" w:cstheme="minorHAnsi"/>
                <w:noProof/>
                <w:sz w:val="18"/>
                <w:szCs w:val="16"/>
              </w:rPr>
              <w:t>58</w:t>
            </w:r>
          </w:p>
        </w:tc>
        <w:tc>
          <w:tcPr>
            <w:tcW w:w="438" w:type="pct"/>
            <w:shd w:val="clear" w:color="auto" w:fill="auto"/>
            <w:vAlign w:val="center"/>
          </w:tcPr>
          <w:p w14:paraId="1E3F1298" w14:textId="61BA7CA1" w:rsidR="004249F6" w:rsidRPr="00890249" w:rsidRDefault="00875C92" w:rsidP="003235FD">
            <w:pPr>
              <w:jc w:val="center"/>
              <w:rPr>
                <w:rFonts w:asciiTheme="minorHAnsi" w:hAnsiTheme="minorHAnsi" w:cstheme="minorHAnsi"/>
                <w:i/>
                <w:noProof/>
                <w:sz w:val="18"/>
                <w:szCs w:val="16"/>
              </w:rPr>
            </w:pPr>
            <w:r w:rsidRPr="00890249">
              <w:rPr>
                <w:rFonts w:asciiTheme="minorHAnsi" w:hAnsiTheme="minorHAnsi" w:cstheme="minorHAnsi"/>
                <w:noProof/>
                <w:sz w:val="18"/>
                <w:szCs w:val="16"/>
              </w:rPr>
              <w:t>594</w:t>
            </w:r>
          </w:p>
        </w:tc>
      </w:tr>
      <w:tr w:rsidR="005B1C43" w:rsidRPr="00890249" w14:paraId="064F87C2" w14:textId="77777777" w:rsidTr="00890249">
        <w:trPr>
          <w:trHeight w:val="340"/>
        </w:trPr>
        <w:tc>
          <w:tcPr>
            <w:tcW w:w="283" w:type="pct"/>
            <w:vAlign w:val="center"/>
          </w:tcPr>
          <w:p w14:paraId="794F0E53" w14:textId="77777777" w:rsidR="003235FD" w:rsidRPr="00890249" w:rsidRDefault="003235FD" w:rsidP="003235F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6" w:type="pct"/>
            <w:vAlign w:val="center"/>
          </w:tcPr>
          <w:p w14:paraId="68E57951"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1.iii</w:t>
            </w:r>
          </w:p>
        </w:tc>
        <w:tc>
          <w:tcPr>
            <w:tcW w:w="382" w:type="pct"/>
            <w:vAlign w:val="center"/>
          </w:tcPr>
          <w:p w14:paraId="466BF94F"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614" w:type="pct"/>
            <w:vAlign w:val="center"/>
          </w:tcPr>
          <w:p w14:paraId="37482038" w14:textId="77777777" w:rsidR="003235FD" w:rsidRPr="00890249" w:rsidRDefault="003235FD" w:rsidP="003235F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534" w:type="pct"/>
            <w:vAlign w:val="center"/>
          </w:tcPr>
          <w:p w14:paraId="6508D9FC" w14:textId="77777777" w:rsidR="003235FD" w:rsidRPr="00890249" w:rsidRDefault="003235FD" w:rsidP="003235FD">
            <w:pPr>
              <w:jc w:val="center"/>
              <w:rPr>
                <w:rFonts w:asciiTheme="minorHAnsi" w:hAnsiTheme="minorHAnsi" w:cstheme="minorHAnsi"/>
                <w:i/>
                <w:sz w:val="18"/>
                <w:szCs w:val="16"/>
                <w:lang w:eastAsia="en-US" w:bidi="ar-SA"/>
              </w:rPr>
            </w:pPr>
            <w:r w:rsidRPr="00890249">
              <w:rPr>
                <w:rFonts w:asciiTheme="minorHAnsi" w:hAnsiTheme="minorHAnsi" w:cstheme="minorHAnsi"/>
                <w:i/>
                <w:sz w:val="18"/>
                <w:szCs w:val="16"/>
                <w:lang w:eastAsia="en-US" w:bidi="ar-SA"/>
              </w:rPr>
              <w:t>RCO002</w:t>
            </w:r>
          </w:p>
        </w:tc>
        <w:tc>
          <w:tcPr>
            <w:tcW w:w="1222" w:type="pct"/>
            <w:shd w:val="clear" w:color="auto" w:fill="auto"/>
            <w:vAlign w:val="center"/>
          </w:tcPr>
          <w:p w14:paraId="1F9F89FE" w14:textId="77777777" w:rsidR="003235FD" w:rsidRPr="00890249" w:rsidRDefault="003235FD" w:rsidP="003235FD">
            <w:pPr>
              <w:jc w:val="left"/>
              <w:rPr>
                <w:rFonts w:asciiTheme="minorHAnsi" w:hAnsiTheme="minorHAnsi" w:cstheme="minorHAnsi"/>
                <w:i/>
                <w:sz w:val="18"/>
                <w:szCs w:val="16"/>
                <w:lang w:eastAsia="en-US" w:bidi="ar-SA"/>
              </w:rPr>
            </w:pPr>
            <w:r w:rsidRPr="00890249">
              <w:rPr>
                <w:rFonts w:asciiTheme="minorHAnsi" w:hAnsiTheme="minorHAnsi" w:cstheme="minorHAnsi"/>
                <w:i/>
                <w:sz w:val="18"/>
                <w:szCs w:val="16"/>
                <w:lang w:eastAsia="en-US" w:bidi="ar-SA"/>
              </w:rPr>
              <w:t>Przedsiębiorstwa objęte wsparciem w formie dotacji</w:t>
            </w:r>
          </w:p>
        </w:tc>
        <w:tc>
          <w:tcPr>
            <w:tcW w:w="534" w:type="pct"/>
            <w:vAlign w:val="center"/>
          </w:tcPr>
          <w:p w14:paraId="467D88E6"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przeds.</w:t>
            </w:r>
          </w:p>
        </w:tc>
        <w:tc>
          <w:tcPr>
            <w:tcW w:w="458" w:type="pct"/>
            <w:shd w:val="clear" w:color="auto" w:fill="auto"/>
            <w:vAlign w:val="center"/>
          </w:tcPr>
          <w:p w14:paraId="58F9BF29" w14:textId="77777777" w:rsidR="003235FD" w:rsidRPr="00890249" w:rsidDel="003235FD" w:rsidRDefault="003235FD" w:rsidP="007D4AF3">
            <w:pPr>
              <w:jc w:val="center"/>
              <w:rPr>
                <w:noProof/>
              </w:rPr>
            </w:pPr>
            <w:r w:rsidRPr="007D4AF3">
              <w:rPr>
                <w:rFonts w:asciiTheme="minorHAnsi" w:hAnsiTheme="minorHAnsi" w:cstheme="minorHAnsi"/>
                <w:noProof/>
                <w:sz w:val="18"/>
                <w:szCs w:val="16"/>
              </w:rPr>
              <w:t>28</w:t>
            </w:r>
          </w:p>
        </w:tc>
        <w:tc>
          <w:tcPr>
            <w:tcW w:w="438" w:type="pct"/>
            <w:shd w:val="clear" w:color="auto" w:fill="auto"/>
            <w:vAlign w:val="center"/>
          </w:tcPr>
          <w:p w14:paraId="00277F69" w14:textId="1D2B3E8E" w:rsidR="003235FD" w:rsidRPr="00890249" w:rsidRDefault="00E97D52" w:rsidP="003235FD">
            <w:pPr>
              <w:jc w:val="center"/>
              <w:rPr>
                <w:rFonts w:asciiTheme="minorHAnsi" w:hAnsiTheme="minorHAnsi" w:cstheme="minorHAnsi"/>
                <w:noProof/>
                <w:sz w:val="18"/>
                <w:szCs w:val="16"/>
              </w:rPr>
            </w:pPr>
            <w:r>
              <w:rPr>
                <w:rFonts w:asciiTheme="minorHAnsi" w:hAnsiTheme="minorHAnsi" w:cstheme="minorHAnsi"/>
                <w:noProof/>
                <w:sz w:val="18"/>
                <w:szCs w:val="16"/>
              </w:rPr>
              <w:t>262</w:t>
            </w:r>
          </w:p>
        </w:tc>
      </w:tr>
      <w:tr w:rsidR="005B1C43" w:rsidRPr="00890249" w14:paraId="0FDF78C5" w14:textId="77777777" w:rsidTr="00890249">
        <w:trPr>
          <w:trHeight w:val="340"/>
        </w:trPr>
        <w:tc>
          <w:tcPr>
            <w:tcW w:w="283" w:type="pct"/>
            <w:vAlign w:val="center"/>
          </w:tcPr>
          <w:p w14:paraId="3417E230" w14:textId="77777777" w:rsidR="003235FD" w:rsidRPr="00890249" w:rsidRDefault="003235FD" w:rsidP="003235F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6" w:type="pct"/>
            <w:vAlign w:val="center"/>
          </w:tcPr>
          <w:p w14:paraId="134D22F1"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1.iii</w:t>
            </w:r>
          </w:p>
        </w:tc>
        <w:tc>
          <w:tcPr>
            <w:tcW w:w="382" w:type="pct"/>
            <w:vAlign w:val="center"/>
          </w:tcPr>
          <w:p w14:paraId="1142407F"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614" w:type="pct"/>
            <w:vAlign w:val="center"/>
          </w:tcPr>
          <w:p w14:paraId="35B1082A" w14:textId="77777777" w:rsidR="003235FD" w:rsidRPr="00890249" w:rsidRDefault="003235FD" w:rsidP="003235F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534" w:type="pct"/>
            <w:vAlign w:val="center"/>
          </w:tcPr>
          <w:p w14:paraId="6393020B" w14:textId="77777777" w:rsidR="003235FD" w:rsidRPr="00890249" w:rsidRDefault="003235FD" w:rsidP="003235FD">
            <w:pPr>
              <w:jc w:val="center"/>
              <w:rPr>
                <w:rFonts w:asciiTheme="minorHAnsi" w:hAnsiTheme="minorHAnsi" w:cstheme="minorHAnsi"/>
                <w:i/>
                <w:sz w:val="18"/>
                <w:szCs w:val="16"/>
                <w:lang w:eastAsia="en-US" w:bidi="ar-SA"/>
              </w:rPr>
            </w:pPr>
            <w:r w:rsidRPr="00890249">
              <w:rPr>
                <w:rFonts w:asciiTheme="minorHAnsi" w:hAnsiTheme="minorHAnsi" w:cstheme="minorHAnsi"/>
                <w:i/>
                <w:sz w:val="18"/>
                <w:szCs w:val="16"/>
                <w:lang w:eastAsia="en-US" w:bidi="ar-SA"/>
              </w:rPr>
              <w:t>RCO003</w:t>
            </w:r>
          </w:p>
        </w:tc>
        <w:tc>
          <w:tcPr>
            <w:tcW w:w="1222" w:type="pct"/>
            <w:shd w:val="clear" w:color="auto" w:fill="auto"/>
            <w:vAlign w:val="center"/>
          </w:tcPr>
          <w:p w14:paraId="19C24CCB" w14:textId="77777777" w:rsidR="003235FD" w:rsidRPr="00890249" w:rsidRDefault="003235FD" w:rsidP="003235FD">
            <w:pPr>
              <w:jc w:val="left"/>
              <w:rPr>
                <w:rFonts w:asciiTheme="minorHAnsi" w:hAnsiTheme="minorHAnsi" w:cstheme="minorHAnsi"/>
                <w:i/>
                <w:sz w:val="18"/>
                <w:szCs w:val="16"/>
                <w:lang w:eastAsia="en-US" w:bidi="ar-SA"/>
              </w:rPr>
            </w:pPr>
            <w:r w:rsidRPr="00890249">
              <w:rPr>
                <w:rFonts w:asciiTheme="minorHAnsi" w:hAnsiTheme="minorHAnsi" w:cstheme="minorHAnsi"/>
                <w:i/>
                <w:sz w:val="18"/>
                <w:szCs w:val="16"/>
                <w:lang w:eastAsia="en-US" w:bidi="ar-SA"/>
              </w:rPr>
              <w:t>Przedsiębiorstwa objęte wsparciem z instrumentów finansowych</w:t>
            </w:r>
          </w:p>
        </w:tc>
        <w:tc>
          <w:tcPr>
            <w:tcW w:w="534" w:type="pct"/>
            <w:vAlign w:val="center"/>
          </w:tcPr>
          <w:p w14:paraId="4E08D7B2"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przeds.</w:t>
            </w:r>
          </w:p>
        </w:tc>
        <w:tc>
          <w:tcPr>
            <w:tcW w:w="458" w:type="pct"/>
            <w:shd w:val="clear" w:color="auto" w:fill="auto"/>
            <w:vAlign w:val="center"/>
          </w:tcPr>
          <w:p w14:paraId="44479A3C" w14:textId="77777777" w:rsidR="003235FD" w:rsidRPr="00890249" w:rsidDel="003235FD" w:rsidRDefault="003235FD" w:rsidP="003235FD">
            <w:pPr>
              <w:jc w:val="center"/>
              <w:rPr>
                <w:rFonts w:asciiTheme="minorHAnsi" w:hAnsiTheme="minorHAnsi" w:cstheme="minorHAnsi"/>
                <w:noProof/>
                <w:sz w:val="18"/>
                <w:szCs w:val="16"/>
              </w:rPr>
            </w:pPr>
            <w:r w:rsidRPr="00890249">
              <w:rPr>
                <w:rFonts w:asciiTheme="minorHAnsi" w:hAnsiTheme="minorHAnsi" w:cstheme="minorHAnsi"/>
                <w:noProof/>
                <w:sz w:val="18"/>
                <w:szCs w:val="16"/>
              </w:rPr>
              <w:t>30</w:t>
            </w:r>
          </w:p>
        </w:tc>
        <w:tc>
          <w:tcPr>
            <w:tcW w:w="438" w:type="pct"/>
            <w:shd w:val="clear" w:color="auto" w:fill="auto"/>
            <w:vAlign w:val="center"/>
          </w:tcPr>
          <w:p w14:paraId="09F4D015" w14:textId="77777777" w:rsidR="003235FD" w:rsidRPr="00890249" w:rsidRDefault="003235FD" w:rsidP="003235FD">
            <w:pPr>
              <w:jc w:val="center"/>
              <w:rPr>
                <w:rFonts w:asciiTheme="minorHAnsi" w:hAnsiTheme="minorHAnsi" w:cstheme="minorHAnsi"/>
                <w:noProof/>
                <w:sz w:val="18"/>
                <w:szCs w:val="16"/>
              </w:rPr>
            </w:pPr>
            <w:r w:rsidRPr="00890249">
              <w:rPr>
                <w:rFonts w:asciiTheme="minorHAnsi" w:hAnsiTheme="minorHAnsi" w:cstheme="minorHAnsi"/>
                <w:noProof/>
                <w:sz w:val="18"/>
                <w:szCs w:val="16"/>
              </w:rPr>
              <w:t>387</w:t>
            </w:r>
          </w:p>
        </w:tc>
      </w:tr>
      <w:tr w:rsidR="005B1C43" w:rsidRPr="00890249" w14:paraId="25FDB232" w14:textId="77777777" w:rsidTr="00890249">
        <w:trPr>
          <w:trHeight w:val="340"/>
        </w:trPr>
        <w:tc>
          <w:tcPr>
            <w:tcW w:w="283" w:type="pct"/>
            <w:vAlign w:val="center"/>
          </w:tcPr>
          <w:p w14:paraId="0B28C774" w14:textId="77777777" w:rsidR="003235FD" w:rsidRPr="00890249" w:rsidRDefault="003235FD" w:rsidP="003235F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536" w:type="pct"/>
            <w:vAlign w:val="center"/>
          </w:tcPr>
          <w:p w14:paraId="36787539"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1.iii</w:t>
            </w:r>
          </w:p>
        </w:tc>
        <w:tc>
          <w:tcPr>
            <w:tcW w:w="382" w:type="pct"/>
            <w:vAlign w:val="center"/>
          </w:tcPr>
          <w:p w14:paraId="4635DB81"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614" w:type="pct"/>
            <w:vAlign w:val="center"/>
          </w:tcPr>
          <w:p w14:paraId="1B32CEDD" w14:textId="77777777" w:rsidR="003235FD" w:rsidRPr="00890249" w:rsidRDefault="003235FD" w:rsidP="003235F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534" w:type="pct"/>
            <w:vAlign w:val="center"/>
          </w:tcPr>
          <w:p w14:paraId="0736B673" w14:textId="77777777" w:rsidR="003235FD" w:rsidRPr="00890249" w:rsidRDefault="003235FD" w:rsidP="003235FD">
            <w:pPr>
              <w:jc w:val="center"/>
              <w:rPr>
                <w:rFonts w:asciiTheme="minorHAnsi" w:hAnsiTheme="minorHAnsi" w:cstheme="minorHAnsi"/>
                <w:i/>
                <w:sz w:val="18"/>
                <w:szCs w:val="16"/>
                <w:lang w:eastAsia="en-US" w:bidi="ar-SA"/>
              </w:rPr>
            </w:pPr>
            <w:r w:rsidRPr="00890249">
              <w:rPr>
                <w:rFonts w:asciiTheme="minorHAnsi" w:hAnsiTheme="minorHAnsi" w:cstheme="minorHAnsi"/>
                <w:i/>
                <w:sz w:val="18"/>
                <w:szCs w:val="16"/>
                <w:lang w:eastAsia="en-US" w:bidi="ar-SA"/>
              </w:rPr>
              <w:t>RCO015</w:t>
            </w:r>
          </w:p>
        </w:tc>
        <w:tc>
          <w:tcPr>
            <w:tcW w:w="1222" w:type="pct"/>
            <w:shd w:val="clear" w:color="auto" w:fill="auto"/>
            <w:vAlign w:val="center"/>
          </w:tcPr>
          <w:p w14:paraId="59021C2A" w14:textId="77777777" w:rsidR="003235FD" w:rsidRPr="00890249" w:rsidRDefault="003235FD" w:rsidP="003235FD">
            <w:pPr>
              <w:jc w:val="left"/>
              <w:rPr>
                <w:rFonts w:asciiTheme="minorHAnsi" w:hAnsiTheme="minorHAnsi" w:cstheme="minorHAnsi"/>
                <w:i/>
                <w:sz w:val="18"/>
                <w:szCs w:val="16"/>
                <w:lang w:eastAsia="en-US" w:bidi="ar-SA"/>
              </w:rPr>
            </w:pPr>
            <w:r w:rsidRPr="00890249">
              <w:rPr>
                <w:rFonts w:asciiTheme="minorHAnsi" w:hAnsiTheme="minorHAnsi" w:cstheme="minorHAnsi"/>
                <w:i/>
                <w:sz w:val="18"/>
                <w:szCs w:val="16"/>
                <w:lang w:eastAsia="en-US" w:bidi="ar-SA"/>
              </w:rPr>
              <w:t>Wytworzona zdolność́ inkubacji przedsiębiorstw</w:t>
            </w:r>
          </w:p>
        </w:tc>
        <w:tc>
          <w:tcPr>
            <w:tcW w:w="534" w:type="pct"/>
            <w:vAlign w:val="center"/>
          </w:tcPr>
          <w:p w14:paraId="40FF4E8D" w14:textId="77777777" w:rsidR="003235FD" w:rsidRPr="00890249" w:rsidRDefault="003235FD" w:rsidP="003235F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szt.</w:t>
            </w:r>
          </w:p>
        </w:tc>
        <w:tc>
          <w:tcPr>
            <w:tcW w:w="458" w:type="pct"/>
            <w:shd w:val="clear" w:color="auto" w:fill="auto"/>
            <w:vAlign w:val="center"/>
          </w:tcPr>
          <w:p w14:paraId="1D754227" w14:textId="77777777" w:rsidR="003235FD" w:rsidRPr="00890249" w:rsidDel="00A57675" w:rsidRDefault="003235FD" w:rsidP="003235F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4</w:t>
            </w:r>
          </w:p>
        </w:tc>
        <w:tc>
          <w:tcPr>
            <w:tcW w:w="438" w:type="pct"/>
            <w:shd w:val="clear" w:color="auto" w:fill="auto"/>
            <w:vAlign w:val="center"/>
          </w:tcPr>
          <w:p w14:paraId="36779E39" w14:textId="1F0B86AF" w:rsidR="003235FD" w:rsidRPr="00890249" w:rsidRDefault="006766E3" w:rsidP="003235FD">
            <w:pPr>
              <w:jc w:val="center"/>
              <w:rPr>
                <w:rFonts w:asciiTheme="minorHAnsi" w:hAnsiTheme="minorHAnsi" w:cstheme="minorHAnsi"/>
                <w:i/>
                <w:noProof/>
                <w:sz w:val="18"/>
                <w:szCs w:val="16"/>
              </w:rPr>
            </w:pPr>
            <w:r>
              <w:rPr>
                <w:rFonts w:asciiTheme="minorHAnsi" w:hAnsiTheme="minorHAnsi" w:cstheme="minorHAnsi"/>
                <w:i/>
                <w:noProof/>
                <w:sz w:val="18"/>
                <w:szCs w:val="16"/>
              </w:rPr>
              <w:t>6</w:t>
            </w:r>
            <w:r w:rsidR="003235FD" w:rsidRPr="00890249">
              <w:rPr>
                <w:rFonts w:asciiTheme="minorHAnsi" w:hAnsiTheme="minorHAnsi" w:cstheme="minorHAnsi"/>
                <w:i/>
                <w:noProof/>
                <w:sz w:val="18"/>
                <w:szCs w:val="16"/>
              </w:rPr>
              <w:t>0</w:t>
            </w:r>
          </w:p>
        </w:tc>
      </w:tr>
    </w:tbl>
    <w:p w14:paraId="10A9F891" w14:textId="77777777" w:rsidR="006E37E7" w:rsidRPr="00890249" w:rsidRDefault="006E37E7" w:rsidP="00D82962">
      <w:pPr>
        <w:spacing w:before="0" w:after="0"/>
        <w:rPr>
          <w:rFonts w:asciiTheme="minorHAnsi" w:hAnsiTheme="minorHAnsi" w:cstheme="minorHAnsi"/>
          <w:b/>
          <w:noProof/>
          <w:sz w:val="22"/>
          <w:szCs w:val="22"/>
        </w:rPr>
      </w:pPr>
    </w:p>
    <w:p w14:paraId="63B18254" w14:textId="77777777" w:rsidR="004249F6" w:rsidRPr="00890249" w:rsidRDefault="004249F6" w:rsidP="00D82962">
      <w:pPr>
        <w:spacing w:before="0" w:after="0"/>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834"/>
        <w:gridCol w:w="694"/>
        <w:gridCol w:w="968"/>
        <w:gridCol w:w="830"/>
        <w:gridCol w:w="1243"/>
        <w:gridCol w:w="555"/>
        <w:gridCol w:w="549"/>
        <w:gridCol w:w="415"/>
        <w:gridCol w:w="618"/>
        <w:gridCol w:w="565"/>
        <w:gridCol w:w="1276"/>
      </w:tblGrid>
      <w:tr w:rsidR="004249F6" w:rsidRPr="00890249" w14:paraId="0E539413" w14:textId="77777777" w:rsidTr="004B59D6">
        <w:trPr>
          <w:trHeight w:val="358"/>
        </w:trPr>
        <w:tc>
          <w:tcPr>
            <w:tcW w:w="5000" w:type="pct"/>
            <w:gridSpan w:val="12"/>
            <w:shd w:val="clear" w:color="auto" w:fill="D9D9D9" w:themeFill="background1" w:themeFillShade="D9"/>
          </w:tcPr>
          <w:p w14:paraId="2BE1BE70" w14:textId="77777777" w:rsidR="004249F6" w:rsidRPr="00890249" w:rsidRDefault="004249F6" w:rsidP="004B59D6">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5B1C43" w:rsidRPr="00890249" w14:paraId="3161201A" w14:textId="77777777" w:rsidTr="00890249">
        <w:trPr>
          <w:cantSplit/>
          <w:trHeight w:val="1768"/>
        </w:trPr>
        <w:tc>
          <w:tcPr>
            <w:tcW w:w="284" w:type="pct"/>
            <w:shd w:val="clear" w:color="auto" w:fill="F2F2F2" w:themeFill="background1" w:themeFillShade="F2"/>
            <w:textDirection w:val="btLr"/>
            <w:vAlign w:val="center"/>
          </w:tcPr>
          <w:p w14:paraId="37645806"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60" w:type="pct"/>
            <w:shd w:val="clear" w:color="auto" w:fill="F2F2F2" w:themeFill="background1" w:themeFillShade="F2"/>
            <w:textDirection w:val="btLr"/>
            <w:vAlign w:val="center"/>
          </w:tcPr>
          <w:p w14:paraId="1F919DB9"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3" w:type="pct"/>
            <w:shd w:val="clear" w:color="auto" w:fill="F2F2F2" w:themeFill="background1" w:themeFillShade="F2"/>
            <w:textDirection w:val="btLr"/>
            <w:vAlign w:val="center"/>
          </w:tcPr>
          <w:p w14:paraId="305C76E2"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34" w:type="pct"/>
            <w:shd w:val="clear" w:color="auto" w:fill="F2F2F2" w:themeFill="background1" w:themeFillShade="F2"/>
            <w:textDirection w:val="btLr"/>
            <w:vAlign w:val="center"/>
          </w:tcPr>
          <w:p w14:paraId="66498A2D"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58" w:type="pct"/>
            <w:shd w:val="clear" w:color="auto" w:fill="F2F2F2" w:themeFill="background1" w:themeFillShade="F2"/>
            <w:textDirection w:val="btLr"/>
            <w:vAlign w:val="center"/>
          </w:tcPr>
          <w:p w14:paraId="2E46C487"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686" w:type="pct"/>
            <w:shd w:val="clear" w:color="auto" w:fill="F2F2F2" w:themeFill="background1" w:themeFillShade="F2"/>
            <w:textDirection w:val="btLr"/>
            <w:vAlign w:val="center"/>
          </w:tcPr>
          <w:p w14:paraId="6BEE4343"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306" w:type="pct"/>
            <w:shd w:val="clear" w:color="auto" w:fill="F2F2F2" w:themeFill="background1" w:themeFillShade="F2"/>
            <w:textDirection w:val="btLr"/>
            <w:vAlign w:val="center"/>
          </w:tcPr>
          <w:p w14:paraId="2E974179"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03" w:type="pct"/>
            <w:shd w:val="clear" w:color="auto" w:fill="F2F2F2" w:themeFill="background1" w:themeFillShade="F2"/>
            <w:textDirection w:val="btLr"/>
            <w:vAlign w:val="center"/>
          </w:tcPr>
          <w:p w14:paraId="7BB79A97" w14:textId="77777777" w:rsidR="00B72154" w:rsidRPr="00890249" w:rsidRDefault="004249F6" w:rsidP="00890249">
            <w:pPr>
              <w:ind w:left="113" w:right="113"/>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229" w:type="pct"/>
            <w:shd w:val="clear" w:color="auto" w:fill="F2F2F2" w:themeFill="background1" w:themeFillShade="F2"/>
            <w:textDirection w:val="btLr"/>
            <w:vAlign w:val="center"/>
          </w:tcPr>
          <w:p w14:paraId="4DB298AD"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41" w:type="pct"/>
            <w:shd w:val="clear" w:color="auto" w:fill="F2F2F2" w:themeFill="background1" w:themeFillShade="F2"/>
            <w:textDirection w:val="btLr"/>
            <w:vAlign w:val="center"/>
          </w:tcPr>
          <w:p w14:paraId="57980E92"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12" w:type="pct"/>
            <w:shd w:val="clear" w:color="auto" w:fill="F2F2F2" w:themeFill="background1" w:themeFillShade="F2"/>
            <w:textDirection w:val="btLr"/>
            <w:vAlign w:val="center"/>
          </w:tcPr>
          <w:p w14:paraId="7F73DC30" w14:textId="77777777" w:rsidR="004249F6" w:rsidRPr="00890249" w:rsidRDefault="004249F6" w:rsidP="004B59D6">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705" w:type="pct"/>
            <w:shd w:val="clear" w:color="auto" w:fill="F2F2F2" w:themeFill="background1" w:themeFillShade="F2"/>
            <w:textDirection w:val="btLr"/>
            <w:vAlign w:val="center"/>
          </w:tcPr>
          <w:p w14:paraId="1AD325E2" w14:textId="77777777" w:rsidR="004249F6" w:rsidRPr="00890249" w:rsidRDefault="004249F6" w:rsidP="004B59D6">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5B1C43" w:rsidRPr="00890249" w14:paraId="0A0B42C0" w14:textId="77777777" w:rsidTr="00890249">
        <w:trPr>
          <w:trHeight w:val="915"/>
        </w:trPr>
        <w:tc>
          <w:tcPr>
            <w:tcW w:w="284" w:type="pct"/>
            <w:vAlign w:val="center"/>
          </w:tcPr>
          <w:p w14:paraId="7619467B"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CP1</w:t>
            </w:r>
          </w:p>
        </w:tc>
        <w:tc>
          <w:tcPr>
            <w:tcW w:w="460" w:type="pct"/>
            <w:vAlign w:val="center"/>
          </w:tcPr>
          <w:p w14:paraId="42B1D000"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1.iii</w:t>
            </w:r>
          </w:p>
        </w:tc>
        <w:tc>
          <w:tcPr>
            <w:tcW w:w="383" w:type="pct"/>
            <w:vAlign w:val="center"/>
          </w:tcPr>
          <w:p w14:paraId="3A855875"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34" w:type="pct"/>
            <w:vAlign w:val="center"/>
          </w:tcPr>
          <w:p w14:paraId="289F4CC8" w14:textId="77777777" w:rsidR="004249F6" w:rsidRPr="00890249" w:rsidRDefault="004249F6" w:rsidP="004B59D6">
            <w:pPr>
              <w:jc w:val="center"/>
              <w:rPr>
                <w:rFonts w:asciiTheme="minorHAnsi" w:hAnsiTheme="minorHAnsi" w:cstheme="minorHAnsi"/>
                <w:i/>
                <w:noProof/>
                <w:sz w:val="18"/>
                <w:szCs w:val="18"/>
                <w:lang w:eastAsia="en-US" w:bidi="ar-SA"/>
              </w:rPr>
            </w:pPr>
            <w:r w:rsidRPr="00890249">
              <w:rPr>
                <w:rFonts w:asciiTheme="minorHAnsi" w:eastAsia="Times New Roman" w:hAnsiTheme="minorHAnsi" w:cstheme="minorHAnsi"/>
                <w:iCs/>
                <w:noProof/>
                <w:sz w:val="18"/>
                <w:szCs w:val="18"/>
              </w:rPr>
              <w:t>Słabiej rozwinięte</w:t>
            </w:r>
          </w:p>
        </w:tc>
        <w:tc>
          <w:tcPr>
            <w:tcW w:w="458" w:type="pct"/>
            <w:vAlign w:val="center"/>
          </w:tcPr>
          <w:p w14:paraId="02516B0D"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RCR001</w:t>
            </w:r>
          </w:p>
        </w:tc>
        <w:tc>
          <w:tcPr>
            <w:tcW w:w="686" w:type="pct"/>
            <w:shd w:val="clear" w:color="auto" w:fill="auto"/>
            <w:vAlign w:val="center"/>
          </w:tcPr>
          <w:p w14:paraId="088495C3" w14:textId="77777777" w:rsidR="004249F6" w:rsidRPr="00890249" w:rsidRDefault="004249F6" w:rsidP="004B59D6">
            <w:pPr>
              <w:spacing w:before="60" w:after="60"/>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Miejsca pracy utworzone we wspieranych jednostkach</w:t>
            </w:r>
          </w:p>
        </w:tc>
        <w:tc>
          <w:tcPr>
            <w:tcW w:w="306" w:type="pct"/>
            <w:vAlign w:val="center"/>
          </w:tcPr>
          <w:p w14:paraId="61720A9E"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EPC</w:t>
            </w:r>
          </w:p>
        </w:tc>
        <w:tc>
          <w:tcPr>
            <w:tcW w:w="303" w:type="pct"/>
            <w:vAlign w:val="center"/>
          </w:tcPr>
          <w:p w14:paraId="6F0E49BF"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229" w:type="pct"/>
            <w:vAlign w:val="center"/>
          </w:tcPr>
          <w:p w14:paraId="123006B2"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41" w:type="pct"/>
            <w:shd w:val="clear" w:color="auto" w:fill="auto"/>
            <w:vAlign w:val="center"/>
          </w:tcPr>
          <w:p w14:paraId="577D9A21"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45</w:t>
            </w:r>
          </w:p>
        </w:tc>
        <w:tc>
          <w:tcPr>
            <w:tcW w:w="312" w:type="pct"/>
            <w:shd w:val="clear" w:color="auto" w:fill="auto"/>
            <w:vAlign w:val="center"/>
          </w:tcPr>
          <w:p w14:paraId="088EB810" w14:textId="77777777" w:rsidR="004249F6" w:rsidRPr="00890249" w:rsidRDefault="004249F6" w:rsidP="004B59D6">
            <w:pPr>
              <w:spacing w:before="240"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705" w:type="pct"/>
            <w:vAlign w:val="center"/>
          </w:tcPr>
          <w:p w14:paraId="6637E9A5" w14:textId="77777777" w:rsidR="004249F6" w:rsidRPr="00890249" w:rsidRDefault="004249F6"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r w:rsidR="005B1C43" w:rsidRPr="00890249" w14:paraId="21D37E77" w14:textId="77777777" w:rsidTr="00890249">
        <w:trPr>
          <w:trHeight w:val="434"/>
        </w:trPr>
        <w:tc>
          <w:tcPr>
            <w:tcW w:w="284" w:type="pct"/>
            <w:vAlign w:val="center"/>
          </w:tcPr>
          <w:p w14:paraId="6D0C7120"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CP1</w:t>
            </w:r>
          </w:p>
        </w:tc>
        <w:tc>
          <w:tcPr>
            <w:tcW w:w="460" w:type="pct"/>
            <w:vAlign w:val="center"/>
          </w:tcPr>
          <w:p w14:paraId="115CCD5E"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1.iii</w:t>
            </w:r>
          </w:p>
        </w:tc>
        <w:tc>
          <w:tcPr>
            <w:tcW w:w="383" w:type="pct"/>
            <w:vAlign w:val="center"/>
          </w:tcPr>
          <w:p w14:paraId="303F42A0"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34" w:type="pct"/>
            <w:vAlign w:val="center"/>
          </w:tcPr>
          <w:p w14:paraId="05EBC5CD" w14:textId="77777777" w:rsidR="004249F6" w:rsidRPr="00890249" w:rsidRDefault="004249F6" w:rsidP="004B59D6">
            <w:pPr>
              <w:jc w:val="center"/>
              <w:rPr>
                <w:rFonts w:asciiTheme="minorHAnsi" w:hAnsiTheme="minorHAnsi" w:cstheme="minorHAnsi"/>
                <w:i/>
                <w:noProof/>
                <w:sz w:val="18"/>
                <w:szCs w:val="18"/>
                <w:lang w:eastAsia="en-US" w:bidi="ar-SA"/>
              </w:rPr>
            </w:pPr>
            <w:r w:rsidRPr="00890249">
              <w:rPr>
                <w:rFonts w:asciiTheme="minorHAnsi" w:eastAsia="Times New Roman" w:hAnsiTheme="minorHAnsi" w:cstheme="minorHAnsi"/>
                <w:iCs/>
                <w:noProof/>
                <w:sz w:val="18"/>
                <w:szCs w:val="18"/>
              </w:rPr>
              <w:t>Słabiej rozwinięte</w:t>
            </w:r>
          </w:p>
        </w:tc>
        <w:tc>
          <w:tcPr>
            <w:tcW w:w="458" w:type="pct"/>
            <w:vAlign w:val="center"/>
          </w:tcPr>
          <w:p w14:paraId="410FFC80"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RCR002</w:t>
            </w:r>
          </w:p>
        </w:tc>
        <w:tc>
          <w:tcPr>
            <w:tcW w:w="686" w:type="pct"/>
            <w:shd w:val="clear" w:color="auto" w:fill="auto"/>
            <w:vAlign w:val="center"/>
          </w:tcPr>
          <w:p w14:paraId="1D5688BA" w14:textId="77777777" w:rsidR="004249F6" w:rsidRPr="00890249" w:rsidRDefault="004249F6" w:rsidP="004B59D6">
            <w:pPr>
              <w:spacing w:before="60" w:after="60"/>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 xml:space="preserve">Inwestycje prywatne uzupełniające wsparcie publiczne </w:t>
            </w:r>
            <w:r w:rsidRPr="00890249">
              <w:rPr>
                <w:rFonts w:asciiTheme="minorHAnsi" w:hAnsiTheme="minorHAnsi" w:cstheme="minorHAnsi"/>
                <w:i/>
                <w:noProof/>
                <w:sz w:val="18"/>
                <w:szCs w:val="16"/>
              </w:rPr>
              <w:br/>
              <w:t>(w tym: dotacje, instrumenty finansowe)</w:t>
            </w:r>
          </w:p>
        </w:tc>
        <w:tc>
          <w:tcPr>
            <w:tcW w:w="306" w:type="pct"/>
            <w:vAlign w:val="center"/>
          </w:tcPr>
          <w:p w14:paraId="1BC81353" w14:textId="77777777" w:rsidR="004249F6" w:rsidRPr="00890249" w:rsidRDefault="004249F6" w:rsidP="004B59D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EUR</w:t>
            </w:r>
          </w:p>
        </w:tc>
        <w:tc>
          <w:tcPr>
            <w:tcW w:w="303" w:type="pct"/>
            <w:vAlign w:val="center"/>
          </w:tcPr>
          <w:p w14:paraId="659A2321"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229" w:type="pct"/>
            <w:vAlign w:val="center"/>
          </w:tcPr>
          <w:p w14:paraId="654289DE" w14:textId="77777777" w:rsidR="004249F6" w:rsidRPr="00890249" w:rsidRDefault="004249F6"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41" w:type="pct"/>
            <w:shd w:val="clear" w:color="auto" w:fill="auto"/>
            <w:vAlign w:val="center"/>
          </w:tcPr>
          <w:p w14:paraId="44B00488" w14:textId="05C6C020" w:rsidR="004249F6" w:rsidRPr="00890249" w:rsidRDefault="00E97D52" w:rsidP="00C76DEC">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17,1</w:t>
            </w:r>
            <w:r w:rsidR="004249F6" w:rsidRPr="00890249">
              <w:rPr>
                <w:rFonts w:asciiTheme="minorHAnsi" w:hAnsiTheme="minorHAnsi" w:cstheme="minorHAnsi"/>
                <w:noProof/>
                <w:sz w:val="18"/>
                <w:szCs w:val="16"/>
                <w:lang w:eastAsia="en-US" w:bidi="ar-SA"/>
              </w:rPr>
              <w:t xml:space="preserve"> mln</w:t>
            </w:r>
          </w:p>
        </w:tc>
        <w:tc>
          <w:tcPr>
            <w:tcW w:w="312" w:type="pct"/>
            <w:shd w:val="clear" w:color="auto" w:fill="auto"/>
            <w:vAlign w:val="center"/>
          </w:tcPr>
          <w:p w14:paraId="2FAAAB0D" w14:textId="77777777" w:rsidR="004249F6" w:rsidRPr="00890249" w:rsidRDefault="004249F6" w:rsidP="004B59D6">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705" w:type="pct"/>
            <w:vAlign w:val="center"/>
          </w:tcPr>
          <w:p w14:paraId="4170DCCD" w14:textId="77777777" w:rsidR="004249F6" w:rsidRPr="00890249" w:rsidRDefault="004249F6" w:rsidP="004B59D6">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r w:rsidR="005B1C43" w:rsidRPr="00890249" w14:paraId="626EA10B" w14:textId="77777777" w:rsidTr="00890249">
        <w:trPr>
          <w:trHeight w:val="434"/>
        </w:trPr>
        <w:tc>
          <w:tcPr>
            <w:tcW w:w="284" w:type="pct"/>
            <w:vAlign w:val="center"/>
          </w:tcPr>
          <w:p w14:paraId="49A7547A" w14:textId="77777777" w:rsidR="00C76DEC" w:rsidRPr="00890249" w:rsidRDefault="00C76DEC"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CP1</w:t>
            </w:r>
          </w:p>
        </w:tc>
        <w:tc>
          <w:tcPr>
            <w:tcW w:w="460" w:type="pct"/>
            <w:vAlign w:val="center"/>
          </w:tcPr>
          <w:p w14:paraId="33609D78" w14:textId="77777777" w:rsidR="00C76DEC" w:rsidRPr="00890249" w:rsidRDefault="00C76DEC"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1.iii</w:t>
            </w:r>
          </w:p>
        </w:tc>
        <w:tc>
          <w:tcPr>
            <w:tcW w:w="383" w:type="pct"/>
            <w:vAlign w:val="center"/>
          </w:tcPr>
          <w:p w14:paraId="1C85D392" w14:textId="77777777" w:rsidR="00C76DEC" w:rsidRPr="00890249" w:rsidRDefault="00C76DEC"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34" w:type="pct"/>
            <w:vAlign w:val="center"/>
          </w:tcPr>
          <w:p w14:paraId="55124CBF" w14:textId="77777777" w:rsidR="00C76DEC" w:rsidRPr="00890249" w:rsidRDefault="00C76DEC" w:rsidP="004B59D6">
            <w:pPr>
              <w:jc w:val="center"/>
              <w:rPr>
                <w:rFonts w:asciiTheme="minorHAnsi" w:eastAsia="Times New Roman" w:hAnsiTheme="minorHAnsi" w:cstheme="minorHAnsi"/>
                <w:iCs/>
                <w:noProof/>
                <w:sz w:val="18"/>
                <w:szCs w:val="18"/>
              </w:rPr>
            </w:pPr>
            <w:r w:rsidRPr="00890249">
              <w:rPr>
                <w:rFonts w:asciiTheme="minorHAnsi" w:eastAsia="Times New Roman" w:hAnsiTheme="minorHAnsi" w:cstheme="minorHAnsi"/>
                <w:iCs/>
                <w:noProof/>
                <w:sz w:val="18"/>
                <w:szCs w:val="18"/>
              </w:rPr>
              <w:t>Słabiej rozwinięte</w:t>
            </w:r>
          </w:p>
        </w:tc>
        <w:tc>
          <w:tcPr>
            <w:tcW w:w="458" w:type="pct"/>
            <w:vAlign w:val="center"/>
          </w:tcPr>
          <w:p w14:paraId="3A172AE1" w14:textId="77777777" w:rsidR="00C76DEC" w:rsidRPr="00890249" w:rsidRDefault="00C76DEC"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RCR025</w:t>
            </w:r>
          </w:p>
        </w:tc>
        <w:tc>
          <w:tcPr>
            <w:tcW w:w="686" w:type="pct"/>
            <w:shd w:val="clear" w:color="auto" w:fill="auto"/>
            <w:vAlign w:val="center"/>
          </w:tcPr>
          <w:p w14:paraId="25D4DE5E" w14:textId="77777777" w:rsidR="00C76DEC" w:rsidRPr="00890249" w:rsidRDefault="00C76DEC" w:rsidP="004B59D6">
            <w:pPr>
              <w:spacing w:before="60" w:after="60"/>
              <w:jc w:val="left"/>
              <w:rPr>
                <w:rFonts w:asciiTheme="minorHAnsi" w:hAnsiTheme="minorHAnsi" w:cstheme="minorHAnsi"/>
                <w:i/>
                <w:noProof/>
                <w:sz w:val="18"/>
                <w:szCs w:val="16"/>
              </w:rPr>
            </w:pPr>
            <w:r w:rsidRPr="00890249">
              <w:rPr>
                <w:rFonts w:asciiTheme="minorHAnsi" w:hAnsiTheme="minorHAnsi" w:cstheme="minorHAnsi"/>
                <w:i/>
                <w:noProof/>
                <w:sz w:val="18"/>
                <w:szCs w:val="16"/>
              </w:rPr>
              <w:t>MŚP z wyższą wartością̨ dodaną na pracownika</w:t>
            </w:r>
          </w:p>
        </w:tc>
        <w:tc>
          <w:tcPr>
            <w:tcW w:w="306" w:type="pct"/>
            <w:vAlign w:val="center"/>
          </w:tcPr>
          <w:p w14:paraId="726393D0" w14:textId="77777777" w:rsidR="00C76DEC" w:rsidRPr="00890249" w:rsidRDefault="00C76DEC" w:rsidP="004B59D6">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szt.</w:t>
            </w:r>
          </w:p>
        </w:tc>
        <w:tc>
          <w:tcPr>
            <w:tcW w:w="303" w:type="pct"/>
            <w:vAlign w:val="center"/>
          </w:tcPr>
          <w:p w14:paraId="712A8054" w14:textId="77777777" w:rsidR="00C76DEC" w:rsidRPr="00890249" w:rsidRDefault="00C76DEC"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229" w:type="pct"/>
            <w:vAlign w:val="center"/>
          </w:tcPr>
          <w:p w14:paraId="068A1AC5" w14:textId="77777777" w:rsidR="00C76DEC" w:rsidRPr="00890249" w:rsidRDefault="00C76DEC"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41" w:type="pct"/>
            <w:shd w:val="clear" w:color="auto" w:fill="auto"/>
            <w:vAlign w:val="center"/>
          </w:tcPr>
          <w:p w14:paraId="7B319B9B" w14:textId="34C53570" w:rsidR="00C76DEC" w:rsidRPr="006766E3" w:rsidRDefault="006766E3" w:rsidP="004B59D6">
            <w:pPr>
              <w:jc w:val="center"/>
              <w:rPr>
                <w:rFonts w:asciiTheme="minorHAnsi" w:hAnsiTheme="minorHAnsi" w:cstheme="minorHAnsi"/>
                <w:b/>
                <w:iCs/>
                <w:noProof/>
                <w:color w:val="003399"/>
                <w:sz w:val="18"/>
                <w:szCs w:val="16"/>
                <w:lang w:eastAsia="en-US" w:bidi="ar-SA"/>
              </w:rPr>
            </w:pPr>
            <w:r w:rsidRPr="00F62734">
              <w:rPr>
                <w:rFonts w:asciiTheme="minorHAnsi" w:hAnsiTheme="minorHAnsi" w:cstheme="minorHAnsi"/>
                <w:iCs/>
                <w:noProof/>
                <w:sz w:val="18"/>
                <w:szCs w:val="16"/>
              </w:rPr>
              <w:t>66</w:t>
            </w:r>
          </w:p>
        </w:tc>
        <w:tc>
          <w:tcPr>
            <w:tcW w:w="312" w:type="pct"/>
            <w:shd w:val="clear" w:color="auto" w:fill="auto"/>
            <w:vAlign w:val="center"/>
          </w:tcPr>
          <w:p w14:paraId="392B714F" w14:textId="77777777" w:rsidR="00C76DEC" w:rsidRPr="00890249" w:rsidRDefault="00C76DEC" w:rsidP="004B59D6">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705" w:type="pct"/>
            <w:vAlign w:val="center"/>
          </w:tcPr>
          <w:p w14:paraId="52A6C208" w14:textId="0C9FCACE" w:rsidR="00C76DEC" w:rsidRPr="00890249" w:rsidRDefault="006766E3" w:rsidP="00C76DEC">
            <w:pPr>
              <w:jc w:val="center"/>
              <w:rPr>
                <w:rFonts w:asciiTheme="minorHAnsi" w:hAnsiTheme="minorHAnsi" w:cstheme="minorHAnsi"/>
                <w:noProof/>
                <w:sz w:val="18"/>
                <w:szCs w:val="16"/>
              </w:rPr>
            </w:pPr>
            <w:r>
              <w:rPr>
                <w:rFonts w:asciiTheme="minorHAnsi" w:hAnsiTheme="minorHAnsi" w:cstheme="minorHAnsi"/>
                <w:noProof/>
                <w:color w:val="000000" w:themeColor="text1"/>
                <w:sz w:val="20"/>
              </w:rPr>
              <w:t>-</w:t>
            </w:r>
          </w:p>
        </w:tc>
      </w:tr>
    </w:tbl>
    <w:p w14:paraId="6061578D" w14:textId="77777777" w:rsidR="006452BC" w:rsidRPr="00890249" w:rsidRDefault="006452BC" w:rsidP="006452B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2.1.1.3.3 (iii) Orientacyjny podział zasobów programu (UE) według rodzaju interwencji</w:t>
      </w:r>
    </w:p>
    <w:tbl>
      <w:tblPr>
        <w:tblStyle w:val="Tabela-Siatka"/>
        <w:tblW w:w="0" w:type="auto"/>
        <w:tblLook w:val="04A0" w:firstRow="1" w:lastRow="0" w:firstColumn="1" w:lastColumn="0" w:noHBand="0" w:noVBand="1"/>
      </w:tblPr>
      <w:tblGrid>
        <w:gridCol w:w="1326"/>
        <w:gridCol w:w="977"/>
        <w:gridCol w:w="1409"/>
        <w:gridCol w:w="1441"/>
        <w:gridCol w:w="2458"/>
        <w:gridCol w:w="1450"/>
      </w:tblGrid>
      <w:tr w:rsidR="004249F6" w:rsidRPr="00A37420" w14:paraId="2AAE7427" w14:textId="77777777" w:rsidTr="004B59D6">
        <w:tc>
          <w:tcPr>
            <w:tcW w:w="9288" w:type="dxa"/>
            <w:gridSpan w:val="6"/>
            <w:shd w:val="clear" w:color="auto" w:fill="D9D9D9" w:themeFill="background1" w:themeFillShade="D9"/>
          </w:tcPr>
          <w:p w14:paraId="24AA0C81" w14:textId="77777777" w:rsidR="004249F6" w:rsidRPr="00A37420" w:rsidRDefault="004249F6" w:rsidP="004B59D6">
            <w:pPr>
              <w:rPr>
                <w:rFonts w:asciiTheme="minorHAnsi" w:eastAsia="Times New Roman" w:hAnsiTheme="minorHAnsi" w:cstheme="minorHAnsi"/>
                <w:b/>
                <w:iCs/>
                <w:noProof/>
                <w:sz w:val="20"/>
              </w:rPr>
            </w:pPr>
            <w:r w:rsidRPr="00A37420">
              <w:rPr>
                <w:rFonts w:asciiTheme="minorHAnsi" w:hAnsiTheme="minorHAnsi" w:cstheme="minorHAnsi"/>
                <w:b/>
                <w:noProof/>
                <w:sz w:val="20"/>
              </w:rPr>
              <w:t>Tabela 4: Wymiar 1 – zakres interwencji</w:t>
            </w:r>
          </w:p>
        </w:tc>
      </w:tr>
      <w:tr w:rsidR="004249F6" w:rsidRPr="00A37420" w14:paraId="1E6104E9" w14:textId="77777777" w:rsidTr="004B59D6">
        <w:tc>
          <w:tcPr>
            <w:tcW w:w="1364" w:type="dxa"/>
            <w:shd w:val="clear" w:color="auto" w:fill="F2F2F2" w:themeFill="background1" w:themeFillShade="F2"/>
          </w:tcPr>
          <w:p w14:paraId="01AAB3FE" w14:textId="77777777" w:rsidR="004249F6" w:rsidRPr="00A37420" w:rsidRDefault="004249F6" w:rsidP="004B59D6">
            <w:pPr>
              <w:jc w:val="center"/>
              <w:rPr>
                <w:rFonts w:asciiTheme="minorHAnsi" w:eastAsia="Times New Roman" w:hAnsiTheme="minorHAnsi" w:cstheme="minorHAnsi"/>
                <w:b/>
                <w:iCs/>
                <w:noProof/>
                <w:sz w:val="20"/>
              </w:rPr>
            </w:pPr>
            <w:r w:rsidRPr="00A37420">
              <w:rPr>
                <w:rFonts w:asciiTheme="minorHAnsi" w:hAnsiTheme="minorHAnsi" w:cstheme="minorHAnsi"/>
                <w:b/>
                <w:noProof/>
                <w:sz w:val="20"/>
              </w:rPr>
              <w:t>Nr priorytetu</w:t>
            </w:r>
          </w:p>
        </w:tc>
        <w:tc>
          <w:tcPr>
            <w:tcW w:w="989" w:type="dxa"/>
            <w:shd w:val="clear" w:color="auto" w:fill="F2F2F2" w:themeFill="background1" w:themeFillShade="F2"/>
          </w:tcPr>
          <w:p w14:paraId="0CC7D71E" w14:textId="77777777" w:rsidR="004249F6" w:rsidRPr="00A37420" w:rsidRDefault="004249F6" w:rsidP="004B59D6">
            <w:pPr>
              <w:jc w:val="center"/>
              <w:rPr>
                <w:rFonts w:asciiTheme="minorHAnsi" w:eastAsia="Times New Roman" w:hAnsiTheme="minorHAnsi" w:cstheme="minorHAnsi"/>
                <w:b/>
                <w:iCs/>
                <w:noProof/>
                <w:sz w:val="20"/>
              </w:rPr>
            </w:pPr>
            <w:r w:rsidRPr="00A37420">
              <w:rPr>
                <w:rFonts w:asciiTheme="minorHAnsi" w:hAnsiTheme="minorHAnsi" w:cstheme="minorHAnsi"/>
                <w:b/>
                <w:noProof/>
                <w:sz w:val="20"/>
              </w:rPr>
              <w:t>Fundusz</w:t>
            </w:r>
          </w:p>
        </w:tc>
        <w:tc>
          <w:tcPr>
            <w:tcW w:w="1458" w:type="dxa"/>
            <w:shd w:val="clear" w:color="auto" w:fill="F2F2F2" w:themeFill="background1" w:themeFillShade="F2"/>
          </w:tcPr>
          <w:p w14:paraId="69944415" w14:textId="77777777" w:rsidR="004249F6" w:rsidRPr="00A37420" w:rsidRDefault="004249F6" w:rsidP="004B59D6">
            <w:pPr>
              <w:jc w:val="center"/>
              <w:rPr>
                <w:rFonts w:asciiTheme="minorHAnsi" w:eastAsia="Times New Roman" w:hAnsiTheme="minorHAnsi" w:cstheme="minorHAnsi"/>
                <w:b/>
                <w:iCs/>
                <w:noProof/>
                <w:sz w:val="20"/>
              </w:rPr>
            </w:pPr>
            <w:r w:rsidRPr="00A37420">
              <w:rPr>
                <w:rFonts w:asciiTheme="minorHAnsi" w:hAnsiTheme="minorHAnsi" w:cstheme="minorHAnsi"/>
                <w:b/>
                <w:noProof/>
                <w:sz w:val="20"/>
              </w:rPr>
              <w:t>Kategoria regionu</w:t>
            </w:r>
          </w:p>
        </w:tc>
        <w:tc>
          <w:tcPr>
            <w:tcW w:w="1469" w:type="dxa"/>
            <w:shd w:val="clear" w:color="auto" w:fill="F2F2F2" w:themeFill="background1" w:themeFillShade="F2"/>
          </w:tcPr>
          <w:p w14:paraId="7804D493" w14:textId="77777777" w:rsidR="004249F6" w:rsidRPr="00A37420" w:rsidRDefault="004249F6" w:rsidP="004B59D6">
            <w:pPr>
              <w:jc w:val="center"/>
              <w:rPr>
                <w:rFonts w:asciiTheme="minorHAnsi" w:eastAsia="Times New Roman" w:hAnsiTheme="minorHAnsi" w:cstheme="minorHAnsi"/>
                <w:b/>
                <w:iCs/>
                <w:noProof/>
                <w:sz w:val="20"/>
              </w:rPr>
            </w:pPr>
            <w:r w:rsidRPr="00A37420">
              <w:rPr>
                <w:rFonts w:asciiTheme="minorHAnsi" w:hAnsiTheme="minorHAnsi" w:cstheme="minorHAnsi"/>
                <w:b/>
                <w:noProof/>
                <w:sz w:val="20"/>
              </w:rPr>
              <w:t>Cel szczegółowy</w:t>
            </w:r>
          </w:p>
        </w:tc>
        <w:tc>
          <w:tcPr>
            <w:tcW w:w="2458" w:type="dxa"/>
            <w:shd w:val="clear" w:color="auto" w:fill="F2F2F2" w:themeFill="background1" w:themeFillShade="F2"/>
          </w:tcPr>
          <w:p w14:paraId="6C5BFF17" w14:textId="77777777" w:rsidR="004249F6" w:rsidRPr="00A37420" w:rsidRDefault="004249F6" w:rsidP="004B59D6">
            <w:pPr>
              <w:jc w:val="center"/>
              <w:rPr>
                <w:rFonts w:asciiTheme="minorHAnsi" w:eastAsia="Times New Roman" w:hAnsiTheme="minorHAnsi" w:cstheme="minorHAnsi"/>
                <w:b/>
                <w:iCs/>
                <w:noProof/>
                <w:sz w:val="20"/>
              </w:rPr>
            </w:pPr>
            <w:r w:rsidRPr="00A37420">
              <w:rPr>
                <w:rFonts w:asciiTheme="minorHAnsi" w:hAnsiTheme="minorHAnsi" w:cstheme="minorHAnsi"/>
                <w:b/>
                <w:noProof/>
                <w:sz w:val="20"/>
              </w:rPr>
              <w:t>Kod</w:t>
            </w:r>
          </w:p>
        </w:tc>
        <w:tc>
          <w:tcPr>
            <w:tcW w:w="1550" w:type="dxa"/>
            <w:shd w:val="clear" w:color="auto" w:fill="F2F2F2" w:themeFill="background1" w:themeFillShade="F2"/>
          </w:tcPr>
          <w:p w14:paraId="20560095" w14:textId="77777777" w:rsidR="004249F6" w:rsidRPr="00A37420" w:rsidRDefault="004249F6" w:rsidP="004B59D6">
            <w:pPr>
              <w:jc w:val="center"/>
              <w:rPr>
                <w:rFonts w:asciiTheme="minorHAnsi" w:eastAsia="Times New Roman" w:hAnsiTheme="minorHAnsi" w:cstheme="minorHAnsi"/>
                <w:b/>
                <w:iCs/>
                <w:noProof/>
                <w:sz w:val="20"/>
              </w:rPr>
            </w:pPr>
            <w:r w:rsidRPr="00A37420">
              <w:rPr>
                <w:rFonts w:asciiTheme="minorHAnsi" w:hAnsiTheme="minorHAnsi" w:cstheme="minorHAnsi"/>
                <w:b/>
                <w:noProof/>
                <w:sz w:val="20"/>
              </w:rPr>
              <w:t>Kwota (w EUR)</w:t>
            </w:r>
          </w:p>
        </w:tc>
      </w:tr>
      <w:tr w:rsidR="004249F6" w:rsidRPr="00A37420" w14:paraId="5B8A50E3" w14:textId="77777777" w:rsidTr="00A37420">
        <w:tc>
          <w:tcPr>
            <w:tcW w:w="1364" w:type="dxa"/>
            <w:vMerge w:val="restart"/>
            <w:shd w:val="clear" w:color="auto" w:fill="auto"/>
          </w:tcPr>
          <w:p w14:paraId="0B061BA4" w14:textId="77777777" w:rsidR="004249F6" w:rsidRPr="00A37420" w:rsidRDefault="004249F6" w:rsidP="004B59D6">
            <w:pPr>
              <w:jc w:val="center"/>
              <w:rPr>
                <w:rFonts w:asciiTheme="minorHAnsi" w:hAnsiTheme="minorHAnsi" w:cstheme="minorHAnsi"/>
                <w:b/>
                <w:noProof/>
                <w:sz w:val="20"/>
              </w:rPr>
            </w:pPr>
            <w:r w:rsidRPr="00A37420">
              <w:rPr>
                <w:rFonts w:asciiTheme="minorHAnsi" w:eastAsia="Times New Roman" w:hAnsiTheme="minorHAnsi" w:cstheme="minorHAnsi"/>
                <w:iCs/>
                <w:noProof/>
                <w:sz w:val="20"/>
              </w:rPr>
              <w:t>CP 1</w:t>
            </w:r>
          </w:p>
        </w:tc>
        <w:tc>
          <w:tcPr>
            <w:tcW w:w="989" w:type="dxa"/>
            <w:vMerge w:val="restart"/>
            <w:shd w:val="clear" w:color="auto" w:fill="auto"/>
          </w:tcPr>
          <w:p w14:paraId="045F1083" w14:textId="77777777" w:rsidR="004249F6" w:rsidRPr="00A37420" w:rsidRDefault="004249F6" w:rsidP="004B59D6">
            <w:pPr>
              <w:jc w:val="center"/>
              <w:rPr>
                <w:rFonts w:asciiTheme="minorHAnsi" w:hAnsiTheme="minorHAnsi" w:cstheme="minorHAnsi"/>
                <w:b/>
                <w:noProof/>
                <w:sz w:val="20"/>
              </w:rPr>
            </w:pPr>
            <w:r w:rsidRPr="00A37420">
              <w:rPr>
                <w:rFonts w:asciiTheme="minorHAnsi" w:eastAsia="Times New Roman" w:hAnsiTheme="minorHAnsi" w:cstheme="minorHAnsi"/>
                <w:iCs/>
                <w:noProof/>
                <w:sz w:val="20"/>
              </w:rPr>
              <w:t>EFRR</w:t>
            </w:r>
          </w:p>
        </w:tc>
        <w:tc>
          <w:tcPr>
            <w:tcW w:w="1458" w:type="dxa"/>
            <w:vMerge w:val="restart"/>
            <w:shd w:val="clear" w:color="auto" w:fill="auto"/>
          </w:tcPr>
          <w:p w14:paraId="4E093254" w14:textId="77777777" w:rsidR="004249F6" w:rsidRPr="00A37420" w:rsidRDefault="004249F6" w:rsidP="004B59D6">
            <w:pPr>
              <w:jc w:val="center"/>
              <w:rPr>
                <w:rFonts w:asciiTheme="minorHAnsi" w:hAnsiTheme="minorHAnsi" w:cstheme="minorHAnsi"/>
                <w:b/>
                <w:noProof/>
                <w:sz w:val="20"/>
              </w:rPr>
            </w:pPr>
            <w:r w:rsidRPr="00A37420">
              <w:rPr>
                <w:rFonts w:asciiTheme="minorHAnsi" w:eastAsia="Times New Roman" w:hAnsiTheme="minorHAnsi" w:cstheme="minorHAnsi"/>
                <w:iCs/>
                <w:noProof/>
                <w:sz w:val="20"/>
              </w:rPr>
              <w:t>Słabiej rozwinięte</w:t>
            </w:r>
          </w:p>
        </w:tc>
        <w:tc>
          <w:tcPr>
            <w:tcW w:w="1469" w:type="dxa"/>
            <w:vMerge w:val="restart"/>
            <w:shd w:val="clear" w:color="auto" w:fill="auto"/>
          </w:tcPr>
          <w:p w14:paraId="51DC97F5" w14:textId="77777777" w:rsidR="004249F6" w:rsidRPr="00A37420" w:rsidRDefault="004249F6" w:rsidP="004B59D6">
            <w:pPr>
              <w:jc w:val="center"/>
              <w:rPr>
                <w:rFonts w:asciiTheme="minorHAnsi" w:hAnsiTheme="minorHAnsi" w:cstheme="minorHAnsi"/>
                <w:b/>
                <w:noProof/>
                <w:sz w:val="20"/>
              </w:rPr>
            </w:pPr>
            <w:r w:rsidRPr="00A37420">
              <w:rPr>
                <w:rFonts w:asciiTheme="minorHAnsi" w:eastAsia="Times New Roman" w:hAnsiTheme="minorHAnsi" w:cstheme="minorHAnsi"/>
                <w:iCs/>
                <w:noProof/>
                <w:sz w:val="20"/>
              </w:rPr>
              <w:t>(iii)</w:t>
            </w:r>
          </w:p>
        </w:tc>
        <w:tc>
          <w:tcPr>
            <w:tcW w:w="2458" w:type="dxa"/>
            <w:shd w:val="clear" w:color="auto" w:fill="auto"/>
          </w:tcPr>
          <w:p w14:paraId="16BE6ADF" w14:textId="77777777" w:rsidR="004249F6" w:rsidRPr="00A37420" w:rsidRDefault="004249F6" w:rsidP="004B59D6">
            <w:pPr>
              <w:jc w:val="left"/>
              <w:rPr>
                <w:rFonts w:asciiTheme="minorHAnsi" w:hAnsiTheme="minorHAnsi" w:cstheme="minorHAnsi"/>
                <w:noProof/>
                <w:sz w:val="20"/>
              </w:rPr>
            </w:pPr>
            <w:r w:rsidRPr="00A37420">
              <w:rPr>
                <w:rFonts w:asciiTheme="minorHAnsi" w:hAnsiTheme="minorHAnsi" w:cstheme="minorHAnsi"/>
                <w:noProof/>
                <w:sz w:val="20"/>
              </w:rPr>
              <w:t>001 Inwestycje w środki trwałe, w tym infrastrukturę badawczą,  w mikroprzedsiębiorstwach bezpośrednio związane z działaniami badawczymi i innowacyjnymi</w:t>
            </w:r>
          </w:p>
        </w:tc>
        <w:tc>
          <w:tcPr>
            <w:tcW w:w="1550" w:type="dxa"/>
            <w:shd w:val="clear" w:color="auto" w:fill="auto"/>
          </w:tcPr>
          <w:p w14:paraId="2216B0D3" w14:textId="6933EE64" w:rsidR="004249F6" w:rsidRPr="00A37420" w:rsidRDefault="00EA09A9" w:rsidP="004B59D6">
            <w:pPr>
              <w:jc w:val="right"/>
              <w:rPr>
                <w:rFonts w:asciiTheme="minorHAnsi" w:hAnsiTheme="minorHAnsi" w:cstheme="minorHAnsi"/>
                <w:noProof/>
                <w:sz w:val="20"/>
              </w:rPr>
            </w:pPr>
            <w:r>
              <w:rPr>
                <w:rFonts w:asciiTheme="minorHAnsi" w:hAnsiTheme="minorHAnsi" w:cstheme="minorHAnsi"/>
                <w:noProof/>
                <w:sz w:val="20"/>
              </w:rPr>
              <w:t>800 000</w:t>
            </w:r>
          </w:p>
        </w:tc>
      </w:tr>
      <w:tr w:rsidR="004249F6" w:rsidRPr="00A37420" w14:paraId="233FF1F8" w14:textId="77777777" w:rsidTr="00A37420">
        <w:tc>
          <w:tcPr>
            <w:tcW w:w="1364" w:type="dxa"/>
            <w:vMerge/>
            <w:shd w:val="clear" w:color="auto" w:fill="auto"/>
          </w:tcPr>
          <w:p w14:paraId="644E042E" w14:textId="77777777" w:rsidR="004249F6" w:rsidRPr="00A37420" w:rsidRDefault="004249F6" w:rsidP="004B59D6">
            <w:pPr>
              <w:jc w:val="center"/>
              <w:rPr>
                <w:rFonts w:asciiTheme="minorHAnsi" w:hAnsiTheme="minorHAnsi" w:cstheme="minorHAnsi"/>
                <w:b/>
                <w:noProof/>
                <w:sz w:val="20"/>
              </w:rPr>
            </w:pPr>
          </w:p>
        </w:tc>
        <w:tc>
          <w:tcPr>
            <w:tcW w:w="989" w:type="dxa"/>
            <w:vMerge/>
            <w:shd w:val="clear" w:color="auto" w:fill="auto"/>
          </w:tcPr>
          <w:p w14:paraId="2003523F" w14:textId="77777777" w:rsidR="004249F6" w:rsidRPr="00A37420" w:rsidRDefault="004249F6" w:rsidP="004B59D6">
            <w:pPr>
              <w:jc w:val="center"/>
              <w:rPr>
                <w:rFonts w:asciiTheme="minorHAnsi" w:hAnsiTheme="minorHAnsi" w:cstheme="minorHAnsi"/>
                <w:b/>
                <w:noProof/>
                <w:sz w:val="20"/>
              </w:rPr>
            </w:pPr>
          </w:p>
        </w:tc>
        <w:tc>
          <w:tcPr>
            <w:tcW w:w="1458" w:type="dxa"/>
            <w:vMerge/>
            <w:shd w:val="clear" w:color="auto" w:fill="auto"/>
          </w:tcPr>
          <w:p w14:paraId="3A770631" w14:textId="77777777" w:rsidR="004249F6" w:rsidRPr="00A37420" w:rsidRDefault="004249F6" w:rsidP="004B59D6">
            <w:pPr>
              <w:jc w:val="center"/>
              <w:rPr>
                <w:rFonts w:asciiTheme="minorHAnsi" w:hAnsiTheme="minorHAnsi" w:cstheme="minorHAnsi"/>
                <w:b/>
                <w:noProof/>
                <w:sz w:val="20"/>
              </w:rPr>
            </w:pPr>
          </w:p>
        </w:tc>
        <w:tc>
          <w:tcPr>
            <w:tcW w:w="1469" w:type="dxa"/>
            <w:vMerge/>
            <w:shd w:val="clear" w:color="auto" w:fill="auto"/>
          </w:tcPr>
          <w:p w14:paraId="03354E56" w14:textId="77777777" w:rsidR="004249F6" w:rsidRPr="00A37420" w:rsidRDefault="004249F6" w:rsidP="004B59D6">
            <w:pPr>
              <w:jc w:val="center"/>
              <w:rPr>
                <w:rFonts w:asciiTheme="minorHAnsi" w:hAnsiTheme="minorHAnsi" w:cstheme="minorHAnsi"/>
                <w:b/>
                <w:noProof/>
                <w:sz w:val="20"/>
              </w:rPr>
            </w:pPr>
          </w:p>
        </w:tc>
        <w:tc>
          <w:tcPr>
            <w:tcW w:w="2458" w:type="dxa"/>
            <w:shd w:val="clear" w:color="auto" w:fill="auto"/>
          </w:tcPr>
          <w:p w14:paraId="2F0AE620" w14:textId="77777777" w:rsidR="004249F6" w:rsidRPr="00A37420" w:rsidRDefault="004249F6" w:rsidP="004B59D6">
            <w:pPr>
              <w:jc w:val="left"/>
              <w:rPr>
                <w:rFonts w:asciiTheme="minorHAnsi" w:hAnsiTheme="minorHAnsi" w:cstheme="minorHAnsi"/>
                <w:noProof/>
                <w:sz w:val="20"/>
              </w:rPr>
            </w:pPr>
            <w:r w:rsidRPr="00A37420">
              <w:rPr>
                <w:rFonts w:asciiTheme="minorHAnsi" w:hAnsiTheme="minorHAnsi" w:cstheme="minorHAnsi"/>
                <w:noProof/>
                <w:sz w:val="20"/>
              </w:rPr>
              <w:t>002 Inwestycje w środki trwałe, w tym infrastrukturę badawczą w małych i średnich przedsiębiorstwach (w tym prywatnych ośrodkach badawczych) bezpośrednio związane z działaniami badawczymi i innowacyjnymi</w:t>
            </w:r>
          </w:p>
        </w:tc>
        <w:tc>
          <w:tcPr>
            <w:tcW w:w="1550" w:type="dxa"/>
            <w:shd w:val="clear" w:color="auto" w:fill="auto"/>
          </w:tcPr>
          <w:p w14:paraId="502B2BE6" w14:textId="084D5CF4" w:rsidR="004249F6" w:rsidRPr="00A37420" w:rsidRDefault="00A71940" w:rsidP="004B59D6">
            <w:pPr>
              <w:jc w:val="right"/>
              <w:rPr>
                <w:rFonts w:asciiTheme="minorHAnsi" w:hAnsiTheme="minorHAnsi" w:cstheme="minorHAnsi"/>
                <w:noProof/>
                <w:sz w:val="20"/>
              </w:rPr>
            </w:pPr>
            <w:r>
              <w:rPr>
                <w:rFonts w:asciiTheme="minorHAnsi" w:hAnsiTheme="minorHAnsi" w:cstheme="minorHAnsi"/>
                <w:noProof/>
                <w:sz w:val="20"/>
              </w:rPr>
              <w:t>2 800 000</w:t>
            </w:r>
          </w:p>
        </w:tc>
      </w:tr>
      <w:tr w:rsidR="004249F6" w:rsidRPr="00A37420" w14:paraId="0127403B" w14:textId="77777777" w:rsidTr="00A37420">
        <w:tc>
          <w:tcPr>
            <w:tcW w:w="1364" w:type="dxa"/>
            <w:vMerge/>
            <w:shd w:val="clear" w:color="auto" w:fill="auto"/>
          </w:tcPr>
          <w:p w14:paraId="673281A5" w14:textId="77777777" w:rsidR="004249F6" w:rsidRPr="00A37420" w:rsidRDefault="004249F6" w:rsidP="004B59D6">
            <w:pPr>
              <w:jc w:val="center"/>
              <w:rPr>
                <w:rFonts w:asciiTheme="minorHAnsi" w:hAnsiTheme="minorHAnsi" w:cstheme="minorHAnsi"/>
                <w:b/>
                <w:noProof/>
                <w:sz w:val="20"/>
              </w:rPr>
            </w:pPr>
          </w:p>
        </w:tc>
        <w:tc>
          <w:tcPr>
            <w:tcW w:w="989" w:type="dxa"/>
            <w:vMerge/>
            <w:shd w:val="clear" w:color="auto" w:fill="auto"/>
          </w:tcPr>
          <w:p w14:paraId="17A48CE2" w14:textId="77777777" w:rsidR="004249F6" w:rsidRPr="00A37420" w:rsidRDefault="004249F6" w:rsidP="004B59D6">
            <w:pPr>
              <w:jc w:val="center"/>
              <w:rPr>
                <w:rFonts w:asciiTheme="minorHAnsi" w:hAnsiTheme="minorHAnsi" w:cstheme="minorHAnsi"/>
                <w:b/>
                <w:noProof/>
                <w:sz w:val="20"/>
              </w:rPr>
            </w:pPr>
          </w:p>
        </w:tc>
        <w:tc>
          <w:tcPr>
            <w:tcW w:w="1458" w:type="dxa"/>
            <w:vMerge/>
            <w:shd w:val="clear" w:color="auto" w:fill="auto"/>
          </w:tcPr>
          <w:p w14:paraId="1EBD69D5" w14:textId="77777777" w:rsidR="004249F6" w:rsidRPr="00A37420" w:rsidRDefault="004249F6" w:rsidP="004B59D6">
            <w:pPr>
              <w:jc w:val="center"/>
              <w:rPr>
                <w:rFonts w:asciiTheme="minorHAnsi" w:hAnsiTheme="minorHAnsi" w:cstheme="minorHAnsi"/>
                <w:b/>
                <w:noProof/>
                <w:sz w:val="20"/>
              </w:rPr>
            </w:pPr>
          </w:p>
        </w:tc>
        <w:tc>
          <w:tcPr>
            <w:tcW w:w="1469" w:type="dxa"/>
            <w:vMerge/>
            <w:shd w:val="clear" w:color="auto" w:fill="auto"/>
          </w:tcPr>
          <w:p w14:paraId="6391DEE7" w14:textId="77777777" w:rsidR="004249F6" w:rsidRPr="00A37420" w:rsidRDefault="004249F6" w:rsidP="004B59D6">
            <w:pPr>
              <w:jc w:val="center"/>
              <w:rPr>
                <w:rFonts w:asciiTheme="minorHAnsi" w:hAnsiTheme="minorHAnsi" w:cstheme="minorHAnsi"/>
                <w:b/>
                <w:noProof/>
                <w:sz w:val="20"/>
              </w:rPr>
            </w:pPr>
          </w:p>
        </w:tc>
        <w:tc>
          <w:tcPr>
            <w:tcW w:w="2458" w:type="dxa"/>
            <w:shd w:val="clear" w:color="auto" w:fill="auto"/>
          </w:tcPr>
          <w:p w14:paraId="6E212B8B" w14:textId="77777777" w:rsidR="004249F6" w:rsidRPr="00A37420" w:rsidRDefault="004249F6" w:rsidP="004B59D6">
            <w:pPr>
              <w:jc w:val="left"/>
              <w:rPr>
                <w:rFonts w:asciiTheme="minorHAnsi" w:hAnsiTheme="minorHAnsi" w:cstheme="minorHAnsi"/>
                <w:noProof/>
                <w:sz w:val="20"/>
              </w:rPr>
            </w:pPr>
            <w:r w:rsidRPr="00A37420">
              <w:rPr>
                <w:rFonts w:asciiTheme="minorHAnsi" w:hAnsiTheme="minorHAnsi" w:cstheme="minorHAnsi"/>
                <w:noProof/>
                <w:sz w:val="20"/>
              </w:rPr>
              <w:t>005 Inwestycje w aktywa niematerialne i prawne w mikroprzedsiębiorstwach bezpośrednio związane z działaniami badawczymi i innowacyjnymi</w:t>
            </w:r>
          </w:p>
        </w:tc>
        <w:tc>
          <w:tcPr>
            <w:tcW w:w="1550" w:type="dxa"/>
            <w:shd w:val="clear" w:color="auto" w:fill="auto"/>
          </w:tcPr>
          <w:p w14:paraId="0990555B" w14:textId="1AF3C254" w:rsidR="004249F6" w:rsidRPr="00A37420" w:rsidRDefault="00A71940" w:rsidP="004B59D6">
            <w:pPr>
              <w:jc w:val="right"/>
              <w:rPr>
                <w:rFonts w:asciiTheme="minorHAnsi" w:hAnsiTheme="minorHAnsi" w:cstheme="minorHAnsi"/>
                <w:noProof/>
                <w:sz w:val="20"/>
              </w:rPr>
            </w:pPr>
            <w:r>
              <w:rPr>
                <w:rFonts w:asciiTheme="minorHAnsi" w:hAnsiTheme="minorHAnsi" w:cstheme="minorHAnsi"/>
                <w:noProof/>
                <w:sz w:val="20"/>
              </w:rPr>
              <w:t>0</w:t>
            </w:r>
          </w:p>
        </w:tc>
      </w:tr>
      <w:tr w:rsidR="004249F6" w:rsidRPr="00A37420" w14:paraId="3B061555" w14:textId="77777777" w:rsidTr="00A37420">
        <w:tc>
          <w:tcPr>
            <w:tcW w:w="1364" w:type="dxa"/>
            <w:vMerge/>
            <w:shd w:val="clear" w:color="auto" w:fill="auto"/>
          </w:tcPr>
          <w:p w14:paraId="59D7C570" w14:textId="77777777" w:rsidR="004249F6" w:rsidRPr="00A37420" w:rsidRDefault="004249F6" w:rsidP="004B59D6">
            <w:pPr>
              <w:jc w:val="center"/>
              <w:rPr>
                <w:rFonts w:asciiTheme="minorHAnsi" w:hAnsiTheme="minorHAnsi" w:cstheme="minorHAnsi"/>
                <w:b/>
                <w:noProof/>
                <w:sz w:val="20"/>
              </w:rPr>
            </w:pPr>
          </w:p>
        </w:tc>
        <w:tc>
          <w:tcPr>
            <w:tcW w:w="989" w:type="dxa"/>
            <w:vMerge/>
            <w:shd w:val="clear" w:color="auto" w:fill="auto"/>
          </w:tcPr>
          <w:p w14:paraId="45BE47C2" w14:textId="77777777" w:rsidR="004249F6" w:rsidRPr="00A37420" w:rsidRDefault="004249F6" w:rsidP="004B59D6">
            <w:pPr>
              <w:jc w:val="center"/>
              <w:rPr>
                <w:rFonts w:asciiTheme="minorHAnsi" w:hAnsiTheme="minorHAnsi" w:cstheme="minorHAnsi"/>
                <w:b/>
                <w:noProof/>
                <w:sz w:val="20"/>
              </w:rPr>
            </w:pPr>
          </w:p>
        </w:tc>
        <w:tc>
          <w:tcPr>
            <w:tcW w:w="1458" w:type="dxa"/>
            <w:vMerge/>
            <w:shd w:val="clear" w:color="auto" w:fill="auto"/>
          </w:tcPr>
          <w:p w14:paraId="2FD3BC43" w14:textId="77777777" w:rsidR="004249F6" w:rsidRPr="00A37420" w:rsidRDefault="004249F6" w:rsidP="004B59D6">
            <w:pPr>
              <w:jc w:val="center"/>
              <w:rPr>
                <w:rFonts w:asciiTheme="minorHAnsi" w:hAnsiTheme="minorHAnsi" w:cstheme="minorHAnsi"/>
                <w:b/>
                <w:noProof/>
                <w:sz w:val="20"/>
              </w:rPr>
            </w:pPr>
          </w:p>
        </w:tc>
        <w:tc>
          <w:tcPr>
            <w:tcW w:w="1469" w:type="dxa"/>
            <w:vMerge/>
            <w:shd w:val="clear" w:color="auto" w:fill="auto"/>
          </w:tcPr>
          <w:p w14:paraId="68EA278F" w14:textId="77777777" w:rsidR="004249F6" w:rsidRPr="00A37420" w:rsidRDefault="004249F6" w:rsidP="004B59D6">
            <w:pPr>
              <w:jc w:val="center"/>
              <w:rPr>
                <w:rFonts w:asciiTheme="minorHAnsi" w:hAnsiTheme="minorHAnsi" w:cstheme="minorHAnsi"/>
                <w:b/>
                <w:noProof/>
                <w:sz w:val="20"/>
              </w:rPr>
            </w:pPr>
          </w:p>
        </w:tc>
        <w:tc>
          <w:tcPr>
            <w:tcW w:w="2458" w:type="dxa"/>
            <w:shd w:val="clear" w:color="auto" w:fill="auto"/>
          </w:tcPr>
          <w:p w14:paraId="79FC9541" w14:textId="77777777" w:rsidR="004249F6" w:rsidRPr="00A37420" w:rsidRDefault="004249F6" w:rsidP="004B59D6">
            <w:pPr>
              <w:jc w:val="left"/>
              <w:rPr>
                <w:rFonts w:asciiTheme="minorHAnsi" w:hAnsiTheme="minorHAnsi" w:cstheme="minorHAnsi"/>
                <w:noProof/>
                <w:sz w:val="20"/>
              </w:rPr>
            </w:pPr>
            <w:r w:rsidRPr="00A37420">
              <w:rPr>
                <w:rFonts w:asciiTheme="minorHAnsi" w:hAnsiTheme="minorHAnsi" w:cstheme="minorHAnsi"/>
                <w:noProof/>
                <w:sz w:val="20"/>
              </w:rPr>
              <w:t>006 Inwestycje w aktywa niematerialne i prawne w MŚP (w tym prywatnych ośrodkach badawczych) bezpośrednio związane z działaniami badawczymi i innowacyjnymi</w:t>
            </w:r>
          </w:p>
        </w:tc>
        <w:tc>
          <w:tcPr>
            <w:tcW w:w="1550" w:type="dxa"/>
            <w:shd w:val="clear" w:color="auto" w:fill="auto"/>
          </w:tcPr>
          <w:p w14:paraId="69F6C590" w14:textId="1472C126" w:rsidR="004249F6" w:rsidRPr="00A37420" w:rsidRDefault="00A71940" w:rsidP="004B59D6">
            <w:pPr>
              <w:jc w:val="right"/>
              <w:rPr>
                <w:rFonts w:asciiTheme="minorHAnsi" w:hAnsiTheme="minorHAnsi" w:cstheme="minorHAnsi"/>
                <w:noProof/>
                <w:sz w:val="20"/>
              </w:rPr>
            </w:pPr>
            <w:r>
              <w:rPr>
                <w:rFonts w:asciiTheme="minorHAnsi" w:hAnsiTheme="minorHAnsi" w:cstheme="minorHAnsi"/>
                <w:noProof/>
                <w:sz w:val="20"/>
              </w:rPr>
              <w:t>0</w:t>
            </w:r>
          </w:p>
        </w:tc>
      </w:tr>
      <w:tr w:rsidR="004249F6" w:rsidRPr="00A37420" w14:paraId="7D781B03" w14:textId="77777777" w:rsidTr="00A37420">
        <w:tc>
          <w:tcPr>
            <w:tcW w:w="1364" w:type="dxa"/>
            <w:vMerge/>
            <w:shd w:val="clear" w:color="auto" w:fill="auto"/>
            <w:vAlign w:val="center"/>
          </w:tcPr>
          <w:p w14:paraId="736D268E" w14:textId="77777777" w:rsidR="004249F6" w:rsidRPr="00A37420" w:rsidRDefault="004249F6" w:rsidP="004B59D6">
            <w:pPr>
              <w:jc w:val="center"/>
              <w:rPr>
                <w:rFonts w:asciiTheme="minorHAnsi" w:eastAsia="Times New Roman" w:hAnsiTheme="minorHAnsi" w:cstheme="minorHAnsi"/>
                <w:iCs/>
                <w:noProof/>
                <w:sz w:val="20"/>
              </w:rPr>
            </w:pPr>
          </w:p>
        </w:tc>
        <w:tc>
          <w:tcPr>
            <w:tcW w:w="989" w:type="dxa"/>
            <w:vMerge/>
            <w:shd w:val="clear" w:color="auto" w:fill="auto"/>
            <w:vAlign w:val="center"/>
          </w:tcPr>
          <w:p w14:paraId="3D6D1D22" w14:textId="77777777" w:rsidR="004249F6" w:rsidRPr="00A37420" w:rsidRDefault="004249F6" w:rsidP="004B59D6">
            <w:pPr>
              <w:jc w:val="center"/>
              <w:rPr>
                <w:rFonts w:asciiTheme="minorHAnsi" w:eastAsia="Times New Roman" w:hAnsiTheme="minorHAnsi" w:cstheme="minorHAnsi"/>
                <w:iCs/>
                <w:noProof/>
                <w:sz w:val="20"/>
              </w:rPr>
            </w:pPr>
          </w:p>
        </w:tc>
        <w:tc>
          <w:tcPr>
            <w:tcW w:w="1458" w:type="dxa"/>
            <w:vMerge/>
            <w:shd w:val="clear" w:color="auto" w:fill="auto"/>
            <w:vAlign w:val="center"/>
          </w:tcPr>
          <w:p w14:paraId="1E036B75" w14:textId="77777777" w:rsidR="004249F6" w:rsidRPr="00A37420" w:rsidRDefault="004249F6" w:rsidP="004B59D6">
            <w:pPr>
              <w:jc w:val="center"/>
              <w:rPr>
                <w:rFonts w:asciiTheme="minorHAnsi" w:eastAsia="Times New Roman" w:hAnsiTheme="minorHAnsi" w:cstheme="minorHAnsi"/>
                <w:iCs/>
                <w:noProof/>
                <w:sz w:val="20"/>
              </w:rPr>
            </w:pPr>
          </w:p>
        </w:tc>
        <w:tc>
          <w:tcPr>
            <w:tcW w:w="1469" w:type="dxa"/>
            <w:vMerge/>
            <w:shd w:val="clear" w:color="auto" w:fill="auto"/>
            <w:vAlign w:val="center"/>
          </w:tcPr>
          <w:p w14:paraId="043E33A3" w14:textId="77777777" w:rsidR="004249F6" w:rsidRPr="00A37420" w:rsidRDefault="004249F6" w:rsidP="004B59D6">
            <w:pPr>
              <w:jc w:val="center"/>
              <w:rPr>
                <w:rFonts w:asciiTheme="minorHAnsi" w:eastAsia="Times New Roman" w:hAnsiTheme="minorHAnsi" w:cstheme="minorHAnsi"/>
                <w:iCs/>
                <w:noProof/>
                <w:sz w:val="20"/>
              </w:rPr>
            </w:pPr>
          </w:p>
        </w:tc>
        <w:tc>
          <w:tcPr>
            <w:tcW w:w="2458" w:type="dxa"/>
            <w:shd w:val="clear" w:color="auto" w:fill="auto"/>
          </w:tcPr>
          <w:p w14:paraId="614F964E" w14:textId="77777777" w:rsidR="004249F6" w:rsidRPr="00A37420" w:rsidRDefault="004249F6" w:rsidP="004B59D6">
            <w:pPr>
              <w:pStyle w:val="Default"/>
              <w:spacing w:before="120"/>
              <w:jc w:val="both"/>
              <w:rPr>
                <w:rFonts w:asciiTheme="minorHAnsi" w:hAnsiTheme="minorHAnsi" w:cstheme="minorHAnsi"/>
                <w:sz w:val="20"/>
                <w:szCs w:val="20"/>
              </w:rPr>
            </w:pPr>
            <w:r w:rsidRPr="00A37420">
              <w:rPr>
                <w:rFonts w:asciiTheme="minorHAnsi" w:eastAsia="Times New Roman" w:hAnsiTheme="minorHAnsi" w:cstheme="minorHAnsi"/>
                <w:iCs/>
                <w:noProof/>
                <w:sz w:val="20"/>
                <w:szCs w:val="20"/>
              </w:rPr>
              <w:t xml:space="preserve">020 </w:t>
            </w:r>
            <w:r w:rsidRPr="00A37420">
              <w:rPr>
                <w:rFonts w:asciiTheme="minorHAnsi" w:hAnsiTheme="minorHAnsi" w:cstheme="minorHAnsi"/>
                <w:sz w:val="20"/>
                <w:szCs w:val="20"/>
              </w:rPr>
              <w:t xml:space="preserve">Infrastruktura biznesowa dla MŚP (w tym parki i obiekty przemysłowe) </w:t>
            </w:r>
          </w:p>
          <w:p w14:paraId="454620FA" w14:textId="77777777" w:rsidR="004249F6" w:rsidRPr="00A37420" w:rsidRDefault="004249F6" w:rsidP="004B59D6">
            <w:pPr>
              <w:jc w:val="center"/>
              <w:rPr>
                <w:rFonts w:asciiTheme="minorHAnsi" w:eastAsia="Times New Roman" w:hAnsiTheme="minorHAnsi" w:cstheme="minorHAnsi"/>
                <w:iCs/>
                <w:noProof/>
                <w:sz w:val="20"/>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E6BED37" w14:textId="11687DDD" w:rsidR="004249F6" w:rsidRPr="00A37420" w:rsidRDefault="0020283D"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14 476 667</w:t>
            </w:r>
          </w:p>
        </w:tc>
      </w:tr>
      <w:tr w:rsidR="004249F6" w:rsidRPr="00A37420" w14:paraId="3C71AEEB" w14:textId="77777777" w:rsidTr="00A37420">
        <w:tc>
          <w:tcPr>
            <w:tcW w:w="1364" w:type="dxa"/>
            <w:vMerge/>
            <w:shd w:val="clear" w:color="auto" w:fill="auto"/>
          </w:tcPr>
          <w:p w14:paraId="03B13F99" w14:textId="77777777" w:rsidR="004249F6" w:rsidRPr="00A37420" w:rsidRDefault="004249F6" w:rsidP="004B59D6">
            <w:pPr>
              <w:jc w:val="center"/>
              <w:rPr>
                <w:rFonts w:asciiTheme="minorHAnsi" w:eastAsia="Times New Roman" w:hAnsiTheme="minorHAnsi" w:cstheme="minorHAnsi"/>
                <w:iCs/>
                <w:noProof/>
                <w:sz w:val="20"/>
              </w:rPr>
            </w:pPr>
          </w:p>
        </w:tc>
        <w:tc>
          <w:tcPr>
            <w:tcW w:w="989" w:type="dxa"/>
            <w:vMerge/>
            <w:shd w:val="clear" w:color="auto" w:fill="auto"/>
          </w:tcPr>
          <w:p w14:paraId="41E18DA6" w14:textId="77777777" w:rsidR="004249F6" w:rsidRPr="00A37420" w:rsidRDefault="004249F6" w:rsidP="004B59D6">
            <w:pPr>
              <w:jc w:val="center"/>
              <w:rPr>
                <w:rFonts w:asciiTheme="minorHAnsi" w:eastAsia="Times New Roman" w:hAnsiTheme="minorHAnsi" w:cstheme="minorHAnsi"/>
                <w:iCs/>
                <w:noProof/>
                <w:sz w:val="20"/>
              </w:rPr>
            </w:pPr>
          </w:p>
        </w:tc>
        <w:tc>
          <w:tcPr>
            <w:tcW w:w="1458" w:type="dxa"/>
            <w:vMerge/>
            <w:shd w:val="clear" w:color="auto" w:fill="auto"/>
          </w:tcPr>
          <w:p w14:paraId="0503F492" w14:textId="77777777" w:rsidR="004249F6" w:rsidRPr="00A37420" w:rsidRDefault="004249F6" w:rsidP="004B59D6">
            <w:pPr>
              <w:jc w:val="center"/>
              <w:rPr>
                <w:rFonts w:asciiTheme="minorHAnsi" w:eastAsia="Times New Roman" w:hAnsiTheme="minorHAnsi" w:cstheme="minorHAnsi"/>
                <w:iCs/>
                <w:noProof/>
                <w:sz w:val="20"/>
              </w:rPr>
            </w:pPr>
          </w:p>
        </w:tc>
        <w:tc>
          <w:tcPr>
            <w:tcW w:w="1469" w:type="dxa"/>
            <w:vMerge/>
            <w:shd w:val="clear" w:color="auto" w:fill="auto"/>
          </w:tcPr>
          <w:p w14:paraId="03CA41A9" w14:textId="77777777" w:rsidR="004249F6" w:rsidRPr="00A37420" w:rsidRDefault="004249F6" w:rsidP="004B59D6">
            <w:pPr>
              <w:jc w:val="center"/>
              <w:rPr>
                <w:rFonts w:asciiTheme="minorHAnsi" w:eastAsia="Times New Roman" w:hAnsiTheme="minorHAnsi" w:cstheme="minorHAnsi"/>
                <w:iCs/>
                <w:noProof/>
                <w:sz w:val="20"/>
              </w:rPr>
            </w:pPr>
          </w:p>
        </w:tc>
        <w:tc>
          <w:tcPr>
            <w:tcW w:w="2458" w:type="dxa"/>
            <w:shd w:val="clear" w:color="auto" w:fill="auto"/>
          </w:tcPr>
          <w:p w14:paraId="0145A1DA" w14:textId="77777777" w:rsidR="004249F6" w:rsidRPr="00A37420" w:rsidRDefault="004249F6" w:rsidP="004B59D6">
            <w:pPr>
              <w:pStyle w:val="Default"/>
              <w:rPr>
                <w:rFonts w:asciiTheme="minorHAnsi" w:hAnsiTheme="minorHAnsi" w:cstheme="minorHAnsi"/>
                <w:sz w:val="20"/>
              </w:rPr>
            </w:pPr>
            <w:r w:rsidRPr="00A37420">
              <w:rPr>
                <w:rFonts w:asciiTheme="minorHAnsi" w:eastAsia="Times New Roman" w:hAnsiTheme="minorHAnsi" w:cstheme="minorHAnsi"/>
                <w:iCs/>
                <w:noProof/>
                <w:sz w:val="20"/>
                <w:szCs w:val="20"/>
              </w:rPr>
              <w:t xml:space="preserve">021 </w:t>
            </w:r>
            <w:r w:rsidRPr="00A37420">
              <w:rPr>
                <w:rFonts w:asciiTheme="minorHAnsi" w:hAnsiTheme="minorHAnsi" w:cstheme="minorHAnsi"/>
                <w:sz w:val="20"/>
                <w:szCs w:val="20"/>
              </w:rPr>
              <w:t xml:space="preserve">Rozwój działalności i umiędzynarodowienie MŚP, w tym inwestycje produkcyjne </w:t>
            </w:r>
          </w:p>
        </w:tc>
        <w:tc>
          <w:tcPr>
            <w:tcW w:w="1550" w:type="dxa"/>
            <w:tcBorders>
              <w:top w:val="nil"/>
              <w:left w:val="single" w:sz="4" w:space="0" w:color="auto"/>
              <w:bottom w:val="single" w:sz="4" w:space="0" w:color="auto"/>
              <w:right w:val="single" w:sz="4" w:space="0" w:color="auto"/>
            </w:tcBorders>
            <w:shd w:val="clear" w:color="auto" w:fill="auto"/>
            <w:vAlign w:val="center"/>
          </w:tcPr>
          <w:p w14:paraId="675ED72C" w14:textId="70B13D75" w:rsidR="004249F6" w:rsidRPr="00A37420" w:rsidRDefault="00A52F1E"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33 100 000</w:t>
            </w:r>
          </w:p>
        </w:tc>
      </w:tr>
      <w:tr w:rsidR="004249F6" w:rsidRPr="00A37420" w14:paraId="0D19DEBB" w14:textId="77777777" w:rsidTr="00A37420">
        <w:tc>
          <w:tcPr>
            <w:tcW w:w="1364" w:type="dxa"/>
            <w:vMerge/>
            <w:shd w:val="clear" w:color="auto" w:fill="auto"/>
          </w:tcPr>
          <w:p w14:paraId="70503CF1" w14:textId="77777777" w:rsidR="004249F6" w:rsidRPr="00A37420" w:rsidRDefault="004249F6" w:rsidP="004B59D6">
            <w:pPr>
              <w:jc w:val="center"/>
              <w:rPr>
                <w:rFonts w:asciiTheme="minorHAnsi" w:eastAsia="Times New Roman" w:hAnsiTheme="minorHAnsi" w:cstheme="minorHAnsi"/>
                <w:iCs/>
                <w:noProof/>
                <w:sz w:val="20"/>
              </w:rPr>
            </w:pPr>
          </w:p>
        </w:tc>
        <w:tc>
          <w:tcPr>
            <w:tcW w:w="989" w:type="dxa"/>
            <w:vMerge/>
            <w:shd w:val="clear" w:color="auto" w:fill="auto"/>
          </w:tcPr>
          <w:p w14:paraId="513EE602" w14:textId="77777777" w:rsidR="004249F6" w:rsidRPr="00A37420" w:rsidRDefault="004249F6" w:rsidP="004B59D6">
            <w:pPr>
              <w:jc w:val="center"/>
              <w:rPr>
                <w:rFonts w:asciiTheme="minorHAnsi" w:eastAsia="Times New Roman" w:hAnsiTheme="minorHAnsi" w:cstheme="minorHAnsi"/>
                <w:iCs/>
                <w:noProof/>
                <w:sz w:val="20"/>
              </w:rPr>
            </w:pPr>
          </w:p>
        </w:tc>
        <w:tc>
          <w:tcPr>
            <w:tcW w:w="1458" w:type="dxa"/>
            <w:vMerge/>
            <w:shd w:val="clear" w:color="auto" w:fill="auto"/>
          </w:tcPr>
          <w:p w14:paraId="750AA953" w14:textId="77777777" w:rsidR="004249F6" w:rsidRPr="00A37420" w:rsidRDefault="004249F6" w:rsidP="004B59D6">
            <w:pPr>
              <w:jc w:val="center"/>
              <w:rPr>
                <w:rFonts w:asciiTheme="minorHAnsi" w:eastAsia="Times New Roman" w:hAnsiTheme="minorHAnsi" w:cstheme="minorHAnsi"/>
                <w:iCs/>
                <w:noProof/>
                <w:sz w:val="20"/>
              </w:rPr>
            </w:pPr>
          </w:p>
        </w:tc>
        <w:tc>
          <w:tcPr>
            <w:tcW w:w="1469" w:type="dxa"/>
            <w:vMerge/>
            <w:shd w:val="clear" w:color="auto" w:fill="auto"/>
          </w:tcPr>
          <w:p w14:paraId="350EC3BF" w14:textId="77777777" w:rsidR="004249F6" w:rsidRPr="00A37420" w:rsidRDefault="004249F6" w:rsidP="004B59D6">
            <w:pPr>
              <w:jc w:val="center"/>
              <w:rPr>
                <w:rFonts w:asciiTheme="minorHAnsi" w:eastAsia="Times New Roman" w:hAnsiTheme="minorHAnsi" w:cstheme="minorHAnsi"/>
                <w:iCs/>
                <w:noProof/>
                <w:sz w:val="20"/>
              </w:rPr>
            </w:pPr>
          </w:p>
        </w:tc>
        <w:tc>
          <w:tcPr>
            <w:tcW w:w="2458" w:type="dxa"/>
            <w:shd w:val="clear" w:color="auto" w:fill="auto"/>
          </w:tcPr>
          <w:p w14:paraId="12785420" w14:textId="77777777" w:rsidR="004249F6" w:rsidRPr="00A37420" w:rsidRDefault="004249F6" w:rsidP="004B59D6">
            <w:pPr>
              <w:pStyle w:val="Default"/>
              <w:rPr>
                <w:rFonts w:asciiTheme="minorHAnsi" w:hAnsiTheme="minorHAnsi" w:cstheme="minorHAnsi"/>
                <w:sz w:val="20"/>
              </w:rPr>
            </w:pPr>
            <w:r w:rsidRPr="00A37420">
              <w:rPr>
                <w:rFonts w:asciiTheme="minorHAnsi" w:eastAsia="Times New Roman" w:hAnsiTheme="minorHAnsi" w:cstheme="minorHAnsi"/>
                <w:iCs/>
                <w:noProof/>
                <w:sz w:val="20"/>
                <w:szCs w:val="20"/>
              </w:rPr>
              <w:t xml:space="preserve">024 </w:t>
            </w:r>
            <w:r w:rsidRPr="00A37420">
              <w:rPr>
                <w:rFonts w:asciiTheme="minorHAnsi" w:hAnsiTheme="minorHAnsi" w:cstheme="minorHAnsi"/>
                <w:sz w:val="20"/>
                <w:szCs w:val="20"/>
              </w:rPr>
              <w:t xml:space="preserve">Zaawansowane usługi wsparcia dla MŚP i grup MŚP (w tym usługi w zakresie zarządzania, marketingu i projektowania) </w:t>
            </w:r>
          </w:p>
        </w:tc>
        <w:tc>
          <w:tcPr>
            <w:tcW w:w="1550" w:type="dxa"/>
            <w:tcBorders>
              <w:top w:val="nil"/>
              <w:left w:val="single" w:sz="4" w:space="0" w:color="auto"/>
              <w:bottom w:val="single" w:sz="4" w:space="0" w:color="auto"/>
              <w:right w:val="single" w:sz="4" w:space="0" w:color="auto"/>
            </w:tcBorders>
            <w:shd w:val="clear" w:color="auto" w:fill="auto"/>
            <w:vAlign w:val="center"/>
          </w:tcPr>
          <w:p w14:paraId="2D400C05" w14:textId="5A8F97DB" w:rsidR="004249F6" w:rsidRPr="00A37420" w:rsidRDefault="0020283D"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3 073 333</w:t>
            </w:r>
          </w:p>
        </w:tc>
      </w:tr>
      <w:tr w:rsidR="004249F6" w:rsidRPr="00A37420" w14:paraId="732379B7" w14:textId="77777777" w:rsidTr="00A37420">
        <w:tc>
          <w:tcPr>
            <w:tcW w:w="1364" w:type="dxa"/>
            <w:vMerge/>
            <w:shd w:val="clear" w:color="auto" w:fill="auto"/>
          </w:tcPr>
          <w:p w14:paraId="34826747" w14:textId="77777777" w:rsidR="004249F6" w:rsidRPr="00A37420" w:rsidRDefault="004249F6" w:rsidP="004B59D6">
            <w:pPr>
              <w:jc w:val="center"/>
              <w:rPr>
                <w:rFonts w:asciiTheme="minorHAnsi" w:eastAsia="Times New Roman" w:hAnsiTheme="minorHAnsi" w:cstheme="minorHAnsi"/>
                <w:iCs/>
                <w:noProof/>
                <w:sz w:val="20"/>
              </w:rPr>
            </w:pPr>
          </w:p>
        </w:tc>
        <w:tc>
          <w:tcPr>
            <w:tcW w:w="989" w:type="dxa"/>
            <w:vMerge/>
            <w:shd w:val="clear" w:color="auto" w:fill="auto"/>
          </w:tcPr>
          <w:p w14:paraId="09C0E33E" w14:textId="77777777" w:rsidR="004249F6" w:rsidRPr="00A37420" w:rsidRDefault="004249F6" w:rsidP="004B59D6">
            <w:pPr>
              <w:jc w:val="center"/>
              <w:rPr>
                <w:rFonts w:asciiTheme="minorHAnsi" w:eastAsia="Times New Roman" w:hAnsiTheme="minorHAnsi" w:cstheme="minorHAnsi"/>
                <w:iCs/>
                <w:noProof/>
                <w:sz w:val="20"/>
              </w:rPr>
            </w:pPr>
          </w:p>
        </w:tc>
        <w:tc>
          <w:tcPr>
            <w:tcW w:w="1458" w:type="dxa"/>
            <w:vMerge/>
            <w:shd w:val="clear" w:color="auto" w:fill="auto"/>
          </w:tcPr>
          <w:p w14:paraId="47DA69D6" w14:textId="77777777" w:rsidR="004249F6" w:rsidRPr="00A37420" w:rsidRDefault="004249F6" w:rsidP="004B59D6">
            <w:pPr>
              <w:jc w:val="center"/>
              <w:rPr>
                <w:rFonts w:asciiTheme="minorHAnsi" w:eastAsia="Times New Roman" w:hAnsiTheme="minorHAnsi" w:cstheme="minorHAnsi"/>
                <w:iCs/>
                <w:noProof/>
                <w:sz w:val="20"/>
              </w:rPr>
            </w:pPr>
          </w:p>
        </w:tc>
        <w:tc>
          <w:tcPr>
            <w:tcW w:w="1469" w:type="dxa"/>
            <w:vMerge/>
            <w:shd w:val="clear" w:color="auto" w:fill="auto"/>
          </w:tcPr>
          <w:p w14:paraId="211B05F2" w14:textId="77777777" w:rsidR="004249F6" w:rsidRPr="00A37420" w:rsidRDefault="004249F6" w:rsidP="004B59D6">
            <w:pPr>
              <w:jc w:val="center"/>
              <w:rPr>
                <w:rFonts w:asciiTheme="minorHAnsi" w:eastAsia="Times New Roman" w:hAnsiTheme="minorHAnsi" w:cstheme="minorHAnsi"/>
                <w:iCs/>
                <w:noProof/>
                <w:sz w:val="20"/>
              </w:rPr>
            </w:pPr>
          </w:p>
        </w:tc>
        <w:tc>
          <w:tcPr>
            <w:tcW w:w="2458" w:type="dxa"/>
            <w:shd w:val="clear" w:color="auto" w:fill="auto"/>
          </w:tcPr>
          <w:p w14:paraId="24BFC82B" w14:textId="77777777" w:rsidR="004249F6" w:rsidRPr="00A37420" w:rsidRDefault="004249F6" w:rsidP="004B59D6">
            <w:pPr>
              <w:pStyle w:val="Default"/>
              <w:rPr>
                <w:rFonts w:asciiTheme="minorHAnsi" w:hAnsiTheme="minorHAnsi" w:cstheme="minorHAnsi"/>
                <w:sz w:val="20"/>
              </w:rPr>
            </w:pPr>
            <w:r w:rsidRPr="00A37420">
              <w:rPr>
                <w:rFonts w:asciiTheme="minorHAnsi" w:eastAsia="Times New Roman" w:hAnsiTheme="minorHAnsi" w:cstheme="minorHAnsi"/>
                <w:iCs/>
                <w:noProof/>
                <w:sz w:val="20"/>
                <w:szCs w:val="20"/>
              </w:rPr>
              <w:t xml:space="preserve">025 </w:t>
            </w:r>
            <w:r w:rsidRPr="00A37420">
              <w:rPr>
                <w:rFonts w:asciiTheme="minorHAnsi" w:hAnsiTheme="minorHAnsi" w:cstheme="minorHAnsi"/>
                <w:sz w:val="20"/>
                <w:szCs w:val="20"/>
              </w:rPr>
              <w:t>Inkubatory przedsiębiorczości, wsparcie dla przedsiębiorstw typu spin-off i spin-out i przedsiębiorstw typu start-up</w:t>
            </w:r>
          </w:p>
        </w:tc>
        <w:tc>
          <w:tcPr>
            <w:tcW w:w="1550" w:type="dxa"/>
            <w:tcBorders>
              <w:top w:val="nil"/>
              <w:left w:val="single" w:sz="4" w:space="0" w:color="auto"/>
              <w:bottom w:val="single" w:sz="4" w:space="0" w:color="auto"/>
              <w:right w:val="single" w:sz="4" w:space="0" w:color="auto"/>
            </w:tcBorders>
            <w:shd w:val="clear" w:color="auto" w:fill="auto"/>
            <w:vAlign w:val="center"/>
          </w:tcPr>
          <w:p w14:paraId="6C6ED663" w14:textId="77777777" w:rsidR="004249F6" w:rsidRPr="00A37420" w:rsidRDefault="004249F6" w:rsidP="004B59D6">
            <w:pPr>
              <w:jc w:val="right"/>
              <w:rPr>
                <w:rFonts w:asciiTheme="minorHAnsi" w:eastAsia="Times New Roman" w:hAnsiTheme="minorHAnsi" w:cstheme="minorHAnsi"/>
                <w:iCs/>
                <w:noProof/>
                <w:sz w:val="20"/>
              </w:rPr>
            </w:pPr>
            <w:r w:rsidRPr="00A37420">
              <w:rPr>
                <w:rFonts w:asciiTheme="minorHAnsi" w:eastAsia="Times New Roman" w:hAnsiTheme="minorHAnsi" w:cstheme="minorHAnsi"/>
                <w:iCs/>
                <w:noProof/>
                <w:sz w:val="20"/>
              </w:rPr>
              <w:t>2 500 000</w:t>
            </w:r>
          </w:p>
        </w:tc>
      </w:tr>
      <w:tr w:rsidR="004249F6" w:rsidRPr="00890249" w14:paraId="7D06EB5D" w14:textId="77777777" w:rsidTr="00A37420">
        <w:tc>
          <w:tcPr>
            <w:tcW w:w="1364" w:type="dxa"/>
            <w:vMerge/>
            <w:shd w:val="clear" w:color="auto" w:fill="auto"/>
          </w:tcPr>
          <w:p w14:paraId="33015519" w14:textId="77777777" w:rsidR="004249F6" w:rsidRPr="00A37420" w:rsidRDefault="004249F6" w:rsidP="004B59D6">
            <w:pPr>
              <w:jc w:val="center"/>
              <w:rPr>
                <w:rFonts w:asciiTheme="minorHAnsi" w:eastAsia="Times New Roman" w:hAnsiTheme="minorHAnsi" w:cstheme="minorHAnsi"/>
                <w:iCs/>
                <w:noProof/>
                <w:sz w:val="20"/>
              </w:rPr>
            </w:pPr>
          </w:p>
        </w:tc>
        <w:tc>
          <w:tcPr>
            <w:tcW w:w="989" w:type="dxa"/>
            <w:vMerge/>
            <w:shd w:val="clear" w:color="auto" w:fill="auto"/>
          </w:tcPr>
          <w:p w14:paraId="552A5E0C" w14:textId="77777777" w:rsidR="004249F6" w:rsidRPr="00A37420" w:rsidRDefault="004249F6" w:rsidP="004B59D6">
            <w:pPr>
              <w:jc w:val="center"/>
              <w:rPr>
                <w:rFonts w:asciiTheme="minorHAnsi" w:eastAsia="Times New Roman" w:hAnsiTheme="minorHAnsi" w:cstheme="minorHAnsi"/>
                <w:iCs/>
                <w:noProof/>
                <w:sz w:val="20"/>
              </w:rPr>
            </w:pPr>
          </w:p>
        </w:tc>
        <w:tc>
          <w:tcPr>
            <w:tcW w:w="1458" w:type="dxa"/>
            <w:vMerge/>
            <w:shd w:val="clear" w:color="auto" w:fill="auto"/>
          </w:tcPr>
          <w:p w14:paraId="5566D484" w14:textId="77777777" w:rsidR="004249F6" w:rsidRPr="00A37420" w:rsidRDefault="004249F6" w:rsidP="004B59D6">
            <w:pPr>
              <w:jc w:val="center"/>
              <w:rPr>
                <w:rFonts w:asciiTheme="minorHAnsi" w:eastAsia="Times New Roman" w:hAnsiTheme="minorHAnsi" w:cstheme="minorHAnsi"/>
                <w:iCs/>
                <w:noProof/>
                <w:sz w:val="20"/>
              </w:rPr>
            </w:pPr>
          </w:p>
        </w:tc>
        <w:tc>
          <w:tcPr>
            <w:tcW w:w="1469" w:type="dxa"/>
            <w:vMerge/>
            <w:shd w:val="clear" w:color="auto" w:fill="auto"/>
          </w:tcPr>
          <w:p w14:paraId="64F3A3D8" w14:textId="77777777" w:rsidR="004249F6" w:rsidRPr="00A37420" w:rsidRDefault="004249F6" w:rsidP="004B59D6">
            <w:pPr>
              <w:jc w:val="center"/>
              <w:rPr>
                <w:rFonts w:asciiTheme="minorHAnsi" w:eastAsia="Times New Roman" w:hAnsiTheme="minorHAnsi" w:cstheme="minorHAnsi"/>
                <w:iCs/>
                <w:noProof/>
                <w:sz w:val="20"/>
              </w:rPr>
            </w:pPr>
          </w:p>
        </w:tc>
        <w:tc>
          <w:tcPr>
            <w:tcW w:w="2458" w:type="dxa"/>
            <w:shd w:val="clear" w:color="auto" w:fill="auto"/>
          </w:tcPr>
          <w:p w14:paraId="71E171C7" w14:textId="77777777" w:rsidR="004249F6" w:rsidRPr="00A37420" w:rsidRDefault="004249F6" w:rsidP="004B59D6">
            <w:pPr>
              <w:pStyle w:val="Default"/>
              <w:rPr>
                <w:rFonts w:asciiTheme="minorHAnsi" w:hAnsiTheme="minorHAnsi" w:cstheme="minorHAnsi"/>
                <w:sz w:val="20"/>
              </w:rPr>
            </w:pPr>
            <w:r w:rsidRPr="00A37420">
              <w:rPr>
                <w:rFonts w:asciiTheme="minorHAnsi" w:eastAsia="Times New Roman" w:hAnsiTheme="minorHAnsi" w:cstheme="minorHAnsi"/>
                <w:iCs/>
                <w:noProof/>
                <w:sz w:val="20"/>
                <w:szCs w:val="20"/>
              </w:rPr>
              <w:t xml:space="preserve">027 </w:t>
            </w:r>
            <w:r w:rsidRPr="00A37420">
              <w:rPr>
                <w:rFonts w:asciiTheme="minorHAnsi" w:hAnsiTheme="minorHAnsi" w:cstheme="minorHAnsi"/>
                <w:sz w:val="20"/>
                <w:szCs w:val="20"/>
              </w:rPr>
              <w:t>Procesy innowacji w MŚP (innowacje w zakresie procesów, organizacji, marketingu, i współtworzenia, innowacje zorientowane na użytkownika i motywowane popytem)</w:t>
            </w:r>
          </w:p>
        </w:tc>
        <w:tc>
          <w:tcPr>
            <w:tcW w:w="1550" w:type="dxa"/>
            <w:tcBorders>
              <w:top w:val="nil"/>
              <w:left w:val="single" w:sz="4" w:space="0" w:color="auto"/>
              <w:bottom w:val="single" w:sz="4" w:space="0" w:color="auto"/>
              <w:right w:val="single" w:sz="4" w:space="0" w:color="auto"/>
            </w:tcBorders>
            <w:shd w:val="clear" w:color="auto" w:fill="auto"/>
            <w:vAlign w:val="center"/>
          </w:tcPr>
          <w:p w14:paraId="70D6D71A" w14:textId="51C18B31" w:rsidR="004249F6" w:rsidRPr="00A37420" w:rsidRDefault="004E6844"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400 000</w:t>
            </w:r>
          </w:p>
        </w:tc>
      </w:tr>
    </w:tbl>
    <w:p w14:paraId="0D8056C9" w14:textId="77777777" w:rsidR="00F10BC2" w:rsidRPr="00890249" w:rsidRDefault="00F10BC2" w:rsidP="009C0BDE">
      <w:pPr>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27"/>
        <w:gridCol w:w="1039"/>
        <w:gridCol w:w="1665"/>
        <w:gridCol w:w="1591"/>
        <w:gridCol w:w="1255"/>
        <w:gridCol w:w="1984"/>
      </w:tblGrid>
      <w:tr w:rsidR="004249F6" w:rsidRPr="00890249" w14:paraId="56443F04" w14:textId="77777777" w:rsidTr="004B59D6">
        <w:tc>
          <w:tcPr>
            <w:tcW w:w="9288" w:type="dxa"/>
            <w:gridSpan w:val="6"/>
            <w:shd w:val="clear" w:color="auto" w:fill="D9D9D9" w:themeFill="background1" w:themeFillShade="D9"/>
          </w:tcPr>
          <w:p w14:paraId="0F8E0436"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4249F6" w:rsidRPr="00890249" w14:paraId="727EE93B" w14:textId="77777777" w:rsidTr="004B59D6">
        <w:tc>
          <w:tcPr>
            <w:tcW w:w="1599" w:type="dxa"/>
            <w:shd w:val="clear" w:color="auto" w:fill="F2F2F2" w:themeFill="background1" w:themeFillShade="F2"/>
          </w:tcPr>
          <w:p w14:paraId="13326D86"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10A064D5"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7448E6D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2BCDA1E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0AC9BB78"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7829B12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3622B125" w14:textId="77777777" w:rsidTr="004B59D6">
        <w:tc>
          <w:tcPr>
            <w:tcW w:w="1599" w:type="dxa"/>
            <w:vMerge w:val="restart"/>
            <w:vAlign w:val="center"/>
          </w:tcPr>
          <w:p w14:paraId="09C66D34"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1</w:t>
            </w:r>
          </w:p>
        </w:tc>
        <w:tc>
          <w:tcPr>
            <w:tcW w:w="1061" w:type="dxa"/>
            <w:vMerge w:val="restart"/>
            <w:vAlign w:val="center"/>
          </w:tcPr>
          <w:p w14:paraId="1C58259B"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Merge w:val="restart"/>
            <w:vAlign w:val="center"/>
          </w:tcPr>
          <w:p w14:paraId="7CA76A3F" w14:textId="77777777" w:rsidR="004249F6" w:rsidRPr="00890249" w:rsidRDefault="004249F6" w:rsidP="004B59D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vMerge w:val="restart"/>
            <w:vAlign w:val="center"/>
          </w:tcPr>
          <w:p w14:paraId="3DA3E2E8"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(iii)</w:t>
            </w:r>
          </w:p>
        </w:tc>
        <w:tc>
          <w:tcPr>
            <w:tcW w:w="1053" w:type="dxa"/>
          </w:tcPr>
          <w:p w14:paraId="5344A709"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01 </w:t>
            </w:r>
            <w:r w:rsidRPr="00890249">
              <w:rPr>
                <w:rFonts w:asciiTheme="minorHAnsi" w:hAnsiTheme="minorHAnsi" w:cstheme="minorHAnsi"/>
                <w:sz w:val="20"/>
                <w:szCs w:val="20"/>
              </w:rPr>
              <w:t xml:space="preserve">Dotacja </w:t>
            </w:r>
          </w:p>
        </w:tc>
        <w:tc>
          <w:tcPr>
            <w:tcW w:w="2175" w:type="dxa"/>
          </w:tcPr>
          <w:p w14:paraId="0BC8EC6C" w14:textId="0905C074" w:rsidR="004249F6" w:rsidRPr="00890249" w:rsidRDefault="00A52F1E"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32 850 000</w:t>
            </w:r>
          </w:p>
        </w:tc>
      </w:tr>
      <w:tr w:rsidR="004249F6" w:rsidRPr="00890249" w14:paraId="7EFF32B7" w14:textId="77777777" w:rsidTr="004B59D6">
        <w:tc>
          <w:tcPr>
            <w:tcW w:w="1599" w:type="dxa"/>
            <w:vMerge/>
          </w:tcPr>
          <w:p w14:paraId="6BF29DF9" w14:textId="77777777" w:rsidR="004249F6" w:rsidRPr="00890249" w:rsidRDefault="004249F6" w:rsidP="004B59D6">
            <w:pPr>
              <w:jc w:val="center"/>
              <w:rPr>
                <w:rFonts w:asciiTheme="minorHAnsi" w:eastAsia="Times New Roman" w:hAnsiTheme="minorHAnsi" w:cstheme="minorHAnsi"/>
                <w:iCs/>
                <w:noProof/>
                <w:sz w:val="20"/>
              </w:rPr>
            </w:pPr>
          </w:p>
        </w:tc>
        <w:tc>
          <w:tcPr>
            <w:tcW w:w="1061" w:type="dxa"/>
            <w:vMerge/>
          </w:tcPr>
          <w:p w14:paraId="55A348E0" w14:textId="77777777" w:rsidR="004249F6" w:rsidRPr="00890249" w:rsidRDefault="004249F6" w:rsidP="004B59D6">
            <w:pPr>
              <w:jc w:val="center"/>
              <w:rPr>
                <w:rFonts w:asciiTheme="minorHAnsi" w:eastAsia="Times New Roman" w:hAnsiTheme="minorHAnsi" w:cstheme="minorHAnsi"/>
                <w:iCs/>
                <w:noProof/>
                <w:sz w:val="20"/>
              </w:rPr>
            </w:pPr>
          </w:p>
        </w:tc>
        <w:tc>
          <w:tcPr>
            <w:tcW w:w="1756" w:type="dxa"/>
            <w:vMerge/>
          </w:tcPr>
          <w:p w14:paraId="742F971C" w14:textId="77777777" w:rsidR="004249F6" w:rsidRPr="00890249" w:rsidRDefault="004249F6" w:rsidP="004B59D6">
            <w:pPr>
              <w:jc w:val="center"/>
              <w:rPr>
                <w:rFonts w:asciiTheme="minorHAnsi" w:eastAsia="Times New Roman" w:hAnsiTheme="minorHAnsi" w:cstheme="minorHAnsi"/>
                <w:iCs/>
                <w:noProof/>
                <w:sz w:val="20"/>
              </w:rPr>
            </w:pPr>
          </w:p>
        </w:tc>
        <w:tc>
          <w:tcPr>
            <w:tcW w:w="1644" w:type="dxa"/>
            <w:vMerge/>
            <w:vAlign w:val="center"/>
          </w:tcPr>
          <w:p w14:paraId="60C4EFED" w14:textId="77777777" w:rsidR="004249F6" w:rsidRPr="00890249" w:rsidRDefault="004249F6" w:rsidP="004B59D6">
            <w:pPr>
              <w:jc w:val="center"/>
              <w:rPr>
                <w:rFonts w:asciiTheme="minorHAnsi" w:eastAsia="Times New Roman" w:hAnsiTheme="minorHAnsi" w:cstheme="minorHAnsi"/>
                <w:iCs/>
                <w:noProof/>
                <w:sz w:val="20"/>
              </w:rPr>
            </w:pPr>
          </w:p>
        </w:tc>
        <w:tc>
          <w:tcPr>
            <w:tcW w:w="1053" w:type="dxa"/>
          </w:tcPr>
          <w:p w14:paraId="7E354085"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03 </w:t>
            </w:r>
            <w:r w:rsidRPr="00890249">
              <w:rPr>
                <w:rFonts w:asciiTheme="minorHAnsi" w:hAnsiTheme="minorHAnsi" w:cstheme="minorHAnsi"/>
                <w:sz w:val="20"/>
                <w:szCs w:val="20"/>
              </w:rPr>
              <w:t xml:space="preserve">Wsparcie poprzez instrumenty finansowe: pożyczka </w:t>
            </w:r>
          </w:p>
        </w:tc>
        <w:tc>
          <w:tcPr>
            <w:tcW w:w="2175" w:type="dxa"/>
          </w:tcPr>
          <w:p w14:paraId="5BF91DF5" w14:textId="3CB4D9F6" w:rsidR="004249F6" w:rsidRPr="00890249" w:rsidRDefault="004E6844"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21 850 000</w:t>
            </w:r>
          </w:p>
        </w:tc>
      </w:tr>
      <w:tr w:rsidR="004249F6" w:rsidRPr="00890249" w14:paraId="6AF7BC68" w14:textId="77777777" w:rsidTr="004B59D6">
        <w:tc>
          <w:tcPr>
            <w:tcW w:w="1599" w:type="dxa"/>
          </w:tcPr>
          <w:p w14:paraId="1F499A35" w14:textId="77777777" w:rsidR="004249F6" w:rsidRPr="00890249" w:rsidRDefault="004249F6" w:rsidP="004B59D6">
            <w:pPr>
              <w:jc w:val="center"/>
              <w:rPr>
                <w:rFonts w:asciiTheme="minorHAnsi" w:eastAsia="Times New Roman" w:hAnsiTheme="minorHAnsi" w:cstheme="minorHAnsi"/>
                <w:iCs/>
                <w:noProof/>
                <w:sz w:val="20"/>
              </w:rPr>
            </w:pPr>
          </w:p>
        </w:tc>
        <w:tc>
          <w:tcPr>
            <w:tcW w:w="1061" w:type="dxa"/>
          </w:tcPr>
          <w:p w14:paraId="65ADA351" w14:textId="77777777" w:rsidR="004249F6" w:rsidRPr="00890249" w:rsidRDefault="004249F6" w:rsidP="004B59D6">
            <w:pPr>
              <w:jc w:val="center"/>
              <w:rPr>
                <w:rFonts w:asciiTheme="minorHAnsi" w:eastAsia="Times New Roman" w:hAnsiTheme="minorHAnsi" w:cstheme="minorHAnsi"/>
                <w:iCs/>
                <w:noProof/>
                <w:sz w:val="20"/>
              </w:rPr>
            </w:pPr>
          </w:p>
        </w:tc>
        <w:tc>
          <w:tcPr>
            <w:tcW w:w="1756" w:type="dxa"/>
          </w:tcPr>
          <w:p w14:paraId="515F3FE1" w14:textId="77777777" w:rsidR="004249F6" w:rsidRPr="00890249" w:rsidRDefault="004249F6" w:rsidP="004B59D6">
            <w:pPr>
              <w:jc w:val="center"/>
              <w:rPr>
                <w:rFonts w:asciiTheme="minorHAnsi" w:eastAsia="Times New Roman" w:hAnsiTheme="minorHAnsi" w:cstheme="minorHAnsi"/>
                <w:iCs/>
                <w:noProof/>
                <w:sz w:val="20"/>
              </w:rPr>
            </w:pPr>
          </w:p>
        </w:tc>
        <w:tc>
          <w:tcPr>
            <w:tcW w:w="1644" w:type="dxa"/>
            <w:vAlign w:val="center"/>
          </w:tcPr>
          <w:p w14:paraId="4E227254" w14:textId="77777777" w:rsidR="004249F6" w:rsidRPr="00890249" w:rsidRDefault="004249F6" w:rsidP="004B59D6">
            <w:pPr>
              <w:jc w:val="center"/>
              <w:rPr>
                <w:rFonts w:asciiTheme="minorHAnsi" w:eastAsia="Times New Roman" w:hAnsiTheme="minorHAnsi" w:cstheme="minorHAnsi"/>
                <w:iCs/>
                <w:noProof/>
                <w:sz w:val="20"/>
              </w:rPr>
            </w:pPr>
          </w:p>
        </w:tc>
        <w:tc>
          <w:tcPr>
            <w:tcW w:w="1053" w:type="dxa"/>
          </w:tcPr>
          <w:p w14:paraId="1A88E752"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05 </w:t>
            </w:r>
            <w:r w:rsidRPr="00890249">
              <w:rPr>
                <w:rFonts w:asciiTheme="minorHAnsi" w:hAnsiTheme="minorHAnsi" w:cstheme="minorHAnsi"/>
                <w:sz w:val="20"/>
                <w:szCs w:val="20"/>
              </w:rPr>
              <w:t xml:space="preserve">Wsparcie poprzez instrumenty finansowe: dotacje w ramach operacji instrumentu finansowego </w:t>
            </w:r>
          </w:p>
        </w:tc>
        <w:tc>
          <w:tcPr>
            <w:tcW w:w="2175" w:type="dxa"/>
          </w:tcPr>
          <w:p w14:paraId="111EF05C" w14:textId="6495882E" w:rsidR="004249F6" w:rsidRPr="00890249" w:rsidRDefault="00723BB5" w:rsidP="004B59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2 450 000</w:t>
            </w:r>
          </w:p>
        </w:tc>
      </w:tr>
    </w:tbl>
    <w:p w14:paraId="3D03CA75" w14:textId="77777777" w:rsidR="004249F6" w:rsidRPr="00890249" w:rsidRDefault="004249F6" w:rsidP="009C0BDE">
      <w:pPr>
        <w:rPr>
          <w:rFonts w:asciiTheme="minorHAnsi" w:hAnsiTheme="minorHAnsi" w:cstheme="minorHAnsi"/>
          <w:b/>
          <w:noProof/>
          <w:color w:val="FF0000"/>
          <w:sz w:val="22"/>
          <w:szCs w:val="22"/>
        </w:rPr>
      </w:pPr>
    </w:p>
    <w:tbl>
      <w:tblPr>
        <w:tblStyle w:val="Tabela-Siatka4"/>
        <w:tblW w:w="0" w:type="auto"/>
        <w:tblLook w:val="04A0" w:firstRow="1" w:lastRow="0" w:firstColumn="1" w:lastColumn="0" w:noHBand="0" w:noVBand="1"/>
      </w:tblPr>
      <w:tblGrid>
        <w:gridCol w:w="1483"/>
        <w:gridCol w:w="1025"/>
        <w:gridCol w:w="1609"/>
        <w:gridCol w:w="1558"/>
        <w:gridCol w:w="1520"/>
        <w:gridCol w:w="1866"/>
      </w:tblGrid>
      <w:tr w:rsidR="004249F6" w:rsidRPr="00890249" w14:paraId="606105EF" w14:textId="77777777" w:rsidTr="004B59D6">
        <w:tc>
          <w:tcPr>
            <w:tcW w:w="9288" w:type="dxa"/>
            <w:gridSpan w:val="6"/>
            <w:shd w:val="clear" w:color="auto" w:fill="D9D9D9" w:themeFill="background1" w:themeFillShade="D9"/>
          </w:tcPr>
          <w:p w14:paraId="557ABAE7" w14:textId="745BE996"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F17884">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4249F6" w:rsidRPr="00890249" w14:paraId="363BDD8A" w14:textId="77777777" w:rsidTr="004B59D6">
        <w:tc>
          <w:tcPr>
            <w:tcW w:w="1599" w:type="dxa"/>
            <w:shd w:val="clear" w:color="auto" w:fill="F2F2F2" w:themeFill="background1" w:themeFillShade="F2"/>
          </w:tcPr>
          <w:p w14:paraId="052D8FBF"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3FF057C5"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0264020D"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51AF6C43"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51D92161"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11E26B52"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47DF968C" w14:textId="77777777" w:rsidTr="004B59D6">
        <w:tc>
          <w:tcPr>
            <w:tcW w:w="1599" w:type="dxa"/>
            <w:vAlign w:val="center"/>
          </w:tcPr>
          <w:p w14:paraId="31AECC2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1</w:t>
            </w:r>
          </w:p>
        </w:tc>
        <w:tc>
          <w:tcPr>
            <w:tcW w:w="1061" w:type="dxa"/>
            <w:vAlign w:val="center"/>
          </w:tcPr>
          <w:p w14:paraId="19DBBA69"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1D8AFC61"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644" w:type="dxa"/>
          </w:tcPr>
          <w:p w14:paraId="7800CB7C"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(iii)</w:t>
            </w:r>
          </w:p>
        </w:tc>
        <w:tc>
          <w:tcPr>
            <w:tcW w:w="1053" w:type="dxa"/>
          </w:tcPr>
          <w:p w14:paraId="518B415E" w14:textId="77777777" w:rsidR="004249F6" w:rsidRPr="00890249" w:rsidRDefault="004249F6" w:rsidP="004B59D6">
            <w:pPr>
              <w:pStyle w:val="Default"/>
              <w:rPr>
                <w:rFonts w:asciiTheme="minorHAnsi" w:hAnsiTheme="minorHAnsi" w:cstheme="minorHAnsi"/>
                <w:sz w:val="20"/>
              </w:rPr>
            </w:pPr>
            <w:r w:rsidRPr="00890249">
              <w:rPr>
                <w:rFonts w:asciiTheme="minorHAnsi" w:eastAsia="Times New Roman" w:hAnsiTheme="minorHAnsi" w:cstheme="minorHAnsi"/>
                <w:b/>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175" w:type="dxa"/>
          </w:tcPr>
          <w:p w14:paraId="66578D96" w14:textId="051D0374" w:rsidR="004249F6" w:rsidRPr="00F62734" w:rsidRDefault="00A52F1E" w:rsidP="004B59D6">
            <w:pPr>
              <w:jc w:val="right"/>
              <w:rPr>
                <w:rFonts w:asciiTheme="minorHAnsi" w:eastAsia="Times New Roman" w:hAnsiTheme="minorHAnsi" w:cstheme="minorHAnsi"/>
                <w:bCs/>
                <w:iCs/>
                <w:noProof/>
                <w:sz w:val="20"/>
              </w:rPr>
            </w:pPr>
            <w:r>
              <w:rPr>
                <w:rFonts w:asciiTheme="minorHAnsi" w:eastAsia="Times New Roman" w:hAnsiTheme="minorHAnsi" w:cstheme="minorHAnsi"/>
                <w:bCs/>
                <w:iCs/>
                <w:noProof/>
                <w:sz w:val="20"/>
              </w:rPr>
              <w:t>57 150 000</w:t>
            </w:r>
          </w:p>
        </w:tc>
      </w:tr>
    </w:tbl>
    <w:p w14:paraId="679F57A4" w14:textId="77777777" w:rsidR="004249F6" w:rsidRPr="00890249" w:rsidRDefault="004249F6" w:rsidP="009C0BDE">
      <w:pPr>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4249F6" w:rsidRPr="00890249" w14:paraId="72AEEF33" w14:textId="77777777" w:rsidTr="004B59D6">
        <w:tc>
          <w:tcPr>
            <w:tcW w:w="9288" w:type="dxa"/>
            <w:gridSpan w:val="6"/>
            <w:shd w:val="clear" w:color="auto" w:fill="D9D9D9" w:themeFill="background1" w:themeFillShade="D9"/>
          </w:tcPr>
          <w:p w14:paraId="66F22629"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obszary tematyczne EFS+</w:t>
            </w:r>
          </w:p>
        </w:tc>
      </w:tr>
      <w:tr w:rsidR="004249F6" w:rsidRPr="00890249" w14:paraId="3DA6296C" w14:textId="77777777" w:rsidTr="004B59D6">
        <w:tc>
          <w:tcPr>
            <w:tcW w:w="1599" w:type="dxa"/>
            <w:shd w:val="clear" w:color="auto" w:fill="F2F2F2" w:themeFill="background1" w:themeFillShade="F2"/>
          </w:tcPr>
          <w:p w14:paraId="3C1B5E7B"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01045E58"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1FA3F84A"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7078E9B3"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69AA73EB"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B2DF894" w14:textId="77777777" w:rsidR="004249F6" w:rsidRPr="00890249" w:rsidRDefault="004249F6" w:rsidP="004B59D6">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249F6" w:rsidRPr="00890249" w14:paraId="392926FE" w14:textId="77777777" w:rsidTr="004B59D6">
        <w:tc>
          <w:tcPr>
            <w:tcW w:w="1599" w:type="dxa"/>
            <w:vAlign w:val="center"/>
          </w:tcPr>
          <w:p w14:paraId="2A8FDE0A"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1</w:t>
            </w:r>
          </w:p>
        </w:tc>
        <w:tc>
          <w:tcPr>
            <w:tcW w:w="1061" w:type="dxa"/>
            <w:vAlign w:val="center"/>
          </w:tcPr>
          <w:p w14:paraId="6C45FC3F"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53EAFC30"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644" w:type="dxa"/>
          </w:tcPr>
          <w:p w14:paraId="78D9AEA7"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520E281D"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0425CCA9" w14:textId="77777777" w:rsidR="004249F6" w:rsidRPr="00890249" w:rsidRDefault="004249F6" w:rsidP="004B59D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7AC9AF91" w14:textId="77777777" w:rsidR="004249F6" w:rsidRPr="00890249" w:rsidRDefault="004249F6" w:rsidP="009C0BDE">
      <w:pPr>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4249F6" w:rsidRPr="00890249" w14:paraId="7E6B5D1B" w14:textId="77777777" w:rsidTr="004B59D6">
        <w:tc>
          <w:tcPr>
            <w:tcW w:w="9322" w:type="dxa"/>
            <w:gridSpan w:val="6"/>
            <w:shd w:val="clear" w:color="auto" w:fill="D9D9D9" w:themeFill="background1" w:themeFillShade="D9"/>
          </w:tcPr>
          <w:p w14:paraId="266150F4" w14:textId="77777777" w:rsidR="004249F6" w:rsidRPr="00890249" w:rsidRDefault="004249F6" w:rsidP="004B59D6">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4249F6" w:rsidRPr="00890249" w14:paraId="5806959A" w14:textId="77777777" w:rsidTr="004B59D6">
        <w:tc>
          <w:tcPr>
            <w:tcW w:w="1570" w:type="dxa"/>
            <w:shd w:val="clear" w:color="auto" w:fill="F2F2F2" w:themeFill="background1" w:themeFillShade="F2"/>
          </w:tcPr>
          <w:p w14:paraId="77DFC50C"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5E976175"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7082A855"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5F80B51F"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67B143FF"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168A7065" w14:textId="77777777" w:rsidR="004249F6" w:rsidRPr="00890249" w:rsidRDefault="004249F6" w:rsidP="004B59D6">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4249F6" w:rsidRPr="00890249" w14:paraId="7B963A7F" w14:textId="77777777" w:rsidTr="004B59D6">
        <w:tc>
          <w:tcPr>
            <w:tcW w:w="1570" w:type="dxa"/>
            <w:vAlign w:val="center"/>
          </w:tcPr>
          <w:p w14:paraId="0FA616A8" w14:textId="77777777" w:rsidR="004249F6" w:rsidRPr="00890249" w:rsidRDefault="004249F6" w:rsidP="004B59D6">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1</w:t>
            </w:r>
          </w:p>
        </w:tc>
        <w:tc>
          <w:tcPr>
            <w:tcW w:w="1360" w:type="dxa"/>
            <w:vAlign w:val="center"/>
          </w:tcPr>
          <w:p w14:paraId="71BFD91C" w14:textId="77777777" w:rsidR="004249F6" w:rsidRPr="00890249" w:rsidRDefault="004249F6" w:rsidP="004B59D6">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67F8FC35" w14:textId="77777777" w:rsidR="004249F6" w:rsidRPr="00890249" w:rsidRDefault="004249F6" w:rsidP="004B59D6">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rozwinięte</w:t>
            </w:r>
          </w:p>
        </w:tc>
        <w:tc>
          <w:tcPr>
            <w:tcW w:w="1628" w:type="dxa"/>
            <w:shd w:val="clear" w:color="auto" w:fill="auto"/>
            <w:vAlign w:val="center"/>
          </w:tcPr>
          <w:p w14:paraId="55F072F7" w14:textId="77777777" w:rsidR="004249F6" w:rsidRPr="00890249" w:rsidRDefault="004249F6" w:rsidP="004B59D6">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(iii)</w:t>
            </w:r>
          </w:p>
        </w:tc>
        <w:tc>
          <w:tcPr>
            <w:tcW w:w="1026" w:type="dxa"/>
            <w:shd w:val="clear" w:color="auto" w:fill="auto"/>
            <w:vAlign w:val="center"/>
          </w:tcPr>
          <w:p w14:paraId="04775549" w14:textId="7DD32D5D" w:rsidR="004249F6" w:rsidRPr="00890249" w:rsidRDefault="002F0631" w:rsidP="004B59D6">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710F860B" w14:textId="15EF94F0" w:rsidR="004249F6" w:rsidRPr="00890249" w:rsidRDefault="00A52F1E" w:rsidP="000528DA">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57 150 000</w:t>
            </w:r>
          </w:p>
        </w:tc>
      </w:tr>
    </w:tbl>
    <w:p w14:paraId="3EC9E78C" w14:textId="77777777" w:rsidR="0076486A" w:rsidRPr="00890249" w:rsidRDefault="0076486A" w:rsidP="003E363A">
      <w:pPr>
        <w:spacing w:before="0" w:after="160" w:line="259" w:lineRule="auto"/>
        <w:jc w:val="left"/>
        <w:rPr>
          <w:rFonts w:asciiTheme="minorHAnsi" w:hAnsiTheme="minorHAnsi" w:cstheme="minorHAnsi"/>
          <w:b/>
          <w:noProof/>
          <w:color w:val="FF0000"/>
          <w:sz w:val="22"/>
          <w:szCs w:val="22"/>
        </w:rPr>
      </w:pPr>
    </w:p>
    <w:p w14:paraId="62C4C504" w14:textId="77777777" w:rsidR="009C0BDE" w:rsidRPr="00890249" w:rsidRDefault="0076486A" w:rsidP="003E363A">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2C393407" w14:textId="12A951A9" w:rsidR="00A37420" w:rsidRDefault="00A37420" w:rsidP="00E71C32">
      <w:pPr>
        <w:spacing w:before="0" w:after="160" w:line="259" w:lineRule="auto"/>
        <w:jc w:val="left"/>
        <w:rPr>
          <w:rFonts w:asciiTheme="minorHAnsi" w:hAnsiTheme="minorHAnsi" w:cstheme="minorHAnsi"/>
        </w:rPr>
      </w:pPr>
    </w:p>
    <w:p w14:paraId="2037AB0A" w14:textId="37A23584" w:rsidR="009E79E4" w:rsidRPr="00890249" w:rsidRDefault="00A37420" w:rsidP="00E71C32">
      <w:pPr>
        <w:spacing w:before="0" w:after="160" w:line="259" w:lineRule="auto"/>
        <w:jc w:val="left"/>
        <w:rPr>
          <w:rFonts w:asciiTheme="minorHAnsi" w:hAnsiTheme="minorHAnsi" w:cstheme="minorHAnsi"/>
        </w:rPr>
      </w:pPr>
      <w:r>
        <w:rPr>
          <w:rFonts w:asciiTheme="minorHAnsi" w:hAnsiTheme="minorHAnsi" w:cstheme="minorHAnsi"/>
        </w:rPr>
        <w:br w:type="page"/>
      </w:r>
    </w:p>
    <w:p w14:paraId="298DAA3D" w14:textId="76D1EC6E" w:rsidR="00C936C0" w:rsidRPr="00890249" w:rsidRDefault="00C936C0" w:rsidP="00AC1BD0">
      <w:pPr>
        <w:pStyle w:val="Nagwek3"/>
        <w:ind w:left="709" w:hanging="709"/>
        <w:rPr>
          <w:rFonts w:eastAsia="Calibri"/>
        </w:rPr>
      </w:pPr>
      <w:bookmarkStart w:id="13" w:name="_Toc188266909"/>
      <w:r w:rsidRPr="00890249">
        <w:rPr>
          <w:rFonts w:eastAsia="Calibri"/>
        </w:rPr>
        <w:lastRenderedPageBreak/>
        <w:t>2.</w:t>
      </w:r>
      <w:r w:rsidR="00485639" w:rsidRPr="00890249">
        <w:rPr>
          <w:rFonts w:eastAsia="Calibri"/>
        </w:rPr>
        <w:t>1.</w:t>
      </w:r>
      <w:r w:rsidRPr="00890249">
        <w:rPr>
          <w:rFonts w:eastAsia="Calibri"/>
        </w:rPr>
        <w:t xml:space="preserve">2 </w:t>
      </w:r>
      <w:r w:rsidR="00602A57" w:rsidRPr="00890249">
        <w:rPr>
          <w:rFonts w:eastAsia="Calibri"/>
        </w:rPr>
        <w:t xml:space="preserve">FUNDUSZE EUROPEJSKIE DLA CZYSTEJ ENERGII I OCHRONY </w:t>
      </w:r>
      <w:r w:rsidR="00A93A75" w:rsidRPr="00890249">
        <w:rPr>
          <w:rFonts w:eastAsia="Calibri"/>
        </w:rPr>
        <w:t>ŚRODOWISKA</w:t>
      </w:r>
      <w:r w:rsidR="00BD5B07" w:rsidRPr="00890249">
        <w:rPr>
          <w:rFonts w:eastAsia="Calibri"/>
        </w:rPr>
        <w:t xml:space="preserve"> NATURALNEGO W</w:t>
      </w:r>
      <w:r w:rsidR="00A93A75" w:rsidRPr="00890249">
        <w:rPr>
          <w:rFonts w:eastAsia="Calibri"/>
        </w:rPr>
        <w:t xml:space="preserve"> </w:t>
      </w:r>
      <w:r w:rsidR="00BD5B07" w:rsidRPr="00890249">
        <w:rPr>
          <w:rFonts w:eastAsia="Calibri"/>
        </w:rPr>
        <w:t xml:space="preserve">WOJEWÓDZTWIE </w:t>
      </w:r>
      <w:r w:rsidR="00A93A75" w:rsidRPr="00890249">
        <w:rPr>
          <w:rFonts w:eastAsia="Calibri"/>
        </w:rPr>
        <w:t>OPOLSKI</w:t>
      </w:r>
      <w:r w:rsidR="00BD5B07" w:rsidRPr="00890249">
        <w:rPr>
          <w:rFonts w:eastAsia="Calibri"/>
        </w:rPr>
        <w:t>M</w:t>
      </w:r>
      <w:bookmarkEnd w:id="13"/>
    </w:p>
    <w:tbl>
      <w:tblPr>
        <w:tblW w:w="9322" w:type="dxa"/>
        <w:tblLook w:val="04A0" w:firstRow="1" w:lastRow="0" w:firstColumn="1" w:lastColumn="0" w:noHBand="0" w:noVBand="1"/>
      </w:tblPr>
      <w:tblGrid>
        <w:gridCol w:w="9322"/>
      </w:tblGrid>
      <w:tr w:rsidR="00066917" w:rsidRPr="00890249" w14:paraId="41B15ABA" w14:textId="77777777" w:rsidTr="00A04157">
        <w:tc>
          <w:tcPr>
            <w:tcW w:w="9322" w:type="dxa"/>
          </w:tcPr>
          <w:p w14:paraId="3AC8BAC1" w14:textId="77777777" w:rsidR="00066917" w:rsidRPr="00890249" w:rsidRDefault="00875C92" w:rsidP="00066917">
            <w:pPr>
              <w:spacing w:before="0" w:after="40"/>
              <w:jc w:val="left"/>
              <w:rPr>
                <w:rFonts w:asciiTheme="minorHAnsi" w:hAnsiTheme="minorHAnsi" w:cstheme="minorHAnsi"/>
                <w:noProof/>
                <w:sz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066917"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66917" w:rsidRPr="00890249">
              <w:rPr>
                <w:rFonts w:asciiTheme="minorHAnsi" w:hAnsiTheme="minorHAnsi" w:cstheme="minorHAnsi"/>
                <w:noProof/>
                <w:sz w:val="20"/>
                <w:szCs w:val="22"/>
              </w:rPr>
              <w:t xml:space="preserve"> Ten priorytet dotyczy zatrudnienia ludzi młodych</w:t>
            </w:r>
          </w:p>
        </w:tc>
      </w:tr>
      <w:tr w:rsidR="00066917" w:rsidRPr="00890249" w14:paraId="2B3B0D68" w14:textId="77777777" w:rsidTr="00A04157">
        <w:tc>
          <w:tcPr>
            <w:tcW w:w="9322" w:type="dxa"/>
          </w:tcPr>
          <w:p w14:paraId="4BF25887" w14:textId="77777777" w:rsidR="00066917" w:rsidRPr="00890249" w:rsidRDefault="00875C92" w:rsidP="00066917">
            <w:pPr>
              <w:spacing w:before="0" w:after="4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66917"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66917" w:rsidRPr="00890249">
              <w:rPr>
                <w:rFonts w:asciiTheme="minorHAnsi" w:hAnsiTheme="minorHAnsi" w:cstheme="minorHAnsi"/>
                <w:noProof/>
                <w:sz w:val="20"/>
                <w:szCs w:val="22"/>
              </w:rPr>
              <w:t xml:space="preserve"> Ten priorytet dotyczy inowacyjnych działań społecznych</w:t>
            </w:r>
          </w:p>
        </w:tc>
      </w:tr>
      <w:tr w:rsidR="00066917" w:rsidRPr="00890249" w14:paraId="6A3F698D" w14:textId="77777777" w:rsidTr="00A04157">
        <w:tc>
          <w:tcPr>
            <w:tcW w:w="9322" w:type="dxa"/>
          </w:tcPr>
          <w:p w14:paraId="137E2ADF" w14:textId="77777777" w:rsidR="00066917" w:rsidRPr="00890249" w:rsidRDefault="00875C92" w:rsidP="00066917">
            <w:pPr>
              <w:spacing w:before="0" w:after="4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66917"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66917"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m) rozporządzenia w sprawie EFS+</w:t>
            </w:r>
          </w:p>
        </w:tc>
      </w:tr>
      <w:tr w:rsidR="00066917" w:rsidRPr="00890249" w14:paraId="060A2B67" w14:textId="77777777" w:rsidTr="00066917">
        <w:trPr>
          <w:trHeight w:val="80"/>
        </w:trPr>
        <w:tc>
          <w:tcPr>
            <w:tcW w:w="9322" w:type="dxa"/>
          </w:tcPr>
          <w:p w14:paraId="1DC13D70" w14:textId="77777777" w:rsidR="00066917" w:rsidRPr="00890249" w:rsidRDefault="00875C92" w:rsidP="00066917">
            <w:pPr>
              <w:spacing w:before="0" w:after="4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66917"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66917"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195EA4CB" w14:textId="77777777" w:rsidR="00066917" w:rsidRPr="00890249" w:rsidRDefault="00875C92" w:rsidP="00066917">
            <w:pPr>
              <w:spacing w:before="0" w:after="4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66917"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66917"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5EE4AE93" w14:textId="77777777" w:rsidR="00066917" w:rsidRPr="00890249" w:rsidRDefault="00875C92" w:rsidP="00066917">
            <w:pPr>
              <w:spacing w:before="0" w:after="4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66917"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66917"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0B2DB307" w14:textId="77777777" w:rsidR="0075668B" w:rsidRPr="00890249" w:rsidRDefault="0075668B" w:rsidP="0075668B">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t>2.1.2.1 (i) Cel szczegółowy</w:t>
      </w:r>
    </w:p>
    <w:p w14:paraId="7339BAF4" w14:textId="77777777" w:rsidR="0075668B" w:rsidRPr="00890249" w:rsidRDefault="0075668B" w:rsidP="0075668B">
      <w:pPr>
        <w:rPr>
          <w:rFonts w:asciiTheme="minorHAnsi" w:hAnsiTheme="minorHAnsi" w:cstheme="minorHAnsi"/>
          <w:b/>
          <w:i/>
          <w:noProof/>
          <w:color w:val="2F5496" w:themeColor="accent5" w:themeShade="BF"/>
          <w:sz w:val="22"/>
        </w:rPr>
      </w:pPr>
      <w:r w:rsidRPr="00890249">
        <w:rPr>
          <w:rFonts w:asciiTheme="minorHAnsi" w:hAnsiTheme="minorHAnsi" w:cstheme="minorHAnsi"/>
          <w:b/>
          <w:noProof/>
          <w:color w:val="2F5496" w:themeColor="accent5" w:themeShade="BF"/>
          <w:sz w:val="22"/>
        </w:rPr>
        <w:t xml:space="preserve">(i) </w:t>
      </w:r>
      <w:r w:rsidRPr="00890249">
        <w:rPr>
          <w:rFonts w:asciiTheme="minorHAnsi" w:hAnsiTheme="minorHAnsi" w:cstheme="minorHAnsi"/>
          <w:b/>
          <w:noProof/>
          <w:color w:val="2F5496" w:themeColor="accent5" w:themeShade="BF"/>
        </w:rPr>
        <w:t>Wspieranie efektywności energetycznej i redukcji emisji gazów cieplarnianych</w:t>
      </w:r>
    </w:p>
    <w:p w14:paraId="08C61150" w14:textId="77777777" w:rsidR="0075668B" w:rsidRPr="00890249" w:rsidRDefault="0075668B" w:rsidP="0075668B">
      <w:pPr>
        <w:spacing w:before="240" w:after="240"/>
        <w:rPr>
          <w:rFonts w:asciiTheme="minorHAnsi" w:hAnsiTheme="minorHAnsi" w:cstheme="minorHAnsi"/>
          <w:b/>
          <w:noProof/>
          <w:sz w:val="22"/>
        </w:rPr>
      </w:pPr>
      <w:r w:rsidRPr="00890249">
        <w:rPr>
          <w:rFonts w:asciiTheme="minorHAnsi" w:hAnsiTheme="minorHAnsi" w:cstheme="minorHAnsi"/>
          <w:b/>
          <w:noProof/>
          <w:sz w:val="22"/>
        </w:rPr>
        <w:t>2.1.2.1.1 (i) Interwencje w ramach funduszy</w:t>
      </w:r>
    </w:p>
    <w:p w14:paraId="3192E87B" w14:textId="77777777" w:rsidR="0075668B" w:rsidRPr="00890249" w:rsidRDefault="0075668B" w:rsidP="0075668B">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Powiązane rodzaje działań </w:t>
      </w:r>
    </w:p>
    <w:p w14:paraId="14544E1C" w14:textId="44391E94" w:rsidR="0093433C" w:rsidRPr="00890249" w:rsidRDefault="001A2F7E"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 xml:space="preserve">Najważniejszym celem planowanej interwencji </w:t>
      </w:r>
      <w:r w:rsidR="00336ED3" w:rsidRPr="00890249">
        <w:rPr>
          <w:rFonts w:asciiTheme="minorHAnsi" w:hAnsiTheme="minorHAnsi" w:cstheme="minorHAnsi"/>
          <w:noProof/>
          <w:sz w:val="22"/>
          <w:szCs w:val="22"/>
        </w:rPr>
        <w:t>w ramach cs</w:t>
      </w:r>
      <w:r w:rsidR="00963835" w:rsidRPr="00890249">
        <w:rPr>
          <w:rFonts w:asciiTheme="minorHAnsi" w:hAnsiTheme="minorHAnsi" w:cstheme="minorHAnsi"/>
          <w:noProof/>
          <w:sz w:val="22"/>
          <w:szCs w:val="22"/>
        </w:rPr>
        <w:t xml:space="preserve"> </w:t>
      </w:r>
      <w:r w:rsidR="00336ED3" w:rsidRPr="00890249">
        <w:rPr>
          <w:rFonts w:asciiTheme="minorHAnsi" w:hAnsiTheme="minorHAnsi" w:cstheme="minorHAnsi"/>
          <w:noProof/>
          <w:sz w:val="22"/>
          <w:szCs w:val="22"/>
        </w:rPr>
        <w:t xml:space="preserve">(i) </w:t>
      </w:r>
      <w:r w:rsidRPr="00890249">
        <w:rPr>
          <w:rFonts w:asciiTheme="minorHAnsi" w:hAnsiTheme="minorHAnsi" w:cstheme="minorHAnsi"/>
          <w:noProof/>
          <w:sz w:val="22"/>
          <w:szCs w:val="22"/>
        </w:rPr>
        <w:t xml:space="preserve">jest zmniejszenie zapotrzebowania na wytwarzanie energii elektrycznej i ciepła poprzez zastosowanie energooszczędnych technologii, wprowadzenie lub usprawnienie systemów zarządzania energią oraz przeprowadzenie termomodernizacji energetycznej budynków wraz z wymianą systemów ogrzewania na niskoemisyjne źródła ciepła, w tym również z wykorzystaniem instalacji OZE. Inwestycje w tym zakresie </w:t>
      </w:r>
      <w:r w:rsidR="00F13E6A" w:rsidRPr="00890249">
        <w:rPr>
          <w:rFonts w:asciiTheme="minorHAnsi" w:hAnsiTheme="minorHAnsi" w:cstheme="minorHAnsi"/>
          <w:noProof/>
          <w:sz w:val="22"/>
          <w:szCs w:val="22"/>
        </w:rPr>
        <w:t xml:space="preserve">przyczynią się do redukcji emisji gazów cieplarnianych oraz zmniejszenia ubóstwa energetycznego. </w:t>
      </w:r>
      <w:r w:rsidR="006A6C7A" w:rsidRPr="00890249">
        <w:rPr>
          <w:rFonts w:asciiTheme="minorHAnsi" w:hAnsiTheme="minorHAnsi" w:cstheme="minorHAnsi"/>
          <w:noProof/>
          <w:sz w:val="22"/>
          <w:szCs w:val="22"/>
        </w:rPr>
        <w:t xml:space="preserve">Elementem </w:t>
      </w:r>
      <w:r w:rsidR="00EF1C9B" w:rsidRPr="00890249">
        <w:rPr>
          <w:rFonts w:asciiTheme="minorHAnsi" w:hAnsiTheme="minorHAnsi" w:cstheme="minorHAnsi"/>
          <w:noProof/>
          <w:sz w:val="22"/>
          <w:szCs w:val="22"/>
        </w:rPr>
        <w:t>dopełniaj</w:t>
      </w:r>
      <w:r w:rsidR="002C621B" w:rsidRPr="00890249">
        <w:rPr>
          <w:rFonts w:asciiTheme="minorHAnsi" w:hAnsiTheme="minorHAnsi" w:cstheme="minorHAnsi"/>
          <w:noProof/>
          <w:sz w:val="22"/>
          <w:szCs w:val="22"/>
        </w:rPr>
        <w:t>ą</w:t>
      </w:r>
      <w:r w:rsidR="00EF1C9B" w:rsidRPr="00890249">
        <w:rPr>
          <w:rFonts w:asciiTheme="minorHAnsi" w:hAnsiTheme="minorHAnsi" w:cstheme="minorHAnsi"/>
          <w:noProof/>
          <w:sz w:val="22"/>
          <w:szCs w:val="22"/>
        </w:rPr>
        <w:t>cym</w:t>
      </w:r>
      <w:r w:rsidR="006A6C7A" w:rsidRPr="00890249">
        <w:rPr>
          <w:rFonts w:asciiTheme="minorHAnsi" w:hAnsiTheme="minorHAnsi" w:cstheme="minorHAnsi"/>
          <w:noProof/>
          <w:sz w:val="22"/>
          <w:szCs w:val="22"/>
        </w:rPr>
        <w:t xml:space="preserve"> powyższy </w:t>
      </w:r>
      <w:r w:rsidR="00F128D5" w:rsidRPr="00890249">
        <w:rPr>
          <w:rFonts w:asciiTheme="minorHAnsi" w:hAnsiTheme="minorHAnsi" w:cstheme="minorHAnsi"/>
          <w:noProof/>
          <w:sz w:val="22"/>
          <w:szCs w:val="22"/>
        </w:rPr>
        <w:t xml:space="preserve">zakres </w:t>
      </w:r>
      <w:r w:rsidR="006A6C7A" w:rsidRPr="00890249">
        <w:rPr>
          <w:rFonts w:asciiTheme="minorHAnsi" w:hAnsiTheme="minorHAnsi" w:cstheme="minorHAnsi"/>
          <w:noProof/>
          <w:sz w:val="22"/>
          <w:szCs w:val="22"/>
        </w:rPr>
        <w:t xml:space="preserve">będą </w:t>
      </w:r>
      <w:r w:rsidR="00451353" w:rsidRPr="00890249">
        <w:rPr>
          <w:rFonts w:asciiTheme="minorHAnsi" w:hAnsiTheme="minorHAnsi" w:cstheme="minorHAnsi"/>
          <w:noProof/>
          <w:sz w:val="22"/>
          <w:szCs w:val="22"/>
        </w:rPr>
        <w:t xml:space="preserve">samodzielne </w:t>
      </w:r>
      <w:r w:rsidR="006A6C7A" w:rsidRPr="00890249">
        <w:rPr>
          <w:rFonts w:asciiTheme="minorHAnsi" w:hAnsiTheme="minorHAnsi" w:cstheme="minorHAnsi"/>
          <w:noProof/>
          <w:sz w:val="22"/>
          <w:szCs w:val="22"/>
        </w:rPr>
        <w:t>projekty mające na celu promowanie działań wynika</w:t>
      </w:r>
      <w:r w:rsidR="003305FF" w:rsidRPr="00890249">
        <w:rPr>
          <w:rFonts w:asciiTheme="minorHAnsi" w:hAnsiTheme="minorHAnsi" w:cstheme="minorHAnsi"/>
          <w:noProof/>
          <w:sz w:val="22"/>
          <w:szCs w:val="22"/>
        </w:rPr>
        <w:t>jących z uchwał antysmogowych i </w:t>
      </w:r>
      <w:r w:rsidR="006A6C7A" w:rsidRPr="00890249">
        <w:rPr>
          <w:rFonts w:asciiTheme="minorHAnsi" w:hAnsiTheme="minorHAnsi" w:cstheme="minorHAnsi"/>
          <w:noProof/>
          <w:sz w:val="22"/>
          <w:szCs w:val="22"/>
        </w:rPr>
        <w:t>programów ochrony powietrza realizowanych na terenie wojew</w:t>
      </w:r>
      <w:r w:rsidR="00F128D5" w:rsidRPr="00890249">
        <w:rPr>
          <w:rFonts w:asciiTheme="minorHAnsi" w:hAnsiTheme="minorHAnsi" w:cstheme="minorHAnsi"/>
          <w:noProof/>
          <w:sz w:val="22"/>
          <w:szCs w:val="22"/>
        </w:rPr>
        <w:t xml:space="preserve">ództwa, jak </w:t>
      </w:r>
      <w:r w:rsidR="00EF1C9B" w:rsidRPr="00890249">
        <w:rPr>
          <w:rFonts w:asciiTheme="minorHAnsi" w:hAnsiTheme="minorHAnsi" w:cstheme="minorHAnsi"/>
          <w:noProof/>
          <w:sz w:val="22"/>
          <w:szCs w:val="22"/>
        </w:rPr>
        <w:t>r</w:t>
      </w:r>
      <w:r w:rsidR="00F128D5" w:rsidRPr="00890249">
        <w:rPr>
          <w:rFonts w:asciiTheme="minorHAnsi" w:hAnsiTheme="minorHAnsi" w:cstheme="minorHAnsi"/>
          <w:noProof/>
          <w:sz w:val="22"/>
          <w:szCs w:val="22"/>
        </w:rPr>
        <w:t>ównież</w:t>
      </w:r>
      <w:r w:rsidR="00EF1C9B" w:rsidRPr="00890249">
        <w:rPr>
          <w:rFonts w:asciiTheme="minorHAnsi" w:hAnsiTheme="minorHAnsi" w:cstheme="minorHAnsi"/>
          <w:noProof/>
          <w:sz w:val="22"/>
          <w:szCs w:val="22"/>
        </w:rPr>
        <w:t xml:space="preserve"> </w:t>
      </w:r>
      <w:r w:rsidR="006A6C7A" w:rsidRPr="00890249">
        <w:rPr>
          <w:rFonts w:asciiTheme="minorHAnsi" w:hAnsiTheme="minorHAnsi" w:cstheme="minorHAnsi"/>
          <w:noProof/>
          <w:sz w:val="22"/>
          <w:szCs w:val="22"/>
        </w:rPr>
        <w:t>doposażanie straży gminnych i międzygminnych w sprz</w:t>
      </w:r>
      <w:r w:rsidR="00F128D5" w:rsidRPr="00890249">
        <w:rPr>
          <w:rFonts w:asciiTheme="minorHAnsi" w:hAnsiTheme="minorHAnsi" w:cstheme="minorHAnsi"/>
          <w:noProof/>
          <w:sz w:val="22"/>
          <w:szCs w:val="22"/>
        </w:rPr>
        <w:t>ęt niezbędny</w:t>
      </w:r>
      <w:r w:rsidR="00F13E6A" w:rsidRPr="00890249">
        <w:rPr>
          <w:rFonts w:asciiTheme="minorHAnsi" w:hAnsiTheme="minorHAnsi" w:cstheme="minorHAnsi"/>
          <w:noProof/>
          <w:sz w:val="22"/>
          <w:szCs w:val="22"/>
        </w:rPr>
        <w:t xml:space="preserve"> do prowadzenia</w:t>
      </w:r>
      <w:r w:rsidR="003305FF" w:rsidRPr="00890249">
        <w:rPr>
          <w:rFonts w:asciiTheme="minorHAnsi" w:hAnsiTheme="minorHAnsi" w:cstheme="minorHAnsi"/>
          <w:noProof/>
          <w:sz w:val="22"/>
          <w:szCs w:val="22"/>
        </w:rPr>
        <w:t xml:space="preserve"> kontroli pieców i spalanych w </w:t>
      </w:r>
      <w:r w:rsidR="006A6C7A" w:rsidRPr="00890249">
        <w:rPr>
          <w:rFonts w:asciiTheme="minorHAnsi" w:hAnsiTheme="minorHAnsi" w:cstheme="minorHAnsi"/>
          <w:noProof/>
          <w:sz w:val="22"/>
          <w:szCs w:val="22"/>
        </w:rPr>
        <w:t>nich paliw.</w:t>
      </w:r>
      <w:r w:rsidR="006A6C7A" w:rsidRPr="00890249">
        <w:rPr>
          <w:rFonts w:asciiTheme="minorHAnsi" w:hAnsiTheme="minorHAnsi" w:cstheme="minorHAnsi"/>
          <w:sz w:val="22"/>
          <w:szCs w:val="22"/>
        </w:rPr>
        <w:t xml:space="preserve"> </w:t>
      </w:r>
    </w:p>
    <w:p w14:paraId="5A69C5D1" w14:textId="0F14C0A9" w:rsidR="0093433C" w:rsidRPr="00890249" w:rsidRDefault="2B5706A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Warunkiem wstępnym przyznania wsparcia jest przeprowadzenie audytu energetycznego stanowiącego kompleksowy element projektu.</w:t>
      </w:r>
      <w:r w:rsidR="0AE7CF10" w:rsidRPr="00890249">
        <w:rPr>
          <w:rFonts w:asciiTheme="minorHAnsi" w:hAnsiTheme="minorHAnsi" w:cstheme="minorHAnsi"/>
          <w:noProof/>
          <w:sz w:val="22"/>
          <w:szCs w:val="22"/>
        </w:rPr>
        <w:t xml:space="preserve"> </w:t>
      </w:r>
      <w:r w:rsidR="294EAD66" w:rsidRPr="00890249">
        <w:rPr>
          <w:rFonts w:asciiTheme="minorHAnsi" w:hAnsiTheme="minorHAnsi" w:cstheme="minorHAnsi"/>
          <w:noProof/>
          <w:sz w:val="22"/>
          <w:szCs w:val="22"/>
        </w:rPr>
        <w:t>Maksymalna wys</w:t>
      </w:r>
      <w:r w:rsidR="000B2721">
        <w:rPr>
          <w:rFonts w:asciiTheme="minorHAnsi" w:hAnsiTheme="minorHAnsi" w:cstheme="minorHAnsi"/>
          <w:noProof/>
          <w:sz w:val="22"/>
          <w:szCs w:val="22"/>
        </w:rPr>
        <w:t>okość kosztów niewynikających z </w:t>
      </w:r>
      <w:r w:rsidR="294EAD66" w:rsidRPr="00890249">
        <w:rPr>
          <w:rFonts w:asciiTheme="minorHAnsi" w:hAnsiTheme="minorHAnsi" w:cstheme="minorHAnsi"/>
          <w:noProof/>
          <w:sz w:val="22"/>
          <w:szCs w:val="22"/>
        </w:rPr>
        <w:t>audytu energetycznego dla inwestycji z zakresu efektywnoś</w:t>
      </w:r>
      <w:r w:rsidR="0BC5BA5D" w:rsidRPr="00890249">
        <w:rPr>
          <w:rFonts w:asciiTheme="minorHAnsi" w:hAnsiTheme="minorHAnsi" w:cstheme="minorHAnsi"/>
          <w:noProof/>
          <w:sz w:val="22"/>
          <w:szCs w:val="22"/>
        </w:rPr>
        <w:t>ci energetycznej stanowić</w:t>
      </w:r>
      <w:r w:rsidR="294EAD66" w:rsidRPr="00890249">
        <w:rPr>
          <w:rFonts w:asciiTheme="minorHAnsi" w:hAnsiTheme="minorHAnsi" w:cstheme="minorHAnsi"/>
          <w:noProof/>
          <w:sz w:val="22"/>
          <w:szCs w:val="22"/>
        </w:rPr>
        <w:t xml:space="preserve"> może 15 % kosztów kwalifikowalnych</w:t>
      </w:r>
      <w:r w:rsidR="6B6F3425" w:rsidRPr="00890249">
        <w:rPr>
          <w:rFonts w:asciiTheme="minorHAnsi" w:hAnsiTheme="minorHAnsi" w:cstheme="minorHAnsi"/>
          <w:noProof/>
          <w:sz w:val="22"/>
          <w:szCs w:val="22"/>
        </w:rPr>
        <w:t xml:space="preserve">, </w:t>
      </w:r>
      <w:r w:rsidR="00875C92" w:rsidRPr="00890249">
        <w:rPr>
          <w:rFonts w:asciiTheme="minorHAnsi" w:hAnsiTheme="minorHAnsi" w:cstheme="minorHAnsi"/>
          <w:noProof/>
          <w:sz w:val="22"/>
          <w:szCs w:val="22"/>
        </w:rPr>
        <w:t>zgodnie z warunkami okre</w:t>
      </w:r>
      <w:r w:rsidR="00002E16" w:rsidRPr="00890249">
        <w:rPr>
          <w:rFonts w:asciiTheme="minorHAnsi" w:hAnsiTheme="minorHAnsi" w:cstheme="minorHAnsi"/>
          <w:noProof/>
          <w:sz w:val="22"/>
          <w:szCs w:val="22"/>
        </w:rPr>
        <w:t>ś</w:t>
      </w:r>
      <w:r w:rsidR="00875C92" w:rsidRPr="00890249">
        <w:rPr>
          <w:rFonts w:asciiTheme="minorHAnsi" w:hAnsiTheme="minorHAnsi" w:cstheme="minorHAnsi"/>
          <w:noProof/>
          <w:sz w:val="22"/>
          <w:szCs w:val="22"/>
        </w:rPr>
        <w:t>lonymi w UP.</w:t>
      </w:r>
      <w:r w:rsidR="294EAD66"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Dofinansowanie uzyskają projekty spełniające kryterium efek</w:t>
      </w:r>
      <w:r w:rsidR="00F3148E" w:rsidRPr="00890249">
        <w:rPr>
          <w:rFonts w:asciiTheme="minorHAnsi" w:hAnsiTheme="minorHAnsi" w:cstheme="minorHAnsi"/>
          <w:noProof/>
          <w:sz w:val="22"/>
          <w:szCs w:val="22"/>
        </w:rPr>
        <w:t>tywności kosztowej w </w:t>
      </w:r>
      <w:r w:rsidR="02AD7944" w:rsidRPr="00890249">
        <w:rPr>
          <w:rFonts w:asciiTheme="minorHAnsi" w:hAnsiTheme="minorHAnsi" w:cstheme="minorHAnsi"/>
          <w:noProof/>
          <w:sz w:val="22"/>
          <w:szCs w:val="22"/>
        </w:rPr>
        <w:t>powiązaniu</w:t>
      </w:r>
      <w:r w:rsidR="00F3148E"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z osiąganymi efektami </w:t>
      </w:r>
      <w:r w:rsidR="000B2721">
        <w:rPr>
          <w:rFonts w:asciiTheme="minorHAnsi" w:hAnsiTheme="minorHAnsi" w:cstheme="minorHAnsi"/>
          <w:noProof/>
          <w:sz w:val="22"/>
          <w:szCs w:val="22"/>
        </w:rPr>
        <w:t>w </w:t>
      </w:r>
      <w:r w:rsidRPr="00890249">
        <w:rPr>
          <w:rFonts w:asciiTheme="minorHAnsi" w:hAnsiTheme="minorHAnsi" w:cstheme="minorHAnsi"/>
          <w:noProof/>
          <w:sz w:val="22"/>
          <w:szCs w:val="22"/>
        </w:rPr>
        <w:t xml:space="preserve">stosunku do planowanych nakładów finansowych, przy czym priorytetowo traktowane będą </w:t>
      </w:r>
      <w:r w:rsidR="60584EAE" w:rsidRPr="00890249">
        <w:rPr>
          <w:rFonts w:asciiTheme="minorHAnsi" w:hAnsiTheme="minorHAnsi" w:cstheme="minorHAnsi"/>
          <w:noProof/>
          <w:sz w:val="22"/>
          <w:szCs w:val="22"/>
        </w:rPr>
        <w:t>inwestycje dotyczące budynków o </w:t>
      </w:r>
      <w:r w:rsidRPr="00890249">
        <w:rPr>
          <w:rFonts w:asciiTheme="minorHAnsi" w:hAnsiTheme="minorHAnsi" w:cstheme="minorHAnsi"/>
          <w:noProof/>
          <w:sz w:val="22"/>
          <w:szCs w:val="22"/>
        </w:rPr>
        <w:t>znaczącej funkcji społecznej. P</w:t>
      </w:r>
      <w:r w:rsidR="000B2721">
        <w:rPr>
          <w:rFonts w:asciiTheme="minorHAnsi" w:hAnsiTheme="minorHAnsi" w:cstheme="minorHAnsi"/>
          <w:noProof/>
          <w:sz w:val="22"/>
          <w:szCs w:val="22"/>
        </w:rPr>
        <w:t>referencje uzyskają projekty, w </w:t>
      </w:r>
      <w:r w:rsidRPr="00890249">
        <w:rPr>
          <w:rFonts w:asciiTheme="minorHAnsi" w:hAnsiTheme="minorHAnsi" w:cstheme="minorHAnsi"/>
          <w:noProof/>
          <w:sz w:val="22"/>
          <w:szCs w:val="22"/>
        </w:rPr>
        <w:t xml:space="preserve">efekcie których osiągnięta zostanie </w:t>
      </w:r>
      <w:r w:rsidR="2C0F37B8" w:rsidRPr="00890249">
        <w:rPr>
          <w:rFonts w:asciiTheme="minorHAnsi" w:hAnsiTheme="minorHAnsi" w:cstheme="minorHAnsi"/>
          <w:noProof/>
          <w:sz w:val="22"/>
          <w:szCs w:val="22"/>
        </w:rPr>
        <w:t xml:space="preserve">jak największa </w:t>
      </w:r>
      <w:r w:rsidRPr="00890249">
        <w:rPr>
          <w:rFonts w:asciiTheme="minorHAnsi" w:hAnsiTheme="minorHAnsi" w:cstheme="minorHAnsi"/>
          <w:noProof/>
          <w:sz w:val="22"/>
          <w:szCs w:val="22"/>
        </w:rPr>
        <w:t xml:space="preserve">oszczędność energii, natomiast do dofinansowania nie będą kwalifikowały się przedsięwzięcia zakładające oszczędność energii poniżej </w:t>
      </w:r>
      <w:r w:rsidR="00F3148E" w:rsidRPr="00890249">
        <w:rPr>
          <w:rFonts w:asciiTheme="minorHAnsi" w:hAnsiTheme="minorHAnsi" w:cstheme="minorHAnsi"/>
          <w:noProof/>
          <w:sz w:val="22"/>
          <w:szCs w:val="22"/>
        </w:rPr>
        <w:t>30</w:t>
      </w:r>
      <w:r w:rsidRPr="00890249">
        <w:rPr>
          <w:rFonts w:asciiTheme="minorHAnsi" w:hAnsiTheme="minorHAnsi" w:cstheme="minorHAnsi"/>
          <w:noProof/>
          <w:sz w:val="22"/>
          <w:szCs w:val="22"/>
        </w:rPr>
        <w:t>%</w:t>
      </w:r>
      <w:r w:rsidR="00C12C12" w:rsidRPr="00890249">
        <w:rPr>
          <w:rStyle w:val="Odwoanieprzypisudolnego"/>
          <w:rFonts w:asciiTheme="minorHAnsi" w:eastAsia="Times New Roman" w:hAnsiTheme="minorHAnsi" w:cstheme="minorHAnsi"/>
          <w:noProof/>
          <w:sz w:val="22"/>
          <w:szCs w:val="22"/>
        </w:rPr>
        <w:footnoteReference w:id="102"/>
      </w:r>
      <w:r w:rsidR="5C09C8A6" w:rsidRPr="00890249">
        <w:rPr>
          <w:rFonts w:asciiTheme="minorHAnsi" w:hAnsiTheme="minorHAnsi" w:cstheme="minorHAnsi"/>
          <w:noProof/>
          <w:sz w:val="22"/>
          <w:szCs w:val="22"/>
        </w:rPr>
        <w:t xml:space="preserve"> (za wyjątkiem budynków wpisanych do rejestru zabytków lub podlegających ochronie konserwatorskiej</w:t>
      </w:r>
      <w:r w:rsidR="67B44452" w:rsidRPr="00890249">
        <w:rPr>
          <w:rFonts w:asciiTheme="minorHAnsi" w:hAnsiTheme="minorHAnsi" w:cstheme="minorHAnsi"/>
          <w:noProof/>
          <w:sz w:val="22"/>
          <w:szCs w:val="22"/>
        </w:rPr>
        <w:t>)</w:t>
      </w:r>
      <w:r w:rsidRPr="00890249">
        <w:rPr>
          <w:rFonts w:asciiTheme="minorHAnsi" w:hAnsiTheme="minorHAnsi" w:cstheme="minorHAnsi"/>
          <w:noProof/>
          <w:sz w:val="22"/>
          <w:szCs w:val="22"/>
        </w:rPr>
        <w:t>.</w:t>
      </w:r>
      <w:r w:rsidR="382BF4F9"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Inwestycje w tym zakr</w:t>
      </w:r>
      <w:r w:rsidR="7DDD7577" w:rsidRPr="00890249">
        <w:rPr>
          <w:rFonts w:asciiTheme="minorHAnsi" w:hAnsiTheme="minorHAnsi" w:cstheme="minorHAnsi"/>
          <w:noProof/>
          <w:sz w:val="22"/>
          <w:szCs w:val="22"/>
        </w:rPr>
        <w:t>esie mają długotrwały charakter</w:t>
      </w:r>
      <w:r w:rsidR="75855763"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i dlatego powinny być zgodne z właściwymi przepisami unijnymi. Wspierane urządzenia do ogrzewania powinny od początku okresu programowania charakteryzować </w:t>
      </w:r>
      <w:r w:rsidR="00002E16" w:rsidRPr="00890249">
        <w:rPr>
          <w:rFonts w:asciiTheme="minorHAnsi" w:hAnsiTheme="minorHAnsi" w:cstheme="minorHAnsi"/>
          <w:noProof/>
          <w:sz w:val="22"/>
          <w:szCs w:val="22"/>
        </w:rPr>
        <w:t xml:space="preserve">się </w:t>
      </w:r>
      <w:r w:rsidRPr="00890249">
        <w:rPr>
          <w:rFonts w:asciiTheme="minorHAnsi" w:hAnsiTheme="minorHAnsi" w:cstheme="minorHAnsi"/>
          <w:noProof/>
          <w:sz w:val="22"/>
          <w:szCs w:val="22"/>
        </w:rPr>
        <w:t>obowiązującym od końca 2020</w:t>
      </w:r>
      <w:r w:rsidR="0AE7CF10"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r. minimalnym poziomem efektywności energetycznej i normami emisji zanieczyszczeń</w:t>
      </w:r>
      <w:r w:rsidR="00432150" w:rsidRPr="00890249">
        <w:rPr>
          <w:rStyle w:val="Odwoanieprzypisudolnego"/>
          <w:rFonts w:asciiTheme="minorHAnsi" w:eastAsia="Times New Roman" w:hAnsiTheme="minorHAnsi" w:cstheme="minorHAnsi"/>
          <w:noProof/>
          <w:sz w:val="22"/>
          <w:szCs w:val="22"/>
        </w:rPr>
        <w:footnoteReference w:id="103"/>
      </w:r>
      <w:r w:rsidRPr="00890249">
        <w:rPr>
          <w:rFonts w:asciiTheme="minorHAnsi" w:hAnsiTheme="minorHAnsi" w:cstheme="minorHAnsi"/>
          <w:noProof/>
          <w:sz w:val="22"/>
          <w:szCs w:val="22"/>
        </w:rPr>
        <w:t xml:space="preserve">. Projekty powinny być uzasadnione ekonomicznie i społecznie oraz </w:t>
      </w:r>
      <w:r w:rsidR="2E4E330A" w:rsidRPr="00890249">
        <w:rPr>
          <w:rFonts w:asciiTheme="minorHAnsi" w:hAnsiTheme="minorHAnsi" w:cstheme="minorHAnsi"/>
          <w:noProof/>
          <w:sz w:val="22"/>
          <w:szCs w:val="22"/>
        </w:rPr>
        <w:t>p</w:t>
      </w:r>
      <w:r w:rsidRPr="00890249">
        <w:rPr>
          <w:rFonts w:asciiTheme="minorHAnsi" w:hAnsiTheme="minorHAnsi" w:cstheme="minorHAnsi"/>
          <w:noProof/>
          <w:sz w:val="22"/>
          <w:szCs w:val="22"/>
        </w:rPr>
        <w:t xml:space="preserve">rzeciwdziałać </w:t>
      </w:r>
      <w:r w:rsidRPr="00890249">
        <w:rPr>
          <w:rFonts w:asciiTheme="minorHAnsi" w:hAnsiTheme="minorHAnsi" w:cstheme="minorHAnsi"/>
          <w:noProof/>
          <w:sz w:val="22"/>
          <w:szCs w:val="22"/>
        </w:rPr>
        <w:lastRenderedPageBreak/>
        <w:t>ubóstwu energetycznemu</w:t>
      </w:r>
      <w:r w:rsidR="00606C90" w:rsidRPr="00890249">
        <w:rPr>
          <w:rStyle w:val="Odwoanieprzypisudolnego"/>
          <w:rFonts w:asciiTheme="minorHAnsi" w:eastAsia="Times New Roman" w:hAnsiTheme="minorHAnsi" w:cstheme="minorHAnsi"/>
          <w:noProof/>
          <w:sz w:val="22"/>
          <w:szCs w:val="22"/>
        </w:rPr>
        <w:footnoteReference w:id="104"/>
      </w:r>
      <w:r w:rsidRPr="00890249">
        <w:rPr>
          <w:rFonts w:asciiTheme="minorHAnsi" w:hAnsiTheme="minorHAnsi" w:cstheme="minorHAnsi"/>
          <w:noProof/>
          <w:sz w:val="22"/>
          <w:szCs w:val="22"/>
        </w:rPr>
        <w:t>. Priorytetowo powinny być wspierane projekty wykorzystujące odnawialne źródła energii. Wsparcie powinno być uwarunkowane wykonaniem inwestycji zwiększających efektywność energetyczn</w:t>
      </w:r>
      <w:r w:rsidR="0AE7CF10" w:rsidRPr="00890249">
        <w:rPr>
          <w:rFonts w:asciiTheme="minorHAnsi" w:hAnsiTheme="minorHAnsi" w:cstheme="minorHAnsi"/>
          <w:noProof/>
          <w:sz w:val="22"/>
          <w:szCs w:val="22"/>
        </w:rPr>
        <w:t>ą</w:t>
      </w:r>
      <w:r w:rsidR="000B2721">
        <w:rPr>
          <w:rFonts w:asciiTheme="minorHAnsi" w:hAnsiTheme="minorHAnsi" w:cstheme="minorHAnsi"/>
          <w:noProof/>
          <w:sz w:val="22"/>
          <w:szCs w:val="22"/>
        </w:rPr>
        <w:t xml:space="preserve"> i </w:t>
      </w:r>
      <w:r w:rsidRPr="00890249">
        <w:rPr>
          <w:rFonts w:asciiTheme="minorHAnsi" w:hAnsiTheme="minorHAnsi" w:cstheme="minorHAnsi"/>
          <w:noProof/>
          <w:sz w:val="22"/>
          <w:szCs w:val="22"/>
        </w:rPr>
        <w:t>ograniczających zapotrzebowanie na energię w</w:t>
      </w:r>
      <w:r w:rsidR="60B19651" w:rsidRPr="00890249">
        <w:rPr>
          <w:rFonts w:asciiTheme="minorHAnsi" w:hAnsiTheme="minorHAnsi" w:cstheme="minorHAnsi"/>
          <w:noProof/>
          <w:sz w:val="22"/>
          <w:szCs w:val="22"/>
        </w:rPr>
        <w:t> </w:t>
      </w:r>
      <w:r w:rsidRPr="00890249">
        <w:rPr>
          <w:rFonts w:asciiTheme="minorHAnsi" w:hAnsiTheme="minorHAnsi" w:cstheme="minorHAnsi"/>
          <w:noProof/>
          <w:sz w:val="22"/>
          <w:szCs w:val="22"/>
        </w:rPr>
        <w:t xml:space="preserve">budynkach, w których wykorzystywana jest energia ze wspieranych urządzeń. Wszelkie </w:t>
      </w:r>
      <w:r w:rsidR="60584EAE" w:rsidRPr="00890249">
        <w:rPr>
          <w:rFonts w:asciiTheme="minorHAnsi" w:hAnsiTheme="minorHAnsi" w:cstheme="minorHAnsi"/>
          <w:noProof/>
          <w:sz w:val="22"/>
          <w:szCs w:val="22"/>
        </w:rPr>
        <w:t>inwestycje powinny być zgodne z </w:t>
      </w:r>
      <w:r w:rsidR="000B2721">
        <w:rPr>
          <w:rFonts w:asciiTheme="minorHAnsi" w:hAnsiTheme="minorHAnsi" w:cstheme="minorHAnsi"/>
          <w:noProof/>
          <w:sz w:val="22"/>
          <w:szCs w:val="22"/>
        </w:rPr>
        <w:t>unijnymi standardami i </w:t>
      </w:r>
      <w:r w:rsidRPr="00890249">
        <w:rPr>
          <w:rFonts w:asciiTheme="minorHAnsi" w:hAnsiTheme="minorHAnsi" w:cstheme="minorHAnsi"/>
          <w:noProof/>
          <w:sz w:val="22"/>
          <w:szCs w:val="22"/>
        </w:rPr>
        <w:t xml:space="preserve">przepisami w zakresie ochrony środowiska. </w:t>
      </w:r>
      <w:r w:rsidR="5D9B380C" w:rsidRPr="00890249">
        <w:rPr>
          <w:rFonts w:asciiTheme="minorHAnsi" w:hAnsiTheme="minorHAnsi" w:cstheme="minorHAnsi"/>
          <w:noProof/>
          <w:sz w:val="22"/>
          <w:szCs w:val="22"/>
        </w:rPr>
        <w:t>Planowane jest umożliwienie wsparcia projektów, które będą funkcjonowały w formule ESCO oraz Partnerstwa Publiczno – Prywatnego (tzw. PPP).</w:t>
      </w:r>
      <w:r w:rsidR="00D96774" w:rsidRPr="00890249">
        <w:rPr>
          <w:rFonts w:asciiTheme="minorHAnsi" w:hAnsiTheme="minorHAnsi" w:cstheme="minorHAnsi"/>
          <w:noProof/>
          <w:sz w:val="22"/>
          <w:szCs w:val="22"/>
        </w:rPr>
        <w:t xml:space="preserve"> Preferncje dla tej formy wsparcia będą określone w dok. wdrożeniowych. </w:t>
      </w:r>
    </w:p>
    <w:p w14:paraId="198CEBE4" w14:textId="1A0860CC" w:rsidR="0093433C" w:rsidRPr="00890249" w:rsidRDefault="5298DC78" w:rsidP="00890249">
      <w:pPr>
        <w:pStyle w:val="Tekstpodstawowy"/>
        <w:rPr>
          <w:rFonts w:asciiTheme="minorHAnsi" w:hAnsiTheme="minorHAnsi" w:cstheme="minorHAnsi"/>
          <w:noProof/>
          <w:sz w:val="22"/>
          <w:szCs w:val="22"/>
        </w:rPr>
      </w:pPr>
      <w:r w:rsidRPr="00890249">
        <w:rPr>
          <w:rFonts w:asciiTheme="minorHAnsi" w:eastAsia="Times New Roman" w:hAnsiTheme="minorHAnsi" w:cstheme="minorHAnsi"/>
          <w:noProof/>
          <w:sz w:val="22"/>
          <w:szCs w:val="22"/>
        </w:rPr>
        <w:t xml:space="preserve">W ramach interwencji planuje się także wsparcie pilotażowe dla budowy nowych pasywnych obiektów użyteczności </w:t>
      </w:r>
      <w:r w:rsidR="67563731" w:rsidRPr="00890249">
        <w:rPr>
          <w:rFonts w:asciiTheme="minorHAnsi" w:eastAsia="Times New Roman" w:hAnsiTheme="minorHAnsi" w:cstheme="minorHAnsi"/>
          <w:noProof/>
          <w:sz w:val="22"/>
          <w:szCs w:val="22"/>
        </w:rPr>
        <w:t>p</w:t>
      </w:r>
      <w:r w:rsidRPr="00890249">
        <w:rPr>
          <w:rFonts w:asciiTheme="minorHAnsi" w:eastAsia="Times New Roman" w:hAnsiTheme="minorHAnsi" w:cstheme="minorHAnsi"/>
          <w:noProof/>
          <w:sz w:val="22"/>
          <w:szCs w:val="22"/>
        </w:rPr>
        <w:t>ublicznej</w:t>
      </w:r>
      <w:r w:rsidR="00AF6B58" w:rsidRPr="00890249">
        <w:rPr>
          <w:rFonts w:asciiTheme="minorHAnsi" w:eastAsia="Times New Roman" w:hAnsiTheme="minorHAnsi" w:cstheme="minorHAnsi"/>
          <w:noProof/>
          <w:sz w:val="22"/>
          <w:szCs w:val="22"/>
        </w:rPr>
        <w:t>.</w:t>
      </w:r>
      <w:r w:rsidR="00AF6B58" w:rsidRPr="00890249">
        <w:rPr>
          <w:rFonts w:asciiTheme="minorHAnsi" w:hAnsiTheme="minorHAnsi" w:cstheme="minorHAnsi"/>
          <w:sz w:val="22"/>
          <w:szCs w:val="22"/>
        </w:rPr>
        <w:t xml:space="preserve"> B</w:t>
      </w:r>
      <w:r w:rsidR="00875C92" w:rsidRPr="00890249">
        <w:rPr>
          <w:rFonts w:asciiTheme="minorHAnsi" w:hAnsiTheme="minorHAnsi" w:cstheme="minorHAnsi"/>
          <w:noProof/>
          <w:sz w:val="22"/>
          <w:szCs w:val="22"/>
        </w:rPr>
        <w:t>udowa budynków pasywnych (zapotrzebowanie na ciepło EPh+W nie więcej niż 15 kWh/m2/rok) jako nowych obiektów nie może naruszać zapisów Programu odnoszących się do wyłączeń i ograniczeń co do budowy niektóry</w:t>
      </w:r>
      <w:r w:rsidR="000B2721">
        <w:rPr>
          <w:rFonts w:asciiTheme="minorHAnsi" w:hAnsiTheme="minorHAnsi" w:cstheme="minorHAnsi"/>
          <w:noProof/>
          <w:sz w:val="22"/>
          <w:szCs w:val="22"/>
        </w:rPr>
        <w:t>ch typów budynków określonych w </w:t>
      </w:r>
      <w:r w:rsidR="00875C92" w:rsidRPr="00890249">
        <w:rPr>
          <w:rFonts w:asciiTheme="minorHAnsi" w:hAnsiTheme="minorHAnsi" w:cstheme="minorHAnsi"/>
          <w:noProof/>
          <w:sz w:val="22"/>
          <w:szCs w:val="22"/>
        </w:rPr>
        <w:t xml:space="preserve">innych celach szczegółowych lub UP. Ponadto alokacja na budynki pasywne nie powinna przekraczać </w:t>
      </w:r>
      <w:r w:rsidR="004E4996">
        <w:rPr>
          <w:rFonts w:asciiTheme="minorHAnsi" w:hAnsiTheme="minorHAnsi" w:cstheme="minorHAnsi"/>
          <w:noProof/>
          <w:sz w:val="22"/>
          <w:szCs w:val="22"/>
        </w:rPr>
        <w:t>5</w:t>
      </w:r>
      <w:r w:rsidR="00875C92" w:rsidRPr="00890249">
        <w:rPr>
          <w:rFonts w:asciiTheme="minorHAnsi" w:hAnsiTheme="minorHAnsi" w:cstheme="minorHAnsi"/>
          <w:noProof/>
          <w:sz w:val="22"/>
          <w:szCs w:val="22"/>
        </w:rPr>
        <w:t xml:space="preserve">% całkowitej alokacji dla celu szczegółowego </w:t>
      </w:r>
      <w:r w:rsidR="00B81207" w:rsidRPr="00890249">
        <w:rPr>
          <w:rFonts w:asciiTheme="minorHAnsi" w:hAnsiTheme="minorHAnsi" w:cstheme="minorHAnsi"/>
          <w:noProof/>
          <w:sz w:val="22"/>
          <w:szCs w:val="22"/>
        </w:rPr>
        <w:t>(i)</w:t>
      </w:r>
      <w:r w:rsidR="00875C92" w:rsidRPr="00890249">
        <w:rPr>
          <w:rFonts w:asciiTheme="minorHAnsi" w:hAnsiTheme="minorHAnsi" w:cstheme="minorHAnsi"/>
          <w:noProof/>
          <w:sz w:val="22"/>
          <w:szCs w:val="22"/>
        </w:rPr>
        <w:t>.</w:t>
      </w:r>
    </w:p>
    <w:p w14:paraId="40EC4AEB" w14:textId="77777777" w:rsidR="0093433C" w:rsidRPr="00890249" w:rsidRDefault="001A2F7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Inwestycje w wymianę źródeł ciepła na źródła niskoemisyjne będą możliwe jedynie w przypadku, gdy podłączenie do sieci ciepłowniczej na danym obszarze nie będzie możliwe lub uzasadnione ekonomicznie.</w:t>
      </w:r>
      <w:r w:rsidR="002A0CBF" w:rsidRPr="00890249">
        <w:rPr>
          <w:rFonts w:asciiTheme="minorHAnsi" w:hAnsiTheme="minorHAnsi" w:cstheme="minorHAnsi"/>
          <w:noProof/>
          <w:sz w:val="22"/>
          <w:szCs w:val="22"/>
        </w:rPr>
        <w:t xml:space="preserve"> Niedopuszczalna jest wymiana pieców gazowych na nowsze.</w:t>
      </w:r>
    </w:p>
    <w:p w14:paraId="3CF1D60D" w14:textId="77777777" w:rsidR="0093433C" w:rsidRPr="00890249" w:rsidRDefault="001A2F7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ramach przedsięwzięć w zakresie efektywności energetycznej w MŚP ważnym aspektem jest wyraźny pozytywny wpływ na środowisko poprzez racjonalizację zużycia, oszczędność energii i/lub wzrost wykorzystania </w:t>
      </w:r>
      <w:r w:rsidR="002E4281" w:rsidRPr="00890249">
        <w:rPr>
          <w:rFonts w:asciiTheme="minorHAnsi" w:hAnsiTheme="minorHAnsi" w:cstheme="minorHAnsi"/>
          <w:noProof/>
          <w:sz w:val="22"/>
          <w:szCs w:val="22"/>
        </w:rPr>
        <w:t>OZE</w:t>
      </w:r>
      <w:r w:rsidRPr="00890249">
        <w:rPr>
          <w:rFonts w:asciiTheme="minorHAnsi" w:hAnsiTheme="minorHAnsi" w:cstheme="minorHAnsi"/>
          <w:noProof/>
          <w:sz w:val="22"/>
          <w:szCs w:val="22"/>
        </w:rPr>
        <w:t>. Celem wsparcia jest uzyskanie optymalnych warunków sprzyjających zmniejsz</w:t>
      </w:r>
      <w:r w:rsidR="00635759" w:rsidRPr="00890249">
        <w:rPr>
          <w:rFonts w:asciiTheme="minorHAnsi" w:hAnsiTheme="minorHAnsi" w:cstheme="minorHAnsi"/>
          <w:noProof/>
          <w:sz w:val="22"/>
          <w:szCs w:val="22"/>
        </w:rPr>
        <w:t>eniu strat energii, ciepła i wody,</w:t>
      </w:r>
      <w:r w:rsidRPr="00890249">
        <w:rPr>
          <w:rFonts w:asciiTheme="minorHAnsi" w:hAnsiTheme="minorHAnsi" w:cstheme="minorHAnsi"/>
          <w:noProof/>
          <w:sz w:val="22"/>
          <w:szCs w:val="22"/>
        </w:rPr>
        <w:t xml:space="preserve"> w tym poprzez systemy zarządzania energią i jej jakością, termomodernizację budynków, czy też zastosowanie instalacji i urządzeń służących poprawie efektywności energetycznej.</w:t>
      </w:r>
    </w:p>
    <w:p w14:paraId="32B4B073" w14:textId="6874976E" w:rsidR="0093433C" w:rsidRPr="00890249" w:rsidRDefault="00BC711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cs (i) realizowane będą również inwestycje na obszarach wiejskich oraz miejskich</w:t>
      </w:r>
      <w:r w:rsidR="008F4EA9" w:rsidRPr="00890249">
        <w:rPr>
          <w:rFonts w:asciiTheme="minorHAnsi" w:hAnsiTheme="minorHAnsi" w:cstheme="minorHAnsi"/>
          <w:noProof/>
          <w:sz w:val="22"/>
          <w:szCs w:val="22"/>
        </w:rPr>
        <w:t xml:space="preserve"> </w:t>
      </w:r>
      <w:r w:rsidR="008F4EA9" w:rsidRPr="00890249">
        <w:rPr>
          <w:rFonts w:asciiTheme="minorHAnsi" w:hAnsiTheme="minorHAnsi" w:cstheme="minorHAnsi"/>
          <w:noProof/>
          <w:sz w:val="22"/>
          <w:szCs w:val="22"/>
        </w:rPr>
        <w:br/>
        <w:t>w zakresie kompleksowej modernizacji energetycznej obiektów</w:t>
      </w:r>
      <w:r w:rsidR="002C7159" w:rsidRPr="00890249">
        <w:rPr>
          <w:rFonts w:asciiTheme="minorHAnsi" w:hAnsiTheme="minorHAnsi" w:cstheme="minorHAnsi"/>
          <w:noProof/>
          <w:sz w:val="22"/>
          <w:szCs w:val="22"/>
        </w:rPr>
        <w:t xml:space="preserve"> użyteczności publicznej wraz z </w:t>
      </w:r>
      <w:r w:rsidR="008F4EA9" w:rsidRPr="00890249">
        <w:rPr>
          <w:rFonts w:asciiTheme="minorHAnsi" w:hAnsiTheme="minorHAnsi" w:cstheme="minorHAnsi"/>
          <w:noProof/>
          <w:sz w:val="22"/>
          <w:szCs w:val="22"/>
        </w:rPr>
        <w:t xml:space="preserve">instalacją urządzeń OZE oraz wymianą/modernizacją źródeł ciepła albo podłączeniem do sieci ciepłowniczej (Europejska Inicjatywa </w:t>
      </w:r>
      <w:r w:rsidR="008C5B22" w:rsidRPr="00890249">
        <w:rPr>
          <w:rFonts w:asciiTheme="minorHAnsi" w:hAnsiTheme="minorHAnsi" w:cstheme="minorHAnsi"/>
          <w:noProof/>
          <w:sz w:val="22"/>
          <w:szCs w:val="22"/>
        </w:rPr>
        <w:t>Społeczna</w:t>
      </w:r>
      <w:r w:rsidR="008F4EA9" w:rsidRPr="00890249">
        <w:rPr>
          <w:rFonts w:asciiTheme="minorHAnsi" w:hAnsiTheme="minorHAnsi" w:cstheme="minorHAnsi"/>
          <w:noProof/>
          <w:sz w:val="22"/>
          <w:szCs w:val="22"/>
        </w:rPr>
        <w:t xml:space="preserve"> dla klimatu). </w:t>
      </w:r>
      <w:r w:rsidRPr="00890249">
        <w:rPr>
          <w:rFonts w:asciiTheme="minorHAnsi" w:hAnsiTheme="minorHAnsi" w:cstheme="minorHAnsi"/>
          <w:noProof/>
          <w:sz w:val="22"/>
          <w:szCs w:val="22"/>
        </w:rPr>
        <w:t>Przedsięwzięcia te realizowane będą przez gminy</w:t>
      </w:r>
      <w:r w:rsidR="00B57678">
        <w:rPr>
          <w:rFonts w:asciiTheme="minorHAnsi" w:hAnsiTheme="minorHAnsi" w:cstheme="minorHAnsi"/>
          <w:noProof/>
          <w:sz w:val="22"/>
          <w:szCs w:val="22"/>
        </w:rPr>
        <w:t xml:space="preserve"> / powiaty</w:t>
      </w:r>
      <w:r w:rsidRPr="00890249">
        <w:rPr>
          <w:rFonts w:asciiTheme="minorHAnsi" w:hAnsiTheme="minorHAnsi" w:cstheme="minorHAnsi"/>
          <w:noProof/>
          <w:sz w:val="22"/>
          <w:szCs w:val="22"/>
        </w:rPr>
        <w:t xml:space="preserve"> w uzgodnieniu i we współprac</w:t>
      </w:r>
      <w:r w:rsidR="002C7159" w:rsidRPr="00890249">
        <w:rPr>
          <w:rFonts w:asciiTheme="minorHAnsi" w:hAnsiTheme="minorHAnsi" w:cstheme="minorHAnsi"/>
          <w:noProof/>
          <w:sz w:val="22"/>
          <w:szCs w:val="22"/>
        </w:rPr>
        <w:t>y z </w:t>
      </w:r>
      <w:r w:rsidRPr="00890249">
        <w:rPr>
          <w:rFonts w:asciiTheme="minorHAnsi" w:hAnsiTheme="minorHAnsi" w:cstheme="minorHAnsi"/>
          <w:noProof/>
          <w:sz w:val="22"/>
          <w:szCs w:val="22"/>
        </w:rPr>
        <w:t>przedstawicielami lokalnych społeczności (radami sołeckimi/radami dzielnic) lub przez organizacje pozarządowe w oparciu o diagnozę potrzeb danej społeczności. Zaangażowanie na tym etapie projektów samorządów lokalnych oraz innych podmiotów działających na rzecz lokalnych społeczności pozwoli na łączenie oddolnych i odgórnych celów.</w:t>
      </w:r>
    </w:p>
    <w:p w14:paraId="6EC27550" w14:textId="77777777" w:rsidR="0093433C" w:rsidRPr="00890249" w:rsidRDefault="00C11DF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We wszystkich projektach, w których będzie to zasadne i możliwe</w:t>
      </w:r>
      <w:r w:rsidR="00E45750" w:rsidRPr="00890249">
        <w:rPr>
          <w:rFonts w:asciiTheme="minorHAnsi" w:hAnsiTheme="minorHAnsi" w:cstheme="minorHAnsi"/>
          <w:noProof/>
          <w:sz w:val="22"/>
          <w:szCs w:val="22"/>
        </w:rPr>
        <w:t>, zastosowane</w:t>
      </w:r>
      <w:r w:rsidRPr="00890249">
        <w:rPr>
          <w:rFonts w:asciiTheme="minorHAnsi" w:hAnsiTheme="minorHAnsi" w:cstheme="minorHAnsi"/>
          <w:noProof/>
          <w:sz w:val="22"/>
          <w:szCs w:val="22"/>
        </w:rPr>
        <w:t xml:space="preserve"> zos</w:t>
      </w:r>
      <w:r w:rsidR="003E363A" w:rsidRPr="00890249">
        <w:rPr>
          <w:rFonts w:asciiTheme="minorHAnsi" w:hAnsiTheme="minorHAnsi" w:cstheme="minorHAnsi"/>
          <w:noProof/>
          <w:sz w:val="22"/>
          <w:szCs w:val="22"/>
        </w:rPr>
        <w:t>taną</w:t>
      </w:r>
      <w:r w:rsidR="00E45750" w:rsidRPr="00890249">
        <w:rPr>
          <w:rFonts w:asciiTheme="minorHAnsi" w:hAnsiTheme="minorHAnsi" w:cstheme="minorHAnsi"/>
          <w:noProof/>
          <w:sz w:val="22"/>
          <w:szCs w:val="22"/>
        </w:rPr>
        <w:t xml:space="preserve"> </w:t>
      </w:r>
      <w:r w:rsidR="003E363A" w:rsidRPr="00890249">
        <w:rPr>
          <w:rFonts w:asciiTheme="minorHAnsi" w:hAnsiTheme="minorHAnsi" w:cstheme="minorHAnsi"/>
          <w:noProof/>
          <w:sz w:val="22"/>
          <w:szCs w:val="22"/>
        </w:rPr>
        <w:t>rozwiązania w </w:t>
      </w:r>
      <w:r w:rsidRPr="00890249">
        <w:rPr>
          <w:rFonts w:asciiTheme="minorHAnsi" w:hAnsiTheme="minorHAnsi" w:cstheme="minorHAnsi"/>
          <w:noProof/>
          <w:sz w:val="22"/>
          <w:szCs w:val="22"/>
        </w:rPr>
        <w:t>zakresie obiegu cyrkularnego (w tym efektywności energetycznej i użycia energii ze źródeł odnawialnych</w:t>
      </w:r>
      <w:r w:rsidR="00E45750" w:rsidRPr="00890249">
        <w:rPr>
          <w:rFonts w:asciiTheme="minorHAnsi" w:hAnsiTheme="minorHAnsi" w:cstheme="minorHAnsi"/>
          <w:noProof/>
          <w:sz w:val="22"/>
          <w:szCs w:val="22"/>
        </w:rPr>
        <w:t>, wykorzystanie materiałów pochodzących z odzysku materiałów i recyklingu</w:t>
      </w:r>
      <w:r w:rsidRPr="00890249">
        <w:rPr>
          <w:rFonts w:asciiTheme="minorHAnsi" w:hAnsiTheme="minorHAnsi" w:cstheme="minorHAnsi"/>
          <w:noProof/>
          <w:sz w:val="22"/>
          <w:szCs w:val="22"/>
        </w:rPr>
        <w:t>)</w:t>
      </w:r>
      <w:r w:rsidR="00A74AAB"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jak również elementy sprzyjające adaptacji do zmiany klimatu i łagodzeniu jej skutków (w szczególności  zielona i niebieska infrastruktura</w:t>
      </w:r>
      <w:r w:rsidR="00E45750" w:rsidRPr="00890249">
        <w:rPr>
          <w:rFonts w:asciiTheme="minorHAnsi" w:hAnsiTheme="minorHAnsi" w:cstheme="minorHAnsi"/>
          <w:noProof/>
          <w:sz w:val="22"/>
          <w:szCs w:val="22"/>
        </w:rPr>
        <w:t>, efektywne wykorzystanie zasobów wodnych</w:t>
      </w:r>
      <w:r w:rsidRPr="00890249">
        <w:rPr>
          <w:rFonts w:asciiTheme="minorHAnsi" w:hAnsiTheme="minorHAnsi" w:cstheme="minorHAnsi"/>
          <w:noProof/>
          <w:sz w:val="22"/>
          <w:szCs w:val="22"/>
        </w:rPr>
        <w:t xml:space="preserve">). </w:t>
      </w:r>
    </w:p>
    <w:p w14:paraId="7A5A8D5C" w14:textId="399EEAAC" w:rsidR="0093433C" w:rsidRPr="00890249" w:rsidRDefault="005748F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do realizacji działania wpisują się w zalecenia KE dot. zwięk</w:t>
      </w:r>
      <w:r w:rsidR="00802584" w:rsidRPr="00890249">
        <w:rPr>
          <w:rFonts w:asciiTheme="minorHAnsi" w:hAnsiTheme="minorHAnsi" w:cstheme="minorHAnsi"/>
          <w:noProof/>
          <w:sz w:val="22"/>
          <w:szCs w:val="22"/>
        </w:rPr>
        <w:t>szenia udziału niskoemisyjnej i </w:t>
      </w:r>
      <w:r w:rsidRPr="00890249">
        <w:rPr>
          <w:rFonts w:asciiTheme="minorHAnsi" w:hAnsiTheme="minorHAnsi" w:cstheme="minorHAnsi"/>
          <w:noProof/>
          <w:sz w:val="22"/>
          <w:szCs w:val="22"/>
        </w:rPr>
        <w:t>bardziej ekologicznej produkcji energii poprzez m.in. gruntowną termomodernizację budynków publicznych i prywatny</w:t>
      </w:r>
      <w:r w:rsidR="007C1A58" w:rsidRPr="00890249">
        <w:rPr>
          <w:rFonts w:asciiTheme="minorHAnsi" w:hAnsiTheme="minorHAnsi" w:cstheme="minorHAnsi"/>
          <w:noProof/>
          <w:sz w:val="22"/>
          <w:szCs w:val="22"/>
        </w:rPr>
        <w:t>ch</w:t>
      </w:r>
      <w:r w:rsidRPr="00890249">
        <w:rPr>
          <w:rStyle w:val="Odwoanieprzypisudolnego"/>
          <w:rFonts w:asciiTheme="minorHAnsi" w:eastAsia="Times New Roman" w:hAnsiTheme="minorHAnsi" w:cstheme="minorHAnsi"/>
          <w:noProof/>
          <w:sz w:val="22"/>
          <w:szCs w:val="22"/>
        </w:rPr>
        <w:footnoteReference w:id="105"/>
      </w:r>
      <w:r w:rsidR="00103DC4">
        <w:rPr>
          <w:rFonts w:asciiTheme="minorHAnsi" w:hAnsiTheme="minorHAnsi" w:cstheme="minorHAnsi"/>
          <w:noProof/>
          <w:sz w:val="22"/>
          <w:szCs w:val="22"/>
        </w:rPr>
        <w:t xml:space="preserve">. </w:t>
      </w:r>
    </w:p>
    <w:p w14:paraId="0D5A551E" w14:textId="77777777" w:rsidR="0093433C" w:rsidRPr="00890249" w:rsidRDefault="001A2F7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r w:rsidR="00E76030" w:rsidRPr="00890249">
        <w:rPr>
          <w:rFonts w:asciiTheme="minorHAnsi" w:hAnsiTheme="minorHAnsi" w:cstheme="minorHAnsi"/>
          <w:noProof/>
          <w:sz w:val="22"/>
          <w:szCs w:val="22"/>
        </w:rPr>
        <w:t>:</w:t>
      </w:r>
    </w:p>
    <w:p w14:paraId="4EE8B9DA" w14:textId="44FD878C" w:rsidR="00B72154" w:rsidRPr="00890249" w:rsidRDefault="00B64C9B" w:rsidP="009F296A">
      <w:pPr>
        <w:pStyle w:val="Akapitzlist"/>
        <w:numPr>
          <w:ilvl w:val="0"/>
          <w:numId w:val="40"/>
        </w:numPr>
        <w:rPr>
          <w:rFonts w:asciiTheme="minorHAnsi" w:eastAsiaTheme="minorHAnsi" w:hAnsiTheme="minorHAnsi" w:cstheme="minorHAnsi"/>
          <w:noProof/>
          <w:sz w:val="22"/>
          <w:szCs w:val="22"/>
        </w:rPr>
      </w:pPr>
      <w:r w:rsidRPr="00890249">
        <w:rPr>
          <w:rFonts w:asciiTheme="minorHAnsi" w:eastAsia="Times New Roman" w:hAnsiTheme="minorHAnsi" w:cstheme="minorHAnsi"/>
          <w:noProof/>
          <w:sz w:val="22"/>
          <w:szCs w:val="22"/>
        </w:rPr>
        <w:t>P</w:t>
      </w:r>
      <w:r w:rsidR="00875C92" w:rsidRPr="00890249">
        <w:rPr>
          <w:rFonts w:asciiTheme="minorHAnsi" w:eastAsia="Times New Roman" w:hAnsiTheme="minorHAnsi" w:cstheme="minorHAnsi"/>
          <w:noProof/>
          <w:sz w:val="22"/>
          <w:szCs w:val="22"/>
        </w:rPr>
        <w:t>oprawa efektywności energetycznej w mikro i małych przedsiębiorstwach (wraz z audytem) wraz z instalacją urządzeń OZE</w:t>
      </w:r>
      <w:r w:rsidR="001E7188" w:rsidRPr="00890249">
        <w:rPr>
          <w:rFonts w:asciiTheme="minorHAnsi" w:eastAsia="Times New Roman" w:hAnsiTheme="minorHAnsi" w:cstheme="minorHAnsi"/>
          <w:noProof/>
          <w:sz w:val="22"/>
          <w:szCs w:val="22"/>
        </w:rPr>
        <w:t>.</w:t>
      </w:r>
    </w:p>
    <w:p w14:paraId="52DF09D8" w14:textId="57D3F991" w:rsidR="00B72154" w:rsidRPr="00890249" w:rsidRDefault="001E7188" w:rsidP="009F296A">
      <w:pPr>
        <w:pStyle w:val="Akapitzlist"/>
        <w:numPr>
          <w:ilvl w:val="0"/>
          <w:numId w:val="40"/>
        </w:numPr>
        <w:ind w:left="714" w:hanging="357"/>
        <w:contextualSpacing w:val="0"/>
        <w:rPr>
          <w:rFonts w:asciiTheme="minorHAnsi" w:hAnsiTheme="minorHAnsi" w:cstheme="minorHAnsi"/>
          <w:noProof/>
          <w:sz w:val="22"/>
          <w:szCs w:val="22"/>
        </w:rPr>
      </w:pPr>
      <w:r w:rsidRPr="00890249">
        <w:rPr>
          <w:rFonts w:asciiTheme="minorHAnsi" w:eastAsia="Times New Roman" w:hAnsiTheme="minorHAnsi" w:cstheme="minorHAnsi"/>
          <w:noProof/>
          <w:sz w:val="22"/>
          <w:szCs w:val="22"/>
        </w:rPr>
        <w:lastRenderedPageBreak/>
        <w:t>K</w:t>
      </w:r>
      <w:r w:rsidR="003F51B9" w:rsidRPr="00890249">
        <w:rPr>
          <w:rFonts w:asciiTheme="minorHAnsi" w:eastAsia="Times New Roman" w:hAnsiTheme="minorHAnsi" w:cstheme="minorHAnsi"/>
          <w:noProof/>
          <w:sz w:val="22"/>
          <w:szCs w:val="22"/>
        </w:rPr>
        <w:t xml:space="preserve">ompleksowa modernizacja energetyczna </w:t>
      </w:r>
      <w:r w:rsidR="00801145">
        <w:rPr>
          <w:rFonts w:asciiTheme="minorHAnsi" w:eastAsia="Times New Roman" w:hAnsiTheme="minorHAnsi" w:cstheme="minorHAnsi"/>
          <w:noProof/>
          <w:sz w:val="22"/>
          <w:szCs w:val="22"/>
        </w:rPr>
        <w:t>budynk</w:t>
      </w:r>
      <w:r w:rsidR="003B5223">
        <w:rPr>
          <w:rFonts w:asciiTheme="minorHAnsi" w:eastAsia="Times New Roman" w:hAnsiTheme="minorHAnsi" w:cstheme="minorHAnsi"/>
          <w:noProof/>
          <w:sz w:val="22"/>
          <w:szCs w:val="22"/>
        </w:rPr>
        <w:t>ów</w:t>
      </w:r>
      <w:r w:rsidR="00801145" w:rsidRPr="00890249">
        <w:rPr>
          <w:rFonts w:asciiTheme="minorHAnsi" w:eastAsia="Times New Roman" w:hAnsiTheme="minorHAnsi" w:cstheme="minorHAnsi"/>
          <w:noProof/>
          <w:sz w:val="22"/>
          <w:szCs w:val="22"/>
        </w:rPr>
        <w:t xml:space="preserve"> </w:t>
      </w:r>
      <w:r w:rsidR="003F51B9" w:rsidRPr="00890249">
        <w:rPr>
          <w:rFonts w:asciiTheme="minorHAnsi" w:eastAsia="Times New Roman" w:hAnsiTheme="minorHAnsi" w:cstheme="minorHAnsi"/>
          <w:noProof/>
          <w:sz w:val="22"/>
          <w:szCs w:val="22"/>
        </w:rPr>
        <w:t>użyteczności publicznej, (wraz z audytem) wraz z instalacją urządzeń OZE oraz wymianą/modernizacją źródeł ciepła albo podłączeniem do sieci ciepłowniczej</w:t>
      </w:r>
      <w:r w:rsidRPr="00890249">
        <w:rPr>
          <w:rFonts w:asciiTheme="minorHAnsi" w:eastAsia="Times New Roman" w:hAnsiTheme="minorHAnsi" w:cstheme="minorHAnsi"/>
          <w:noProof/>
          <w:sz w:val="22"/>
          <w:szCs w:val="22"/>
        </w:rPr>
        <w:t>.</w:t>
      </w:r>
    </w:p>
    <w:p w14:paraId="21A1DC7F" w14:textId="22BA2DA4" w:rsidR="00F13E6A" w:rsidRPr="00890249" w:rsidRDefault="001E7188" w:rsidP="009F296A">
      <w:pPr>
        <w:pStyle w:val="Akapitzlist"/>
        <w:numPr>
          <w:ilvl w:val="0"/>
          <w:numId w:val="40"/>
        </w:numPr>
        <w:ind w:left="714" w:hanging="357"/>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K</w:t>
      </w:r>
      <w:r w:rsidR="00F13E6A" w:rsidRPr="00890249">
        <w:rPr>
          <w:rFonts w:asciiTheme="minorHAnsi" w:eastAsia="Times New Roman" w:hAnsiTheme="minorHAnsi" w:cstheme="minorHAnsi"/>
          <w:noProof/>
          <w:sz w:val="22"/>
          <w:szCs w:val="22"/>
        </w:rPr>
        <w:t>ompleksowa modernizacja energetyczna wielorodzinnych budynków mieszkalnych</w:t>
      </w:r>
      <w:r w:rsidR="005F29F4" w:rsidRPr="00890249">
        <w:rPr>
          <w:rFonts w:asciiTheme="minorHAnsi" w:eastAsia="Times New Roman" w:hAnsiTheme="minorHAnsi" w:cstheme="minorHAnsi"/>
          <w:noProof/>
          <w:sz w:val="22"/>
          <w:szCs w:val="22"/>
        </w:rPr>
        <w:t>,</w:t>
      </w:r>
      <w:r w:rsidR="00F13E6A" w:rsidRPr="00890249">
        <w:rPr>
          <w:rFonts w:asciiTheme="minorHAnsi" w:eastAsia="Times New Roman" w:hAnsiTheme="minorHAnsi" w:cstheme="minorHAnsi"/>
          <w:noProof/>
          <w:sz w:val="22"/>
          <w:szCs w:val="22"/>
        </w:rPr>
        <w:t xml:space="preserve"> </w:t>
      </w:r>
      <w:r w:rsidR="005F29F4" w:rsidRPr="00890249">
        <w:rPr>
          <w:rFonts w:asciiTheme="minorHAnsi" w:eastAsia="Times New Roman" w:hAnsiTheme="minorHAnsi" w:cstheme="minorHAnsi"/>
          <w:noProof/>
          <w:sz w:val="22"/>
          <w:szCs w:val="22"/>
        </w:rPr>
        <w:t xml:space="preserve">w tym będace w zasobach gminnych </w:t>
      </w:r>
      <w:r w:rsidR="00F13E6A" w:rsidRPr="00890249">
        <w:rPr>
          <w:rFonts w:asciiTheme="minorHAnsi" w:eastAsia="Times New Roman" w:hAnsiTheme="minorHAnsi" w:cstheme="minorHAnsi"/>
          <w:noProof/>
          <w:sz w:val="22"/>
          <w:szCs w:val="22"/>
        </w:rPr>
        <w:t>(wraz z audytem) wraz z instalacją urządzeń OZE oraz wymianą/modernizacją źródeł ciepła albo podłączeniem do sieci ciepłowniczej</w:t>
      </w:r>
      <w:r w:rsidRPr="00890249">
        <w:rPr>
          <w:rFonts w:asciiTheme="minorHAnsi" w:eastAsia="Times New Roman" w:hAnsiTheme="minorHAnsi" w:cstheme="minorHAnsi"/>
          <w:noProof/>
          <w:sz w:val="22"/>
          <w:szCs w:val="22"/>
        </w:rPr>
        <w:t>.</w:t>
      </w:r>
    </w:p>
    <w:p w14:paraId="5994B04E" w14:textId="5B75AC44" w:rsidR="00B72154" w:rsidRPr="00890249" w:rsidRDefault="005D1094" w:rsidP="009F296A">
      <w:pPr>
        <w:pStyle w:val="Akapitzlist"/>
        <w:numPr>
          <w:ilvl w:val="0"/>
          <w:numId w:val="129"/>
        </w:numPr>
        <w:contextualSpacing w:val="0"/>
        <w:rPr>
          <w:rFonts w:asciiTheme="minorHAnsi" w:hAnsiTheme="minorHAnsi" w:cstheme="minorHAnsi"/>
          <w:noProof/>
          <w:sz w:val="22"/>
          <w:szCs w:val="22"/>
        </w:rPr>
      </w:pPr>
      <w:r w:rsidRPr="00890249">
        <w:rPr>
          <w:rFonts w:asciiTheme="minorHAnsi" w:eastAsia="Times New Roman" w:hAnsiTheme="minorHAnsi" w:cstheme="minorHAnsi"/>
          <w:noProof/>
          <w:sz w:val="22"/>
          <w:szCs w:val="22"/>
        </w:rPr>
        <w:t xml:space="preserve">z programu nie będą wspierane budynki należące do skarbu państwa oraz budynki </w:t>
      </w:r>
      <w:r w:rsidR="00DF1F05" w:rsidRPr="00890249">
        <w:rPr>
          <w:rFonts w:asciiTheme="minorHAnsi" w:eastAsia="Times New Roman" w:hAnsiTheme="minorHAnsi" w:cstheme="minorHAnsi"/>
          <w:noProof/>
          <w:sz w:val="22"/>
          <w:szCs w:val="22"/>
        </w:rPr>
        <w:t xml:space="preserve">wielorodzinne </w:t>
      </w:r>
      <w:r w:rsidRPr="00890249">
        <w:rPr>
          <w:rFonts w:asciiTheme="minorHAnsi" w:eastAsia="Times New Roman" w:hAnsiTheme="minorHAnsi" w:cstheme="minorHAnsi"/>
          <w:noProof/>
          <w:sz w:val="22"/>
          <w:szCs w:val="22"/>
        </w:rPr>
        <w:t>spółdzielni mieszkaniowych,</w:t>
      </w:r>
    </w:p>
    <w:p w14:paraId="383C74B5" w14:textId="4C5E95AD" w:rsidR="00F13E6A" w:rsidRPr="00890249" w:rsidRDefault="001E7188" w:rsidP="009F296A">
      <w:pPr>
        <w:pStyle w:val="Akapitzlist"/>
        <w:numPr>
          <w:ilvl w:val="0"/>
          <w:numId w:val="40"/>
        </w:numPr>
        <w:spacing w:before="0" w:line="257" w:lineRule="auto"/>
        <w:contextualSpacing w:val="0"/>
        <w:rPr>
          <w:rFonts w:asciiTheme="minorHAnsi" w:hAnsiTheme="minorHAnsi" w:cstheme="minorHAnsi"/>
          <w:sz w:val="22"/>
          <w:szCs w:val="22"/>
          <w:lang w:eastAsia="en-US"/>
        </w:rPr>
      </w:pPr>
      <w:r w:rsidRPr="00890249">
        <w:rPr>
          <w:rFonts w:asciiTheme="minorHAnsi" w:hAnsiTheme="minorHAnsi" w:cstheme="minorHAnsi"/>
          <w:sz w:val="22"/>
          <w:szCs w:val="22"/>
          <w:lang w:eastAsia="en-US"/>
        </w:rPr>
        <w:t>W</w:t>
      </w:r>
      <w:r w:rsidR="47F53518" w:rsidRPr="00890249">
        <w:rPr>
          <w:rFonts w:asciiTheme="minorHAnsi" w:hAnsiTheme="minorHAnsi" w:cstheme="minorHAnsi"/>
          <w:sz w:val="22"/>
          <w:szCs w:val="22"/>
          <w:lang w:eastAsia="en-US"/>
        </w:rPr>
        <w:t>sparcie w zakresie wykonywania uchwał antysmogowych i programów ochrony powietrza</w:t>
      </w:r>
      <w:r w:rsidR="00825B75" w:rsidRPr="00890249">
        <w:rPr>
          <w:rFonts w:asciiTheme="minorHAnsi" w:hAnsiTheme="minorHAnsi" w:cstheme="minorHAnsi"/>
          <w:sz w:val="22"/>
          <w:szCs w:val="22"/>
          <w:lang w:eastAsia="en-US"/>
        </w:rPr>
        <w:t>,</w:t>
      </w:r>
      <w:r w:rsidR="47F53518" w:rsidRPr="00890249">
        <w:rPr>
          <w:rFonts w:asciiTheme="minorHAnsi" w:hAnsiTheme="minorHAnsi" w:cstheme="minorHAnsi"/>
          <w:sz w:val="22"/>
          <w:szCs w:val="22"/>
          <w:lang w:eastAsia="en-US"/>
        </w:rPr>
        <w:t xml:space="preserve"> tj.:</w:t>
      </w:r>
    </w:p>
    <w:p w14:paraId="02560B77" w14:textId="77777777" w:rsidR="00B72154" w:rsidRPr="00890249" w:rsidRDefault="3CEF7E1D" w:rsidP="009F296A">
      <w:pPr>
        <w:pStyle w:val="Akapitzlist"/>
        <w:numPr>
          <w:ilvl w:val="0"/>
          <w:numId w:val="143"/>
        </w:numPr>
        <w:spacing w:before="0" w:line="257" w:lineRule="auto"/>
        <w:ind w:left="1134" w:hanging="425"/>
        <w:rPr>
          <w:rFonts w:asciiTheme="minorHAnsi" w:hAnsiTheme="minorHAnsi" w:cstheme="minorHAnsi"/>
          <w:sz w:val="22"/>
          <w:szCs w:val="22"/>
          <w:lang w:eastAsia="en-US"/>
        </w:rPr>
      </w:pPr>
      <w:r w:rsidRPr="00890249">
        <w:rPr>
          <w:rFonts w:asciiTheme="minorHAnsi" w:hAnsiTheme="minorHAnsi" w:cstheme="minorHAnsi"/>
          <w:sz w:val="22"/>
          <w:szCs w:val="22"/>
          <w:lang w:eastAsia="en-US"/>
        </w:rPr>
        <w:t xml:space="preserve">wsparcie przeznaczone na funkcjonowanie ekodoradców i systemu wsparcia wzorowanego na projekcie LIFE (punkty obsługi beneficjenta programu </w:t>
      </w:r>
      <w:r w:rsidRPr="00890249">
        <w:rPr>
          <w:rFonts w:asciiTheme="minorHAnsi" w:hAnsiTheme="minorHAnsi" w:cstheme="minorHAnsi"/>
          <w:i/>
          <w:iCs/>
          <w:sz w:val="22"/>
          <w:szCs w:val="22"/>
          <w:lang w:eastAsia="en-US"/>
        </w:rPr>
        <w:t>Czyste powietrze</w:t>
      </w:r>
      <w:r w:rsidRPr="00890249">
        <w:rPr>
          <w:rFonts w:asciiTheme="minorHAnsi" w:hAnsiTheme="minorHAnsi" w:cstheme="minorHAnsi"/>
          <w:sz w:val="22"/>
          <w:szCs w:val="22"/>
          <w:lang w:eastAsia="en-US"/>
        </w:rPr>
        <w:t xml:space="preserve"> w każdej gminie, promowanie wykorzystania OZE u mie</w:t>
      </w:r>
      <w:r w:rsidR="60584EAE" w:rsidRPr="00890249">
        <w:rPr>
          <w:rFonts w:asciiTheme="minorHAnsi" w:hAnsiTheme="minorHAnsi" w:cstheme="minorHAnsi"/>
          <w:sz w:val="22"/>
          <w:szCs w:val="22"/>
          <w:lang w:eastAsia="en-US"/>
        </w:rPr>
        <w:t>szkańców i „zielonej energii” w </w:t>
      </w:r>
      <w:r w:rsidRPr="00890249">
        <w:rPr>
          <w:rFonts w:asciiTheme="minorHAnsi" w:hAnsiTheme="minorHAnsi" w:cstheme="minorHAnsi"/>
          <w:sz w:val="22"/>
          <w:szCs w:val="22"/>
          <w:lang w:eastAsia="en-US"/>
        </w:rPr>
        <w:t>budynkach użyteczności publicznej, inwentaryzacja źródeł ogrzewania</w:t>
      </w:r>
      <w:r w:rsidR="418FC4EB" w:rsidRPr="00890249">
        <w:rPr>
          <w:rFonts w:asciiTheme="minorHAnsi" w:hAnsiTheme="minorHAnsi" w:cstheme="minorHAnsi"/>
          <w:sz w:val="22"/>
          <w:szCs w:val="22"/>
          <w:lang w:eastAsia="en-US"/>
        </w:rPr>
        <w:t>)</w:t>
      </w:r>
      <w:r w:rsidR="307D3FA8" w:rsidRPr="00890249">
        <w:rPr>
          <w:rFonts w:asciiTheme="minorHAnsi" w:hAnsiTheme="minorHAnsi" w:cstheme="minorHAnsi"/>
          <w:sz w:val="22"/>
          <w:szCs w:val="22"/>
          <w:lang w:eastAsia="en-US"/>
        </w:rPr>
        <w:t xml:space="preserve"> </w:t>
      </w:r>
      <w:r w:rsidR="00875C92" w:rsidRPr="00890249">
        <w:rPr>
          <w:rFonts w:asciiTheme="minorHAnsi" w:hAnsiTheme="minorHAnsi" w:cstheme="minorHAnsi"/>
          <w:sz w:val="22"/>
          <w:szCs w:val="22"/>
          <w:lang w:eastAsia="en-US"/>
        </w:rPr>
        <w:t>(działania komplementarne względem programu ogólnokrajowego),</w:t>
      </w:r>
    </w:p>
    <w:p w14:paraId="3A028130" w14:textId="77777777" w:rsidR="00B72154" w:rsidRPr="00890249" w:rsidRDefault="00F13E6A" w:rsidP="009F296A">
      <w:pPr>
        <w:pStyle w:val="Akapitzlist"/>
        <w:numPr>
          <w:ilvl w:val="0"/>
          <w:numId w:val="143"/>
        </w:numPr>
        <w:spacing w:before="0" w:line="257" w:lineRule="auto"/>
        <w:ind w:left="1134" w:hanging="425"/>
        <w:contextualSpacing w:val="0"/>
        <w:rPr>
          <w:rFonts w:asciiTheme="minorHAnsi" w:hAnsiTheme="minorHAnsi" w:cstheme="minorHAnsi"/>
          <w:sz w:val="22"/>
          <w:szCs w:val="22"/>
          <w:lang w:eastAsia="en-US"/>
        </w:rPr>
      </w:pPr>
      <w:r w:rsidRPr="00890249">
        <w:rPr>
          <w:rFonts w:asciiTheme="minorHAnsi" w:hAnsiTheme="minorHAnsi" w:cstheme="minorHAnsi"/>
          <w:sz w:val="22"/>
          <w:szCs w:val="22"/>
          <w:lang w:eastAsia="en-US"/>
        </w:rPr>
        <w:t>działania edukacyjne realizowane na poziomie lokalnym</w:t>
      </w:r>
      <w:r w:rsidR="003305FF" w:rsidRPr="00890249">
        <w:rPr>
          <w:rFonts w:asciiTheme="minorHAnsi" w:hAnsiTheme="minorHAnsi" w:cstheme="minorHAnsi"/>
          <w:sz w:val="22"/>
          <w:szCs w:val="22"/>
          <w:lang w:eastAsia="en-US"/>
        </w:rPr>
        <w:t xml:space="preserve"> w zakresie ochrony powietrza i </w:t>
      </w:r>
      <w:r w:rsidRPr="00890249">
        <w:rPr>
          <w:rFonts w:asciiTheme="minorHAnsi" w:hAnsiTheme="minorHAnsi" w:cstheme="minorHAnsi"/>
          <w:sz w:val="22"/>
          <w:szCs w:val="22"/>
          <w:lang w:eastAsia="en-US"/>
        </w:rPr>
        <w:t xml:space="preserve">ochrony klimatu (działania komplementarne względem programu ogólnokrajowego), </w:t>
      </w:r>
    </w:p>
    <w:p w14:paraId="0D22E7AF" w14:textId="77777777" w:rsidR="00B72154" w:rsidRPr="00890249" w:rsidRDefault="00F13E6A" w:rsidP="009F296A">
      <w:pPr>
        <w:pStyle w:val="Akapitzlist"/>
        <w:numPr>
          <w:ilvl w:val="0"/>
          <w:numId w:val="143"/>
        </w:numPr>
        <w:spacing w:before="0" w:line="257" w:lineRule="auto"/>
        <w:ind w:left="1134" w:hanging="425"/>
        <w:contextualSpacing w:val="0"/>
        <w:rPr>
          <w:rFonts w:asciiTheme="minorHAnsi" w:hAnsiTheme="minorHAnsi" w:cstheme="minorHAnsi"/>
          <w:sz w:val="22"/>
          <w:szCs w:val="22"/>
          <w:lang w:eastAsia="en-US"/>
        </w:rPr>
      </w:pPr>
      <w:r w:rsidRPr="00890249">
        <w:rPr>
          <w:rFonts w:asciiTheme="minorHAnsi" w:hAnsiTheme="minorHAnsi" w:cstheme="minorHAnsi"/>
          <w:sz w:val="22"/>
          <w:szCs w:val="22"/>
          <w:lang w:eastAsia="en-US"/>
        </w:rPr>
        <w:t xml:space="preserve">doposażenie straży gminnych i międzygminnych w celu kontroli przestrzegania uchwał antysmogowych (zakup urządzeń wspomagających prowadzenie kontroli pieców </w:t>
      </w:r>
      <w:r w:rsidRPr="00890249">
        <w:rPr>
          <w:rFonts w:asciiTheme="minorHAnsi" w:hAnsiTheme="minorHAnsi" w:cstheme="minorHAnsi"/>
          <w:sz w:val="22"/>
          <w:szCs w:val="22"/>
          <w:lang w:eastAsia="en-US"/>
        </w:rPr>
        <w:br/>
        <w:t>i spalanych w nich paliw),</w:t>
      </w:r>
    </w:p>
    <w:p w14:paraId="0F1ED581" w14:textId="31A55CED" w:rsidR="00F13E6A" w:rsidRPr="00890249" w:rsidRDefault="001E7188" w:rsidP="009F296A">
      <w:pPr>
        <w:pStyle w:val="Akapitzlist"/>
        <w:numPr>
          <w:ilvl w:val="0"/>
          <w:numId w:val="40"/>
        </w:numPr>
        <w:ind w:left="714" w:hanging="357"/>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M</w:t>
      </w:r>
      <w:r w:rsidR="47F53518" w:rsidRPr="00890249">
        <w:rPr>
          <w:rFonts w:asciiTheme="minorHAnsi" w:eastAsia="Times New Roman" w:hAnsiTheme="minorHAnsi" w:cstheme="minorHAnsi"/>
          <w:noProof/>
          <w:sz w:val="22"/>
          <w:szCs w:val="22"/>
        </w:rPr>
        <w:t>odernizacja oświetlenia ulicznego na energooszczędne</w:t>
      </w:r>
      <w:r w:rsidRPr="00890249">
        <w:rPr>
          <w:rFonts w:asciiTheme="minorHAnsi" w:eastAsia="Times New Roman" w:hAnsiTheme="minorHAnsi" w:cstheme="minorHAnsi"/>
          <w:noProof/>
          <w:sz w:val="22"/>
          <w:szCs w:val="22"/>
        </w:rPr>
        <w:t>.</w:t>
      </w:r>
    </w:p>
    <w:p w14:paraId="47E6B7CC" w14:textId="0C148E47" w:rsidR="00F13E6A" w:rsidRPr="00890249" w:rsidRDefault="001E7188" w:rsidP="009F296A">
      <w:pPr>
        <w:pStyle w:val="Akapitzlist"/>
        <w:numPr>
          <w:ilvl w:val="0"/>
          <w:numId w:val="40"/>
        </w:numPr>
        <w:ind w:left="714" w:hanging="357"/>
        <w:rPr>
          <w:rFonts w:asciiTheme="minorHAnsi" w:eastAsiaTheme="minorEastAsia"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B</w:t>
      </w:r>
      <w:r w:rsidR="47F53518" w:rsidRPr="00890249">
        <w:rPr>
          <w:rFonts w:asciiTheme="minorHAnsi" w:eastAsiaTheme="minorEastAsia" w:hAnsiTheme="minorHAnsi" w:cstheme="minorHAnsi"/>
          <w:sz w:val="22"/>
          <w:szCs w:val="22"/>
          <w:lang w:eastAsia="en-US" w:bidi="ar-SA"/>
        </w:rPr>
        <w:t xml:space="preserve">udowa pasywnych obiektów użyteczności publicznej, </w:t>
      </w:r>
      <w:r w:rsidR="5902B615" w:rsidRPr="00890249">
        <w:rPr>
          <w:rFonts w:asciiTheme="minorHAnsi" w:hAnsiTheme="minorHAnsi" w:cstheme="minorHAnsi"/>
          <w:noProof/>
          <w:color w:val="1F497D"/>
          <w:sz w:val="22"/>
          <w:szCs w:val="22"/>
        </w:rPr>
        <w:t xml:space="preserve"> </w:t>
      </w:r>
      <w:r w:rsidR="5902B615" w:rsidRPr="00890249">
        <w:rPr>
          <w:rFonts w:asciiTheme="minorHAnsi" w:hAnsiTheme="minorHAnsi" w:cstheme="minorHAnsi"/>
          <w:noProof/>
          <w:sz w:val="22"/>
          <w:szCs w:val="22"/>
        </w:rPr>
        <w:t>o zapotrzebowaniu na ciepło EPh+W nie więcej niż 15 kWh/m2/rok</w:t>
      </w:r>
      <w:r w:rsidRPr="00890249">
        <w:rPr>
          <w:rFonts w:asciiTheme="minorHAnsi" w:eastAsiaTheme="minorEastAsia" w:hAnsiTheme="minorHAnsi" w:cstheme="minorHAnsi"/>
          <w:sz w:val="22"/>
          <w:szCs w:val="22"/>
          <w:lang w:eastAsia="en-US" w:bidi="ar-SA"/>
        </w:rPr>
        <w:t>.</w:t>
      </w:r>
    </w:p>
    <w:p w14:paraId="7925F4F5" w14:textId="06D0E695" w:rsidR="00F13E6A" w:rsidRPr="00890249" w:rsidRDefault="001E7188" w:rsidP="009F296A">
      <w:pPr>
        <w:pStyle w:val="Akapitzlist"/>
        <w:numPr>
          <w:ilvl w:val="0"/>
          <w:numId w:val="40"/>
        </w:numPr>
        <w:ind w:left="714" w:hanging="357"/>
        <w:contextualSpacing w:val="0"/>
        <w:rPr>
          <w:rFonts w:asciiTheme="minorHAnsi" w:eastAsiaTheme="minorHAnsi" w:hAnsiTheme="minorHAnsi" w:cstheme="minorHAnsi"/>
          <w:bCs/>
          <w:sz w:val="22"/>
          <w:szCs w:val="22"/>
          <w:lang w:eastAsia="en-US" w:bidi="ar-SA"/>
        </w:rPr>
      </w:pPr>
      <w:r w:rsidRPr="00890249">
        <w:rPr>
          <w:rFonts w:asciiTheme="minorHAnsi" w:hAnsiTheme="minorHAnsi" w:cstheme="minorHAnsi"/>
          <w:sz w:val="22"/>
          <w:szCs w:val="22"/>
          <w:lang w:eastAsia="en-US"/>
        </w:rPr>
        <w:t>P</w:t>
      </w:r>
      <w:r w:rsidR="47F53518" w:rsidRPr="00890249">
        <w:rPr>
          <w:rFonts w:asciiTheme="minorHAnsi" w:hAnsiTheme="minorHAnsi" w:cstheme="minorHAnsi"/>
          <w:sz w:val="22"/>
          <w:szCs w:val="22"/>
          <w:lang w:eastAsia="en-US"/>
        </w:rPr>
        <w:t>romocja, doradztwo, podnoszenie świadomości i wiedzy</w:t>
      </w:r>
      <w:r w:rsidR="0A347682" w:rsidRPr="00890249">
        <w:rPr>
          <w:rFonts w:asciiTheme="minorHAnsi" w:hAnsiTheme="minorHAnsi" w:cstheme="minorHAnsi"/>
          <w:sz w:val="22"/>
          <w:szCs w:val="22"/>
          <w:lang w:eastAsia="en-US"/>
        </w:rPr>
        <w:t xml:space="preserve"> mieszkańców, przedsiębiorców i </w:t>
      </w:r>
      <w:r w:rsidR="47F53518" w:rsidRPr="00890249">
        <w:rPr>
          <w:rFonts w:asciiTheme="minorHAnsi" w:hAnsiTheme="minorHAnsi" w:cstheme="minorHAnsi"/>
          <w:sz w:val="22"/>
          <w:szCs w:val="22"/>
          <w:lang w:eastAsia="en-US"/>
        </w:rPr>
        <w:t>władz lokalnych, m.in. w zakresie działań na rzecz niskoemisyjnej gospodarki o obiegu zamkniętym, w tym efektywności energetycznej i wykorzystania OZE (komplementarne działania względem interwencji planowanej w ramach programu ogólnokrajowego)</w:t>
      </w:r>
      <w:r w:rsidRPr="00890249">
        <w:rPr>
          <w:rFonts w:asciiTheme="minorHAnsi" w:hAnsiTheme="minorHAnsi" w:cstheme="minorHAnsi"/>
          <w:sz w:val="22"/>
          <w:szCs w:val="22"/>
          <w:lang w:eastAsia="en-US"/>
        </w:rPr>
        <w:t>.</w:t>
      </w:r>
    </w:p>
    <w:p w14:paraId="403351C4" w14:textId="5A329087" w:rsidR="00A63705" w:rsidRPr="00890249" w:rsidRDefault="001E7188" w:rsidP="009F296A">
      <w:pPr>
        <w:pStyle w:val="Akapitzlist"/>
        <w:numPr>
          <w:ilvl w:val="0"/>
          <w:numId w:val="40"/>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rPr>
        <w:t>I</w:t>
      </w:r>
      <w:r w:rsidR="3ADA03BE" w:rsidRPr="00890249">
        <w:rPr>
          <w:rFonts w:asciiTheme="minorHAnsi" w:eastAsiaTheme="minorEastAsia" w:hAnsiTheme="minorHAnsi" w:cstheme="minorHAnsi"/>
          <w:sz w:val="22"/>
          <w:szCs w:val="22"/>
          <w:lang w:eastAsia="en-US" w:bidi="ar-SA"/>
        </w:rPr>
        <w:t xml:space="preserve">nwestycje dla klimatu (Europejska Inicjatywa </w:t>
      </w:r>
      <w:r w:rsidR="008BC1EC" w:rsidRPr="00890249">
        <w:rPr>
          <w:rFonts w:asciiTheme="minorHAnsi" w:eastAsiaTheme="minorEastAsia" w:hAnsiTheme="minorHAnsi" w:cstheme="minorHAnsi"/>
          <w:sz w:val="22"/>
          <w:szCs w:val="22"/>
          <w:lang w:eastAsia="en-US" w:bidi="ar-SA"/>
        </w:rPr>
        <w:t>Społeczna</w:t>
      </w:r>
      <w:r w:rsidR="3ADA03BE" w:rsidRPr="00890249">
        <w:rPr>
          <w:rFonts w:asciiTheme="minorHAnsi" w:eastAsiaTheme="minorEastAsia" w:hAnsiTheme="minorHAnsi" w:cstheme="minorHAnsi"/>
          <w:sz w:val="22"/>
          <w:szCs w:val="22"/>
          <w:lang w:eastAsia="en-US" w:bidi="ar-SA"/>
        </w:rPr>
        <w:t xml:space="preserve"> dla klimatu) w zakresie kompleksowej modernizacji energetycznej obiektów użyteczności publicznej wraz z instalacją urządzeń OZE oraz wymianą/modernizacją źródeł ciepła albo podłączeniem do sieci ciepłowniczej (projekty grantowe).</w:t>
      </w:r>
    </w:p>
    <w:p w14:paraId="163792C1" w14:textId="60DF7284"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8374CE" w:rsidRPr="00890249">
        <w:rPr>
          <w:rFonts w:asciiTheme="minorHAnsi" w:hAnsiTheme="minorHAnsi" w:cstheme="minorHAnsi"/>
          <w:noProof/>
          <w:sz w:val="22"/>
          <w:szCs w:val="22"/>
        </w:rPr>
        <w:t>są zgodne z zasadą DNSH. Ze względu na ich charakter przyjmuje się, że nie mają negatywnego wpływu na środowisko.</w:t>
      </w:r>
    </w:p>
    <w:p w14:paraId="41922A85" w14:textId="69A6E5B4" w:rsidR="0093433C" w:rsidRPr="00890249" w:rsidRDefault="004C343D">
      <w:pPr>
        <w:rPr>
          <w:rFonts w:asciiTheme="minorHAnsi" w:hAnsiTheme="minorHAnsi" w:cstheme="minorHAnsi"/>
          <w:noProof/>
          <w:sz w:val="22"/>
          <w:szCs w:val="22"/>
        </w:rPr>
      </w:pPr>
      <w:r w:rsidRPr="00890249">
        <w:rPr>
          <w:rFonts w:asciiTheme="minorHAnsi" w:hAnsiTheme="minorHAnsi" w:cstheme="minorHAnsi"/>
          <w:b/>
          <w:noProof/>
          <w:color w:val="2F5496" w:themeColor="accent5" w:themeShade="BF"/>
          <w:sz w:val="22"/>
          <w:szCs w:val="22"/>
        </w:rPr>
        <w:t>Główne grupy docelowe</w:t>
      </w:r>
    </w:p>
    <w:p w14:paraId="1B7BB78B" w14:textId="36FF1F0C" w:rsidR="001765C7" w:rsidRPr="00890249" w:rsidRDefault="001765C7" w:rsidP="009F296A">
      <w:pPr>
        <w:pStyle w:val="Akapitzlist"/>
        <w:numPr>
          <w:ilvl w:val="0"/>
          <w:numId w:val="41"/>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w przypadku przedsięwzięć dotyczących efektywności energetycznej w sektorze mieszkaniowym </w:t>
      </w:r>
      <w:r w:rsidR="009C3999">
        <w:rPr>
          <w:rFonts w:asciiTheme="minorHAnsi" w:eastAsia="Times New Roman" w:hAnsiTheme="minorHAnsi" w:cstheme="minorHAnsi"/>
          <w:noProof/>
          <w:sz w:val="22"/>
          <w:szCs w:val="22"/>
        </w:rPr>
        <w:t xml:space="preserve">w formie dotacji </w:t>
      </w:r>
      <w:r w:rsidRPr="00890249">
        <w:rPr>
          <w:rFonts w:asciiTheme="minorHAnsi" w:eastAsia="Times New Roman" w:hAnsiTheme="minorHAnsi" w:cstheme="minorHAnsi"/>
          <w:noProof/>
          <w:sz w:val="22"/>
          <w:szCs w:val="22"/>
        </w:rPr>
        <w:t>realizowane projekty będą skierowane do</w:t>
      </w:r>
      <w:r w:rsidR="00BD46BE" w:rsidRPr="00890249">
        <w:rPr>
          <w:rFonts w:asciiTheme="minorHAnsi" w:eastAsia="Times New Roman" w:hAnsiTheme="minorHAnsi" w:cstheme="minorHAnsi"/>
          <w:noProof/>
          <w:sz w:val="22"/>
          <w:szCs w:val="22"/>
        </w:rPr>
        <w:t xml:space="preserve"> </w:t>
      </w:r>
      <w:r w:rsidRPr="00890249">
        <w:rPr>
          <w:rFonts w:asciiTheme="minorHAnsi" w:eastAsia="Times New Roman" w:hAnsiTheme="minorHAnsi" w:cstheme="minorHAnsi"/>
          <w:noProof/>
          <w:sz w:val="22"/>
          <w:szCs w:val="22"/>
        </w:rPr>
        <w:t>JST zamierzających inwestować w poprawę efektywności energetycznej budynków mieszkalnych przez nie zarządzanych,</w:t>
      </w:r>
    </w:p>
    <w:p w14:paraId="743D1673" w14:textId="7EDE8F3C" w:rsidR="001765C7" w:rsidRPr="00890249" w:rsidRDefault="001765C7" w:rsidP="009F296A">
      <w:pPr>
        <w:pStyle w:val="Akapitzlist"/>
        <w:numPr>
          <w:ilvl w:val="0"/>
          <w:numId w:val="41"/>
        </w:numPr>
        <w:rPr>
          <w:rFonts w:asciiTheme="minorHAnsi" w:eastAsia="Times New Roman" w:hAnsiTheme="minorHAnsi" w:cstheme="minorHAnsi"/>
          <w:noProof/>
          <w:sz w:val="22"/>
          <w:szCs w:val="22"/>
        </w:rPr>
      </w:pPr>
      <w:r w:rsidRPr="00890249">
        <w:rPr>
          <w:rFonts w:asciiTheme="minorHAnsi" w:hAnsiTheme="minorHAnsi" w:cstheme="minorHAnsi"/>
          <w:noProof/>
          <w:sz w:val="22"/>
          <w:szCs w:val="22"/>
        </w:rPr>
        <w:t xml:space="preserve">w przypadku interwencji w formie instrumentów finansowych </w:t>
      </w:r>
      <w:r w:rsidRPr="00890249">
        <w:rPr>
          <w:rFonts w:asciiTheme="minorHAnsi" w:eastAsia="Times New Roman" w:hAnsiTheme="minorHAnsi" w:cstheme="minorHAnsi"/>
          <w:noProof/>
          <w:sz w:val="22"/>
          <w:szCs w:val="22"/>
        </w:rPr>
        <w:t>realizowane projekty skierowane bę</w:t>
      </w:r>
      <w:r w:rsidR="007326EB" w:rsidRPr="00890249">
        <w:rPr>
          <w:rFonts w:asciiTheme="minorHAnsi" w:eastAsia="Times New Roman" w:hAnsiTheme="minorHAnsi" w:cstheme="minorHAnsi"/>
          <w:noProof/>
          <w:sz w:val="22"/>
          <w:szCs w:val="22"/>
        </w:rPr>
        <w:t xml:space="preserve">dą do </w:t>
      </w:r>
      <w:r w:rsidR="00801145" w:rsidRPr="00801145">
        <w:rPr>
          <w:rFonts w:asciiTheme="minorHAnsi" w:eastAsia="Times New Roman" w:hAnsiTheme="minorHAnsi" w:cstheme="minorHAnsi"/>
          <w:noProof/>
          <w:sz w:val="22"/>
          <w:szCs w:val="22"/>
        </w:rPr>
        <w:t>JST oraz jednostek organizacyjnych JST, PPP, wspólnot mieszkaniowych, TBS, przedsiębiorstw ciepłowniczych (w tym spółek komunalnych) o</w:t>
      </w:r>
      <w:r w:rsidR="00801145">
        <w:rPr>
          <w:rFonts w:asciiTheme="minorHAnsi" w:eastAsia="Times New Roman" w:hAnsiTheme="minorHAnsi" w:cstheme="minorHAnsi"/>
          <w:noProof/>
          <w:sz w:val="22"/>
          <w:szCs w:val="22"/>
        </w:rPr>
        <w:t xml:space="preserve">raz </w:t>
      </w:r>
      <w:r w:rsidR="007326EB" w:rsidRPr="00890249">
        <w:rPr>
          <w:rFonts w:asciiTheme="minorHAnsi" w:eastAsia="Times New Roman" w:hAnsiTheme="minorHAnsi" w:cstheme="minorHAnsi"/>
          <w:noProof/>
          <w:sz w:val="22"/>
          <w:szCs w:val="22"/>
        </w:rPr>
        <w:t>przedsiębiorstw z sektora</w:t>
      </w:r>
      <w:r w:rsidR="007326EB" w:rsidRPr="00890249">
        <w:rPr>
          <w:rFonts w:asciiTheme="minorHAnsi" w:hAnsiTheme="minorHAnsi" w:cstheme="minorHAnsi"/>
          <w:noProof/>
          <w:sz w:val="22"/>
          <w:szCs w:val="22"/>
        </w:rPr>
        <w:t xml:space="preserve"> mikro i małych przedsiębiorstw </w:t>
      </w:r>
      <w:r w:rsidRPr="00890249">
        <w:rPr>
          <w:rFonts w:asciiTheme="minorHAnsi" w:eastAsia="Times New Roman" w:hAnsiTheme="minorHAnsi" w:cstheme="minorHAnsi"/>
          <w:noProof/>
          <w:sz w:val="22"/>
          <w:szCs w:val="22"/>
        </w:rPr>
        <w:t>zamierzających zwiększyć efektywność energetyczną,</w:t>
      </w:r>
    </w:p>
    <w:p w14:paraId="66933A81" w14:textId="31A17F8B" w:rsidR="0092326D" w:rsidRPr="00890249" w:rsidRDefault="0092326D" w:rsidP="009F296A">
      <w:pPr>
        <w:pStyle w:val="Akapitzlist"/>
        <w:numPr>
          <w:ilvl w:val="0"/>
          <w:numId w:val="41"/>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w przypadku Europejskiej Inicjatywy </w:t>
      </w:r>
      <w:r w:rsidR="00825B75" w:rsidRPr="00890249">
        <w:rPr>
          <w:rFonts w:asciiTheme="minorHAnsi" w:eastAsia="Times New Roman" w:hAnsiTheme="minorHAnsi" w:cstheme="minorHAnsi"/>
          <w:noProof/>
          <w:sz w:val="22"/>
          <w:szCs w:val="22"/>
        </w:rPr>
        <w:t xml:space="preserve">Społecznej </w:t>
      </w:r>
      <w:r w:rsidRPr="00890249">
        <w:rPr>
          <w:rFonts w:asciiTheme="minorHAnsi" w:eastAsia="Times New Roman" w:hAnsiTheme="minorHAnsi" w:cstheme="minorHAnsi"/>
          <w:noProof/>
          <w:sz w:val="22"/>
          <w:szCs w:val="22"/>
        </w:rPr>
        <w:t xml:space="preserve">dla klimatu </w:t>
      </w:r>
      <w:r w:rsidR="00A94E4C" w:rsidRPr="00890249">
        <w:rPr>
          <w:rFonts w:asciiTheme="minorHAnsi" w:eastAsia="Times New Roman" w:hAnsiTheme="minorHAnsi" w:cstheme="minorHAnsi"/>
          <w:noProof/>
          <w:sz w:val="22"/>
          <w:szCs w:val="22"/>
        </w:rPr>
        <w:t>- lokalne społe</w:t>
      </w:r>
      <w:r w:rsidRPr="00890249">
        <w:rPr>
          <w:rFonts w:asciiTheme="minorHAnsi" w:eastAsia="Times New Roman" w:hAnsiTheme="minorHAnsi" w:cstheme="minorHAnsi"/>
          <w:noProof/>
          <w:sz w:val="22"/>
          <w:szCs w:val="22"/>
        </w:rPr>
        <w:t>czności,</w:t>
      </w:r>
    </w:p>
    <w:p w14:paraId="3938431A" w14:textId="69FE9ECF" w:rsidR="00356712" w:rsidRPr="00890249" w:rsidRDefault="001765C7" w:rsidP="009F296A">
      <w:pPr>
        <w:pStyle w:val="Akapitzlist"/>
        <w:numPr>
          <w:ilvl w:val="0"/>
          <w:numId w:val="41"/>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dla pozostałych przedsięwzięć (w tym dotyczących efektywności energetycznej w sektorze publicznym) </w:t>
      </w:r>
      <w:r w:rsidR="002C18C7" w:rsidRPr="00890249">
        <w:rPr>
          <w:rFonts w:asciiTheme="minorHAnsi" w:eastAsia="Times New Roman" w:hAnsiTheme="minorHAnsi" w:cstheme="minorHAnsi"/>
          <w:noProof/>
          <w:sz w:val="22"/>
          <w:szCs w:val="22"/>
        </w:rPr>
        <w:t>relizowane projekty skierowane będą do JST i jednostek organizacyjnych JST</w:t>
      </w:r>
      <w:r w:rsidR="009F6608" w:rsidRPr="00890249">
        <w:rPr>
          <w:rFonts w:asciiTheme="minorHAnsi" w:eastAsia="Times New Roman" w:hAnsiTheme="minorHAnsi" w:cstheme="minorHAnsi"/>
          <w:noProof/>
          <w:sz w:val="22"/>
          <w:szCs w:val="22"/>
        </w:rPr>
        <w:t xml:space="preserve">, </w:t>
      </w:r>
      <w:r w:rsidR="00274474" w:rsidRPr="00890249">
        <w:rPr>
          <w:rFonts w:asciiTheme="minorHAnsi" w:eastAsia="Times New Roman" w:hAnsiTheme="minorHAnsi" w:cstheme="minorHAnsi"/>
          <w:noProof/>
          <w:sz w:val="22"/>
          <w:szCs w:val="22"/>
        </w:rPr>
        <w:lastRenderedPageBreak/>
        <w:t>instytucji kultury</w:t>
      </w:r>
      <w:r w:rsidR="009F6608" w:rsidRPr="00890249">
        <w:rPr>
          <w:rFonts w:asciiTheme="minorHAnsi" w:eastAsia="Times New Roman" w:hAnsiTheme="minorHAnsi" w:cstheme="minorHAnsi"/>
          <w:noProof/>
          <w:sz w:val="22"/>
          <w:szCs w:val="22"/>
        </w:rPr>
        <w:t xml:space="preserve"> oraz podmiot</w:t>
      </w:r>
      <w:r w:rsidR="00825B75" w:rsidRPr="00890249">
        <w:rPr>
          <w:rFonts w:asciiTheme="minorHAnsi" w:eastAsia="Times New Roman" w:hAnsiTheme="minorHAnsi" w:cstheme="minorHAnsi"/>
          <w:noProof/>
          <w:sz w:val="22"/>
          <w:szCs w:val="22"/>
        </w:rPr>
        <w:t>ów</w:t>
      </w:r>
      <w:r w:rsidR="009F6608" w:rsidRPr="00890249">
        <w:rPr>
          <w:rFonts w:asciiTheme="minorHAnsi" w:eastAsia="Times New Roman" w:hAnsiTheme="minorHAnsi" w:cstheme="minorHAnsi"/>
          <w:noProof/>
          <w:sz w:val="22"/>
          <w:szCs w:val="22"/>
        </w:rPr>
        <w:t xml:space="preserve"> działając</w:t>
      </w:r>
      <w:r w:rsidR="00825B75" w:rsidRPr="00890249">
        <w:rPr>
          <w:rFonts w:asciiTheme="minorHAnsi" w:eastAsia="Times New Roman" w:hAnsiTheme="minorHAnsi" w:cstheme="minorHAnsi"/>
          <w:noProof/>
          <w:sz w:val="22"/>
          <w:szCs w:val="22"/>
        </w:rPr>
        <w:t>ych w oparciu</w:t>
      </w:r>
      <w:r w:rsidR="009F6608" w:rsidRPr="00890249">
        <w:rPr>
          <w:rFonts w:asciiTheme="minorHAnsi" w:eastAsia="Times New Roman" w:hAnsiTheme="minorHAnsi" w:cstheme="minorHAnsi"/>
          <w:noProof/>
          <w:sz w:val="22"/>
          <w:szCs w:val="22"/>
        </w:rPr>
        <w:t xml:space="preserve"> o przepisy ustawy o partnerstwie publiczno-prywatnym</w:t>
      </w:r>
      <w:r w:rsidR="002C18C7" w:rsidRPr="00890249">
        <w:rPr>
          <w:rFonts w:asciiTheme="minorHAnsi" w:eastAsia="Times New Roman" w:hAnsiTheme="minorHAnsi" w:cstheme="minorHAnsi"/>
          <w:noProof/>
          <w:sz w:val="22"/>
          <w:szCs w:val="22"/>
        </w:rPr>
        <w:t xml:space="preserve">. </w:t>
      </w:r>
    </w:p>
    <w:p w14:paraId="0A4F31F1" w14:textId="77777777" w:rsidR="004C343D" w:rsidRPr="00890249" w:rsidRDefault="004C343D" w:rsidP="004C343D">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66D259CC" w14:textId="77777777" w:rsidR="0093433C" w:rsidRPr="00890249" w:rsidRDefault="16BF945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Dyskryminacja zarówno bezpośrednia, jak i pośrednia ze względu na płeć, pochodzenie rasowe lub etniczne, religię lub światopogląd, niepełnosprawność, wiek, orientację oraz tożsamość seksualną pracowników</w:t>
      </w:r>
      <w:r w:rsidRPr="00890249">
        <w:rPr>
          <w:rFonts w:asciiTheme="minorHAnsi" w:eastAsia="Times New Roman" w:hAnsiTheme="minorHAnsi" w:cstheme="minorHAnsi"/>
          <w:noProof/>
          <w:sz w:val="22"/>
          <w:szCs w:val="22"/>
        </w:rPr>
        <w:t xml:space="preserve"> wspólnot mieszkaniowych oraz JST zamierzających inwestować w poprawę efektywności energetycznej budynków mieszkalnych przez nie zarządzanych or</w:t>
      </w:r>
      <w:r w:rsidR="75016939" w:rsidRPr="00890249">
        <w:rPr>
          <w:rFonts w:asciiTheme="minorHAnsi" w:eastAsia="Times New Roman" w:hAnsiTheme="minorHAnsi" w:cstheme="minorHAnsi"/>
          <w:noProof/>
          <w:sz w:val="22"/>
          <w:szCs w:val="22"/>
        </w:rPr>
        <w:t xml:space="preserve">az pracowników przedsiębiorstw </w:t>
      </w:r>
      <w:r w:rsidRPr="00890249">
        <w:rPr>
          <w:rFonts w:asciiTheme="minorHAnsi" w:eastAsia="Times New Roman" w:hAnsiTheme="minorHAnsi" w:cstheme="minorHAnsi"/>
          <w:noProof/>
          <w:sz w:val="22"/>
          <w:szCs w:val="22"/>
        </w:rPr>
        <w:t xml:space="preserve">z sektora MŚP zamierzających zwiększyć efektywność energetyczną </w:t>
      </w:r>
      <w:r w:rsidRPr="00890249">
        <w:rPr>
          <w:rFonts w:asciiTheme="minorHAnsi" w:hAnsiTheme="minorHAnsi" w:cstheme="minorHAnsi"/>
          <w:sz w:val="22"/>
          <w:szCs w:val="22"/>
          <w:lang w:eastAsia="en-US" w:bidi="ar-SA"/>
        </w:rPr>
        <w:t xml:space="preserve">może skutkować stresem mniejszościowym, poczuciem alienacji, izolacją społeczną, brakiem akceptacji wśród społeczności oraz brakiem wsparcia społecznego. </w:t>
      </w:r>
    </w:p>
    <w:p w14:paraId="5E33C838" w14:textId="19590837"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Z badań wynika, że w szczególne zagrożenie stanowi ubóstwo energetyczne dotykające zwłaszcza osoby mniej zamożne, w tym osoby starsze, rodziców samotni</w:t>
      </w:r>
      <w:r w:rsidR="000B2721">
        <w:rPr>
          <w:rFonts w:asciiTheme="minorHAnsi" w:hAnsiTheme="minorHAnsi" w:cstheme="minorHAnsi"/>
          <w:sz w:val="22"/>
          <w:szCs w:val="22"/>
        </w:rPr>
        <w:t>e wychowujących dzieci, osoby z </w:t>
      </w:r>
      <w:r w:rsidRPr="00890249">
        <w:rPr>
          <w:rFonts w:asciiTheme="minorHAnsi" w:hAnsiTheme="minorHAnsi" w:cstheme="minorHAnsi"/>
          <w:sz w:val="22"/>
          <w:szCs w:val="22"/>
        </w:rPr>
        <w:t>niepełnosprawnościami oraz rodziny wielodzietne. W ramach c</w:t>
      </w:r>
      <w:r w:rsidR="0046715F" w:rsidRPr="00890249">
        <w:rPr>
          <w:rFonts w:asciiTheme="minorHAnsi" w:hAnsiTheme="minorHAnsi" w:cstheme="minorHAnsi"/>
          <w:sz w:val="22"/>
          <w:szCs w:val="22"/>
        </w:rPr>
        <w:t>s</w:t>
      </w:r>
      <w:r w:rsidRPr="00890249">
        <w:rPr>
          <w:rFonts w:asciiTheme="minorHAnsi" w:hAnsiTheme="minorHAnsi" w:cstheme="minorHAnsi"/>
          <w:sz w:val="22"/>
          <w:szCs w:val="22"/>
        </w:rPr>
        <w:t xml:space="preserve"> uwzględnione zostanie wsparcie osób dotkniętych lub narażonych na zjawisko ubóstwa energetycznego. W celu szczegółowym realizowane będą zadania dotyczące doradztwa energetycznego w zakresie efektywności energetycznej, OZE  i dekarbonizacji ciepłownictwa systemowego.</w:t>
      </w:r>
    </w:p>
    <w:p w14:paraId="026C2975" w14:textId="1DA08A1F"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Wspieranie inwestycji w zakresie efektywności energetycznej </w:t>
      </w:r>
      <w:r w:rsidR="000B2721">
        <w:rPr>
          <w:rFonts w:asciiTheme="minorHAnsi" w:hAnsiTheme="minorHAnsi" w:cstheme="minorHAnsi"/>
          <w:sz w:val="22"/>
          <w:szCs w:val="22"/>
        </w:rPr>
        <w:t>wpłynie pozytywnie na zdrowie i </w:t>
      </w:r>
      <w:r w:rsidRPr="00890249">
        <w:rPr>
          <w:rFonts w:asciiTheme="minorHAnsi" w:hAnsiTheme="minorHAnsi" w:cstheme="minorHAnsi"/>
          <w:sz w:val="22"/>
          <w:szCs w:val="22"/>
        </w:rPr>
        <w:t>długość życia mieszkańców, a tym samym będzie pośrednio ograniczać zjawisko wykluczenia społecznego i związanego z nim ubóstwa.</w:t>
      </w:r>
    </w:p>
    <w:p w14:paraId="03747668" w14:textId="77777777" w:rsidR="004C343D" w:rsidRPr="00890249" w:rsidRDefault="004C343D" w:rsidP="004C343D">
      <w:pPr>
        <w:rPr>
          <w:rFonts w:asciiTheme="minorHAnsi" w:hAnsiTheme="minorHAnsi" w:cstheme="minorHAnsi"/>
          <w:noProof/>
          <w:sz w:val="22"/>
          <w:szCs w:val="22"/>
          <w:highlight w:val="yellow"/>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1B82D3E0" w14:textId="77777777" w:rsidR="0093433C" w:rsidRPr="00890249" w:rsidRDefault="00B31EA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7433D0E3" w14:textId="77777777" w:rsidR="004C343D" w:rsidRPr="00890249" w:rsidRDefault="004C343D" w:rsidP="004C343D">
      <w:pPr>
        <w:rPr>
          <w:rFonts w:asciiTheme="minorHAnsi" w:eastAsia="Times New Roman" w:hAnsiTheme="minorHAnsi" w:cstheme="minorHAnsi"/>
          <w:i/>
          <w:noProof/>
          <w:sz w:val="22"/>
          <w:szCs w:val="22"/>
        </w:rPr>
      </w:pPr>
      <w:r w:rsidRPr="00890249">
        <w:rPr>
          <w:rFonts w:asciiTheme="minorHAnsi" w:hAnsiTheme="minorHAnsi" w:cstheme="minorHAnsi"/>
          <w:b/>
          <w:noProof/>
          <w:color w:val="2F5496" w:themeColor="accent5" w:themeShade="BF"/>
          <w:sz w:val="22"/>
          <w:szCs w:val="22"/>
        </w:rPr>
        <w:t xml:space="preserve">Działania międzyregionalne, transgraniczne i transnarodowe </w:t>
      </w:r>
    </w:p>
    <w:p w14:paraId="4EBB951F" w14:textId="77777777" w:rsidR="0093433C" w:rsidRPr="00890249" w:rsidRDefault="00C52BA1"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Program co do zasady obejmuje swoim zasięgiem terytorium całego województwa. Program realizować będzie jednak projekty, których wpływ i znaczenie będzie miało wymiar europejski, m.in. w kontekście realizacji celów Europejskiego Zielonego Ładu.</w:t>
      </w:r>
    </w:p>
    <w:p w14:paraId="41F0BC2A" w14:textId="77777777" w:rsidR="00C52BA1" w:rsidRPr="00890249" w:rsidRDefault="00C52BA1" w:rsidP="00C52BA1">
      <w:pPr>
        <w:pStyle w:val="Default"/>
        <w:jc w:val="both"/>
        <w:rPr>
          <w:rFonts w:asciiTheme="minorHAnsi" w:hAnsiTheme="minorHAnsi" w:cstheme="minorHAnsi"/>
          <w:sz w:val="22"/>
          <w:szCs w:val="22"/>
        </w:rPr>
      </w:pPr>
      <w:r w:rsidRPr="00890249">
        <w:rPr>
          <w:rFonts w:asciiTheme="minorHAnsi" w:hAnsiTheme="minorHAnsi" w:cstheme="minorHAnsi"/>
          <w:noProof/>
          <w:sz w:val="22"/>
          <w:szCs w:val="22"/>
        </w:rPr>
        <w:t>Realizowane w ramach Programu projekty przyczyniają się do realizacji celów unii energetycznej, w tym promowania efektywności energetycznej i oszczędności energii, dekarbonizacji i przejścia na gospodarkę niskoemisyjną zgodnie z porozumieniem paryskim oraz promowania rozwoju nowych i odnawialnych form energii, aby lepiej dostosować cele związane ze zmianami klimatu do nowej struktury rynku i lepiej je z tym rynkiem zintegrować. Ze względu na punktowy charakter inwestycji nie przewiduje się w ramach tego cs możliwości realizacji przedsięwzięć międzyregionalnych i transnarodowych. Na etapie tworzenia programu nie zidentyfikowano konkretnych propozycji projektów wychodzących poza obszar objęty programem regionalnym. Zapewniona zostanie komplementarność pomiędzy programami, w tym transgranicznymi oraz pomiędzy poszczególnymi funduszami w ramach prowadzonych interwencji.</w:t>
      </w:r>
      <w:r w:rsidRPr="00890249">
        <w:rPr>
          <w:rFonts w:asciiTheme="minorHAnsi" w:hAnsiTheme="minorHAnsi" w:cstheme="minorHAnsi"/>
          <w:sz w:val="22"/>
          <w:szCs w:val="22"/>
        </w:rPr>
        <w:t xml:space="preserve"> </w:t>
      </w:r>
    </w:p>
    <w:p w14:paraId="017803AA" w14:textId="3CD35D5A" w:rsidR="0093433C" w:rsidRPr="00890249" w:rsidRDefault="00C52BA1"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Jednocześnie planowana interwencja będzie przyczyniać się do zacieśniania współpracy międzynarodowej, co jest głównym celem makroregionalnej Strategii UE</w:t>
      </w:r>
      <w:r w:rsidR="003C7C20" w:rsidRPr="00890249">
        <w:rPr>
          <w:rFonts w:asciiTheme="minorHAnsi" w:hAnsiTheme="minorHAnsi" w:cstheme="minorHAnsi"/>
          <w:noProof/>
          <w:sz w:val="22"/>
          <w:szCs w:val="22"/>
        </w:rPr>
        <w:t xml:space="preserve"> dla Regionu Morza Bałtyckiego. </w:t>
      </w:r>
      <w:r w:rsidRPr="00890249">
        <w:rPr>
          <w:rFonts w:asciiTheme="minorHAnsi" w:hAnsiTheme="minorHAnsi" w:cstheme="minorHAnsi"/>
          <w:noProof/>
          <w:sz w:val="22"/>
          <w:szCs w:val="22"/>
        </w:rPr>
        <w:t>Strategia stwarza możliwość nawiązania s</w:t>
      </w:r>
      <w:r w:rsidR="003C7C20" w:rsidRPr="00890249">
        <w:rPr>
          <w:rFonts w:asciiTheme="minorHAnsi" w:hAnsiTheme="minorHAnsi" w:cstheme="minorHAnsi"/>
          <w:noProof/>
          <w:sz w:val="22"/>
          <w:szCs w:val="22"/>
        </w:rPr>
        <w:t xml:space="preserve">zerokich kontaktów </w:t>
      </w:r>
      <w:r w:rsidRPr="00890249">
        <w:rPr>
          <w:rFonts w:asciiTheme="minorHAnsi" w:hAnsiTheme="minorHAnsi" w:cstheme="minorHAnsi"/>
          <w:noProof/>
          <w:sz w:val="22"/>
          <w:szCs w:val="22"/>
        </w:rPr>
        <w:t xml:space="preserve">z partnerami makroregionu, inicjowania nowych projektów oraz promowania na forum międzynarodowym projektów już istniejących. </w:t>
      </w:r>
    </w:p>
    <w:p w14:paraId="38924B16" w14:textId="5F57656E" w:rsidR="0093433C" w:rsidRPr="00890249" w:rsidRDefault="005E04BC" w:rsidP="005E04BC">
      <w:pPr>
        <w:spacing w:before="0" w:after="160" w:line="259" w:lineRule="auto"/>
        <w:jc w:val="left"/>
        <w:rPr>
          <w:rFonts w:asciiTheme="minorHAnsi" w:hAnsiTheme="minorHAnsi" w:cstheme="minorHAnsi"/>
          <w:noProof/>
          <w:sz w:val="22"/>
          <w:szCs w:val="22"/>
        </w:rPr>
      </w:pPr>
      <w:r>
        <w:rPr>
          <w:rFonts w:asciiTheme="minorHAnsi" w:hAnsiTheme="minorHAnsi" w:cstheme="minorHAnsi"/>
          <w:noProof/>
          <w:sz w:val="22"/>
          <w:szCs w:val="22"/>
        </w:rPr>
        <w:br w:type="page"/>
      </w:r>
    </w:p>
    <w:p w14:paraId="424FFAB5" w14:textId="77777777" w:rsidR="004C343D" w:rsidRPr="00890249" w:rsidRDefault="004C343D" w:rsidP="004C343D">
      <w:pPr>
        <w:rPr>
          <w:rFonts w:asciiTheme="minorHAnsi" w:eastAsia="Times New Roman" w:hAnsiTheme="minorHAnsi" w:cstheme="minorHAnsi"/>
          <w:i/>
          <w:noProof/>
          <w:sz w:val="22"/>
          <w:szCs w:val="22"/>
        </w:rPr>
      </w:pPr>
      <w:r w:rsidRPr="00890249">
        <w:rPr>
          <w:rFonts w:asciiTheme="minorHAnsi" w:hAnsiTheme="minorHAnsi" w:cstheme="minorHAnsi"/>
          <w:b/>
          <w:noProof/>
          <w:color w:val="2F5496" w:themeColor="accent5" w:themeShade="BF"/>
          <w:sz w:val="22"/>
          <w:szCs w:val="22"/>
        </w:rPr>
        <w:lastRenderedPageBreak/>
        <w:t>Planowane wykorzystanie instrumentów finansowych</w:t>
      </w:r>
    </w:p>
    <w:p w14:paraId="548D5F6D" w14:textId="5FF0DF83" w:rsidR="0093433C" w:rsidRPr="00890249" w:rsidRDefault="00AF6B5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IF poł</w:t>
      </w:r>
      <w:r w:rsidR="00392B60">
        <w:rPr>
          <w:rFonts w:asciiTheme="minorHAnsi" w:hAnsiTheme="minorHAnsi" w:cstheme="minorHAnsi"/>
          <w:noProof/>
          <w:sz w:val="22"/>
          <w:szCs w:val="22"/>
        </w:rPr>
        <w:t>.</w:t>
      </w:r>
      <w:r w:rsidRPr="00890249">
        <w:rPr>
          <w:rFonts w:asciiTheme="minorHAnsi" w:hAnsiTheme="minorHAnsi" w:cstheme="minorHAnsi"/>
          <w:noProof/>
          <w:sz w:val="22"/>
          <w:szCs w:val="22"/>
        </w:rPr>
        <w:t xml:space="preserve"> z dotacj</w:t>
      </w:r>
      <w:r w:rsidR="00B46AB6">
        <w:rPr>
          <w:rFonts w:asciiTheme="minorHAnsi" w:hAnsiTheme="minorHAnsi" w:cstheme="minorHAnsi"/>
          <w:noProof/>
          <w:sz w:val="22"/>
          <w:szCs w:val="22"/>
        </w:rPr>
        <w:t>.</w:t>
      </w:r>
      <w:r w:rsidRPr="00890249">
        <w:rPr>
          <w:rFonts w:asciiTheme="minorHAnsi" w:hAnsiTheme="minorHAnsi" w:cstheme="minorHAnsi"/>
          <w:noProof/>
          <w:sz w:val="22"/>
          <w:szCs w:val="22"/>
        </w:rPr>
        <w:t xml:space="preserve"> w ramach jednej operacji</w:t>
      </w:r>
      <w:r w:rsidRPr="00B87B2A">
        <w:rPr>
          <w:rFonts w:asciiTheme="minorHAnsi" w:hAnsiTheme="minorHAnsi" w:cstheme="minorHAnsi"/>
          <w:noProof/>
          <w:sz w:val="22"/>
          <w:szCs w:val="22"/>
          <w:vertAlign w:val="superscript"/>
        </w:rPr>
        <w:footnoteReference w:id="106"/>
      </w:r>
      <w:r w:rsidRPr="00890249">
        <w:rPr>
          <w:rFonts w:asciiTheme="minorHAnsi" w:hAnsiTheme="minorHAnsi" w:cstheme="minorHAnsi"/>
          <w:noProof/>
          <w:sz w:val="22"/>
          <w:szCs w:val="22"/>
        </w:rPr>
        <w:t xml:space="preserve"> w obsz</w:t>
      </w:r>
      <w:r w:rsidR="00B46AB6">
        <w:rPr>
          <w:rFonts w:asciiTheme="minorHAnsi" w:hAnsiTheme="minorHAnsi" w:cstheme="minorHAnsi"/>
          <w:noProof/>
          <w:sz w:val="22"/>
          <w:szCs w:val="22"/>
        </w:rPr>
        <w:t>.</w:t>
      </w:r>
      <w:r w:rsidRPr="00890249">
        <w:rPr>
          <w:rFonts w:asciiTheme="minorHAnsi" w:hAnsiTheme="minorHAnsi" w:cstheme="minorHAnsi"/>
          <w:noProof/>
          <w:sz w:val="22"/>
          <w:szCs w:val="22"/>
        </w:rPr>
        <w:t>:</w:t>
      </w:r>
    </w:p>
    <w:p w14:paraId="4CA8D376" w14:textId="2B17C72D" w:rsidR="00AF6B58" w:rsidRPr="00890249" w:rsidRDefault="00AF6B58" w:rsidP="009F296A">
      <w:pPr>
        <w:pStyle w:val="Akapitzlist"/>
        <w:numPr>
          <w:ilvl w:val="0"/>
          <w:numId w:val="117"/>
        </w:numPr>
        <w:rPr>
          <w:rFonts w:asciiTheme="minorHAnsi" w:eastAsia="Times New Roman" w:hAnsiTheme="minorHAnsi" w:cstheme="minorHAnsi"/>
          <w:noProof/>
          <w:sz w:val="22"/>
          <w:szCs w:val="22"/>
        </w:rPr>
      </w:pPr>
      <w:r w:rsidRPr="00890249">
        <w:rPr>
          <w:rFonts w:asciiTheme="minorHAnsi" w:hAnsiTheme="minorHAnsi" w:cstheme="minorHAnsi"/>
          <w:noProof/>
          <w:sz w:val="22"/>
          <w:szCs w:val="22"/>
        </w:rPr>
        <w:t>realiz</w:t>
      </w:r>
      <w:r w:rsidR="00392B60">
        <w:rPr>
          <w:rFonts w:asciiTheme="minorHAnsi" w:hAnsiTheme="minorHAnsi" w:cstheme="minorHAnsi"/>
          <w:noProof/>
          <w:sz w:val="22"/>
          <w:szCs w:val="22"/>
        </w:rPr>
        <w:t>.</w:t>
      </w:r>
      <w:r w:rsidRPr="00890249">
        <w:rPr>
          <w:rFonts w:asciiTheme="minorHAnsi" w:hAnsiTheme="minorHAnsi" w:cstheme="minorHAnsi"/>
          <w:noProof/>
          <w:sz w:val="22"/>
          <w:szCs w:val="22"/>
        </w:rPr>
        <w:t xml:space="preserve"> przez mikro i małe przeds</w:t>
      </w:r>
      <w:r w:rsidR="00392B60">
        <w:rPr>
          <w:rFonts w:asciiTheme="minorHAnsi" w:hAnsiTheme="minorHAnsi" w:cstheme="minorHAnsi"/>
          <w:noProof/>
          <w:sz w:val="22"/>
          <w:szCs w:val="22"/>
        </w:rPr>
        <w:t>.</w:t>
      </w:r>
    </w:p>
    <w:p w14:paraId="2E35627D" w14:textId="7F13071F" w:rsidR="009C3999" w:rsidRPr="00890249" w:rsidRDefault="00AF6B58" w:rsidP="00103DC4">
      <w:pPr>
        <w:pStyle w:val="Akapitzlist"/>
        <w:numPr>
          <w:ilvl w:val="0"/>
          <w:numId w:val="117"/>
        </w:numPr>
        <w:rPr>
          <w:noProof/>
        </w:rPr>
      </w:pPr>
      <w:r w:rsidRPr="00890249">
        <w:rPr>
          <w:rFonts w:asciiTheme="minorHAnsi" w:hAnsiTheme="minorHAnsi" w:cstheme="minorHAnsi"/>
          <w:noProof/>
          <w:sz w:val="22"/>
          <w:szCs w:val="22"/>
        </w:rPr>
        <w:t>wielorodz</w:t>
      </w:r>
      <w:r w:rsidR="00392B60">
        <w:rPr>
          <w:rFonts w:asciiTheme="minorHAnsi" w:hAnsiTheme="minorHAnsi" w:cstheme="minorHAnsi"/>
          <w:noProof/>
          <w:sz w:val="22"/>
          <w:szCs w:val="22"/>
        </w:rPr>
        <w:t>.</w:t>
      </w:r>
      <w:r w:rsidRPr="00890249">
        <w:rPr>
          <w:rFonts w:asciiTheme="minorHAnsi" w:hAnsiTheme="minorHAnsi" w:cstheme="minorHAnsi"/>
          <w:noProof/>
          <w:sz w:val="22"/>
          <w:szCs w:val="22"/>
        </w:rPr>
        <w:t xml:space="preserve"> bud</w:t>
      </w:r>
      <w:r w:rsidR="0094197C">
        <w:rPr>
          <w:rFonts w:asciiTheme="minorHAnsi" w:hAnsiTheme="minorHAnsi" w:cstheme="minorHAnsi"/>
          <w:noProof/>
          <w:sz w:val="22"/>
          <w:szCs w:val="22"/>
        </w:rPr>
        <w:t>.</w:t>
      </w:r>
      <w:r w:rsidRPr="00890249">
        <w:rPr>
          <w:rFonts w:asciiTheme="minorHAnsi" w:hAnsiTheme="minorHAnsi" w:cstheme="minorHAnsi"/>
          <w:noProof/>
          <w:sz w:val="22"/>
          <w:szCs w:val="22"/>
        </w:rPr>
        <w:t xml:space="preserve"> mieszk</w:t>
      </w:r>
      <w:r w:rsidR="00392B60">
        <w:rPr>
          <w:rFonts w:asciiTheme="minorHAnsi" w:hAnsiTheme="minorHAnsi" w:cstheme="minorHAnsi"/>
          <w:noProof/>
          <w:sz w:val="22"/>
          <w:szCs w:val="22"/>
        </w:rPr>
        <w:t>.</w:t>
      </w:r>
      <w:r w:rsidRPr="00890249">
        <w:rPr>
          <w:rFonts w:asciiTheme="minorHAnsi" w:hAnsiTheme="minorHAnsi" w:cstheme="minorHAnsi"/>
          <w:noProof/>
          <w:sz w:val="22"/>
          <w:szCs w:val="22"/>
        </w:rPr>
        <w:t xml:space="preserve"> - poza bud</w:t>
      </w:r>
      <w:r w:rsidR="0094197C">
        <w:rPr>
          <w:rFonts w:asciiTheme="minorHAnsi" w:hAnsiTheme="minorHAnsi" w:cstheme="minorHAnsi"/>
          <w:noProof/>
          <w:sz w:val="22"/>
          <w:szCs w:val="22"/>
        </w:rPr>
        <w:t>.</w:t>
      </w:r>
      <w:r w:rsidRPr="00890249">
        <w:rPr>
          <w:rFonts w:asciiTheme="minorHAnsi" w:hAnsiTheme="minorHAnsi" w:cstheme="minorHAnsi"/>
          <w:noProof/>
          <w:sz w:val="22"/>
          <w:szCs w:val="22"/>
        </w:rPr>
        <w:t xml:space="preserve"> w zasobach gmin</w:t>
      </w:r>
    </w:p>
    <w:p w14:paraId="7025C2C3" w14:textId="19915D72" w:rsidR="009C3999" w:rsidRPr="009C3999" w:rsidRDefault="00AF6B58" w:rsidP="009C3999">
      <w:pPr>
        <w:pStyle w:val="Akapitzlist"/>
        <w:numPr>
          <w:ilvl w:val="0"/>
          <w:numId w:val="117"/>
        </w:numPr>
        <w:rPr>
          <w:noProof/>
        </w:rPr>
      </w:pPr>
      <w:r w:rsidRPr="00F62734">
        <w:rPr>
          <w:rFonts w:asciiTheme="minorHAnsi" w:eastAsia="Times New Roman" w:hAnsiTheme="minorHAnsi" w:cstheme="minorHAnsi"/>
          <w:noProof/>
          <w:sz w:val="22"/>
          <w:szCs w:val="22"/>
        </w:rPr>
        <w:t>oświetlenia uliczn</w:t>
      </w:r>
      <w:r w:rsidR="00392B60">
        <w:rPr>
          <w:rFonts w:asciiTheme="minorHAnsi" w:eastAsia="Times New Roman" w:hAnsiTheme="minorHAnsi" w:cstheme="minorHAnsi"/>
          <w:noProof/>
          <w:sz w:val="22"/>
          <w:szCs w:val="22"/>
        </w:rPr>
        <w:t>.</w:t>
      </w:r>
    </w:p>
    <w:p w14:paraId="6B3DC73B" w14:textId="7D5300AD" w:rsidR="009C3999" w:rsidRPr="00890249" w:rsidRDefault="0094197C" w:rsidP="00F62734">
      <w:pPr>
        <w:pStyle w:val="Akapitzlist"/>
        <w:numPr>
          <w:ilvl w:val="0"/>
          <w:numId w:val="117"/>
        </w:numPr>
        <w:rPr>
          <w:rFonts w:eastAsia="Times New Roman"/>
          <w:noProof/>
        </w:rPr>
      </w:pPr>
      <w:r w:rsidRPr="00F62734">
        <w:rPr>
          <w:rFonts w:asciiTheme="minorHAnsi" w:hAnsiTheme="minorHAnsi" w:cstheme="minorHAnsi"/>
          <w:iCs/>
          <w:noProof/>
          <w:sz w:val="22"/>
          <w:szCs w:val="22"/>
        </w:rPr>
        <w:t xml:space="preserve">bud. użyt. publ., </w:t>
      </w:r>
    </w:p>
    <w:p w14:paraId="6DBFF9C1" w14:textId="744DDD16" w:rsidR="0093433C" w:rsidRPr="00F62734" w:rsidRDefault="00AF6B58" w:rsidP="00F62734">
      <w:pPr>
        <w:tabs>
          <w:tab w:val="left" w:pos="2265"/>
        </w:tabs>
        <w:rPr>
          <w:rFonts w:asciiTheme="minorHAnsi" w:hAnsiTheme="minorHAnsi" w:cstheme="minorHAnsi"/>
          <w:noProof/>
          <w:sz w:val="22"/>
          <w:szCs w:val="22"/>
        </w:rPr>
      </w:pPr>
      <w:r w:rsidRPr="00F62734">
        <w:rPr>
          <w:rFonts w:asciiTheme="minorHAnsi" w:hAnsiTheme="minorHAnsi" w:cstheme="minorHAnsi"/>
          <w:noProof/>
          <w:sz w:val="22"/>
          <w:szCs w:val="22"/>
        </w:rPr>
        <w:t>Dotacj</w:t>
      </w:r>
      <w:r w:rsidR="003704D0" w:rsidRPr="00F62734">
        <w:rPr>
          <w:rFonts w:asciiTheme="minorHAnsi" w:hAnsiTheme="minorHAnsi" w:cstheme="minorHAnsi"/>
          <w:noProof/>
          <w:sz w:val="22"/>
          <w:szCs w:val="22"/>
        </w:rPr>
        <w:t>e</w:t>
      </w:r>
      <w:r w:rsidRPr="00F62734">
        <w:rPr>
          <w:rFonts w:asciiTheme="minorHAnsi" w:hAnsiTheme="minorHAnsi" w:cstheme="minorHAnsi"/>
          <w:noProof/>
          <w:sz w:val="22"/>
          <w:szCs w:val="22"/>
        </w:rPr>
        <w:t xml:space="preserve"> w obsz</w:t>
      </w:r>
      <w:r w:rsidR="00B46AB6" w:rsidRPr="00F62734">
        <w:rPr>
          <w:rFonts w:asciiTheme="minorHAnsi" w:hAnsiTheme="minorHAnsi" w:cstheme="minorHAnsi"/>
          <w:noProof/>
          <w:sz w:val="22"/>
          <w:szCs w:val="22"/>
        </w:rPr>
        <w:t>.</w:t>
      </w:r>
      <w:r w:rsidRPr="00F62734">
        <w:rPr>
          <w:rFonts w:asciiTheme="minorHAnsi" w:hAnsiTheme="minorHAnsi" w:cstheme="minorHAnsi"/>
          <w:noProof/>
          <w:sz w:val="22"/>
          <w:szCs w:val="22"/>
        </w:rPr>
        <w:t xml:space="preserve">: </w:t>
      </w:r>
      <w:r w:rsidR="0094197C" w:rsidRPr="00F62734">
        <w:rPr>
          <w:rFonts w:asciiTheme="minorHAnsi" w:hAnsiTheme="minorHAnsi" w:cstheme="minorHAnsi"/>
          <w:noProof/>
          <w:sz w:val="22"/>
          <w:szCs w:val="22"/>
        </w:rPr>
        <w:tab/>
      </w:r>
    </w:p>
    <w:p w14:paraId="186B4D8D" w14:textId="065767DC" w:rsidR="00AF6B58" w:rsidRPr="00890249" w:rsidRDefault="00AF6B58" w:rsidP="009F296A">
      <w:pPr>
        <w:pStyle w:val="Akapitzlist"/>
        <w:numPr>
          <w:ilvl w:val="0"/>
          <w:numId w:val="158"/>
        </w:numPr>
        <w:rPr>
          <w:rFonts w:asciiTheme="minorHAnsi" w:hAnsiTheme="minorHAnsi" w:cstheme="minorHAnsi"/>
          <w:iCs/>
          <w:noProof/>
          <w:sz w:val="22"/>
          <w:szCs w:val="22"/>
        </w:rPr>
      </w:pPr>
      <w:r w:rsidRPr="00890249">
        <w:rPr>
          <w:rFonts w:asciiTheme="minorHAnsi" w:hAnsiTheme="minorHAnsi" w:cstheme="minorHAnsi"/>
          <w:iCs/>
          <w:noProof/>
          <w:sz w:val="22"/>
          <w:szCs w:val="22"/>
        </w:rPr>
        <w:t>wielorodz</w:t>
      </w:r>
      <w:r w:rsidR="00392B60">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bud</w:t>
      </w:r>
      <w:r w:rsidR="0094197C">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mieszk</w:t>
      </w:r>
      <w:r w:rsidR="00392B60">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(zasob</w:t>
      </w:r>
      <w:r w:rsidR="003704D0" w:rsidRPr="00890249">
        <w:rPr>
          <w:rFonts w:asciiTheme="minorHAnsi" w:hAnsiTheme="minorHAnsi" w:cstheme="minorHAnsi"/>
          <w:iCs/>
          <w:noProof/>
          <w:sz w:val="22"/>
          <w:szCs w:val="22"/>
        </w:rPr>
        <w:t>y</w:t>
      </w:r>
      <w:r w:rsidRPr="00890249">
        <w:rPr>
          <w:rFonts w:asciiTheme="minorHAnsi" w:hAnsiTheme="minorHAnsi" w:cstheme="minorHAnsi"/>
          <w:iCs/>
          <w:noProof/>
          <w:sz w:val="22"/>
          <w:szCs w:val="22"/>
        </w:rPr>
        <w:t xml:space="preserve"> gmin) oraz </w:t>
      </w:r>
      <w:r w:rsidR="00801145">
        <w:rPr>
          <w:rFonts w:asciiTheme="minorHAnsi" w:hAnsiTheme="minorHAnsi" w:cstheme="minorHAnsi"/>
          <w:iCs/>
          <w:noProof/>
          <w:sz w:val="22"/>
          <w:szCs w:val="22"/>
        </w:rPr>
        <w:t>bud</w:t>
      </w:r>
      <w:r w:rsidR="00392B60">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zabytk</w:t>
      </w:r>
      <w:r w:rsidR="0094197C">
        <w:rPr>
          <w:rFonts w:asciiTheme="minorHAnsi" w:hAnsiTheme="minorHAnsi" w:cstheme="minorHAnsi"/>
          <w:iCs/>
          <w:noProof/>
          <w:sz w:val="22"/>
          <w:szCs w:val="22"/>
        </w:rPr>
        <w:t>.</w:t>
      </w:r>
    </w:p>
    <w:p w14:paraId="678AD9FC" w14:textId="62380FA7" w:rsidR="00AF6B58" w:rsidRPr="00890249" w:rsidRDefault="00AF6B58" w:rsidP="009F296A">
      <w:pPr>
        <w:pStyle w:val="Akapitzlist"/>
        <w:numPr>
          <w:ilvl w:val="0"/>
          <w:numId w:val="158"/>
        </w:numPr>
        <w:rPr>
          <w:rFonts w:asciiTheme="minorHAnsi" w:hAnsiTheme="minorHAnsi" w:cstheme="minorHAnsi"/>
          <w:iCs/>
          <w:noProof/>
          <w:sz w:val="22"/>
          <w:szCs w:val="22"/>
        </w:rPr>
      </w:pPr>
      <w:r w:rsidRPr="00890249">
        <w:rPr>
          <w:rFonts w:asciiTheme="minorHAnsi" w:hAnsiTheme="minorHAnsi" w:cstheme="minorHAnsi"/>
          <w:iCs/>
          <w:noProof/>
          <w:sz w:val="22"/>
          <w:szCs w:val="22"/>
        </w:rPr>
        <w:t>wykonywania uchwał antysmog</w:t>
      </w:r>
      <w:r w:rsidR="00392B60">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i zaleceń POP </w:t>
      </w:r>
    </w:p>
    <w:p w14:paraId="54D9887D" w14:textId="190420EC" w:rsidR="00AF6B58" w:rsidRPr="00890249" w:rsidRDefault="00B46AB6" w:rsidP="009F296A">
      <w:pPr>
        <w:pStyle w:val="Akapitzlist"/>
        <w:numPr>
          <w:ilvl w:val="0"/>
          <w:numId w:val="158"/>
        </w:numPr>
        <w:rPr>
          <w:rFonts w:asciiTheme="minorHAnsi" w:hAnsiTheme="minorHAnsi" w:cstheme="minorHAnsi"/>
          <w:iCs/>
          <w:noProof/>
          <w:sz w:val="22"/>
          <w:szCs w:val="22"/>
        </w:rPr>
      </w:pPr>
      <w:r>
        <w:rPr>
          <w:rFonts w:asciiTheme="minorHAnsi" w:eastAsiaTheme="minorEastAsia" w:hAnsiTheme="minorHAnsi" w:cstheme="minorHAnsi"/>
          <w:sz w:val="22"/>
          <w:szCs w:val="22"/>
          <w:lang w:eastAsia="en-US" w:bidi="ar-SA"/>
        </w:rPr>
        <w:t>EIS</w:t>
      </w:r>
      <w:r w:rsidR="00AF6B58" w:rsidRPr="00890249">
        <w:rPr>
          <w:rFonts w:asciiTheme="minorHAnsi" w:eastAsiaTheme="minorEastAsia" w:hAnsiTheme="minorHAnsi" w:cstheme="minorHAnsi"/>
          <w:sz w:val="22"/>
          <w:szCs w:val="22"/>
          <w:lang w:eastAsia="en-US" w:bidi="ar-SA"/>
        </w:rPr>
        <w:t xml:space="preserve"> dla klimatu</w:t>
      </w:r>
    </w:p>
    <w:p w14:paraId="38560B7D" w14:textId="7178CBF1" w:rsidR="00AF6B58" w:rsidRPr="00890249" w:rsidRDefault="0094197C" w:rsidP="009F296A">
      <w:pPr>
        <w:pStyle w:val="Akapitzlist"/>
        <w:numPr>
          <w:ilvl w:val="0"/>
          <w:numId w:val="158"/>
        </w:numPr>
        <w:rPr>
          <w:rFonts w:asciiTheme="minorHAnsi" w:hAnsiTheme="minorHAnsi" w:cstheme="minorHAnsi"/>
          <w:iCs/>
          <w:noProof/>
          <w:sz w:val="22"/>
          <w:szCs w:val="22"/>
        </w:rPr>
      </w:pPr>
      <w:r>
        <w:rPr>
          <w:rFonts w:asciiTheme="minorHAnsi" w:hAnsiTheme="minorHAnsi" w:cstheme="minorHAnsi"/>
          <w:iCs/>
          <w:noProof/>
          <w:sz w:val="22"/>
          <w:szCs w:val="22"/>
        </w:rPr>
        <w:t>b</w:t>
      </w:r>
      <w:r w:rsidR="00AF6B58" w:rsidRPr="00890249">
        <w:rPr>
          <w:rFonts w:asciiTheme="minorHAnsi" w:hAnsiTheme="minorHAnsi" w:cstheme="minorHAnsi"/>
          <w:iCs/>
          <w:noProof/>
          <w:sz w:val="22"/>
          <w:szCs w:val="22"/>
        </w:rPr>
        <w:t>ud</w:t>
      </w:r>
      <w:r>
        <w:rPr>
          <w:rFonts w:asciiTheme="minorHAnsi" w:hAnsiTheme="minorHAnsi" w:cstheme="minorHAnsi"/>
          <w:iCs/>
          <w:noProof/>
          <w:sz w:val="22"/>
          <w:szCs w:val="22"/>
        </w:rPr>
        <w:t>.</w:t>
      </w:r>
      <w:r w:rsidR="00AF6B58" w:rsidRPr="00890249">
        <w:rPr>
          <w:rFonts w:asciiTheme="minorHAnsi" w:hAnsiTheme="minorHAnsi" w:cstheme="minorHAnsi"/>
          <w:iCs/>
          <w:noProof/>
          <w:sz w:val="22"/>
          <w:szCs w:val="22"/>
        </w:rPr>
        <w:t xml:space="preserve"> </w:t>
      </w:r>
      <w:r>
        <w:rPr>
          <w:rFonts w:asciiTheme="minorHAnsi" w:hAnsiTheme="minorHAnsi" w:cstheme="minorHAnsi"/>
          <w:iCs/>
          <w:noProof/>
          <w:sz w:val="22"/>
          <w:szCs w:val="22"/>
        </w:rPr>
        <w:t>u</w:t>
      </w:r>
      <w:r w:rsidR="00AF6B58" w:rsidRPr="00890249">
        <w:rPr>
          <w:rFonts w:asciiTheme="minorHAnsi" w:hAnsiTheme="minorHAnsi" w:cstheme="minorHAnsi"/>
          <w:iCs/>
          <w:noProof/>
          <w:sz w:val="22"/>
          <w:szCs w:val="22"/>
        </w:rPr>
        <w:t>żyt</w:t>
      </w:r>
      <w:r>
        <w:rPr>
          <w:rFonts w:asciiTheme="minorHAnsi" w:hAnsiTheme="minorHAnsi" w:cstheme="minorHAnsi"/>
          <w:iCs/>
          <w:noProof/>
          <w:sz w:val="22"/>
          <w:szCs w:val="22"/>
        </w:rPr>
        <w:t>.</w:t>
      </w:r>
      <w:r w:rsidR="00AF6B58" w:rsidRPr="00890249">
        <w:rPr>
          <w:rFonts w:asciiTheme="minorHAnsi" w:hAnsiTheme="minorHAnsi" w:cstheme="minorHAnsi"/>
          <w:iCs/>
          <w:noProof/>
          <w:sz w:val="22"/>
          <w:szCs w:val="22"/>
        </w:rPr>
        <w:t xml:space="preserve"> publ</w:t>
      </w:r>
      <w:r>
        <w:rPr>
          <w:rFonts w:asciiTheme="minorHAnsi" w:hAnsiTheme="minorHAnsi" w:cstheme="minorHAnsi"/>
          <w:iCs/>
          <w:noProof/>
          <w:sz w:val="22"/>
          <w:szCs w:val="22"/>
        </w:rPr>
        <w:t>.</w:t>
      </w:r>
      <w:r w:rsidR="00AF6B58" w:rsidRPr="00890249">
        <w:rPr>
          <w:rFonts w:asciiTheme="minorHAnsi" w:hAnsiTheme="minorHAnsi" w:cstheme="minorHAnsi"/>
          <w:iCs/>
          <w:noProof/>
          <w:sz w:val="22"/>
          <w:szCs w:val="22"/>
        </w:rPr>
        <w:t>, przy spełnieniu łącznie</w:t>
      </w:r>
      <w:r w:rsidR="00B46AB6">
        <w:rPr>
          <w:rFonts w:asciiTheme="minorHAnsi" w:hAnsiTheme="minorHAnsi" w:cstheme="minorHAnsi"/>
          <w:iCs/>
          <w:noProof/>
          <w:sz w:val="22"/>
          <w:szCs w:val="22"/>
        </w:rPr>
        <w:t xml:space="preserve"> nast.</w:t>
      </w:r>
      <w:r w:rsidR="00AF6B58" w:rsidRPr="00890249">
        <w:rPr>
          <w:rFonts w:asciiTheme="minorHAnsi" w:hAnsiTheme="minorHAnsi" w:cstheme="minorHAnsi"/>
          <w:iCs/>
          <w:noProof/>
          <w:sz w:val="22"/>
          <w:szCs w:val="22"/>
        </w:rPr>
        <w:t xml:space="preserve"> warunków:</w:t>
      </w:r>
    </w:p>
    <w:p w14:paraId="58037959" w14:textId="720228D0" w:rsidR="00AF6B58" w:rsidRPr="00890249" w:rsidRDefault="00AF6B58" w:rsidP="009F296A">
      <w:pPr>
        <w:pStyle w:val="Akapitzlist"/>
        <w:numPr>
          <w:ilvl w:val="0"/>
          <w:numId w:val="159"/>
        </w:numPr>
        <w:ind w:left="1134"/>
        <w:rPr>
          <w:rFonts w:asciiTheme="minorHAnsi" w:hAnsiTheme="minorHAnsi" w:cstheme="minorHAnsi"/>
          <w:iCs/>
          <w:noProof/>
          <w:sz w:val="22"/>
          <w:szCs w:val="22"/>
        </w:rPr>
      </w:pPr>
      <w:r w:rsidRPr="00890249">
        <w:rPr>
          <w:rFonts w:asciiTheme="minorHAnsi" w:hAnsiTheme="minorHAnsi" w:cstheme="minorHAnsi"/>
          <w:iCs/>
          <w:noProof/>
          <w:sz w:val="22"/>
          <w:szCs w:val="22"/>
        </w:rPr>
        <w:t>przyjęcie przez region POP zgodn</w:t>
      </w:r>
      <w:r w:rsidR="00392B60">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z art. 23 dyrekt</w:t>
      </w:r>
      <w:r w:rsidR="00392B60">
        <w:rPr>
          <w:rFonts w:asciiTheme="minorHAnsi" w:hAnsiTheme="minorHAnsi" w:cstheme="minorHAnsi"/>
          <w:iCs/>
          <w:noProof/>
          <w:sz w:val="22"/>
          <w:szCs w:val="22"/>
        </w:rPr>
        <w:t>.</w:t>
      </w:r>
      <w:r w:rsidRPr="00890249">
        <w:rPr>
          <w:rFonts w:asciiTheme="minorHAnsi" w:hAnsiTheme="minorHAnsi" w:cstheme="minorHAnsi"/>
          <w:iCs/>
          <w:noProof/>
          <w:sz w:val="22"/>
          <w:szCs w:val="22"/>
        </w:rPr>
        <w:t xml:space="preserve"> 2008/50/WE oraz egzek. uchwał antysm. i niewprowadzania do </w:t>
      </w:r>
      <w:r w:rsidR="00B46AB6">
        <w:rPr>
          <w:rFonts w:asciiTheme="minorHAnsi" w:hAnsiTheme="minorHAnsi" w:cstheme="minorHAnsi"/>
          <w:iCs/>
          <w:noProof/>
          <w:sz w:val="22"/>
          <w:szCs w:val="22"/>
        </w:rPr>
        <w:t>nich</w:t>
      </w:r>
      <w:r w:rsidRPr="00890249">
        <w:rPr>
          <w:rFonts w:asciiTheme="minorHAnsi" w:hAnsiTheme="minorHAnsi" w:cstheme="minorHAnsi"/>
          <w:iCs/>
          <w:noProof/>
          <w:sz w:val="22"/>
          <w:szCs w:val="22"/>
        </w:rPr>
        <w:t xml:space="preserve"> zmian niekorzystnych</w:t>
      </w:r>
      <w:r w:rsidR="00392B60">
        <w:rPr>
          <w:rFonts w:asciiTheme="minorHAnsi" w:hAnsiTheme="minorHAnsi" w:cstheme="minorHAnsi"/>
          <w:iCs/>
          <w:noProof/>
          <w:sz w:val="22"/>
          <w:szCs w:val="22"/>
        </w:rPr>
        <w:t xml:space="preserve"> dot.</w:t>
      </w:r>
      <w:r w:rsidRPr="00890249">
        <w:rPr>
          <w:rFonts w:asciiTheme="minorHAnsi" w:hAnsiTheme="minorHAnsi" w:cstheme="minorHAnsi"/>
          <w:iCs/>
          <w:noProof/>
          <w:sz w:val="22"/>
          <w:szCs w:val="22"/>
        </w:rPr>
        <w:t xml:space="preserve"> ochrony powietrza, </w:t>
      </w:r>
      <w:r w:rsidR="00392B60">
        <w:rPr>
          <w:rFonts w:asciiTheme="minorHAnsi" w:hAnsiTheme="minorHAnsi" w:cstheme="minorHAnsi"/>
          <w:iCs/>
          <w:noProof/>
          <w:sz w:val="22"/>
          <w:szCs w:val="22"/>
        </w:rPr>
        <w:t>gł.</w:t>
      </w:r>
      <w:r w:rsidRPr="00890249">
        <w:rPr>
          <w:rFonts w:asciiTheme="minorHAnsi" w:hAnsiTheme="minorHAnsi" w:cstheme="minorHAnsi"/>
          <w:iCs/>
          <w:noProof/>
          <w:sz w:val="22"/>
          <w:szCs w:val="22"/>
        </w:rPr>
        <w:t xml:space="preserve"> zmian </w:t>
      </w:r>
      <w:r w:rsidR="00392B60">
        <w:rPr>
          <w:rFonts w:asciiTheme="minorHAnsi" w:hAnsiTheme="minorHAnsi" w:cstheme="minorHAnsi"/>
          <w:iCs/>
          <w:noProof/>
          <w:sz w:val="22"/>
          <w:szCs w:val="22"/>
        </w:rPr>
        <w:t>łagodzących</w:t>
      </w:r>
      <w:r w:rsidR="000B2721">
        <w:rPr>
          <w:rFonts w:asciiTheme="minorHAnsi" w:hAnsiTheme="minorHAnsi" w:cstheme="minorHAnsi"/>
          <w:iCs/>
          <w:noProof/>
          <w:sz w:val="22"/>
          <w:szCs w:val="22"/>
        </w:rPr>
        <w:t xml:space="preserve"> ogranicze</w:t>
      </w:r>
      <w:r w:rsidR="00392B60">
        <w:rPr>
          <w:rFonts w:asciiTheme="minorHAnsi" w:hAnsiTheme="minorHAnsi" w:cstheme="minorHAnsi"/>
          <w:iCs/>
          <w:noProof/>
          <w:sz w:val="22"/>
          <w:szCs w:val="22"/>
        </w:rPr>
        <w:t>nia</w:t>
      </w:r>
      <w:r w:rsidR="000B2721">
        <w:rPr>
          <w:rFonts w:asciiTheme="minorHAnsi" w:hAnsiTheme="minorHAnsi" w:cstheme="minorHAnsi"/>
          <w:iCs/>
          <w:noProof/>
          <w:sz w:val="22"/>
          <w:szCs w:val="22"/>
        </w:rPr>
        <w:t xml:space="preserve"> i </w:t>
      </w:r>
      <w:r w:rsidRPr="00890249">
        <w:rPr>
          <w:rFonts w:asciiTheme="minorHAnsi" w:hAnsiTheme="minorHAnsi" w:cstheme="minorHAnsi"/>
          <w:iCs/>
          <w:noProof/>
          <w:sz w:val="22"/>
          <w:szCs w:val="22"/>
        </w:rPr>
        <w:t>zakaz</w:t>
      </w:r>
      <w:r w:rsidR="00392B60">
        <w:rPr>
          <w:rFonts w:asciiTheme="minorHAnsi" w:hAnsiTheme="minorHAnsi" w:cstheme="minorHAnsi"/>
          <w:iCs/>
          <w:noProof/>
          <w:sz w:val="22"/>
          <w:szCs w:val="22"/>
        </w:rPr>
        <w:t>y</w:t>
      </w:r>
      <w:r w:rsidRPr="00890249">
        <w:rPr>
          <w:rFonts w:asciiTheme="minorHAnsi" w:hAnsiTheme="minorHAnsi" w:cstheme="minorHAnsi"/>
          <w:iCs/>
          <w:noProof/>
          <w:sz w:val="22"/>
          <w:szCs w:val="22"/>
        </w:rPr>
        <w:t xml:space="preserve"> </w:t>
      </w:r>
      <w:r w:rsidR="00B46AB6">
        <w:rPr>
          <w:rFonts w:asciiTheme="minorHAnsi" w:hAnsiTheme="minorHAnsi" w:cstheme="minorHAnsi"/>
          <w:iCs/>
          <w:noProof/>
          <w:sz w:val="22"/>
          <w:szCs w:val="22"/>
        </w:rPr>
        <w:t>dot.</w:t>
      </w:r>
      <w:r w:rsidRPr="00890249">
        <w:rPr>
          <w:rFonts w:asciiTheme="minorHAnsi" w:hAnsiTheme="minorHAnsi" w:cstheme="minorHAnsi"/>
          <w:iCs/>
          <w:noProof/>
          <w:sz w:val="22"/>
          <w:szCs w:val="22"/>
        </w:rPr>
        <w:t xml:space="preserve"> ekspl. instalacji lub odroczeniu term. wejścia </w:t>
      </w:r>
      <w:r w:rsidR="00B46AB6">
        <w:rPr>
          <w:rFonts w:asciiTheme="minorHAnsi" w:hAnsiTheme="minorHAnsi" w:cstheme="minorHAnsi"/>
          <w:iCs/>
          <w:noProof/>
          <w:sz w:val="22"/>
          <w:szCs w:val="22"/>
        </w:rPr>
        <w:t xml:space="preserve">ich </w:t>
      </w:r>
      <w:r w:rsidRPr="00890249">
        <w:rPr>
          <w:rFonts w:asciiTheme="minorHAnsi" w:hAnsiTheme="minorHAnsi" w:cstheme="minorHAnsi"/>
          <w:iCs/>
          <w:noProof/>
          <w:sz w:val="22"/>
          <w:szCs w:val="22"/>
        </w:rPr>
        <w:t>w życie</w:t>
      </w:r>
      <w:r w:rsidR="00B46AB6">
        <w:rPr>
          <w:rFonts w:asciiTheme="minorHAnsi" w:hAnsiTheme="minorHAnsi" w:cstheme="minorHAnsi"/>
          <w:iCs/>
          <w:noProof/>
          <w:sz w:val="22"/>
          <w:szCs w:val="22"/>
        </w:rPr>
        <w:t>,</w:t>
      </w:r>
    </w:p>
    <w:p w14:paraId="18533B5A" w14:textId="7F72E392" w:rsidR="00AF6B58" w:rsidRPr="00890249" w:rsidRDefault="00AF6B58" w:rsidP="009F296A">
      <w:pPr>
        <w:pStyle w:val="Akapitzlist"/>
        <w:numPr>
          <w:ilvl w:val="0"/>
          <w:numId w:val="159"/>
        </w:numPr>
        <w:ind w:left="1134"/>
        <w:rPr>
          <w:rFonts w:asciiTheme="minorHAnsi" w:hAnsiTheme="minorHAnsi" w:cstheme="minorHAnsi"/>
          <w:iCs/>
          <w:noProof/>
          <w:sz w:val="22"/>
          <w:szCs w:val="22"/>
        </w:rPr>
      </w:pPr>
      <w:r w:rsidRPr="00890249">
        <w:rPr>
          <w:rFonts w:asciiTheme="minorHAnsi" w:hAnsiTheme="minorHAnsi" w:cstheme="minorHAnsi"/>
          <w:noProof/>
          <w:sz w:val="22"/>
          <w:szCs w:val="22"/>
        </w:rPr>
        <w:t>wskaźnik dochodów podatk</w:t>
      </w:r>
      <w:r w:rsidR="00392B60">
        <w:rPr>
          <w:rFonts w:asciiTheme="minorHAnsi" w:hAnsiTheme="minorHAnsi" w:cstheme="minorHAnsi"/>
          <w:noProof/>
          <w:sz w:val="22"/>
          <w:szCs w:val="22"/>
        </w:rPr>
        <w:t>.</w:t>
      </w:r>
      <w:r w:rsidRPr="00890249">
        <w:rPr>
          <w:rFonts w:asciiTheme="minorHAnsi" w:hAnsiTheme="minorHAnsi" w:cstheme="minorHAnsi"/>
          <w:noProof/>
          <w:sz w:val="22"/>
          <w:szCs w:val="22"/>
        </w:rPr>
        <w:t xml:space="preserve"> JST (wskaźnik Gg dla inwest</w:t>
      </w:r>
      <w:r w:rsidR="00B46AB6">
        <w:rPr>
          <w:rFonts w:asciiTheme="minorHAnsi" w:hAnsiTheme="minorHAnsi" w:cstheme="minorHAnsi"/>
          <w:noProof/>
          <w:sz w:val="22"/>
          <w:szCs w:val="22"/>
        </w:rPr>
        <w:t>.</w:t>
      </w:r>
      <w:r w:rsidRPr="00890249">
        <w:rPr>
          <w:rFonts w:asciiTheme="minorHAnsi" w:hAnsiTheme="minorHAnsi" w:cstheme="minorHAnsi"/>
          <w:noProof/>
          <w:sz w:val="22"/>
          <w:szCs w:val="22"/>
        </w:rPr>
        <w:t xml:space="preserve"> realiz</w:t>
      </w:r>
      <w:r w:rsidR="00B46AB6">
        <w:rPr>
          <w:rFonts w:asciiTheme="minorHAnsi" w:hAnsiTheme="minorHAnsi" w:cstheme="minorHAnsi"/>
          <w:noProof/>
          <w:sz w:val="22"/>
          <w:szCs w:val="22"/>
        </w:rPr>
        <w:t>.</w:t>
      </w:r>
      <w:r w:rsidRPr="00890249">
        <w:rPr>
          <w:rFonts w:asciiTheme="minorHAnsi" w:hAnsiTheme="minorHAnsi" w:cstheme="minorHAnsi"/>
          <w:noProof/>
          <w:sz w:val="22"/>
          <w:szCs w:val="22"/>
        </w:rPr>
        <w:t xml:space="preserve"> </w:t>
      </w:r>
      <w:r w:rsidR="00801145">
        <w:rPr>
          <w:rFonts w:asciiTheme="minorHAnsi" w:hAnsiTheme="minorHAnsi" w:cstheme="minorHAnsi"/>
          <w:noProof/>
          <w:sz w:val="22"/>
          <w:szCs w:val="22"/>
        </w:rPr>
        <w:t>na ter</w:t>
      </w:r>
      <w:r w:rsidR="00B46AB6">
        <w:rPr>
          <w:rFonts w:asciiTheme="minorHAnsi" w:hAnsiTheme="minorHAnsi" w:cstheme="minorHAnsi"/>
          <w:noProof/>
          <w:sz w:val="22"/>
          <w:szCs w:val="22"/>
        </w:rPr>
        <w:t>.</w:t>
      </w:r>
      <w:r w:rsidR="00801145">
        <w:rPr>
          <w:rFonts w:asciiTheme="minorHAnsi" w:hAnsiTheme="minorHAnsi" w:cstheme="minorHAnsi"/>
          <w:noProof/>
          <w:sz w:val="22"/>
          <w:szCs w:val="22"/>
        </w:rPr>
        <w:t xml:space="preserve"> gminy</w:t>
      </w:r>
      <w:r w:rsidRPr="00890249">
        <w:rPr>
          <w:rFonts w:asciiTheme="minorHAnsi" w:hAnsiTheme="minorHAnsi" w:cstheme="minorHAnsi"/>
          <w:noProof/>
          <w:sz w:val="22"/>
          <w:szCs w:val="22"/>
        </w:rPr>
        <w:t>, Pp dla inwest</w:t>
      </w:r>
      <w:r w:rsidR="00B46AB6">
        <w:rPr>
          <w:rFonts w:asciiTheme="minorHAnsi" w:hAnsiTheme="minorHAnsi" w:cstheme="minorHAnsi"/>
          <w:noProof/>
          <w:sz w:val="22"/>
          <w:szCs w:val="22"/>
        </w:rPr>
        <w:t>.</w:t>
      </w:r>
      <w:r w:rsidRPr="00890249">
        <w:rPr>
          <w:rFonts w:asciiTheme="minorHAnsi" w:hAnsiTheme="minorHAnsi" w:cstheme="minorHAnsi"/>
          <w:noProof/>
          <w:sz w:val="22"/>
          <w:szCs w:val="22"/>
        </w:rPr>
        <w:t xml:space="preserve"> realiz</w:t>
      </w:r>
      <w:r w:rsidR="00B46AB6">
        <w:rPr>
          <w:rFonts w:asciiTheme="minorHAnsi" w:hAnsiTheme="minorHAnsi" w:cstheme="minorHAnsi"/>
          <w:noProof/>
          <w:sz w:val="22"/>
          <w:szCs w:val="22"/>
        </w:rPr>
        <w:t>.</w:t>
      </w:r>
      <w:r w:rsidR="00801145">
        <w:rPr>
          <w:rFonts w:asciiTheme="minorHAnsi" w:hAnsiTheme="minorHAnsi" w:cstheme="minorHAnsi"/>
          <w:noProof/>
          <w:sz w:val="22"/>
          <w:szCs w:val="22"/>
        </w:rPr>
        <w:t>na ter</w:t>
      </w:r>
      <w:r w:rsidR="00B46AB6">
        <w:rPr>
          <w:rFonts w:asciiTheme="minorHAnsi" w:hAnsiTheme="minorHAnsi" w:cstheme="minorHAnsi"/>
          <w:noProof/>
          <w:sz w:val="22"/>
          <w:szCs w:val="22"/>
        </w:rPr>
        <w:t>.</w:t>
      </w:r>
      <w:r w:rsidR="00801145">
        <w:rPr>
          <w:rFonts w:asciiTheme="minorHAnsi" w:hAnsiTheme="minorHAnsi" w:cstheme="minorHAnsi"/>
          <w:noProof/>
          <w:sz w:val="22"/>
          <w:szCs w:val="22"/>
        </w:rPr>
        <w:t xml:space="preserve"> powiatu</w:t>
      </w:r>
      <w:r w:rsidRPr="00890249">
        <w:rPr>
          <w:rFonts w:asciiTheme="minorHAnsi" w:hAnsiTheme="minorHAnsi" w:cstheme="minorHAnsi"/>
          <w:noProof/>
          <w:sz w:val="22"/>
          <w:szCs w:val="22"/>
        </w:rPr>
        <w:t>), który powinien być niższy od śr</w:t>
      </w:r>
      <w:r w:rsidR="00B46AB6">
        <w:rPr>
          <w:rFonts w:asciiTheme="minorHAnsi" w:hAnsiTheme="minorHAnsi" w:cstheme="minorHAnsi"/>
          <w:noProof/>
          <w:sz w:val="22"/>
          <w:szCs w:val="22"/>
        </w:rPr>
        <w:t>.</w:t>
      </w:r>
      <w:r w:rsidRPr="00890249">
        <w:rPr>
          <w:rFonts w:asciiTheme="minorHAnsi" w:hAnsiTheme="minorHAnsi" w:cstheme="minorHAnsi"/>
          <w:noProof/>
          <w:sz w:val="22"/>
          <w:szCs w:val="22"/>
        </w:rPr>
        <w:t xml:space="preserve"> wart</w:t>
      </w:r>
      <w:r w:rsidR="00392B60">
        <w:rPr>
          <w:rFonts w:asciiTheme="minorHAnsi" w:hAnsiTheme="minorHAnsi" w:cstheme="minorHAnsi"/>
          <w:noProof/>
          <w:sz w:val="22"/>
          <w:szCs w:val="22"/>
        </w:rPr>
        <w:t>.</w:t>
      </w:r>
      <w:r w:rsidRPr="00890249">
        <w:rPr>
          <w:rFonts w:asciiTheme="minorHAnsi" w:hAnsiTheme="minorHAnsi" w:cstheme="minorHAnsi"/>
          <w:noProof/>
          <w:sz w:val="22"/>
          <w:szCs w:val="22"/>
        </w:rPr>
        <w:t xml:space="preserve"> na poziomie woj.</w:t>
      </w:r>
      <w:r w:rsidR="00801145">
        <w:rPr>
          <w:rFonts w:asciiTheme="minorHAnsi" w:hAnsiTheme="minorHAnsi" w:cstheme="minorHAnsi"/>
          <w:noProof/>
          <w:sz w:val="22"/>
          <w:szCs w:val="22"/>
        </w:rPr>
        <w:t xml:space="preserve"> </w:t>
      </w:r>
      <w:r w:rsidR="00801145" w:rsidRPr="00801145">
        <w:rPr>
          <w:rFonts w:asciiTheme="minorHAnsi" w:hAnsiTheme="minorHAnsi" w:cstheme="minorHAnsi"/>
          <w:noProof/>
          <w:sz w:val="22"/>
          <w:szCs w:val="22"/>
        </w:rPr>
        <w:t>Warunek nie dot</w:t>
      </w:r>
      <w:r w:rsidR="00B46AB6">
        <w:rPr>
          <w:rFonts w:asciiTheme="minorHAnsi" w:hAnsiTheme="minorHAnsi" w:cstheme="minorHAnsi"/>
          <w:noProof/>
          <w:sz w:val="22"/>
          <w:szCs w:val="22"/>
        </w:rPr>
        <w:t>.</w:t>
      </w:r>
      <w:r w:rsidR="00801145" w:rsidRPr="00801145">
        <w:rPr>
          <w:rFonts w:asciiTheme="minorHAnsi" w:hAnsiTheme="minorHAnsi" w:cstheme="minorHAnsi"/>
          <w:noProof/>
          <w:sz w:val="22"/>
          <w:szCs w:val="22"/>
        </w:rPr>
        <w:t xml:space="preserve"> operacji realizowanych w fazach, </w:t>
      </w:r>
      <w:r w:rsidR="00B46AB6">
        <w:rPr>
          <w:rFonts w:asciiTheme="minorHAnsi" w:hAnsiTheme="minorHAnsi" w:cstheme="minorHAnsi"/>
          <w:noProof/>
          <w:sz w:val="22"/>
          <w:szCs w:val="22"/>
        </w:rPr>
        <w:t>wybranych</w:t>
      </w:r>
      <w:r w:rsidR="00801145" w:rsidRPr="00801145">
        <w:rPr>
          <w:rFonts w:asciiTheme="minorHAnsi" w:hAnsiTheme="minorHAnsi" w:cstheme="minorHAnsi"/>
          <w:noProof/>
          <w:sz w:val="22"/>
          <w:szCs w:val="22"/>
        </w:rPr>
        <w:t xml:space="preserve"> do wsparcia przed 29 czerwca 2022 r. na podst</w:t>
      </w:r>
      <w:r w:rsidR="00B46AB6">
        <w:rPr>
          <w:rFonts w:asciiTheme="minorHAnsi" w:hAnsiTheme="minorHAnsi" w:cstheme="minorHAnsi"/>
          <w:noProof/>
          <w:sz w:val="22"/>
          <w:szCs w:val="22"/>
        </w:rPr>
        <w:t>.</w:t>
      </w:r>
      <w:r w:rsidR="00801145" w:rsidRPr="00801145">
        <w:rPr>
          <w:rFonts w:asciiTheme="minorHAnsi" w:hAnsiTheme="minorHAnsi" w:cstheme="minorHAnsi"/>
          <w:noProof/>
          <w:sz w:val="22"/>
          <w:szCs w:val="22"/>
        </w:rPr>
        <w:t xml:space="preserve"> rozp</w:t>
      </w:r>
      <w:r w:rsidR="00B46AB6">
        <w:rPr>
          <w:rFonts w:asciiTheme="minorHAnsi" w:hAnsiTheme="minorHAnsi" w:cstheme="minorHAnsi"/>
          <w:noProof/>
          <w:sz w:val="22"/>
          <w:szCs w:val="22"/>
        </w:rPr>
        <w:t>.</w:t>
      </w:r>
      <w:r w:rsidR="00801145" w:rsidRPr="00801145">
        <w:rPr>
          <w:rFonts w:asciiTheme="minorHAnsi" w:hAnsiTheme="minorHAnsi" w:cstheme="minorHAnsi"/>
          <w:noProof/>
          <w:sz w:val="22"/>
          <w:szCs w:val="22"/>
        </w:rPr>
        <w:t xml:space="preserve"> (UE) nr 1303/2013. Ww. </w:t>
      </w:r>
      <w:r w:rsidR="009C3999">
        <w:rPr>
          <w:rFonts w:asciiTheme="minorHAnsi" w:hAnsiTheme="minorHAnsi" w:cstheme="minorHAnsi"/>
          <w:noProof/>
          <w:sz w:val="22"/>
          <w:szCs w:val="22"/>
        </w:rPr>
        <w:t>p</w:t>
      </w:r>
      <w:r w:rsidR="00801145" w:rsidRPr="00801145">
        <w:rPr>
          <w:rFonts w:asciiTheme="minorHAnsi" w:hAnsiTheme="minorHAnsi" w:cstheme="minorHAnsi"/>
          <w:noProof/>
          <w:sz w:val="22"/>
          <w:szCs w:val="22"/>
        </w:rPr>
        <w:t>rocedura fazowania dot</w:t>
      </w:r>
      <w:r w:rsidR="00B46AB6">
        <w:rPr>
          <w:rFonts w:asciiTheme="minorHAnsi" w:hAnsiTheme="minorHAnsi" w:cstheme="minorHAnsi"/>
          <w:noProof/>
          <w:sz w:val="22"/>
          <w:szCs w:val="22"/>
        </w:rPr>
        <w:t>.</w:t>
      </w:r>
      <w:r w:rsidR="00801145" w:rsidRPr="00801145">
        <w:rPr>
          <w:rFonts w:asciiTheme="minorHAnsi" w:hAnsiTheme="minorHAnsi" w:cstheme="minorHAnsi"/>
          <w:noProof/>
          <w:sz w:val="22"/>
          <w:szCs w:val="22"/>
        </w:rPr>
        <w:t xml:space="preserve"> projektu pn. Likwidacja indywidualnych źródeł ciepła w obiektach Ogrodu Zoologicznego i innych obiektach użyteczności publicznej w Opolu</w:t>
      </w:r>
      <w:r w:rsidR="003B5223">
        <w:rPr>
          <w:rFonts w:asciiTheme="minorHAnsi" w:hAnsiTheme="minorHAnsi" w:cstheme="minorHAnsi"/>
          <w:noProof/>
          <w:sz w:val="22"/>
          <w:szCs w:val="22"/>
        </w:rPr>
        <w:t>.</w:t>
      </w:r>
    </w:p>
    <w:p w14:paraId="5B33E87D" w14:textId="4FF64D91" w:rsidR="0093433C" w:rsidRPr="00890249" w:rsidRDefault="0093433C" w:rsidP="00890249">
      <w:pPr>
        <w:pStyle w:val="Tekstpodstawowy"/>
        <w:rPr>
          <w:rFonts w:asciiTheme="minorHAnsi" w:hAnsiTheme="minorHAnsi" w:cstheme="minorHAnsi"/>
          <w:noProof/>
        </w:rPr>
      </w:pPr>
    </w:p>
    <w:p w14:paraId="5EF365D6" w14:textId="77777777" w:rsidR="004C343D" w:rsidRPr="00890249" w:rsidRDefault="004C343D" w:rsidP="004C343D">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2.1.2.1.2 (i)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53"/>
        <w:gridCol w:w="693"/>
        <w:gridCol w:w="1009"/>
        <w:gridCol w:w="830"/>
        <w:gridCol w:w="2213"/>
        <w:gridCol w:w="1106"/>
        <w:gridCol w:w="830"/>
        <w:gridCol w:w="1065"/>
      </w:tblGrid>
      <w:tr w:rsidR="0034642D" w:rsidRPr="00890249" w14:paraId="16F23255" w14:textId="77777777" w:rsidTr="00A4690F">
        <w:trPr>
          <w:trHeight w:val="425"/>
        </w:trPr>
        <w:tc>
          <w:tcPr>
            <w:tcW w:w="5000" w:type="pct"/>
            <w:gridSpan w:val="9"/>
            <w:shd w:val="clear" w:color="auto" w:fill="D9D9D9" w:themeFill="background1" w:themeFillShade="D9"/>
          </w:tcPr>
          <w:p w14:paraId="639CF1B9"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12718935" w14:textId="77777777" w:rsidTr="002E5890">
        <w:trPr>
          <w:cantSplit/>
          <w:trHeight w:val="1647"/>
        </w:trPr>
        <w:tc>
          <w:tcPr>
            <w:tcW w:w="291" w:type="pct"/>
            <w:shd w:val="clear" w:color="auto" w:fill="F2F2F2" w:themeFill="background1" w:themeFillShade="F2"/>
            <w:textDirection w:val="btLr"/>
            <w:vAlign w:val="center"/>
          </w:tcPr>
          <w:p w14:paraId="64819E7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7" w:type="pct"/>
            <w:shd w:val="clear" w:color="auto" w:fill="F2F2F2" w:themeFill="background1" w:themeFillShade="F2"/>
            <w:textDirection w:val="btLr"/>
            <w:vAlign w:val="center"/>
          </w:tcPr>
          <w:p w14:paraId="5BA97F9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1091AD5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3FB29288"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40AC354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29850F1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613" w:type="pct"/>
            <w:shd w:val="clear" w:color="auto" w:fill="F2F2F2" w:themeFill="background1" w:themeFillShade="F2"/>
            <w:textDirection w:val="btLr"/>
            <w:vAlign w:val="center"/>
          </w:tcPr>
          <w:p w14:paraId="70A153A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460" w:type="pct"/>
            <w:shd w:val="clear" w:color="auto" w:fill="F2F2F2" w:themeFill="background1" w:themeFillShade="F2"/>
            <w:textDirection w:val="btLr"/>
            <w:vAlign w:val="center"/>
          </w:tcPr>
          <w:p w14:paraId="781212A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0" w:type="pct"/>
            <w:shd w:val="clear" w:color="auto" w:fill="F2F2F2" w:themeFill="background1" w:themeFillShade="F2"/>
            <w:textDirection w:val="btLr"/>
            <w:vAlign w:val="center"/>
          </w:tcPr>
          <w:p w14:paraId="6861FE9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6D1AF2" w:rsidRPr="00890249" w14:paraId="2F40C88E" w14:textId="77777777" w:rsidTr="002E5890">
        <w:trPr>
          <w:trHeight w:val="332"/>
        </w:trPr>
        <w:tc>
          <w:tcPr>
            <w:tcW w:w="291" w:type="pct"/>
            <w:vAlign w:val="center"/>
          </w:tcPr>
          <w:p w14:paraId="28A96443"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vAlign w:val="center"/>
          </w:tcPr>
          <w:p w14:paraId="0578260D"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w:t>
            </w:r>
          </w:p>
        </w:tc>
        <w:tc>
          <w:tcPr>
            <w:tcW w:w="384" w:type="pct"/>
            <w:vAlign w:val="center"/>
          </w:tcPr>
          <w:p w14:paraId="6D586DAD"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74748573"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35307381" w14:textId="77777777" w:rsidR="006D1AF2" w:rsidRPr="00890249" w:rsidRDefault="00624F0D" w:rsidP="006D1AF2">
            <w:pPr>
              <w:jc w:val="center"/>
              <w:rPr>
                <w:rFonts w:asciiTheme="minorHAnsi" w:hAnsiTheme="minorHAnsi" w:cstheme="minorHAnsi"/>
                <w:i/>
                <w:sz w:val="18"/>
                <w:szCs w:val="16"/>
              </w:rPr>
            </w:pPr>
            <w:r w:rsidRPr="00890249">
              <w:rPr>
                <w:rFonts w:asciiTheme="minorHAnsi" w:hAnsiTheme="minorHAnsi" w:cstheme="minorHAnsi"/>
                <w:i/>
                <w:sz w:val="18"/>
                <w:szCs w:val="16"/>
              </w:rPr>
              <w:t>PLRO023</w:t>
            </w:r>
          </w:p>
        </w:tc>
        <w:tc>
          <w:tcPr>
            <w:tcW w:w="1226" w:type="pct"/>
            <w:shd w:val="clear" w:color="auto" w:fill="auto"/>
            <w:vAlign w:val="center"/>
          </w:tcPr>
          <w:p w14:paraId="1ECBF6E7" w14:textId="77777777" w:rsidR="006D1AF2" w:rsidRPr="00890249" w:rsidRDefault="006D1AF2" w:rsidP="006D1AF2">
            <w:pPr>
              <w:jc w:val="left"/>
              <w:rPr>
                <w:rFonts w:asciiTheme="minorHAnsi" w:hAnsiTheme="minorHAnsi" w:cstheme="minorHAnsi"/>
                <w:i/>
                <w:sz w:val="18"/>
                <w:szCs w:val="16"/>
              </w:rPr>
            </w:pPr>
            <w:r w:rsidRPr="00890249">
              <w:rPr>
                <w:rFonts w:asciiTheme="minorHAnsi" w:hAnsiTheme="minorHAnsi" w:cstheme="minorHAnsi"/>
                <w:i/>
                <w:sz w:val="18"/>
                <w:szCs w:val="16"/>
              </w:rPr>
              <w:t>Liczba zmodernizowanych energetycznie budynków</w:t>
            </w:r>
          </w:p>
        </w:tc>
        <w:tc>
          <w:tcPr>
            <w:tcW w:w="613" w:type="pct"/>
            <w:vAlign w:val="center"/>
          </w:tcPr>
          <w:p w14:paraId="11CBC9FF"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460" w:type="pct"/>
            <w:shd w:val="clear" w:color="auto" w:fill="auto"/>
            <w:vAlign w:val="center"/>
          </w:tcPr>
          <w:p w14:paraId="5210F974" w14:textId="2CA35112" w:rsidR="0006760E" w:rsidRPr="00890249" w:rsidRDefault="0006760E" w:rsidP="0006760E">
            <w:pPr>
              <w:jc w:val="center"/>
              <w:rPr>
                <w:rFonts w:asciiTheme="minorHAnsi" w:hAnsiTheme="minorHAnsi" w:cstheme="minorHAnsi"/>
                <w:noProof/>
                <w:sz w:val="18"/>
                <w:szCs w:val="16"/>
              </w:rPr>
            </w:pPr>
            <w:r w:rsidRPr="00890249">
              <w:rPr>
                <w:rFonts w:asciiTheme="minorHAnsi" w:hAnsiTheme="minorHAnsi" w:cstheme="minorHAnsi"/>
                <w:noProof/>
                <w:sz w:val="18"/>
                <w:szCs w:val="16"/>
              </w:rPr>
              <w:t>1</w:t>
            </w:r>
            <w:r w:rsidR="00D820C5" w:rsidRPr="00890249">
              <w:rPr>
                <w:rFonts w:asciiTheme="minorHAnsi" w:hAnsiTheme="minorHAnsi" w:cstheme="minorHAnsi"/>
                <w:noProof/>
                <w:sz w:val="18"/>
                <w:szCs w:val="16"/>
              </w:rPr>
              <w:t>3</w:t>
            </w:r>
          </w:p>
        </w:tc>
        <w:tc>
          <w:tcPr>
            <w:tcW w:w="590" w:type="pct"/>
            <w:shd w:val="clear" w:color="auto" w:fill="auto"/>
            <w:vAlign w:val="center"/>
          </w:tcPr>
          <w:p w14:paraId="703EAB5B" w14:textId="1069E5C0" w:rsidR="006D1AF2" w:rsidRPr="00890249" w:rsidRDefault="00003E7C" w:rsidP="006D1AF2">
            <w:pPr>
              <w:jc w:val="center"/>
              <w:rPr>
                <w:rFonts w:asciiTheme="minorHAnsi" w:hAnsiTheme="minorHAnsi" w:cstheme="minorHAnsi"/>
                <w:noProof/>
                <w:sz w:val="18"/>
                <w:szCs w:val="16"/>
              </w:rPr>
            </w:pPr>
            <w:r w:rsidRPr="00890249">
              <w:rPr>
                <w:rFonts w:asciiTheme="minorHAnsi" w:hAnsiTheme="minorHAnsi" w:cstheme="minorHAnsi"/>
                <w:noProof/>
                <w:sz w:val="18"/>
                <w:szCs w:val="16"/>
              </w:rPr>
              <w:t>26</w:t>
            </w:r>
            <w:r w:rsidR="00D820C5" w:rsidRPr="00890249">
              <w:rPr>
                <w:rFonts w:asciiTheme="minorHAnsi" w:hAnsiTheme="minorHAnsi" w:cstheme="minorHAnsi"/>
                <w:noProof/>
                <w:sz w:val="18"/>
                <w:szCs w:val="16"/>
              </w:rPr>
              <w:t>6</w:t>
            </w:r>
          </w:p>
        </w:tc>
      </w:tr>
      <w:tr w:rsidR="00624F0D" w:rsidRPr="00890249" w14:paraId="7AAE32B6" w14:textId="77777777" w:rsidTr="002E5890">
        <w:trPr>
          <w:trHeight w:val="332"/>
        </w:trPr>
        <w:tc>
          <w:tcPr>
            <w:tcW w:w="291" w:type="pct"/>
            <w:vAlign w:val="center"/>
          </w:tcPr>
          <w:p w14:paraId="635ACB39" w14:textId="77777777" w:rsidR="00624F0D" w:rsidRPr="00890249" w:rsidRDefault="00624F0D" w:rsidP="00624F0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vAlign w:val="center"/>
          </w:tcPr>
          <w:p w14:paraId="2D33292B" w14:textId="77777777" w:rsidR="00624F0D" w:rsidRPr="00890249" w:rsidRDefault="00624F0D" w:rsidP="00624F0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w:t>
            </w:r>
          </w:p>
        </w:tc>
        <w:tc>
          <w:tcPr>
            <w:tcW w:w="384" w:type="pct"/>
            <w:vAlign w:val="center"/>
          </w:tcPr>
          <w:p w14:paraId="1EBF19D6" w14:textId="77777777" w:rsidR="00624F0D" w:rsidRPr="00890249" w:rsidRDefault="00624F0D" w:rsidP="00624F0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244ED799" w14:textId="77777777" w:rsidR="00624F0D" w:rsidRPr="00890249" w:rsidRDefault="00624F0D" w:rsidP="00624F0D">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7FB1CC8A" w14:textId="71BD9480" w:rsidR="00624F0D" w:rsidRPr="00890249" w:rsidRDefault="004D0F3E" w:rsidP="00624F0D">
            <w:pPr>
              <w:jc w:val="center"/>
              <w:rPr>
                <w:rFonts w:asciiTheme="minorHAnsi" w:hAnsiTheme="minorHAnsi" w:cstheme="minorHAnsi"/>
                <w:i/>
                <w:sz w:val="18"/>
                <w:szCs w:val="16"/>
              </w:rPr>
            </w:pPr>
            <w:r>
              <w:rPr>
                <w:rFonts w:asciiTheme="minorHAnsi" w:hAnsiTheme="minorHAnsi" w:cstheme="minorHAnsi"/>
                <w:i/>
                <w:sz w:val="18"/>
                <w:szCs w:val="16"/>
              </w:rPr>
              <w:t>FEOP21</w:t>
            </w:r>
          </w:p>
        </w:tc>
        <w:tc>
          <w:tcPr>
            <w:tcW w:w="1226" w:type="pct"/>
            <w:shd w:val="clear" w:color="auto" w:fill="auto"/>
            <w:vAlign w:val="center"/>
          </w:tcPr>
          <w:p w14:paraId="6300C0AB" w14:textId="77777777" w:rsidR="00624F0D" w:rsidRPr="00890249" w:rsidRDefault="00624F0D" w:rsidP="00624F0D">
            <w:pPr>
              <w:jc w:val="left"/>
              <w:rPr>
                <w:rFonts w:asciiTheme="minorHAnsi" w:hAnsiTheme="minorHAnsi" w:cstheme="minorHAnsi"/>
                <w:i/>
                <w:sz w:val="18"/>
                <w:szCs w:val="16"/>
              </w:rPr>
            </w:pPr>
            <w:r w:rsidRPr="00890249">
              <w:rPr>
                <w:rFonts w:asciiTheme="minorHAnsi" w:hAnsiTheme="minorHAnsi" w:cstheme="minorHAnsi"/>
                <w:i/>
                <w:sz w:val="18"/>
                <w:szCs w:val="16"/>
              </w:rPr>
              <w:t>Liczba wspartych inicjatyw na obszarach miejskich i wiejskich</w:t>
            </w:r>
          </w:p>
        </w:tc>
        <w:tc>
          <w:tcPr>
            <w:tcW w:w="613" w:type="pct"/>
            <w:vAlign w:val="center"/>
          </w:tcPr>
          <w:p w14:paraId="2EEC47C0" w14:textId="77777777" w:rsidR="00624F0D" w:rsidRPr="00890249" w:rsidRDefault="00624F0D" w:rsidP="00624F0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460" w:type="pct"/>
            <w:shd w:val="clear" w:color="auto" w:fill="auto"/>
            <w:vAlign w:val="center"/>
          </w:tcPr>
          <w:p w14:paraId="39894C3E" w14:textId="77777777" w:rsidR="00624F0D" w:rsidRPr="00890249" w:rsidRDefault="00624F0D" w:rsidP="00624F0D">
            <w:pPr>
              <w:jc w:val="center"/>
              <w:rPr>
                <w:rFonts w:asciiTheme="minorHAnsi" w:hAnsiTheme="minorHAnsi" w:cstheme="minorHAnsi"/>
                <w:noProof/>
                <w:sz w:val="18"/>
                <w:szCs w:val="16"/>
              </w:rPr>
            </w:pPr>
            <w:r w:rsidRPr="00890249">
              <w:rPr>
                <w:rFonts w:asciiTheme="minorHAnsi" w:hAnsiTheme="minorHAnsi" w:cstheme="minorHAnsi"/>
                <w:noProof/>
                <w:sz w:val="18"/>
                <w:szCs w:val="16"/>
              </w:rPr>
              <w:t>16</w:t>
            </w:r>
          </w:p>
        </w:tc>
        <w:tc>
          <w:tcPr>
            <w:tcW w:w="590" w:type="pct"/>
            <w:shd w:val="clear" w:color="auto" w:fill="auto"/>
            <w:vAlign w:val="center"/>
          </w:tcPr>
          <w:p w14:paraId="633EC8E7" w14:textId="75914E33" w:rsidR="00624F0D" w:rsidRPr="00890249" w:rsidRDefault="00695AEA" w:rsidP="00624F0D">
            <w:pPr>
              <w:jc w:val="center"/>
              <w:rPr>
                <w:rFonts w:asciiTheme="minorHAnsi" w:hAnsiTheme="minorHAnsi" w:cstheme="minorHAnsi"/>
                <w:noProof/>
                <w:sz w:val="18"/>
                <w:szCs w:val="16"/>
              </w:rPr>
            </w:pPr>
            <w:r>
              <w:rPr>
                <w:rFonts w:asciiTheme="minorHAnsi" w:hAnsiTheme="minorHAnsi" w:cstheme="minorHAnsi"/>
                <w:noProof/>
                <w:sz w:val="18"/>
                <w:szCs w:val="16"/>
              </w:rPr>
              <w:t>40</w:t>
            </w:r>
          </w:p>
        </w:tc>
      </w:tr>
      <w:tr w:rsidR="002E5890" w:rsidRPr="00890249" w14:paraId="557F53C2" w14:textId="77777777" w:rsidTr="002E5890">
        <w:trPr>
          <w:trHeight w:val="332"/>
        </w:trPr>
        <w:tc>
          <w:tcPr>
            <w:tcW w:w="291" w:type="pct"/>
            <w:vAlign w:val="center"/>
          </w:tcPr>
          <w:p w14:paraId="07DC666F"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vAlign w:val="center"/>
          </w:tcPr>
          <w:p w14:paraId="2D525C9C"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w:t>
            </w:r>
          </w:p>
        </w:tc>
        <w:tc>
          <w:tcPr>
            <w:tcW w:w="384" w:type="pct"/>
            <w:vAlign w:val="center"/>
          </w:tcPr>
          <w:p w14:paraId="4BB78D8F"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5BBE8C53" w14:textId="77777777" w:rsidR="002E5890" w:rsidRPr="00890249" w:rsidRDefault="002E5890" w:rsidP="002E5890">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381A4324" w14:textId="77777777" w:rsidR="002E5890" w:rsidRPr="00890249" w:rsidRDefault="002E5890" w:rsidP="002E5890">
            <w:pPr>
              <w:jc w:val="center"/>
              <w:rPr>
                <w:rFonts w:asciiTheme="minorHAnsi" w:hAnsiTheme="minorHAnsi" w:cstheme="minorHAnsi"/>
                <w:i/>
                <w:sz w:val="18"/>
                <w:szCs w:val="16"/>
              </w:rPr>
            </w:pPr>
            <w:r w:rsidRPr="00890249">
              <w:rPr>
                <w:rFonts w:asciiTheme="minorHAnsi" w:hAnsiTheme="minorHAnsi" w:cstheme="minorHAnsi"/>
                <w:i/>
                <w:sz w:val="18"/>
                <w:szCs w:val="16"/>
              </w:rPr>
              <w:t>RCO018</w:t>
            </w:r>
          </w:p>
        </w:tc>
        <w:tc>
          <w:tcPr>
            <w:tcW w:w="1226" w:type="pct"/>
            <w:shd w:val="clear" w:color="auto" w:fill="auto"/>
            <w:vAlign w:val="center"/>
          </w:tcPr>
          <w:p w14:paraId="628E80A3" w14:textId="77777777" w:rsidR="002E5890" w:rsidRPr="00890249" w:rsidRDefault="002E5890" w:rsidP="002E5890">
            <w:pPr>
              <w:jc w:val="left"/>
              <w:rPr>
                <w:rFonts w:asciiTheme="minorHAnsi" w:hAnsiTheme="minorHAnsi" w:cstheme="minorHAnsi"/>
                <w:i/>
                <w:sz w:val="18"/>
                <w:szCs w:val="16"/>
              </w:rPr>
            </w:pPr>
            <w:r w:rsidRPr="00890249">
              <w:rPr>
                <w:rFonts w:asciiTheme="minorHAnsi" w:hAnsiTheme="minorHAnsi" w:cstheme="minorHAnsi"/>
                <w:i/>
                <w:sz w:val="18"/>
                <w:szCs w:val="16"/>
              </w:rPr>
              <w:t>Lokale mieszkalne o udoskonalonej charakterystyce energetycznej</w:t>
            </w:r>
          </w:p>
        </w:tc>
        <w:tc>
          <w:tcPr>
            <w:tcW w:w="613" w:type="pct"/>
            <w:vAlign w:val="center"/>
          </w:tcPr>
          <w:p w14:paraId="0FE9CEC6"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460" w:type="pct"/>
            <w:shd w:val="clear" w:color="auto" w:fill="auto"/>
            <w:vAlign w:val="center"/>
          </w:tcPr>
          <w:p w14:paraId="17AE4871" w14:textId="77777777" w:rsidR="002E5890" w:rsidRPr="00890249" w:rsidRDefault="002E5890" w:rsidP="002E5890">
            <w:pPr>
              <w:jc w:val="center"/>
              <w:rPr>
                <w:rFonts w:asciiTheme="minorHAnsi" w:hAnsiTheme="minorHAnsi" w:cstheme="minorHAnsi"/>
                <w:noProof/>
                <w:sz w:val="18"/>
                <w:szCs w:val="16"/>
              </w:rPr>
            </w:pPr>
            <w:r w:rsidRPr="00890249">
              <w:rPr>
                <w:rFonts w:asciiTheme="minorHAnsi" w:hAnsiTheme="minorHAnsi" w:cstheme="minorHAnsi"/>
                <w:noProof/>
                <w:sz w:val="18"/>
                <w:szCs w:val="16"/>
              </w:rPr>
              <w:t>250</w:t>
            </w:r>
          </w:p>
        </w:tc>
        <w:tc>
          <w:tcPr>
            <w:tcW w:w="590" w:type="pct"/>
            <w:shd w:val="clear" w:color="auto" w:fill="auto"/>
            <w:vAlign w:val="center"/>
          </w:tcPr>
          <w:p w14:paraId="141DC79B" w14:textId="77777777" w:rsidR="002E5890" w:rsidRPr="00890249" w:rsidRDefault="002E5890" w:rsidP="002E5890">
            <w:pPr>
              <w:jc w:val="center"/>
              <w:rPr>
                <w:rFonts w:asciiTheme="minorHAnsi" w:hAnsiTheme="minorHAnsi" w:cstheme="minorHAnsi"/>
                <w:noProof/>
                <w:sz w:val="18"/>
                <w:szCs w:val="16"/>
              </w:rPr>
            </w:pPr>
            <w:r w:rsidRPr="00890249">
              <w:rPr>
                <w:rFonts w:asciiTheme="minorHAnsi" w:hAnsiTheme="minorHAnsi" w:cstheme="minorHAnsi"/>
                <w:noProof/>
                <w:sz w:val="18"/>
                <w:szCs w:val="16"/>
              </w:rPr>
              <w:t>2 500</w:t>
            </w:r>
          </w:p>
        </w:tc>
      </w:tr>
      <w:tr w:rsidR="002E5890" w:rsidRPr="00890249" w14:paraId="37458A7D" w14:textId="77777777" w:rsidTr="002E5890">
        <w:trPr>
          <w:trHeight w:val="332"/>
        </w:trPr>
        <w:tc>
          <w:tcPr>
            <w:tcW w:w="291" w:type="pct"/>
            <w:vAlign w:val="center"/>
          </w:tcPr>
          <w:p w14:paraId="10BD1A23"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vAlign w:val="center"/>
          </w:tcPr>
          <w:p w14:paraId="41A07054"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w:t>
            </w:r>
          </w:p>
        </w:tc>
        <w:tc>
          <w:tcPr>
            <w:tcW w:w="384" w:type="pct"/>
            <w:vAlign w:val="center"/>
          </w:tcPr>
          <w:p w14:paraId="43022886"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44D966A2" w14:textId="77777777" w:rsidR="002E5890" w:rsidRPr="00890249" w:rsidRDefault="002E5890" w:rsidP="002E5890">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63433967" w14:textId="77777777" w:rsidR="002E5890" w:rsidRPr="00890249" w:rsidRDefault="002E5890" w:rsidP="002E5890">
            <w:pPr>
              <w:jc w:val="center"/>
              <w:rPr>
                <w:rFonts w:asciiTheme="minorHAnsi" w:hAnsiTheme="minorHAnsi" w:cstheme="minorHAnsi"/>
                <w:i/>
                <w:sz w:val="18"/>
                <w:szCs w:val="16"/>
              </w:rPr>
            </w:pPr>
            <w:r w:rsidRPr="00890249">
              <w:rPr>
                <w:rFonts w:asciiTheme="minorHAnsi" w:hAnsiTheme="minorHAnsi" w:cstheme="minorHAnsi"/>
                <w:i/>
                <w:sz w:val="18"/>
                <w:szCs w:val="16"/>
              </w:rPr>
              <w:t>RCO019</w:t>
            </w:r>
          </w:p>
        </w:tc>
        <w:tc>
          <w:tcPr>
            <w:tcW w:w="1226" w:type="pct"/>
            <w:shd w:val="clear" w:color="auto" w:fill="auto"/>
            <w:vAlign w:val="center"/>
          </w:tcPr>
          <w:p w14:paraId="24FE1B7B" w14:textId="77777777" w:rsidR="002E5890" w:rsidRPr="00890249" w:rsidRDefault="002E5890" w:rsidP="002E5890">
            <w:pPr>
              <w:jc w:val="left"/>
              <w:rPr>
                <w:rFonts w:asciiTheme="minorHAnsi" w:hAnsiTheme="minorHAnsi" w:cstheme="minorHAnsi"/>
                <w:i/>
                <w:sz w:val="18"/>
                <w:szCs w:val="16"/>
              </w:rPr>
            </w:pPr>
            <w:r w:rsidRPr="00890249">
              <w:rPr>
                <w:rFonts w:asciiTheme="minorHAnsi" w:hAnsiTheme="minorHAnsi" w:cstheme="minorHAnsi"/>
                <w:i/>
                <w:sz w:val="18"/>
                <w:szCs w:val="16"/>
              </w:rPr>
              <w:t>Budynki publiczne o udoskonalonej charakterystyce energetycznej</w:t>
            </w:r>
          </w:p>
        </w:tc>
        <w:tc>
          <w:tcPr>
            <w:tcW w:w="613" w:type="pct"/>
            <w:vAlign w:val="center"/>
          </w:tcPr>
          <w:p w14:paraId="43710936" w14:textId="77777777" w:rsidR="002E5890" w:rsidRPr="00890249" w:rsidRDefault="002E5890" w:rsidP="002E589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m</w:t>
            </w:r>
            <w:r w:rsidR="00F0142C" w:rsidRPr="00890249">
              <w:rPr>
                <w:rFonts w:asciiTheme="minorHAnsi" w:hAnsiTheme="minorHAnsi" w:cstheme="minorHAnsi"/>
                <w:i/>
                <w:noProof/>
                <w:sz w:val="18"/>
                <w:szCs w:val="16"/>
                <w:vertAlign w:val="superscript"/>
              </w:rPr>
              <w:t>2</w:t>
            </w:r>
          </w:p>
        </w:tc>
        <w:tc>
          <w:tcPr>
            <w:tcW w:w="460" w:type="pct"/>
            <w:shd w:val="clear" w:color="auto" w:fill="auto"/>
            <w:vAlign w:val="center"/>
          </w:tcPr>
          <w:p w14:paraId="627B3A0D" w14:textId="77777777" w:rsidR="002E5890" w:rsidRPr="00890249" w:rsidRDefault="002E5890" w:rsidP="002E5890">
            <w:pPr>
              <w:jc w:val="center"/>
              <w:rPr>
                <w:rFonts w:asciiTheme="minorHAnsi" w:hAnsiTheme="minorHAnsi" w:cstheme="minorHAnsi"/>
                <w:noProof/>
                <w:sz w:val="18"/>
                <w:szCs w:val="16"/>
              </w:rPr>
            </w:pPr>
            <w:r w:rsidRPr="00890249">
              <w:rPr>
                <w:rFonts w:asciiTheme="minorHAnsi" w:hAnsiTheme="minorHAnsi" w:cstheme="minorHAnsi"/>
                <w:noProof/>
                <w:sz w:val="18"/>
                <w:szCs w:val="16"/>
              </w:rPr>
              <w:t>20 000</w:t>
            </w:r>
          </w:p>
        </w:tc>
        <w:tc>
          <w:tcPr>
            <w:tcW w:w="590" w:type="pct"/>
            <w:shd w:val="clear" w:color="auto" w:fill="auto"/>
            <w:vAlign w:val="center"/>
          </w:tcPr>
          <w:p w14:paraId="2C6EF1F8" w14:textId="77777777" w:rsidR="002E5890" w:rsidRPr="00890249" w:rsidRDefault="002E5890" w:rsidP="002E5890">
            <w:pPr>
              <w:jc w:val="center"/>
              <w:rPr>
                <w:rFonts w:asciiTheme="minorHAnsi" w:hAnsiTheme="minorHAnsi" w:cstheme="minorHAnsi"/>
                <w:noProof/>
                <w:sz w:val="18"/>
                <w:szCs w:val="16"/>
              </w:rPr>
            </w:pPr>
            <w:r w:rsidRPr="00890249">
              <w:rPr>
                <w:rFonts w:asciiTheme="minorHAnsi" w:hAnsiTheme="minorHAnsi" w:cstheme="minorHAnsi"/>
                <w:noProof/>
                <w:sz w:val="18"/>
                <w:szCs w:val="16"/>
              </w:rPr>
              <w:t>400 000</w:t>
            </w:r>
          </w:p>
        </w:tc>
      </w:tr>
    </w:tbl>
    <w:p w14:paraId="01DEBD9F" w14:textId="77777777" w:rsidR="007D5C6D" w:rsidRPr="00890249" w:rsidRDefault="007D5C6D" w:rsidP="00F31F82">
      <w:pPr>
        <w:spacing w:before="240" w:after="240"/>
        <w:rPr>
          <w:rFonts w:asciiTheme="minorHAnsi" w:hAnsiTheme="minorHAnsi" w:cstheme="minorHAnsi"/>
          <w:b/>
          <w:noProof/>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353"/>
        <w:gridCol w:w="708"/>
        <w:gridCol w:w="1029"/>
        <w:gridCol w:w="791"/>
        <w:gridCol w:w="1413"/>
        <w:gridCol w:w="847"/>
        <w:gridCol w:w="708"/>
        <w:gridCol w:w="607"/>
        <w:gridCol w:w="572"/>
        <w:gridCol w:w="619"/>
        <w:gridCol w:w="695"/>
      </w:tblGrid>
      <w:tr w:rsidR="00BC2FD4" w:rsidRPr="00890249" w14:paraId="511DD6D5" w14:textId="77777777" w:rsidTr="00890249">
        <w:trPr>
          <w:trHeight w:val="480"/>
        </w:trPr>
        <w:tc>
          <w:tcPr>
            <w:tcW w:w="9287" w:type="dxa"/>
            <w:gridSpan w:val="12"/>
            <w:shd w:val="clear" w:color="auto" w:fill="D9D9D9" w:themeFill="background1" w:themeFillShade="D9"/>
          </w:tcPr>
          <w:p w14:paraId="591D38EE"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C2FD4" w:rsidRPr="00890249" w14:paraId="2579C1A9" w14:textId="77777777" w:rsidTr="00890249">
        <w:trPr>
          <w:cantSplit/>
          <w:trHeight w:val="1768"/>
        </w:trPr>
        <w:tc>
          <w:tcPr>
            <w:tcW w:w="945" w:type="dxa"/>
            <w:shd w:val="clear" w:color="auto" w:fill="F2F2F2" w:themeFill="background1" w:themeFillShade="F2"/>
            <w:textDirection w:val="btLr"/>
            <w:vAlign w:val="center"/>
          </w:tcPr>
          <w:p w14:paraId="00C7881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353" w:type="dxa"/>
            <w:shd w:val="clear" w:color="auto" w:fill="F2F2F2" w:themeFill="background1" w:themeFillShade="F2"/>
            <w:textDirection w:val="btLr"/>
            <w:vAlign w:val="center"/>
          </w:tcPr>
          <w:p w14:paraId="01BCA49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708" w:type="dxa"/>
            <w:shd w:val="clear" w:color="auto" w:fill="F2F2F2" w:themeFill="background1" w:themeFillShade="F2"/>
            <w:textDirection w:val="btLr"/>
            <w:vAlign w:val="center"/>
          </w:tcPr>
          <w:p w14:paraId="3D03CEB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1029" w:type="dxa"/>
            <w:shd w:val="clear" w:color="auto" w:fill="F2F2F2" w:themeFill="background1" w:themeFillShade="F2"/>
            <w:textDirection w:val="btLr"/>
            <w:vAlign w:val="center"/>
          </w:tcPr>
          <w:p w14:paraId="561EF45F"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791" w:type="dxa"/>
            <w:shd w:val="clear" w:color="auto" w:fill="F2F2F2" w:themeFill="background1" w:themeFillShade="F2"/>
            <w:textDirection w:val="btLr"/>
            <w:vAlign w:val="center"/>
          </w:tcPr>
          <w:p w14:paraId="7C91CB95"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1413" w:type="dxa"/>
            <w:shd w:val="clear" w:color="auto" w:fill="F2F2F2" w:themeFill="background1" w:themeFillShade="F2"/>
            <w:textDirection w:val="btLr"/>
            <w:vAlign w:val="center"/>
          </w:tcPr>
          <w:p w14:paraId="003C02A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847" w:type="dxa"/>
            <w:shd w:val="clear" w:color="auto" w:fill="F2F2F2" w:themeFill="background1" w:themeFillShade="F2"/>
            <w:textDirection w:val="btLr"/>
            <w:vAlign w:val="center"/>
          </w:tcPr>
          <w:p w14:paraId="193D7265"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708" w:type="dxa"/>
            <w:shd w:val="clear" w:color="auto" w:fill="F2F2F2" w:themeFill="background1" w:themeFillShade="F2"/>
            <w:textDirection w:val="btLr"/>
            <w:vAlign w:val="center"/>
          </w:tcPr>
          <w:p w14:paraId="655A3DFE"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607" w:type="dxa"/>
            <w:shd w:val="clear" w:color="auto" w:fill="F2F2F2" w:themeFill="background1" w:themeFillShade="F2"/>
            <w:textDirection w:val="btLr"/>
            <w:vAlign w:val="center"/>
          </w:tcPr>
          <w:p w14:paraId="52093569"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572" w:type="dxa"/>
            <w:shd w:val="clear" w:color="auto" w:fill="F2F2F2" w:themeFill="background1" w:themeFillShade="F2"/>
            <w:textDirection w:val="btLr"/>
            <w:vAlign w:val="center"/>
          </w:tcPr>
          <w:p w14:paraId="4652DE07"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619" w:type="dxa"/>
            <w:shd w:val="clear" w:color="auto" w:fill="F2F2F2" w:themeFill="background1" w:themeFillShade="F2"/>
            <w:textDirection w:val="btLr"/>
            <w:vAlign w:val="center"/>
          </w:tcPr>
          <w:p w14:paraId="741C870F"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695" w:type="dxa"/>
            <w:shd w:val="clear" w:color="auto" w:fill="F2F2F2" w:themeFill="background1" w:themeFillShade="F2"/>
            <w:textDirection w:val="btLr"/>
            <w:vAlign w:val="center"/>
          </w:tcPr>
          <w:p w14:paraId="05764676"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276644" w:rsidRPr="00890249" w14:paraId="57646514" w14:textId="77777777" w:rsidTr="00890249">
        <w:trPr>
          <w:trHeight w:val="434"/>
        </w:trPr>
        <w:tc>
          <w:tcPr>
            <w:tcW w:w="945" w:type="dxa"/>
            <w:vAlign w:val="center"/>
          </w:tcPr>
          <w:p w14:paraId="4B072AFD" w14:textId="77777777" w:rsidR="00276644" w:rsidRPr="00890249" w:rsidRDefault="00276644" w:rsidP="00276644">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353" w:type="dxa"/>
            <w:vAlign w:val="center"/>
          </w:tcPr>
          <w:p w14:paraId="6D090765" w14:textId="77777777" w:rsidR="00276644" w:rsidRPr="00890249" w:rsidRDefault="00276644" w:rsidP="00276644">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w:t>
            </w:r>
          </w:p>
        </w:tc>
        <w:tc>
          <w:tcPr>
            <w:tcW w:w="708" w:type="dxa"/>
            <w:vAlign w:val="center"/>
          </w:tcPr>
          <w:p w14:paraId="0E6DA594" w14:textId="77777777" w:rsidR="00276644" w:rsidRPr="00890249" w:rsidRDefault="00276644" w:rsidP="00276644">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1029" w:type="dxa"/>
            <w:vAlign w:val="center"/>
          </w:tcPr>
          <w:p w14:paraId="1F75EA39" w14:textId="77777777" w:rsidR="00276644" w:rsidRPr="00890249" w:rsidRDefault="00276644" w:rsidP="00276644">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791" w:type="dxa"/>
            <w:vAlign w:val="center"/>
          </w:tcPr>
          <w:p w14:paraId="09A73CD1" w14:textId="77777777" w:rsidR="00276644" w:rsidRPr="00890249" w:rsidRDefault="00276644" w:rsidP="00276644">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RCR</w:t>
            </w:r>
            <w:r w:rsidR="00624F0D" w:rsidRPr="00890249">
              <w:rPr>
                <w:rFonts w:asciiTheme="minorHAnsi" w:hAnsiTheme="minorHAnsi" w:cstheme="minorHAnsi"/>
                <w:i/>
                <w:noProof/>
                <w:sz w:val="18"/>
                <w:szCs w:val="16"/>
              </w:rPr>
              <w:t>0</w:t>
            </w:r>
            <w:r w:rsidRPr="00890249">
              <w:rPr>
                <w:rFonts w:asciiTheme="minorHAnsi" w:hAnsiTheme="minorHAnsi" w:cstheme="minorHAnsi"/>
                <w:i/>
                <w:noProof/>
                <w:sz w:val="18"/>
                <w:szCs w:val="16"/>
              </w:rPr>
              <w:t>26</w:t>
            </w:r>
          </w:p>
        </w:tc>
        <w:tc>
          <w:tcPr>
            <w:tcW w:w="1413" w:type="dxa"/>
            <w:shd w:val="clear" w:color="auto" w:fill="auto"/>
            <w:vAlign w:val="center"/>
          </w:tcPr>
          <w:p w14:paraId="6FD4C290" w14:textId="77777777" w:rsidR="00276644" w:rsidRPr="00890249" w:rsidRDefault="00276644" w:rsidP="00276644">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Roczne zużycie energii pierwotnej (w tym lokalach mieszkalnych, budynkach publicznych, przedsiębiorstwach, innych)</w:t>
            </w:r>
          </w:p>
        </w:tc>
        <w:tc>
          <w:tcPr>
            <w:tcW w:w="847" w:type="dxa"/>
            <w:vAlign w:val="center"/>
          </w:tcPr>
          <w:p w14:paraId="503907B2" w14:textId="77777777" w:rsidR="00276644" w:rsidRPr="00890249" w:rsidRDefault="00276644" w:rsidP="00276644">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MWh/</w:t>
            </w:r>
            <w:r w:rsidRPr="00890249">
              <w:rPr>
                <w:rFonts w:asciiTheme="minorHAnsi" w:hAnsiTheme="minorHAnsi" w:cstheme="minorHAnsi"/>
                <w:i/>
                <w:noProof/>
                <w:sz w:val="18"/>
                <w:szCs w:val="16"/>
              </w:rPr>
              <w:br/>
              <w:t>rok</w:t>
            </w:r>
          </w:p>
        </w:tc>
        <w:tc>
          <w:tcPr>
            <w:tcW w:w="708" w:type="dxa"/>
            <w:vAlign w:val="center"/>
          </w:tcPr>
          <w:p w14:paraId="36E91B65" w14:textId="0E7497AF" w:rsidR="00276644" w:rsidRPr="00890249" w:rsidRDefault="00003E7C" w:rsidP="00003E7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232 741</w:t>
            </w:r>
          </w:p>
        </w:tc>
        <w:tc>
          <w:tcPr>
            <w:tcW w:w="607" w:type="dxa"/>
            <w:vAlign w:val="center"/>
          </w:tcPr>
          <w:p w14:paraId="27CCC277" w14:textId="77777777" w:rsidR="00A63705" w:rsidRPr="00890249" w:rsidRDefault="00624F0D" w:rsidP="0043241C">
            <w:pP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2021</w:t>
            </w:r>
          </w:p>
        </w:tc>
        <w:tc>
          <w:tcPr>
            <w:tcW w:w="572" w:type="dxa"/>
            <w:shd w:val="clear" w:color="auto" w:fill="auto"/>
            <w:vAlign w:val="center"/>
          </w:tcPr>
          <w:p w14:paraId="754D21B9" w14:textId="29EBCD5F" w:rsidR="00276644" w:rsidRPr="00890249" w:rsidRDefault="00003E7C" w:rsidP="00003E7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139 645</w:t>
            </w:r>
          </w:p>
        </w:tc>
        <w:tc>
          <w:tcPr>
            <w:tcW w:w="619" w:type="dxa"/>
            <w:shd w:val="clear" w:color="auto" w:fill="auto"/>
            <w:vAlign w:val="center"/>
          </w:tcPr>
          <w:p w14:paraId="2B13B5E3" w14:textId="77777777" w:rsidR="00276644" w:rsidRPr="00890249" w:rsidRDefault="008374CE" w:rsidP="00276644">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695" w:type="dxa"/>
            <w:vAlign w:val="center"/>
          </w:tcPr>
          <w:p w14:paraId="2E358CB9" w14:textId="77777777" w:rsidR="00276644" w:rsidRPr="00890249" w:rsidRDefault="008374CE" w:rsidP="00276644">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276644" w:rsidRPr="00890249" w14:paraId="63C88D7B" w14:textId="77777777" w:rsidTr="00890249">
        <w:trPr>
          <w:trHeight w:val="434"/>
        </w:trPr>
        <w:tc>
          <w:tcPr>
            <w:tcW w:w="945" w:type="dxa"/>
            <w:vAlign w:val="center"/>
          </w:tcPr>
          <w:p w14:paraId="4186A23B" w14:textId="77777777" w:rsidR="00276644" w:rsidRPr="00890249" w:rsidRDefault="00276644" w:rsidP="00276644">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CP2</w:t>
            </w:r>
          </w:p>
        </w:tc>
        <w:tc>
          <w:tcPr>
            <w:tcW w:w="353" w:type="dxa"/>
            <w:vAlign w:val="center"/>
          </w:tcPr>
          <w:p w14:paraId="650A95D6" w14:textId="77777777" w:rsidR="00276644" w:rsidRPr="00890249" w:rsidRDefault="00276644" w:rsidP="00276644">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2.i</w:t>
            </w:r>
          </w:p>
        </w:tc>
        <w:tc>
          <w:tcPr>
            <w:tcW w:w="708" w:type="dxa"/>
            <w:vAlign w:val="center"/>
          </w:tcPr>
          <w:p w14:paraId="62231BDD" w14:textId="77777777" w:rsidR="00276644" w:rsidRPr="00890249" w:rsidRDefault="00276644" w:rsidP="00276644">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1029" w:type="dxa"/>
            <w:vAlign w:val="center"/>
          </w:tcPr>
          <w:p w14:paraId="77F0E76A" w14:textId="77777777" w:rsidR="00276644" w:rsidRPr="00890249" w:rsidRDefault="00276644" w:rsidP="00276644">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791" w:type="dxa"/>
            <w:vAlign w:val="center"/>
          </w:tcPr>
          <w:p w14:paraId="6FEAD08E" w14:textId="77777777" w:rsidR="00276644" w:rsidRPr="00890249" w:rsidRDefault="00276644" w:rsidP="00276644">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RCR</w:t>
            </w:r>
            <w:r w:rsidR="00624F0D" w:rsidRPr="00890249">
              <w:rPr>
                <w:rFonts w:asciiTheme="minorHAnsi" w:hAnsiTheme="minorHAnsi" w:cstheme="minorHAnsi"/>
                <w:i/>
                <w:noProof/>
                <w:sz w:val="18"/>
                <w:szCs w:val="16"/>
              </w:rPr>
              <w:t>0</w:t>
            </w:r>
            <w:r w:rsidRPr="00890249">
              <w:rPr>
                <w:rFonts w:asciiTheme="minorHAnsi" w:hAnsiTheme="minorHAnsi" w:cstheme="minorHAnsi"/>
                <w:i/>
                <w:noProof/>
                <w:sz w:val="18"/>
                <w:szCs w:val="16"/>
              </w:rPr>
              <w:t>29</w:t>
            </w:r>
          </w:p>
        </w:tc>
        <w:tc>
          <w:tcPr>
            <w:tcW w:w="1413" w:type="dxa"/>
            <w:shd w:val="clear" w:color="auto" w:fill="auto"/>
            <w:vAlign w:val="center"/>
          </w:tcPr>
          <w:p w14:paraId="1E4FCBF4" w14:textId="77777777" w:rsidR="00276644" w:rsidRPr="00890249" w:rsidRDefault="00276644" w:rsidP="00276644">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Szacowana emisja gazów cieplarnianych</w:t>
            </w:r>
          </w:p>
        </w:tc>
        <w:tc>
          <w:tcPr>
            <w:tcW w:w="847" w:type="dxa"/>
            <w:vAlign w:val="center"/>
          </w:tcPr>
          <w:p w14:paraId="7650068F" w14:textId="77777777" w:rsidR="00276644" w:rsidRPr="00890249" w:rsidRDefault="00276644" w:rsidP="00276644">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tony CO2/rok</w:t>
            </w:r>
          </w:p>
        </w:tc>
        <w:tc>
          <w:tcPr>
            <w:tcW w:w="708" w:type="dxa"/>
            <w:vAlign w:val="center"/>
          </w:tcPr>
          <w:p w14:paraId="7718A19E" w14:textId="6AE09651" w:rsidR="00276644" w:rsidRPr="00890249" w:rsidRDefault="00003E7C" w:rsidP="00003E7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67 171</w:t>
            </w:r>
          </w:p>
        </w:tc>
        <w:tc>
          <w:tcPr>
            <w:tcW w:w="607" w:type="dxa"/>
            <w:vAlign w:val="center"/>
          </w:tcPr>
          <w:p w14:paraId="06FD2C67" w14:textId="77777777" w:rsidR="00276644" w:rsidRPr="00890249" w:rsidRDefault="00624F0D" w:rsidP="00276644">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2021</w:t>
            </w:r>
          </w:p>
        </w:tc>
        <w:tc>
          <w:tcPr>
            <w:tcW w:w="572" w:type="dxa"/>
            <w:shd w:val="clear" w:color="auto" w:fill="auto"/>
            <w:vAlign w:val="center"/>
          </w:tcPr>
          <w:p w14:paraId="399D2497" w14:textId="44F38A40" w:rsidR="00276644" w:rsidRPr="00890249" w:rsidRDefault="00003E7C" w:rsidP="00003E7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40 302</w:t>
            </w:r>
          </w:p>
        </w:tc>
        <w:tc>
          <w:tcPr>
            <w:tcW w:w="619" w:type="dxa"/>
            <w:shd w:val="clear" w:color="auto" w:fill="auto"/>
            <w:vAlign w:val="center"/>
          </w:tcPr>
          <w:p w14:paraId="5C917F08" w14:textId="77777777" w:rsidR="00276644" w:rsidRPr="00890249" w:rsidRDefault="008374CE" w:rsidP="00276644">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695" w:type="dxa"/>
            <w:vAlign w:val="center"/>
          </w:tcPr>
          <w:p w14:paraId="54C34F5D" w14:textId="77777777" w:rsidR="00276644" w:rsidRPr="00890249" w:rsidRDefault="008374CE" w:rsidP="00276644">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bl>
    <w:p w14:paraId="03AF08D9" w14:textId="77777777" w:rsidR="004C343D" w:rsidRPr="00890249" w:rsidRDefault="004C343D" w:rsidP="004C343D">
      <w:pPr>
        <w:spacing w:before="240" w:after="240"/>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2.1.2.1.3 (i) Orientacyjny podział zasobów programu (UE) według rodzaju interwencji</w:t>
      </w:r>
    </w:p>
    <w:tbl>
      <w:tblPr>
        <w:tblStyle w:val="Tabela-Siatka"/>
        <w:tblW w:w="0" w:type="auto"/>
        <w:tblLook w:val="04A0" w:firstRow="1" w:lastRow="0" w:firstColumn="1" w:lastColumn="0" w:noHBand="0" w:noVBand="1"/>
      </w:tblPr>
      <w:tblGrid>
        <w:gridCol w:w="1435"/>
        <w:gridCol w:w="1010"/>
        <w:gridCol w:w="1547"/>
        <w:gridCol w:w="1522"/>
        <w:gridCol w:w="1806"/>
        <w:gridCol w:w="1741"/>
      </w:tblGrid>
      <w:tr w:rsidR="00891CA7" w:rsidRPr="00890249" w14:paraId="0867285A" w14:textId="77777777" w:rsidTr="004D0F3E">
        <w:trPr>
          <w:trHeight w:val="360"/>
          <w:tblHeader/>
        </w:trPr>
        <w:tc>
          <w:tcPr>
            <w:tcW w:w="9287" w:type="dxa"/>
            <w:gridSpan w:val="6"/>
            <w:shd w:val="clear" w:color="auto" w:fill="D9D9D9" w:themeFill="background1" w:themeFillShade="D9"/>
          </w:tcPr>
          <w:p w14:paraId="398397E6" w14:textId="77777777" w:rsidR="00891CA7" w:rsidRPr="00890249" w:rsidRDefault="00891CA7" w:rsidP="00891CA7">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891CA7" w:rsidRPr="00890249" w14:paraId="7538AA6A" w14:textId="77777777" w:rsidTr="004D0F3E">
        <w:trPr>
          <w:tblHeader/>
        </w:trPr>
        <w:tc>
          <w:tcPr>
            <w:tcW w:w="1472" w:type="dxa"/>
            <w:shd w:val="clear" w:color="auto" w:fill="F2F2F2" w:themeFill="background1" w:themeFillShade="F2"/>
          </w:tcPr>
          <w:p w14:paraId="7883B758"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22" w:type="dxa"/>
            <w:shd w:val="clear" w:color="auto" w:fill="F2F2F2" w:themeFill="background1" w:themeFillShade="F2"/>
          </w:tcPr>
          <w:p w14:paraId="701DA314"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595" w:type="dxa"/>
            <w:shd w:val="clear" w:color="auto" w:fill="F2F2F2" w:themeFill="background1" w:themeFillShade="F2"/>
          </w:tcPr>
          <w:p w14:paraId="3C0616B3"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50" w:type="dxa"/>
            <w:shd w:val="clear" w:color="auto" w:fill="F2F2F2" w:themeFill="background1" w:themeFillShade="F2"/>
          </w:tcPr>
          <w:p w14:paraId="50A1A22D"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806" w:type="dxa"/>
            <w:shd w:val="clear" w:color="auto" w:fill="F2F2F2" w:themeFill="background1" w:themeFillShade="F2"/>
          </w:tcPr>
          <w:p w14:paraId="63D76752"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42" w:type="dxa"/>
            <w:shd w:val="clear" w:color="auto" w:fill="F2F2F2" w:themeFill="background1" w:themeFillShade="F2"/>
          </w:tcPr>
          <w:p w14:paraId="59A39FDC"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D0F3E" w:rsidRPr="00890249" w14:paraId="15ADA87E" w14:textId="77777777" w:rsidTr="004D0F3E">
        <w:trPr>
          <w:trHeight w:val="359"/>
        </w:trPr>
        <w:tc>
          <w:tcPr>
            <w:tcW w:w="1472" w:type="dxa"/>
            <w:vMerge w:val="restart"/>
            <w:vAlign w:val="center"/>
          </w:tcPr>
          <w:p w14:paraId="19EE8924" w14:textId="77777777" w:rsidR="004D0F3E" w:rsidRPr="00890249" w:rsidRDefault="004D0F3E" w:rsidP="00891CA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22" w:type="dxa"/>
            <w:vMerge w:val="restart"/>
            <w:vAlign w:val="center"/>
          </w:tcPr>
          <w:p w14:paraId="6F0FDB74" w14:textId="77777777" w:rsidR="004D0F3E" w:rsidRPr="00890249" w:rsidRDefault="004D0F3E" w:rsidP="00891CA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595" w:type="dxa"/>
            <w:vMerge w:val="restart"/>
            <w:vAlign w:val="center"/>
          </w:tcPr>
          <w:p w14:paraId="4E62E5E1" w14:textId="77777777" w:rsidR="004D0F3E" w:rsidRPr="00890249" w:rsidRDefault="004D0F3E" w:rsidP="00891CA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550" w:type="dxa"/>
            <w:vMerge w:val="restart"/>
            <w:vAlign w:val="center"/>
          </w:tcPr>
          <w:p w14:paraId="4319C294" w14:textId="77777777" w:rsidR="004D0F3E" w:rsidRPr="00890249" w:rsidRDefault="004D0F3E" w:rsidP="00891CA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 (i)</w:t>
            </w:r>
          </w:p>
        </w:tc>
        <w:tc>
          <w:tcPr>
            <w:tcW w:w="1806" w:type="dxa"/>
          </w:tcPr>
          <w:p w14:paraId="4E4A7970"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038 </w:t>
            </w:r>
            <w:r w:rsidRPr="00890249">
              <w:rPr>
                <w:rFonts w:asciiTheme="minorHAnsi" w:hAnsiTheme="minorHAnsi" w:cstheme="minorHAnsi"/>
                <w:sz w:val="20"/>
                <w:szCs w:val="20"/>
                <w:lang w:eastAsia="en-US" w:bidi="ar-SA"/>
              </w:rPr>
              <w:t xml:space="preserve">Projekty w zakresie efektywności energetycznej i projekty demonstracyjne w MŚP oraz działania wspierające </w:t>
            </w:r>
          </w:p>
        </w:tc>
        <w:tc>
          <w:tcPr>
            <w:tcW w:w="1842" w:type="dxa"/>
          </w:tcPr>
          <w:p w14:paraId="1A219714" w14:textId="6271E599" w:rsidR="004D0F3E" w:rsidRPr="00890249" w:rsidRDefault="008B3424" w:rsidP="00891CA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10 500 000</w:t>
            </w:r>
          </w:p>
        </w:tc>
      </w:tr>
      <w:tr w:rsidR="004D0F3E" w:rsidRPr="00890249" w14:paraId="29C695B1" w14:textId="77777777" w:rsidTr="004D0F3E">
        <w:trPr>
          <w:trHeight w:val="359"/>
        </w:trPr>
        <w:tc>
          <w:tcPr>
            <w:tcW w:w="1472" w:type="dxa"/>
            <w:vMerge/>
            <w:vAlign w:val="center"/>
          </w:tcPr>
          <w:p w14:paraId="4225B587"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3BB1C805"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2E5348B3"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4C18CF8C"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6EDF0380"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041 </w:t>
            </w:r>
            <w:r w:rsidRPr="00890249">
              <w:rPr>
                <w:rFonts w:asciiTheme="minorHAnsi" w:hAnsiTheme="minorHAnsi" w:cstheme="minorHAnsi"/>
                <w:sz w:val="20"/>
                <w:szCs w:val="20"/>
                <w:lang w:eastAsia="en-US" w:bidi="ar-SA"/>
              </w:rPr>
              <w:t xml:space="preserve">Renowacja istniejących budynków mieszkalnych pod kątem efektywności energetycznej, projekty demonstracyjne i działania wspierające </w:t>
            </w:r>
          </w:p>
        </w:tc>
        <w:tc>
          <w:tcPr>
            <w:tcW w:w="1842" w:type="dxa"/>
          </w:tcPr>
          <w:p w14:paraId="7C9636F0" w14:textId="4E0B9796" w:rsidR="004D0F3E" w:rsidRPr="00890249" w:rsidRDefault="004D0F3E" w:rsidP="00891CA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1 500 000</w:t>
            </w:r>
          </w:p>
        </w:tc>
      </w:tr>
      <w:tr w:rsidR="004D0F3E" w:rsidRPr="00890249" w14:paraId="6CAA9E66" w14:textId="77777777" w:rsidTr="004D0F3E">
        <w:trPr>
          <w:trHeight w:val="359"/>
        </w:trPr>
        <w:tc>
          <w:tcPr>
            <w:tcW w:w="1472" w:type="dxa"/>
            <w:vMerge/>
            <w:vAlign w:val="center"/>
          </w:tcPr>
          <w:p w14:paraId="42696E8F"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61C333D2"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18A7F142"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7DDF2F04"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761B9593"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042 </w:t>
            </w:r>
            <w:r w:rsidRPr="00890249">
              <w:rPr>
                <w:rFonts w:asciiTheme="minorHAnsi" w:hAnsiTheme="minorHAnsi" w:cstheme="minorHAnsi"/>
                <w:sz w:val="20"/>
                <w:szCs w:val="20"/>
                <w:lang w:eastAsia="en-US" w:bidi="ar-SA"/>
              </w:rPr>
              <w:t xml:space="preserve">Renowacja istniejących budynków mieszkalnych pod kątem </w:t>
            </w:r>
            <w:r w:rsidRPr="00890249">
              <w:rPr>
                <w:rFonts w:asciiTheme="minorHAnsi" w:hAnsiTheme="minorHAnsi" w:cstheme="minorHAnsi"/>
                <w:sz w:val="20"/>
                <w:szCs w:val="20"/>
                <w:lang w:eastAsia="en-US" w:bidi="ar-SA"/>
              </w:rPr>
              <w:lastRenderedPageBreak/>
              <w:t>efektywności energetycznej, projekty demonstracyjne i działania wspierające zgodne z kryteriami efektywności energetycznej</w:t>
            </w:r>
          </w:p>
        </w:tc>
        <w:tc>
          <w:tcPr>
            <w:tcW w:w="1842" w:type="dxa"/>
          </w:tcPr>
          <w:p w14:paraId="1B46229D" w14:textId="2DC32345" w:rsidR="004D0F3E" w:rsidRPr="00890249" w:rsidRDefault="004D0F3E" w:rsidP="00157774">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3 568 597</w:t>
            </w:r>
          </w:p>
        </w:tc>
      </w:tr>
      <w:tr w:rsidR="004D0F3E" w:rsidRPr="00890249" w14:paraId="576AE2B4" w14:textId="77777777" w:rsidTr="004D0F3E">
        <w:trPr>
          <w:trHeight w:val="359"/>
        </w:trPr>
        <w:tc>
          <w:tcPr>
            <w:tcW w:w="1472" w:type="dxa"/>
            <w:vMerge/>
            <w:vAlign w:val="center"/>
          </w:tcPr>
          <w:p w14:paraId="688BA630"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50737872"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78E094A9"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5AB42322"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4BB4C66A"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044 </w:t>
            </w:r>
            <w:r w:rsidRPr="00890249">
              <w:rPr>
                <w:rFonts w:asciiTheme="minorHAnsi" w:hAnsiTheme="minorHAnsi" w:cstheme="minorHAnsi"/>
                <w:sz w:val="20"/>
                <w:szCs w:val="20"/>
                <w:lang w:eastAsia="en-US" w:bidi="ar-SA"/>
              </w:rPr>
              <w:t xml:space="preserve">Renowacja zwiększająca efektywność energetyczną lub działania w zakresie efektywności energetycznej w odniesieniu do infrastruktury publicznej, projekty demonstracyjne i działania wspierające </w:t>
            </w:r>
          </w:p>
        </w:tc>
        <w:tc>
          <w:tcPr>
            <w:tcW w:w="1842" w:type="dxa"/>
          </w:tcPr>
          <w:p w14:paraId="712C9C08" w14:textId="46820E26" w:rsidR="004D0F3E" w:rsidRPr="00890249" w:rsidRDefault="008B3424" w:rsidP="008E4134">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0</w:t>
            </w:r>
          </w:p>
        </w:tc>
      </w:tr>
      <w:tr w:rsidR="004D0F3E" w:rsidRPr="00890249" w14:paraId="18934B2B" w14:textId="77777777" w:rsidTr="004D0F3E">
        <w:trPr>
          <w:trHeight w:val="359"/>
        </w:trPr>
        <w:tc>
          <w:tcPr>
            <w:tcW w:w="1472" w:type="dxa"/>
            <w:vMerge/>
            <w:vAlign w:val="center"/>
          </w:tcPr>
          <w:p w14:paraId="3A8800B6"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0E90207C"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4A3AEAC5"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514D6A79"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21FA74CF"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045 </w:t>
            </w:r>
            <w:r w:rsidRPr="00890249">
              <w:rPr>
                <w:rFonts w:asciiTheme="minorHAnsi" w:hAnsiTheme="minorHAnsi" w:cstheme="minorHAnsi"/>
                <w:sz w:val="20"/>
                <w:szCs w:val="20"/>
                <w:lang w:eastAsia="en-US" w:bidi="ar-SA"/>
              </w:rPr>
              <w:t xml:space="preserve">Renowacja zwiększająca efektywność energetyczną lub działania w zakresie efektywności energetycznej w odniesieniu do infrastruktury publicznej, projekty demonstracyjne i działania wspierające zgodne z kryteriami efektywności energetycznej </w:t>
            </w:r>
          </w:p>
        </w:tc>
        <w:tc>
          <w:tcPr>
            <w:tcW w:w="1842" w:type="dxa"/>
          </w:tcPr>
          <w:p w14:paraId="205FDC4D" w14:textId="0665B368" w:rsidR="004D0F3E" w:rsidRPr="00890249" w:rsidRDefault="008B3424" w:rsidP="00891CA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41 700 807</w:t>
            </w:r>
          </w:p>
        </w:tc>
      </w:tr>
      <w:tr w:rsidR="004D0F3E" w:rsidRPr="00890249" w14:paraId="5DDB083C" w14:textId="77777777" w:rsidTr="004D0F3E">
        <w:trPr>
          <w:trHeight w:val="359"/>
        </w:trPr>
        <w:tc>
          <w:tcPr>
            <w:tcW w:w="1472" w:type="dxa"/>
            <w:vMerge/>
            <w:vAlign w:val="center"/>
          </w:tcPr>
          <w:p w14:paraId="65B77840"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4A8D21F7"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235CDE18"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3CC0FEA2"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52F5645E"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046 </w:t>
            </w:r>
            <w:r w:rsidRPr="00890249">
              <w:rPr>
                <w:rFonts w:asciiTheme="minorHAnsi" w:hAnsiTheme="minorHAnsi" w:cstheme="minorHAnsi"/>
                <w:sz w:val="20"/>
                <w:szCs w:val="20"/>
                <w:lang w:eastAsia="en-US" w:bidi="ar-SA"/>
              </w:rPr>
              <w:t xml:space="preserve">Wsparcie dla podmiotów, które świadczą usługi wspierające gospodarkę niskoemisyjną i odporność na zmiany klimatu, w </w:t>
            </w:r>
            <w:r w:rsidRPr="00890249">
              <w:rPr>
                <w:rFonts w:asciiTheme="minorHAnsi" w:hAnsiTheme="minorHAnsi" w:cstheme="minorHAnsi"/>
                <w:sz w:val="20"/>
                <w:szCs w:val="20"/>
                <w:lang w:eastAsia="en-US" w:bidi="ar-SA"/>
              </w:rPr>
              <w:lastRenderedPageBreak/>
              <w:t xml:space="preserve">tym działania w zakresie zwiększania świadomości </w:t>
            </w:r>
          </w:p>
        </w:tc>
        <w:tc>
          <w:tcPr>
            <w:tcW w:w="1842" w:type="dxa"/>
          </w:tcPr>
          <w:p w14:paraId="2B1849FC" w14:textId="06A049F8" w:rsidR="004D0F3E" w:rsidRPr="00890249" w:rsidRDefault="008B3424" w:rsidP="00157774">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2 568 597</w:t>
            </w:r>
          </w:p>
        </w:tc>
      </w:tr>
      <w:tr w:rsidR="004D0F3E" w:rsidRPr="00890249" w14:paraId="64A7CE5D" w14:textId="77777777" w:rsidTr="004D0F3E">
        <w:trPr>
          <w:trHeight w:val="359"/>
        </w:trPr>
        <w:tc>
          <w:tcPr>
            <w:tcW w:w="1472" w:type="dxa"/>
            <w:vMerge/>
            <w:vAlign w:val="center"/>
          </w:tcPr>
          <w:p w14:paraId="36D7CEC6"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102447C4"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5AE1E8C4"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27AB9ABF"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7D5C484E"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054 </w:t>
            </w:r>
            <w:r w:rsidRPr="00890249">
              <w:rPr>
                <w:rFonts w:asciiTheme="minorHAnsi" w:hAnsiTheme="minorHAnsi" w:cstheme="minorHAnsi"/>
                <w:sz w:val="20"/>
                <w:szCs w:val="20"/>
                <w:lang w:eastAsia="en-US" w:bidi="ar-SA"/>
              </w:rPr>
              <w:t xml:space="preserve">Wysokosprawna kogeneracja, system ciepłowniczy i chłodniczy </w:t>
            </w:r>
          </w:p>
        </w:tc>
        <w:tc>
          <w:tcPr>
            <w:tcW w:w="1842" w:type="dxa"/>
          </w:tcPr>
          <w:p w14:paraId="584EDE02" w14:textId="24081F9E" w:rsidR="004D0F3E" w:rsidRPr="00890249" w:rsidRDefault="004D0F3E" w:rsidP="00891CA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1 500 000</w:t>
            </w:r>
          </w:p>
        </w:tc>
      </w:tr>
      <w:tr w:rsidR="004D0F3E" w:rsidRPr="00890249" w14:paraId="6ECCEA87" w14:textId="77777777" w:rsidTr="004D0F3E">
        <w:trPr>
          <w:trHeight w:val="359"/>
        </w:trPr>
        <w:tc>
          <w:tcPr>
            <w:tcW w:w="1472" w:type="dxa"/>
            <w:vMerge/>
            <w:vAlign w:val="center"/>
          </w:tcPr>
          <w:p w14:paraId="14A4A53F" w14:textId="77777777" w:rsidR="004D0F3E" w:rsidRPr="00890249" w:rsidRDefault="004D0F3E" w:rsidP="00891CA7">
            <w:pPr>
              <w:jc w:val="center"/>
              <w:rPr>
                <w:rFonts w:asciiTheme="minorHAnsi" w:eastAsia="Times New Roman" w:hAnsiTheme="minorHAnsi" w:cstheme="minorHAnsi"/>
                <w:iCs/>
                <w:noProof/>
                <w:sz w:val="20"/>
              </w:rPr>
            </w:pPr>
          </w:p>
        </w:tc>
        <w:tc>
          <w:tcPr>
            <w:tcW w:w="1022" w:type="dxa"/>
            <w:vMerge/>
            <w:vAlign w:val="center"/>
          </w:tcPr>
          <w:p w14:paraId="0B64251A" w14:textId="77777777" w:rsidR="004D0F3E" w:rsidRPr="00890249" w:rsidRDefault="004D0F3E" w:rsidP="00891CA7">
            <w:pPr>
              <w:jc w:val="center"/>
              <w:rPr>
                <w:rFonts w:asciiTheme="minorHAnsi" w:eastAsia="Times New Roman" w:hAnsiTheme="minorHAnsi" w:cstheme="minorHAnsi"/>
                <w:iCs/>
                <w:noProof/>
                <w:sz w:val="20"/>
              </w:rPr>
            </w:pPr>
          </w:p>
        </w:tc>
        <w:tc>
          <w:tcPr>
            <w:tcW w:w="1595" w:type="dxa"/>
            <w:vMerge/>
            <w:vAlign w:val="center"/>
          </w:tcPr>
          <w:p w14:paraId="1BF0074D" w14:textId="77777777" w:rsidR="004D0F3E" w:rsidRPr="00890249" w:rsidRDefault="004D0F3E" w:rsidP="00891CA7">
            <w:pPr>
              <w:jc w:val="center"/>
              <w:rPr>
                <w:rFonts w:asciiTheme="minorHAnsi" w:eastAsia="Times New Roman" w:hAnsiTheme="minorHAnsi" w:cstheme="minorHAnsi"/>
                <w:iCs/>
                <w:noProof/>
                <w:sz w:val="20"/>
              </w:rPr>
            </w:pPr>
          </w:p>
        </w:tc>
        <w:tc>
          <w:tcPr>
            <w:tcW w:w="1550" w:type="dxa"/>
            <w:vMerge/>
            <w:vAlign w:val="center"/>
          </w:tcPr>
          <w:p w14:paraId="6254D8EE" w14:textId="77777777" w:rsidR="004D0F3E" w:rsidRPr="00890249" w:rsidRDefault="004D0F3E" w:rsidP="00891CA7">
            <w:pPr>
              <w:jc w:val="center"/>
              <w:rPr>
                <w:rFonts w:asciiTheme="minorHAnsi" w:eastAsia="Times New Roman" w:hAnsiTheme="minorHAnsi" w:cstheme="minorHAnsi"/>
                <w:iCs/>
                <w:noProof/>
                <w:sz w:val="20"/>
              </w:rPr>
            </w:pPr>
          </w:p>
        </w:tc>
        <w:tc>
          <w:tcPr>
            <w:tcW w:w="1806" w:type="dxa"/>
          </w:tcPr>
          <w:p w14:paraId="6C1318FF" w14:textId="77777777" w:rsidR="004D0F3E" w:rsidRPr="00890249" w:rsidRDefault="004D0F3E"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077 </w:t>
            </w:r>
            <w:r w:rsidRPr="00890249">
              <w:rPr>
                <w:rFonts w:asciiTheme="minorHAnsi" w:hAnsiTheme="minorHAnsi" w:cstheme="minorHAnsi"/>
                <w:sz w:val="20"/>
                <w:szCs w:val="20"/>
                <w:lang w:eastAsia="en-US" w:bidi="ar-SA"/>
              </w:rPr>
              <w:t xml:space="preserve">Działania mające na celu poprawę jakości powietrza i ograniczenie hałasu </w:t>
            </w:r>
          </w:p>
        </w:tc>
        <w:tc>
          <w:tcPr>
            <w:tcW w:w="1842" w:type="dxa"/>
          </w:tcPr>
          <w:p w14:paraId="33B2D61D" w14:textId="4E425083" w:rsidR="004D0F3E" w:rsidRPr="00890249" w:rsidRDefault="0000103A" w:rsidP="00157774">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5 118 597</w:t>
            </w:r>
          </w:p>
        </w:tc>
      </w:tr>
      <w:tr w:rsidR="004D0F3E" w:rsidRPr="00890249" w14:paraId="6026D547" w14:textId="77777777" w:rsidTr="004D0F3E">
        <w:trPr>
          <w:trHeight w:val="359"/>
        </w:trPr>
        <w:tc>
          <w:tcPr>
            <w:tcW w:w="1472" w:type="dxa"/>
            <w:vMerge/>
            <w:vAlign w:val="center"/>
          </w:tcPr>
          <w:p w14:paraId="464E2EA2" w14:textId="77777777" w:rsidR="004D0F3E" w:rsidRPr="00890249" w:rsidRDefault="004D0F3E" w:rsidP="18317E1B">
            <w:pPr>
              <w:jc w:val="center"/>
              <w:rPr>
                <w:rFonts w:asciiTheme="minorHAnsi" w:eastAsia="Times New Roman" w:hAnsiTheme="minorHAnsi" w:cstheme="minorHAnsi"/>
                <w:noProof/>
                <w:sz w:val="20"/>
              </w:rPr>
            </w:pPr>
          </w:p>
        </w:tc>
        <w:tc>
          <w:tcPr>
            <w:tcW w:w="1022" w:type="dxa"/>
            <w:vMerge/>
            <w:vAlign w:val="center"/>
          </w:tcPr>
          <w:p w14:paraId="405FE4C7" w14:textId="77777777" w:rsidR="004D0F3E" w:rsidRPr="00890249" w:rsidRDefault="004D0F3E" w:rsidP="18317E1B">
            <w:pPr>
              <w:jc w:val="center"/>
              <w:rPr>
                <w:rFonts w:asciiTheme="minorHAnsi" w:eastAsia="Times New Roman" w:hAnsiTheme="minorHAnsi" w:cstheme="minorHAnsi"/>
                <w:noProof/>
                <w:sz w:val="20"/>
              </w:rPr>
            </w:pPr>
          </w:p>
        </w:tc>
        <w:tc>
          <w:tcPr>
            <w:tcW w:w="1595" w:type="dxa"/>
            <w:vMerge/>
            <w:vAlign w:val="center"/>
          </w:tcPr>
          <w:p w14:paraId="39D87DA9" w14:textId="77777777" w:rsidR="004D0F3E" w:rsidRPr="00890249" w:rsidRDefault="004D0F3E" w:rsidP="18317E1B">
            <w:pPr>
              <w:jc w:val="center"/>
              <w:rPr>
                <w:rFonts w:asciiTheme="minorHAnsi" w:eastAsia="Times New Roman" w:hAnsiTheme="minorHAnsi" w:cstheme="minorHAnsi"/>
                <w:noProof/>
                <w:sz w:val="20"/>
              </w:rPr>
            </w:pPr>
          </w:p>
        </w:tc>
        <w:tc>
          <w:tcPr>
            <w:tcW w:w="1550" w:type="dxa"/>
            <w:vMerge/>
            <w:vAlign w:val="center"/>
          </w:tcPr>
          <w:p w14:paraId="41598E4B" w14:textId="77777777" w:rsidR="004D0F3E" w:rsidRPr="00890249" w:rsidRDefault="004D0F3E" w:rsidP="18317E1B">
            <w:pPr>
              <w:jc w:val="center"/>
              <w:rPr>
                <w:rFonts w:asciiTheme="minorHAnsi" w:eastAsia="Times New Roman" w:hAnsiTheme="minorHAnsi" w:cstheme="minorHAnsi"/>
                <w:noProof/>
                <w:sz w:val="20"/>
              </w:rPr>
            </w:pPr>
          </w:p>
        </w:tc>
        <w:tc>
          <w:tcPr>
            <w:tcW w:w="1806" w:type="dxa"/>
          </w:tcPr>
          <w:p w14:paraId="23B49B2E" w14:textId="77777777" w:rsidR="004D0F3E" w:rsidRPr="00890249" w:rsidRDefault="004D0F3E" w:rsidP="00890249">
            <w:pPr>
              <w:pStyle w:val="Default"/>
              <w:rPr>
                <w:rFonts w:asciiTheme="minorHAnsi" w:hAnsiTheme="minorHAnsi" w:cstheme="minorHAnsi"/>
                <w:noProof/>
                <w:sz w:val="20"/>
                <w:highlight w:val="yellow"/>
              </w:rPr>
            </w:pPr>
            <w:r w:rsidRPr="00890249">
              <w:rPr>
                <w:rFonts w:asciiTheme="minorHAnsi" w:eastAsia="Times New Roman" w:hAnsiTheme="minorHAnsi" w:cstheme="minorHAnsi"/>
                <w:noProof/>
                <w:sz w:val="20"/>
                <w:szCs w:val="20"/>
                <w:lang w:eastAsia="en-US" w:bidi="ar-SA"/>
              </w:rPr>
              <w:t>43 Budowa nowych energooszczędnych budynków</w:t>
            </w:r>
          </w:p>
        </w:tc>
        <w:tc>
          <w:tcPr>
            <w:tcW w:w="1842" w:type="dxa"/>
          </w:tcPr>
          <w:p w14:paraId="62B1F592" w14:textId="61178BE0" w:rsidR="004D0F3E" w:rsidRPr="00890249" w:rsidRDefault="008B3424" w:rsidP="18317E1B">
            <w:pPr>
              <w:jc w:val="right"/>
              <w:rPr>
                <w:rFonts w:asciiTheme="minorHAnsi" w:eastAsia="Times New Roman" w:hAnsiTheme="minorHAnsi" w:cstheme="minorHAnsi"/>
                <w:noProof/>
                <w:sz w:val="20"/>
              </w:rPr>
            </w:pPr>
            <w:r>
              <w:rPr>
                <w:rFonts w:asciiTheme="minorHAnsi" w:eastAsia="Times New Roman" w:hAnsiTheme="minorHAnsi" w:cstheme="minorHAnsi"/>
                <w:noProof/>
                <w:sz w:val="20"/>
              </w:rPr>
              <w:t>3 479 373</w:t>
            </w:r>
          </w:p>
        </w:tc>
      </w:tr>
    </w:tbl>
    <w:p w14:paraId="31F320C2" w14:textId="69B7CB50" w:rsidR="00891CA7" w:rsidRPr="00890249" w:rsidRDefault="00891CA7" w:rsidP="000B2721">
      <w:pPr>
        <w:spacing w:before="0" w:after="160" w:line="259" w:lineRule="auto"/>
        <w:jc w:val="left"/>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530"/>
        <w:gridCol w:w="1040"/>
        <w:gridCol w:w="1668"/>
        <w:gridCol w:w="1593"/>
        <w:gridCol w:w="1255"/>
        <w:gridCol w:w="2236"/>
      </w:tblGrid>
      <w:tr w:rsidR="00891CA7" w:rsidRPr="00890249" w14:paraId="3E37E3BC" w14:textId="77777777" w:rsidTr="00E71C32">
        <w:tc>
          <w:tcPr>
            <w:tcW w:w="9322" w:type="dxa"/>
            <w:gridSpan w:val="6"/>
            <w:shd w:val="clear" w:color="auto" w:fill="D9D9D9" w:themeFill="background1" w:themeFillShade="D9"/>
          </w:tcPr>
          <w:p w14:paraId="06106679" w14:textId="77777777" w:rsidR="00891CA7" w:rsidRPr="00890249" w:rsidRDefault="00891CA7"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891CA7" w:rsidRPr="00890249" w14:paraId="413D874C" w14:textId="77777777" w:rsidTr="004F6B6D">
        <w:tc>
          <w:tcPr>
            <w:tcW w:w="1530" w:type="dxa"/>
            <w:shd w:val="clear" w:color="auto" w:fill="F2F2F2" w:themeFill="background1" w:themeFillShade="F2"/>
          </w:tcPr>
          <w:p w14:paraId="01286A7C" w14:textId="77777777" w:rsidR="00891CA7" w:rsidRPr="00890249" w:rsidRDefault="00891CA7"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40" w:type="dxa"/>
            <w:shd w:val="clear" w:color="auto" w:fill="F2F2F2" w:themeFill="background1" w:themeFillShade="F2"/>
          </w:tcPr>
          <w:p w14:paraId="0689B998" w14:textId="77777777" w:rsidR="00891CA7" w:rsidRPr="00890249" w:rsidRDefault="00891CA7"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668" w:type="dxa"/>
            <w:shd w:val="clear" w:color="auto" w:fill="F2F2F2" w:themeFill="background1" w:themeFillShade="F2"/>
          </w:tcPr>
          <w:p w14:paraId="6CA1A594" w14:textId="77777777" w:rsidR="00891CA7" w:rsidRPr="00890249" w:rsidRDefault="00891CA7"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93" w:type="dxa"/>
            <w:shd w:val="clear" w:color="auto" w:fill="F2F2F2" w:themeFill="background1" w:themeFillShade="F2"/>
          </w:tcPr>
          <w:p w14:paraId="105A0E4C" w14:textId="77777777" w:rsidR="00891CA7" w:rsidRPr="00890249" w:rsidRDefault="00891CA7"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255" w:type="dxa"/>
            <w:shd w:val="clear" w:color="auto" w:fill="F2F2F2" w:themeFill="background1" w:themeFillShade="F2"/>
          </w:tcPr>
          <w:p w14:paraId="69E320A5" w14:textId="77777777" w:rsidR="00891CA7" w:rsidRPr="00890249" w:rsidRDefault="00891CA7"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236" w:type="dxa"/>
            <w:shd w:val="clear" w:color="auto" w:fill="F2F2F2" w:themeFill="background1" w:themeFillShade="F2"/>
          </w:tcPr>
          <w:p w14:paraId="49684C22" w14:textId="77777777" w:rsidR="00891CA7" w:rsidRPr="00890249" w:rsidRDefault="00891CA7"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8C4366" w:rsidRPr="00890249" w14:paraId="381B7185" w14:textId="77777777" w:rsidTr="004F6B6D">
        <w:tc>
          <w:tcPr>
            <w:tcW w:w="1530" w:type="dxa"/>
            <w:vMerge w:val="restart"/>
            <w:vAlign w:val="center"/>
          </w:tcPr>
          <w:p w14:paraId="707C4B5E" w14:textId="77777777" w:rsidR="008C4366" w:rsidRPr="00890249" w:rsidRDefault="008C4366" w:rsidP="0018292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40" w:type="dxa"/>
            <w:vMerge w:val="restart"/>
            <w:vAlign w:val="center"/>
          </w:tcPr>
          <w:p w14:paraId="6B645067" w14:textId="77777777" w:rsidR="008C4366" w:rsidRPr="00890249" w:rsidRDefault="008C4366" w:rsidP="0018292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668" w:type="dxa"/>
            <w:vMerge w:val="restart"/>
            <w:vAlign w:val="center"/>
          </w:tcPr>
          <w:p w14:paraId="026D77FB" w14:textId="77777777" w:rsidR="008C4366" w:rsidRPr="00890249" w:rsidRDefault="008C4366" w:rsidP="0018292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593" w:type="dxa"/>
            <w:vMerge w:val="restart"/>
            <w:vAlign w:val="center"/>
          </w:tcPr>
          <w:p w14:paraId="3CA095B3" w14:textId="77777777" w:rsidR="008C4366" w:rsidRPr="00890249" w:rsidRDefault="008C4366" w:rsidP="0018292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w:t>
            </w:r>
          </w:p>
        </w:tc>
        <w:tc>
          <w:tcPr>
            <w:tcW w:w="1255" w:type="dxa"/>
          </w:tcPr>
          <w:p w14:paraId="779BD2BC"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01</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 xml:space="preserve">Dotacja </w:t>
            </w:r>
          </w:p>
        </w:tc>
        <w:tc>
          <w:tcPr>
            <w:tcW w:w="2236" w:type="dxa"/>
          </w:tcPr>
          <w:p w14:paraId="2FF07DEB" w14:textId="5F5E0BDB" w:rsidR="008C4366" w:rsidRPr="00890249" w:rsidRDefault="0000103A" w:rsidP="009958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43 685 971</w:t>
            </w:r>
          </w:p>
        </w:tc>
      </w:tr>
      <w:tr w:rsidR="00723BB5" w:rsidRPr="00890249" w14:paraId="73EC971F" w14:textId="77777777" w:rsidTr="004F6B6D">
        <w:tc>
          <w:tcPr>
            <w:tcW w:w="1530" w:type="dxa"/>
            <w:vMerge/>
            <w:vAlign w:val="center"/>
          </w:tcPr>
          <w:p w14:paraId="1BBEACD5" w14:textId="77777777" w:rsidR="00723BB5" w:rsidRPr="00890249" w:rsidRDefault="00723BB5" w:rsidP="00182923">
            <w:pPr>
              <w:jc w:val="center"/>
              <w:rPr>
                <w:rFonts w:asciiTheme="minorHAnsi" w:eastAsia="Times New Roman" w:hAnsiTheme="minorHAnsi" w:cstheme="minorHAnsi"/>
                <w:iCs/>
                <w:noProof/>
                <w:sz w:val="20"/>
              </w:rPr>
            </w:pPr>
          </w:p>
        </w:tc>
        <w:tc>
          <w:tcPr>
            <w:tcW w:w="1040" w:type="dxa"/>
            <w:vMerge/>
            <w:vAlign w:val="center"/>
          </w:tcPr>
          <w:p w14:paraId="7CF91AA0" w14:textId="77777777" w:rsidR="00723BB5" w:rsidRPr="00890249" w:rsidRDefault="00723BB5" w:rsidP="00182923">
            <w:pPr>
              <w:jc w:val="center"/>
              <w:rPr>
                <w:rFonts w:asciiTheme="minorHAnsi" w:eastAsia="Times New Roman" w:hAnsiTheme="minorHAnsi" w:cstheme="minorHAnsi"/>
                <w:iCs/>
                <w:noProof/>
                <w:sz w:val="20"/>
              </w:rPr>
            </w:pPr>
          </w:p>
        </w:tc>
        <w:tc>
          <w:tcPr>
            <w:tcW w:w="1668" w:type="dxa"/>
            <w:vMerge/>
            <w:vAlign w:val="center"/>
          </w:tcPr>
          <w:p w14:paraId="7B7F759D" w14:textId="77777777" w:rsidR="00723BB5" w:rsidRPr="00890249" w:rsidRDefault="00723BB5" w:rsidP="00182923">
            <w:pPr>
              <w:jc w:val="center"/>
              <w:rPr>
                <w:rFonts w:asciiTheme="minorHAnsi" w:eastAsia="Times New Roman" w:hAnsiTheme="minorHAnsi" w:cstheme="minorHAnsi"/>
                <w:iCs/>
                <w:noProof/>
                <w:sz w:val="20"/>
              </w:rPr>
            </w:pPr>
          </w:p>
        </w:tc>
        <w:tc>
          <w:tcPr>
            <w:tcW w:w="1593" w:type="dxa"/>
            <w:vMerge/>
            <w:vAlign w:val="center"/>
          </w:tcPr>
          <w:p w14:paraId="63D01439" w14:textId="77777777" w:rsidR="00723BB5" w:rsidRPr="00890249" w:rsidRDefault="00723BB5" w:rsidP="00182923">
            <w:pPr>
              <w:jc w:val="center"/>
              <w:rPr>
                <w:rFonts w:asciiTheme="minorHAnsi" w:eastAsia="Times New Roman" w:hAnsiTheme="minorHAnsi" w:cstheme="minorHAnsi"/>
                <w:iCs/>
                <w:noProof/>
                <w:sz w:val="20"/>
              </w:rPr>
            </w:pPr>
          </w:p>
        </w:tc>
        <w:tc>
          <w:tcPr>
            <w:tcW w:w="1255" w:type="dxa"/>
          </w:tcPr>
          <w:p w14:paraId="40A4C937" w14:textId="5C2798B4" w:rsidR="00723BB5" w:rsidRPr="00890249" w:rsidRDefault="00723BB5" w:rsidP="00890249">
            <w:pPr>
              <w:pStyle w:val="Default"/>
              <w:rPr>
                <w:rFonts w:asciiTheme="minorHAnsi" w:eastAsia="Times New Roman" w:hAnsiTheme="minorHAnsi" w:cstheme="minorHAnsi"/>
                <w:iCs/>
                <w:noProof/>
                <w:sz w:val="20"/>
                <w:szCs w:val="20"/>
              </w:rPr>
            </w:pPr>
            <w:r w:rsidRPr="00890249">
              <w:rPr>
                <w:rFonts w:asciiTheme="minorHAnsi" w:eastAsia="Times New Roman" w:hAnsiTheme="minorHAnsi" w:cstheme="minorHAnsi"/>
                <w:iCs/>
                <w:noProof/>
                <w:sz w:val="20"/>
                <w:szCs w:val="20"/>
              </w:rPr>
              <w:t xml:space="preserve">03 </w:t>
            </w:r>
            <w:r w:rsidRPr="00890249">
              <w:rPr>
                <w:rFonts w:asciiTheme="minorHAnsi" w:hAnsiTheme="minorHAnsi" w:cstheme="minorHAnsi"/>
                <w:sz w:val="20"/>
                <w:szCs w:val="20"/>
              </w:rPr>
              <w:t>Wsparcie poprzez instrumenty finansowe: pożyczka</w:t>
            </w:r>
          </w:p>
        </w:tc>
        <w:tc>
          <w:tcPr>
            <w:tcW w:w="2236" w:type="dxa"/>
          </w:tcPr>
          <w:p w14:paraId="20BB7EA6" w14:textId="77777777" w:rsidR="00723BB5" w:rsidRDefault="00723BB5" w:rsidP="009958D6">
            <w:pPr>
              <w:jc w:val="right"/>
              <w:rPr>
                <w:rFonts w:asciiTheme="minorHAnsi" w:eastAsia="Times New Roman" w:hAnsiTheme="minorHAnsi" w:cstheme="minorHAnsi"/>
                <w:iCs/>
                <w:noProof/>
                <w:sz w:val="20"/>
              </w:rPr>
            </w:pPr>
          </w:p>
          <w:p w14:paraId="0CC81C26" w14:textId="35F9B796" w:rsidR="001963EF" w:rsidRPr="00890249" w:rsidRDefault="0000103A" w:rsidP="009958D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13 387 500</w:t>
            </w:r>
          </w:p>
        </w:tc>
      </w:tr>
      <w:tr w:rsidR="008C4366" w:rsidRPr="00890249" w14:paraId="2CD34293" w14:textId="77777777" w:rsidTr="004F6B6D">
        <w:trPr>
          <w:trHeight w:val="314"/>
        </w:trPr>
        <w:tc>
          <w:tcPr>
            <w:tcW w:w="1530" w:type="dxa"/>
            <w:vMerge/>
          </w:tcPr>
          <w:p w14:paraId="0FDECA4B" w14:textId="77777777" w:rsidR="008C4366" w:rsidRPr="00890249" w:rsidRDefault="008C4366" w:rsidP="00182923">
            <w:pPr>
              <w:jc w:val="center"/>
              <w:rPr>
                <w:rFonts w:asciiTheme="minorHAnsi" w:eastAsia="Times New Roman" w:hAnsiTheme="minorHAnsi" w:cstheme="minorHAnsi"/>
                <w:iCs/>
                <w:noProof/>
                <w:sz w:val="20"/>
              </w:rPr>
            </w:pPr>
          </w:p>
        </w:tc>
        <w:tc>
          <w:tcPr>
            <w:tcW w:w="1040" w:type="dxa"/>
            <w:vMerge/>
          </w:tcPr>
          <w:p w14:paraId="710363F4" w14:textId="77777777" w:rsidR="008C4366" w:rsidRPr="00890249" w:rsidRDefault="008C4366" w:rsidP="00182923">
            <w:pPr>
              <w:jc w:val="center"/>
              <w:rPr>
                <w:rFonts w:asciiTheme="minorHAnsi" w:eastAsia="Times New Roman" w:hAnsiTheme="minorHAnsi" w:cstheme="minorHAnsi"/>
                <w:iCs/>
                <w:noProof/>
                <w:sz w:val="20"/>
              </w:rPr>
            </w:pPr>
          </w:p>
        </w:tc>
        <w:tc>
          <w:tcPr>
            <w:tcW w:w="1668" w:type="dxa"/>
            <w:vMerge/>
          </w:tcPr>
          <w:p w14:paraId="2A1E7723" w14:textId="77777777" w:rsidR="008C4366" w:rsidRPr="00890249" w:rsidRDefault="008C4366" w:rsidP="00182923">
            <w:pPr>
              <w:jc w:val="center"/>
              <w:rPr>
                <w:rFonts w:asciiTheme="minorHAnsi" w:eastAsia="Times New Roman" w:hAnsiTheme="minorHAnsi" w:cstheme="minorHAnsi"/>
                <w:iCs/>
                <w:noProof/>
                <w:sz w:val="20"/>
              </w:rPr>
            </w:pPr>
          </w:p>
        </w:tc>
        <w:tc>
          <w:tcPr>
            <w:tcW w:w="1593" w:type="dxa"/>
            <w:vMerge/>
            <w:vAlign w:val="center"/>
          </w:tcPr>
          <w:p w14:paraId="6DCD37FA" w14:textId="77777777" w:rsidR="008C4366" w:rsidRPr="00890249" w:rsidRDefault="008C4366" w:rsidP="00182923">
            <w:pPr>
              <w:jc w:val="center"/>
              <w:rPr>
                <w:rFonts w:asciiTheme="minorHAnsi" w:eastAsia="Times New Roman" w:hAnsiTheme="minorHAnsi" w:cstheme="minorHAnsi"/>
                <w:iCs/>
                <w:noProof/>
                <w:sz w:val="20"/>
              </w:rPr>
            </w:pPr>
          </w:p>
        </w:tc>
        <w:tc>
          <w:tcPr>
            <w:tcW w:w="1255" w:type="dxa"/>
          </w:tcPr>
          <w:p w14:paraId="74E96FD9"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05</w:t>
            </w:r>
            <w:r w:rsidR="009216E1"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Wsparcie poprzez instrumenty finansowe: dotacje w ramach operacji instrumentu finansowego</w:t>
            </w:r>
          </w:p>
        </w:tc>
        <w:tc>
          <w:tcPr>
            <w:tcW w:w="2236" w:type="dxa"/>
          </w:tcPr>
          <w:p w14:paraId="3A74C5C1" w14:textId="4804C5F7" w:rsidR="008C4366" w:rsidRPr="00890249" w:rsidRDefault="0000103A" w:rsidP="00182923">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12 862 500</w:t>
            </w:r>
          </w:p>
        </w:tc>
      </w:tr>
    </w:tbl>
    <w:p w14:paraId="3FADC37D" w14:textId="77777777" w:rsidR="00891CA7" w:rsidRPr="00890249" w:rsidRDefault="00891CA7" w:rsidP="00D31213">
      <w:pPr>
        <w:spacing w:before="0" w:after="240"/>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489"/>
        <w:gridCol w:w="1028"/>
        <w:gridCol w:w="1617"/>
        <w:gridCol w:w="1563"/>
        <w:gridCol w:w="1520"/>
        <w:gridCol w:w="2105"/>
      </w:tblGrid>
      <w:tr w:rsidR="00891CA7" w:rsidRPr="00890249" w14:paraId="6C435736" w14:textId="77777777" w:rsidTr="00E71C32">
        <w:tc>
          <w:tcPr>
            <w:tcW w:w="9322" w:type="dxa"/>
            <w:gridSpan w:val="6"/>
            <w:shd w:val="clear" w:color="auto" w:fill="D9D9D9" w:themeFill="background1" w:themeFillShade="D9"/>
          </w:tcPr>
          <w:p w14:paraId="08317432" w14:textId="6FB66347" w:rsidR="00891CA7" w:rsidRPr="00890249" w:rsidRDefault="00EC763A" w:rsidP="00A66643">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00891CA7" w:rsidRPr="00890249">
              <w:rPr>
                <w:rFonts w:asciiTheme="minorHAnsi" w:hAnsiTheme="minorHAnsi" w:cstheme="minorHAnsi"/>
                <w:b/>
                <w:noProof/>
                <w:sz w:val="20"/>
              </w:rPr>
              <w:t>: Wym</w:t>
            </w:r>
            <w:r w:rsidRPr="00890249">
              <w:rPr>
                <w:rFonts w:asciiTheme="minorHAnsi" w:hAnsiTheme="minorHAnsi" w:cstheme="minorHAnsi"/>
                <w:b/>
                <w:noProof/>
                <w:sz w:val="20"/>
              </w:rPr>
              <w:t xml:space="preserve">iar </w:t>
            </w:r>
            <w:r w:rsidR="00A66643">
              <w:rPr>
                <w:rFonts w:asciiTheme="minorHAnsi" w:hAnsiTheme="minorHAnsi" w:cstheme="minorHAnsi"/>
                <w:b/>
                <w:noProof/>
                <w:sz w:val="20"/>
              </w:rPr>
              <w:t xml:space="preserve">3 </w:t>
            </w:r>
            <w:r w:rsidR="00891CA7" w:rsidRPr="00890249">
              <w:rPr>
                <w:rFonts w:asciiTheme="minorHAnsi" w:hAnsiTheme="minorHAnsi" w:cstheme="minorHAnsi"/>
                <w:b/>
                <w:noProof/>
                <w:sz w:val="20"/>
              </w:rPr>
              <w:t xml:space="preserve"> – terytorialny mechanizm realizacji i ukierunkowanie terytorialne </w:t>
            </w:r>
          </w:p>
        </w:tc>
      </w:tr>
      <w:tr w:rsidR="00891CA7" w:rsidRPr="00890249" w14:paraId="1036F965" w14:textId="77777777" w:rsidTr="00E71C32">
        <w:tc>
          <w:tcPr>
            <w:tcW w:w="1563" w:type="dxa"/>
            <w:shd w:val="clear" w:color="auto" w:fill="F2F2F2" w:themeFill="background1" w:themeFillShade="F2"/>
          </w:tcPr>
          <w:p w14:paraId="6E75A388"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0" w:type="dxa"/>
            <w:shd w:val="clear" w:color="auto" w:fill="F2F2F2" w:themeFill="background1" w:themeFillShade="F2"/>
          </w:tcPr>
          <w:p w14:paraId="320F8E6B"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0" w:type="dxa"/>
            <w:shd w:val="clear" w:color="auto" w:fill="F2F2F2" w:themeFill="background1" w:themeFillShade="F2"/>
          </w:tcPr>
          <w:p w14:paraId="19D77C02"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17" w:type="dxa"/>
            <w:shd w:val="clear" w:color="auto" w:fill="F2F2F2" w:themeFill="background1" w:themeFillShade="F2"/>
          </w:tcPr>
          <w:p w14:paraId="7ABD2A18"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44" w:type="dxa"/>
            <w:shd w:val="clear" w:color="auto" w:fill="F2F2F2" w:themeFill="background1" w:themeFillShade="F2"/>
          </w:tcPr>
          <w:p w14:paraId="4604E4F6"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38" w:type="dxa"/>
            <w:shd w:val="clear" w:color="auto" w:fill="F2F2F2" w:themeFill="background1" w:themeFillShade="F2"/>
          </w:tcPr>
          <w:p w14:paraId="44D09027"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891CA7" w:rsidRPr="00890249" w14:paraId="430A2749" w14:textId="77777777" w:rsidTr="00E71C32">
        <w:tc>
          <w:tcPr>
            <w:tcW w:w="1563" w:type="dxa"/>
            <w:vAlign w:val="center"/>
          </w:tcPr>
          <w:p w14:paraId="280A4746"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lastRenderedPageBreak/>
              <w:t>CP 2</w:t>
            </w:r>
          </w:p>
        </w:tc>
        <w:tc>
          <w:tcPr>
            <w:tcW w:w="1050" w:type="dxa"/>
            <w:vAlign w:val="center"/>
          </w:tcPr>
          <w:p w14:paraId="2D5D0905"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10" w:type="dxa"/>
            <w:vAlign w:val="center"/>
          </w:tcPr>
          <w:p w14:paraId="652FCE52" w14:textId="77777777" w:rsidR="00891CA7" w:rsidRPr="00890249" w:rsidRDefault="00891CA7" w:rsidP="00891CA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rozwinięte</w:t>
            </w:r>
          </w:p>
        </w:tc>
        <w:tc>
          <w:tcPr>
            <w:tcW w:w="1617" w:type="dxa"/>
          </w:tcPr>
          <w:p w14:paraId="760B00E5" w14:textId="77777777" w:rsidR="00891CA7" w:rsidRPr="00890249" w:rsidRDefault="00891CA7" w:rsidP="00891CA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p>
        </w:tc>
        <w:tc>
          <w:tcPr>
            <w:tcW w:w="1044" w:type="dxa"/>
          </w:tcPr>
          <w:p w14:paraId="1F2E3A9E" w14:textId="13BA4893" w:rsidR="00B72154" w:rsidRPr="00890249" w:rsidRDefault="00875C92"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33 </w:t>
            </w:r>
            <w:r w:rsidRPr="00890249">
              <w:rPr>
                <w:rFonts w:asciiTheme="minorHAnsi" w:hAnsiTheme="minorHAnsi" w:cstheme="minorHAnsi"/>
                <w:sz w:val="20"/>
                <w:szCs w:val="20"/>
                <w:lang w:eastAsia="en-US" w:bidi="ar-SA"/>
              </w:rPr>
              <w:t xml:space="preserve">Brak ukierunkowania terytorialnego </w:t>
            </w:r>
          </w:p>
        </w:tc>
        <w:tc>
          <w:tcPr>
            <w:tcW w:w="2338" w:type="dxa"/>
          </w:tcPr>
          <w:p w14:paraId="4B8B88C1" w14:textId="430B86EA" w:rsidR="00B72154" w:rsidRPr="00890249" w:rsidRDefault="0000103A" w:rsidP="00890249">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69 935 971</w:t>
            </w:r>
          </w:p>
        </w:tc>
      </w:tr>
    </w:tbl>
    <w:p w14:paraId="7791E6D2" w14:textId="655763C2" w:rsidR="000B2721" w:rsidRDefault="000B2721" w:rsidP="009E79E4">
      <w:pPr>
        <w:spacing w:after="0"/>
        <w:rPr>
          <w:rFonts w:asciiTheme="minorHAnsi" w:eastAsia="Times New Roman" w:hAnsiTheme="minorHAnsi" w:cstheme="minorHAnsi"/>
          <w:b/>
          <w:iCs/>
          <w:noProof/>
          <w:szCs w:val="24"/>
        </w:rPr>
      </w:pPr>
    </w:p>
    <w:p w14:paraId="649AE87C" w14:textId="77777777" w:rsidR="000B2721" w:rsidRDefault="000B2721">
      <w:pPr>
        <w:spacing w:before="0" w:after="160" w:line="259" w:lineRule="auto"/>
        <w:jc w:val="left"/>
        <w:rPr>
          <w:rFonts w:asciiTheme="minorHAnsi" w:eastAsia="Times New Roman" w:hAnsiTheme="minorHAnsi" w:cstheme="minorHAnsi"/>
          <w:b/>
          <w:iCs/>
          <w:noProof/>
          <w:szCs w:val="24"/>
        </w:rPr>
      </w:pPr>
      <w:r>
        <w:rPr>
          <w:rFonts w:asciiTheme="minorHAnsi" w:eastAsia="Times New Roman" w:hAnsiTheme="minorHAnsi" w:cstheme="minorHAnsi"/>
          <w:b/>
          <w:iCs/>
          <w:noProof/>
          <w:szCs w:val="24"/>
        </w:rPr>
        <w:br w:type="page"/>
      </w:r>
    </w:p>
    <w:p w14:paraId="4E1A6311"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9E79E4" w:rsidRPr="00890249" w14:paraId="43DADF52" w14:textId="77777777" w:rsidTr="00A4690F">
        <w:tc>
          <w:tcPr>
            <w:tcW w:w="9288" w:type="dxa"/>
            <w:gridSpan w:val="6"/>
            <w:shd w:val="clear" w:color="auto" w:fill="D9D9D9" w:themeFill="background1" w:themeFillShade="D9"/>
          </w:tcPr>
          <w:p w14:paraId="3350F52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1CEA268A" w14:textId="77777777" w:rsidTr="00A4690F">
        <w:tc>
          <w:tcPr>
            <w:tcW w:w="1599" w:type="dxa"/>
            <w:shd w:val="clear" w:color="auto" w:fill="F2F2F2" w:themeFill="background1" w:themeFillShade="F2"/>
          </w:tcPr>
          <w:p w14:paraId="3EB61F10"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6BD26D38"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02B4F755"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73812043"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3BBFA6E0"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271A595"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79E4" w:rsidRPr="00890249" w14:paraId="49E278FC" w14:textId="77777777" w:rsidTr="000B7697">
        <w:tc>
          <w:tcPr>
            <w:tcW w:w="1599" w:type="dxa"/>
            <w:vAlign w:val="center"/>
          </w:tcPr>
          <w:p w14:paraId="5DD534B4" w14:textId="77777777" w:rsidR="009E79E4" w:rsidRPr="00890249" w:rsidRDefault="009E79E4" w:rsidP="00D3121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5753BC8C" w14:textId="77777777" w:rsidR="009E79E4" w:rsidRPr="00890249" w:rsidRDefault="009E79E4" w:rsidP="00D3121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42753AEC" w14:textId="77777777" w:rsidR="009E79E4" w:rsidRPr="00890249" w:rsidRDefault="009E79E4" w:rsidP="00D3121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26625770" w14:textId="77777777" w:rsidR="009E79E4" w:rsidRPr="00890249" w:rsidRDefault="009E79E4" w:rsidP="00D3121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25C12627" w14:textId="77777777" w:rsidR="009E79E4" w:rsidRPr="00890249" w:rsidRDefault="009E79E4" w:rsidP="00D3121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7DE15E10" w14:textId="77777777" w:rsidR="009E79E4" w:rsidRPr="00890249" w:rsidRDefault="009E79E4" w:rsidP="00D3121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1048280D" w14:textId="77777777" w:rsidR="00140065" w:rsidRPr="00890249" w:rsidRDefault="00140065">
      <w:pPr>
        <w:spacing w:before="0" w:after="160" w:line="259" w:lineRule="auto"/>
        <w:jc w:val="left"/>
        <w:rPr>
          <w:rFonts w:asciiTheme="minorHAnsi" w:hAnsiTheme="minorHAnsi" w:cstheme="minorHAnsi"/>
          <w:b/>
          <w:noProof/>
          <w:color w:val="FF0000"/>
          <w:sz w:val="22"/>
          <w:szCs w:val="22"/>
        </w:rPr>
      </w:pPr>
    </w:p>
    <w:p w14:paraId="3B353FA8" w14:textId="77777777" w:rsidR="009E79E4" w:rsidRPr="00890249" w:rsidRDefault="009E79E4" w:rsidP="00D31213">
      <w:pPr>
        <w:spacing w:before="0" w:after="24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9E79E4" w:rsidRPr="00890249" w14:paraId="6AD4DA70" w14:textId="77777777" w:rsidTr="002C7159">
        <w:tc>
          <w:tcPr>
            <w:tcW w:w="9322" w:type="dxa"/>
            <w:gridSpan w:val="6"/>
            <w:shd w:val="clear" w:color="auto" w:fill="D9D9D9" w:themeFill="background1" w:themeFillShade="D9"/>
          </w:tcPr>
          <w:p w14:paraId="04D7EE12" w14:textId="77777777" w:rsidR="009E79E4" w:rsidRPr="00890249" w:rsidRDefault="009E79E4" w:rsidP="000B7697">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9E79E4" w:rsidRPr="00890249" w14:paraId="6AB5998D" w14:textId="77777777" w:rsidTr="002C7159">
        <w:tc>
          <w:tcPr>
            <w:tcW w:w="1570" w:type="dxa"/>
            <w:shd w:val="clear" w:color="auto" w:fill="F2F2F2" w:themeFill="background1" w:themeFillShade="F2"/>
          </w:tcPr>
          <w:p w14:paraId="02CCF9D8"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0C999064"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7A44F34A"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42366019"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3B118450"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2A0DB3C0"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EC763A" w:rsidRPr="00890249" w14:paraId="0D5E5211" w14:textId="77777777" w:rsidTr="002C7159">
        <w:tc>
          <w:tcPr>
            <w:tcW w:w="1570" w:type="dxa"/>
            <w:vAlign w:val="center"/>
          </w:tcPr>
          <w:p w14:paraId="53D09707" w14:textId="77777777" w:rsidR="00EC763A" w:rsidRPr="00890249" w:rsidRDefault="00EC763A" w:rsidP="00D31213">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360" w:type="dxa"/>
            <w:vAlign w:val="center"/>
          </w:tcPr>
          <w:p w14:paraId="043EDB76" w14:textId="77777777" w:rsidR="00EC763A" w:rsidRPr="00890249" w:rsidRDefault="00EC763A" w:rsidP="00D31213">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7A75F144" w14:textId="77777777" w:rsidR="00EC763A" w:rsidRPr="00890249" w:rsidRDefault="00EC763A" w:rsidP="00D31213">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tcPr>
          <w:p w14:paraId="19B5AEC6" w14:textId="77777777" w:rsidR="00EC763A" w:rsidRPr="00890249" w:rsidRDefault="00EC763A" w:rsidP="00D31213">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(i)</w:t>
            </w:r>
          </w:p>
        </w:tc>
        <w:tc>
          <w:tcPr>
            <w:tcW w:w="1026" w:type="dxa"/>
            <w:shd w:val="clear" w:color="auto" w:fill="auto"/>
          </w:tcPr>
          <w:p w14:paraId="69FE9926" w14:textId="39FA429C" w:rsidR="00B72154" w:rsidRPr="00890249" w:rsidRDefault="00D0622E" w:rsidP="00890249">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tcPr>
          <w:p w14:paraId="674641FC" w14:textId="2C439D0B" w:rsidR="00EC763A" w:rsidRPr="00890249" w:rsidRDefault="0000103A" w:rsidP="008E4134">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69 935 971</w:t>
            </w:r>
          </w:p>
        </w:tc>
      </w:tr>
    </w:tbl>
    <w:p w14:paraId="767F10C4" w14:textId="522F3207" w:rsidR="00114890" w:rsidRPr="00890249" w:rsidRDefault="00114890" w:rsidP="003E363A">
      <w:pPr>
        <w:spacing w:before="0" w:after="160" w:line="259" w:lineRule="auto"/>
        <w:jc w:val="left"/>
        <w:rPr>
          <w:rFonts w:asciiTheme="minorHAnsi" w:hAnsiTheme="minorHAnsi" w:cstheme="minorHAnsi"/>
          <w:b/>
          <w:noProof/>
          <w:color w:val="FF0000"/>
          <w:sz w:val="22"/>
          <w:szCs w:val="22"/>
        </w:rPr>
      </w:pPr>
    </w:p>
    <w:p w14:paraId="371F98A1" w14:textId="2C9D6D44" w:rsidR="00891CA7" w:rsidRPr="00890249" w:rsidRDefault="00114890" w:rsidP="003E363A">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09BC6A34" w14:textId="77777777" w:rsidR="004C343D" w:rsidRPr="00890249" w:rsidRDefault="004C343D" w:rsidP="004C343D">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2.1.2.2 (ii) Cel szczegółowy</w:t>
      </w:r>
    </w:p>
    <w:p w14:paraId="1C42FF2C" w14:textId="77777777" w:rsidR="004C343D" w:rsidRPr="00890249" w:rsidRDefault="004C343D" w:rsidP="004C343D">
      <w:pPr>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(ii) Wspieranie energii odnawialnej zgodnie z dyrektywą (UE) 2018/2001, w tym określonymi w niej kryteriami zrównoważonego rozwoju</w:t>
      </w:r>
    </w:p>
    <w:p w14:paraId="5143E9E4" w14:textId="77777777" w:rsidR="004C343D" w:rsidRPr="00890249" w:rsidRDefault="004C343D" w:rsidP="004C343D">
      <w:pPr>
        <w:rPr>
          <w:rFonts w:asciiTheme="minorHAnsi" w:hAnsiTheme="minorHAnsi" w:cstheme="minorHAnsi"/>
          <w:b/>
          <w:noProof/>
          <w:sz w:val="22"/>
          <w:szCs w:val="22"/>
        </w:rPr>
      </w:pPr>
      <w:r w:rsidRPr="00890249">
        <w:rPr>
          <w:rFonts w:asciiTheme="minorHAnsi" w:hAnsiTheme="minorHAnsi" w:cstheme="minorHAnsi"/>
          <w:b/>
          <w:noProof/>
          <w:sz w:val="22"/>
          <w:szCs w:val="22"/>
        </w:rPr>
        <w:t>2.1.2.2.1 (ii) Interwencje w ramach funduszy</w:t>
      </w:r>
    </w:p>
    <w:p w14:paraId="35709E6E" w14:textId="77777777" w:rsidR="004C343D" w:rsidRPr="00890249" w:rsidRDefault="004C343D" w:rsidP="004C343D">
      <w:pPr>
        <w:rPr>
          <w:rFonts w:asciiTheme="minorHAnsi" w:eastAsia="Times New Roman" w:hAnsiTheme="minorHAnsi" w:cstheme="minorHAnsi"/>
          <w:b/>
          <w:i/>
          <w:iCs/>
          <w:noProof/>
          <w:sz w:val="22"/>
          <w:szCs w:val="22"/>
        </w:rPr>
      </w:pPr>
      <w:r w:rsidRPr="00890249">
        <w:rPr>
          <w:rFonts w:asciiTheme="minorHAnsi" w:hAnsiTheme="minorHAnsi" w:cstheme="minorHAnsi"/>
          <w:b/>
          <w:noProof/>
          <w:color w:val="2F5496" w:themeColor="accent5" w:themeShade="BF"/>
          <w:sz w:val="22"/>
          <w:szCs w:val="22"/>
        </w:rPr>
        <w:t>Powiązane rodzaje działań</w:t>
      </w:r>
    </w:p>
    <w:p w14:paraId="640DA122" w14:textId="77777777" w:rsidR="0093433C" w:rsidRPr="00890249" w:rsidRDefault="770F09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Rozwój energetyki odnawialnej ma istotne znaczenie dla realizacji podstawowych celów polskiej polityki energetycznej</w:t>
      </w:r>
      <w:r w:rsidR="001A2F7E" w:rsidRPr="00890249">
        <w:rPr>
          <w:rFonts w:asciiTheme="minorHAnsi" w:hAnsiTheme="minorHAnsi" w:cstheme="minorHAnsi"/>
          <w:noProof/>
          <w:sz w:val="22"/>
          <w:szCs w:val="22"/>
          <w:vertAlign w:val="superscript"/>
        </w:rPr>
        <w:footnoteReference w:id="107"/>
      </w:r>
      <w:r w:rsidRPr="00890249">
        <w:rPr>
          <w:rFonts w:asciiTheme="minorHAnsi" w:hAnsiTheme="minorHAnsi" w:cstheme="minorHAnsi"/>
          <w:noProof/>
          <w:sz w:val="22"/>
          <w:szCs w:val="22"/>
        </w:rPr>
        <w:t xml:space="preserve">. W </w:t>
      </w:r>
      <w:r w:rsidR="489B235A" w:rsidRPr="00890249">
        <w:rPr>
          <w:rFonts w:asciiTheme="minorHAnsi" w:hAnsiTheme="minorHAnsi" w:cstheme="minorHAnsi"/>
          <w:noProof/>
          <w:sz w:val="22"/>
          <w:szCs w:val="22"/>
        </w:rPr>
        <w:t xml:space="preserve">woj. </w:t>
      </w:r>
      <w:r w:rsidRPr="00890249">
        <w:rPr>
          <w:rFonts w:asciiTheme="minorHAnsi" w:hAnsiTheme="minorHAnsi" w:cstheme="minorHAnsi"/>
          <w:noProof/>
          <w:sz w:val="22"/>
          <w:szCs w:val="22"/>
        </w:rPr>
        <w:t>opolskim w ostatnich latach zauważalna jest tendencja wzrostowa w</w:t>
      </w:r>
      <w:r w:rsidR="3EAFF23C" w:rsidRPr="00890249">
        <w:rPr>
          <w:rFonts w:asciiTheme="minorHAnsi" w:hAnsiTheme="minorHAnsi" w:cstheme="minorHAnsi"/>
          <w:noProof/>
          <w:sz w:val="22"/>
          <w:szCs w:val="22"/>
        </w:rPr>
        <w:t> </w:t>
      </w:r>
      <w:r w:rsidRPr="00890249">
        <w:rPr>
          <w:rFonts w:asciiTheme="minorHAnsi" w:hAnsiTheme="minorHAnsi" w:cstheme="minorHAnsi"/>
          <w:noProof/>
          <w:sz w:val="22"/>
          <w:szCs w:val="22"/>
        </w:rPr>
        <w:t>zakresie wykorzystania OZE, jednak zaspokajana w ten sposób jest jedynie niewielka część potrzeb energetycznych województwa</w:t>
      </w:r>
      <w:r w:rsidR="001A2F7E" w:rsidRPr="00890249">
        <w:rPr>
          <w:rFonts w:asciiTheme="minorHAnsi" w:hAnsiTheme="minorHAnsi" w:cstheme="minorHAnsi"/>
          <w:noProof/>
          <w:sz w:val="22"/>
          <w:szCs w:val="22"/>
          <w:vertAlign w:val="superscript"/>
        </w:rPr>
        <w:footnoteReference w:id="108"/>
      </w:r>
      <w:r w:rsidRPr="00890249">
        <w:rPr>
          <w:rFonts w:asciiTheme="minorHAnsi" w:hAnsiTheme="minorHAnsi" w:cstheme="minorHAnsi"/>
          <w:noProof/>
          <w:sz w:val="22"/>
          <w:szCs w:val="22"/>
        </w:rPr>
        <w:t xml:space="preserve">. </w:t>
      </w:r>
    </w:p>
    <w:p w14:paraId="5A8DE005" w14:textId="77777777" w:rsidR="0093433C" w:rsidRPr="00890249" w:rsidRDefault="770F09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Region charakteryzuje niski udział energii odnawialnej w produkcji</w:t>
      </w:r>
      <w:r w:rsidR="4F727035" w:rsidRPr="00890249">
        <w:rPr>
          <w:rFonts w:asciiTheme="minorHAnsi" w:hAnsiTheme="minorHAnsi" w:cstheme="minorHAnsi"/>
          <w:noProof/>
          <w:sz w:val="22"/>
          <w:szCs w:val="22"/>
        </w:rPr>
        <w:t xml:space="preserve"> energii elektrycznej ogółem (w </w:t>
      </w:r>
      <w:r w:rsidRPr="00890249">
        <w:rPr>
          <w:rFonts w:asciiTheme="minorHAnsi" w:hAnsiTheme="minorHAnsi" w:cstheme="minorHAnsi"/>
          <w:noProof/>
          <w:sz w:val="22"/>
          <w:szCs w:val="22"/>
        </w:rPr>
        <w:t>2018 r. wyniósł on 5,2%</w:t>
      </w:r>
      <w:r w:rsidR="001A2F7E" w:rsidRPr="00890249">
        <w:rPr>
          <w:rFonts w:asciiTheme="minorHAnsi" w:hAnsiTheme="minorHAnsi" w:cstheme="minorHAnsi"/>
          <w:noProof/>
          <w:sz w:val="22"/>
          <w:szCs w:val="22"/>
          <w:vertAlign w:val="superscript"/>
        </w:rPr>
        <w:footnoteReference w:id="109"/>
      </w:r>
      <w:r w:rsidRPr="00890249">
        <w:rPr>
          <w:rFonts w:asciiTheme="minorHAnsi" w:hAnsiTheme="minorHAnsi" w:cstheme="minorHAnsi"/>
          <w:noProof/>
          <w:sz w:val="22"/>
          <w:szCs w:val="22"/>
        </w:rPr>
        <w:t>) oraz niski odsetek korzystających z ekologicznych nośników energii. Stopień wykorzystania OZE w zużyciu energii elektrycznej w 2016 r</w:t>
      </w:r>
      <w:r w:rsidR="675F0D9F"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wyniósł zaledwie 7,10%, przy średniej krajowej 27,25%. Oznacza to utrzymanie trendu znacznie poniżej średniej krajowej</w:t>
      </w:r>
      <w:r w:rsidR="001A2F7E" w:rsidRPr="00890249">
        <w:rPr>
          <w:rFonts w:asciiTheme="minorHAnsi" w:hAnsiTheme="minorHAnsi" w:cstheme="minorHAnsi"/>
          <w:noProof/>
          <w:sz w:val="22"/>
          <w:szCs w:val="22"/>
          <w:vertAlign w:val="superscript"/>
        </w:rPr>
        <w:footnoteReference w:id="110"/>
      </w:r>
      <w:r w:rsidRPr="00890249">
        <w:rPr>
          <w:rFonts w:asciiTheme="minorHAnsi" w:hAnsiTheme="minorHAnsi" w:cstheme="minorHAnsi"/>
          <w:noProof/>
          <w:sz w:val="22"/>
          <w:szCs w:val="22"/>
        </w:rPr>
        <w:t xml:space="preserve">. </w:t>
      </w:r>
    </w:p>
    <w:p w14:paraId="6DA25BE8" w14:textId="77777777" w:rsidR="0093433C" w:rsidRPr="00890249" w:rsidRDefault="7C57D0D0"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W woj. opolskim energia odnawialna produkowana jest ze wszystkich źródeł, z przewagą energii wiatrowej. Ogólnopolskie prognozy wskazują dodatkowo, że najszybciej rozwijającą się technologią wśród małych instalacji i mikroinstalacji w budynkach będzie fotowoltaika (charakteryzująca się największą dynamiką redukcji kosztów)</w:t>
      </w:r>
      <w:r w:rsidR="00B31EA0" w:rsidRPr="00890249">
        <w:rPr>
          <w:rFonts w:asciiTheme="minorHAnsi" w:hAnsiTheme="minorHAnsi" w:cstheme="minorHAnsi"/>
          <w:noProof/>
          <w:sz w:val="22"/>
          <w:szCs w:val="22"/>
          <w:vertAlign w:val="superscript"/>
        </w:rPr>
        <w:footnoteReference w:id="111"/>
      </w:r>
      <w:r w:rsidRPr="00890249">
        <w:rPr>
          <w:rFonts w:asciiTheme="minorHAnsi" w:hAnsiTheme="minorHAnsi" w:cstheme="minorHAnsi"/>
          <w:noProof/>
          <w:sz w:val="22"/>
          <w:szCs w:val="22"/>
        </w:rPr>
        <w:t xml:space="preserve">. Jednocześnie w FEO 2021-2027 zakłada się </w:t>
      </w:r>
      <w:r w:rsidRPr="00890249">
        <w:rPr>
          <w:rFonts w:asciiTheme="minorHAnsi" w:hAnsiTheme="minorHAnsi" w:cstheme="minorHAnsi"/>
          <w:sz w:val="22"/>
          <w:szCs w:val="22"/>
        </w:rPr>
        <w:t>preferencje dla projektów zawierających nowoczesne energooszczędne rozwiązania</w:t>
      </w:r>
      <w:r w:rsidR="05502E9D" w:rsidRPr="00890249">
        <w:rPr>
          <w:rFonts w:asciiTheme="minorHAnsi" w:hAnsiTheme="minorHAnsi" w:cstheme="minorHAnsi"/>
          <w:sz w:val="22"/>
          <w:szCs w:val="22"/>
        </w:rPr>
        <w:t xml:space="preserve"> techniczne i technologiczne, w </w:t>
      </w:r>
      <w:r w:rsidRPr="00890249">
        <w:rPr>
          <w:rFonts w:asciiTheme="minorHAnsi" w:hAnsiTheme="minorHAnsi" w:cstheme="minorHAnsi"/>
          <w:sz w:val="22"/>
          <w:szCs w:val="22"/>
        </w:rPr>
        <w:t xml:space="preserve">tym z jak największą efektywnością kosztową projektu w powiązaniu z redukcją gazów cieplarnianych, redukcją </w:t>
      </w:r>
      <w:r w:rsidR="79AF501C" w:rsidRPr="00890249">
        <w:rPr>
          <w:rFonts w:asciiTheme="minorHAnsi" w:hAnsiTheme="minorHAnsi" w:cstheme="minorHAnsi"/>
          <w:sz w:val="22"/>
          <w:szCs w:val="22"/>
        </w:rPr>
        <w:t>PM</w:t>
      </w:r>
      <w:r w:rsidRPr="00890249">
        <w:rPr>
          <w:rFonts w:asciiTheme="minorHAnsi" w:hAnsiTheme="minorHAnsi" w:cstheme="minorHAnsi"/>
          <w:sz w:val="22"/>
          <w:szCs w:val="22"/>
          <w:vertAlign w:val="subscript"/>
        </w:rPr>
        <w:t>10</w:t>
      </w:r>
      <w:r w:rsidRPr="00890249">
        <w:rPr>
          <w:rFonts w:asciiTheme="minorHAnsi" w:hAnsiTheme="minorHAnsi" w:cstheme="minorHAnsi"/>
          <w:sz w:val="22"/>
          <w:szCs w:val="22"/>
        </w:rPr>
        <w:t xml:space="preserve"> oraz projektów przeciwdziałających zjawisku ubóstwa energetycznego,  a dodatkowo preferencje dla obszarów o znacznym zanieczyszczeniu pyłowym.</w:t>
      </w:r>
    </w:p>
    <w:p w14:paraId="64C20143" w14:textId="77777777" w:rsidR="0093433C" w:rsidRPr="00890249" w:rsidRDefault="770F09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Jako że energetyka odnawialna to zwykle niewielkie jednostki wytwórcze zlokalizowane blisko odbiorcy, inwestycje w OZE pozwolą na podniesienie lokalnego bezpieczeństwa energetycznego oraz zmniejszenie strat przesyłowych</w:t>
      </w:r>
      <w:r w:rsidR="001A2F7E" w:rsidRPr="00890249">
        <w:rPr>
          <w:rFonts w:asciiTheme="minorHAnsi" w:hAnsiTheme="minorHAnsi" w:cstheme="minorHAnsi"/>
          <w:noProof/>
          <w:sz w:val="22"/>
          <w:szCs w:val="22"/>
          <w:vertAlign w:val="superscript"/>
        </w:rPr>
        <w:footnoteReference w:id="112"/>
      </w:r>
      <w:r w:rsidRPr="00890249">
        <w:rPr>
          <w:rFonts w:asciiTheme="minorHAnsi" w:hAnsiTheme="minorHAnsi" w:cstheme="minorHAnsi"/>
          <w:noProof/>
          <w:sz w:val="22"/>
          <w:szCs w:val="22"/>
        </w:rPr>
        <w:t>. Ponadto rozwój OZE identyfikowany jest jako szansa rozwojowa dla uzyskania przewagi konkurencyjnej regionu. Zgodnie bowiem z rekomendacjami ekspertów</w:t>
      </w:r>
      <w:r w:rsidR="675F0D9F"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kluczowe uwarunkowanie rozwoju regionu stanowić będzie sukcesywne zwiększanie udziału energii ze źródeł odnawialnych w gospodarce energetycznej poprzez rozwój wytwarzania energii elektrycznej i</w:t>
      </w:r>
      <w:r w:rsidR="22D50410" w:rsidRPr="00890249">
        <w:rPr>
          <w:rFonts w:asciiTheme="minorHAnsi" w:hAnsiTheme="minorHAnsi" w:cstheme="minorHAnsi"/>
          <w:noProof/>
          <w:sz w:val="22"/>
          <w:szCs w:val="22"/>
        </w:rPr>
        <w:t> </w:t>
      </w:r>
      <w:r w:rsidRPr="00890249">
        <w:rPr>
          <w:rFonts w:asciiTheme="minorHAnsi" w:hAnsiTheme="minorHAnsi" w:cstheme="minorHAnsi"/>
          <w:noProof/>
          <w:sz w:val="22"/>
          <w:szCs w:val="22"/>
        </w:rPr>
        <w:t>ciepła przy wykorzystaniu źródeł odnawialnych, w tym</w:t>
      </w:r>
      <w:r w:rsidR="4F727035" w:rsidRPr="00890249">
        <w:rPr>
          <w:rFonts w:asciiTheme="minorHAnsi" w:hAnsiTheme="minorHAnsi" w:cstheme="minorHAnsi"/>
          <w:noProof/>
          <w:sz w:val="22"/>
          <w:szCs w:val="22"/>
        </w:rPr>
        <w:t xml:space="preserve"> bazujących na OZE, nie tylko w </w:t>
      </w:r>
      <w:r w:rsidRPr="00890249">
        <w:rPr>
          <w:rFonts w:asciiTheme="minorHAnsi" w:hAnsiTheme="minorHAnsi" w:cstheme="minorHAnsi"/>
          <w:noProof/>
          <w:sz w:val="22"/>
          <w:szCs w:val="22"/>
        </w:rPr>
        <w:t>przemyśle, ale również w sektorze gospodarstw domowych</w:t>
      </w:r>
      <w:r w:rsidR="001A2F7E" w:rsidRPr="00890249">
        <w:rPr>
          <w:rFonts w:asciiTheme="minorHAnsi" w:hAnsiTheme="minorHAnsi" w:cstheme="minorHAnsi"/>
          <w:noProof/>
          <w:sz w:val="22"/>
          <w:szCs w:val="22"/>
          <w:vertAlign w:val="superscript"/>
        </w:rPr>
        <w:footnoteReference w:id="113"/>
      </w:r>
      <w:r w:rsidRPr="00890249">
        <w:rPr>
          <w:rFonts w:asciiTheme="minorHAnsi" w:hAnsiTheme="minorHAnsi" w:cstheme="minorHAnsi"/>
          <w:noProof/>
          <w:sz w:val="22"/>
          <w:szCs w:val="22"/>
        </w:rPr>
        <w:t xml:space="preserve">. </w:t>
      </w:r>
    </w:p>
    <w:p w14:paraId="739BF635" w14:textId="77777777" w:rsidR="0093433C" w:rsidRPr="00890249" w:rsidRDefault="770F09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Zwiększenie bezpieczeństwa energetycznego regionu, szczególnie w odniesieniu do obszarów słabiej zurbanizowanych</w:t>
      </w:r>
      <w:r w:rsidR="22D50410" w:rsidRPr="00890249">
        <w:rPr>
          <w:rFonts w:asciiTheme="minorHAnsi" w:hAnsiTheme="minorHAnsi" w:cstheme="minorHAnsi"/>
          <w:noProof/>
          <w:sz w:val="22"/>
          <w:szCs w:val="22"/>
        </w:rPr>
        <w:t>, możliwe jest</w:t>
      </w:r>
      <w:r w:rsidRPr="00890249">
        <w:rPr>
          <w:rFonts w:asciiTheme="minorHAnsi" w:hAnsiTheme="minorHAnsi" w:cstheme="minorHAnsi"/>
          <w:noProof/>
          <w:sz w:val="22"/>
          <w:szCs w:val="22"/>
        </w:rPr>
        <w:t xml:space="preserve"> także poprzez inicjatywy na rzecz zwiększenia rozwoju energetyki rozproszonej, w tym również wsparcie inicjatyw klastrów energii i spółdzielni energetycznych. W tego typu inicjatywach upatruje się przede wszystkim szans rozwojowych związanych z większą dywersyfikacją produkcji </w:t>
      </w:r>
      <w:r w:rsidR="00875C92" w:rsidRPr="00890249">
        <w:rPr>
          <w:rFonts w:asciiTheme="minorHAnsi" w:hAnsiTheme="minorHAnsi" w:cstheme="minorHAnsi"/>
          <w:noProof/>
          <w:sz w:val="22"/>
          <w:szCs w:val="22"/>
        </w:rPr>
        <w:t>bio</w:t>
      </w:r>
      <w:r w:rsidRPr="00890249">
        <w:rPr>
          <w:rFonts w:asciiTheme="minorHAnsi" w:hAnsiTheme="minorHAnsi" w:cstheme="minorHAnsi"/>
          <w:noProof/>
          <w:sz w:val="22"/>
          <w:szCs w:val="22"/>
        </w:rPr>
        <w:t xml:space="preserve">paliw </w:t>
      </w:r>
      <w:r w:rsidR="5F568E24" w:rsidRPr="00890249">
        <w:rPr>
          <w:rFonts w:asciiTheme="minorHAnsi" w:hAnsiTheme="minorHAnsi" w:cstheme="minorHAnsi"/>
          <w:noProof/>
          <w:sz w:val="22"/>
          <w:szCs w:val="22"/>
        </w:rPr>
        <w:t xml:space="preserve">II i III generacji </w:t>
      </w:r>
      <w:r w:rsidRPr="00890249">
        <w:rPr>
          <w:rFonts w:asciiTheme="minorHAnsi" w:hAnsiTheme="minorHAnsi" w:cstheme="minorHAnsi"/>
          <w:noProof/>
          <w:sz w:val="22"/>
          <w:szCs w:val="22"/>
        </w:rPr>
        <w:t>i energii przy wykorzystaniu</w:t>
      </w:r>
      <w:r w:rsidR="4F727035" w:rsidRPr="00890249">
        <w:rPr>
          <w:rFonts w:asciiTheme="minorHAnsi" w:hAnsiTheme="minorHAnsi" w:cstheme="minorHAnsi"/>
          <w:noProof/>
          <w:sz w:val="22"/>
          <w:szCs w:val="22"/>
        </w:rPr>
        <w:t xml:space="preserve"> wysokiej jakości technologii i </w:t>
      </w:r>
      <w:r w:rsidRPr="00890249">
        <w:rPr>
          <w:rFonts w:asciiTheme="minorHAnsi" w:hAnsiTheme="minorHAnsi" w:cstheme="minorHAnsi"/>
          <w:noProof/>
          <w:sz w:val="22"/>
          <w:szCs w:val="22"/>
        </w:rPr>
        <w:t>inteligentnych strategii. Działania w kierunku rozwoju klast</w:t>
      </w:r>
      <w:r w:rsidR="4F727035" w:rsidRPr="00890249">
        <w:rPr>
          <w:rFonts w:asciiTheme="minorHAnsi" w:hAnsiTheme="minorHAnsi" w:cstheme="minorHAnsi"/>
          <w:noProof/>
          <w:sz w:val="22"/>
          <w:szCs w:val="22"/>
        </w:rPr>
        <w:t>rów energii są również zgodne z </w:t>
      </w:r>
      <w:r w:rsidRPr="00890249">
        <w:rPr>
          <w:rFonts w:asciiTheme="minorHAnsi" w:hAnsiTheme="minorHAnsi" w:cstheme="minorHAnsi"/>
          <w:noProof/>
          <w:sz w:val="22"/>
          <w:szCs w:val="22"/>
        </w:rPr>
        <w:t>rekomendacjami zawartymi w SOR</w:t>
      </w:r>
      <w:r w:rsidR="001A2F7E" w:rsidRPr="00890249">
        <w:rPr>
          <w:rFonts w:asciiTheme="minorHAnsi" w:hAnsiTheme="minorHAnsi" w:cstheme="minorHAnsi"/>
          <w:noProof/>
          <w:sz w:val="22"/>
          <w:szCs w:val="22"/>
          <w:vertAlign w:val="superscript"/>
        </w:rPr>
        <w:footnoteReference w:id="114"/>
      </w:r>
      <w:r w:rsidRPr="00890249">
        <w:rPr>
          <w:rFonts w:asciiTheme="minorHAnsi" w:hAnsiTheme="minorHAnsi" w:cstheme="minorHAnsi"/>
          <w:noProof/>
          <w:sz w:val="22"/>
          <w:szCs w:val="22"/>
        </w:rPr>
        <w:t>.</w:t>
      </w:r>
      <w:r w:rsidR="58BE2A34" w:rsidRPr="00890249">
        <w:rPr>
          <w:rFonts w:asciiTheme="minorHAnsi" w:hAnsiTheme="minorHAnsi" w:cstheme="minorHAnsi"/>
          <w:noProof/>
          <w:sz w:val="22"/>
          <w:szCs w:val="22"/>
        </w:rPr>
        <w:t xml:space="preserve"> Ponadto przewiduje się preferencje dla klastrów energetycznych, które skorzystają ze wsparcia przedinwestycyjnego sfinansowanego ze środków KPO. </w:t>
      </w:r>
    </w:p>
    <w:p w14:paraId="0297B87D" w14:textId="77777777" w:rsidR="0093433C" w:rsidRPr="00890249" w:rsidRDefault="00824E4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We wszystkich projektach, w których będzie to zasadne i możliwe, zastosowane zostaną rozwiązania w zakresie obiegu cyrkularnego (w tym efektywności energetycznej i użycia energii ze źródeł </w:t>
      </w:r>
      <w:r w:rsidRPr="00890249">
        <w:rPr>
          <w:rFonts w:asciiTheme="minorHAnsi" w:hAnsiTheme="minorHAnsi" w:cstheme="minorHAnsi"/>
          <w:noProof/>
          <w:sz w:val="22"/>
          <w:szCs w:val="22"/>
        </w:rPr>
        <w:lastRenderedPageBreak/>
        <w:t xml:space="preserve">odnawialnych, wykorzystanie materiałów pochodzących z odzysku materiałów i recyklingu), jak również elementy sprzyjające adaptacji do zmiany klimatu i łagodzeniu jej skutków (w szczególności  zielona i niebieska infrastruktura, efektywne wykorzystanie zasobów wodnych). </w:t>
      </w:r>
    </w:p>
    <w:p w14:paraId="74CE19A9" w14:textId="77777777" w:rsidR="0093433C" w:rsidRPr="00890249" w:rsidRDefault="239197D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do realizacji działania wpisują się w zalecenia KE dot. zwiększenia udziału niskoemisyjnej i</w:t>
      </w:r>
      <w:r w:rsidR="14E5C856" w:rsidRPr="00890249">
        <w:rPr>
          <w:rFonts w:asciiTheme="minorHAnsi" w:hAnsiTheme="minorHAnsi" w:cstheme="minorHAnsi"/>
          <w:noProof/>
          <w:sz w:val="22"/>
          <w:szCs w:val="22"/>
        </w:rPr>
        <w:t> </w:t>
      </w:r>
      <w:r w:rsidRPr="00890249">
        <w:rPr>
          <w:rFonts w:asciiTheme="minorHAnsi" w:hAnsiTheme="minorHAnsi" w:cstheme="minorHAnsi"/>
          <w:noProof/>
          <w:sz w:val="22"/>
          <w:szCs w:val="22"/>
        </w:rPr>
        <w:t>bardziej ekologicznej produkcji energii poprzez zwiększenie generacji rozproszonej z odnawialnych źródeł energii</w:t>
      </w:r>
      <w:r w:rsidR="00802584" w:rsidRPr="00890249">
        <w:rPr>
          <w:rStyle w:val="Odwoanieprzypisudolnego"/>
          <w:rFonts w:asciiTheme="minorHAnsi" w:eastAsia="Times New Roman" w:hAnsiTheme="minorHAnsi" w:cstheme="minorHAnsi"/>
          <w:noProof/>
          <w:sz w:val="22"/>
          <w:szCs w:val="22"/>
        </w:rPr>
        <w:footnoteReference w:id="115"/>
      </w:r>
      <w:r w:rsidRPr="00890249">
        <w:rPr>
          <w:rFonts w:asciiTheme="minorHAnsi" w:hAnsiTheme="minorHAnsi" w:cstheme="minorHAnsi"/>
          <w:noProof/>
          <w:sz w:val="22"/>
          <w:szCs w:val="22"/>
        </w:rPr>
        <w:t>.</w:t>
      </w:r>
    </w:p>
    <w:p w14:paraId="2D01CED5" w14:textId="77777777" w:rsidR="0093433C" w:rsidRPr="00890249" w:rsidRDefault="006165E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w:t>
      </w:r>
      <w:r w:rsidR="001A2F7E" w:rsidRPr="00890249">
        <w:rPr>
          <w:rFonts w:asciiTheme="minorHAnsi" w:hAnsiTheme="minorHAnsi" w:cstheme="minorHAnsi"/>
          <w:noProof/>
          <w:sz w:val="22"/>
          <w:szCs w:val="22"/>
        </w:rPr>
        <w:t>lanowane typy przedsięwzięć:</w:t>
      </w:r>
    </w:p>
    <w:p w14:paraId="14CDBE14" w14:textId="1B18939F" w:rsidR="00B72154" w:rsidRPr="00890249" w:rsidRDefault="00875C92" w:rsidP="009F296A">
      <w:pPr>
        <w:pStyle w:val="Akapitzlist"/>
        <w:numPr>
          <w:ilvl w:val="0"/>
          <w:numId w:val="144"/>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Budowa i rozbudowa OZE </w:t>
      </w:r>
      <w:r w:rsidRPr="00890249">
        <w:rPr>
          <w:rFonts w:asciiTheme="minorHAnsi" w:eastAsia="Times New Roman" w:hAnsiTheme="minorHAnsi" w:cstheme="minorHAnsi"/>
          <w:b/>
          <w:noProof/>
          <w:sz w:val="22"/>
          <w:szCs w:val="22"/>
        </w:rPr>
        <w:t>w zakresie wytwarzania energii elektrycznej</w:t>
      </w:r>
      <w:r w:rsidRPr="00890249">
        <w:rPr>
          <w:rFonts w:asciiTheme="minorHAnsi" w:eastAsia="Times New Roman" w:hAnsiTheme="minorHAnsi" w:cstheme="minorHAnsi"/>
          <w:noProof/>
          <w:sz w:val="22"/>
          <w:szCs w:val="22"/>
        </w:rPr>
        <w:t xml:space="preserve"> wraz z magazynami energii działającymi na potrzeby danego źródła OZE oraz przyłączeniem do sieci</w:t>
      </w:r>
      <w:r w:rsidR="001922B2" w:rsidRPr="00890249">
        <w:rPr>
          <w:rFonts w:asciiTheme="minorHAnsi" w:eastAsia="Times New Roman" w:hAnsiTheme="minorHAnsi" w:cstheme="minorHAnsi"/>
          <w:noProof/>
          <w:sz w:val="22"/>
          <w:szCs w:val="22"/>
        </w:rPr>
        <w:t>.</w:t>
      </w:r>
    </w:p>
    <w:p w14:paraId="79A50CB7" w14:textId="77777777" w:rsidR="0093433C" w:rsidRPr="00890249" w:rsidRDefault="00B31EA0" w:rsidP="00890249">
      <w:pPr>
        <w:pStyle w:val="Lista-kontynuacja2"/>
        <w:rPr>
          <w:rFonts w:asciiTheme="minorHAnsi" w:hAnsiTheme="minorHAnsi" w:cstheme="minorHAnsi"/>
          <w:noProof/>
          <w:sz w:val="22"/>
          <w:szCs w:val="22"/>
        </w:rPr>
      </w:pPr>
      <w:r w:rsidRPr="00890249">
        <w:rPr>
          <w:rFonts w:asciiTheme="minorHAnsi" w:hAnsiTheme="minorHAnsi" w:cstheme="minorHAnsi"/>
          <w:noProof/>
          <w:sz w:val="22"/>
          <w:szCs w:val="22"/>
        </w:rPr>
        <w:t xml:space="preserve">Moce przewidziane do dofinansowania  zakresie energi elektrycznej: </w:t>
      </w:r>
    </w:p>
    <w:p w14:paraId="40DCC569" w14:textId="18E409BD" w:rsidR="00B72154" w:rsidRPr="00890249" w:rsidRDefault="00B31EA0" w:rsidP="009F296A">
      <w:pPr>
        <w:pStyle w:val="Akapitzlist"/>
        <w:numPr>
          <w:ilvl w:val="0"/>
          <w:numId w:val="94"/>
        </w:numPr>
        <w:ind w:left="113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wiatr: nie więcej niż 5 MWe</w:t>
      </w:r>
      <w:r w:rsidR="0096063F" w:rsidRPr="00890249">
        <w:rPr>
          <w:rFonts w:asciiTheme="minorHAnsi" w:eastAsia="Times New Roman" w:hAnsiTheme="minorHAnsi" w:cstheme="minorHAnsi"/>
          <w:noProof/>
          <w:sz w:val="22"/>
          <w:szCs w:val="22"/>
        </w:rPr>
        <w:t>,</w:t>
      </w:r>
    </w:p>
    <w:p w14:paraId="708E3059" w14:textId="7F565C5E" w:rsidR="00B72154" w:rsidRPr="00890249" w:rsidRDefault="00B31EA0" w:rsidP="009F296A">
      <w:pPr>
        <w:pStyle w:val="Akapitzlist"/>
        <w:numPr>
          <w:ilvl w:val="0"/>
          <w:numId w:val="94"/>
        </w:numPr>
        <w:ind w:left="113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biomasa: nie więcej niż 5 MWe,</w:t>
      </w:r>
    </w:p>
    <w:p w14:paraId="19E1B30E" w14:textId="77777777" w:rsidR="00B72154" w:rsidRPr="00890249" w:rsidRDefault="00B31EA0" w:rsidP="009F296A">
      <w:pPr>
        <w:pStyle w:val="Akapitzlist"/>
        <w:numPr>
          <w:ilvl w:val="0"/>
          <w:numId w:val="94"/>
        </w:numPr>
        <w:ind w:left="113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biogaz: nie więcej niż 0,5 MWe,</w:t>
      </w:r>
    </w:p>
    <w:p w14:paraId="029EE925" w14:textId="77777777" w:rsidR="00B72154" w:rsidRPr="00890249" w:rsidRDefault="00B31EA0" w:rsidP="009F296A">
      <w:pPr>
        <w:pStyle w:val="Akapitzlist"/>
        <w:numPr>
          <w:ilvl w:val="0"/>
          <w:numId w:val="94"/>
        </w:numPr>
        <w:ind w:left="113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promieniowanie słoneczne: nie więcj niż 0,5 MWe. </w:t>
      </w:r>
    </w:p>
    <w:p w14:paraId="172B5F5B" w14:textId="2F2271A5" w:rsidR="0093433C" w:rsidRPr="00890249" w:rsidRDefault="00B31EA0" w:rsidP="00890249">
      <w:pPr>
        <w:pStyle w:val="Tekstpodstawowyzwciciem2"/>
        <w:rPr>
          <w:rFonts w:asciiTheme="minorHAnsi" w:hAnsiTheme="minorHAnsi" w:cstheme="minorHAnsi"/>
          <w:noProof/>
          <w:sz w:val="22"/>
          <w:szCs w:val="22"/>
        </w:rPr>
      </w:pPr>
      <w:r w:rsidRPr="00890249">
        <w:rPr>
          <w:rFonts w:asciiTheme="minorHAnsi" w:hAnsiTheme="minorHAnsi" w:cstheme="minorHAnsi"/>
          <w:noProof/>
          <w:sz w:val="22"/>
          <w:szCs w:val="22"/>
        </w:rPr>
        <w:t>Zaproponowane limity mocy nie dotyczą projektów realizowanych przez klastry energetyczne</w:t>
      </w:r>
      <w:r w:rsidR="0093433C"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lub spółdzielnie energetyczne. </w:t>
      </w:r>
    </w:p>
    <w:p w14:paraId="5E611973" w14:textId="576E8535" w:rsidR="00B72154" w:rsidRPr="00890249" w:rsidRDefault="007F47FB" w:rsidP="009F296A">
      <w:pPr>
        <w:pStyle w:val="Akapitzlist"/>
        <w:numPr>
          <w:ilvl w:val="0"/>
          <w:numId w:val="144"/>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w:t>
      </w:r>
      <w:r w:rsidR="00875C92" w:rsidRPr="00890249">
        <w:rPr>
          <w:rFonts w:asciiTheme="minorHAnsi" w:eastAsia="Times New Roman" w:hAnsiTheme="minorHAnsi" w:cstheme="minorHAnsi"/>
          <w:noProof/>
          <w:sz w:val="22"/>
          <w:szCs w:val="22"/>
        </w:rPr>
        <w:t xml:space="preserve">udowa i rozbudowa OZE </w:t>
      </w:r>
      <w:r w:rsidR="00875C92" w:rsidRPr="00890249">
        <w:rPr>
          <w:rFonts w:asciiTheme="minorHAnsi" w:eastAsia="Times New Roman" w:hAnsiTheme="minorHAnsi" w:cstheme="minorHAnsi"/>
          <w:b/>
          <w:noProof/>
          <w:sz w:val="22"/>
          <w:szCs w:val="22"/>
        </w:rPr>
        <w:t>w zakresie wytwarzania ciepła</w:t>
      </w:r>
      <w:r w:rsidR="00875C92" w:rsidRPr="00890249">
        <w:rPr>
          <w:rFonts w:asciiTheme="minorHAnsi" w:eastAsia="Times New Roman" w:hAnsiTheme="minorHAnsi" w:cstheme="minorHAnsi"/>
          <w:noProof/>
          <w:sz w:val="22"/>
          <w:szCs w:val="22"/>
        </w:rPr>
        <w:t xml:space="preserve"> wraz z magazynami ciepła działającymi na potrzeby danego źródła OZE wraz z przyłączeniem do sieci. </w:t>
      </w:r>
    </w:p>
    <w:p w14:paraId="74E08058" w14:textId="77777777" w:rsidR="0093433C" w:rsidRPr="00890249" w:rsidRDefault="00B31EA0" w:rsidP="00890249">
      <w:pPr>
        <w:pStyle w:val="Lista-kontynuacja3"/>
        <w:rPr>
          <w:rFonts w:asciiTheme="minorHAnsi" w:hAnsiTheme="minorHAnsi" w:cstheme="minorHAnsi"/>
          <w:noProof/>
          <w:sz w:val="22"/>
          <w:szCs w:val="22"/>
        </w:rPr>
      </w:pPr>
      <w:r w:rsidRPr="00890249">
        <w:rPr>
          <w:rFonts w:asciiTheme="minorHAnsi" w:hAnsiTheme="minorHAnsi" w:cstheme="minorHAnsi"/>
          <w:noProof/>
          <w:sz w:val="22"/>
          <w:szCs w:val="22"/>
        </w:rPr>
        <w:t xml:space="preserve">Moce przewidziane do dofinansowania  zakresie energi cieplnej: </w:t>
      </w:r>
    </w:p>
    <w:p w14:paraId="5D82B9D4" w14:textId="77777777" w:rsidR="00B72154" w:rsidRPr="00890249" w:rsidRDefault="00B31EA0" w:rsidP="009F296A">
      <w:pPr>
        <w:pStyle w:val="Akapitzlist"/>
        <w:numPr>
          <w:ilvl w:val="0"/>
          <w:numId w:val="95"/>
        </w:numPr>
        <w:ind w:left="1134" w:hanging="425"/>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biomasa: nie więcej niż 5 MWth,</w:t>
      </w:r>
    </w:p>
    <w:p w14:paraId="7B1FD2CD" w14:textId="77777777" w:rsidR="00B72154" w:rsidRPr="00890249" w:rsidRDefault="00B31EA0" w:rsidP="009F296A">
      <w:pPr>
        <w:pStyle w:val="Akapitzlist"/>
        <w:numPr>
          <w:ilvl w:val="0"/>
          <w:numId w:val="95"/>
        </w:numPr>
        <w:ind w:left="1134" w:hanging="425"/>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promieniowanie słoneczne: nie więcej niż 0,5 MWth,</w:t>
      </w:r>
    </w:p>
    <w:p w14:paraId="0EE70C0B" w14:textId="77777777" w:rsidR="00B72154" w:rsidRPr="00890249" w:rsidRDefault="00B31EA0" w:rsidP="009F296A">
      <w:pPr>
        <w:pStyle w:val="Akapitzlist"/>
        <w:numPr>
          <w:ilvl w:val="0"/>
          <w:numId w:val="95"/>
        </w:numPr>
        <w:ind w:left="1134" w:hanging="425"/>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geotermia: nie więcej niż 2 MWth,</w:t>
      </w:r>
    </w:p>
    <w:p w14:paraId="50C5C85A" w14:textId="77777777" w:rsidR="00B72154" w:rsidRPr="00890249" w:rsidRDefault="00B31EA0" w:rsidP="009F296A">
      <w:pPr>
        <w:pStyle w:val="Akapitzlist"/>
        <w:numPr>
          <w:ilvl w:val="0"/>
          <w:numId w:val="95"/>
        </w:numPr>
        <w:ind w:left="1134" w:hanging="425"/>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biogaz: nie więcj niż 0,5 MWth. </w:t>
      </w:r>
    </w:p>
    <w:p w14:paraId="55598952" w14:textId="77777777" w:rsidR="0093433C" w:rsidRPr="00890249" w:rsidRDefault="00B31EA0" w:rsidP="00890249">
      <w:pPr>
        <w:pStyle w:val="Tekstpodstawowyzwciciem2"/>
        <w:rPr>
          <w:rFonts w:asciiTheme="minorHAnsi" w:hAnsiTheme="minorHAnsi" w:cstheme="minorHAnsi"/>
          <w:noProof/>
          <w:sz w:val="22"/>
          <w:szCs w:val="22"/>
        </w:rPr>
      </w:pPr>
      <w:r w:rsidRPr="00890249">
        <w:rPr>
          <w:rFonts w:asciiTheme="minorHAnsi" w:hAnsiTheme="minorHAnsi" w:cstheme="minorHAnsi"/>
          <w:noProof/>
          <w:sz w:val="22"/>
          <w:szCs w:val="22"/>
        </w:rPr>
        <w:t xml:space="preserve">Zaproponowane limity mocy nie dotyczą projektów realizowanych przez klastry energetyczne lub spółdzielnie energetyczne. </w:t>
      </w:r>
    </w:p>
    <w:p w14:paraId="07A19A54" w14:textId="00643A25" w:rsidR="00B72154" w:rsidRPr="00890249" w:rsidRDefault="007F47FB" w:rsidP="009F296A">
      <w:pPr>
        <w:pStyle w:val="Akapitzlist"/>
        <w:numPr>
          <w:ilvl w:val="0"/>
          <w:numId w:val="144"/>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M</w:t>
      </w:r>
      <w:r w:rsidR="00B31EA0" w:rsidRPr="00890249">
        <w:rPr>
          <w:rFonts w:asciiTheme="minorHAnsi" w:eastAsia="Times New Roman" w:hAnsiTheme="minorHAnsi" w:cstheme="minorHAnsi"/>
          <w:noProof/>
          <w:sz w:val="22"/>
          <w:szCs w:val="22"/>
        </w:rPr>
        <w:t>agazyny energii OZE i niezbędna infrastruktura odbioru i dystrybucji wyprodukowanej energii</w:t>
      </w:r>
      <w:r w:rsidRPr="00890249">
        <w:rPr>
          <w:rFonts w:asciiTheme="minorHAnsi" w:eastAsia="Times New Roman" w:hAnsiTheme="minorHAnsi" w:cstheme="minorHAnsi"/>
          <w:noProof/>
          <w:sz w:val="22"/>
          <w:szCs w:val="22"/>
        </w:rPr>
        <w:t>.</w:t>
      </w:r>
    </w:p>
    <w:p w14:paraId="5DAA420F" w14:textId="3A207231" w:rsidR="00B72154" w:rsidRPr="00890249" w:rsidRDefault="007F47FB" w:rsidP="009F296A">
      <w:pPr>
        <w:pStyle w:val="Akapitzlist"/>
        <w:numPr>
          <w:ilvl w:val="0"/>
          <w:numId w:val="144"/>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P</w:t>
      </w:r>
      <w:r w:rsidR="00B31EA0" w:rsidRPr="00890249">
        <w:rPr>
          <w:rFonts w:asciiTheme="minorHAnsi" w:eastAsia="Times New Roman" w:hAnsiTheme="minorHAnsi" w:cstheme="minorHAnsi"/>
          <w:noProof/>
          <w:sz w:val="22"/>
          <w:szCs w:val="22"/>
        </w:rPr>
        <w:t>rojekty z zakresu energetyki rozproszonej (np. klastry energetyczne, spółdzielnie energetyczne)</w:t>
      </w:r>
      <w:r w:rsidRPr="00890249">
        <w:rPr>
          <w:rFonts w:asciiTheme="minorHAnsi" w:eastAsia="Times New Roman" w:hAnsiTheme="minorHAnsi" w:cstheme="minorHAnsi"/>
          <w:noProof/>
          <w:sz w:val="22"/>
          <w:szCs w:val="22"/>
        </w:rPr>
        <w:t>.</w:t>
      </w:r>
    </w:p>
    <w:p w14:paraId="06F22BBC" w14:textId="09C98EFB"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8374CE" w:rsidRPr="00890249">
        <w:rPr>
          <w:rFonts w:asciiTheme="minorHAnsi" w:hAnsiTheme="minorHAnsi" w:cstheme="minorHAnsi"/>
          <w:noProof/>
          <w:sz w:val="22"/>
          <w:szCs w:val="22"/>
        </w:rPr>
        <w:t>są zgodne z zasadą DNSH. Ze względu na ich charakter przyjmuje się, że nie mają negatywnego wpływu na środowisko.</w:t>
      </w:r>
      <w:r w:rsidR="00191F2A" w:rsidRPr="00890249">
        <w:rPr>
          <w:rFonts w:asciiTheme="minorHAnsi" w:hAnsiTheme="minorHAnsi" w:cstheme="minorHAnsi"/>
          <w:noProof/>
          <w:sz w:val="22"/>
          <w:szCs w:val="22"/>
        </w:rPr>
        <w:t xml:space="preserve"> </w:t>
      </w:r>
    </w:p>
    <w:p w14:paraId="5F700789" w14:textId="5A1F922C" w:rsidR="0093433C" w:rsidRPr="00890249" w:rsidRDefault="00191F2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przypadku biomasy wsparcie może być skierowane na produkcj</w:t>
      </w:r>
      <w:r w:rsidR="000B2721">
        <w:rPr>
          <w:rFonts w:asciiTheme="minorHAnsi" w:hAnsiTheme="minorHAnsi" w:cstheme="minorHAnsi"/>
          <w:noProof/>
          <w:sz w:val="22"/>
          <w:szCs w:val="22"/>
        </w:rPr>
        <w:t>ę energii wyłącznie z biomasy i </w:t>
      </w:r>
      <w:r w:rsidRPr="00890249">
        <w:rPr>
          <w:rFonts w:asciiTheme="minorHAnsi" w:hAnsiTheme="minorHAnsi" w:cstheme="minorHAnsi"/>
          <w:noProof/>
          <w:sz w:val="22"/>
          <w:szCs w:val="22"/>
        </w:rPr>
        <w:t>biogazu, które zostały wyprodukowane zgodnie z kryteriami zrównoważonego rozwoju określony</w:t>
      </w:r>
      <w:r w:rsidR="006C01BE" w:rsidRPr="00890249">
        <w:rPr>
          <w:rFonts w:asciiTheme="minorHAnsi" w:hAnsiTheme="minorHAnsi" w:cstheme="minorHAnsi"/>
          <w:noProof/>
          <w:sz w:val="22"/>
          <w:szCs w:val="22"/>
        </w:rPr>
        <w:t>mi</w:t>
      </w:r>
      <w:r w:rsidRPr="00890249">
        <w:rPr>
          <w:rFonts w:asciiTheme="minorHAnsi" w:hAnsiTheme="minorHAnsi" w:cstheme="minorHAnsi"/>
          <w:noProof/>
          <w:sz w:val="22"/>
          <w:szCs w:val="22"/>
        </w:rPr>
        <w:t xml:space="preserve"> w art. 29 dyrektywy 2018/2001.</w:t>
      </w:r>
    </w:p>
    <w:p w14:paraId="4BB06178" w14:textId="2951D5D1" w:rsidR="0093433C" w:rsidRPr="00890249" w:rsidRDefault="006D4D1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Projekty dotyczące wytwarzania energii z OZE oceniane będą głównie poprzez pryzmat efektywności kosztowej oraz osiągniętych efektów wpisujących się w cele osi priorytetowej, w tym redukcji emisji CO</w:t>
      </w:r>
      <w:r w:rsidR="005A512D" w:rsidRPr="00890249">
        <w:rPr>
          <w:rFonts w:asciiTheme="minorHAnsi" w:hAnsiTheme="minorHAnsi" w:cstheme="minorHAnsi"/>
          <w:noProof/>
          <w:sz w:val="22"/>
          <w:szCs w:val="22"/>
          <w:vertAlign w:val="subscript"/>
        </w:rPr>
        <w:t>2</w:t>
      </w:r>
      <w:r w:rsidRPr="00890249">
        <w:rPr>
          <w:rFonts w:asciiTheme="minorHAnsi" w:hAnsiTheme="minorHAnsi" w:cstheme="minorHAnsi"/>
          <w:noProof/>
          <w:sz w:val="22"/>
          <w:szCs w:val="22"/>
        </w:rPr>
        <w:t>. Jednym z czynników branych pod uwagę przy wyborze takich inwestycji do wsparcia będzie koncepcja opłacalności, czyli najlepszego stosunku wielkości środków unijnych przeznaczonych na uzyskanie 1 MWh energii lub 1 MW mocy zainstalowanej wynikających z budowy danej instalacji. Poza tym o wsparciu takich projektów decydować będzie kry</w:t>
      </w:r>
      <w:r w:rsidR="000B2721">
        <w:rPr>
          <w:rFonts w:asciiTheme="minorHAnsi" w:hAnsiTheme="minorHAnsi" w:cstheme="minorHAnsi"/>
          <w:noProof/>
          <w:sz w:val="22"/>
          <w:szCs w:val="22"/>
        </w:rPr>
        <w:t>terium efektywności kosztowej w </w:t>
      </w:r>
      <w:r w:rsidRPr="00890249">
        <w:rPr>
          <w:rFonts w:asciiTheme="minorHAnsi" w:hAnsiTheme="minorHAnsi" w:cstheme="minorHAnsi"/>
          <w:noProof/>
          <w:sz w:val="22"/>
          <w:szCs w:val="22"/>
        </w:rPr>
        <w:t>powiązaniu z osiąganymi efektami ekologicznymi w stosunku do planowanych nakładów finansowych</w:t>
      </w:r>
    </w:p>
    <w:p w14:paraId="03E196EB" w14:textId="77777777" w:rsidR="003261C4" w:rsidRPr="00890249" w:rsidRDefault="003261C4" w:rsidP="003261C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32EA5914" w14:textId="39308808" w:rsidR="0093433C" w:rsidRPr="00890249" w:rsidRDefault="002C18C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Mieszkańcy województwa,</w:t>
      </w:r>
      <w:r w:rsidR="00140065" w:rsidRPr="00890249">
        <w:rPr>
          <w:rFonts w:asciiTheme="minorHAnsi" w:hAnsiTheme="minorHAnsi" w:cstheme="minorHAnsi"/>
          <w:noProof/>
          <w:sz w:val="22"/>
          <w:szCs w:val="22"/>
        </w:rPr>
        <w:t xml:space="preserve"> </w:t>
      </w:r>
      <w:r w:rsidR="009662C1" w:rsidRPr="00890249">
        <w:rPr>
          <w:rFonts w:asciiTheme="minorHAnsi" w:hAnsiTheme="minorHAnsi" w:cstheme="minorHAnsi"/>
          <w:noProof/>
          <w:sz w:val="22"/>
          <w:szCs w:val="22"/>
        </w:rPr>
        <w:t>jednostki samorządu terytorialnego</w:t>
      </w:r>
      <w:r w:rsidR="00D07856" w:rsidRPr="00890249">
        <w:rPr>
          <w:rFonts w:asciiTheme="minorHAnsi" w:hAnsiTheme="minorHAnsi" w:cstheme="minorHAnsi"/>
          <w:noProof/>
          <w:sz w:val="22"/>
          <w:szCs w:val="22"/>
        </w:rPr>
        <w:t>,</w:t>
      </w:r>
      <w:r w:rsidR="009662C1" w:rsidRPr="00890249">
        <w:rPr>
          <w:rFonts w:asciiTheme="minorHAnsi" w:hAnsiTheme="minorHAnsi" w:cstheme="minorHAnsi"/>
          <w:noProof/>
          <w:sz w:val="22"/>
          <w:szCs w:val="22"/>
        </w:rPr>
        <w:t xml:space="preserve"> ich związk</w:t>
      </w:r>
      <w:r w:rsidR="00D07856" w:rsidRPr="00890249">
        <w:rPr>
          <w:rFonts w:asciiTheme="minorHAnsi" w:hAnsiTheme="minorHAnsi" w:cstheme="minorHAnsi"/>
          <w:noProof/>
          <w:sz w:val="22"/>
          <w:szCs w:val="22"/>
        </w:rPr>
        <w:t>i</w:t>
      </w:r>
      <w:r w:rsidR="000B2721">
        <w:rPr>
          <w:rFonts w:asciiTheme="minorHAnsi" w:hAnsiTheme="minorHAnsi" w:cstheme="minorHAnsi"/>
          <w:noProof/>
          <w:sz w:val="22"/>
          <w:szCs w:val="22"/>
        </w:rPr>
        <w:t>, porozumienia i </w:t>
      </w:r>
      <w:r w:rsidR="009662C1" w:rsidRPr="00890249">
        <w:rPr>
          <w:rFonts w:asciiTheme="minorHAnsi" w:hAnsiTheme="minorHAnsi" w:cstheme="minorHAnsi"/>
          <w:noProof/>
          <w:sz w:val="22"/>
          <w:szCs w:val="22"/>
        </w:rPr>
        <w:t>stowarzyszenia</w:t>
      </w:r>
      <w:r w:rsidR="00F654F1" w:rsidRPr="00890249">
        <w:rPr>
          <w:rFonts w:asciiTheme="minorHAnsi" w:hAnsiTheme="minorHAnsi" w:cstheme="minorHAnsi"/>
          <w:noProof/>
          <w:sz w:val="22"/>
          <w:szCs w:val="22"/>
        </w:rPr>
        <w:t>,</w:t>
      </w:r>
      <w:r w:rsidR="00073AAD" w:rsidRPr="00890249">
        <w:rPr>
          <w:rFonts w:asciiTheme="minorHAnsi" w:hAnsiTheme="minorHAnsi" w:cstheme="minorHAnsi"/>
          <w:noProof/>
          <w:sz w:val="22"/>
          <w:szCs w:val="22"/>
        </w:rPr>
        <w:t xml:space="preserve"> jednostki organizacyjne JST posiadające osobowość prawną </w:t>
      </w:r>
      <w:r w:rsidRPr="00890249">
        <w:rPr>
          <w:rFonts w:asciiTheme="minorHAnsi" w:hAnsiTheme="minorHAnsi" w:cstheme="minorHAnsi"/>
          <w:noProof/>
          <w:sz w:val="22"/>
          <w:szCs w:val="22"/>
        </w:rPr>
        <w:t xml:space="preserve"> przedsi</w:t>
      </w:r>
      <w:r w:rsidR="00A66AAA" w:rsidRPr="00890249">
        <w:rPr>
          <w:rFonts w:asciiTheme="minorHAnsi" w:hAnsiTheme="minorHAnsi" w:cstheme="minorHAnsi"/>
          <w:noProof/>
          <w:sz w:val="22"/>
          <w:szCs w:val="22"/>
        </w:rPr>
        <w:t>ę</w:t>
      </w:r>
      <w:r w:rsidRPr="00890249">
        <w:rPr>
          <w:rFonts w:asciiTheme="minorHAnsi" w:hAnsiTheme="minorHAnsi" w:cstheme="minorHAnsi"/>
          <w:noProof/>
          <w:sz w:val="22"/>
          <w:szCs w:val="22"/>
        </w:rPr>
        <w:t>biorstwa</w:t>
      </w:r>
      <w:r w:rsidR="009662C1" w:rsidRPr="00890249">
        <w:rPr>
          <w:rFonts w:asciiTheme="minorHAnsi" w:hAnsiTheme="minorHAnsi" w:cstheme="minorHAnsi"/>
          <w:noProof/>
          <w:sz w:val="22"/>
          <w:szCs w:val="22"/>
        </w:rPr>
        <w:t xml:space="preserve">. </w:t>
      </w:r>
    </w:p>
    <w:p w14:paraId="7E6311E1" w14:textId="77777777" w:rsidR="00477333" w:rsidRPr="00890249" w:rsidRDefault="00477333" w:rsidP="003E363A">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2C67AE62" w14:textId="77777777" w:rsidR="0093433C" w:rsidRPr="00890249" w:rsidRDefault="43D0854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społeczności oraz brakiem wsparcia społecznego. </w:t>
      </w:r>
    </w:p>
    <w:p w14:paraId="417B0FF4" w14:textId="7B1695B7"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Z uwagi na zakres tematyczny celu szczegółowego  realizowane projekty b</w:t>
      </w:r>
      <w:r w:rsidR="00D07856" w:rsidRPr="00890249">
        <w:rPr>
          <w:rFonts w:asciiTheme="minorHAnsi" w:hAnsiTheme="minorHAnsi" w:cstheme="minorHAnsi"/>
          <w:sz w:val="22"/>
          <w:szCs w:val="22"/>
        </w:rPr>
        <w:t>ę</w:t>
      </w:r>
      <w:r w:rsidRPr="00890249">
        <w:rPr>
          <w:rFonts w:asciiTheme="minorHAnsi" w:hAnsiTheme="minorHAnsi" w:cstheme="minorHAnsi"/>
          <w:sz w:val="22"/>
          <w:szCs w:val="22"/>
        </w:rPr>
        <w:t>d</w:t>
      </w:r>
      <w:r w:rsidR="00D07856" w:rsidRPr="00890249">
        <w:rPr>
          <w:rFonts w:asciiTheme="minorHAnsi" w:hAnsiTheme="minorHAnsi" w:cstheme="minorHAnsi"/>
          <w:sz w:val="22"/>
          <w:szCs w:val="22"/>
        </w:rPr>
        <w:t>ę</w:t>
      </w:r>
      <w:r w:rsidRPr="00890249">
        <w:rPr>
          <w:rFonts w:asciiTheme="minorHAnsi" w:hAnsiTheme="minorHAnsi" w:cstheme="minorHAnsi"/>
          <w:sz w:val="22"/>
          <w:szCs w:val="22"/>
        </w:rPr>
        <w:t xml:space="preserve"> charakteryzować się wysoką jakością i kompleksowością udzielanego wsparcia, </w:t>
      </w:r>
      <w:r w:rsidR="00D07856" w:rsidRPr="00890249">
        <w:rPr>
          <w:rFonts w:asciiTheme="minorHAnsi" w:hAnsiTheme="minorHAnsi" w:cstheme="minorHAnsi"/>
          <w:sz w:val="22"/>
          <w:szCs w:val="22"/>
        </w:rPr>
        <w:t xml:space="preserve">a także </w:t>
      </w:r>
      <w:r w:rsidRPr="00890249">
        <w:rPr>
          <w:rFonts w:asciiTheme="minorHAnsi" w:hAnsiTheme="minorHAnsi" w:cstheme="minorHAnsi"/>
          <w:sz w:val="22"/>
          <w:szCs w:val="22"/>
        </w:rPr>
        <w:t>wpływać na poprawę warunków życia wszystkich grup społecznych poprzez ksz</w:t>
      </w:r>
      <w:r w:rsidR="002B0DAF" w:rsidRPr="00890249">
        <w:rPr>
          <w:rFonts w:asciiTheme="minorHAnsi" w:hAnsiTheme="minorHAnsi" w:cstheme="minorHAnsi"/>
          <w:sz w:val="22"/>
          <w:szCs w:val="22"/>
        </w:rPr>
        <w:t>t</w:t>
      </w:r>
      <w:r w:rsidRPr="00890249">
        <w:rPr>
          <w:rFonts w:asciiTheme="minorHAnsi" w:hAnsiTheme="minorHAnsi" w:cstheme="minorHAnsi"/>
          <w:sz w:val="22"/>
          <w:szCs w:val="22"/>
        </w:rPr>
        <w:t>ałtowanie zrównowa</w:t>
      </w:r>
      <w:r w:rsidR="0046715F" w:rsidRPr="00890249">
        <w:rPr>
          <w:rFonts w:asciiTheme="minorHAnsi" w:hAnsiTheme="minorHAnsi" w:cstheme="minorHAnsi"/>
          <w:sz w:val="22"/>
          <w:szCs w:val="22"/>
        </w:rPr>
        <w:t>ż</w:t>
      </w:r>
      <w:r w:rsidRPr="00890249">
        <w:rPr>
          <w:rFonts w:asciiTheme="minorHAnsi" w:hAnsiTheme="minorHAnsi" w:cstheme="minorHAnsi"/>
          <w:sz w:val="22"/>
          <w:szCs w:val="22"/>
        </w:rPr>
        <w:t>onej transformacji energetycznej.</w:t>
      </w:r>
    </w:p>
    <w:p w14:paraId="49F7C7A2" w14:textId="77777777" w:rsidR="003261C4" w:rsidRPr="00890249" w:rsidRDefault="003261C4" w:rsidP="003261C4">
      <w:pPr>
        <w:rPr>
          <w:rFonts w:asciiTheme="minorHAnsi" w:eastAsia="Times New Roman" w:hAnsiTheme="minorHAnsi" w:cstheme="minorHAnsi"/>
          <w:i/>
          <w:noProo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7BE0C2A6" w14:textId="77777777" w:rsidR="0093433C" w:rsidRPr="00890249" w:rsidRDefault="00665AB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7B934DC2" w14:textId="77777777" w:rsidR="003261C4" w:rsidRPr="00890249" w:rsidRDefault="003261C4" w:rsidP="003261C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16666248" w14:textId="77777777" w:rsidR="0093433C" w:rsidRPr="00890249" w:rsidRDefault="0022222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Program co do zasady obejmuje swoim zasięgiem terytorium całego województwa. Program realizować będzie jednak projekty, których wpływ i znaczenie będzie miało wymiar europejski, m.in. w kontekście realizacji celów Europejskiego Zielonego Ładu.</w:t>
      </w:r>
    </w:p>
    <w:p w14:paraId="3A09B2C0" w14:textId="01150B65" w:rsidR="0093433C" w:rsidRPr="00890249" w:rsidRDefault="0022222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Realizowane w ramach Programu projekty przyczyniają się do realiza</w:t>
      </w:r>
      <w:r w:rsidR="000B2721">
        <w:rPr>
          <w:rFonts w:asciiTheme="minorHAnsi" w:hAnsiTheme="minorHAnsi" w:cstheme="minorHAnsi"/>
          <w:noProof/>
          <w:sz w:val="22"/>
          <w:szCs w:val="22"/>
        </w:rPr>
        <w:t>cji celów unii energetycznej, w </w:t>
      </w:r>
      <w:r w:rsidRPr="00890249">
        <w:rPr>
          <w:rFonts w:asciiTheme="minorHAnsi" w:hAnsiTheme="minorHAnsi" w:cstheme="minorHAnsi"/>
          <w:noProof/>
          <w:sz w:val="22"/>
          <w:szCs w:val="22"/>
        </w:rPr>
        <w:t>tym promowania efektywności energetycznej i oszczędności energii, dekarbonizacji i przejścia na gospodarkę niskoemisyjną zgodnie z porozumieniem paryskim o</w:t>
      </w:r>
      <w:r w:rsidR="000B2721">
        <w:rPr>
          <w:rFonts w:asciiTheme="minorHAnsi" w:hAnsiTheme="minorHAnsi" w:cstheme="minorHAnsi"/>
          <w:noProof/>
          <w:sz w:val="22"/>
          <w:szCs w:val="22"/>
        </w:rPr>
        <w:t>raz promowania rozwoju nowych i </w:t>
      </w:r>
      <w:r w:rsidRPr="00890249">
        <w:rPr>
          <w:rFonts w:asciiTheme="minorHAnsi" w:hAnsiTheme="minorHAnsi" w:cstheme="minorHAnsi"/>
          <w:noProof/>
          <w:sz w:val="22"/>
          <w:szCs w:val="22"/>
        </w:rPr>
        <w:t>odnawialnych form energii, aby lepiej dostosować cele związane ze zmianami klimatu do nowej struktury rynku i lepiej je z tym rynkiem zintegrować.</w:t>
      </w:r>
    </w:p>
    <w:p w14:paraId="2B1D22FB" w14:textId="2AF522B0" w:rsidR="0093433C" w:rsidRPr="00890249" w:rsidRDefault="00657A0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Jednocześnie planowana interwencja będzie przyczyniać się do zacieśniania współpracy międzynarodowej, co jest głównym celem makroregionalnej Strategii UE dla Regionu Morza Bałtyckiego. Strategia stwarza możliwość nawiązania szerok</w:t>
      </w:r>
      <w:r w:rsidR="000B2721">
        <w:rPr>
          <w:rFonts w:asciiTheme="minorHAnsi" w:hAnsiTheme="minorHAnsi" w:cstheme="minorHAnsi"/>
          <w:noProof/>
          <w:sz w:val="22"/>
          <w:szCs w:val="22"/>
        </w:rPr>
        <w:t xml:space="preserve">ich kontaktów </w:t>
      </w:r>
      <w:r w:rsidRPr="00890249">
        <w:rPr>
          <w:rFonts w:asciiTheme="minorHAnsi" w:hAnsiTheme="minorHAnsi" w:cstheme="minorHAnsi"/>
          <w:noProof/>
          <w:sz w:val="22"/>
          <w:szCs w:val="22"/>
        </w:rPr>
        <w:t xml:space="preserve">z partnerami makroregionu, inicjowania nowych projektów oraz promowania na forum międzynarodowym projektów już istniejących. </w:t>
      </w:r>
    </w:p>
    <w:p w14:paraId="39BEDCDE" w14:textId="77777777" w:rsidR="003261C4" w:rsidRPr="00890249" w:rsidRDefault="003261C4" w:rsidP="003261C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72CFD9A1" w14:textId="0F9208F6" w:rsidR="0093433C" w:rsidRPr="00890249" w:rsidRDefault="5075D4E5" w:rsidP="00890249">
      <w:pPr>
        <w:pStyle w:val="Tekstpodstawowy"/>
        <w:rPr>
          <w:rFonts w:asciiTheme="minorHAnsi" w:hAnsiTheme="minorHAnsi" w:cstheme="minorHAnsi"/>
          <w:noProof/>
          <w:color w:val="000000" w:themeColor="text1"/>
          <w:sz w:val="22"/>
          <w:szCs w:val="22"/>
        </w:rPr>
      </w:pPr>
      <w:r w:rsidRPr="00890249">
        <w:rPr>
          <w:rFonts w:asciiTheme="minorHAnsi" w:hAnsiTheme="minorHAnsi" w:cstheme="minorHAnsi"/>
          <w:noProof/>
          <w:sz w:val="22"/>
          <w:szCs w:val="22"/>
        </w:rPr>
        <w:t>Zastosowane będą instrumenty zwrotne</w:t>
      </w:r>
      <w:r w:rsidR="29AAC32E" w:rsidRPr="00890249">
        <w:rPr>
          <w:rFonts w:asciiTheme="minorHAnsi" w:hAnsiTheme="minorHAnsi" w:cstheme="minorHAnsi"/>
          <w:noProof/>
          <w:sz w:val="22"/>
          <w:szCs w:val="22"/>
        </w:rPr>
        <w:t xml:space="preserve"> - </w:t>
      </w:r>
      <w:r w:rsidRPr="00890249">
        <w:rPr>
          <w:rFonts w:asciiTheme="minorHAnsi" w:hAnsiTheme="minorHAnsi" w:cstheme="minorHAnsi"/>
          <w:noProof/>
          <w:sz w:val="22"/>
          <w:szCs w:val="22"/>
        </w:rPr>
        <w:t>IF połączone z dotacjami w ramach jednej operacji</w:t>
      </w:r>
      <w:r w:rsidR="00460D34" w:rsidRPr="00890249">
        <w:rPr>
          <w:rFonts w:asciiTheme="minorHAnsi" w:hAnsiTheme="minorHAnsi" w:cstheme="minorHAnsi"/>
          <w:noProof/>
          <w:sz w:val="22"/>
          <w:szCs w:val="22"/>
          <w:vertAlign w:val="superscript"/>
        </w:rPr>
        <w:footnoteReference w:id="116"/>
      </w:r>
      <w:r w:rsidRPr="00890249">
        <w:rPr>
          <w:rFonts w:asciiTheme="minorHAnsi" w:hAnsiTheme="minorHAnsi" w:cstheme="minorHAnsi"/>
          <w:noProof/>
          <w:color w:val="000000" w:themeColor="text1"/>
          <w:sz w:val="22"/>
          <w:szCs w:val="22"/>
        </w:rPr>
        <w:t>.</w:t>
      </w:r>
    </w:p>
    <w:p w14:paraId="75638BBE" w14:textId="77777777" w:rsidR="0093433C" w:rsidRPr="00890249" w:rsidRDefault="00491FE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Wskazuje się na bardzo duże potrzeby inwestycyjne przy braku na rynku atrakcyjnych instrumentów wsparcia produkcji OZE, zwłaszcza w sektorze MŚP. Przedsięwzięcia generują oszczędności, co daje potencjał spłacania pożyczek (prosumenci), a np. w przypadku przedsięwzięć o większej skali (np. farmy fotowoltaiczne) pojawia się większy element dochodowy. Dobrze przygotowane projekty charakteryzują się wysoką stopą zwrotu z inwestycji przy stosunkowo niewielkim ryzyku niepowodzenia (szczególnie fotowoltaika).</w:t>
      </w:r>
    </w:p>
    <w:p w14:paraId="234D719F" w14:textId="77777777" w:rsidR="00CA485E" w:rsidRPr="00890249" w:rsidRDefault="00CA485E">
      <w:pPr>
        <w:spacing w:before="0" w:after="160" w:line="259" w:lineRule="auto"/>
        <w:jc w:val="left"/>
        <w:rPr>
          <w:rFonts w:asciiTheme="minorHAnsi" w:hAnsiTheme="minorHAnsi" w:cstheme="minorHAnsi"/>
          <w:noProof/>
          <w:color w:val="000000" w:themeColor="text1"/>
          <w:sz w:val="22"/>
          <w:szCs w:val="22"/>
        </w:rPr>
      </w:pPr>
      <w:r w:rsidRPr="00890249">
        <w:rPr>
          <w:rFonts w:asciiTheme="minorHAnsi" w:hAnsiTheme="minorHAnsi" w:cstheme="minorHAnsi"/>
          <w:noProof/>
          <w:color w:val="000000" w:themeColor="text1"/>
          <w:sz w:val="22"/>
          <w:szCs w:val="22"/>
        </w:rPr>
        <w:br w:type="page"/>
      </w:r>
    </w:p>
    <w:p w14:paraId="21CE1598" w14:textId="77777777" w:rsidR="003261C4" w:rsidRPr="00890249" w:rsidRDefault="003261C4" w:rsidP="003261C4">
      <w:pPr>
        <w:pStyle w:val="Tekstpodstawowy"/>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2.1.2.2.2 (ii)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51"/>
        <w:gridCol w:w="693"/>
        <w:gridCol w:w="1009"/>
        <w:gridCol w:w="830"/>
        <w:gridCol w:w="2213"/>
        <w:gridCol w:w="830"/>
        <w:gridCol w:w="1106"/>
        <w:gridCol w:w="1074"/>
      </w:tblGrid>
      <w:tr w:rsidR="0034642D" w:rsidRPr="00890249" w14:paraId="2A4356A5" w14:textId="77777777" w:rsidTr="18317E1B">
        <w:trPr>
          <w:trHeight w:val="425"/>
        </w:trPr>
        <w:tc>
          <w:tcPr>
            <w:tcW w:w="5000" w:type="pct"/>
            <w:gridSpan w:val="9"/>
            <w:shd w:val="clear" w:color="auto" w:fill="D9D9D9" w:themeFill="background1" w:themeFillShade="D9"/>
          </w:tcPr>
          <w:p w14:paraId="6CE50D7D"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2BF73A19" w14:textId="77777777" w:rsidTr="18317E1B">
        <w:trPr>
          <w:cantSplit/>
          <w:trHeight w:val="1647"/>
        </w:trPr>
        <w:tc>
          <w:tcPr>
            <w:tcW w:w="287" w:type="pct"/>
            <w:shd w:val="clear" w:color="auto" w:fill="F2F2F2" w:themeFill="background1" w:themeFillShade="F2"/>
            <w:textDirection w:val="btLr"/>
            <w:vAlign w:val="center"/>
          </w:tcPr>
          <w:p w14:paraId="745FB08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160370C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1D09439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07733A3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6A8D56E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4B4CA11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55CD6EE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4525B6C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6" w:type="pct"/>
            <w:shd w:val="clear" w:color="auto" w:fill="F2F2F2" w:themeFill="background1" w:themeFillShade="F2"/>
            <w:textDirection w:val="btLr"/>
            <w:vAlign w:val="center"/>
          </w:tcPr>
          <w:p w14:paraId="52E1654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A13182" w:rsidRPr="00890249" w14:paraId="72296338" w14:textId="77777777" w:rsidTr="18317E1B">
        <w:trPr>
          <w:trHeight w:val="340"/>
        </w:trPr>
        <w:tc>
          <w:tcPr>
            <w:tcW w:w="287" w:type="pct"/>
            <w:vAlign w:val="center"/>
          </w:tcPr>
          <w:p w14:paraId="467C9ABD"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35490D57"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2.ii</w:t>
            </w:r>
          </w:p>
        </w:tc>
        <w:tc>
          <w:tcPr>
            <w:tcW w:w="384" w:type="pct"/>
            <w:vAlign w:val="center"/>
          </w:tcPr>
          <w:p w14:paraId="4E91A3C9"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44454669"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30AB15AB"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sz w:val="18"/>
                <w:szCs w:val="16"/>
              </w:rPr>
              <w:t>RCO</w:t>
            </w:r>
            <w:r w:rsidR="000F221E" w:rsidRPr="00890249">
              <w:rPr>
                <w:rFonts w:asciiTheme="minorHAnsi" w:hAnsiTheme="minorHAnsi" w:cstheme="minorHAnsi"/>
                <w:i/>
                <w:sz w:val="18"/>
                <w:szCs w:val="16"/>
              </w:rPr>
              <w:t xml:space="preserve"> </w:t>
            </w:r>
            <w:r w:rsidRPr="00890249">
              <w:rPr>
                <w:rFonts w:asciiTheme="minorHAnsi" w:hAnsiTheme="minorHAnsi" w:cstheme="minorHAnsi"/>
                <w:i/>
                <w:sz w:val="18"/>
                <w:szCs w:val="16"/>
              </w:rPr>
              <w:t>22</w:t>
            </w:r>
          </w:p>
        </w:tc>
        <w:tc>
          <w:tcPr>
            <w:tcW w:w="1226" w:type="pct"/>
            <w:shd w:val="clear" w:color="auto" w:fill="auto"/>
            <w:vAlign w:val="center"/>
          </w:tcPr>
          <w:p w14:paraId="2E6B0DB3" w14:textId="77777777" w:rsidR="00A13182" w:rsidRPr="00890249" w:rsidRDefault="00A13182" w:rsidP="00A13182">
            <w:pPr>
              <w:jc w:val="left"/>
              <w:rPr>
                <w:rFonts w:asciiTheme="minorHAnsi" w:hAnsiTheme="minorHAnsi" w:cstheme="minorHAnsi"/>
                <w:i/>
                <w:noProof/>
                <w:sz w:val="18"/>
                <w:szCs w:val="16"/>
              </w:rPr>
            </w:pPr>
            <w:r w:rsidRPr="00890249">
              <w:rPr>
                <w:rFonts w:asciiTheme="minorHAnsi" w:hAnsiTheme="minorHAnsi" w:cstheme="minorHAnsi"/>
                <w:i/>
                <w:sz w:val="18"/>
                <w:szCs w:val="16"/>
              </w:rPr>
              <w:t>Dodatkowa zdolność wytwarzania energii odnawialnej (w tym: energii elektrycznej, energii cieplnej)</w:t>
            </w:r>
          </w:p>
        </w:tc>
        <w:tc>
          <w:tcPr>
            <w:tcW w:w="460" w:type="pct"/>
            <w:vAlign w:val="center"/>
          </w:tcPr>
          <w:p w14:paraId="5BF957EE"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MW</w:t>
            </w:r>
          </w:p>
        </w:tc>
        <w:tc>
          <w:tcPr>
            <w:tcW w:w="613" w:type="pct"/>
            <w:shd w:val="clear" w:color="auto" w:fill="auto"/>
            <w:vAlign w:val="center"/>
          </w:tcPr>
          <w:p w14:paraId="07AF1F61" w14:textId="77777777" w:rsidR="00A13182" w:rsidRPr="00890249" w:rsidRDefault="0025269D" w:rsidP="00A13182">
            <w:pPr>
              <w:jc w:val="center"/>
              <w:rPr>
                <w:rFonts w:asciiTheme="minorHAnsi" w:hAnsiTheme="minorHAnsi" w:cstheme="minorHAnsi"/>
                <w:noProof/>
                <w:sz w:val="18"/>
                <w:szCs w:val="16"/>
              </w:rPr>
            </w:pPr>
            <w:r w:rsidRPr="00890249">
              <w:rPr>
                <w:rFonts w:asciiTheme="minorHAnsi" w:hAnsiTheme="minorHAnsi" w:cstheme="minorHAnsi"/>
                <w:noProof/>
                <w:sz w:val="18"/>
                <w:szCs w:val="16"/>
              </w:rPr>
              <w:t>1</w:t>
            </w:r>
          </w:p>
        </w:tc>
        <w:tc>
          <w:tcPr>
            <w:tcW w:w="596" w:type="pct"/>
            <w:shd w:val="clear" w:color="auto" w:fill="auto"/>
            <w:vAlign w:val="center"/>
          </w:tcPr>
          <w:p w14:paraId="64537E83" w14:textId="77777777" w:rsidR="00A13182" w:rsidRPr="00890249" w:rsidRDefault="0025269D" w:rsidP="00A13182">
            <w:pPr>
              <w:jc w:val="center"/>
              <w:rPr>
                <w:rFonts w:asciiTheme="minorHAnsi" w:hAnsiTheme="minorHAnsi" w:cstheme="minorHAnsi"/>
                <w:noProof/>
                <w:sz w:val="18"/>
                <w:szCs w:val="16"/>
              </w:rPr>
            </w:pPr>
            <w:r w:rsidRPr="00890249">
              <w:rPr>
                <w:rFonts w:asciiTheme="minorHAnsi" w:hAnsiTheme="minorHAnsi" w:cstheme="minorHAnsi"/>
                <w:noProof/>
                <w:sz w:val="18"/>
                <w:szCs w:val="16"/>
              </w:rPr>
              <w:t>30</w:t>
            </w:r>
          </w:p>
        </w:tc>
      </w:tr>
      <w:tr w:rsidR="18317E1B" w:rsidRPr="00890249" w14:paraId="7BCD3E85" w14:textId="77777777" w:rsidTr="18317E1B">
        <w:trPr>
          <w:trHeight w:val="340"/>
        </w:trPr>
        <w:tc>
          <w:tcPr>
            <w:tcW w:w="531" w:type="dxa"/>
            <w:vAlign w:val="center"/>
          </w:tcPr>
          <w:p w14:paraId="38D0504F" w14:textId="77777777" w:rsidR="5623D82C" w:rsidRPr="00890249" w:rsidRDefault="5623D82C" w:rsidP="18317E1B">
            <w:pPr>
              <w:jc w:val="center"/>
              <w:rPr>
                <w:rFonts w:asciiTheme="minorHAnsi" w:hAnsiTheme="minorHAnsi" w:cstheme="minorHAnsi"/>
                <w:i/>
                <w:iCs/>
                <w:noProof/>
                <w:sz w:val="18"/>
                <w:szCs w:val="18"/>
              </w:rPr>
            </w:pPr>
            <w:r w:rsidRPr="00890249">
              <w:rPr>
                <w:rFonts w:asciiTheme="minorHAnsi" w:hAnsiTheme="minorHAnsi" w:cstheme="minorHAnsi"/>
                <w:i/>
                <w:iCs/>
                <w:noProof/>
                <w:sz w:val="18"/>
                <w:szCs w:val="18"/>
              </w:rPr>
              <w:t>CP2</w:t>
            </w:r>
          </w:p>
        </w:tc>
        <w:tc>
          <w:tcPr>
            <w:tcW w:w="770" w:type="dxa"/>
            <w:vAlign w:val="center"/>
          </w:tcPr>
          <w:p w14:paraId="2AA5AF02" w14:textId="77777777" w:rsidR="5623D82C" w:rsidRPr="00890249" w:rsidRDefault="5623D82C" w:rsidP="18317E1B">
            <w:pPr>
              <w:jc w:val="center"/>
              <w:rPr>
                <w:rFonts w:asciiTheme="minorHAnsi" w:hAnsiTheme="minorHAnsi" w:cstheme="minorHAnsi"/>
                <w:i/>
                <w:iCs/>
                <w:noProof/>
                <w:sz w:val="18"/>
                <w:szCs w:val="18"/>
              </w:rPr>
            </w:pPr>
            <w:r w:rsidRPr="00890249">
              <w:rPr>
                <w:rFonts w:asciiTheme="minorHAnsi" w:hAnsiTheme="minorHAnsi" w:cstheme="minorHAnsi"/>
                <w:i/>
                <w:iCs/>
                <w:noProof/>
                <w:sz w:val="18"/>
                <w:szCs w:val="18"/>
              </w:rPr>
              <w:t>2ii</w:t>
            </w:r>
          </w:p>
        </w:tc>
        <w:tc>
          <w:tcPr>
            <w:tcW w:w="710" w:type="dxa"/>
            <w:vAlign w:val="center"/>
          </w:tcPr>
          <w:p w14:paraId="31379E11" w14:textId="77777777" w:rsidR="5623D82C" w:rsidRPr="00890249" w:rsidRDefault="5623D82C" w:rsidP="18317E1B">
            <w:pPr>
              <w:jc w:val="center"/>
              <w:rPr>
                <w:rFonts w:asciiTheme="minorHAnsi" w:hAnsiTheme="minorHAnsi" w:cstheme="minorHAnsi"/>
                <w:i/>
                <w:iCs/>
                <w:noProof/>
                <w:sz w:val="18"/>
                <w:szCs w:val="18"/>
              </w:rPr>
            </w:pPr>
            <w:r w:rsidRPr="00890249">
              <w:rPr>
                <w:rFonts w:asciiTheme="minorHAnsi" w:hAnsiTheme="minorHAnsi" w:cstheme="minorHAnsi"/>
                <w:i/>
                <w:iCs/>
                <w:noProof/>
                <w:sz w:val="18"/>
                <w:szCs w:val="18"/>
              </w:rPr>
              <w:t>EFRR</w:t>
            </w:r>
          </w:p>
        </w:tc>
        <w:tc>
          <w:tcPr>
            <w:tcW w:w="1034" w:type="dxa"/>
            <w:vAlign w:val="center"/>
          </w:tcPr>
          <w:p w14:paraId="3DB7D0D0" w14:textId="77777777" w:rsidR="5623D82C" w:rsidRPr="00890249" w:rsidRDefault="5623D82C" w:rsidP="18317E1B">
            <w:pPr>
              <w:jc w:val="center"/>
              <w:rPr>
                <w:rFonts w:asciiTheme="minorHAnsi" w:hAnsiTheme="minorHAnsi" w:cstheme="minorHAnsi"/>
                <w:i/>
                <w:iCs/>
                <w:noProof/>
                <w:sz w:val="18"/>
                <w:szCs w:val="18"/>
              </w:rPr>
            </w:pPr>
            <w:r w:rsidRPr="00890249">
              <w:rPr>
                <w:rFonts w:asciiTheme="minorHAnsi" w:eastAsia="Times New Roman" w:hAnsiTheme="minorHAnsi" w:cstheme="minorHAnsi"/>
                <w:noProof/>
                <w:sz w:val="18"/>
                <w:szCs w:val="18"/>
              </w:rPr>
              <w:t>Słabiej rozwinięt</w:t>
            </w:r>
          </w:p>
        </w:tc>
        <w:tc>
          <w:tcPr>
            <w:tcW w:w="851" w:type="dxa"/>
            <w:vAlign w:val="center"/>
          </w:tcPr>
          <w:p w14:paraId="4FD27ED9" w14:textId="77777777" w:rsidR="5623D82C" w:rsidRPr="00890249" w:rsidRDefault="5623D82C" w:rsidP="18317E1B">
            <w:pPr>
              <w:jc w:val="center"/>
              <w:rPr>
                <w:rFonts w:asciiTheme="minorHAnsi" w:hAnsiTheme="minorHAnsi" w:cstheme="minorHAnsi"/>
                <w:i/>
                <w:iCs/>
                <w:sz w:val="18"/>
                <w:szCs w:val="18"/>
              </w:rPr>
            </w:pPr>
            <w:r w:rsidRPr="00890249">
              <w:rPr>
                <w:rFonts w:asciiTheme="minorHAnsi" w:hAnsiTheme="minorHAnsi" w:cstheme="minorHAnsi"/>
                <w:i/>
                <w:iCs/>
                <w:sz w:val="18"/>
                <w:szCs w:val="18"/>
              </w:rPr>
              <w:t>RCO97</w:t>
            </w:r>
          </w:p>
        </w:tc>
        <w:tc>
          <w:tcPr>
            <w:tcW w:w="2268" w:type="dxa"/>
            <w:shd w:val="clear" w:color="auto" w:fill="auto"/>
            <w:vAlign w:val="center"/>
          </w:tcPr>
          <w:p w14:paraId="59592904" w14:textId="77777777" w:rsidR="5623D82C" w:rsidRPr="00890249" w:rsidRDefault="5623D82C" w:rsidP="18317E1B">
            <w:pPr>
              <w:jc w:val="left"/>
              <w:rPr>
                <w:rFonts w:asciiTheme="minorHAnsi" w:hAnsiTheme="minorHAnsi" w:cstheme="minorHAnsi"/>
                <w:sz w:val="18"/>
                <w:szCs w:val="18"/>
              </w:rPr>
            </w:pPr>
            <w:r w:rsidRPr="00890249">
              <w:rPr>
                <w:rFonts w:asciiTheme="minorHAnsi" w:hAnsiTheme="minorHAnsi" w:cstheme="minorHAnsi"/>
                <w:sz w:val="18"/>
                <w:szCs w:val="18"/>
              </w:rPr>
              <w:t>Liczba wspartych społeczności energetycznych działających w zakresie energii odnawialnej*</w:t>
            </w:r>
          </w:p>
        </w:tc>
        <w:tc>
          <w:tcPr>
            <w:tcW w:w="851" w:type="dxa"/>
            <w:vAlign w:val="center"/>
          </w:tcPr>
          <w:p w14:paraId="4C8764A8" w14:textId="6E140C1B" w:rsidR="5623D82C" w:rsidRPr="00890249" w:rsidRDefault="00BD54B2" w:rsidP="00BD54B2">
            <w:pPr>
              <w:jc w:val="center"/>
              <w:rPr>
                <w:rFonts w:asciiTheme="minorHAnsi" w:hAnsiTheme="minorHAnsi" w:cstheme="minorHAnsi"/>
                <w:i/>
                <w:iCs/>
                <w:noProof/>
                <w:sz w:val="18"/>
                <w:szCs w:val="18"/>
                <w:highlight w:val="yellow"/>
              </w:rPr>
            </w:pPr>
            <w:r w:rsidRPr="00890249">
              <w:rPr>
                <w:rFonts w:asciiTheme="minorHAnsi" w:hAnsiTheme="minorHAnsi" w:cstheme="minorHAnsi"/>
                <w:i/>
                <w:iCs/>
                <w:noProof/>
                <w:sz w:val="18"/>
                <w:szCs w:val="18"/>
              </w:rPr>
              <w:t>sz</w:t>
            </w:r>
            <w:r w:rsidR="5623D82C" w:rsidRPr="00890249">
              <w:rPr>
                <w:rFonts w:asciiTheme="minorHAnsi" w:hAnsiTheme="minorHAnsi" w:cstheme="minorHAnsi"/>
                <w:i/>
                <w:iCs/>
                <w:noProof/>
                <w:sz w:val="18"/>
                <w:szCs w:val="18"/>
              </w:rPr>
              <w:t>t.</w:t>
            </w:r>
          </w:p>
        </w:tc>
        <w:tc>
          <w:tcPr>
            <w:tcW w:w="1134" w:type="dxa"/>
            <w:shd w:val="clear" w:color="auto" w:fill="auto"/>
            <w:vAlign w:val="center"/>
          </w:tcPr>
          <w:p w14:paraId="012D5195" w14:textId="77777777" w:rsidR="18317E1B" w:rsidRPr="00890249" w:rsidRDefault="00875C92" w:rsidP="18317E1B">
            <w:pPr>
              <w:jc w:val="center"/>
              <w:rPr>
                <w:rFonts w:asciiTheme="minorHAnsi" w:hAnsiTheme="minorHAnsi" w:cstheme="minorHAnsi"/>
                <w:noProof/>
                <w:sz w:val="18"/>
                <w:szCs w:val="18"/>
              </w:rPr>
            </w:pPr>
            <w:r w:rsidRPr="00890249">
              <w:rPr>
                <w:rFonts w:asciiTheme="minorHAnsi" w:hAnsiTheme="minorHAnsi" w:cstheme="minorHAnsi"/>
                <w:noProof/>
                <w:sz w:val="18"/>
                <w:szCs w:val="18"/>
              </w:rPr>
              <w:t>0</w:t>
            </w:r>
          </w:p>
        </w:tc>
        <w:tc>
          <w:tcPr>
            <w:tcW w:w="1101" w:type="dxa"/>
            <w:shd w:val="clear" w:color="auto" w:fill="auto"/>
            <w:vAlign w:val="center"/>
          </w:tcPr>
          <w:p w14:paraId="429F7EB8" w14:textId="77777777" w:rsidR="18317E1B" w:rsidRPr="00890249" w:rsidRDefault="00BD54B2" w:rsidP="18317E1B">
            <w:pPr>
              <w:jc w:val="center"/>
              <w:rPr>
                <w:rFonts w:asciiTheme="minorHAnsi" w:hAnsiTheme="minorHAnsi" w:cstheme="minorHAnsi"/>
                <w:noProof/>
                <w:sz w:val="18"/>
                <w:szCs w:val="18"/>
              </w:rPr>
            </w:pPr>
            <w:r w:rsidRPr="00890249">
              <w:rPr>
                <w:rFonts w:asciiTheme="minorHAnsi" w:hAnsiTheme="minorHAnsi" w:cstheme="minorHAnsi"/>
                <w:noProof/>
                <w:sz w:val="18"/>
                <w:szCs w:val="18"/>
              </w:rPr>
              <w:t>1</w:t>
            </w:r>
          </w:p>
        </w:tc>
      </w:tr>
    </w:tbl>
    <w:p w14:paraId="0BE46C48" w14:textId="77777777" w:rsidR="007D5C6D" w:rsidRPr="00890249" w:rsidRDefault="007D5C6D" w:rsidP="003A080C">
      <w:pPr>
        <w:spacing w:before="0" w:after="160" w:line="259" w:lineRule="auto"/>
        <w:jc w:val="left"/>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47"/>
        <w:gridCol w:w="689"/>
        <w:gridCol w:w="1143"/>
        <w:gridCol w:w="770"/>
        <w:gridCol w:w="1375"/>
        <w:gridCol w:w="964"/>
        <w:gridCol w:w="553"/>
        <w:gridCol w:w="593"/>
        <w:gridCol w:w="558"/>
        <w:gridCol w:w="602"/>
        <w:gridCol w:w="551"/>
      </w:tblGrid>
      <w:tr w:rsidR="00BC2FD4" w:rsidRPr="00890249" w14:paraId="7C369A32" w14:textId="77777777" w:rsidTr="18317E1B">
        <w:trPr>
          <w:trHeight w:val="480"/>
        </w:trPr>
        <w:tc>
          <w:tcPr>
            <w:tcW w:w="5000" w:type="pct"/>
            <w:gridSpan w:val="12"/>
            <w:shd w:val="clear" w:color="auto" w:fill="D9D9D9" w:themeFill="background1" w:themeFillShade="D9"/>
          </w:tcPr>
          <w:p w14:paraId="551AB24A"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C2FD4" w:rsidRPr="00890249" w14:paraId="6803E84E" w14:textId="77777777" w:rsidTr="18317E1B">
        <w:trPr>
          <w:cantSplit/>
          <w:trHeight w:val="1768"/>
        </w:trPr>
        <w:tc>
          <w:tcPr>
            <w:tcW w:w="285" w:type="pct"/>
            <w:shd w:val="clear" w:color="auto" w:fill="F2F2F2" w:themeFill="background1" w:themeFillShade="F2"/>
            <w:textDirection w:val="btLr"/>
            <w:vAlign w:val="center"/>
          </w:tcPr>
          <w:p w14:paraId="55C65DC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2" w:type="pct"/>
            <w:shd w:val="clear" w:color="auto" w:fill="F2F2F2" w:themeFill="background1" w:themeFillShade="F2"/>
            <w:textDirection w:val="btLr"/>
            <w:vAlign w:val="center"/>
          </w:tcPr>
          <w:p w14:paraId="3608B7F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0" w:type="pct"/>
            <w:shd w:val="clear" w:color="auto" w:fill="F2F2F2" w:themeFill="background1" w:themeFillShade="F2"/>
            <w:textDirection w:val="btLr"/>
            <w:vAlign w:val="center"/>
          </w:tcPr>
          <w:p w14:paraId="078677AB"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631" w:type="pct"/>
            <w:shd w:val="clear" w:color="auto" w:fill="F2F2F2" w:themeFill="background1" w:themeFillShade="F2"/>
            <w:textDirection w:val="btLr"/>
            <w:vAlign w:val="center"/>
          </w:tcPr>
          <w:p w14:paraId="4CA9950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5" w:type="pct"/>
            <w:shd w:val="clear" w:color="auto" w:fill="F2F2F2" w:themeFill="background1" w:themeFillShade="F2"/>
            <w:textDirection w:val="btLr"/>
            <w:vAlign w:val="center"/>
          </w:tcPr>
          <w:p w14:paraId="20C78A22"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59" w:type="pct"/>
            <w:shd w:val="clear" w:color="auto" w:fill="F2F2F2" w:themeFill="background1" w:themeFillShade="F2"/>
            <w:textDirection w:val="btLr"/>
            <w:vAlign w:val="center"/>
          </w:tcPr>
          <w:p w14:paraId="220B0A9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532" w:type="pct"/>
            <w:shd w:val="clear" w:color="auto" w:fill="F2F2F2" w:themeFill="background1" w:themeFillShade="F2"/>
            <w:textDirection w:val="btLr"/>
            <w:vAlign w:val="center"/>
          </w:tcPr>
          <w:p w14:paraId="1CA27E07"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05" w:type="pct"/>
            <w:shd w:val="clear" w:color="auto" w:fill="F2F2F2" w:themeFill="background1" w:themeFillShade="F2"/>
            <w:textDirection w:val="btLr"/>
            <w:vAlign w:val="center"/>
          </w:tcPr>
          <w:p w14:paraId="20C9A25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7" w:type="pct"/>
            <w:shd w:val="clear" w:color="auto" w:fill="F2F2F2" w:themeFill="background1" w:themeFillShade="F2"/>
            <w:textDirection w:val="btLr"/>
            <w:vAlign w:val="center"/>
          </w:tcPr>
          <w:p w14:paraId="7265CE9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8" w:type="pct"/>
            <w:shd w:val="clear" w:color="auto" w:fill="F2F2F2" w:themeFill="background1" w:themeFillShade="F2"/>
            <w:textDirection w:val="btLr"/>
            <w:vAlign w:val="center"/>
          </w:tcPr>
          <w:p w14:paraId="46B3D27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2" w:type="pct"/>
            <w:shd w:val="clear" w:color="auto" w:fill="F2F2F2" w:themeFill="background1" w:themeFillShade="F2"/>
            <w:textDirection w:val="btLr"/>
            <w:vAlign w:val="center"/>
          </w:tcPr>
          <w:p w14:paraId="7B9E2E6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4" w:type="pct"/>
            <w:shd w:val="clear" w:color="auto" w:fill="F2F2F2" w:themeFill="background1" w:themeFillShade="F2"/>
            <w:textDirection w:val="btLr"/>
            <w:vAlign w:val="center"/>
          </w:tcPr>
          <w:p w14:paraId="7E679D21"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A13182" w:rsidRPr="00890249" w14:paraId="3CF64282" w14:textId="77777777" w:rsidTr="18317E1B">
        <w:trPr>
          <w:trHeight w:val="434"/>
        </w:trPr>
        <w:tc>
          <w:tcPr>
            <w:tcW w:w="285" w:type="pct"/>
            <w:vAlign w:val="center"/>
          </w:tcPr>
          <w:p w14:paraId="78F3F922"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CP2</w:t>
            </w:r>
          </w:p>
        </w:tc>
        <w:tc>
          <w:tcPr>
            <w:tcW w:w="412" w:type="pct"/>
            <w:vAlign w:val="center"/>
          </w:tcPr>
          <w:p w14:paraId="42A996C5"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2.ii</w:t>
            </w:r>
          </w:p>
        </w:tc>
        <w:tc>
          <w:tcPr>
            <w:tcW w:w="380" w:type="pct"/>
            <w:vAlign w:val="center"/>
          </w:tcPr>
          <w:p w14:paraId="7F09E27F"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631" w:type="pct"/>
            <w:vAlign w:val="center"/>
          </w:tcPr>
          <w:p w14:paraId="394327A9"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25" w:type="pct"/>
            <w:vAlign w:val="center"/>
          </w:tcPr>
          <w:p w14:paraId="60554C3E"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RCR</w:t>
            </w:r>
            <w:r w:rsidR="000F221E" w:rsidRPr="00890249">
              <w:rPr>
                <w:rFonts w:asciiTheme="minorHAnsi" w:hAnsiTheme="minorHAnsi" w:cstheme="minorHAnsi"/>
                <w:i/>
                <w:noProof/>
                <w:sz w:val="18"/>
                <w:szCs w:val="16"/>
              </w:rPr>
              <w:t xml:space="preserve"> </w:t>
            </w:r>
            <w:r w:rsidR="00BD54B2" w:rsidRPr="00890249">
              <w:rPr>
                <w:rFonts w:asciiTheme="minorHAnsi" w:hAnsiTheme="minorHAnsi" w:cstheme="minorHAnsi"/>
                <w:i/>
                <w:noProof/>
                <w:sz w:val="18"/>
                <w:szCs w:val="16"/>
              </w:rPr>
              <w:t>0</w:t>
            </w:r>
            <w:r w:rsidRPr="00890249">
              <w:rPr>
                <w:rFonts w:asciiTheme="minorHAnsi" w:hAnsiTheme="minorHAnsi" w:cstheme="minorHAnsi"/>
                <w:i/>
                <w:noProof/>
                <w:sz w:val="18"/>
                <w:szCs w:val="16"/>
              </w:rPr>
              <w:t>31</w:t>
            </w:r>
          </w:p>
        </w:tc>
        <w:tc>
          <w:tcPr>
            <w:tcW w:w="759" w:type="pct"/>
            <w:shd w:val="clear" w:color="auto" w:fill="auto"/>
            <w:vAlign w:val="center"/>
          </w:tcPr>
          <w:p w14:paraId="435ADC29" w14:textId="77777777" w:rsidR="00A13182" w:rsidRPr="00890249" w:rsidRDefault="00A13182" w:rsidP="00A13182">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Wytworzona energia odnawialna ogółem (w tym: energia elektryczna, energia cieplna)</w:t>
            </w:r>
          </w:p>
        </w:tc>
        <w:tc>
          <w:tcPr>
            <w:tcW w:w="532" w:type="pct"/>
            <w:vAlign w:val="center"/>
          </w:tcPr>
          <w:p w14:paraId="0FBCF17B"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MWh/rok</w:t>
            </w:r>
          </w:p>
        </w:tc>
        <w:tc>
          <w:tcPr>
            <w:tcW w:w="305" w:type="pct"/>
            <w:vAlign w:val="center"/>
          </w:tcPr>
          <w:p w14:paraId="5E88B454" w14:textId="77777777" w:rsidR="00A13182" w:rsidRPr="00890249" w:rsidRDefault="008374CE" w:rsidP="00A13182">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27" w:type="pct"/>
            <w:vAlign w:val="center"/>
          </w:tcPr>
          <w:p w14:paraId="3D7AE0A5" w14:textId="77777777" w:rsidR="00A13182" w:rsidRPr="00890249" w:rsidRDefault="00624F0D" w:rsidP="00A13182">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8" w:type="pct"/>
            <w:shd w:val="clear" w:color="auto" w:fill="auto"/>
            <w:vAlign w:val="center"/>
          </w:tcPr>
          <w:p w14:paraId="2E08E386" w14:textId="77777777" w:rsidR="00A13182" w:rsidRPr="00890249" w:rsidRDefault="0025269D" w:rsidP="00A13182">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27 000</w:t>
            </w:r>
          </w:p>
        </w:tc>
        <w:tc>
          <w:tcPr>
            <w:tcW w:w="332" w:type="pct"/>
            <w:shd w:val="clear" w:color="auto" w:fill="auto"/>
            <w:vAlign w:val="center"/>
          </w:tcPr>
          <w:p w14:paraId="260D4D65" w14:textId="77777777" w:rsidR="00A13182" w:rsidRPr="00890249" w:rsidRDefault="008374CE" w:rsidP="00A13182">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4" w:type="pct"/>
            <w:vAlign w:val="center"/>
          </w:tcPr>
          <w:p w14:paraId="675EDAA1" w14:textId="77777777" w:rsidR="00A13182" w:rsidRPr="00890249" w:rsidRDefault="008374CE" w:rsidP="00A13182">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BD54B2" w:rsidRPr="00890249" w14:paraId="20D402D1" w14:textId="77777777" w:rsidTr="00890249">
        <w:trPr>
          <w:trHeight w:val="434"/>
        </w:trPr>
        <w:tc>
          <w:tcPr>
            <w:tcW w:w="285" w:type="pct"/>
            <w:vAlign w:val="center"/>
          </w:tcPr>
          <w:p w14:paraId="4E623DE8" w14:textId="77777777" w:rsidR="00BD54B2" w:rsidRPr="00890249" w:rsidRDefault="00BD54B2" w:rsidP="00BD54B2">
            <w:pPr>
              <w:jc w:val="center"/>
              <w:rPr>
                <w:rFonts w:asciiTheme="minorHAnsi" w:hAnsiTheme="minorHAnsi" w:cstheme="minorHAnsi"/>
                <w:i/>
                <w:iCs/>
                <w:noProof/>
                <w:sz w:val="18"/>
                <w:szCs w:val="18"/>
              </w:rPr>
            </w:pPr>
            <w:r w:rsidRPr="00890249">
              <w:rPr>
                <w:rFonts w:asciiTheme="minorHAnsi" w:hAnsiTheme="minorHAnsi" w:cstheme="minorHAnsi"/>
                <w:i/>
                <w:noProof/>
                <w:sz w:val="18"/>
                <w:szCs w:val="16"/>
              </w:rPr>
              <w:t>CP2</w:t>
            </w:r>
          </w:p>
        </w:tc>
        <w:tc>
          <w:tcPr>
            <w:tcW w:w="412" w:type="pct"/>
            <w:vAlign w:val="center"/>
          </w:tcPr>
          <w:p w14:paraId="29EDCE77" w14:textId="77777777" w:rsidR="00BD54B2" w:rsidRPr="00890249" w:rsidRDefault="00BD54B2" w:rsidP="00BD54B2">
            <w:pPr>
              <w:jc w:val="center"/>
              <w:rPr>
                <w:rFonts w:asciiTheme="minorHAnsi" w:hAnsiTheme="minorHAnsi" w:cstheme="minorHAnsi"/>
                <w:i/>
                <w:iCs/>
                <w:noProof/>
                <w:sz w:val="18"/>
                <w:szCs w:val="18"/>
              </w:rPr>
            </w:pPr>
            <w:r w:rsidRPr="00890249">
              <w:rPr>
                <w:rFonts w:asciiTheme="minorHAnsi" w:hAnsiTheme="minorHAnsi" w:cstheme="minorHAnsi"/>
                <w:i/>
                <w:noProof/>
                <w:sz w:val="18"/>
                <w:szCs w:val="16"/>
              </w:rPr>
              <w:t>2.ii</w:t>
            </w:r>
          </w:p>
        </w:tc>
        <w:tc>
          <w:tcPr>
            <w:tcW w:w="380" w:type="pct"/>
            <w:vAlign w:val="center"/>
          </w:tcPr>
          <w:p w14:paraId="23167543" w14:textId="77777777" w:rsidR="00BD54B2" w:rsidRPr="00890249" w:rsidRDefault="00BD54B2" w:rsidP="00BD54B2">
            <w:pPr>
              <w:jc w:val="center"/>
              <w:rPr>
                <w:rFonts w:asciiTheme="minorHAnsi" w:hAnsiTheme="minorHAnsi" w:cstheme="minorHAnsi"/>
                <w:i/>
                <w:iCs/>
                <w:noProof/>
                <w:sz w:val="18"/>
                <w:szCs w:val="18"/>
              </w:rPr>
            </w:pPr>
            <w:r w:rsidRPr="00890249">
              <w:rPr>
                <w:rFonts w:asciiTheme="minorHAnsi" w:hAnsiTheme="minorHAnsi" w:cstheme="minorHAnsi"/>
                <w:i/>
                <w:noProof/>
                <w:sz w:val="18"/>
                <w:szCs w:val="16"/>
              </w:rPr>
              <w:t>EFRR</w:t>
            </w:r>
          </w:p>
        </w:tc>
        <w:tc>
          <w:tcPr>
            <w:tcW w:w="631" w:type="pct"/>
            <w:vAlign w:val="center"/>
          </w:tcPr>
          <w:p w14:paraId="2F9D5080" w14:textId="77777777" w:rsidR="00BD54B2" w:rsidRPr="00890249" w:rsidRDefault="00BD54B2" w:rsidP="00BD54B2">
            <w:pPr>
              <w:jc w:val="center"/>
              <w:rPr>
                <w:rFonts w:asciiTheme="minorHAnsi" w:eastAsia="Times New Roman" w:hAnsiTheme="minorHAnsi" w:cstheme="minorHAnsi"/>
                <w:noProof/>
                <w:sz w:val="18"/>
                <w:szCs w:val="18"/>
              </w:rPr>
            </w:pPr>
            <w:r w:rsidRPr="00890249">
              <w:rPr>
                <w:rFonts w:asciiTheme="minorHAnsi" w:eastAsia="Times New Roman" w:hAnsiTheme="minorHAnsi" w:cstheme="minorHAnsi"/>
                <w:iCs/>
                <w:noProof/>
                <w:sz w:val="18"/>
              </w:rPr>
              <w:t>Słabiej rozwinięte</w:t>
            </w:r>
          </w:p>
        </w:tc>
        <w:tc>
          <w:tcPr>
            <w:tcW w:w="425" w:type="pct"/>
            <w:vAlign w:val="center"/>
          </w:tcPr>
          <w:p w14:paraId="41260B14" w14:textId="22CBD904" w:rsidR="00B72154" w:rsidRPr="00890249" w:rsidRDefault="00875C92" w:rsidP="00890249">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 xml:space="preserve">RCR032 </w:t>
            </w:r>
          </w:p>
        </w:tc>
        <w:tc>
          <w:tcPr>
            <w:tcW w:w="759" w:type="pct"/>
            <w:shd w:val="clear" w:color="auto" w:fill="auto"/>
            <w:vAlign w:val="center"/>
          </w:tcPr>
          <w:p w14:paraId="6B83CA2A" w14:textId="77777777" w:rsidR="00BD54B2" w:rsidRPr="00890249" w:rsidRDefault="00BD54B2" w:rsidP="00BD54B2">
            <w:pPr>
              <w:jc w:val="left"/>
              <w:rPr>
                <w:rFonts w:asciiTheme="minorHAnsi" w:hAnsiTheme="minorHAnsi" w:cstheme="minorHAnsi"/>
                <w:noProof/>
                <w:sz w:val="18"/>
                <w:szCs w:val="18"/>
              </w:rPr>
            </w:pPr>
            <w:r w:rsidRPr="00890249">
              <w:rPr>
                <w:rFonts w:asciiTheme="minorHAnsi" w:hAnsiTheme="minorHAnsi" w:cstheme="minorHAnsi"/>
                <w:noProof/>
                <w:sz w:val="18"/>
                <w:szCs w:val="18"/>
              </w:rPr>
              <w:t>Dodatkowa moc zainstalowana odnawialnych źródeł energii</w:t>
            </w:r>
          </w:p>
        </w:tc>
        <w:tc>
          <w:tcPr>
            <w:tcW w:w="532" w:type="pct"/>
            <w:vAlign w:val="center"/>
          </w:tcPr>
          <w:p w14:paraId="39EFAD89" w14:textId="77777777" w:rsidR="00BD54B2" w:rsidRPr="00890249" w:rsidRDefault="00042578" w:rsidP="00BD54B2">
            <w:pPr>
              <w:jc w:val="center"/>
              <w:rPr>
                <w:rFonts w:asciiTheme="minorHAnsi" w:hAnsiTheme="minorHAnsi" w:cstheme="minorHAnsi"/>
                <w:i/>
                <w:iCs/>
                <w:noProof/>
                <w:sz w:val="18"/>
                <w:szCs w:val="18"/>
              </w:rPr>
            </w:pPr>
            <w:r w:rsidRPr="00890249">
              <w:rPr>
                <w:rFonts w:asciiTheme="minorHAnsi" w:hAnsiTheme="minorHAnsi" w:cstheme="minorHAnsi"/>
                <w:i/>
                <w:iCs/>
                <w:noProof/>
                <w:sz w:val="18"/>
                <w:szCs w:val="18"/>
              </w:rPr>
              <w:t>MW</w:t>
            </w:r>
          </w:p>
        </w:tc>
        <w:tc>
          <w:tcPr>
            <w:tcW w:w="305" w:type="pct"/>
            <w:vAlign w:val="center"/>
          </w:tcPr>
          <w:p w14:paraId="3AE13969" w14:textId="77777777" w:rsidR="00BD54B2" w:rsidRPr="00890249" w:rsidRDefault="00042578" w:rsidP="00BD54B2">
            <w:pPr>
              <w:jc w:val="center"/>
              <w:rPr>
                <w:rFonts w:asciiTheme="minorHAnsi" w:hAnsiTheme="minorHAnsi" w:cstheme="minorHAnsi"/>
                <w:noProof/>
                <w:sz w:val="18"/>
                <w:szCs w:val="18"/>
                <w:lang w:eastAsia="en-US" w:bidi="ar-SA"/>
              </w:rPr>
            </w:pPr>
            <w:r w:rsidRPr="00890249">
              <w:rPr>
                <w:rFonts w:asciiTheme="minorHAnsi" w:hAnsiTheme="minorHAnsi" w:cstheme="minorHAnsi"/>
                <w:noProof/>
                <w:sz w:val="18"/>
                <w:szCs w:val="18"/>
                <w:lang w:eastAsia="en-US" w:bidi="ar-SA"/>
              </w:rPr>
              <w:t>nd</w:t>
            </w:r>
          </w:p>
        </w:tc>
        <w:tc>
          <w:tcPr>
            <w:tcW w:w="327" w:type="pct"/>
            <w:vAlign w:val="center"/>
          </w:tcPr>
          <w:p w14:paraId="6D644669" w14:textId="77777777" w:rsidR="00BD54B2" w:rsidRPr="00890249" w:rsidRDefault="00042578" w:rsidP="00BD54B2">
            <w:pPr>
              <w:jc w:val="center"/>
              <w:rPr>
                <w:rFonts w:asciiTheme="minorHAnsi" w:hAnsiTheme="minorHAnsi" w:cstheme="minorHAnsi"/>
                <w:noProof/>
                <w:sz w:val="18"/>
                <w:szCs w:val="18"/>
                <w:lang w:eastAsia="en-US" w:bidi="ar-SA"/>
              </w:rPr>
            </w:pPr>
            <w:r w:rsidRPr="00890249">
              <w:rPr>
                <w:rFonts w:asciiTheme="minorHAnsi" w:hAnsiTheme="minorHAnsi" w:cstheme="minorHAnsi"/>
                <w:noProof/>
                <w:sz w:val="18"/>
                <w:szCs w:val="18"/>
                <w:lang w:eastAsia="en-US" w:bidi="ar-SA"/>
              </w:rPr>
              <w:t>nd</w:t>
            </w:r>
          </w:p>
        </w:tc>
        <w:tc>
          <w:tcPr>
            <w:tcW w:w="308" w:type="pct"/>
            <w:shd w:val="clear" w:color="auto" w:fill="auto"/>
            <w:vAlign w:val="center"/>
          </w:tcPr>
          <w:p w14:paraId="3AEE1F1C" w14:textId="77777777" w:rsidR="00BD54B2" w:rsidRPr="00890249" w:rsidRDefault="00042578" w:rsidP="00BD54B2">
            <w:pPr>
              <w:jc w:val="center"/>
              <w:rPr>
                <w:rFonts w:asciiTheme="minorHAnsi" w:hAnsiTheme="minorHAnsi" w:cstheme="minorHAnsi"/>
                <w:noProof/>
                <w:sz w:val="18"/>
                <w:szCs w:val="18"/>
                <w:lang w:eastAsia="en-US" w:bidi="ar-SA"/>
              </w:rPr>
            </w:pPr>
            <w:r w:rsidRPr="00890249">
              <w:rPr>
                <w:rFonts w:asciiTheme="minorHAnsi" w:hAnsiTheme="minorHAnsi" w:cstheme="minorHAnsi"/>
                <w:noProof/>
                <w:sz w:val="18"/>
                <w:szCs w:val="18"/>
                <w:lang w:eastAsia="en-US" w:bidi="ar-SA"/>
              </w:rPr>
              <w:t>30</w:t>
            </w:r>
          </w:p>
        </w:tc>
        <w:tc>
          <w:tcPr>
            <w:tcW w:w="332" w:type="pct"/>
            <w:shd w:val="clear" w:color="auto" w:fill="auto"/>
            <w:vAlign w:val="center"/>
          </w:tcPr>
          <w:p w14:paraId="5C2C3D7A" w14:textId="77777777" w:rsidR="00B72154" w:rsidRPr="00890249" w:rsidRDefault="00042578" w:rsidP="00890249">
            <w:pPr>
              <w:spacing w:after="0" w:line="480" w:lineRule="auto"/>
              <w:jc w:val="center"/>
              <w:rPr>
                <w:rFonts w:asciiTheme="minorHAnsi" w:hAnsiTheme="minorHAnsi" w:cstheme="minorHAnsi"/>
                <w:noProof/>
                <w:sz w:val="18"/>
                <w:szCs w:val="18"/>
                <w:lang w:eastAsia="en-US" w:bidi="ar-SA"/>
              </w:rPr>
            </w:pPr>
            <w:r w:rsidRPr="00890249">
              <w:rPr>
                <w:rFonts w:asciiTheme="minorHAnsi" w:hAnsiTheme="minorHAnsi" w:cstheme="minorHAnsi"/>
                <w:noProof/>
                <w:sz w:val="18"/>
                <w:szCs w:val="18"/>
                <w:lang w:eastAsia="en-US" w:bidi="ar-SA"/>
              </w:rPr>
              <w:t>IZ</w:t>
            </w:r>
          </w:p>
        </w:tc>
        <w:tc>
          <w:tcPr>
            <w:tcW w:w="304" w:type="pct"/>
            <w:vAlign w:val="center"/>
          </w:tcPr>
          <w:p w14:paraId="283F5607" w14:textId="77777777" w:rsidR="00BD54B2" w:rsidRPr="00890249" w:rsidRDefault="00042578" w:rsidP="00BD54B2">
            <w:pPr>
              <w:jc w:val="center"/>
              <w:rPr>
                <w:rFonts w:asciiTheme="minorHAnsi" w:hAnsiTheme="minorHAnsi" w:cstheme="minorHAnsi"/>
                <w:noProof/>
                <w:sz w:val="18"/>
                <w:szCs w:val="18"/>
              </w:rPr>
            </w:pPr>
            <w:r w:rsidRPr="00890249">
              <w:rPr>
                <w:rFonts w:asciiTheme="minorHAnsi" w:hAnsiTheme="minorHAnsi" w:cstheme="minorHAnsi"/>
                <w:noProof/>
                <w:sz w:val="18"/>
                <w:szCs w:val="18"/>
              </w:rPr>
              <w:t>nd</w:t>
            </w:r>
          </w:p>
        </w:tc>
      </w:tr>
    </w:tbl>
    <w:p w14:paraId="41FDA141" w14:textId="77777777" w:rsidR="003261C4" w:rsidRPr="00890249" w:rsidRDefault="003261C4" w:rsidP="003261C4">
      <w:pPr>
        <w:spacing w:before="240" w:after="240"/>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2.1.2.2.3 (ii) Orientacyjny podział zasobów programu (UE) według rodzaju interwencji</w:t>
      </w:r>
    </w:p>
    <w:tbl>
      <w:tblPr>
        <w:tblStyle w:val="Tabela-Siatka"/>
        <w:tblW w:w="0" w:type="auto"/>
        <w:tblLook w:val="04A0" w:firstRow="1" w:lastRow="0" w:firstColumn="1" w:lastColumn="0" w:noHBand="0" w:noVBand="1"/>
      </w:tblPr>
      <w:tblGrid>
        <w:gridCol w:w="1518"/>
        <w:gridCol w:w="1036"/>
        <w:gridCol w:w="1652"/>
        <w:gridCol w:w="1583"/>
        <w:gridCol w:w="1315"/>
        <w:gridCol w:w="1957"/>
      </w:tblGrid>
      <w:tr w:rsidR="00AF2C9E" w:rsidRPr="00890249" w14:paraId="1BF096DD" w14:textId="77777777" w:rsidTr="000B2721">
        <w:trPr>
          <w:trHeight w:val="360"/>
          <w:tblHeader/>
        </w:trPr>
        <w:tc>
          <w:tcPr>
            <w:tcW w:w="9288" w:type="dxa"/>
            <w:gridSpan w:val="6"/>
            <w:shd w:val="clear" w:color="auto" w:fill="D9D9D9" w:themeFill="background1" w:themeFillShade="D9"/>
          </w:tcPr>
          <w:p w14:paraId="05F826AE" w14:textId="77777777" w:rsidR="00AF2C9E" w:rsidRPr="00890249" w:rsidRDefault="00AF2C9E" w:rsidP="00AF2C9E">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Tabela 4: Wymiar 1 – zakres interwencji</w:t>
            </w:r>
          </w:p>
        </w:tc>
      </w:tr>
      <w:tr w:rsidR="00AF2C9E" w:rsidRPr="00890249" w14:paraId="7C096DA5" w14:textId="77777777" w:rsidTr="000B2721">
        <w:trPr>
          <w:tblHeader/>
        </w:trPr>
        <w:tc>
          <w:tcPr>
            <w:tcW w:w="1599" w:type="dxa"/>
            <w:shd w:val="clear" w:color="auto" w:fill="F2F2F2" w:themeFill="background1" w:themeFillShade="F2"/>
          </w:tcPr>
          <w:p w14:paraId="77D851DB"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40C939E4"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02BEB912"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69CEA7D3"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38094403"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56830952"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31D37" w:rsidRPr="00890249" w14:paraId="74FFF65D" w14:textId="77777777" w:rsidTr="00182923">
        <w:trPr>
          <w:trHeight w:val="154"/>
        </w:trPr>
        <w:tc>
          <w:tcPr>
            <w:tcW w:w="1599" w:type="dxa"/>
            <w:vMerge w:val="restart"/>
            <w:vAlign w:val="center"/>
          </w:tcPr>
          <w:p w14:paraId="10C05180" w14:textId="77777777" w:rsidR="00531D37" w:rsidRPr="00890249" w:rsidRDefault="00531D37" w:rsidP="003A509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Merge w:val="restart"/>
            <w:vAlign w:val="center"/>
          </w:tcPr>
          <w:p w14:paraId="3D034709" w14:textId="77777777" w:rsidR="00531D37" w:rsidRPr="00890249" w:rsidRDefault="00531D37" w:rsidP="003A509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Merge w:val="restart"/>
            <w:vAlign w:val="center"/>
          </w:tcPr>
          <w:p w14:paraId="41C8EC33" w14:textId="77777777" w:rsidR="00531D37" w:rsidRPr="00890249" w:rsidRDefault="00531D37" w:rsidP="003A509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vMerge w:val="restart"/>
            <w:vAlign w:val="center"/>
          </w:tcPr>
          <w:p w14:paraId="541A48C0" w14:textId="77777777" w:rsidR="00531D37" w:rsidRPr="00890249" w:rsidRDefault="00531D37" w:rsidP="003A509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53" w:type="dxa"/>
          </w:tcPr>
          <w:p w14:paraId="0F65E0FE" w14:textId="01512142"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047</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 xml:space="preserve">Energia odnawialna: wiatrowa </w:t>
            </w:r>
          </w:p>
        </w:tc>
        <w:tc>
          <w:tcPr>
            <w:tcW w:w="2175" w:type="dxa"/>
          </w:tcPr>
          <w:p w14:paraId="527531AF" w14:textId="20759A4D" w:rsidR="00531D37" w:rsidRPr="00890249" w:rsidRDefault="00B516B2" w:rsidP="00AF2C9E">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2 000 000</w:t>
            </w:r>
          </w:p>
        </w:tc>
      </w:tr>
      <w:tr w:rsidR="00B516B2" w:rsidRPr="00890249" w14:paraId="4985797A" w14:textId="77777777" w:rsidTr="00182923">
        <w:trPr>
          <w:trHeight w:val="154"/>
        </w:trPr>
        <w:tc>
          <w:tcPr>
            <w:tcW w:w="1599" w:type="dxa"/>
            <w:vMerge/>
            <w:vAlign w:val="center"/>
          </w:tcPr>
          <w:p w14:paraId="1A9B4E4A" w14:textId="77777777" w:rsidR="00B516B2" w:rsidRPr="00890249" w:rsidRDefault="00B516B2" w:rsidP="00B516B2">
            <w:pPr>
              <w:jc w:val="center"/>
              <w:rPr>
                <w:rFonts w:asciiTheme="minorHAnsi" w:eastAsia="Times New Roman" w:hAnsiTheme="minorHAnsi" w:cstheme="minorHAnsi"/>
                <w:iCs/>
                <w:noProof/>
                <w:sz w:val="20"/>
              </w:rPr>
            </w:pPr>
          </w:p>
        </w:tc>
        <w:tc>
          <w:tcPr>
            <w:tcW w:w="1061" w:type="dxa"/>
            <w:vMerge/>
            <w:vAlign w:val="center"/>
          </w:tcPr>
          <w:p w14:paraId="53173424" w14:textId="77777777" w:rsidR="00B516B2" w:rsidRPr="00890249" w:rsidRDefault="00B516B2" w:rsidP="00B516B2">
            <w:pPr>
              <w:jc w:val="center"/>
              <w:rPr>
                <w:rFonts w:asciiTheme="minorHAnsi" w:eastAsia="Times New Roman" w:hAnsiTheme="minorHAnsi" w:cstheme="minorHAnsi"/>
                <w:iCs/>
                <w:noProof/>
                <w:sz w:val="20"/>
              </w:rPr>
            </w:pPr>
          </w:p>
        </w:tc>
        <w:tc>
          <w:tcPr>
            <w:tcW w:w="1756" w:type="dxa"/>
            <w:vMerge/>
            <w:vAlign w:val="center"/>
          </w:tcPr>
          <w:p w14:paraId="3C3818F4" w14:textId="77777777" w:rsidR="00B516B2" w:rsidRPr="00890249" w:rsidRDefault="00B516B2" w:rsidP="00B516B2">
            <w:pPr>
              <w:jc w:val="center"/>
              <w:rPr>
                <w:rFonts w:asciiTheme="minorHAnsi" w:eastAsia="Times New Roman" w:hAnsiTheme="minorHAnsi" w:cstheme="minorHAnsi"/>
                <w:iCs/>
                <w:noProof/>
                <w:sz w:val="20"/>
              </w:rPr>
            </w:pPr>
          </w:p>
        </w:tc>
        <w:tc>
          <w:tcPr>
            <w:tcW w:w="1644" w:type="dxa"/>
            <w:vMerge/>
            <w:vAlign w:val="center"/>
          </w:tcPr>
          <w:p w14:paraId="4F22143E" w14:textId="77777777" w:rsidR="00B516B2" w:rsidRPr="00890249" w:rsidRDefault="00B516B2" w:rsidP="00B516B2">
            <w:pPr>
              <w:jc w:val="center"/>
              <w:rPr>
                <w:rFonts w:asciiTheme="minorHAnsi" w:eastAsia="Times New Roman" w:hAnsiTheme="minorHAnsi" w:cstheme="minorHAnsi"/>
                <w:iCs/>
                <w:noProof/>
                <w:sz w:val="20"/>
              </w:rPr>
            </w:pPr>
          </w:p>
        </w:tc>
        <w:tc>
          <w:tcPr>
            <w:tcW w:w="1053" w:type="dxa"/>
          </w:tcPr>
          <w:p w14:paraId="696F72ED"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048</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 xml:space="preserve">Energia odnawialna: słoneczna </w:t>
            </w:r>
          </w:p>
        </w:tc>
        <w:tc>
          <w:tcPr>
            <w:tcW w:w="2175" w:type="dxa"/>
          </w:tcPr>
          <w:p w14:paraId="7398D738" w14:textId="77777777" w:rsidR="00B516B2" w:rsidRPr="00890249" w:rsidRDefault="00B516B2" w:rsidP="00B516B2">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14 000 000</w:t>
            </w:r>
          </w:p>
        </w:tc>
      </w:tr>
      <w:tr w:rsidR="00B516B2" w:rsidRPr="00890249" w14:paraId="7C73A16D" w14:textId="77777777" w:rsidTr="00182923">
        <w:trPr>
          <w:trHeight w:val="233"/>
        </w:trPr>
        <w:tc>
          <w:tcPr>
            <w:tcW w:w="1599" w:type="dxa"/>
            <w:vMerge/>
          </w:tcPr>
          <w:p w14:paraId="20921A29" w14:textId="77777777" w:rsidR="00B516B2" w:rsidRPr="00890249" w:rsidRDefault="00B516B2" w:rsidP="00B516B2">
            <w:pPr>
              <w:jc w:val="center"/>
              <w:rPr>
                <w:rFonts w:asciiTheme="minorHAnsi" w:eastAsia="Times New Roman" w:hAnsiTheme="minorHAnsi" w:cstheme="minorHAnsi"/>
                <w:iCs/>
                <w:noProof/>
                <w:sz w:val="20"/>
              </w:rPr>
            </w:pPr>
          </w:p>
        </w:tc>
        <w:tc>
          <w:tcPr>
            <w:tcW w:w="1061" w:type="dxa"/>
            <w:vMerge/>
          </w:tcPr>
          <w:p w14:paraId="20024C65" w14:textId="77777777" w:rsidR="00B516B2" w:rsidRPr="00890249" w:rsidRDefault="00B516B2" w:rsidP="00B516B2">
            <w:pPr>
              <w:jc w:val="center"/>
              <w:rPr>
                <w:rFonts w:asciiTheme="minorHAnsi" w:eastAsia="Times New Roman" w:hAnsiTheme="minorHAnsi" w:cstheme="minorHAnsi"/>
                <w:iCs/>
                <w:noProof/>
                <w:sz w:val="20"/>
              </w:rPr>
            </w:pPr>
          </w:p>
        </w:tc>
        <w:tc>
          <w:tcPr>
            <w:tcW w:w="1756" w:type="dxa"/>
            <w:vMerge/>
          </w:tcPr>
          <w:p w14:paraId="13398CB2" w14:textId="77777777" w:rsidR="00B516B2" w:rsidRPr="00890249" w:rsidRDefault="00B516B2" w:rsidP="00B516B2">
            <w:pPr>
              <w:jc w:val="center"/>
              <w:rPr>
                <w:rFonts w:asciiTheme="minorHAnsi" w:eastAsia="Times New Roman" w:hAnsiTheme="minorHAnsi" w:cstheme="minorHAnsi"/>
                <w:iCs/>
                <w:noProof/>
                <w:sz w:val="20"/>
              </w:rPr>
            </w:pPr>
          </w:p>
        </w:tc>
        <w:tc>
          <w:tcPr>
            <w:tcW w:w="1644" w:type="dxa"/>
            <w:vMerge/>
          </w:tcPr>
          <w:p w14:paraId="21D73F84" w14:textId="77777777" w:rsidR="00B516B2" w:rsidRPr="00890249" w:rsidRDefault="00B516B2" w:rsidP="00B516B2">
            <w:pPr>
              <w:jc w:val="center"/>
              <w:rPr>
                <w:rFonts w:asciiTheme="minorHAnsi" w:eastAsia="Times New Roman" w:hAnsiTheme="minorHAnsi" w:cstheme="minorHAnsi"/>
                <w:iCs/>
                <w:noProof/>
                <w:sz w:val="20"/>
              </w:rPr>
            </w:pPr>
          </w:p>
        </w:tc>
        <w:tc>
          <w:tcPr>
            <w:tcW w:w="1053" w:type="dxa"/>
          </w:tcPr>
          <w:p w14:paraId="59AC5CEE"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049</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Energia odnawialna: biomasa</w:t>
            </w:r>
          </w:p>
        </w:tc>
        <w:tc>
          <w:tcPr>
            <w:tcW w:w="2175" w:type="dxa"/>
          </w:tcPr>
          <w:p w14:paraId="4475F638" w14:textId="77777777" w:rsidR="00B516B2" w:rsidRPr="00890249" w:rsidRDefault="00B516B2" w:rsidP="00B516B2">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2 000 000</w:t>
            </w:r>
          </w:p>
        </w:tc>
      </w:tr>
      <w:tr w:rsidR="00B516B2" w:rsidRPr="00890249" w14:paraId="1CD80942" w14:textId="77777777" w:rsidTr="00531D37">
        <w:trPr>
          <w:trHeight w:val="380"/>
        </w:trPr>
        <w:tc>
          <w:tcPr>
            <w:tcW w:w="1599" w:type="dxa"/>
            <w:vMerge/>
          </w:tcPr>
          <w:p w14:paraId="7B04BFB1" w14:textId="77777777" w:rsidR="00B516B2" w:rsidRPr="00890249" w:rsidRDefault="00B516B2" w:rsidP="00B516B2">
            <w:pPr>
              <w:jc w:val="center"/>
              <w:rPr>
                <w:rFonts w:asciiTheme="minorHAnsi" w:eastAsia="Times New Roman" w:hAnsiTheme="minorHAnsi" w:cstheme="minorHAnsi"/>
                <w:iCs/>
                <w:noProof/>
                <w:sz w:val="20"/>
              </w:rPr>
            </w:pPr>
          </w:p>
        </w:tc>
        <w:tc>
          <w:tcPr>
            <w:tcW w:w="1061" w:type="dxa"/>
            <w:vMerge/>
          </w:tcPr>
          <w:p w14:paraId="003AD520" w14:textId="77777777" w:rsidR="00B516B2" w:rsidRPr="00890249" w:rsidRDefault="00B516B2" w:rsidP="00B516B2">
            <w:pPr>
              <w:jc w:val="center"/>
              <w:rPr>
                <w:rFonts w:asciiTheme="minorHAnsi" w:eastAsia="Times New Roman" w:hAnsiTheme="minorHAnsi" w:cstheme="minorHAnsi"/>
                <w:iCs/>
                <w:noProof/>
                <w:sz w:val="20"/>
              </w:rPr>
            </w:pPr>
          </w:p>
        </w:tc>
        <w:tc>
          <w:tcPr>
            <w:tcW w:w="1756" w:type="dxa"/>
            <w:vMerge/>
          </w:tcPr>
          <w:p w14:paraId="6C0EEEC9" w14:textId="77777777" w:rsidR="00B516B2" w:rsidRPr="00890249" w:rsidRDefault="00B516B2" w:rsidP="00B516B2">
            <w:pPr>
              <w:jc w:val="center"/>
              <w:rPr>
                <w:rFonts w:asciiTheme="minorHAnsi" w:eastAsia="Times New Roman" w:hAnsiTheme="minorHAnsi" w:cstheme="minorHAnsi"/>
                <w:iCs/>
                <w:noProof/>
                <w:sz w:val="20"/>
              </w:rPr>
            </w:pPr>
          </w:p>
        </w:tc>
        <w:tc>
          <w:tcPr>
            <w:tcW w:w="1644" w:type="dxa"/>
            <w:vMerge/>
          </w:tcPr>
          <w:p w14:paraId="13EB7DC6" w14:textId="77777777" w:rsidR="00B516B2" w:rsidRPr="00890249" w:rsidRDefault="00B516B2" w:rsidP="00B516B2">
            <w:pPr>
              <w:jc w:val="center"/>
              <w:rPr>
                <w:rFonts w:asciiTheme="minorHAnsi" w:eastAsia="Times New Roman" w:hAnsiTheme="minorHAnsi" w:cstheme="minorHAnsi"/>
                <w:iCs/>
                <w:noProof/>
                <w:sz w:val="20"/>
              </w:rPr>
            </w:pPr>
          </w:p>
        </w:tc>
        <w:tc>
          <w:tcPr>
            <w:tcW w:w="1053" w:type="dxa"/>
          </w:tcPr>
          <w:p w14:paraId="4C44D43E"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052</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 xml:space="preserve">Inne rodzaje energii odnawialnej (w tym energia geotermalna) </w:t>
            </w:r>
          </w:p>
        </w:tc>
        <w:tc>
          <w:tcPr>
            <w:tcW w:w="2175" w:type="dxa"/>
          </w:tcPr>
          <w:p w14:paraId="078F3B06" w14:textId="77777777" w:rsidR="00B516B2" w:rsidRPr="00890249" w:rsidRDefault="00B516B2" w:rsidP="00B516B2">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2 000 000</w:t>
            </w:r>
          </w:p>
        </w:tc>
      </w:tr>
    </w:tbl>
    <w:p w14:paraId="26E7E5AC" w14:textId="77777777" w:rsidR="00AF2C9E" w:rsidRPr="00890249" w:rsidRDefault="00AF2C9E" w:rsidP="001665A2">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26"/>
        <w:gridCol w:w="1039"/>
        <w:gridCol w:w="1665"/>
        <w:gridCol w:w="1591"/>
        <w:gridCol w:w="1255"/>
        <w:gridCol w:w="1985"/>
      </w:tblGrid>
      <w:tr w:rsidR="00AF2C9E" w:rsidRPr="00890249" w14:paraId="4A032881" w14:textId="77777777" w:rsidTr="004F6B6D">
        <w:tc>
          <w:tcPr>
            <w:tcW w:w="9287" w:type="dxa"/>
            <w:gridSpan w:val="6"/>
            <w:shd w:val="clear" w:color="auto" w:fill="D9D9D9" w:themeFill="background1" w:themeFillShade="D9"/>
          </w:tcPr>
          <w:p w14:paraId="2962AFE8" w14:textId="77777777" w:rsidR="00AF2C9E" w:rsidRPr="00890249" w:rsidRDefault="00AF2C9E"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AF2C9E" w:rsidRPr="00890249" w14:paraId="4415A667" w14:textId="77777777" w:rsidTr="004F6B6D">
        <w:tc>
          <w:tcPr>
            <w:tcW w:w="1564" w:type="dxa"/>
            <w:shd w:val="clear" w:color="auto" w:fill="F2F2F2" w:themeFill="background1" w:themeFillShade="F2"/>
          </w:tcPr>
          <w:p w14:paraId="7635B2CE" w14:textId="77777777" w:rsidR="00AF2C9E" w:rsidRPr="00890249" w:rsidRDefault="00AF2C9E"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05196FCB" w14:textId="77777777" w:rsidR="00AF2C9E" w:rsidRPr="00890249" w:rsidRDefault="00AF2C9E"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3" w:type="dxa"/>
            <w:shd w:val="clear" w:color="auto" w:fill="F2F2F2" w:themeFill="background1" w:themeFillShade="F2"/>
          </w:tcPr>
          <w:p w14:paraId="3BE2620A" w14:textId="77777777" w:rsidR="00AF2C9E" w:rsidRPr="00890249" w:rsidRDefault="00AF2C9E"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19" w:type="dxa"/>
            <w:shd w:val="clear" w:color="auto" w:fill="F2F2F2" w:themeFill="background1" w:themeFillShade="F2"/>
          </w:tcPr>
          <w:p w14:paraId="76D7E24F" w14:textId="77777777" w:rsidR="00AF2C9E" w:rsidRPr="00890249" w:rsidRDefault="00AF2C9E"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255" w:type="dxa"/>
            <w:shd w:val="clear" w:color="auto" w:fill="F2F2F2" w:themeFill="background1" w:themeFillShade="F2"/>
          </w:tcPr>
          <w:p w14:paraId="5311F83E" w14:textId="77777777" w:rsidR="00AF2C9E" w:rsidRPr="00890249" w:rsidRDefault="00AF2C9E"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85" w:type="dxa"/>
            <w:shd w:val="clear" w:color="auto" w:fill="F2F2F2" w:themeFill="background1" w:themeFillShade="F2"/>
          </w:tcPr>
          <w:p w14:paraId="736D52FD" w14:textId="77777777" w:rsidR="00AF2C9E" w:rsidRPr="00890249" w:rsidRDefault="00AF2C9E"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1963EF" w:rsidRPr="00890249" w14:paraId="27714626" w14:textId="77777777" w:rsidTr="004F6B6D">
        <w:tc>
          <w:tcPr>
            <w:tcW w:w="1564" w:type="dxa"/>
            <w:vMerge w:val="restart"/>
            <w:shd w:val="clear" w:color="auto" w:fill="F2F2F2" w:themeFill="background1" w:themeFillShade="F2"/>
          </w:tcPr>
          <w:p w14:paraId="50F8E413" w14:textId="77777777" w:rsidR="001963EF" w:rsidRDefault="001963EF" w:rsidP="004F6B6D">
            <w:pPr>
              <w:jc w:val="center"/>
              <w:rPr>
                <w:rFonts w:asciiTheme="minorHAnsi" w:eastAsia="Times New Roman" w:hAnsiTheme="minorHAnsi" w:cstheme="minorHAnsi"/>
                <w:iCs/>
                <w:noProof/>
                <w:sz w:val="20"/>
              </w:rPr>
            </w:pPr>
          </w:p>
          <w:p w14:paraId="77529C2B" w14:textId="77777777" w:rsidR="001963EF" w:rsidRDefault="001963EF" w:rsidP="004F6B6D">
            <w:pPr>
              <w:jc w:val="center"/>
              <w:rPr>
                <w:rFonts w:asciiTheme="minorHAnsi" w:eastAsia="Times New Roman" w:hAnsiTheme="minorHAnsi" w:cstheme="minorHAnsi"/>
                <w:iCs/>
                <w:noProof/>
                <w:sz w:val="20"/>
              </w:rPr>
            </w:pPr>
          </w:p>
          <w:p w14:paraId="373E13B5" w14:textId="77777777" w:rsidR="001963EF" w:rsidRDefault="001963EF" w:rsidP="004F6B6D">
            <w:pPr>
              <w:jc w:val="center"/>
              <w:rPr>
                <w:rFonts w:asciiTheme="minorHAnsi" w:eastAsia="Times New Roman" w:hAnsiTheme="minorHAnsi" w:cstheme="minorHAnsi"/>
                <w:iCs/>
                <w:noProof/>
                <w:sz w:val="20"/>
              </w:rPr>
            </w:pPr>
          </w:p>
          <w:p w14:paraId="6386EAC8" w14:textId="77777777" w:rsidR="001963EF" w:rsidRDefault="001963EF" w:rsidP="004F6B6D">
            <w:pPr>
              <w:jc w:val="center"/>
              <w:rPr>
                <w:rFonts w:asciiTheme="minorHAnsi" w:eastAsia="Times New Roman" w:hAnsiTheme="minorHAnsi" w:cstheme="minorHAnsi"/>
                <w:iCs/>
                <w:noProof/>
                <w:sz w:val="20"/>
              </w:rPr>
            </w:pPr>
          </w:p>
          <w:p w14:paraId="43F3229A" w14:textId="5D8AABDE" w:rsidR="001963EF" w:rsidRPr="00890249" w:rsidRDefault="001963EF" w:rsidP="004F6B6D">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CP 2</w:t>
            </w:r>
          </w:p>
        </w:tc>
        <w:tc>
          <w:tcPr>
            <w:tcW w:w="1051" w:type="dxa"/>
            <w:vMerge w:val="restart"/>
            <w:shd w:val="clear" w:color="auto" w:fill="F2F2F2" w:themeFill="background1" w:themeFillShade="F2"/>
          </w:tcPr>
          <w:p w14:paraId="49E9E74D" w14:textId="77777777" w:rsidR="001963EF" w:rsidRDefault="001963EF" w:rsidP="004F6B6D">
            <w:pPr>
              <w:jc w:val="center"/>
              <w:rPr>
                <w:rFonts w:asciiTheme="minorHAnsi" w:eastAsia="Times New Roman" w:hAnsiTheme="minorHAnsi" w:cstheme="minorHAnsi"/>
                <w:iCs/>
                <w:noProof/>
                <w:sz w:val="20"/>
              </w:rPr>
            </w:pPr>
          </w:p>
          <w:p w14:paraId="2D5B5D59" w14:textId="77777777" w:rsidR="001963EF" w:rsidRDefault="001963EF" w:rsidP="004F6B6D">
            <w:pPr>
              <w:jc w:val="center"/>
              <w:rPr>
                <w:rFonts w:asciiTheme="minorHAnsi" w:eastAsia="Times New Roman" w:hAnsiTheme="minorHAnsi" w:cstheme="minorHAnsi"/>
                <w:iCs/>
                <w:noProof/>
                <w:sz w:val="20"/>
              </w:rPr>
            </w:pPr>
          </w:p>
          <w:p w14:paraId="2518FA26" w14:textId="77777777" w:rsidR="001963EF" w:rsidRDefault="001963EF" w:rsidP="004F6B6D">
            <w:pPr>
              <w:jc w:val="center"/>
              <w:rPr>
                <w:rFonts w:asciiTheme="minorHAnsi" w:eastAsia="Times New Roman" w:hAnsiTheme="minorHAnsi" w:cstheme="minorHAnsi"/>
                <w:iCs/>
                <w:noProof/>
                <w:sz w:val="20"/>
              </w:rPr>
            </w:pPr>
          </w:p>
          <w:p w14:paraId="4A413CFA" w14:textId="77777777" w:rsidR="001963EF" w:rsidRDefault="001963EF" w:rsidP="004F6B6D">
            <w:pPr>
              <w:jc w:val="center"/>
              <w:rPr>
                <w:rFonts w:asciiTheme="minorHAnsi" w:eastAsia="Times New Roman" w:hAnsiTheme="minorHAnsi" w:cstheme="minorHAnsi"/>
                <w:iCs/>
                <w:noProof/>
                <w:sz w:val="20"/>
              </w:rPr>
            </w:pPr>
          </w:p>
          <w:p w14:paraId="61834622" w14:textId="52B4FBA0" w:rsidR="001963EF" w:rsidRPr="00890249" w:rsidRDefault="001963EF" w:rsidP="004F6B6D">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EFRR</w:t>
            </w:r>
          </w:p>
        </w:tc>
        <w:tc>
          <w:tcPr>
            <w:tcW w:w="1713" w:type="dxa"/>
            <w:vMerge w:val="restart"/>
            <w:shd w:val="clear" w:color="auto" w:fill="F2F2F2" w:themeFill="background1" w:themeFillShade="F2"/>
          </w:tcPr>
          <w:p w14:paraId="43CD0D00" w14:textId="77777777" w:rsidR="001963EF" w:rsidRDefault="001963EF" w:rsidP="004F6B6D">
            <w:pPr>
              <w:jc w:val="center"/>
              <w:rPr>
                <w:rFonts w:asciiTheme="minorHAnsi" w:eastAsia="Times New Roman" w:hAnsiTheme="minorHAnsi" w:cstheme="minorHAnsi"/>
                <w:iCs/>
                <w:noProof/>
                <w:sz w:val="20"/>
              </w:rPr>
            </w:pPr>
          </w:p>
          <w:p w14:paraId="2C788C19" w14:textId="77777777" w:rsidR="001963EF" w:rsidRDefault="001963EF" w:rsidP="004F6B6D">
            <w:pPr>
              <w:jc w:val="center"/>
              <w:rPr>
                <w:rFonts w:asciiTheme="minorHAnsi" w:eastAsia="Times New Roman" w:hAnsiTheme="minorHAnsi" w:cstheme="minorHAnsi"/>
                <w:iCs/>
                <w:noProof/>
                <w:sz w:val="20"/>
              </w:rPr>
            </w:pPr>
          </w:p>
          <w:p w14:paraId="27A35F6B" w14:textId="77777777" w:rsidR="001963EF" w:rsidRDefault="001963EF" w:rsidP="004F6B6D">
            <w:pPr>
              <w:jc w:val="center"/>
              <w:rPr>
                <w:rFonts w:asciiTheme="minorHAnsi" w:eastAsia="Times New Roman" w:hAnsiTheme="minorHAnsi" w:cstheme="minorHAnsi"/>
                <w:iCs/>
                <w:noProof/>
                <w:sz w:val="20"/>
              </w:rPr>
            </w:pPr>
          </w:p>
          <w:p w14:paraId="41905886" w14:textId="77777777" w:rsidR="001963EF" w:rsidRDefault="001963EF" w:rsidP="004F6B6D">
            <w:pPr>
              <w:jc w:val="center"/>
              <w:rPr>
                <w:rFonts w:asciiTheme="minorHAnsi" w:eastAsia="Times New Roman" w:hAnsiTheme="minorHAnsi" w:cstheme="minorHAnsi"/>
                <w:iCs/>
                <w:noProof/>
                <w:sz w:val="20"/>
              </w:rPr>
            </w:pPr>
          </w:p>
          <w:p w14:paraId="04267E8A" w14:textId="0A387809" w:rsidR="001963EF" w:rsidRPr="00890249" w:rsidRDefault="001963EF" w:rsidP="004F6B6D">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Słabiej rozwinięte</w:t>
            </w:r>
          </w:p>
        </w:tc>
        <w:tc>
          <w:tcPr>
            <w:tcW w:w="1619" w:type="dxa"/>
            <w:vMerge w:val="restart"/>
            <w:shd w:val="clear" w:color="auto" w:fill="F2F2F2" w:themeFill="background1" w:themeFillShade="F2"/>
          </w:tcPr>
          <w:p w14:paraId="1BFBBB70" w14:textId="77777777" w:rsidR="001963EF" w:rsidRPr="00890249" w:rsidRDefault="001963EF" w:rsidP="004F6B6D">
            <w:pPr>
              <w:jc w:val="center"/>
              <w:rPr>
                <w:rFonts w:asciiTheme="minorHAnsi" w:eastAsia="Times New Roman" w:hAnsiTheme="minorHAnsi" w:cstheme="minorHAnsi"/>
                <w:iCs/>
                <w:noProof/>
                <w:sz w:val="20"/>
              </w:rPr>
            </w:pPr>
          </w:p>
          <w:p w14:paraId="23528491" w14:textId="77777777" w:rsidR="001963EF" w:rsidRPr="00890249" w:rsidRDefault="001963EF" w:rsidP="004F6B6D">
            <w:pPr>
              <w:jc w:val="center"/>
              <w:rPr>
                <w:rFonts w:asciiTheme="minorHAnsi" w:eastAsia="Times New Roman" w:hAnsiTheme="minorHAnsi" w:cstheme="minorHAnsi"/>
                <w:iCs/>
                <w:noProof/>
                <w:sz w:val="20"/>
              </w:rPr>
            </w:pPr>
          </w:p>
          <w:p w14:paraId="2FB47017" w14:textId="77777777" w:rsidR="001963EF" w:rsidRPr="00890249" w:rsidRDefault="001963EF" w:rsidP="004F6B6D">
            <w:pPr>
              <w:jc w:val="center"/>
              <w:rPr>
                <w:rFonts w:asciiTheme="minorHAnsi" w:eastAsia="Times New Roman" w:hAnsiTheme="minorHAnsi" w:cstheme="minorHAnsi"/>
                <w:iCs/>
                <w:noProof/>
                <w:sz w:val="20"/>
              </w:rPr>
            </w:pPr>
          </w:p>
          <w:p w14:paraId="59A0DF8D" w14:textId="77777777" w:rsidR="001963EF" w:rsidRDefault="001963EF" w:rsidP="004F6B6D">
            <w:pPr>
              <w:jc w:val="center"/>
              <w:rPr>
                <w:rFonts w:asciiTheme="minorHAnsi" w:eastAsia="Times New Roman" w:hAnsiTheme="minorHAnsi" w:cstheme="minorHAnsi"/>
                <w:iCs/>
                <w:noProof/>
                <w:sz w:val="20"/>
              </w:rPr>
            </w:pPr>
          </w:p>
          <w:p w14:paraId="53D13518" w14:textId="383CEBC9" w:rsidR="001963EF" w:rsidRPr="00890249" w:rsidRDefault="001963EF" w:rsidP="004F6B6D">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(ii)</w:t>
            </w:r>
          </w:p>
        </w:tc>
        <w:tc>
          <w:tcPr>
            <w:tcW w:w="1255" w:type="dxa"/>
            <w:shd w:val="clear" w:color="auto" w:fill="F2F2F2" w:themeFill="background1" w:themeFillShade="F2"/>
          </w:tcPr>
          <w:p w14:paraId="1BEEC611" w14:textId="6CA56AA4" w:rsidR="001963EF" w:rsidRPr="00890249" w:rsidRDefault="001963EF" w:rsidP="00B87B2A">
            <w:pPr>
              <w:jc w:val="left"/>
              <w:rPr>
                <w:rFonts w:asciiTheme="minorHAnsi" w:hAnsiTheme="minorHAnsi" w:cstheme="minorHAnsi"/>
                <w:b/>
                <w:noProof/>
                <w:sz w:val="20"/>
              </w:rPr>
            </w:pPr>
            <w:r w:rsidRPr="00890249">
              <w:rPr>
                <w:rFonts w:asciiTheme="minorHAnsi" w:eastAsia="Times New Roman" w:hAnsiTheme="minorHAnsi" w:cstheme="minorHAnsi"/>
                <w:iCs/>
                <w:noProof/>
                <w:sz w:val="20"/>
              </w:rPr>
              <w:t xml:space="preserve">03 </w:t>
            </w:r>
            <w:r w:rsidRPr="00890249">
              <w:rPr>
                <w:rFonts w:asciiTheme="minorHAnsi" w:hAnsiTheme="minorHAnsi" w:cstheme="minorHAnsi"/>
                <w:sz w:val="20"/>
              </w:rPr>
              <w:t>Wsparcie poprzez instrumenty finansowe: pożyczka</w:t>
            </w:r>
          </w:p>
        </w:tc>
        <w:tc>
          <w:tcPr>
            <w:tcW w:w="2085" w:type="dxa"/>
            <w:shd w:val="clear" w:color="auto" w:fill="F2F2F2" w:themeFill="background1" w:themeFillShade="F2"/>
          </w:tcPr>
          <w:p w14:paraId="0BACFA05" w14:textId="77777777" w:rsidR="001963EF" w:rsidRDefault="001963EF" w:rsidP="00B87B2A">
            <w:pPr>
              <w:jc w:val="right"/>
              <w:rPr>
                <w:rFonts w:asciiTheme="minorHAnsi" w:hAnsiTheme="minorHAnsi" w:cstheme="minorHAnsi"/>
                <w:b/>
                <w:noProof/>
                <w:sz w:val="20"/>
              </w:rPr>
            </w:pPr>
          </w:p>
          <w:p w14:paraId="323146AE" w14:textId="26DABBD6" w:rsidR="001963EF" w:rsidRPr="00B87B2A" w:rsidRDefault="001963EF" w:rsidP="00B87B2A">
            <w:pPr>
              <w:jc w:val="right"/>
              <w:rPr>
                <w:rFonts w:asciiTheme="minorHAnsi" w:hAnsiTheme="minorHAnsi" w:cstheme="minorHAnsi"/>
                <w:noProof/>
                <w:sz w:val="20"/>
              </w:rPr>
            </w:pPr>
            <w:r w:rsidRPr="00B87B2A">
              <w:rPr>
                <w:rFonts w:asciiTheme="minorHAnsi" w:hAnsiTheme="minorHAnsi" w:cstheme="minorHAnsi"/>
                <w:noProof/>
                <w:sz w:val="20"/>
              </w:rPr>
              <w:t>10 200 000</w:t>
            </w:r>
          </w:p>
        </w:tc>
      </w:tr>
      <w:tr w:rsidR="001963EF" w:rsidRPr="00890249" w14:paraId="0519D1C4" w14:textId="77777777" w:rsidTr="00890249">
        <w:trPr>
          <w:trHeight w:val="978"/>
        </w:trPr>
        <w:tc>
          <w:tcPr>
            <w:tcW w:w="1564" w:type="dxa"/>
            <w:vMerge/>
            <w:vAlign w:val="center"/>
          </w:tcPr>
          <w:p w14:paraId="0D9D85E1" w14:textId="10AD25AA" w:rsidR="001963EF" w:rsidRPr="00890249" w:rsidRDefault="001963EF" w:rsidP="004F6B6D">
            <w:pPr>
              <w:jc w:val="center"/>
              <w:rPr>
                <w:rFonts w:asciiTheme="minorHAnsi" w:eastAsia="Times New Roman" w:hAnsiTheme="minorHAnsi" w:cstheme="minorHAnsi"/>
                <w:iCs/>
                <w:noProof/>
                <w:sz w:val="20"/>
              </w:rPr>
            </w:pPr>
          </w:p>
        </w:tc>
        <w:tc>
          <w:tcPr>
            <w:tcW w:w="1051" w:type="dxa"/>
            <w:vMerge/>
            <w:vAlign w:val="center"/>
          </w:tcPr>
          <w:p w14:paraId="6F25AEA6" w14:textId="6448AA2A" w:rsidR="001963EF" w:rsidRPr="00890249" w:rsidRDefault="001963EF" w:rsidP="004F6B6D">
            <w:pPr>
              <w:jc w:val="center"/>
              <w:rPr>
                <w:rFonts w:asciiTheme="minorHAnsi" w:eastAsia="Times New Roman" w:hAnsiTheme="minorHAnsi" w:cstheme="minorHAnsi"/>
                <w:iCs/>
                <w:noProof/>
                <w:sz w:val="20"/>
              </w:rPr>
            </w:pPr>
          </w:p>
        </w:tc>
        <w:tc>
          <w:tcPr>
            <w:tcW w:w="1713" w:type="dxa"/>
            <w:vMerge/>
            <w:vAlign w:val="center"/>
          </w:tcPr>
          <w:p w14:paraId="13AA1310" w14:textId="48A55847" w:rsidR="001963EF" w:rsidRPr="00890249" w:rsidRDefault="001963EF" w:rsidP="004F6B6D">
            <w:pPr>
              <w:jc w:val="center"/>
              <w:rPr>
                <w:rFonts w:asciiTheme="minorHAnsi" w:eastAsia="Times New Roman" w:hAnsiTheme="minorHAnsi" w:cstheme="minorHAnsi"/>
                <w:iCs/>
                <w:noProof/>
                <w:sz w:val="20"/>
              </w:rPr>
            </w:pPr>
          </w:p>
        </w:tc>
        <w:tc>
          <w:tcPr>
            <w:tcW w:w="1619" w:type="dxa"/>
            <w:vMerge/>
          </w:tcPr>
          <w:p w14:paraId="30E49A10" w14:textId="355BC0AF" w:rsidR="001963EF" w:rsidRPr="00890249" w:rsidRDefault="001963EF" w:rsidP="004F6B6D">
            <w:pPr>
              <w:jc w:val="center"/>
              <w:rPr>
                <w:rFonts w:asciiTheme="minorHAnsi" w:eastAsia="Times New Roman" w:hAnsiTheme="minorHAnsi" w:cstheme="minorHAnsi"/>
                <w:iCs/>
                <w:noProof/>
                <w:sz w:val="20"/>
              </w:rPr>
            </w:pPr>
          </w:p>
        </w:tc>
        <w:tc>
          <w:tcPr>
            <w:tcW w:w="1255" w:type="dxa"/>
            <w:vAlign w:val="center"/>
          </w:tcPr>
          <w:p w14:paraId="4CF71507" w14:textId="77777777" w:rsidR="001963EF" w:rsidRPr="00890249" w:rsidRDefault="001963EF" w:rsidP="004F6B6D">
            <w:pPr>
              <w:pStyle w:val="Default"/>
              <w:spacing w:before="120"/>
              <w:jc w:val="both"/>
              <w:rPr>
                <w:rFonts w:asciiTheme="minorHAnsi" w:hAnsiTheme="minorHAnsi" w:cstheme="minorHAnsi"/>
                <w:sz w:val="20"/>
                <w:szCs w:val="20"/>
              </w:rPr>
            </w:pPr>
            <w:r w:rsidRPr="00890249">
              <w:rPr>
                <w:rFonts w:asciiTheme="minorHAnsi" w:eastAsia="Times New Roman" w:hAnsiTheme="minorHAnsi" w:cstheme="minorHAnsi"/>
                <w:iCs/>
                <w:noProof/>
                <w:sz w:val="20"/>
                <w:szCs w:val="20"/>
              </w:rPr>
              <w:t xml:space="preserve">05 </w:t>
            </w:r>
            <w:r w:rsidRPr="00890249">
              <w:rPr>
                <w:rFonts w:asciiTheme="minorHAnsi" w:hAnsiTheme="minorHAnsi" w:cstheme="minorHAnsi"/>
                <w:sz w:val="20"/>
                <w:szCs w:val="20"/>
              </w:rPr>
              <w:t xml:space="preserve">Wsparcie poprzez instrumenty finansowe: dotacje w ramach operacji instrumentu finansowego </w:t>
            </w:r>
          </w:p>
        </w:tc>
        <w:tc>
          <w:tcPr>
            <w:tcW w:w="2085" w:type="dxa"/>
            <w:vAlign w:val="center"/>
          </w:tcPr>
          <w:p w14:paraId="3DEE96BE" w14:textId="7277BF7D" w:rsidR="001963EF" w:rsidRPr="00890249" w:rsidRDefault="001963EF" w:rsidP="00B87B2A">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9 800 000</w:t>
            </w:r>
          </w:p>
        </w:tc>
      </w:tr>
    </w:tbl>
    <w:p w14:paraId="4A90FE68" w14:textId="77777777" w:rsidR="00AF2C9E" w:rsidRPr="00890249" w:rsidRDefault="00AF2C9E" w:rsidP="00621986">
      <w:pPr>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489"/>
        <w:gridCol w:w="1027"/>
        <w:gridCol w:w="1617"/>
        <w:gridCol w:w="1563"/>
        <w:gridCol w:w="1520"/>
        <w:gridCol w:w="2106"/>
      </w:tblGrid>
      <w:tr w:rsidR="00AF2C9E" w:rsidRPr="00890249" w14:paraId="4495BA5A" w14:textId="77777777" w:rsidTr="00E71C32">
        <w:tc>
          <w:tcPr>
            <w:tcW w:w="9322" w:type="dxa"/>
            <w:gridSpan w:val="6"/>
            <w:shd w:val="clear" w:color="auto" w:fill="D9D9D9" w:themeFill="background1" w:themeFillShade="D9"/>
          </w:tcPr>
          <w:p w14:paraId="377CAA15" w14:textId="650DEE21" w:rsidR="00AF2C9E" w:rsidRPr="00890249" w:rsidRDefault="00FE4836" w:rsidP="00AF2C9E">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A66643">
              <w:rPr>
                <w:rFonts w:asciiTheme="minorHAnsi" w:hAnsiTheme="minorHAnsi" w:cstheme="minorHAnsi"/>
                <w:b/>
                <w:noProof/>
                <w:sz w:val="20"/>
              </w:rPr>
              <w:t xml:space="preserve">3 </w:t>
            </w:r>
            <w:r w:rsidR="00AF2C9E" w:rsidRPr="00890249">
              <w:rPr>
                <w:rFonts w:asciiTheme="minorHAnsi" w:hAnsiTheme="minorHAnsi" w:cstheme="minorHAnsi"/>
                <w:b/>
                <w:noProof/>
                <w:sz w:val="20"/>
              </w:rPr>
              <w:t xml:space="preserve"> – terytorialny mechanizm realizacji i ukierunkowanie terytorialne </w:t>
            </w:r>
          </w:p>
        </w:tc>
      </w:tr>
      <w:tr w:rsidR="00AF2C9E" w:rsidRPr="00890249" w14:paraId="4A1BE8B4" w14:textId="77777777" w:rsidTr="00E71C32">
        <w:tc>
          <w:tcPr>
            <w:tcW w:w="1566" w:type="dxa"/>
            <w:shd w:val="clear" w:color="auto" w:fill="F2F2F2" w:themeFill="background1" w:themeFillShade="F2"/>
          </w:tcPr>
          <w:p w14:paraId="3F1AD68D"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03A5C07C"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08D5FFAF"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14BE9D9D"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6FB15CFC"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8" w:type="dxa"/>
            <w:shd w:val="clear" w:color="auto" w:fill="F2F2F2" w:themeFill="background1" w:themeFillShade="F2"/>
          </w:tcPr>
          <w:p w14:paraId="02491E4C" w14:textId="77777777" w:rsidR="00AF2C9E" w:rsidRPr="00890249" w:rsidRDefault="00AF2C9E" w:rsidP="00AF2C9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F2C9E" w:rsidRPr="00890249" w14:paraId="34503B68" w14:textId="77777777" w:rsidTr="00E71C32">
        <w:tc>
          <w:tcPr>
            <w:tcW w:w="1566" w:type="dxa"/>
            <w:vAlign w:val="center"/>
          </w:tcPr>
          <w:p w14:paraId="2BBB29D8" w14:textId="77777777" w:rsidR="00AF2C9E" w:rsidRPr="00890249" w:rsidRDefault="00AF2C9E" w:rsidP="00AF2C9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51" w:type="dxa"/>
            <w:vAlign w:val="center"/>
          </w:tcPr>
          <w:p w14:paraId="464115E4" w14:textId="77777777" w:rsidR="00AF2C9E" w:rsidRPr="00890249" w:rsidRDefault="00AF2C9E" w:rsidP="00AF2C9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5" w:type="dxa"/>
            <w:vAlign w:val="center"/>
          </w:tcPr>
          <w:p w14:paraId="49F19E2D" w14:textId="77777777" w:rsidR="00AF2C9E" w:rsidRPr="00890249" w:rsidRDefault="00AF2C9E" w:rsidP="00AF2C9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20" w:type="dxa"/>
          </w:tcPr>
          <w:p w14:paraId="554DEFB9" w14:textId="5AAD2DBA" w:rsidR="00AF2C9E" w:rsidRPr="00890249" w:rsidRDefault="00B516B2" w:rsidP="00AF2C9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22" w:type="dxa"/>
          </w:tcPr>
          <w:p w14:paraId="29F28212" w14:textId="40C00EED" w:rsidR="00B72154" w:rsidRPr="00890249" w:rsidRDefault="00875C92"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33 </w:t>
            </w:r>
            <w:r w:rsidRPr="00890249">
              <w:rPr>
                <w:rFonts w:asciiTheme="minorHAnsi" w:hAnsiTheme="minorHAnsi" w:cstheme="minorHAnsi"/>
                <w:sz w:val="20"/>
                <w:szCs w:val="20"/>
                <w:lang w:eastAsia="en-US" w:bidi="ar-SA"/>
              </w:rPr>
              <w:t xml:space="preserve">Brak ukierunkowania terytorialnego </w:t>
            </w:r>
          </w:p>
        </w:tc>
        <w:tc>
          <w:tcPr>
            <w:tcW w:w="2348" w:type="dxa"/>
          </w:tcPr>
          <w:p w14:paraId="5774BBAA" w14:textId="23096DDF" w:rsidR="00AF2C9E" w:rsidRPr="00890249" w:rsidRDefault="00B516B2" w:rsidP="00B87B2A">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20 000 000</w:t>
            </w:r>
          </w:p>
        </w:tc>
      </w:tr>
    </w:tbl>
    <w:p w14:paraId="0503C5AC"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9E79E4" w:rsidRPr="00890249" w14:paraId="6342FD1F" w14:textId="77777777" w:rsidTr="00A4690F">
        <w:tc>
          <w:tcPr>
            <w:tcW w:w="9288" w:type="dxa"/>
            <w:gridSpan w:val="6"/>
            <w:shd w:val="clear" w:color="auto" w:fill="D9D9D9" w:themeFill="background1" w:themeFillShade="D9"/>
          </w:tcPr>
          <w:p w14:paraId="7CC3167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375C7600" w14:textId="77777777" w:rsidTr="00A4690F">
        <w:tc>
          <w:tcPr>
            <w:tcW w:w="1599" w:type="dxa"/>
            <w:shd w:val="clear" w:color="auto" w:fill="F2F2F2" w:themeFill="background1" w:themeFillShade="F2"/>
          </w:tcPr>
          <w:p w14:paraId="1BF57930"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3336E1A2"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5B7ACA5C"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0B20258"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1810920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EC003BE"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79E4" w:rsidRPr="00890249" w14:paraId="433C5472" w14:textId="77777777" w:rsidTr="000B7697">
        <w:tc>
          <w:tcPr>
            <w:tcW w:w="1599" w:type="dxa"/>
            <w:vAlign w:val="center"/>
          </w:tcPr>
          <w:p w14:paraId="7127C001"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1CFDD6A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5121B5D7"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1549D0C6"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4BDB0356"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2C1BD80E"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7C807E90" w14:textId="503B6E4E" w:rsidR="000B2721" w:rsidRDefault="000B2721" w:rsidP="006C153C">
      <w:pPr>
        <w:spacing w:before="0" w:after="24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9E79E4" w:rsidRPr="00890249" w14:paraId="39CD7D7A" w14:textId="77777777" w:rsidTr="00E71C32">
        <w:tc>
          <w:tcPr>
            <w:tcW w:w="9322" w:type="dxa"/>
            <w:gridSpan w:val="6"/>
            <w:shd w:val="clear" w:color="auto" w:fill="D9D9D9" w:themeFill="background1" w:themeFillShade="D9"/>
            <w:vAlign w:val="center"/>
          </w:tcPr>
          <w:p w14:paraId="688462C1" w14:textId="77777777" w:rsidR="009E79E4" w:rsidRPr="00890249" w:rsidRDefault="009E79E4" w:rsidP="000B7697">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9E79E4" w:rsidRPr="00890249" w14:paraId="1323DC46" w14:textId="77777777" w:rsidTr="00520794">
        <w:tc>
          <w:tcPr>
            <w:tcW w:w="1475" w:type="dxa"/>
            <w:shd w:val="clear" w:color="auto" w:fill="F2F2F2" w:themeFill="background1" w:themeFillShade="F2"/>
          </w:tcPr>
          <w:p w14:paraId="1B53725C"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281" w:type="dxa"/>
            <w:shd w:val="clear" w:color="auto" w:fill="F2F2F2" w:themeFill="background1" w:themeFillShade="F2"/>
          </w:tcPr>
          <w:p w14:paraId="6B57005F"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357" w:type="dxa"/>
            <w:shd w:val="clear" w:color="auto" w:fill="F2F2F2" w:themeFill="background1" w:themeFillShade="F2"/>
          </w:tcPr>
          <w:p w14:paraId="03B62B42"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576" w:type="dxa"/>
            <w:shd w:val="clear" w:color="auto" w:fill="F2F2F2" w:themeFill="background1" w:themeFillShade="F2"/>
          </w:tcPr>
          <w:p w14:paraId="7EA6486E"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761" w:type="dxa"/>
            <w:shd w:val="clear" w:color="auto" w:fill="F2F2F2" w:themeFill="background1" w:themeFillShade="F2"/>
          </w:tcPr>
          <w:p w14:paraId="4C35B2C6"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1872" w:type="dxa"/>
            <w:shd w:val="clear" w:color="auto" w:fill="F2F2F2" w:themeFill="background1" w:themeFillShade="F2"/>
          </w:tcPr>
          <w:p w14:paraId="431837DC"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FE4836" w:rsidRPr="00890249" w14:paraId="463CF97C" w14:textId="77777777" w:rsidTr="00520794">
        <w:tc>
          <w:tcPr>
            <w:tcW w:w="1475" w:type="dxa"/>
            <w:vAlign w:val="center"/>
          </w:tcPr>
          <w:p w14:paraId="61C62BBD" w14:textId="77777777" w:rsidR="00FE4836" w:rsidRPr="00890249" w:rsidRDefault="00FE4836" w:rsidP="001665A2">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281" w:type="dxa"/>
            <w:vAlign w:val="center"/>
          </w:tcPr>
          <w:p w14:paraId="0A88E85A" w14:textId="77777777" w:rsidR="00FE4836" w:rsidRPr="00890249" w:rsidRDefault="00FE4836" w:rsidP="001665A2">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357" w:type="dxa"/>
            <w:vAlign w:val="center"/>
          </w:tcPr>
          <w:p w14:paraId="41466D62" w14:textId="77777777" w:rsidR="00FE4836" w:rsidRPr="00890249" w:rsidRDefault="00FE4836" w:rsidP="001665A2">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576" w:type="dxa"/>
            <w:shd w:val="clear" w:color="auto" w:fill="auto"/>
          </w:tcPr>
          <w:p w14:paraId="45DF1447" w14:textId="77777777" w:rsidR="00FE4836" w:rsidRPr="00890249" w:rsidRDefault="00FE4836" w:rsidP="001665A2">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(ii)</w:t>
            </w:r>
          </w:p>
        </w:tc>
        <w:tc>
          <w:tcPr>
            <w:tcW w:w="1761" w:type="dxa"/>
            <w:shd w:val="clear" w:color="auto" w:fill="auto"/>
          </w:tcPr>
          <w:p w14:paraId="1A19D32B" w14:textId="088450CD" w:rsidR="00B72154" w:rsidRPr="00890249" w:rsidRDefault="00D0622E" w:rsidP="00890249">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1872" w:type="dxa"/>
            <w:shd w:val="clear" w:color="auto" w:fill="auto"/>
          </w:tcPr>
          <w:p w14:paraId="6BC6D742" w14:textId="7D24AFEB" w:rsidR="00FE4836" w:rsidRPr="00890249" w:rsidRDefault="00D0622E" w:rsidP="00E6123D">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20</w:t>
            </w:r>
            <w:r w:rsidR="001344ED" w:rsidRPr="00890249">
              <w:rPr>
                <w:rFonts w:asciiTheme="minorHAnsi" w:eastAsia="Times New Roman" w:hAnsiTheme="minorHAnsi" w:cstheme="minorHAnsi"/>
                <w:iCs/>
                <w:noProof/>
                <w:sz w:val="20"/>
                <w:lang w:eastAsia="en-US" w:bidi="ar-SA"/>
              </w:rPr>
              <w:t xml:space="preserve"> 000 000</w:t>
            </w:r>
          </w:p>
        </w:tc>
      </w:tr>
    </w:tbl>
    <w:p w14:paraId="4EDDE6D9" w14:textId="77777777" w:rsidR="003261C4" w:rsidRPr="00890249" w:rsidRDefault="003261C4" w:rsidP="003261C4">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2.1.2.3 (iv) Cel szczegółowy</w:t>
      </w:r>
    </w:p>
    <w:p w14:paraId="31EDFCC8" w14:textId="77777777" w:rsidR="003261C4" w:rsidRPr="00890249" w:rsidRDefault="003261C4" w:rsidP="003261C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(iv) </w:t>
      </w:r>
      <w:r w:rsidRPr="00890249">
        <w:rPr>
          <w:rFonts w:asciiTheme="minorHAnsi" w:hAnsiTheme="minorHAnsi" w:cstheme="minorHAnsi"/>
          <w:b/>
          <w:noProof/>
          <w:color w:val="2F5496" w:themeColor="accent5" w:themeShade="BF"/>
        </w:rPr>
        <w:t>Wspieranie przystosowania się do zmian klimatu i zapobiegania ryzyku związanemu z klęskami żywiołowymi i katastrofami, a także odporności, z uwzględnieniem podejścia ekosystemowego</w:t>
      </w:r>
    </w:p>
    <w:p w14:paraId="1207585B" w14:textId="77777777" w:rsidR="003261C4" w:rsidRPr="00890249" w:rsidRDefault="003261C4" w:rsidP="003261C4">
      <w:pPr>
        <w:rPr>
          <w:rFonts w:asciiTheme="minorHAnsi" w:hAnsiTheme="minorHAnsi" w:cstheme="minorHAnsi"/>
          <w:b/>
          <w:noProof/>
          <w:sz w:val="22"/>
          <w:szCs w:val="22"/>
        </w:rPr>
      </w:pPr>
      <w:r w:rsidRPr="00890249">
        <w:rPr>
          <w:rFonts w:asciiTheme="minorHAnsi" w:hAnsiTheme="minorHAnsi" w:cstheme="minorHAnsi"/>
          <w:b/>
          <w:noProof/>
          <w:sz w:val="22"/>
          <w:szCs w:val="22"/>
        </w:rPr>
        <w:t>2.1.2.3.1 (iv) Interwencje w ramach funduszy</w:t>
      </w:r>
    </w:p>
    <w:p w14:paraId="3ED54A6A" w14:textId="77777777" w:rsidR="003261C4" w:rsidRPr="00890249" w:rsidRDefault="003261C4" w:rsidP="003261C4">
      <w:pPr>
        <w:rPr>
          <w:rFonts w:asciiTheme="minorHAnsi" w:hAnsiTheme="minorHAnsi" w:cstheme="minorHAnsi"/>
          <w:i/>
          <w:noProof/>
          <w:sz w:val="22"/>
        </w:rPr>
      </w:pPr>
      <w:r w:rsidRPr="00890249">
        <w:rPr>
          <w:rFonts w:asciiTheme="minorHAnsi" w:hAnsiTheme="minorHAnsi" w:cstheme="minorHAnsi"/>
          <w:b/>
          <w:noProof/>
          <w:color w:val="2F5496" w:themeColor="accent5" w:themeShade="BF"/>
          <w:sz w:val="22"/>
        </w:rPr>
        <w:t>Powiązane rodzaje działań</w:t>
      </w:r>
    </w:p>
    <w:p w14:paraId="42FE59E6" w14:textId="77777777" w:rsidR="0093433C" w:rsidRPr="00890249" w:rsidRDefault="042E255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Klęski żywiołowe, katastrofy ekologiczne, zmiany klimatyczne</w:t>
      </w:r>
      <w:r w:rsidR="5B7E06BA"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nagłe zjawiska pogodowe </w:t>
      </w:r>
      <w:r w:rsidR="5B7E06BA" w:rsidRPr="00890249">
        <w:rPr>
          <w:rFonts w:asciiTheme="minorHAnsi" w:hAnsiTheme="minorHAnsi" w:cstheme="minorHAnsi"/>
          <w:noProof/>
          <w:sz w:val="22"/>
          <w:szCs w:val="22"/>
        </w:rPr>
        <w:t xml:space="preserve">oraz zagrożenia sanitarno-epidemiologiczne </w:t>
      </w:r>
      <w:r w:rsidRPr="00890249">
        <w:rPr>
          <w:rFonts w:asciiTheme="minorHAnsi" w:hAnsiTheme="minorHAnsi" w:cstheme="minorHAnsi"/>
          <w:noProof/>
          <w:sz w:val="22"/>
          <w:szCs w:val="22"/>
        </w:rPr>
        <w:t>stanowią jedne z największych zagrożeń rozwojowych obecnych czasów</w:t>
      </w:r>
      <w:r w:rsidR="00841049" w:rsidRPr="00890249">
        <w:rPr>
          <w:rFonts w:asciiTheme="minorHAnsi" w:hAnsiTheme="minorHAnsi" w:cstheme="minorHAnsi"/>
          <w:noProof/>
          <w:sz w:val="22"/>
          <w:szCs w:val="22"/>
          <w:vertAlign w:val="superscript"/>
        </w:rPr>
        <w:footnoteReference w:id="117"/>
      </w:r>
      <w:r w:rsidRPr="00890249">
        <w:rPr>
          <w:rFonts w:asciiTheme="minorHAnsi" w:hAnsiTheme="minorHAnsi" w:cstheme="minorHAnsi"/>
          <w:noProof/>
          <w:sz w:val="22"/>
          <w:szCs w:val="22"/>
        </w:rPr>
        <w:t>.</w:t>
      </w:r>
    </w:p>
    <w:p w14:paraId="46E9C2D3" w14:textId="77777777" w:rsidR="0093433C" w:rsidRPr="00890249" w:rsidRDefault="03E6EC5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J</w:t>
      </w:r>
      <w:r w:rsidR="042E255B" w:rsidRPr="00890249">
        <w:rPr>
          <w:rFonts w:asciiTheme="minorHAnsi" w:hAnsiTheme="minorHAnsi" w:cstheme="minorHAnsi"/>
          <w:noProof/>
          <w:sz w:val="22"/>
          <w:szCs w:val="22"/>
        </w:rPr>
        <w:t xml:space="preserve">ednym z najczęściej występujących zagrożeń naturalnych, będącym </w:t>
      </w:r>
      <w:r w:rsidR="75823026" w:rsidRPr="00890249">
        <w:rPr>
          <w:rFonts w:asciiTheme="minorHAnsi" w:hAnsiTheme="minorHAnsi" w:cstheme="minorHAnsi"/>
          <w:noProof/>
          <w:sz w:val="22"/>
          <w:szCs w:val="22"/>
        </w:rPr>
        <w:t>zjawiskiem przyrodniczym o </w:t>
      </w:r>
      <w:r w:rsidR="042E255B" w:rsidRPr="00890249">
        <w:rPr>
          <w:rFonts w:asciiTheme="minorHAnsi" w:hAnsiTheme="minorHAnsi" w:cstheme="minorHAnsi"/>
          <w:noProof/>
          <w:sz w:val="22"/>
          <w:szCs w:val="22"/>
        </w:rPr>
        <w:t>charakterze ekstremalnym, często gwałtownym, występującym nieregularnie są</w:t>
      </w:r>
      <w:r w:rsidR="174457A7" w:rsidRPr="00890249">
        <w:rPr>
          <w:rFonts w:asciiTheme="minorHAnsi" w:hAnsiTheme="minorHAnsi" w:cstheme="minorHAnsi"/>
          <w:noProof/>
          <w:sz w:val="22"/>
          <w:szCs w:val="22"/>
        </w:rPr>
        <w:t xml:space="preserve"> </w:t>
      </w:r>
      <w:r w:rsidR="042E255B" w:rsidRPr="00890249">
        <w:rPr>
          <w:rFonts w:asciiTheme="minorHAnsi" w:hAnsiTheme="minorHAnsi" w:cstheme="minorHAnsi"/>
          <w:noProof/>
          <w:sz w:val="22"/>
          <w:szCs w:val="22"/>
        </w:rPr>
        <w:t>powodzie. Stopień ryzyka powodziowego na terenie kraju jest różny. Determinuje go m.in. gęstość zaludnienia, sposób użytkowania dolin rzecznych i terenów zalewowych, infrastruktura techniczna, komunikacyjna, itp.</w:t>
      </w:r>
      <w:r w:rsidR="00841049" w:rsidRPr="00890249">
        <w:rPr>
          <w:rFonts w:asciiTheme="minorHAnsi" w:hAnsiTheme="minorHAnsi" w:cstheme="minorHAnsi"/>
          <w:noProof/>
          <w:sz w:val="22"/>
          <w:szCs w:val="22"/>
          <w:vertAlign w:val="superscript"/>
        </w:rPr>
        <w:footnoteReference w:id="118"/>
      </w:r>
      <w:r w:rsidR="042E255B" w:rsidRPr="00890249">
        <w:rPr>
          <w:rFonts w:asciiTheme="minorHAnsi" w:hAnsiTheme="minorHAnsi" w:cstheme="minorHAnsi"/>
          <w:noProof/>
          <w:sz w:val="22"/>
          <w:szCs w:val="22"/>
        </w:rPr>
        <w:t xml:space="preserve"> </w:t>
      </w:r>
      <w:r w:rsidR="517A61BD" w:rsidRPr="00890249">
        <w:rPr>
          <w:rFonts w:asciiTheme="minorHAnsi" w:hAnsiTheme="minorHAnsi" w:cstheme="minorHAnsi"/>
          <w:noProof/>
          <w:sz w:val="22"/>
          <w:szCs w:val="22"/>
        </w:rPr>
        <w:t>Woj.</w:t>
      </w:r>
      <w:r w:rsidR="042E255B" w:rsidRPr="00890249">
        <w:rPr>
          <w:rFonts w:asciiTheme="minorHAnsi" w:hAnsiTheme="minorHAnsi" w:cstheme="minorHAnsi"/>
          <w:noProof/>
          <w:sz w:val="22"/>
          <w:szCs w:val="22"/>
        </w:rPr>
        <w:t xml:space="preserve"> opolskie zalicza się w tym </w:t>
      </w:r>
      <w:r w:rsidR="517A61BD" w:rsidRPr="00890249">
        <w:rPr>
          <w:rFonts w:asciiTheme="minorHAnsi" w:hAnsiTheme="minorHAnsi" w:cstheme="minorHAnsi"/>
          <w:noProof/>
          <w:sz w:val="22"/>
          <w:szCs w:val="22"/>
        </w:rPr>
        <w:t>zakresie</w:t>
      </w:r>
      <w:r w:rsidR="042E255B" w:rsidRPr="00890249">
        <w:rPr>
          <w:rFonts w:asciiTheme="minorHAnsi" w:hAnsiTheme="minorHAnsi" w:cstheme="minorHAnsi"/>
          <w:noProof/>
          <w:sz w:val="22"/>
          <w:szCs w:val="22"/>
        </w:rPr>
        <w:t xml:space="preserve"> do</w:t>
      </w:r>
      <w:r w:rsidR="38DC1330" w:rsidRPr="00890249">
        <w:rPr>
          <w:rFonts w:asciiTheme="minorHAnsi" w:hAnsiTheme="minorHAnsi" w:cstheme="minorHAnsi"/>
          <w:noProof/>
          <w:sz w:val="22"/>
          <w:szCs w:val="22"/>
        </w:rPr>
        <w:t xml:space="preserve"> </w:t>
      </w:r>
      <w:r w:rsidR="042E255B" w:rsidRPr="00890249">
        <w:rPr>
          <w:rFonts w:asciiTheme="minorHAnsi" w:hAnsiTheme="minorHAnsi" w:cstheme="minorHAnsi"/>
          <w:noProof/>
          <w:sz w:val="22"/>
          <w:szCs w:val="22"/>
        </w:rPr>
        <w:t>regionów</w:t>
      </w:r>
      <w:r w:rsidR="4D3771A4" w:rsidRPr="00890249">
        <w:rPr>
          <w:rFonts w:asciiTheme="minorHAnsi" w:hAnsiTheme="minorHAnsi" w:cstheme="minorHAnsi"/>
          <w:noProof/>
          <w:sz w:val="22"/>
          <w:szCs w:val="22"/>
        </w:rPr>
        <w:t xml:space="preserve"> istotnie</w:t>
      </w:r>
      <w:r w:rsidR="042E255B" w:rsidRPr="00890249">
        <w:rPr>
          <w:rFonts w:asciiTheme="minorHAnsi" w:hAnsiTheme="minorHAnsi" w:cstheme="minorHAnsi"/>
          <w:noProof/>
          <w:sz w:val="22"/>
          <w:szCs w:val="22"/>
        </w:rPr>
        <w:t xml:space="preserve"> zagrożonych cyklicznymi zalewami powodziowymi, szczególnie </w:t>
      </w:r>
      <w:r w:rsidR="4D3771A4" w:rsidRPr="00890249">
        <w:rPr>
          <w:rFonts w:asciiTheme="minorHAnsi" w:hAnsiTheme="minorHAnsi" w:cstheme="minorHAnsi"/>
          <w:noProof/>
          <w:sz w:val="22"/>
          <w:szCs w:val="22"/>
        </w:rPr>
        <w:t>teren</w:t>
      </w:r>
      <w:r w:rsidR="233F1068" w:rsidRPr="00890249">
        <w:rPr>
          <w:rFonts w:asciiTheme="minorHAnsi" w:hAnsiTheme="minorHAnsi" w:cstheme="minorHAnsi"/>
          <w:noProof/>
          <w:sz w:val="22"/>
          <w:szCs w:val="22"/>
        </w:rPr>
        <w:t>y</w:t>
      </w:r>
      <w:r w:rsidR="4D3771A4" w:rsidRPr="00890249">
        <w:rPr>
          <w:rFonts w:asciiTheme="minorHAnsi" w:hAnsiTheme="minorHAnsi" w:cstheme="minorHAnsi"/>
          <w:noProof/>
          <w:sz w:val="22"/>
          <w:szCs w:val="22"/>
        </w:rPr>
        <w:t xml:space="preserve"> zlokalizowan</w:t>
      </w:r>
      <w:r w:rsidR="233F1068" w:rsidRPr="00890249">
        <w:rPr>
          <w:rFonts w:asciiTheme="minorHAnsi" w:hAnsiTheme="minorHAnsi" w:cstheme="minorHAnsi"/>
          <w:noProof/>
          <w:sz w:val="22"/>
          <w:szCs w:val="22"/>
        </w:rPr>
        <w:t>e</w:t>
      </w:r>
      <w:r w:rsidR="4D3771A4" w:rsidRPr="00890249">
        <w:rPr>
          <w:rFonts w:asciiTheme="minorHAnsi" w:hAnsiTheme="minorHAnsi" w:cstheme="minorHAnsi"/>
          <w:noProof/>
          <w:sz w:val="22"/>
          <w:szCs w:val="22"/>
        </w:rPr>
        <w:t xml:space="preserve"> w dolinie Odry i w </w:t>
      </w:r>
      <w:r w:rsidR="042E255B" w:rsidRPr="00890249">
        <w:rPr>
          <w:rFonts w:asciiTheme="minorHAnsi" w:hAnsiTheme="minorHAnsi" w:cstheme="minorHAnsi"/>
          <w:noProof/>
          <w:sz w:val="22"/>
          <w:szCs w:val="22"/>
        </w:rPr>
        <w:t>dolinach jej dopływów: Psiny, Troji, Ostrej, Opawy, Białej Głuchołaskiej, Nysy Kłodzkiej, Małej Panwi i Stobrawy</w:t>
      </w:r>
      <w:r w:rsidR="00841049" w:rsidRPr="00890249">
        <w:rPr>
          <w:rFonts w:asciiTheme="minorHAnsi" w:hAnsiTheme="minorHAnsi" w:cstheme="minorHAnsi"/>
          <w:noProof/>
          <w:sz w:val="22"/>
          <w:szCs w:val="22"/>
          <w:vertAlign w:val="superscript"/>
        </w:rPr>
        <w:footnoteReference w:id="119"/>
      </w:r>
      <w:r w:rsidR="4D3771A4" w:rsidRPr="00890249">
        <w:rPr>
          <w:rFonts w:asciiTheme="minorHAnsi" w:hAnsiTheme="minorHAnsi" w:cstheme="minorHAnsi"/>
          <w:noProof/>
          <w:sz w:val="22"/>
          <w:szCs w:val="22"/>
        </w:rPr>
        <w:t>. J</w:t>
      </w:r>
      <w:r w:rsidR="042E255B" w:rsidRPr="00890249">
        <w:rPr>
          <w:rFonts w:asciiTheme="minorHAnsi" w:hAnsiTheme="minorHAnsi" w:cstheme="minorHAnsi"/>
          <w:noProof/>
          <w:sz w:val="22"/>
          <w:szCs w:val="22"/>
        </w:rPr>
        <w:t>ak wskazują wyniki badania przeprowadzonego przez Opolskie Obserwatorium Terytorialne</w:t>
      </w:r>
      <w:r w:rsidR="38DC1330" w:rsidRPr="00890249">
        <w:rPr>
          <w:rFonts w:asciiTheme="minorHAnsi" w:hAnsiTheme="minorHAnsi" w:cstheme="minorHAnsi"/>
          <w:noProof/>
          <w:sz w:val="22"/>
          <w:szCs w:val="22"/>
        </w:rPr>
        <w:t>,</w:t>
      </w:r>
      <w:r w:rsidR="042E255B" w:rsidRPr="00890249">
        <w:rPr>
          <w:rFonts w:asciiTheme="minorHAnsi" w:hAnsiTheme="minorHAnsi" w:cstheme="minorHAnsi"/>
          <w:noProof/>
          <w:sz w:val="22"/>
          <w:szCs w:val="22"/>
        </w:rPr>
        <w:t xml:space="preserve"> część samorządów regionu uznaje istniejącą infrastrukturę przeciwpowodziową za niewystarczająco rozwiniętą</w:t>
      </w:r>
      <w:r w:rsidR="00841049" w:rsidRPr="00890249">
        <w:rPr>
          <w:rFonts w:asciiTheme="minorHAnsi" w:hAnsiTheme="minorHAnsi" w:cstheme="minorHAnsi"/>
          <w:noProof/>
          <w:sz w:val="22"/>
          <w:szCs w:val="22"/>
          <w:vertAlign w:val="superscript"/>
        </w:rPr>
        <w:footnoteReference w:id="120"/>
      </w:r>
      <w:r w:rsidR="042E255B" w:rsidRPr="00890249">
        <w:rPr>
          <w:rFonts w:asciiTheme="minorHAnsi" w:hAnsiTheme="minorHAnsi" w:cstheme="minorHAnsi"/>
          <w:noProof/>
          <w:sz w:val="22"/>
          <w:szCs w:val="22"/>
        </w:rPr>
        <w:t xml:space="preserve">, a tym samym </w:t>
      </w:r>
      <w:r w:rsidR="042E255B" w:rsidRPr="00890249">
        <w:rPr>
          <w:rFonts w:asciiTheme="minorHAnsi" w:hAnsiTheme="minorHAnsi" w:cstheme="minorHAnsi"/>
          <w:sz w:val="22"/>
          <w:szCs w:val="22"/>
        </w:rPr>
        <w:t>wciąż nie zapewniającą pełnego bezpieczeństwa mieszkańcom Opolszczyzny</w:t>
      </w:r>
      <w:r w:rsidR="042E255B" w:rsidRPr="00890249">
        <w:rPr>
          <w:rFonts w:asciiTheme="minorHAnsi" w:hAnsiTheme="minorHAnsi" w:cstheme="minorHAnsi"/>
          <w:noProof/>
          <w:sz w:val="22"/>
          <w:szCs w:val="22"/>
        </w:rPr>
        <w:t xml:space="preserve">. </w:t>
      </w:r>
    </w:p>
    <w:p w14:paraId="1392C0AE" w14:textId="21894F0F" w:rsidR="0093433C" w:rsidRPr="00890249" w:rsidRDefault="22E3FA5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Ponadto skutki postępujących zmian klimatu wywołują, oprócz zagrożenia powodzią, nasilenie także innych zjawisk ekstremalnych, takich jak susze, fale upałów, </w:t>
      </w:r>
      <w:r w:rsidR="32740351" w:rsidRPr="00890249">
        <w:rPr>
          <w:rFonts w:asciiTheme="minorHAnsi" w:hAnsiTheme="minorHAnsi" w:cstheme="minorHAnsi"/>
          <w:noProof/>
          <w:sz w:val="22"/>
          <w:szCs w:val="22"/>
        </w:rPr>
        <w:t xml:space="preserve">gwałtowne burze, </w:t>
      </w:r>
      <w:r w:rsidRPr="00890249">
        <w:rPr>
          <w:rFonts w:asciiTheme="minorHAnsi" w:hAnsiTheme="minorHAnsi" w:cstheme="minorHAnsi"/>
          <w:noProof/>
          <w:sz w:val="22"/>
          <w:szCs w:val="22"/>
        </w:rPr>
        <w:t>porywiste wiatry i</w:t>
      </w:r>
      <w:r w:rsidR="08F5D686" w:rsidRPr="00890249">
        <w:rPr>
          <w:rFonts w:asciiTheme="minorHAnsi" w:hAnsiTheme="minorHAnsi" w:cstheme="minorHAnsi"/>
          <w:noProof/>
          <w:sz w:val="22"/>
          <w:szCs w:val="22"/>
        </w:rPr>
        <w:t>tp</w:t>
      </w:r>
      <w:r w:rsidRPr="00890249">
        <w:rPr>
          <w:rFonts w:asciiTheme="minorHAnsi" w:hAnsiTheme="minorHAnsi" w:cstheme="minorHAnsi"/>
          <w:noProof/>
          <w:sz w:val="22"/>
          <w:szCs w:val="22"/>
        </w:rPr>
        <w:t xml:space="preserve">. </w:t>
      </w:r>
      <w:r w:rsidR="08F5D686" w:rsidRPr="00890249">
        <w:rPr>
          <w:rFonts w:asciiTheme="minorHAnsi" w:hAnsiTheme="minorHAnsi" w:cstheme="minorHAnsi"/>
          <w:noProof/>
          <w:sz w:val="22"/>
          <w:szCs w:val="22"/>
        </w:rPr>
        <w:t>Z </w:t>
      </w:r>
      <w:r w:rsidR="32740351" w:rsidRPr="00890249">
        <w:rPr>
          <w:rFonts w:asciiTheme="minorHAnsi" w:hAnsiTheme="minorHAnsi" w:cstheme="minorHAnsi"/>
          <w:noProof/>
          <w:sz w:val="22"/>
          <w:szCs w:val="22"/>
        </w:rPr>
        <w:t>powodu susz następują straty w produkcji rolnej i leśnej oraz zwiększa się ryzyko</w:t>
      </w:r>
      <w:r w:rsidR="2A3478A9" w:rsidRPr="00890249">
        <w:rPr>
          <w:rFonts w:asciiTheme="minorHAnsi" w:hAnsiTheme="minorHAnsi" w:cstheme="minorHAnsi"/>
          <w:noProof/>
          <w:sz w:val="22"/>
          <w:szCs w:val="22"/>
        </w:rPr>
        <w:t xml:space="preserve"> poż</w:t>
      </w:r>
      <w:r w:rsidR="6AFE6660" w:rsidRPr="00890249">
        <w:rPr>
          <w:rFonts w:asciiTheme="minorHAnsi" w:hAnsiTheme="minorHAnsi" w:cstheme="minorHAnsi"/>
          <w:noProof/>
          <w:sz w:val="22"/>
          <w:szCs w:val="22"/>
        </w:rPr>
        <w:t>ar</w:t>
      </w:r>
      <w:r w:rsidR="32740351" w:rsidRPr="00890249">
        <w:rPr>
          <w:rFonts w:asciiTheme="minorHAnsi" w:hAnsiTheme="minorHAnsi" w:cstheme="minorHAnsi"/>
          <w:noProof/>
          <w:sz w:val="22"/>
          <w:szCs w:val="22"/>
        </w:rPr>
        <w:t>ów</w:t>
      </w:r>
      <w:r w:rsidR="08F5D686" w:rsidRPr="00890249">
        <w:rPr>
          <w:rFonts w:asciiTheme="minorHAnsi" w:hAnsiTheme="minorHAnsi" w:cstheme="minorHAnsi"/>
          <w:noProof/>
          <w:sz w:val="22"/>
          <w:szCs w:val="22"/>
        </w:rPr>
        <w:t>, głównie</w:t>
      </w:r>
      <w:r w:rsidR="6AFE6660" w:rsidRPr="00890249">
        <w:rPr>
          <w:rFonts w:asciiTheme="minorHAnsi" w:hAnsiTheme="minorHAnsi" w:cstheme="minorHAnsi"/>
          <w:noProof/>
          <w:sz w:val="22"/>
          <w:szCs w:val="22"/>
        </w:rPr>
        <w:t xml:space="preserve"> lasów. Powierzchnia lasów dotkniętych pożarami w woj. opolskim systematycznie wzrasta i w 2020 r. wyniosła 12,68 ha</w:t>
      </w:r>
      <w:r w:rsidR="00B64E8B" w:rsidRPr="00890249">
        <w:rPr>
          <w:rStyle w:val="Odwoanieprzypisudolnego"/>
          <w:rFonts w:asciiTheme="minorHAnsi" w:eastAsia="Times New Roman" w:hAnsiTheme="minorHAnsi" w:cstheme="minorHAnsi"/>
          <w:noProof/>
          <w:sz w:val="22"/>
          <w:szCs w:val="22"/>
        </w:rPr>
        <w:footnoteReference w:id="121"/>
      </w:r>
      <w:r w:rsidR="6AFE6660" w:rsidRPr="00890249">
        <w:rPr>
          <w:rFonts w:asciiTheme="minorHAnsi" w:hAnsiTheme="minorHAnsi" w:cstheme="minorHAnsi"/>
          <w:noProof/>
          <w:sz w:val="22"/>
          <w:szCs w:val="22"/>
        </w:rPr>
        <w:t xml:space="preserve">. </w:t>
      </w:r>
      <w:r w:rsidR="4D3771A4" w:rsidRPr="00890249">
        <w:rPr>
          <w:rFonts w:asciiTheme="minorHAnsi" w:hAnsiTheme="minorHAnsi" w:cstheme="minorHAnsi"/>
          <w:noProof/>
          <w:sz w:val="22"/>
          <w:szCs w:val="22"/>
        </w:rPr>
        <w:t>Dlatego też</w:t>
      </w:r>
      <w:r w:rsidR="38DC1330" w:rsidRPr="00890249">
        <w:rPr>
          <w:rFonts w:asciiTheme="minorHAnsi" w:hAnsiTheme="minorHAnsi" w:cstheme="minorHAnsi"/>
          <w:noProof/>
          <w:sz w:val="22"/>
          <w:szCs w:val="22"/>
        </w:rPr>
        <w:t xml:space="preserve"> </w:t>
      </w:r>
      <w:r w:rsidR="4D3771A4" w:rsidRPr="00890249">
        <w:rPr>
          <w:rFonts w:asciiTheme="minorHAnsi" w:hAnsiTheme="minorHAnsi" w:cstheme="minorHAnsi"/>
          <w:noProof/>
          <w:sz w:val="22"/>
          <w:szCs w:val="22"/>
        </w:rPr>
        <w:t>pomimo, że w ramach RPO WO 2014-2020 zakupiono samochody ratowniczo-gaśnicze oraz doposażono niektóre OSP w sprzęt specjalistyczny</w:t>
      </w:r>
      <w:r w:rsidR="009C3078" w:rsidRPr="00890249">
        <w:rPr>
          <w:rFonts w:asciiTheme="minorHAnsi" w:hAnsiTheme="minorHAnsi" w:cstheme="minorHAnsi"/>
          <w:noProof/>
          <w:sz w:val="22"/>
          <w:szCs w:val="22"/>
          <w:vertAlign w:val="superscript"/>
        </w:rPr>
        <w:footnoteReference w:id="122"/>
      </w:r>
      <w:r w:rsidR="4D3771A4" w:rsidRPr="00890249">
        <w:rPr>
          <w:rFonts w:asciiTheme="minorHAnsi" w:hAnsiTheme="minorHAnsi" w:cstheme="minorHAnsi"/>
          <w:noProof/>
          <w:sz w:val="22"/>
          <w:szCs w:val="22"/>
        </w:rPr>
        <w:t xml:space="preserve">, konieczne są dalsze </w:t>
      </w:r>
      <w:r w:rsidR="4D3771A4" w:rsidRPr="00890249">
        <w:rPr>
          <w:rFonts w:asciiTheme="minorHAnsi" w:hAnsiTheme="minorHAnsi" w:cstheme="minorHAnsi"/>
          <w:noProof/>
          <w:sz w:val="22"/>
          <w:szCs w:val="22"/>
        </w:rPr>
        <w:lastRenderedPageBreak/>
        <w:t>inwestycje w tym zakresie, szczególnie że większość samochodów ratowniczo-gaśniczych, którymi dysponują OSP w regionie ma ponad 20 lat</w:t>
      </w:r>
      <w:r w:rsidR="009C3078" w:rsidRPr="00890249">
        <w:rPr>
          <w:rFonts w:asciiTheme="minorHAnsi" w:hAnsiTheme="minorHAnsi" w:cstheme="minorHAnsi"/>
          <w:noProof/>
          <w:sz w:val="22"/>
          <w:szCs w:val="22"/>
          <w:vertAlign w:val="superscript"/>
        </w:rPr>
        <w:footnoteReference w:id="123"/>
      </w:r>
      <w:r w:rsidR="4D3771A4" w:rsidRPr="00890249">
        <w:rPr>
          <w:rFonts w:asciiTheme="minorHAnsi" w:hAnsiTheme="minorHAnsi" w:cstheme="minorHAnsi"/>
          <w:noProof/>
          <w:sz w:val="22"/>
          <w:szCs w:val="22"/>
        </w:rPr>
        <w:t>.</w:t>
      </w:r>
      <w:r w:rsidR="4BD287B1" w:rsidRPr="00890249">
        <w:rPr>
          <w:rFonts w:asciiTheme="minorHAnsi" w:hAnsiTheme="minorHAnsi" w:cstheme="minorHAnsi"/>
          <w:noProof/>
          <w:sz w:val="22"/>
          <w:szCs w:val="22"/>
        </w:rPr>
        <w:t xml:space="preserve"> </w:t>
      </w:r>
      <w:r w:rsidR="089B2752" w:rsidRPr="00890249">
        <w:rPr>
          <w:rFonts w:asciiTheme="minorHAnsi" w:hAnsiTheme="minorHAnsi" w:cstheme="minorHAnsi"/>
          <w:sz w:val="22"/>
          <w:szCs w:val="22"/>
        </w:rPr>
        <w:t xml:space="preserve">W celu zapewnienia wysokiej jakości usług </w:t>
      </w:r>
      <w:r w:rsidR="4A80BB8B" w:rsidRPr="00890249">
        <w:rPr>
          <w:rFonts w:asciiTheme="minorHAnsi" w:hAnsiTheme="minorHAnsi" w:cstheme="minorHAnsi"/>
          <w:sz w:val="22"/>
          <w:szCs w:val="22"/>
        </w:rPr>
        <w:t xml:space="preserve"> </w:t>
      </w:r>
      <w:r w:rsidR="00B57678" w:rsidRPr="00890249">
        <w:rPr>
          <w:rFonts w:asciiTheme="minorHAnsi" w:hAnsiTheme="minorHAnsi" w:cstheme="minorHAnsi"/>
          <w:sz w:val="22"/>
          <w:szCs w:val="22"/>
        </w:rPr>
        <w:t>finansowan</w:t>
      </w:r>
      <w:r w:rsidR="00B57678">
        <w:rPr>
          <w:rFonts w:asciiTheme="minorHAnsi" w:hAnsiTheme="minorHAnsi" w:cstheme="minorHAnsi"/>
          <w:sz w:val="22"/>
          <w:szCs w:val="22"/>
        </w:rPr>
        <w:t>a</w:t>
      </w:r>
      <w:r w:rsidR="089B2752" w:rsidRPr="00890249">
        <w:rPr>
          <w:rFonts w:asciiTheme="minorHAnsi" w:hAnsiTheme="minorHAnsi" w:cstheme="minorHAnsi"/>
          <w:sz w:val="22"/>
          <w:szCs w:val="22"/>
        </w:rPr>
        <w:t xml:space="preserve"> </w:t>
      </w:r>
      <w:r w:rsidR="00B57678" w:rsidRPr="00890249">
        <w:rPr>
          <w:rFonts w:asciiTheme="minorHAnsi" w:hAnsiTheme="minorHAnsi" w:cstheme="minorHAnsi"/>
          <w:sz w:val="22"/>
          <w:szCs w:val="22"/>
        </w:rPr>
        <w:t>będ</w:t>
      </w:r>
      <w:r w:rsidR="00B57678">
        <w:rPr>
          <w:rFonts w:asciiTheme="minorHAnsi" w:hAnsiTheme="minorHAnsi" w:cstheme="minorHAnsi"/>
          <w:sz w:val="22"/>
          <w:szCs w:val="22"/>
        </w:rPr>
        <w:t>zie Państwowa Straż Pożarna</w:t>
      </w:r>
      <w:r w:rsidR="0092021B">
        <w:rPr>
          <w:rFonts w:asciiTheme="minorHAnsi" w:hAnsiTheme="minorHAnsi" w:cstheme="minorHAnsi"/>
          <w:sz w:val="22"/>
          <w:szCs w:val="22"/>
        </w:rPr>
        <w:t>, Ochotnicze Straże Pożarne (</w:t>
      </w:r>
      <w:r w:rsidR="089B2752" w:rsidRPr="00890249">
        <w:rPr>
          <w:rFonts w:asciiTheme="minorHAnsi" w:hAnsiTheme="minorHAnsi" w:cstheme="minorHAnsi"/>
          <w:sz w:val="22"/>
          <w:szCs w:val="22"/>
        </w:rPr>
        <w:t>OSP</w:t>
      </w:r>
      <w:r w:rsidR="0092021B">
        <w:rPr>
          <w:rFonts w:asciiTheme="minorHAnsi" w:hAnsiTheme="minorHAnsi" w:cstheme="minorHAnsi"/>
          <w:sz w:val="22"/>
          <w:szCs w:val="22"/>
        </w:rPr>
        <w:t>)</w:t>
      </w:r>
      <w:r w:rsidR="089B2752" w:rsidRPr="00890249">
        <w:rPr>
          <w:rFonts w:asciiTheme="minorHAnsi" w:hAnsiTheme="minorHAnsi" w:cstheme="minorHAnsi"/>
          <w:sz w:val="22"/>
          <w:szCs w:val="22"/>
        </w:rPr>
        <w:t xml:space="preserve"> włączone do Krajowego Systemu Ratowniczo-Gaśniczego</w:t>
      </w:r>
      <w:r w:rsidR="00F304C8" w:rsidRPr="00890249">
        <w:rPr>
          <w:rFonts w:asciiTheme="minorHAnsi" w:hAnsiTheme="minorHAnsi" w:cstheme="minorHAnsi"/>
          <w:sz w:val="22"/>
          <w:szCs w:val="22"/>
        </w:rPr>
        <w:t xml:space="preserve"> (KSRG)</w:t>
      </w:r>
      <w:r w:rsidR="089B2752" w:rsidRPr="00890249">
        <w:rPr>
          <w:rFonts w:asciiTheme="minorHAnsi" w:hAnsiTheme="minorHAnsi" w:cstheme="minorHAnsi"/>
          <w:sz w:val="22"/>
          <w:szCs w:val="22"/>
        </w:rPr>
        <w:t xml:space="preserve"> </w:t>
      </w:r>
      <w:r w:rsidR="0092021B">
        <w:rPr>
          <w:rFonts w:asciiTheme="minorHAnsi" w:hAnsiTheme="minorHAnsi" w:cstheme="minorHAnsi"/>
          <w:sz w:val="22"/>
          <w:szCs w:val="22"/>
        </w:rPr>
        <w:t xml:space="preserve">oraz </w:t>
      </w:r>
      <w:r w:rsidR="089B2752" w:rsidRPr="00890249">
        <w:rPr>
          <w:rFonts w:asciiTheme="minorHAnsi" w:hAnsiTheme="minorHAnsi" w:cstheme="minorHAnsi"/>
          <w:sz w:val="22"/>
          <w:szCs w:val="22"/>
        </w:rPr>
        <w:t>OSP</w:t>
      </w:r>
      <w:r w:rsidR="00CB4A8C" w:rsidRPr="00890249">
        <w:rPr>
          <w:rFonts w:asciiTheme="minorHAnsi" w:hAnsiTheme="minorHAnsi" w:cstheme="minorHAnsi"/>
          <w:sz w:val="22"/>
          <w:szCs w:val="22"/>
        </w:rPr>
        <w:t xml:space="preserve"> ujęte w planie sieci jednostek </w:t>
      </w:r>
      <w:r w:rsidR="0092021B">
        <w:rPr>
          <w:rFonts w:asciiTheme="minorHAnsi" w:hAnsiTheme="minorHAnsi" w:cstheme="minorHAnsi"/>
          <w:sz w:val="22"/>
          <w:szCs w:val="22"/>
        </w:rPr>
        <w:t>OSP</w:t>
      </w:r>
      <w:r w:rsidR="089B2752" w:rsidRPr="00890249">
        <w:rPr>
          <w:rFonts w:asciiTheme="minorHAnsi" w:hAnsiTheme="minorHAnsi" w:cstheme="minorHAnsi"/>
          <w:sz w:val="22"/>
          <w:szCs w:val="22"/>
        </w:rPr>
        <w:t>, które</w:t>
      </w:r>
      <w:r w:rsidR="00CC2068" w:rsidRPr="00890249">
        <w:rPr>
          <w:rFonts w:asciiTheme="minorHAnsi" w:hAnsiTheme="minorHAnsi" w:cstheme="minorHAnsi"/>
          <w:sz w:val="22"/>
          <w:szCs w:val="22"/>
        </w:rPr>
        <w:t>,</w:t>
      </w:r>
      <w:r w:rsidR="70A44D13" w:rsidRPr="00890249">
        <w:rPr>
          <w:rFonts w:asciiTheme="minorHAnsi" w:hAnsiTheme="minorHAnsi" w:cstheme="minorHAnsi"/>
          <w:sz w:val="22"/>
          <w:szCs w:val="22"/>
        </w:rPr>
        <w:t xml:space="preserve"> </w:t>
      </w:r>
      <w:r w:rsidR="00F304C8" w:rsidRPr="00890249">
        <w:rPr>
          <w:rFonts w:asciiTheme="minorHAnsi" w:hAnsiTheme="minorHAnsi" w:cstheme="minorHAnsi"/>
          <w:sz w:val="22"/>
          <w:szCs w:val="22"/>
        </w:rPr>
        <w:t>dzięki</w:t>
      </w:r>
      <w:r w:rsidR="70A44D13" w:rsidRPr="00890249">
        <w:rPr>
          <w:rFonts w:asciiTheme="minorHAnsi" w:hAnsiTheme="minorHAnsi" w:cstheme="minorHAnsi"/>
          <w:sz w:val="22"/>
          <w:szCs w:val="22"/>
        </w:rPr>
        <w:t xml:space="preserve"> realizacji projektu</w:t>
      </w:r>
      <w:r w:rsidR="00CC2068" w:rsidRPr="00890249">
        <w:rPr>
          <w:rFonts w:asciiTheme="minorHAnsi" w:hAnsiTheme="minorHAnsi" w:cstheme="minorHAnsi"/>
          <w:sz w:val="22"/>
          <w:szCs w:val="22"/>
        </w:rPr>
        <w:t>,</w:t>
      </w:r>
      <w:r w:rsidR="70A44D13" w:rsidRPr="00890249">
        <w:rPr>
          <w:rFonts w:asciiTheme="minorHAnsi" w:hAnsiTheme="minorHAnsi" w:cstheme="minorHAnsi"/>
          <w:sz w:val="22"/>
          <w:szCs w:val="22"/>
        </w:rPr>
        <w:t xml:space="preserve"> </w:t>
      </w:r>
      <w:r w:rsidR="00F304C8" w:rsidRPr="00890249">
        <w:rPr>
          <w:rFonts w:asciiTheme="minorHAnsi" w:hAnsiTheme="minorHAnsi" w:cstheme="minorHAnsi"/>
          <w:sz w:val="22"/>
          <w:szCs w:val="22"/>
        </w:rPr>
        <w:t>będą</w:t>
      </w:r>
      <w:r w:rsidR="70A44D13" w:rsidRPr="00890249">
        <w:rPr>
          <w:rFonts w:asciiTheme="minorHAnsi" w:hAnsiTheme="minorHAnsi" w:cstheme="minorHAnsi"/>
          <w:sz w:val="22"/>
          <w:szCs w:val="22"/>
        </w:rPr>
        <w:t xml:space="preserve"> </w:t>
      </w:r>
      <w:r w:rsidR="00F304C8" w:rsidRPr="00890249">
        <w:rPr>
          <w:rFonts w:asciiTheme="minorHAnsi" w:hAnsiTheme="minorHAnsi" w:cstheme="minorHAnsi"/>
          <w:sz w:val="22"/>
          <w:szCs w:val="22"/>
        </w:rPr>
        <w:t>wypełniać</w:t>
      </w:r>
      <w:r w:rsidR="70A44D13" w:rsidRPr="00890249">
        <w:rPr>
          <w:rFonts w:asciiTheme="minorHAnsi" w:hAnsiTheme="minorHAnsi" w:cstheme="minorHAnsi"/>
          <w:sz w:val="22"/>
          <w:szCs w:val="22"/>
        </w:rPr>
        <w:t xml:space="preserve"> kryteria </w:t>
      </w:r>
      <w:r w:rsidR="00CB4A8C" w:rsidRPr="00890249">
        <w:rPr>
          <w:rFonts w:asciiTheme="minorHAnsi" w:hAnsiTheme="minorHAnsi" w:cstheme="minorHAnsi"/>
          <w:sz w:val="22"/>
          <w:szCs w:val="22"/>
        </w:rPr>
        <w:t>kwalifikujące je do struktur</w:t>
      </w:r>
      <w:r w:rsidR="00432AA2" w:rsidRPr="00890249">
        <w:rPr>
          <w:rFonts w:asciiTheme="minorHAnsi" w:hAnsiTheme="minorHAnsi" w:cstheme="minorHAnsi"/>
          <w:sz w:val="22"/>
          <w:szCs w:val="22"/>
        </w:rPr>
        <w:t xml:space="preserve"> </w:t>
      </w:r>
      <w:r w:rsidR="70A44D13" w:rsidRPr="00890249">
        <w:rPr>
          <w:rFonts w:asciiTheme="minorHAnsi" w:hAnsiTheme="minorHAnsi" w:cstheme="minorHAnsi"/>
          <w:sz w:val="22"/>
          <w:szCs w:val="22"/>
        </w:rPr>
        <w:t>KSRG</w:t>
      </w:r>
      <w:r w:rsidR="00432AA2" w:rsidRPr="00890249">
        <w:rPr>
          <w:rFonts w:asciiTheme="minorHAnsi" w:hAnsiTheme="minorHAnsi" w:cstheme="minorHAnsi"/>
          <w:sz w:val="22"/>
          <w:szCs w:val="22"/>
        </w:rPr>
        <w:t xml:space="preserve">, a co za tym idzie </w:t>
      </w:r>
      <w:r w:rsidR="00F304C8" w:rsidRPr="00890249">
        <w:rPr>
          <w:rFonts w:asciiTheme="minorHAnsi" w:hAnsiTheme="minorHAnsi" w:cstheme="minorHAnsi"/>
          <w:sz w:val="22"/>
          <w:szCs w:val="22"/>
        </w:rPr>
        <w:t>będą</w:t>
      </w:r>
      <w:r w:rsidR="70A44D13" w:rsidRPr="00890249">
        <w:rPr>
          <w:rFonts w:asciiTheme="minorHAnsi" w:hAnsiTheme="minorHAnsi" w:cstheme="minorHAnsi"/>
          <w:sz w:val="22"/>
          <w:szCs w:val="22"/>
        </w:rPr>
        <w:t xml:space="preserve"> </w:t>
      </w:r>
      <w:r w:rsidR="00F304C8" w:rsidRPr="00890249">
        <w:rPr>
          <w:rFonts w:asciiTheme="minorHAnsi" w:hAnsiTheme="minorHAnsi" w:cstheme="minorHAnsi"/>
          <w:sz w:val="22"/>
          <w:szCs w:val="22"/>
        </w:rPr>
        <w:t>mogły</w:t>
      </w:r>
      <w:r w:rsidR="70A44D13" w:rsidRPr="00890249">
        <w:rPr>
          <w:rFonts w:asciiTheme="minorHAnsi" w:hAnsiTheme="minorHAnsi" w:cstheme="minorHAnsi"/>
          <w:sz w:val="22"/>
          <w:szCs w:val="22"/>
        </w:rPr>
        <w:t xml:space="preserve"> </w:t>
      </w:r>
      <w:r w:rsidR="00F304C8" w:rsidRPr="00890249">
        <w:rPr>
          <w:rFonts w:asciiTheme="minorHAnsi" w:hAnsiTheme="minorHAnsi" w:cstheme="minorHAnsi"/>
          <w:sz w:val="22"/>
          <w:szCs w:val="22"/>
        </w:rPr>
        <w:t>ubiegać</w:t>
      </w:r>
      <w:r w:rsidR="70A44D13" w:rsidRPr="00890249">
        <w:rPr>
          <w:rFonts w:asciiTheme="minorHAnsi" w:hAnsiTheme="minorHAnsi" w:cstheme="minorHAnsi"/>
          <w:sz w:val="22"/>
          <w:szCs w:val="22"/>
        </w:rPr>
        <w:t xml:space="preserve"> </w:t>
      </w:r>
      <w:r w:rsidR="00F304C8" w:rsidRPr="00890249">
        <w:rPr>
          <w:rFonts w:asciiTheme="minorHAnsi" w:hAnsiTheme="minorHAnsi" w:cstheme="minorHAnsi"/>
          <w:sz w:val="22"/>
          <w:szCs w:val="22"/>
        </w:rPr>
        <w:t>się</w:t>
      </w:r>
      <w:r w:rsidR="000B2721">
        <w:rPr>
          <w:rFonts w:asciiTheme="minorHAnsi" w:hAnsiTheme="minorHAnsi" w:cstheme="minorHAnsi"/>
          <w:sz w:val="22"/>
          <w:szCs w:val="22"/>
        </w:rPr>
        <w:t xml:space="preserve"> o </w:t>
      </w:r>
      <w:r w:rsidR="00F304C8" w:rsidRPr="00890249">
        <w:rPr>
          <w:rFonts w:asciiTheme="minorHAnsi" w:hAnsiTheme="minorHAnsi" w:cstheme="minorHAnsi"/>
          <w:sz w:val="22"/>
          <w:szCs w:val="22"/>
        </w:rPr>
        <w:t>włączenie</w:t>
      </w:r>
      <w:r w:rsidR="00432AA2" w:rsidRPr="00890249">
        <w:rPr>
          <w:rFonts w:asciiTheme="minorHAnsi" w:hAnsiTheme="minorHAnsi" w:cstheme="minorHAnsi"/>
          <w:sz w:val="22"/>
          <w:szCs w:val="22"/>
        </w:rPr>
        <w:t xml:space="preserve"> do tej sieci</w:t>
      </w:r>
      <w:r w:rsidR="00CB4A8C" w:rsidRPr="00890249">
        <w:rPr>
          <w:rFonts w:asciiTheme="minorHAnsi" w:hAnsiTheme="minorHAnsi" w:cstheme="minorHAnsi"/>
          <w:sz w:val="22"/>
          <w:szCs w:val="22"/>
        </w:rPr>
        <w:t>.</w:t>
      </w:r>
      <w:r w:rsidR="1A52C3D9" w:rsidRPr="00890249">
        <w:rPr>
          <w:rFonts w:asciiTheme="minorHAnsi" w:hAnsiTheme="minorHAnsi" w:cstheme="minorHAnsi"/>
          <w:noProof/>
          <w:sz w:val="22"/>
          <w:szCs w:val="22"/>
        </w:rPr>
        <w:t xml:space="preserve"> </w:t>
      </w:r>
      <w:r w:rsidR="4BD287B1" w:rsidRPr="00890249">
        <w:rPr>
          <w:rFonts w:asciiTheme="minorHAnsi" w:hAnsiTheme="minorHAnsi" w:cstheme="minorHAnsi"/>
          <w:noProof/>
          <w:sz w:val="22"/>
          <w:szCs w:val="22"/>
        </w:rPr>
        <w:t>W kontekście pożarów las</w:t>
      </w:r>
      <w:r w:rsidR="002B0DAF" w:rsidRPr="00890249">
        <w:rPr>
          <w:rFonts w:asciiTheme="minorHAnsi" w:hAnsiTheme="minorHAnsi" w:cstheme="minorHAnsi"/>
          <w:noProof/>
          <w:sz w:val="22"/>
          <w:szCs w:val="22"/>
        </w:rPr>
        <w:t>ów</w:t>
      </w:r>
      <w:r w:rsidR="4BD287B1" w:rsidRPr="00890249">
        <w:rPr>
          <w:rFonts w:asciiTheme="minorHAnsi" w:hAnsiTheme="minorHAnsi" w:cstheme="minorHAnsi"/>
          <w:noProof/>
          <w:sz w:val="22"/>
          <w:szCs w:val="22"/>
        </w:rPr>
        <w:t xml:space="preserve"> ważne są również inwestycje w infrastrukturę ochrony tych obszarów, w tym zwłaszcza związaną z magazynowaniem wody</w:t>
      </w:r>
      <w:r w:rsidR="3AC2064C" w:rsidRPr="00890249">
        <w:rPr>
          <w:rFonts w:asciiTheme="minorHAnsi" w:hAnsiTheme="minorHAnsi" w:cstheme="minorHAnsi"/>
          <w:noProof/>
          <w:sz w:val="22"/>
          <w:szCs w:val="22"/>
        </w:rPr>
        <w:t xml:space="preserve"> </w:t>
      </w:r>
      <w:r w:rsidR="537AF61E" w:rsidRPr="00890249">
        <w:rPr>
          <w:rFonts w:asciiTheme="minorHAnsi" w:hAnsiTheme="minorHAnsi" w:cstheme="minorHAnsi"/>
          <w:noProof/>
          <w:sz w:val="22"/>
          <w:szCs w:val="22"/>
        </w:rPr>
        <w:t>oraz systemami</w:t>
      </w:r>
      <w:r w:rsidR="4BD287B1" w:rsidRPr="00890249">
        <w:rPr>
          <w:rFonts w:asciiTheme="minorHAnsi" w:hAnsiTheme="minorHAnsi" w:cstheme="minorHAnsi"/>
          <w:noProof/>
          <w:sz w:val="22"/>
          <w:szCs w:val="22"/>
        </w:rPr>
        <w:t xml:space="preserve"> obserwacyjno-alarmowym</w:t>
      </w:r>
      <w:r w:rsidR="537AF61E" w:rsidRPr="00890249">
        <w:rPr>
          <w:rFonts w:asciiTheme="minorHAnsi" w:hAnsiTheme="minorHAnsi" w:cstheme="minorHAnsi"/>
          <w:noProof/>
          <w:sz w:val="22"/>
          <w:szCs w:val="22"/>
        </w:rPr>
        <w:t>i</w:t>
      </w:r>
      <w:r w:rsidR="4BD287B1" w:rsidRPr="00890249">
        <w:rPr>
          <w:rFonts w:asciiTheme="minorHAnsi" w:hAnsiTheme="minorHAnsi" w:cstheme="minorHAnsi"/>
          <w:noProof/>
          <w:sz w:val="22"/>
          <w:szCs w:val="22"/>
        </w:rPr>
        <w:t xml:space="preserve">. </w:t>
      </w:r>
    </w:p>
    <w:p w14:paraId="337992FE" w14:textId="07577360" w:rsidR="0093433C" w:rsidRPr="00890249" w:rsidRDefault="042E255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związku z tym, że region posiada tereny rolnicze o znacznym potencjale, zwraca się uwagę, że zagrożenia suszami oraz opadanie poziomu</w:t>
      </w:r>
      <w:r w:rsidR="38DC1330"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wód gruntowych mogą spowodować w przyszłości znaczne zahamowanie rozwoju</w:t>
      </w:r>
      <w:r w:rsidR="38DC1330"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społeczno-gospodarczego</w:t>
      </w:r>
      <w:r w:rsidR="00841049" w:rsidRPr="00890249">
        <w:rPr>
          <w:rStyle w:val="Odwoanieprzypisudolnego"/>
          <w:rFonts w:asciiTheme="minorHAnsi" w:eastAsia="Times New Roman" w:hAnsiTheme="minorHAnsi" w:cstheme="minorHAnsi"/>
          <w:noProof/>
          <w:sz w:val="22"/>
          <w:szCs w:val="22"/>
        </w:rPr>
        <w:footnoteReference w:id="124"/>
      </w:r>
      <w:r w:rsidRPr="00890249">
        <w:rPr>
          <w:rFonts w:asciiTheme="minorHAnsi" w:hAnsiTheme="minorHAnsi" w:cstheme="minorHAnsi"/>
          <w:noProof/>
          <w:sz w:val="22"/>
          <w:szCs w:val="22"/>
        </w:rPr>
        <w:t>. W</w:t>
      </w:r>
      <w:r w:rsidR="002B0DAF" w:rsidRPr="00890249">
        <w:rPr>
          <w:rFonts w:asciiTheme="minorHAnsi" w:hAnsiTheme="minorHAnsi" w:cstheme="minorHAnsi"/>
          <w:noProof/>
          <w:sz w:val="22"/>
          <w:szCs w:val="22"/>
        </w:rPr>
        <w:t>ś</w:t>
      </w:r>
      <w:r w:rsidRPr="00890249">
        <w:rPr>
          <w:rFonts w:asciiTheme="minorHAnsi" w:hAnsiTheme="minorHAnsi" w:cstheme="minorHAnsi"/>
          <w:noProof/>
          <w:sz w:val="22"/>
          <w:szCs w:val="22"/>
        </w:rPr>
        <w:t>ród działań ukierunkowanych na łagodzenie skutków tego zjawiska jest poprawa zarządzania zasobami wodnymi</w:t>
      </w:r>
      <w:r w:rsidR="002B0DAF"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m.in. poprzez wykorzystanie wód pochodzących z opadów atmosferycznych w miejscu występowania opadu. </w:t>
      </w:r>
    </w:p>
    <w:p w14:paraId="303C60DE" w14:textId="77777777" w:rsidR="0093433C" w:rsidRPr="00890249" w:rsidRDefault="4D3771A4"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związku z powyższym, aby przeciwdziałać skutkom ww. zjawisk konieczna jest realizacja projektów wpływających na poprawę lokalnego bilansu wodnego, np. w postaci mikroretencji (gromadzenie wody w wielu miejscach na danym obszarze, dotyczy zarówno zbiorników naturalnych, jak też sztucznych)</w:t>
      </w:r>
      <w:r w:rsidR="517A61BD"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pozwalającej na opóźnienie lub zmniejszenie odpływu oraz wzrost zasilania wód podziemnych oraz inwestycje w zieloną i niebieską infrastrukturę. Poprawa stosunków wodnych pozytywnie wpłynie na mikroklimat poprzez wzrost dostępności wody dla roślin i zwierząt, wzrost różnorodności, a także</w:t>
      </w:r>
      <w:r w:rsidR="745F217F" w:rsidRPr="00890249">
        <w:rPr>
          <w:rFonts w:asciiTheme="minorHAnsi" w:hAnsiTheme="minorHAnsi" w:cstheme="minorHAnsi"/>
          <w:noProof/>
          <w:sz w:val="22"/>
          <w:szCs w:val="22"/>
        </w:rPr>
        <w:t xml:space="preserve"> </w:t>
      </w:r>
      <w:r w:rsidR="002B0DAF" w:rsidRPr="00890249">
        <w:rPr>
          <w:rFonts w:asciiTheme="minorHAnsi" w:hAnsiTheme="minorHAnsi" w:cstheme="minorHAnsi"/>
          <w:noProof/>
          <w:sz w:val="22"/>
          <w:szCs w:val="22"/>
        </w:rPr>
        <w:t>z</w:t>
      </w:r>
      <w:r w:rsidRPr="00890249">
        <w:rPr>
          <w:rFonts w:asciiTheme="minorHAnsi" w:hAnsiTheme="minorHAnsi" w:cstheme="minorHAnsi"/>
          <w:noProof/>
          <w:sz w:val="22"/>
          <w:szCs w:val="22"/>
        </w:rPr>
        <w:t>minimalizuje skutki wystąpienia ekstremalnych zjawisk hydrologiczno-meteorologicznych w skali lokalnej</w:t>
      </w:r>
      <w:r w:rsidR="009C3078" w:rsidRPr="00890249">
        <w:rPr>
          <w:rStyle w:val="Odwoanieprzypisudolnego"/>
          <w:rFonts w:asciiTheme="minorHAnsi" w:eastAsia="Times New Roman" w:hAnsiTheme="minorHAnsi" w:cstheme="minorHAnsi"/>
          <w:noProof/>
          <w:sz w:val="22"/>
          <w:szCs w:val="22"/>
        </w:rPr>
        <w:footnoteReference w:id="125"/>
      </w:r>
      <w:r w:rsidRPr="00890249">
        <w:rPr>
          <w:rFonts w:asciiTheme="minorHAnsi" w:hAnsiTheme="minorHAnsi" w:cstheme="minorHAnsi"/>
          <w:noProof/>
          <w:sz w:val="22"/>
          <w:szCs w:val="22"/>
        </w:rPr>
        <w:t>.</w:t>
      </w:r>
    </w:p>
    <w:p w14:paraId="6D30C026" w14:textId="2C3680B3" w:rsidR="003A46C8" w:rsidRPr="00890249" w:rsidRDefault="003A46C8" w:rsidP="003A46C8">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Projekty dotyczące gospodarowania wodami opadowymi obejmujące budowę lub modernizację kanalizacji deszczowej muszą spełniać łącznie następujące warunki: </w:t>
      </w:r>
    </w:p>
    <w:p w14:paraId="7607A9F2" w14:textId="16A56D0D" w:rsidR="003A46C8" w:rsidRPr="00890249" w:rsidRDefault="003A46C8" w:rsidP="009F296A">
      <w:pPr>
        <w:pStyle w:val="Tekstpodstawowy"/>
        <w:numPr>
          <w:ilvl w:val="0"/>
          <w:numId w:val="171"/>
        </w:num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 xml:space="preserve">są uwzględnione w planach adaptacji do zmian klimatu (w przypadku </w:t>
      </w:r>
      <w:r w:rsidR="00F41199" w:rsidRPr="00890249">
        <w:rPr>
          <w:rFonts w:asciiTheme="minorHAnsi" w:hAnsiTheme="minorHAnsi" w:cstheme="minorHAnsi"/>
          <w:noProof/>
          <w:sz w:val="22"/>
          <w:szCs w:val="22"/>
        </w:rPr>
        <w:t>podmiotów</w:t>
      </w:r>
      <w:r w:rsidRPr="00890249">
        <w:rPr>
          <w:rFonts w:asciiTheme="minorHAnsi" w:hAnsiTheme="minorHAnsi" w:cstheme="minorHAnsi"/>
          <w:noProof/>
          <w:sz w:val="22"/>
          <w:szCs w:val="22"/>
        </w:rPr>
        <w:t xml:space="preserve">, dla których tego typu dokument jest obligatoryjny) lub </w:t>
      </w:r>
      <w:r w:rsidR="00F41199" w:rsidRPr="00890249">
        <w:rPr>
          <w:rFonts w:asciiTheme="minorHAnsi" w:hAnsiTheme="minorHAnsi" w:cstheme="minorHAnsi"/>
          <w:noProof/>
          <w:sz w:val="22"/>
          <w:szCs w:val="22"/>
        </w:rPr>
        <w:t xml:space="preserve">są </w:t>
      </w:r>
      <w:r w:rsidRPr="00890249">
        <w:rPr>
          <w:rFonts w:asciiTheme="minorHAnsi" w:hAnsiTheme="minorHAnsi" w:cstheme="minorHAnsi"/>
          <w:noProof/>
          <w:sz w:val="22"/>
          <w:szCs w:val="22"/>
        </w:rPr>
        <w:t>realizowane</w:t>
      </w:r>
      <w:r w:rsidR="00F41199"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na terenach gdzie istnieje zagrożenie powodziowe,</w:t>
      </w:r>
    </w:p>
    <w:p w14:paraId="6AF05061" w14:textId="48BDF173" w:rsidR="003A46C8" w:rsidRPr="00890249" w:rsidRDefault="003A46C8" w:rsidP="009F296A">
      <w:pPr>
        <w:pStyle w:val="Tekstpodstawowy"/>
        <w:numPr>
          <w:ilvl w:val="0"/>
          <w:numId w:val="171"/>
        </w:num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 xml:space="preserve">wykorzystują zieloną i niebieską infrastrukturę do zatrzymywania wody w miejscu upadku na terenach miejskich (nie na odpływie wody) oraz rozwiązania oparte na naturalnej mikro retencji, </w:t>
      </w:r>
    </w:p>
    <w:p w14:paraId="02F58ADB" w14:textId="18F1BB4E" w:rsidR="003A46C8" w:rsidRPr="00890249" w:rsidRDefault="003A46C8" w:rsidP="009F296A">
      <w:pPr>
        <w:pStyle w:val="Tekstpodstawowy"/>
        <w:numPr>
          <w:ilvl w:val="0"/>
          <w:numId w:val="171"/>
        </w:num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nie są związane z gospodarką ściekami komunalnymi.</w:t>
      </w:r>
    </w:p>
    <w:p w14:paraId="653FD738" w14:textId="77777777" w:rsidR="0093433C" w:rsidRPr="00890249" w:rsidRDefault="042E255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Zapobieganie ne</w:t>
      </w:r>
      <w:r w:rsidR="5DB6BDDB" w:rsidRPr="00890249">
        <w:rPr>
          <w:rFonts w:asciiTheme="minorHAnsi" w:hAnsiTheme="minorHAnsi" w:cstheme="minorHAnsi"/>
          <w:noProof/>
          <w:sz w:val="22"/>
          <w:szCs w:val="22"/>
        </w:rPr>
        <w:t>ga</w:t>
      </w:r>
      <w:r w:rsidRPr="00890249">
        <w:rPr>
          <w:rFonts w:asciiTheme="minorHAnsi" w:hAnsiTheme="minorHAnsi" w:cstheme="minorHAnsi"/>
          <w:noProof/>
          <w:sz w:val="22"/>
          <w:szCs w:val="22"/>
        </w:rPr>
        <w:t>tywnym skutkom zmian klimatu</w:t>
      </w:r>
      <w:r w:rsidR="5DB6BDDB" w:rsidRPr="00890249">
        <w:rPr>
          <w:rFonts w:asciiTheme="minorHAnsi" w:hAnsiTheme="minorHAnsi" w:cstheme="minorHAnsi"/>
          <w:noProof/>
          <w:sz w:val="22"/>
          <w:szCs w:val="22"/>
        </w:rPr>
        <w:t>, czy też awarii chemiczno-ekologicznych lub sanitarno-epidemiologicznych</w:t>
      </w:r>
      <w:r w:rsidR="78B4F7B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stanowi dziś istotne wyzwanie w zakresie</w:t>
      </w:r>
      <w:r w:rsidR="745F217F"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zarówno zapewnienia bezpieczeństwa ludności, jak i zachowania sprawności gospodarki</w:t>
      </w:r>
      <w:r w:rsidR="00841049" w:rsidRPr="00890249">
        <w:rPr>
          <w:rFonts w:asciiTheme="minorHAnsi" w:hAnsiTheme="minorHAnsi" w:cstheme="minorHAnsi"/>
          <w:noProof/>
          <w:sz w:val="22"/>
          <w:szCs w:val="22"/>
          <w:vertAlign w:val="superscript"/>
        </w:rPr>
        <w:footnoteReference w:id="126"/>
      </w:r>
      <w:r w:rsidRPr="00890249">
        <w:rPr>
          <w:rFonts w:asciiTheme="minorHAnsi" w:hAnsiTheme="minorHAnsi" w:cstheme="minorHAnsi"/>
          <w:noProof/>
          <w:sz w:val="22"/>
          <w:szCs w:val="22"/>
        </w:rPr>
        <w:t>.</w:t>
      </w:r>
      <w:r w:rsidR="78B4F7B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Dzięki skoordynowanej współpracy kilku lub kilkunastu podmiotów wspieranie działań w zakresie dostosowania do zmian klimatu i zapobiegania </w:t>
      </w:r>
      <w:r w:rsidR="233F1068" w:rsidRPr="00890249">
        <w:rPr>
          <w:rFonts w:asciiTheme="minorHAnsi" w:hAnsiTheme="minorHAnsi" w:cstheme="minorHAnsi"/>
          <w:noProof/>
          <w:sz w:val="22"/>
          <w:szCs w:val="22"/>
        </w:rPr>
        <w:t>innym ryzykom</w:t>
      </w:r>
      <w:r w:rsidRPr="00890249">
        <w:rPr>
          <w:rFonts w:asciiTheme="minorHAnsi" w:hAnsiTheme="minorHAnsi" w:cstheme="minorHAnsi"/>
          <w:noProof/>
          <w:sz w:val="22"/>
          <w:szCs w:val="22"/>
        </w:rPr>
        <w:t xml:space="preserve"> będzie efektywniejsze, umożliwi wymianę informacji w sytuacji kryzysowej i pozwoli poprawić infrastrukturę wykorzystywaną podczas zdarzeń nadzwyczajnych</w:t>
      </w:r>
      <w:r w:rsidR="233F1068" w:rsidRPr="00890249">
        <w:rPr>
          <w:rFonts w:asciiTheme="minorHAnsi" w:hAnsiTheme="minorHAnsi" w:cstheme="minorHAnsi"/>
          <w:noProof/>
          <w:sz w:val="22"/>
          <w:szCs w:val="22"/>
        </w:rPr>
        <w:t>.</w:t>
      </w:r>
    </w:p>
    <w:p w14:paraId="254CD58E" w14:textId="77777777" w:rsidR="0093433C" w:rsidRPr="00890249" w:rsidRDefault="00824E4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We 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 </w:t>
      </w:r>
    </w:p>
    <w:p w14:paraId="7284FDB8" w14:textId="77777777" w:rsidR="0093433C" w:rsidRPr="00890249" w:rsidRDefault="042E255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Powyższe planowane do realizacji</w:t>
      </w:r>
      <w:r w:rsidR="635336AD"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działania</w:t>
      </w:r>
      <w:r w:rsidR="745F217F" w:rsidRPr="00890249">
        <w:rPr>
          <w:rFonts w:asciiTheme="minorHAnsi" w:hAnsiTheme="minorHAnsi" w:cstheme="minorHAnsi"/>
          <w:noProof/>
          <w:sz w:val="22"/>
          <w:szCs w:val="22"/>
        </w:rPr>
        <w:t xml:space="preserve"> </w:t>
      </w:r>
      <w:r w:rsidR="239197DE" w:rsidRPr="00890249">
        <w:rPr>
          <w:rFonts w:asciiTheme="minorHAnsi" w:hAnsiTheme="minorHAnsi" w:cstheme="minorHAnsi"/>
          <w:noProof/>
          <w:sz w:val="22"/>
          <w:szCs w:val="22"/>
        </w:rPr>
        <w:t>wpisują się w zalecenia KE wskazujące na konieczność przystosowania się do zmian klimatu, zapobiegania ryzyku i wzmacnianiu odporności na klęski żywiołowe</w:t>
      </w:r>
      <w:r w:rsidR="3E016A1B" w:rsidRPr="00890249">
        <w:rPr>
          <w:rFonts w:asciiTheme="minorHAnsi" w:hAnsiTheme="minorHAnsi" w:cstheme="minorHAnsi"/>
          <w:noProof/>
          <w:sz w:val="22"/>
          <w:szCs w:val="22"/>
        </w:rPr>
        <w:t>,</w:t>
      </w:r>
      <w:r w:rsidR="239197DE" w:rsidRPr="00890249">
        <w:rPr>
          <w:rFonts w:asciiTheme="minorHAnsi" w:hAnsiTheme="minorHAnsi" w:cstheme="minorHAnsi"/>
          <w:noProof/>
          <w:sz w:val="22"/>
          <w:szCs w:val="22"/>
        </w:rPr>
        <w:t xml:space="preserve"> w tym przy priorytetowym traktowaniu rozwiązań opartych na ekosystemach</w:t>
      </w:r>
      <w:r w:rsidR="00841049" w:rsidRPr="00890249">
        <w:rPr>
          <w:rFonts w:asciiTheme="minorHAnsi" w:hAnsiTheme="minorHAnsi" w:cstheme="minorHAnsi"/>
          <w:i/>
          <w:iCs/>
          <w:noProof/>
          <w:sz w:val="22"/>
          <w:szCs w:val="22"/>
          <w:vertAlign w:val="superscript"/>
        </w:rPr>
        <w:footnoteReference w:id="127"/>
      </w:r>
      <w:r w:rsidR="239197DE" w:rsidRPr="00890249">
        <w:rPr>
          <w:rFonts w:asciiTheme="minorHAnsi" w:hAnsiTheme="minorHAnsi" w:cstheme="minorHAnsi"/>
          <w:noProof/>
          <w:sz w:val="22"/>
          <w:szCs w:val="22"/>
        </w:rPr>
        <w:t>.</w:t>
      </w:r>
    </w:p>
    <w:p w14:paraId="58A40332" w14:textId="77777777" w:rsidR="0093433C" w:rsidRPr="00890249" w:rsidRDefault="005A40D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p>
    <w:p w14:paraId="0EEAB8CB" w14:textId="57D69FAA" w:rsidR="00A63705"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A</w:t>
      </w:r>
      <w:r w:rsidR="79AF501C" w:rsidRPr="00890249">
        <w:rPr>
          <w:rFonts w:asciiTheme="minorHAnsi" w:eastAsia="Times New Roman" w:hAnsiTheme="minorHAnsi" w:cstheme="minorHAnsi"/>
          <w:noProof/>
          <w:sz w:val="22"/>
          <w:szCs w:val="22"/>
        </w:rPr>
        <w:t>daptacja terenów zurbanizowanych do zmian klimatu</w:t>
      </w:r>
      <w:r w:rsidR="516FD15B" w:rsidRPr="00890249">
        <w:rPr>
          <w:rFonts w:asciiTheme="minorHAnsi" w:eastAsia="Times New Roman" w:hAnsiTheme="minorHAnsi" w:cstheme="minorHAnsi"/>
          <w:noProof/>
          <w:sz w:val="22"/>
          <w:szCs w:val="22"/>
        </w:rPr>
        <w:t>, w tym opracowanie planów adaptacji miast do zmian klimatu</w:t>
      </w:r>
      <w:r w:rsidRPr="00890249">
        <w:rPr>
          <w:rFonts w:asciiTheme="minorHAnsi" w:eastAsia="Times New Roman" w:hAnsiTheme="minorHAnsi" w:cstheme="minorHAnsi"/>
          <w:noProof/>
          <w:sz w:val="22"/>
          <w:szCs w:val="22"/>
        </w:rPr>
        <w:t>.</w:t>
      </w:r>
    </w:p>
    <w:p w14:paraId="5DBFECCE" w14:textId="11F11C82" w:rsidR="00A63705"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P</w:t>
      </w:r>
      <w:r w:rsidR="005A40DC" w:rsidRPr="00890249">
        <w:rPr>
          <w:rFonts w:asciiTheme="minorHAnsi" w:eastAsia="Times New Roman" w:hAnsiTheme="minorHAnsi" w:cstheme="minorHAnsi"/>
          <w:noProof/>
          <w:sz w:val="22"/>
          <w:szCs w:val="22"/>
        </w:rPr>
        <w:t>rojekty z zakresu</w:t>
      </w:r>
      <w:r w:rsidR="005A50CA" w:rsidRPr="00890249">
        <w:rPr>
          <w:rFonts w:asciiTheme="minorHAnsi" w:eastAsia="Times New Roman" w:hAnsiTheme="minorHAnsi" w:cstheme="minorHAnsi"/>
          <w:noProof/>
          <w:sz w:val="22"/>
          <w:szCs w:val="22"/>
        </w:rPr>
        <w:t xml:space="preserve"> </w:t>
      </w:r>
      <w:r w:rsidR="00090E3A" w:rsidRPr="00890249">
        <w:rPr>
          <w:rFonts w:asciiTheme="minorHAnsi" w:eastAsia="Times New Roman" w:hAnsiTheme="minorHAnsi" w:cstheme="minorHAnsi"/>
          <w:noProof/>
          <w:sz w:val="22"/>
          <w:szCs w:val="22"/>
        </w:rPr>
        <w:t xml:space="preserve">retencjonowania wody (z wyłączeniem dużych zbiorników wodnych), w tym </w:t>
      </w:r>
      <w:r w:rsidR="005A50CA" w:rsidRPr="00890249">
        <w:rPr>
          <w:rFonts w:asciiTheme="minorHAnsi" w:eastAsia="Times New Roman" w:hAnsiTheme="minorHAnsi" w:cstheme="minorHAnsi"/>
          <w:noProof/>
          <w:sz w:val="22"/>
          <w:szCs w:val="22"/>
        </w:rPr>
        <w:t>małej retencji</w:t>
      </w:r>
      <w:r w:rsidR="00CD40FC" w:rsidRPr="00890249">
        <w:rPr>
          <w:rFonts w:asciiTheme="minorHAnsi" w:eastAsia="Times New Roman" w:hAnsiTheme="minorHAnsi" w:cstheme="minorHAnsi"/>
          <w:noProof/>
          <w:sz w:val="22"/>
          <w:szCs w:val="22"/>
        </w:rPr>
        <w:t>, retencji przydomowej</w:t>
      </w:r>
      <w:r w:rsidR="005A50CA" w:rsidRPr="00890249">
        <w:rPr>
          <w:rFonts w:asciiTheme="minorHAnsi" w:eastAsia="Times New Roman" w:hAnsiTheme="minorHAnsi" w:cstheme="minorHAnsi"/>
          <w:noProof/>
          <w:sz w:val="22"/>
          <w:szCs w:val="22"/>
        </w:rPr>
        <w:t xml:space="preserve"> </w:t>
      </w:r>
      <w:r w:rsidR="004B48BE" w:rsidRPr="00890249">
        <w:rPr>
          <w:rFonts w:asciiTheme="minorHAnsi" w:eastAsia="Times New Roman" w:hAnsiTheme="minorHAnsi" w:cstheme="minorHAnsi"/>
          <w:noProof/>
          <w:sz w:val="22"/>
          <w:szCs w:val="22"/>
        </w:rPr>
        <w:t xml:space="preserve">wód opadowych </w:t>
      </w:r>
      <w:r w:rsidR="0039427D" w:rsidRPr="00890249">
        <w:rPr>
          <w:rFonts w:asciiTheme="minorHAnsi" w:hAnsiTheme="minorHAnsi" w:cstheme="minorHAnsi"/>
          <w:sz w:val="22"/>
          <w:szCs w:val="22"/>
        </w:rPr>
        <w:t xml:space="preserve">zwłaszcza </w:t>
      </w:r>
      <w:r w:rsidR="00EF3AB2" w:rsidRPr="00890249">
        <w:rPr>
          <w:rFonts w:asciiTheme="minorHAnsi" w:eastAsia="Times New Roman" w:hAnsiTheme="minorHAnsi" w:cstheme="minorHAnsi"/>
          <w:noProof/>
          <w:sz w:val="22"/>
          <w:szCs w:val="22"/>
        </w:rPr>
        <w:t>przy zastosowaniu rozwią</w:t>
      </w:r>
      <w:r w:rsidR="00850C8A" w:rsidRPr="00890249">
        <w:rPr>
          <w:rFonts w:asciiTheme="minorHAnsi" w:eastAsia="Times New Roman" w:hAnsiTheme="minorHAnsi" w:cstheme="minorHAnsi"/>
          <w:noProof/>
          <w:sz w:val="22"/>
          <w:szCs w:val="22"/>
        </w:rPr>
        <w:t xml:space="preserve">zań opartych na </w:t>
      </w:r>
      <w:r w:rsidR="008544D9" w:rsidRPr="00890249">
        <w:rPr>
          <w:rFonts w:asciiTheme="minorHAnsi" w:eastAsia="Times New Roman" w:hAnsiTheme="minorHAnsi" w:cstheme="minorHAnsi"/>
          <w:noProof/>
          <w:sz w:val="22"/>
          <w:szCs w:val="22"/>
        </w:rPr>
        <w:t xml:space="preserve">naturalnych i półnaturalnych </w:t>
      </w:r>
      <w:r w:rsidR="00850C8A" w:rsidRPr="00890249">
        <w:rPr>
          <w:rFonts w:asciiTheme="minorHAnsi" w:eastAsia="Times New Roman" w:hAnsiTheme="minorHAnsi" w:cstheme="minorHAnsi"/>
          <w:noProof/>
          <w:sz w:val="22"/>
          <w:szCs w:val="22"/>
        </w:rPr>
        <w:t>ekosystemach</w:t>
      </w:r>
      <w:r w:rsidR="00AE26E6" w:rsidRPr="00890249">
        <w:rPr>
          <w:rFonts w:asciiTheme="minorHAnsi" w:eastAsia="Times New Roman" w:hAnsiTheme="minorHAnsi" w:cstheme="minorHAnsi"/>
          <w:noProof/>
          <w:sz w:val="22"/>
          <w:szCs w:val="22"/>
        </w:rPr>
        <w:t xml:space="preserve"> (np. odbudowa lub poprawa stanu naturalnych obszarów zalewowych i polderów)</w:t>
      </w:r>
      <w:r w:rsidRPr="00890249">
        <w:rPr>
          <w:rFonts w:asciiTheme="minorHAnsi" w:eastAsia="Times New Roman" w:hAnsiTheme="minorHAnsi" w:cstheme="minorHAnsi"/>
          <w:noProof/>
          <w:sz w:val="22"/>
          <w:szCs w:val="22"/>
        </w:rPr>
        <w:t>.</w:t>
      </w:r>
    </w:p>
    <w:p w14:paraId="26EC895B" w14:textId="3B0321E8" w:rsidR="0039427D"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R</w:t>
      </w:r>
      <w:r w:rsidR="0039427D" w:rsidRPr="00890249">
        <w:rPr>
          <w:rFonts w:asciiTheme="minorHAnsi" w:eastAsia="Times New Roman" w:hAnsiTheme="minorHAnsi" w:cstheme="minorHAnsi"/>
          <w:noProof/>
          <w:sz w:val="22"/>
          <w:szCs w:val="22"/>
        </w:rPr>
        <w:t>ozwój zielonej oraz zielono-niebieskiej infrastruktury w miastach</w:t>
      </w:r>
      <w:r w:rsidRPr="00890249">
        <w:rPr>
          <w:rFonts w:asciiTheme="minorHAnsi" w:eastAsia="Times New Roman" w:hAnsiTheme="minorHAnsi" w:cstheme="minorHAnsi"/>
          <w:noProof/>
          <w:sz w:val="22"/>
          <w:szCs w:val="22"/>
        </w:rPr>
        <w:t>.</w:t>
      </w:r>
    </w:p>
    <w:p w14:paraId="5B5E3ED3" w14:textId="4D5C6BB2" w:rsidR="00A63705"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N</w:t>
      </w:r>
      <w:r w:rsidR="6F2DA296" w:rsidRPr="00890249">
        <w:rPr>
          <w:rFonts w:asciiTheme="minorHAnsi" w:eastAsia="Times New Roman" w:hAnsiTheme="minorHAnsi" w:cstheme="minorHAnsi"/>
          <w:noProof/>
          <w:sz w:val="22"/>
          <w:szCs w:val="22"/>
        </w:rPr>
        <w:t>iezbędne działania w zakresie urządzeń wodnych i infrastruktury hydrotechnicznej służących zmniejszaniu skutków powodzi</w:t>
      </w:r>
      <w:r w:rsidR="647D607A" w:rsidRPr="00890249">
        <w:rPr>
          <w:rFonts w:asciiTheme="minorHAnsi" w:eastAsia="Times New Roman" w:hAnsiTheme="minorHAnsi" w:cstheme="minorHAnsi"/>
          <w:noProof/>
          <w:sz w:val="22"/>
          <w:szCs w:val="22"/>
        </w:rPr>
        <w:t xml:space="preserve"> lub suszy</w:t>
      </w:r>
      <w:r w:rsidR="00764F7A" w:rsidRPr="00890249">
        <w:rPr>
          <w:rFonts w:asciiTheme="minorHAnsi" w:hAnsiTheme="minorHAnsi" w:cstheme="minorHAnsi"/>
          <w:sz w:val="22"/>
          <w:szCs w:val="22"/>
        </w:rPr>
        <w:t xml:space="preserve"> </w:t>
      </w:r>
      <w:r w:rsidR="00764F7A" w:rsidRPr="00890249">
        <w:rPr>
          <w:rFonts w:asciiTheme="minorHAnsi" w:eastAsia="Times New Roman" w:hAnsiTheme="minorHAnsi" w:cstheme="minorHAnsi"/>
          <w:noProof/>
          <w:sz w:val="22"/>
          <w:szCs w:val="22"/>
        </w:rPr>
        <w:t xml:space="preserve">(w szczególności zbiorniki suche, poldery przeciwpowodziowe, wały przeciwpowodziowe), </w:t>
      </w:r>
      <w:r w:rsidR="6F2DA296" w:rsidRPr="00890249">
        <w:rPr>
          <w:rFonts w:asciiTheme="minorHAnsi" w:eastAsia="Times New Roman" w:hAnsiTheme="minorHAnsi" w:cstheme="minorHAnsi"/>
          <w:noProof/>
          <w:sz w:val="22"/>
          <w:szCs w:val="22"/>
        </w:rPr>
        <w:t>jeśli naturalne mechanizmy ekosystemowe są niewystarczają</w:t>
      </w:r>
      <w:r w:rsidR="3AF463CF" w:rsidRPr="00890249">
        <w:rPr>
          <w:rFonts w:asciiTheme="minorHAnsi" w:eastAsia="Times New Roman" w:hAnsiTheme="minorHAnsi" w:cstheme="minorHAnsi"/>
          <w:noProof/>
          <w:sz w:val="22"/>
          <w:szCs w:val="22"/>
        </w:rPr>
        <w:t>ce</w:t>
      </w:r>
      <w:r w:rsidR="002B0DAF" w:rsidRPr="00890249">
        <w:rPr>
          <w:rFonts w:asciiTheme="minorHAnsi" w:eastAsia="Times New Roman" w:hAnsiTheme="minorHAnsi" w:cstheme="minorHAnsi"/>
          <w:noProof/>
          <w:sz w:val="22"/>
          <w:szCs w:val="22"/>
        </w:rPr>
        <w:t>,</w:t>
      </w:r>
      <w:r w:rsidR="00764F7A" w:rsidRPr="00890249">
        <w:rPr>
          <w:rFonts w:asciiTheme="minorHAnsi" w:eastAsia="Times New Roman" w:hAnsiTheme="minorHAnsi" w:cstheme="minorHAnsi"/>
          <w:noProof/>
          <w:sz w:val="22"/>
          <w:szCs w:val="22"/>
        </w:rPr>
        <w:t xml:space="preserve"> a podjęcie tych działań nie zwiększy zagrożenia w sytuacjach nadzwyczajnych</w:t>
      </w:r>
      <w:r w:rsidRPr="00890249">
        <w:rPr>
          <w:rFonts w:asciiTheme="minorHAnsi" w:eastAsia="Times New Roman" w:hAnsiTheme="minorHAnsi" w:cstheme="minorHAnsi"/>
          <w:noProof/>
          <w:sz w:val="22"/>
          <w:szCs w:val="22"/>
        </w:rPr>
        <w:t>.</w:t>
      </w:r>
    </w:p>
    <w:p w14:paraId="499D0B87" w14:textId="314A898B" w:rsidR="00A63705"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D</w:t>
      </w:r>
      <w:r w:rsidR="0CCB2801" w:rsidRPr="00890249">
        <w:rPr>
          <w:rFonts w:asciiTheme="minorHAnsi" w:eastAsia="Times New Roman" w:hAnsiTheme="minorHAnsi" w:cstheme="minorHAnsi"/>
          <w:noProof/>
          <w:sz w:val="22"/>
          <w:szCs w:val="22"/>
        </w:rPr>
        <w:t>ziałania edukacyjne i informacyjne związane z klimatem i ochroną zasobów wodnych</w:t>
      </w:r>
      <w:r w:rsidRPr="00890249">
        <w:rPr>
          <w:rFonts w:asciiTheme="minorHAnsi" w:eastAsia="Times New Roman" w:hAnsiTheme="minorHAnsi" w:cstheme="minorHAnsi"/>
          <w:noProof/>
          <w:sz w:val="22"/>
          <w:szCs w:val="22"/>
        </w:rPr>
        <w:t>.</w:t>
      </w:r>
      <w:r w:rsidR="0197E79F" w:rsidRPr="00890249">
        <w:rPr>
          <w:rFonts w:asciiTheme="minorHAnsi" w:eastAsia="Times New Roman" w:hAnsiTheme="minorHAnsi" w:cstheme="minorHAnsi"/>
          <w:noProof/>
          <w:sz w:val="22"/>
          <w:szCs w:val="22"/>
        </w:rPr>
        <w:t xml:space="preserve"> </w:t>
      </w:r>
    </w:p>
    <w:p w14:paraId="28D022F2" w14:textId="7321ADCA" w:rsidR="00A63705"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R</w:t>
      </w:r>
      <w:r w:rsidR="003473F4" w:rsidRPr="00890249">
        <w:rPr>
          <w:rFonts w:asciiTheme="minorHAnsi" w:eastAsia="Times New Roman" w:hAnsiTheme="minorHAnsi" w:cstheme="minorHAnsi"/>
          <w:noProof/>
          <w:sz w:val="22"/>
          <w:szCs w:val="22"/>
        </w:rPr>
        <w:t xml:space="preserve">ozwijanie systemów </w:t>
      </w:r>
      <w:r w:rsidR="00226978" w:rsidRPr="00890249">
        <w:rPr>
          <w:rFonts w:asciiTheme="minorHAnsi" w:eastAsia="Times New Roman" w:hAnsiTheme="minorHAnsi" w:cstheme="minorHAnsi"/>
          <w:noProof/>
          <w:sz w:val="22"/>
          <w:szCs w:val="22"/>
        </w:rPr>
        <w:t>prognozowania i ostrzegania środowiskowego</w:t>
      </w:r>
      <w:r w:rsidR="003473F4" w:rsidRPr="00890249">
        <w:rPr>
          <w:rFonts w:asciiTheme="minorHAnsi" w:eastAsia="Times New Roman" w:hAnsiTheme="minorHAnsi" w:cstheme="minorHAnsi"/>
          <w:noProof/>
          <w:sz w:val="22"/>
          <w:szCs w:val="22"/>
        </w:rPr>
        <w:t>, w tym rozwój monitoringu</w:t>
      </w:r>
      <w:r w:rsidR="004B48BE" w:rsidRPr="00890249">
        <w:rPr>
          <w:rFonts w:asciiTheme="minorHAnsi" w:eastAsia="Times New Roman" w:hAnsiTheme="minorHAnsi" w:cstheme="minorHAnsi"/>
          <w:noProof/>
          <w:sz w:val="22"/>
          <w:szCs w:val="22"/>
        </w:rPr>
        <w:t xml:space="preserve">, </w:t>
      </w:r>
      <w:r w:rsidR="00226978" w:rsidRPr="00890249">
        <w:rPr>
          <w:rFonts w:asciiTheme="minorHAnsi" w:eastAsia="Times New Roman" w:hAnsiTheme="minorHAnsi" w:cstheme="minorHAnsi"/>
          <w:noProof/>
          <w:sz w:val="22"/>
          <w:szCs w:val="22"/>
        </w:rPr>
        <w:t xml:space="preserve">modernizacja i budowa systemów </w:t>
      </w:r>
      <w:r w:rsidR="004B48BE" w:rsidRPr="00890249">
        <w:rPr>
          <w:rFonts w:asciiTheme="minorHAnsi" w:eastAsia="Times New Roman" w:hAnsiTheme="minorHAnsi" w:cstheme="minorHAnsi"/>
          <w:noProof/>
          <w:sz w:val="22"/>
          <w:szCs w:val="22"/>
        </w:rPr>
        <w:t>łączności</w:t>
      </w:r>
      <w:r w:rsidR="003473F4" w:rsidRPr="00890249">
        <w:rPr>
          <w:rFonts w:asciiTheme="minorHAnsi" w:eastAsia="Times New Roman" w:hAnsiTheme="minorHAnsi" w:cstheme="minorHAnsi"/>
          <w:noProof/>
          <w:sz w:val="22"/>
          <w:szCs w:val="22"/>
        </w:rPr>
        <w:t xml:space="preserve">, systemów </w:t>
      </w:r>
      <w:r w:rsidR="007148BE" w:rsidRPr="00890249">
        <w:rPr>
          <w:rFonts w:asciiTheme="minorHAnsi" w:eastAsia="Times New Roman" w:hAnsiTheme="minorHAnsi" w:cstheme="minorHAnsi"/>
          <w:noProof/>
          <w:sz w:val="22"/>
          <w:szCs w:val="22"/>
        </w:rPr>
        <w:t>p</w:t>
      </w:r>
      <w:r w:rsidR="003473F4" w:rsidRPr="00890249">
        <w:rPr>
          <w:rFonts w:asciiTheme="minorHAnsi" w:eastAsia="Times New Roman" w:hAnsiTheme="minorHAnsi" w:cstheme="minorHAnsi"/>
          <w:noProof/>
          <w:sz w:val="22"/>
          <w:szCs w:val="22"/>
        </w:rPr>
        <w:t>rognozowania</w:t>
      </w:r>
      <w:r w:rsidR="00226978" w:rsidRPr="00890249">
        <w:rPr>
          <w:rFonts w:asciiTheme="minorHAnsi" w:eastAsia="Times New Roman" w:hAnsiTheme="minorHAnsi" w:cstheme="minorHAnsi"/>
          <w:noProof/>
          <w:sz w:val="22"/>
          <w:szCs w:val="22"/>
        </w:rPr>
        <w:t>,</w:t>
      </w:r>
      <w:r w:rsidR="008374CE" w:rsidRPr="00890249">
        <w:rPr>
          <w:rFonts w:asciiTheme="minorHAnsi" w:eastAsia="Times New Roman" w:hAnsiTheme="minorHAnsi" w:cstheme="minorHAnsi"/>
          <w:noProof/>
          <w:sz w:val="22"/>
          <w:szCs w:val="22"/>
        </w:rPr>
        <w:t> ostrzegania i alarmowania przed stanami nadzwyczajnymi</w:t>
      </w:r>
      <w:r w:rsidR="008374CE" w:rsidRPr="00890249">
        <w:rPr>
          <w:rFonts w:asciiTheme="minorHAnsi" w:hAnsiTheme="minorHAnsi" w:cstheme="minorHAnsi"/>
          <w:sz w:val="22"/>
          <w:szCs w:val="22"/>
        </w:rPr>
        <w:t xml:space="preserve"> oraz </w:t>
      </w:r>
      <w:r w:rsidR="00226978" w:rsidRPr="00890249">
        <w:rPr>
          <w:rFonts w:asciiTheme="minorHAnsi" w:eastAsia="Times New Roman" w:hAnsiTheme="minorHAnsi" w:cstheme="minorHAnsi"/>
          <w:noProof/>
          <w:sz w:val="22"/>
          <w:szCs w:val="22"/>
        </w:rPr>
        <w:t>przesyłania danych związanych z usuwanie</w:t>
      </w:r>
      <w:r w:rsidRPr="00890249">
        <w:rPr>
          <w:rFonts w:asciiTheme="minorHAnsi" w:eastAsia="Times New Roman" w:hAnsiTheme="minorHAnsi" w:cstheme="minorHAnsi"/>
          <w:noProof/>
          <w:sz w:val="22"/>
          <w:szCs w:val="22"/>
        </w:rPr>
        <w:t>m skutków ekstremalnych zjawisk.</w:t>
      </w:r>
    </w:p>
    <w:p w14:paraId="53D95CC7" w14:textId="2BAAA960" w:rsidR="00B6668B"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L</w:t>
      </w:r>
      <w:r w:rsidR="00BD5B07" w:rsidRPr="00890249">
        <w:rPr>
          <w:rFonts w:asciiTheme="minorHAnsi" w:eastAsia="Times New Roman" w:hAnsiTheme="minorHAnsi" w:cstheme="minorHAnsi"/>
          <w:noProof/>
          <w:sz w:val="22"/>
          <w:szCs w:val="22"/>
        </w:rPr>
        <w:t xml:space="preserve">okalne inwestycje dla zapobiegania zmianom klimatu </w:t>
      </w:r>
      <w:r w:rsidR="00B6630B" w:rsidRPr="00890249">
        <w:rPr>
          <w:rFonts w:asciiTheme="minorHAnsi" w:eastAsia="Times New Roman" w:hAnsiTheme="minorHAnsi" w:cstheme="minorHAnsi"/>
          <w:noProof/>
          <w:sz w:val="22"/>
          <w:szCs w:val="22"/>
        </w:rPr>
        <w:t>–</w:t>
      </w:r>
      <w:r w:rsidR="00BD5B07" w:rsidRPr="00890249">
        <w:rPr>
          <w:rFonts w:asciiTheme="minorHAnsi" w:eastAsia="Times New Roman" w:hAnsiTheme="minorHAnsi" w:cstheme="minorHAnsi"/>
          <w:noProof/>
          <w:sz w:val="22"/>
          <w:szCs w:val="22"/>
        </w:rPr>
        <w:t xml:space="preserve"> </w:t>
      </w:r>
      <w:r w:rsidR="00B6630B" w:rsidRPr="00890249">
        <w:rPr>
          <w:rFonts w:asciiTheme="minorHAnsi" w:eastAsia="Times New Roman" w:hAnsiTheme="minorHAnsi" w:cstheme="minorHAnsi"/>
          <w:noProof/>
          <w:sz w:val="22"/>
          <w:szCs w:val="22"/>
        </w:rPr>
        <w:t>oddolne inicjatywy</w:t>
      </w:r>
      <w:r w:rsidR="00BD5B07" w:rsidRPr="00890249">
        <w:rPr>
          <w:rFonts w:asciiTheme="minorHAnsi" w:eastAsia="Times New Roman" w:hAnsiTheme="minorHAnsi" w:cstheme="minorHAnsi"/>
          <w:noProof/>
          <w:sz w:val="22"/>
          <w:szCs w:val="22"/>
        </w:rPr>
        <w:t xml:space="preserve"> </w:t>
      </w:r>
      <w:r w:rsidR="00B6630B" w:rsidRPr="00890249">
        <w:rPr>
          <w:rFonts w:asciiTheme="minorHAnsi" w:eastAsia="Times New Roman" w:hAnsiTheme="minorHAnsi" w:cstheme="minorHAnsi"/>
          <w:noProof/>
          <w:sz w:val="22"/>
          <w:szCs w:val="22"/>
        </w:rPr>
        <w:t>obejmujące</w:t>
      </w:r>
      <w:r w:rsidR="00BD5B07" w:rsidRPr="00890249">
        <w:rPr>
          <w:rFonts w:asciiTheme="minorHAnsi" w:eastAsia="Times New Roman" w:hAnsiTheme="minorHAnsi" w:cstheme="minorHAnsi"/>
          <w:noProof/>
          <w:sz w:val="22"/>
          <w:szCs w:val="22"/>
        </w:rPr>
        <w:t xml:space="preserve"> </w:t>
      </w:r>
      <w:r w:rsidR="00B6630B" w:rsidRPr="00890249">
        <w:rPr>
          <w:rFonts w:asciiTheme="minorHAnsi" w:eastAsia="Times New Roman" w:hAnsiTheme="minorHAnsi" w:cstheme="minorHAnsi"/>
          <w:noProof/>
          <w:sz w:val="22"/>
          <w:szCs w:val="22"/>
        </w:rPr>
        <w:t>rozwój zielonej</w:t>
      </w:r>
      <w:r w:rsidR="00BD5B07" w:rsidRPr="00890249">
        <w:rPr>
          <w:rFonts w:asciiTheme="minorHAnsi" w:eastAsia="Times New Roman" w:hAnsiTheme="minorHAnsi" w:cstheme="minorHAnsi"/>
          <w:noProof/>
          <w:sz w:val="22"/>
          <w:szCs w:val="22"/>
        </w:rPr>
        <w:t xml:space="preserve"> </w:t>
      </w:r>
      <w:r w:rsidR="00B6630B" w:rsidRPr="00890249">
        <w:rPr>
          <w:rFonts w:asciiTheme="minorHAnsi" w:eastAsia="Times New Roman" w:hAnsiTheme="minorHAnsi" w:cstheme="minorHAnsi"/>
          <w:noProof/>
          <w:sz w:val="22"/>
          <w:szCs w:val="22"/>
        </w:rPr>
        <w:t>i niebieskiej</w:t>
      </w:r>
      <w:r w:rsidR="00BD5B07" w:rsidRPr="00890249">
        <w:rPr>
          <w:rFonts w:asciiTheme="minorHAnsi" w:eastAsia="Times New Roman" w:hAnsiTheme="minorHAnsi" w:cstheme="minorHAnsi"/>
          <w:noProof/>
          <w:sz w:val="22"/>
          <w:szCs w:val="22"/>
        </w:rPr>
        <w:t xml:space="preserve"> infrastruktur</w:t>
      </w:r>
      <w:r w:rsidR="00B6630B" w:rsidRPr="00890249">
        <w:rPr>
          <w:rFonts w:asciiTheme="minorHAnsi" w:eastAsia="Times New Roman" w:hAnsiTheme="minorHAnsi" w:cstheme="minorHAnsi"/>
          <w:noProof/>
          <w:sz w:val="22"/>
          <w:szCs w:val="22"/>
        </w:rPr>
        <w:t>y</w:t>
      </w:r>
      <w:r w:rsidR="00BD5B07" w:rsidRPr="00890249">
        <w:rPr>
          <w:rFonts w:asciiTheme="minorHAnsi" w:eastAsia="Times New Roman" w:hAnsiTheme="minorHAnsi" w:cstheme="minorHAnsi"/>
          <w:noProof/>
          <w:sz w:val="22"/>
          <w:szCs w:val="22"/>
        </w:rPr>
        <w:t>, w tym zwią</w:t>
      </w:r>
      <w:r w:rsidR="00B6630B" w:rsidRPr="00890249">
        <w:rPr>
          <w:rFonts w:asciiTheme="minorHAnsi" w:eastAsia="Times New Roman" w:hAnsiTheme="minorHAnsi" w:cstheme="minorHAnsi"/>
          <w:noProof/>
          <w:sz w:val="22"/>
          <w:szCs w:val="22"/>
        </w:rPr>
        <w:t>zanej z małą retencją oraz działania edukacyjne (</w:t>
      </w:r>
      <w:r w:rsidR="00BA2F8E" w:rsidRPr="00890249">
        <w:rPr>
          <w:rFonts w:asciiTheme="minorHAnsi" w:eastAsia="Times New Roman" w:hAnsiTheme="minorHAnsi" w:cstheme="minorHAnsi"/>
          <w:noProof/>
          <w:sz w:val="22"/>
          <w:szCs w:val="22"/>
        </w:rPr>
        <w:t>projekty grantowe</w:t>
      </w:r>
      <w:r w:rsidR="00B6630B" w:rsidRPr="00890249">
        <w:rPr>
          <w:rFonts w:asciiTheme="minorHAnsi" w:eastAsia="Times New Roman" w:hAnsiTheme="minorHAnsi" w:cstheme="minorHAnsi"/>
          <w:noProof/>
          <w:sz w:val="22"/>
          <w:szCs w:val="22"/>
        </w:rPr>
        <w:t>)</w:t>
      </w:r>
      <w:r w:rsidR="009F58BB" w:rsidRPr="00890249">
        <w:rPr>
          <w:rFonts w:asciiTheme="minorHAnsi" w:eastAsia="Times New Roman" w:hAnsiTheme="minorHAnsi" w:cstheme="minorHAnsi"/>
          <w:noProof/>
          <w:sz w:val="22"/>
          <w:szCs w:val="22"/>
        </w:rPr>
        <w:t>.</w:t>
      </w:r>
    </w:p>
    <w:p w14:paraId="54C92757" w14:textId="39AC0955" w:rsidR="00A63705" w:rsidRPr="00890249" w:rsidRDefault="009F58BB"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Z</w:t>
      </w:r>
      <w:r w:rsidR="372F2FD5" w:rsidRPr="00890249">
        <w:rPr>
          <w:rFonts w:asciiTheme="minorHAnsi" w:eastAsia="Times New Roman" w:hAnsiTheme="minorHAnsi" w:cstheme="minorHAnsi"/>
          <w:noProof/>
          <w:sz w:val="22"/>
          <w:szCs w:val="22"/>
        </w:rPr>
        <w:t>akup sprzętu</w:t>
      </w:r>
      <w:r w:rsidR="7829AB75" w:rsidRPr="00890249">
        <w:rPr>
          <w:rFonts w:asciiTheme="minorHAnsi" w:eastAsia="Times New Roman" w:hAnsiTheme="minorHAnsi" w:cstheme="minorHAnsi"/>
          <w:noProof/>
          <w:sz w:val="22"/>
          <w:szCs w:val="22"/>
        </w:rPr>
        <w:t xml:space="preserve"> </w:t>
      </w:r>
      <w:r w:rsidR="372F2FD5" w:rsidRPr="00890249">
        <w:rPr>
          <w:rFonts w:asciiTheme="minorHAnsi" w:eastAsia="Times New Roman" w:hAnsiTheme="minorHAnsi" w:cstheme="minorHAnsi"/>
          <w:noProof/>
          <w:sz w:val="22"/>
          <w:szCs w:val="22"/>
        </w:rPr>
        <w:t>do prowadzenia akcji ratowniczych i usuwania skutków zjawisk katastrofalnych lub awarii chemiczno-ekologicznych, czy też sanitarno-epidemiologicznych</w:t>
      </w:r>
      <w:r w:rsidR="00CC2068" w:rsidRPr="00890249">
        <w:rPr>
          <w:rFonts w:asciiTheme="minorHAnsi" w:eastAsia="Times New Roman" w:hAnsiTheme="minorHAnsi" w:cstheme="minorHAnsi"/>
          <w:noProof/>
          <w:sz w:val="22"/>
          <w:szCs w:val="22"/>
        </w:rPr>
        <w:t>.</w:t>
      </w:r>
    </w:p>
    <w:p w14:paraId="43F727C5" w14:textId="717C3106" w:rsidR="00A63705" w:rsidRPr="00890249" w:rsidRDefault="00CC2068" w:rsidP="009F296A">
      <w:pPr>
        <w:pStyle w:val="Akapitzlist"/>
        <w:numPr>
          <w:ilvl w:val="0"/>
          <w:numId w:val="151"/>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R</w:t>
      </w:r>
      <w:r w:rsidR="6D1856A3" w:rsidRPr="00890249">
        <w:rPr>
          <w:rFonts w:asciiTheme="minorHAnsi" w:eastAsia="Times New Roman" w:hAnsiTheme="minorHAnsi" w:cstheme="minorHAnsi"/>
          <w:noProof/>
          <w:sz w:val="22"/>
          <w:szCs w:val="22"/>
        </w:rPr>
        <w:t>ozwój infrastruktury związanej z ochroną przeciwpożarową</w:t>
      </w:r>
      <w:r w:rsidR="647D607A" w:rsidRPr="00890249">
        <w:rPr>
          <w:rFonts w:asciiTheme="minorHAnsi" w:eastAsia="Times New Roman" w:hAnsiTheme="minorHAnsi" w:cstheme="minorHAnsi"/>
          <w:noProof/>
          <w:sz w:val="22"/>
          <w:szCs w:val="22"/>
        </w:rPr>
        <w:t>, w tym</w:t>
      </w:r>
      <w:r w:rsidR="000B2721">
        <w:rPr>
          <w:rFonts w:asciiTheme="minorHAnsi" w:eastAsia="Times New Roman" w:hAnsiTheme="minorHAnsi" w:cstheme="minorHAnsi"/>
          <w:noProof/>
          <w:sz w:val="22"/>
          <w:szCs w:val="22"/>
        </w:rPr>
        <w:t xml:space="preserve"> lasów, zwłaszcza związanej z </w:t>
      </w:r>
      <w:r w:rsidR="6D1856A3" w:rsidRPr="00890249">
        <w:rPr>
          <w:rFonts w:asciiTheme="minorHAnsi" w:eastAsia="Times New Roman" w:hAnsiTheme="minorHAnsi" w:cstheme="minorHAnsi"/>
          <w:noProof/>
          <w:sz w:val="22"/>
          <w:szCs w:val="22"/>
        </w:rPr>
        <w:t>magazynowaniem wody oraz systemami obserwacyjno-alarmowymi</w:t>
      </w:r>
      <w:r w:rsidR="6F2DA296" w:rsidRPr="00890249">
        <w:rPr>
          <w:rFonts w:asciiTheme="minorHAnsi" w:eastAsia="Times New Roman" w:hAnsiTheme="minorHAnsi" w:cstheme="minorHAnsi"/>
          <w:noProof/>
          <w:sz w:val="22"/>
          <w:szCs w:val="22"/>
        </w:rPr>
        <w:t>.</w:t>
      </w:r>
    </w:p>
    <w:p w14:paraId="37B7ED01" w14:textId="25FA1701"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EB30B7" w:rsidRPr="00890249">
        <w:rPr>
          <w:rFonts w:asciiTheme="minorHAnsi" w:hAnsiTheme="minorHAnsi" w:cstheme="minorHAnsi"/>
          <w:noProof/>
          <w:sz w:val="22"/>
          <w:szCs w:val="22"/>
        </w:rPr>
        <w:t xml:space="preserve">są zgodne z zasadą DNSH. Ze względu na ich charakter przyjmuje się, że nie mają negatywnego wpływu na środowisko. </w:t>
      </w:r>
      <w:r w:rsidR="000864C4" w:rsidRPr="00890249">
        <w:rPr>
          <w:rFonts w:asciiTheme="minorHAnsi" w:hAnsiTheme="minorHAnsi" w:cstheme="minorHAnsi"/>
          <w:noProof/>
          <w:sz w:val="22"/>
          <w:szCs w:val="22"/>
        </w:rPr>
        <w:t>Projekty, które powodują zastosowanie art. 4 ust.</w:t>
      </w:r>
      <w:r w:rsidR="00A95FFA" w:rsidRPr="00890249">
        <w:rPr>
          <w:rFonts w:asciiTheme="minorHAnsi" w:hAnsiTheme="minorHAnsi" w:cstheme="minorHAnsi"/>
          <w:noProof/>
          <w:sz w:val="22"/>
          <w:szCs w:val="22"/>
        </w:rPr>
        <w:t xml:space="preserve"> </w:t>
      </w:r>
      <w:r w:rsidR="000864C4" w:rsidRPr="00890249">
        <w:rPr>
          <w:rFonts w:asciiTheme="minorHAnsi" w:hAnsiTheme="minorHAnsi" w:cstheme="minorHAnsi"/>
          <w:noProof/>
          <w:sz w:val="22"/>
          <w:szCs w:val="22"/>
        </w:rPr>
        <w:t>7 Ramowej Dyrektywy Wodnej, nie będą wspierane.</w:t>
      </w:r>
    </w:p>
    <w:p w14:paraId="7BF4574B" w14:textId="77777777" w:rsidR="00BC1861" w:rsidRPr="00890249" w:rsidRDefault="00BC1861" w:rsidP="00BC1861">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Główne grupy docelowe</w:t>
      </w:r>
    </w:p>
    <w:p w14:paraId="21B33046" w14:textId="4D3080D2" w:rsidR="0093433C" w:rsidRPr="00890249" w:rsidRDefault="002F360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Mieszkańcy regionu</w:t>
      </w:r>
      <w:r w:rsidR="00EB30B7" w:rsidRPr="00890249">
        <w:rPr>
          <w:rFonts w:asciiTheme="minorHAnsi" w:hAnsiTheme="minorHAnsi" w:cstheme="minorHAnsi"/>
          <w:noProof/>
          <w:sz w:val="22"/>
          <w:szCs w:val="22"/>
        </w:rPr>
        <w:t>, przedsiębiorcy, służby publiczne</w:t>
      </w:r>
      <w:r w:rsidR="00B57678">
        <w:rPr>
          <w:rFonts w:asciiTheme="minorHAnsi" w:hAnsiTheme="minorHAnsi" w:cstheme="minorHAnsi"/>
          <w:noProof/>
          <w:sz w:val="22"/>
          <w:szCs w:val="22"/>
        </w:rPr>
        <w:t xml:space="preserve">, </w:t>
      </w:r>
      <w:r w:rsidR="00B57678" w:rsidRPr="00DD604E">
        <w:rPr>
          <w:rFonts w:asciiTheme="minorHAnsi" w:hAnsiTheme="minorHAnsi" w:cstheme="minorHAnsi"/>
          <w:noProof/>
          <w:sz w:val="22"/>
          <w:szCs w:val="22"/>
        </w:rPr>
        <w:t>w tym: Państwowa Straż Pożarna, Ochotnicze Straże Pożarne, podmioty ratownictwa wodnego i Centra Zarządzania Kryzysowego.</w:t>
      </w:r>
      <w:r w:rsidR="00B57678">
        <w:rPr>
          <w:rFonts w:asciiTheme="minorHAnsi" w:hAnsiTheme="minorHAnsi" w:cstheme="minorHAnsi"/>
          <w:noProof/>
          <w:sz w:val="22"/>
          <w:szCs w:val="22"/>
        </w:rPr>
        <w:t xml:space="preserve"> </w:t>
      </w:r>
      <w:r w:rsidR="00B57678" w:rsidRPr="00890249">
        <w:rPr>
          <w:rFonts w:asciiTheme="minorHAnsi" w:hAnsiTheme="minorHAnsi" w:cstheme="minorHAnsi"/>
          <w:noProof/>
          <w:sz w:val="22"/>
          <w:szCs w:val="22"/>
        </w:rPr>
        <w:t xml:space="preserve"> </w:t>
      </w:r>
    </w:p>
    <w:p w14:paraId="7B76325B" w14:textId="77777777" w:rsidR="00477333" w:rsidRPr="00890249" w:rsidRDefault="00477333" w:rsidP="00890249">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Działania na rzecz </w:t>
      </w:r>
      <w:r w:rsidR="00051DDC" w:rsidRPr="00890249">
        <w:rPr>
          <w:rFonts w:asciiTheme="minorHAnsi" w:hAnsiTheme="minorHAnsi" w:cstheme="minorHAnsi"/>
          <w:b/>
          <w:noProof/>
          <w:color w:val="2F5496" w:themeColor="accent5" w:themeShade="BF"/>
          <w:sz w:val="22"/>
          <w:szCs w:val="22"/>
        </w:rPr>
        <w:t xml:space="preserve">zapewnienia </w:t>
      </w:r>
      <w:r w:rsidRPr="00890249">
        <w:rPr>
          <w:rFonts w:asciiTheme="minorHAnsi" w:hAnsiTheme="minorHAnsi" w:cstheme="minorHAnsi"/>
          <w:b/>
          <w:noProof/>
          <w:color w:val="2F5496" w:themeColor="accent5" w:themeShade="BF"/>
          <w:sz w:val="22"/>
          <w:szCs w:val="22"/>
        </w:rPr>
        <w:t xml:space="preserve">równości, </w:t>
      </w:r>
      <w:r w:rsidR="00051DDC" w:rsidRPr="00890249">
        <w:rPr>
          <w:rFonts w:asciiTheme="minorHAnsi" w:hAnsiTheme="minorHAnsi" w:cstheme="minorHAnsi"/>
          <w:b/>
          <w:noProof/>
          <w:color w:val="2F5496" w:themeColor="accent5" w:themeShade="BF"/>
          <w:sz w:val="22"/>
          <w:szCs w:val="22"/>
        </w:rPr>
        <w:t>włączenia społecznego</w:t>
      </w:r>
      <w:r w:rsidRPr="00890249">
        <w:rPr>
          <w:rFonts w:asciiTheme="minorHAnsi" w:hAnsiTheme="minorHAnsi" w:cstheme="minorHAnsi"/>
          <w:b/>
          <w:noProof/>
          <w:color w:val="2F5496" w:themeColor="accent5" w:themeShade="BF"/>
          <w:sz w:val="22"/>
          <w:szCs w:val="22"/>
        </w:rPr>
        <w:t xml:space="preserve"> i niedyskryminacji</w:t>
      </w:r>
    </w:p>
    <w:p w14:paraId="747ACED6" w14:textId="77777777" w:rsidR="0093433C" w:rsidRPr="00890249" w:rsidRDefault="3B73216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społeczności oraz brakiem wsparcia społecznego. </w:t>
      </w:r>
    </w:p>
    <w:p w14:paraId="689C15DC" w14:textId="2B9DC950" w:rsidR="018CD939" w:rsidRPr="00890249" w:rsidRDefault="00875C92" w:rsidP="00890249">
      <w:pPr>
        <w:pStyle w:val="Akapitzlist"/>
        <w:ind w:left="0"/>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Z uwagi na zakres tematyczny celu szczegółowego  realizowane projekty charakteryzować się będą wysoką jakością i kompleksowością udzielanego wsparcia, przyczyniać się do łagodzenia negatywnych skutków zmian klimatu uwzględniając różnorodne potrzeby środowiska oraz do zachowania zdrowia i </w:t>
      </w:r>
      <w:r w:rsidRPr="00890249">
        <w:rPr>
          <w:rFonts w:asciiTheme="minorHAnsi" w:hAnsiTheme="minorHAnsi" w:cstheme="minorHAnsi"/>
          <w:sz w:val="22"/>
          <w:szCs w:val="22"/>
        </w:rPr>
        <w:lastRenderedPageBreak/>
        <w:t>bezpieczeństwa mieszkańców regionu, zapewniać wszy</w:t>
      </w:r>
      <w:r w:rsidR="0046715F" w:rsidRPr="00890249">
        <w:rPr>
          <w:rFonts w:asciiTheme="minorHAnsi" w:hAnsiTheme="minorHAnsi" w:cstheme="minorHAnsi"/>
          <w:sz w:val="22"/>
          <w:szCs w:val="22"/>
        </w:rPr>
        <w:t>s</w:t>
      </w:r>
      <w:r w:rsidRPr="00890249">
        <w:rPr>
          <w:rFonts w:asciiTheme="minorHAnsi" w:hAnsiTheme="minorHAnsi" w:cstheme="minorHAnsi"/>
          <w:sz w:val="22"/>
          <w:szCs w:val="22"/>
        </w:rPr>
        <w:t>tkim dost</w:t>
      </w:r>
      <w:r w:rsidR="0046715F" w:rsidRPr="00890249">
        <w:rPr>
          <w:rFonts w:asciiTheme="minorHAnsi" w:hAnsiTheme="minorHAnsi" w:cstheme="minorHAnsi"/>
          <w:sz w:val="22"/>
          <w:szCs w:val="22"/>
        </w:rPr>
        <w:t>ę</w:t>
      </w:r>
      <w:r w:rsidRPr="00890249">
        <w:rPr>
          <w:rFonts w:asciiTheme="minorHAnsi" w:hAnsiTheme="minorHAnsi" w:cstheme="minorHAnsi"/>
          <w:sz w:val="22"/>
          <w:szCs w:val="22"/>
        </w:rPr>
        <w:t>pność do edukacji w zakresie zmian klimatu oraz informacji o zagrożeniach.</w:t>
      </w:r>
    </w:p>
    <w:p w14:paraId="7C10BB3A" w14:textId="1A8A6792"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Wspieranie inwestycji w tkankę przyrodniczą miast, powiększani</w:t>
      </w:r>
      <w:r w:rsidR="000B2721">
        <w:rPr>
          <w:rFonts w:asciiTheme="minorHAnsi" w:hAnsiTheme="minorHAnsi" w:cstheme="minorHAnsi"/>
          <w:sz w:val="22"/>
          <w:szCs w:val="22"/>
        </w:rPr>
        <w:t>e terenów zielonych, usuwanie i </w:t>
      </w:r>
      <w:r w:rsidRPr="00890249">
        <w:rPr>
          <w:rFonts w:asciiTheme="minorHAnsi" w:hAnsiTheme="minorHAnsi" w:cstheme="minorHAnsi"/>
          <w:sz w:val="22"/>
          <w:szCs w:val="22"/>
        </w:rPr>
        <w:t>przeciwdziałanie zagrożeniom związanym ze zmianami klimatycznymi wpłynie pozytywnie na zdrowie i długość życia mieszkańców miast, a tym samym będzie pośrednio ograniczać zjawisko wykluczenia społecznego i związanego z nim ubóstwa. Przeciwdziałanie zagrożeniom związanym ze zmianami klimatycznymi w miastach w postaci racjonalnego i ekologicznego gospod</w:t>
      </w:r>
      <w:r w:rsidR="00CD006A" w:rsidRPr="00890249">
        <w:rPr>
          <w:rFonts w:asciiTheme="minorHAnsi" w:hAnsiTheme="minorHAnsi" w:cstheme="minorHAnsi"/>
          <w:sz w:val="22"/>
          <w:szCs w:val="22"/>
        </w:rPr>
        <w:t>a</w:t>
      </w:r>
      <w:r w:rsidR="002D444F">
        <w:rPr>
          <w:rFonts w:asciiTheme="minorHAnsi" w:hAnsiTheme="minorHAnsi" w:cstheme="minorHAnsi"/>
          <w:sz w:val="22"/>
          <w:szCs w:val="22"/>
        </w:rPr>
        <w:t>rowania wodami opadowymi i roz</w:t>
      </w:r>
      <w:r w:rsidRPr="00890249">
        <w:rPr>
          <w:rFonts w:asciiTheme="minorHAnsi" w:hAnsiTheme="minorHAnsi" w:cstheme="minorHAnsi"/>
          <w:sz w:val="22"/>
          <w:szCs w:val="22"/>
        </w:rPr>
        <w:t>topowymi oraz inwestowania w zielono-niebieską infrastrukturę, podniesie paramet</w:t>
      </w:r>
      <w:r w:rsidR="00CD006A" w:rsidRPr="00890249">
        <w:rPr>
          <w:rFonts w:asciiTheme="minorHAnsi" w:hAnsiTheme="minorHAnsi" w:cstheme="minorHAnsi"/>
          <w:sz w:val="22"/>
          <w:szCs w:val="22"/>
        </w:rPr>
        <w:t>r</w:t>
      </w:r>
      <w:r w:rsidRPr="00890249">
        <w:rPr>
          <w:rFonts w:asciiTheme="minorHAnsi" w:hAnsiTheme="minorHAnsi" w:cstheme="minorHAnsi"/>
          <w:sz w:val="22"/>
          <w:szCs w:val="22"/>
        </w:rPr>
        <w:t>y zdrowotne i komfort życia mieszkańców miast, co z kolei powinno przełożyć się na ograniczenie zjawiska utraty funkcji spo</w:t>
      </w:r>
      <w:r w:rsidR="00CD006A" w:rsidRPr="00890249">
        <w:rPr>
          <w:rFonts w:asciiTheme="minorHAnsi" w:hAnsiTheme="minorHAnsi" w:cstheme="minorHAnsi"/>
          <w:sz w:val="22"/>
          <w:szCs w:val="22"/>
        </w:rPr>
        <w:t>ł</w:t>
      </w:r>
      <w:r w:rsidRPr="00890249">
        <w:rPr>
          <w:rFonts w:asciiTheme="minorHAnsi" w:hAnsiTheme="minorHAnsi" w:cstheme="minorHAnsi"/>
          <w:sz w:val="22"/>
          <w:szCs w:val="22"/>
        </w:rPr>
        <w:t>eczno-gospodarczych. Poprzez zastosowanie standardu dostępności: architektonicznego i cyfrowego, zielono-niebieska infrastruktura będzie dostępna dla ogółu społeczeństwa, w tym będzie odpowiadała także na specyficzne potrzeby osób w niekorzystnej sytuacji: osób z niepełnosprawnościami, osób sta</w:t>
      </w:r>
      <w:r w:rsidR="00CD006A" w:rsidRPr="00890249">
        <w:rPr>
          <w:rFonts w:asciiTheme="minorHAnsi" w:hAnsiTheme="minorHAnsi" w:cstheme="minorHAnsi"/>
          <w:sz w:val="22"/>
          <w:szCs w:val="22"/>
        </w:rPr>
        <w:t>r</w:t>
      </w:r>
      <w:r w:rsidRPr="00890249">
        <w:rPr>
          <w:rFonts w:asciiTheme="minorHAnsi" w:hAnsiTheme="minorHAnsi" w:cstheme="minorHAnsi"/>
          <w:sz w:val="22"/>
          <w:szCs w:val="22"/>
        </w:rPr>
        <w:t>szych, osób o ograniczonych możliwościach poruszania się, opiekunów z dziećmi czy osobami zależnymi.</w:t>
      </w:r>
    </w:p>
    <w:p w14:paraId="707965BB" w14:textId="77777777"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ramach działalności informacyjno-promocyjnej istnieje obowiązek zakupu urządzeń lub innych środków technicznych do obsługi osób słabosłyszących. W przypadku usług świadczonych drogą elektroniczną zastosowany zostanie standard dostępności cyfrowej WCAG 2.1. na poziomie AA.</w:t>
      </w:r>
    </w:p>
    <w:p w14:paraId="51323938" w14:textId="77777777" w:rsidR="00BC1861" w:rsidRPr="00890249" w:rsidRDefault="00BC1861" w:rsidP="00BC1861">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Wskazanie konkretnych terytoriów objętych wsparciem, z uwzględnieniem planowanego wykorzystania narzędzi terytorialnych</w:t>
      </w:r>
    </w:p>
    <w:p w14:paraId="56B6994E" w14:textId="77777777" w:rsidR="0093433C" w:rsidRPr="00890249" w:rsidRDefault="00665AB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4147D071" w14:textId="77777777" w:rsidR="00BC1861" w:rsidRPr="00890249" w:rsidRDefault="00BC1861" w:rsidP="00BC1861">
      <w:pPr>
        <w:pStyle w:val="Tekstpodstawowy"/>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Działania międzyregionalne, transgraniczne i transnarodowe</w:t>
      </w:r>
    </w:p>
    <w:p w14:paraId="5DE9688C" w14:textId="5AC72582" w:rsidR="0093433C" w:rsidRPr="00890249" w:rsidRDefault="005612B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Zaplanowane działania są komplementarne z interwencjami założonymi w programie współpracy transgranicznej </w:t>
      </w:r>
      <w:r w:rsidR="00BA1D2F" w:rsidRPr="00890249">
        <w:rPr>
          <w:rFonts w:asciiTheme="minorHAnsi" w:hAnsiTheme="minorHAnsi" w:cstheme="minorHAnsi"/>
          <w:sz w:val="22"/>
          <w:szCs w:val="22"/>
          <w:lang w:eastAsia="en-US" w:bidi="ar-SA"/>
        </w:rPr>
        <w:t>Interreg</w:t>
      </w:r>
      <w:r w:rsidRPr="00890249">
        <w:rPr>
          <w:rFonts w:asciiTheme="minorHAnsi" w:hAnsiTheme="minorHAnsi" w:cstheme="minorHAnsi"/>
          <w:sz w:val="22"/>
          <w:szCs w:val="22"/>
          <w:lang w:eastAsia="en-US" w:bidi="ar-SA"/>
        </w:rPr>
        <w:t xml:space="preserve"> Czechy-Polska 2021-2027</w:t>
      </w:r>
      <w:r w:rsidR="00A95FFA"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co umożliwi realizację wspólnych przedsięwzięć na obszarze województwa opolskiego i Republiki Czeskiej. W zakresie przedmiotowego </w:t>
      </w:r>
      <w:r w:rsidR="00A95FFA" w:rsidRPr="00890249">
        <w:rPr>
          <w:rFonts w:asciiTheme="minorHAnsi" w:hAnsiTheme="minorHAnsi" w:cstheme="minorHAnsi"/>
          <w:sz w:val="22"/>
          <w:szCs w:val="22"/>
          <w:lang w:eastAsia="en-US" w:bidi="ar-SA"/>
        </w:rPr>
        <w:t>cs</w:t>
      </w:r>
      <w:r w:rsidRPr="00890249">
        <w:rPr>
          <w:rFonts w:asciiTheme="minorHAnsi" w:hAnsiTheme="minorHAnsi" w:cstheme="minorHAnsi"/>
          <w:sz w:val="22"/>
          <w:szCs w:val="22"/>
          <w:lang w:eastAsia="en-US" w:bidi="ar-SA"/>
        </w:rPr>
        <w:t xml:space="preserve"> ważna będzie współpraca ukierunkowana na zapobieganie przyczynom i skutkom zmian klimatu. Ze względu na uwarunkowania fizyczno-geograficzne i społeczno-gospodarcze obszaru programowego klęski żywiołowe i katastrofy na pograniczu czesko-polskim w wielu miejscach mają następstwa, które dotyczą obydwu krajów. Poprzez kryteria wyboru projektu IZ premiować będzie współpracę między regionami prowadzącą do poprawy bilansu wodn</w:t>
      </w:r>
      <w:r w:rsidR="00350B3F" w:rsidRPr="00890249">
        <w:rPr>
          <w:rFonts w:asciiTheme="minorHAnsi" w:hAnsiTheme="minorHAnsi" w:cstheme="minorHAnsi"/>
          <w:sz w:val="22"/>
          <w:szCs w:val="22"/>
          <w:lang w:eastAsia="en-US" w:bidi="ar-SA"/>
        </w:rPr>
        <w:t>ego</w:t>
      </w:r>
      <w:r w:rsidR="00A95FFA"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tj. wspólne inwestycje dotyczące m.in. retencji oraz infrastruktury hydrotechnicznej zmniejszającej skutki powodz</w:t>
      </w:r>
      <w:r w:rsidR="000B2721">
        <w:rPr>
          <w:rFonts w:asciiTheme="minorHAnsi" w:hAnsiTheme="minorHAnsi" w:cstheme="minorHAnsi"/>
          <w:sz w:val="22"/>
          <w:szCs w:val="22"/>
          <w:lang w:eastAsia="en-US" w:bidi="ar-SA"/>
        </w:rPr>
        <w:t>i i suszy, a także kooperację w </w:t>
      </w:r>
      <w:r w:rsidRPr="00890249">
        <w:rPr>
          <w:rFonts w:asciiTheme="minorHAnsi" w:hAnsiTheme="minorHAnsi" w:cstheme="minorHAnsi"/>
          <w:sz w:val="22"/>
          <w:szCs w:val="22"/>
          <w:lang w:eastAsia="en-US" w:bidi="ar-SA"/>
        </w:rPr>
        <w:t xml:space="preserve">zakresie akcji ratowniczych, w tym wymianę doświadczeń, wspólne systemy monitorowania, łączności i ostrzegania. Współpraca ma docelowo doprowadzić do tworzenia sieci i platform współpracy umożliwiających wymianę informacji i dobrych praktyk, monitoring procesów oraz zjawisk środowiskowych, realizację wspólnych analiz, koncepcji – działań, które finansowane będą co do zasady z programu </w:t>
      </w:r>
      <w:r w:rsidR="00BA1D2F" w:rsidRPr="00890249">
        <w:rPr>
          <w:rFonts w:asciiTheme="minorHAnsi" w:hAnsiTheme="minorHAnsi" w:cstheme="minorHAnsi"/>
          <w:sz w:val="22"/>
          <w:szCs w:val="22"/>
          <w:lang w:eastAsia="en-US" w:bidi="ar-SA"/>
        </w:rPr>
        <w:t>Interreg</w:t>
      </w:r>
      <w:r w:rsidRPr="00890249">
        <w:rPr>
          <w:rFonts w:asciiTheme="minorHAnsi" w:hAnsiTheme="minorHAnsi" w:cstheme="minorHAnsi"/>
          <w:sz w:val="22"/>
          <w:szCs w:val="22"/>
          <w:lang w:eastAsia="en-US" w:bidi="ar-SA"/>
        </w:rPr>
        <w:t xml:space="preserve"> Czechy-Polska 2021-2027. </w:t>
      </w:r>
    </w:p>
    <w:p w14:paraId="2566C900" w14:textId="77777777" w:rsidR="0093433C" w:rsidRPr="00890249" w:rsidRDefault="005612B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Adaptacja do zmian klimatu jest również przedmiotem zainteresowania programu Interreg Region Morza Bałtyckiego 2021-2027, który zakłada m.in.: </w:t>
      </w:r>
    </w:p>
    <w:p w14:paraId="17BE8832" w14:textId="62101DCF" w:rsidR="0093433C" w:rsidRPr="00890249" w:rsidRDefault="005612BC" w:rsidP="009F296A">
      <w:pPr>
        <w:numPr>
          <w:ilvl w:val="0"/>
          <w:numId w:val="120"/>
        </w:numPr>
        <w:spacing w:before="0" w:after="0" w:line="259" w:lineRule="auto"/>
        <w:ind w:left="284" w:hanging="284"/>
        <w:rPr>
          <w:rFonts w:asciiTheme="minorHAnsi" w:eastAsiaTheme="minorHAnsi" w:hAnsiTheme="minorHAnsi" w:cstheme="minorHAnsi"/>
          <w:vanish/>
          <w:sz w:val="22"/>
          <w:szCs w:val="22"/>
          <w:lang w:eastAsia="en-US" w:bidi="ar-SA"/>
        </w:rPr>
      </w:pPr>
      <w:r w:rsidRPr="00890249">
        <w:rPr>
          <w:rFonts w:asciiTheme="minorHAnsi" w:hAnsiTheme="minorHAnsi" w:cstheme="minorHAnsi"/>
          <w:sz w:val="22"/>
          <w:szCs w:val="22"/>
          <w:lang w:eastAsia="en-US" w:bidi="ar-SA"/>
        </w:rPr>
        <w:t>dostosowanie praktyk gospodarki wodnej we wszystkich sektorach w celu racjonalnego</w:t>
      </w:r>
      <w:r w:rsidR="0093433C" w:rsidRPr="00890249">
        <w:rPr>
          <w:rFonts w:asciiTheme="minorHAnsi" w:hAnsiTheme="minorHAnsi" w:cstheme="minorHAnsi"/>
          <w:sz w:val="22"/>
          <w:szCs w:val="22"/>
          <w:lang w:eastAsia="en-US" w:bidi="ar-SA"/>
        </w:rPr>
        <w:t xml:space="preserve"> </w:t>
      </w:r>
    </w:p>
    <w:p w14:paraId="37579F09" w14:textId="1B0D85C4" w:rsidR="0093433C" w:rsidRPr="00890249" w:rsidRDefault="005612BC" w:rsidP="00452D26">
      <w:pPr>
        <w:pStyle w:val="Listapunktowana"/>
        <w:numPr>
          <w:ilvl w:val="0"/>
          <w:numId w:val="0"/>
        </w:numPr>
        <w:ind w:left="36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wykorzystania wody (np. ponowne wykorzy</w:t>
      </w:r>
      <w:r w:rsidR="00452D26">
        <w:rPr>
          <w:rFonts w:asciiTheme="minorHAnsi" w:hAnsiTheme="minorHAnsi" w:cstheme="minorHAnsi"/>
          <w:sz w:val="22"/>
          <w:szCs w:val="22"/>
          <w:lang w:eastAsia="en-US" w:bidi="ar-SA"/>
        </w:rPr>
        <w:t>stanie, retencja, recyrkulacja),</w:t>
      </w:r>
    </w:p>
    <w:p w14:paraId="764DF64B" w14:textId="2B9A1D62" w:rsidR="0093433C" w:rsidRPr="00452D26" w:rsidRDefault="005612BC" w:rsidP="009F296A">
      <w:pPr>
        <w:pStyle w:val="Listapunktowana2"/>
        <w:numPr>
          <w:ilvl w:val="0"/>
          <w:numId w:val="120"/>
        </w:numPr>
        <w:ind w:left="284" w:hanging="284"/>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planowani</w:t>
      </w:r>
      <w:r w:rsidR="0056225C" w:rsidRPr="00890249">
        <w:rPr>
          <w:rFonts w:asciiTheme="minorHAnsi" w:hAnsiTheme="minorHAnsi" w:cstheme="minorHAnsi"/>
          <w:sz w:val="22"/>
          <w:szCs w:val="22"/>
          <w:lang w:eastAsia="en-US" w:bidi="ar-SA"/>
        </w:rPr>
        <w:t xml:space="preserve">e </w:t>
      </w:r>
      <w:r w:rsidRPr="00890249">
        <w:rPr>
          <w:rFonts w:asciiTheme="minorHAnsi" w:hAnsiTheme="minorHAnsi" w:cstheme="minorHAnsi"/>
          <w:sz w:val="22"/>
          <w:szCs w:val="22"/>
          <w:lang w:eastAsia="en-US" w:bidi="ar-SA"/>
        </w:rPr>
        <w:t>zarządzania wodą (np. podczas</w:t>
      </w:r>
      <w:r w:rsidR="0056225C" w:rsidRPr="00890249">
        <w:rPr>
          <w:rFonts w:asciiTheme="minorHAnsi" w:hAnsiTheme="minorHAnsi" w:cstheme="minorHAnsi"/>
          <w:sz w:val="22"/>
          <w:szCs w:val="22"/>
          <w:lang w:eastAsia="en-US" w:bidi="ar-SA"/>
        </w:rPr>
        <w:t xml:space="preserve"> </w:t>
      </w:r>
      <w:r w:rsidRPr="00452D26">
        <w:rPr>
          <w:rFonts w:asciiTheme="minorHAnsi" w:hAnsiTheme="minorHAnsi" w:cstheme="minorHAnsi"/>
          <w:sz w:val="22"/>
          <w:szCs w:val="22"/>
          <w:lang w:eastAsia="en-US" w:bidi="ar-SA"/>
        </w:rPr>
        <w:t>burz, powodzi, suszy</w:t>
      </w:r>
      <w:r w:rsidR="005E04BC">
        <w:rPr>
          <w:rFonts w:asciiTheme="minorHAnsi" w:hAnsiTheme="minorHAnsi" w:cstheme="minorHAnsi"/>
          <w:sz w:val="22"/>
          <w:szCs w:val="22"/>
          <w:lang w:eastAsia="en-US" w:bidi="ar-SA"/>
        </w:rPr>
        <w:t xml:space="preserve"> i niedoboru wód gruntowych), a </w:t>
      </w:r>
      <w:r w:rsidRPr="00452D26">
        <w:rPr>
          <w:rFonts w:asciiTheme="minorHAnsi" w:hAnsiTheme="minorHAnsi" w:cstheme="minorHAnsi"/>
          <w:sz w:val="22"/>
          <w:szCs w:val="22"/>
          <w:lang w:eastAsia="en-US" w:bidi="ar-SA"/>
        </w:rPr>
        <w:t>także opracowanie planów ekologicznych,</w:t>
      </w:r>
      <w:r w:rsidR="0056225C" w:rsidRPr="00452D26">
        <w:rPr>
          <w:rFonts w:asciiTheme="minorHAnsi" w:hAnsiTheme="minorHAnsi" w:cstheme="minorHAnsi"/>
          <w:sz w:val="22"/>
          <w:szCs w:val="22"/>
          <w:lang w:eastAsia="en-US" w:bidi="ar-SA"/>
        </w:rPr>
        <w:t xml:space="preserve"> </w:t>
      </w:r>
    </w:p>
    <w:p w14:paraId="043965B5" w14:textId="3A6CB80E" w:rsidR="0093433C" w:rsidRPr="00890249" w:rsidRDefault="00452D26" w:rsidP="009F296A">
      <w:pPr>
        <w:pStyle w:val="Listapunktowana"/>
        <w:numPr>
          <w:ilvl w:val="0"/>
          <w:numId w:val="120"/>
        </w:numPr>
        <w:ind w:left="284" w:hanging="284"/>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rozwiązania oparte na naturze</w:t>
      </w:r>
      <w:r w:rsidR="005612BC" w:rsidRPr="00890249">
        <w:rPr>
          <w:rFonts w:asciiTheme="minorHAnsi" w:hAnsiTheme="minorHAnsi" w:cstheme="minorHAnsi"/>
          <w:sz w:val="22"/>
          <w:szCs w:val="22"/>
          <w:lang w:eastAsia="en-US" w:bidi="ar-SA"/>
        </w:rPr>
        <w:t xml:space="preserve">. </w:t>
      </w:r>
    </w:p>
    <w:p w14:paraId="6EF92C29" w14:textId="77777777" w:rsidR="0093433C" w:rsidRPr="00890249" w:rsidRDefault="005612B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Zaproponowane w FEO 2021-2027 inwestycje przyczynią się do efektu synergii w ramach ww. Programów.</w:t>
      </w:r>
    </w:p>
    <w:p w14:paraId="350C3049" w14:textId="77777777" w:rsidR="00BC1861" w:rsidRPr="00890249" w:rsidRDefault="00BC1861" w:rsidP="00BC1861">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Planowane wykorzystanie instrumentów finansowych</w:t>
      </w:r>
    </w:p>
    <w:p w14:paraId="0A3C980C" w14:textId="11CC2F33" w:rsidR="0093433C" w:rsidRPr="00890249" w:rsidRDefault="00083A4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W ramach </w:t>
      </w:r>
      <w:r w:rsidR="00A95FFA" w:rsidRPr="00890249">
        <w:rPr>
          <w:rFonts w:asciiTheme="minorHAnsi" w:hAnsiTheme="minorHAnsi" w:cstheme="minorHAnsi"/>
          <w:noProof/>
          <w:sz w:val="22"/>
          <w:szCs w:val="22"/>
        </w:rPr>
        <w:t>cs</w:t>
      </w:r>
      <w:r w:rsidRPr="00890249">
        <w:rPr>
          <w:rFonts w:asciiTheme="minorHAnsi" w:hAnsiTheme="minorHAnsi" w:cstheme="minorHAnsi"/>
          <w:noProof/>
          <w:sz w:val="22"/>
          <w:szCs w:val="22"/>
        </w:rPr>
        <w:t xml:space="preserve"> (iv) nie planuje się wykorzystania i</w:t>
      </w:r>
      <w:r w:rsidR="00195F3F" w:rsidRPr="00890249">
        <w:rPr>
          <w:rFonts w:asciiTheme="minorHAnsi" w:hAnsiTheme="minorHAnsi" w:cstheme="minorHAnsi"/>
          <w:noProof/>
          <w:sz w:val="22"/>
          <w:szCs w:val="22"/>
        </w:rPr>
        <w:t>ns</w:t>
      </w:r>
      <w:r w:rsidRPr="00890249">
        <w:rPr>
          <w:rFonts w:asciiTheme="minorHAnsi" w:hAnsiTheme="minorHAnsi" w:cstheme="minorHAnsi"/>
          <w:noProof/>
          <w:sz w:val="22"/>
          <w:szCs w:val="22"/>
        </w:rPr>
        <w:t>trumentów finansowych</w:t>
      </w:r>
      <w:r w:rsidR="00EB30B7" w:rsidRPr="00890249">
        <w:rPr>
          <w:rFonts w:asciiTheme="minorHAnsi" w:hAnsiTheme="minorHAnsi" w:cstheme="minorHAnsi"/>
          <w:noProof/>
          <w:sz w:val="22"/>
          <w:szCs w:val="22"/>
        </w:rPr>
        <w:t>. W </w:t>
      </w:r>
      <w:r w:rsidR="00BF58CB" w:rsidRPr="00890249">
        <w:rPr>
          <w:rFonts w:asciiTheme="minorHAnsi" w:hAnsiTheme="minorHAnsi" w:cstheme="minorHAnsi"/>
          <w:noProof/>
          <w:sz w:val="22"/>
          <w:szCs w:val="22"/>
        </w:rPr>
        <w:t>obszarze szeroko pojętego dostosowania do zmian klimatu, w tym zakupu sprzętu d</w:t>
      </w:r>
      <w:r w:rsidR="0037707A" w:rsidRPr="00890249">
        <w:rPr>
          <w:rFonts w:asciiTheme="minorHAnsi" w:hAnsiTheme="minorHAnsi" w:cstheme="minorHAnsi"/>
          <w:noProof/>
          <w:sz w:val="22"/>
          <w:szCs w:val="22"/>
        </w:rPr>
        <w:t>o prowadzenia akcji, systemów ratownictwa, działań przeciwdziałających zmianom klimatu</w:t>
      </w:r>
      <w:r w:rsidR="00B068E4" w:rsidRPr="00890249">
        <w:rPr>
          <w:rFonts w:asciiTheme="minorHAnsi" w:hAnsiTheme="minorHAnsi" w:cstheme="minorHAnsi"/>
          <w:noProof/>
          <w:sz w:val="22"/>
          <w:szCs w:val="22"/>
        </w:rPr>
        <w:t xml:space="preserve"> </w:t>
      </w:r>
      <w:r w:rsidR="00BC479E" w:rsidRPr="00890249">
        <w:rPr>
          <w:rFonts w:asciiTheme="minorHAnsi" w:hAnsiTheme="minorHAnsi" w:cstheme="minorHAnsi"/>
          <w:noProof/>
          <w:sz w:val="22"/>
          <w:szCs w:val="22"/>
        </w:rPr>
        <w:t>zakłada się wsparcie w</w:t>
      </w:r>
      <w:r w:rsidR="00EB30B7" w:rsidRPr="00890249">
        <w:rPr>
          <w:rFonts w:asciiTheme="minorHAnsi" w:hAnsiTheme="minorHAnsi" w:cstheme="minorHAnsi"/>
          <w:noProof/>
          <w:sz w:val="22"/>
          <w:szCs w:val="22"/>
        </w:rPr>
        <w:t> </w:t>
      </w:r>
      <w:r w:rsidR="00B068E4" w:rsidRPr="00890249">
        <w:rPr>
          <w:rFonts w:asciiTheme="minorHAnsi" w:hAnsiTheme="minorHAnsi" w:cstheme="minorHAnsi"/>
          <w:noProof/>
          <w:sz w:val="22"/>
          <w:szCs w:val="22"/>
        </w:rPr>
        <w:t xml:space="preserve">formie </w:t>
      </w:r>
      <w:r w:rsidR="00BC479E" w:rsidRPr="00890249">
        <w:rPr>
          <w:rFonts w:asciiTheme="minorHAnsi" w:hAnsiTheme="minorHAnsi" w:cstheme="minorHAnsi"/>
          <w:noProof/>
          <w:sz w:val="22"/>
          <w:szCs w:val="22"/>
        </w:rPr>
        <w:t>dotacji</w:t>
      </w:r>
      <w:r w:rsidR="00B068E4" w:rsidRPr="00890249">
        <w:rPr>
          <w:rFonts w:asciiTheme="minorHAnsi" w:hAnsiTheme="minorHAnsi" w:cstheme="minorHAnsi"/>
          <w:noProof/>
          <w:sz w:val="22"/>
          <w:szCs w:val="22"/>
        </w:rPr>
        <w:t xml:space="preserve">. </w:t>
      </w:r>
      <w:r w:rsidR="00BC479E" w:rsidRPr="00890249">
        <w:rPr>
          <w:rFonts w:asciiTheme="minorHAnsi" w:hAnsiTheme="minorHAnsi" w:cstheme="minorHAnsi"/>
          <w:noProof/>
          <w:sz w:val="22"/>
          <w:szCs w:val="22"/>
        </w:rPr>
        <w:t xml:space="preserve">Zaplanowane przedsięwzięcia są działaniami </w:t>
      </w:r>
      <w:r w:rsidR="00A95FFA" w:rsidRPr="00890249">
        <w:rPr>
          <w:rFonts w:asciiTheme="minorHAnsi" w:hAnsiTheme="minorHAnsi" w:cstheme="minorHAnsi"/>
          <w:noProof/>
          <w:sz w:val="22"/>
          <w:szCs w:val="22"/>
        </w:rPr>
        <w:t xml:space="preserve">związanymi z zadaniami publicznymi, </w:t>
      </w:r>
      <w:r w:rsidR="008C2C72" w:rsidRPr="00890249">
        <w:rPr>
          <w:rFonts w:asciiTheme="minorHAnsi" w:hAnsiTheme="minorHAnsi" w:cstheme="minorHAnsi"/>
          <w:noProof/>
          <w:sz w:val="22"/>
          <w:szCs w:val="22"/>
        </w:rPr>
        <w:t>nie generującymi zysków</w:t>
      </w:r>
      <w:r w:rsidR="00A95FFA" w:rsidRPr="00890249">
        <w:rPr>
          <w:rFonts w:asciiTheme="minorHAnsi" w:hAnsiTheme="minorHAnsi" w:cstheme="minorHAnsi"/>
          <w:noProof/>
          <w:sz w:val="22"/>
          <w:szCs w:val="22"/>
        </w:rPr>
        <w:t>.</w:t>
      </w:r>
      <w:r w:rsidR="008C2C72" w:rsidRPr="00890249">
        <w:rPr>
          <w:rFonts w:asciiTheme="minorHAnsi" w:hAnsiTheme="minorHAnsi" w:cstheme="minorHAnsi"/>
          <w:noProof/>
          <w:sz w:val="22"/>
          <w:szCs w:val="22"/>
        </w:rPr>
        <w:t xml:space="preserve"> </w:t>
      </w:r>
    </w:p>
    <w:p w14:paraId="66398BCD" w14:textId="77777777" w:rsidR="002C7159" w:rsidRPr="00890249" w:rsidRDefault="004A4566" w:rsidP="004A4566">
      <w:pPr>
        <w:spacing w:before="0" w:after="160" w:line="259" w:lineRule="auto"/>
        <w:jc w:val="left"/>
        <w:rPr>
          <w:rFonts w:asciiTheme="minorHAnsi" w:hAnsiTheme="minorHAnsi" w:cstheme="minorHAnsi"/>
          <w:noProof/>
          <w:color w:val="000000" w:themeColor="text1"/>
          <w:sz w:val="22"/>
        </w:rPr>
      </w:pPr>
      <w:r w:rsidRPr="00890249">
        <w:rPr>
          <w:rFonts w:asciiTheme="minorHAnsi" w:hAnsiTheme="minorHAnsi" w:cstheme="minorHAnsi"/>
          <w:noProof/>
          <w:color w:val="000000" w:themeColor="text1"/>
          <w:sz w:val="22"/>
        </w:rPr>
        <w:br w:type="page"/>
      </w:r>
    </w:p>
    <w:p w14:paraId="64B0B69F" w14:textId="77777777" w:rsidR="00BC1861" w:rsidRPr="00890249" w:rsidRDefault="00BC1861" w:rsidP="00BC1861">
      <w:pPr>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2.1.2.3.2 (iv) Wskaźnik</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53"/>
        <w:gridCol w:w="693"/>
        <w:gridCol w:w="1009"/>
        <w:gridCol w:w="830"/>
        <w:gridCol w:w="2213"/>
        <w:gridCol w:w="830"/>
        <w:gridCol w:w="1106"/>
        <w:gridCol w:w="1065"/>
      </w:tblGrid>
      <w:tr w:rsidR="0034642D" w:rsidRPr="00890249" w14:paraId="1F6418A5" w14:textId="77777777" w:rsidTr="00A4690F">
        <w:trPr>
          <w:trHeight w:val="425"/>
        </w:trPr>
        <w:tc>
          <w:tcPr>
            <w:tcW w:w="5000" w:type="pct"/>
            <w:gridSpan w:val="9"/>
            <w:shd w:val="clear" w:color="auto" w:fill="D9D9D9" w:themeFill="background1" w:themeFillShade="D9"/>
          </w:tcPr>
          <w:p w14:paraId="6ABE3E2C"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307190FD" w14:textId="77777777" w:rsidTr="00745D05">
        <w:trPr>
          <w:cantSplit/>
          <w:trHeight w:val="1647"/>
        </w:trPr>
        <w:tc>
          <w:tcPr>
            <w:tcW w:w="291" w:type="pct"/>
            <w:shd w:val="clear" w:color="auto" w:fill="F2F2F2" w:themeFill="background1" w:themeFillShade="F2"/>
            <w:textDirection w:val="btLr"/>
            <w:vAlign w:val="center"/>
          </w:tcPr>
          <w:p w14:paraId="5E1232A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7" w:type="pct"/>
            <w:shd w:val="clear" w:color="auto" w:fill="F2F2F2" w:themeFill="background1" w:themeFillShade="F2"/>
            <w:textDirection w:val="btLr"/>
            <w:vAlign w:val="center"/>
          </w:tcPr>
          <w:p w14:paraId="7B2F14A6"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58382388"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7CB802B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3A4D901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4C9E436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6E8DDB2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531E561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0" w:type="pct"/>
            <w:shd w:val="clear" w:color="auto" w:fill="F2F2F2" w:themeFill="background1" w:themeFillShade="F2"/>
            <w:textDirection w:val="btLr"/>
            <w:vAlign w:val="center"/>
          </w:tcPr>
          <w:p w14:paraId="4DD99D3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A13182" w:rsidRPr="00890249" w14:paraId="616AFB0D" w14:textId="77777777" w:rsidTr="00745D05">
        <w:trPr>
          <w:trHeight w:val="340"/>
        </w:trPr>
        <w:tc>
          <w:tcPr>
            <w:tcW w:w="291" w:type="pct"/>
            <w:vAlign w:val="center"/>
          </w:tcPr>
          <w:p w14:paraId="0FD4085D" w14:textId="77777777" w:rsidR="00A13182" w:rsidRPr="00890249" w:rsidRDefault="00A13182" w:rsidP="00A13182">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vAlign w:val="center"/>
          </w:tcPr>
          <w:p w14:paraId="54519214"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2.iv</w:t>
            </w:r>
          </w:p>
        </w:tc>
        <w:tc>
          <w:tcPr>
            <w:tcW w:w="384" w:type="pct"/>
            <w:vAlign w:val="center"/>
          </w:tcPr>
          <w:p w14:paraId="585DEF3E"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26AFFF88"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48EACE5C"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sz w:val="18"/>
                <w:szCs w:val="16"/>
              </w:rPr>
              <w:t>RCO</w:t>
            </w:r>
            <w:r w:rsidR="00624F0D" w:rsidRPr="00890249">
              <w:rPr>
                <w:rFonts w:asciiTheme="minorHAnsi" w:hAnsiTheme="minorHAnsi" w:cstheme="minorHAnsi"/>
                <w:i/>
                <w:sz w:val="18"/>
                <w:szCs w:val="16"/>
              </w:rPr>
              <w:t>0</w:t>
            </w:r>
            <w:r w:rsidRPr="00890249">
              <w:rPr>
                <w:rFonts w:asciiTheme="minorHAnsi" w:hAnsiTheme="minorHAnsi" w:cstheme="minorHAnsi"/>
                <w:i/>
                <w:sz w:val="18"/>
                <w:szCs w:val="16"/>
              </w:rPr>
              <w:t>24</w:t>
            </w:r>
          </w:p>
        </w:tc>
        <w:tc>
          <w:tcPr>
            <w:tcW w:w="1226" w:type="pct"/>
            <w:shd w:val="clear" w:color="auto" w:fill="auto"/>
            <w:vAlign w:val="center"/>
          </w:tcPr>
          <w:p w14:paraId="72FB83F9" w14:textId="77777777" w:rsidR="00A13182" w:rsidRPr="00890249" w:rsidRDefault="00A13182" w:rsidP="006D1AF2">
            <w:pPr>
              <w:jc w:val="left"/>
              <w:rPr>
                <w:rFonts w:asciiTheme="minorHAnsi" w:hAnsiTheme="minorHAnsi" w:cstheme="minorHAnsi"/>
                <w:i/>
                <w:noProof/>
                <w:sz w:val="18"/>
                <w:szCs w:val="16"/>
              </w:rPr>
            </w:pPr>
            <w:r w:rsidRPr="00890249">
              <w:rPr>
                <w:rFonts w:asciiTheme="minorHAnsi" w:hAnsiTheme="minorHAnsi" w:cstheme="minorHAnsi"/>
                <w:i/>
                <w:sz w:val="18"/>
                <w:szCs w:val="16"/>
              </w:rPr>
              <w:t xml:space="preserve">Inwestycje w nowe lub </w:t>
            </w:r>
            <w:r w:rsidR="006D1AF2" w:rsidRPr="00890249">
              <w:rPr>
                <w:rFonts w:asciiTheme="minorHAnsi" w:hAnsiTheme="minorHAnsi" w:cstheme="minorHAnsi"/>
                <w:i/>
                <w:sz w:val="18"/>
                <w:szCs w:val="16"/>
              </w:rPr>
              <w:t xml:space="preserve">zmodernizowane </w:t>
            </w:r>
            <w:r w:rsidRPr="00890249">
              <w:rPr>
                <w:rFonts w:asciiTheme="minorHAnsi" w:hAnsiTheme="minorHAnsi" w:cstheme="minorHAnsi"/>
                <w:i/>
                <w:sz w:val="18"/>
                <w:szCs w:val="16"/>
              </w:rPr>
              <w:t>systemy monitorowania, gotowości, ostrzegania i reagowania</w:t>
            </w:r>
            <w:r w:rsidR="006D1AF2" w:rsidRPr="00890249">
              <w:rPr>
                <w:rFonts w:asciiTheme="minorHAnsi" w:hAnsiTheme="minorHAnsi" w:cstheme="minorHAnsi"/>
                <w:i/>
                <w:sz w:val="18"/>
                <w:szCs w:val="16"/>
              </w:rPr>
              <w:t xml:space="preserve"> w kontekście klęsk żywiołowych i katastrof w przypadku klęsk żywiołowych</w:t>
            </w:r>
          </w:p>
        </w:tc>
        <w:tc>
          <w:tcPr>
            <w:tcW w:w="460" w:type="pct"/>
            <w:vAlign w:val="center"/>
          </w:tcPr>
          <w:p w14:paraId="3602DE85" w14:textId="77777777" w:rsidR="00A13182" w:rsidRPr="00890249" w:rsidRDefault="00A13182" w:rsidP="00A1318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euro</w:t>
            </w:r>
          </w:p>
        </w:tc>
        <w:tc>
          <w:tcPr>
            <w:tcW w:w="613" w:type="pct"/>
            <w:shd w:val="clear" w:color="auto" w:fill="auto"/>
            <w:vAlign w:val="center"/>
          </w:tcPr>
          <w:p w14:paraId="271F5FEC" w14:textId="77777777" w:rsidR="00624F0D" w:rsidRPr="00890249" w:rsidRDefault="005F6AE6" w:rsidP="00A13182">
            <w:pPr>
              <w:jc w:val="center"/>
              <w:rPr>
                <w:rFonts w:asciiTheme="minorHAnsi" w:hAnsiTheme="minorHAnsi" w:cstheme="minorHAnsi"/>
                <w:noProof/>
                <w:sz w:val="18"/>
                <w:szCs w:val="16"/>
              </w:rPr>
            </w:pPr>
            <w:r w:rsidRPr="00890249">
              <w:rPr>
                <w:rFonts w:asciiTheme="minorHAnsi" w:hAnsiTheme="minorHAnsi" w:cstheme="minorHAnsi"/>
                <w:noProof/>
                <w:sz w:val="18"/>
                <w:szCs w:val="16"/>
              </w:rPr>
              <w:t>293 750</w:t>
            </w:r>
          </w:p>
        </w:tc>
        <w:tc>
          <w:tcPr>
            <w:tcW w:w="590" w:type="pct"/>
            <w:shd w:val="clear" w:color="auto" w:fill="auto"/>
            <w:vAlign w:val="center"/>
          </w:tcPr>
          <w:p w14:paraId="79AF9EC6" w14:textId="77777777" w:rsidR="00A13182" w:rsidRPr="00890249" w:rsidRDefault="005F6AE6" w:rsidP="00624F0D">
            <w:pPr>
              <w:jc w:val="center"/>
              <w:rPr>
                <w:rFonts w:asciiTheme="minorHAnsi" w:hAnsiTheme="minorHAnsi" w:cstheme="minorHAnsi"/>
                <w:noProof/>
                <w:sz w:val="18"/>
                <w:szCs w:val="16"/>
              </w:rPr>
            </w:pPr>
            <w:r w:rsidRPr="00890249">
              <w:rPr>
                <w:rFonts w:asciiTheme="minorHAnsi" w:hAnsiTheme="minorHAnsi" w:cstheme="minorHAnsi"/>
                <w:noProof/>
                <w:sz w:val="18"/>
                <w:szCs w:val="16"/>
              </w:rPr>
              <w:t>5 875 000</w:t>
            </w:r>
          </w:p>
        </w:tc>
      </w:tr>
      <w:tr w:rsidR="006D1AF2" w:rsidRPr="00890249" w14:paraId="0008B772" w14:textId="77777777" w:rsidTr="00745D05">
        <w:trPr>
          <w:trHeight w:val="332"/>
        </w:trPr>
        <w:tc>
          <w:tcPr>
            <w:tcW w:w="291" w:type="pct"/>
            <w:tcBorders>
              <w:bottom w:val="single" w:sz="4" w:space="0" w:color="auto"/>
            </w:tcBorders>
            <w:vAlign w:val="center"/>
          </w:tcPr>
          <w:p w14:paraId="602E1BEE" w14:textId="77777777" w:rsidR="006D1AF2" w:rsidRPr="00890249" w:rsidRDefault="006D1AF2" w:rsidP="006D1AF2">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tcBorders>
              <w:bottom w:val="single" w:sz="4" w:space="0" w:color="auto"/>
            </w:tcBorders>
            <w:vAlign w:val="center"/>
          </w:tcPr>
          <w:p w14:paraId="63F25D1D"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2.iv</w:t>
            </w:r>
          </w:p>
        </w:tc>
        <w:tc>
          <w:tcPr>
            <w:tcW w:w="384" w:type="pct"/>
            <w:tcBorders>
              <w:bottom w:val="single" w:sz="4" w:space="0" w:color="auto"/>
            </w:tcBorders>
            <w:vAlign w:val="center"/>
          </w:tcPr>
          <w:p w14:paraId="63EB11B3"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tcBorders>
              <w:bottom w:val="single" w:sz="4" w:space="0" w:color="auto"/>
            </w:tcBorders>
            <w:vAlign w:val="center"/>
          </w:tcPr>
          <w:p w14:paraId="4C12FD02" w14:textId="77777777" w:rsidR="006D1AF2" w:rsidRPr="00890249" w:rsidRDefault="006D1AF2" w:rsidP="006D1AF2">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tcBorders>
              <w:bottom w:val="single" w:sz="4" w:space="0" w:color="auto"/>
            </w:tcBorders>
            <w:vAlign w:val="center"/>
          </w:tcPr>
          <w:p w14:paraId="0F810EAB" w14:textId="77777777" w:rsidR="006D1AF2" w:rsidRPr="00890249" w:rsidRDefault="004E3FE7" w:rsidP="006D1AF2">
            <w:pPr>
              <w:jc w:val="center"/>
              <w:rPr>
                <w:rFonts w:asciiTheme="minorHAnsi" w:hAnsiTheme="minorHAnsi" w:cstheme="minorHAnsi"/>
                <w:i/>
                <w:sz w:val="18"/>
                <w:szCs w:val="16"/>
              </w:rPr>
            </w:pPr>
            <w:r w:rsidRPr="00890249">
              <w:rPr>
                <w:rFonts w:asciiTheme="minorHAnsi" w:hAnsiTheme="minorHAnsi" w:cstheme="minorHAnsi"/>
                <w:i/>
                <w:sz w:val="18"/>
                <w:szCs w:val="16"/>
              </w:rPr>
              <w:t>PLRO</w:t>
            </w:r>
            <w:r w:rsidR="00624F0D" w:rsidRPr="00890249">
              <w:rPr>
                <w:rFonts w:asciiTheme="minorHAnsi" w:hAnsiTheme="minorHAnsi" w:cstheme="minorHAnsi"/>
                <w:i/>
                <w:sz w:val="18"/>
                <w:szCs w:val="16"/>
              </w:rPr>
              <w:t>0</w:t>
            </w:r>
            <w:r w:rsidRPr="00890249">
              <w:rPr>
                <w:rFonts w:asciiTheme="minorHAnsi" w:hAnsiTheme="minorHAnsi" w:cstheme="minorHAnsi"/>
                <w:i/>
                <w:sz w:val="18"/>
                <w:szCs w:val="16"/>
              </w:rPr>
              <w:t>41</w:t>
            </w:r>
          </w:p>
        </w:tc>
        <w:tc>
          <w:tcPr>
            <w:tcW w:w="1226" w:type="pct"/>
            <w:tcBorders>
              <w:bottom w:val="single" w:sz="4" w:space="0" w:color="auto"/>
            </w:tcBorders>
            <w:shd w:val="clear" w:color="auto" w:fill="auto"/>
            <w:vAlign w:val="center"/>
          </w:tcPr>
          <w:p w14:paraId="651C80E6" w14:textId="77777777" w:rsidR="006D1AF2" w:rsidRPr="00890249" w:rsidRDefault="006D1AF2" w:rsidP="006D1AF2">
            <w:pPr>
              <w:jc w:val="left"/>
              <w:rPr>
                <w:rFonts w:asciiTheme="minorHAnsi" w:hAnsiTheme="minorHAnsi" w:cstheme="minorHAnsi"/>
                <w:i/>
                <w:sz w:val="18"/>
                <w:szCs w:val="16"/>
              </w:rPr>
            </w:pPr>
            <w:r w:rsidRPr="00890249">
              <w:rPr>
                <w:rFonts w:asciiTheme="minorHAnsi" w:hAnsiTheme="minorHAnsi" w:cstheme="minorHAnsi"/>
                <w:i/>
                <w:sz w:val="18"/>
                <w:szCs w:val="16"/>
              </w:rPr>
              <w:t>Liczba jednostek służb ratowniczych doposażonych w sprzęt do prowadzenia akcji ratowniczych i usuwania skutków katastrof</w:t>
            </w:r>
          </w:p>
        </w:tc>
        <w:tc>
          <w:tcPr>
            <w:tcW w:w="460" w:type="pct"/>
            <w:tcBorders>
              <w:bottom w:val="single" w:sz="4" w:space="0" w:color="auto"/>
            </w:tcBorders>
            <w:vAlign w:val="center"/>
          </w:tcPr>
          <w:p w14:paraId="1189DC09" w14:textId="77777777" w:rsidR="006D1AF2" w:rsidRPr="00890249" w:rsidRDefault="006D1AF2" w:rsidP="006D1AF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613" w:type="pct"/>
            <w:tcBorders>
              <w:bottom w:val="single" w:sz="4" w:space="0" w:color="auto"/>
            </w:tcBorders>
            <w:shd w:val="clear" w:color="auto" w:fill="auto"/>
            <w:vAlign w:val="center"/>
          </w:tcPr>
          <w:p w14:paraId="70CB0EFF" w14:textId="77777777" w:rsidR="006D1AF2" w:rsidRPr="00890249" w:rsidRDefault="005225E5" w:rsidP="006D1AF2">
            <w:pPr>
              <w:jc w:val="center"/>
              <w:rPr>
                <w:rFonts w:asciiTheme="minorHAnsi" w:hAnsiTheme="minorHAnsi" w:cstheme="minorHAnsi"/>
                <w:noProof/>
                <w:sz w:val="18"/>
                <w:szCs w:val="16"/>
              </w:rPr>
            </w:pPr>
            <w:r w:rsidRPr="00890249">
              <w:rPr>
                <w:rFonts w:asciiTheme="minorHAnsi" w:hAnsiTheme="minorHAnsi" w:cstheme="minorHAnsi"/>
                <w:noProof/>
                <w:sz w:val="18"/>
                <w:szCs w:val="16"/>
              </w:rPr>
              <w:t>3</w:t>
            </w:r>
          </w:p>
        </w:tc>
        <w:tc>
          <w:tcPr>
            <w:tcW w:w="590" w:type="pct"/>
            <w:tcBorders>
              <w:bottom w:val="single" w:sz="4" w:space="0" w:color="auto"/>
            </w:tcBorders>
            <w:shd w:val="clear" w:color="auto" w:fill="auto"/>
            <w:vAlign w:val="center"/>
          </w:tcPr>
          <w:p w14:paraId="390B42A6" w14:textId="77777777" w:rsidR="006D1AF2" w:rsidRPr="00890249" w:rsidRDefault="005225E5" w:rsidP="006D1AF2">
            <w:pPr>
              <w:jc w:val="center"/>
              <w:rPr>
                <w:rFonts w:asciiTheme="minorHAnsi" w:hAnsiTheme="minorHAnsi" w:cstheme="minorHAnsi"/>
                <w:noProof/>
                <w:sz w:val="18"/>
                <w:szCs w:val="16"/>
              </w:rPr>
            </w:pPr>
            <w:r w:rsidRPr="00890249">
              <w:rPr>
                <w:rFonts w:asciiTheme="minorHAnsi" w:hAnsiTheme="minorHAnsi" w:cstheme="minorHAnsi"/>
                <w:noProof/>
                <w:sz w:val="18"/>
                <w:szCs w:val="16"/>
              </w:rPr>
              <w:t>52</w:t>
            </w:r>
          </w:p>
        </w:tc>
      </w:tr>
      <w:tr w:rsidR="00745D05" w:rsidRPr="00890249" w14:paraId="17603CAC" w14:textId="77777777" w:rsidTr="00BA2F8E">
        <w:trPr>
          <w:trHeight w:val="332"/>
        </w:trPr>
        <w:tc>
          <w:tcPr>
            <w:tcW w:w="291" w:type="pct"/>
            <w:vAlign w:val="center"/>
          </w:tcPr>
          <w:p w14:paraId="6EA8B3DF" w14:textId="77777777" w:rsidR="00745D05" w:rsidRPr="00890249" w:rsidRDefault="00745D05" w:rsidP="00745D05">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7" w:type="pct"/>
            <w:vAlign w:val="center"/>
          </w:tcPr>
          <w:p w14:paraId="590966D3" w14:textId="77777777" w:rsidR="00745D05" w:rsidRPr="00890249" w:rsidRDefault="00745D05" w:rsidP="00745D05">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2.iv</w:t>
            </w:r>
          </w:p>
        </w:tc>
        <w:tc>
          <w:tcPr>
            <w:tcW w:w="384" w:type="pct"/>
            <w:vAlign w:val="center"/>
          </w:tcPr>
          <w:p w14:paraId="58BA8D62" w14:textId="77777777" w:rsidR="00745D05" w:rsidRPr="00890249" w:rsidRDefault="00745D05" w:rsidP="00745D05">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07CED58D" w14:textId="77777777" w:rsidR="00745D05" w:rsidRPr="00890249" w:rsidRDefault="00745D05" w:rsidP="00745D05">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24E339BF" w14:textId="77777777" w:rsidR="00745D05" w:rsidRPr="00890249" w:rsidRDefault="00745D05" w:rsidP="00745D05">
            <w:pPr>
              <w:jc w:val="center"/>
              <w:rPr>
                <w:rFonts w:asciiTheme="minorHAnsi" w:hAnsiTheme="minorHAnsi" w:cstheme="minorHAnsi"/>
                <w:i/>
                <w:sz w:val="18"/>
                <w:szCs w:val="16"/>
              </w:rPr>
            </w:pPr>
            <w:r w:rsidRPr="00890249">
              <w:rPr>
                <w:rFonts w:asciiTheme="minorHAnsi" w:hAnsiTheme="minorHAnsi" w:cstheme="minorHAnsi"/>
                <w:i/>
                <w:sz w:val="18"/>
                <w:szCs w:val="16"/>
              </w:rPr>
              <w:t>RCO028</w:t>
            </w:r>
          </w:p>
        </w:tc>
        <w:tc>
          <w:tcPr>
            <w:tcW w:w="1226" w:type="pct"/>
            <w:shd w:val="clear" w:color="auto" w:fill="auto"/>
            <w:vAlign w:val="center"/>
          </w:tcPr>
          <w:p w14:paraId="3C2B1EB7" w14:textId="77777777" w:rsidR="00745D05" w:rsidRPr="00890249" w:rsidRDefault="00745D05" w:rsidP="00745D05">
            <w:pPr>
              <w:jc w:val="left"/>
              <w:rPr>
                <w:rFonts w:asciiTheme="minorHAnsi" w:hAnsiTheme="minorHAnsi" w:cstheme="minorHAnsi"/>
                <w:i/>
                <w:sz w:val="18"/>
                <w:szCs w:val="16"/>
              </w:rPr>
            </w:pPr>
            <w:r w:rsidRPr="00890249">
              <w:rPr>
                <w:rFonts w:asciiTheme="minorHAnsi" w:hAnsiTheme="minorHAnsi" w:cstheme="minorHAnsi"/>
                <w:i/>
                <w:sz w:val="18"/>
                <w:szCs w:val="16"/>
              </w:rPr>
              <w:t xml:space="preserve">Powierzchnia </w:t>
            </w:r>
            <w:r w:rsidR="002F641E" w:rsidRPr="00890249">
              <w:rPr>
                <w:rFonts w:asciiTheme="minorHAnsi" w:hAnsiTheme="minorHAnsi" w:cstheme="minorHAnsi"/>
                <w:i/>
                <w:sz w:val="18"/>
                <w:szCs w:val="16"/>
              </w:rPr>
              <w:t>objęta</w:t>
            </w:r>
            <w:r w:rsidRPr="00890249">
              <w:rPr>
                <w:rFonts w:asciiTheme="minorHAnsi" w:hAnsiTheme="minorHAnsi" w:cstheme="minorHAnsi"/>
                <w:i/>
                <w:sz w:val="18"/>
                <w:szCs w:val="16"/>
              </w:rPr>
              <w:t xml:space="preserve"> </w:t>
            </w:r>
            <w:r w:rsidR="002F641E" w:rsidRPr="00890249">
              <w:rPr>
                <w:rFonts w:asciiTheme="minorHAnsi" w:hAnsiTheme="minorHAnsi" w:cstheme="minorHAnsi"/>
                <w:i/>
                <w:sz w:val="18"/>
                <w:szCs w:val="16"/>
              </w:rPr>
              <w:t>środkami</w:t>
            </w:r>
            <w:r w:rsidRPr="00890249">
              <w:rPr>
                <w:rFonts w:asciiTheme="minorHAnsi" w:hAnsiTheme="minorHAnsi" w:cstheme="minorHAnsi"/>
                <w:i/>
                <w:sz w:val="18"/>
                <w:szCs w:val="16"/>
              </w:rPr>
              <w:t xml:space="preserve"> ochrony przed niekontrolowanymi </w:t>
            </w:r>
            <w:r w:rsidR="002F641E" w:rsidRPr="00890249">
              <w:rPr>
                <w:rFonts w:asciiTheme="minorHAnsi" w:hAnsiTheme="minorHAnsi" w:cstheme="minorHAnsi"/>
                <w:i/>
                <w:sz w:val="18"/>
                <w:szCs w:val="16"/>
              </w:rPr>
              <w:t>pożarami</w:t>
            </w:r>
          </w:p>
        </w:tc>
        <w:tc>
          <w:tcPr>
            <w:tcW w:w="460" w:type="pct"/>
            <w:vAlign w:val="center"/>
          </w:tcPr>
          <w:p w14:paraId="5D463383" w14:textId="77777777" w:rsidR="00745D05" w:rsidRPr="00890249" w:rsidRDefault="00745D05" w:rsidP="00745D05">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ha</w:t>
            </w:r>
          </w:p>
        </w:tc>
        <w:tc>
          <w:tcPr>
            <w:tcW w:w="613" w:type="pct"/>
            <w:shd w:val="clear" w:color="auto" w:fill="auto"/>
            <w:vAlign w:val="center"/>
          </w:tcPr>
          <w:p w14:paraId="69330B0B" w14:textId="77777777" w:rsidR="00745D05" w:rsidRPr="00890249" w:rsidRDefault="002F641E" w:rsidP="00745D05">
            <w:pPr>
              <w:jc w:val="center"/>
              <w:rPr>
                <w:rFonts w:asciiTheme="minorHAnsi" w:hAnsiTheme="minorHAnsi" w:cstheme="minorHAnsi"/>
                <w:noProof/>
                <w:sz w:val="18"/>
                <w:szCs w:val="16"/>
              </w:rPr>
            </w:pPr>
            <w:r w:rsidRPr="00890249">
              <w:rPr>
                <w:rFonts w:asciiTheme="minorHAnsi" w:hAnsiTheme="minorHAnsi" w:cstheme="minorHAnsi"/>
                <w:noProof/>
                <w:sz w:val="18"/>
                <w:szCs w:val="16"/>
              </w:rPr>
              <w:t>94 120</w:t>
            </w:r>
          </w:p>
        </w:tc>
        <w:tc>
          <w:tcPr>
            <w:tcW w:w="590" w:type="pct"/>
            <w:shd w:val="clear" w:color="auto" w:fill="auto"/>
            <w:vAlign w:val="center"/>
          </w:tcPr>
          <w:p w14:paraId="663B98C2" w14:textId="77777777" w:rsidR="00745D05" w:rsidRPr="00890249" w:rsidRDefault="002F641E" w:rsidP="00745D05">
            <w:pPr>
              <w:jc w:val="center"/>
              <w:rPr>
                <w:rFonts w:asciiTheme="minorHAnsi" w:hAnsiTheme="minorHAnsi" w:cstheme="minorHAnsi"/>
                <w:noProof/>
                <w:sz w:val="18"/>
                <w:szCs w:val="16"/>
              </w:rPr>
            </w:pPr>
            <w:r w:rsidRPr="00890249">
              <w:rPr>
                <w:rFonts w:asciiTheme="minorHAnsi" w:hAnsiTheme="minorHAnsi" w:cstheme="minorHAnsi"/>
                <w:noProof/>
                <w:sz w:val="18"/>
                <w:szCs w:val="16"/>
              </w:rPr>
              <w:t>941 200</w:t>
            </w:r>
          </w:p>
        </w:tc>
      </w:tr>
    </w:tbl>
    <w:p w14:paraId="62043F11" w14:textId="40AFC996" w:rsidR="007D5C6D" w:rsidRPr="00890249" w:rsidRDefault="007D5C6D" w:rsidP="00264686">
      <w:pPr>
        <w:spacing w:before="0" w:after="240"/>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50"/>
        <w:gridCol w:w="690"/>
        <w:gridCol w:w="1006"/>
        <w:gridCol w:w="774"/>
        <w:gridCol w:w="1490"/>
        <w:gridCol w:w="830"/>
        <w:gridCol w:w="690"/>
        <w:gridCol w:w="594"/>
        <w:gridCol w:w="560"/>
        <w:gridCol w:w="603"/>
        <w:gridCol w:w="558"/>
      </w:tblGrid>
      <w:tr w:rsidR="00BC2FD4" w:rsidRPr="00890249" w14:paraId="52120B15" w14:textId="77777777" w:rsidTr="000B2721">
        <w:trPr>
          <w:trHeight w:val="480"/>
          <w:tblHeader/>
        </w:trPr>
        <w:tc>
          <w:tcPr>
            <w:tcW w:w="5000" w:type="pct"/>
            <w:gridSpan w:val="12"/>
            <w:shd w:val="clear" w:color="auto" w:fill="D9D9D9" w:themeFill="background1" w:themeFillShade="D9"/>
          </w:tcPr>
          <w:p w14:paraId="57F44BF0"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C2FD4" w:rsidRPr="00890249" w14:paraId="63F64AA8" w14:textId="77777777" w:rsidTr="00F62734">
        <w:trPr>
          <w:cantSplit/>
          <w:trHeight w:val="1768"/>
          <w:tblHeader/>
        </w:trPr>
        <w:tc>
          <w:tcPr>
            <w:tcW w:w="284" w:type="pct"/>
            <w:shd w:val="clear" w:color="auto" w:fill="F2F2F2" w:themeFill="background1" w:themeFillShade="F2"/>
            <w:textDirection w:val="btLr"/>
            <w:vAlign w:val="center"/>
          </w:tcPr>
          <w:p w14:paraId="193FF6C1"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4" w:type="pct"/>
            <w:shd w:val="clear" w:color="auto" w:fill="F2F2F2" w:themeFill="background1" w:themeFillShade="F2"/>
            <w:textDirection w:val="btLr"/>
            <w:vAlign w:val="center"/>
          </w:tcPr>
          <w:p w14:paraId="45EA0096"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1" w:type="pct"/>
            <w:shd w:val="clear" w:color="auto" w:fill="F2F2F2" w:themeFill="background1" w:themeFillShade="F2"/>
            <w:textDirection w:val="btLr"/>
            <w:vAlign w:val="center"/>
          </w:tcPr>
          <w:p w14:paraId="3D25565B"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5" w:type="pct"/>
            <w:shd w:val="clear" w:color="auto" w:fill="F2F2F2" w:themeFill="background1" w:themeFillShade="F2"/>
            <w:textDirection w:val="btLr"/>
            <w:vAlign w:val="center"/>
          </w:tcPr>
          <w:p w14:paraId="5C6EAF0F"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7" w:type="pct"/>
            <w:shd w:val="clear" w:color="auto" w:fill="F2F2F2" w:themeFill="background1" w:themeFillShade="F2"/>
            <w:textDirection w:val="btLr"/>
            <w:vAlign w:val="center"/>
          </w:tcPr>
          <w:p w14:paraId="1D3EAFA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822" w:type="pct"/>
            <w:shd w:val="clear" w:color="auto" w:fill="F2F2F2" w:themeFill="background1" w:themeFillShade="F2"/>
            <w:textDirection w:val="btLr"/>
            <w:vAlign w:val="center"/>
          </w:tcPr>
          <w:p w14:paraId="08E5BEB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8" w:type="pct"/>
            <w:shd w:val="clear" w:color="auto" w:fill="F2F2F2" w:themeFill="background1" w:themeFillShade="F2"/>
            <w:textDirection w:val="btLr"/>
            <w:vAlign w:val="center"/>
          </w:tcPr>
          <w:p w14:paraId="70D3120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1" w:type="pct"/>
            <w:shd w:val="clear" w:color="auto" w:fill="F2F2F2" w:themeFill="background1" w:themeFillShade="F2"/>
            <w:textDirection w:val="btLr"/>
            <w:vAlign w:val="center"/>
          </w:tcPr>
          <w:p w14:paraId="6C68822B"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8" w:type="pct"/>
            <w:shd w:val="clear" w:color="auto" w:fill="F2F2F2" w:themeFill="background1" w:themeFillShade="F2"/>
            <w:textDirection w:val="btLr"/>
            <w:vAlign w:val="center"/>
          </w:tcPr>
          <w:p w14:paraId="005698CC"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9" w:type="pct"/>
            <w:shd w:val="clear" w:color="auto" w:fill="F2F2F2" w:themeFill="background1" w:themeFillShade="F2"/>
            <w:textDirection w:val="btLr"/>
            <w:vAlign w:val="center"/>
          </w:tcPr>
          <w:p w14:paraId="1530704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3" w:type="pct"/>
            <w:shd w:val="clear" w:color="auto" w:fill="F2F2F2" w:themeFill="background1" w:themeFillShade="F2"/>
            <w:textDirection w:val="btLr"/>
            <w:vAlign w:val="center"/>
          </w:tcPr>
          <w:p w14:paraId="7E4F0C2F"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7" w:type="pct"/>
            <w:shd w:val="clear" w:color="auto" w:fill="F2F2F2" w:themeFill="background1" w:themeFillShade="F2"/>
            <w:textDirection w:val="btLr"/>
            <w:vAlign w:val="center"/>
          </w:tcPr>
          <w:p w14:paraId="3993537A"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A13182" w:rsidRPr="00890249" w14:paraId="2C8556E4" w14:textId="77777777" w:rsidTr="00F62734">
        <w:trPr>
          <w:trHeight w:val="434"/>
        </w:trPr>
        <w:tc>
          <w:tcPr>
            <w:tcW w:w="284" w:type="pct"/>
            <w:vAlign w:val="center"/>
          </w:tcPr>
          <w:p w14:paraId="7A9AF8FA"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CP2</w:t>
            </w:r>
          </w:p>
        </w:tc>
        <w:tc>
          <w:tcPr>
            <w:tcW w:w="414" w:type="pct"/>
            <w:vAlign w:val="center"/>
          </w:tcPr>
          <w:p w14:paraId="264E88E1"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2.iv</w:t>
            </w:r>
          </w:p>
        </w:tc>
        <w:tc>
          <w:tcPr>
            <w:tcW w:w="381" w:type="pct"/>
            <w:vAlign w:val="center"/>
          </w:tcPr>
          <w:p w14:paraId="2DE5F588"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55" w:type="pct"/>
            <w:vAlign w:val="center"/>
          </w:tcPr>
          <w:p w14:paraId="6A093B6B"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27" w:type="pct"/>
            <w:vAlign w:val="center"/>
          </w:tcPr>
          <w:p w14:paraId="7F396FFA" w14:textId="77777777" w:rsidR="00A13182" w:rsidRPr="00890249" w:rsidRDefault="00A13182"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RCR</w:t>
            </w:r>
            <w:r w:rsidR="00624F0D" w:rsidRPr="00890249">
              <w:rPr>
                <w:rFonts w:asciiTheme="minorHAnsi" w:hAnsiTheme="minorHAnsi" w:cstheme="minorHAnsi"/>
                <w:i/>
                <w:noProof/>
                <w:sz w:val="18"/>
                <w:szCs w:val="16"/>
              </w:rPr>
              <w:t>0</w:t>
            </w:r>
            <w:r w:rsidRPr="00890249">
              <w:rPr>
                <w:rFonts w:asciiTheme="minorHAnsi" w:hAnsiTheme="minorHAnsi" w:cstheme="minorHAnsi"/>
                <w:i/>
                <w:noProof/>
                <w:sz w:val="18"/>
                <w:szCs w:val="16"/>
              </w:rPr>
              <w:t>36</w:t>
            </w:r>
          </w:p>
        </w:tc>
        <w:tc>
          <w:tcPr>
            <w:tcW w:w="822" w:type="pct"/>
            <w:shd w:val="clear" w:color="auto" w:fill="auto"/>
            <w:vAlign w:val="center"/>
          </w:tcPr>
          <w:p w14:paraId="5989D08A" w14:textId="77777777" w:rsidR="00A13182" w:rsidRPr="00890249" w:rsidRDefault="00A13182" w:rsidP="00A13182">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 xml:space="preserve">Ludność odnosząca korzyści ze środków ochrony przed </w:t>
            </w:r>
            <w:r w:rsidR="008F3ACB" w:rsidRPr="00890249">
              <w:rPr>
                <w:rFonts w:asciiTheme="minorHAnsi" w:hAnsiTheme="minorHAnsi" w:cstheme="minorHAnsi"/>
                <w:i/>
                <w:noProof/>
                <w:sz w:val="18"/>
                <w:szCs w:val="16"/>
              </w:rPr>
              <w:t xml:space="preserve">niekontrolowanymi </w:t>
            </w:r>
            <w:r w:rsidRPr="00890249">
              <w:rPr>
                <w:rFonts w:asciiTheme="minorHAnsi" w:hAnsiTheme="minorHAnsi" w:cstheme="minorHAnsi"/>
                <w:i/>
                <w:noProof/>
                <w:sz w:val="18"/>
                <w:szCs w:val="16"/>
              </w:rPr>
              <w:t>pożarami</w:t>
            </w:r>
          </w:p>
        </w:tc>
        <w:tc>
          <w:tcPr>
            <w:tcW w:w="458" w:type="pct"/>
            <w:vAlign w:val="center"/>
          </w:tcPr>
          <w:p w14:paraId="17122EC1" w14:textId="77777777" w:rsidR="00A13182" w:rsidRPr="00890249" w:rsidRDefault="008F3ACB" w:rsidP="00A1318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os.</w:t>
            </w:r>
          </w:p>
        </w:tc>
        <w:tc>
          <w:tcPr>
            <w:tcW w:w="381" w:type="pct"/>
            <w:vAlign w:val="center"/>
          </w:tcPr>
          <w:p w14:paraId="2F9855D1" w14:textId="77777777" w:rsidR="00A13182" w:rsidRPr="00890249" w:rsidRDefault="008374CE" w:rsidP="00A13182">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28" w:type="pct"/>
            <w:vAlign w:val="center"/>
          </w:tcPr>
          <w:p w14:paraId="0220F325" w14:textId="77777777" w:rsidR="00A13182" w:rsidRPr="00890249" w:rsidRDefault="00A31E08" w:rsidP="00A13182">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nd</w:t>
            </w:r>
          </w:p>
        </w:tc>
        <w:tc>
          <w:tcPr>
            <w:tcW w:w="309" w:type="pct"/>
            <w:shd w:val="clear" w:color="auto" w:fill="auto"/>
            <w:vAlign w:val="center"/>
          </w:tcPr>
          <w:p w14:paraId="451C791B" w14:textId="32D5524A" w:rsidR="00A13182" w:rsidRPr="00890249" w:rsidRDefault="00A31E08" w:rsidP="00A13182">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9</w:t>
            </w:r>
            <w:r w:rsidR="00003E7C" w:rsidRPr="00890249">
              <w:rPr>
                <w:rFonts w:asciiTheme="minorHAnsi" w:hAnsiTheme="minorHAnsi" w:cstheme="minorHAnsi"/>
                <w:b/>
                <w:noProof/>
                <w:sz w:val="18"/>
                <w:szCs w:val="16"/>
                <w:lang w:eastAsia="en-US" w:bidi="ar-SA"/>
              </w:rPr>
              <w:t>7</w:t>
            </w:r>
            <w:r w:rsidRPr="00890249">
              <w:rPr>
                <w:rFonts w:asciiTheme="minorHAnsi" w:hAnsiTheme="minorHAnsi" w:cstheme="minorHAnsi"/>
                <w:b/>
                <w:noProof/>
                <w:sz w:val="18"/>
                <w:szCs w:val="16"/>
                <w:lang w:eastAsia="en-US" w:bidi="ar-SA"/>
              </w:rPr>
              <w:t>0 000</w:t>
            </w:r>
          </w:p>
        </w:tc>
        <w:tc>
          <w:tcPr>
            <w:tcW w:w="333" w:type="pct"/>
            <w:shd w:val="clear" w:color="auto" w:fill="auto"/>
            <w:vAlign w:val="center"/>
          </w:tcPr>
          <w:p w14:paraId="705ED028" w14:textId="77777777" w:rsidR="00A13182" w:rsidRPr="00890249" w:rsidRDefault="008374CE" w:rsidP="00A31E08">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7" w:type="pct"/>
            <w:vAlign w:val="center"/>
          </w:tcPr>
          <w:p w14:paraId="00648D17" w14:textId="77777777" w:rsidR="00A13182" w:rsidRPr="00890249" w:rsidRDefault="008374CE" w:rsidP="00A13182">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bl>
    <w:p w14:paraId="50EE8356" w14:textId="77777777" w:rsidR="004C0F54" w:rsidRPr="00890249" w:rsidRDefault="004C0F54" w:rsidP="00264686">
      <w:pPr>
        <w:spacing w:before="0" w:after="240"/>
        <w:rPr>
          <w:rFonts w:asciiTheme="minorHAnsi" w:hAnsiTheme="minorHAnsi" w:cstheme="minorHAnsi"/>
          <w:b/>
          <w:noProof/>
          <w:sz w:val="22"/>
          <w:szCs w:val="22"/>
        </w:rPr>
      </w:pPr>
    </w:p>
    <w:p w14:paraId="7DEFFC10" w14:textId="77777777" w:rsidR="00BC1861" w:rsidRPr="00890249" w:rsidRDefault="00BC1861" w:rsidP="00BC1861">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2.1.2.3.3 (iv) Orientacyjny podział zasobów programu (UE) według rodzaju interwencji</w:t>
      </w:r>
    </w:p>
    <w:tbl>
      <w:tblPr>
        <w:tblStyle w:val="Tabela-Siatka10"/>
        <w:tblW w:w="9322" w:type="dxa"/>
        <w:tblLook w:val="04A0" w:firstRow="1" w:lastRow="0" w:firstColumn="1" w:lastColumn="0" w:noHBand="0" w:noVBand="1"/>
      </w:tblPr>
      <w:tblGrid>
        <w:gridCol w:w="1493"/>
        <w:gridCol w:w="1029"/>
        <w:gridCol w:w="1623"/>
        <w:gridCol w:w="1566"/>
        <w:gridCol w:w="1494"/>
        <w:gridCol w:w="2117"/>
      </w:tblGrid>
      <w:tr w:rsidR="005F02C4" w:rsidRPr="00890249" w14:paraId="1EDA5A85" w14:textId="77777777" w:rsidTr="000B2721">
        <w:trPr>
          <w:trHeight w:val="360"/>
          <w:tblHeader/>
        </w:trPr>
        <w:tc>
          <w:tcPr>
            <w:tcW w:w="9322" w:type="dxa"/>
            <w:gridSpan w:val="6"/>
            <w:shd w:val="clear" w:color="auto" w:fill="D9D9D9" w:themeFill="background1" w:themeFillShade="D9"/>
          </w:tcPr>
          <w:p w14:paraId="24064038" w14:textId="77777777" w:rsidR="005F02C4" w:rsidRPr="00890249" w:rsidRDefault="005F02C4" w:rsidP="005F02C4">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Tabela 4: Wymiar 1 – zakres interwencji</w:t>
            </w:r>
          </w:p>
        </w:tc>
      </w:tr>
      <w:tr w:rsidR="005F02C4" w:rsidRPr="00890249" w14:paraId="5C2780F0" w14:textId="77777777" w:rsidTr="000B2721">
        <w:trPr>
          <w:tblHeader/>
        </w:trPr>
        <w:tc>
          <w:tcPr>
            <w:tcW w:w="1493" w:type="dxa"/>
            <w:shd w:val="clear" w:color="auto" w:fill="F2F2F2" w:themeFill="background1" w:themeFillShade="F2"/>
          </w:tcPr>
          <w:p w14:paraId="39CF604E"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29" w:type="dxa"/>
            <w:shd w:val="clear" w:color="auto" w:fill="F2F2F2" w:themeFill="background1" w:themeFillShade="F2"/>
          </w:tcPr>
          <w:p w14:paraId="63AE6ED2"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623" w:type="dxa"/>
            <w:shd w:val="clear" w:color="auto" w:fill="F2F2F2" w:themeFill="background1" w:themeFillShade="F2"/>
          </w:tcPr>
          <w:p w14:paraId="35DE4A01"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66" w:type="dxa"/>
            <w:shd w:val="clear" w:color="auto" w:fill="F2F2F2" w:themeFill="background1" w:themeFillShade="F2"/>
          </w:tcPr>
          <w:p w14:paraId="2BC9C86E"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494" w:type="dxa"/>
            <w:shd w:val="clear" w:color="auto" w:fill="F2F2F2" w:themeFill="background1" w:themeFillShade="F2"/>
          </w:tcPr>
          <w:p w14:paraId="771AE30C"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17" w:type="dxa"/>
            <w:shd w:val="clear" w:color="auto" w:fill="F2F2F2" w:themeFill="background1" w:themeFillShade="F2"/>
          </w:tcPr>
          <w:p w14:paraId="5D854150"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4F6B6D" w:rsidRPr="00890249" w14:paraId="13B95859" w14:textId="77777777" w:rsidTr="004F6B6D">
        <w:tc>
          <w:tcPr>
            <w:tcW w:w="1493" w:type="dxa"/>
            <w:vMerge w:val="restart"/>
            <w:vAlign w:val="center"/>
          </w:tcPr>
          <w:p w14:paraId="728A6016" w14:textId="77777777" w:rsidR="004F6B6D" w:rsidRPr="00890249" w:rsidRDefault="004F6B6D" w:rsidP="004F6B6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29" w:type="dxa"/>
            <w:vMerge w:val="restart"/>
            <w:vAlign w:val="center"/>
          </w:tcPr>
          <w:p w14:paraId="41951138" w14:textId="77777777" w:rsidR="004F6B6D" w:rsidRPr="00890249" w:rsidRDefault="004F6B6D" w:rsidP="004F6B6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623" w:type="dxa"/>
            <w:vMerge w:val="restart"/>
            <w:vAlign w:val="center"/>
          </w:tcPr>
          <w:p w14:paraId="0EC27A79" w14:textId="77777777" w:rsidR="004F6B6D" w:rsidRPr="00890249" w:rsidRDefault="004F6B6D" w:rsidP="004F6B6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566" w:type="dxa"/>
            <w:vMerge w:val="restart"/>
            <w:vAlign w:val="center"/>
          </w:tcPr>
          <w:p w14:paraId="55E1215D" w14:textId="77777777" w:rsidR="004F6B6D" w:rsidRPr="00890249" w:rsidRDefault="004F6B6D" w:rsidP="004F6B6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(iv)</w:t>
            </w:r>
          </w:p>
        </w:tc>
        <w:tc>
          <w:tcPr>
            <w:tcW w:w="1494" w:type="dxa"/>
          </w:tcPr>
          <w:p w14:paraId="38C9C979" w14:textId="77777777" w:rsidR="004F6B6D" w:rsidRPr="00890249" w:rsidRDefault="004F6B6D" w:rsidP="004F6B6D">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058 </w:t>
            </w:r>
            <w:r w:rsidRPr="00890249">
              <w:rPr>
                <w:rFonts w:asciiTheme="minorHAnsi" w:hAnsiTheme="minorHAnsi" w:cstheme="minorHAnsi"/>
                <w:sz w:val="20"/>
                <w:szCs w:val="20"/>
              </w:rPr>
              <w:t>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w:t>
            </w:r>
          </w:p>
        </w:tc>
        <w:tc>
          <w:tcPr>
            <w:tcW w:w="2117" w:type="dxa"/>
          </w:tcPr>
          <w:p w14:paraId="3042F4E2" w14:textId="58CAD3ED" w:rsidR="004F6B6D" w:rsidRPr="00890249" w:rsidRDefault="00F969B6" w:rsidP="004F6B6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6 000 000</w:t>
            </w:r>
          </w:p>
        </w:tc>
      </w:tr>
      <w:tr w:rsidR="004F6B6D" w:rsidRPr="00890249" w14:paraId="185A14C3" w14:textId="77777777" w:rsidTr="004F6B6D">
        <w:tc>
          <w:tcPr>
            <w:tcW w:w="1493" w:type="dxa"/>
            <w:vMerge/>
            <w:vAlign w:val="center"/>
          </w:tcPr>
          <w:p w14:paraId="487F046E" w14:textId="77777777" w:rsidR="004F6B6D" w:rsidRPr="00890249" w:rsidRDefault="004F6B6D" w:rsidP="004F6B6D">
            <w:pPr>
              <w:jc w:val="center"/>
              <w:rPr>
                <w:rFonts w:asciiTheme="minorHAnsi" w:eastAsia="Times New Roman" w:hAnsiTheme="minorHAnsi" w:cstheme="minorHAnsi"/>
                <w:iCs/>
                <w:noProof/>
                <w:sz w:val="20"/>
              </w:rPr>
            </w:pPr>
          </w:p>
        </w:tc>
        <w:tc>
          <w:tcPr>
            <w:tcW w:w="1029" w:type="dxa"/>
            <w:vMerge/>
            <w:vAlign w:val="center"/>
          </w:tcPr>
          <w:p w14:paraId="4BD9CF58" w14:textId="77777777" w:rsidR="004F6B6D" w:rsidRPr="00890249" w:rsidRDefault="004F6B6D" w:rsidP="004F6B6D">
            <w:pPr>
              <w:jc w:val="center"/>
              <w:rPr>
                <w:rFonts w:asciiTheme="minorHAnsi" w:eastAsia="Times New Roman" w:hAnsiTheme="minorHAnsi" w:cstheme="minorHAnsi"/>
                <w:iCs/>
                <w:noProof/>
                <w:sz w:val="20"/>
              </w:rPr>
            </w:pPr>
          </w:p>
        </w:tc>
        <w:tc>
          <w:tcPr>
            <w:tcW w:w="1623" w:type="dxa"/>
            <w:vMerge/>
            <w:vAlign w:val="center"/>
          </w:tcPr>
          <w:p w14:paraId="7DF44592" w14:textId="77777777" w:rsidR="004F6B6D" w:rsidRPr="00890249" w:rsidRDefault="004F6B6D" w:rsidP="004F6B6D">
            <w:pPr>
              <w:jc w:val="center"/>
              <w:rPr>
                <w:rFonts w:asciiTheme="minorHAnsi" w:eastAsia="Times New Roman" w:hAnsiTheme="minorHAnsi" w:cstheme="minorHAnsi"/>
                <w:iCs/>
                <w:noProof/>
                <w:sz w:val="20"/>
              </w:rPr>
            </w:pPr>
          </w:p>
        </w:tc>
        <w:tc>
          <w:tcPr>
            <w:tcW w:w="1566" w:type="dxa"/>
            <w:vMerge/>
          </w:tcPr>
          <w:p w14:paraId="1F1DF3BE" w14:textId="77777777" w:rsidR="004F6B6D" w:rsidRPr="00890249" w:rsidRDefault="004F6B6D" w:rsidP="004F6B6D">
            <w:pPr>
              <w:jc w:val="center"/>
              <w:rPr>
                <w:rFonts w:asciiTheme="minorHAnsi" w:eastAsia="Times New Roman" w:hAnsiTheme="minorHAnsi" w:cstheme="minorHAnsi"/>
                <w:iCs/>
                <w:noProof/>
                <w:sz w:val="20"/>
              </w:rPr>
            </w:pPr>
          </w:p>
        </w:tc>
        <w:tc>
          <w:tcPr>
            <w:tcW w:w="1494" w:type="dxa"/>
          </w:tcPr>
          <w:p w14:paraId="5B1C83AF" w14:textId="77777777" w:rsidR="004F6B6D" w:rsidRPr="00890249" w:rsidRDefault="004F6B6D" w:rsidP="004F6B6D">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059 </w:t>
            </w:r>
            <w:r w:rsidRPr="00890249">
              <w:rPr>
                <w:rFonts w:asciiTheme="minorHAnsi" w:hAnsiTheme="minorHAnsi" w:cstheme="minorHAnsi"/>
                <w:sz w:val="20"/>
                <w:szCs w:val="20"/>
              </w:rPr>
              <w:t>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w:t>
            </w:r>
          </w:p>
        </w:tc>
        <w:tc>
          <w:tcPr>
            <w:tcW w:w="2117" w:type="dxa"/>
          </w:tcPr>
          <w:p w14:paraId="6FF4AB3C" w14:textId="78310A8E" w:rsidR="004F6B6D" w:rsidRPr="00890249" w:rsidRDefault="00F969B6" w:rsidP="004F6B6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6 000 000</w:t>
            </w:r>
          </w:p>
        </w:tc>
      </w:tr>
      <w:tr w:rsidR="004F6B6D" w:rsidRPr="00890249" w14:paraId="62A00104" w14:textId="77777777" w:rsidTr="004F6B6D">
        <w:tc>
          <w:tcPr>
            <w:tcW w:w="1493" w:type="dxa"/>
            <w:vMerge/>
            <w:vAlign w:val="center"/>
          </w:tcPr>
          <w:p w14:paraId="52DB28F9" w14:textId="77777777" w:rsidR="004F6B6D" w:rsidRPr="00890249" w:rsidRDefault="004F6B6D" w:rsidP="004F6B6D">
            <w:pPr>
              <w:jc w:val="center"/>
              <w:rPr>
                <w:rFonts w:asciiTheme="minorHAnsi" w:eastAsia="Times New Roman" w:hAnsiTheme="minorHAnsi" w:cstheme="minorHAnsi"/>
                <w:iCs/>
                <w:noProof/>
                <w:sz w:val="20"/>
              </w:rPr>
            </w:pPr>
          </w:p>
        </w:tc>
        <w:tc>
          <w:tcPr>
            <w:tcW w:w="1029" w:type="dxa"/>
            <w:vMerge/>
            <w:vAlign w:val="center"/>
          </w:tcPr>
          <w:p w14:paraId="3CBFB1C6" w14:textId="77777777" w:rsidR="004F6B6D" w:rsidRPr="00890249" w:rsidRDefault="004F6B6D" w:rsidP="004F6B6D">
            <w:pPr>
              <w:jc w:val="center"/>
              <w:rPr>
                <w:rFonts w:asciiTheme="minorHAnsi" w:eastAsia="Times New Roman" w:hAnsiTheme="minorHAnsi" w:cstheme="minorHAnsi"/>
                <w:iCs/>
                <w:noProof/>
                <w:sz w:val="20"/>
              </w:rPr>
            </w:pPr>
          </w:p>
        </w:tc>
        <w:tc>
          <w:tcPr>
            <w:tcW w:w="1623" w:type="dxa"/>
            <w:vMerge/>
            <w:vAlign w:val="center"/>
          </w:tcPr>
          <w:p w14:paraId="2113C030" w14:textId="77777777" w:rsidR="004F6B6D" w:rsidRPr="00890249" w:rsidRDefault="004F6B6D" w:rsidP="004F6B6D">
            <w:pPr>
              <w:jc w:val="center"/>
              <w:rPr>
                <w:rFonts w:asciiTheme="minorHAnsi" w:eastAsia="Times New Roman" w:hAnsiTheme="minorHAnsi" w:cstheme="minorHAnsi"/>
                <w:iCs/>
                <w:noProof/>
                <w:sz w:val="20"/>
              </w:rPr>
            </w:pPr>
          </w:p>
        </w:tc>
        <w:tc>
          <w:tcPr>
            <w:tcW w:w="1566" w:type="dxa"/>
            <w:vMerge/>
          </w:tcPr>
          <w:p w14:paraId="0DC0C150" w14:textId="77777777" w:rsidR="004F6B6D" w:rsidRPr="00890249" w:rsidRDefault="004F6B6D" w:rsidP="004F6B6D">
            <w:pPr>
              <w:jc w:val="center"/>
              <w:rPr>
                <w:rFonts w:asciiTheme="minorHAnsi" w:eastAsia="Times New Roman" w:hAnsiTheme="minorHAnsi" w:cstheme="minorHAnsi"/>
                <w:iCs/>
                <w:noProof/>
                <w:sz w:val="20"/>
              </w:rPr>
            </w:pPr>
          </w:p>
        </w:tc>
        <w:tc>
          <w:tcPr>
            <w:tcW w:w="1494" w:type="dxa"/>
          </w:tcPr>
          <w:p w14:paraId="36C4E5AB" w14:textId="77777777" w:rsidR="004F6B6D" w:rsidRPr="00890249" w:rsidRDefault="004F6B6D" w:rsidP="004F6B6D">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060 </w:t>
            </w:r>
            <w:r w:rsidRPr="00890249">
              <w:rPr>
                <w:rFonts w:asciiTheme="minorHAnsi" w:hAnsiTheme="minorHAnsi" w:cstheme="minorHAnsi"/>
                <w:sz w:val="20"/>
                <w:szCs w:val="20"/>
              </w:rPr>
              <w:t xml:space="preserve">Działania w zakresie przystosowania </w:t>
            </w:r>
            <w:r w:rsidRPr="00890249">
              <w:rPr>
                <w:rFonts w:asciiTheme="minorHAnsi" w:hAnsiTheme="minorHAnsi" w:cstheme="minorHAnsi"/>
                <w:sz w:val="20"/>
                <w:szCs w:val="20"/>
              </w:rPr>
              <w:lastRenderedPageBreak/>
              <w:t>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tc>
        <w:tc>
          <w:tcPr>
            <w:tcW w:w="2117" w:type="dxa"/>
          </w:tcPr>
          <w:p w14:paraId="3AAB8F2A" w14:textId="0C6ED32A" w:rsidR="004F6B6D" w:rsidRPr="00890249" w:rsidRDefault="00F969B6" w:rsidP="004F6B6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8 000 000</w:t>
            </w:r>
          </w:p>
        </w:tc>
      </w:tr>
    </w:tbl>
    <w:p w14:paraId="2F53F096" w14:textId="77777777" w:rsidR="005F02C4" w:rsidRPr="00890249" w:rsidRDefault="005F02C4" w:rsidP="006023F3">
      <w:pPr>
        <w:spacing w:before="0" w:after="160" w:line="259" w:lineRule="auto"/>
        <w:jc w:val="left"/>
        <w:rPr>
          <w:rFonts w:asciiTheme="minorHAnsi" w:hAnsiTheme="minorHAnsi" w:cstheme="minorHAnsi"/>
          <w:b/>
          <w:noProof/>
          <w:sz w:val="22"/>
          <w:szCs w:val="22"/>
        </w:rPr>
      </w:pPr>
    </w:p>
    <w:tbl>
      <w:tblPr>
        <w:tblStyle w:val="Tabela-Siatka11"/>
        <w:tblW w:w="0" w:type="auto"/>
        <w:tblLook w:val="04A0" w:firstRow="1" w:lastRow="0" w:firstColumn="1" w:lastColumn="0" w:noHBand="0" w:noVBand="1"/>
      </w:tblPr>
      <w:tblGrid>
        <w:gridCol w:w="1563"/>
        <w:gridCol w:w="1050"/>
        <w:gridCol w:w="1711"/>
        <w:gridCol w:w="1618"/>
        <w:gridCol w:w="1039"/>
        <w:gridCol w:w="2080"/>
      </w:tblGrid>
      <w:tr w:rsidR="005F02C4" w:rsidRPr="00890249" w14:paraId="66EBBDA2" w14:textId="77777777" w:rsidTr="00A4690F">
        <w:tc>
          <w:tcPr>
            <w:tcW w:w="9288" w:type="dxa"/>
            <w:gridSpan w:val="6"/>
            <w:shd w:val="clear" w:color="auto" w:fill="D9D9D9" w:themeFill="background1" w:themeFillShade="D9"/>
          </w:tcPr>
          <w:p w14:paraId="4241872E" w14:textId="77777777" w:rsidR="005F02C4" w:rsidRPr="00890249" w:rsidRDefault="005F02C4" w:rsidP="005F02C4">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5F02C4" w:rsidRPr="00890249" w14:paraId="587F80F0" w14:textId="77777777" w:rsidTr="00A4690F">
        <w:tc>
          <w:tcPr>
            <w:tcW w:w="1599" w:type="dxa"/>
            <w:shd w:val="clear" w:color="auto" w:fill="F2F2F2" w:themeFill="background1" w:themeFillShade="F2"/>
          </w:tcPr>
          <w:p w14:paraId="7CD6EC74"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5C3A20F7"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3D0F8344"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72B91E3"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7D885E32"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73928EDC"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F02C4" w:rsidRPr="00890249" w14:paraId="099373AB" w14:textId="77777777" w:rsidTr="00182923">
        <w:tc>
          <w:tcPr>
            <w:tcW w:w="1599" w:type="dxa"/>
            <w:vAlign w:val="center"/>
          </w:tcPr>
          <w:p w14:paraId="2E824A22" w14:textId="77777777" w:rsidR="005F02C4" w:rsidRPr="00890249" w:rsidRDefault="005F02C4" w:rsidP="005F02C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5762D71D" w14:textId="77777777" w:rsidR="005F02C4" w:rsidRPr="00890249" w:rsidRDefault="005F02C4" w:rsidP="005F02C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05E3486F" w14:textId="77777777" w:rsidR="005F02C4" w:rsidRPr="00890249" w:rsidRDefault="005F02C4" w:rsidP="005F02C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vAlign w:val="center"/>
          </w:tcPr>
          <w:p w14:paraId="7B5E7614" w14:textId="77777777" w:rsidR="005F02C4" w:rsidRPr="00890249" w:rsidRDefault="005F02C4" w:rsidP="005F02C4">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(iv)</w:t>
            </w:r>
          </w:p>
        </w:tc>
        <w:tc>
          <w:tcPr>
            <w:tcW w:w="1053" w:type="dxa"/>
          </w:tcPr>
          <w:p w14:paraId="71E4E076"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01</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Dotacja</w:t>
            </w:r>
          </w:p>
        </w:tc>
        <w:tc>
          <w:tcPr>
            <w:tcW w:w="2175" w:type="dxa"/>
          </w:tcPr>
          <w:p w14:paraId="7484112A" w14:textId="12A7A330" w:rsidR="005F02C4" w:rsidRPr="00890249" w:rsidRDefault="00F969B6" w:rsidP="005F02C4">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20 000 000</w:t>
            </w:r>
          </w:p>
        </w:tc>
      </w:tr>
    </w:tbl>
    <w:p w14:paraId="78C920E3" w14:textId="77777777" w:rsidR="005F02C4" w:rsidRPr="00890249" w:rsidRDefault="005F02C4" w:rsidP="006023F3">
      <w:pPr>
        <w:spacing w:before="0" w:after="160" w:line="259" w:lineRule="auto"/>
        <w:jc w:val="left"/>
        <w:rPr>
          <w:rFonts w:asciiTheme="minorHAnsi" w:hAnsiTheme="minorHAnsi" w:cstheme="minorHAnsi"/>
          <w:b/>
          <w:noProof/>
          <w:sz w:val="22"/>
          <w:szCs w:val="22"/>
        </w:rPr>
      </w:pPr>
    </w:p>
    <w:tbl>
      <w:tblPr>
        <w:tblStyle w:val="Tabela-Siatka"/>
        <w:tblW w:w="0" w:type="auto"/>
        <w:tblLook w:val="04A0" w:firstRow="1" w:lastRow="0" w:firstColumn="1" w:lastColumn="0" w:noHBand="0" w:noVBand="1"/>
      </w:tblPr>
      <w:tblGrid>
        <w:gridCol w:w="1483"/>
        <w:gridCol w:w="1025"/>
        <w:gridCol w:w="1609"/>
        <w:gridCol w:w="1558"/>
        <w:gridCol w:w="1520"/>
        <w:gridCol w:w="1866"/>
      </w:tblGrid>
      <w:tr w:rsidR="005F02C4" w:rsidRPr="00890249" w14:paraId="289F22F8" w14:textId="77777777" w:rsidTr="00A4690F">
        <w:tc>
          <w:tcPr>
            <w:tcW w:w="9288" w:type="dxa"/>
            <w:gridSpan w:val="6"/>
            <w:shd w:val="clear" w:color="auto" w:fill="D9D9D9" w:themeFill="background1" w:themeFillShade="D9"/>
          </w:tcPr>
          <w:p w14:paraId="56FFA664" w14:textId="6EBB6933" w:rsidR="005F02C4" w:rsidRPr="00890249" w:rsidRDefault="00BB62A6"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A66643">
              <w:rPr>
                <w:rFonts w:asciiTheme="minorHAnsi" w:hAnsiTheme="minorHAnsi" w:cstheme="minorHAnsi"/>
                <w:b/>
                <w:noProof/>
                <w:sz w:val="20"/>
              </w:rPr>
              <w:t xml:space="preserve">3 </w:t>
            </w:r>
            <w:r w:rsidR="005F02C4" w:rsidRPr="00890249">
              <w:rPr>
                <w:rFonts w:asciiTheme="minorHAnsi" w:hAnsiTheme="minorHAnsi" w:cstheme="minorHAnsi"/>
                <w:b/>
                <w:noProof/>
                <w:sz w:val="20"/>
              </w:rPr>
              <w:t xml:space="preserve"> – terytorialny mechanizm realizacji i ukierunkowanie terytorialne </w:t>
            </w:r>
          </w:p>
        </w:tc>
      </w:tr>
      <w:tr w:rsidR="005F02C4" w:rsidRPr="00890249" w14:paraId="194D7289" w14:textId="77777777" w:rsidTr="00A4690F">
        <w:tc>
          <w:tcPr>
            <w:tcW w:w="1599" w:type="dxa"/>
            <w:shd w:val="clear" w:color="auto" w:fill="F2F2F2" w:themeFill="background1" w:themeFillShade="F2"/>
          </w:tcPr>
          <w:p w14:paraId="7C0D595C" w14:textId="77777777" w:rsidR="005F02C4" w:rsidRPr="00890249" w:rsidRDefault="005F02C4"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272A1363" w14:textId="77777777" w:rsidR="005F02C4" w:rsidRPr="00890249" w:rsidRDefault="005F02C4"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14368546" w14:textId="77777777" w:rsidR="005F02C4" w:rsidRPr="00890249" w:rsidRDefault="005F02C4"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0AA38CC6" w14:textId="77777777" w:rsidR="005F02C4" w:rsidRPr="00890249" w:rsidRDefault="005F02C4"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3F5C4034" w14:textId="77777777" w:rsidR="005F02C4" w:rsidRPr="00890249" w:rsidRDefault="005F02C4"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5117CE2D" w14:textId="77777777" w:rsidR="005F02C4" w:rsidRPr="00890249" w:rsidRDefault="005F02C4"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F02C4" w:rsidRPr="00890249" w14:paraId="2270D54A" w14:textId="77777777" w:rsidTr="00182923">
        <w:tc>
          <w:tcPr>
            <w:tcW w:w="1599" w:type="dxa"/>
            <w:vAlign w:val="center"/>
          </w:tcPr>
          <w:p w14:paraId="4B2FB19C" w14:textId="77777777" w:rsidR="005F02C4" w:rsidRPr="00890249" w:rsidRDefault="005F02C4"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7FBD7E37" w14:textId="77777777" w:rsidR="005F02C4" w:rsidRPr="00890249" w:rsidRDefault="005F02C4"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23A00E4D" w14:textId="77777777" w:rsidR="005F02C4" w:rsidRPr="00890249" w:rsidRDefault="005F02C4"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tcPr>
          <w:p w14:paraId="4E515F70" w14:textId="51B3837D" w:rsidR="005F02C4" w:rsidRPr="00890249" w:rsidRDefault="00B516B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(iv)</w:t>
            </w:r>
          </w:p>
        </w:tc>
        <w:tc>
          <w:tcPr>
            <w:tcW w:w="1053" w:type="dxa"/>
          </w:tcPr>
          <w:p w14:paraId="22C71FC2" w14:textId="6EC84306" w:rsidR="00B6668B" w:rsidRPr="00890249" w:rsidRDefault="00372E01"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175" w:type="dxa"/>
          </w:tcPr>
          <w:p w14:paraId="4C1A27AC" w14:textId="26BFB161" w:rsidR="005F02C4" w:rsidRPr="00890249" w:rsidRDefault="00F969B6" w:rsidP="00182923">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20 000 000</w:t>
            </w:r>
          </w:p>
        </w:tc>
      </w:tr>
    </w:tbl>
    <w:p w14:paraId="5DB34F9F"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9E79E4" w:rsidRPr="00890249" w14:paraId="5148B730" w14:textId="77777777" w:rsidTr="00A4690F">
        <w:tc>
          <w:tcPr>
            <w:tcW w:w="9288" w:type="dxa"/>
            <w:gridSpan w:val="6"/>
            <w:shd w:val="clear" w:color="auto" w:fill="D9D9D9" w:themeFill="background1" w:themeFillShade="D9"/>
          </w:tcPr>
          <w:p w14:paraId="43027B80"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03CE9E03" w14:textId="77777777" w:rsidTr="00A4690F">
        <w:tc>
          <w:tcPr>
            <w:tcW w:w="1599" w:type="dxa"/>
            <w:shd w:val="clear" w:color="auto" w:fill="F2F2F2" w:themeFill="background1" w:themeFillShade="F2"/>
          </w:tcPr>
          <w:p w14:paraId="6DA89689"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77A3E766"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65F127F7"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6F972EEE"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15F05880"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07FD9AD"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79E4" w:rsidRPr="00890249" w14:paraId="0AD71355" w14:textId="77777777" w:rsidTr="000B7697">
        <w:tc>
          <w:tcPr>
            <w:tcW w:w="1599" w:type="dxa"/>
            <w:vAlign w:val="center"/>
          </w:tcPr>
          <w:p w14:paraId="28909C9A" w14:textId="77777777" w:rsidR="009E79E4" w:rsidRPr="00890249" w:rsidRDefault="009E79E4" w:rsidP="0026468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4ED48CAC" w14:textId="77777777" w:rsidR="009E79E4" w:rsidRPr="00890249" w:rsidRDefault="009E79E4" w:rsidP="0026468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4B257C53" w14:textId="77777777" w:rsidR="009E79E4" w:rsidRPr="00890249" w:rsidRDefault="009E79E4" w:rsidP="0026468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781F4DD2" w14:textId="77777777" w:rsidR="009E79E4" w:rsidRPr="00890249" w:rsidRDefault="009E79E4" w:rsidP="0026468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63F9710A" w14:textId="77777777" w:rsidR="009E79E4" w:rsidRPr="00890249" w:rsidRDefault="009E79E4" w:rsidP="0026468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7372814B" w14:textId="77777777" w:rsidR="009E79E4" w:rsidRPr="00890249" w:rsidRDefault="009E79E4" w:rsidP="00264686">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9E79E4" w:rsidRPr="00890249" w14:paraId="09AFE524" w14:textId="77777777" w:rsidTr="004A4566">
        <w:tc>
          <w:tcPr>
            <w:tcW w:w="9322" w:type="dxa"/>
            <w:gridSpan w:val="6"/>
            <w:shd w:val="clear" w:color="auto" w:fill="D9D9D9" w:themeFill="background1" w:themeFillShade="D9"/>
          </w:tcPr>
          <w:p w14:paraId="5FCAFF45" w14:textId="77777777" w:rsidR="009E79E4" w:rsidRPr="00890249" w:rsidRDefault="009E79E4" w:rsidP="000B7697">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9E79E4" w:rsidRPr="00890249" w14:paraId="7A74E3F8" w14:textId="77777777" w:rsidTr="004A4566">
        <w:tc>
          <w:tcPr>
            <w:tcW w:w="1570" w:type="dxa"/>
            <w:shd w:val="clear" w:color="auto" w:fill="F2F2F2" w:themeFill="background1" w:themeFillShade="F2"/>
          </w:tcPr>
          <w:p w14:paraId="3BF65F35"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lastRenderedPageBreak/>
              <w:t>Nr priorytetu</w:t>
            </w:r>
          </w:p>
        </w:tc>
        <w:tc>
          <w:tcPr>
            <w:tcW w:w="1360" w:type="dxa"/>
            <w:shd w:val="clear" w:color="auto" w:fill="F2F2F2" w:themeFill="background1" w:themeFillShade="F2"/>
          </w:tcPr>
          <w:p w14:paraId="75AF58E1"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62F1ADC4"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6CA4261F"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70575F02"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62E4B15B"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BB62A6" w:rsidRPr="00890249" w14:paraId="598F25B2" w14:textId="77777777" w:rsidTr="004A4566">
        <w:tc>
          <w:tcPr>
            <w:tcW w:w="1570" w:type="dxa"/>
            <w:vAlign w:val="center"/>
          </w:tcPr>
          <w:p w14:paraId="715AA138" w14:textId="77777777" w:rsidR="00BB62A6" w:rsidRPr="00890249" w:rsidRDefault="00BB62A6" w:rsidP="00264686">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360" w:type="dxa"/>
            <w:vAlign w:val="center"/>
          </w:tcPr>
          <w:p w14:paraId="3CE7D290" w14:textId="77777777" w:rsidR="00BB62A6" w:rsidRPr="00890249" w:rsidRDefault="00BB62A6" w:rsidP="00264686">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2485A379" w14:textId="77777777" w:rsidR="00BB62A6" w:rsidRPr="00890249" w:rsidRDefault="00BB62A6" w:rsidP="00264686">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vAlign w:val="center"/>
          </w:tcPr>
          <w:p w14:paraId="35DD2589" w14:textId="77777777" w:rsidR="00BB62A6" w:rsidRPr="00890249" w:rsidRDefault="00BB62A6" w:rsidP="00264686">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(iv)</w:t>
            </w:r>
          </w:p>
        </w:tc>
        <w:tc>
          <w:tcPr>
            <w:tcW w:w="1026" w:type="dxa"/>
            <w:shd w:val="clear" w:color="auto" w:fill="auto"/>
            <w:vAlign w:val="center"/>
          </w:tcPr>
          <w:p w14:paraId="7FF5C4AB" w14:textId="03143103" w:rsidR="00B6668B" w:rsidRPr="00890249" w:rsidRDefault="00D0622E" w:rsidP="00BA2F8E">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1286D467" w14:textId="047F50FA" w:rsidR="00BB62A6" w:rsidRPr="00890249" w:rsidRDefault="00F969B6" w:rsidP="00E6123D">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20 000 000</w:t>
            </w:r>
          </w:p>
        </w:tc>
      </w:tr>
    </w:tbl>
    <w:p w14:paraId="63A5F2EE" w14:textId="39393355" w:rsidR="000B2721" w:rsidRDefault="000B2721" w:rsidP="006023F3">
      <w:pPr>
        <w:spacing w:before="0" w:after="160" w:line="259" w:lineRule="auto"/>
        <w:jc w:val="left"/>
        <w:rPr>
          <w:rFonts w:asciiTheme="minorHAnsi" w:hAnsiTheme="minorHAnsi" w:cstheme="minorHAnsi"/>
          <w:b/>
          <w:noProof/>
          <w:sz w:val="22"/>
          <w:szCs w:val="22"/>
        </w:rPr>
      </w:pPr>
    </w:p>
    <w:p w14:paraId="2A166BFB" w14:textId="737C0234" w:rsidR="00516DBF" w:rsidRPr="00890249" w:rsidRDefault="000B2721" w:rsidP="006023F3">
      <w:pPr>
        <w:spacing w:before="0" w:after="160" w:line="259" w:lineRule="auto"/>
        <w:jc w:val="left"/>
        <w:rPr>
          <w:rFonts w:asciiTheme="minorHAnsi" w:hAnsiTheme="minorHAnsi" w:cstheme="minorHAnsi"/>
          <w:b/>
          <w:noProof/>
          <w:sz w:val="22"/>
          <w:szCs w:val="22"/>
        </w:rPr>
      </w:pPr>
      <w:r>
        <w:rPr>
          <w:rFonts w:asciiTheme="minorHAnsi" w:hAnsiTheme="minorHAnsi" w:cstheme="minorHAnsi"/>
          <w:b/>
          <w:noProof/>
          <w:sz w:val="22"/>
          <w:szCs w:val="22"/>
        </w:rPr>
        <w:br w:type="page"/>
      </w:r>
    </w:p>
    <w:p w14:paraId="27BCC7BF" w14:textId="77777777" w:rsidR="00BC1861" w:rsidRPr="00890249" w:rsidRDefault="00BC1861" w:rsidP="00BC1861">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2.1.2.4 (v) Cel szczegółowy</w:t>
      </w:r>
    </w:p>
    <w:p w14:paraId="1047C474" w14:textId="77777777" w:rsidR="00BC1861" w:rsidRPr="00890249" w:rsidRDefault="00BC1861" w:rsidP="00BC1861">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(v) </w:t>
      </w:r>
      <w:r w:rsidRPr="00890249">
        <w:rPr>
          <w:rFonts w:asciiTheme="minorHAnsi" w:hAnsiTheme="minorHAnsi" w:cstheme="minorHAnsi"/>
          <w:b/>
          <w:noProof/>
          <w:color w:val="2F5496" w:themeColor="accent5" w:themeShade="BF"/>
        </w:rPr>
        <w:t>Wspieranie dostępu do wody oraz zrównoważonej gospodarki wodnej</w:t>
      </w:r>
    </w:p>
    <w:p w14:paraId="2C48565B" w14:textId="77777777" w:rsidR="00BC1861" w:rsidRPr="00890249" w:rsidRDefault="00BC1861" w:rsidP="00BC1861">
      <w:pPr>
        <w:rPr>
          <w:rFonts w:asciiTheme="minorHAnsi" w:hAnsiTheme="minorHAnsi" w:cstheme="minorHAnsi"/>
          <w:b/>
          <w:noProof/>
          <w:sz w:val="22"/>
          <w:szCs w:val="22"/>
        </w:rPr>
      </w:pPr>
      <w:r w:rsidRPr="00890249">
        <w:rPr>
          <w:rFonts w:asciiTheme="minorHAnsi" w:hAnsiTheme="minorHAnsi" w:cstheme="minorHAnsi"/>
          <w:b/>
          <w:noProof/>
          <w:sz w:val="22"/>
          <w:szCs w:val="22"/>
        </w:rPr>
        <w:t>2.1.2.4.1 (v) Interwencje w ramach funduszy</w:t>
      </w:r>
    </w:p>
    <w:p w14:paraId="6E25AE15" w14:textId="77777777" w:rsidR="00BC1861" w:rsidRPr="00890249" w:rsidRDefault="00BC1861" w:rsidP="00BC1861">
      <w:pPr>
        <w:rPr>
          <w:rFonts w:asciiTheme="minorHAnsi" w:eastAsia="Times New Roman" w:hAnsiTheme="minorHAnsi" w:cstheme="minorHAnsi"/>
          <w:b/>
          <w:i/>
          <w:iCs/>
          <w:noProof/>
          <w:sz w:val="22"/>
          <w:szCs w:val="24"/>
        </w:rPr>
      </w:pPr>
      <w:r w:rsidRPr="00890249">
        <w:rPr>
          <w:rFonts w:asciiTheme="minorHAnsi" w:hAnsiTheme="minorHAnsi" w:cstheme="minorHAnsi"/>
          <w:b/>
          <w:noProof/>
          <w:color w:val="2F5496" w:themeColor="accent5" w:themeShade="BF"/>
          <w:sz w:val="22"/>
        </w:rPr>
        <w:t>Powiązane rodzaje działań</w:t>
      </w:r>
    </w:p>
    <w:p w14:paraId="3A14F924" w14:textId="0D11B829" w:rsidR="009516D3" w:rsidRPr="00890249" w:rsidRDefault="1A279BFB" w:rsidP="003E363A">
      <w:p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Pomimo, iż </w:t>
      </w:r>
      <w:r w:rsidR="62111E34" w:rsidRPr="00890249">
        <w:rPr>
          <w:rFonts w:asciiTheme="minorHAnsi" w:eastAsia="Times New Roman" w:hAnsiTheme="minorHAnsi" w:cstheme="minorHAnsi"/>
          <w:noProof/>
          <w:sz w:val="22"/>
          <w:szCs w:val="22"/>
        </w:rPr>
        <w:t>woj.</w:t>
      </w:r>
      <w:r w:rsidRPr="00890249">
        <w:rPr>
          <w:rFonts w:asciiTheme="minorHAnsi" w:eastAsia="Times New Roman" w:hAnsiTheme="minorHAnsi" w:cstheme="minorHAnsi"/>
          <w:noProof/>
          <w:sz w:val="22"/>
          <w:szCs w:val="22"/>
        </w:rPr>
        <w:t xml:space="preserve"> opolskie charakteryzuje się </w:t>
      </w:r>
      <w:r w:rsidR="7FF109BA" w:rsidRPr="00890249">
        <w:rPr>
          <w:rFonts w:asciiTheme="minorHAnsi" w:eastAsia="Times New Roman" w:hAnsiTheme="minorHAnsi" w:cstheme="minorHAnsi"/>
          <w:noProof/>
          <w:sz w:val="22"/>
          <w:szCs w:val="22"/>
        </w:rPr>
        <w:t xml:space="preserve">jednym z </w:t>
      </w:r>
      <w:r w:rsidRPr="00890249">
        <w:rPr>
          <w:rFonts w:asciiTheme="minorHAnsi" w:eastAsia="Times New Roman" w:hAnsiTheme="minorHAnsi" w:cstheme="minorHAnsi"/>
          <w:noProof/>
          <w:sz w:val="22"/>
          <w:szCs w:val="22"/>
        </w:rPr>
        <w:t>największy</w:t>
      </w:r>
      <w:r w:rsidR="7FF109BA" w:rsidRPr="00890249">
        <w:rPr>
          <w:rFonts w:asciiTheme="minorHAnsi" w:eastAsia="Times New Roman" w:hAnsiTheme="minorHAnsi" w:cstheme="minorHAnsi"/>
          <w:noProof/>
          <w:sz w:val="22"/>
          <w:szCs w:val="22"/>
        </w:rPr>
        <w:t>ch</w:t>
      </w:r>
      <w:r w:rsidRPr="00890249">
        <w:rPr>
          <w:rFonts w:asciiTheme="minorHAnsi" w:eastAsia="Times New Roman" w:hAnsiTheme="minorHAnsi" w:cstheme="minorHAnsi"/>
          <w:noProof/>
          <w:sz w:val="22"/>
          <w:szCs w:val="22"/>
        </w:rPr>
        <w:t xml:space="preserve"> w kraju </w:t>
      </w:r>
      <w:r w:rsidR="7FF109BA" w:rsidRPr="00890249">
        <w:rPr>
          <w:rFonts w:asciiTheme="minorHAnsi" w:eastAsia="Times New Roman" w:hAnsiTheme="minorHAnsi" w:cstheme="minorHAnsi"/>
          <w:noProof/>
          <w:sz w:val="22"/>
          <w:szCs w:val="22"/>
        </w:rPr>
        <w:t>wskaźnik</w:t>
      </w:r>
      <w:r w:rsidR="38A45CF3" w:rsidRPr="00890249">
        <w:rPr>
          <w:rFonts w:asciiTheme="minorHAnsi" w:eastAsia="Times New Roman" w:hAnsiTheme="minorHAnsi" w:cstheme="minorHAnsi"/>
          <w:noProof/>
          <w:sz w:val="22"/>
          <w:szCs w:val="22"/>
        </w:rPr>
        <w:t>iem</w:t>
      </w:r>
      <w:r w:rsidR="7FF109BA" w:rsidRPr="00890249">
        <w:rPr>
          <w:rFonts w:asciiTheme="minorHAnsi" w:eastAsia="Times New Roman" w:hAnsiTheme="minorHAnsi" w:cstheme="minorHAnsi"/>
          <w:noProof/>
          <w:sz w:val="22"/>
          <w:szCs w:val="22"/>
        </w:rPr>
        <w:t xml:space="preserve"> </w:t>
      </w:r>
      <w:r w:rsidRPr="00890249">
        <w:rPr>
          <w:rFonts w:asciiTheme="minorHAnsi" w:eastAsia="Times New Roman" w:hAnsiTheme="minorHAnsi" w:cstheme="minorHAnsi"/>
          <w:noProof/>
          <w:sz w:val="22"/>
          <w:szCs w:val="22"/>
        </w:rPr>
        <w:t>dostępu ludności do zorganizowanej sieci wodociągowej (</w:t>
      </w:r>
      <w:r w:rsidR="7FF109BA" w:rsidRPr="00890249">
        <w:rPr>
          <w:rFonts w:asciiTheme="minorHAnsi" w:eastAsia="Times New Roman" w:hAnsiTheme="minorHAnsi" w:cstheme="minorHAnsi"/>
          <w:noProof/>
          <w:sz w:val="22"/>
          <w:szCs w:val="22"/>
        </w:rPr>
        <w:t xml:space="preserve">zodnie z GUS w 2020 r., </w:t>
      </w:r>
      <w:r w:rsidRPr="00890249">
        <w:rPr>
          <w:rFonts w:asciiTheme="minorHAnsi" w:eastAsia="Times New Roman" w:hAnsiTheme="minorHAnsi" w:cstheme="minorHAnsi"/>
          <w:noProof/>
          <w:sz w:val="22"/>
          <w:szCs w:val="22"/>
        </w:rPr>
        <w:t>z jej usług korzysta</w:t>
      </w:r>
      <w:r w:rsidR="7FF109BA" w:rsidRPr="00890249">
        <w:rPr>
          <w:rFonts w:asciiTheme="minorHAnsi" w:eastAsia="Times New Roman" w:hAnsiTheme="minorHAnsi" w:cstheme="minorHAnsi"/>
          <w:noProof/>
          <w:sz w:val="22"/>
          <w:szCs w:val="22"/>
        </w:rPr>
        <w:t xml:space="preserve">ło </w:t>
      </w:r>
      <w:r w:rsidR="2E89B18B" w:rsidRPr="00890249">
        <w:rPr>
          <w:rFonts w:asciiTheme="minorHAnsi" w:eastAsia="Times New Roman" w:hAnsiTheme="minorHAnsi" w:cstheme="minorHAnsi"/>
          <w:noProof/>
          <w:sz w:val="22"/>
          <w:szCs w:val="22"/>
        </w:rPr>
        <w:t>90,6</w:t>
      </w:r>
      <w:r w:rsidRPr="00890249">
        <w:rPr>
          <w:rFonts w:asciiTheme="minorHAnsi" w:eastAsia="Times New Roman" w:hAnsiTheme="minorHAnsi" w:cstheme="minorHAnsi"/>
          <w:noProof/>
          <w:sz w:val="22"/>
          <w:szCs w:val="22"/>
        </w:rPr>
        <w:t xml:space="preserve">% mieszkańców miast i </w:t>
      </w:r>
      <w:r w:rsidR="3893317D" w:rsidRPr="00890249">
        <w:rPr>
          <w:rFonts w:asciiTheme="minorHAnsi" w:eastAsia="Times New Roman" w:hAnsiTheme="minorHAnsi" w:cstheme="minorHAnsi"/>
          <w:noProof/>
          <w:sz w:val="22"/>
          <w:szCs w:val="22"/>
        </w:rPr>
        <w:t> </w:t>
      </w:r>
      <w:r w:rsidR="2E89B18B" w:rsidRPr="00890249">
        <w:rPr>
          <w:rFonts w:asciiTheme="minorHAnsi" w:eastAsia="Times New Roman" w:hAnsiTheme="minorHAnsi" w:cstheme="minorHAnsi"/>
          <w:noProof/>
          <w:sz w:val="22"/>
          <w:szCs w:val="22"/>
        </w:rPr>
        <w:t>94</w:t>
      </w:r>
      <w:r w:rsidRPr="00890249">
        <w:rPr>
          <w:rFonts w:asciiTheme="minorHAnsi" w:eastAsia="Times New Roman" w:hAnsiTheme="minorHAnsi" w:cstheme="minorHAnsi"/>
          <w:noProof/>
          <w:sz w:val="22"/>
          <w:szCs w:val="22"/>
        </w:rPr>
        <w:t>,</w:t>
      </w:r>
      <w:r w:rsidR="2E89B18B" w:rsidRPr="00890249">
        <w:rPr>
          <w:rFonts w:asciiTheme="minorHAnsi" w:eastAsia="Times New Roman" w:hAnsiTheme="minorHAnsi" w:cstheme="minorHAnsi"/>
          <w:noProof/>
          <w:sz w:val="22"/>
          <w:szCs w:val="22"/>
        </w:rPr>
        <w:t>2</w:t>
      </w:r>
      <w:r w:rsidRPr="00890249">
        <w:rPr>
          <w:rFonts w:asciiTheme="minorHAnsi" w:eastAsia="Times New Roman" w:hAnsiTheme="minorHAnsi" w:cstheme="minorHAnsi"/>
          <w:noProof/>
          <w:sz w:val="22"/>
          <w:szCs w:val="22"/>
        </w:rPr>
        <w:t>% ludności wiejskiej), to zdecydowanie większe dysproporcje między miastem a wsią występują w dostępie do sieci kanalizacyjnej.</w:t>
      </w:r>
      <w:r w:rsidR="62111E34" w:rsidRPr="00890249">
        <w:rPr>
          <w:rFonts w:asciiTheme="minorHAnsi" w:eastAsia="Times New Roman" w:hAnsiTheme="minorHAnsi" w:cstheme="minorHAnsi"/>
          <w:noProof/>
          <w:sz w:val="22"/>
          <w:szCs w:val="22"/>
        </w:rPr>
        <w:t xml:space="preserve"> </w:t>
      </w:r>
      <w:r w:rsidR="5660B79E" w:rsidRPr="00890249">
        <w:rPr>
          <w:rFonts w:asciiTheme="minorHAnsi" w:eastAsia="Times New Roman" w:hAnsiTheme="minorHAnsi" w:cstheme="minorHAnsi"/>
          <w:noProof/>
          <w:sz w:val="22"/>
          <w:szCs w:val="22"/>
        </w:rPr>
        <w:t>Wskaźnik mieszkańców z ni</w:t>
      </w:r>
      <w:r w:rsidR="38A45CF3" w:rsidRPr="00890249">
        <w:rPr>
          <w:rFonts w:asciiTheme="minorHAnsi" w:eastAsia="Times New Roman" w:hAnsiTheme="minorHAnsi" w:cstheme="minorHAnsi"/>
          <w:noProof/>
          <w:sz w:val="22"/>
          <w:szCs w:val="22"/>
        </w:rPr>
        <w:t xml:space="preserve">ej   </w:t>
      </w:r>
      <w:r w:rsidR="5660B79E" w:rsidRPr="00890249">
        <w:rPr>
          <w:rFonts w:asciiTheme="minorHAnsi" w:eastAsia="Times New Roman" w:hAnsiTheme="minorHAnsi" w:cstheme="minorHAnsi"/>
          <w:noProof/>
          <w:sz w:val="22"/>
          <w:szCs w:val="22"/>
        </w:rPr>
        <w:t xml:space="preserve"> korzystających wynosi</w:t>
      </w:r>
      <w:r w:rsidR="7FF109BA" w:rsidRPr="00890249">
        <w:rPr>
          <w:rFonts w:asciiTheme="minorHAnsi" w:eastAsia="Times New Roman" w:hAnsiTheme="minorHAnsi" w:cstheme="minorHAnsi"/>
          <w:noProof/>
          <w:sz w:val="22"/>
          <w:szCs w:val="22"/>
        </w:rPr>
        <w:t xml:space="preserve">ł </w:t>
      </w:r>
      <w:r w:rsidR="491340A4" w:rsidRPr="00890249">
        <w:rPr>
          <w:rFonts w:asciiTheme="minorHAnsi" w:eastAsia="Times New Roman" w:hAnsiTheme="minorHAnsi" w:cstheme="minorHAnsi"/>
          <w:noProof/>
          <w:sz w:val="22"/>
          <w:szCs w:val="22"/>
        </w:rPr>
        <w:t xml:space="preserve">w </w:t>
      </w:r>
      <w:r w:rsidR="7FF109BA" w:rsidRPr="00890249">
        <w:rPr>
          <w:rFonts w:asciiTheme="minorHAnsi" w:eastAsia="Times New Roman" w:hAnsiTheme="minorHAnsi" w:cstheme="minorHAnsi"/>
          <w:noProof/>
          <w:sz w:val="22"/>
          <w:szCs w:val="22"/>
        </w:rPr>
        <w:t>2020 r.</w:t>
      </w:r>
      <w:r w:rsidR="5660B79E" w:rsidRPr="00890249">
        <w:rPr>
          <w:rFonts w:asciiTheme="minorHAnsi" w:eastAsia="Times New Roman" w:hAnsiTheme="minorHAnsi" w:cstheme="minorHAnsi"/>
          <w:noProof/>
          <w:sz w:val="22"/>
          <w:szCs w:val="22"/>
        </w:rPr>
        <w:t xml:space="preserve"> w</w:t>
      </w:r>
      <w:r w:rsidR="3B355DF2" w:rsidRPr="00890249">
        <w:rPr>
          <w:rFonts w:asciiTheme="minorHAnsi" w:eastAsia="Times New Roman" w:hAnsiTheme="minorHAnsi" w:cstheme="minorHAnsi"/>
          <w:noProof/>
          <w:sz w:val="22"/>
          <w:szCs w:val="22"/>
        </w:rPr>
        <w:t> </w:t>
      </w:r>
      <w:r w:rsidR="5660B79E" w:rsidRPr="00890249">
        <w:rPr>
          <w:rFonts w:asciiTheme="minorHAnsi" w:eastAsia="Times New Roman" w:hAnsiTheme="minorHAnsi" w:cstheme="minorHAnsi"/>
          <w:noProof/>
          <w:sz w:val="22"/>
          <w:szCs w:val="22"/>
        </w:rPr>
        <w:t xml:space="preserve">miastach </w:t>
      </w:r>
      <w:r w:rsidR="2E89B18B" w:rsidRPr="00890249">
        <w:rPr>
          <w:rFonts w:asciiTheme="minorHAnsi" w:eastAsia="Times New Roman" w:hAnsiTheme="minorHAnsi" w:cstheme="minorHAnsi"/>
          <w:noProof/>
          <w:sz w:val="22"/>
          <w:szCs w:val="22"/>
        </w:rPr>
        <w:t>83,5</w:t>
      </w:r>
      <w:r w:rsidR="5660B79E" w:rsidRPr="00890249">
        <w:rPr>
          <w:rFonts w:asciiTheme="minorHAnsi" w:eastAsia="Times New Roman" w:hAnsiTheme="minorHAnsi" w:cstheme="minorHAnsi"/>
          <w:noProof/>
          <w:sz w:val="22"/>
          <w:szCs w:val="22"/>
        </w:rPr>
        <w:t xml:space="preserve">%, natomiast na obszarach wiejskich jedynie </w:t>
      </w:r>
      <w:r w:rsidR="2E89B18B" w:rsidRPr="00890249">
        <w:rPr>
          <w:rFonts w:asciiTheme="minorHAnsi" w:eastAsia="Times New Roman" w:hAnsiTheme="minorHAnsi" w:cstheme="minorHAnsi"/>
          <w:noProof/>
          <w:sz w:val="22"/>
          <w:szCs w:val="22"/>
        </w:rPr>
        <w:t>53</w:t>
      </w:r>
      <w:r w:rsidR="5660B79E" w:rsidRPr="00890249">
        <w:rPr>
          <w:rFonts w:asciiTheme="minorHAnsi" w:eastAsia="Times New Roman" w:hAnsiTheme="minorHAnsi" w:cstheme="minorHAnsi"/>
          <w:noProof/>
          <w:sz w:val="22"/>
          <w:szCs w:val="22"/>
        </w:rPr>
        <w:t>%</w:t>
      </w:r>
      <w:r w:rsidR="00110559" w:rsidRPr="00890249">
        <w:rPr>
          <w:rStyle w:val="Odwoanieprzypisudolnego"/>
          <w:rFonts w:asciiTheme="minorHAnsi" w:eastAsia="Times New Roman" w:hAnsiTheme="minorHAnsi" w:cstheme="minorHAnsi"/>
          <w:noProof/>
          <w:sz w:val="22"/>
          <w:szCs w:val="22"/>
        </w:rPr>
        <w:footnoteReference w:id="128"/>
      </w:r>
      <w:r w:rsidR="5660B79E" w:rsidRPr="00890249">
        <w:rPr>
          <w:rFonts w:asciiTheme="minorHAnsi" w:eastAsia="Times New Roman" w:hAnsiTheme="minorHAnsi" w:cstheme="minorHAnsi"/>
          <w:noProof/>
          <w:sz w:val="22"/>
          <w:szCs w:val="22"/>
        </w:rPr>
        <w:t>.</w:t>
      </w:r>
      <w:r w:rsidRPr="00890249">
        <w:rPr>
          <w:rFonts w:asciiTheme="minorHAnsi" w:eastAsia="Times New Roman" w:hAnsiTheme="minorHAnsi" w:cstheme="minorHAnsi"/>
          <w:noProof/>
          <w:sz w:val="22"/>
          <w:szCs w:val="22"/>
        </w:rPr>
        <w:t xml:space="preserve"> W regionie działa 107 oczyszczalni ścieków, z</w:t>
      </w:r>
      <w:r w:rsidR="03E6EC59" w:rsidRPr="00890249">
        <w:rPr>
          <w:rFonts w:asciiTheme="minorHAnsi" w:eastAsia="Times New Roman" w:hAnsiTheme="minorHAnsi" w:cstheme="minorHAnsi"/>
          <w:noProof/>
          <w:sz w:val="22"/>
          <w:szCs w:val="22"/>
        </w:rPr>
        <w:t> </w:t>
      </w:r>
      <w:r w:rsidRPr="00890249">
        <w:rPr>
          <w:rFonts w:asciiTheme="minorHAnsi" w:eastAsia="Times New Roman" w:hAnsiTheme="minorHAnsi" w:cstheme="minorHAnsi"/>
          <w:noProof/>
          <w:sz w:val="22"/>
          <w:szCs w:val="22"/>
        </w:rPr>
        <w:t>czego 7</w:t>
      </w:r>
      <w:r w:rsidR="5660B79E" w:rsidRPr="00890249">
        <w:rPr>
          <w:rFonts w:asciiTheme="minorHAnsi" w:eastAsia="Times New Roman" w:hAnsiTheme="minorHAnsi" w:cstheme="minorHAnsi"/>
          <w:noProof/>
          <w:sz w:val="22"/>
          <w:szCs w:val="22"/>
        </w:rPr>
        <w:t>6</w:t>
      </w:r>
      <w:r w:rsidRPr="00890249">
        <w:rPr>
          <w:rFonts w:asciiTheme="minorHAnsi" w:eastAsia="Times New Roman" w:hAnsiTheme="minorHAnsi" w:cstheme="minorHAnsi"/>
          <w:noProof/>
          <w:sz w:val="22"/>
          <w:szCs w:val="22"/>
        </w:rPr>
        <w:t xml:space="preserve"> to oczyszczalnie komunalne, a 3</w:t>
      </w:r>
      <w:r w:rsidR="5660B79E" w:rsidRPr="00890249">
        <w:rPr>
          <w:rFonts w:asciiTheme="minorHAnsi" w:eastAsia="Times New Roman" w:hAnsiTheme="minorHAnsi" w:cstheme="minorHAnsi"/>
          <w:noProof/>
          <w:sz w:val="22"/>
          <w:szCs w:val="22"/>
        </w:rPr>
        <w:t>1</w:t>
      </w:r>
      <w:r w:rsidRPr="00890249">
        <w:rPr>
          <w:rFonts w:asciiTheme="minorHAnsi" w:eastAsia="Times New Roman" w:hAnsiTheme="minorHAnsi" w:cstheme="minorHAnsi"/>
          <w:noProof/>
          <w:sz w:val="22"/>
          <w:szCs w:val="22"/>
        </w:rPr>
        <w:t xml:space="preserve"> to oczyszczalnie przemysłowe. Równie duża rozbieżność występuje w dostępie do oczyszczalni ścieków. Podczas gdy w miastach wskaźnik ten wynosi 9</w:t>
      </w:r>
      <w:r w:rsidR="5660B79E" w:rsidRPr="00890249">
        <w:rPr>
          <w:rFonts w:asciiTheme="minorHAnsi" w:eastAsia="Times New Roman" w:hAnsiTheme="minorHAnsi" w:cstheme="minorHAnsi"/>
          <w:noProof/>
          <w:sz w:val="22"/>
          <w:szCs w:val="22"/>
        </w:rPr>
        <w:t>4,6</w:t>
      </w:r>
      <w:r w:rsidRPr="00890249">
        <w:rPr>
          <w:rFonts w:asciiTheme="minorHAnsi" w:eastAsia="Times New Roman" w:hAnsiTheme="minorHAnsi" w:cstheme="minorHAnsi"/>
          <w:noProof/>
          <w:sz w:val="22"/>
          <w:szCs w:val="22"/>
        </w:rPr>
        <w:t>%, to na wsi kształtuje się na poziomie tylko 54,</w:t>
      </w:r>
      <w:r w:rsidR="5660B79E" w:rsidRPr="00890249">
        <w:rPr>
          <w:rFonts w:asciiTheme="minorHAnsi" w:eastAsia="Times New Roman" w:hAnsiTheme="minorHAnsi" w:cstheme="minorHAnsi"/>
          <w:noProof/>
          <w:sz w:val="22"/>
          <w:szCs w:val="22"/>
        </w:rPr>
        <w:t>8</w:t>
      </w:r>
      <w:r w:rsidRPr="00890249">
        <w:rPr>
          <w:rFonts w:asciiTheme="minorHAnsi" w:eastAsia="Times New Roman" w:hAnsiTheme="minorHAnsi" w:cstheme="minorHAnsi"/>
          <w:noProof/>
          <w:sz w:val="22"/>
          <w:szCs w:val="22"/>
        </w:rPr>
        <w:t>%</w:t>
      </w:r>
      <w:r w:rsidR="009516D3" w:rsidRPr="00890249">
        <w:rPr>
          <w:rFonts w:asciiTheme="minorHAnsi" w:eastAsia="Times New Roman" w:hAnsiTheme="minorHAnsi" w:cstheme="minorHAnsi"/>
          <w:noProof/>
          <w:sz w:val="22"/>
          <w:szCs w:val="22"/>
          <w:vertAlign w:val="superscript"/>
        </w:rPr>
        <w:footnoteReference w:id="129"/>
      </w:r>
      <w:r w:rsidR="5F5EB3AE" w:rsidRPr="00890249">
        <w:rPr>
          <w:rFonts w:asciiTheme="minorHAnsi" w:eastAsia="Times New Roman" w:hAnsiTheme="minorHAnsi" w:cstheme="minorHAnsi"/>
          <w:noProof/>
          <w:sz w:val="22"/>
          <w:szCs w:val="22"/>
        </w:rPr>
        <w:t>.</w:t>
      </w:r>
    </w:p>
    <w:p w14:paraId="51A6B2B8" w14:textId="7B2B8F88" w:rsidR="00AD47AE" w:rsidRPr="00890249" w:rsidRDefault="6893B897" w:rsidP="003E363A">
      <w:p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Z</w:t>
      </w:r>
      <w:r w:rsidR="0F57FF55" w:rsidRPr="00890249">
        <w:rPr>
          <w:rFonts w:asciiTheme="minorHAnsi" w:eastAsia="Times New Roman" w:hAnsiTheme="minorHAnsi" w:cstheme="minorHAnsi"/>
          <w:noProof/>
          <w:sz w:val="22"/>
          <w:szCs w:val="22"/>
        </w:rPr>
        <w:t>godnie</w:t>
      </w:r>
      <w:r w:rsidR="1B61D1E0" w:rsidRPr="00890249">
        <w:rPr>
          <w:rFonts w:asciiTheme="minorHAnsi" w:eastAsia="Times New Roman" w:hAnsiTheme="minorHAnsi" w:cstheme="minorHAnsi"/>
          <w:noProof/>
          <w:sz w:val="22"/>
          <w:szCs w:val="22"/>
        </w:rPr>
        <w:t xml:space="preserve"> z VI aktualizacją KPOŚK </w:t>
      </w:r>
      <w:r w:rsidR="1DBA3DDB" w:rsidRPr="00890249">
        <w:rPr>
          <w:rFonts w:asciiTheme="minorHAnsi" w:eastAsia="Times New Roman" w:hAnsiTheme="minorHAnsi" w:cstheme="minorHAnsi"/>
          <w:noProof/>
          <w:sz w:val="22"/>
          <w:szCs w:val="22"/>
        </w:rPr>
        <w:t xml:space="preserve">na terenie województwa opolskiego </w:t>
      </w:r>
      <w:r w:rsidR="0FCF03DB" w:rsidRPr="00890249">
        <w:rPr>
          <w:rFonts w:asciiTheme="minorHAnsi" w:eastAsia="Times New Roman" w:hAnsiTheme="minorHAnsi" w:cstheme="minorHAnsi"/>
          <w:noProof/>
          <w:sz w:val="22"/>
          <w:szCs w:val="22"/>
        </w:rPr>
        <w:t xml:space="preserve">6 </w:t>
      </w:r>
      <w:r w:rsidR="7DC748DE" w:rsidRPr="00890249">
        <w:rPr>
          <w:rFonts w:asciiTheme="minorHAnsi" w:eastAsia="Times New Roman" w:hAnsiTheme="minorHAnsi" w:cstheme="minorHAnsi"/>
          <w:noProof/>
          <w:sz w:val="22"/>
          <w:szCs w:val="22"/>
        </w:rPr>
        <w:t xml:space="preserve">aglomeracji nie spełnia </w:t>
      </w:r>
      <w:r w:rsidR="1DBA3DDB" w:rsidRPr="00890249">
        <w:rPr>
          <w:rFonts w:asciiTheme="minorHAnsi" w:eastAsia="Times New Roman" w:hAnsiTheme="minorHAnsi" w:cstheme="minorHAnsi"/>
          <w:noProof/>
          <w:sz w:val="22"/>
          <w:szCs w:val="22"/>
        </w:rPr>
        <w:t>wymogów Dyrektywy Rady z dnia 21 maja 1991 r. dotyczącej oczy</w:t>
      </w:r>
      <w:r w:rsidR="1B61D1E0" w:rsidRPr="00890249">
        <w:rPr>
          <w:rFonts w:asciiTheme="minorHAnsi" w:eastAsia="Times New Roman" w:hAnsiTheme="minorHAnsi" w:cstheme="minorHAnsi"/>
          <w:noProof/>
          <w:sz w:val="22"/>
          <w:szCs w:val="22"/>
        </w:rPr>
        <w:t>szczania ścieków komunalnych, w </w:t>
      </w:r>
      <w:r w:rsidR="1DBA3DDB" w:rsidRPr="00890249">
        <w:rPr>
          <w:rFonts w:asciiTheme="minorHAnsi" w:eastAsia="Times New Roman" w:hAnsiTheme="minorHAnsi" w:cstheme="minorHAnsi"/>
          <w:noProof/>
          <w:sz w:val="22"/>
          <w:szCs w:val="22"/>
        </w:rPr>
        <w:t xml:space="preserve">tym </w:t>
      </w:r>
      <w:r w:rsidR="0FCF03DB" w:rsidRPr="00890249">
        <w:rPr>
          <w:rFonts w:asciiTheme="minorHAnsi" w:eastAsia="Times New Roman" w:hAnsiTheme="minorHAnsi" w:cstheme="minorHAnsi"/>
          <w:noProof/>
          <w:sz w:val="22"/>
          <w:szCs w:val="22"/>
        </w:rPr>
        <w:t xml:space="preserve">1 aglomeracja </w:t>
      </w:r>
      <w:r w:rsidR="1DBA3DDB" w:rsidRPr="00890249">
        <w:rPr>
          <w:rFonts w:asciiTheme="minorHAnsi" w:eastAsia="Times New Roman" w:hAnsiTheme="minorHAnsi" w:cstheme="minorHAnsi"/>
          <w:noProof/>
          <w:sz w:val="22"/>
          <w:szCs w:val="22"/>
        </w:rPr>
        <w:t xml:space="preserve">z przedziału 10-15 tys. RLM i </w:t>
      </w:r>
      <w:r w:rsidR="0FCF03DB" w:rsidRPr="00890249">
        <w:rPr>
          <w:rFonts w:asciiTheme="minorHAnsi" w:eastAsia="Times New Roman" w:hAnsiTheme="minorHAnsi" w:cstheme="minorHAnsi"/>
          <w:noProof/>
          <w:sz w:val="22"/>
          <w:szCs w:val="22"/>
        </w:rPr>
        <w:t xml:space="preserve">3 aglomeracje </w:t>
      </w:r>
      <w:r w:rsidR="1DBA3DDB" w:rsidRPr="00890249">
        <w:rPr>
          <w:rFonts w:asciiTheme="minorHAnsi" w:eastAsia="Times New Roman" w:hAnsiTheme="minorHAnsi" w:cstheme="minorHAnsi"/>
          <w:noProof/>
          <w:sz w:val="22"/>
          <w:szCs w:val="22"/>
        </w:rPr>
        <w:t>z przedziału 2-10 tys.</w:t>
      </w:r>
      <w:r w:rsidR="38A45CF3" w:rsidRPr="00890249">
        <w:rPr>
          <w:rFonts w:asciiTheme="minorHAnsi" w:eastAsia="Times New Roman" w:hAnsiTheme="minorHAnsi" w:cstheme="minorHAnsi"/>
          <w:noProof/>
          <w:sz w:val="22"/>
          <w:szCs w:val="22"/>
        </w:rPr>
        <w:t xml:space="preserve">                                               </w:t>
      </w:r>
      <w:r w:rsidR="1DBA3DDB" w:rsidRPr="00890249">
        <w:rPr>
          <w:rFonts w:asciiTheme="minorHAnsi" w:eastAsia="Times New Roman" w:hAnsiTheme="minorHAnsi" w:cstheme="minorHAnsi"/>
          <w:noProof/>
          <w:sz w:val="22"/>
          <w:szCs w:val="22"/>
        </w:rPr>
        <w:t xml:space="preserve"> RLM.</w:t>
      </w:r>
      <w:r w:rsidR="0FCF03DB" w:rsidRPr="00890249">
        <w:rPr>
          <w:rFonts w:asciiTheme="minorHAnsi" w:eastAsia="Times New Roman" w:hAnsiTheme="minorHAnsi" w:cstheme="minorHAnsi"/>
          <w:noProof/>
          <w:sz w:val="22"/>
          <w:szCs w:val="22"/>
        </w:rPr>
        <w:t xml:space="preserve"> Pozostałe </w:t>
      </w:r>
      <w:r w:rsidR="38A45CF3" w:rsidRPr="00890249">
        <w:rPr>
          <w:rFonts w:asciiTheme="minorHAnsi" w:eastAsia="Times New Roman" w:hAnsiTheme="minorHAnsi" w:cstheme="minorHAnsi"/>
          <w:noProof/>
          <w:sz w:val="22"/>
          <w:szCs w:val="22"/>
        </w:rPr>
        <w:t>to</w:t>
      </w:r>
      <w:r w:rsidR="0FCF03DB" w:rsidRPr="00890249">
        <w:rPr>
          <w:rFonts w:asciiTheme="minorHAnsi" w:eastAsia="Times New Roman" w:hAnsiTheme="minorHAnsi" w:cstheme="minorHAnsi"/>
          <w:noProof/>
          <w:sz w:val="22"/>
          <w:szCs w:val="22"/>
        </w:rPr>
        <w:t xml:space="preserve"> aglomeracj</w:t>
      </w:r>
      <w:r w:rsidR="38A45CF3" w:rsidRPr="00890249">
        <w:rPr>
          <w:rFonts w:asciiTheme="minorHAnsi" w:eastAsia="Times New Roman" w:hAnsiTheme="minorHAnsi" w:cstheme="minorHAnsi"/>
          <w:noProof/>
          <w:sz w:val="22"/>
          <w:szCs w:val="22"/>
        </w:rPr>
        <w:t>e</w:t>
      </w:r>
      <w:r w:rsidR="0FCF03DB" w:rsidRPr="00890249">
        <w:rPr>
          <w:rFonts w:asciiTheme="minorHAnsi" w:eastAsia="Times New Roman" w:hAnsiTheme="minorHAnsi" w:cstheme="minorHAnsi"/>
          <w:noProof/>
          <w:sz w:val="22"/>
          <w:szCs w:val="22"/>
        </w:rPr>
        <w:t xml:space="preserve"> z przedziału powyżej 15 tys. RLM</w:t>
      </w:r>
      <w:r w:rsidR="00AD47AE" w:rsidRPr="00890249">
        <w:rPr>
          <w:rStyle w:val="Odwoanieprzypisudolnego"/>
          <w:rFonts w:asciiTheme="minorHAnsi" w:eastAsia="Times New Roman" w:hAnsiTheme="minorHAnsi" w:cstheme="minorHAnsi"/>
          <w:noProof/>
          <w:sz w:val="22"/>
          <w:szCs w:val="22"/>
        </w:rPr>
        <w:footnoteReference w:id="130"/>
      </w:r>
      <w:r w:rsidR="0FCF03DB" w:rsidRPr="00890249">
        <w:rPr>
          <w:rFonts w:asciiTheme="minorHAnsi" w:eastAsia="Times New Roman" w:hAnsiTheme="minorHAnsi" w:cstheme="minorHAnsi"/>
          <w:noProof/>
          <w:sz w:val="22"/>
          <w:szCs w:val="22"/>
        </w:rPr>
        <w:t>.</w:t>
      </w:r>
    </w:p>
    <w:p w14:paraId="47300322" w14:textId="162662F1" w:rsidR="0093433C" w:rsidRPr="00890249" w:rsidRDefault="122EF97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Mając na</w:t>
      </w:r>
      <w:r w:rsidR="0B31F4A4" w:rsidRPr="00890249">
        <w:rPr>
          <w:rFonts w:asciiTheme="minorHAnsi" w:hAnsiTheme="minorHAnsi" w:cstheme="minorHAnsi"/>
          <w:noProof/>
          <w:sz w:val="22"/>
          <w:szCs w:val="22"/>
        </w:rPr>
        <w:t xml:space="preserve"> uwa</w:t>
      </w:r>
      <w:r w:rsidRPr="00890249">
        <w:rPr>
          <w:rFonts w:asciiTheme="minorHAnsi" w:hAnsiTheme="minorHAnsi" w:cstheme="minorHAnsi"/>
          <w:noProof/>
          <w:sz w:val="22"/>
          <w:szCs w:val="22"/>
        </w:rPr>
        <w:t>dze</w:t>
      </w:r>
      <w:r w:rsidR="0B31F4A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rekomendacje KE</w:t>
      </w:r>
      <w:r w:rsidR="008B5334" w:rsidRPr="00890249">
        <w:rPr>
          <w:rStyle w:val="Odwoanieprzypisudolnego"/>
          <w:rFonts w:asciiTheme="minorHAnsi" w:eastAsia="Times New Roman" w:hAnsiTheme="minorHAnsi" w:cstheme="minorHAnsi"/>
          <w:noProof/>
          <w:sz w:val="22"/>
          <w:szCs w:val="22"/>
        </w:rPr>
        <w:footnoteReference w:id="131"/>
      </w:r>
      <w:r w:rsidR="0B31F4A4" w:rsidRPr="00890249">
        <w:rPr>
          <w:rFonts w:asciiTheme="minorHAnsi" w:hAnsiTheme="minorHAnsi" w:cstheme="minorHAnsi"/>
          <w:noProof/>
          <w:sz w:val="22"/>
          <w:szCs w:val="22"/>
        </w:rPr>
        <w:t>, w pierwszej kolejności wspierane będą inw</w:t>
      </w:r>
      <w:r w:rsidR="05502E9D" w:rsidRPr="00890249">
        <w:rPr>
          <w:rFonts w:asciiTheme="minorHAnsi" w:hAnsiTheme="minorHAnsi" w:cstheme="minorHAnsi"/>
          <w:noProof/>
          <w:sz w:val="22"/>
          <w:szCs w:val="22"/>
        </w:rPr>
        <w:t>estycje w sieci kanalizacyjne i </w:t>
      </w:r>
      <w:r w:rsidR="0B31F4A4" w:rsidRPr="00890249">
        <w:rPr>
          <w:rFonts w:asciiTheme="minorHAnsi" w:hAnsiTheme="minorHAnsi" w:cstheme="minorHAnsi"/>
          <w:noProof/>
          <w:sz w:val="22"/>
          <w:szCs w:val="22"/>
        </w:rPr>
        <w:t xml:space="preserve">oczyszczalnie ścieków w aglomeracjach </w:t>
      </w:r>
      <w:r w:rsidR="5942ED8B" w:rsidRPr="00890249">
        <w:rPr>
          <w:rFonts w:asciiTheme="minorHAnsi" w:hAnsiTheme="minorHAnsi" w:cstheme="minorHAnsi"/>
          <w:noProof/>
          <w:sz w:val="22"/>
          <w:szCs w:val="22"/>
        </w:rPr>
        <w:t xml:space="preserve">o wielkości co najmniej 10 </w:t>
      </w:r>
      <w:r w:rsidR="000A9062" w:rsidRPr="00890249">
        <w:rPr>
          <w:rFonts w:asciiTheme="minorHAnsi" w:hAnsiTheme="minorHAnsi" w:cstheme="minorHAnsi"/>
          <w:noProof/>
          <w:sz w:val="22"/>
          <w:szCs w:val="22"/>
        </w:rPr>
        <w:t>tys.</w:t>
      </w:r>
      <w:r w:rsidR="0B31F4A4" w:rsidRPr="00890249">
        <w:rPr>
          <w:rFonts w:asciiTheme="minorHAnsi" w:hAnsiTheme="minorHAnsi" w:cstheme="minorHAnsi"/>
          <w:noProof/>
          <w:sz w:val="22"/>
          <w:szCs w:val="22"/>
        </w:rPr>
        <w:t xml:space="preserve"> RLM, które nie spełniają wymogów ww. Dyrektywy. Natomiast w dalszym etapie wsparcie kierowane</w:t>
      </w:r>
      <w:r w:rsidR="49AE7099" w:rsidRPr="00890249">
        <w:rPr>
          <w:rFonts w:asciiTheme="minorHAnsi" w:hAnsiTheme="minorHAnsi" w:cstheme="minorHAnsi"/>
          <w:noProof/>
          <w:sz w:val="22"/>
          <w:szCs w:val="22"/>
        </w:rPr>
        <w:t xml:space="preserve"> będzie na mniejsze aglomeracje (2</w:t>
      </w:r>
      <w:r w:rsidR="68BA1129" w:rsidRPr="00890249">
        <w:rPr>
          <w:rFonts w:asciiTheme="minorHAnsi" w:hAnsiTheme="minorHAnsi" w:cstheme="minorHAnsi"/>
          <w:noProof/>
          <w:sz w:val="22"/>
          <w:szCs w:val="22"/>
        </w:rPr>
        <w:t>-</w:t>
      </w:r>
      <w:r w:rsidR="49AE7099" w:rsidRPr="00890249">
        <w:rPr>
          <w:rFonts w:asciiTheme="minorHAnsi" w:hAnsiTheme="minorHAnsi" w:cstheme="minorHAnsi"/>
          <w:noProof/>
          <w:sz w:val="22"/>
          <w:szCs w:val="22"/>
        </w:rPr>
        <w:noBreakHyphen/>
        <w:t>10 tys</w:t>
      </w:r>
      <w:r w:rsidR="000A9062" w:rsidRPr="00890249">
        <w:rPr>
          <w:rFonts w:asciiTheme="minorHAnsi" w:hAnsiTheme="minorHAnsi" w:cstheme="minorHAnsi"/>
          <w:noProof/>
          <w:sz w:val="22"/>
          <w:szCs w:val="22"/>
        </w:rPr>
        <w:t>.</w:t>
      </w:r>
      <w:r w:rsidR="49AE7099" w:rsidRPr="00890249">
        <w:rPr>
          <w:rFonts w:asciiTheme="minorHAnsi" w:hAnsiTheme="minorHAnsi" w:cstheme="minorHAnsi"/>
          <w:noProof/>
          <w:sz w:val="22"/>
          <w:szCs w:val="22"/>
        </w:rPr>
        <w:t xml:space="preserve"> RLM)</w:t>
      </w:r>
      <w:r w:rsidR="000B0631" w:rsidRPr="00890249">
        <w:rPr>
          <w:rFonts w:asciiTheme="minorHAnsi" w:hAnsiTheme="minorHAnsi" w:cstheme="minorHAnsi"/>
          <w:noProof/>
          <w:sz w:val="22"/>
          <w:szCs w:val="22"/>
        </w:rPr>
        <w:t>, pod warunkiem zaspokojenia potrzeb inwestycyjnych większych aglomeracji w regionie</w:t>
      </w:r>
      <w:r w:rsidR="12C257FE" w:rsidRPr="00890249">
        <w:rPr>
          <w:rFonts w:asciiTheme="minorHAnsi" w:hAnsiTheme="minorHAnsi" w:cstheme="minorHAnsi"/>
          <w:noProof/>
          <w:sz w:val="22"/>
          <w:szCs w:val="22"/>
        </w:rPr>
        <w:t>.</w:t>
      </w:r>
    </w:p>
    <w:p w14:paraId="2C0FE9C3" w14:textId="7FC0DED2" w:rsidR="0093433C" w:rsidRPr="00890249" w:rsidRDefault="1A279BFB"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 xml:space="preserve">Jednocześnie wciąż konieczna jest dalsza modernizacja infrastruktury komunalnej ze względu na </w:t>
      </w:r>
      <w:r w:rsidR="67EF9685" w:rsidRPr="00890249">
        <w:rPr>
          <w:rFonts w:asciiTheme="minorHAnsi" w:hAnsiTheme="minorHAnsi" w:cstheme="minorHAnsi"/>
          <w:noProof/>
          <w:sz w:val="22"/>
          <w:szCs w:val="22"/>
        </w:rPr>
        <w:t xml:space="preserve">fakt, że region charakteryzuje się niską gęstością sieci wodociągowej przy jednoczesnym wysokim udziale dostępności </w:t>
      </w:r>
      <w:r w:rsidR="25A8DB50" w:rsidRPr="00890249">
        <w:rPr>
          <w:rFonts w:asciiTheme="minorHAnsi" w:hAnsiTheme="minorHAnsi" w:cstheme="minorHAnsi"/>
          <w:noProof/>
          <w:sz w:val="22"/>
          <w:szCs w:val="22"/>
        </w:rPr>
        <w:t xml:space="preserve">do niej </w:t>
      </w:r>
      <w:r w:rsidR="67EF9685" w:rsidRPr="00890249">
        <w:rPr>
          <w:rFonts w:asciiTheme="minorHAnsi" w:hAnsiTheme="minorHAnsi" w:cstheme="minorHAnsi"/>
          <w:noProof/>
          <w:sz w:val="22"/>
          <w:szCs w:val="22"/>
        </w:rPr>
        <w:t>ludności oraz niezadawalającym stanem technicznym</w:t>
      </w:r>
      <w:r w:rsidR="075DEEE7" w:rsidRPr="00890249">
        <w:rPr>
          <w:rFonts w:asciiTheme="minorHAnsi" w:hAnsiTheme="minorHAnsi" w:cstheme="minorHAnsi"/>
          <w:noProof/>
          <w:sz w:val="22"/>
          <w:szCs w:val="22"/>
        </w:rPr>
        <w:t xml:space="preserve"> urządzeń</w:t>
      </w:r>
      <w:r w:rsidR="67EF9685"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wiek i </w:t>
      </w:r>
      <w:r w:rsidR="67EF9685" w:rsidRPr="00890249">
        <w:rPr>
          <w:rFonts w:asciiTheme="minorHAnsi" w:hAnsiTheme="minorHAnsi" w:cstheme="minorHAnsi"/>
          <w:noProof/>
          <w:sz w:val="22"/>
          <w:szCs w:val="22"/>
        </w:rPr>
        <w:t xml:space="preserve">struktura </w:t>
      </w:r>
      <w:r w:rsidRPr="00890249">
        <w:rPr>
          <w:rFonts w:asciiTheme="minorHAnsi" w:hAnsiTheme="minorHAnsi" w:cstheme="minorHAnsi"/>
          <w:noProof/>
          <w:sz w:val="22"/>
          <w:szCs w:val="22"/>
        </w:rPr>
        <w:t xml:space="preserve">infrastruktury wodociągowej przesyłowej, a także </w:t>
      </w:r>
      <w:r w:rsidR="67EF9685" w:rsidRPr="00890249">
        <w:rPr>
          <w:rFonts w:asciiTheme="minorHAnsi" w:hAnsiTheme="minorHAnsi" w:cstheme="minorHAnsi"/>
          <w:noProof/>
          <w:sz w:val="22"/>
          <w:szCs w:val="22"/>
        </w:rPr>
        <w:t xml:space="preserve">niska </w:t>
      </w:r>
      <w:r w:rsidRPr="00890249">
        <w:rPr>
          <w:rFonts w:asciiTheme="minorHAnsi" w:hAnsiTheme="minorHAnsi" w:cstheme="minorHAnsi"/>
          <w:noProof/>
          <w:sz w:val="22"/>
          <w:szCs w:val="22"/>
        </w:rPr>
        <w:t>wydajność stacji uzdatniania wody</w:t>
      </w:r>
      <w:r w:rsidR="67EF9685" w:rsidRPr="00890249">
        <w:rPr>
          <w:rFonts w:asciiTheme="minorHAnsi" w:hAnsiTheme="minorHAnsi" w:cstheme="minorHAnsi"/>
          <w:noProof/>
          <w:sz w:val="22"/>
          <w:szCs w:val="22"/>
        </w:rPr>
        <w:t>)</w:t>
      </w:r>
      <w:r w:rsidR="009516D3" w:rsidRPr="00890249">
        <w:rPr>
          <w:rFonts w:asciiTheme="minorHAnsi" w:hAnsiTheme="minorHAnsi" w:cstheme="minorHAnsi"/>
          <w:noProof/>
          <w:sz w:val="22"/>
          <w:szCs w:val="22"/>
          <w:vertAlign w:val="superscript"/>
        </w:rPr>
        <w:footnoteReference w:id="132"/>
      </w:r>
      <w:r w:rsidRPr="00890249">
        <w:rPr>
          <w:rFonts w:asciiTheme="minorHAnsi" w:hAnsiTheme="minorHAnsi" w:cstheme="minorHAnsi"/>
          <w:noProof/>
          <w:sz w:val="22"/>
          <w:szCs w:val="22"/>
        </w:rPr>
        <w:t>.</w:t>
      </w:r>
      <w:r w:rsidR="730548D3" w:rsidRPr="00890249">
        <w:rPr>
          <w:rFonts w:asciiTheme="minorHAnsi" w:hAnsiTheme="minorHAnsi" w:cstheme="minorHAnsi"/>
          <w:noProof/>
          <w:sz w:val="22"/>
          <w:szCs w:val="22"/>
        </w:rPr>
        <w:t xml:space="preserve"> </w:t>
      </w:r>
      <w:r w:rsidR="000B2721">
        <w:rPr>
          <w:rFonts w:asciiTheme="minorHAnsi" w:hAnsiTheme="minorHAnsi" w:cstheme="minorHAnsi"/>
          <w:noProof/>
          <w:sz w:val="22"/>
          <w:szCs w:val="22"/>
        </w:rPr>
        <w:t>W </w:t>
      </w:r>
      <w:r w:rsidR="49AE7099" w:rsidRPr="00890249">
        <w:rPr>
          <w:rFonts w:asciiTheme="minorHAnsi" w:hAnsiTheme="minorHAnsi" w:cstheme="minorHAnsi"/>
          <w:noProof/>
          <w:sz w:val="22"/>
          <w:szCs w:val="22"/>
        </w:rPr>
        <w:t>roku 2020 wzrosła awaryjność sieci wodociągowych (9,2% w stosunku do roku poprzedniego)</w:t>
      </w:r>
      <w:r w:rsidR="00490D0E" w:rsidRPr="00890249">
        <w:rPr>
          <w:rFonts w:asciiTheme="minorHAnsi" w:hAnsiTheme="minorHAnsi" w:cstheme="minorHAnsi"/>
          <w:noProof/>
          <w:sz w:val="22"/>
          <w:szCs w:val="22"/>
          <w:vertAlign w:val="superscript"/>
        </w:rPr>
        <w:footnoteReference w:id="133"/>
      </w:r>
      <w:r w:rsidR="003C74EB" w:rsidRPr="00890249">
        <w:rPr>
          <w:rFonts w:asciiTheme="minorHAnsi" w:hAnsiTheme="minorHAnsi" w:cstheme="minorHAnsi"/>
          <w:noProof/>
          <w:sz w:val="22"/>
          <w:szCs w:val="22"/>
        </w:rPr>
        <w:t>.</w:t>
      </w:r>
      <w:r w:rsidR="49AE7099" w:rsidRPr="00890249">
        <w:rPr>
          <w:rFonts w:asciiTheme="minorHAnsi" w:hAnsiTheme="minorHAnsi" w:cstheme="minorHAnsi"/>
          <w:noProof/>
          <w:sz w:val="22"/>
          <w:szCs w:val="22"/>
        </w:rPr>
        <w:t xml:space="preserve"> Ponadto p</w:t>
      </w:r>
      <w:r w:rsidR="730548D3" w:rsidRPr="00890249">
        <w:rPr>
          <w:rFonts w:asciiTheme="minorHAnsi" w:hAnsiTheme="minorHAnsi" w:cstheme="minorHAnsi"/>
          <w:noProof/>
          <w:sz w:val="22"/>
          <w:szCs w:val="22"/>
        </w:rPr>
        <w:t>omi</w:t>
      </w:r>
      <w:r w:rsidR="72D4BAEA" w:rsidRPr="00890249">
        <w:rPr>
          <w:rFonts w:asciiTheme="minorHAnsi" w:hAnsiTheme="minorHAnsi" w:cstheme="minorHAnsi"/>
          <w:noProof/>
          <w:sz w:val="22"/>
          <w:szCs w:val="22"/>
        </w:rPr>
        <w:t>m</w:t>
      </w:r>
      <w:r w:rsidR="730548D3" w:rsidRPr="00890249">
        <w:rPr>
          <w:rFonts w:asciiTheme="minorHAnsi" w:hAnsiTheme="minorHAnsi" w:cstheme="minorHAnsi"/>
          <w:noProof/>
          <w:sz w:val="22"/>
          <w:szCs w:val="22"/>
        </w:rPr>
        <w:t xml:space="preserve">o wysokiego stopnia dostępu do sieci wodociągowych, dostarczana woda nie </w:t>
      </w:r>
      <w:r w:rsidR="5EBA310D" w:rsidRPr="00890249">
        <w:rPr>
          <w:rFonts w:asciiTheme="minorHAnsi" w:hAnsiTheme="minorHAnsi" w:cstheme="minorHAnsi"/>
          <w:noProof/>
          <w:sz w:val="22"/>
          <w:szCs w:val="22"/>
        </w:rPr>
        <w:t>zawsze odpowiada normom jakości</w:t>
      </w:r>
      <w:r w:rsidR="4D2805E4" w:rsidRPr="00890249">
        <w:rPr>
          <w:rFonts w:asciiTheme="minorHAnsi" w:hAnsiTheme="minorHAnsi" w:cstheme="minorHAnsi"/>
          <w:noProof/>
          <w:sz w:val="22"/>
          <w:szCs w:val="22"/>
        </w:rPr>
        <w:t xml:space="preserve"> (ok</w:t>
      </w:r>
      <w:r w:rsidR="491340A4" w:rsidRPr="00890249">
        <w:rPr>
          <w:rFonts w:asciiTheme="minorHAnsi" w:hAnsiTheme="minorHAnsi" w:cstheme="minorHAnsi"/>
          <w:noProof/>
          <w:sz w:val="22"/>
          <w:szCs w:val="22"/>
        </w:rPr>
        <w:t>.</w:t>
      </w:r>
      <w:r w:rsidR="4D2805E4" w:rsidRPr="00890249">
        <w:rPr>
          <w:rFonts w:asciiTheme="minorHAnsi" w:hAnsiTheme="minorHAnsi" w:cstheme="minorHAnsi"/>
          <w:noProof/>
          <w:sz w:val="22"/>
          <w:szCs w:val="22"/>
        </w:rPr>
        <w:t xml:space="preserve"> 3% ludności korzysta z wody o nieodpowiedniej jakości</w:t>
      </w:r>
      <w:r w:rsidR="006D0D63" w:rsidRPr="00890249">
        <w:rPr>
          <w:rStyle w:val="Odwoanieprzypisudolnego"/>
          <w:rFonts w:asciiTheme="minorHAnsi" w:eastAsia="Times New Roman" w:hAnsiTheme="minorHAnsi" w:cstheme="minorHAnsi"/>
          <w:noProof/>
          <w:sz w:val="22"/>
          <w:szCs w:val="22"/>
        </w:rPr>
        <w:footnoteReference w:id="134"/>
      </w:r>
      <w:r w:rsidR="4D2805E4" w:rsidRPr="00890249">
        <w:rPr>
          <w:rFonts w:asciiTheme="minorHAnsi" w:hAnsiTheme="minorHAnsi" w:cstheme="minorHAnsi"/>
          <w:noProof/>
          <w:sz w:val="22"/>
          <w:szCs w:val="22"/>
        </w:rPr>
        <w:t xml:space="preserve">). </w:t>
      </w:r>
      <w:r w:rsidR="67EF9685" w:rsidRPr="00890249">
        <w:rPr>
          <w:rFonts w:asciiTheme="minorHAnsi" w:hAnsiTheme="minorHAnsi" w:cstheme="minorHAnsi"/>
          <w:noProof/>
          <w:sz w:val="22"/>
          <w:szCs w:val="22"/>
        </w:rPr>
        <w:t>Inwestycje te mogą być realizowane zarówno kompleksowo z gospodarką ściekową</w:t>
      </w:r>
      <w:r w:rsidR="000A9062" w:rsidRPr="00890249">
        <w:rPr>
          <w:rFonts w:asciiTheme="minorHAnsi" w:hAnsiTheme="minorHAnsi" w:cstheme="minorHAnsi"/>
          <w:noProof/>
          <w:sz w:val="22"/>
          <w:szCs w:val="22"/>
        </w:rPr>
        <w:t>,</w:t>
      </w:r>
      <w:r w:rsidR="67EF9685" w:rsidRPr="00890249">
        <w:rPr>
          <w:rFonts w:asciiTheme="minorHAnsi" w:hAnsiTheme="minorHAnsi" w:cstheme="minorHAnsi"/>
          <w:noProof/>
          <w:sz w:val="22"/>
          <w:szCs w:val="22"/>
        </w:rPr>
        <w:t xml:space="preserve"> jak i </w:t>
      </w:r>
      <w:r w:rsidR="48F3E252" w:rsidRPr="00890249">
        <w:rPr>
          <w:rFonts w:asciiTheme="minorHAnsi" w:hAnsiTheme="minorHAnsi" w:cstheme="minorHAnsi"/>
          <w:noProof/>
          <w:sz w:val="22"/>
          <w:szCs w:val="22"/>
        </w:rPr>
        <w:t xml:space="preserve">niezależnie od </w:t>
      </w:r>
      <w:r w:rsidR="368B509A" w:rsidRPr="00890249">
        <w:rPr>
          <w:rFonts w:asciiTheme="minorHAnsi" w:hAnsiTheme="minorHAnsi" w:cstheme="minorHAnsi"/>
          <w:noProof/>
          <w:sz w:val="22"/>
          <w:szCs w:val="22"/>
        </w:rPr>
        <w:t xml:space="preserve">realizacji </w:t>
      </w:r>
      <w:r w:rsidR="48F3E252" w:rsidRPr="00890249">
        <w:rPr>
          <w:rFonts w:asciiTheme="minorHAnsi" w:hAnsiTheme="minorHAnsi" w:cstheme="minorHAnsi"/>
          <w:noProof/>
          <w:sz w:val="22"/>
          <w:szCs w:val="22"/>
        </w:rPr>
        <w:t>projektó</w:t>
      </w:r>
      <w:r w:rsidR="2D1D335A" w:rsidRPr="00890249">
        <w:rPr>
          <w:rFonts w:asciiTheme="minorHAnsi" w:hAnsiTheme="minorHAnsi" w:cstheme="minorHAnsi"/>
          <w:noProof/>
          <w:sz w:val="22"/>
          <w:szCs w:val="22"/>
        </w:rPr>
        <w:t xml:space="preserve">w </w:t>
      </w:r>
      <w:r w:rsidR="242BA947" w:rsidRPr="00890249">
        <w:rPr>
          <w:rFonts w:asciiTheme="minorHAnsi" w:hAnsiTheme="minorHAnsi" w:cstheme="minorHAnsi"/>
          <w:sz w:val="22"/>
          <w:szCs w:val="22"/>
        </w:rPr>
        <w:t>ściekow</w:t>
      </w:r>
      <w:r w:rsidR="67EF9685" w:rsidRPr="00890249">
        <w:rPr>
          <w:rFonts w:asciiTheme="minorHAnsi" w:hAnsiTheme="minorHAnsi" w:cstheme="minorHAnsi"/>
          <w:sz w:val="22"/>
          <w:szCs w:val="22"/>
        </w:rPr>
        <w:t>ych</w:t>
      </w:r>
      <w:r w:rsidR="242BA947" w:rsidRPr="00890249">
        <w:rPr>
          <w:rFonts w:asciiTheme="minorHAnsi" w:hAnsiTheme="minorHAnsi" w:cstheme="minorHAnsi"/>
          <w:sz w:val="22"/>
          <w:szCs w:val="22"/>
        </w:rPr>
        <w:t>.</w:t>
      </w:r>
      <w:r w:rsidR="39535A23" w:rsidRPr="00890249">
        <w:rPr>
          <w:rFonts w:asciiTheme="minorHAnsi" w:hAnsiTheme="minorHAnsi" w:cstheme="minorHAnsi"/>
          <w:sz w:val="22"/>
          <w:szCs w:val="22"/>
        </w:rPr>
        <w:t xml:space="preserve"> </w:t>
      </w:r>
      <w:r w:rsidR="124E034B" w:rsidRPr="00890249">
        <w:rPr>
          <w:rFonts w:asciiTheme="minorHAnsi" w:hAnsiTheme="minorHAnsi" w:cstheme="minorHAnsi"/>
          <w:sz w:val="22"/>
          <w:szCs w:val="22"/>
        </w:rPr>
        <w:t>Realizacja projektów związanych ze wsparciem systemów zaopatrzenia w wodę polegających na ich budowie będzie dopuszczalna w ograniczonym zakresie</w:t>
      </w:r>
      <w:r w:rsidR="003C74EB" w:rsidRPr="00890249">
        <w:rPr>
          <w:rFonts w:asciiTheme="minorHAnsi" w:hAnsiTheme="minorHAnsi" w:cstheme="minorHAnsi"/>
          <w:sz w:val="22"/>
          <w:szCs w:val="22"/>
        </w:rPr>
        <w:t>,</w:t>
      </w:r>
      <w:r w:rsidR="124E034B" w:rsidRPr="00890249">
        <w:rPr>
          <w:rFonts w:asciiTheme="minorHAnsi" w:hAnsiTheme="minorHAnsi" w:cstheme="minorHAnsi"/>
          <w:sz w:val="22"/>
          <w:szCs w:val="22"/>
        </w:rPr>
        <w:t xml:space="preserve"> jako uzupełniający element projektów dotyczących gospodarki ściekowej (limit na poziomie projektu</w:t>
      </w:r>
      <w:r w:rsidR="003C74EB" w:rsidRPr="00890249">
        <w:rPr>
          <w:rFonts w:asciiTheme="minorHAnsi" w:hAnsiTheme="minorHAnsi" w:cstheme="minorHAnsi"/>
          <w:sz w:val="22"/>
          <w:szCs w:val="22"/>
        </w:rPr>
        <w:t>-</w:t>
      </w:r>
      <w:r w:rsidR="124E034B" w:rsidRPr="00890249">
        <w:rPr>
          <w:rFonts w:asciiTheme="minorHAnsi" w:hAnsiTheme="minorHAnsi" w:cstheme="minorHAnsi"/>
          <w:sz w:val="22"/>
          <w:szCs w:val="22"/>
        </w:rPr>
        <w:t xml:space="preserve"> 25% kosztów projektu) lub jako samodzielne projekty, gdy na danym terenie zapewniony jest sposób zagospodarowania ścieków zgodny z Dyrektywą Rady z dnia 21 maja 1991 r. dotyczącą oczyszczania ścieków komunalnych (bądź taka zgodność zostanie uzyskana w wyniku zakończenia realizowanych już projektów). </w:t>
      </w:r>
    </w:p>
    <w:p w14:paraId="64A196C6" w14:textId="77777777" w:rsidR="0093433C" w:rsidRPr="00890249" w:rsidRDefault="00824E4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We 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 jak </w:t>
      </w:r>
      <w:r w:rsidRPr="00890249">
        <w:rPr>
          <w:rFonts w:asciiTheme="minorHAnsi" w:hAnsiTheme="minorHAnsi" w:cstheme="minorHAnsi"/>
          <w:noProof/>
          <w:sz w:val="22"/>
          <w:szCs w:val="22"/>
        </w:rPr>
        <w:lastRenderedPageBreak/>
        <w:t xml:space="preserve">również elementy sprzyjające adaptacji do zmiany klimatu i łagodzeniu jej skutków (w szczególności  zielona i niebieska infrastruktura, efektywne wykorzystanie zasobów wodnych). </w:t>
      </w:r>
    </w:p>
    <w:p w14:paraId="01FD2DFC" w14:textId="77777777" w:rsidR="0093433C" w:rsidRPr="00890249" w:rsidRDefault="1A279BFB" w:rsidP="00890249">
      <w:pPr>
        <w:pStyle w:val="Tekstpodstawowy"/>
        <w:rPr>
          <w:rFonts w:asciiTheme="minorHAnsi" w:hAnsiTheme="minorHAnsi" w:cstheme="minorHAnsi"/>
          <w:i/>
          <w:iCs/>
          <w:noProof/>
          <w:sz w:val="22"/>
          <w:szCs w:val="22"/>
        </w:rPr>
      </w:pPr>
      <w:r w:rsidRPr="00890249">
        <w:rPr>
          <w:rFonts w:asciiTheme="minorHAnsi" w:hAnsiTheme="minorHAnsi" w:cstheme="minorHAnsi"/>
          <w:noProof/>
          <w:sz w:val="22"/>
          <w:szCs w:val="22"/>
        </w:rPr>
        <w:t>Działania planowane do realizacji wpisują się w zalecenia KE</w:t>
      </w:r>
      <w:r w:rsidR="239197DE" w:rsidRPr="00890249">
        <w:rPr>
          <w:rFonts w:asciiTheme="minorHAnsi" w:hAnsiTheme="minorHAnsi" w:cstheme="minorHAnsi"/>
          <w:noProof/>
          <w:sz w:val="22"/>
          <w:szCs w:val="22"/>
        </w:rPr>
        <w:t>, które wskazują na potrzebę promocji zrównoważonej gospodarki wodnej poprzez m.in inwestycje w efektywność wykorzystania wody</w:t>
      </w:r>
      <w:r w:rsidR="009516D3" w:rsidRPr="00890249">
        <w:rPr>
          <w:rFonts w:asciiTheme="minorHAnsi" w:hAnsiTheme="minorHAnsi" w:cstheme="minorHAnsi"/>
          <w:iCs/>
          <w:noProof/>
          <w:sz w:val="22"/>
          <w:szCs w:val="22"/>
          <w:vertAlign w:val="superscript"/>
        </w:rPr>
        <w:footnoteReference w:id="135"/>
      </w:r>
      <w:r w:rsidR="239197DE" w:rsidRPr="00890249">
        <w:rPr>
          <w:rFonts w:asciiTheme="minorHAnsi" w:hAnsiTheme="minorHAnsi" w:cstheme="minorHAnsi"/>
          <w:i/>
          <w:iCs/>
          <w:noProof/>
          <w:sz w:val="22"/>
          <w:szCs w:val="22"/>
        </w:rPr>
        <w:t>.</w:t>
      </w:r>
    </w:p>
    <w:p w14:paraId="05C0D6DC" w14:textId="77777777" w:rsidR="0093433C" w:rsidRPr="00890249" w:rsidRDefault="009516D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r w:rsidR="00CE6369" w:rsidRPr="00890249">
        <w:rPr>
          <w:rFonts w:asciiTheme="minorHAnsi" w:hAnsiTheme="minorHAnsi" w:cstheme="minorHAnsi"/>
          <w:noProof/>
          <w:sz w:val="22"/>
          <w:szCs w:val="22"/>
        </w:rPr>
        <w:t>:</w:t>
      </w:r>
    </w:p>
    <w:p w14:paraId="4FCBEE32" w14:textId="4EB509BB" w:rsidR="009516D3" w:rsidRPr="00890249" w:rsidRDefault="009F58BB" w:rsidP="009F296A">
      <w:pPr>
        <w:pStyle w:val="Akapitzlist"/>
        <w:numPr>
          <w:ilvl w:val="0"/>
          <w:numId w:val="152"/>
        </w:numPr>
        <w:tabs>
          <w:tab w:val="left" w:pos="284"/>
        </w:tabs>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K</w:t>
      </w:r>
      <w:r w:rsidR="009516D3" w:rsidRPr="00890249">
        <w:rPr>
          <w:rFonts w:asciiTheme="minorHAnsi" w:eastAsia="Times New Roman" w:hAnsiTheme="minorHAnsi" w:cstheme="minorHAnsi"/>
          <w:noProof/>
          <w:sz w:val="22"/>
          <w:szCs w:val="22"/>
        </w:rPr>
        <w:t>ompleksowe projekty z zakresu gospodarki wodno-ściekowej (oczysz</w:t>
      </w:r>
      <w:r w:rsidR="001B5364" w:rsidRPr="00890249">
        <w:rPr>
          <w:rFonts w:asciiTheme="minorHAnsi" w:eastAsia="Times New Roman" w:hAnsiTheme="minorHAnsi" w:cstheme="minorHAnsi"/>
          <w:noProof/>
          <w:sz w:val="22"/>
          <w:szCs w:val="22"/>
        </w:rPr>
        <w:t>czalnie</w:t>
      </w:r>
      <w:r w:rsidR="00F91439" w:rsidRPr="00890249">
        <w:rPr>
          <w:rFonts w:asciiTheme="minorHAnsi" w:eastAsia="Times New Roman" w:hAnsiTheme="minorHAnsi" w:cstheme="minorHAnsi"/>
          <w:noProof/>
          <w:sz w:val="22"/>
          <w:szCs w:val="22"/>
        </w:rPr>
        <w:t xml:space="preserve"> ścieków komunalnych</w:t>
      </w:r>
      <w:r w:rsidR="001B5364" w:rsidRPr="00890249">
        <w:rPr>
          <w:rFonts w:asciiTheme="minorHAnsi" w:eastAsia="Times New Roman" w:hAnsiTheme="minorHAnsi" w:cstheme="minorHAnsi"/>
          <w:noProof/>
          <w:sz w:val="22"/>
          <w:szCs w:val="22"/>
        </w:rPr>
        <w:t xml:space="preserve"> i </w:t>
      </w:r>
      <w:r w:rsidR="00F91439" w:rsidRPr="00890249">
        <w:rPr>
          <w:rFonts w:asciiTheme="minorHAnsi" w:eastAsia="Times New Roman" w:hAnsiTheme="minorHAnsi" w:cstheme="minorHAnsi"/>
          <w:noProof/>
          <w:sz w:val="22"/>
          <w:szCs w:val="22"/>
        </w:rPr>
        <w:t>infrastruktur</w:t>
      </w:r>
      <w:r w:rsidR="00C215DF" w:rsidRPr="00890249">
        <w:rPr>
          <w:rFonts w:asciiTheme="minorHAnsi" w:eastAsia="Times New Roman" w:hAnsiTheme="minorHAnsi" w:cstheme="minorHAnsi"/>
          <w:noProof/>
          <w:sz w:val="22"/>
          <w:szCs w:val="22"/>
        </w:rPr>
        <w:t>a</w:t>
      </w:r>
      <w:r w:rsidR="00F91439" w:rsidRPr="00890249">
        <w:rPr>
          <w:rFonts w:asciiTheme="minorHAnsi" w:eastAsia="Times New Roman" w:hAnsiTheme="minorHAnsi" w:cstheme="minorHAnsi"/>
          <w:noProof/>
          <w:sz w:val="22"/>
          <w:szCs w:val="22"/>
        </w:rPr>
        <w:t xml:space="preserve"> kanalizacyjn</w:t>
      </w:r>
      <w:r w:rsidR="00C215DF" w:rsidRPr="00890249">
        <w:rPr>
          <w:rFonts w:asciiTheme="minorHAnsi" w:eastAsia="Times New Roman" w:hAnsiTheme="minorHAnsi" w:cstheme="minorHAnsi"/>
          <w:noProof/>
          <w:sz w:val="22"/>
          <w:szCs w:val="22"/>
        </w:rPr>
        <w:t>a</w:t>
      </w:r>
      <w:r w:rsidR="001B5364" w:rsidRPr="00890249">
        <w:rPr>
          <w:rFonts w:asciiTheme="minorHAnsi" w:eastAsia="Times New Roman" w:hAnsiTheme="minorHAnsi" w:cstheme="minorHAnsi"/>
          <w:noProof/>
          <w:sz w:val="22"/>
          <w:szCs w:val="22"/>
        </w:rPr>
        <w:t>) w ramach</w:t>
      </w:r>
      <w:r w:rsidR="00C05D11" w:rsidRPr="00890249">
        <w:rPr>
          <w:rFonts w:asciiTheme="minorHAnsi" w:eastAsia="Times New Roman" w:hAnsiTheme="minorHAnsi" w:cstheme="minorHAnsi"/>
          <w:noProof/>
          <w:sz w:val="22"/>
          <w:szCs w:val="22"/>
        </w:rPr>
        <w:t xml:space="preserve"> aglomeracji ujętych</w:t>
      </w:r>
      <w:r w:rsidR="001B5364" w:rsidRPr="00890249">
        <w:rPr>
          <w:rFonts w:asciiTheme="minorHAnsi" w:eastAsia="Times New Roman" w:hAnsiTheme="minorHAnsi" w:cstheme="minorHAnsi"/>
          <w:noProof/>
          <w:sz w:val="22"/>
          <w:szCs w:val="22"/>
        </w:rPr>
        <w:t xml:space="preserve"> </w:t>
      </w:r>
      <w:r w:rsidR="00083EE4" w:rsidRPr="00890249">
        <w:rPr>
          <w:rFonts w:asciiTheme="minorHAnsi" w:eastAsia="Times New Roman" w:hAnsiTheme="minorHAnsi" w:cstheme="minorHAnsi"/>
          <w:noProof/>
          <w:sz w:val="22"/>
          <w:szCs w:val="22"/>
        </w:rPr>
        <w:t xml:space="preserve">w </w:t>
      </w:r>
      <w:r w:rsidR="001B5364" w:rsidRPr="00890249">
        <w:rPr>
          <w:rFonts w:asciiTheme="minorHAnsi" w:eastAsia="Times New Roman" w:hAnsiTheme="minorHAnsi" w:cstheme="minorHAnsi"/>
          <w:noProof/>
          <w:sz w:val="22"/>
          <w:szCs w:val="22"/>
        </w:rPr>
        <w:t>KPOŚK,</w:t>
      </w:r>
      <w:r w:rsidR="00C05D11" w:rsidRPr="00890249">
        <w:rPr>
          <w:rFonts w:asciiTheme="minorHAnsi" w:eastAsia="Times New Roman" w:hAnsiTheme="minorHAnsi" w:cstheme="minorHAnsi"/>
          <w:noProof/>
          <w:sz w:val="22"/>
          <w:szCs w:val="22"/>
        </w:rPr>
        <w:t xml:space="preserve"> które nie spełniają </w:t>
      </w:r>
      <w:r w:rsidR="003E030C" w:rsidRPr="00890249">
        <w:rPr>
          <w:rFonts w:asciiTheme="minorHAnsi" w:eastAsia="Times New Roman" w:hAnsiTheme="minorHAnsi" w:cstheme="minorHAnsi"/>
          <w:noProof/>
          <w:sz w:val="22"/>
          <w:szCs w:val="22"/>
        </w:rPr>
        <w:t xml:space="preserve">wymogów Dyrektywy Rady </w:t>
      </w:r>
      <w:r w:rsidR="003C1D87" w:rsidRPr="00890249">
        <w:rPr>
          <w:rFonts w:asciiTheme="minorHAnsi" w:eastAsia="Times New Roman" w:hAnsiTheme="minorHAnsi" w:cstheme="minorHAnsi"/>
          <w:noProof/>
          <w:sz w:val="22"/>
          <w:szCs w:val="22"/>
        </w:rPr>
        <w:t>z</w:t>
      </w:r>
      <w:r w:rsidR="003E030C" w:rsidRPr="00890249">
        <w:rPr>
          <w:rFonts w:asciiTheme="minorHAnsi" w:eastAsia="Times New Roman" w:hAnsiTheme="minorHAnsi" w:cstheme="minorHAnsi"/>
          <w:noProof/>
          <w:sz w:val="22"/>
          <w:szCs w:val="22"/>
        </w:rPr>
        <w:t xml:space="preserve"> dnia 21 maja 1991 r. dotyczącej o</w:t>
      </w:r>
      <w:r w:rsidRPr="00890249">
        <w:rPr>
          <w:rFonts w:asciiTheme="minorHAnsi" w:eastAsia="Times New Roman" w:hAnsiTheme="minorHAnsi" w:cstheme="minorHAnsi"/>
          <w:noProof/>
          <w:sz w:val="22"/>
          <w:szCs w:val="22"/>
        </w:rPr>
        <w:t>czyszczania ścieków komunalnych.</w:t>
      </w:r>
    </w:p>
    <w:p w14:paraId="5D7DE41B" w14:textId="59602A1C" w:rsidR="00553470" w:rsidRPr="00890249" w:rsidRDefault="009F58BB" w:rsidP="009F296A">
      <w:pPr>
        <w:pStyle w:val="Akapitzlist"/>
        <w:numPr>
          <w:ilvl w:val="0"/>
          <w:numId w:val="152"/>
        </w:numPr>
        <w:tabs>
          <w:tab w:val="left" w:pos="284"/>
        </w:tabs>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w:t>
      </w:r>
      <w:r w:rsidR="009516D3" w:rsidRPr="00890249">
        <w:rPr>
          <w:rFonts w:asciiTheme="minorHAnsi" w:eastAsia="Times New Roman" w:hAnsiTheme="minorHAnsi" w:cstheme="minorHAnsi"/>
          <w:noProof/>
          <w:sz w:val="22"/>
          <w:szCs w:val="22"/>
        </w:rPr>
        <w:t>udowa instalacji odwadniania i kompostowania osadów ścieko</w:t>
      </w:r>
      <w:r w:rsidR="001B5364" w:rsidRPr="00890249">
        <w:rPr>
          <w:rFonts w:asciiTheme="minorHAnsi" w:eastAsia="Times New Roman" w:hAnsiTheme="minorHAnsi" w:cstheme="minorHAnsi"/>
          <w:noProof/>
          <w:sz w:val="22"/>
          <w:szCs w:val="22"/>
        </w:rPr>
        <w:t>wych na oczyszczalniach ścieków</w:t>
      </w:r>
      <w:r w:rsidR="00083EE4" w:rsidRPr="00890249">
        <w:rPr>
          <w:rFonts w:asciiTheme="minorHAnsi" w:eastAsia="Times New Roman" w:hAnsiTheme="minorHAnsi" w:cstheme="minorHAnsi"/>
          <w:noProof/>
          <w:sz w:val="22"/>
          <w:szCs w:val="22"/>
        </w:rPr>
        <w:t xml:space="preserve"> - </w:t>
      </w:r>
      <w:r w:rsidR="006E3723" w:rsidRPr="00890249">
        <w:rPr>
          <w:rFonts w:asciiTheme="minorHAnsi" w:eastAsia="Times New Roman" w:hAnsiTheme="minorHAnsi" w:cstheme="minorHAnsi"/>
          <w:noProof/>
          <w:sz w:val="22"/>
          <w:szCs w:val="22"/>
        </w:rPr>
        <w:t>wyłącznie jako element kompleksowy projektu</w:t>
      </w:r>
      <w:r w:rsidRPr="00890249">
        <w:rPr>
          <w:rFonts w:asciiTheme="minorHAnsi" w:eastAsia="Times New Roman" w:hAnsiTheme="minorHAnsi" w:cstheme="minorHAnsi"/>
          <w:noProof/>
          <w:sz w:val="22"/>
          <w:szCs w:val="22"/>
        </w:rPr>
        <w:t>.</w:t>
      </w:r>
    </w:p>
    <w:p w14:paraId="41A4C7E2" w14:textId="6E439E8E" w:rsidR="00023DBA" w:rsidRPr="00890249" w:rsidRDefault="009F58BB" w:rsidP="009F296A">
      <w:pPr>
        <w:pStyle w:val="Akapitzlist"/>
        <w:numPr>
          <w:ilvl w:val="0"/>
          <w:numId w:val="152"/>
        </w:numPr>
        <w:tabs>
          <w:tab w:val="left" w:pos="284"/>
        </w:tabs>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I</w:t>
      </w:r>
      <w:r w:rsidR="40109AC1" w:rsidRPr="00890249">
        <w:rPr>
          <w:rFonts w:asciiTheme="minorHAnsi" w:eastAsia="Times New Roman" w:hAnsiTheme="minorHAnsi" w:cstheme="minorHAnsi"/>
          <w:noProof/>
          <w:sz w:val="22"/>
          <w:szCs w:val="22"/>
        </w:rPr>
        <w:t>nwestycje w ograniczenie strat wody do spożycia w sieciach wodociągowych</w:t>
      </w:r>
      <w:r w:rsidRPr="00890249">
        <w:rPr>
          <w:rFonts w:asciiTheme="minorHAnsi" w:eastAsia="Times New Roman" w:hAnsiTheme="minorHAnsi" w:cstheme="minorHAnsi"/>
          <w:noProof/>
          <w:sz w:val="22"/>
          <w:szCs w:val="22"/>
        </w:rPr>
        <w:t>.</w:t>
      </w:r>
    </w:p>
    <w:p w14:paraId="69950E67" w14:textId="4F9E9CFE" w:rsidR="009516D3" w:rsidRPr="00890249" w:rsidRDefault="009F58BB" w:rsidP="009F296A">
      <w:pPr>
        <w:pStyle w:val="Akapitzlist"/>
        <w:numPr>
          <w:ilvl w:val="0"/>
          <w:numId w:val="152"/>
        </w:numPr>
        <w:tabs>
          <w:tab w:val="left" w:pos="284"/>
        </w:tabs>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w:t>
      </w:r>
      <w:r w:rsidR="0F77B890" w:rsidRPr="00890249">
        <w:rPr>
          <w:rFonts w:asciiTheme="minorHAnsi" w:eastAsia="Times New Roman" w:hAnsiTheme="minorHAnsi" w:cstheme="minorHAnsi"/>
          <w:noProof/>
          <w:sz w:val="22"/>
          <w:szCs w:val="22"/>
        </w:rPr>
        <w:t>udowa i modernizacja infrastruktury niezbędnej do ujęci</w:t>
      </w:r>
      <w:r w:rsidR="18DC9FDE" w:rsidRPr="00890249">
        <w:rPr>
          <w:rFonts w:asciiTheme="minorHAnsi" w:eastAsia="Times New Roman" w:hAnsiTheme="minorHAnsi" w:cstheme="minorHAnsi"/>
          <w:noProof/>
          <w:sz w:val="22"/>
          <w:szCs w:val="22"/>
        </w:rPr>
        <w:t>a, uzdatniania, magazynowania i </w:t>
      </w:r>
      <w:r w:rsidR="0F77B890" w:rsidRPr="00890249">
        <w:rPr>
          <w:rFonts w:asciiTheme="minorHAnsi" w:eastAsia="Times New Roman" w:hAnsiTheme="minorHAnsi" w:cstheme="minorHAnsi"/>
          <w:noProof/>
          <w:sz w:val="22"/>
          <w:szCs w:val="22"/>
        </w:rPr>
        <w:t>dystrybucji wody do spożycia.</w:t>
      </w:r>
    </w:p>
    <w:p w14:paraId="4EC31C7E" w14:textId="124328AC"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EB30B7"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0DE4125F" w14:textId="77777777" w:rsidR="00051DDC" w:rsidRPr="00890249" w:rsidRDefault="00051DDC" w:rsidP="003E363A">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01A18156" w14:textId="357C0AE1" w:rsidR="00051DDC" w:rsidRPr="00890249" w:rsidRDefault="00EB30B7" w:rsidP="006C153C">
      <w:pPr>
        <w:pStyle w:val="Akapitzlist"/>
        <w:ind w:left="0"/>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Mieszkańcy regionu, przedsiębiorcy</w:t>
      </w:r>
      <w:r w:rsidR="00BD71A2" w:rsidRPr="00890249">
        <w:rPr>
          <w:rFonts w:asciiTheme="minorHAnsi" w:hAnsiTheme="minorHAnsi" w:cstheme="minorHAnsi"/>
          <w:noProof/>
          <w:sz w:val="22"/>
          <w:szCs w:val="22"/>
        </w:rPr>
        <w:t>, jst.</w:t>
      </w:r>
    </w:p>
    <w:p w14:paraId="2BEB63E9" w14:textId="77777777" w:rsidR="004A3C61" w:rsidRPr="00890249" w:rsidRDefault="007C0F20" w:rsidP="003E363A">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Działania na rzecz </w:t>
      </w:r>
      <w:r w:rsidR="00051DDC" w:rsidRPr="00890249">
        <w:rPr>
          <w:rFonts w:asciiTheme="minorHAnsi" w:hAnsiTheme="minorHAnsi" w:cstheme="minorHAnsi"/>
          <w:b/>
          <w:noProof/>
          <w:color w:val="2F5496" w:themeColor="accent5" w:themeShade="BF"/>
          <w:sz w:val="22"/>
          <w:szCs w:val="22"/>
        </w:rPr>
        <w:t xml:space="preserve">zapewnienia </w:t>
      </w:r>
      <w:r w:rsidRPr="00890249">
        <w:rPr>
          <w:rFonts w:asciiTheme="minorHAnsi" w:hAnsiTheme="minorHAnsi" w:cstheme="minorHAnsi"/>
          <w:b/>
          <w:noProof/>
          <w:color w:val="2F5496" w:themeColor="accent5" w:themeShade="BF"/>
          <w:sz w:val="22"/>
          <w:szCs w:val="22"/>
        </w:rPr>
        <w:t xml:space="preserve">równości, </w:t>
      </w:r>
      <w:r w:rsidR="00051DDC" w:rsidRPr="00890249">
        <w:rPr>
          <w:rFonts w:asciiTheme="minorHAnsi" w:hAnsiTheme="minorHAnsi" w:cstheme="minorHAnsi"/>
          <w:b/>
          <w:noProof/>
          <w:color w:val="2F5496" w:themeColor="accent5" w:themeShade="BF"/>
          <w:sz w:val="22"/>
          <w:szCs w:val="22"/>
        </w:rPr>
        <w:t>włączenia społecznego</w:t>
      </w:r>
      <w:r w:rsidRPr="00890249">
        <w:rPr>
          <w:rFonts w:asciiTheme="minorHAnsi" w:hAnsiTheme="minorHAnsi" w:cstheme="minorHAnsi"/>
          <w:b/>
          <w:noProof/>
          <w:color w:val="2F5496" w:themeColor="accent5" w:themeShade="BF"/>
          <w:sz w:val="22"/>
          <w:szCs w:val="22"/>
        </w:rPr>
        <w:t xml:space="preserve"> i niedyskryminacji</w:t>
      </w:r>
    </w:p>
    <w:p w14:paraId="7407CFA9" w14:textId="77777777" w:rsidR="0093433C" w:rsidRPr="00890249" w:rsidRDefault="3B73216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społeczności oraz brakiem wsparcia społecznego. </w:t>
      </w:r>
    </w:p>
    <w:p w14:paraId="7387F918" w14:textId="7497F247" w:rsidR="0093433C" w:rsidRPr="00890249" w:rsidRDefault="261A61F2"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 uwagi na zakres tematyczny celu szczegółowego działania będą sprzyjać poprawie warunków dla zaspokajania podstawowych potrzeb bytowych mieszkańców, poprzez dostęp do wysokiej jakości wody do spożycia oraz oczyszczania ścieków, przez to będą miały w</w:t>
      </w:r>
      <w:r w:rsidR="000B2721">
        <w:rPr>
          <w:rFonts w:asciiTheme="minorHAnsi" w:hAnsiTheme="minorHAnsi" w:cstheme="minorHAnsi"/>
          <w:noProof/>
          <w:sz w:val="22"/>
          <w:szCs w:val="22"/>
        </w:rPr>
        <w:t>pływ na poprawę jakości życia i </w:t>
      </w:r>
      <w:r w:rsidRPr="00890249">
        <w:rPr>
          <w:rFonts w:asciiTheme="minorHAnsi" w:hAnsiTheme="minorHAnsi" w:cstheme="minorHAnsi"/>
          <w:noProof/>
          <w:sz w:val="22"/>
          <w:szCs w:val="22"/>
        </w:rPr>
        <w:t>zdrowia mieszkanców, a tym samym pośrenio ogranicz</w:t>
      </w:r>
      <w:r w:rsidR="003C74EB"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zja</w:t>
      </w:r>
      <w:r w:rsidR="005E04BC">
        <w:rPr>
          <w:rFonts w:asciiTheme="minorHAnsi" w:hAnsiTheme="minorHAnsi" w:cstheme="minorHAnsi"/>
          <w:noProof/>
          <w:sz w:val="22"/>
          <w:szCs w:val="22"/>
        </w:rPr>
        <w:t>wisko wykluczenia społecznego i </w:t>
      </w:r>
      <w:r w:rsidRPr="00890249">
        <w:rPr>
          <w:rFonts w:asciiTheme="minorHAnsi" w:hAnsiTheme="minorHAnsi" w:cstheme="minorHAnsi"/>
          <w:noProof/>
          <w:sz w:val="22"/>
          <w:szCs w:val="22"/>
        </w:rPr>
        <w:t>ubóstwa.</w:t>
      </w:r>
    </w:p>
    <w:p w14:paraId="1CABE0B1" w14:textId="77777777" w:rsidR="00BC1861" w:rsidRPr="00890249" w:rsidRDefault="00BC1861" w:rsidP="00BC1861">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Wskazanie konkretnych terytoriów objętych wsparciem, z uwzględnieniem planowanego wykorzystania narzędzi terytorialnych</w:t>
      </w:r>
    </w:p>
    <w:p w14:paraId="2DC36FEF" w14:textId="77777777" w:rsidR="0093433C" w:rsidRPr="00890249" w:rsidRDefault="00665AB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0FC74462" w14:textId="77777777" w:rsidR="00BC1861" w:rsidRPr="00890249" w:rsidRDefault="00BC1861" w:rsidP="00BC1861">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Działania międzyregionalne, transgraniczne i transnarodowe</w:t>
      </w:r>
    </w:p>
    <w:p w14:paraId="42CEDDE5" w14:textId="77777777" w:rsidR="0093433C" w:rsidRPr="00890249" w:rsidRDefault="005612B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Charakter działań z zakresu gospodarki zasobami wodnymi wymusza współpracę podmiotów polskich i czeskich, w tym zwłaszcza sektora publicznego. Wymiana doświadczeń, a zwłaszcza informacji dotyczących inwestycji w oczyszczalnie ścieków komunalnych i infrastrukturę kanalizacyjną powinna być realizowana przez rządy i samorządy obydwu krajów, tak aby działania podejmowane w ramach FEO 2021-2027 prowadziły do komplementarnych interwencji po stronie czeskiej. Takie podejście wzmacniać będzie efekt synergii i prowadzić do osiągnięcia jak najwyższych efektów w zakresie zrównoważonej gospodarki wodnej po obydwu stronach granicy. </w:t>
      </w:r>
    </w:p>
    <w:p w14:paraId="09920654" w14:textId="77777777" w:rsidR="0093433C" w:rsidRPr="00890249" w:rsidRDefault="005612B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Podobnie na konieczność wspierania niebieskiej gospodarki wskazuje program Interreg Region Morza Bałtyckiego 2021-2027, który zakłada m.in. włączenie środków łagodzenia zmian klimatu do planów rozwoju niebieskiej gospodarki oraz testowanie modeli biznesowych w zakresie usług ekosystemowych świadczonych przez niebieskie przedsiębiorstwa. Biorąc pod uwagę, że województwo opolskie jest usytuowane w zlewni Morza Bałtyckiego, wszystkie wdrożone w FEO 2021-2027 rozwiązania w </w:t>
      </w:r>
      <w:r w:rsidRPr="00890249">
        <w:rPr>
          <w:rFonts w:asciiTheme="minorHAnsi" w:hAnsiTheme="minorHAnsi" w:cstheme="minorHAnsi"/>
          <w:noProof/>
          <w:sz w:val="22"/>
          <w:szCs w:val="22"/>
        </w:rPr>
        <w:lastRenderedPageBreak/>
        <w:t>zakresie poprawy bilansu wodnego będą komplementarne z rozwiązaniami wypracowanymi w programie Interreg Region Morza Bałtyckiego 2021-2027 i będą wpływały na poprawę sytuacji tego akwenu.</w:t>
      </w:r>
    </w:p>
    <w:p w14:paraId="59D624E4" w14:textId="77777777" w:rsidR="00BC1861" w:rsidRPr="00890249" w:rsidRDefault="00BC1861" w:rsidP="00BC1861">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Planowane wykorzystanie instrumentów finansowych</w:t>
      </w:r>
    </w:p>
    <w:p w14:paraId="29F132FC" w14:textId="71ECC2C1" w:rsidR="0093433C" w:rsidRPr="00890249" w:rsidRDefault="00083A4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celu szczegółowego (v) nie planuje się wykorzystania in</w:t>
      </w:r>
      <w:r w:rsidR="00195F3F" w:rsidRPr="00890249">
        <w:rPr>
          <w:rFonts w:asciiTheme="minorHAnsi" w:hAnsiTheme="minorHAnsi" w:cstheme="minorHAnsi"/>
          <w:noProof/>
          <w:sz w:val="22"/>
          <w:szCs w:val="22"/>
        </w:rPr>
        <w:t>s</w:t>
      </w:r>
      <w:r w:rsidRPr="00890249">
        <w:rPr>
          <w:rFonts w:asciiTheme="minorHAnsi" w:hAnsiTheme="minorHAnsi" w:cstheme="minorHAnsi"/>
          <w:noProof/>
          <w:sz w:val="22"/>
          <w:szCs w:val="22"/>
        </w:rPr>
        <w:t>trumentów finansowych.</w:t>
      </w:r>
      <w:r w:rsidR="0085542A" w:rsidRPr="00890249">
        <w:rPr>
          <w:rFonts w:asciiTheme="minorHAnsi" w:hAnsiTheme="minorHAnsi" w:cstheme="minorHAnsi"/>
          <w:noProof/>
          <w:sz w:val="22"/>
          <w:szCs w:val="22"/>
        </w:rPr>
        <w:t xml:space="preserve"> Polska nie ma wydajnego systemu gospodarki wodno-ściekowej, związku z tym, w celu maksymalizacji efektu zachęty należy w</w:t>
      </w:r>
      <w:r w:rsidR="003C74EB" w:rsidRPr="00890249">
        <w:rPr>
          <w:rFonts w:asciiTheme="minorHAnsi" w:hAnsiTheme="minorHAnsi" w:cstheme="minorHAnsi"/>
          <w:noProof/>
          <w:sz w:val="22"/>
          <w:szCs w:val="22"/>
        </w:rPr>
        <w:t>s</w:t>
      </w:r>
      <w:r w:rsidR="0085542A" w:rsidRPr="00890249">
        <w:rPr>
          <w:rFonts w:asciiTheme="minorHAnsi" w:hAnsiTheme="minorHAnsi" w:cstheme="minorHAnsi"/>
          <w:noProof/>
          <w:sz w:val="22"/>
          <w:szCs w:val="22"/>
        </w:rPr>
        <w:t xml:space="preserve">pierać projekty za pośrednictwem dotacji. </w:t>
      </w:r>
    </w:p>
    <w:p w14:paraId="4B14954C" w14:textId="77777777" w:rsidR="0093433C" w:rsidRPr="00890249" w:rsidRDefault="0085542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Działania w zakresie gospodarki wodno-ściekowej należą do zadań publicznych oraz nie generują zysku. Finansowanie przedsięwzięć za pośrednictwem wsparcia zwrotnego mogłoby spowodować nawet spadek zainteresowania jednostek samorządu terytorialnego interwencją w tym obszarze.</w:t>
      </w:r>
    </w:p>
    <w:p w14:paraId="42607389" w14:textId="77777777" w:rsidR="00BC1861" w:rsidRPr="00890249" w:rsidRDefault="00BC1861" w:rsidP="00BC1861">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2.1.2.4.2 (v)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1"/>
        <w:gridCol w:w="693"/>
        <w:gridCol w:w="1009"/>
        <w:gridCol w:w="830"/>
        <w:gridCol w:w="2213"/>
        <w:gridCol w:w="1106"/>
        <w:gridCol w:w="830"/>
        <w:gridCol w:w="1072"/>
      </w:tblGrid>
      <w:tr w:rsidR="0034642D" w:rsidRPr="00890249" w14:paraId="1E48E91E" w14:textId="77777777" w:rsidTr="00A4690F">
        <w:trPr>
          <w:trHeight w:val="425"/>
        </w:trPr>
        <w:tc>
          <w:tcPr>
            <w:tcW w:w="5000" w:type="pct"/>
            <w:gridSpan w:val="9"/>
            <w:shd w:val="clear" w:color="auto" w:fill="D9D9D9" w:themeFill="background1" w:themeFillShade="D9"/>
          </w:tcPr>
          <w:p w14:paraId="6CA8AEDB"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53A01241" w14:textId="77777777" w:rsidTr="00A4690F">
        <w:trPr>
          <w:cantSplit/>
          <w:trHeight w:val="1647"/>
        </w:trPr>
        <w:tc>
          <w:tcPr>
            <w:tcW w:w="288" w:type="pct"/>
            <w:shd w:val="clear" w:color="auto" w:fill="F2F2F2" w:themeFill="background1" w:themeFillShade="F2"/>
            <w:textDirection w:val="btLr"/>
            <w:vAlign w:val="center"/>
          </w:tcPr>
          <w:p w14:paraId="6E23EA8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72EA2E7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1D046B6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4D99643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10A5D63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4516CB3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613" w:type="pct"/>
            <w:shd w:val="clear" w:color="auto" w:fill="F2F2F2" w:themeFill="background1" w:themeFillShade="F2"/>
            <w:textDirection w:val="btLr"/>
            <w:vAlign w:val="center"/>
          </w:tcPr>
          <w:p w14:paraId="167F371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460" w:type="pct"/>
            <w:shd w:val="clear" w:color="auto" w:fill="F2F2F2" w:themeFill="background1" w:themeFillShade="F2"/>
            <w:textDirection w:val="btLr"/>
            <w:vAlign w:val="center"/>
          </w:tcPr>
          <w:p w14:paraId="2971C1C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5" w:type="pct"/>
            <w:shd w:val="clear" w:color="auto" w:fill="F2F2F2" w:themeFill="background1" w:themeFillShade="F2"/>
            <w:textDirection w:val="btLr"/>
            <w:vAlign w:val="center"/>
          </w:tcPr>
          <w:p w14:paraId="0C23C74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C463EC" w:rsidRPr="00890249" w14:paraId="1941A2D7" w14:textId="77777777" w:rsidTr="0043241C">
        <w:trPr>
          <w:trHeight w:val="340"/>
        </w:trPr>
        <w:tc>
          <w:tcPr>
            <w:tcW w:w="288" w:type="pct"/>
            <w:vAlign w:val="center"/>
          </w:tcPr>
          <w:p w14:paraId="3EE93B4E" w14:textId="77777777" w:rsidR="00C463EC" w:rsidRPr="00890249" w:rsidRDefault="00A13182" w:rsidP="00C463EC">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1494E433"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w:t>
            </w:r>
          </w:p>
        </w:tc>
        <w:tc>
          <w:tcPr>
            <w:tcW w:w="384" w:type="pct"/>
            <w:vAlign w:val="center"/>
          </w:tcPr>
          <w:p w14:paraId="2F03293B"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275198D2" w14:textId="77777777" w:rsidR="00C463EC" w:rsidRPr="00890249" w:rsidRDefault="00A13182" w:rsidP="00C463EC">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006088B5"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sz w:val="18"/>
                <w:szCs w:val="16"/>
              </w:rPr>
              <w:t>RCO</w:t>
            </w:r>
            <w:r w:rsidR="0074638A" w:rsidRPr="00890249">
              <w:rPr>
                <w:rFonts w:asciiTheme="minorHAnsi" w:hAnsiTheme="minorHAnsi" w:cstheme="minorHAnsi"/>
                <w:i/>
                <w:sz w:val="18"/>
                <w:szCs w:val="16"/>
              </w:rPr>
              <w:t>0</w:t>
            </w:r>
            <w:r w:rsidRPr="00890249">
              <w:rPr>
                <w:rFonts w:asciiTheme="minorHAnsi" w:hAnsiTheme="minorHAnsi" w:cstheme="minorHAnsi"/>
                <w:i/>
                <w:sz w:val="18"/>
                <w:szCs w:val="16"/>
              </w:rPr>
              <w:t>31</w:t>
            </w:r>
          </w:p>
        </w:tc>
        <w:tc>
          <w:tcPr>
            <w:tcW w:w="1226" w:type="pct"/>
            <w:shd w:val="clear" w:color="auto" w:fill="auto"/>
            <w:vAlign w:val="center"/>
          </w:tcPr>
          <w:p w14:paraId="1269481F" w14:textId="77777777" w:rsidR="00C463EC" w:rsidRPr="00890249" w:rsidRDefault="00C463EC" w:rsidP="00BE2A9A">
            <w:pPr>
              <w:jc w:val="left"/>
              <w:rPr>
                <w:rFonts w:asciiTheme="minorHAnsi" w:hAnsiTheme="minorHAnsi" w:cstheme="minorHAnsi"/>
                <w:i/>
                <w:noProof/>
                <w:sz w:val="18"/>
                <w:szCs w:val="16"/>
              </w:rPr>
            </w:pPr>
            <w:r w:rsidRPr="00890249">
              <w:rPr>
                <w:rFonts w:asciiTheme="minorHAnsi" w:hAnsiTheme="minorHAnsi" w:cstheme="minorHAnsi"/>
                <w:i/>
                <w:sz w:val="18"/>
                <w:szCs w:val="16"/>
              </w:rPr>
              <w:t xml:space="preserve">Długość </w:t>
            </w:r>
            <w:r w:rsidR="00BE2A9A" w:rsidRPr="00890249">
              <w:rPr>
                <w:rFonts w:asciiTheme="minorHAnsi" w:hAnsiTheme="minorHAnsi" w:cstheme="minorHAnsi"/>
                <w:i/>
                <w:sz w:val="18"/>
                <w:szCs w:val="16"/>
              </w:rPr>
              <w:t>nowych</w:t>
            </w:r>
            <w:r w:rsidRPr="00890249">
              <w:rPr>
                <w:rFonts w:asciiTheme="minorHAnsi" w:hAnsiTheme="minorHAnsi" w:cstheme="minorHAnsi"/>
                <w:i/>
                <w:sz w:val="18"/>
                <w:szCs w:val="16"/>
              </w:rPr>
              <w:t xml:space="preserve"> lub zmodernizowanych sieci </w:t>
            </w:r>
            <w:r w:rsidR="00BE2A9A" w:rsidRPr="00890249">
              <w:rPr>
                <w:rFonts w:asciiTheme="minorHAnsi" w:hAnsiTheme="minorHAnsi" w:cstheme="minorHAnsi"/>
                <w:i/>
                <w:sz w:val="18"/>
                <w:szCs w:val="16"/>
              </w:rPr>
              <w:t>kanalizacyjnych w ramach zbiorowych systemów odprowadzenia ścieków</w:t>
            </w:r>
          </w:p>
        </w:tc>
        <w:tc>
          <w:tcPr>
            <w:tcW w:w="613" w:type="pct"/>
            <w:vAlign w:val="center"/>
          </w:tcPr>
          <w:p w14:paraId="6C0081DC"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km</w:t>
            </w:r>
          </w:p>
        </w:tc>
        <w:tc>
          <w:tcPr>
            <w:tcW w:w="460" w:type="pct"/>
            <w:shd w:val="clear" w:color="auto" w:fill="auto"/>
            <w:vAlign w:val="center"/>
          </w:tcPr>
          <w:p w14:paraId="6A82D0C2" w14:textId="77777777" w:rsidR="00A63705" w:rsidRPr="00890249" w:rsidRDefault="005F6AE6"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1</w:t>
            </w:r>
          </w:p>
        </w:tc>
        <w:tc>
          <w:tcPr>
            <w:tcW w:w="595" w:type="pct"/>
            <w:shd w:val="clear" w:color="auto" w:fill="auto"/>
            <w:vAlign w:val="center"/>
          </w:tcPr>
          <w:p w14:paraId="378F8DDA" w14:textId="77777777" w:rsidR="00A63705" w:rsidRPr="00890249" w:rsidRDefault="00D46E1F"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10</w:t>
            </w:r>
          </w:p>
        </w:tc>
      </w:tr>
      <w:tr w:rsidR="00C463EC" w:rsidRPr="00890249" w14:paraId="3CCBFC31" w14:textId="77777777" w:rsidTr="0043241C">
        <w:trPr>
          <w:trHeight w:val="332"/>
        </w:trPr>
        <w:tc>
          <w:tcPr>
            <w:tcW w:w="288" w:type="pct"/>
            <w:vAlign w:val="center"/>
          </w:tcPr>
          <w:p w14:paraId="0610BFE4" w14:textId="77777777" w:rsidR="00C463EC" w:rsidRPr="00890249" w:rsidRDefault="00A13182" w:rsidP="00C463EC">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4B9E40A1"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w:t>
            </w:r>
          </w:p>
        </w:tc>
        <w:tc>
          <w:tcPr>
            <w:tcW w:w="384" w:type="pct"/>
            <w:vAlign w:val="center"/>
          </w:tcPr>
          <w:p w14:paraId="1122402D"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6A04B019" w14:textId="77777777" w:rsidR="00C463EC" w:rsidRPr="00890249" w:rsidRDefault="00A13182" w:rsidP="00C463EC">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50E4A04C"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sz w:val="18"/>
                <w:szCs w:val="16"/>
              </w:rPr>
              <w:t>RCO</w:t>
            </w:r>
            <w:r w:rsidR="0074638A" w:rsidRPr="00890249">
              <w:rPr>
                <w:rFonts w:asciiTheme="minorHAnsi" w:hAnsiTheme="minorHAnsi" w:cstheme="minorHAnsi"/>
                <w:i/>
                <w:sz w:val="18"/>
                <w:szCs w:val="16"/>
              </w:rPr>
              <w:t>0</w:t>
            </w:r>
            <w:r w:rsidRPr="00890249">
              <w:rPr>
                <w:rFonts w:asciiTheme="minorHAnsi" w:hAnsiTheme="minorHAnsi" w:cstheme="minorHAnsi"/>
                <w:i/>
                <w:sz w:val="18"/>
                <w:szCs w:val="16"/>
              </w:rPr>
              <w:t>32</w:t>
            </w:r>
          </w:p>
        </w:tc>
        <w:tc>
          <w:tcPr>
            <w:tcW w:w="1226" w:type="pct"/>
            <w:shd w:val="clear" w:color="auto" w:fill="auto"/>
            <w:vAlign w:val="center"/>
          </w:tcPr>
          <w:p w14:paraId="6DE66F0E" w14:textId="77777777" w:rsidR="00C463EC" w:rsidRPr="00890249" w:rsidRDefault="00BE2A9A" w:rsidP="00BE2A9A">
            <w:pPr>
              <w:jc w:val="left"/>
              <w:rPr>
                <w:rFonts w:asciiTheme="minorHAnsi" w:hAnsiTheme="minorHAnsi" w:cstheme="minorHAnsi"/>
                <w:i/>
                <w:noProof/>
                <w:sz w:val="18"/>
                <w:szCs w:val="16"/>
              </w:rPr>
            </w:pPr>
            <w:r w:rsidRPr="00890249">
              <w:rPr>
                <w:rFonts w:asciiTheme="minorHAnsi" w:hAnsiTheme="minorHAnsi" w:cstheme="minorHAnsi"/>
                <w:i/>
                <w:sz w:val="18"/>
                <w:szCs w:val="16"/>
              </w:rPr>
              <w:t>Wydajność nowo wybudowanych lub zmodernizowanych instalacji oczyszczania ścieków</w:t>
            </w:r>
          </w:p>
        </w:tc>
        <w:tc>
          <w:tcPr>
            <w:tcW w:w="613" w:type="pct"/>
            <w:vAlign w:val="center"/>
          </w:tcPr>
          <w:p w14:paraId="3C3F580F" w14:textId="77777777" w:rsidR="00C463EC" w:rsidRPr="00890249" w:rsidRDefault="00BE2A9A"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RLM</w:t>
            </w:r>
          </w:p>
        </w:tc>
        <w:tc>
          <w:tcPr>
            <w:tcW w:w="460" w:type="pct"/>
            <w:shd w:val="clear" w:color="auto" w:fill="auto"/>
            <w:vAlign w:val="center"/>
          </w:tcPr>
          <w:p w14:paraId="6522078C" w14:textId="77777777" w:rsidR="00A63705" w:rsidRPr="00890249" w:rsidRDefault="005F6AE6"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2 200</w:t>
            </w:r>
          </w:p>
        </w:tc>
        <w:tc>
          <w:tcPr>
            <w:tcW w:w="595" w:type="pct"/>
            <w:shd w:val="clear" w:color="auto" w:fill="auto"/>
            <w:vAlign w:val="center"/>
          </w:tcPr>
          <w:p w14:paraId="6588665D" w14:textId="77777777" w:rsidR="00A63705" w:rsidRPr="00890249" w:rsidRDefault="00D46E1F"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44 250</w:t>
            </w:r>
          </w:p>
        </w:tc>
      </w:tr>
    </w:tbl>
    <w:p w14:paraId="7896A7AF" w14:textId="77777777" w:rsidR="007D5C6D" w:rsidRPr="00890249" w:rsidRDefault="007D5C6D" w:rsidP="006C153C">
      <w:pPr>
        <w:spacing w:before="0" w:after="240"/>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52"/>
        <w:gridCol w:w="692"/>
        <w:gridCol w:w="1008"/>
        <w:gridCol w:w="774"/>
        <w:gridCol w:w="1383"/>
        <w:gridCol w:w="830"/>
        <w:gridCol w:w="692"/>
        <w:gridCol w:w="596"/>
        <w:gridCol w:w="562"/>
        <w:gridCol w:w="605"/>
        <w:gridCol w:w="647"/>
      </w:tblGrid>
      <w:tr w:rsidR="00BC2FD4" w:rsidRPr="00890249" w14:paraId="48F654C0" w14:textId="77777777" w:rsidTr="00501A25">
        <w:trPr>
          <w:trHeight w:val="480"/>
        </w:trPr>
        <w:tc>
          <w:tcPr>
            <w:tcW w:w="5000" w:type="pct"/>
            <w:gridSpan w:val="12"/>
            <w:shd w:val="clear" w:color="auto" w:fill="D9D9D9" w:themeFill="background1" w:themeFillShade="D9"/>
          </w:tcPr>
          <w:p w14:paraId="46ABD424"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C2FD4" w:rsidRPr="00890249" w14:paraId="1232717C" w14:textId="77777777" w:rsidTr="00501A25">
        <w:trPr>
          <w:cantSplit/>
          <w:trHeight w:val="1768"/>
        </w:trPr>
        <w:tc>
          <w:tcPr>
            <w:tcW w:w="287" w:type="pct"/>
            <w:shd w:val="clear" w:color="auto" w:fill="F2F2F2" w:themeFill="background1" w:themeFillShade="F2"/>
            <w:textDirection w:val="btLr"/>
            <w:vAlign w:val="center"/>
          </w:tcPr>
          <w:p w14:paraId="2D1E2444"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5" w:type="pct"/>
            <w:shd w:val="clear" w:color="auto" w:fill="F2F2F2" w:themeFill="background1" w:themeFillShade="F2"/>
            <w:textDirection w:val="btLr"/>
            <w:vAlign w:val="center"/>
          </w:tcPr>
          <w:p w14:paraId="7862085C"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2" w:type="pct"/>
            <w:shd w:val="clear" w:color="auto" w:fill="F2F2F2" w:themeFill="background1" w:themeFillShade="F2"/>
            <w:textDirection w:val="btLr"/>
            <w:vAlign w:val="center"/>
          </w:tcPr>
          <w:p w14:paraId="63E7B272"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6" w:type="pct"/>
            <w:shd w:val="clear" w:color="auto" w:fill="F2F2F2" w:themeFill="background1" w:themeFillShade="F2"/>
            <w:textDirection w:val="btLr"/>
            <w:vAlign w:val="center"/>
          </w:tcPr>
          <w:p w14:paraId="4AB5B786"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7" w:type="pct"/>
            <w:shd w:val="clear" w:color="auto" w:fill="F2F2F2" w:themeFill="background1" w:themeFillShade="F2"/>
            <w:textDirection w:val="btLr"/>
            <w:vAlign w:val="center"/>
          </w:tcPr>
          <w:p w14:paraId="384E700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3" w:type="pct"/>
            <w:shd w:val="clear" w:color="auto" w:fill="F2F2F2" w:themeFill="background1" w:themeFillShade="F2"/>
            <w:textDirection w:val="btLr"/>
            <w:vAlign w:val="center"/>
          </w:tcPr>
          <w:p w14:paraId="342CF9B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8" w:type="pct"/>
            <w:shd w:val="clear" w:color="auto" w:fill="F2F2F2" w:themeFill="background1" w:themeFillShade="F2"/>
            <w:textDirection w:val="btLr"/>
            <w:vAlign w:val="center"/>
          </w:tcPr>
          <w:p w14:paraId="3C7593C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05B374D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9" w:type="pct"/>
            <w:shd w:val="clear" w:color="auto" w:fill="F2F2F2" w:themeFill="background1" w:themeFillShade="F2"/>
            <w:textDirection w:val="btLr"/>
            <w:vAlign w:val="center"/>
          </w:tcPr>
          <w:p w14:paraId="50962862"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0" w:type="pct"/>
            <w:shd w:val="clear" w:color="auto" w:fill="F2F2F2" w:themeFill="background1" w:themeFillShade="F2"/>
            <w:textDirection w:val="btLr"/>
            <w:vAlign w:val="center"/>
          </w:tcPr>
          <w:p w14:paraId="2B980DFF"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035DB3A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59" w:type="pct"/>
            <w:shd w:val="clear" w:color="auto" w:fill="F2F2F2" w:themeFill="background1" w:themeFillShade="F2"/>
            <w:textDirection w:val="btLr"/>
            <w:vAlign w:val="center"/>
          </w:tcPr>
          <w:p w14:paraId="3CC2A4A0"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C463EC" w:rsidRPr="00890249" w14:paraId="0E778136" w14:textId="77777777" w:rsidTr="00501A25">
        <w:trPr>
          <w:trHeight w:val="434"/>
        </w:trPr>
        <w:tc>
          <w:tcPr>
            <w:tcW w:w="287" w:type="pct"/>
            <w:vAlign w:val="center"/>
          </w:tcPr>
          <w:p w14:paraId="34384FFB" w14:textId="77777777" w:rsidR="00C463EC" w:rsidRPr="00890249" w:rsidRDefault="00A13182" w:rsidP="00C463E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CP2</w:t>
            </w:r>
          </w:p>
        </w:tc>
        <w:tc>
          <w:tcPr>
            <w:tcW w:w="415" w:type="pct"/>
            <w:vAlign w:val="center"/>
          </w:tcPr>
          <w:p w14:paraId="6F6110EB"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w:t>
            </w:r>
          </w:p>
        </w:tc>
        <w:tc>
          <w:tcPr>
            <w:tcW w:w="382" w:type="pct"/>
            <w:vAlign w:val="center"/>
          </w:tcPr>
          <w:p w14:paraId="79D3052C"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6" w:type="pct"/>
            <w:vAlign w:val="center"/>
          </w:tcPr>
          <w:p w14:paraId="2F7A684A" w14:textId="77777777" w:rsidR="00C463EC" w:rsidRPr="00890249" w:rsidRDefault="00A13182" w:rsidP="00C463EC">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27" w:type="pct"/>
            <w:vAlign w:val="center"/>
          </w:tcPr>
          <w:p w14:paraId="05FFA9BD" w14:textId="77777777" w:rsidR="00C463EC" w:rsidRPr="00890249" w:rsidRDefault="00C463EC"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RCR</w:t>
            </w:r>
            <w:r w:rsidR="0074638A" w:rsidRPr="00890249">
              <w:rPr>
                <w:rFonts w:asciiTheme="minorHAnsi" w:hAnsiTheme="minorHAnsi" w:cstheme="minorHAnsi"/>
                <w:i/>
                <w:noProof/>
                <w:sz w:val="18"/>
                <w:szCs w:val="16"/>
              </w:rPr>
              <w:t>0</w:t>
            </w:r>
            <w:r w:rsidRPr="00890249">
              <w:rPr>
                <w:rFonts w:asciiTheme="minorHAnsi" w:hAnsiTheme="minorHAnsi" w:cstheme="minorHAnsi"/>
                <w:i/>
                <w:noProof/>
                <w:sz w:val="18"/>
                <w:szCs w:val="16"/>
              </w:rPr>
              <w:t>42</w:t>
            </w:r>
          </w:p>
        </w:tc>
        <w:tc>
          <w:tcPr>
            <w:tcW w:w="763" w:type="pct"/>
            <w:shd w:val="clear" w:color="auto" w:fill="auto"/>
            <w:vAlign w:val="center"/>
          </w:tcPr>
          <w:p w14:paraId="3C1F7CBF" w14:textId="77777777" w:rsidR="00C463EC" w:rsidRPr="00890249" w:rsidRDefault="00C463EC" w:rsidP="00BE2A9A">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 xml:space="preserve">Ludność przyłączona do </w:t>
            </w:r>
            <w:r w:rsidR="00BE2A9A" w:rsidRPr="00890249">
              <w:rPr>
                <w:rFonts w:asciiTheme="minorHAnsi" w:hAnsiTheme="minorHAnsi" w:cstheme="minorHAnsi"/>
                <w:i/>
                <w:noProof/>
                <w:sz w:val="18"/>
                <w:szCs w:val="16"/>
              </w:rPr>
              <w:t xml:space="preserve">zbiorowych </w:t>
            </w:r>
            <w:r w:rsidRPr="00890249">
              <w:rPr>
                <w:rFonts w:asciiTheme="minorHAnsi" w:hAnsiTheme="minorHAnsi" w:cstheme="minorHAnsi"/>
                <w:i/>
                <w:noProof/>
                <w:sz w:val="18"/>
                <w:szCs w:val="16"/>
              </w:rPr>
              <w:t>sytem</w:t>
            </w:r>
            <w:r w:rsidR="00BE2A9A" w:rsidRPr="00890249">
              <w:rPr>
                <w:rFonts w:asciiTheme="minorHAnsi" w:hAnsiTheme="minorHAnsi" w:cstheme="minorHAnsi"/>
                <w:i/>
                <w:noProof/>
                <w:sz w:val="18"/>
                <w:szCs w:val="16"/>
              </w:rPr>
              <w:t>ów</w:t>
            </w:r>
            <w:r w:rsidRPr="00890249">
              <w:rPr>
                <w:rFonts w:asciiTheme="minorHAnsi" w:hAnsiTheme="minorHAnsi" w:cstheme="minorHAnsi"/>
                <w:i/>
                <w:noProof/>
                <w:sz w:val="18"/>
                <w:szCs w:val="16"/>
              </w:rPr>
              <w:t xml:space="preserve"> oczyszczania ścieków</w:t>
            </w:r>
            <w:r w:rsidR="00BE2A9A" w:rsidRPr="00890249">
              <w:rPr>
                <w:rFonts w:asciiTheme="minorHAnsi" w:hAnsiTheme="minorHAnsi" w:cstheme="minorHAnsi"/>
                <w:i/>
                <w:noProof/>
                <w:sz w:val="18"/>
                <w:szCs w:val="16"/>
              </w:rPr>
              <w:t xml:space="preserve"> co najmniej II stopnia</w:t>
            </w:r>
          </w:p>
        </w:tc>
        <w:tc>
          <w:tcPr>
            <w:tcW w:w="458" w:type="pct"/>
            <w:vAlign w:val="center"/>
          </w:tcPr>
          <w:p w14:paraId="1F0170FF" w14:textId="77777777" w:rsidR="00C463EC" w:rsidRPr="00890249" w:rsidRDefault="00CB7F8E" w:rsidP="00C463E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w:t>
            </w:r>
            <w:r w:rsidR="00BE2A9A" w:rsidRPr="00890249">
              <w:rPr>
                <w:rFonts w:asciiTheme="minorHAnsi" w:hAnsiTheme="minorHAnsi" w:cstheme="minorHAnsi"/>
                <w:i/>
                <w:noProof/>
                <w:sz w:val="18"/>
                <w:szCs w:val="16"/>
              </w:rPr>
              <w:t>s</w:t>
            </w:r>
            <w:r w:rsidRPr="00890249">
              <w:rPr>
                <w:rFonts w:asciiTheme="minorHAnsi" w:hAnsiTheme="minorHAnsi" w:cstheme="minorHAnsi"/>
                <w:i/>
                <w:noProof/>
                <w:sz w:val="18"/>
                <w:szCs w:val="16"/>
              </w:rPr>
              <w:t>.</w:t>
            </w:r>
          </w:p>
        </w:tc>
        <w:tc>
          <w:tcPr>
            <w:tcW w:w="382" w:type="pct"/>
            <w:vAlign w:val="center"/>
          </w:tcPr>
          <w:p w14:paraId="1558B6AA" w14:textId="77777777" w:rsidR="00C463EC" w:rsidRPr="00890249" w:rsidRDefault="008374CE" w:rsidP="00C463E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29" w:type="pct"/>
            <w:vAlign w:val="center"/>
          </w:tcPr>
          <w:p w14:paraId="07644AF0" w14:textId="77777777" w:rsidR="00C463EC" w:rsidRPr="00890249" w:rsidRDefault="00CB7F8E" w:rsidP="00C463E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10" w:type="pct"/>
            <w:shd w:val="clear" w:color="auto" w:fill="auto"/>
            <w:vAlign w:val="center"/>
          </w:tcPr>
          <w:p w14:paraId="2D9B8EFD" w14:textId="77777777" w:rsidR="00C463EC" w:rsidRPr="00890249" w:rsidRDefault="005F6AE6" w:rsidP="00C463EC">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31 070</w:t>
            </w:r>
          </w:p>
        </w:tc>
        <w:tc>
          <w:tcPr>
            <w:tcW w:w="334" w:type="pct"/>
            <w:shd w:val="clear" w:color="auto" w:fill="auto"/>
            <w:vAlign w:val="center"/>
          </w:tcPr>
          <w:p w14:paraId="43C9436C" w14:textId="77777777" w:rsidR="00C463EC" w:rsidRPr="00890249" w:rsidRDefault="008374CE" w:rsidP="00C463EC">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59" w:type="pct"/>
            <w:vAlign w:val="center"/>
          </w:tcPr>
          <w:p w14:paraId="1B2C52F7" w14:textId="77777777" w:rsidR="00C463EC" w:rsidRPr="00890249" w:rsidRDefault="008374CE" w:rsidP="00C463EC">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bl>
    <w:p w14:paraId="19A49FEE" w14:textId="20BC3DEC" w:rsidR="00114890" w:rsidRPr="00890249" w:rsidRDefault="00114890" w:rsidP="00264686">
      <w:pPr>
        <w:spacing w:before="0" w:after="160" w:line="259" w:lineRule="auto"/>
        <w:jc w:val="left"/>
        <w:rPr>
          <w:rFonts w:asciiTheme="minorHAnsi" w:hAnsiTheme="minorHAnsi" w:cstheme="minorHAnsi"/>
          <w:b/>
          <w:noProof/>
          <w:sz w:val="22"/>
          <w:szCs w:val="22"/>
        </w:rPr>
      </w:pPr>
    </w:p>
    <w:p w14:paraId="3ACECF51" w14:textId="77777777" w:rsidR="00BC1861" w:rsidRPr="00890249" w:rsidRDefault="00BC1861" w:rsidP="00BC1861">
      <w:pPr>
        <w:spacing w:before="240" w:after="240"/>
        <w:rPr>
          <w:rFonts w:asciiTheme="minorHAnsi" w:hAnsiTheme="minorHAnsi" w:cstheme="minorHAnsi"/>
          <w:b/>
          <w:noProof/>
          <w:color w:val="FF0000"/>
          <w:sz w:val="22"/>
          <w:szCs w:val="22"/>
        </w:rPr>
      </w:pPr>
      <w:r w:rsidRPr="00890249">
        <w:rPr>
          <w:rFonts w:asciiTheme="minorHAnsi" w:hAnsiTheme="minorHAnsi" w:cstheme="minorHAnsi"/>
          <w:b/>
          <w:noProof/>
          <w:sz w:val="22"/>
          <w:szCs w:val="22"/>
        </w:rPr>
        <w:lastRenderedPageBreak/>
        <w:t>2.1.2.4.3 (v) Orientacyjny podział zasobów programu (UE) według rodzaju interwencji</w:t>
      </w:r>
    </w:p>
    <w:tbl>
      <w:tblPr>
        <w:tblStyle w:val="Tabela-Siatka"/>
        <w:tblW w:w="9322" w:type="dxa"/>
        <w:tblLook w:val="04A0" w:firstRow="1" w:lastRow="0" w:firstColumn="1" w:lastColumn="0" w:noHBand="0" w:noVBand="1"/>
      </w:tblPr>
      <w:tblGrid>
        <w:gridCol w:w="1489"/>
        <w:gridCol w:w="1027"/>
        <w:gridCol w:w="1615"/>
        <w:gridCol w:w="1562"/>
        <w:gridCol w:w="1528"/>
        <w:gridCol w:w="2101"/>
      </w:tblGrid>
      <w:tr w:rsidR="005B1DF2" w:rsidRPr="00890249" w14:paraId="3E011DF8" w14:textId="77777777" w:rsidTr="00056000">
        <w:trPr>
          <w:trHeight w:val="360"/>
        </w:trPr>
        <w:tc>
          <w:tcPr>
            <w:tcW w:w="9322" w:type="dxa"/>
            <w:gridSpan w:val="6"/>
            <w:shd w:val="clear" w:color="auto" w:fill="D9D9D9" w:themeFill="background1" w:themeFillShade="D9"/>
          </w:tcPr>
          <w:p w14:paraId="762329A2" w14:textId="77777777" w:rsidR="005B1DF2" w:rsidRPr="00890249" w:rsidRDefault="005B1DF2" w:rsidP="005B1DF2">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5B1DF2" w:rsidRPr="00890249" w14:paraId="6D32DF50" w14:textId="77777777" w:rsidTr="00056000">
        <w:tc>
          <w:tcPr>
            <w:tcW w:w="1566" w:type="dxa"/>
            <w:shd w:val="clear" w:color="auto" w:fill="F2F2F2" w:themeFill="background1" w:themeFillShade="F2"/>
          </w:tcPr>
          <w:p w14:paraId="4BE77F25" w14:textId="77777777" w:rsidR="005B1DF2" w:rsidRPr="00890249" w:rsidRDefault="005B1DF2" w:rsidP="005B1DF2">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0B05964C" w14:textId="77777777" w:rsidR="005B1DF2" w:rsidRPr="00890249" w:rsidRDefault="005B1DF2" w:rsidP="005B1DF2">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4" w:type="dxa"/>
            <w:shd w:val="clear" w:color="auto" w:fill="F2F2F2" w:themeFill="background1" w:themeFillShade="F2"/>
          </w:tcPr>
          <w:p w14:paraId="70638BA4" w14:textId="77777777" w:rsidR="005B1DF2" w:rsidRPr="00890249" w:rsidRDefault="005B1DF2" w:rsidP="005B1DF2">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35F10EF6" w14:textId="77777777" w:rsidR="005B1DF2" w:rsidRPr="00890249" w:rsidRDefault="005B1DF2" w:rsidP="005B1DF2">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7BD7BAEC" w14:textId="77777777" w:rsidR="005B1DF2" w:rsidRPr="00890249" w:rsidRDefault="005B1DF2" w:rsidP="005B1DF2">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9" w:type="dxa"/>
            <w:shd w:val="clear" w:color="auto" w:fill="F2F2F2" w:themeFill="background1" w:themeFillShade="F2"/>
          </w:tcPr>
          <w:p w14:paraId="1E2ADB7C" w14:textId="77777777" w:rsidR="005B1DF2" w:rsidRPr="00890249" w:rsidRDefault="005B1DF2" w:rsidP="005B1DF2">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1916" w:rsidRPr="00890249" w14:paraId="360F651B" w14:textId="77777777" w:rsidTr="00056000">
        <w:trPr>
          <w:trHeight w:val="64"/>
        </w:trPr>
        <w:tc>
          <w:tcPr>
            <w:tcW w:w="1566" w:type="dxa"/>
            <w:vMerge w:val="restart"/>
            <w:vAlign w:val="center"/>
          </w:tcPr>
          <w:p w14:paraId="53ADF3E7" w14:textId="77777777" w:rsidR="009E1916" w:rsidRPr="00890249" w:rsidRDefault="009E1916" w:rsidP="005B1DF2">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51" w:type="dxa"/>
            <w:vMerge w:val="restart"/>
            <w:vAlign w:val="center"/>
          </w:tcPr>
          <w:p w14:paraId="5372B7DD" w14:textId="77777777" w:rsidR="009E1916" w:rsidRPr="00890249" w:rsidRDefault="009E1916" w:rsidP="005B1DF2">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4" w:type="dxa"/>
            <w:vMerge w:val="restart"/>
            <w:vAlign w:val="center"/>
          </w:tcPr>
          <w:p w14:paraId="7304760B" w14:textId="77777777" w:rsidR="009E1916" w:rsidRPr="00890249" w:rsidRDefault="009E1916" w:rsidP="009E1916">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20" w:type="dxa"/>
            <w:vMerge w:val="restart"/>
            <w:vAlign w:val="center"/>
          </w:tcPr>
          <w:p w14:paraId="0D317F42" w14:textId="77777777" w:rsidR="009E1916" w:rsidRPr="00890249" w:rsidRDefault="009E1916" w:rsidP="005B1DF2">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w:t>
            </w:r>
          </w:p>
        </w:tc>
        <w:tc>
          <w:tcPr>
            <w:tcW w:w="1022" w:type="dxa"/>
            <w:vAlign w:val="center"/>
          </w:tcPr>
          <w:p w14:paraId="3EEBB2CF"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062</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 xml:space="preserve">Dostarczanie wody do spożycia przez ludzi (infrastruktura do celów ujęcia, uzdatniania, magazynowania i dystrybucji, działania na rzecz efektywności, zaopatrzenie w wodę do spożycia) </w:t>
            </w:r>
          </w:p>
        </w:tc>
        <w:tc>
          <w:tcPr>
            <w:tcW w:w="2349" w:type="dxa"/>
            <w:vAlign w:val="center"/>
          </w:tcPr>
          <w:p w14:paraId="73379300" w14:textId="77777777" w:rsidR="009E1916" w:rsidRPr="00890249" w:rsidRDefault="00B61A77" w:rsidP="0055347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2 500 000</w:t>
            </w:r>
          </w:p>
        </w:tc>
      </w:tr>
      <w:tr w:rsidR="009E1916" w:rsidRPr="00890249" w14:paraId="3D6A86FB" w14:textId="77777777" w:rsidTr="00056000">
        <w:trPr>
          <w:trHeight w:val="478"/>
        </w:trPr>
        <w:tc>
          <w:tcPr>
            <w:tcW w:w="1566" w:type="dxa"/>
            <w:vMerge/>
            <w:vAlign w:val="center"/>
          </w:tcPr>
          <w:p w14:paraId="07A68B43" w14:textId="77777777" w:rsidR="009E1916" w:rsidRPr="00890249" w:rsidRDefault="009E1916" w:rsidP="005B1DF2">
            <w:pPr>
              <w:jc w:val="center"/>
              <w:rPr>
                <w:rFonts w:asciiTheme="minorHAnsi" w:eastAsia="Times New Roman" w:hAnsiTheme="minorHAnsi" w:cstheme="minorHAnsi"/>
                <w:iCs/>
                <w:noProof/>
                <w:sz w:val="20"/>
              </w:rPr>
            </w:pPr>
          </w:p>
        </w:tc>
        <w:tc>
          <w:tcPr>
            <w:tcW w:w="1051" w:type="dxa"/>
            <w:vMerge/>
            <w:vAlign w:val="center"/>
          </w:tcPr>
          <w:p w14:paraId="1B3943A3" w14:textId="77777777" w:rsidR="009E1916" w:rsidRPr="00890249" w:rsidRDefault="009E1916" w:rsidP="005B1DF2">
            <w:pPr>
              <w:jc w:val="center"/>
              <w:rPr>
                <w:rFonts w:asciiTheme="minorHAnsi" w:eastAsia="Times New Roman" w:hAnsiTheme="minorHAnsi" w:cstheme="minorHAnsi"/>
                <w:iCs/>
                <w:noProof/>
                <w:sz w:val="20"/>
              </w:rPr>
            </w:pPr>
          </w:p>
        </w:tc>
        <w:tc>
          <w:tcPr>
            <w:tcW w:w="1714" w:type="dxa"/>
            <w:vMerge/>
            <w:vAlign w:val="center"/>
          </w:tcPr>
          <w:p w14:paraId="7EE483D3" w14:textId="77777777" w:rsidR="009E1916" w:rsidRPr="00890249" w:rsidRDefault="009E1916" w:rsidP="005B1DF2">
            <w:pPr>
              <w:jc w:val="center"/>
              <w:rPr>
                <w:rFonts w:asciiTheme="minorHAnsi" w:eastAsia="Times New Roman" w:hAnsiTheme="minorHAnsi" w:cstheme="minorHAnsi"/>
                <w:iCs/>
                <w:noProof/>
                <w:sz w:val="20"/>
              </w:rPr>
            </w:pPr>
          </w:p>
        </w:tc>
        <w:tc>
          <w:tcPr>
            <w:tcW w:w="1620" w:type="dxa"/>
            <w:vMerge/>
            <w:vAlign w:val="center"/>
          </w:tcPr>
          <w:p w14:paraId="1FA23E06" w14:textId="77777777" w:rsidR="009E1916" w:rsidRPr="00890249" w:rsidRDefault="009E1916" w:rsidP="005B1DF2">
            <w:pPr>
              <w:jc w:val="center"/>
              <w:rPr>
                <w:rFonts w:asciiTheme="minorHAnsi" w:eastAsia="Times New Roman" w:hAnsiTheme="minorHAnsi" w:cstheme="minorHAnsi"/>
                <w:iCs/>
                <w:noProof/>
                <w:sz w:val="20"/>
              </w:rPr>
            </w:pPr>
          </w:p>
        </w:tc>
        <w:tc>
          <w:tcPr>
            <w:tcW w:w="1022" w:type="dxa"/>
            <w:vAlign w:val="center"/>
          </w:tcPr>
          <w:p w14:paraId="2E323623"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065</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Odprowadzanie i oczyszczanie ścieków</w:t>
            </w:r>
          </w:p>
        </w:tc>
        <w:tc>
          <w:tcPr>
            <w:tcW w:w="2349" w:type="dxa"/>
            <w:vAlign w:val="center"/>
          </w:tcPr>
          <w:p w14:paraId="57539AE7" w14:textId="7D044FF6" w:rsidR="009E1916" w:rsidRPr="00890249" w:rsidRDefault="00B61A77" w:rsidP="0065169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7 500 000</w:t>
            </w:r>
          </w:p>
        </w:tc>
      </w:tr>
    </w:tbl>
    <w:p w14:paraId="77810B39" w14:textId="7CFC4E83" w:rsidR="005B1DF2" w:rsidRPr="00890249" w:rsidRDefault="005B1DF2" w:rsidP="00264686">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3"/>
        <w:gridCol w:w="1050"/>
        <w:gridCol w:w="1711"/>
        <w:gridCol w:w="1617"/>
        <w:gridCol w:w="1039"/>
        <w:gridCol w:w="2081"/>
      </w:tblGrid>
      <w:tr w:rsidR="005B1DF2" w:rsidRPr="00890249" w14:paraId="75090B77" w14:textId="77777777" w:rsidTr="00A4690F">
        <w:tc>
          <w:tcPr>
            <w:tcW w:w="9288" w:type="dxa"/>
            <w:gridSpan w:val="6"/>
            <w:shd w:val="clear" w:color="auto" w:fill="D9D9D9" w:themeFill="background1" w:themeFillShade="D9"/>
          </w:tcPr>
          <w:p w14:paraId="4F79218D" w14:textId="77777777" w:rsidR="005B1DF2" w:rsidRPr="00890249" w:rsidRDefault="005B1DF2"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5B1DF2" w:rsidRPr="00890249" w14:paraId="101F63F4" w14:textId="77777777" w:rsidTr="00A4690F">
        <w:tc>
          <w:tcPr>
            <w:tcW w:w="1599" w:type="dxa"/>
            <w:shd w:val="clear" w:color="auto" w:fill="F2F2F2" w:themeFill="background1" w:themeFillShade="F2"/>
          </w:tcPr>
          <w:p w14:paraId="7709CDFC"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4E304331"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2C8E9860"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75787217"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28BDC6AE"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137BD176"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B1DF2" w:rsidRPr="00890249" w14:paraId="3F20E9AE" w14:textId="77777777" w:rsidTr="00182923">
        <w:tc>
          <w:tcPr>
            <w:tcW w:w="1599" w:type="dxa"/>
            <w:vAlign w:val="center"/>
          </w:tcPr>
          <w:p w14:paraId="1F4A3114"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7C4990E6"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2D48B015"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vAlign w:val="center"/>
          </w:tcPr>
          <w:p w14:paraId="5897D817"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w:t>
            </w:r>
          </w:p>
        </w:tc>
        <w:tc>
          <w:tcPr>
            <w:tcW w:w="1053" w:type="dxa"/>
          </w:tcPr>
          <w:p w14:paraId="5449C89D"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01</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 xml:space="preserve">Dotacja </w:t>
            </w:r>
          </w:p>
        </w:tc>
        <w:tc>
          <w:tcPr>
            <w:tcW w:w="2175" w:type="dxa"/>
          </w:tcPr>
          <w:p w14:paraId="2DA21C35" w14:textId="55B0C17B" w:rsidR="005B1DF2" w:rsidRPr="00890249" w:rsidRDefault="00BB62A6" w:rsidP="00182923">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10 000 000</w:t>
            </w:r>
            <w:r w:rsidR="00691799">
              <w:rPr>
                <w:rFonts w:asciiTheme="minorHAnsi" w:eastAsia="Times New Roman" w:hAnsiTheme="minorHAnsi" w:cstheme="minorHAnsi"/>
                <w:iCs/>
                <w:noProof/>
                <w:sz w:val="20"/>
              </w:rPr>
              <w:t xml:space="preserve"> </w:t>
            </w:r>
          </w:p>
        </w:tc>
      </w:tr>
    </w:tbl>
    <w:p w14:paraId="6CB19C8A" w14:textId="77777777" w:rsidR="00516DBF" w:rsidRPr="00890249" w:rsidRDefault="00516DBF" w:rsidP="00516DBF">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83"/>
        <w:gridCol w:w="1025"/>
        <w:gridCol w:w="1608"/>
        <w:gridCol w:w="1557"/>
        <w:gridCol w:w="1520"/>
        <w:gridCol w:w="1868"/>
      </w:tblGrid>
      <w:tr w:rsidR="005B1DF2" w:rsidRPr="00890249" w14:paraId="4D48BAEC" w14:textId="77777777" w:rsidTr="00A4690F">
        <w:tc>
          <w:tcPr>
            <w:tcW w:w="9288" w:type="dxa"/>
            <w:gridSpan w:val="6"/>
            <w:shd w:val="clear" w:color="auto" w:fill="D9D9D9" w:themeFill="background1" w:themeFillShade="D9"/>
          </w:tcPr>
          <w:p w14:paraId="74CF3C49" w14:textId="265972DA" w:rsidR="005B1DF2" w:rsidRPr="00890249" w:rsidRDefault="00BB62A6"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A66643">
              <w:rPr>
                <w:rFonts w:asciiTheme="minorHAnsi" w:hAnsiTheme="minorHAnsi" w:cstheme="minorHAnsi"/>
                <w:b/>
                <w:noProof/>
                <w:sz w:val="20"/>
              </w:rPr>
              <w:t xml:space="preserve">3 </w:t>
            </w:r>
            <w:r w:rsidR="005B1DF2" w:rsidRPr="00890249">
              <w:rPr>
                <w:rFonts w:asciiTheme="minorHAnsi" w:hAnsiTheme="minorHAnsi" w:cstheme="minorHAnsi"/>
                <w:b/>
                <w:noProof/>
                <w:sz w:val="20"/>
              </w:rPr>
              <w:t xml:space="preserve"> – terytorialny mechanizm realizacji i ukierunkowanie terytorialne </w:t>
            </w:r>
          </w:p>
        </w:tc>
      </w:tr>
      <w:tr w:rsidR="005B1DF2" w:rsidRPr="00890249" w14:paraId="1F82F852" w14:textId="77777777" w:rsidTr="00A4690F">
        <w:tc>
          <w:tcPr>
            <w:tcW w:w="1599" w:type="dxa"/>
            <w:shd w:val="clear" w:color="auto" w:fill="F2F2F2" w:themeFill="background1" w:themeFillShade="F2"/>
          </w:tcPr>
          <w:p w14:paraId="7A37DA0E"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4BB5419F"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03A35864"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2C82AFD3"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2C9FEDAC"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0E6DA5EC" w14:textId="77777777" w:rsidR="005B1DF2" w:rsidRPr="00890249" w:rsidRDefault="005B1DF2"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B1DF2" w:rsidRPr="00890249" w14:paraId="70E9B35A" w14:textId="77777777" w:rsidTr="00182923">
        <w:tc>
          <w:tcPr>
            <w:tcW w:w="1599" w:type="dxa"/>
            <w:vAlign w:val="center"/>
          </w:tcPr>
          <w:p w14:paraId="7E7D345B"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244E8DB5"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749F1BF6" w14:textId="77777777" w:rsidR="005B1DF2" w:rsidRPr="00890249" w:rsidRDefault="005B1DF2"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tcPr>
          <w:p w14:paraId="1700A9F3" w14:textId="22F85C21" w:rsidR="005B1DF2" w:rsidRPr="00890249" w:rsidRDefault="00602A7B"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w:t>
            </w:r>
          </w:p>
        </w:tc>
        <w:tc>
          <w:tcPr>
            <w:tcW w:w="1053" w:type="dxa"/>
          </w:tcPr>
          <w:p w14:paraId="0F84933E" w14:textId="2CF314C3" w:rsidR="00B6668B" w:rsidRPr="00890249" w:rsidRDefault="00372E01"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175" w:type="dxa"/>
          </w:tcPr>
          <w:p w14:paraId="6C115B55" w14:textId="0218AE90" w:rsidR="005B1DF2" w:rsidRPr="00890249" w:rsidRDefault="00602A7B" w:rsidP="00F62734">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10 000 000</w:t>
            </w:r>
            <w:r w:rsidR="00691799">
              <w:rPr>
                <w:rFonts w:asciiTheme="minorHAnsi" w:eastAsia="Times New Roman" w:hAnsiTheme="minorHAnsi" w:cstheme="minorHAnsi"/>
                <w:iCs/>
                <w:noProof/>
                <w:sz w:val="20"/>
              </w:rPr>
              <w:t xml:space="preserve"> </w:t>
            </w:r>
          </w:p>
        </w:tc>
      </w:tr>
    </w:tbl>
    <w:p w14:paraId="50927E0D"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9E79E4" w:rsidRPr="00890249" w14:paraId="116786DD" w14:textId="77777777" w:rsidTr="00A4690F">
        <w:tc>
          <w:tcPr>
            <w:tcW w:w="9288" w:type="dxa"/>
            <w:gridSpan w:val="6"/>
            <w:shd w:val="clear" w:color="auto" w:fill="D9D9D9" w:themeFill="background1" w:themeFillShade="D9"/>
          </w:tcPr>
          <w:p w14:paraId="1EFAAA64"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7CBFE4B1" w14:textId="77777777" w:rsidTr="00A4690F">
        <w:tc>
          <w:tcPr>
            <w:tcW w:w="1599" w:type="dxa"/>
            <w:shd w:val="clear" w:color="auto" w:fill="F2F2F2" w:themeFill="background1" w:themeFillShade="F2"/>
          </w:tcPr>
          <w:p w14:paraId="4BAD792B"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590E38E4"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11A96D9B"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2BDE8091"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11F7096E"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D3170C4"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79E4" w:rsidRPr="00890249" w14:paraId="158B82C5" w14:textId="77777777" w:rsidTr="000B7697">
        <w:tc>
          <w:tcPr>
            <w:tcW w:w="1599" w:type="dxa"/>
            <w:vAlign w:val="center"/>
          </w:tcPr>
          <w:p w14:paraId="68B5642B"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11D0A7DB"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0CC4350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5E343246"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13799F9E"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3BED315D"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24248C12" w14:textId="2B3F29C7" w:rsidR="00114890" w:rsidRPr="00890249" w:rsidRDefault="00114890" w:rsidP="00264686">
      <w:pPr>
        <w:spacing w:before="0" w:after="240"/>
        <w:rPr>
          <w:rFonts w:asciiTheme="minorHAnsi" w:hAnsiTheme="minorHAnsi" w:cstheme="minorHAnsi"/>
          <w:b/>
          <w:noProof/>
          <w:color w:val="FF0000"/>
          <w:sz w:val="22"/>
          <w:szCs w:val="22"/>
        </w:rPr>
      </w:pPr>
    </w:p>
    <w:p w14:paraId="583CB02A" w14:textId="6F2948A4" w:rsidR="009E79E4" w:rsidRPr="00890249" w:rsidRDefault="009E79E4" w:rsidP="00890249">
      <w:pPr>
        <w:spacing w:before="0" w:after="160" w:line="259" w:lineRule="auto"/>
        <w:jc w:val="left"/>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9E79E4" w:rsidRPr="00890249" w14:paraId="0B7526FF" w14:textId="77777777" w:rsidTr="00E71C32">
        <w:tc>
          <w:tcPr>
            <w:tcW w:w="9322" w:type="dxa"/>
            <w:gridSpan w:val="6"/>
            <w:shd w:val="clear" w:color="auto" w:fill="D9D9D9" w:themeFill="background1" w:themeFillShade="D9"/>
          </w:tcPr>
          <w:p w14:paraId="291E537A" w14:textId="77777777" w:rsidR="009E79E4" w:rsidRPr="00890249" w:rsidRDefault="009E79E4" w:rsidP="000B7697">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lastRenderedPageBreak/>
              <w:t>Tabela 8: Wymiar 7 – wymiar „Równouprawnienie płci” w ramach EFS+, EFRR, Fundusz Spójności i FST</w:t>
            </w:r>
          </w:p>
        </w:tc>
      </w:tr>
      <w:tr w:rsidR="009E79E4" w:rsidRPr="00890249" w14:paraId="6DBC8F93" w14:textId="77777777" w:rsidTr="00E71C32">
        <w:tc>
          <w:tcPr>
            <w:tcW w:w="1570" w:type="dxa"/>
            <w:shd w:val="clear" w:color="auto" w:fill="F2F2F2" w:themeFill="background1" w:themeFillShade="F2"/>
          </w:tcPr>
          <w:p w14:paraId="2865B68A"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6118A4EC"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097BD4F1"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6EA4E7E8"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47619EA0"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070F36F8"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BB62A6" w:rsidRPr="00890249" w14:paraId="47E8D320" w14:textId="77777777" w:rsidTr="00E71C32">
        <w:tc>
          <w:tcPr>
            <w:tcW w:w="1570" w:type="dxa"/>
            <w:vAlign w:val="center"/>
          </w:tcPr>
          <w:p w14:paraId="75DCDF2E" w14:textId="77777777" w:rsidR="00BB62A6" w:rsidRPr="00890249" w:rsidRDefault="00BB62A6" w:rsidP="00E6123D">
            <w:pPr>
              <w:spacing w:before="0" w:after="160" w:line="259" w:lineRule="auto"/>
              <w:jc w:val="righ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360" w:type="dxa"/>
            <w:vAlign w:val="center"/>
          </w:tcPr>
          <w:p w14:paraId="356ACD64" w14:textId="77777777" w:rsidR="00BB62A6" w:rsidRPr="00890249" w:rsidRDefault="00BB62A6" w:rsidP="00E6123D">
            <w:pPr>
              <w:spacing w:before="0" w:after="160" w:line="259" w:lineRule="auto"/>
              <w:jc w:val="righ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5D563B89" w14:textId="77777777" w:rsidR="00BB62A6" w:rsidRPr="00890249" w:rsidRDefault="00BB62A6" w:rsidP="00E6123D">
            <w:pPr>
              <w:spacing w:before="0" w:after="160" w:line="259" w:lineRule="auto"/>
              <w:jc w:val="righ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vAlign w:val="center"/>
          </w:tcPr>
          <w:p w14:paraId="5036D82D" w14:textId="77777777" w:rsidR="00BB62A6" w:rsidRPr="00890249" w:rsidRDefault="00BB62A6" w:rsidP="004C456D">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(v)</w:t>
            </w:r>
          </w:p>
        </w:tc>
        <w:tc>
          <w:tcPr>
            <w:tcW w:w="1026" w:type="dxa"/>
            <w:shd w:val="clear" w:color="auto" w:fill="auto"/>
            <w:vAlign w:val="center"/>
          </w:tcPr>
          <w:p w14:paraId="63101548" w14:textId="300A2BBE" w:rsidR="00B6668B" w:rsidRPr="00890249" w:rsidRDefault="00D0622E" w:rsidP="00BA2F8E">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7B0D4A50" w14:textId="04537FD4" w:rsidR="00BB62A6" w:rsidRPr="00890249" w:rsidRDefault="00D0622E" w:rsidP="000528DA">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10</w:t>
            </w:r>
            <w:r w:rsidR="001344ED" w:rsidRPr="00890249">
              <w:rPr>
                <w:rFonts w:asciiTheme="minorHAnsi" w:eastAsia="Times New Roman" w:hAnsiTheme="minorHAnsi" w:cstheme="minorHAnsi"/>
                <w:iCs/>
                <w:noProof/>
                <w:sz w:val="20"/>
                <w:lang w:eastAsia="en-US" w:bidi="ar-SA"/>
              </w:rPr>
              <w:t xml:space="preserve"> 000 000</w:t>
            </w:r>
            <w:r w:rsidR="00691799">
              <w:rPr>
                <w:rFonts w:asciiTheme="minorHAnsi" w:eastAsia="Times New Roman" w:hAnsiTheme="minorHAnsi" w:cstheme="minorHAnsi"/>
                <w:iCs/>
                <w:noProof/>
                <w:sz w:val="20"/>
                <w:lang w:eastAsia="en-US" w:bidi="ar-SA"/>
              </w:rPr>
              <w:t xml:space="preserve"> </w:t>
            </w:r>
          </w:p>
        </w:tc>
      </w:tr>
    </w:tbl>
    <w:p w14:paraId="49F85A67" w14:textId="77777777" w:rsidR="00B015CA" w:rsidRPr="00890249" w:rsidRDefault="00B015CA" w:rsidP="005B1DF2">
      <w:pPr>
        <w:spacing w:before="0" w:after="160" w:line="259" w:lineRule="auto"/>
        <w:jc w:val="left"/>
        <w:rPr>
          <w:rFonts w:asciiTheme="minorHAnsi" w:hAnsiTheme="minorHAnsi" w:cstheme="minorHAnsi"/>
          <w:b/>
          <w:noProof/>
          <w:sz w:val="22"/>
          <w:szCs w:val="22"/>
        </w:rPr>
      </w:pPr>
    </w:p>
    <w:p w14:paraId="0A4B2F36" w14:textId="77777777" w:rsidR="00BC1861" w:rsidRPr="00890249" w:rsidRDefault="00BC1861" w:rsidP="00BC1861">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t>2.1.2.5 (vi) Cel szczegółowy</w:t>
      </w:r>
    </w:p>
    <w:p w14:paraId="015EE152" w14:textId="77777777" w:rsidR="00BC1861" w:rsidRPr="00890249" w:rsidRDefault="00BC1861" w:rsidP="00BC1861">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(vi) </w:t>
      </w:r>
      <w:r w:rsidRPr="00890249">
        <w:rPr>
          <w:rFonts w:asciiTheme="minorHAnsi" w:hAnsiTheme="minorHAnsi" w:cstheme="minorHAnsi"/>
          <w:b/>
          <w:noProof/>
          <w:color w:val="2F5496" w:themeColor="accent5" w:themeShade="BF"/>
        </w:rPr>
        <w:t>Wspieranie transformacji w kierunku gospodarki o obiegu zamkniętym i gospodarki zasobooszczędnej</w:t>
      </w:r>
    </w:p>
    <w:p w14:paraId="2FF6AAD5" w14:textId="77777777" w:rsidR="00BC1861" w:rsidRPr="00890249" w:rsidRDefault="00BC1861" w:rsidP="00BC1861">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2.1.2.5.1 (vi) Interwencje w ramach funduszy</w:t>
      </w:r>
    </w:p>
    <w:p w14:paraId="25046F05" w14:textId="77777777" w:rsidR="00BC1861" w:rsidRPr="00890249" w:rsidRDefault="00BC1861" w:rsidP="00BC1861">
      <w:pPr>
        <w:rPr>
          <w:rFonts w:asciiTheme="minorHAnsi" w:eastAsia="Times New Roman" w:hAnsiTheme="minorHAnsi" w:cstheme="minorHAnsi"/>
          <w:b/>
          <w:i/>
          <w:iCs/>
          <w:noProof/>
          <w:sz w:val="22"/>
          <w:szCs w:val="24"/>
        </w:rPr>
      </w:pPr>
      <w:r w:rsidRPr="00890249">
        <w:rPr>
          <w:rFonts w:asciiTheme="minorHAnsi" w:hAnsiTheme="minorHAnsi" w:cstheme="minorHAnsi"/>
          <w:b/>
          <w:noProof/>
          <w:color w:val="2F5496" w:themeColor="accent5" w:themeShade="BF"/>
          <w:sz w:val="22"/>
        </w:rPr>
        <w:t>Powiązane rodzaje działań</w:t>
      </w:r>
    </w:p>
    <w:p w14:paraId="44B6EE35" w14:textId="77777777" w:rsidR="0093433C" w:rsidRPr="00890249" w:rsidRDefault="2948028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201</w:t>
      </w:r>
      <w:r w:rsidR="311E04BB" w:rsidRPr="00890249">
        <w:rPr>
          <w:rFonts w:asciiTheme="minorHAnsi" w:hAnsiTheme="minorHAnsi" w:cstheme="minorHAnsi"/>
          <w:noProof/>
          <w:sz w:val="22"/>
          <w:szCs w:val="22"/>
        </w:rPr>
        <w:t>8</w:t>
      </w:r>
      <w:r w:rsidRPr="00890249">
        <w:rPr>
          <w:rFonts w:asciiTheme="minorHAnsi" w:hAnsiTheme="minorHAnsi" w:cstheme="minorHAnsi"/>
          <w:noProof/>
          <w:sz w:val="22"/>
          <w:szCs w:val="22"/>
        </w:rPr>
        <w:t xml:space="preserve"> r. na obszarze </w:t>
      </w:r>
      <w:r w:rsidR="5260AB37" w:rsidRPr="00890249">
        <w:rPr>
          <w:rFonts w:asciiTheme="minorHAnsi" w:hAnsiTheme="minorHAnsi" w:cstheme="minorHAnsi"/>
          <w:noProof/>
          <w:sz w:val="22"/>
          <w:szCs w:val="22"/>
        </w:rPr>
        <w:t>woj.</w:t>
      </w:r>
      <w:r w:rsidRPr="00890249">
        <w:rPr>
          <w:rFonts w:asciiTheme="minorHAnsi" w:hAnsiTheme="minorHAnsi" w:cstheme="minorHAnsi"/>
          <w:noProof/>
          <w:sz w:val="22"/>
          <w:szCs w:val="22"/>
        </w:rPr>
        <w:t xml:space="preserve"> opolskiego wytworzono łącznie ok. </w:t>
      </w:r>
      <w:r w:rsidR="311E04BB" w:rsidRPr="00890249">
        <w:rPr>
          <w:rFonts w:asciiTheme="minorHAnsi" w:hAnsiTheme="minorHAnsi" w:cstheme="minorHAnsi"/>
          <w:noProof/>
          <w:sz w:val="22"/>
          <w:szCs w:val="22"/>
        </w:rPr>
        <w:t>322,62 tys.</w:t>
      </w:r>
      <w:r w:rsidRPr="00890249">
        <w:rPr>
          <w:rFonts w:asciiTheme="minorHAnsi" w:hAnsiTheme="minorHAnsi" w:cstheme="minorHAnsi"/>
          <w:noProof/>
          <w:sz w:val="22"/>
          <w:szCs w:val="22"/>
        </w:rPr>
        <w:t xml:space="preserve"> ton odpadów komunalnych (</w:t>
      </w:r>
      <w:r w:rsidR="311E04BB" w:rsidRPr="00890249">
        <w:rPr>
          <w:rFonts w:asciiTheme="minorHAnsi" w:hAnsiTheme="minorHAnsi" w:cstheme="minorHAnsi"/>
          <w:noProof/>
          <w:sz w:val="22"/>
          <w:szCs w:val="22"/>
        </w:rPr>
        <w:t>327</w:t>
      </w:r>
      <w:r w:rsidRPr="00890249">
        <w:rPr>
          <w:rFonts w:asciiTheme="minorHAnsi" w:hAnsiTheme="minorHAnsi" w:cstheme="minorHAnsi"/>
          <w:noProof/>
          <w:sz w:val="22"/>
          <w:szCs w:val="22"/>
        </w:rPr>
        <w:t xml:space="preserve">kg/rok/mieszk.). Odpady komunalne w postaci odpadów zmieszanych wynosiły </w:t>
      </w:r>
      <w:r w:rsidR="7D7328AB" w:rsidRPr="00890249">
        <w:rPr>
          <w:rFonts w:asciiTheme="minorHAnsi" w:hAnsiTheme="minorHAnsi" w:cstheme="minorHAnsi"/>
          <w:noProof/>
          <w:sz w:val="22"/>
          <w:szCs w:val="22"/>
        </w:rPr>
        <w:t>216 323,02</w:t>
      </w:r>
      <w:r w:rsidRPr="00890249">
        <w:rPr>
          <w:rFonts w:asciiTheme="minorHAnsi" w:hAnsiTheme="minorHAnsi" w:cstheme="minorHAnsi"/>
          <w:noProof/>
          <w:sz w:val="22"/>
          <w:szCs w:val="22"/>
        </w:rPr>
        <w:t xml:space="preserve"> ton (21</w:t>
      </w:r>
      <w:r w:rsidR="7D7328AB" w:rsidRPr="00890249">
        <w:rPr>
          <w:rFonts w:asciiTheme="minorHAnsi" w:hAnsiTheme="minorHAnsi" w:cstheme="minorHAnsi"/>
          <w:noProof/>
          <w:sz w:val="22"/>
          <w:szCs w:val="22"/>
        </w:rPr>
        <w:t xml:space="preserve">8,9 </w:t>
      </w:r>
      <w:r w:rsidRPr="00890249">
        <w:rPr>
          <w:rFonts w:asciiTheme="minorHAnsi" w:hAnsiTheme="minorHAnsi" w:cstheme="minorHAnsi"/>
          <w:noProof/>
          <w:sz w:val="22"/>
          <w:szCs w:val="22"/>
        </w:rPr>
        <w:t>k</w:t>
      </w:r>
      <w:r w:rsidR="7D7328AB" w:rsidRPr="00890249">
        <w:rPr>
          <w:rFonts w:asciiTheme="minorHAnsi" w:hAnsiTheme="minorHAnsi" w:cstheme="minorHAnsi"/>
          <w:noProof/>
          <w:sz w:val="22"/>
          <w:szCs w:val="22"/>
        </w:rPr>
        <w:t>g</w:t>
      </w:r>
      <w:r w:rsidRPr="00890249">
        <w:rPr>
          <w:rFonts w:asciiTheme="minorHAnsi" w:hAnsiTheme="minorHAnsi" w:cstheme="minorHAnsi"/>
          <w:noProof/>
          <w:sz w:val="22"/>
          <w:szCs w:val="22"/>
        </w:rPr>
        <w:t xml:space="preserve">/rok/mieszk.), a ok. jedynie </w:t>
      </w:r>
      <w:r w:rsidR="7D7328AB" w:rsidRPr="00890249">
        <w:rPr>
          <w:rFonts w:asciiTheme="minorHAnsi" w:hAnsiTheme="minorHAnsi" w:cstheme="minorHAnsi"/>
          <w:noProof/>
          <w:sz w:val="22"/>
          <w:szCs w:val="22"/>
        </w:rPr>
        <w:t>106 297,93</w:t>
      </w:r>
      <w:r w:rsidRPr="00890249">
        <w:rPr>
          <w:rFonts w:asciiTheme="minorHAnsi" w:hAnsiTheme="minorHAnsi" w:cstheme="minorHAnsi"/>
          <w:noProof/>
          <w:sz w:val="22"/>
          <w:szCs w:val="22"/>
        </w:rPr>
        <w:t xml:space="preserve"> ton zebranych zostało w sposób selektywny. Widoczny jest wzrost ilości odpadów zebranych selektywnie, które w 201</w:t>
      </w:r>
      <w:r w:rsidR="7D7328AB" w:rsidRPr="00890249">
        <w:rPr>
          <w:rFonts w:asciiTheme="minorHAnsi" w:hAnsiTheme="minorHAnsi" w:cstheme="minorHAnsi"/>
          <w:noProof/>
          <w:sz w:val="22"/>
          <w:szCs w:val="22"/>
        </w:rPr>
        <w:t>8</w:t>
      </w:r>
      <w:r w:rsidRPr="00890249">
        <w:rPr>
          <w:rFonts w:asciiTheme="minorHAnsi" w:hAnsiTheme="minorHAnsi" w:cstheme="minorHAnsi"/>
          <w:noProof/>
          <w:sz w:val="22"/>
          <w:szCs w:val="22"/>
        </w:rPr>
        <w:t xml:space="preserve"> r. stanowiły </w:t>
      </w:r>
      <w:r w:rsidR="311E04BB" w:rsidRPr="00890249">
        <w:rPr>
          <w:rFonts w:asciiTheme="minorHAnsi" w:hAnsiTheme="minorHAnsi" w:cstheme="minorHAnsi"/>
          <w:noProof/>
          <w:sz w:val="22"/>
          <w:szCs w:val="22"/>
        </w:rPr>
        <w:t>32</w:t>
      </w:r>
      <w:r w:rsidRPr="00890249">
        <w:rPr>
          <w:rFonts w:asciiTheme="minorHAnsi" w:hAnsiTheme="minorHAnsi" w:cstheme="minorHAnsi"/>
          <w:noProof/>
          <w:sz w:val="22"/>
          <w:szCs w:val="22"/>
        </w:rPr>
        <w:t>,</w:t>
      </w:r>
      <w:r w:rsidR="311E04BB" w:rsidRPr="00890249">
        <w:rPr>
          <w:rFonts w:asciiTheme="minorHAnsi" w:hAnsiTheme="minorHAnsi" w:cstheme="minorHAnsi"/>
          <w:noProof/>
          <w:sz w:val="22"/>
          <w:szCs w:val="22"/>
        </w:rPr>
        <w:t>9</w:t>
      </w:r>
      <w:r w:rsidRPr="00890249">
        <w:rPr>
          <w:rFonts w:asciiTheme="minorHAnsi" w:hAnsiTheme="minorHAnsi" w:cstheme="minorHAnsi"/>
          <w:noProof/>
          <w:sz w:val="22"/>
          <w:szCs w:val="22"/>
        </w:rPr>
        <w:t xml:space="preserve">%, jednak podstawową metodą unieszkodliwiania odpadów komunalnych było w dalszym ciągu ich </w:t>
      </w:r>
      <w:r w:rsidR="5260AB37" w:rsidRPr="00890249">
        <w:rPr>
          <w:rFonts w:asciiTheme="minorHAnsi" w:hAnsiTheme="minorHAnsi" w:cstheme="minorHAnsi"/>
          <w:noProof/>
          <w:sz w:val="22"/>
          <w:szCs w:val="22"/>
        </w:rPr>
        <w:t>s</w:t>
      </w:r>
      <w:r w:rsidRPr="00890249">
        <w:rPr>
          <w:rFonts w:asciiTheme="minorHAnsi" w:hAnsiTheme="minorHAnsi" w:cstheme="minorHAnsi"/>
          <w:noProof/>
          <w:sz w:val="22"/>
          <w:szCs w:val="22"/>
        </w:rPr>
        <w:t>kładowanie</w:t>
      </w:r>
      <w:r w:rsidR="000D2470" w:rsidRPr="00890249">
        <w:rPr>
          <w:rFonts w:asciiTheme="minorHAnsi" w:hAnsiTheme="minorHAnsi" w:cstheme="minorHAnsi"/>
          <w:noProof/>
          <w:sz w:val="22"/>
          <w:szCs w:val="22"/>
          <w:vertAlign w:val="superscript"/>
        </w:rPr>
        <w:footnoteReference w:id="136"/>
      </w:r>
      <w:r w:rsidRPr="00890249">
        <w:rPr>
          <w:rFonts w:asciiTheme="minorHAnsi" w:hAnsiTheme="minorHAnsi" w:cstheme="minorHAnsi"/>
          <w:noProof/>
          <w:sz w:val="22"/>
          <w:szCs w:val="22"/>
        </w:rPr>
        <w:t xml:space="preserve">. </w:t>
      </w:r>
    </w:p>
    <w:p w14:paraId="1995D8B9" w14:textId="54D17616" w:rsidR="0093433C" w:rsidRPr="00890249" w:rsidRDefault="29480288" w:rsidP="00890249">
      <w:pPr>
        <w:pStyle w:val="Tekstpodstawowy"/>
        <w:rPr>
          <w:rFonts w:asciiTheme="minorHAnsi" w:hAnsiTheme="minorHAnsi" w:cstheme="minorHAnsi"/>
          <w:noProof/>
        </w:rPr>
      </w:pPr>
      <w:r w:rsidRPr="00890249">
        <w:rPr>
          <w:rFonts w:asciiTheme="minorHAnsi" w:hAnsiTheme="minorHAnsi" w:cstheme="minorHAnsi"/>
          <w:noProof/>
          <w:sz w:val="22"/>
          <w:szCs w:val="22"/>
        </w:rPr>
        <w:t xml:space="preserve">Wśród najważniejszych problemów gospodarowania odpadami komunalnymi w Planie Gospodarki Odpadami Województwa Opolskiego (PGO WO) wymienia się </w:t>
      </w:r>
      <w:r w:rsidR="5260AB37" w:rsidRPr="00890249">
        <w:rPr>
          <w:rFonts w:asciiTheme="minorHAnsi" w:hAnsiTheme="minorHAnsi" w:cstheme="minorHAnsi"/>
          <w:noProof/>
          <w:sz w:val="22"/>
          <w:szCs w:val="22"/>
        </w:rPr>
        <w:t>m.in.:</w:t>
      </w:r>
      <w:r w:rsidRPr="00890249">
        <w:rPr>
          <w:rFonts w:asciiTheme="minorHAnsi" w:hAnsiTheme="minorHAnsi" w:cstheme="minorHAnsi"/>
          <w:noProof/>
          <w:sz w:val="22"/>
          <w:szCs w:val="22"/>
        </w:rPr>
        <w:t xml:space="preserve"> brak PSZOK (Punkt Selektywnego </w:t>
      </w:r>
      <w:r w:rsidR="663615BE" w:rsidRPr="00890249">
        <w:rPr>
          <w:rFonts w:asciiTheme="minorHAnsi" w:hAnsiTheme="minorHAnsi" w:cstheme="minorHAnsi"/>
          <w:noProof/>
          <w:sz w:val="22"/>
          <w:szCs w:val="22"/>
        </w:rPr>
        <w:t>Przetwarzania</w:t>
      </w:r>
      <w:r w:rsidR="1974F1FA"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Odpadów Komunalnych) w niektórych gminach województwa, brak kompleksowych rozwiązań zapewniających zagospodarowanie odpadów wydzielonych w </w:t>
      </w:r>
      <w:r w:rsidR="000B0631" w:rsidRPr="00890249">
        <w:rPr>
          <w:rFonts w:asciiTheme="minorHAnsi" w:hAnsiTheme="minorHAnsi" w:cstheme="minorHAnsi"/>
          <w:noProof/>
          <w:sz w:val="22"/>
          <w:szCs w:val="22"/>
        </w:rPr>
        <w:t>instalacjach komunalnych</w:t>
      </w:r>
      <w:r w:rsidRPr="00890249">
        <w:rPr>
          <w:rFonts w:asciiTheme="minorHAnsi" w:hAnsiTheme="minorHAnsi" w:cstheme="minorHAnsi"/>
          <w:noProof/>
          <w:sz w:val="22"/>
          <w:szCs w:val="22"/>
        </w:rPr>
        <w:t>, zwłaszcza frakcji nienadających się do recyklingu, a</w:t>
      </w:r>
      <w:r w:rsidR="3B355DF2" w:rsidRPr="00890249">
        <w:rPr>
          <w:rFonts w:asciiTheme="minorHAnsi" w:hAnsiTheme="minorHAnsi" w:cstheme="minorHAnsi"/>
          <w:noProof/>
          <w:sz w:val="22"/>
          <w:szCs w:val="22"/>
        </w:rPr>
        <w:t> </w:t>
      </w:r>
      <w:r w:rsidRPr="00890249">
        <w:rPr>
          <w:rFonts w:asciiTheme="minorHAnsi" w:hAnsiTheme="minorHAnsi" w:cstheme="minorHAnsi"/>
          <w:noProof/>
          <w:sz w:val="22"/>
          <w:szCs w:val="22"/>
        </w:rPr>
        <w:t xml:space="preserve">posiadających ciepło spalania większe od 6 MJ/kg, zbyt mały </w:t>
      </w:r>
      <w:r w:rsidR="4F727035" w:rsidRPr="00890249">
        <w:rPr>
          <w:rFonts w:asciiTheme="minorHAnsi" w:hAnsiTheme="minorHAnsi" w:cstheme="minorHAnsi"/>
          <w:noProof/>
          <w:sz w:val="22"/>
          <w:szCs w:val="22"/>
        </w:rPr>
        <w:t>udział selektywnego zbierania u </w:t>
      </w:r>
      <w:r w:rsidRPr="00890249">
        <w:rPr>
          <w:rFonts w:asciiTheme="minorHAnsi" w:hAnsiTheme="minorHAnsi" w:cstheme="minorHAnsi"/>
          <w:noProof/>
          <w:sz w:val="22"/>
          <w:szCs w:val="22"/>
        </w:rPr>
        <w:t>źródła, który po jego poprawie zdecydowanie wpłynie na zmniejszenie masy i obniżenie kaloryczności odpadów powstających w instalacjach przetwarzających zmieszane odpady komunalne, a także niski poziom świadomości ekologicznej</w:t>
      </w:r>
      <w:r w:rsidR="000D2470" w:rsidRPr="00890249">
        <w:rPr>
          <w:rFonts w:asciiTheme="minorHAnsi" w:hAnsiTheme="minorHAnsi" w:cstheme="minorHAnsi"/>
          <w:noProof/>
          <w:sz w:val="22"/>
          <w:szCs w:val="22"/>
          <w:vertAlign w:val="superscript"/>
        </w:rPr>
        <w:footnoteReference w:id="137"/>
      </w:r>
      <w:r w:rsidRPr="00890249">
        <w:rPr>
          <w:rFonts w:asciiTheme="minorHAnsi" w:hAnsiTheme="minorHAnsi" w:cstheme="minorHAnsi"/>
          <w:noProof/>
          <w:sz w:val="22"/>
          <w:szCs w:val="22"/>
        </w:rPr>
        <w:t>.</w:t>
      </w:r>
    </w:p>
    <w:p w14:paraId="5A3045E6" w14:textId="77777777" w:rsidR="0093433C" w:rsidRPr="00890249" w:rsidRDefault="2948028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kontekście poprawy funkcjonowania gospodarki odpadami w województwie kluczowy jest więc dalszy rozwój systemów selektywnego zbierania odpadów zapewniających pozyskanie odpadów nadających się do recyklingu oraz rozwój instalacji do przetwarzania bioodpadów</w:t>
      </w:r>
      <w:r w:rsidR="000D2470" w:rsidRPr="00890249">
        <w:rPr>
          <w:rFonts w:asciiTheme="minorHAnsi" w:hAnsiTheme="minorHAnsi" w:cstheme="minorHAnsi"/>
          <w:noProof/>
          <w:sz w:val="22"/>
          <w:szCs w:val="22"/>
          <w:vertAlign w:val="superscript"/>
        </w:rPr>
        <w:footnoteReference w:id="138"/>
      </w:r>
      <w:r w:rsidRPr="00890249">
        <w:rPr>
          <w:rFonts w:asciiTheme="minorHAnsi" w:hAnsiTheme="minorHAnsi" w:cstheme="minorHAnsi"/>
          <w:noProof/>
          <w:sz w:val="22"/>
          <w:szCs w:val="22"/>
        </w:rPr>
        <w:t>. Pomimo znacznego postępu w recyklingu i zagospodarowywaniu odpadów, w dalszym ciągu dominującym jest model linearny (wytworzyć – zużyć – wyrzucić). Dlatego też w celu wsparcia przechodzenia na gospodarkę o obiegu zamkniętym konieczne jest zapewnienie efektywnego funkcjonowania systemu gospodarki odpadami komunalnymi oraz odpowiedniego ich przetwarzania w instalacjach. Niezbędne jest zatem wykorzystanie nowoczesnych technologii i systemów selektywnej zbiórki odpadów komunalnych (z otwarciem na wykorzystanie rozwiązań z zakresu ekoinnowacji) oraz zastosowanie podejścia pozwalającego spojrzeć na odpady jako źródło wysokiej jakości surowców wtórnych, napęd rozwoju nowych technologii w recyklingu i produkcji surowców do wytwarzania energii odnawialnej</w:t>
      </w:r>
      <w:r w:rsidR="000D2470" w:rsidRPr="00890249">
        <w:rPr>
          <w:rFonts w:asciiTheme="minorHAnsi" w:hAnsiTheme="minorHAnsi" w:cstheme="minorHAnsi"/>
          <w:noProof/>
          <w:sz w:val="22"/>
          <w:szCs w:val="22"/>
          <w:vertAlign w:val="superscript"/>
        </w:rPr>
        <w:footnoteReference w:id="139"/>
      </w:r>
      <w:r w:rsidRPr="00890249">
        <w:rPr>
          <w:rFonts w:asciiTheme="minorHAnsi" w:hAnsiTheme="minorHAnsi" w:cstheme="minorHAnsi"/>
          <w:noProof/>
          <w:sz w:val="22"/>
          <w:szCs w:val="22"/>
        </w:rPr>
        <w:t xml:space="preserve">. </w:t>
      </w:r>
    </w:p>
    <w:p w14:paraId="6EC7D2C2" w14:textId="77777777" w:rsidR="0093433C" w:rsidRPr="00890249" w:rsidRDefault="000D247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interwencji ważna będzie zatem intensyfikacja dzi</w:t>
      </w:r>
      <w:r w:rsidR="001B5364" w:rsidRPr="00890249">
        <w:rPr>
          <w:rFonts w:asciiTheme="minorHAnsi" w:hAnsiTheme="minorHAnsi" w:cstheme="minorHAnsi"/>
          <w:noProof/>
          <w:sz w:val="22"/>
          <w:szCs w:val="22"/>
        </w:rPr>
        <w:t>a</w:t>
      </w:r>
      <w:r w:rsidRPr="00890249">
        <w:rPr>
          <w:rFonts w:asciiTheme="minorHAnsi" w:hAnsiTheme="minorHAnsi" w:cstheme="minorHAnsi"/>
          <w:noProof/>
          <w:sz w:val="22"/>
          <w:szCs w:val="22"/>
        </w:rPr>
        <w:t>łań skierowanych na odzysk, recykling oraz wdr</w:t>
      </w:r>
      <w:r w:rsidR="00CC1C1B" w:rsidRPr="00890249">
        <w:rPr>
          <w:rFonts w:asciiTheme="minorHAnsi" w:hAnsiTheme="minorHAnsi" w:cstheme="minorHAnsi"/>
          <w:noProof/>
          <w:sz w:val="22"/>
          <w:szCs w:val="22"/>
        </w:rPr>
        <w:t>a</w:t>
      </w:r>
      <w:r w:rsidRPr="00890249">
        <w:rPr>
          <w:rFonts w:asciiTheme="minorHAnsi" w:hAnsiTheme="minorHAnsi" w:cstheme="minorHAnsi"/>
          <w:noProof/>
          <w:sz w:val="22"/>
          <w:szCs w:val="22"/>
        </w:rPr>
        <w:t xml:space="preserve">żanie systemów przyczyniających się do ograniczenia ilości odpadów unieszkodliwianych na </w:t>
      </w:r>
      <w:r w:rsidRPr="00890249">
        <w:rPr>
          <w:rFonts w:asciiTheme="minorHAnsi" w:hAnsiTheme="minorHAnsi" w:cstheme="minorHAnsi"/>
          <w:noProof/>
          <w:sz w:val="22"/>
          <w:szCs w:val="22"/>
        </w:rPr>
        <w:lastRenderedPageBreak/>
        <w:t xml:space="preserve">składowiskach odpadów. Interwencje w sektorze gospodarki odpadami będą realizowane zgodnie </w:t>
      </w:r>
      <w:r w:rsidRPr="00890249">
        <w:rPr>
          <w:rFonts w:asciiTheme="minorHAnsi" w:hAnsiTheme="minorHAnsi" w:cstheme="minorHAnsi"/>
          <w:noProof/>
          <w:sz w:val="22"/>
          <w:szCs w:val="22"/>
        </w:rPr>
        <w:br/>
        <w:t xml:space="preserve">z hierarchią sposobów postępowania z odpadami, która nadaje priorytet zapobieganiu ich powstawania, selektywnej zbiórce odpadów, a także przygotowaniu do ponownego użycia </w:t>
      </w:r>
      <w:r w:rsidR="003B640E" w:rsidRPr="00890249">
        <w:rPr>
          <w:rFonts w:asciiTheme="minorHAnsi" w:hAnsiTheme="minorHAnsi" w:cstheme="minorHAnsi"/>
          <w:noProof/>
          <w:sz w:val="22"/>
          <w:szCs w:val="22"/>
        </w:rPr>
        <w:br/>
      </w:r>
      <w:r w:rsidRPr="00890249">
        <w:rPr>
          <w:rFonts w:asciiTheme="minorHAnsi" w:hAnsiTheme="minorHAnsi" w:cstheme="minorHAnsi"/>
          <w:noProof/>
          <w:sz w:val="22"/>
          <w:szCs w:val="22"/>
        </w:rPr>
        <w:t xml:space="preserve">i recyklingowi. </w:t>
      </w:r>
    </w:p>
    <w:p w14:paraId="64F868C0" w14:textId="77777777" w:rsidR="0093433C" w:rsidRPr="00890249" w:rsidRDefault="000D247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Ważnym elementem podejmowanych działań będzie również edukacja oraz promocja założeń dotyczących gospodarki cyrkularnej. Proces uświadamiania społeczeństwa w ramach projektów powinien przyczynić się do wytworzenia poczucia indywidualnej odpowiedzialności obywateli za wytwarzane przez nich odpady.</w:t>
      </w:r>
    </w:p>
    <w:p w14:paraId="700ED695" w14:textId="1205E12B" w:rsidR="0093433C" w:rsidRPr="00890249" w:rsidRDefault="0027272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zakresie projektów dot. PSZOK, priorytetowo traktowane będą przedsięwzięcia łączące PSZOK z innymi formami </w:t>
      </w:r>
      <w:r w:rsidR="00EB30B7" w:rsidRPr="00890249">
        <w:rPr>
          <w:rFonts w:asciiTheme="minorHAnsi" w:hAnsiTheme="minorHAnsi" w:cstheme="minorHAnsi"/>
          <w:noProof/>
          <w:sz w:val="22"/>
          <w:szCs w:val="22"/>
        </w:rPr>
        <w:t>usług</w:t>
      </w:r>
      <w:r w:rsidR="00357DBD" w:rsidRPr="00890249">
        <w:rPr>
          <w:rFonts w:asciiTheme="minorHAnsi" w:hAnsiTheme="minorHAnsi" w:cstheme="minorHAnsi"/>
          <w:noProof/>
          <w:sz w:val="22"/>
          <w:szCs w:val="22"/>
        </w:rPr>
        <w:t>, takich jak punkty napraw</w:t>
      </w:r>
      <w:r w:rsidRPr="00890249">
        <w:rPr>
          <w:rFonts w:asciiTheme="minorHAnsi" w:hAnsiTheme="minorHAnsi" w:cstheme="minorHAnsi"/>
          <w:noProof/>
          <w:sz w:val="22"/>
          <w:szCs w:val="22"/>
        </w:rPr>
        <w:t>, dzia</w:t>
      </w:r>
      <w:r w:rsidR="006A700D" w:rsidRPr="00890249">
        <w:rPr>
          <w:rFonts w:asciiTheme="minorHAnsi" w:hAnsiTheme="minorHAnsi" w:cstheme="minorHAnsi"/>
          <w:noProof/>
          <w:sz w:val="22"/>
          <w:szCs w:val="22"/>
        </w:rPr>
        <w:t>łania</w:t>
      </w:r>
      <w:r w:rsidRPr="00890249">
        <w:rPr>
          <w:rFonts w:asciiTheme="minorHAnsi" w:hAnsiTheme="minorHAnsi" w:cstheme="minorHAnsi"/>
          <w:noProof/>
          <w:sz w:val="22"/>
          <w:szCs w:val="22"/>
        </w:rPr>
        <w:t xml:space="preserve"> edukacyjn</w:t>
      </w:r>
      <w:r w:rsidR="006A700D" w:rsidRPr="00890249">
        <w:rPr>
          <w:rFonts w:asciiTheme="minorHAnsi" w:hAnsiTheme="minorHAnsi" w:cstheme="minorHAnsi"/>
          <w:noProof/>
          <w:sz w:val="22"/>
          <w:szCs w:val="22"/>
        </w:rPr>
        <w:t>e</w:t>
      </w:r>
      <w:r w:rsidRPr="00890249">
        <w:rPr>
          <w:rFonts w:asciiTheme="minorHAnsi" w:hAnsiTheme="minorHAnsi" w:cstheme="minorHAnsi"/>
          <w:noProof/>
          <w:sz w:val="22"/>
          <w:szCs w:val="22"/>
        </w:rPr>
        <w:t xml:space="preserve"> lub inn</w:t>
      </w:r>
      <w:r w:rsidR="006A700D" w:rsidRPr="00890249">
        <w:rPr>
          <w:rFonts w:asciiTheme="minorHAnsi" w:hAnsiTheme="minorHAnsi" w:cstheme="minorHAnsi"/>
          <w:noProof/>
          <w:sz w:val="22"/>
          <w:szCs w:val="22"/>
        </w:rPr>
        <w:t>e</w:t>
      </w:r>
      <w:r w:rsidRPr="00890249">
        <w:rPr>
          <w:rFonts w:asciiTheme="minorHAnsi" w:hAnsiTheme="minorHAnsi" w:cstheme="minorHAnsi"/>
          <w:noProof/>
          <w:sz w:val="22"/>
          <w:szCs w:val="22"/>
        </w:rPr>
        <w:t xml:space="preserve"> rozwiązania ekologicz</w:t>
      </w:r>
      <w:r w:rsidR="006A700D" w:rsidRPr="00890249">
        <w:rPr>
          <w:rFonts w:asciiTheme="minorHAnsi" w:hAnsiTheme="minorHAnsi" w:cstheme="minorHAnsi"/>
          <w:noProof/>
          <w:sz w:val="22"/>
          <w:szCs w:val="22"/>
        </w:rPr>
        <w:t>ne.</w:t>
      </w:r>
    </w:p>
    <w:p w14:paraId="4B00472F" w14:textId="77777777" w:rsidR="0093433C" w:rsidRPr="00890249" w:rsidRDefault="00FB0DA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Podstawowym dokumentem w zakresie gospodarki odpadami/zasobami jest Wojewódzki Plan Gospodarki Odpadami</w:t>
      </w:r>
      <w:r w:rsidR="00553470"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 </w:t>
      </w:r>
      <w:r w:rsidR="00553470" w:rsidRPr="00890249">
        <w:rPr>
          <w:rFonts w:asciiTheme="minorHAnsi" w:hAnsiTheme="minorHAnsi" w:cstheme="minorHAnsi"/>
          <w:noProof/>
          <w:sz w:val="22"/>
          <w:szCs w:val="22"/>
        </w:rPr>
        <w:t>P</w:t>
      </w:r>
      <w:r w:rsidRPr="00890249">
        <w:rPr>
          <w:rFonts w:asciiTheme="minorHAnsi" w:hAnsiTheme="minorHAnsi" w:cstheme="minorHAnsi"/>
          <w:noProof/>
          <w:sz w:val="22"/>
          <w:szCs w:val="22"/>
        </w:rPr>
        <w:t>rojekty</w:t>
      </w:r>
      <w:r w:rsidR="00553470" w:rsidRPr="00890249">
        <w:rPr>
          <w:rFonts w:asciiTheme="minorHAnsi" w:hAnsiTheme="minorHAnsi" w:cstheme="minorHAnsi"/>
          <w:noProof/>
          <w:sz w:val="22"/>
          <w:szCs w:val="22"/>
        </w:rPr>
        <w:t xml:space="preserve"> realizowane w zakresie gospodarki odpadami komunalnymi</w:t>
      </w:r>
      <w:r w:rsidRPr="00890249">
        <w:rPr>
          <w:rFonts w:asciiTheme="minorHAnsi" w:hAnsiTheme="minorHAnsi" w:cstheme="minorHAnsi"/>
          <w:noProof/>
          <w:sz w:val="22"/>
          <w:szCs w:val="22"/>
        </w:rPr>
        <w:t xml:space="preserve"> muszą wykazywać zgodność z </w:t>
      </w:r>
      <w:r w:rsidR="00BC2534" w:rsidRPr="00890249">
        <w:rPr>
          <w:rFonts w:asciiTheme="minorHAnsi" w:hAnsiTheme="minorHAnsi" w:cstheme="minorHAnsi"/>
          <w:noProof/>
          <w:sz w:val="22"/>
          <w:szCs w:val="22"/>
        </w:rPr>
        <w:t xml:space="preserve">tym </w:t>
      </w:r>
      <w:r w:rsidRPr="00890249">
        <w:rPr>
          <w:rFonts w:asciiTheme="minorHAnsi" w:hAnsiTheme="minorHAnsi" w:cstheme="minorHAnsi"/>
          <w:noProof/>
          <w:sz w:val="22"/>
          <w:szCs w:val="22"/>
        </w:rPr>
        <w:t xml:space="preserve">dokumentem. Priorytetowo traktowane będą działania wspierające transformację w kierunku gospodarki o obiegu zamkniętym, </w:t>
      </w:r>
      <w:r w:rsidR="00083EE4" w:rsidRPr="00890249">
        <w:rPr>
          <w:rFonts w:asciiTheme="minorHAnsi" w:hAnsiTheme="minorHAnsi" w:cstheme="minorHAnsi"/>
          <w:noProof/>
          <w:sz w:val="22"/>
          <w:szCs w:val="22"/>
        </w:rPr>
        <w:t xml:space="preserve">czy też </w:t>
      </w:r>
      <w:r w:rsidRPr="00890249">
        <w:rPr>
          <w:rFonts w:asciiTheme="minorHAnsi" w:hAnsiTheme="minorHAnsi" w:cstheme="minorHAnsi"/>
          <w:noProof/>
          <w:sz w:val="22"/>
          <w:szCs w:val="22"/>
        </w:rPr>
        <w:t>wdrażanie innowacyjnych technologii przyjaznych środowisku.</w:t>
      </w:r>
    </w:p>
    <w:p w14:paraId="74FBA027" w14:textId="77777777" w:rsidR="0093433C" w:rsidRPr="00890249" w:rsidRDefault="00824E4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We 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 </w:t>
      </w:r>
    </w:p>
    <w:p w14:paraId="39EB1ABF" w14:textId="77777777" w:rsidR="0093433C" w:rsidRPr="00890249" w:rsidRDefault="29480288" w:rsidP="00890249">
      <w:pPr>
        <w:pStyle w:val="Tekstpodstawowy"/>
        <w:rPr>
          <w:rFonts w:asciiTheme="minorHAnsi" w:hAnsiTheme="minorHAnsi" w:cstheme="minorHAnsi"/>
          <w:i/>
          <w:iCs/>
          <w:noProof/>
          <w:sz w:val="22"/>
          <w:szCs w:val="22"/>
        </w:rPr>
      </w:pPr>
      <w:r w:rsidRPr="00890249">
        <w:rPr>
          <w:rFonts w:asciiTheme="minorHAnsi" w:hAnsiTheme="minorHAnsi" w:cstheme="minorHAnsi"/>
          <w:noProof/>
          <w:sz w:val="22"/>
          <w:szCs w:val="22"/>
        </w:rPr>
        <w:t>Działania planowane do realizacji wpisują się w zalecenia KE,</w:t>
      </w:r>
      <w:r w:rsidR="239197DE" w:rsidRPr="00890249">
        <w:rPr>
          <w:rFonts w:asciiTheme="minorHAnsi" w:hAnsiTheme="minorHAnsi" w:cstheme="minorHAnsi"/>
          <w:noProof/>
          <w:sz w:val="22"/>
          <w:szCs w:val="22"/>
        </w:rPr>
        <w:t xml:space="preserve"> w zakresie wspierania przejścia na gospodarkę o obiegu zamkniętym</w:t>
      </w:r>
      <w:r w:rsidR="5260AB37" w:rsidRPr="00890249">
        <w:rPr>
          <w:rFonts w:asciiTheme="minorHAnsi" w:hAnsiTheme="minorHAnsi" w:cstheme="minorHAnsi"/>
          <w:noProof/>
          <w:sz w:val="22"/>
          <w:szCs w:val="22"/>
        </w:rPr>
        <w:t>,</w:t>
      </w:r>
      <w:r w:rsidR="239197DE" w:rsidRPr="00890249">
        <w:rPr>
          <w:rFonts w:asciiTheme="minorHAnsi" w:hAnsiTheme="minorHAnsi" w:cstheme="minorHAnsi"/>
          <w:noProof/>
          <w:sz w:val="22"/>
          <w:szCs w:val="22"/>
        </w:rPr>
        <w:t xml:space="preserve"> m.in. poprzez wspieranie recyklingu odpadów komunalnych oraz podnoszenie świadomości obywateli</w:t>
      </w:r>
      <w:r w:rsidR="000D2470" w:rsidRPr="00890249">
        <w:rPr>
          <w:rFonts w:asciiTheme="minorHAnsi" w:hAnsiTheme="minorHAnsi" w:cstheme="minorHAnsi"/>
          <w:i/>
          <w:iCs/>
          <w:noProof/>
          <w:sz w:val="22"/>
          <w:szCs w:val="22"/>
          <w:vertAlign w:val="superscript"/>
        </w:rPr>
        <w:footnoteReference w:id="140"/>
      </w:r>
      <w:r w:rsidR="239197DE" w:rsidRPr="00890249">
        <w:rPr>
          <w:rFonts w:asciiTheme="minorHAnsi" w:hAnsiTheme="minorHAnsi" w:cstheme="minorHAnsi"/>
          <w:i/>
          <w:iCs/>
          <w:noProof/>
          <w:sz w:val="22"/>
          <w:szCs w:val="22"/>
        </w:rPr>
        <w:t>.</w:t>
      </w:r>
    </w:p>
    <w:p w14:paraId="134D5D17" w14:textId="77777777" w:rsidR="0093433C" w:rsidRPr="00890249" w:rsidRDefault="000D247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p>
    <w:p w14:paraId="194F071D" w14:textId="6E315718" w:rsidR="008263A0" w:rsidRPr="00890249" w:rsidRDefault="002D7121" w:rsidP="009F296A">
      <w:pPr>
        <w:pStyle w:val="Akapitzlist"/>
        <w:numPr>
          <w:ilvl w:val="0"/>
          <w:numId w:val="153"/>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P</w:t>
      </w:r>
      <w:r w:rsidR="0FB888E2" w:rsidRPr="00890249">
        <w:rPr>
          <w:rFonts w:asciiTheme="minorHAnsi" w:eastAsia="Times New Roman" w:hAnsiTheme="minorHAnsi" w:cstheme="minorHAnsi"/>
          <w:noProof/>
          <w:sz w:val="22"/>
          <w:szCs w:val="22"/>
        </w:rPr>
        <w:t>rojekty z zakresu gospodarki odpadami komunalnymi (np.</w:t>
      </w:r>
      <w:r w:rsidR="0415C009" w:rsidRPr="00890249">
        <w:rPr>
          <w:rFonts w:asciiTheme="minorHAnsi" w:hAnsiTheme="minorHAnsi" w:cstheme="minorHAnsi"/>
          <w:color w:val="212529"/>
          <w:sz w:val="22"/>
          <w:szCs w:val="22"/>
        </w:rPr>
        <w:t xml:space="preserve"> </w:t>
      </w:r>
      <w:r w:rsidR="0415C009" w:rsidRPr="00890249">
        <w:rPr>
          <w:rFonts w:asciiTheme="minorHAnsi" w:eastAsia="Times New Roman" w:hAnsiTheme="minorHAnsi" w:cstheme="minorHAnsi"/>
          <w:noProof/>
          <w:sz w:val="22"/>
          <w:szCs w:val="22"/>
        </w:rPr>
        <w:t>zapobieganie wytwarzania odpadów,</w:t>
      </w:r>
      <w:r w:rsidR="0FB888E2" w:rsidRPr="00890249">
        <w:rPr>
          <w:rFonts w:asciiTheme="minorHAnsi" w:eastAsia="Times New Roman" w:hAnsiTheme="minorHAnsi" w:cstheme="minorHAnsi"/>
          <w:noProof/>
          <w:sz w:val="22"/>
          <w:szCs w:val="22"/>
        </w:rPr>
        <w:t xml:space="preserve"> systemy selektywnego zbierania odpadów, PSZOK,</w:t>
      </w:r>
      <w:r w:rsidR="01C92ECE" w:rsidRPr="00890249">
        <w:rPr>
          <w:rFonts w:asciiTheme="minorHAnsi" w:eastAsia="Times New Roman" w:hAnsiTheme="minorHAnsi" w:cstheme="minorHAnsi"/>
          <w:noProof/>
          <w:sz w:val="22"/>
          <w:szCs w:val="22"/>
        </w:rPr>
        <w:t xml:space="preserve"> </w:t>
      </w:r>
      <w:r w:rsidR="00F86490" w:rsidRPr="00890249">
        <w:rPr>
          <w:rFonts w:asciiTheme="minorHAnsi" w:eastAsia="Times New Roman" w:hAnsiTheme="minorHAnsi" w:cstheme="minorHAnsi"/>
          <w:noProof/>
          <w:sz w:val="22"/>
          <w:szCs w:val="22"/>
        </w:rPr>
        <w:t xml:space="preserve">modernizacje </w:t>
      </w:r>
      <w:r w:rsidR="000E35EA" w:rsidRPr="00890249">
        <w:rPr>
          <w:rFonts w:asciiTheme="minorHAnsi" w:eastAsia="Times New Roman" w:hAnsiTheme="minorHAnsi" w:cstheme="minorHAnsi"/>
          <w:noProof/>
          <w:sz w:val="22"/>
          <w:szCs w:val="22"/>
        </w:rPr>
        <w:t xml:space="preserve">istniejących </w:t>
      </w:r>
      <w:r w:rsidR="00F86490" w:rsidRPr="00890249">
        <w:rPr>
          <w:rFonts w:asciiTheme="minorHAnsi" w:eastAsia="Times New Roman" w:hAnsiTheme="minorHAnsi" w:cstheme="minorHAnsi"/>
          <w:noProof/>
          <w:sz w:val="22"/>
          <w:szCs w:val="22"/>
        </w:rPr>
        <w:t>instalacj</w:t>
      </w:r>
      <w:r w:rsidR="00875C92" w:rsidRPr="00890249">
        <w:rPr>
          <w:rFonts w:asciiTheme="minorHAnsi" w:eastAsia="Times New Roman" w:hAnsiTheme="minorHAnsi" w:cstheme="minorHAnsi"/>
          <w:noProof/>
          <w:sz w:val="22"/>
          <w:szCs w:val="22"/>
        </w:rPr>
        <w:t>i</w:t>
      </w:r>
      <w:r w:rsidR="00F86490" w:rsidRPr="00890249">
        <w:rPr>
          <w:rFonts w:asciiTheme="minorHAnsi" w:eastAsia="Times New Roman" w:hAnsiTheme="minorHAnsi" w:cstheme="minorHAnsi"/>
          <w:noProof/>
          <w:sz w:val="22"/>
          <w:szCs w:val="22"/>
        </w:rPr>
        <w:t xml:space="preserve"> do przetwarzania odpadów, </w:t>
      </w:r>
      <w:r w:rsidR="6C6D8789" w:rsidRPr="00890249">
        <w:rPr>
          <w:rFonts w:asciiTheme="minorHAnsi" w:eastAsia="Times New Roman" w:hAnsiTheme="minorHAnsi" w:cstheme="minorHAnsi"/>
          <w:noProof/>
          <w:sz w:val="22"/>
          <w:szCs w:val="22"/>
        </w:rPr>
        <w:t>które prowadzą do</w:t>
      </w:r>
      <w:r w:rsidR="2D35C0AA" w:rsidRPr="00890249">
        <w:rPr>
          <w:rFonts w:asciiTheme="minorHAnsi" w:eastAsia="Times New Roman" w:hAnsiTheme="minorHAnsi" w:cstheme="minorHAnsi"/>
          <w:noProof/>
          <w:sz w:val="22"/>
          <w:szCs w:val="22"/>
        </w:rPr>
        <w:t xml:space="preserve"> zwi</w:t>
      </w:r>
      <w:r w:rsidR="00AE6E3C" w:rsidRPr="00890249">
        <w:rPr>
          <w:rFonts w:asciiTheme="minorHAnsi" w:eastAsia="Times New Roman" w:hAnsiTheme="minorHAnsi" w:cstheme="minorHAnsi"/>
          <w:noProof/>
          <w:sz w:val="22"/>
          <w:szCs w:val="22"/>
        </w:rPr>
        <w:t>ę</w:t>
      </w:r>
      <w:r w:rsidR="2D35C0AA" w:rsidRPr="00890249">
        <w:rPr>
          <w:rFonts w:asciiTheme="minorHAnsi" w:eastAsia="Times New Roman" w:hAnsiTheme="minorHAnsi" w:cstheme="minorHAnsi"/>
          <w:noProof/>
          <w:sz w:val="22"/>
          <w:szCs w:val="22"/>
        </w:rPr>
        <w:t xml:space="preserve">kszenia stopnia </w:t>
      </w:r>
      <w:r w:rsidR="1E9B0994" w:rsidRPr="00890249">
        <w:rPr>
          <w:rFonts w:asciiTheme="minorHAnsi" w:eastAsia="Times New Roman" w:hAnsiTheme="minorHAnsi" w:cstheme="minorHAnsi"/>
          <w:noProof/>
          <w:sz w:val="22"/>
          <w:szCs w:val="22"/>
        </w:rPr>
        <w:t xml:space="preserve">oraz </w:t>
      </w:r>
      <w:r w:rsidR="2D35C0AA" w:rsidRPr="00890249">
        <w:rPr>
          <w:rFonts w:asciiTheme="minorHAnsi" w:eastAsia="Times New Roman" w:hAnsiTheme="minorHAnsi" w:cstheme="minorHAnsi"/>
          <w:noProof/>
          <w:sz w:val="22"/>
          <w:szCs w:val="22"/>
        </w:rPr>
        <w:t>jako</w:t>
      </w:r>
      <w:r w:rsidR="00AE6E3C" w:rsidRPr="00890249">
        <w:rPr>
          <w:rFonts w:asciiTheme="minorHAnsi" w:eastAsia="Times New Roman" w:hAnsiTheme="minorHAnsi" w:cstheme="minorHAnsi"/>
          <w:noProof/>
          <w:sz w:val="22"/>
          <w:szCs w:val="22"/>
        </w:rPr>
        <w:t>ś</w:t>
      </w:r>
      <w:r w:rsidR="2D35C0AA" w:rsidRPr="00890249">
        <w:rPr>
          <w:rFonts w:asciiTheme="minorHAnsi" w:eastAsia="Times New Roman" w:hAnsiTheme="minorHAnsi" w:cstheme="minorHAnsi"/>
          <w:noProof/>
          <w:sz w:val="22"/>
          <w:szCs w:val="22"/>
        </w:rPr>
        <w:t>c</w:t>
      </w:r>
      <w:r w:rsidR="00F86490" w:rsidRPr="00890249">
        <w:rPr>
          <w:rFonts w:asciiTheme="minorHAnsi" w:eastAsia="Times New Roman" w:hAnsiTheme="minorHAnsi" w:cstheme="minorHAnsi"/>
          <w:noProof/>
          <w:sz w:val="22"/>
          <w:szCs w:val="22"/>
        </w:rPr>
        <w:t>i odzysku surowców</w:t>
      </w:r>
      <w:r w:rsidR="0FB888E2" w:rsidRPr="00890249">
        <w:rPr>
          <w:rFonts w:asciiTheme="minorHAnsi" w:eastAsia="Times New Roman" w:hAnsiTheme="minorHAnsi" w:cstheme="minorHAnsi"/>
          <w:noProof/>
          <w:sz w:val="22"/>
          <w:szCs w:val="22"/>
        </w:rPr>
        <w:t>, projekty w zakresie recyklingu, kompostowania i/lub sortowania)</w:t>
      </w:r>
      <w:r w:rsidRPr="00890249">
        <w:rPr>
          <w:rFonts w:asciiTheme="minorHAnsi" w:eastAsia="Times New Roman" w:hAnsiTheme="minorHAnsi" w:cstheme="minorHAnsi"/>
          <w:noProof/>
          <w:sz w:val="22"/>
          <w:szCs w:val="22"/>
        </w:rPr>
        <w:t>.</w:t>
      </w:r>
      <w:r w:rsidR="00F57A58" w:rsidRPr="00890249">
        <w:rPr>
          <w:rFonts w:asciiTheme="minorHAnsi" w:eastAsia="Times New Roman" w:hAnsiTheme="minorHAnsi" w:cstheme="minorHAnsi"/>
          <w:noProof/>
          <w:sz w:val="22"/>
          <w:szCs w:val="22"/>
        </w:rPr>
        <w:t xml:space="preserve"> </w:t>
      </w:r>
    </w:p>
    <w:p w14:paraId="659FD4CE" w14:textId="5B5A5889" w:rsidR="00AD66B2" w:rsidRPr="00890249" w:rsidRDefault="002D7121" w:rsidP="009F296A">
      <w:pPr>
        <w:pStyle w:val="Akapitzlist"/>
        <w:numPr>
          <w:ilvl w:val="0"/>
          <w:numId w:val="153"/>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T</w:t>
      </w:r>
      <w:r w:rsidR="00202611" w:rsidRPr="00890249">
        <w:rPr>
          <w:rFonts w:asciiTheme="minorHAnsi" w:eastAsia="Times New Roman" w:hAnsiTheme="minorHAnsi" w:cstheme="minorHAnsi"/>
          <w:noProof/>
          <w:sz w:val="22"/>
          <w:szCs w:val="22"/>
        </w:rPr>
        <w:t xml:space="preserve">worzenie strategii, planów, </w:t>
      </w:r>
      <w:r w:rsidR="00AD66B2" w:rsidRPr="00890249">
        <w:rPr>
          <w:rFonts w:asciiTheme="minorHAnsi" w:eastAsia="Times New Roman" w:hAnsiTheme="minorHAnsi" w:cstheme="minorHAnsi"/>
          <w:noProof/>
          <w:sz w:val="22"/>
          <w:szCs w:val="22"/>
        </w:rPr>
        <w:t>map drogow</w:t>
      </w:r>
      <w:r w:rsidR="00202611" w:rsidRPr="00890249">
        <w:rPr>
          <w:rFonts w:asciiTheme="minorHAnsi" w:eastAsia="Times New Roman" w:hAnsiTheme="minorHAnsi" w:cstheme="minorHAnsi"/>
          <w:noProof/>
          <w:sz w:val="22"/>
          <w:szCs w:val="22"/>
        </w:rPr>
        <w:t>ych</w:t>
      </w:r>
      <w:r w:rsidR="00AD66B2" w:rsidRPr="00890249">
        <w:rPr>
          <w:rFonts w:asciiTheme="minorHAnsi" w:eastAsia="Times New Roman" w:hAnsiTheme="minorHAnsi" w:cstheme="minorHAnsi"/>
          <w:noProof/>
          <w:sz w:val="22"/>
          <w:szCs w:val="22"/>
        </w:rPr>
        <w:t xml:space="preserve"> </w:t>
      </w:r>
      <w:r w:rsidR="00202611" w:rsidRPr="00890249">
        <w:rPr>
          <w:rFonts w:asciiTheme="minorHAnsi" w:eastAsia="Times New Roman" w:hAnsiTheme="minorHAnsi" w:cstheme="minorHAnsi"/>
          <w:noProof/>
          <w:sz w:val="22"/>
          <w:szCs w:val="22"/>
        </w:rPr>
        <w:t xml:space="preserve">dot. </w:t>
      </w:r>
      <w:r w:rsidR="00AD66B2" w:rsidRPr="00890249">
        <w:rPr>
          <w:rFonts w:asciiTheme="minorHAnsi" w:eastAsia="Times New Roman" w:hAnsiTheme="minorHAnsi" w:cstheme="minorHAnsi"/>
          <w:noProof/>
          <w:sz w:val="22"/>
          <w:szCs w:val="22"/>
        </w:rPr>
        <w:t>GOZ, pilotaże w zakresie badania oraz przeprojektowania przepływów materiałów, surowc</w:t>
      </w:r>
      <w:r w:rsidR="007B4A72" w:rsidRPr="00890249">
        <w:rPr>
          <w:rFonts w:asciiTheme="minorHAnsi" w:eastAsia="Times New Roman" w:hAnsiTheme="minorHAnsi" w:cstheme="minorHAnsi"/>
          <w:noProof/>
          <w:sz w:val="22"/>
          <w:szCs w:val="22"/>
        </w:rPr>
        <w:t>ó</w:t>
      </w:r>
      <w:r w:rsidR="00AD66B2" w:rsidRPr="00890249">
        <w:rPr>
          <w:rFonts w:asciiTheme="minorHAnsi" w:eastAsia="Times New Roman" w:hAnsiTheme="minorHAnsi" w:cstheme="minorHAnsi"/>
          <w:noProof/>
          <w:sz w:val="22"/>
          <w:szCs w:val="22"/>
        </w:rPr>
        <w:t>w na poziomie lokalnym, strategie zero waste</w:t>
      </w:r>
      <w:r w:rsidRPr="00890249">
        <w:rPr>
          <w:rFonts w:asciiTheme="minorHAnsi" w:eastAsia="Times New Roman" w:hAnsiTheme="minorHAnsi" w:cstheme="minorHAnsi"/>
          <w:noProof/>
          <w:sz w:val="22"/>
          <w:szCs w:val="22"/>
        </w:rPr>
        <w:t>.</w:t>
      </w:r>
    </w:p>
    <w:p w14:paraId="3FB3C78A" w14:textId="0226A99A" w:rsidR="00AC3713" w:rsidRPr="00890249" w:rsidRDefault="002D7121" w:rsidP="009F296A">
      <w:pPr>
        <w:pStyle w:val="Akapitzlist"/>
        <w:numPr>
          <w:ilvl w:val="0"/>
          <w:numId w:val="153"/>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P</w:t>
      </w:r>
      <w:r w:rsidR="00AC3713" w:rsidRPr="00890249">
        <w:rPr>
          <w:rFonts w:asciiTheme="minorHAnsi" w:eastAsia="Times New Roman" w:hAnsiTheme="minorHAnsi" w:cstheme="minorHAnsi"/>
          <w:noProof/>
          <w:sz w:val="22"/>
          <w:szCs w:val="22"/>
        </w:rPr>
        <w:t xml:space="preserve">rofesjonalne doradztwo i wsparcie szkoleniowe, audyty środowiskowe </w:t>
      </w:r>
      <w:r w:rsidR="005A51C0" w:rsidRPr="00890249">
        <w:rPr>
          <w:rFonts w:asciiTheme="minorHAnsi" w:eastAsia="Times New Roman" w:hAnsiTheme="minorHAnsi" w:cstheme="minorHAnsi"/>
          <w:noProof/>
          <w:sz w:val="22"/>
          <w:szCs w:val="22"/>
        </w:rPr>
        <w:t xml:space="preserve">i analizy techniczno-ekonomiczne </w:t>
      </w:r>
      <w:r w:rsidR="00AC3713" w:rsidRPr="00890249">
        <w:rPr>
          <w:rFonts w:asciiTheme="minorHAnsi" w:eastAsia="Times New Roman" w:hAnsiTheme="minorHAnsi" w:cstheme="minorHAnsi"/>
          <w:noProof/>
          <w:sz w:val="22"/>
          <w:szCs w:val="22"/>
        </w:rPr>
        <w:t xml:space="preserve">mające na celu </w:t>
      </w:r>
      <w:r w:rsidR="005A51C0" w:rsidRPr="00890249">
        <w:rPr>
          <w:rFonts w:asciiTheme="minorHAnsi" w:eastAsia="Times New Roman" w:hAnsiTheme="minorHAnsi" w:cstheme="minorHAnsi"/>
          <w:noProof/>
          <w:sz w:val="22"/>
          <w:szCs w:val="22"/>
        </w:rPr>
        <w:t>przygotowanie przedsiębiorstwa do przejścia z modelu liniowego na cyrkularny</w:t>
      </w:r>
      <w:r w:rsidRPr="00890249">
        <w:rPr>
          <w:rFonts w:asciiTheme="minorHAnsi" w:eastAsia="Times New Roman" w:hAnsiTheme="minorHAnsi" w:cstheme="minorHAnsi"/>
          <w:noProof/>
          <w:sz w:val="22"/>
          <w:szCs w:val="22"/>
        </w:rPr>
        <w:t>.</w:t>
      </w:r>
    </w:p>
    <w:p w14:paraId="6EFAD7C4" w14:textId="1A63EA4A" w:rsidR="00532158" w:rsidRPr="00890249" w:rsidRDefault="002D7121" w:rsidP="009F296A">
      <w:pPr>
        <w:pStyle w:val="Akapitzlist"/>
        <w:numPr>
          <w:ilvl w:val="0"/>
          <w:numId w:val="153"/>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E</w:t>
      </w:r>
      <w:r w:rsidR="685AA79A" w:rsidRPr="00890249">
        <w:rPr>
          <w:rFonts w:asciiTheme="minorHAnsi" w:eastAsia="Times New Roman" w:hAnsiTheme="minorHAnsi" w:cstheme="minorHAnsi"/>
          <w:noProof/>
          <w:sz w:val="22"/>
          <w:szCs w:val="22"/>
        </w:rPr>
        <w:t>dukacja w zakresie gospodarki o obiegu zamkniętym, w tym nowych modeli konsumpcji oraz hierar</w:t>
      </w:r>
      <w:r w:rsidR="003C74EB" w:rsidRPr="00890249">
        <w:rPr>
          <w:rFonts w:asciiTheme="minorHAnsi" w:eastAsia="Times New Roman" w:hAnsiTheme="minorHAnsi" w:cstheme="minorHAnsi"/>
          <w:noProof/>
          <w:sz w:val="22"/>
          <w:szCs w:val="22"/>
        </w:rPr>
        <w:t>c</w:t>
      </w:r>
      <w:r w:rsidR="685AA79A" w:rsidRPr="00890249">
        <w:rPr>
          <w:rFonts w:asciiTheme="minorHAnsi" w:eastAsia="Times New Roman" w:hAnsiTheme="minorHAnsi" w:cstheme="minorHAnsi"/>
          <w:noProof/>
          <w:sz w:val="22"/>
          <w:szCs w:val="22"/>
        </w:rPr>
        <w:t>hii postępowania z odpadami</w:t>
      </w:r>
      <w:r w:rsidRPr="00890249">
        <w:rPr>
          <w:rFonts w:asciiTheme="minorHAnsi" w:eastAsia="Times New Roman" w:hAnsiTheme="minorHAnsi" w:cstheme="minorHAnsi"/>
          <w:noProof/>
          <w:sz w:val="22"/>
          <w:szCs w:val="22"/>
        </w:rPr>
        <w:t>.</w:t>
      </w:r>
    </w:p>
    <w:p w14:paraId="283463DB" w14:textId="0D9F0F35" w:rsidR="0057118D" w:rsidRPr="00890249" w:rsidRDefault="002D7121" w:rsidP="009F296A">
      <w:pPr>
        <w:pStyle w:val="Akapitzlist"/>
        <w:numPr>
          <w:ilvl w:val="0"/>
          <w:numId w:val="153"/>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T</w:t>
      </w:r>
      <w:r w:rsidR="3ADA03BE" w:rsidRPr="00890249">
        <w:rPr>
          <w:rFonts w:asciiTheme="minorHAnsi" w:eastAsia="Times New Roman" w:hAnsiTheme="minorHAnsi" w:cstheme="minorHAnsi"/>
          <w:noProof/>
          <w:sz w:val="22"/>
          <w:szCs w:val="22"/>
        </w:rPr>
        <w:t>ermiczne przetwarzanie odpadów medycznych,</w:t>
      </w:r>
      <w:r w:rsidR="6F5DDFBF" w:rsidRPr="00890249">
        <w:rPr>
          <w:rFonts w:asciiTheme="minorHAnsi" w:eastAsia="Times New Roman" w:hAnsiTheme="minorHAnsi" w:cstheme="minorHAnsi"/>
          <w:noProof/>
          <w:sz w:val="22"/>
          <w:szCs w:val="22"/>
        </w:rPr>
        <w:t xml:space="preserve"> weterynaryjnych</w:t>
      </w:r>
      <w:r w:rsidR="5813DE27" w:rsidRPr="00890249">
        <w:rPr>
          <w:rFonts w:asciiTheme="minorHAnsi" w:eastAsia="Times New Roman" w:hAnsiTheme="minorHAnsi" w:cstheme="minorHAnsi"/>
          <w:noProof/>
          <w:sz w:val="22"/>
          <w:szCs w:val="22"/>
        </w:rPr>
        <w:t>,</w:t>
      </w:r>
      <w:r w:rsidR="6D2B001C" w:rsidRPr="00890249">
        <w:rPr>
          <w:rFonts w:asciiTheme="minorHAnsi" w:hAnsiTheme="minorHAnsi" w:cstheme="minorHAnsi"/>
          <w:sz w:val="22"/>
          <w:szCs w:val="22"/>
        </w:rPr>
        <w:t xml:space="preserve"> </w:t>
      </w:r>
      <w:r w:rsidR="6D2B001C" w:rsidRPr="00890249">
        <w:rPr>
          <w:rFonts w:asciiTheme="minorHAnsi" w:eastAsia="Times New Roman" w:hAnsiTheme="minorHAnsi" w:cstheme="minorHAnsi"/>
          <w:noProof/>
          <w:sz w:val="22"/>
          <w:szCs w:val="22"/>
        </w:rPr>
        <w:t>o ile inne metody zagospodarowania są niebezpieczne lub niemożliwe do zastosowania</w:t>
      </w:r>
      <w:r w:rsidR="5813DE27" w:rsidRPr="00890249">
        <w:rPr>
          <w:rFonts w:asciiTheme="minorHAnsi" w:eastAsia="Times New Roman" w:hAnsiTheme="minorHAnsi" w:cstheme="minorHAnsi"/>
          <w:noProof/>
          <w:sz w:val="22"/>
          <w:szCs w:val="22"/>
        </w:rPr>
        <w:t>, a beneficjent przedstawi analizę ekonomiczną uzasadniającą t</w:t>
      </w:r>
      <w:r w:rsidR="003C74EB" w:rsidRPr="00890249">
        <w:rPr>
          <w:rFonts w:asciiTheme="minorHAnsi" w:eastAsia="Times New Roman" w:hAnsiTheme="minorHAnsi" w:cstheme="minorHAnsi"/>
          <w:noProof/>
          <w:sz w:val="22"/>
          <w:szCs w:val="22"/>
        </w:rPr>
        <w:t>ę</w:t>
      </w:r>
      <w:r w:rsidR="5813DE27" w:rsidRPr="00890249">
        <w:rPr>
          <w:rFonts w:asciiTheme="minorHAnsi" w:eastAsia="Times New Roman" w:hAnsiTheme="minorHAnsi" w:cstheme="minorHAnsi"/>
          <w:noProof/>
          <w:sz w:val="22"/>
          <w:szCs w:val="22"/>
        </w:rPr>
        <w:t xml:space="preserve"> inwestycję</w:t>
      </w:r>
      <w:r w:rsidR="685AA79A" w:rsidRPr="00890249">
        <w:rPr>
          <w:rFonts w:asciiTheme="minorHAnsi" w:eastAsia="Times New Roman" w:hAnsiTheme="minorHAnsi" w:cstheme="minorHAnsi"/>
          <w:noProof/>
          <w:sz w:val="22"/>
          <w:szCs w:val="22"/>
        </w:rPr>
        <w:t>.</w:t>
      </w:r>
    </w:p>
    <w:p w14:paraId="7EA16B07" w14:textId="77777777" w:rsidR="0093433C" w:rsidRPr="00890249" w:rsidRDefault="0057118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Realizowane  przedsięwzięcia są zgodne z zasadą DNSH. Ze względu na ich charakter przyjmuje się, że nie mają negatywnego wpływu na środowisko</w:t>
      </w:r>
    </w:p>
    <w:p w14:paraId="5E5F6687" w14:textId="77777777" w:rsidR="001765C7" w:rsidRPr="00890249" w:rsidRDefault="001765C7" w:rsidP="00E95B1F">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0CED3BB0" w14:textId="5643CAD3" w:rsidR="001765C7" w:rsidRPr="00890249" w:rsidRDefault="00083EE4" w:rsidP="00E95B1F">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noProof/>
          <w:sz w:val="22"/>
          <w:szCs w:val="22"/>
        </w:rPr>
        <w:t>Mieszkańcy regionu, przedsiębiorcy</w:t>
      </w:r>
      <w:r w:rsidR="00BD71A2" w:rsidRPr="00890249">
        <w:rPr>
          <w:rFonts w:asciiTheme="minorHAnsi" w:hAnsiTheme="minorHAnsi" w:cstheme="minorHAnsi"/>
          <w:noProof/>
          <w:sz w:val="22"/>
          <w:szCs w:val="22"/>
        </w:rPr>
        <w:t>, jst</w:t>
      </w:r>
      <w:r w:rsidR="001765C7" w:rsidRPr="00890249">
        <w:rPr>
          <w:rFonts w:asciiTheme="minorHAnsi" w:hAnsiTheme="minorHAnsi" w:cstheme="minorHAnsi"/>
          <w:noProof/>
          <w:sz w:val="22"/>
          <w:szCs w:val="22"/>
        </w:rPr>
        <w:t>.</w:t>
      </w:r>
    </w:p>
    <w:p w14:paraId="04177EF8" w14:textId="77777777" w:rsidR="00E913BA" w:rsidRPr="00890249" w:rsidRDefault="007C0F20" w:rsidP="00E95B1F">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lastRenderedPageBreak/>
        <w:t xml:space="preserve">Działania na rzecz </w:t>
      </w:r>
      <w:r w:rsidR="001765C7" w:rsidRPr="00890249">
        <w:rPr>
          <w:rFonts w:asciiTheme="minorHAnsi" w:hAnsiTheme="minorHAnsi" w:cstheme="minorHAnsi"/>
          <w:b/>
          <w:noProof/>
          <w:color w:val="2F5496" w:themeColor="accent5" w:themeShade="BF"/>
          <w:sz w:val="22"/>
          <w:szCs w:val="22"/>
        </w:rPr>
        <w:t xml:space="preserve">zapewnienia </w:t>
      </w:r>
      <w:r w:rsidRPr="00890249">
        <w:rPr>
          <w:rFonts w:asciiTheme="minorHAnsi" w:hAnsiTheme="minorHAnsi" w:cstheme="minorHAnsi"/>
          <w:b/>
          <w:noProof/>
          <w:color w:val="2F5496" w:themeColor="accent5" w:themeShade="BF"/>
          <w:sz w:val="22"/>
          <w:szCs w:val="22"/>
        </w:rPr>
        <w:t xml:space="preserve">równości, </w:t>
      </w:r>
      <w:r w:rsidR="001765C7" w:rsidRPr="00890249">
        <w:rPr>
          <w:rFonts w:asciiTheme="minorHAnsi" w:hAnsiTheme="minorHAnsi" w:cstheme="minorHAnsi"/>
          <w:b/>
          <w:noProof/>
          <w:color w:val="2F5496" w:themeColor="accent5" w:themeShade="BF"/>
          <w:sz w:val="22"/>
          <w:szCs w:val="22"/>
        </w:rPr>
        <w:t>włączenia społecznego</w:t>
      </w:r>
      <w:r w:rsidRPr="00890249">
        <w:rPr>
          <w:rFonts w:asciiTheme="minorHAnsi" w:hAnsiTheme="minorHAnsi" w:cstheme="minorHAnsi"/>
          <w:b/>
          <w:noProof/>
          <w:color w:val="2F5496" w:themeColor="accent5" w:themeShade="BF"/>
          <w:sz w:val="22"/>
          <w:szCs w:val="22"/>
        </w:rPr>
        <w:t xml:space="preserve"> i niedyskryminacji</w:t>
      </w:r>
    </w:p>
    <w:p w14:paraId="54BE0657" w14:textId="77777777" w:rsidR="0093433C" w:rsidRPr="00890249" w:rsidRDefault="4CE7EC6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społeczności oraz brakiem wsparcia społecznego. </w:t>
      </w:r>
    </w:p>
    <w:p w14:paraId="1A310492" w14:textId="0B905D7D" w:rsidR="0093433C" w:rsidRPr="00890249" w:rsidRDefault="316D8AD1" w:rsidP="00890249">
      <w:pPr>
        <w:pStyle w:val="Tekstpodstawowy"/>
        <w:rPr>
          <w:rFonts w:asciiTheme="minorHAnsi" w:hAnsiTheme="minorHAnsi" w:cstheme="minorHAnsi"/>
          <w:noProof/>
          <w:sz w:val="22"/>
          <w:szCs w:val="22"/>
        </w:rPr>
      </w:pPr>
      <w:r w:rsidRPr="00890249">
        <w:rPr>
          <w:rFonts w:asciiTheme="minorHAnsi" w:eastAsia="Arial" w:hAnsiTheme="minorHAnsi" w:cstheme="minorHAnsi"/>
          <w:noProof/>
          <w:sz w:val="22"/>
          <w:szCs w:val="22"/>
        </w:rPr>
        <w:t xml:space="preserve">Z uwagi na zakres tematyczny celu szczegółowego </w:t>
      </w:r>
      <w:r w:rsidRPr="00890249">
        <w:rPr>
          <w:rFonts w:asciiTheme="minorHAnsi" w:hAnsiTheme="minorHAnsi" w:cstheme="minorHAnsi"/>
          <w:noProof/>
          <w:sz w:val="22"/>
          <w:szCs w:val="22"/>
        </w:rPr>
        <w:t>zapobieganie powstawaniu odpadów lub promowanie ponownego ich użycia oraz zwiększanie świadomości konsumentów w zakresie GOZ umożliwi przeciwdziałanie marnotrawieniu produktów żywnościowych, co pozwoli na udostępnienie niewykorzystanych produktów spożywczych osobom potrzebującym. Punkty napraw przywrócą przedmiotom ich sprawność, co poprzez brak konieczności zakupu nowych rzeczy zmniejszyć może zjawisko ubóstwa. Punkty przyjmowania rzeczy używanych, inicjatyw</w:t>
      </w:r>
      <w:r w:rsidR="000B2721">
        <w:rPr>
          <w:rFonts w:asciiTheme="minorHAnsi" w:hAnsiTheme="minorHAnsi" w:cstheme="minorHAnsi"/>
          <w:noProof/>
          <w:sz w:val="22"/>
          <w:szCs w:val="22"/>
        </w:rPr>
        <w:t>y współdzielenia (korzystanie z </w:t>
      </w:r>
      <w:r w:rsidRPr="00890249">
        <w:rPr>
          <w:rFonts w:asciiTheme="minorHAnsi" w:hAnsiTheme="minorHAnsi" w:cstheme="minorHAnsi"/>
          <w:noProof/>
          <w:sz w:val="22"/>
          <w:szCs w:val="22"/>
        </w:rPr>
        <w:t xml:space="preserve">tych samych produktów), zwiększenie świadomości konsumentów oraz instalacje umożliwiające spożywanie wody prosto z kranu będą pozytywnie wpływać na sytuacje materialną grup wrażliwych. Dzięki realizowanym projektom wsparcie uzyskają więc osoby </w:t>
      </w:r>
      <w:r w:rsidR="000B2721">
        <w:rPr>
          <w:rFonts w:asciiTheme="minorHAnsi" w:hAnsiTheme="minorHAnsi" w:cstheme="minorHAnsi"/>
          <w:noProof/>
          <w:sz w:val="22"/>
          <w:szCs w:val="22"/>
        </w:rPr>
        <w:t>wykluczone lub znajdujące się w </w:t>
      </w:r>
      <w:r w:rsidRPr="00890249">
        <w:rPr>
          <w:rFonts w:asciiTheme="minorHAnsi" w:hAnsiTheme="minorHAnsi" w:cstheme="minorHAnsi"/>
          <w:noProof/>
          <w:sz w:val="22"/>
          <w:szCs w:val="22"/>
        </w:rPr>
        <w:t xml:space="preserve">trudnej sytuacji materialnej, w tym osoby starsze, z niepełnosprawnościami, które są najbardziej narażone na zjawisko ubóstwa.  </w:t>
      </w:r>
    </w:p>
    <w:p w14:paraId="52F17EF2" w14:textId="77777777" w:rsidR="0093433C" w:rsidRPr="00890249" w:rsidRDefault="001765C7" w:rsidP="00890249">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Wskazanie konkretnych </w:t>
      </w:r>
      <w:r w:rsidR="000D2470" w:rsidRPr="00890249">
        <w:rPr>
          <w:rFonts w:asciiTheme="minorHAnsi" w:hAnsiTheme="minorHAnsi" w:cstheme="minorHAnsi"/>
          <w:b/>
          <w:noProof/>
          <w:color w:val="2F5496" w:themeColor="accent5" w:themeShade="BF"/>
          <w:sz w:val="22"/>
          <w:szCs w:val="22"/>
        </w:rPr>
        <w:t>terytori</w:t>
      </w:r>
      <w:r w:rsidRPr="00890249">
        <w:rPr>
          <w:rFonts w:asciiTheme="minorHAnsi" w:hAnsiTheme="minorHAnsi" w:cstheme="minorHAnsi"/>
          <w:b/>
          <w:noProof/>
          <w:color w:val="2F5496" w:themeColor="accent5" w:themeShade="BF"/>
          <w:sz w:val="22"/>
          <w:szCs w:val="22"/>
        </w:rPr>
        <w:t>ów objętych wsparciem</w:t>
      </w:r>
      <w:r w:rsidR="000D2470" w:rsidRPr="00890249">
        <w:rPr>
          <w:rFonts w:asciiTheme="minorHAnsi" w:hAnsiTheme="minorHAnsi" w:cstheme="minorHAnsi"/>
          <w:b/>
          <w:noProof/>
          <w:color w:val="2F5496" w:themeColor="accent5" w:themeShade="BF"/>
          <w:sz w:val="22"/>
          <w:szCs w:val="22"/>
        </w:rPr>
        <w:t>, z uwzględnieniem planowanego wykorzystania narzędzi terytorialnych</w:t>
      </w:r>
    </w:p>
    <w:p w14:paraId="35DC67A7" w14:textId="77777777" w:rsidR="0093433C" w:rsidRPr="00890249" w:rsidRDefault="007A480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2AB5C738" w14:textId="77777777" w:rsidR="001169B8" w:rsidRPr="00890249" w:rsidRDefault="001169B8" w:rsidP="001169B8">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Działania międzyregionalne, transgraniczne i transnarodowe</w:t>
      </w:r>
    </w:p>
    <w:p w14:paraId="15352967" w14:textId="77777777" w:rsidR="0093433C" w:rsidRPr="00890249" w:rsidRDefault="005612B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Zapewnienie stałego wzrostu regionu Morza Bałtyckiego bez zwiększania presji na środowisko, w tym wodę, powietrze i glebę, wymaga przejścia do gospodarki o obiegu zamkniętym. Działania w tym zakresie będą realizowane przede wszystkim w ramach programu Interreg Region Morza Bałtyckiego 2021-2027, który zakłada m.in.:</w:t>
      </w:r>
    </w:p>
    <w:p w14:paraId="3480CE1F" w14:textId="6508E508" w:rsidR="00B6668B" w:rsidRPr="00890249" w:rsidRDefault="005612BC" w:rsidP="00BA2F8E">
      <w:pPr>
        <w:ind w:left="426" w:hanging="426"/>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koordynowanie i wspieranie inicjatyw przedsiębiorców i</w:t>
      </w:r>
      <w:r w:rsidR="000B2721">
        <w:rPr>
          <w:rFonts w:asciiTheme="minorHAnsi" w:hAnsiTheme="minorHAnsi" w:cstheme="minorHAnsi"/>
          <w:noProof/>
          <w:sz w:val="22"/>
          <w:szCs w:val="22"/>
        </w:rPr>
        <w:t xml:space="preserve"> społeczeństwa obywatelskiego w </w:t>
      </w:r>
      <w:r w:rsidRPr="00890249">
        <w:rPr>
          <w:rFonts w:asciiTheme="minorHAnsi" w:hAnsiTheme="minorHAnsi" w:cstheme="minorHAnsi"/>
          <w:noProof/>
          <w:sz w:val="22"/>
          <w:szCs w:val="22"/>
        </w:rPr>
        <w:t>promowaniu gospodarki o obiegu zamkniętym i wspieraniu zmiany postaw, tj. tworzeniu świadomości możliwości związanych z gospodarką o obiegu zamkniętym wśród kadry zarządzającej przedsiębiorstw, właścicieli i konsumentów,</w:t>
      </w:r>
    </w:p>
    <w:p w14:paraId="4C7053AD" w14:textId="6F1E2DB0" w:rsidR="005612BC" w:rsidRPr="00890249" w:rsidRDefault="005612BC" w:rsidP="005612BC">
      <w:pPr>
        <w:ind w:left="426" w:hanging="426"/>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zastosowanie technologii cyfrowych w celu przekształcenia m</w:t>
      </w:r>
      <w:r w:rsidR="000B2721">
        <w:rPr>
          <w:rFonts w:asciiTheme="minorHAnsi" w:hAnsiTheme="minorHAnsi" w:cstheme="minorHAnsi"/>
          <w:noProof/>
          <w:sz w:val="22"/>
          <w:szCs w:val="22"/>
        </w:rPr>
        <w:t>odeli biznesowych z liniowych w </w:t>
      </w:r>
      <w:r w:rsidRPr="00890249">
        <w:rPr>
          <w:rFonts w:asciiTheme="minorHAnsi" w:hAnsiTheme="minorHAnsi" w:cstheme="minorHAnsi"/>
          <w:noProof/>
          <w:sz w:val="22"/>
          <w:szCs w:val="22"/>
        </w:rPr>
        <w:t>takie o obiegu zamkniętym, np. w celu dopasowania dostawców i producentów, śledzenia drogi komponentów i materiałów, pomocy w wirtualizacji produktów,</w:t>
      </w:r>
    </w:p>
    <w:p w14:paraId="0C46FA94" w14:textId="77777777" w:rsidR="005612BC" w:rsidRPr="00890249" w:rsidRDefault="005612BC" w:rsidP="005612BC">
      <w:pPr>
        <w:ind w:left="426" w:hanging="426"/>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mapowanie barier administracyjnych lub prawnych ograniczających podejście obiegu zamkniętego i określanie rozwiązań zgodnych z kompetencjami miast i regionów.</w:t>
      </w:r>
    </w:p>
    <w:p w14:paraId="221BE3D6" w14:textId="77588942" w:rsidR="0093433C" w:rsidRPr="00890249" w:rsidRDefault="005612B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Interwencje zaplanowane w FEO 2021-2027 spowodują efekt synergii, zwłaszcza w odniesieniu do działań edukacyjnych, projektów dotyczących gospodarki komunaln</w:t>
      </w:r>
      <w:r w:rsidR="003C74EB" w:rsidRPr="00890249">
        <w:rPr>
          <w:rFonts w:asciiTheme="minorHAnsi" w:hAnsiTheme="minorHAnsi" w:cstheme="minorHAnsi"/>
          <w:noProof/>
          <w:sz w:val="22"/>
          <w:szCs w:val="22"/>
        </w:rPr>
        <w:t>ej</w:t>
      </w:r>
      <w:r w:rsidRPr="00890249">
        <w:rPr>
          <w:rFonts w:asciiTheme="minorHAnsi" w:hAnsiTheme="minorHAnsi" w:cstheme="minorHAnsi"/>
          <w:noProof/>
          <w:sz w:val="22"/>
          <w:szCs w:val="22"/>
        </w:rPr>
        <w:t xml:space="preserve"> realizowanych przez samorządy, oraz wsparcia przedsiębiorców w zakresie przechodzenia na gospodarkę o obiegu zamkniętym, zasobooszczędną.</w:t>
      </w:r>
    </w:p>
    <w:p w14:paraId="5F73ECEE" w14:textId="77777777" w:rsidR="001169B8" w:rsidRPr="00890249" w:rsidRDefault="001169B8" w:rsidP="001169B8">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Planowane wykorzystanie instrumentów finansowych</w:t>
      </w:r>
    </w:p>
    <w:p w14:paraId="5D5F2354" w14:textId="48A80E55" w:rsidR="0093433C" w:rsidRPr="00890249" w:rsidRDefault="00083A4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ramach celu szczegółowego (vi) nie planuje się wykorzystania </w:t>
      </w:r>
      <w:r w:rsidR="00EE26C5" w:rsidRPr="00890249">
        <w:rPr>
          <w:rFonts w:asciiTheme="minorHAnsi" w:hAnsiTheme="minorHAnsi" w:cstheme="minorHAnsi"/>
          <w:noProof/>
          <w:sz w:val="22"/>
          <w:szCs w:val="22"/>
        </w:rPr>
        <w:t xml:space="preserve">IF, </w:t>
      </w:r>
      <w:r w:rsidR="003A6272" w:rsidRPr="00890249">
        <w:rPr>
          <w:rFonts w:asciiTheme="minorHAnsi" w:hAnsiTheme="minorHAnsi" w:cstheme="minorHAnsi"/>
          <w:noProof/>
          <w:sz w:val="22"/>
          <w:szCs w:val="22"/>
        </w:rPr>
        <w:t>mogłoby</w:t>
      </w:r>
      <w:r w:rsidR="00EE26C5" w:rsidRPr="00890249">
        <w:rPr>
          <w:rFonts w:asciiTheme="minorHAnsi" w:hAnsiTheme="minorHAnsi" w:cstheme="minorHAnsi"/>
          <w:noProof/>
          <w:sz w:val="22"/>
          <w:szCs w:val="22"/>
        </w:rPr>
        <w:t xml:space="preserve"> one</w:t>
      </w:r>
      <w:r w:rsidR="003A6272" w:rsidRPr="00890249">
        <w:rPr>
          <w:rFonts w:asciiTheme="minorHAnsi" w:hAnsiTheme="minorHAnsi" w:cstheme="minorHAnsi"/>
          <w:noProof/>
          <w:sz w:val="22"/>
          <w:szCs w:val="22"/>
        </w:rPr>
        <w:t xml:space="preserve"> spowodować spadek zainteresowania </w:t>
      </w:r>
      <w:r w:rsidR="00563886" w:rsidRPr="00890249">
        <w:rPr>
          <w:rFonts w:asciiTheme="minorHAnsi" w:hAnsiTheme="minorHAnsi" w:cstheme="minorHAnsi"/>
          <w:noProof/>
          <w:sz w:val="22"/>
          <w:szCs w:val="22"/>
        </w:rPr>
        <w:t>beneficjentów</w:t>
      </w:r>
      <w:r w:rsidR="005E2188" w:rsidRPr="00890249">
        <w:rPr>
          <w:rFonts w:asciiTheme="minorHAnsi" w:hAnsiTheme="minorHAnsi" w:cstheme="minorHAnsi"/>
          <w:noProof/>
          <w:sz w:val="22"/>
          <w:szCs w:val="22"/>
        </w:rPr>
        <w:t>.</w:t>
      </w:r>
    </w:p>
    <w:p w14:paraId="65A3C728" w14:textId="07A8ABD0" w:rsidR="0093433C" w:rsidRPr="00890249" w:rsidRDefault="00EE26C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S</w:t>
      </w:r>
      <w:r w:rsidR="003A6272" w:rsidRPr="00890249">
        <w:rPr>
          <w:rFonts w:asciiTheme="minorHAnsi" w:hAnsiTheme="minorHAnsi" w:cstheme="minorHAnsi"/>
          <w:noProof/>
          <w:sz w:val="22"/>
          <w:szCs w:val="22"/>
        </w:rPr>
        <w:t>ystem gospodarki odpadami</w:t>
      </w:r>
      <w:r w:rsidR="005E3693" w:rsidRPr="00890249">
        <w:rPr>
          <w:rFonts w:asciiTheme="minorHAnsi" w:hAnsiTheme="minorHAnsi" w:cstheme="minorHAnsi"/>
          <w:noProof/>
          <w:sz w:val="22"/>
          <w:szCs w:val="22"/>
        </w:rPr>
        <w:t>,</w:t>
      </w:r>
      <w:r w:rsidR="003A6272" w:rsidRPr="00890249">
        <w:rPr>
          <w:rFonts w:asciiTheme="minorHAnsi" w:hAnsiTheme="minorHAnsi" w:cstheme="minorHAnsi"/>
          <w:noProof/>
          <w:sz w:val="22"/>
          <w:szCs w:val="22"/>
        </w:rPr>
        <w:t xml:space="preserve"> za który odpowiedzialne są gminy</w:t>
      </w:r>
      <w:r w:rsidR="005E3693" w:rsidRPr="00890249">
        <w:rPr>
          <w:rFonts w:asciiTheme="minorHAnsi" w:hAnsiTheme="minorHAnsi" w:cstheme="minorHAnsi"/>
          <w:noProof/>
          <w:sz w:val="22"/>
          <w:szCs w:val="22"/>
        </w:rPr>
        <w:t>,</w:t>
      </w:r>
      <w:r w:rsidR="003A6272" w:rsidRPr="00890249">
        <w:rPr>
          <w:rFonts w:asciiTheme="minorHAnsi" w:hAnsiTheme="minorHAnsi" w:cstheme="minorHAnsi"/>
          <w:noProof/>
          <w:sz w:val="22"/>
          <w:szCs w:val="22"/>
        </w:rPr>
        <w:t xml:space="preserve"> jest oparty na samofinansowaniu się, czyli na opłatach mieszkańców, których wysokość powinna być ustalona na poziomie zabezpieczającym pokrycie </w:t>
      </w:r>
      <w:r w:rsidR="00165276" w:rsidRPr="00890249">
        <w:rPr>
          <w:rFonts w:asciiTheme="minorHAnsi" w:hAnsiTheme="minorHAnsi" w:cstheme="minorHAnsi"/>
          <w:noProof/>
          <w:sz w:val="22"/>
          <w:szCs w:val="22"/>
        </w:rPr>
        <w:t xml:space="preserve">jego </w:t>
      </w:r>
      <w:r w:rsidR="003A6272" w:rsidRPr="00890249">
        <w:rPr>
          <w:rFonts w:asciiTheme="minorHAnsi" w:hAnsiTheme="minorHAnsi" w:cstheme="minorHAnsi"/>
          <w:noProof/>
          <w:sz w:val="22"/>
          <w:szCs w:val="22"/>
        </w:rPr>
        <w:t xml:space="preserve">kosztów funkcjonowania. Skorzystanie z </w:t>
      </w:r>
      <w:r w:rsidR="00165276" w:rsidRPr="00890249">
        <w:rPr>
          <w:rFonts w:asciiTheme="minorHAnsi" w:hAnsiTheme="minorHAnsi" w:cstheme="minorHAnsi"/>
          <w:noProof/>
          <w:sz w:val="22"/>
          <w:szCs w:val="22"/>
        </w:rPr>
        <w:t>IF</w:t>
      </w:r>
      <w:r w:rsidR="003A6272" w:rsidRPr="00890249">
        <w:rPr>
          <w:rFonts w:asciiTheme="minorHAnsi" w:hAnsiTheme="minorHAnsi" w:cstheme="minorHAnsi"/>
          <w:noProof/>
          <w:sz w:val="22"/>
          <w:szCs w:val="22"/>
        </w:rPr>
        <w:t xml:space="preserve"> może spowodować dodatkowy wzrost cen i kosztów odbioru odpadów u mieszkańców, </w:t>
      </w:r>
      <w:r w:rsidR="00165276" w:rsidRPr="00890249">
        <w:rPr>
          <w:rFonts w:asciiTheme="minorHAnsi" w:hAnsiTheme="minorHAnsi" w:cstheme="minorHAnsi"/>
          <w:noProof/>
          <w:sz w:val="22"/>
          <w:szCs w:val="22"/>
        </w:rPr>
        <w:t>przez co</w:t>
      </w:r>
      <w:r w:rsidR="00997CF0" w:rsidRPr="00890249">
        <w:rPr>
          <w:rFonts w:asciiTheme="minorHAnsi" w:hAnsiTheme="minorHAnsi" w:cstheme="minorHAnsi"/>
          <w:noProof/>
          <w:sz w:val="22"/>
          <w:szCs w:val="22"/>
        </w:rPr>
        <w:t xml:space="preserve"> zwiększyć skalę istniejących w tym obszarze problemów, związanych np. ze wzrostem liczby nielegalnych wysypisk śmieci</w:t>
      </w:r>
      <w:r w:rsidR="005E2188" w:rsidRPr="00890249">
        <w:rPr>
          <w:rFonts w:asciiTheme="minorHAnsi" w:hAnsiTheme="minorHAnsi" w:cstheme="minorHAnsi"/>
          <w:noProof/>
          <w:sz w:val="22"/>
          <w:szCs w:val="22"/>
        </w:rPr>
        <w:t>.</w:t>
      </w:r>
    </w:p>
    <w:p w14:paraId="70D89EE7" w14:textId="00603F21" w:rsidR="0093433C" w:rsidRDefault="00724FF7" w:rsidP="00890249">
      <w:pPr>
        <w:pStyle w:val="Tekstpodstawowy"/>
        <w:rPr>
          <w:rFonts w:asciiTheme="minorHAnsi" w:hAnsiTheme="minorHAnsi" w:cstheme="minorHAnsi"/>
          <w:noProof/>
          <w:sz w:val="22"/>
          <w:szCs w:val="22"/>
          <w:lang w:eastAsia="en-US"/>
        </w:rPr>
      </w:pPr>
      <w:r w:rsidRPr="00890249">
        <w:rPr>
          <w:rFonts w:asciiTheme="minorHAnsi" w:hAnsiTheme="minorHAnsi" w:cstheme="minorHAnsi"/>
          <w:noProof/>
          <w:sz w:val="22"/>
          <w:szCs w:val="22"/>
          <w:lang w:eastAsia="en-US"/>
        </w:rPr>
        <w:lastRenderedPageBreak/>
        <w:t>Na chwilę obecną przedsiębiorstwa nie dostrzegają jeszcze długofalowych korzyści ekonomicznych będących następstwem przejścia na gospodarkę cyrkularną. Szansę</w:t>
      </w:r>
      <w:r w:rsidR="004617D3" w:rsidRPr="00890249">
        <w:rPr>
          <w:rFonts w:asciiTheme="minorHAnsi" w:hAnsiTheme="minorHAnsi" w:cstheme="minorHAnsi"/>
          <w:noProof/>
          <w:sz w:val="22"/>
          <w:szCs w:val="22"/>
          <w:lang w:eastAsia="en-US"/>
        </w:rPr>
        <w:t xml:space="preserve"> na zmianę myślenia </w:t>
      </w:r>
      <w:r w:rsidR="003C3880" w:rsidRPr="00890249">
        <w:rPr>
          <w:rFonts w:asciiTheme="minorHAnsi" w:hAnsiTheme="minorHAnsi" w:cstheme="minorHAnsi"/>
          <w:noProof/>
          <w:sz w:val="22"/>
          <w:szCs w:val="22"/>
          <w:lang w:eastAsia="en-US"/>
        </w:rPr>
        <w:t>upatruje się</w:t>
      </w:r>
      <w:r w:rsidRPr="00890249">
        <w:rPr>
          <w:rFonts w:asciiTheme="minorHAnsi" w:hAnsiTheme="minorHAnsi" w:cstheme="minorHAnsi"/>
          <w:noProof/>
          <w:sz w:val="22"/>
          <w:szCs w:val="22"/>
          <w:lang w:eastAsia="en-US"/>
        </w:rPr>
        <w:t xml:space="preserve"> w </w:t>
      </w:r>
      <w:r w:rsidR="004617D3" w:rsidRPr="00890249">
        <w:rPr>
          <w:rFonts w:asciiTheme="minorHAnsi" w:hAnsiTheme="minorHAnsi" w:cstheme="minorHAnsi"/>
          <w:noProof/>
          <w:sz w:val="22"/>
          <w:szCs w:val="22"/>
          <w:lang w:eastAsia="en-US"/>
        </w:rPr>
        <w:t xml:space="preserve">bezwzrotnym wsparciu w postaci </w:t>
      </w:r>
      <w:r w:rsidRPr="00890249">
        <w:rPr>
          <w:rFonts w:asciiTheme="minorHAnsi" w:hAnsiTheme="minorHAnsi" w:cstheme="minorHAnsi"/>
          <w:noProof/>
          <w:sz w:val="22"/>
          <w:szCs w:val="22"/>
          <w:lang w:eastAsia="en-US" w:bidi="ar-SA"/>
        </w:rPr>
        <w:t>profesjonaln</w:t>
      </w:r>
      <w:r w:rsidR="004617D3" w:rsidRPr="00890249">
        <w:rPr>
          <w:rFonts w:asciiTheme="minorHAnsi" w:hAnsiTheme="minorHAnsi" w:cstheme="minorHAnsi"/>
          <w:noProof/>
          <w:sz w:val="22"/>
          <w:szCs w:val="22"/>
          <w:lang w:eastAsia="en-US" w:bidi="ar-SA"/>
        </w:rPr>
        <w:t>ego</w:t>
      </w:r>
      <w:r w:rsidRPr="00890249">
        <w:rPr>
          <w:rFonts w:asciiTheme="minorHAnsi" w:hAnsiTheme="minorHAnsi" w:cstheme="minorHAnsi"/>
          <w:noProof/>
          <w:sz w:val="22"/>
          <w:szCs w:val="22"/>
          <w:lang w:eastAsia="en-US" w:bidi="ar-SA"/>
        </w:rPr>
        <w:t xml:space="preserve"> doradztw</w:t>
      </w:r>
      <w:r w:rsidR="004617D3" w:rsidRPr="00890249">
        <w:rPr>
          <w:rFonts w:asciiTheme="minorHAnsi" w:hAnsiTheme="minorHAnsi" w:cstheme="minorHAnsi"/>
          <w:noProof/>
          <w:sz w:val="22"/>
          <w:szCs w:val="22"/>
          <w:lang w:eastAsia="en-US" w:bidi="ar-SA"/>
        </w:rPr>
        <w:t>a</w:t>
      </w:r>
      <w:r w:rsidR="003C3880" w:rsidRPr="00890249">
        <w:rPr>
          <w:rFonts w:asciiTheme="minorHAnsi" w:hAnsiTheme="minorHAnsi" w:cstheme="minorHAnsi"/>
          <w:noProof/>
          <w:sz w:val="22"/>
          <w:szCs w:val="22"/>
          <w:lang w:eastAsia="en-US" w:bidi="ar-SA"/>
        </w:rPr>
        <w:t>,</w:t>
      </w:r>
      <w:r w:rsidRPr="00890249">
        <w:rPr>
          <w:rFonts w:asciiTheme="minorHAnsi" w:hAnsiTheme="minorHAnsi" w:cstheme="minorHAnsi"/>
          <w:noProof/>
          <w:sz w:val="22"/>
          <w:szCs w:val="22"/>
          <w:lang w:eastAsia="en-US" w:bidi="ar-SA"/>
        </w:rPr>
        <w:t xml:space="preserve"> szkole</w:t>
      </w:r>
      <w:r w:rsidR="004617D3" w:rsidRPr="00890249">
        <w:rPr>
          <w:rFonts w:asciiTheme="minorHAnsi" w:hAnsiTheme="minorHAnsi" w:cstheme="minorHAnsi"/>
          <w:noProof/>
          <w:sz w:val="22"/>
          <w:szCs w:val="22"/>
          <w:lang w:eastAsia="en-US" w:bidi="ar-SA"/>
        </w:rPr>
        <w:t>ń</w:t>
      </w:r>
      <w:r w:rsidRPr="00890249">
        <w:rPr>
          <w:rFonts w:asciiTheme="minorHAnsi" w:hAnsiTheme="minorHAnsi" w:cstheme="minorHAnsi"/>
          <w:noProof/>
          <w:sz w:val="22"/>
          <w:szCs w:val="22"/>
          <w:lang w:eastAsia="en-US" w:bidi="ar-SA"/>
        </w:rPr>
        <w:t>, audy</w:t>
      </w:r>
      <w:r w:rsidR="004617D3" w:rsidRPr="00890249">
        <w:rPr>
          <w:rFonts w:asciiTheme="minorHAnsi" w:hAnsiTheme="minorHAnsi" w:cstheme="minorHAnsi"/>
          <w:noProof/>
          <w:sz w:val="22"/>
          <w:szCs w:val="22"/>
          <w:lang w:eastAsia="en-US" w:bidi="ar-SA"/>
        </w:rPr>
        <w:t>tów</w:t>
      </w:r>
      <w:r w:rsidR="000B2721">
        <w:rPr>
          <w:rFonts w:asciiTheme="minorHAnsi" w:hAnsiTheme="minorHAnsi" w:cstheme="minorHAnsi"/>
          <w:noProof/>
          <w:sz w:val="22"/>
          <w:szCs w:val="22"/>
          <w:lang w:eastAsia="en-US" w:bidi="ar-SA"/>
        </w:rPr>
        <w:t xml:space="preserve"> środowiskowych i </w:t>
      </w:r>
      <w:r w:rsidRPr="00890249">
        <w:rPr>
          <w:rFonts w:asciiTheme="minorHAnsi" w:hAnsiTheme="minorHAnsi" w:cstheme="minorHAnsi"/>
          <w:noProof/>
          <w:sz w:val="22"/>
          <w:szCs w:val="22"/>
          <w:lang w:eastAsia="en-US" w:bidi="ar-SA"/>
        </w:rPr>
        <w:t>analiz techniczno-ekonomicznych, które</w:t>
      </w:r>
      <w:r w:rsidR="003C3880" w:rsidRPr="00890249">
        <w:rPr>
          <w:rFonts w:asciiTheme="minorHAnsi" w:hAnsiTheme="minorHAnsi" w:cstheme="minorHAnsi"/>
          <w:noProof/>
          <w:sz w:val="22"/>
          <w:szCs w:val="22"/>
          <w:lang w:eastAsia="en-US" w:bidi="ar-SA"/>
        </w:rPr>
        <w:t xml:space="preserve"> mają</w:t>
      </w:r>
      <w:r w:rsidRPr="00890249">
        <w:rPr>
          <w:rFonts w:asciiTheme="minorHAnsi" w:hAnsiTheme="minorHAnsi" w:cstheme="minorHAnsi"/>
          <w:noProof/>
          <w:sz w:val="22"/>
          <w:szCs w:val="22"/>
          <w:lang w:eastAsia="en-US" w:bidi="ar-SA"/>
        </w:rPr>
        <w:t xml:space="preserve"> na celu przygotować </w:t>
      </w:r>
      <w:r w:rsidR="003C3880" w:rsidRPr="00890249">
        <w:rPr>
          <w:rFonts w:asciiTheme="minorHAnsi" w:hAnsiTheme="minorHAnsi" w:cstheme="minorHAnsi"/>
          <w:noProof/>
          <w:sz w:val="22"/>
          <w:szCs w:val="22"/>
          <w:lang w:eastAsia="en-US" w:bidi="ar-SA"/>
        </w:rPr>
        <w:t>przedsiębiorstwa do wdrożenia rozwiązań GOZ.</w:t>
      </w:r>
      <w:r w:rsidRPr="00890249">
        <w:rPr>
          <w:rFonts w:asciiTheme="minorHAnsi" w:hAnsiTheme="minorHAnsi" w:cstheme="minorHAnsi"/>
          <w:color w:val="666666"/>
          <w:sz w:val="22"/>
          <w:szCs w:val="22"/>
          <w:shd w:val="clear" w:color="auto" w:fill="F5F5F5"/>
        </w:rPr>
        <w:t xml:space="preserve"> </w:t>
      </w:r>
      <w:r w:rsidR="00165276" w:rsidRPr="00890249">
        <w:rPr>
          <w:rFonts w:asciiTheme="minorHAnsi" w:hAnsiTheme="minorHAnsi" w:cstheme="minorHAnsi"/>
          <w:color w:val="666666"/>
          <w:sz w:val="22"/>
          <w:szCs w:val="22"/>
          <w:shd w:val="clear" w:color="auto" w:fill="F5F5F5"/>
        </w:rPr>
        <w:t>S</w:t>
      </w:r>
      <w:r w:rsidRPr="00890249">
        <w:rPr>
          <w:rFonts w:asciiTheme="minorHAnsi" w:hAnsiTheme="minorHAnsi" w:cstheme="minorHAnsi"/>
          <w:noProof/>
          <w:sz w:val="22"/>
          <w:szCs w:val="22"/>
          <w:lang w:eastAsia="en-US"/>
        </w:rPr>
        <w:t>topniow</w:t>
      </w:r>
      <w:r w:rsidR="003C3880" w:rsidRPr="00890249">
        <w:rPr>
          <w:rFonts w:asciiTheme="minorHAnsi" w:hAnsiTheme="minorHAnsi" w:cstheme="minorHAnsi"/>
          <w:noProof/>
          <w:sz w:val="22"/>
          <w:szCs w:val="22"/>
          <w:lang w:eastAsia="en-US"/>
        </w:rPr>
        <w:t xml:space="preserve">e </w:t>
      </w:r>
      <w:r w:rsidRPr="00890249">
        <w:rPr>
          <w:rFonts w:asciiTheme="minorHAnsi" w:hAnsiTheme="minorHAnsi" w:cstheme="minorHAnsi"/>
          <w:noProof/>
          <w:sz w:val="22"/>
          <w:szCs w:val="22"/>
          <w:lang w:eastAsia="en-US"/>
        </w:rPr>
        <w:t>upowszechnia</w:t>
      </w:r>
      <w:r w:rsidR="003C3880" w:rsidRPr="00890249">
        <w:rPr>
          <w:rFonts w:asciiTheme="minorHAnsi" w:hAnsiTheme="minorHAnsi" w:cstheme="minorHAnsi"/>
          <w:noProof/>
          <w:sz w:val="22"/>
          <w:szCs w:val="22"/>
          <w:lang w:eastAsia="en-US"/>
        </w:rPr>
        <w:t>nie</w:t>
      </w:r>
      <w:r w:rsidRPr="00890249">
        <w:rPr>
          <w:rFonts w:asciiTheme="minorHAnsi" w:hAnsiTheme="minorHAnsi" w:cstheme="minorHAnsi"/>
          <w:noProof/>
          <w:sz w:val="22"/>
          <w:szCs w:val="22"/>
          <w:lang w:eastAsia="en-US"/>
        </w:rPr>
        <w:t xml:space="preserve"> założe</w:t>
      </w:r>
      <w:r w:rsidR="003C3880" w:rsidRPr="00890249">
        <w:rPr>
          <w:rFonts w:asciiTheme="minorHAnsi" w:hAnsiTheme="minorHAnsi" w:cstheme="minorHAnsi"/>
          <w:noProof/>
          <w:sz w:val="22"/>
          <w:szCs w:val="22"/>
          <w:lang w:eastAsia="en-US"/>
        </w:rPr>
        <w:t xml:space="preserve">ń </w:t>
      </w:r>
      <w:r w:rsidR="00165276" w:rsidRPr="00890249">
        <w:rPr>
          <w:rFonts w:asciiTheme="minorHAnsi" w:hAnsiTheme="minorHAnsi" w:cstheme="minorHAnsi"/>
          <w:noProof/>
          <w:sz w:val="22"/>
          <w:szCs w:val="22"/>
          <w:lang w:eastAsia="en-US"/>
        </w:rPr>
        <w:t>GOZ</w:t>
      </w:r>
      <w:r w:rsidR="004617D3" w:rsidRPr="00890249">
        <w:rPr>
          <w:rFonts w:asciiTheme="minorHAnsi" w:hAnsiTheme="minorHAnsi" w:cstheme="minorHAnsi"/>
          <w:noProof/>
          <w:sz w:val="22"/>
          <w:szCs w:val="22"/>
          <w:lang w:eastAsia="en-US"/>
        </w:rPr>
        <w:t xml:space="preserve"> i </w:t>
      </w:r>
      <w:r w:rsidR="003C3880" w:rsidRPr="00890249">
        <w:rPr>
          <w:rFonts w:asciiTheme="minorHAnsi" w:hAnsiTheme="minorHAnsi" w:cstheme="minorHAnsi"/>
          <w:noProof/>
          <w:sz w:val="22"/>
          <w:szCs w:val="22"/>
          <w:lang w:eastAsia="en-US"/>
        </w:rPr>
        <w:t>p</w:t>
      </w:r>
      <w:r w:rsidRPr="00890249">
        <w:rPr>
          <w:rFonts w:asciiTheme="minorHAnsi" w:hAnsiTheme="minorHAnsi" w:cstheme="minorHAnsi"/>
          <w:noProof/>
          <w:sz w:val="22"/>
          <w:szCs w:val="22"/>
          <w:lang w:eastAsia="en-US"/>
        </w:rPr>
        <w:t>opularyz</w:t>
      </w:r>
      <w:r w:rsidR="003C3880" w:rsidRPr="00890249">
        <w:rPr>
          <w:rFonts w:asciiTheme="minorHAnsi" w:hAnsiTheme="minorHAnsi" w:cstheme="minorHAnsi"/>
          <w:noProof/>
          <w:sz w:val="22"/>
          <w:szCs w:val="22"/>
          <w:lang w:eastAsia="en-US"/>
        </w:rPr>
        <w:t>acja zielon</w:t>
      </w:r>
      <w:r w:rsidR="004617D3" w:rsidRPr="00890249">
        <w:rPr>
          <w:rFonts w:asciiTheme="minorHAnsi" w:hAnsiTheme="minorHAnsi" w:cstheme="minorHAnsi"/>
          <w:noProof/>
          <w:sz w:val="22"/>
          <w:szCs w:val="22"/>
          <w:lang w:eastAsia="en-US"/>
        </w:rPr>
        <w:t>ych innowacji stanowić będzie zachęt</w:t>
      </w:r>
      <w:r w:rsidR="00A413FD" w:rsidRPr="00890249">
        <w:rPr>
          <w:rFonts w:asciiTheme="minorHAnsi" w:hAnsiTheme="minorHAnsi" w:cstheme="minorHAnsi"/>
          <w:noProof/>
          <w:sz w:val="22"/>
          <w:szCs w:val="22"/>
          <w:lang w:eastAsia="en-US"/>
        </w:rPr>
        <w:t>ę</w:t>
      </w:r>
      <w:r w:rsidR="004617D3" w:rsidRPr="00890249">
        <w:rPr>
          <w:rFonts w:asciiTheme="minorHAnsi" w:hAnsiTheme="minorHAnsi" w:cstheme="minorHAnsi"/>
          <w:noProof/>
          <w:sz w:val="22"/>
          <w:szCs w:val="22"/>
          <w:lang w:eastAsia="en-US"/>
        </w:rPr>
        <w:t xml:space="preserve"> do realizacji w przyszłości nowego modelu gospodarczego.</w:t>
      </w:r>
    </w:p>
    <w:p w14:paraId="07629714" w14:textId="77777777" w:rsidR="000B2721" w:rsidRPr="00890249" w:rsidRDefault="000B2721" w:rsidP="00890249">
      <w:pPr>
        <w:pStyle w:val="Tekstpodstawowy"/>
        <w:rPr>
          <w:rFonts w:asciiTheme="minorHAnsi" w:hAnsiTheme="minorHAnsi" w:cstheme="minorHAnsi"/>
          <w:noProof/>
          <w:sz w:val="22"/>
          <w:szCs w:val="22"/>
          <w:lang w:eastAsia="en-US"/>
        </w:rPr>
      </w:pPr>
    </w:p>
    <w:p w14:paraId="55182049" w14:textId="4112CF6D" w:rsidR="001169B8" w:rsidRPr="00890249" w:rsidRDefault="001169B8" w:rsidP="001169B8">
      <w:pPr>
        <w:pStyle w:val="Tekstpodstawowy"/>
        <w:rPr>
          <w:rFonts w:asciiTheme="minorHAnsi" w:eastAsia="Times New Roman" w:hAnsiTheme="minorHAnsi" w:cstheme="minorHAnsi"/>
          <w:noProof/>
          <w:vanish/>
          <w:sz w:val="22"/>
          <w:szCs w:val="22"/>
          <w:lang w:eastAsia="en-US"/>
        </w:rPr>
      </w:pPr>
      <w:r w:rsidRPr="00890249">
        <w:rPr>
          <w:rFonts w:asciiTheme="minorHAnsi" w:eastAsia="Times New Roman" w:hAnsiTheme="minorHAnsi" w:cstheme="minorHAnsi"/>
          <w:noProof/>
          <w:vanish/>
          <w:sz w:val="22"/>
          <w:szCs w:val="22"/>
          <w:lang w:eastAsia="en-US"/>
        </w:rPr>
        <w:br w:type="page"/>
      </w:r>
    </w:p>
    <w:p w14:paraId="2845BADD" w14:textId="77777777" w:rsidR="001169B8" w:rsidRPr="00890249" w:rsidRDefault="001169B8" w:rsidP="001169B8">
      <w:pPr>
        <w:pStyle w:val="Tekstpodstawowy"/>
        <w:rPr>
          <w:rFonts w:asciiTheme="minorHAnsi" w:hAnsiTheme="minorHAnsi" w:cstheme="minorHAnsi"/>
          <w:b/>
          <w:noProof/>
          <w:sz w:val="22"/>
          <w:szCs w:val="22"/>
        </w:rPr>
      </w:pPr>
      <w:r w:rsidRPr="00890249">
        <w:rPr>
          <w:rFonts w:asciiTheme="minorHAnsi" w:hAnsiTheme="minorHAnsi" w:cstheme="minorHAnsi"/>
          <w:b/>
          <w:noProof/>
          <w:sz w:val="22"/>
          <w:szCs w:val="22"/>
        </w:rPr>
        <w:t>2.1.2.5.2 (vi)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51"/>
        <w:gridCol w:w="693"/>
        <w:gridCol w:w="1009"/>
        <w:gridCol w:w="830"/>
        <w:gridCol w:w="2215"/>
        <w:gridCol w:w="830"/>
        <w:gridCol w:w="1106"/>
        <w:gridCol w:w="1065"/>
      </w:tblGrid>
      <w:tr w:rsidR="0034642D" w:rsidRPr="00890249" w14:paraId="1BE23306" w14:textId="77777777" w:rsidTr="00A4690F">
        <w:trPr>
          <w:trHeight w:val="425"/>
        </w:trPr>
        <w:tc>
          <w:tcPr>
            <w:tcW w:w="5000" w:type="pct"/>
            <w:gridSpan w:val="9"/>
            <w:shd w:val="clear" w:color="auto" w:fill="D9D9D9" w:themeFill="background1" w:themeFillShade="D9"/>
          </w:tcPr>
          <w:p w14:paraId="13F7937F"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4463A893" w14:textId="77777777" w:rsidTr="0043241C">
        <w:trPr>
          <w:cantSplit/>
          <w:trHeight w:val="1647"/>
        </w:trPr>
        <w:tc>
          <w:tcPr>
            <w:tcW w:w="291" w:type="pct"/>
            <w:shd w:val="clear" w:color="auto" w:fill="F2F2F2" w:themeFill="background1" w:themeFillShade="F2"/>
            <w:textDirection w:val="btLr"/>
            <w:vAlign w:val="center"/>
          </w:tcPr>
          <w:p w14:paraId="4FCC366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684F393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42522D1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6597F9A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125288D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7" w:type="pct"/>
            <w:shd w:val="clear" w:color="auto" w:fill="F2F2F2" w:themeFill="background1" w:themeFillShade="F2"/>
            <w:textDirection w:val="btLr"/>
            <w:vAlign w:val="center"/>
          </w:tcPr>
          <w:p w14:paraId="03595B68"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1614657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278496E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0" w:type="pct"/>
            <w:shd w:val="clear" w:color="auto" w:fill="F2F2F2" w:themeFill="background1" w:themeFillShade="F2"/>
            <w:textDirection w:val="btLr"/>
            <w:vAlign w:val="center"/>
          </w:tcPr>
          <w:p w14:paraId="249D5F7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E90ABD" w:rsidRPr="00890249" w14:paraId="20E3EC07" w14:textId="77777777" w:rsidTr="00BA2F8E">
        <w:trPr>
          <w:trHeight w:val="332"/>
        </w:trPr>
        <w:tc>
          <w:tcPr>
            <w:tcW w:w="291" w:type="pct"/>
            <w:vAlign w:val="center"/>
          </w:tcPr>
          <w:p w14:paraId="3E46FB86" w14:textId="77777777" w:rsidR="00B6668B" w:rsidRPr="00890249" w:rsidRDefault="00E90ABD" w:rsidP="00BA2F8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442C21A4" w14:textId="77777777" w:rsidR="00E90ABD" w:rsidRPr="00890249" w:rsidDel="00BE2A9A" w:rsidRDefault="00E90ABD" w:rsidP="00E90AB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2.vi</w:t>
            </w:r>
          </w:p>
        </w:tc>
        <w:tc>
          <w:tcPr>
            <w:tcW w:w="384" w:type="pct"/>
            <w:vAlign w:val="center"/>
          </w:tcPr>
          <w:p w14:paraId="6C1361DF" w14:textId="77777777" w:rsidR="00E90ABD" w:rsidRPr="00890249" w:rsidDel="00BE2A9A" w:rsidRDefault="00E90ABD" w:rsidP="00E90AB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3E9EAB49" w14:textId="77777777" w:rsidR="00E90ABD" w:rsidRPr="00890249" w:rsidDel="00BE2A9A" w:rsidRDefault="00E90ABD" w:rsidP="00E90ABD">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681DF259" w14:textId="727EA142" w:rsidR="00E90ABD" w:rsidRPr="00890249" w:rsidDel="00BE2A9A" w:rsidRDefault="00F562B9" w:rsidP="00E90ABD">
            <w:pPr>
              <w:jc w:val="center"/>
              <w:rPr>
                <w:rFonts w:asciiTheme="minorHAnsi" w:hAnsiTheme="minorHAnsi" w:cstheme="minorHAnsi"/>
                <w:i/>
                <w:sz w:val="18"/>
                <w:szCs w:val="16"/>
              </w:rPr>
            </w:pPr>
            <w:r w:rsidRPr="00890249">
              <w:rPr>
                <w:rFonts w:asciiTheme="minorHAnsi" w:hAnsiTheme="minorHAnsi" w:cstheme="minorHAnsi"/>
                <w:i/>
                <w:sz w:val="18"/>
                <w:szCs w:val="16"/>
              </w:rPr>
              <w:t>RCO034</w:t>
            </w:r>
          </w:p>
        </w:tc>
        <w:tc>
          <w:tcPr>
            <w:tcW w:w="1227" w:type="pct"/>
            <w:shd w:val="clear" w:color="auto" w:fill="auto"/>
            <w:vAlign w:val="center"/>
          </w:tcPr>
          <w:p w14:paraId="5FE73093" w14:textId="54F12839" w:rsidR="00E90ABD" w:rsidRPr="00890249" w:rsidDel="00BE2A9A" w:rsidRDefault="00F562B9" w:rsidP="00E90ABD">
            <w:pPr>
              <w:jc w:val="left"/>
              <w:rPr>
                <w:rFonts w:asciiTheme="minorHAnsi" w:hAnsiTheme="minorHAnsi" w:cstheme="minorHAnsi"/>
                <w:i/>
                <w:sz w:val="18"/>
                <w:szCs w:val="16"/>
              </w:rPr>
            </w:pPr>
            <w:r w:rsidRPr="00890249">
              <w:rPr>
                <w:rFonts w:asciiTheme="minorHAnsi" w:hAnsiTheme="minorHAnsi" w:cstheme="minorHAnsi"/>
                <w:i/>
                <w:sz w:val="18"/>
                <w:szCs w:val="16"/>
              </w:rPr>
              <w:t>Dodatkowe zdolności w zakresie recyklingu odpadów</w:t>
            </w:r>
          </w:p>
        </w:tc>
        <w:tc>
          <w:tcPr>
            <w:tcW w:w="460" w:type="pct"/>
            <w:vAlign w:val="center"/>
          </w:tcPr>
          <w:p w14:paraId="433F54FD" w14:textId="42A0EC8C" w:rsidR="00E90ABD" w:rsidRPr="00890249" w:rsidDel="00BE2A9A" w:rsidRDefault="00F562B9" w:rsidP="00E90AB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tony/rok</w:t>
            </w:r>
          </w:p>
        </w:tc>
        <w:tc>
          <w:tcPr>
            <w:tcW w:w="613" w:type="pct"/>
            <w:shd w:val="clear" w:color="auto" w:fill="auto"/>
            <w:vAlign w:val="center"/>
          </w:tcPr>
          <w:p w14:paraId="6FAC42BA" w14:textId="329F8888" w:rsidR="00A63705" w:rsidRPr="00890249" w:rsidRDefault="00440AFF"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0</w:t>
            </w:r>
          </w:p>
        </w:tc>
        <w:tc>
          <w:tcPr>
            <w:tcW w:w="590" w:type="pct"/>
            <w:shd w:val="clear" w:color="auto" w:fill="auto"/>
            <w:vAlign w:val="center"/>
          </w:tcPr>
          <w:p w14:paraId="3E88CB16" w14:textId="07B36248" w:rsidR="00A63705" w:rsidRPr="00890249" w:rsidRDefault="00695AEA" w:rsidP="0043241C">
            <w:pPr>
              <w:jc w:val="center"/>
              <w:rPr>
                <w:rFonts w:asciiTheme="minorHAnsi" w:hAnsiTheme="minorHAnsi" w:cstheme="minorHAnsi"/>
                <w:noProof/>
                <w:sz w:val="18"/>
                <w:szCs w:val="16"/>
              </w:rPr>
            </w:pPr>
            <w:r>
              <w:rPr>
                <w:rFonts w:asciiTheme="minorHAnsi" w:hAnsiTheme="minorHAnsi" w:cstheme="minorHAnsi"/>
                <w:noProof/>
                <w:sz w:val="18"/>
                <w:szCs w:val="16"/>
              </w:rPr>
              <w:t>1 344</w:t>
            </w:r>
          </w:p>
        </w:tc>
      </w:tr>
      <w:tr w:rsidR="00E90ABD" w:rsidRPr="00890249" w14:paraId="045805FF" w14:textId="77777777" w:rsidTr="0043241C">
        <w:trPr>
          <w:trHeight w:val="332"/>
        </w:trPr>
        <w:tc>
          <w:tcPr>
            <w:tcW w:w="291" w:type="pct"/>
          </w:tcPr>
          <w:p w14:paraId="62E284A2" w14:textId="77777777" w:rsidR="00E90ABD" w:rsidRPr="00890249" w:rsidDel="00BE2A9A" w:rsidRDefault="00E90ABD" w:rsidP="00E90ABD">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27072E9E" w14:textId="77777777" w:rsidR="00E90ABD" w:rsidRPr="00890249" w:rsidDel="00BE2A9A" w:rsidRDefault="00E90ABD" w:rsidP="00E90AB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2.vi</w:t>
            </w:r>
          </w:p>
        </w:tc>
        <w:tc>
          <w:tcPr>
            <w:tcW w:w="384" w:type="pct"/>
            <w:vAlign w:val="center"/>
          </w:tcPr>
          <w:p w14:paraId="59942F3A" w14:textId="77777777" w:rsidR="00E90ABD" w:rsidRPr="00890249" w:rsidDel="00BE2A9A" w:rsidRDefault="00E90ABD" w:rsidP="00E90AB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24E49705" w14:textId="77777777" w:rsidR="00E90ABD" w:rsidRPr="00890249" w:rsidDel="00BE2A9A" w:rsidRDefault="00E90ABD" w:rsidP="00E90ABD">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70825136" w14:textId="6277E1EA" w:rsidR="00E90ABD" w:rsidRPr="00890249" w:rsidDel="00BE2A9A" w:rsidRDefault="00F562B9" w:rsidP="00E90ABD">
            <w:pPr>
              <w:jc w:val="center"/>
              <w:rPr>
                <w:rFonts w:asciiTheme="minorHAnsi" w:hAnsiTheme="minorHAnsi" w:cstheme="minorHAnsi"/>
                <w:i/>
                <w:sz w:val="18"/>
                <w:szCs w:val="16"/>
              </w:rPr>
            </w:pPr>
            <w:r w:rsidRPr="00890249">
              <w:rPr>
                <w:rFonts w:asciiTheme="minorHAnsi" w:hAnsiTheme="minorHAnsi" w:cstheme="minorHAnsi"/>
                <w:i/>
                <w:sz w:val="18"/>
                <w:szCs w:val="16"/>
              </w:rPr>
              <w:t>RCO107</w:t>
            </w:r>
            <w:r w:rsidRPr="00890249" w:rsidDel="00F562B9">
              <w:rPr>
                <w:rFonts w:asciiTheme="minorHAnsi" w:hAnsiTheme="minorHAnsi" w:cstheme="minorHAnsi"/>
                <w:i/>
                <w:sz w:val="18"/>
                <w:szCs w:val="16"/>
              </w:rPr>
              <w:t xml:space="preserve"> </w:t>
            </w:r>
          </w:p>
        </w:tc>
        <w:tc>
          <w:tcPr>
            <w:tcW w:w="1227" w:type="pct"/>
            <w:shd w:val="clear" w:color="auto" w:fill="auto"/>
            <w:vAlign w:val="center"/>
          </w:tcPr>
          <w:p w14:paraId="52727FE0" w14:textId="4D81A878" w:rsidR="00E90ABD" w:rsidRPr="00890249" w:rsidDel="00BE2A9A" w:rsidRDefault="00F562B9" w:rsidP="00F562B9">
            <w:pPr>
              <w:jc w:val="left"/>
              <w:rPr>
                <w:rFonts w:asciiTheme="minorHAnsi" w:hAnsiTheme="minorHAnsi" w:cstheme="minorHAnsi"/>
                <w:i/>
                <w:sz w:val="18"/>
                <w:szCs w:val="16"/>
              </w:rPr>
            </w:pPr>
            <w:r w:rsidRPr="00890249">
              <w:rPr>
                <w:rFonts w:asciiTheme="minorHAnsi" w:hAnsiTheme="minorHAnsi" w:cstheme="minorHAnsi"/>
                <w:i/>
                <w:sz w:val="18"/>
                <w:szCs w:val="16"/>
              </w:rPr>
              <w:t>Inwestycje w obiekty do selektywnego zbierania odpadów</w:t>
            </w:r>
            <w:r w:rsidRPr="00890249" w:rsidDel="00F562B9">
              <w:rPr>
                <w:rFonts w:asciiTheme="minorHAnsi" w:hAnsiTheme="minorHAnsi" w:cstheme="minorHAnsi"/>
                <w:i/>
                <w:sz w:val="18"/>
                <w:szCs w:val="16"/>
              </w:rPr>
              <w:t xml:space="preserve"> </w:t>
            </w:r>
          </w:p>
        </w:tc>
        <w:tc>
          <w:tcPr>
            <w:tcW w:w="460" w:type="pct"/>
            <w:vAlign w:val="center"/>
          </w:tcPr>
          <w:p w14:paraId="0DA08693" w14:textId="0228F50A" w:rsidR="00E90ABD" w:rsidRPr="00890249" w:rsidDel="00BE2A9A" w:rsidRDefault="00F562B9" w:rsidP="00E90AB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euro</w:t>
            </w:r>
          </w:p>
        </w:tc>
        <w:tc>
          <w:tcPr>
            <w:tcW w:w="613" w:type="pct"/>
            <w:shd w:val="clear" w:color="auto" w:fill="auto"/>
            <w:vAlign w:val="center"/>
          </w:tcPr>
          <w:p w14:paraId="625772D7" w14:textId="784D3441" w:rsidR="00A63705" w:rsidRPr="00890249" w:rsidRDefault="00F562B9"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470 000</w:t>
            </w:r>
          </w:p>
        </w:tc>
        <w:tc>
          <w:tcPr>
            <w:tcW w:w="590" w:type="pct"/>
            <w:shd w:val="clear" w:color="auto" w:fill="auto"/>
            <w:vAlign w:val="center"/>
          </w:tcPr>
          <w:p w14:paraId="4FDDA036" w14:textId="07CE1EE7" w:rsidR="00A63705" w:rsidRPr="00890249" w:rsidRDefault="00695AEA" w:rsidP="0043241C">
            <w:pPr>
              <w:jc w:val="center"/>
              <w:rPr>
                <w:rFonts w:asciiTheme="minorHAnsi" w:hAnsiTheme="minorHAnsi" w:cstheme="minorHAnsi"/>
                <w:noProof/>
                <w:sz w:val="18"/>
                <w:szCs w:val="16"/>
              </w:rPr>
            </w:pPr>
            <w:r>
              <w:rPr>
                <w:rFonts w:asciiTheme="minorHAnsi" w:hAnsiTheme="minorHAnsi" w:cstheme="minorHAnsi"/>
                <w:noProof/>
                <w:sz w:val="18"/>
                <w:szCs w:val="16"/>
              </w:rPr>
              <w:t>3 530 000</w:t>
            </w:r>
          </w:p>
        </w:tc>
      </w:tr>
    </w:tbl>
    <w:p w14:paraId="3FEABAF7" w14:textId="4D8718B8" w:rsidR="00F562B9" w:rsidRPr="00890249" w:rsidRDefault="00F562B9">
      <w:pPr>
        <w:rPr>
          <w:rFonts w:asciiTheme="minorHAnsi" w:hAnsiTheme="minorHAnsi" w:cstheme="minorHAnsi"/>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751"/>
        <w:gridCol w:w="693"/>
        <w:gridCol w:w="1061"/>
        <w:gridCol w:w="778"/>
        <w:gridCol w:w="1383"/>
        <w:gridCol w:w="832"/>
        <w:gridCol w:w="693"/>
        <w:gridCol w:w="596"/>
        <w:gridCol w:w="561"/>
        <w:gridCol w:w="605"/>
        <w:gridCol w:w="547"/>
      </w:tblGrid>
      <w:tr w:rsidR="00BC2FD4" w:rsidRPr="00890249" w14:paraId="205C0BDD" w14:textId="77777777" w:rsidTr="000B2721">
        <w:trPr>
          <w:trHeight w:val="480"/>
          <w:tblHeader/>
        </w:trPr>
        <w:tc>
          <w:tcPr>
            <w:tcW w:w="5000" w:type="pct"/>
            <w:gridSpan w:val="12"/>
            <w:shd w:val="clear" w:color="auto" w:fill="D9D9D9" w:themeFill="background1" w:themeFillShade="D9"/>
          </w:tcPr>
          <w:p w14:paraId="2B135978"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C2FD4" w:rsidRPr="00890249" w14:paraId="6F184269" w14:textId="77777777" w:rsidTr="000B2721">
        <w:trPr>
          <w:cantSplit/>
          <w:trHeight w:val="1768"/>
          <w:tblHeader/>
        </w:trPr>
        <w:tc>
          <w:tcPr>
            <w:tcW w:w="291" w:type="pct"/>
            <w:shd w:val="clear" w:color="auto" w:fill="F2F2F2" w:themeFill="background1" w:themeFillShade="F2"/>
            <w:textDirection w:val="btLr"/>
            <w:vAlign w:val="center"/>
          </w:tcPr>
          <w:p w14:paraId="063FEAC4"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6" w:type="pct"/>
            <w:shd w:val="clear" w:color="auto" w:fill="F2F2F2" w:themeFill="background1" w:themeFillShade="F2"/>
            <w:textDirection w:val="btLr"/>
            <w:vAlign w:val="center"/>
          </w:tcPr>
          <w:p w14:paraId="5D1E0DA2"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4" w:type="pct"/>
            <w:shd w:val="clear" w:color="auto" w:fill="F2F2F2" w:themeFill="background1" w:themeFillShade="F2"/>
            <w:textDirection w:val="btLr"/>
            <w:vAlign w:val="center"/>
          </w:tcPr>
          <w:p w14:paraId="64FDF50A"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88" w:type="pct"/>
            <w:shd w:val="clear" w:color="auto" w:fill="F2F2F2" w:themeFill="background1" w:themeFillShade="F2"/>
            <w:textDirection w:val="btLr"/>
            <w:vAlign w:val="center"/>
          </w:tcPr>
          <w:p w14:paraId="7DAE5DC4"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31" w:type="pct"/>
            <w:shd w:val="clear" w:color="auto" w:fill="F2F2F2" w:themeFill="background1" w:themeFillShade="F2"/>
            <w:textDirection w:val="btLr"/>
            <w:vAlign w:val="center"/>
          </w:tcPr>
          <w:p w14:paraId="25501FF1"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6" w:type="pct"/>
            <w:shd w:val="clear" w:color="auto" w:fill="F2F2F2" w:themeFill="background1" w:themeFillShade="F2"/>
            <w:textDirection w:val="btLr"/>
            <w:vAlign w:val="center"/>
          </w:tcPr>
          <w:p w14:paraId="0DE61E38"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61" w:type="pct"/>
            <w:shd w:val="clear" w:color="auto" w:fill="F2F2F2" w:themeFill="background1" w:themeFillShade="F2"/>
            <w:textDirection w:val="btLr"/>
            <w:vAlign w:val="center"/>
          </w:tcPr>
          <w:p w14:paraId="502210A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4" w:type="pct"/>
            <w:shd w:val="clear" w:color="auto" w:fill="F2F2F2" w:themeFill="background1" w:themeFillShade="F2"/>
            <w:textDirection w:val="btLr"/>
            <w:vAlign w:val="center"/>
          </w:tcPr>
          <w:p w14:paraId="45E4B28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30" w:type="pct"/>
            <w:shd w:val="clear" w:color="auto" w:fill="F2F2F2" w:themeFill="background1" w:themeFillShade="F2"/>
            <w:textDirection w:val="btLr"/>
            <w:vAlign w:val="center"/>
          </w:tcPr>
          <w:p w14:paraId="71A0B34F"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1" w:type="pct"/>
            <w:shd w:val="clear" w:color="auto" w:fill="F2F2F2" w:themeFill="background1" w:themeFillShade="F2"/>
            <w:textDirection w:val="btLr"/>
            <w:vAlign w:val="center"/>
          </w:tcPr>
          <w:p w14:paraId="3D0BE399"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5" w:type="pct"/>
            <w:shd w:val="clear" w:color="auto" w:fill="F2F2F2" w:themeFill="background1" w:themeFillShade="F2"/>
            <w:textDirection w:val="btLr"/>
            <w:vAlign w:val="center"/>
          </w:tcPr>
          <w:p w14:paraId="0C272ED7"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3" w:type="pct"/>
            <w:shd w:val="clear" w:color="auto" w:fill="F2F2F2" w:themeFill="background1" w:themeFillShade="F2"/>
            <w:textDirection w:val="btLr"/>
            <w:vAlign w:val="center"/>
          </w:tcPr>
          <w:p w14:paraId="563CA1CE"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CB7F8E" w:rsidRPr="00890249" w14:paraId="5390C947" w14:textId="77777777" w:rsidTr="00BA2F8E">
        <w:trPr>
          <w:trHeight w:val="434"/>
        </w:trPr>
        <w:tc>
          <w:tcPr>
            <w:tcW w:w="291" w:type="pct"/>
            <w:vAlign w:val="center"/>
          </w:tcPr>
          <w:p w14:paraId="10B8A98A" w14:textId="77777777" w:rsidR="00CB7F8E" w:rsidRPr="00890249" w:rsidDel="00CB7F8E" w:rsidRDefault="00CB7F8E" w:rsidP="00F562B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174CBC1F" w14:textId="77777777" w:rsidR="00CB7F8E" w:rsidRPr="00890249" w:rsidDel="00CB7F8E" w:rsidRDefault="00CB7F8E" w:rsidP="00CB7F8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2.vi</w:t>
            </w:r>
          </w:p>
        </w:tc>
        <w:tc>
          <w:tcPr>
            <w:tcW w:w="384" w:type="pct"/>
            <w:vAlign w:val="center"/>
          </w:tcPr>
          <w:p w14:paraId="75D9B272" w14:textId="77777777" w:rsidR="00CB7F8E" w:rsidRPr="00890249" w:rsidDel="00CB7F8E" w:rsidRDefault="00CB7F8E" w:rsidP="00CB7F8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88" w:type="pct"/>
            <w:vAlign w:val="center"/>
          </w:tcPr>
          <w:p w14:paraId="3B9FC0AA" w14:textId="77777777" w:rsidR="00CB7F8E" w:rsidRPr="00890249" w:rsidDel="00CB7F8E" w:rsidRDefault="00CB7F8E" w:rsidP="00CB7F8E">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31" w:type="pct"/>
            <w:vAlign w:val="center"/>
          </w:tcPr>
          <w:p w14:paraId="7AAF2055" w14:textId="77EC7CF0" w:rsidR="00CB7F8E" w:rsidRPr="00890249" w:rsidDel="00CB7F8E" w:rsidRDefault="00F562B9" w:rsidP="00CB7F8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RCR047</w:t>
            </w:r>
          </w:p>
        </w:tc>
        <w:tc>
          <w:tcPr>
            <w:tcW w:w="766" w:type="pct"/>
            <w:shd w:val="clear" w:color="auto" w:fill="auto"/>
            <w:vAlign w:val="center"/>
          </w:tcPr>
          <w:p w14:paraId="2B785045" w14:textId="4681F0CF" w:rsidR="00CB7F8E" w:rsidRPr="00890249" w:rsidDel="00CB7F8E" w:rsidRDefault="00F562B9" w:rsidP="00CB7F8E">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Odpady poddane recyklingowi</w:t>
            </w:r>
          </w:p>
        </w:tc>
        <w:tc>
          <w:tcPr>
            <w:tcW w:w="461" w:type="pct"/>
            <w:vAlign w:val="center"/>
          </w:tcPr>
          <w:p w14:paraId="41AC366A" w14:textId="02000527" w:rsidR="00CB7F8E" w:rsidRPr="00890249" w:rsidDel="00CB7F8E" w:rsidRDefault="00F562B9" w:rsidP="00CB7F8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tony/rok</w:t>
            </w:r>
          </w:p>
        </w:tc>
        <w:tc>
          <w:tcPr>
            <w:tcW w:w="384" w:type="pct"/>
            <w:vAlign w:val="center"/>
          </w:tcPr>
          <w:p w14:paraId="06B06810" w14:textId="77777777" w:rsidR="00CB7F8E" w:rsidRPr="00890249" w:rsidRDefault="008374CE" w:rsidP="00CB7F8E">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30" w:type="pct"/>
            <w:vAlign w:val="center"/>
          </w:tcPr>
          <w:p w14:paraId="3894E257" w14:textId="77777777" w:rsidR="00CB7F8E" w:rsidRPr="00890249" w:rsidRDefault="00CB7F8E" w:rsidP="00CB7F8E">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11" w:type="pct"/>
            <w:shd w:val="clear" w:color="auto" w:fill="auto"/>
            <w:vAlign w:val="center"/>
          </w:tcPr>
          <w:p w14:paraId="42BBE3BF" w14:textId="098446FC" w:rsidR="00CB7F8E" w:rsidRPr="00890249" w:rsidRDefault="00695AEA" w:rsidP="00CB7F8E">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1 075</w:t>
            </w:r>
          </w:p>
        </w:tc>
        <w:tc>
          <w:tcPr>
            <w:tcW w:w="335" w:type="pct"/>
            <w:shd w:val="clear" w:color="auto" w:fill="auto"/>
            <w:vAlign w:val="center"/>
          </w:tcPr>
          <w:p w14:paraId="3D1CDC72" w14:textId="77777777" w:rsidR="00CB7F8E" w:rsidRPr="00890249" w:rsidRDefault="008374CE" w:rsidP="00CB7F8E">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3" w:type="pct"/>
            <w:vAlign w:val="center"/>
          </w:tcPr>
          <w:p w14:paraId="1741D4E3" w14:textId="77777777" w:rsidR="00CB7F8E" w:rsidRPr="00890249" w:rsidRDefault="008374CE" w:rsidP="00CB7F8E">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F562B9" w:rsidRPr="00890249" w14:paraId="2E9609AF" w14:textId="77777777" w:rsidTr="00BA2F8E">
        <w:trPr>
          <w:trHeight w:val="434"/>
        </w:trPr>
        <w:tc>
          <w:tcPr>
            <w:tcW w:w="291" w:type="pct"/>
            <w:vAlign w:val="center"/>
          </w:tcPr>
          <w:p w14:paraId="74868733" w14:textId="77777777" w:rsidR="00F562B9" w:rsidRPr="00890249" w:rsidRDefault="00F562B9" w:rsidP="00F562B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67FDAAA2" w14:textId="77777777" w:rsidR="00F562B9" w:rsidRPr="00890249" w:rsidRDefault="00F562B9" w:rsidP="00F562B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2.vi</w:t>
            </w:r>
          </w:p>
        </w:tc>
        <w:tc>
          <w:tcPr>
            <w:tcW w:w="384" w:type="pct"/>
            <w:vAlign w:val="center"/>
          </w:tcPr>
          <w:p w14:paraId="0987F37A" w14:textId="77777777" w:rsidR="00F562B9" w:rsidRPr="00890249" w:rsidRDefault="00F562B9" w:rsidP="00F562B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88" w:type="pct"/>
            <w:vAlign w:val="center"/>
          </w:tcPr>
          <w:p w14:paraId="3F945501" w14:textId="77777777" w:rsidR="00F562B9" w:rsidRPr="00890249" w:rsidRDefault="00F562B9" w:rsidP="00F562B9">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31" w:type="pct"/>
            <w:vAlign w:val="center"/>
          </w:tcPr>
          <w:p w14:paraId="388DDE5B" w14:textId="77777777" w:rsidR="00F562B9" w:rsidRPr="00890249" w:rsidRDefault="00F562B9" w:rsidP="00F562B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RCR103</w:t>
            </w:r>
          </w:p>
        </w:tc>
        <w:tc>
          <w:tcPr>
            <w:tcW w:w="766" w:type="pct"/>
            <w:shd w:val="clear" w:color="auto" w:fill="auto"/>
            <w:vAlign w:val="center"/>
          </w:tcPr>
          <w:p w14:paraId="35981E7A" w14:textId="77777777" w:rsidR="00F562B9" w:rsidRPr="00890249" w:rsidRDefault="00F562B9" w:rsidP="00F562B9">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Odpady zbierane selektywnie</w:t>
            </w:r>
          </w:p>
        </w:tc>
        <w:tc>
          <w:tcPr>
            <w:tcW w:w="461" w:type="pct"/>
            <w:vAlign w:val="center"/>
          </w:tcPr>
          <w:p w14:paraId="27D60ADC" w14:textId="77777777" w:rsidR="00F562B9" w:rsidRPr="00890249" w:rsidRDefault="00F562B9" w:rsidP="00F562B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tony/rok</w:t>
            </w:r>
          </w:p>
        </w:tc>
        <w:tc>
          <w:tcPr>
            <w:tcW w:w="384" w:type="pct"/>
            <w:vAlign w:val="center"/>
          </w:tcPr>
          <w:p w14:paraId="596B59E9" w14:textId="77777777" w:rsidR="00F562B9" w:rsidRPr="00890249" w:rsidRDefault="00F562B9" w:rsidP="00F562B9">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30" w:type="pct"/>
            <w:vAlign w:val="center"/>
          </w:tcPr>
          <w:p w14:paraId="06651E22" w14:textId="77777777" w:rsidR="00F562B9" w:rsidRPr="00890249" w:rsidRDefault="00F562B9" w:rsidP="00F562B9">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11" w:type="pct"/>
            <w:shd w:val="clear" w:color="auto" w:fill="auto"/>
            <w:vAlign w:val="center"/>
          </w:tcPr>
          <w:p w14:paraId="7041B3B3" w14:textId="32A3D477" w:rsidR="00F562B9" w:rsidRPr="00890249" w:rsidRDefault="00695AEA" w:rsidP="00F562B9">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2 250</w:t>
            </w:r>
          </w:p>
        </w:tc>
        <w:tc>
          <w:tcPr>
            <w:tcW w:w="335" w:type="pct"/>
            <w:shd w:val="clear" w:color="auto" w:fill="auto"/>
            <w:vAlign w:val="center"/>
          </w:tcPr>
          <w:p w14:paraId="2397C075" w14:textId="77777777" w:rsidR="00F562B9" w:rsidRPr="00890249" w:rsidRDefault="00F562B9" w:rsidP="00F562B9">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3" w:type="pct"/>
            <w:vAlign w:val="center"/>
          </w:tcPr>
          <w:p w14:paraId="0FBF07AC" w14:textId="77777777" w:rsidR="00F562B9" w:rsidRPr="00890249" w:rsidRDefault="00F562B9" w:rsidP="00F562B9">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bl>
    <w:p w14:paraId="624F45AA" w14:textId="77777777" w:rsidR="001169B8" w:rsidRPr="00890249" w:rsidRDefault="001169B8" w:rsidP="001169B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2.1.2.5.3 (vi) Orientacyjny podział zasobów programu (UE) według rodzaju interwencji</w:t>
      </w:r>
    </w:p>
    <w:tbl>
      <w:tblPr>
        <w:tblStyle w:val="Tabela-Siatka"/>
        <w:tblW w:w="9322" w:type="dxa"/>
        <w:tblLook w:val="04A0" w:firstRow="1" w:lastRow="0" w:firstColumn="1" w:lastColumn="0" w:noHBand="0" w:noVBand="1"/>
      </w:tblPr>
      <w:tblGrid>
        <w:gridCol w:w="1476"/>
        <w:gridCol w:w="1024"/>
        <w:gridCol w:w="1602"/>
        <w:gridCol w:w="1554"/>
        <w:gridCol w:w="1602"/>
        <w:gridCol w:w="2064"/>
      </w:tblGrid>
      <w:tr w:rsidR="00182923" w:rsidRPr="00890249" w14:paraId="6185412D" w14:textId="77777777" w:rsidTr="000B2721">
        <w:trPr>
          <w:trHeight w:val="360"/>
          <w:tblHeader/>
        </w:trPr>
        <w:tc>
          <w:tcPr>
            <w:tcW w:w="9322" w:type="dxa"/>
            <w:gridSpan w:val="6"/>
            <w:shd w:val="clear" w:color="auto" w:fill="D9D9D9" w:themeFill="background1" w:themeFillShade="D9"/>
          </w:tcPr>
          <w:p w14:paraId="50261F22" w14:textId="77777777" w:rsidR="00182923" w:rsidRPr="00890249" w:rsidRDefault="00182923"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182923" w:rsidRPr="00890249" w14:paraId="5406356B" w14:textId="77777777" w:rsidTr="000B2721">
        <w:trPr>
          <w:tblHeader/>
        </w:trPr>
        <w:tc>
          <w:tcPr>
            <w:tcW w:w="1566" w:type="dxa"/>
            <w:shd w:val="clear" w:color="auto" w:fill="F2F2F2" w:themeFill="background1" w:themeFillShade="F2"/>
          </w:tcPr>
          <w:p w14:paraId="502255C8"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5041ABDA"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026AAE01"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51A20DBE"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50F60066"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8" w:type="dxa"/>
            <w:shd w:val="clear" w:color="auto" w:fill="F2F2F2" w:themeFill="background1" w:themeFillShade="F2"/>
          </w:tcPr>
          <w:p w14:paraId="087A39C0"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00826" w:rsidRPr="00890249" w14:paraId="3396B6DC" w14:textId="77777777" w:rsidTr="00D00826">
        <w:trPr>
          <w:trHeight w:val="314"/>
        </w:trPr>
        <w:tc>
          <w:tcPr>
            <w:tcW w:w="1566" w:type="dxa"/>
            <w:vMerge w:val="restart"/>
            <w:vAlign w:val="center"/>
          </w:tcPr>
          <w:p w14:paraId="0D3C2C55" w14:textId="77777777" w:rsidR="00D00826" w:rsidRPr="00890249" w:rsidRDefault="00D00826"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51" w:type="dxa"/>
            <w:vMerge w:val="restart"/>
            <w:vAlign w:val="center"/>
          </w:tcPr>
          <w:p w14:paraId="587D5FEA" w14:textId="77777777" w:rsidR="00D00826" w:rsidRPr="00890249" w:rsidRDefault="00D00826"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5" w:type="dxa"/>
            <w:vMerge w:val="restart"/>
            <w:vAlign w:val="center"/>
          </w:tcPr>
          <w:p w14:paraId="5CD58632" w14:textId="77777777" w:rsidR="00D00826" w:rsidRPr="00890249" w:rsidRDefault="00D00826"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20" w:type="dxa"/>
            <w:vMerge w:val="restart"/>
            <w:vAlign w:val="center"/>
          </w:tcPr>
          <w:p w14:paraId="068A257A" w14:textId="77777777" w:rsidR="00D00826" w:rsidRPr="00890249" w:rsidRDefault="00D00826"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(vi)</w:t>
            </w:r>
          </w:p>
        </w:tc>
        <w:tc>
          <w:tcPr>
            <w:tcW w:w="1022" w:type="dxa"/>
          </w:tcPr>
          <w:p w14:paraId="7CCC6FB7" w14:textId="4098789D" w:rsidR="00B6668B" w:rsidRPr="00890249" w:rsidRDefault="002657F6" w:rsidP="00BA2F8E">
            <w:pPr>
              <w:pStyle w:val="Default"/>
              <w:rPr>
                <w:rFonts w:asciiTheme="minorHAnsi" w:hAnsiTheme="minorHAnsi" w:cstheme="minorHAnsi"/>
                <w:sz w:val="20"/>
              </w:rPr>
            </w:pPr>
            <w:r w:rsidRPr="002657F6">
              <w:rPr>
                <w:rFonts w:asciiTheme="minorHAnsi" w:hAnsiTheme="minorHAnsi" w:cstheme="minorHAnsi"/>
                <w:sz w:val="20"/>
              </w:rPr>
              <w:t xml:space="preserve">067 Gospodarowanie odpadami z </w:t>
            </w:r>
            <w:r w:rsidRPr="002657F6">
              <w:rPr>
                <w:rFonts w:asciiTheme="minorHAnsi" w:hAnsiTheme="minorHAnsi" w:cstheme="minorHAnsi"/>
                <w:sz w:val="20"/>
              </w:rPr>
              <w:lastRenderedPageBreak/>
              <w:t>gospodarstw domowych: działania w zakresie zapobiegania powstawaniu odpadów, ich minimalizacji, segregacji, ponownego użycia, recyklingu</w:t>
            </w:r>
          </w:p>
        </w:tc>
        <w:tc>
          <w:tcPr>
            <w:tcW w:w="2348" w:type="dxa"/>
          </w:tcPr>
          <w:p w14:paraId="49E6BABD" w14:textId="521AA56F" w:rsidR="00D00826" w:rsidRPr="00890249" w:rsidRDefault="00F969B6" w:rsidP="004402D9">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3 000 000</w:t>
            </w:r>
          </w:p>
        </w:tc>
      </w:tr>
      <w:tr w:rsidR="005C3B16" w:rsidRPr="00890249" w14:paraId="71D867D2" w14:textId="77777777" w:rsidTr="003D6E86">
        <w:trPr>
          <w:trHeight w:val="494"/>
        </w:trPr>
        <w:tc>
          <w:tcPr>
            <w:tcW w:w="1566" w:type="dxa"/>
            <w:vMerge/>
            <w:vAlign w:val="center"/>
          </w:tcPr>
          <w:p w14:paraId="37F1D35D" w14:textId="77777777" w:rsidR="005C3B16" w:rsidRPr="00890249" w:rsidRDefault="005C3B16" w:rsidP="00182923">
            <w:pPr>
              <w:jc w:val="center"/>
              <w:rPr>
                <w:rFonts w:asciiTheme="minorHAnsi" w:eastAsia="Times New Roman" w:hAnsiTheme="minorHAnsi" w:cstheme="minorHAnsi"/>
                <w:iCs/>
                <w:noProof/>
                <w:sz w:val="20"/>
              </w:rPr>
            </w:pPr>
          </w:p>
        </w:tc>
        <w:tc>
          <w:tcPr>
            <w:tcW w:w="1051" w:type="dxa"/>
            <w:vMerge/>
            <w:vAlign w:val="center"/>
          </w:tcPr>
          <w:p w14:paraId="53466E86" w14:textId="77777777" w:rsidR="005C3B16" w:rsidRPr="00890249" w:rsidRDefault="005C3B16" w:rsidP="00182923">
            <w:pPr>
              <w:jc w:val="center"/>
              <w:rPr>
                <w:rFonts w:asciiTheme="minorHAnsi" w:eastAsia="Times New Roman" w:hAnsiTheme="minorHAnsi" w:cstheme="minorHAnsi"/>
                <w:iCs/>
                <w:noProof/>
                <w:sz w:val="20"/>
              </w:rPr>
            </w:pPr>
          </w:p>
        </w:tc>
        <w:tc>
          <w:tcPr>
            <w:tcW w:w="1715" w:type="dxa"/>
            <w:vMerge/>
            <w:vAlign w:val="center"/>
          </w:tcPr>
          <w:p w14:paraId="500AFF6B" w14:textId="77777777" w:rsidR="005C3B16" w:rsidRPr="00890249" w:rsidRDefault="005C3B16" w:rsidP="00182923">
            <w:pPr>
              <w:jc w:val="center"/>
              <w:rPr>
                <w:rFonts w:asciiTheme="minorHAnsi" w:eastAsia="Times New Roman" w:hAnsiTheme="minorHAnsi" w:cstheme="minorHAnsi"/>
                <w:iCs/>
                <w:noProof/>
                <w:sz w:val="20"/>
              </w:rPr>
            </w:pPr>
          </w:p>
        </w:tc>
        <w:tc>
          <w:tcPr>
            <w:tcW w:w="1620" w:type="dxa"/>
            <w:vMerge/>
          </w:tcPr>
          <w:p w14:paraId="50F5858F" w14:textId="77777777" w:rsidR="005C3B16" w:rsidRPr="00890249" w:rsidRDefault="005C3B16" w:rsidP="00182923">
            <w:pPr>
              <w:jc w:val="center"/>
              <w:rPr>
                <w:rFonts w:asciiTheme="minorHAnsi" w:eastAsia="Times New Roman" w:hAnsiTheme="minorHAnsi" w:cstheme="minorHAnsi"/>
                <w:iCs/>
                <w:noProof/>
                <w:sz w:val="20"/>
              </w:rPr>
            </w:pPr>
          </w:p>
        </w:tc>
        <w:tc>
          <w:tcPr>
            <w:tcW w:w="1022" w:type="dxa"/>
          </w:tcPr>
          <w:p w14:paraId="7611A90B"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069</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Gospodarowanie odpadami przemysłowymi i handlowymi: działania w zakresie zapobiegania powstawaniu odpadów, ich minimalizacji, segregacji, ponownego użycia, recyklingu</w:t>
            </w:r>
          </w:p>
        </w:tc>
        <w:tc>
          <w:tcPr>
            <w:tcW w:w="2348" w:type="dxa"/>
          </w:tcPr>
          <w:p w14:paraId="1E8F12FE" w14:textId="634962BF" w:rsidR="005C3B16" w:rsidRPr="00890249" w:rsidRDefault="00F969B6" w:rsidP="009E191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1 500 000</w:t>
            </w:r>
          </w:p>
        </w:tc>
      </w:tr>
      <w:tr w:rsidR="005C3B16" w:rsidRPr="00890249" w14:paraId="2AC86536" w14:textId="77777777" w:rsidTr="003D6E86">
        <w:tc>
          <w:tcPr>
            <w:tcW w:w="1566" w:type="dxa"/>
            <w:vMerge/>
          </w:tcPr>
          <w:p w14:paraId="1613E36B" w14:textId="77777777" w:rsidR="005C3B16" w:rsidRPr="00890249" w:rsidRDefault="005C3B16" w:rsidP="00182923">
            <w:pPr>
              <w:jc w:val="center"/>
              <w:rPr>
                <w:rFonts w:asciiTheme="minorHAnsi" w:eastAsia="Times New Roman" w:hAnsiTheme="minorHAnsi" w:cstheme="minorHAnsi"/>
                <w:iCs/>
                <w:noProof/>
                <w:sz w:val="20"/>
              </w:rPr>
            </w:pPr>
          </w:p>
        </w:tc>
        <w:tc>
          <w:tcPr>
            <w:tcW w:w="1051" w:type="dxa"/>
            <w:vMerge/>
          </w:tcPr>
          <w:p w14:paraId="14084ABA" w14:textId="77777777" w:rsidR="005C3B16" w:rsidRPr="00890249" w:rsidRDefault="005C3B16" w:rsidP="00182923">
            <w:pPr>
              <w:jc w:val="center"/>
              <w:rPr>
                <w:rFonts w:asciiTheme="minorHAnsi" w:eastAsia="Times New Roman" w:hAnsiTheme="minorHAnsi" w:cstheme="minorHAnsi"/>
                <w:iCs/>
                <w:noProof/>
                <w:sz w:val="20"/>
              </w:rPr>
            </w:pPr>
          </w:p>
        </w:tc>
        <w:tc>
          <w:tcPr>
            <w:tcW w:w="1715" w:type="dxa"/>
            <w:vMerge/>
          </w:tcPr>
          <w:p w14:paraId="1D2786A8" w14:textId="77777777" w:rsidR="005C3B16" w:rsidRPr="00890249" w:rsidRDefault="005C3B16" w:rsidP="00182923">
            <w:pPr>
              <w:jc w:val="center"/>
              <w:rPr>
                <w:rFonts w:asciiTheme="minorHAnsi" w:eastAsia="Times New Roman" w:hAnsiTheme="minorHAnsi" w:cstheme="minorHAnsi"/>
                <w:iCs/>
                <w:noProof/>
                <w:sz w:val="20"/>
              </w:rPr>
            </w:pPr>
          </w:p>
        </w:tc>
        <w:tc>
          <w:tcPr>
            <w:tcW w:w="1620" w:type="dxa"/>
            <w:vMerge/>
          </w:tcPr>
          <w:p w14:paraId="1065A0A5" w14:textId="77777777" w:rsidR="005C3B16" w:rsidRPr="00890249" w:rsidRDefault="005C3B16" w:rsidP="00182923">
            <w:pPr>
              <w:jc w:val="center"/>
              <w:rPr>
                <w:rFonts w:asciiTheme="minorHAnsi" w:eastAsia="Times New Roman" w:hAnsiTheme="minorHAnsi" w:cstheme="minorHAnsi"/>
                <w:iCs/>
                <w:noProof/>
                <w:sz w:val="20"/>
              </w:rPr>
            </w:pPr>
          </w:p>
        </w:tc>
        <w:tc>
          <w:tcPr>
            <w:tcW w:w="1022" w:type="dxa"/>
          </w:tcPr>
          <w:p w14:paraId="25D0839A"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070</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 xml:space="preserve">Gospodarowanie odpadami przemysłowymi i handlowymi: odpady resztkowe i niebezpieczne </w:t>
            </w:r>
          </w:p>
        </w:tc>
        <w:tc>
          <w:tcPr>
            <w:tcW w:w="2348" w:type="dxa"/>
          </w:tcPr>
          <w:p w14:paraId="4B55847C" w14:textId="115E27E9" w:rsidR="005C3B16" w:rsidRPr="00890249" w:rsidRDefault="002657F6" w:rsidP="003727CF">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0</w:t>
            </w:r>
          </w:p>
        </w:tc>
      </w:tr>
      <w:tr w:rsidR="005C3B16" w:rsidRPr="00890249" w14:paraId="199697D9" w14:textId="77777777" w:rsidTr="003D6E86">
        <w:tc>
          <w:tcPr>
            <w:tcW w:w="1566" w:type="dxa"/>
            <w:vMerge/>
          </w:tcPr>
          <w:p w14:paraId="64DF8C20" w14:textId="77777777" w:rsidR="005C3B16" w:rsidRPr="00890249" w:rsidRDefault="005C3B16" w:rsidP="00182923">
            <w:pPr>
              <w:jc w:val="center"/>
              <w:rPr>
                <w:rFonts w:asciiTheme="minorHAnsi" w:eastAsia="Times New Roman" w:hAnsiTheme="minorHAnsi" w:cstheme="minorHAnsi"/>
                <w:iCs/>
                <w:noProof/>
                <w:sz w:val="20"/>
              </w:rPr>
            </w:pPr>
          </w:p>
        </w:tc>
        <w:tc>
          <w:tcPr>
            <w:tcW w:w="1051" w:type="dxa"/>
            <w:vMerge/>
          </w:tcPr>
          <w:p w14:paraId="6F0F9AB6" w14:textId="77777777" w:rsidR="005C3B16" w:rsidRPr="00890249" w:rsidRDefault="005C3B16" w:rsidP="00182923">
            <w:pPr>
              <w:jc w:val="center"/>
              <w:rPr>
                <w:rFonts w:asciiTheme="minorHAnsi" w:eastAsia="Times New Roman" w:hAnsiTheme="minorHAnsi" w:cstheme="minorHAnsi"/>
                <w:iCs/>
                <w:noProof/>
                <w:sz w:val="20"/>
              </w:rPr>
            </w:pPr>
          </w:p>
        </w:tc>
        <w:tc>
          <w:tcPr>
            <w:tcW w:w="1715" w:type="dxa"/>
            <w:vMerge/>
          </w:tcPr>
          <w:p w14:paraId="44AF3852" w14:textId="77777777" w:rsidR="005C3B16" w:rsidRPr="00890249" w:rsidRDefault="005C3B16" w:rsidP="00182923">
            <w:pPr>
              <w:jc w:val="center"/>
              <w:rPr>
                <w:rFonts w:asciiTheme="minorHAnsi" w:eastAsia="Times New Roman" w:hAnsiTheme="minorHAnsi" w:cstheme="minorHAnsi"/>
                <w:iCs/>
                <w:noProof/>
                <w:sz w:val="20"/>
              </w:rPr>
            </w:pPr>
          </w:p>
        </w:tc>
        <w:tc>
          <w:tcPr>
            <w:tcW w:w="1620" w:type="dxa"/>
            <w:vMerge/>
          </w:tcPr>
          <w:p w14:paraId="1110738A" w14:textId="77777777" w:rsidR="005C3B16" w:rsidRPr="00890249" w:rsidRDefault="005C3B16" w:rsidP="00182923">
            <w:pPr>
              <w:jc w:val="center"/>
              <w:rPr>
                <w:rFonts w:asciiTheme="minorHAnsi" w:eastAsia="Times New Roman" w:hAnsiTheme="minorHAnsi" w:cstheme="minorHAnsi"/>
                <w:iCs/>
                <w:noProof/>
                <w:sz w:val="20"/>
              </w:rPr>
            </w:pPr>
          </w:p>
        </w:tc>
        <w:tc>
          <w:tcPr>
            <w:tcW w:w="1022" w:type="dxa"/>
          </w:tcPr>
          <w:p w14:paraId="3F2D2F21" w14:textId="77777777" w:rsidR="00B6668B" w:rsidRPr="00890249" w:rsidRDefault="001344ED"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071</w:t>
            </w:r>
            <w:r w:rsidR="00372E0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 xml:space="preserve">Promowanie wykorzystania materiałów pochodzących z recyklingu jako surowców </w:t>
            </w:r>
          </w:p>
        </w:tc>
        <w:tc>
          <w:tcPr>
            <w:tcW w:w="2348" w:type="dxa"/>
          </w:tcPr>
          <w:p w14:paraId="4375CF18" w14:textId="642DC60C" w:rsidR="005C3B16" w:rsidRPr="00890249" w:rsidRDefault="00F969B6" w:rsidP="00182923">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500 000</w:t>
            </w:r>
          </w:p>
        </w:tc>
      </w:tr>
    </w:tbl>
    <w:p w14:paraId="21B26B29" w14:textId="0122242A" w:rsidR="00182923" w:rsidRPr="00890249" w:rsidRDefault="00182923" w:rsidP="00140065">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3"/>
        <w:gridCol w:w="1050"/>
        <w:gridCol w:w="1711"/>
        <w:gridCol w:w="1618"/>
        <w:gridCol w:w="1039"/>
        <w:gridCol w:w="2080"/>
      </w:tblGrid>
      <w:tr w:rsidR="00182923" w:rsidRPr="00890249" w14:paraId="45540CEB" w14:textId="77777777" w:rsidTr="00A4690F">
        <w:tc>
          <w:tcPr>
            <w:tcW w:w="9288" w:type="dxa"/>
            <w:gridSpan w:val="6"/>
            <w:shd w:val="clear" w:color="auto" w:fill="D9D9D9" w:themeFill="background1" w:themeFillShade="D9"/>
          </w:tcPr>
          <w:p w14:paraId="54C5DA49" w14:textId="77777777" w:rsidR="00182923" w:rsidRPr="00890249" w:rsidRDefault="00182923"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182923" w:rsidRPr="00890249" w14:paraId="2B3C8CF6" w14:textId="77777777" w:rsidTr="00A4690F">
        <w:tc>
          <w:tcPr>
            <w:tcW w:w="1599" w:type="dxa"/>
            <w:shd w:val="clear" w:color="auto" w:fill="F2F2F2" w:themeFill="background1" w:themeFillShade="F2"/>
          </w:tcPr>
          <w:p w14:paraId="44806A83"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0D8306F3"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76AE4635"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6C8465C"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1C3FE881"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5AC74F5D"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182923" w:rsidRPr="00890249" w14:paraId="60941210" w14:textId="77777777" w:rsidTr="00182923">
        <w:tc>
          <w:tcPr>
            <w:tcW w:w="1599" w:type="dxa"/>
            <w:vAlign w:val="center"/>
          </w:tcPr>
          <w:p w14:paraId="4CF87B9A"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73AAB2A9"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7694F6ED"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tcPr>
          <w:p w14:paraId="4BD1D3EA"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(vi)</w:t>
            </w:r>
          </w:p>
        </w:tc>
        <w:tc>
          <w:tcPr>
            <w:tcW w:w="1053" w:type="dxa"/>
          </w:tcPr>
          <w:p w14:paraId="4BBB8E8D"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521DA7" w:rsidRPr="00890249">
              <w:rPr>
                <w:rFonts w:asciiTheme="minorHAnsi" w:eastAsia="Times New Roman" w:hAnsiTheme="minorHAnsi" w:cstheme="minorHAnsi"/>
                <w:iCs/>
                <w:noProof/>
                <w:sz w:val="20"/>
              </w:rPr>
              <w:t xml:space="preserve"> Dotacja</w:t>
            </w:r>
          </w:p>
        </w:tc>
        <w:tc>
          <w:tcPr>
            <w:tcW w:w="2175" w:type="dxa"/>
          </w:tcPr>
          <w:p w14:paraId="75588931" w14:textId="4B13A13C" w:rsidR="00182923" w:rsidRPr="00890249" w:rsidRDefault="00F969B6" w:rsidP="00182923">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5 000 000</w:t>
            </w:r>
          </w:p>
        </w:tc>
      </w:tr>
    </w:tbl>
    <w:p w14:paraId="2B85D3FE" w14:textId="77777777" w:rsidR="00182923" w:rsidRPr="00890249" w:rsidRDefault="00182923" w:rsidP="006C153C">
      <w:pPr>
        <w:spacing w:before="0" w:after="240"/>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489"/>
        <w:gridCol w:w="1028"/>
        <w:gridCol w:w="1618"/>
        <w:gridCol w:w="1563"/>
        <w:gridCol w:w="1520"/>
        <w:gridCol w:w="2104"/>
      </w:tblGrid>
      <w:tr w:rsidR="00182923" w:rsidRPr="00890249" w14:paraId="704E40E7" w14:textId="77777777" w:rsidTr="00FE7195">
        <w:tc>
          <w:tcPr>
            <w:tcW w:w="9322" w:type="dxa"/>
            <w:gridSpan w:val="6"/>
            <w:shd w:val="clear" w:color="auto" w:fill="D9D9D9" w:themeFill="background1" w:themeFillShade="D9"/>
          </w:tcPr>
          <w:p w14:paraId="48228B7E" w14:textId="418688E4" w:rsidR="00182923" w:rsidRPr="00890249" w:rsidRDefault="00190034" w:rsidP="00182923">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A66643">
              <w:rPr>
                <w:rFonts w:asciiTheme="minorHAnsi" w:hAnsiTheme="minorHAnsi" w:cstheme="minorHAnsi"/>
                <w:b/>
                <w:noProof/>
                <w:sz w:val="20"/>
              </w:rPr>
              <w:t xml:space="preserve">3 </w:t>
            </w:r>
            <w:r w:rsidR="00182923" w:rsidRPr="00890249">
              <w:rPr>
                <w:rFonts w:asciiTheme="minorHAnsi" w:hAnsiTheme="minorHAnsi" w:cstheme="minorHAnsi"/>
                <w:b/>
                <w:noProof/>
                <w:sz w:val="20"/>
              </w:rPr>
              <w:t xml:space="preserve"> – terytorialny mechanizm realizacji i ukierunkowanie terytorialne </w:t>
            </w:r>
          </w:p>
        </w:tc>
      </w:tr>
      <w:tr w:rsidR="00182923" w:rsidRPr="00890249" w14:paraId="59E2B2A3" w14:textId="77777777" w:rsidTr="00FE7195">
        <w:tc>
          <w:tcPr>
            <w:tcW w:w="1566" w:type="dxa"/>
            <w:shd w:val="clear" w:color="auto" w:fill="F2F2F2" w:themeFill="background1" w:themeFillShade="F2"/>
          </w:tcPr>
          <w:p w14:paraId="051CDFD9"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3FC43A1C"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65F61970"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2D3AD2A7"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44B018E6"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8" w:type="dxa"/>
            <w:shd w:val="clear" w:color="auto" w:fill="F2F2F2" w:themeFill="background1" w:themeFillShade="F2"/>
          </w:tcPr>
          <w:p w14:paraId="32B80D4B" w14:textId="77777777" w:rsidR="00182923" w:rsidRPr="00890249" w:rsidRDefault="00182923" w:rsidP="00182923">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182923" w:rsidRPr="00890249" w14:paraId="0DB1926F" w14:textId="77777777" w:rsidTr="00FE7195">
        <w:tc>
          <w:tcPr>
            <w:tcW w:w="1566" w:type="dxa"/>
            <w:vAlign w:val="center"/>
          </w:tcPr>
          <w:p w14:paraId="68EC007D"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51" w:type="dxa"/>
            <w:vAlign w:val="center"/>
          </w:tcPr>
          <w:p w14:paraId="40DB9D1E"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5" w:type="dxa"/>
            <w:vAlign w:val="center"/>
          </w:tcPr>
          <w:p w14:paraId="44275C58" w14:textId="77777777" w:rsidR="00182923" w:rsidRPr="00890249" w:rsidRDefault="00182923"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20" w:type="dxa"/>
          </w:tcPr>
          <w:p w14:paraId="350E6AA5" w14:textId="15D21309" w:rsidR="00182923" w:rsidRPr="00890249" w:rsidRDefault="00602A7B" w:rsidP="0018292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(vi)</w:t>
            </w:r>
          </w:p>
        </w:tc>
        <w:tc>
          <w:tcPr>
            <w:tcW w:w="1022" w:type="dxa"/>
          </w:tcPr>
          <w:p w14:paraId="051E0B25" w14:textId="37310774" w:rsidR="00B6668B" w:rsidRPr="00890249" w:rsidRDefault="00372E01" w:rsidP="00BA2F8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348" w:type="dxa"/>
          </w:tcPr>
          <w:p w14:paraId="6C9E3DB1" w14:textId="613E7BE0" w:rsidR="00182923" w:rsidRPr="00890249" w:rsidRDefault="00F969B6" w:rsidP="00182923">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5 000 000</w:t>
            </w:r>
          </w:p>
        </w:tc>
      </w:tr>
    </w:tbl>
    <w:p w14:paraId="704B6BC9"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9E79E4" w:rsidRPr="00890249" w14:paraId="0DB24C7D" w14:textId="77777777" w:rsidTr="00A4690F">
        <w:tc>
          <w:tcPr>
            <w:tcW w:w="9288" w:type="dxa"/>
            <w:gridSpan w:val="6"/>
            <w:shd w:val="clear" w:color="auto" w:fill="D9D9D9" w:themeFill="background1" w:themeFillShade="D9"/>
          </w:tcPr>
          <w:p w14:paraId="1872F875"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5FE1B96D" w14:textId="77777777" w:rsidTr="00A4690F">
        <w:tc>
          <w:tcPr>
            <w:tcW w:w="1599" w:type="dxa"/>
            <w:shd w:val="clear" w:color="auto" w:fill="F2F2F2" w:themeFill="background1" w:themeFillShade="F2"/>
          </w:tcPr>
          <w:p w14:paraId="0C2D22CB"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3A9C6EE2"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1E56A33A"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7CC0BAB6"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08C7E5BC"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77C51C75"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79E4" w:rsidRPr="00890249" w14:paraId="31FE9875" w14:textId="77777777" w:rsidTr="000B7697">
        <w:tc>
          <w:tcPr>
            <w:tcW w:w="1599" w:type="dxa"/>
            <w:vAlign w:val="center"/>
          </w:tcPr>
          <w:p w14:paraId="71936D6D" w14:textId="77777777" w:rsidR="009E79E4" w:rsidRPr="00890249" w:rsidRDefault="009E79E4" w:rsidP="00013FF8">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3FD9DED7" w14:textId="77777777" w:rsidR="009E79E4" w:rsidRPr="00890249" w:rsidRDefault="009E79E4" w:rsidP="00013FF8">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2446BBD8" w14:textId="77777777" w:rsidR="009E79E4" w:rsidRPr="00890249" w:rsidRDefault="009E79E4" w:rsidP="00013FF8">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48A109DC" w14:textId="77777777" w:rsidR="009E79E4" w:rsidRPr="00890249" w:rsidRDefault="009E79E4" w:rsidP="00013FF8">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65042632" w14:textId="77777777" w:rsidR="009E79E4" w:rsidRPr="00890249" w:rsidRDefault="009E79E4" w:rsidP="00013FF8">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6B3A2DDE" w14:textId="77777777" w:rsidR="009E79E4" w:rsidRPr="00890249" w:rsidRDefault="009E79E4" w:rsidP="00013FF8">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0F2B8F42" w14:textId="77777777" w:rsidR="009E79E4" w:rsidRPr="00890249" w:rsidRDefault="009E79E4" w:rsidP="006C153C">
      <w:pPr>
        <w:spacing w:before="0" w:after="24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9E79E4" w:rsidRPr="00890249" w14:paraId="0EF67C27" w14:textId="77777777" w:rsidTr="00FE7195">
        <w:tc>
          <w:tcPr>
            <w:tcW w:w="9322" w:type="dxa"/>
            <w:gridSpan w:val="6"/>
            <w:shd w:val="clear" w:color="auto" w:fill="D9D9D9" w:themeFill="background1" w:themeFillShade="D9"/>
          </w:tcPr>
          <w:p w14:paraId="152386C9" w14:textId="77777777" w:rsidR="009E79E4" w:rsidRPr="00890249" w:rsidRDefault="009E79E4" w:rsidP="000B7697">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9E79E4" w:rsidRPr="00890249" w14:paraId="415B5BC4" w14:textId="77777777" w:rsidTr="00FE7195">
        <w:tc>
          <w:tcPr>
            <w:tcW w:w="1570" w:type="dxa"/>
            <w:shd w:val="clear" w:color="auto" w:fill="F2F2F2" w:themeFill="background1" w:themeFillShade="F2"/>
          </w:tcPr>
          <w:p w14:paraId="2105A150"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700A35ED"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52C3CA52"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3C358421"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6C1AC5BF"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5A210F78"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190034" w:rsidRPr="00890249" w14:paraId="0613A5AD" w14:textId="77777777" w:rsidTr="00FE7195">
        <w:tc>
          <w:tcPr>
            <w:tcW w:w="1570" w:type="dxa"/>
            <w:vAlign w:val="center"/>
          </w:tcPr>
          <w:p w14:paraId="68DC3AA1" w14:textId="77777777" w:rsidR="00190034" w:rsidRPr="00890249" w:rsidRDefault="00190034" w:rsidP="00013FF8">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360" w:type="dxa"/>
            <w:vAlign w:val="center"/>
          </w:tcPr>
          <w:p w14:paraId="63C216D1" w14:textId="77777777" w:rsidR="00190034" w:rsidRPr="00890249" w:rsidRDefault="00190034" w:rsidP="00013FF8">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27F23215" w14:textId="77777777" w:rsidR="00190034" w:rsidRPr="00890249" w:rsidRDefault="00190034" w:rsidP="00013FF8">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vAlign w:val="center"/>
          </w:tcPr>
          <w:p w14:paraId="11782786" w14:textId="77777777" w:rsidR="00190034" w:rsidRPr="00890249" w:rsidRDefault="00190034" w:rsidP="00013FF8">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(vi)</w:t>
            </w:r>
          </w:p>
        </w:tc>
        <w:tc>
          <w:tcPr>
            <w:tcW w:w="1026" w:type="dxa"/>
            <w:shd w:val="clear" w:color="auto" w:fill="auto"/>
            <w:vAlign w:val="center"/>
          </w:tcPr>
          <w:p w14:paraId="4990F5A1" w14:textId="4E1E2838" w:rsidR="00B6668B" w:rsidRPr="00890249" w:rsidRDefault="00D0622E" w:rsidP="00BA2F8E">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592BF2EF" w14:textId="227D15F1" w:rsidR="00190034" w:rsidRPr="00890249" w:rsidRDefault="00F969B6" w:rsidP="000528DA">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5 000 000</w:t>
            </w:r>
          </w:p>
        </w:tc>
      </w:tr>
    </w:tbl>
    <w:p w14:paraId="3AC79213" w14:textId="77777777" w:rsidR="00E95B1F" w:rsidRPr="00890249" w:rsidRDefault="00E95B1F" w:rsidP="00182923">
      <w:pPr>
        <w:spacing w:after="0"/>
        <w:rPr>
          <w:rFonts w:asciiTheme="minorHAnsi" w:eastAsia="Times New Roman" w:hAnsiTheme="minorHAnsi" w:cstheme="minorHAnsi"/>
          <w:b/>
          <w:iCs/>
          <w:noProof/>
          <w:szCs w:val="24"/>
        </w:rPr>
      </w:pPr>
    </w:p>
    <w:p w14:paraId="153BAD89" w14:textId="77777777" w:rsidR="00182923" w:rsidRPr="00890249" w:rsidRDefault="00E95B1F" w:rsidP="00E95B1F">
      <w:pPr>
        <w:spacing w:before="0" w:after="160" w:line="259" w:lineRule="auto"/>
        <w:jc w:val="left"/>
        <w:rPr>
          <w:rFonts w:asciiTheme="minorHAnsi" w:eastAsia="Times New Roman" w:hAnsiTheme="minorHAnsi" w:cstheme="minorHAnsi"/>
          <w:b/>
          <w:iCs/>
          <w:noProof/>
          <w:szCs w:val="24"/>
        </w:rPr>
      </w:pPr>
      <w:r w:rsidRPr="00890249">
        <w:rPr>
          <w:rFonts w:asciiTheme="minorHAnsi" w:eastAsia="Times New Roman" w:hAnsiTheme="minorHAnsi" w:cstheme="minorHAnsi"/>
          <w:b/>
          <w:iCs/>
          <w:noProof/>
          <w:szCs w:val="24"/>
        </w:rPr>
        <w:br w:type="page"/>
      </w:r>
    </w:p>
    <w:p w14:paraId="06F90818" w14:textId="77777777" w:rsidR="001169B8" w:rsidRPr="00890249" w:rsidRDefault="001169B8" w:rsidP="001169B8">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2.1.2.6 (vii) Cel szczegółowy</w:t>
      </w:r>
    </w:p>
    <w:p w14:paraId="1AB8370B" w14:textId="77777777" w:rsidR="001169B8" w:rsidRPr="00890249" w:rsidRDefault="001169B8" w:rsidP="001169B8">
      <w:pPr>
        <w:spacing w:before="240" w:after="240"/>
        <w:rPr>
          <w:rFonts w:asciiTheme="minorHAnsi" w:eastAsia="Times New Roman" w:hAnsiTheme="minorHAnsi" w:cstheme="minorHAnsi"/>
          <w:iCs/>
          <w:noProof/>
          <w:szCs w:val="24"/>
        </w:rPr>
      </w:pPr>
      <w:r w:rsidRPr="00890249">
        <w:rPr>
          <w:rFonts w:asciiTheme="minorHAnsi" w:hAnsiTheme="minorHAnsi" w:cstheme="minorHAnsi"/>
          <w:b/>
          <w:noProof/>
          <w:color w:val="2F5496" w:themeColor="accent5" w:themeShade="BF"/>
          <w:sz w:val="22"/>
          <w:szCs w:val="22"/>
        </w:rPr>
        <w:t xml:space="preserve">(vii) </w:t>
      </w:r>
      <w:r w:rsidRPr="00890249">
        <w:rPr>
          <w:rFonts w:asciiTheme="minorHAnsi" w:hAnsiTheme="minorHAnsi" w:cstheme="minorHAnsi"/>
          <w:b/>
          <w:noProof/>
          <w:color w:val="2F5496" w:themeColor="accent5" w:themeShade="BF"/>
        </w:rPr>
        <w:t>Wzmacnianie ochrony i zachowania przyrody, różnorodności biologicznej oraz zielonej infrastruktury, w tym na obszarach miejskich oraz ograniczanie wszelkich rodzajów zanieczyszczenia</w:t>
      </w:r>
    </w:p>
    <w:p w14:paraId="28246EEC" w14:textId="77777777" w:rsidR="001169B8" w:rsidRPr="00890249" w:rsidRDefault="001169B8" w:rsidP="001169B8">
      <w:pPr>
        <w:rPr>
          <w:rFonts w:asciiTheme="minorHAnsi" w:hAnsiTheme="minorHAnsi" w:cstheme="minorHAnsi"/>
          <w:b/>
          <w:noProof/>
          <w:sz w:val="22"/>
          <w:szCs w:val="22"/>
        </w:rPr>
      </w:pPr>
      <w:r w:rsidRPr="00890249">
        <w:rPr>
          <w:rFonts w:asciiTheme="minorHAnsi" w:hAnsiTheme="minorHAnsi" w:cstheme="minorHAnsi"/>
          <w:b/>
          <w:noProof/>
          <w:sz w:val="22"/>
          <w:szCs w:val="22"/>
        </w:rPr>
        <w:t>2.1.2.6.1 (vii) Interwencje w ramach funduszy</w:t>
      </w:r>
    </w:p>
    <w:p w14:paraId="18C029FB" w14:textId="77777777" w:rsidR="001169B8" w:rsidRPr="00890249" w:rsidRDefault="001169B8" w:rsidP="001169B8">
      <w:pPr>
        <w:rPr>
          <w:rFonts w:asciiTheme="minorHAnsi" w:eastAsia="Times New Roman" w:hAnsiTheme="minorHAnsi" w:cstheme="minorHAnsi"/>
          <w:b/>
          <w:i/>
          <w:iCs/>
          <w:noProof/>
          <w:sz w:val="22"/>
          <w:szCs w:val="22"/>
        </w:rPr>
      </w:pPr>
      <w:r w:rsidRPr="00890249">
        <w:rPr>
          <w:rFonts w:asciiTheme="minorHAnsi" w:hAnsiTheme="minorHAnsi" w:cstheme="minorHAnsi"/>
          <w:b/>
          <w:noProof/>
          <w:color w:val="2F5496" w:themeColor="accent5" w:themeShade="BF"/>
          <w:sz w:val="22"/>
          <w:szCs w:val="22"/>
        </w:rPr>
        <w:t>Powiązane rodzaje działań</w:t>
      </w:r>
    </w:p>
    <w:p w14:paraId="745655ED" w14:textId="77777777" w:rsidR="0093433C" w:rsidRPr="00890249" w:rsidRDefault="4F4EC63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Woj.</w:t>
      </w:r>
      <w:r w:rsidR="18017335" w:rsidRPr="00890249">
        <w:rPr>
          <w:rFonts w:asciiTheme="minorHAnsi" w:hAnsiTheme="minorHAnsi" w:cstheme="minorHAnsi"/>
          <w:noProof/>
          <w:sz w:val="22"/>
          <w:szCs w:val="22"/>
        </w:rPr>
        <w:t xml:space="preserve"> opolskie charakteryzuje się wysoką bioróżnorodnością i zróżnicowanymi walorami przyrodniczo-krajobrazowymi, co powoduje, że blisko 1/3 powierzchni województwa jest objęta prawnymi formami ochrony przyrody</w:t>
      </w:r>
      <w:r w:rsidR="12FB81A3"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t>
      </w:r>
      <w:r w:rsidR="12FB81A3" w:rsidRPr="00890249">
        <w:rPr>
          <w:rFonts w:asciiTheme="minorHAnsi" w:hAnsiTheme="minorHAnsi" w:cstheme="minorHAnsi"/>
          <w:noProof/>
          <w:sz w:val="22"/>
          <w:szCs w:val="22"/>
        </w:rPr>
        <w:t>P</w:t>
      </w:r>
      <w:r w:rsidR="18017335" w:rsidRPr="00890249">
        <w:rPr>
          <w:rFonts w:asciiTheme="minorHAnsi" w:hAnsiTheme="minorHAnsi" w:cstheme="minorHAnsi"/>
          <w:noProof/>
          <w:sz w:val="22"/>
          <w:szCs w:val="22"/>
        </w:rPr>
        <w:t>owierzchnia terenów przyrodniczych podlegająca ochronie prawnej wynosiła w</w:t>
      </w:r>
      <w:r w:rsidRPr="00890249">
        <w:rPr>
          <w:rFonts w:asciiTheme="minorHAnsi" w:hAnsiTheme="minorHAnsi" w:cstheme="minorHAnsi"/>
          <w:noProof/>
          <w:sz w:val="22"/>
          <w:szCs w:val="22"/>
        </w:rPr>
        <w:t> </w:t>
      </w:r>
      <w:r w:rsidR="18017335" w:rsidRPr="00890249">
        <w:rPr>
          <w:rFonts w:asciiTheme="minorHAnsi" w:hAnsiTheme="minorHAnsi" w:cstheme="minorHAnsi"/>
          <w:noProof/>
          <w:sz w:val="22"/>
          <w:szCs w:val="22"/>
        </w:rPr>
        <w:t>201</w:t>
      </w:r>
      <w:r w:rsidR="4F02C8B7" w:rsidRPr="00890249">
        <w:rPr>
          <w:rFonts w:asciiTheme="minorHAnsi" w:hAnsiTheme="minorHAnsi" w:cstheme="minorHAnsi"/>
          <w:noProof/>
          <w:sz w:val="22"/>
          <w:szCs w:val="22"/>
        </w:rPr>
        <w:t>8</w:t>
      </w:r>
      <w:r w:rsidR="18017335" w:rsidRPr="00890249">
        <w:rPr>
          <w:rFonts w:asciiTheme="minorHAnsi" w:hAnsiTheme="minorHAnsi" w:cstheme="minorHAnsi"/>
          <w:noProof/>
          <w:sz w:val="22"/>
          <w:szCs w:val="22"/>
        </w:rPr>
        <w:t xml:space="preserve"> r. ok. 2</w:t>
      </w:r>
      <w:r w:rsidR="4F02C8B7" w:rsidRPr="00890249">
        <w:rPr>
          <w:rFonts w:asciiTheme="minorHAnsi" w:hAnsiTheme="minorHAnsi" w:cstheme="minorHAnsi"/>
          <w:noProof/>
          <w:sz w:val="22"/>
          <w:szCs w:val="22"/>
        </w:rPr>
        <w:t>59 530,1</w:t>
      </w:r>
      <w:r w:rsidR="18017335" w:rsidRPr="00890249">
        <w:rPr>
          <w:rFonts w:asciiTheme="minorHAnsi" w:hAnsiTheme="minorHAnsi" w:cstheme="minorHAnsi"/>
          <w:noProof/>
          <w:sz w:val="22"/>
          <w:szCs w:val="22"/>
        </w:rPr>
        <w:t xml:space="preserve"> ha, co stanowi ok. 27,</w:t>
      </w:r>
      <w:r w:rsidR="3B8468B7" w:rsidRPr="00890249">
        <w:rPr>
          <w:rFonts w:asciiTheme="minorHAnsi" w:hAnsiTheme="minorHAnsi" w:cstheme="minorHAnsi"/>
          <w:noProof/>
          <w:sz w:val="22"/>
          <w:szCs w:val="22"/>
        </w:rPr>
        <w:t>6</w:t>
      </w:r>
      <w:r w:rsidR="18017335" w:rsidRPr="00890249">
        <w:rPr>
          <w:rFonts w:asciiTheme="minorHAnsi" w:hAnsiTheme="minorHAnsi" w:cstheme="minorHAnsi"/>
          <w:noProof/>
          <w:sz w:val="22"/>
          <w:szCs w:val="22"/>
        </w:rPr>
        <w:t>%</w:t>
      </w:r>
      <w:r w:rsidR="45BE7692" w:rsidRPr="00890249">
        <w:rPr>
          <w:rFonts w:asciiTheme="minorHAnsi" w:hAnsiTheme="minorHAnsi" w:cstheme="minorHAnsi"/>
          <w:noProof/>
          <w:sz w:val="22"/>
          <w:szCs w:val="22"/>
        </w:rPr>
        <w:t xml:space="preserve"> powierzchni</w:t>
      </w:r>
      <w:r w:rsidR="12FB81A3" w:rsidRPr="00890249">
        <w:rPr>
          <w:rFonts w:asciiTheme="minorHAnsi" w:hAnsiTheme="minorHAnsi" w:cstheme="minorHAnsi"/>
          <w:noProof/>
          <w:sz w:val="22"/>
          <w:szCs w:val="22"/>
        </w:rPr>
        <w:t xml:space="preserve"> województwa</w:t>
      </w:r>
      <w:r w:rsidR="45BE7692" w:rsidRPr="00890249">
        <w:rPr>
          <w:rFonts w:asciiTheme="minorHAnsi" w:hAnsiTheme="minorHAnsi" w:cstheme="minorHAnsi"/>
          <w:noProof/>
          <w:sz w:val="22"/>
          <w:szCs w:val="22"/>
        </w:rPr>
        <w:t>. Obszar</w:t>
      </w:r>
      <w:r w:rsidR="18017335" w:rsidRPr="00890249">
        <w:rPr>
          <w:rFonts w:asciiTheme="minorHAnsi" w:hAnsiTheme="minorHAnsi" w:cstheme="minorHAnsi"/>
          <w:noProof/>
          <w:sz w:val="22"/>
          <w:szCs w:val="22"/>
        </w:rPr>
        <w:t xml:space="preserve"> terenów Natura 2000 wynosił w 201</w:t>
      </w:r>
      <w:r w:rsidR="4F02C8B7" w:rsidRPr="00890249">
        <w:rPr>
          <w:rFonts w:asciiTheme="minorHAnsi" w:hAnsiTheme="minorHAnsi" w:cstheme="minorHAnsi"/>
          <w:noProof/>
          <w:sz w:val="22"/>
          <w:szCs w:val="22"/>
        </w:rPr>
        <w:t>8</w:t>
      </w:r>
      <w:r w:rsidR="18017335" w:rsidRPr="00890249">
        <w:rPr>
          <w:rFonts w:asciiTheme="minorHAnsi" w:hAnsiTheme="minorHAnsi" w:cstheme="minorHAnsi"/>
          <w:noProof/>
          <w:sz w:val="22"/>
          <w:szCs w:val="22"/>
        </w:rPr>
        <w:t xml:space="preserve"> r. 14</w:t>
      </w:r>
      <w:r w:rsidR="4F02C8B7" w:rsidRPr="00890249">
        <w:rPr>
          <w:rFonts w:asciiTheme="minorHAnsi" w:hAnsiTheme="minorHAnsi" w:cstheme="minorHAnsi"/>
          <w:noProof/>
          <w:sz w:val="22"/>
          <w:szCs w:val="22"/>
        </w:rPr>
        <w:t> 391,7</w:t>
      </w:r>
      <w:r w:rsidR="18017335" w:rsidRPr="00890249">
        <w:rPr>
          <w:rFonts w:asciiTheme="minorHAnsi" w:hAnsiTheme="minorHAnsi" w:cstheme="minorHAnsi"/>
          <w:noProof/>
          <w:sz w:val="22"/>
          <w:szCs w:val="22"/>
        </w:rPr>
        <w:t xml:space="preserve"> ha</w:t>
      </w:r>
      <w:r w:rsidRPr="00890249">
        <w:rPr>
          <w:rFonts w:asciiTheme="minorHAnsi" w:hAnsiTheme="minorHAnsi" w:cstheme="minorHAnsi"/>
          <w:noProof/>
          <w:sz w:val="22"/>
          <w:szCs w:val="22"/>
        </w:rPr>
        <w:t xml:space="preserve"> </w:t>
      </w:r>
      <w:r w:rsidR="4F02C8B7" w:rsidRPr="00890249">
        <w:rPr>
          <w:rFonts w:asciiTheme="minorHAnsi" w:hAnsiTheme="minorHAnsi" w:cstheme="minorHAnsi"/>
          <w:noProof/>
          <w:sz w:val="22"/>
          <w:szCs w:val="22"/>
        </w:rPr>
        <w:t xml:space="preserve">obszarów specjalnej ochrony ptaków (OSO) </w:t>
      </w:r>
      <w:r w:rsidR="009C4747" w:rsidRPr="00890249">
        <w:rPr>
          <w:rFonts w:asciiTheme="minorHAnsi" w:hAnsiTheme="minorHAnsi" w:cstheme="minorHAnsi"/>
          <w:noProof/>
          <w:sz w:val="22"/>
          <w:szCs w:val="22"/>
        </w:rPr>
        <w:br/>
      </w:r>
      <w:r w:rsidR="4F02C8B7" w:rsidRPr="00890249">
        <w:rPr>
          <w:rFonts w:asciiTheme="minorHAnsi" w:hAnsiTheme="minorHAnsi" w:cstheme="minorHAnsi"/>
          <w:noProof/>
          <w:sz w:val="22"/>
          <w:szCs w:val="22"/>
        </w:rPr>
        <w:t xml:space="preserve">i 27 264,8 ha </w:t>
      </w:r>
      <w:r w:rsidR="72D4BAEA" w:rsidRPr="00890249">
        <w:rPr>
          <w:rFonts w:asciiTheme="minorHAnsi" w:hAnsiTheme="minorHAnsi" w:cstheme="minorHAnsi"/>
          <w:noProof/>
          <w:sz w:val="22"/>
          <w:szCs w:val="22"/>
        </w:rPr>
        <w:t xml:space="preserve">obszarów </w:t>
      </w:r>
      <w:r w:rsidR="4F02C8B7" w:rsidRPr="00890249">
        <w:rPr>
          <w:rFonts w:asciiTheme="minorHAnsi" w:hAnsiTheme="minorHAnsi" w:cstheme="minorHAnsi"/>
          <w:noProof/>
          <w:sz w:val="22"/>
          <w:szCs w:val="22"/>
        </w:rPr>
        <w:t>specjaln</w:t>
      </w:r>
      <w:r w:rsidR="72D4BAEA" w:rsidRPr="00890249">
        <w:rPr>
          <w:rFonts w:asciiTheme="minorHAnsi" w:hAnsiTheme="minorHAnsi" w:cstheme="minorHAnsi"/>
          <w:noProof/>
          <w:sz w:val="22"/>
          <w:szCs w:val="22"/>
        </w:rPr>
        <w:t xml:space="preserve">ej </w:t>
      </w:r>
      <w:r w:rsidR="4F02C8B7" w:rsidRPr="00890249">
        <w:rPr>
          <w:rFonts w:asciiTheme="minorHAnsi" w:hAnsiTheme="minorHAnsi" w:cstheme="minorHAnsi"/>
          <w:noProof/>
          <w:sz w:val="22"/>
          <w:szCs w:val="22"/>
        </w:rPr>
        <w:t>ochrony siedlisk (SOO)</w:t>
      </w:r>
      <w:r w:rsidR="00C31270" w:rsidRPr="00890249">
        <w:rPr>
          <w:rFonts w:asciiTheme="minorHAnsi" w:hAnsiTheme="minorHAnsi" w:cstheme="minorHAnsi"/>
          <w:noProof/>
          <w:sz w:val="22"/>
          <w:szCs w:val="22"/>
          <w:vertAlign w:val="superscript"/>
        </w:rPr>
        <w:footnoteReference w:id="141"/>
      </w:r>
      <w:r w:rsidR="18017335" w:rsidRPr="00890249">
        <w:rPr>
          <w:rFonts w:asciiTheme="minorHAnsi" w:hAnsiTheme="minorHAnsi" w:cstheme="minorHAnsi"/>
          <w:noProof/>
          <w:sz w:val="22"/>
          <w:szCs w:val="22"/>
        </w:rPr>
        <w:t xml:space="preserve">. </w:t>
      </w:r>
    </w:p>
    <w:p w14:paraId="2EA08F4F" w14:textId="77777777" w:rsidR="0093433C" w:rsidRPr="00890249" w:rsidRDefault="1801733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Analizy wskazują jednak na negatywne trendy i ciągły spadek różnorodności biologicznej województwa</w:t>
      </w:r>
      <w:r w:rsidR="4F4EC636"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będące wynikiem degradacji środowiska naturalnego, widocznej m.in.</w:t>
      </w:r>
      <w:r w:rsidR="6A590F96"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w postępujących uszkodzeniach drzewostanów wskutek położenia </w:t>
      </w:r>
      <w:r w:rsidR="6A590F96" w:rsidRPr="00890249">
        <w:rPr>
          <w:rFonts w:asciiTheme="minorHAnsi" w:hAnsiTheme="minorHAnsi" w:cstheme="minorHAnsi"/>
          <w:noProof/>
          <w:sz w:val="22"/>
          <w:szCs w:val="22"/>
        </w:rPr>
        <w:t xml:space="preserve">dużej części regionu </w:t>
      </w:r>
      <w:r w:rsidRPr="00890249">
        <w:rPr>
          <w:rFonts w:asciiTheme="minorHAnsi" w:hAnsiTheme="minorHAnsi" w:cstheme="minorHAnsi"/>
          <w:noProof/>
          <w:sz w:val="22"/>
          <w:szCs w:val="22"/>
        </w:rPr>
        <w:t>w strefie największych zagrożeń emisjami gazów i</w:t>
      </w:r>
      <w:r w:rsidR="4F4EC636" w:rsidRPr="00890249">
        <w:rPr>
          <w:rFonts w:asciiTheme="minorHAnsi" w:hAnsiTheme="minorHAnsi" w:cstheme="minorHAnsi"/>
          <w:noProof/>
          <w:sz w:val="22"/>
          <w:szCs w:val="22"/>
        </w:rPr>
        <w:t> </w:t>
      </w:r>
      <w:r w:rsidRPr="00890249">
        <w:rPr>
          <w:rFonts w:asciiTheme="minorHAnsi" w:hAnsiTheme="minorHAnsi" w:cstheme="minorHAnsi"/>
          <w:noProof/>
          <w:sz w:val="22"/>
          <w:szCs w:val="22"/>
        </w:rPr>
        <w:t>zanieczyszczenia pyłami w kraju</w:t>
      </w:r>
      <w:r w:rsidR="00C31270" w:rsidRPr="00890249">
        <w:rPr>
          <w:rFonts w:asciiTheme="minorHAnsi" w:hAnsiTheme="minorHAnsi" w:cstheme="minorHAnsi"/>
          <w:noProof/>
          <w:sz w:val="22"/>
          <w:szCs w:val="22"/>
          <w:vertAlign w:val="superscript"/>
        </w:rPr>
        <w:footnoteReference w:id="142"/>
      </w:r>
      <w:r w:rsidRPr="00890249">
        <w:rPr>
          <w:rFonts w:asciiTheme="minorHAnsi" w:hAnsiTheme="minorHAnsi" w:cstheme="minorHAnsi"/>
          <w:noProof/>
          <w:sz w:val="22"/>
          <w:szCs w:val="22"/>
        </w:rPr>
        <w:t>.</w:t>
      </w:r>
      <w:r w:rsidR="6E0D580D" w:rsidRPr="00890249">
        <w:rPr>
          <w:rFonts w:asciiTheme="minorHAnsi" w:hAnsiTheme="minorHAnsi" w:cstheme="minorHAnsi"/>
          <w:noProof/>
          <w:sz w:val="22"/>
          <w:szCs w:val="22"/>
        </w:rPr>
        <w:t xml:space="preserve"> </w:t>
      </w:r>
      <w:r w:rsidR="166AD15C" w:rsidRPr="00890249">
        <w:rPr>
          <w:rFonts w:asciiTheme="minorHAnsi" w:hAnsiTheme="minorHAnsi" w:cstheme="minorHAnsi"/>
          <w:noProof/>
          <w:sz w:val="22"/>
          <w:szCs w:val="22"/>
        </w:rPr>
        <w:t>Spa</w:t>
      </w:r>
      <w:r w:rsidR="320867FD" w:rsidRPr="00890249">
        <w:rPr>
          <w:rFonts w:asciiTheme="minorHAnsi" w:hAnsiTheme="minorHAnsi" w:cstheme="minorHAnsi"/>
          <w:noProof/>
          <w:sz w:val="22"/>
          <w:szCs w:val="22"/>
        </w:rPr>
        <w:t>dku</w:t>
      </w:r>
      <w:r w:rsidR="166AD15C" w:rsidRPr="00890249">
        <w:rPr>
          <w:rFonts w:asciiTheme="minorHAnsi" w:hAnsiTheme="minorHAnsi" w:cstheme="minorHAnsi"/>
          <w:noProof/>
          <w:sz w:val="22"/>
          <w:szCs w:val="22"/>
        </w:rPr>
        <w:t xml:space="preserve"> bioró</w:t>
      </w:r>
      <w:r w:rsidR="320867FD" w:rsidRPr="00890249">
        <w:rPr>
          <w:rFonts w:asciiTheme="minorHAnsi" w:hAnsiTheme="minorHAnsi" w:cstheme="minorHAnsi"/>
          <w:noProof/>
          <w:sz w:val="22"/>
          <w:szCs w:val="22"/>
        </w:rPr>
        <w:t>ż</w:t>
      </w:r>
      <w:r w:rsidR="166AD15C" w:rsidRPr="00890249">
        <w:rPr>
          <w:rFonts w:asciiTheme="minorHAnsi" w:hAnsiTheme="minorHAnsi" w:cstheme="minorHAnsi"/>
          <w:noProof/>
          <w:sz w:val="22"/>
          <w:szCs w:val="22"/>
        </w:rPr>
        <w:t>norodności można upatrywać również w wielu innych czynnikach związanych z działalnością człowieka, w tym takich jak</w:t>
      </w:r>
      <w:r w:rsidR="623ACBFA" w:rsidRPr="00890249">
        <w:rPr>
          <w:rFonts w:asciiTheme="minorHAnsi" w:hAnsiTheme="minorHAnsi" w:cstheme="minorHAnsi"/>
          <w:noProof/>
          <w:sz w:val="22"/>
          <w:szCs w:val="22"/>
        </w:rPr>
        <w:t xml:space="preserve"> </w:t>
      </w:r>
      <w:r w:rsidR="6E0D580D" w:rsidRPr="00890249">
        <w:rPr>
          <w:rFonts w:asciiTheme="minorHAnsi" w:hAnsiTheme="minorHAnsi" w:cstheme="minorHAnsi"/>
          <w:noProof/>
          <w:sz w:val="22"/>
          <w:szCs w:val="22"/>
        </w:rPr>
        <w:t>zmiana sposobu użytkowania gruntów (np. wylesianie, intensywna gospodarka monokulturowa, urbanizacja, osuszanie i eksploatacja obszarów wodno-błotnych)</w:t>
      </w:r>
      <w:r w:rsidR="166AD15C" w:rsidRPr="00890249">
        <w:rPr>
          <w:rFonts w:asciiTheme="minorHAnsi" w:hAnsiTheme="minorHAnsi" w:cstheme="minorHAnsi"/>
          <w:noProof/>
          <w:sz w:val="22"/>
          <w:szCs w:val="22"/>
        </w:rPr>
        <w:t xml:space="preserve">. </w:t>
      </w:r>
    </w:p>
    <w:p w14:paraId="6FF183F0" w14:textId="439A0278" w:rsidR="0093433C" w:rsidRPr="00890249" w:rsidRDefault="7219169E"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 xml:space="preserve">Działania adresowane będą </w:t>
      </w:r>
      <w:r w:rsidR="1B1D5A92" w:rsidRPr="00890249">
        <w:rPr>
          <w:rFonts w:asciiTheme="minorHAnsi" w:hAnsiTheme="minorHAnsi" w:cstheme="minorHAnsi"/>
          <w:noProof/>
          <w:sz w:val="22"/>
          <w:szCs w:val="22"/>
        </w:rPr>
        <w:t>m.in.</w:t>
      </w:r>
      <w:r w:rsidRPr="00890249">
        <w:rPr>
          <w:rFonts w:asciiTheme="minorHAnsi" w:hAnsiTheme="minorHAnsi" w:cstheme="minorHAnsi"/>
          <w:noProof/>
          <w:sz w:val="22"/>
          <w:szCs w:val="22"/>
        </w:rPr>
        <w:t xml:space="preserve"> do obszarów objętych formami ochrony przyrody, w tym Natura 2000. </w:t>
      </w:r>
      <w:r w:rsidR="06D49E78" w:rsidRPr="00890249">
        <w:rPr>
          <w:rFonts w:asciiTheme="minorHAnsi" w:hAnsiTheme="minorHAnsi" w:cstheme="minorHAnsi"/>
          <w:noProof/>
          <w:sz w:val="22"/>
          <w:szCs w:val="22"/>
        </w:rPr>
        <w:t xml:space="preserve">Ze względu na niekorzystne uwarunkowania środowiskowe wskazuje się, iż w </w:t>
      </w:r>
      <w:r w:rsidRPr="00890249">
        <w:rPr>
          <w:rFonts w:asciiTheme="minorHAnsi" w:hAnsiTheme="minorHAnsi" w:cstheme="minorHAnsi"/>
          <w:noProof/>
          <w:sz w:val="22"/>
          <w:szCs w:val="22"/>
        </w:rPr>
        <w:t xml:space="preserve">zakresie </w:t>
      </w:r>
      <w:r w:rsidR="06D49E78" w:rsidRPr="00890249">
        <w:rPr>
          <w:rFonts w:asciiTheme="minorHAnsi" w:hAnsiTheme="minorHAnsi" w:cstheme="minorHAnsi"/>
          <w:noProof/>
          <w:sz w:val="22"/>
          <w:szCs w:val="22"/>
        </w:rPr>
        <w:t>obszarów o szczególnych walorach przyrodniczych prawnie chronionych, kluczowa jest ochrona zagrożonych siedlisk i gatunków</w:t>
      </w:r>
      <w:r w:rsidR="2547717A" w:rsidRPr="00890249">
        <w:rPr>
          <w:rFonts w:asciiTheme="minorHAnsi" w:hAnsiTheme="minorHAnsi" w:cstheme="minorHAnsi"/>
          <w:noProof/>
          <w:sz w:val="22"/>
          <w:szCs w:val="22"/>
        </w:rPr>
        <w:t>,</w:t>
      </w:r>
      <w:r w:rsidR="06D49E78" w:rsidRPr="00890249">
        <w:rPr>
          <w:rFonts w:asciiTheme="minorHAnsi" w:hAnsiTheme="minorHAnsi" w:cstheme="minorHAnsi"/>
          <w:noProof/>
          <w:sz w:val="22"/>
          <w:szCs w:val="22"/>
        </w:rPr>
        <w:t xml:space="preserve"> zarówno w ich naturalnym środowisku, jak i w ekosystemach zastępczych</w:t>
      </w:r>
      <w:r w:rsidR="69D550E5" w:rsidRPr="00890249">
        <w:rPr>
          <w:rFonts w:asciiTheme="minorHAnsi" w:hAnsiTheme="minorHAnsi" w:cstheme="minorHAnsi"/>
          <w:noProof/>
          <w:sz w:val="22"/>
          <w:szCs w:val="22"/>
        </w:rPr>
        <w:t xml:space="preserve"> (np. tworzenie kolekcji zachowawczych ex situ)</w:t>
      </w:r>
      <w:r w:rsidR="06D49E78"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t>
      </w:r>
      <w:r w:rsidR="1330FA2D" w:rsidRPr="00890249">
        <w:rPr>
          <w:rFonts w:asciiTheme="minorHAnsi" w:hAnsiTheme="minorHAnsi" w:cstheme="minorHAnsi"/>
          <w:color w:val="000000" w:themeColor="text1"/>
          <w:sz w:val="22"/>
          <w:szCs w:val="22"/>
        </w:rPr>
        <w:t xml:space="preserve">Inwestycje, które nie będą przyczyniać się do ochrony, odnowy oraz zrównoważonego użytkowania obszarów chronionych nie będą realizowane. </w:t>
      </w:r>
      <w:r w:rsidR="1330FA2D" w:rsidRPr="00890249">
        <w:rPr>
          <w:rFonts w:asciiTheme="minorHAnsi" w:hAnsiTheme="minorHAnsi" w:cstheme="minorHAnsi"/>
          <w:sz w:val="22"/>
          <w:szCs w:val="22"/>
        </w:rPr>
        <w:t xml:space="preserve">Infrastruktura służąca udostępnianiu turystom walorów regionu musi zapewniać ochronę tego, co w nim najcenniejsze. </w:t>
      </w:r>
      <w:r w:rsidR="00E27E44" w:rsidRPr="00890249">
        <w:rPr>
          <w:rFonts w:asciiTheme="minorHAnsi" w:hAnsiTheme="minorHAnsi" w:cstheme="minorHAnsi"/>
          <w:sz w:val="22"/>
          <w:szCs w:val="22"/>
        </w:rPr>
        <w:t>Koszty parkingów oraz dróg dojazdowych nie będą kwalifikowane, chyba że potrzeba ich budowy wynika z zapisów planu ochrony dla danego obszaru  lub konieczności ograniczenia presji ze strony ruchu turystycznego na ten obszar i uzyskano potwierdzenie organu sprawującego nadzór nad obszarem. Ww. wydatki będą stanowić wyłącznie element projektu i będą ograniczone do 20%.</w:t>
      </w:r>
    </w:p>
    <w:p w14:paraId="2CE6E688" w14:textId="4DCA6D34" w:rsidR="0093433C" w:rsidRPr="00890249" w:rsidRDefault="00CF0B51" w:rsidP="00890249">
      <w:pPr>
        <w:pStyle w:val="Tekstpodstawowy"/>
        <w:rPr>
          <w:rFonts w:asciiTheme="minorHAnsi" w:hAnsiTheme="minorHAnsi" w:cstheme="minorHAnsi"/>
          <w:color w:val="000000"/>
          <w:sz w:val="22"/>
          <w:szCs w:val="22"/>
        </w:rPr>
      </w:pPr>
      <w:r w:rsidRPr="00890249">
        <w:rPr>
          <w:rFonts w:asciiTheme="minorHAnsi" w:hAnsiTheme="minorHAnsi" w:cstheme="minorHAnsi"/>
          <w:noProof/>
          <w:sz w:val="22"/>
          <w:szCs w:val="22"/>
        </w:rPr>
        <w:t xml:space="preserve">W </w:t>
      </w:r>
      <w:r w:rsidR="00AC2207" w:rsidRPr="00890249">
        <w:rPr>
          <w:rFonts w:asciiTheme="minorHAnsi" w:hAnsiTheme="minorHAnsi" w:cstheme="minorHAnsi"/>
          <w:noProof/>
          <w:sz w:val="22"/>
          <w:szCs w:val="22"/>
        </w:rPr>
        <w:t>związku z powyższym</w:t>
      </w:r>
      <w:r w:rsidR="00C31270" w:rsidRPr="00890249">
        <w:rPr>
          <w:rFonts w:asciiTheme="minorHAnsi" w:hAnsiTheme="minorHAnsi" w:cstheme="minorHAnsi"/>
          <w:noProof/>
          <w:sz w:val="22"/>
          <w:szCs w:val="22"/>
        </w:rPr>
        <w:t xml:space="preserve"> wsparcie</w:t>
      </w:r>
      <w:r w:rsidR="00A236B2" w:rsidRPr="00890249">
        <w:rPr>
          <w:rFonts w:asciiTheme="minorHAnsi" w:hAnsiTheme="minorHAnsi" w:cstheme="minorHAnsi"/>
          <w:noProof/>
          <w:sz w:val="22"/>
          <w:szCs w:val="22"/>
        </w:rPr>
        <w:t xml:space="preserve"> </w:t>
      </w:r>
      <w:r w:rsidR="00C31270" w:rsidRPr="00890249">
        <w:rPr>
          <w:rFonts w:asciiTheme="minorHAnsi" w:hAnsiTheme="minorHAnsi" w:cstheme="minorHAnsi"/>
          <w:noProof/>
          <w:sz w:val="22"/>
          <w:szCs w:val="22"/>
        </w:rPr>
        <w:t>należy kierować na rzecz poprawy potencjału środowiskowego poprzez ochronę istniejących oraz odbudowę zdegradowanych i zagrożonych siedlisk przyrodniczych</w:t>
      </w:r>
      <w:r w:rsidR="00140065" w:rsidRPr="00890249">
        <w:rPr>
          <w:rFonts w:asciiTheme="minorHAnsi" w:hAnsiTheme="minorHAnsi" w:cstheme="minorHAnsi"/>
          <w:noProof/>
          <w:sz w:val="22"/>
          <w:szCs w:val="22"/>
        </w:rPr>
        <w:t xml:space="preserve"> i </w:t>
      </w:r>
      <w:r w:rsidR="00DB495A" w:rsidRPr="00890249">
        <w:rPr>
          <w:rFonts w:asciiTheme="minorHAnsi" w:hAnsiTheme="minorHAnsi" w:cstheme="minorHAnsi"/>
          <w:noProof/>
          <w:sz w:val="22"/>
          <w:szCs w:val="22"/>
        </w:rPr>
        <w:t>populacji gatunków</w:t>
      </w:r>
      <w:r w:rsidR="008248FD" w:rsidRPr="00890249">
        <w:rPr>
          <w:rFonts w:asciiTheme="minorHAnsi" w:hAnsiTheme="minorHAnsi" w:cstheme="minorHAnsi"/>
          <w:noProof/>
          <w:sz w:val="22"/>
          <w:szCs w:val="22"/>
        </w:rPr>
        <w:t>.</w:t>
      </w:r>
      <w:r w:rsidR="00C31270" w:rsidRPr="00890249">
        <w:rPr>
          <w:rFonts w:asciiTheme="minorHAnsi" w:hAnsiTheme="minorHAnsi" w:cstheme="minorHAnsi"/>
          <w:noProof/>
          <w:sz w:val="22"/>
          <w:szCs w:val="22"/>
        </w:rPr>
        <w:t xml:space="preserve"> </w:t>
      </w:r>
      <w:r w:rsidR="00227240" w:rsidRPr="00890249">
        <w:rPr>
          <w:rFonts w:asciiTheme="minorHAnsi" w:hAnsiTheme="minorHAnsi" w:cstheme="minorHAnsi"/>
          <w:noProof/>
          <w:sz w:val="22"/>
          <w:szCs w:val="22"/>
        </w:rPr>
        <w:t>Możliwe są również</w:t>
      </w:r>
      <w:r w:rsidR="00227240" w:rsidRPr="00890249">
        <w:rPr>
          <w:rFonts w:asciiTheme="minorHAnsi" w:hAnsiTheme="minorHAnsi" w:cstheme="minorHAnsi"/>
          <w:sz w:val="22"/>
          <w:szCs w:val="22"/>
        </w:rPr>
        <w:t xml:space="preserve"> przedsięwzięcia podn</w:t>
      </w:r>
      <w:r w:rsidR="00140065" w:rsidRPr="00890249">
        <w:rPr>
          <w:rFonts w:asciiTheme="minorHAnsi" w:hAnsiTheme="minorHAnsi" w:cstheme="minorHAnsi"/>
          <w:sz w:val="22"/>
          <w:szCs w:val="22"/>
        </w:rPr>
        <w:t>oszące świadomość mieszkańców i </w:t>
      </w:r>
      <w:r w:rsidR="00227240" w:rsidRPr="00890249">
        <w:rPr>
          <w:rFonts w:asciiTheme="minorHAnsi" w:hAnsiTheme="minorHAnsi" w:cstheme="minorHAnsi"/>
          <w:sz w:val="22"/>
          <w:szCs w:val="22"/>
        </w:rPr>
        <w:t>turystów w zakresie dziedzictwa przyrodniczego, nie mogą one jednak prowadzić do wspierania infrastruktury turystycznej jako takiej oraz do zwiększenia presji człowieka na przyrodę.</w:t>
      </w:r>
      <w:r w:rsidR="00C07B77" w:rsidRPr="00890249">
        <w:rPr>
          <w:rFonts w:asciiTheme="minorHAnsi" w:hAnsiTheme="minorHAnsi" w:cstheme="minorHAnsi"/>
          <w:color w:val="000000"/>
          <w:sz w:val="22"/>
          <w:szCs w:val="22"/>
        </w:rPr>
        <w:t xml:space="preserve"> Wsparcie infrastruktury turystycznej na obszarach chronionych będzie ograniczone do inwestycji, które będą służyły wyłącznie ochronie środowiska naturalnego, poprzez skanalizowanie ruchu turystycznego oraz zapewn</w:t>
      </w:r>
      <w:r w:rsidR="00C24325" w:rsidRPr="00890249">
        <w:rPr>
          <w:rFonts w:asciiTheme="minorHAnsi" w:hAnsiTheme="minorHAnsi" w:cstheme="minorHAnsi"/>
          <w:color w:val="000000"/>
          <w:sz w:val="22"/>
          <w:szCs w:val="22"/>
        </w:rPr>
        <w:t>ienie</w:t>
      </w:r>
      <w:r w:rsidR="00C07B77" w:rsidRPr="00890249">
        <w:rPr>
          <w:rFonts w:asciiTheme="minorHAnsi" w:hAnsiTheme="minorHAnsi" w:cstheme="minorHAnsi"/>
          <w:color w:val="000000"/>
          <w:sz w:val="22"/>
          <w:szCs w:val="22"/>
        </w:rPr>
        <w:t xml:space="preserve"> ograniczeni</w:t>
      </w:r>
      <w:r w:rsidR="00C24325" w:rsidRPr="00890249">
        <w:rPr>
          <w:rFonts w:asciiTheme="minorHAnsi" w:hAnsiTheme="minorHAnsi" w:cstheme="minorHAnsi"/>
          <w:color w:val="000000"/>
          <w:sz w:val="22"/>
          <w:szCs w:val="22"/>
        </w:rPr>
        <w:t>a</w:t>
      </w:r>
      <w:r w:rsidR="00C07B77" w:rsidRPr="00890249">
        <w:rPr>
          <w:rFonts w:asciiTheme="minorHAnsi" w:hAnsiTheme="minorHAnsi" w:cstheme="minorHAnsi"/>
          <w:color w:val="000000"/>
          <w:sz w:val="22"/>
          <w:szCs w:val="22"/>
        </w:rPr>
        <w:t xml:space="preserve"> degradacji środowiska przyrodniczego w miejscach przemieszczania się i wypoczynku osób zwiedzających.</w:t>
      </w:r>
    </w:p>
    <w:p w14:paraId="361D7D6A" w14:textId="69CC4346" w:rsidR="0093433C" w:rsidRPr="00890249" w:rsidRDefault="00C31270" w:rsidP="00890249">
      <w:pPr>
        <w:pStyle w:val="Tekstpodstawowy"/>
        <w:rPr>
          <w:rFonts w:asciiTheme="minorHAnsi" w:hAnsiTheme="minorHAnsi" w:cstheme="minorHAnsi"/>
          <w:color w:val="000000"/>
          <w:sz w:val="22"/>
          <w:szCs w:val="22"/>
        </w:rPr>
      </w:pPr>
      <w:r w:rsidRPr="00890249">
        <w:rPr>
          <w:rFonts w:asciiTheme="minorHAnsi" w:hAnsiTheme="minorHAnsi" w:cstheme="minorHAnsi"/>
          <w:noProof/>
          <w:sz w:val="22"/>
          <w:szCs w:val="22"/>
        </w:rPr>
        <w:t>Oprócz działań mających na celu ochronę i regenerację istniejących obszarów chronionych, niezbędn</w:t>
      </w:r>
      <w:r w:rsidR="00B83543" w:rsidRPr="00890249">
        <w:rPr>
          <w:rFonts w:asciiTheme="minorHAnsi" w:hAnsiTheme="minorHAnsi" w:cstheme="minorHAnsi"/>
          <w:noProof/>
          <w:sz w:val="22"/>
          <w:szCs w:val="22"/>
        </w:rPr>
        <w:t xml:space="preserve">e </w:t>
      </w:r>
      <w:r w:rsidRPr="00890249">
        <w:rPr>
          <w:rFonts w:asciiTheme="minorHAnsi" w:hAnsiTheme="minorHAnsi" w:cstheme="minorHAnsi"/>
          <w:noProof/>
          <w:sz w:val="22"/>
          <w:szCs w:val="22"/>
        </w:rPr>
        <w:t>są również działania rekultywacyjne na terenach zdeg</w:t>
      </w:r>
      <w:r w:rsidR="008462D8" w:rsidRPr="00890249">
        <w:rPr>
          <w:rFonts w:asciiTheme="minorHAnsi" w:hAnsiTheme="minorHAnsi" w:cstheme="minorHAnsi"/>
          <w:noProof/>
          <w:sz w:val="22"/>
          <w:szCs w:val="22"/>
        </w:rPr>
        <w:t>radowanych i poprzemysłowych, a </w:t>
      </w:r>
      <w:r w:rsidRPr="00890249">
        <w:rPr>
          <w:rFonts w:asciiTheme="minorHAnsi" w:hAnsiTheme="minorHAnsi" w:cstheme="minorHAnsi"/>
          <w:noProof/>
          <w:sz w:val="22"/>
          <w:szCs w:val="22"/>
        </w:rPr>
        <w:t>także tworzenie centrów ochrony różnorodności biologicznej, centrów edukacyjnych i ekoturystycznych, m.in parków miejskich i ogrodów botanicznych, ekoparków czy banków gen</w:t>
      </w:r>
      <w:r w:rsidR="008F66F0" w:rsidRPr="00890249">
        <w:rPr>
          <w:rFonts w:asciiTheme="minorHAnsi" w:hAnsiTheme="minorHAnsi" w:cstheme="minorHAnsi"/>
          <w:noProof/>
          <w:sz w:val="22"/>
          <w:szCs w:val="22"/>
        </w:rPr>
        <w:t>ów</w:t>
      </w:r>
      <w:r w:rsidRPr="00890249">
        <w:rPr>
          <w:rFonts w:asciiTheme="minorHAnsi" w:hAnsiTheme="minorHAnsi" w:cstheme="minorHAnsi"/>
          <w:noProof/>
          <w:sz w:val="22"/>
          <w:szCs w:val="22"/>
        </w:rPr>
        <w:t xml:space="preserve">. </w:t>
      </w:r>
      <w:r w:rsidR="00C07B77" w:rsidRPr="00890249">
        <w:rPr>
          <w:rFonts w:asciiTheme="minorHAnsi" w:hAnsiTheme="minorHAnsi" w:cstheme="minorHAnsi"/>
          <w:color w:val="000000"/>
          <w:sz w:val="22"/>
          <w:szCs w:val="22"/>
        </w:rPr>
        <w:t xml:space="preserve">Na wsparcie projektów </w:t>
      </w:r>
      <w:r w:rsidR="00C07B77" w:rsidRPr="00890249">
        <w:rPr>
          <w:rFonts w:asciiTheme="minorHAnsi" w:hAnsiTheme="minorHAnsi" w:cstheme="minorHAnsi"/>
          <w:color w:val="000000"/>
          <w:sz w:val="22"/>
          <w:szCs w:val="22"/>
        </w:rPr>
        <w:lastRenderedPageBreak/>
        <w:t>infrastrukturalnych nie związanych bezpośrednio z ochron</w:t>
      </w:r>
      <w:r w:rsidR="00A413FD" w:rsidRPr="00890249">
        <w:rPr>
          <w:rFonts w:asciiTheme="minorHAnsi" w:hAnsiTheme="minorHAnsi" w:cstheme="minorHAnsi"/>
          <w:color w:val="000000"/>
          <w:sz w:val="22"/>
          <w:szCs w:val="22"/>
        </w:rPr>
        <w:t>ą</w:t>
      </w:r>
      <w:r w:rsidR="00C07B77" w:rsidRPr="00890249">
        <w:rPr>
          <w:rFonts w:asciiTheme="minorHAnsi" w:hAnsiTheme="minorHAnsi" w:cstheme="minorHAnsi"/>
          <w:color w:val="000000"/>
          <w:sz w:val="22"/>
          <w:szCs w:val="22"/>
        </w:rPr>
        <w:t xml:space="preserve"> siedlisk i gatunków chronionych, takich jak ośrodki, centra ochrony bioróżnorodności, banki genowe oraz infrastruktura związana z kanalizowaniem ruchu turystycznego zostanie przekazane maksymalnie 30% alokacji przeznaczonej na cs </w:t>
      </w:r>
      <w:r w:rsidR="00A413FD" w:rsidRPr="00890249">
        <w:rPr>
          <w:rFonts w:asciiTheme="minorHAnsi" w:hAnsiTheme="minorHAnsi" w:cstheme="minorHAnsi"/>
          <w:color w:val="000000"/>
          <w:sz w:val="22"/>
          <w:szCs w:val="22"/>
        </w:rPr>
        <w:t>(</w:t>
      </w:r>
      <w:r w:rsidR="00C07B77" w:rsidRPr="00890249">
        <w:rPr>
          <w:rFonts w:asciiTheme="minorHAnsi" w:hAnsiTheme="minorHAnsi" w:cstheme="minorHAnsi"/>
          <w:color w:val="000000"/>
          <w:sz w:val="22"/>
          <w:szCs w:val="22"/>
        </w:rPr>
        <w:t>vii</w:t>
      </w:r>
      <w:r w:rsidR="00A413FD" w:rsidRPr="00890249">
        <w:rPr>
          <w:rFonts w:asciiTheme="minorHAnsi" w:hAnsiTheme="minorHAnsi" w:cstheme="minorHAnsi"/>
          <w:color w:val="000000"/>
          <w:sz w:val="22"/>
          <w:szCs w:val="22"/>
        </w:rPr>
        <w:t>)</w:t>
      </w:r>
      <w:r w:rsidR="00C07B77" w:rsidRPr="00890249">
        <w:rPr>
          <w:rFonts w:asciiTheme="minorHAnsi" w:hAnsiTheme="minorHAnsi" w:cstheme="minorHAnsi"/>
          <w:color w:val="000000"/>
          <w:sz w:val="22"/>
          <w:szCs w:val="22"/>
        </w:rPr>
        <w:t>.</w:t>
      </w:r>
    </w:p>
    <w:p w14:paraId="3EB46F90" w14:textId="091480C6" w:rsidR="0093433C" w:rsidRPr="00890249" w:rsidRDefault="00C2432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kontek</w:t>
      </w:r>
      <w:r w:rsidR="00E96563" w:rsidRPr="00890249">
        <w:rPr>
          <w:rFonts w:asciiTheme="minorHAnsi" w:hAnsiTheme="minorHAnsi" w:cstheme="minorHAnsi"/>
          <w:noProof/>
          <w:sz w:val="22"/>
          <w:szCs w:val="22"/>
        </w:rPr>
        <w:t>ś</w:t>
      </w:r>
      <w:r w:rsidRPr="00890249">
        <w:rPr>
          <w:rFonts w:asciiTheme="minorHAnsi" w:hAnsiTheme="minorHAnsi" w:cstheme="minorHAnsi"/>
          <w:noProof/>
          <w:sz w:val="22"/>
          <w:szCs w:val="22"/>
        </w:rPr>
        <w:t>cie ochrony bioróżnoro</w:t>
      </w:r>
      <w:r w:rsidR="00E96563" w:rsidRPr="00890249">
        <w:rPr>
          <w:rFonts w:asciiTheme="minorHAnsi" w:hAnsiTheme="minorHAnsi" w:cstheme="minorHAnsi"/>
          <w:noProof/>
          <w:sz w:val="22"/>
          <w:szCs w:val="22"/>
        </w:rPr>
        <w:t>dno</w:t>
      </w:r>
      <w:r w:rsidRPr="00890249">
        <w:rPr>
          <w:rFonts w:asciiTheme="minorHAnsi" w:hAnsiTheme="minorHAnsi" w:cstheme="minorHAnsi"/>
          <w:noProof/>
          <w:sz w:val="22"/>
          <w:szCs w:val="22"/>
        </w:rPr>
        <w:t>ści identyfikuje się szereg zagrożeń związanych z działalności</w:t>
      </w:r>
      <w:r w:rsidR="00E96563"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człowieka, takic</w:t>
      </w:r>
      <w:r w:rsidR="00E96563" w:rsidRPr="00890249">
        <w:rPr>
          <w:rFonts w:asciiTheme="minorHAnsi" w:hAnsiTheme="minorHAnsi" w:cstheme="minorHAnsi"/>
          <w:noProof/>
          <w:sz w:val="22"/>
          <w:szCs w:val="22"/>
        </w:rPr>
        <w:t>h</w:t>
      </w:r>
      <w:r w:rsidRPr="00890249">
        <w:rPr>
          <w:rFonts w:asciiTheme="minorHAnsi" w:hAnsiTheme="minorHAnsi" w:cstheme="minorHAnsi"/>
          <w:noProof/>
          <w:sz w:val="22"/>
          <w:szCs w:val="22"/>
        </w:rPr>
        <w:t xml:space="preserve"> jak zanieczyszenia, degradacja terenów poprzemysłowych</w:t>
      </w:r>
      <w:r w:rsidR="00E96563"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czy </w:t>
      </w:r>
      <w:r w:rsidR="000B2721">
        <w:rPr>
          <w:rFonts w:asciiTheme="minorHAnsi" w:hAnsiTheme="minorHAnsi" w:cstheme="minorHAnsi"/>
          <w:noProof/>
          <w:sz w:val="22"/>
          <w:szCs w:val="22"/>
        </w:rPr>
        <w:t>obecny wciąż w </w:t>
      </w:r>
      <w:r w:rsidR="00E96563" w:rsidRPr="00890249">
        <w:rPr>
          <w:rFonts w:asciiTheme="minorHAnsi" w:hAnsiTheme="minorHAnsi" w:cstheme="minorHAnsi"/>
          <w:noProof/>
          <w:sz w:val="22"/>
          <w:szCs w:val="22"/>
        </w:rPr>
        <w:t>środowisku, a stanowiący zagrożenie dla zdrowia mieszkańców</w:t>
      </w:r>
      <w:r w:rsidR="00FE6461" w:rsidRPr="00890249">
        <w:rPr>
          <w:rFonts w:asciiTheme="minorHAnsi" w:hAnsiTheme="minorHAnsi" w:cstheme="minorHAnsi"/>
          <w:noProof/>
          <w:sz w:val="22"/>
          <w:szCs w:val="22"/>
        </w:rPr>
        <w:t>,</w:t>
      </w:r>
      <w:r w:rsidR="00E96563" w:rsidRPr="00890249">
        <w:rPr>
          <w:rFonts w:asciiTheme="minorHAnsi" w:hAnsiTheme="minorHAnsi" w:cstheme="minorHAnsi"/>
          <w:noProof/>
          <w:sz w:val="22"/>
          <w:szCs w:val="22"/>
        </w:rPr>
        <w:t xml:space="preserve"> azbest.</w:t>
      </w:r>
    </w:p>
    <w:p w14:paraId="035FF893" w14:textId="77777777" w:rsidR="0093433C" w:rsidRPr="00890249" w:rsidRDefault="00C3127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Dodatkowo ważnym działaniem komplementarnym jest budowa świadomości społecznej poprzez szeroko rozumianą edukację ekologiczną </w:t>
      </w:r>
      <w:r w:rsidR="001B40A8" w:rsidRPr="00890249">
        <w:rPr>
          <w:rFonts w:asciiTheme="minorHAnsi" w:hAnsiTheme="minorHAnsi" w:cstheme="minorHAnsi"/>
          <w:noProof/>
          <w:sz w:val="22"/>
          <w:szCs w:val="22"/>
        </w:rPr>
        <w:t xml:space="preserve">związaną z przedmiotowym celem szczegółowym, a także </w:t>
      </w:r>
      <w:r w:rsidRPr="00890249">
        <w:rPr>
          <w:rFonts w:asciiTheme="minorHAnsi" w:hAnsiTheme="minorHAnsi" w:cstheme="minorHAnsi"/>
          <w:noProof/>
          <w:sz w:val="22"/>
          <w:szCs w:val="22"/>
        </w:rPr>
        <w:t xml:space="preserve"> promocję obszarów i</w:t>
      </w:r>
      <w:r w:rsidR="00A236B2" w:rsidRPr="00890249">
        <w:rPr>
          <w:rFonts w:asciiTheme="minorHAnsi" w:hAnsiTheme="minorHAnsi" w:cstheme="minorHAnsi"/>
          <w:noProof/>
          <w:sz w:val="22"/>
          <w:szCs w:val="22"/>
        </w:rPr>
        <w:t> </w:t>
      </w:r>
      <w:r w:rsidRPr="00890249">
        <w:rPr>
          <w:rFonts w:asciiTheme="minorHAnsi" w:hAnsiTheme="minorHAnsi" w:cstheme="minorHAnsi"/>
          <w:noProof/>
          <w:sz w:val="22"/>
          <w:szCs w:val="22"/>
        </w:rPr>
        <w:t>gatunków cennych przyrodniczo.</w:t>
      </w:r>
    </w:p>
    <w:p w14:paraId="2569E3F7" w14:textId="74CAF1DA" w:rsidR="0093433C" w:rsidRPr="00890249" w:rsidRDefault="00BE5F1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Projekty muszą wykazywać zgodność z nw. dokumentami: </w:t>
      </w:r>
    </w:p>
    <w:p w14:paraId="4B8D3CF2" w14:textId="77777777" w:rsidR="00BE5F13" w:rsidRPr="00890249" w:rsidRDefault="00BE5F13" w:rsidP="009F296A">
      <w:pPr>
        <w:pStyle w:val="Akapitzlist"/>
        <w:numPr>
          <w:ilvl w:val="0"/>
          <w:numId w:val="42"/>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Dyrektywa 2009/147/WE z 30 listopada 2009 </w:t>
      </w:r>
      <w:r w:rsidRPr="00890249">
        <w:rPr>
          <w:rFonts w:asciiTheme="minorHAnsi" w:eastAsia="Times New Roman" w:hAnsiTheme="minorHAnsi" w:cstheme="minorHAnsi"/>
          <w:i/>
          <w:noProof/>
          <w:sz w:val="22"/>
          <w:szCs w:val="22"/>
        </w:rPr>
        <w:t>w sprawie ochrony dzikiego ptactwa</w:t>
      </w:r>
      <w:r w:rsidRPr="00890249">
        <w:rPr>
          <w:rFonts w:asciiTheme="minorHAnsi" w:eastAsia="Times New Roman" w:hAnsiTheme="minorHAnsi" w:cstheme="minorHAnsi"/>
          <w:noProof/>
          <w:sz w:val="22"/>
          <w:szCs w:val="22"/>
        </w:rPr>
        <w:t xml:space="preserve"> (tzw. „Dyrektywa ptasia”), </w:t>
      </w:r>
    </w:p>
    <w:p w14:paraId="0467E317" w14:textId="77777777" w:rsidR="00BE5F13" w:rsidRPr="00890249" w:rsidRDefault="00BE5F13" w:rsidP="009F296A">
      <w:pPr>
        <w:pStyle w:val="Akapitzlist"/>
        <w:numPr>
          <w:ilvl w:val="0"/>
          <w:numId w:val="42"/>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Dyrektywa Rady 92/43/EWG z dnia 21 maja 1992 r. </w:t>
      </w:r>
      <w:r w:rsidRPr="00890249">
        <w:rPr>
          <w:rFonts w:asciiTheme="minorHAnsi" w:eastAsia="Times New Roman" w:hAnsiTheme="minorHAnsi" w:cstheme="minorHAnsi"/>
          <w:i/>
          <w:noProof/>
          <w:sz w:val="22"/>
          <w:szCs w:val="22"/>
        </w:rPr>
        <w:t>w sprawie ochrony siedlisk przyrodniczych oraz dzikiej fauny i flory</w:t>
      </w:r>
      <w:r w:rsidRPr="00890249">
        <w:rPr>
          <w:rFonts w:asciiTheme="minorHAnsi" w:eastAsia="Times New Roman" w:hAnsiTheme="minorHAnsi" w:cstheme="minorHAnsi"/>
          <w:noProof/>
          <w:sz w:val="22"/>
          <w:szCs w:val="22"/>
        </w:rPr>
        <w:t xml:space="preserve"> (tzw. „Dyrektywa siedliskowa/habitatowa”), </w:t>
      </w:r>
    </w:p>
    <w:p w14:paraId="207F8E4C" w14:textId="77777777" w:rsidR="00BE5F13" w:rsidRPr="00890249" w:rsidRDefault="00BE5F13" w:rsidP="009F296A">
      <w:pPr>
        <w:pStyle w:val="Akapitzlist"/>
        <w:numPr>
          <w:ilvl w:val="0"/>
          <w:numId w:val="42"/>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Dyrektywa 2000/60/WE Parlamentu Europejskiego i Rady z dnia 23 października 2000 r. </w:t>
      </w:r>
      <w:r w:rsidRPr="00890249">
        <w:rPr>
          <w:rFonts w:asciiTheme="minorHAnsi" w:eastAsia="Times New Roman" w:hAnsiTheme="minorHAnsi" w:cstheme="minorHAnsi"/>
          <w:i/>
          <w:noProof/>
          <w:sz w:val="22"/>
          <w:szCs w:val="22"/>
        </w:rPr>
        <w:t>ustanawiająca ramy wspólnotowego działania w dziedzinie polityki wodnej</w:t>
      </w:r>
      <w:r w:rsidRPr="00890249">
        <w:rPr>
          <w:rFonts w:asciiTheme="minorHAnsi" w:eastAsia="Times New Roman" w:hAnsiTheme="minorHAnsi" w:cstheme="minorHAnsi"/>
          <w:noProof/>
          <w:sz w:val="22"/>
          <w:szCs w:val="22"/>
        </w:rPr>
        <w:t xml:space="preserve"> (tzw. „Ramowa Dyrektywa Wodna”),</w:t>
      </w:r>
    </w:p>
    <w:p w14:paraId="5882C224" w14:textId="77777777" w:rsidR="00BE5F13" w:rsidRPr="00890249" w:rsidRDefault="00BE5F13" w:rsidP="009F296A">
      <w:pPr>
        <w:pStyle w:val="Akapitzlist"/>
        <w:numPr>
          <w:ilvl w:val="0"/>
          <w:numId w:val="42"/>
        </w:numPr>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Unijna strategia na rzecz bioróżnorodności z perspektywą do 2030 r.</w:t>
      </w:r>
    </w:p>
    <w:p w14:paraId="4B47080A" w14:textId="77777777" w:rsidR="0093433C" w:rsidRPr="00890249" w:rsidRDefault="00BE3B2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We </w:t>
      </w:r>
      <w:r w:rsidR="00824E4D" w:rsidRPr="00890249">
        <w:rPr>
          <w:rFonts w:asciiTheme="minorHAnsi" w:hAnsiTheme="minorHAnsi" w:cstheme="minorHAnsi"/>
          <w:noProof/>
          <w:sz w:val="22"/>
          <w:szCs w:val="22"/>
        </w:rPr>
        <w:t xml:space="preserve">wszystkich projektach, w których będzie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 </w:t>
      </w:r>
    </w:p>
    <w:p w14:paraId="166BF749" w14:textId="77777777" w:rsidR="0093433C" w:rsidRPr="00890249" w:rsidRDefault="00C3127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p>
    <w:p w14:paraId="73369B55" w14:textId="1B1DD852" w:rsidR="0001533F" w:rsidRPr="00890249" w:rsidRDefault="0001533F" w:rsidP="009F296A">
      <w:pPr>
        <w:pStyle w:val="Akapitzlist"/>
        <w:numPr>
          <w:ilvl w:val="0"/>
          <w:numId w:val="156"/>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D</w:t>
      </w:r>
      <w:r w:rsidR="008D2CD1" w:rsidRPr="00890249">
        <w:rPr>
          <w:rFonts w:asciiTheme="minorHAnsi" w:eastAsia="Times New Roman" w:hAnsiTheme="minorHAnsi" w:cstheme="minorHAnsi"/>
          <w:noProof/>
          <w:sz w:val="22"/>
          <w:szCs w:val="22"/>
        </w:rPr>
        <w:t>ziałania służące zachowaniu i odtworzeniu siedlisk przyrodniczych oraz populacji gatunków,</w:t>
      </w:r>
      <w:r w:rsidR="001B40A8" w:rsidRPr="00890249">
        <w:rPr>
          <w:rFonts w:asciiTheme="minorHAnsi" w:eastAsia="Times New Roman" w:hAnsiTheme="minorHAnsi" w:cstheme="minorHAnsi"/>
          <w:noProof/>
          <w:sz w:val="22"/>
          <w:szCs w:val="22"/>
        </w:rPr>
        <w:t xml:space="preserve"> </w:t>
      </w:r>
      <w:r w:rsidR="000B2721">
        <w:rPr>
          <w:rFonts w:asciiTheme="minorHAnsi" w:eastAsia="Times New Roman" w:hAnsiTheme="minorHAnsi" w:cstheme="minorHAnsi"/>
          <w:noProof/>
          <w:sz w:val="22"/>
          <w:szCs w:val="22"/>
        </w:rPr>
        <w:t>w </w:t>
      </w:r>
      <w:r w:rsidR="008D2CD1" w:rsidRPr="00890249">
        <w:rPr>
          <w:rFonts w:asciiTheme="minorHAnsi" w:eastAsia="Times New Roman" w:hAnsiTheme="minorHAnsi" w:cstheme="minorHAnsi"/>
          <w:noProof/>
          <w:sz w:val="22"/>
          <w:szCs w:val="22"/>
        </w:rPr>
        <w:t>tym ochrona czynna (ochrona in situ oraz ex situ)</w:t>
      </w:r>
      <w:r w:rsidR="00DB495A" w:rsidRPr="00890249">
        <w:rPr>
          <w:rFonts w:asciiTheme="minorHAnsi" w:eastAsia="Times New Roman" w:hAnsiTheme="minorHAnsi" w:cstheme="minorHAnsi"/>
          <w:noProof/>
          <w:sz w:val="22"/>
          <w:szCs w:val="22"/>
        </w:rPr>
        <w:t xml:space="preserve"> i bierna</w:t>
      </w:r>
      <w:r w:rsidR="008D2CD1" w:rsidRPr="00890249">
        <w:rPr>
          <w:rFonts w:asciiTheme="minorHAnsi" w:eastAsia="Times New Roman" w:hAnsiTheme="minorHAnsi" w:cstheme="minorHAnsi"/>
          <w:noProof/>
          <w:sz w:val="22"/>
          <w:szCs w:val="22"/>
        </w:rPr>
        <w:t xml:space="preserve">, a także identyfikacja </w:t>
      </w:r>
      <w:r w:rsidR="008374CE" w:rsidRPr="00890249">
        <w:rPr>
          <w:rFonts w:asciiTheme="minorHAnsi" w:eastAsia="Times New Roman" w:hAnsiTheme="minorHAnsi" w:cstheme="minorHAnsi"/>
          <w:noProof/>
          <w:sz w:val="22"/>
          <w:szCs w:val="22"/>
        </w:rPr>
        <w:t>i zwalczanie gatunków inwazyjnych</w:t>
      </w:r>
      <w:r w:rsidR="00F2246B" w:rsidRPr="00890249">
        <w:rPr>
          <w:rFonts w:asciiTheme="minorHAnsi" w:eastAsia="Times New Roman" w:hAnsiTheme="minorHAnsi" w:cstheme="minorHAnsi"/>
          <w:noProof/>
          <w:sz w:val="22"/>
          <w:szCs w:val="22"/>
        </w:rPr>
        <w:t xml:space="preserve"> obcych</w:t>
      </w:r>
      <w:r w:rsidRPr="00890249">
        <w:rPr>
          <w:rFonts w:asciiTheme="minorHAnsi" w:eastAsia="Times New Roman" w:hAnsiTheme="minorHAnsi" w:cstheme="minorHAnsi"/>
          <w:noProof/>
          <w:sz w:val="22"/>
          <w:szCs w:val="22"/>
        </w:rPr>
        <w:t>.</w:t>
      </w:r>
    </w:p>
    <w:p w14:paraId="1F9240F3" w14:textId="6DE30E5F" w:rsidR="0001533F" w:rsidRPr="00890249" w:rsidRDefault="0001533F" w:rsidP="009F296A">
      <w:pPr>
        <w:pStyle w:val="Akapitzlist"/>
        <w:numPr>
          <w:ilvl w:val="0"/>
          <w:numId w:val="156"/>
        </w:numPr>
        <w:ind w:left="284" w:hanging="284"/>
        <w:contextualSpacing w:val="0"/>
        <w:rPr>
          <w:rFonts w:asciiTheme="minorHAnsi" w:hAnsiTheme="minorHAnsi" w:cstheme="minorHAnsi"/>
          <w:noProof/>
          <w:sz w:val="22"/>
          <w:szCs w:val="22"/>
        </w:rPr>
      </w:pPr>
      <w:r w:rsidRPr="00890249">
        <w:rPr>
          <w:rFonts w:asciiTheme="minorHAnsi" w:eastAsia="Times New Roman" w:hAnsiTheme="minorHAnsi" w:cstheme="minorHAnsi"/>
          <w:noProof/>
          <w:sz w:val="22"/>
          <w:szCs w:val="22"/>
        </w:rPr>
        <w:t>O</w:t>
      </w:r>
      <w:r w:rsidR="00C31270" w:rsidRPr="00890249">
        <w:rPr>
          <w:rFonts w:asciiTheme="minorHAnsi" w:eastAsia="Times New Roman" w:hAnsiTheme="minorHAnsi" w:cstheme="minorHAnsi"/>
          <w:noProof/>
          <w:sz w:val="22"/>
          <w:szCs w:val="22"/>
        </w:rPr>
        <w:t>chrona, regeneracja i zrównoważone wyk</w:t>
      </w:r>
      <w:r w:rsidR="001A5965" w:rsidRPr="00890249">
        <w:rPr>
          <w:rFonts w:asciiTheme="minorHAnsi" w:eastAsia="Times New Roman" w:hAnsiTheme="minorHAnsi" w:cstheme="minorHAnsi"/>
          <w:noProof/>
          <w:sz w:val="22"/>
          <w:szCs w:val="22"/>
        </w:rPr>
        <w:t>orzystanie obszarów chronionych</w:t>
      </w:r>
      <w:r w:rsidR="00147623" w:rsidRPr="00890249">
        <w:rPr>
          <w:rFonts w:asciiTheme="minorHAnsi" w:eastAsia="Times New Roman" w:hAnsiTheme="minorHAnsi" w:cstheme="minorHAnsi"/>
          <w:noProof/>
          <w:sz w:val="22"/>
          <w:szCs w:val="22"/>
        </w:rPr>
        <w:t>, w tym obszar</w:t>
      </w:r>
      <w:r w:rsidR="0023752E" w:rsidRPr="00890249">
        <w:rPr>
          <w:rFonts w:asciiTheme="minorHAnsi" w:eastAsia="Times New Roman" w:hAnsiTheme="minorHAnsi" w:cstheme="minorHAnsi"/>
          <w:noProof/>
          <w:sz w:val="22"/>
          <w:szCs w:val="22"/>
        </w:rPr>
        <w:t>ów</w:t>
      </w:r>
      <w:r w:rsidR="00147623" w:rsidRPr="00890249">
        <w:rPr>
          <w:rFonts w:asciiTheme="minorHAnsi" w:eastAsia="Times New Roman" w:hAnsiTheme="minorHAnsi" w:cstheme="minorHAnsi"/>
          <w:noProof/>
          <w:sz w:val="22"/>
          <w:szCs w:val="22"/>
        </w:rPr>
        <w:t xml:space="preserve"> Natura 2000</w:t>
      </w:r>
      <w:r w:rsidR="0052570B" w:rsidRPr="00890249">
        <w:rPr>
          <w:rFonts w:asciiTheme="minorHAnsi" w:eastAsia="Times New Roman" w:hAnsiTheme="minorHAnsi" w:cstheme="minorHAnsi"/>
          <w:noProof/>
          <w:sz w:val="22"/>
          <w:szCs w:val="22"/>
        </w:rPr>
        <w:t>,</w:t>
      </w:r>
      <w:r w:rsidR="00C24325" w:rsidRPr="00890249">
        <w:rPr>
          <w:rFonts w:asciiTheme="minorHAnsi" w:eastAsia="Times New Roman" w:hAnsiTheme="minorHAnsi" w:cstheme="minorHAnsi"/>
          <w:noProof/>
          <w:sz w:val="22"/>
          <w:szCs w:val="22"/>
        </w:rPr>
        <w:t xml:space="preserve"> </w:t>
      </w:r>
      <w:r w:rsidR="00885D93" w:rsidRPr="00890249">
        <w:rPr>
          <w:rFonts w:asciiTheme="minorHAnsi" w:hAnsiTheme="minorHAnsi" w:cstheme="minorHAnsi"/>
          <w:noProof/>
          <w:sz w:val="22"/>
          <w:szCs w:val="22"/>
        </w:rPr>
        <w:t xml:space="preserve">planowanie i zarządzanie systemem obszarów chronionych, w tym </w:t>
      </w:r>
      <w:r w:rsidR="00CF62E4" w:rsidRPr="00890249">
        <w:rPr>
          <w:rFonts w:asciiTheme="minorHAnsi" w:hAnsiTheme="minorHAnsi" w:cstheme="minorHAnsi"/>
          <w:noProof/>
          <w:sz w:val="22"/>
          <w:szCs w:val="22"/>
        </w:rPr>
        <w:t>opracowanie</w:t>
      </w:r>
      <w:r w:rsidR="007B3650" w:rsidRPr="00890249">
        <w:rPr>
          <w:rFonts w:asciiTheme="minorHAnsi" w:hAnsiTheme="minorHAnsi" w:cstheme="minorHAnsi"/>
          <w:noProof/>
          <w:sz w:val="22"/>
          <w:szCs w:val="22"/>
        </w:rPr>
        <w:t xml:space="preserve"> / </w:t>
      </w:r>
      <w:r w:rsidR="000A7662" w:rsidRPr="00890249">
        <w:rPr>
          <w:rFonts w:asciiTheme="minorHAnsi" w:hAnsiTheme="minorHAnsi" w:cstheme="minorHAnsi"/>
          <w:noProof/>
          <w:sz w:val="22"/>
          <w:szCs w:val="22"/>
        </w:rPr>
        <w:t>aktualizacja</w:t>
      </w:r>
      <w:r w:rsidR="007B3650" w:rsidRPr="00890249">
        <w:rPr>
          <w:rFonts w:asciiTheme="minorHAnsi" w:hAnsiTheme="minorHAnsi" w:cstheme="minorHAnsi"/>
          <w:noProof/>
          <w:sz w:val="22"/>
          <w:szCs w:val="22"/>
        </w:rPr>
        <w:t xml:space="preserve"> i wdrożenie</w:t>
      </w:r>
      <w:r w:rsidR="000A7662" w:rsidRPr="00890249">
        <w:rPr>
          <w:rFonts w:asciiTheme="minorHAnsi" w:hAnsiTheme="minorHAnsi" w:cstheme="minorHAnsi"/>
          <w:noProof/>
          <w:sz w:val="22"/>
          <w:szCs w:val="22"/>
        </w:rPr>
        <w:t xml:space="preserve"> dokumentów</w:t>
      </w:r>
      <w:r w:rsidR="00147623" w:rsidRPr="00890249">
        <w:rPr>
          <w:rFonts w:asciiTheme="minorHAnsi" w:hAnsiTheme="minorHAnsi" w:cstheme="minorHAnsi"/>
          <w:noProof/>
          <w:sz w:val="22"/>
          <w:szCs w:val="22"/>
        </w:rPr>
        <w:t xml:space="preserve"> strategicznych i</w:t>
      </w:r>
      <w:r w:rsidR="000A7662" w:rsidRPr="00890249">
        <w:rPr>
          <w:rFonts w:asciiTheme="minorHAnsi" w:hAnsiTheme="minorHAnsi" w:cstheme="minorHAnsi"/>
          <w:noProof/>
          <w:sz w:val="22"/>
          <w:szCs w:val="22"/>
        </w:rPr>
        <w:t xml:space="preserve"> planistycznych</w:t>
      </w:r>
      <w:r w:rsidR="00C44664" w:rsidRPr="00890249">
        <w:rPr>
          <w:rFonts w:asciiTheme="minorHAnsi" w:hAnsiTheme="minorHAnsi" w:cstheme="minorHAnsi"/>
          <w:noProof/>
          <w:sz w:val="22"/>
          <w:szCs w:val="22"/>
        </w:rPr>
        <w:t xml:space="preserve"> </w:t>
      </w:r>
      <w:r w:rsidR="000A7662" w:rsidRPr="00890249">
        <w:rPr>
          <w:rFonts w:asciiTheme="minorHAnsi" w:hAnsiTheme="minorHAnsi" w:cstheme="minorHAnsi"/>
          <w:noProof/>
          <w:sz w:val="22"/>
          <w:szCs w:val="22"/>
        </w:rPr>
        <w:t>dla obszarów cen</w:t>
      </w:r>
      <w:r w:rsidR="00F2246B" w:rsidRPr="00890249">
        <w:rPr>
          <w:rFonts w:asciiTheme="minorHAnsi" w:hAnsiTheme="minorHAnsi" w:cstheme="minorHAnsi"/>
          <w:noProof/>
          <w:sz w:val="22"/>
          <w:szCs w:val="22"/>
        </w:rPr>
        <w:t>n</w:t>
      </w:r>
      <w:r w:rsidR="000A7662" w:rsidRPr="00890249">
        <w:rPr>
          <w:rFonts w:asciiTheme="minorHAnsi" w:hAnsiTheme="minorHAnsi" w:cstheme="minorHAnsi"/>
          <w:noProof/>
          <w:sz w:val="22"/>
          <w:szCs w:val="22"/>
        </w:rPr>
        <w:t>ych przyrodniczo, parków krajobrazowych i</w:t>
      </w:r>
      <w:r w:rsidR="003C2B55">
        <w:rPr>
          <w:rFonts w:asciiTheme="minorHAnsi" w:hAnsiTheme="minorHAnsi" w:cstheme="minorHAnsi"/>
          <w:noProof/>
          <w:sz w:val="22"/>
          <w:szCs w:val="22"/>
        </w:rPr>
        <w:t xml:space="preserve"> </w:t>
      </w:r>
      <w:r w:rsidR="000A7662" w:rsidRPr="00890249">
        <w:rPr>
          <w:rFonts w:asciiTheme="minorHAnsi" w:hAnsiTheme="minorHAnsi" w:cstheme="minorHAnsi"/>
          <w:noProof/>
          <w:sz w:val="22"/>
          <w:szCs w:val="22"/>
        </w:rPr>
        <w:t>rezerwatów</w:t>
      </w:r>
      <w:r w:rsidR="0085063D" w:rsidRPr="00890249">
        <w:rPr>
          <w:rFonts w:asciiTheme="minorHAnsi" w:hAnsiTheme="minorHAnsi" w:cstheme="minorHAnsi"/>
          <w:noProof/>
          <w:sz w:val="22"/>
          <w:szCs w:val="22"/>
        </w:rPr>
        <w:t xml:space="preserve"> przyrody</w:t>
      </w:r>
      <w:r w:rsidR="000A7662" w:rsidRPr="00890249">
        <w:rPr>
          <w:rFonts w:asciiTheme="minorHAnsi" w:hAnsiTheme="minorHAnsi" w:cstheme="minorHAnsi"/>
          <w:noProof/>
          <w:sz w:val="22"/>
          <w:szCs w:val="22"/>
        </w:rPr>
        <w:t xml:space="preserve">, </w:t>
      </w:r>
      <w:r w:rsidR="00CF62E4" w:rsidRPr="00890249">
        <w:rPr>
          <w:rFonts w:asciiTheme="minorHAnsi" w:hAnsiTheme="minorHAnsi" w:cstheme="minorHAnsi"/>
          <w:noProof/>
          <w:sz w:val="22"/>
          <w:szCs w:val="22"/>
        </w:rPr>
        <w:t>inwe</w:t>
      </w:r>
      <w:r w:rsidR="005F1B5E" w:rsidRPr="00890249">
        <w:rPr>
          <w:rFonts w:asciiTheme="minorHAnsi" w:hAnsiTheme="minorHAnsi" w:cstheme="minorHAnsi"/>
          <w:noProof/>
          <w:sz w:val="22"/>
          <w:szCs w:val="22"/>
        </w:rPr>
        <w:t>n</w:t>
      </w:r>
      <w:r w:rsidR="00CF62E4" w:rsidRPr="00890249">
        <w:rPr>
          <w:rFonts w:asciiTheme="minorHAnsi" w:hAnsiTheme="minorHAnsi" w:cstheme="minorHAnsi"/>
          <w:noProof/>
          <w:sz w:val="22"/>
          <w:szCs w:val="22"/>
        </w:rPr>
        <w:t>taryzacj</w:t>
      </w:r>
      <w:r w:rsidR="000A7662" w:rsidRPr="00890249">
        <w:rPr>
          <w:rFonts w:asciiTheme="minorHAnsi" w:hAnsiTheme="minorHAnsi" w:cstheme="minorHAnsi"/>
          <w:noProof/>
          <w:sz w:val="22"/>
          <w:szCs w:val="22"/>
        </w:rPr>
        <w:t>a</w:t>
      </w:r>
      <w:r w:rsidR="00CF62E4" w:rsidRPr="00890249">
        <w:rPr>
          <w:rFonts w:asciiTheme="minorHAnsi" w:hAnsiTheme="minorHAnsi" w:cstheme="minorHAnsi"/>
          <w:noProof/>
          <w:sz w:val="22"/>
          <w:szCs w:val="22"/>
        </w:rPr>
        <w:t xml:space="preserve"> przyrodnicz</w:t>
      </w:r>
      <w:r w:rsidR="000A7662" w:rsidRPr="00890249">
        <w:rPr>
          <w:rFonts w:asciiTheme="minorHAnsi" w:hAnsiTheme="minorHAnsi" w:cstheme="minorHAnsi"/>
          <w:noProof/>
          <w:sz w:val="22"/>
          <w:szCs w:val="22"/>
        </w:rPr>
        <w:t>a</w:t>
      </w:r>
      <w:r w:rsidR="00CF62E4" w:rsidRPr="00890249">
        <w:rPr>
          <w:rFonts w:asciiTheme="minorHAnsi" w:hAnsiTheme="minorHAnsi" w:cstheme="minorHAnsi"/>
          <w:noProof/>
          <w:sz w:val="22"/>
          <w:szCs w:val="22"/>
        </w:rPr>
        <w:t>,</w:t>
      </w:r>
      <w:r w:rsidR="00E96563" w:rsidRPr="00890249">
        <w:rPr>
          <w:rFonts w:asciiTheme="minorHAnsi" w:hAnsiTheme="minorHAnsi" w:cstheme="minorHAnsi"/>
          <w:noProof/>
          <w:sz w:val="22"/>
          <w:szCs w:val="22"/>
        </w:rPr>
        <w:t xml:space="preserve"> </w:t>
      </w:r>
      <w:r w:rsidR="008D2CD1" w:rsidRPr="00890249">
        <w:rPr>
          <w:rFonts w:asciiTheme="minorHAnsi" w:hAnsiTheme="minorHAnsi" w:cstheme="minorHAnsi"/>
          <w:noProof/>
          <w:sz w:val="22"/>
          <w:szCs w:val="22"/>
        </w:rPr>
        <w:t>rozwój</w:t>
      </w:r>
      <w:r w:rsidR="00CF62E4" w:rsidRPr="00890249">
        <w:rPr>
          <w:rFonts w:asciiTheme="minorHAnsi" w:hAnsiTheme="minorHAnsi" w:cstheme="minorHAnsi"/>
          <w:noProof/>
          <w:sz w:val="22"/>
          <w:szCs w:val="22"/>
        </w:rPr>
        <w:t xml:space="preserve"> różnorodności biolog</w:t>
      </w:r>
      <w:r w:rsidR="008462D8" w:rsidRPr="00890249">
        <w:rPr>
          <w:rFonts w:asciiTheme="minorHAnsi" w:hAnsiTheme="minorHAnsi" w:cstheme="minorHAnsi"/>
          <w:noProof/>
          <w:sz w:val="22"/>
          <w:szCs w:val="22"/>
        </w:rPr>
        <w:t xml:space="preserve">icznej </w:t>
      </w:r>
      <w:r w:rsidR="001340CB" w:rsidRPr="00890249">
        <w:rPr>
          <w:rFonts w:asciiTheme="minorHAnsi" w:hAnsiTheme="minorHAnsi" w:cstheme="minorHAnsi"/>
          <w:noProof/>
          <w:sz w:val="22"/>
          <w:szCs w:val="22"/>
        </w:rPr>
        <w:t xml:space="preserve">w oparciu o gatunki rodzime, </w:t>
      </w:r>
      <w:r w:rsidR="008D2CD1" w:rsidRPr="00890249">
        <w:rPr>
          <w:rFonts w:asciiTheme="minorHAnsi" w:hAnsiTheme="minorHAnsi" w:cstheme="minorHAnsi"/>
          <w:noProof/>
          <w:sz w:val="22"/>
          <w:szCs w:val="22"/>
        </w:rPr>
        <w:t xml:space="preserve">poprzez inwestycje w zieloną infrastrukturę </w:t>
      </w:r>
      <w:r w:rsidR="008462D8" w:rsidRPr="00890249">
        <w:rPr>
          <w:rFonts w:asciiTheme="minorHAnsi" w:hAnsiTheme="minorHAnsi" w:cstheme="minorHAnsi"/>
          <w:noProof/>
          <w:sz w:val="22"/>
          <w:szCs w:val="22"/>
        </w:rPr>
        <w:t>na obszarach miejskich i </w:t>
      </w:r>
      <w:r w:rsidR="00CF62E4" w:rsidRPr="00890249">
        <w:rPr>
          <w:rFonts w:asciiTheme="minorHAnsi" w:hAnsiTheme="minorHAnsi" w:cstheme="minorHAnsi"/>
          <w:noProof/>
          <w:sz w:val="22"/>
          <w:szCs w:val="22"/>
        </w:rPr>
        <w:t xml:space="preserve">pozamiejskich </w:t>
      </w:r>
      <w:r w:rsidR="008D2CD1" w:rsidRPr="00890249">
        <w:rPr>
          <w:rFonts w:asciiTheme="minorHAnsi" w:hAnsiTheme="minorHAnsi" w:cstheme="minorHAnsi"/>
          <w:noProof/>
          <w:sz w:val="22"/>
          <w:szCs w:val="22"/>
        </w:rPr>
        <w:t>(np. parki miejskie, ekoparki)</w:t>
      </w:r>
      <w:r w:rsidR="008F390E" w:rsidRPr="00890249">
        <w:rPr>
          <w:rFonts w:asciiTheme="minorHAnsi" w:hAnsiTheme="minorHAnsi" w:cstheme="minorHAnsi"/>
          <w:noProof/>
          <w:sz w:val="22"/>
          <w:szCs w:val="22"/>
        </w:rPr>
        <w:t xml:space="preserve"> oraz w centra ochrony bioróżnorodności</w:t>
      </w:r>
      <w:r w:rsidRPr="00890249">
        <w:rPr>
          <w:rFonts w:asciiTheme="minorHAnsi" w:hAnsiTheme="minorHAnsi" w:cstheme="minorHAnsi"/>
          <w:noProof/>
          <w:sz w:val="22"/>
          <w:szCs w:val="22"/>
        </w:rPr>
        <w:t>.</w:t>
      </w:r>
    </w:p>
    <w:p w14:paraId="297128A7" w14:textId="3AAB53B0" w:rsidR="0001533F" w:rsidRPr="00890249" w:rsidRDefault="0001533F" w:rsidP="009F296A">
      <w:pPr>
        <w:pStyle w:val="Akapitzlist"/>
        <w:numPr>
          <w:ilvl w:val="0"/>
          <w:numId w:val="156"/>
        </w:numPr>
        <w:ind w:left="284" w:hanging="284"/>
        <w:contextualSpacing w:val="0"/>
        <w:rPr>
          <w:rFonts w:asciiTheme="minorHAnsi" w:hAnsiTheme="minorHAnsi" w:cstheme="minorHAnsi"/>
          <w:noProof/>
          <w:sz w:val="22"/>
          <w:szCs w:val="22"/>
        </w:rPr>
      </w:pPr>
      <w:r w:rsidRPr="00890249">
        <w:rPr>
          <w:rFonts w:asciiTheme="minorHAnsi" w:eastAsia="Times New Roman" w:hAnsiTheme="minorHAnsi" w:cstheme="minorHAnsi"/>
          <w:noProof/>
          <w:sz w:val="22"/>
          <w:szCs w:val="22"/>
        </w:rPr>
        <w:t>O</w:t>
      </w:r>
      <w:r w:rsidR="200194BE" w:rsidRPr="00890249">
        <w:rPr>
          <w:rFonts w:asciiTheme="minorHAnsi" w:eastAsia="Times New Roman" w:hAnsiTheme="minorHAnsi" w:cstheme="minorHAnsi"/>
          <w:noProof/>
          <w:sz w:val="22"/>
          <w:szCs w:val="22"/>
        </w:rPr>
        <w:t>graniczenie antro</w:t>
      </w:r>
      <w:r w:rsidR="003C2B55">
        <w:rPr>
          <w:rFonts w:asciiTheme="minorHAnsi" w:eastAsia="Times New Roman" w:hAnsiTheme="minorHAnsi" w:cstheme="minorHAnsi"/>
          <w:noProof/>
          <w:sz w:val="22"/>
          <w:szCs w:val="22"/>
        </w:rPr>
        <w:t>po</w:t>
      </w:r>
      <w:r w:rsidR="200194BE" w:rsidRPr="00890249">
        <w:rPr>
          <w:rFonts w:asciiTheme="minorHAnsi" w:eastAsia="Times New Roman" w:hAnsiTheme="minorHAnsi" w:cstheme="minorHAnsi"/>
          <w:noProof/>
          <w:sz w:val="22"/>
          <w:szCs w:val="22"/>
        </w:rPr>
        <w:t>presji poprzez budowę i rozwój infrastruktury turystycznej w celu ukierunkowania ruchu turystycznego na terenie obszarów chronionych i cennych przyrodniczo</w:t>
      </w:r>
      <w:r w:rsidRPr="00890249">
        <w:rPr>
          <w:rFonts w:asciiTheme="minorHAnsi" w:eastAsia="Times New Roman" w:hAnsiTheme="minorHAnsi" w:cstheme="minorHAnsi"/>
          <w:noProof/>
          <w:sz w:val="22"/>
          <w:szCs w:val="22"/>
        </w:rPr>
        <w:t>.</w:t>
      </w:r>
    </w:p>
    <w:p w14:paraId="13B4EE4F" w14:textId="4E8CA5BD" w:rsidR="0001533F" w:rsidRPr="00890249" w:rsidRDefault="0001533F" w:rsidP="009F296A">
      <w:pPr>
        <w:pStyle w:val="Akapitzlist"/>
        <w:numPr>
          <w:ilvl w:val="0"/>
          <w:numId w:val="156"/>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K</w:t>
      </w:r>
      <w:r w:rsidR="4B2159E2" w:rsidRPr="00890249">
        <w:rPr>
          <w:rFonts w:asciiTheme="minorHAnsi" w:eastAsia="Times New Roman" w:hAnsiTheme="minorHAnsi" w:cstheme="minorHAnsi"/>
          <w:noProof/>
          <w:sz w:val="22"/>
          <w:szCs w:val="22"/>
        </w:rPr>
        <w:t>ompleksowe działania na rzecz remediacji terenów zanieczyszczonych oraz rekultywacji terenów zdegradowanych,</w:t>
      </w:r>
      <w:r w:rsidR="053C7A6A" w:rsidRPr="00890249">
        <w:rPr>
          <w:rFonts w:asciiTheme="minorHAnsi" w:eastAsia="Times New Roman" w:hAnsiTheme="minorHAnsi" w:cstheme="minorHAnsi"/>
          <w:noProof/>
          <w:sz w:val="22"/>
          <w:szCs w:val="22"/>
        </w:rPr>
        <w:t xml:space="preserve"> w tym likwidacja dzikich wysypisk, </w:t>
      </w:r>
      <w:r w:rsidR="49CB34FB" w:rsidRPr="00890249">
        <w:rPr>
          <w:rFonts w:asciiTheme="minorHAnsi" w:eastAsia="Times New Roman" w:hAnsiTheme="minorHAnsi" w:cstheme="minorHAnsi"/>
          <w:noProof/>
          <w:sz w:val="22"/>
          <w:szCs w:val="22"/>
        </w:rPr>
        <w:t xml:space="preserve">pod </w:t>
      </w:r>
      <w:r w:rsidR="672DF083" w:rsidRPr="00890249">
        <w:rPr>
          <w:rFonts w:asciiTheme="minorHAnsi" w:eastAsia="Times New Roman" w:hAnsiTheme="minorHAnsi" w:cstheme="minorHAnsi"/>
          <w:noProof/>
          <w:sz w:val="22"/>
          <w:szCs w:val="22"/>
        </w:rPr>
        <w:t xml:space="preserve">kątem celów przyrodniczych, </w:t>
      </w:r>
      <w:r w:rsidR="49CB34FB" w:rsidRPr="00890249">
        <w:rPr>
          <w:rFonts w:asciiTheme="minorHAnsi" w:eastAsia="Times New Roman" w:hAnsiTheme="minorHAnsi" w:cstheme="minorHAnsi"/>
          <w:noProof/>
          <w:sz w:val="22"/>
          <w:szCs w:val="22"/>
        </w:rPr>
        <w:t xml:space="preserve">społecznych oraz rozwoju zieleni miejskiej </w:t>
      </w:r>
      <w:r w:rsidR="00717069" w:rsidRPr="00890249">
        <w:rPr>
          <w:rStyle w:val="Odwoanieprzypisudolnego"/>
          <w:rFonts w:asciiTheme="minorHAnsi" w:eastAsia="Times New Roman" w:hAnsiTheme="minorHAnsi" w:cstheme="minorHAnsi"/>
          <w:noProof/>
          <w:sz w:val="22"/>
          <w:szCs w:val="22"/>
        </w:rPr>
        <w:footnoteReference w:id="143"/>
      </w:r>
      <w:r w:rsidRPr="00890249">
        <w:rPr>
          <w:rFonts w:asciiTheme="minorHAnsi" w:eastAsia="Times New Roman" w:hAnsiTheme="minorHAnsi" w:cstheme="minorHAnsi"/>
          <w:noProof/>
          <w:sz w:val="22"/>
          <w:szCs w:val="22"/>
        </w:rPr>
        <w:t>.</w:t>
      </w:r>
    </w:p>
    <w:p w14:paraId="4E639F9E" w14:textId="3CE3CC7C" w:rsidR="0001533F" w:rsidRPr="00890249" w:rsidRDefault="0001533F" w:rsidP="009F296A">
      <w:pPr>
        <w:pStyle w:val="Akapitzlist"/>
        <w:numPr>
          <w:ilvl w:val="0"/>
          <w:numId w:val="156"/>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lastRenderedPageBreak/>
        <w:t>I</w:t>
      </w:r>
      <w:r w:rsidR="3F720EA1" w:rsidRPr="00890249">
        <w:rPr>
          <w:rFonts w:asciiTheme="minorHAnsi" w:eastAsia="Times New Roman" w:hAnsiTheme="minorHAnsi" w:cstheme="minorHAnsi"/>
          <w:noProof/>
          <w:sz w:val="22"/>
          <w:szCs w:val="22"/>
        </w:rPr>
        <w:t>nwestycje związane z usunięciem azbestu i wyrobów zawierających azbest ze środowiska</w:t>
      </w:r>
      <w:r w:rsidR="000E35EA" w:rsidRPr="00890249">
        <w:rPr>
          <w:rFonts w:asciiTheme="minorHAnsi" w:eastAsia="Times New Roman" w:hAnsiTheme="minorHAnsi" w:cstheme="minorHAnsi"/>
          <w:noProof/>
          <w:sz w:val="22"/>
          <w:szCs w:val="22"/>
        </w:rPr>
        <w:t xml:space="preserve"> (edukacja, prace zwiazane z jego usuwaniem, w tym organizacja zbiórki</w:t>
      </w:r>
      <w:r w:rsidR="004F526F" w:rsidRPr="00890249">
        <w:rPr>
          <w:rFonts w:asciiTheme="minorHAnsi" w:hAnsiTheme="minorHAnsi" w:cstheme="minorHAnsi"/>
          <w:color w:val="1B1B1B"/>
          <w:sz w:val="22"/>
          <w:szCs w:val="22"/>
          <w:shd w:val="clear" w:color="auto" w:fill="FFFFFF"/>
        </w:rPr>
        <w:t xml:space="preserve"> odpadów zawierających azbest</w:t>
      </w:r>
      <w:r w:rsidR="000E35EA" w:rsidRPr="00890249">
        <w:rPr>
          <w:rFonts w:asciiTheme="minorHAnsi" w:eastAsia="Times New Roman" w:hAnsiTheme="minorHAnsi" w:cstheme="minorHAnsi"/>
          <w:noProof/>
          <w:sz w:val="22"/>
          <w:szCs w:val="22"/>
        </w:rPr>
        <w:t>)</w:t>
      </w:r>
      <w:r w:rsidR="007B4A72" w:rsidRPr="00890249">
        <w:rPr>
          <w:rStyle w:val="Odwoanieprzypisudolnego"/>
          <w:rFonts w:asciiTheme="minorHAnsi" w:eastAsia="Times New Roman" w:hAnsiTheme="minorHAnsi" w:cstheme="minorHAnsi"/>
          <w:noProof/>
          <w:sz w:val="22"/>
          <w:szCs w:val="22"/>
        </w:rPr>
        <w:footnoteReference w:id="144"/>
      </w:r>
      <w:r w:rsidRPr="00890249">
        <w:rPr>
          <w:rFonts w:asciiTheme="minorHAnsi" w:eastAsia="Times New Roman" w:hAnsiTheme="minorHAnsi" w:cstheme="minorHAnsi"/>
          <w:noProof/>
          <w:sz w:val="22"/>
          <w:szCs w:val="22"/>
        </w:rPr>
        <w:t>.</w:t>
      </w:r>
    </w:p>
    <w:p w14:paraId="660D1EEC" w14:textId="2DB92390" w:rsidR="0001533F" w:rsidRPr="00890249" w:rsidRDefault="0001533F" w:rsidP="009F296A">
      <w:pPr>
        <w:pStyle w:val="Akapitzlist"/>
        <w:numPr>
          <w:ilvl w:val="0"/>
          <w:numId w:val="156"/>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R</w:t>
      </w:r>
      <w:r w:rsidR="2835B2A4" w:rsidRPr="00890249">
        <w:rPr>
          <w:rFonts w:asciiTheme="minorHAnsi" w:eastAsia="Times New Roman" w:hAnsiTheme="minorHAnsi" w:cstheme="minorHAnsi"/>
          <w:noProof/>
          <w:sz w:val="22"/>
          <w:szCs w:val="22"/>
        </w:rPr>
        <w:t>ozw</w:t>
      </w:r>
      <w:r w:rsidR="2127D928" w:rsidRPr="00890249">
        <w:rPr>
          <w:rFonts w:asciiTheme="minorHAnsi" w:eastAsia="Times New Roman" w:hAnsiTheme="minorHAnsi" w:cstheme="minorHAnsi"/>
          <w:noProof/>
          <w:sz w:val="22"/>
          <w:szCs w:val="22"/>
        </w:rPr>
        <w:t>ój</w:t>
      </w:r>
      <w:r w:rsidR="2835B2A4" w:rsidRPr="00890249">
        <w:rPr>
          <w:rFonts w:asciiTheme="minorHAnsi" w:eastAsia="Times New Roman" w:hAnsiTheme="minorHAnsi" w:cstheme="minorHAnsi"/>
          <w:noProof/>
          <w:sz w:val="22"/>
          <w:szCs w:val="22"/>
        </w:rPr>
        <w:t xml:space="preserve"> zielon</w:t>
      </w:r>
      <w:r w:rsidR="2127D928" w:rsidRPr="00890249">
        <w:rPr>
          <w:rFonts w:asciiTheme="minorHAnsi" w:eastAsia="Times New Roman" w:hAnsiTheme="minorHAnsi" w:cstheme="minorHAnsi"/>
          <w:noProof/>
          <w:sz w:val="22"/>
          <w:szCs w:val="22"/>
        </w:rPr>
        <w:t>o</w:t>
      </w:r>
      <w:r w:rsidR="2835B2A4" w:rsidRPr="00890249">
        <w:rPr>
          <w:rFonts w:asciiTheme="minorHAnsi" w:eastAsia="Times New Roman" w:hAnsiTheme="minorHAnsi" w:cstheme="minorHAnsi"/>
          <w:noProof/>
          <w:sz w:val="22"/>
          <w:szCs w:val="22"/>
        </w:rPr>
        <w:t xml:space="preserve">-niebieskiej infrastruktury </w:t>
      </w:r>
      <w:r w:rsidR="2127D928" w:rsidRPr="00890249">
        <w:rPr>
          <w:rFonts w:asciiTheme="minorHAnsi" w:eastAsia="Times New Roman" w:hAnsiTheme="minorHAnsi" w:cstheme="minorHAnsi"/>
          <w:noProof/>
          <w:sz w:val="22"/>
          <w:szCs w:val="22"/>
        </w:rPr>
        <w:t>służącej celom ochrony bioró</w:t>
      </w:r>
      <w:r w:rsidR="005C69BC" w:rsidRPr="00890249">
        <w:rPr>
          <w:rFonts w:asciiTheme="minorHAnsi" w:eastAsia="Times New Roman" w:hAnsiTheme="minorHAnsi" w:cstheme="minorHAnsi"/>
          <w:noProof/>
          <w:sz w:val="22"/>
          <w:szCs w:val="22"/>
        </w:rPr>
        <w:t>ż</w:t>
      </w:r>
      <w:r w:rsidR="2127D928" w:rsidRPr="00890249">
        <w:rPr>
          <w:rFonts w:asciiTheme="minorHAnsi" w:eastAsia="Times New Roman" w:hAnsiTheme="minorHAnsi" w:cstheme="minorHAnsi"/>
          <w:noProof/>
          <w:sz w:val="22"/>
          <w:szCs w:val="22"/>
        </w:rPr>
        <w:t xml:space="preserve">norodności </w:t>
      </w:r>
      <w:r w:rsidR="000B2721">
        <w:rPr>
          <w:rFonts w:asciiTheme="minorHAnsi" w:eastAsia="Times New Roman" w:hAnsiTheme="minorHAnsi" w:cstheme="minorHAnsi"/>
          <w:noProof/>
          <w:sz w:val="22"/>
          <w:szCs w:val="22"/>
        </w:rPr>
        <w:t>wraz z </w:t>
      </w:r>
      <w:r w:rsidR="2835B2A4" w:rsidRPr="00890249">
        <w:rPr>
          <w:rFonts w:asciiTheme="minorHAnsi" w:eastAsia="Times New Roman" w:hAnsiTheme="minorHAnsi" w:cstheme="minorHAnsi"/>
          <w:noProof/>
          <w:sz w:val="22"/>
          <w:szCs w:val="22"/>
        </w:rPr>
        <w:t>niezbędnym zapleczem</w:t>
      </w:r>
      <w:r w:rsidRPr="00890249">
        <w:rPr>
          <w:rFonts w:asciiTheme="minorHAnsi" w:eastAsia="Times New Roman" w:hAnsiTheme="minorHAnsi" w:cstheme="minorHAnsi"/>
          <w:noProof/>
          <w:sz w:val="22"/>
          <w:szCs w:val="22"/>
        </w:rPr>
        <w:t>.</w:t>
      </w:r>
    </w:p>
    <w:p w14:paraId="775D733C" w14:textId="7A022172" w:rsidR="00CF62E4" w:rsidRPr="00890249" w:rsidRDefault="0001533F" w:rsidP="009F296A">
      <w:pPr>
        <w:pStyle w:val="Akapitzlist"/>
        <w:numPr>
          <w:ilvl w:val="0"/>
          <w:numId w:val="156"/>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D</w:t>
      </w:r>
      <w:r w:rsidR="599056D9" w:rsidRPr="00890249">
        <w:rPr>
          <w:rFonts w:asciiTheme="minorHAnsi" w:eastAsia="Times New Roman" w:hAnsiTheme="minorHAnsi" w:cstheme="minorHAnsi"/>
          <w:noProof/>
          <w:sz w:val="22"/>
          <w:szCs w:val="22"/>
        </w:rPr>
        <w:t>ziałania z zakresu edukacji, komunikacji</w:t>
      </w:r>
      <w:r w:rsidR="005C69BC" w:rsidRPr="00890249">
        <w:rPr>
          <w:rFonts w:asciiTheme="minorHAnsi" w:eastAsia="Times New Roman" w:hAnsiTheme="minorHAnsi" w:cstheme="minorHAnsi"/>
          <w:noProof/>
          <w:sz w:val="22"/>
          <w:szCs w:val="22"/>
        </w:rPr>
        <w:t xml:space="preserve">, promocji </w:t>
      </w:r>
      <w:r w:rsidR="599056D9" w:rsidRPr="00890249">
        <w:rPr>
          <w:rFonts w:asciiTheme="minorHAnsi" w:eastAsia="Times New Roman" w:hAnsiTheme="minorHAnsi" w:cstheme="minorHAnsi"/>
          <w:noProof/>
          <w:sz w:val="22"/>
          <w:szCs w:val="22"/>
        </w:rPr>
        <w:t>i rozpowszechniania wiedzy dotyczącej ochrony przyrody i przyrodniczego potencjału regionu</w:t>
      </w:r>
      <w:r w:rsidR="0A7A1350" w:rsidRPr="00890249">
        <w:rPr>
          <w:rFonts w:asciiTheme="minorHAnsi" w:eastAsia="Times New Roman" w:hAnsiTheme="minorHAnsi" w:cstheme="minorHAnsi"/>
          <w:noProof/>
          <w:sz w:val="22"/>
          <w:szCs w:val="22"/>
        </w:rPr>
        <w:t xml:space="preserve"> oraz różnorodności biologicznej</w:t>
      </w:r>
      <w:r w:rsidR="6F692348" w:rsidRPr="00890249">
        <w:rPr>
          <w:rFonts w:asciiTheme="minorHAnsi" w:eastAsia="Times New Roman" w:hAnsiTheme="minorHAnsi" w:cstheme="minorHAnsi"/>
          <w:noProof/>
          <w:sz w:val="22"/>
          <w:szCs w:val="22"/>
        </w:rPr>
        <w:t xml:space="preserve">, w tym </w:t>
      </w:r>
      <w:r w:rsidR="599056D9" w:rsidRPr="00890249">
        <w:rPr>
          <w:rFonts w:asciiTheme="minorHAnsi" w:eastAsia="Times New Roman" w:hAnsiTheme="minorHAnsi" w:cstheme="minorHAnsi"/>
          <w:noProof/>
          <w:sz w:val="22"/>
          <w:szCs w:val="22"/>
        </w:rPr>
        <w:t xml:space="preserve"> </w:t>
      </w:r>
      <w:r w:rsidR="6F692348" w:rsidRPr="00890249">
        <w:rPr>
          <w:rFonts w:asciiTheme="minorHAnsi" w:eastAsia="Times New Roman" w:hAnsiTheme="minorHAnsi" w:cstheme="minorHAnsi"/>
          <w:noProof/>
          <w:sz w:val="22"/>
          <w:szCs w:val="22"/>
        </w:rPr>
        <w:t>rozw</w:t>
      </w:r>
      <w:r w:rsidR="1CE6D91B" w:rsidRPr="00890249">
        <w:rPr>
          <w:rFonts w:asciiTheme="minorHAnsi" w:eastAsia="Times New Roman" w:hAnsiTheme="minorHAnsi" w:cstheme="minorHAnsi"/>
          <w:noProof/>
          <w:sz w:val="22"/>
          <w:szCs w:val="22"/>
        </w:rPr>
        <w:t>ój</w:t>
      </w:r>
      <w:r w:rsidR="6F692348" w:rsidRPr="00890249">
        <w:rPr>
          <w:rFonts w:asciiTheme="minorHAnsi" w:eastAsia="Times New Roman" w:hAnsiTheme="minorHAnsi" w:cstheme="minorHAnsi"/>
          <w:noProof/>
          <w:sz w:val="22"/>
          <w:szCs w:val="22"/>
        </w:rPr>
        <w:t xml:space="preserve"> infrastruktury miejsc edukacji ekologicznej </w:t>
      </w:r>
      <w:r w:rsidR="599056D9" w:rsidRPr="00890249">
        <w:rPr>
          <w:rFonts w:asciiTheme="minorHAnsi" w:eastAsia="Times New Roman" w:hAnsiTheme="minorHAnsi" w:cstheme="minorHAnsi"/>
          <w:noProof/>
          <w:sz w:val="22"/>
          <w:szCs w:val="22"/>
        </w:rPr>
        <w:t>(wyłącznie jako element większego projektu)</w:t>
      </w:r>
      <w:r w:rsidR="5E777272" w:rsidRPr="00890249">
        <w:rPr>
          <w:rFonts w:asciiTheme="minorHAnsi" w:eastAsia="Times New Roman" w:hAnsiTheme="minorHAnsi" w:cstheme="minorHAnsi"/>
          <w:noProof/>
          <w:sz w:val="22"/>
          <w:szCs w:val="22"/>
        </w:rPr>
        <w:t>.</w:t>
      </w:r>
    </w:p>
    <w:p w14:paraId="0DBF3273" w14:textId="3ECA19F6"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2E428873" w14:textId="77777777" w:rsidR="001169B8" w:rsidRPr="00890249" w:rsidRDefault="001169B8" w:rsidP="001169B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3472CE13" w14:textId="77777777" w:rsidR="0093433C" w:rsidRPr="00890249" w:rsidRDefault="00083EE4"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Mieszkańcy regionu, turyści</w:t>
      </w:r>
      <w:r w:rsidR="004F526F" w:rsidRPr="00890249">
        <w:rPr>
          <w:rFonts w:asciiTheme="minorHAnsi" w:hAnsiTheme="minorHAnsi" w:cstheme="minorHAnsi"/>
          <w:noProof/>
          <w:sz w:val="22"/>
          <w:szCs w:val="22"/>
        </w:rPr>
        <w:t>, jst</w:t>
      </w:r>
      <w:r w:rsidRPr="00890249">
        <w:rPr>
          <w:rFonts w:asciiTheme="minorHAnsi" w:hAnsiTheme="minorHAnsi" w:cstheme="minorHAnsi"/>
          <w:noProof/>
          <w:sz w:val="22"/>
          <w:szCs w:val="22"/>
        </w:rPr>
        <w:t>.</w:t>
      </w:r>
    </w:p>
    <w:p w14:paraId="379CC5CB" w14:textId="77777777" w:rsidR="00E913BA" w:rsidRPr="00890249" w:rsidRDefault="007C0F20" w:rsidP="00583599">
      <w:pPr>
        <w:pStyle w:val="Akapitzlist"/>
        <w:ind w:left="0"/>
        <w:contextualSpacing w:val="0"/>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Działania na rzecz </w:t>
      </w:r>
      <w:r w:rsidR="001765C7" w:rsidRPr="00890249">
        <w:rPr>
          <w:rFonts w:asciiTheme="minorHAnsi" w:hAnsiTheme="minorHAnsi" w:cstheme="minorHAnsi"/>
          <w:b/>
          <w:noProof/>
          <w:color w:val="2F5496" w:themeColor="accent5" w:themeShade="BF"/>
          <w:sz w:val="22"/>
          <w:szCs w:val="22"/>
        </w:rPr>
        <w:t xml:space="preserve">zapewnienia </w:t>
      </w:r>
      <w:r w:rsidRPr="00890249">
        <w:rPr>
          <w:rFonts w:asciiTheme="minorHAnsi" w:hAnsiTheme="minorHAnsi" w:cstheme="minorHAnsi"/>
          <w:b/>
          <w:noProof/>
          <w:color w:val="2F5496" w:themeColor="accent5" w:themeShade="BF"/>
          <w:sz w:val="22"/>
          <w:szCs w:val="22"/>
        </w:rPr>
        <w:t xml:space="preserve">równości, </w:t>
      </w:r>
      <w:r w:rsidR="001765C7" w:rsidRPr="00890249">
        <w:rPr>
          <w:rFonts w:asciiTheme="minorHAnsi" w:hAnsiTheme="minorHAnsi" w:cstheme="minorHAnsi"/>
          <w:b/>
          <w:noProof/>
          <w:color w:val="2F5496" w:themeColor="accent5" w:themeShade="BF"/>
          <w:sz w:val="22"/>
          <w:szCs w:val="22"/>
        </w:rPr>
        <w:t>włączenia społecznego</w:t>
      </w:r>
      <w:r w:rsidRPr="00890249">
        <w:rPr>
          <w:rFonts w:asciiTheme="minorHAnsi" w:hAnsiTheme="minorHAnsi" w:cstheme="minorHAnsi"/>
          <w:b/>
          <w:noProof/>
          <w:color w:val="2F5496" w:themeColor="accent5" w:themeShade="BF"/>
          <w:sz w:val="22"/>
          <w:szCs w:val="22"/>
        </w:rPr>
        <w:t xml:space="preserve"> i niedyskryminacji</w:t>
      </w:r>
    </w:p>
    <w:p w14:paraId="64550BC8" w14:textId="77777777" w:rsidR="0093433C" w:rsidRPr="00890249" w:rsidRDefault="4CE7EC6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społeczności oraz brakiem wsparcia społecznego. </w:t>
      </w:r>
    </w:p>
    <w:p w14:paraId="1E818FFA" w14:textId="62BAF7EC" w:rsidR="0093433C" w:rsidRPr="00890249" w:rsidRDefault="3FF2333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 uwagi na zakres tematyczny celu szczegółowego inwestycje służące ograniczeniu degradacji środowiska, w tym zmniejszeniu zanieczyszczeń, będą miały wpływ na zmniejszenie zjawiska wykluczenia społecznego i ubóstwa z powodów zdrowotnych, gdyż obniżą skalę problemów zdrowotnych mieszkańców. Wpłyną też na poprawę warunków i jakości życia mieszkańców. Dzięki uwzględnieniu w projektach wymogów uniwersalnego projektowania i mechanizmu racjonalnych usprawnień zapewniony będzie odpowiedni dostęp do infrastruktury obiektów edukacji ekologicznej, czy infrastruktury służącej promowaniu form ochrony przyrody, odpowiadającej na specyficzne potrzeby osób o ograniczonych możliwościach poruszania się.  Kampanie informacyjne nt. przeciwdzialania utracie różnorodności biologicznej oraz dążące do zrównoważonego gospodarowania przestrzenią naturalną będą realizowane z zachow</w:t>
      </w:r>
      <w:r w:rsidR="000B2721">
        <w:rPr>
          <w:rFonts w:asciiTheme="minorHAnsi" w:hAnsiTheme="minorHAnsi" w:cstheme="minorHAnsi"/>
          <w:noProof/>
          <w:sz w:val="22"/>
          <w:szCs w:val="22"/>
        </w:rPr>
        <w:t>aniem standardów dostępności, z </w:t>
      </w:r>
      <w:r w:rsidRPr="00890249">
        <w:rPr>
          <w:rFonts w:asciiTheme="minorHAnsi" w:hAnsiTheme="minorHAnsi" w:cstheme="minorHAnsi"/>
          <w:noProof/>
          <w:sz w:val="22"/>
          <w:szCs w:val="22"/>
        </w:rPr>
        <w:t>wykorzystaniem różnorodnych form i kanałów komunikacji, w celu dotarcia do możliwe największej liczby mieszkańców regionu. W przypadku usług świadczonych drogą elektroniczną zastosowany zostanie standard dostępności cyfrowej WCAG 2.1.</w:t>
      </w:r>
    </w:p>
    <w:p w14:paraId="76E3EB84" w14:textId="60622672" w:rsidR="001169B8" w:rsidRPr="00890249" w:rsidRDefault="001169B8" w:rsidP="001169B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1CD977F0" w14:textId="77777777" w:rsidR="0093433C" w:rsidRPr="00890249" w:rsidRDefault="007A480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34E9E864" w14:textId="77777777" w:rsidR="001169B8" w:rsidRPr="00890249" w:rsidRDefault="001169B8" w:rsidP="001169B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56BFD3C9" w14:textId="18E79D4E" w:rsidR="0093433C" w:rsidRPr="00890249" w:rsidRDefault="005612B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Zaplanowane działania są komplementarne z interwencjami założonymi w programie współpracy transgranicznej </w:t>
      </w:r>
      <w:r w:rsidR="00A02662" w:rsidRPr="00890249">
        <w:rPr>
          <w:rFonts w:asciiTheme="minorHAnsi" w:hAnsiTheme="minorHAnsi" w:cstheme="minorHAnsi"/>
          <w:noProof/>
          <w:sz w:val="22"/>
          <w:szCs w:val="22"/>
        </w:rPr>
        <w:t>Interreg</w:t>
      </w:r>
      <w:r w:rsidRPr="00890249">
        <w:rPr>
          <w:rFonts w:asciiTheme="minorHAnsi" w:hAnsiTheme="minorHAnsi" w:cstheme="minorHAnsi"/>
          <w:noProof/>
          <w:sz w:val="22"/>
          <w:szCs w:val="22"/>
        </w:rPr>
        <w:t xml:space="preserve"> Czechy-Polska 2021-2027</w:t>
      </w:r>
      <w:r w:rsidR="00A413FD"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co umożliwi realizację wspólnych przedsięwzięć na obszarze województwa opolskiego i Republiki Czeskiej. W zakresie przedmiotowego </w:t>
      </w:r>
      <w:r w:rsidR="00A413FD" w:rsidRPr="00890249">
        <w:rPr>
          <w:rFonts w:asciiTheme="minorHAnsi" w:hAnsiTheme="minorHAnsi" w:cstheme="minorHAnsi"/>
          <w:noProof/>
          <w:sz w:val="22"/>
          <w:szCs w:val="22"/>
        </w:rPr>
        <w:t>cs</w:t>
      </w:r>
      <w:r w:rsidRPr="00890249">
        <w:rPr>
          <w:rFonts w:asciiTheme="minorHAnsi" w:hAnsiTheme="minorHAnsi" w:cstheme="minorHAnsi"/>
          <w:noProof/>
          <w:sz w:val="22"/>
          <w:szCs w:val="22"/>
        </w:rPr>
        <w:t xml:space="preserve"> ważna będzie współpraca ukierunkowana na ochronę cennych zasobów przyrodniczych, w tym zwłaszcza na obszarze przygranicznym - terenie bogatym w zasoby naturalne. Znaczną jego część stanowią bowiem zalesione pasma górskie z obszarami cennymi przyrodniczo, klasyfikowanymi m.in. jako parki narodowe/krajobrazowe, obszary chronionego krajobrazu oraz obszary Natura 2000. </w:t>
      </w:r>
    </w:p>
    <w:p w14:paraId="045C53D3" w14:textId="59B66678" w:rsidR="0093433C" w:rsidRPr="00890249" w:rsidRDefault="005612B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Walory regionu w znaczący sposób wpływają na jakość życia na pograniczu, w tym jego atrakcyjność turystyczną. Ze względu na fakt, iż podejście do ochrony przyrody różni się po obydwu stronach granicy</w:t>
      </w:r>
      <w:r w:rsidR="00A413FD"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IZ, poprzez kryteria wyboru projektów, premiować będzie wspólne przedsięwzięcia prowadzące do współpracy pomiotów polskich i czeskich, w tym inwestycje w infrastrukturę turystyczną ograniczającą antro</w:t>
      </w:r>
      <w:r w:rsidR="003C2B55">
        <w:rPr>
          <w:rFonts w:asciiTheme="minorHAnsi" w:hAnsiTheme="minorHAnsi" w:cstheme="minorHAnsi"/>
          <w:noProof/>
          <w:sz w:val="22"/>
          <w:szCs w:val="22"/>
        </w:rPr>
        <w:t>po</w:t>
      </w:r>
      <w:r w:rsidRPr="00890249">
        <w:rPr>
          <w:rFonts w:asciiTheme="minorHAnsi" w:hAnsiTheme="minorHAnsi" w:cstheme="minorHAnsi"/>
          <w:noProof/>
          <w:sz w:val="22"/>
          <w:szCs w:val="22"/>
        </w:rPr>
        <w:t xml:space="preserve">presję oraz działania z zakresu np. monitorowania występowania gatunków chronionych i zarządzania zasobami przyrodniczymi. Współpraca ma docelowo doprowadzić do tworzenia sieci i platform współpracy umożliwiających wymianę informacji i dobrych praktyk w zakresie ochrony cennych zasobów środowiska naturalnego, realizację wspólnych analiz, koncepcji – działań, które finansowane będą co do zasady z programu </w:t>
      </w:r>
      <w:r w:rsidR="00A02662" w:rsidRPr="00890249">
        <w:rPr>
          <w:rFonts w:asciiTheme="minorHAnsi" w:hAnsiTheme="minorHAnsi" w:cstheme="minorHAnsi"/>
          <w:noProof/>
          <w:sz w:val="22"/>
          <w:szCs w:val="22"/>
        </w:rPr>
        <w:t>Interreg</w:t>
      </w:r>
      <w:r w:rsidRPr="00890249">
        <w:rPr>
          <w:rFonts w:asciiTheme="minorHAnsi" w:hAnsiTheme="minorHAnsi" w:cstheme="minorHAnsi"/>
          <w:noProof/>
          <w:sz w:val="22"/>
          <w:szCs w:val="22"/>
        </w:rPr>
        <w:t xml:space="preserve"> Czechy-Polska 2021-2027. Zaproponowane w FEO 2021-2027 inwestycje przyczynią się do efektu synergii w ramach ww. Programów, co oznacza, że współdziałanie różnych interwencji doprowadzi do większego efektu</w:t>
      </w:r>
      <w:r w:rsidR="00A02662"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niż suma poszczególnych oddzielnych działań. Działania podejmowane w</w:t>
      </w:r>
      <w:r w:rsidR="000B2721">
        <w:rPr>
          <w:rFonts w:asciiTheme="minorHAnsi" w:hAnsiTheme="minorHAnsi" w:cstheme="minorHAnsi"/>
          <w:noProof/>
          <w:sz w:val="22"/>
          <w:szCs w:val="22"/>
        </w:rPr>
        <w:t xml:space="preserve"> cs (vii) wpisują się również w </w:t>
      </w:r>
      <w:r w:rsidRPr="00890249">
        <w:rPr>
          <w:rFonts w:asciiTheme="minorHAnsi" w:hAnsiTheme="minorHAnsi" w:cstheme="minorHAnsi"/>
          <w:noProof/>
          <w:sz w:val="22"/>
          <w:szCs w:val="22"/>
        </w:rPr>
        <w:t>Cel 1.2 Bogata i zdrowa przyroda Strategii UE dla regionu Morza Bałtyckiego.</w:t>
      </w:r>
    </w:p>
    <w:p w14:paraId="3191EABA" w14:textId="41B6B6A6" w:rsidR="001169B8" w:rsidRPr="00890249" w:rsidRDefault="001169B8" w:rsidP="001169B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 Planowane wykorzystanie instrumentów finansowych</w:t>
      </w:r>
    </w:p>
    <w:p w14:paraId="244BE670" w14:textId="77777777" w:rsidR="0093433C" w:rsidRPr="00890249" w:rsidRDefault="00195F3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celu szczegółowego (vii) nie planuje się wykorzystania instrumentów finansowych</w:t>
      </w:r>
      <w:r w:rsidR="005E4DF4" w:rsidRPr="00890249">
        <w:rPr>
          <w:rFonts w:asciiTheme="minorHAnsi" w:hAnsiTheme="minorHAnsi" w:cstheme="minorHAnsi"/>
          <w:noProof/>
          <w:sz w:val="22"/>
          <w:szCs w:val="22"/>
        </w:rPr>
        <w:t xml:space="preserve">. Zaplanowane przedsięwzięcia są działaniami nie generującymi zysków, </w:t>
      </w:r>
      <w:r w:rsidR="00A02662" w:rsidRPr="00890249">
        <w:rPr>
          <w:rFonts w:asciiTheme="minorHAnsi" w:hAnsiTheme="minorHAnsi" w:cstheme="minorHAnsi"/>
          <w:noProof/>
          <w:sz w:val="22"/>
          <w:szCs w:val="22"/>
        </w:rPr>
        <w:t xml:space="preserve">są </w:t>
      </w:r>
      <w:r w:rsidR="005E4DF4" w:rsidRPr="00890249">
        <w:rPr>
          <w:rFonts w:asciiTheme="minorHAnsi" w:hAnsiTheme="minorHAnsi" w:cstheme="minorHAnsi"/>
          <w:noProof/>
          <w:sz w:val="22"/>
          <w:szCs w:val="22"/>
        </w:rPr>
        <w:t>związane z zadaniami publicznymi. Działania w ramach cs (vii) należy rozgraniczyć z turystyką, która będzie wspierana w</w:t>
      </w:r>
      <w:r w:rsidRPr="00890249">
        <w:rPr>
          <w:rFonts w:asciiTheme="minorHAnsi" w:hAnsiTheme="minorHAnsi" w:cstheme="minorHAnsi"/>
          <w:noProof/>
          <w:sz w:val="22"/>
          <w:szCs w:val="22"/>
        </w:rPr>
        <w:t> </w:t>
      </w:r>
      <w:r w:rsidR="005E4DF4" w:rsidRPr="00890249">
        <w:rPr>
          <w:rFonts w:asciiTheme="minorHAnsi" w:hAnsiTheme="minorHAnsi" w:cstheme="minorHAnsi"/>
          <w:noProof/>
          <w:sz w:val="22"/>
          <w:szCs w:val="22"/>
        </w:rPr>
        <w:t>ramach CP5.</w:t>
      </w:r>
    </w:p>
    <w:p w14:paraId="76B3A9A9" w14:textId="77777777" w:rsidR="001169B8" w:rsidRPr="00890249" w:rsidRDefault="001169B8" w:rsidP="001169B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2.1.2.6.2 (vii)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51"/>
        <w:gridCol w:w="693"/>
        <w:gridCol w:w="1009"/>
        <w:gridCol w:w="830"/>
        <w:gridCol w:w="2215"/>
        <w:gridCol w:w="830"/>
        <w:gridCol w:w="1106"/>
        <w:gridCol w:w="1065"/>
      </w:tblGrid>
      <w:tr w:rsidR="0034642D" w:rsidRPr="00890249" w14:paraId="624799D0" w14:textId="77777777" w:rsidTr="00FB76F3">
        <w:trPr>
          <w:trHeight w:val="425"/>
        </w:trPr>
        <w:tc>
          <w:tcPr>
            <w:tcW w:w="5000" w:type="pct"/>
            <w:gridSpan w:val="9"/>
            <w:shd w:val="clear" w:color="auto" w:fill="D9D9D9" w:themeFill="background1" w:themeFillShade="D9"/>
          </w:tcPr>
          <w:p w14:paraId="0CC45042"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63B1C50E" w14:textId="77777777" w:rsidTr="0043241C">
        <w:trPr>
          <w:cantSplit/>
          <w:trHeight w:val="1647"/>
        </w:trPr>
        <w:tc>
          <w:tcPr>
            <w:tcW w:w="291" w:type="pct"/>
            <w:shd w:val="clear" w:color="auto" w:fill="F2F2F2" w:themeFill="background1" w:themeFillShade="F2"/>
            <w:textDirection w:val="btLr"/>
            <w:vAlign w:val="center"/>
          </w:tcPr>
          <w:p w14:paraId="6FE4B65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343462D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58C11C0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035D731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3316045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7" w:type="pct"/>
            <w:shd w:val="clear" w:color="auto" w:fill="F2F2F2" w:themeFill="background1" w:themeFillShade="F2"/>
            <w:textDirection w:val="btLr"/>
            <w:vAlign w:val="center"/>
          </w:tcPr>
          <w:p w14:paraId="6EB056A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7DF99D48"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6C13D82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0" w:type="pct"/>
            <w:shd w:val="clear" w:color="auto" w:fill="F2F2F2" w:themeFill="background1" w:themeFillShade="F2"/>
            <w:textDirection w:val="btLr"/>
            <w:vAlign w:val="center"/>
          </w:tcPr>
          <w:p w14:paraId="505839E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323537" w:rsidRPr="00890249" w14:paraId="34CA9BE8" w14:textId="77777777" w:rsidTr="0043241C">
        <w:trPr>
          <w:trHeight w:val="332"/>
        </w:trPr>
        <w:tc>
          <w:tcPr>
            <w:tcW w:w="291" w:type="pct"/>
            <w:vAlign w:val="center"/>
          </w:tcPr>
          <w:p w14:paraId="35E19323" w14:textId="77777777" w:rsidR="00323537" w:rsidRPr="00890249" w:rsidRDefault="00323537" w:rsidP="00323537">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29D67285" w14:textId="77777777" w:rsidR="00323537" w:rsidRPr="00890249" w:rsidRDefault="00323537" w:rsidP="00323537">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w:t>
            </w:r>
          </w:p>
        </w:tc>
        <w:tc>
          <w:tcPr>
            <w:tcW w:w="384" w:type="pct"/>
            <w:vAlign w:val="center"/>
          </w:tcPr>
          <w:p w14:paraId="22F412C3" w14:textId="77777777" w:rsidR="00323537" w:rsidRPr="00890249" w:rsidRDefault="00323537" w:rsidP="00323537">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08809065" w14:textId="77777777" w:rsidR="00323537" w:rsidRPr="00890249" w:rsidRDefault="00323537" w:rsidP="00323537">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47302618" w14:textId="77777777" w:rsidR="00323537" w:rsidRPr="00890249" w:rsidRDefault="00D3580D" w:rsidP="00323537">
            <w:pPr>
              <w:jc w:val="center"/>
              <w:rPr>
                <w:rFonts w:asciiTheme="minorHAnsi" w:hAnsiTheme="minorHAnsi" w:cstheme="minorHAnsi"/>
                <w:i/>
                <w:sz w:val="18"/>
                <w:szCs w:val="18"/>
              </w:rPr>
            </w:pPr>
            <w:r w:rsidRPr="00890249">
              <w:rPr>
                <w:rFonts w:asciiTheme="minorHAnsi" w:hAnsiTheme="minorHAnsi" w:cstheme="minorHAnsi"/>
                <w:i/>
                <w:sz w:val="18"/>
                <w:szCs w:val="18"/>
              </w:rPr>
              <w:t>PLRO0</w:t>
            </w:r>
            <w:r w:rsidR="00323537" w:rsidRPr="00890249">
              <w:rPr>
                <w:rFonts w:asciiTheme="minorHAnsi" w:hAnsiTheme="minorHAnsi" w:cstheme="minorHAnsi"/>
                <w:i/>
                <w:sz w:val="18"/>
                <w:szCs w:val="18"/>
              </w:rPr>
              <w:t>69</w:t>
            </w:r>
          </w:p>
        </w:tc>
        <w:tc>
          <w:tcPr>
            <w:tcW w:w="1227" w:type="pct"/>
            <w:shd w:val="clear" w:color="auto" w:fill="auto"/>
            <w:vAlign w:val="center"/>
          </w:tcPr>
          <w:p w14:paraId="1D32316D" w14:textId="77777777" w:rsidR="00323537" w:rsidRPr="00890249" w:rsidRDefault="00323537" w:rsidP="00323537">
            <w:pPr>
              <w:jc w:val="left"/>
              <w:rPr>
                <w:rFonts w:asciiTheme="minorHAnsi" w:hAnsiTheme="minorHAnsi" w:cstheme="minorHAnsi"/>
                <w:i/>
                <w:sz w:val="18"/>
                <w:szCs w:val="18"/>
              </w:rPr>
            </w:pPr>
            <w:r w:rsidRPr="00890249">
              <w:rPr>
                <w:rFonts w:asciiTheme="minorHAnsi" w:hAnsiTheme="minorHAnsi" w:cstheme="minorHAnsi"/>
                <w:i/>
                <w:sz w:val="18"/>
                <w:szCs w:val="18"/>
              </w:rPr>
              <w:t>Powierzchnia obszarów chronionych i cennych przyrodniczo innych niż Natura 2000 objętych działaniami ochronnymi i odtwarzającymi</w:t>
            </w:r>
          </w:p>
        </w:tc>
        <w:tc>
          <w:tcPr>
            <w:tcW w:w="460" w:type="pct"/>
            <w:vAlign w:val="center"/>
          </w:tcPr>
          <w:p w14:paraId="299ED9BF" w14:textId="77777777" w:rsidR="00323537" w:rsidRPr="00890249" w:rsidRDefault="00323537" w:rsidP="00323537">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ha</w:t>
            </w:r>
          </w:p>
        </w:tc>
        <w:tc>
          <w:tcPr>
            <w:tcW w:w="613" w:type="pct"/>
            <w:shd w:val="clear" w:color="auto" w:fill="auto"/>
            <w:vAlign w:val="center"/>
          </w:tcPr>
          <w:p w14:paraId="4E14423D" w14:textId="77777777" w:rsidR="00A63705" w:rsidRPr="00890249" w:rsidRDefault="00D3580D" w:rsidP="0043241C">
            <w:pPr>
              <w:jc w:val="center"/>
              <w:rPr>
                <w:rFonts w:asciiTheme="minorHAnsi" w:hAnsiTheme="minorHAnsi" w:cstheme="minorHAnsi"/>
                <w:noProof/>
                <w:sz w:val="18"/>
                <w:szCs w:val="18"/>
              </w:rPr>
            </w:pPr>
            <w:r w:rsidRPr="00890249">
              <w:rPr>
                <w:rFonts w:asciiTheme="minorHAnsi" w:hAnsiTheme="minorHAnsi" w:cstheme="minorHAnsi"/>
                <w:noProof/>
                <w:sz w:val="18"/>
                <w:szCs w:val="18"/>
              </w:rPr>
              <w:t>1</w:t>
            </w:r>
          </w:p>
        </w:tc>
        <w:tc>
          <w:tcPr>
            <w:tcW w:w="590" w:type="pct"/>
            <w:shd w:val="clear" w:color="auto" w:fill="auto"/>
            <w:vAlign w:val="center"/>
          </w:tcPr>
          <w:p w14:paraId="7A3DED6E" w14:textId="33BF8C1A" w:rsidR="00A63705" w:rsidRPr="00890249" w:rsidRDefault="00695AEA" w:rsidP="0043241C">
            <w:pPr>
              <w:jc w:val="center"/>
              <w:rPr>
                <w:rFonts w:asciiTheme="minorHAnsi" w:hAnsiTheme="minorHAnsi" w:cstheme="minorHAnsi"/>
                <w:noProof/>
                <w:sz w:val="18"/>
                <w:szCs w:val="18"/>
              </w:rPr>
            </w:pPr>
            <w:r>
              <w:rPr>
                <w:rFonts w:asciiTheme="minorHAnsi" w:hAnsiTheme="minorHAnsi" w:cstheme="minorHAnsi"/>
                <w:noProof/>
                <w:sz w:val="18"/>
                <w:szCs w:val="18"/>
              </w:rPr>
              <w:t>10</w:t>
            </w:r>
          </w:p>
        </w:tc>
      </w:tr>
      <w:tr w:rsidR="00323537" w:rsidRPr="00890249" w14:paraId="4070D7FB" w14:textId="77777777" w:rsidTr="0043241C">
        <w:trPr>
          <w:trHeight w:val="332"/>
        </w:trPr>
        <w:tc>
          <w:tcPr>
            <w:tcW w:w="291" w:type="pct"/>
            <w:vAlign w:val="center"/>
          </w:tcPr>
          <w:p w14:paraId="5BCBF25D" w14:textId="77777777" w:rsidR="00323537" w:rsidRPr="00890249" w:rsidDel="00E90ABD" w:rsidRDefault="00323537" w:rsidP="00323537">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3A1DC6E2" w14:textId="77777777" w:rsidR="00323537" w:rsidRPr="00890249" w:rsidDel="00E90ABD" w:rsidRDefault="00323537" w:rsidP="00323537">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w:t>
            </w:r>
          </w:p>
        </w:tc>
        <w:tc>
          <w:tcPr>
            <w:tcW w:w="384" w:type="pct"/>
            <w:vAlign w:val="center"/>
          </w:tcPr>
          <w:p w14:paraId="23639190" w14:textId="77777777" w:rsidR="00323537" w:rsidRPr="00890249" w:rsidDel="00E90ABD" w:rsidRDefault="00323537" w:rsidP="00323537">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3DD40366" w14:textId="77777777" w:rsidR="00323537" w:rsidRPr="00890249" w:rsidDel="00E90ABD" w:rsidRDefault="00323537" w:rsidP="00323537">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099341D7" w14:textId="77777777" w:rsidR="00323537" w:rsidRPr="00890249" w:rsidDel="00E90ABD" w:rsidRDefault="00323537" w:rsidP="00323537">
            <w:pPr>
              <w:jc w:val="center"/>
              <w:rPr>
                <w:rFonts w:asciiTheme="minorHAnsi" w:hAnsiTheme="minorHAnsi" w:cstheme="minorHAnsi"/>
                <w:i/>
                <w:sz w:val="18"/>
                <w:szCs w:val="18"/>
              </w:rPr>
            </w:pPr>
            <w:r w:rsidRPr="00890249">
              <w:rPr>
                <w:rFonts w:asciiTheme="minorHAnsi" w:hAnsiTheme="minorHAnsi" w:cstheme="minorHAnsi"/>
                <w:i/>
                <w:sz w:val="18"/>
                <w:szCs w:val="18"/>
              </w:rPr>
              <w:t>PLRO</w:t>
            </w:r>
            <w:r w:rsidR="00D3580D" w:rsidRPr="00890249">
              <w:rPr>
                <w:rFonts w:asciiTheme="minorHAnsi" w:hAnsiTheme="minorHAnsi" w:cstheme="minorHAnsi"/>
                <w:i/>
                <w:sz w:val="18"/>
                <w:szCs w:val="18"/>
              </w:rPr>
              <w:t>0</w:t>
            </w:r>
            <w:r w:rsidRPr="00890249">
              <w:rPr>
                <w:rFonts w:asciiTheme="minorHAnsi" w:hAnsiTheme="minorHAnsi" w:cstheme="minorHAnsi"/>
                <w:i/>
                <w:sz w:val="18"/>
                <w:szCs w:val="18"/>
              </w:rPr>
              <w:t>73</w:t>
            </w:r>
          </w:p>
        </w:tc>
        <w:tc>
          <w:tcPr>
            <w:tcW w:w="1227" w:type="pct"/>
            <w:shd w:val="clear" w:color="auto" w:fill="auto"/>
            <w:vAlign w:val="center"/>
          </w:tcPr>
          <w:p w14:paraId="71518A27" w14:textId="77777777" w:rsidR="00323537" w:rsidRPr="00890249" w:rsidDel="00E90ABD" w:rsidRDefault="00323537" w:rsidP="00323537">
            <w:pPr>
              <w:jc w:val="left"/>
              <w:rPr>
                <w:rFonts w:asciiTheme="minorHAnsi" w:hAnsiTheme="minorHAnsi" w:cstheme="minorHAnsi"/>
                <w:i/>
                <w:sz w:val="18"/>
                <w:szCs w:val="18"/>
              </w:rPr>
            </w:pPr>
            <w:r w:rsidRPr="00890249">
              <w:rPr>
                <w:rFonts w:asciiTheme="minorHAnsi" w:hAnsiTheme="minorHAnsi" w:cstheme="minorHAnsi"/>
                <w:i/>
                <w:sz w:val="18"/>
                <w:szCs w:val="18"/>
              </w:rPr>
              <w:t>Liczba przeprowadzonych kampanii informacyjno-edukacyjnych kształtujących świadomość ekologiczną</w:t>
            </w:r>
          </w:p>
        </w:tc>
        <w:tc>
          <w:tcPr>
            <w:tcW w:w="460" w:type="pct"/>
            <w:vAlign w:val="center"/>
          </w:tcPr>
          <w:p w14:paraId="602DEB15" w14:textId="77777777" w:rsidR="00323537" w:rsidRPr="00890249" w:rsidDel="00E90ABD" w:rsidRDefault="0006760E" w:rsidP="00323537">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13" w:type="pct"/>
            <w:shd w:val="clear" w:color="auto" w:fill="auto"/>
            <w:vAlign w:val="center"/>
          </w:tcPr>
          <w:p w14:paraId="5CA07AA4" w14:textId="77777777" w:rsidR="00A63705" w:rsidRPr="00890249" w:rsidRDefault="00CF7215" w:rsidP="0043241C">
            <w:pPr>
              <w:jc w:val="center"/>
              <w:rPr>
                <w:rFonts w:asciiTheme="minorHAnsi" w:hAnsiTheme="minorHAnsi" w:cstheme="minorHAnsi"/>
                <w:noProof/>
                <w:sz w:val="18"/>
                <w:szCs w:val="18"/>
              </w:rPr>
            </w:pPr>
            <w:r w:rsidRPr="00890249">
              <w:rPr>
                <w:rFonts w:asciiTheme="minorHAnsi" w:hAnsiTheme="minorHAnsi" w:cstheme="minorHAnsi"/>
                <w:noProof/>
                <w:sz w:val="18"/>
                <w:szCs w:val="18"/>
              </w:rPr>
              <w:t>2</w:t>
            </w:r>
          </w:p>
        </w:tc>
        <w:tc>
          <w:tcPr>
            <w:tcW w:w="590" w:type="pct"/>
            <w:shd w:val="clear" w:color="auto" w:fill="auto"/>
            <w:vAlign w:val="center"/>
          </w:tcPr>
          <w:p w14:paraId="138DC2A4" w14:textId="566E9B35" w:rsidR="00A63705" w:rsidRPr="00890249" w:rsidRDefault="00695AEA" w:rsidP="0043241C">
            <w:pPr>
              <w:jc w:val="center"/>
              <w:rPr>
                <w:rFonts w:asciiTheme="minorHAnsi" w:hAnsiTheme="minorHAnsi" w:cstheme="minorHAnsi"/>
                <w:noProof/>
                <w:sz w:val="18"/>
                <w:szCs w:val="18"/>
              </w:rPr>
            </w:pPr>
            <w:r>
              <w:rPr>
                <w:rFonts w:asciiTheme="minorHAnsi" w:hAnsiTheme="minorHAnsi" w:cstheme="minorHAnsi"/>
                <w:noProof/>
                <w:sz w:val="18"/>
                <w:szCs w:val="18"/>
              </w:rPr>
              <w:t>38</w:t>
            </w:r>
          </w:p>
        </w:tc>
      </w:tr>
      <w:tr w:rsidR="0006760E" w:rsidRPr="00890249" w14:paraId="4FD60754" w14:textId="77777777" w:rsidTr="0043241C">
        <w:trPr>
          <w:trHeight w:val="332"/>
        </w:trPr>
        <w:tc>
          <w:tcPr>
            <w:tcW w:w="291" w:type="pct"/>
            <w:vAlign w:val="center"/>
          </w:tcPr>
          <w:p w14:paraId="441AA02F" w14:textId="77777777" w:rsidR="0006760E" w:rsidRPr="00890249" w:rsidRDefault="0006760E" w:rsidP="0006760E">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4C800969" w14:textId="77777777" w:rsidR="0006760E" w:rsidRPr="00890249" w:rsidRDefault="0006760E" w:rsidP="0006760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w:t>
            </w:r>
          </w:p>
        </w:tc>
        <w:tc>
          <w:tcPr>
            <w:tcW w:w="384" w:type="pct"/>
            <w:vAlign w:val="center"/>
          </w:tcPr>
          <w:p w14:paraId="66F5CEEB" w14:textId="77777777" w:rsidR="0006760E" w:rsidRPr="00890249" w:rsidRDefault="0006760E" w:rsidP="0006760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7F0FFC09" w14:textId="77777777" w:rsidR="0006760E" w:rsidRPr="00890249" w:rsidRDefault="0006760E" w:rsidP="0006760E">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2344F057" w14:textId="77777777" w:rsidR="0006760E" w:rsidRPr="00890249" w:rsidRDefault="0006760E" w:rsidP="0006760E">
            <w:pPr>
              <w:jc w:val="center"/>
              <w:rPr>
                <w:rFonts w:asciiTheme="minorHAnsi" w:hAnsiTheme="minorHAnsi" w:cstheme="minorHAnsi"/>
                <w:i/>
                <w:sz w:val="18"/>
                <w:szCs w:val="18"/>
              </w:rPr>
            </w:pPr>
            <w:r w:rsidRPr="00890249">
              <w:rPr>
                <w:rFonts w:asciiTheme="minorHAnsi" w:hAnsiTheme="minorHAnsi" w:cstheme="minorHAnsi"/>
                <w:i/>
                <w:sz w:val="18"/>
                <w:szCs w:val="18"/>
              </w:rPr>
              <w:t>PLRO</w:t>
            </w:r>
            <w:r w:rsidR="00D3580D" w:rsidRPr="00890249">
              <w:rPr>
                <w:rFonts w:asciiTheme="minorHAnsi" w:hAnsiTheme="minorHAnsi" w:cstheme="minorHAnsi"/>
                <w:i/>
                <w:sz w:val="18"/>
                <w:szCs w:val="18"/>
              </w:rPr>
              <w:t>0</w:t>
            </w:r>
            <w:r w:rsidRPr="00890249">
              <w:rPr>
                <w:rFonts w:asciiTheme="minorHAnsi" w:hAnsiTheme="minorHAnsi" w:cstheme="minorHAnsi"/>
                <w:i/>
                <w:sz w:val="18"/>
                <w:szCs w:val="18"/>
              </w:rPr>
              <w:t>71</w:t>
            </w:r>
          </w:p>
        </w:tc>
        <w:tc>
          <w:tcPr>
            <w:tcW w:w="1227" w:type="pct"/>
            <w:shd w:val="clear" w:color="auto" w:fill="auto"/>
            <w:vAlign w:val="center"/>
          </w:tcPr>
          <w:p w14:paraId="26C4F1E1" w14:textId="77777777" w:rsidR="0006760E" w:rsidRPr="00890249" w:rsidRDefault="0006760E" w:rsidP="0006760E">
            <w:pPr>
              <w:jc w:val="left"/>
              <w:rPr>
                <w:rFonts w:asciiTheme="minorHAnsi" w:hAnsiTheme="minorHAnsi" w:cstheme="minorHAnsi"/>
                <w:i/>
                <w:sz w:val="18"/>
                <w:szCs w:val="18"/>
              </w:rPr>
            </w:pPr>
            <w:r w:rsidRPr="00890249">
              <w:rPr>
                <w:rFonts w:asciiTheme="minorHAnsi" w:hAnsiTheme="minorHAnsi" w:cstheme="minorHAnsi"/>
                <w:i/>
                <w:sz w:val="18"/>
                <w:szCs w:val="18"/>
              </w:rPr>
              <w:t>Liczba wspartych form ochrony przyrody</w:t>
            </w:r>
          </w:p>
        </w:tc>
        <w:tc>
          <w:tcPr>
            <w:tcW w:w="460" w:type="pct"/>
            <w:vAlign w:val="center"/>
          </w:tcPr>
          <w:p w14:paraId="6C800806" w14:textId="77777777" w:rsidR="0006760E" w:rsidRPr="00890249" w:rsidDel="00E90ABD" w:rsidRDefault="0006760E" w:rsidP="0006760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13" w:type="pct"/>
            <w:shd w:val="clear" w:color="auto" w:fill="auto"/>
            <w:vAlign w:val="center"/>
          </w:tcPr>
          <w:p w14:paraId="06C0AC5E" w14:textId="77777777" w:rsidR="0006760E" w:rsidRPr="00890249" w:rsidRDefault="00D3580D" w:rsidP="0006760E">
            <w:pPr>
              <w:jc w:val="center"/>
              <w:rPr>
                <w:rFonts w:asciiTheme="minorHAnsi" w:hAnsiTheme="minorHAnsi" w:cstheme="minorHAnsi"/>
                <w:noProof/>
                <w:sz w:val="18"/>
                <w:szCs w:val="18"/>
              </w:rPr>
            </w:pPr>
            <w:r w:rsidRPr="00890249">
              <w:rPr>
                <w:rFonts w:asciiTheme="minorHAnsi" w:hAnsiTheme="minorHAnsi" w:cstheme="minorHAnsi"/>
                <w:noProof/>
                <w:sz w:val="18"/>
                <w:szCs w:val="18"/>
              </w:rPr>
              <w:t>2</w:t>
            </w:r>
          </w:p>
        </w:tc>
        <w:tc>
          <w:tcPr>
            <w:tcW w:w="590" w:type="pct"/>
            <w:shd w:val="clear" w:color="auto" w:fill="auto"/>
            <w:vAlign w:val="center"/>
          </w:tcPr>
          <w:p w14:paraId="28A15210" w14:textId="77777777" w:rsidR="0006760E" w:rsidRPr="00890249" w:rsidRDefault="00D3580D" w:rsidP="0006760E">
            <w:pPr>
              <w:jc w:val="center"/>
              <w:rPr>
                <w:rFonts w:asciiTheme="minorHAnsi" w:hAnsiTheme="minorHAnsi" w:cstheme="minorHAnsi"/>
                <w:noProof/>
                <w:sz w:val="18"/>
                <w:szCs w:val="18"/>
              </w:rPr>
            </w:pPr>
            <w:r w:rsidRPr="00890249">
              <w:rPr>
                <w:rFonts w:asciiTheme="minorHAnsi" w:hAnsiTheme="minorHAnsi" w:cstheme="minorHAnsi"/>
                <w:noProof/>
                <w:sz w:val="18"/>
                <w:szCs w:val="18"/>
              </w:rPr>
              <w:t>10</w:t>
            </w:r>
          </w:p>
        </w:tc>
      </w:tr>
      <w:tr w:rsidR="00775FF4" w:rsidRPr="00890249" w14:paraId="2386FE25" w14:textId="77777777" w:rsidTr="0043241C">
        <w:trPr>
          <w:trHeight w:val="332"/>
        </w:trPr>
        <w:tc>
          <w:tcPr>
            <w:tcW w:w="291" w:type="pct"/>
            <w:vAlign w:val="center"/>
          </w:tcPr>
          <w:p w14:paraId="60E40159" w14:textId="77777777" w:rsidR="00775FF4" w:rsidRPr="00890249" w:rsidRDefault="00775FF4" w:rsidP="00775FF4">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26149963" w14:textId="77777777" w:rsidR="00775FF4" w:rsidRPr="00890249" w:rsidRDefault="00775FF4" w:rsidP="00775FF4">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w:t>
            </w:r>
          </w:p>
        </w:tc>
        <w:tc>
          <w:tcPr>
            <w:tcW w:w="384" w:type="pct"/>
            <w:vAlign w:val="center"/>
          </w:tcPr>
          <w:p w14:paraId="7F4D2D93" w14:textId="77777777" w:rsidR="00775FF4" w:rsidRPr="00890249" w:rsidRDefault="00775FF4" w:rsidP="00775FF4">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4EDA4C99" w14:textId="77777777" w:rsidR="00775FF4" w:rsidRPr="00890249" w:rsidRDefault="00775FF4" w:rsidP="00775FF4">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27B96E83" w14:textId="77777777" w:rsidR="00775FF4" w:rsidRPr="00890249" w:rsidRDefault="00775FF4" w:rsidP="00775FF4">
            <w:pPr>
              <w:jc w:val="center"/>
              <w:rPr>
                <w:rFonts w:asciiTheme="minorHAnsi" w:hAnsiTheme="minorHAnsi" w:cstheme="minorHAnsi"/>
                <w:i/>
                <w:sz w:val="18"/>
                <w:szCs w:val="18"/>
              </w:rPr>
            </w:pPr>
            <w:r w:rsidRPr="00890249">
              <w:rPr>
                <w:rFonts w:asciiTheme="minorHAnsi" w:hAnsiTheme="minorHAnsi" w:cstheme="minorHAnsi"/>
                <w:i/>
                <w:sz w:val="18"/>
                <w:szCs w:val="18"/>
              </w:rPr>
              <w:t>RCO036</w:t>
            </w:r>
          </w:p>
        </w:tc>
        <w:tc>
          <w:tcPr>
            <w:tcW w:w="1227" w:type="pct"/>
            <w:shd w:val="clear" w:color="auto" w:fill="auto"/>
            <w:vAlign w:val="center"/>
          </w:tcPr>
          <w:p w14:paraId="0FD164C5" w14:textId="77777777" w:rsidR="00775FF4" w:rsidRPr="00890249" w:rsidRDefault="00775FF4" w:rsidP="00775FF4">
            <w:pPr>
              <w:jc w:val="left"/>
              <w:rPr>
                <w:rFonts w:asciiTheme="minorHAnsi" w:hAnsiTheme="minorHAnsi" w:cstheme="minorHAnsi"/>
                <w:i/>
                <w:sz w:val="18"/>
                <w:szCs w:val="18"/>
              </w:rPr>
            </w:pPr>
            <w:r w:rsidRPr="00890249">
              <w:rPr>
                <w:rFonts w:asciiTheme="minorHAnsi" w:hAnsiTheme="minorHAnsi" w:cstheme="minorHAnsi"/>
                <w:i/>
                <w:sz w:val="18"/>
                <w:szCs w:val="18"/>
              </w:rPr>
              <w:t xml:space="preserve">Zielona infrastruktura objęta wsparciem do celów innych </w:t>
            </w:r>
            <w:r w:rsidR="00003E7C" w:rsidRPr="00890249">
              <w:rPr>
                <w:rFonts w:asciiTheme="minorHAnsi" w:hAnsiTheme="minorHAnsi" w:cstheme="minorHAnsi"/>
                <w:i/>
                <w:sz w:val="18"/>
                <w:szCs w:val="18"/>
              </w:rPr>
              <w:t>niż</w:t>
            </w:r>
            <w:r w:rsidRPr="00890249">
              <w:rPr>
                <w:rFonts w:asciiTheme="minorHAnsi" w:hAnsiTheme="minorHAnsi" w:cstheme="minorHAnsi"/>
                <w:i/>
                <w:sz w:val="18"/>
                <w:szCs w:val="18"/>
              </w:rPr>
              <w:t xml:space="preserve">̇ przystosowanie </w:t>
            </w:r>
            <w:r w:rsidR="00003E7C" w:rsidRPr="00890249">
              <w:rPr>
                <w:rFonts w:asciiTheme="minorHAnsi" w:hAnsiTheme="minorHAnsi" w:cstheme="minorHAnsi"/>
                <w:i/>
                <w:sz w:val="18"/>
                <w:szCs w:val="18"/>
              </w:rPr>
              <w:t>się</w:t>
            </w:r>
            <w:r w:rsidRPr="00890249">
              <w:rPr>
                <w:rFonts w:asciiTheme="minorHAnsi" w:hAnsiTheme="minorHAnsi" w:cstheme="minorHAnsi"/>
                <w:i/>
                <w:sz w:val="18"/>
                <w:szCs w:val="18"/>
              </w:rPr>
              <w:t>̨ do zmian klimatu</w:t>
            </w:r>
          </w:p>
        </w:tc>
        <w:tc>
          <w:tcPr>
            <w:tcW w:w="460" w:type="pct"/>
            <w:vAlign w:val="center"/>
          </w:tcPr>
          <w:p w14:paraId="6F13907C" w14:textId="77777777" w:rsidR="00775FF4" w:rsidRPr="00890249" w:rsidRDefault="00775FF4" w:rsidP="00775FF4">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ha</w:t>
            </w:r>
          </w:p>
        </w:tc>
        <w:tc>
          <w:tcPr>
            <w:tcW w:w="613" w:type="pct"/>
            <w:shd w:val="clear" w:color="auto" w:fill="auto"/>
            <w:vAlign w:val="center"/>
          </w:tcPr>
          <w:p w14:paraId="5C9AEAB8" w14:textId="77777777" w:rsidR="00775FF4" w:rsidRPr="00890249" w:rsidRDefault="00775FF4" w:rsidP="00775FF4">
            <w:pPr>
              <w:jc w:val="center"/>
              <w:rPr>
                <w:rFonts w:asciiTheme="minorHAnsi" w:hAnsiTheme="minorHAnsi" w:cstheme="minorHAnsi"/>
                <w:noProof/>
                <w:sz w:val="18"/>
                <w:szCs w:val="18"/>
              </w:rPr>
            </w:pPr>
            <w:r w:rsidRPr="00890249">
              <w:rPr>
                <w:rFonts w:asciiTheme="minorHAnsi" w:hAnsiTheme="minorHAnsi" w:cstheme="minorHAnsi"/>
                <w:noProof/>
                <w:sz w:val="18"/>
                <w:szCs w:val="18"/>
              </w:rPr>
              <w:t>2</w:t>
            </w:r>
          </w:p>
        </w:tc>
        <w:tc>
          <w:tcPr>
            <w:tcW w:w="590" w:type="pct"/>
            <w:shd w:val="clear" w:color="auto" w:fill="auto"/>
            <w:vAlign w:val="center"/>
          </w:tcPr>
          <w:p w14:paraId="3E2B707B" w14:textId="77777777" w:rsidR="00775FF4" w:rsidRPr="00890249" w:rsidRDefault="00775FF4" w:rsidP="00775FF4">
            <w:pPr>
              <w:jc w:val="center"/>
              <w:rPr>
                <w:rFonts w:asciiTheme="minorHAnsi" w:hAnsiTheme="minorHAnsi" w:cstheme="minorHAnsi"/>
                <w:noProof/>
                <w:sz w:val="18"/>
                <w:szCs w:val="18"/>
              </w:rPr>
            </w:pPr>
            <w:r w:rsidRPr="00890249">
              <w:rPr>
                <w:rFonts w:asciiTheme="minorHAnsi" w:hAnsiTheme="minorHAnsi" w:cstheme="minorHAnsi"/>
                <w:noProof/>
                <w:sz w:val="18"/>
                <w:szCs w:val="18"/>
              </w:rPr>
              <w:t>20</w:t>
            </w:r>
          </w:p>
        </w:tc>
      </w:tr>
    </w:tbl>
    <w:p w14:paraId="0CD094A8" w14:textId="2F937A73" w:rsidR="000B2721" w:rsidRDefault="000B2721">
      <w:pPr>
        <w:rPr>
          <w:rFonts w:asciiTheme="minorHAnsi" w:hAnsiTheme="minorHAnsi" w:cstheme="minorHAnsi"/>
        </w:rPr>
      </w:pPr>
    </w:p>
    <w:p w14:paraId="6C526256" w14:textId="2B4F89A1" w:rsidR="00F830AA" w:rsidRPr="00890249" w:rsidRDefault="000B2721" w:rsidP="000B2721">
      <w:pPr>
        <w:spacing w:before="0" w:after="160" w:line="259" w:lineRule="auto"/>
        <w:jc w:val="left"/>
        <w:rPr>
          <w:rFonts w:asciiTheme="minorHAnsi" w:hAnsiTheme="minorHAnsi" w:cstheme="minorHAnsi"/>
        </w:rPr>
      </w:pPr>
      <w:r>
        <w:rPr>
          <w:rFonts w:asciiTheme="minorHAnsi" w:hAnsiTheme="minorHAnsi" w:cstheme="minorHAnsi"/>
        </w:rPr>
        <w:br w:type="page"/>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751"/>
        <w:gridCol w:w="693"/>
        <w:gridCol w:w="1061"/>
        <w:gridCol w:w="778"/>
        <w:gridCol w:w="1383"/>
        <w:gridCol w:w="832"/>
        <w:gridCol w:w="693"/>
        <w:gridCol w:w="596"/>
        <w:gridCol w:w="561"/>
        <w:gridCol w:w="605"/>
        <w:gridCol w:w="547"/>
      </w:tblGrid>
      <w:tr w:rsidR="00323537" w:rsidRPr="00890249" w14:paraId="0FC6456E" w14:textId="77777777" w:rsidTr="00FB76F3">
        <w:trPr>
          <w:trHeight w:val="480"/>
        </w:trPr>
        <w:tc>
          <w:tcPr>
            <w:tcW w:w="5000" w:type="pct"/>
            <w:gridSpan w:val="12"/>
            <w:shd w:val="clear" w:color="auto" w:fill="D9D9D9" w:themeFill="background1" w:themeFillShade="D9"/>
          </w:tcPr>
          <w:p w14:paraId="38E3A1E3" w14:textId="77777777" w:rsidR="00323537" w:rsidRPr="00890249" w:rsidRDefault="00323537" w:rsidP="00323537">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323537" w:rsidRPr="00890249" w14:paraId="10B58F10" w14:textId="77777777" w:rsidTr="0043241C">
        <w:trPr>
          <w:cantSplit/>
          <w:trHeight w:val="1768"/>
        </w:trPr>
        <w:tc>
          <w:tcPr>
            <w:tcW w:w="291" w:type="pct"/>
            <w:shd w:val="clear" w:color="auto" w:fill="F2F2F2" w:themeFill="background1" w:themeFillShade="F2"/>
            <w:textDirection w:val="btLr"/>
            <w:vAlign w:val="center"/>
          </w:tcPr>
          <w:p w14:paraId="446236C5"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6" w:type="pct"/>
            <w:shd w:val="clear" w:color="auto" w:fill="F2F2F2" w:themeFill="background1" w:themeFillShade="F2"/>
            <w:textDirection w:val="btLr"/>
            <w:vAlign w:val="center"/>
          </w:tcPr>
          <w:p w14:paraId="06DC0B0C"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4" w:type="pct"/>
            <w:shd w:val="clear" w:color="auto" w:fill="F2F2F2" w:themeFill="background1" w:themeFillShade="F2"/>
            <w:textDirection w:val="btLr"/>
            <w:vAlign w:val="center"/>
          </w:tcPr>
          <w:p w14:paraId="42A078EA"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88" w:type="pct"/>
            <w:shd w:val="clear" w:color="auto" w:fill="F2F2F2" w:themeFill="background1" w:themeFillShade="F2"/>
            <w:textDirection w:val="btLr"/>
            <w:vAlign w:val="center"/>
          </w:tcPr>
          <w:p w14:paraId="214B93A2"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31" w:type="pct"/>
            <w:shd w:val="clear" w:color="auto" w:fill="F2F2F2" w:themeFill="background1" w:themeFillShade="F2"/>
            <w:textDirection w:val="btLr"/>
            <w:vAlign w:val="center"/>
          </w:tcPr>
          <w:p w14:paraId="6B6B7388"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6" w:type="pct"/>
            <w:shd w:val="clear" w:color="auto" w:fill="F2F2F2" w:themeFill="background1" w:themeFillShade="F2"/>
            <w:textDirection w:val="btLr"/>
            <w:vAlign w:val="center"/>
          </w:tcPr>
          <w:p w14:paraId="143C25C4"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61" w:type="pct"/>
            <w:shd w:val="clear" w:color="auto" w:fill="F2F2F2" w:themeFill="background1" w:themeFillShade="F2"/>
            <w:textDirection w:val="btLr"/>
            <w:vAlign w:val="center"/>
          </w:tcPr>
          <w:p w14:paraId="62817F55"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4" w:type="pct"/>
            <w:shd w:val="clear" w:color="auto" w:fill="F2F2F2" w:themeFill="background1" w:themeFillShade="F2"/>
            <w:textDirection w:val="btLr"/>
            <w:vAlign w:val="center"/>
          </w:tcPr>
          <w:p w14:paraId="1CFEC363"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30" w:type="pct"/>
            <w:shd w:val="clear" w:color="auto" w:fill="F2F2F2" w:themeFill="background1" w:themeFillShade="F2"/>
            <w:textDirection w:val="btLr"/>
            <w:vAlign w:val="center"/>
          </w:tcPr>
          <w:p w14:paraId="749A68D4"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1" w:type="pct"/>
            <w:shd w:val="clear" w:color="auto" w:fill="F2F2F2" w:themeFill="background1" w:themeFillShade="F2"/>
            <w:textDirection w:val="btLr"/>
            <w:vAlign w:val="center"/>
          </w:tcPr>
          <w:p w14:paraId="62B4923D"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5" w:type="pct"/>
            <w:shd w:val="clear" w:color="auto" w:fill="F2F2F2" w:themeFill="background1" w:themeFillShade="F2"/>
            <w:textDirection w:val="btLr"/>
            <w:vAlign w:val="center"/>
          </w:tcPr>
          <w:p w14:paraId="445B0680" w14:textId="77777777" w:rsidR="00323537" w:rsidRPr="00890249" w:rsidRDefault="00323537" w:rsidP="00323537">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3" w:type="pct"/>
            <w:shd w:val="clear" w:color="auto" w:fill="F2F2F2" w:themeFill="background1" w:themeFillShade="F2"/>
            <w:textDirection w:val="btLr"/>
            <w:vAlign w:val="center"/>
          </w:tcPr>
          <w:p w14:paraId="73153C41" w14:textId="77777777" w:rsidR="00323537" w:rsidRPr="00890249" w:rsidRDefault="00323537" w:rsidP="00323537">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D3580D" w:rsidRPr="00890249" w14:paraId="2501CBD2" w14:textId="77777777" w:rsidTr="0043241C">
        <w:trPr>
          <w:trHeight w:val="434"/>
        </w:trPr>
        <w:tc>
          <w:tcPr>
            <w:tcW w:w="291" w:type="pct"/>
            <w:vAlign w:val="center"/>
          </w:tcPr>
          <w:p w14:paraId="203E1F9F"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0A4FE331"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8"/>
              </w:rPr>
              <w:t>2.vii</w:t>
            </w:r>
          </w:p>
        </w:tc>
        <w:tc>
          <w:tcPr>
            <w:tcW w:w="384" w:type="pct"/>
            <w:vAlign w:val="center"/>
          </w:tcPr>
          <w:p w14:paraId="35CB8CC4"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8"/>
              </w:rPr>
              <w:t>EFRR</w:t>
            </w:r>
          </w:p>
        </w:tc>
        <w:tc>
          <w:tcPr>
            <w:tcW w:w="588" w:type="pct"/>
            <w:vAlign w:val="center"/>
          </w:tcPr>
          <w:p w14:paraId="5CE41D5C"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31" w:type="pct"/>
            <w:vAlign w:val="center"/>
          </w:tcPr>
          <w:p w14:paraId="36472A50"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sz w:val="18"/>
                <w:szCs w:val="18"/>
              </w:rPr>
              <w:t>PLRR042</w:t>
            </w:r>
          </w:p>
        </w:tc>
        <w:tc>
          <w:tcPr>
            <w:tcW w:w="766" w:type="pct"/>
            <w:shd w:val="clear" w:color="auto" w:fill="auto"/>
            <w:vAlign w:val="center"/>
          </w:tcPr>
          <w:p w14:paraId="632F1B5F" w14:textId="77777777" w:rsidR="00D3580D" w:rsidRPr="00890249" w:rsidRDefault="00D3580D" w:rsidP="00D3580D">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Liczba gatunków zagrożonych, dla których wykonano działania ochronne</w:t>
            </w:r>
          </w:p>
        </w:tc>
        <w:tc>
          <w:tcPr>
            <w:tcW w:w="461" w:type="pct"/>
            <w:vAlign w:val="center"/>
          </w:tcPr>
          <w:p w14:paraId="213A0353"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8"/>
              </w:rPr>
              <w:t>szt.</w:t>
            </w:r>
          </w:p>
        </w:tc>
        <w:tc>
          <w:tcPr>
            <w:tcW w:w="384" w:type="pct"/>
            <w:vAlign w:val="center"/>
          </w:tcPr>
          <w:p w14:paraId="499E4BA3" w14:textId="77777777" w:rsidR="00D3580D" w:rsidRPr="00890249" w:rsidRDefault="008374CE" w:rsidP="00D3580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30" w:type="pct"/>
            <w:vAlign w:val="center"/>
          </w:tcPr>
          <w:p w14:paraId="58C886CD" w14:textId="77777777" w:rsidR="00D3580D" w:rsidRPr="00890249" w:rsidRDefault="00D3580D" w:rsidP="00D3580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11" w:type="pct"/>
            <w:shd w:val="clear" w:color="auto" w:fill="auto"/>
            <w:vAlign w:val="center"/>
          </w:tcPr>
          <w:p w14:paraId="1FE85778" w14:textId="77777777" w:rsidR="00D3580D" w:rsidRPr="00890249" w:rsidRDefault="00D3580D" w:rsidP="00D3580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10</w:t>
            </w:r>
          </w:p>
        </w:tc>
        <w:tc>
          <w:tcPr>
            <w:tcW w:w="335" w:type="pct"/>
            <w:shd w:val="clear" w:color="auto" w:fill="auto"/>
            <w:vAlign w:val="center"/>
          </w:tcPr>
          <w:p w14:paraId="2F7046C6" w14:textId="77777777" w:rsidR="00D3580D" w:rsidRPr="00890249" w:rsidRDefault="008374CE" w:rsidP="00D3580D">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3" w:type="pct"/>
            <w:vAlign w:val="center"/>
          </w:tcPr>
          <w:p w14:paraId="0157EBE8" w14:textId="77777777" w:rsidR="00D3580D" w:rsidRPr="00890249" w:rsidRDefault="008374CE" w:rsidP="00D3580D">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D3580D" w:rsidRPr="00890249" w14:paraId="7B18E451" w14:textId="77777777" w:rsidTr="00323537">
        <w:trPr>
          <w:trHeight w:val="434"/>
        </w:trPr>
        <w:tc>
          <w:tcPr>
            <w:tcW w:w="291" w:type="pct"/>
            <w:vAlign w:val="center"/>
          </w:tcPr>
          <w:p w14:paraId="50F4F508"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60690CA8"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8"/>
              </w:rPr>
              <w:t>2.vii</w:t>
            </w:r>
          </w:p>
        </w:tc>
        <w:tc>
          <w:tcPr>
            <w:tcW w:w="384" w:type="pct"/>
            <w:vAlign w:val="center"/>
          </w:tcPr>
          <w:p w14:paraId="39177BF9"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8"/>
              </w:rPr>
              <w:t>EFRR</w:t>
            </w:r>
          </w:p>
        </w:tc>
        <w:tc>
          <w:tcPr>
            <w:tcW w:w="588" w:type="pct"/>
            <w:vAlign w:val="center"/>
          </w:tcPr>
          <w:p w14:paraId="54FBCB5C"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31" w:type="pct"/>
            <w:vAlign w:val="center"/>
          </w:tcPr>
          <w:p w14:paraId="5AB56256"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sz w:val="18"/>
                <w:szCs w:val="18"/>
              </w:rPr>
              <w:t>PLRR043</w:t>
            </w:r>
          </w:p>
        </w:tc>
        <w:tc>
          <w:tcPr>
            <w:tcW w:w="766" w:type="pct"/>
            <w:shd w:val="clear" w:color="auto" w:fill="auto"/>
            <w:vAlign w:val="center"/>
          </w:tcPr>
          <w:p w14:paraId="7B8A55E1" w14:textId="77777777" w:rsidR="00D3580D" w:rsidRPr="00890249" w:rsidRDefault="00D3580D" w:rsidP="00D3580D">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 xml:space="preserve">Powierzchnia obszarów chronionych, dla których  opracowano dokumenty planistyczne  </w:t>
            </w:r>
          </w:p>
        </w:tc>
        <w:tc>
          <w:tcPr>
            <w:tcW w:w="461" w:type="pct"/>
            <w:vAlign w:val="center"/>
          </w:tcPr>
          <w:p w14:paraId="050D9460" w14:textId="77777777" w:rsidR="00D3580D" w:rsidRPr="00890249" w:rsidRDefault="00D3580D" w:rsidP="00D3580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ha</w:t>
            </w:r>
          </w:p>
        </w:tc>
        <w:tc>
          <w:tcPr>
            <w:tcW w:w="384" w:type="pct"/>
            <w:vAlign w:val="center"/>
          </w:tcPr>
          <w:p w14:paraId="7501CF42" w14:textId="77777777" w:rsidR="00D3580D" w:rsidRPr="00890249" w:rsidRDefault="008374CE" w:rsidP="00D3580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30" w:type="pct"/>
            <w:vAlign w:val="center"/>
          </w:tcPr>
          <w:p w14:paraId="61791381" w14:textId="77777777" w:rsidR="00D3580D" w:rsidRPr="00890249" w:rsidRDefault="00D3580D" w:rsidP="00D3580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11" w:type="pct"/>
            <w:shd w:val="clear" w:color="auto" w:fill="auto"/>
            <w:vAlign w:val="center"/>
          </w:tcPr>
          <w:p w14:paraId="7CEE37DE" w14:textId="77777777" w:rsidR="00D3580D" w:rsidRPr="00890249" w:rsidRDefault="00D3580D" w:rsidP="00D3580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15 000</w:t>
            </w:r>
          </w:p>
        </w:tc>
        <w:tc>
          <w:tcPr>
            <w:tcW w:w="335" w:type="pct"/>
            <w:shd w:val="clear" w:color="auto" w:fill="auto"/>
            <w:vAlign w:val="center"/>
          </w:tcPr>
          <w:p w14:paraId="59E23117" w14:textId="77777777" w:rsidR="00D3580D" w:rsidRPr="00890249" w:rsidRDefault="008374CE" w:rsidP="00D3580D">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3" w:type="pct"/>
            <w:vAlign w:val="center"/>
          </w:tcPr>
          <w:p w14:paraId="5582197E" w14:textId="77777777" w:rsidR="00D3580D" w:rsidRPr="00890249" w:rsidRDefault="008374CE" w:rsidP="00D3580D">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514940" w:rsidRPr="00890249" w14:paraId="75FC4D90" w14:textId="77777777" w:rsidTr="00323537">
        <w:trPr>
          <w:trHeight w:val="434"/>
        </w:trPr>
        <w:tc>
          <w:tcPr>
            <w:tcW w:w="291" w:type="pct"/>
            <w:vAlign w:val="center"/>
          </w:tcPr>
          <w:p w14:paraId="04FBE6B3" w14:textId="77777777" w:rsidR="00514940" w:rsidRPr="00890249" w:rsidRDefault="00514940" w:rsidP="0051494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CP2</w:t>
            </w:r>
          </w:p>
        </w:tc>
        <w:tc>
          <w:tcPr>
            <w:tcW w:w="416" w:type="pct"/>
            <w:vAlign w:val="center"/>
          </w:tcPr>
          <w:p w14:paraId="4ECE0A76" w14:textId="77777777" w:rsidR="00514940" w:rsidRPr="00890249" w:rsidRDefault="00514940" w:rsidP="00514940">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w:t>
            </w:r>
          </w:p>
        </w:tc>
        <w:tc>
          <w:tcPr>
            <w:tcW w:w="384" w:type="pct"/>
            <w:vAlign w:val="center"/>
          </w:tcPr>
          <w:p w14:paraId="51743BDD" w14:textId="77777777" w:rsidR="00514940" w:rsidRPr="00890249" w:rsidRDefault="00514940" w:rsidP="00514940">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88" w:type="pct"/>
            <w:vAlign w:val="center"/>
          </w:tcPr>
          <w:p w14:paraId="732975CF" w14:textId="77777777" w:rsidR="00514940" w:rsidRPr="00890249" w:rsidRDefault="00514940" w:rsidP="00514940">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31" w:type="pct"/>
            <w:vAlign w:val="center"/>
          </w:tcPr>
          <w:p w14:paraId="18996EF4" w14:textId="77777777" w:rsidR="00514940" w:rsidRPr="00890249" w:rsidRDefault="00514940" w:rsidP="00514940">
            <w:pPr>
              <w:jc w:val="center"/>
              <w:rPr>
                <w:rFonts w:asciiTheme="minorHAnsi" w:hAnsiTheme="minorHAnsi" w:cstheme="minorHAnsi"/>
                <w:i/>
                <w:sz w:val="18"/>
                <w:szCs w:val="18"/>
              </w:rPr>
            </w:pPr>
            <w:r w:rsidRPr="00890249">
              <w:rPr>
                <w:rFonts w:asciiTheme="minorHAnsi" w:hAnsiTheme="minorHAnsi" w:cstheme="minorHAnsi"/>
                <w:i/>
                <w:sz w:val="18"/>
                <w:szCs w:val="18"/>
              </w:rPr>
              <w:t>RCR050</w:t>
            </w:r>
          </w:p>
        </w:tc>
        <w:tc>
          <w:tcPr>
            <w:tcW w:w="766" w:type="pct"/>
            <w:shd w:val="clear" w:color="auto" w:fill="auto"/>
            <w:vAlign w:val="center"/>
          </w:tcPr>
          <w:p w14:paraId="514237B8" w14:textId="77777777" w:rsidR="00514940" w:rsidRPr="00890249" w:rsidRDefault="00514940" w:rsidP="00514940">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Ludność odnosząca korzyści ze środków na rzecz jakości powietrza</w:t>
            </w:r>
          </w:p>
        </w:tc>
        <w:tc>
          <w:tcPr>
            <w:tcW w:w="461" w:type="pct"/>
            <w:vAlign w:val="center"/>
          </w:tcPr>
          <w:p w14:paraId="746066B5" w14:textId="77777777" w:rsidR="00514940" w:rsidRPr="00890249" w:rsidRDefault="00514940" w:rsidP="0051494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osoby</w:t>
            </w:r>
          </w:p>
        </w:tc>
        <w:tc>
          <w:tcPr>
            <w:tcW w:w="384" w:type="pct"/>
            <w:vAlign w:val="center"/>
          </w:tcPr>
          <w:p w14:paraId="315117EE" w14:textId="77777777" w:rsidR="00514940" w:rsidRPr="00890249" w:rsidRDefault="00514940" w:rsidP="00514940">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30" w:type="pct"/>
            <w:vAlign w:val="center"/>
          </w:tcPr>
          <w:p w14:paraId="0F0FC7C7" w14:textId="77777777" w:rsidR="00514940" w:rsidRPr="00890249" w:rsidRDefault="00514940" w:rsidP="00514940">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11" w:type="pct"/>
            <w:shd w:val="clear" w:color="auto" w:fill="auto"/>
            <w:vAlign w:val="center"/>
          </w:tcPr>
          <w:p w14:paraId="6B6FC740" w14:textId="77777777" w:rsidR="00514940" w:rsidRPr="00890249" w:rsidRDefault="00514940" w:rsidP="00514940">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485 000</w:t>
            </w:r>
          </w:p>
        </w:tc>
        <w:tc>
          <w:tcPr>
            <w:tcW w:w="335" w:type="pct"/>
            <w:shd w:val="clear" w:color="auto" w:fill="auto"/>
            <w:vAlign w:val="center"/>
          </w:tcPr>
          <w:p w14:paraId="3A3BD7AA" w14:textId="77777777" w:rsidR="00514940" w:rsidRPr="00890249" w:rsidRDefault="00514940" w:rsidP="00514940">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03" w:type="pct"/>
            <w:vAlign w:val="center"/>
          </w:tcPr>
          <w:p w14:paraId="24CD6083" w14:textId="77777777" w:rsidR="00514940" w:rsidRPr="00890249" w:rsidRDefault="00514940" w:rsidP="00514940">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bl>
    <w:p w14:paraId="72B6E69B" w14:textId="77777777" w:rsidR="001169B8" w:rsidRPr="00890249" w:rsidRDefault="001169B8" w:rsidP="001169B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2.1.2.6.3 (vii) Orientacyjny podział zasobów programu (UE) według rodzaju interwencji</w:t>
      </w:r>
    </w:p>
    <w:tbl>
      <w:tblPr>
        <w:tblStyle w:val="Tabela-Siatka"/>
        <w:tblW w:w="9322" w:type="dxa"/>
        <w:tblLook w:val="04A0" w:firstRow="1" w:lastRow="0" w:firstColumn="1" w:lastColumn="0" w:noHBand="0" w:noVBand="1"/>
      </w:tblPr>
      <w:tblGrid>
        <w:gridCol w:w="1496"/>
        <w:gridCol w:w="1030"/>
        <w:gridCol w:w="1625"/>
        <w:gridCol w:w="1568"/>
        <w:gridCol w:w="1476"/>
        <w:gridCol w:w="2127"/>
      </w:tblGrid>
      <w:tr w:rsidR="00FB5C87" w:rsidRPr="00890249" w14:paraId="1D94A231" w14:textId="77777777" w:rsidTr="000B2721">
        <w:trPr>
          <w:trHeight w:val="360"/>
          <w:tblHeader/>
        </w:trPr>
        <w:tc>
          <w:tcPr>
            <w:tcW w:w="9322" w:type="dxa"/>
            <w:gridSpan w:val="6"/>
            <w:shd w:val="clear" w:color="auto" w:fill="D9D9D9" w:themeFill="background1" w:themeFillShade="D9"/>
          </w:tcPr>
          <w:p w14:paraId="14F1DC14" w14:textId="77777777" w:rsidR="00FB5C87" w:rsidRPr="00890249" w:rsidRDefault="00FB5C87" w:rsidP="00FB5C87">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FB5C87" w:rsidRPr="00890249" w14:paraId="6DEEE774" w14:textId="77777777" w:rsidTr="000B2721">
        <w:trPr>
          <w:tblHeader/>
        </w:trPr>
        <w:tc>
          <w:tcPr>
            <w:tcW w:w="1566" w:type="dxa"/>
            <w:shd w:val="clear" w:color="auto" w:fill="F2F2F2" w:themeFill="background1" w:themeFillShade="F2"/>
          </w:tcPr>
          <w:p w14:paraId="6A1EEABE" w14:textId="77777777" w:rsidR="00FB5C87" w:rsidRPr="00890249" w:rsidRDefault="00FB5C87" w:rsidP="00FB5C8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3F207D06" w14:textId="77777777" w:rsidR="00FB5C87" w:rsidRPr="00890249" w:rsidRDefault="00FB5C87" w:rsidP="00FB5C8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4" w:type="dxa"/>
            <w:shd w:val="clear" w:color="auto" w:fill="F2F2F2" w:themeFill="background1" w:themeFillShade="F2"/>
          </w:tcPr>
          <w:p w14:paraId="5C692EA3" w14:textId="77777777" w:rsidR="00FB5C87" w:rsidRPr="00890249" w:rsidRDefault="00FB5C87" w:rsidP="00FB5C8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4A2F0CCA" w14:textId="77777777" w:rsidR="00FB5C87" w:rsidRPr="00890249" w:rsidRDefault="00FB5C87" w:rsidP="00FB5C8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0A0A789A" w14:textId="77777777" w:rsidR="00FB5C87" w:rsidRPr="00890249" w:rsidRDefault="00FB5C87" w:rsidP="00FB5C8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9" w:type="dxa"/>
            <w:shd w:val="clear" w:color="auto" w:fill="F2F2F2" w:themeFill="background1" w:themeFillShade="F2"/>
          </w:tcPr>
          <w:p w14:paraId="4EC16FE8" w14:textId="77777777" w:rsidR="00FB5C87" w:rsidRPr="00890249" w:rsidRDefault="00FB5C87" w:rsidP="00FB5C87">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61A77" w:rsidRPr="00890249" w14:paraId="12DAE501" w14:textId="77777777" w:rsidTr="00D00826">
        <w:tc>
          <w:tcPr>
            <w:tcW w:w="1566" w:type="dxa"/>
            <w:vMerge w:val="restart"/>
            <w:shd w:val="clear" w:color="auto" w:fill="FFFFFF" w:themeFill="background1"/>
          </w:tcPr>
          <w:p w14:paraId="0132349F" w14:textId="77777777" w:rsidR="00B61A77" w:rsidRPr="00890249" w:rsidRDefault="00B61A77" w:rsidP="00FB5C87">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CP 2</w:t>
            </w:r>
          </w:p>
        </w:tc>
        <w:tc>
          <w:tcPr>
            <w:tcW w:w="1051" w:type="dxa"/>
            <w:vMerge w:val="restart"/>
            <w:shd w:val="clear" w:color="auto" w:fill="FFFFFF" w:themeFill="background1"/>
          </w:tcPr>
          <w:p w14:paraId="7E196564" w14:textId="77777777" w:rsidR="00B61A77" w:rsidRPr="00890249" w:rsidRDefault="00B61A77" w:rsidP="00FB5C87">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EFRR</w:t>
            </w:r>
          </w:p>
        </w:tc>
        <w:tc>
          <w:tcPr>
            <w:tcW w:w="1714" w:type="dxa"/>
            <w:vMerge w:val="restart"/>
            <w:shd w:val="clear" w:color="auto" w:fill="FFFFFF" w:themeFill="background1"/>
          </w:tcPr>
          <w:p w14:paraId="2F539EEC" w14:textId="77777777" w:rsidR="00B61A77" w:rsidRPr="00890249" w:rsidRDefault="00B61A77" w:rsidP="00FB5C87">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Słabiej rozwinięte</w:t>
            </w:r>
          </w:p>
        </w:tc>
        <w:tc>
          <w:tcPr>
            <w:tcW w:w="1620" w:type="dxa"/>
            <w:vMerge w:val="restart"/>
            <w:shd w:val="clear" w:color="auto" w:fill="FFFFFF" w:themeFill="background1"/>
          </w:tcPr>
          <w:p w14:paraId="360490D6" w14:textId="77777777" w:rsidR="00B61A77" w:rsidRPr="00890249" w:rsidRDefault="00B61A77" w:rsidP="00FB5C87">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(vii)</w:t>
            </w:r>
          </w:p>
        </w:tc>
        <w:tc>
          <w:tcPr>
            <w:tcW w:w="1022" w:type="dxa"/>
            <w:shd w:val="clear" w:color="auto" w:fill="FFFFFF" w:themeFill="background1"/>
          </w:tcPr>
          <w:p w14:paraId="6835380F" w14:textId="77777777" w:rsidR="00B6668B" w:rsidRPr="00890249" w:rsidRDefault="001344ED" w:rsidP="00BA2F8E">
            <w:pPr>
              <w:pStyle w:val="Default"/>
              <w:rPr>
                <w:rFonts w:asciiTheme="minorHAnsi" w:hAnsiTheme="minorHAnsi" w:cstheme="minorHAnsi"/>
                <w:sz w:val="20"/>
              </w:rPr>
            </w:pPr>
            <w:r w:rsidRPr="00890249">
              <w:rPr>
                <w:rFonts w:asciiTheme="minorHAnsi" w:hAnsiTheme="minorHAnsi" w:cstheme="minorHAnsi"/>
                <w:noProof/>
                <w:sz w:val="20"/>
                <w:szCs w:val="20"/>
              </w:rPr>
              <w:t>073</w:t>
            </w:r>
            <w:r w:rsidR="00372E01" w:rsidRPr="00890249">
              <w:rPr>
                <w:rFonts w:asciiTheme="minorHAnsi" w:hAnsiTheme="minorHAnsi" w:cstheme="minorHAnsi"/>
                <w:noProof/>
                <w:sz w:val="20"/>
                <w:szCs w:val="20"/>
              </w:rPr>
              <w:t xml:space="preserve"> </w:t>
            </w:r>
            <w:r w:rsidR="00372E01" w:rsidRPr="00890249">
              <w:rPr>
                <w:rFonts w:asciiTheme="minorHAnsi" w:hAnsiTheme="minorHAnsi" w:cstheme="minorHAnsi"/>
                <w:sz w:val="20"/>
                <w:szCs w:val="20"/>
              </w:rPr>
              <w:t>Rewaloryzacja obszarów przemysłowych i rekultywacja skażonych gruntów</w:t>
            </w:r>
          </w:p>
        </w:tc>
        <w:tc>
          <w:tcPr>
            <w:tcW w:w="2349" w:type="dxa"/>
            <w:shd w:val="clear" w:color="auto" w:fill="FFFFFF" w:themeFill="background1"/>
          </w:tcPr>
          <w:p w14:paraId="5CB47AE1" w14:textId="6C453151" w:rsidR="00B61A77" w:rsidRPr="00890249" w:rsidRDefault="00691799" w:rsidP="003803DE">
            <w:pPr>
              <w:jc w:val="right"/>
              <w:rPr>
                <w:rFonts w:asciiTheme="minorHAnsi" w:hAnsiTheme="minorHAnsi" w:cstheme="minorHAnsi"/>
                <w:noProof/>
                <w:sz w:val="20"/>
              </w:rPr>
            </w:pPr>
            <w:r>
              <w:rPr>
                <w:rFonts w:asciiTheme="minorHAnsi" w:hAnsiTheme="minorHAnsi" w:cstheme="minorHAnsi"/>
                <w:noProof/>
                <w:sz w:val="20"/>
              </w:rPr>
              <w:t>900 000</w:t>
            </w:r>
          </w:p>
        </w:tc>
      </w:tr>
      <w:tr w:rsidR="00B61A77" w:rsidRPr="00890249" w14:paraId="5ED62DDD" w14:textId="77777777" w:rsidTr="00D00826">
        <w:tc>
          <w:tcPr>
            <w:tcW w:w="1566" w:type="dxa"/>
            <w:vMerge/>
            <w:shd w:val="clear" w:color="auto" w:fill="FFFFFF" w:themeFill="background1"/>
          </w:tcPr>
          <w:p w14:paraId="729013FA" w14:textId="77777777" w:rsidR="00B61A77" w:rsidRPr="00890249" w:rsidRDefault="00B61A77" w:rsidP="00FB5C87">
            <w:pPr>
              <w:jc w:val="center"/>
              <w:rPr>
                <w:rFonts w:asciiTheme="minorHAnsi" w:hAnsiTheme="minorHAnsi" w:cstheme="minorHAnsi"/>
                <w:b/>
                <w:noProof/>
                <w:sz w:val="20"/>
              </w:rPr>
            </w:pPr>
          </w:p>
        </w:tc>
        <w:tc>
          <w:tcPr>
            <w:tcW w:w="1051" w:type="dxa"/>
            <w:vMerge/>
            <w:shd w:val="clear" w:color="auto" w:fill="FFFFFF" w:themeFill="background1"/>
          </w:tcPr>
          <w:p w14:paraId="1C5B5C01" w14:textId="77777777" w:rsidR="00B61A77" w:rsidRPr="00890249" w:rsidRDefault="00B61A77" w:rsidP="00FB5C87">
            <w:pPr>
              <w:jc w:val="center"/>
              <w:rPr>
                <w:rFonts w:asciiTheme="minorHAnsi" w:hAnsiTheme="minorHAnsi" w:cstheme="minorHAnsi"/>
                <w:b/>
                <w:noProof/>
                <w:sz w:val="20"/>
              </w:rPr>
            </w:pPr>
          </w:p>
        </w:tc>
        <w:tc>
          <w:tcPr>
            <w:tcW w:w="1714" w:type="dxa"/>
            <w:vMerge/>
            <w:shd w:val="clear" w:color="auto" w:fill="FFFFFF" w:themeFill="background1"/>
          </w:tcPr>
          <w:p w14:paraId="77E54157" w14:textId="77777777" w:rsidR="00B61A77" w:rsidRPr="00890249" w:rsidRDefault="00B61A77" w:rsidP="00FB5C87">
            <w:pPr>
              <w:jc w:val="center"/>
              <w:rPr>
                <w:rFonts w:asciiTheme="minorHAnsi" w:hAnsiTheme="minorHAnsi" w:cstheme="minorHAnsi"/>
                <w:b/>
                <w:noProof/>
                <w:sz w:val="20"/>
              </w:rPr>
            </w:pPr>
          </w:p>
        </w:tc>
        <w:tc>
          <w:tcPr>
            <w:tcW w:w="1620" w:type="dxa"/>
            <w:vMerge/>
            <w:shd w:val="clear" w:color="auto" w:fill="FFFFFF" w:themeFill="background1"/>
          </w:tcPr>
          <w:p w14:paraId="3108A28A" w14:textId="77777777" w:rsidR="00B61A77" w:rsidRPr="00890249" w:rsidRDefault="00B61A77" w:rsidP="00FB5C87">
            <w:pPr>
              <w:jc w:val="center"/>
              <w:rPr>
                <w:rFonts w:asciiTheme="minorHAnsi" w:hAnsiTheme="minorHAnsi" w:cstheme="minorHAnsi"/>
                <w:b/>
                <w:noProof/>
                <w:sz w:val="20"/>
              </w:rPr>
            </w:pPr>
          </w:p>
        </w:tc>
        <w:tc>
          <w:tcPr>
            <w:tcW w:w="1022" w:type="dxa"/>
            <w:shd w:val="clear" w:color="auto" w:fill="FFFFFF" w:themeFill="background1"/>
          </w:tcPr>
          <w:p w14:paraId="33504C65" w14:textId="77777777" w:rsidR="00B6668B" w:rsidRPr="00890249" w:rsidRDefault="001344ED" w:rsidP="00BA2F8E">
            <w:pPr>
              <w:pStyle w:val="Default"/>
              <w:rPr>
                <w:rFonts w:asciiTheme="minorHAnsi" w:hAnsiTheme="minorHAnsi" w:cstheme="minorHAnsi"/>
                <w:sz w:val="20"/>
              </w:rPr>
            </w:pPr>
            <w:r w:rsidRPr="00890249">
              <w:rPr>
                <w:rFonts w:asciiTheme="minorHAnsi" w:hAnsiTheme="minorHAnsi" w:cstheme="minorHAnsi"/>
                <w:noProof/>
                <w:sz w:val="20"/>
                <w:szCs w:val="20"/>
              </w:rPr>
              <w:t>074</w:t>
            </w:r>
            <w:r w:rsidR="00372E01" w:rsidRPr="00890249">
              <w:rPr>
                <w:rFonts w:asciiTheme="minorHAnsi" w:hAnsiTheme="minorHAnsi" w:cstheme="minorHAnsi"/>
                <w:noProof/>
                <w:sz w:val="20"/>
                <w:szCs w:val="20"/>
              </w:rPr>
              <w:t xml:space="preserve"> </w:t>
            </w:r>
            <w:r w:rsidR="00372E01" w:rsidRPr="00890249">
              <w:rPr>
                <w:rFonts w:asciiTheme="minorHAnsi" w:hAnsiTheme="minorHAnsi" w:cstheme="minorHAnsi"/>
                <w:sz w:val="20"/>
                <w:szCs w:val="20"/>
              </w:rPr>
              <w:t xml:space="preserve">Rewaloryzacja obszarów przemysłowych i rekultywacja skażonych gruntów zgodnie z kryteriami efektywności </w:t>
            </w:r>
          </w:p>
        </w:tc>
        <w:tc>
          <w:tcPr>
            <w:tcW w:w="2349" w:type="dxa"/>
            <w:shd w:val="clear" w:color="auto" w:fill="FFFFFF" w:themeFill="background1"/>
          </w:tcPr>
          <w:p w14:paraId="2A8F8460" w14:textId="3581F44D" w:rsidR="00B61A77" w:rsidRPr="00890249" w:rsidRDefault="00691799" w:rsidP="003803DE">
            <w:pPr>
              <w:jc w:val="right"/>
              <w:rPr>
                <w:rFonts w:asciiTheme="minorHAnsi" w:hAnsiTheme="minorHAnsi" w:cstheme="minorHAnsi"/>
                <w:noProof/>
                <w:sz w:val="20"/>
              </w:rPr>
            </w:pPr>
            <w:r>
              <w:rPr>
                <w:rFonts w:asciiTheme="minorHAnsi" w:hAnsiTheme="minorHAnsi" w:cstheme="minorHAnsi"/>
                <w:noProof/>
                <w:sz w:val="20"/>
              </w:rPr>
              <w:t>900 000</w:t>
            </w:r>
          </w:p>
        </w:tc>
      </w:tr>
      <w:tr w:rsidR="00516D7B" w:rsidRPr="00890249" w14:paraId="59185DB9" w14:textId="77777777" w:rsidTr="00D00826">
        <w:tc>
          <w:tcPr>
            <w:tcW w:w="1566" w:type="dxa"/>
            <w:vMerge/>
            <w:shd w:val="clear" w:color="auto" w:fill="FFFFFF" w:themeFill="background1"/>
          </w:tcPr>
          <w:p w14:paraId="4C5AE08F" w14:textId="77777777" w:rsidR="00516D7B" w:rsidRPr="00890249" w:rsidRDefault="00516D7B" w:rsidP="00FB5C87">
            <w:pPr>
              <w:jc w:val="center"/>
              <w:rPr>
                <w:rFonts w:asciiTheme="minorHAnsi" w:hAnsiTheme="minorHAnsi" w:cstheme="minorHAnsi"/>
                <w:b/>
                <w:noProof/>
                <w:sz w:val="20"/>
              </w:rPr>
            </w:pPr>
          </w:p>
        </w:tc>
        <w:tc>
          <w:tcPr>
            <w:tcW w:w="1051" w:type="dxa"/>
            <w:vMerge/>
            <w:shd w:val="clear" w:color="auto" w:fill="FFFFFF" w:themeFill="background1"/>
          </w:tcPr>
          <w:p w14:paraId="556598CD" w14:textId="77777777" w:rsidR="00516D7B" w:rsidRPr="00890249" w:rsidRDefault="00516D7B" w:rsidP="00FB5C87">
            <w:pPr>
              <w:jc w:val="center"/>
              <w:rPr>
                <w:rFonts w:asciiTheme="minorHAnsi" w:hAnsiTheme="minorHAnsi" w:cstheme="minorHAnsi"/>
                <w:b/>
                <w:noProof/>
                <w:sz w:val="20"/>
              </w:rPr>
            </w:pPr>
          </w:p>
        </w:tc>
        <w:tc>
          <w:tcPr>
            <w:tcW w:w="1714" w:type="dxa"/>
            <w:vMerge/>
            <w:shd w:val="clear" w:color="auto" w:fill="FFFFFF" w:themeFill="background1"/>
          </w:tcPr>
          <w:p w14:paraId="35A3DBEC" w14:textId="77777777" w:rsidR="00516D7B" w:rsidRPr="00890249" w:rsidRDefault="00516D7B" w:rsidP="00FB5C87">
            <w:pPr>
              <w:jc w:val="center"/>
              <w:rPr>
                <w:rFonts w:asciiTheme="minorHAnsi" w:hAnsiTheme="minorHAnsi" w:cstheme="minorHAnsi"/>
                <w:b/>
                <w:noProof/>
                <w:sz w:val="20"/>
              </w:rPr>
            </w:pPr>
          </w:p>
        </w:tc>
        <w:tc>
          <w:tcPr>
            <w:tcW w:w="1620" w:type="dxa"/>
            <w:vMerge/>
            <w:shd w:val="clear" w:color="auto" w:fill="FFFFFF" w:themeFill="background1"/>
          </w:tcPr>
          <w:p w14:paraId="6A38B257" w14:textId="77777777" w:rsidR="00516D7B" w:rsidRPr="00890249" w:rsidRDefault="00516D7B" w:rsidP="00FB5C87">
            <w:pPr>
              <w:jc w:val="center"/>
              <w:rPr>
                <w:rFonts w:asciiTheme="minorHAnsi" w:hAnsiTheme="minorHAnsi" w:cstheme="minorHAnsi"/>
                <w:b/>
                <w:noProof/>
                <w:sz w:val="20"/>
              </w:rPr>
            </w:pPr>
          </w:p>
        </w:tc>
        <w:tc>
          <w:tcPr>
            <w:tcW w:w="1022" w:type="dxa"/>
            <w:shd w:val="clear" w:color="auto" w:fill="FFFFFF" w:themeFill="background1"/>
          </w:tcPr>
          <w:p w14:paraId="1C1EA9FF" w14:textId="2CD45F63" w:rsidR="00516D7B" w:rsidRPr="00890249" w:rsidRDefault="00516D7B" w:rsidP="00BA2F8E">
            <w:pPr>
              <w:pStyle w:val="Default"/>
              <w:rPr>
                <w:rFonts w:asciiTheme="minorHAnsi" w:hAnsiTheme="minorHAnsi" w:cstheme="minorHAnsi"/>
                <w:sz w:val="20"/>
                <w:szCs w:val="20"/>
              </w:rPr>
            </w:pPr>
            <w:r w:rsidRPr="00516D7B">
              <w:rPr>
                <w:rFonts w:asciiTheme="minorHAnsi" w:hAnsiTheme="minorHAnsi" w:cstheme="minorHAnsi"/>
                <w:noProof/>
                <w:sz w:val="20"/>
                <w:szCs w:val="20"/>
              </w:rPr>
              <w:t xml:space="preserve">077 </w:t>
            </w:r>
            <w:r w:rsidRPr="00B87B2A">
              <w:rPr>
                <w:rFonts w:asciiTheme="minorHAnsi" w:hAnsiTheme="minorHAnsi" w:cstheme="minorHAnsi"/>
                <w:sz w:val="20"/>
                <w:szCs w:val="20"/>
              </w:rPr>
              <w:t xml:space="preserve">Działania mające na celu poprawę jakości powietrza i ograniczenie hałasu </w:t>
            </w:r>
          </w:p>
        </w:tc>
        <w:tc>
          <w:tcPr>
            <w:tcW w:w="2349" w:type="dxa"/>
            <w:shd w:val="clear" w:color="auto" w:fill="FFFFFF" w:themeFill="background1"/>
          </w:tcPr>
          <w:p w14:paraId="6A5C2BE9" w14:textId="77777777" w:rsidR="00516D7B" w:rsidRDefault="00516D7B" w:rsidP="003803DE">
            <w:pPr>
              <w:jc w:val="right"/>
              <w:rPr>
                <w:rFonts w:asciiTheme="minorHAnsi" w:hAnsiTheme="minorHAnsi" w:cstheme="minorHAnsi"/>
                <w:noProof/>
                <w:sz w:val="20"/>
              </w:rPr>
            </w:pPr>
          </w:p>
          <w:p w14:paraId="5F6C4ED0" w14:textId="5585FBD2" w:rsidR="00516D7B" w:rsidRPr="00890249" w:rsidRDefault="00691799" w:rsidP="003803DE">
            <w:pPr>
              <w:jc w:val="right"/>
              <w:rPr>
                <w:rFonts w:asciiTheme="minorHAnsi" w:hAnsiTheme="minorHAnsi" w:cstheme="minorHAnsi"/>
                <w:noProof/>
                <w:sz w:val="20"/>
              </w:rPr>
            </w:pPr>
            <w:r>
              <w:rPr>
                <w:rFonts w:asciiTheme="minorHAnsi" w:hAnsiTheme="minorHAnsi" w:cstheme="minorHAnsi"/>
                <w:noProof/>
                <w:sz w:val="20"/>
              </w:rPr>
              <w:t>720 000</w:t>
            </w:r>
          </w:p>
        </w:tc>
      </w:tr>
      <w:tr w:rsidR="00236631" w:rsidRPr="00890249" w14:paraId="474F9ABF" w14:textId="77777777" w:rsidTr="00D00826">
        <w:tc>
          <w:tcPr>
            <w:tcW w:w="1566" w:type="dxa"/>
            <w:vMerge/>
            <w:shd w:val="clear" w:color="auto" w:fill="FFFFFF" w:themeFill="background1"/>
          </w:tcPr>
          <w:p w14:paraId="59AA7311" w14:textId="77777777" w:rsidR="00236631" w:rsidRPr="00890249" w:rsidRDefault="00236631" w:rsidP="00FB5C87">
            <w:pPr>
              <w:jc w:val="center"/>
              <w:rPr>
                <w:rFonts w:asciiTheme="minorHAnsi" w:hAnsiTheme="minorHAnsi" w:cstheme="minorHAnsi"/>
                <w:b/>
                <w:noProof/>
                <w:sz w:val="20"/>
              </w:rPr>
            </w:pPr>
          </w:p>
        </w:tc>
        <w:tc>
          <w:tcPr>
            <w:tcW w:w="1051" w:type="dxa"/>
            <w:vMerge/>
            <w:shd w:val="clear" w:color="auto" w:fill="FFFFFF" w:themeFill="background1"/>
          </w:tcPr>
          <w:p w14:paraId="7B0D2FB5" w14:textId="77777777" w:rsidR="00236631" w:rsidRPr="00890249" w:rsidRDefault="00236631" w:rsidP="00FB5C87">
            <w:pPr>
              <w:jc w:val="center"/>
              <w:rPr>
                <w:rFonts w:asciiTheme="minorHAnsi" w:hAnsiTheme="minorHAnsi" w:cstheme="minorHAnsi"/>
                <w:b/>
                <w:noProof/>
                <w:sz w:val="20"/>
              </w:rPr>
            </w:pPr>
          </w:p>
        </w:tc>
        <w:tc>
          <w:tcPr>
            <w:tcW w:w="1714" w:type="dxa"/>
            <w:vMerge/>
            <w:shd w:val="clear" w:color="auto" w:fill="FFFFFF" w:themeFill="background1"/>
          </w:tcPr>
          <w:p w14:paraId="43EC3F78" w14:textId="77777777" w:rsidR="00236631" w:rsidRPr="00890249" w:rsidRDefault="00236631" w:rsidP="00FB5C87">
            <w:pPr>
              <w:jc w:val="center"/>
              <w:rPr>
                <w:rFonts w:asciiTheme="minorHAnsi" w:hAnsiTheme="minorHAnsi" w:cstheme="minorHAnsi"/>
                <w:b/>
                <w:noProof/>
                <w:sz w:val="20"/>
              </w:rPr>
            </w:pPr>
          </w:p>
        </w:tc>
        <w:tc>
          <w:tcPr>
            <w:tcW w:w="1620" w:type="dxa"/>
            <w:vMerge/>
            <w:shd w:val="clear" w:color="auto" w:fill="FFFFFF" w:themeFill="background1"/>
          </w:tcPr>
          <w:p w14:paraId="594BBD3A" w14:textId="77777777" w:rsidR="00236631" w:rsidRPr="00890249" w:rsidRDefault="00236631" w:rsidP="00FB5C87">
            <w:pPr>
              <w:jc w:val="center"/>
              <w:rPr>
                <w:rFonts w:asciiTheme="minorHAnsi" w:hAnsiTheme="minorHAnsi" w:cstheme="minorHAnsi"/>
                <w:b/>
                <w:noProof/>
                <w:sz w:val="20"/>
              </w:rPr>
            </w:pPr>
          </w:p>
        </w:tc>
        <w:tc>
          <w:tcPr>
            <w:tcW w:w="1022" w:type="dxa"/>
            <w:shd w:val="clear" w:color="auto" w:fill="FFFFFF" w:themeFill="background1"/>
          </w:tcPr>
          <w:p w14:paraId="49A743B8" w14:textId="77777777" w:rsidR="00B6668B" w:rsidRPr="00890249" w:rsidRDefault="001344ED" w:rsidP="000C25AE">
            <w:pPr>
              <w:pStyle w:val="Default"/>
              <w:rPr>
                <w:rFonts w:asciiTheme="minorHAnsi" w:hAnsiTheme="minorHAnsi" w:cstheme="minorHAnsi"/>
                <w:sz w:val="20"/>
              </w:rPr>
            </w:pPr>
            <w:r w:rsidRPr="00890249">
              <w:rPr>
                <w:rFonts w:asciiTheme="minorHAnsi" w:hAnsiTheme="minorHAnsi" w:cstheme="minorHAnsi"/>
                <w:noProof/>
                <w:sz w:val="20"/>
                <w:szCs w:val="20"/>
              </w:rPr>
              <w:t>078</w:t>
            </w:r>
            <w:r w:rsidR="00372E01" w:rsidRPr="00890249">
              <w:rPr>
                <w:rFonts w:asciiTheme="minorHAnsi" w:hAnsiTheme="minorHAnsi" w:cstheme="minorHAnsi"/>
                <w:noProof/>
                <w:sz w:val="20"/>
                <w:szCs w:val="20"/>
              </w:rPr>
              <w:t xml:space="preserve"> </w:t>
            </w:r>
            <w:r w:rsidR="00372E01" w:rsidRPr="00890249">
              <w:rPr>
                <w:rFonts w:asciiTheme="minorHAnsi" w:hAnsiTheme="minorHAnsi" w:cstheme="minorHAnsi"/>
                <w:sz w:val="20"/>
                <w:szCs w:val="20"/>
              </w:rPr>
              <w:t xml:space="preserve">Ochrona, regeneracja i zrównoważone wykorzystanie obszarów Natura 2000 </w:t>
            </w:r>
          </w:p>
        </w:tc>
        <w:tc>
          <w:tcPr>
            <w:tcW w:w="2349" w:type="dxa"/>
            <w:shd w:val="clear" w:color="auto" w:fill="FFFFFF" w:themeFill="background1"/>
          </w:tcPr>
          <w:p w14:paraId="30DDC808" w14:textId="680310AE" w:rsidR="00236631" w:rsidRPr="00890249" w:rsidRDefault="00691799" w:rsidP="003803DE">
            <w:pPr>
              <w:jc w:val="right"/>
              <w:rPr>
                <w:rFonts w:asciiTheme="minorHAnsi" w:hAnsiTheme="minorHAnsi" w:cstheme="minorHAnsi"/>
                <w:noProof/>
                <w:sz w:val="20"/>
              </w:rPr>
            </w:pPr>
            <w:r>
              <w:rPr>
                <w:rFonts w:asciiTheme="minorHAnsi" w:hAnsiTheme="minorHAnsi" w:cstheme="minorHAnsi"/>
                <w:noProof/>
                <w:sz w:val="20"/>
              </w:rPr>
              <w:t>2 440 000</w:t>
            </w:r>
          </w:p>
        </w:tc>
      </w:tr>
      <w:tr w:rsidR="00B61A77" w:rsidRPr="00890249" w14:paraId="04818DC3" w14:textId="77777777" w:rsidTr="00D00826">
        <w:trPr>
          <w:trHeight w:val="332"/>
        </w:trPr>
        <w:tc>
          <w:tcPr>
            <w:tcW w:w="1566" w:type="dxa"/>
            <w:vMerge/>
            <w:shd w:val="clear" w:color="auto" w:fill="FFFFFF" w:themeFill="background1"/>
            <w:vAlign w:val="center"/>
          </w:tcPr>
          <w:p w14:paraId="53F061EF" w14:textId="77777777" w:rsidR="00B61A77" w:rsidRPr="00890249" w:rsidRDefault="00B61A77" w:rsidP="00FB5C87">
            <w:pPr>
              <w:jc w:val="center"/>
              <w:rPr>
                <w:rFonts w:asciiTheme="minorHAnsi" w:eastAsia="Times New Roman" w:hAnsiTheme="minorHAnsi" w:cstheme="minorHAnsi"/>
                <w:iCs/>
                <w:noProof/>
                <w:sz w:val="20"/>
              </w:rPr>
            </w:pPr>
          </w:p>
        </w:tc>
        <w:tc>
          <w:tcPr>
            <w:tcW w:w="1051" w:type="dxa"/>
            <w:vMerge/>
            <w:shd w:val="clear" w:color="auto" w:fill="FFFFFF" w:themeFill="background1"/>
            <w:vAlign w:val="center"/>
          </w:tcPr>
          <w:p w14:paraId="47E9F1C7" w14:textId="77777777" w:rsidR="00B61A77" w:rsidRPr="00890249" w:rsidRDefault="00B61A77" w:rsidP="00FB5C87">
            <w:pPr>
              <w:jc w:val="center"/>
              <w:rPr>
                <w:rFonts w:asciiTheme="minorHAnsi" w:eastAsia="Times New Roman" w:hAnsiTheme="minorHAnsi" w:cstheme="minorHAnsi"/>
                <w:iCs/>
                <w:noProof/>
                <w:sz w:val="20"/>
              </w:rPr>
            </w:pPr>
          </w:p>
        </w:tc>
        <w:tc>
          <w:tcPr>
            <w:tcW w:w="1714" w:type="dxa"/>
            <w:vMerge/>
            <w:shd w:val="clear" w:color="auto" w:fill="FFFFFF" w:themeFill="background1"/>
            <w:vAlign w:val="center"/>
          </w:tcPr>
          <w:p w14:paraId="74ED44F8" w14:textId="77777777" w:rsidR="00B61A77" w:rsidRPr="00890249" w:rsidRDefault="00B61A77" w:rsidP="00FB5C87">
            <w:pPr>
              <w:jc w:val="center"/>
              <w:rPr>
                <w:rFonts w:asciiTheme="minorHAnsi" w:eastAsia="Times New Roman" w:hAnsiTheme="minorHAnsi" w:cstheme="minorHAnsi"/>
                <w:iCs/>
                <w:noProof/>
                <w:sz w:val="20"/>
              </w:rPr>
            </w:pPr>
          </w:p>
        </w:tc>
        <w:tc>
          <w:tcPr>
            <w:tcW w:w="1620" w:type="dxa"/>
            <w:vMerge/>
            <w:shd w:val="clear" w:color="auto" w:fill="FFFFFF" w:themeFill="background1"/>
            <w:vAlign w:val="center"/>
          </w:tcPr>
          <w:p w14:paraId="4D7BCA97" w14:textId="77777777" w:rsidR="00B61A77" w:rsidRPr="00890249" w:rsidRDefault="00B61A77" w:rsidP="00FB5C87">
            <w:pPr>
              <w:jc w:val="center"/>
              <w:rPr>
                <w:rFonts w:asciiTheme="minorHAnsi" w:eastAsia="Times New Roman" w:hAnsiTheme="minorHAnsi" w:cstheme="minorHAnsi"/>
                <w:iCs/>
                <w:noProof/>
                <w:sz w:val="20"/>
              </w:rPr>
            </w:pPr>
          </w:p>
        </w:tc>
        <w:tc>
          <w:tcPr>
            <w:tcW w:w="1022" w:type="dxa"/>
            <w:shd w:val="clear" w:color="auto" w:fill="FFFFFF" w:themeFill="background1"/>
            <w:vAlign w:val="center"/>
          </w:tcPr>
          <w:p w14:paraId="2117DD4C" w14:textId="77777777" w:rsidR="00B6668B" w:rsidRPr="00890249" w:rsidRDefault="001344ED" w:rsidP="000C25A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079</w:t>
            </w:r>
            <w:r w:rsidR="00236631" w:rsidRPr="00890249">
              <w:rPr>
                <w:rFonts w:asciiTheme="minorHAnsi" w:eastAsia="Times New Roman" w:hAnsiTheme="minorHAnsi" w:cstheme="minorHAnsi"/>
                <w:iCs/>
                <w:noProof/>
                <w:sz w:val="20"/>
                <w:szCs w:val="20"/>
              </w:rPr>
              <w:t xml:space="preserve"> </w:t>
            </w:r>
            <w:r w:rsidR="00372E01" w:rsidRPr="00890249">
              <w:rPr>
                <w:rFonts w:asciiTheme="minorHAnsi" w:hAnsiTheme="minorHAnsi" w:cstheme="minorHAnsi"/>
                <w:sz w:val="20"/>
                <w:szCs w:val="20"/>
              </w:rPr>
              <w:t xml:space="preserve">Ochrona przyrody i różnorodności biologicznej, dziedzictwo naturalne i zasoby naturalne, zielona i niebieska infrastruktura </w:t>
            </w:r>
          </w:p>
        </w:tc>
        <w:tc>
          <w:tcPr>
            <w:tcW w:w="2349" w:type="dxa"/>
            <w:shd w:val="clear" w:color="auto" w:fill="FFFFFF" w:themeFill="background1"/>
            <w:vAlign w:val="center"/>
          </w:tcPr>
          <w:p w14:paraId="2B91694E" w14:textId="57A41F89" w:rsidR="00B61A77" w:rsidRPr="00890249" w:rsidRDefault="00B6162F" w:rsidP="00FB5C8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w:t>
            </w:r>
            <w:r w:rsidR="00691799">
              <w:rPr>
                <w:rFonts w:asciiTheme="minorHAnsi" w:eastAsia="Times New Roman" w:hAnsiTheme="minorHAnsi" w:cstheme="minorHAnsi"/>
                <w:iCs/>
                <w:noProof/>
                <w:sz w:val="20"/>
              </w:rPr>
              <w:t> 040 000</w:t>
            </w:r>
          </w:p>
        </w:tc>
      </w:tr>
    </w:tbl>
    <w:p w14:paraId="57EC9500" w14:textId="60A14036" w:rsidR="00B2047A" w:rsidRPr="00890249" w:rsidRDefault="00B2047A" w:rsidP="000B2721">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3"/>
        <w:gridCol w:w="1050"/>
        <w:gridCol w:w="1711"/>
        <w:gridCol w:w="1617"/>
        <w:gridCol w:w="1039"/>
        <w:gridCol w:w="2081"/>
      </w:tblGrid>
      <w:tr w:rsidR="00B2047A" w:rsidRPr="00890249" w14:paraId="7CB4151E" w14:textId="77777777" w:rsidTr="00FB76F3">
        <w:tc>
          <w:tcPr>
            <w:tcW w:w="9288" w:type="dxa"/>
            <w:gridSpan w:val="6"/>
            <w:shd w:val="clear" w:color="auto" w:fill="D9D9D9" w:themeFill="background1" w:themeFillShade="D9"/>
          </w:tcPr>
          <w:p w14:paraId="12E1D4F9" w14:textId="77777777" w:rsidR="00B2047A" w:rsidRPr="00890249" w:rsidRDefault="00B2047A"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B2047A" w:rsidRPr="00890249" w14:paraId="7B81672D" w14:textId="77777777" w:rsidTr="00FB76F3">
        <w:tc>
          <w:tcPr>
            <w:tcW w:w="1599" w:type="dxa"/>
            <w:shd w:val="clear" w:color="auto" w:fill="F2F2F2" w:themeFill="background1" w:themeFillShade="F2"/>
          </w:tcPr>
          <w:p w14:paraId="239B16BD"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0FC40770"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6E5DFEB2"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2700D68C"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66337147"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5E8DA861"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2047A" w:rsidRPr="00890249" w14:paraId="7B3687EE" w14:textId="77777777" w:rsidTr="00BD5A2B">
        <w:tc>
          <w:tcPr>
            <w:tcW w:w="1599" w:type="dxa"/>
            <w:vAlign w:val="center"/>
          </w:tcPr>
          <w:p w14:paraId="2E6036AA" w14:textId="77777777" w:rsidR="00B2047A" w:rsidRPr="00890249" w:rsidRDefault="00B2047A"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3C1DE16A" w14:textId="77777777" w:rsidR="00B2047A" w:rsidRPr="00890249" w:rsidRDefault="00B2047A"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615D6830" w14:textId="77777777" w:rsidR="00B2047A" w:rsidRPr="00890249" w:rsidRDefault="00B2047A"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tcPr>
          <w:p w14:paraId="5772DA9E" w14:textId="77777777" w:rsidR="00B2047A" w:rsidRPr="00890249" w:rsidRDefault="00B2047A"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(vii)</w:t>
            </w:r>
          </w:p>
        </w:tc>
        <w:tc>
          <w:tcPr>
            <w:tcW w:w="1053" w:type="dxa"/>
          </w:tcPr>
          <w:p w14:paraId="6C39CFCA" w14:textId="77777777" w:rsidR="00B2047A" w:rsidRPr="00890249" w:rsidRDefault="00B2047A"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236631" w:rsidRPr="00890249">
              <w:rPr>
                <w:rFonts w:asciiTheme="minorHAnsi" w:eastAsia="Times New Roman" w:hAnsiTheme="minorHAnsi" w:cstheme="minorHAnsi"/>
                <w:iCs/>
                <w:noProof/>
                <w:sz w:val="20"/>
              </w:rPr>
              <w:t xml:space="preserve"> Dotacja</w:t>
            </w:r>
          </w:p>
        </w:tc>
        <w:tc>
          <w:tcPr>
            <w:tcW w:w="2175" w:type="dxa"/>
          </w:tcPr>
          <w:p w14:paraId="00E563E9" w14:textId="088BEDC7" w:rsidR="00B2047A" w:rsidRPr="00890249" w:rsidRDefault="00691799" w:rsidP="00BD5A2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14 000 000</w:t>
            </w:r>
          </w:p>
        </w:tc>
      </w:tr>
    </w:tbl>
    <w:p w14:paraId="7609AEB1" w14:textId="77777777" w:rsidR="00FB5C87" w:rsidRPr="00890249" w:rsidRDefault="00FB5C87" w:rsidP="00BE635D">
      <w:pPr>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83"/>
        <w:gridCol w:w="1025"/>
        <w:gridCol w:w="1608"/>
        <w:gridCol w:w="1557"/>
        <w:gridCol w:w="1520"/>
        <w:gridCol w:w="1868"/>
      </w:tblGrid>
      <w:tr w:rsidR="00FB5C87" w:rsidRPr="00890249" w14:paraId="7C8EE5AD" w14:textId="77777777" w:rsidTr="00FB76F3">
        <w:tc>
          <w:tcPr>
            <w:tcW w:w="9288" w:type="dxa"/>
            <w:gridSpan w:val="6"/>
            <w:shd w:val="clear" w:color="auto" w:fill="D9D9D9" w:themeFill="background1" w:themeFillShade="D9"/>
          </w:tcPr>
          <w:p w14:paraId="6C7FC3FE" w14:textId="1DC3D92D" w:rsidR="00FB5C87" w:rsidRPr="00890249" w:rsidRDefault="006C0E39"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00FB5C87" w:rsidRPr="00890249">
              <w:rPr>
                <w:rFonts w:asciiTheme="minorHAnsi" w:hAnsiTheme="minorHAnsi" w:cstheme="minorHAnsi"/>
                <w:b/>
                <w:noProof/>
                <w:sz w:val="20"/>
              </w:rPr>
              <w:t>:</w:t>
            </w:r>
            <w:r w:rsidRPr="00890249">
              <w:rPr>
                <w:rFonts w:asciiTheme="minorHAnsi" w:hAnsiTheme="minorHAnsi" w:cstheme="minorHAnsi"/>
                <w:b/>
                <w:noProof/>
                <w:sz w:val="20"/>
              </w:rPr>
              <w:t xml:space="preserve"> Wymiar </w:t>
            </w:r>
            <w:r w:rsidR="00A66643">
              <w:rPr>
                <w:rFonts w:asciiTheme="minorHAnsi" w:hAnsiTheme="minorHAnsi" w:cstheme="minorHAnsi"/>
                <w:b/>
                <w:noProof/>
                <w:sz w:val="20"/>
              </w:rPr>
              <w:t xml:space="preserve">3 </w:t>
            </w:r>
            <w:r w:rsidR="00FB5C87" w:rsidRPr="00890249">
              <w:rPr>
                <w:rFonts w:asciiTheme="minorHAnsi" w:hAnsiTheme="minorHAnsi" w:cstheme="minorHAnsi"/>
                <w:b/>
                <w:noProof/>
                <w:sz w:val="20"/>
              </w:rPr>
              <w:t xml:space="preserve"> – terytorialny mechanizm realizacji i ukierunkowanie terytorialne </w:t>
            </w:r>
          </w:p>
        </w:tc>
      </w:tr>
      <w:tr w:rsidR="00FB5C87" w:rsidRPr="00890249" w14:paraId="2C1A9D52" w14:textId="77777777" w:rsidTr="00FB76F3">
        <w:tc>
          <w:tcPr>
            <w:tcW w:w="1599" w:type="dxa"/>
            <w:shd w:val="clear" w:color="auto" w:fill="F2F2F2" w:themeFill="background1" w:themeFillShade="F2"/>
          </w:tcPr>
          <w:p w14:paraId="110E082D" w14:textId="77777777" w:rsidR="00FB5C87" w:rsidRPr="00890249" w:rsidRDefault="00FB5C87"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625C503B" w14:textId="77777777" w:rsidR="00FB5C87" w:rsidRPr="00890249" w:rsidRDefault="00FB5C87"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0A7ED5E2" w14:textId="77777777" w:rsidR="00FB5C87" w:rsidRPr="00890249" w:rsidRDefault="00FB5C87"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EDFE88A" w14:textId="77777777" w:rsidR="00FB5C87" w:rsidRPr="00890249" w:rsidRDefault="00FB5C87"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2EE8BAC5" w14:textId="77777777" w:rsidR="00FB5C87" w:rsidRPr="00890249" w:rsidRDefault="00FB5C87"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151D9BB" w14:textId="77777777" w:rsidR="00FB5C87" w:rsidRPr="00890249" w:rsidRDefault="00FB5C87"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FB5C87" w:rsidRPr="00890249" w14:paraId="08BFAEB8" w14:textId="77777777" w:rsidTr="00BD5A2B">
        <w:tc>
          <w:tcPr>
            <w:tcW w:w="1599" w:type="dxa"/>
            <w:vAlign w:val="center"/>
          </w:tcPr>
          <w:p w14:paraId="14122A15" w14:textId="77777777" w:rsidR="00FB5C87" w:rsidRPr="00890249" w:rsidRDefault="00FB5C87"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17E5328F" w14:textId="77777777" w:rsidR="00FB5C87" w:rsidRPr="00890249" w:rsidRDefault="00FB5C87"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4ED16400" w14:textId="77777777" w:rsidR="00FB5C87" w:rsidRPr="00890249" w:rsidRDefault="00FB5C87"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tcPr>
          <w:p w14:paraId="51F63BDA" w14:textId="5A18CCEE" w:rsidR="00FB5C87" w:rsidRPr="00890249" w:rsidRDefault="00305357"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(vii)</w:t>
            </w:r>
          </w:p>
        </w:tc>
        <w:tc>
          <w:tcPr>
            <w:tcW w:w="1053" w:type="dxa"/>
          </w:tcPr>
          <w:p w14:paraId="6E62EA97" w14:textId="047AA733" w:rsidR="00B6668B" w:rsidRPr="00890249" w:rsidRDefault="00372E01" w:rsidP="000C25AE">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rPr>
              <w:t xml:space="preserve">33 </w:t>
            </w:r>
            <w:r w:rsidRPr="00890249">
              <w:rPr>
                <w:rFonts w:asciiTheme="minorHAnsi" w:hAnsiTheme="minorHAnsi" w:cstheme="minorHAnsi"/>
                <w:sz w:val="20"/>
                <w:szCs w:val="20"/>
              </w:rPr>
              <w:t xml:space="preserve">Brak ukierunkowania terytorialnego </w:t>
            </w:r>
          </w:p>
        </w:tc>
        <w:tc>
          <w:tcPr>
            <w:tcW w:w="2175" w:type="dxa"/>
          </w:tcPr>
          <w:p w14:paraId="63CE9F3C" w14:textId="321C5165" w:rsidR="00FB5C87" w:rsidRPr="00890249" w:rsidRDefault="00691799" w:rsidP="00F62734">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14 000 000</w:t>
            </w:r>
          </w:p>
        </w:tc>
      </w:tr>
    </w:tbl>
    <w:p w14:paraId="3C9E8E3A"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9E79E4" w:rsidRPr="00890249" w14:paraId="3EF78F20" w14:textId="77777777" w:rsidTr="00FB76F3">
        <w:tc>
          <w:tcPr>
            <w:tcW w:w="9288" w:type="dxa"/>
            <w:gridSpan w:val="6"/>
            <w:shd w:val="clear" w:color="auto" w:fill="D9D9D9" w:themeFill="background1" w:themeFillShade="D9"/>
          </w:tcPr>
          <w:p w14:paraId="29C3288E"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35D7EE8B" w14:textId="77777777" w:rsidTr="00FB76F3">
        <w:tc>
          <w:tcPr>
            <w:tcW w:w="1599" w:type="dxa"/>
            <w:shd w:val="clear" w:color="auto" w:fill="F2F2F2" w:themeFill="background1" w:themeFillShade="F2"/>
          </w:tcPr>
          <w:p w14:paraId="3A3A99AA"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7525DCD5"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4895BB8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349313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19F2FEA1"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1A1F1792"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79E4" w:rsidRPr="00890249" w14:paraId="7DC4C73B" w14:textId="77777777" w:rsidTr="000B7697">
        <w:tc>
          <w:tcPr>
            <w:tcW w:w="1599" w:type="dxa"/>
            <w:vAlign w:val="center"/>
          </w:tcPr>
          <w:p w14:paraId="37E70E4F"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361CAEF0"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056FF68C"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335205AB"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6CB03C6C"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400AEA21" w14:textId="77777777" w:rsidR="009E79E4" w:rsidRPr="00890249" w:rsidRDefault="009E79E4" w:rsidP="000B769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011C1B13" w14:textId="006160FE" w:rsidR="000B2721" w:rsidRDefault="000B2721" w:rsidP="00583599">
      <w:pPr>
        <w:spacing w:before="0" w:after="240"/>
        <w:rPr>
          <w:rFonts w:asciiTheme="minorHAnsi" w:hAnsiTheme="minorHAnsi" w:cstheme="minorHAnsi"/>
          <w:b/>
          <w:noProof/>
          <w:color w:val="FF0000"/>
          <w:sz w:val="22"/>
          <w:szCs w:val="22"/>
        </w:rPr>
      </w:pPr>
    </w:p>
    <w:p w14:paraId="3889251B" w14:textId="4585FA23" w:rsidR="009E79E4" w:rsidRPr="00890249" w:rsidRDefault="009E79E4" w:rsidP="000B2721">
      <w:pPr>
        <w:spacing w:before="0" w:after="160" w:line="259" w:lineRule="auto"/>
        <w:jc w:val="left"/>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9E79E4" w:rsidRPr="00890249" w14:paraId="7F590EA3" w14:textId="77777777" w:rsidTr="003D6E86">
        <w:tc>
          <w:tcPr>
            <w:tcW w:w="9322" w:type="dxa"/>
            <w:gridSpan w:val="6"/>
            <w:shd w:val="clear" w:color="auto" w:fill="D9D9D9" w:themeFill="background1" w:themeFillShade="D9"/>
          </w:tcPr>
          <w:p w14:paraId="2E47461A" w14:textId="77777777" w:rsidR="009E79E4" w:rsidRPr="00890249" w:rsidRDefault="009E79E4" w:rsidP="000B7697">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9E79E4" w:rsidRPr="00890249" w14:paraId="7439C1E9" w14:textId="77777777" w:rsidTr="007177A6">
        <w:tc>
          <w:tcPr>
            <w:tcW w:w="1570" w:type="dxa"/>
            <w:tcBorders>
              <w:bottom w:val="single" w:sz="4" w:space="0" w:color="auto"/>
            </w:tcBorders>
            <w:shd w:val="clear" w:color="auto" w:fill="F2F2F2" w:themeFill="background1" w:themeFillShade="F2"/>
          </w:tcPr>
          <w:p w14:paraId="16937B97"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tcBorders>
              <w:bottom w:val="single" w:sz="4" w:space="0" w:color="auto"/>
            </w:tcBorders>
            <w:shd w:val="clear" w:color="auto" w:fill="F2F2F2" w:themeFill="background1" w:themeFillShade="F2"/>
          </w:tcPr>
          <w:p w14:paraId="32F90F2C"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tcBorders>
              <w:bottom w:val="single" w:sz="4" w:space="0" w:color="auto"/>
            </w:tcBorders>
            <w:shd w:val="clear" w:color="auto" w:fill="F2F2F2" w:themeFill="background1" w:themeFillShade="F2"/>
          </w:tcPr>
          <w:p w14:paraId="17C7D11F"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tcBorders>
              <w:bottom w:val="single" w:sz="4" w:space="0" w:color="auto"/>
            </w:tcBorders>
            <w:shd w:val="clear" w:color="auto" w:fill="F2F2F2" w:themeFill="background1" w:themeFillShade="F2"/>
          </w:tcPr>
          <w:p w14:paraId="67AE4656"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tcBorders>
              <w:bottom w:val="single" w:sz="4" w:space="0" w:color="auto"/>
            </w:tcBorders>
            <w:shd w:val="clear" w:color="auto" w:fill="F2F2F2" w:themeFill="background1" w:themeFillShade="F2"/>
          </w:tcPr>
          <w:p w14:paraId="23CD344D"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tcBorders>
              <w:bottom w:val="single" w:sz="4" w:space="0" w:color="auto"/>
            </w:tcBorders>
            <w:shd w:val="clear" w:color="auto" w:fill="F2F2F2" w:themeFill="background1" w:themeFillShade="F2"/>
          </w:tcPr>
          <w:p w14:paraId="125C2666"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6C0E39" w:rsidRPr="00890249" w14:paraId="5B21F7B7" w14:textId="77777777" w:rsidTr="003D6E86">
        <w:tc>
          <w:tcPr>
            <w:tcW w:w="1570" w:type="dxa"/>
            <w:vAlign w:val="center"/>
          </w:tcPr>
          <w:p w14:paraId="66D103F3" w14:textId="77777777" w:rsidR="006C0E39" w:rsidRPr="00890249" w:rsidRDefault="006C0E39" w:rsidP="006C0E39">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360" w:type="dxa"/>
            <w:vAlign w:val="center"/>
          </w:tcPr>
          <w:p w14:paraId="7B91684D" w14:textId="77777777" w:rsidR="006C0E39" w:rsidRPr="00890249" w:rsidRDefault="006C0E39" w:rsidP="006C0E39">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145B48D0" w14:textId="77777777" w:rsidR="006C0E39" w:rsidRPr="00890249" w:rsidRDefault="006C0E39" w:rsidP="006C0E39">
            <w:pPr>
              <w:spacing w:before="0" w:after="160" w:line="259" w:lineRule="auto"/>
              <w:jc w:val="left"/>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vAlign w:val="center"/>
          </w:tcPr>
          <w:p w14:paraId="0D050A57" w14:textId="77777777" w:rsidR="006C0E39" w:rsidRPr="00890249" w:rsidRDefault="006C0E39" w:rsidP="006C0E39">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(vii)</w:t>
            </w:r>
          </w:p>
        </w:tc>
        <w:tc>
          <w:tcPr>
            <w:tcW w:w="1026" w:type="dxa"/>
            <w:shd w:val="clear" w:color="auto" w:fill="auto"/>
            <w:vAlign w:val="center"/>
          </w:tcPr>
          <w:p w14:paraId="156A569E" w14:textId="0C8C4C8C" w:rsidR="00B6668B" w:rsidRPr="00890249" w:rsidRDefault="00D0622E" w:rsidP="000C25AE">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2B89A8EB" w14:textId="4CECFAA4" w:rsidR="006C0E39" w:rsidRPr="00890249" w:rsidRDefault="00691799" w:rsidP="006C0E39">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14 000 000</w:t>
            </w:r>
          </w:p>
        </w:tc>
      </w:tr>
    </w:tbl>
    <w:p w14:paraId="60640340" w14:textId="2B18F523" w:rsidR="000B2721" w:rsidRDefault="000B2721" w:rsidP="008E4211">
      <w:pPr>
        <w:spacing w:before="0" w:after="160" w:line="259" w:lineRule="auto"/>
        <w:jc w:val="left"/>
        <w:rPr>
          <w:rFonts w:asciiTheme="minorHAnsi" w:hAnsiTheme="minorHAnsi" w:cstheme="minorHAnsi"/>
          <w:b/>
          <w:color w:val="003399"/>
        </w:rPr>
      </w:pPr>
    </w:p>
    <w:p w14:paraId="77DDA77B" w14:textId="1E66B53B" w:rsidR="000B2721" w:rsidRDefault="000B2721" w:rsidP="008E4211">
      <w:pPr>
        <w:spacing w:before="0" w:after="160" w:line="259" w:lineRule="auto"/>
        <w:jc w:val="left"/>
        <w:rPr>
          <w:rFonts w:asciiTheme="minorHAnsi" w:hAnsiTheme="minorHAnsi" w:cstheme="minorHAnsi"/>
          <w:b/>
          <w:color w:val="003399"/>
        </w:rPr>
      </w:pPr>
      <w:r>
        <w:rPr>
          <w:rFonts w:asciiTheme="minorHAnsi" w:hAnsiTheme="minorHAnsi" w:cstheme="minorHAnsi"/>
          <w:b/>
          <w:color w:val="003399"/>
        </w:rPr>
        <w:br w:type="page"/>
      </w:r>
    </w:p>
    <w:p w14:paraId="608E5125" w14:textId="6A651AB3" w:rsidR="005F1F6A" w:rsidRPr="00890249" w:rsidRDefault="005F1F6A" w:rsidP="00AC1BD0">
      <w:pPr>
        <w:pStyle w:val="Nagwek3"/>
        <w:rPr>
          <w:rFonts w:eastAsia="Calibri"/>
        </w:rPr>
      </w:pPr>
      <w:bookmarkStart w:id="14" w:name="_Toc188266910"/>
      <w:r w:rsidRPr="00890249">
        <w:rPr>
          <w:rFonts w:eastAsia="Calibri"/>
        </w:rPr>
        <w:lastRenderedPageBreak/>
        <w:t>2.</w:t>
      </w:r>
      <w:r w:rsidR="00E6719C" w:rsidRPr="00890249">
        <w:rPr>
          <w:rFonts w:eastAsia="Calibri"/>
        </w:rPr>
        <w:t>1.</w:t>
      </w:r>
      <w:r w:rsidRPr="00890249">
        <w:rPr>
          <w:rFonts w:eastAsia="Calibri"/>
        </w:rPr>
        <w:t xml:space="preserve">3 </w:t>
      </w:r>
      <w:r w:rsidR="00A93A75" w:rsidRPr="00890249">
        <w:rPr>
          <w:rFonts w:eastAsia="Calibri"/>
        </w:rPr>
        <w:t>FUNDUSZE EUROPEJSKIE NA ZRÓWNOWAŻONY TRANSPORT MIEJSKI</w:t>
      </w:r>
      <w:r w:rsidRPr="00890249">
        <w:rPr>
          <w:rFonts w:eastAsia="Calibri"/>
        </w:rPr>
        <w:t xml:space="preserve"> </w:t>
      </w:r>
      <w:r w:rsidR="008613D7" w:rsidRPr="00890249">
        <w:rPr>
          <w:rFonts w:eastAsia="Calibri"/>
        </w:rPr>
        <w:t xml:space="preserve">WOJEWÓDZTWA </w:t>
      </w:r>
      <w:r w:rsidR="00D8617E" w:rsidRPr="00890249">
        <w:rPr>
          <w:rFonts w:eastAsia="Calibri"/>
        </w:rPr>
        <w:t>OPOLSKIEGO</w:t>
      </w:r>
      <w:bookmarkEnd w:id="14"/>
    </w:p>
    <w:tbl>
      <w:tblPr>
        <w:tblW w:w="9322" w:type="dxa"/>
        <w:tblLook w:val="04A0" w:firstRow="1" w:lastRow="0" w:firstColumn="1" w:lastColumn="0" w:noHBand="0" w:noVBand="1"/>
      </w:tblPr>
      <w:tblGrid>
        <w:gridCol w:w="9322"/>
      </w:tblGrid>
      <w:tr w:rsidR="006D68EF" w:rsidRPr="00890249" w14:paraId="7E378FD7" w14:textId="77777777" w:rsidTr="00FF23DE">
        <w:tc>
          <w:tcPr>
            <w:tcW w:w="9322" w:type="dxa"/>
            <w:shd w:val="clear" w:color="auto" w:fill="auto"/>
          </w:tcPr>
          <w:p w14:paraId="4ECBDF05" w14:textId="77777777" w:rsidR="006D68EF" w:rsidRPr="00890249" w:rsidRDefault="00875C92" w:rsidP="002B20E2">
            <w:pPr>
              <w:spacing w:before="0" w:after="0"/>
              <w:jc w:val="left"/>
              <w:rPr>
                <w:rFonts w:asciiTheme="minorHAnsi" w:hAnsiTheme="minorHAnsi" w:cstheme="minorHAnsi"/>
                <w:noProof/>
                <w:sz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6D68EF"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6D68EF" w:rsidRPr="00890249">
              <w:rPr>
                <w:rFonts w:asciiTheme="minorHAnsi" w:hAnsiTheme="minorHAnsi" w:cstheme="minorHAnsi"/>
                <w:noProof/>
                <w:sz w:val="20"/>
                <w:szCs w:val="22"/>
              </w:rPr>
              <w:t xml:space="preserve"> Ten priorytet dotyczy zatrudnienia ludzi młodych</w:t>
            </w:r>
          </w:p>
        </w:tc>
      </w:tr>
      <w:tr w:rsidR="006D68EF" w:rsidRPr="00890249" w14:paraId="7E75D98C" w14:textId="77777777" w:rsidTr="00FF23DE">
        <w:tc>
          <w:tcPr>
            <w:tcW w:w="9322" w:type="dxa"/>
            <w:shd w:val="clear" w:color="auto" w:fill="auto"/>
          </w:tcPr>
          <w:p w14:paraId="349620D2" w14:textId="77777777" w:rsidR="006D68EF" w:rsidRPr="00890249" w:rsidRDefault="00875C92" w:rsidP="002B20E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6D68EF"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6D68EF" w:rsidRPr="00890249">
              <w:rPr>
                <w:rFonts w:asciiTheme="minorHAnsi" w:hAnsiTheme="minorHAnsi" w:cstheme="minorHAnsi"/>
                <w:noProof/>
                <w:sz w:val="20"/>
                <w:szCs w:val="22"/>
              </w:rPr>
              <w:t xml:space="preserve"> Ten priorytet dotyczy inowacyjnych działań społecznych</w:t>
            </w:r>
          </w:p>
        </w:tc>
      </w:tr>
      <w:tr w:rsidR="006D68EF" w:rsidRPr="00890249" w14:paraId="359959CC" w14:textId="77777777" w:rsidTr="00FF23DE">
        <w:tc>
          <w:tcPr>
            <w:tcW w:w="9322" w:type="dxa"/>
            <w:shd w:val="clear" w:color="auto" w:fill="auto"/>
          </w:tcPr>
          <w:p w14:paraId="0A27D815" w14:textId="77777777" w:rsidR="006D68EF" w:rsidRPr="00890249" w:rsidRDefault="00875C92" w:rsidP="002B20E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6D68EF"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6D68EF"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m) rozporządzenia w sprawie EFS+</w:t>
            </w:r>
          </w:p>
        </w:tc>
      </w:tr>
      <w:tr w:rsidR="006D68EF" w:rsidRPr="00890249" w14:paraId="4BE2F98B" w14:textId="77777777" w:rsidTr="00FF23DE">
        <w:tc>
          <w:tcPr>
            <w:tcW w:w="9322" w:type="dxa"/>
            <w:shd w:val="clear" w:color="auto" w:fill="auto"/>
          </w:tcPr>
          <w:p w14:paraId="5716BB7A" w14:textId="77777777" w:rsidR="006D68EF" w:rsidRPr="00890249" w:rsidRDefault="00875C92" w:rsidP="002B20E2">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6D68EF"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6D68EF"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1E232564" w14:textId="77777777" w:rsidR="006D68EF" w:rsidRPr="00890249" w:rsidRDefault="00875C92" w:rsidP="002B20E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1"/>
                  </w:checkBox>
                </w:ffData>
              </w:fldChar>
            </w:r>
            <w:bookmarkStart w:id="15" w:name="Check2"/>
            <w:r w:rsidR="00BB6E7A"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bookmarkEnd w:id="15"/>
            <w:r w:rsidR="006D68EF"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455E40A6" w14:textId="77777777" w:rsidR="006D68EF" w:rsidRPr="00890249" w:rsidRDefault="00875C92" w:rsidP="002B20E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6D68EF"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6D68EF"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5896F565" w14:textId="77777777" w:rsidR="0093433C" w:rsidRPr="00890249" w:rsidRDefault="00B55553" w:rsidP="00890249">
      <w:pPr>
        <w:pStyle w:val="Legenda"/>
        <w:rPr>
          <w:rFonts w:asciiTheme="minorHAnsi" w:hAnsiTheme="minorHAnsi" w:cstheme="minorHAnsi"/>
          <w:noProof/>
        </w:rPr>
      </w:pPr>
      <w:r w:rsidRPr="00890249">
        <w:rPr>
          <w:rFonts w:asciiTheme="minorHAnsi" w:hAnsiTheme="minorHAnsi" w:cstheme="minorHAnsi"/>
          <w:noProof/>
        </w:rPr>
        <w:t>2.</w:t>
      </w:r>
      <w:r w:rsidR="00E6719C" w:rsidRPr="00890249">
        <w:rPr>
          <w:rFonts w:asciiTheme="minorHAnsi" w:hAnsiTheme="minorHAnsi" w:cstheme="minorHAnsi"/>
          <w:noProof/>
        </w:rPr>
        <w:t>1.</w:t>
      </w:r>
      <w:r w:rsidR="0059186E" w:rsidRPr="00890249">
        <w:rPr>
          <w:rFonts w:asciiTheme="minorHAnsi" w:hAnsiTheme="minorHAnsi" w:cstheme="minorHAnsi"/>
          <w:noProof/>
        </w:rPr>
        <w:t>3</w:t>
      </w:r>
      <w:r w:rsidRPr="00890249">
        <w:rPr>
          <w:rFonts w:asciiTheme="minorHAnsi" w:hAnsiTheme="minorHAnsi" w:cstheme="minorHAnsi"/>
          <w:noProof/>
        </w:rPr>
        <w:t>.</w:t>
      </w:r>
      <w:r w:rsidR="0059186E" w:rsidRPr="00890249">
        <w:rPr>
          <w:rFonts w:asciiTheme="minorHAnsi" w:hAnsiTheme="minorHAnsi" w:cstheme="minorHAnsi"/>
          <w:noProof/>
        </w:rPr>
        <w:t>1</w:t>
      </w:r>
      <w:r w:rsidRPr="00890249">
        <w:rPr>
          <w:rFonts w:asciiTheme="minorHAnsi" w:hAnsiTheme="minorHAnsi" w:cstheme="minorHAnsi"/>
          <w:noProof/>
        </w:rPr>
        <w:t xml:space="preserve"> (vii</w:t>
      </w:r>
      <w:r w:rsidR="00C703FD" w:rsidRPr="00890249">
        <w:rPr>
          <w:rFonts w:asciiTheme="minorHAnsi" w:hAnsiTheme="minorHAnsi" w:cstheme="minorHAnsi"/>
          <w:noProof/>
        </w:rPr>
        <w:t>i</w:t>
      </w:r>
      <w:r w:rsidRPr="00890249">
        <w:rPr>
          <w:rFonts w:asciiTheme="minorHAnsi" w:hAnsiTheme="minorHAnsi" w:cstheme="minorHAnsi"/>
          <w:noProof/>
        </w:rPr>
        <w:t>) Cel szczegółowy</w:t>
      </w:r>
    </w:p>
    <w:p w14:paraId="61C94EDE" w14:textId="77777777" w:rsidR="0040075A" w:rsidRPr="00890249" w:rsidRDefault="0040075A" w:rsidP="0040075A">
      <w:pPr>
        <w:shd w:val="clear" w:color="auto" w:fill="D0CECE" w:themeFill="background2" w:themeFillShade="E6"/>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2.1.3.1 (viii) Cel szczegółowy</w:t>
      </w:r>
    </w:p>
    <w:p w14:paraId="02E377B7" w14:textId="77777777" w:rsidR="0040075A" w:rsidRPr="00890249" w:rsidRDefault="0040075A" w:rsidP="0040075A">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sz w:val="22"/>
          <w:szCs w:val="22"/>
        </w:rPr>
        <w:t xml:space="preserve">(viii) </w:t>
      </w:r>
      <w:r w:rsidRPr="00890249">
        <w:rPr>
          <w:rFonts w:asciiTheme="minorHAnsi" w:hAnsiTheme="minorHAnsi" w:cstheme="minorHAnsi"/>
          <w:b/>
          <w:noProof/>
          <w:color w:val="2F5496" w:themeColor="accent5" w:themeShade="BF"/>
        </w:rPr>
        <w:t>Wspieranie zrównoważonej multimodalnej mobilności miejskiej jako elementu transformacji w kierunku gospodarki zeroemisyjnej</w:t>
      </w:r>
    </w:p>
    <w:p w14:paraId="6B744B85" w14:textId="77777777" w:rsidR="0040075A" w:rsidRPr="00890249" w:rsidRDefault="0040075A" w:rsidP="0040075A">
      <w:pPr>
        <w:rPr>
          <w:rFonts w:asciiTheme="minorHAnsi" w:hAnsiTheme="minorHAnsi" w:cstheme="minorHAnsi"/>
          <w:b/>
          <w:noProof/>
          <w:sz w:val="22"/>
          <w:szCs w:val="22"/>
        </w:rPr>
      </w:pPr>
      <w:r w:rsidRPr="00890249">
        <w:rPr>
          <w:rFonts w:asciiTheme="minorHAnsi" w:hAnsiTheme="minorHAnsi" w:cstheme="minorHAnsi"/>
          <w:b/>
          <w:noProof/>
          <w:sz w:val="22"/>
          <w:szCs w:val="22"/>
        </w:rPr>
        <w:t>2.1.3.1.1 (viii) Interwencje w ramach funduszy</w:t>
      </w:r>
    </w:p>
    <w:p w14:paraId="67821551" w14:textId="77777777" w:rsidR="0040075A" w:rsidRPr="00890249" w:rsidRDefault="0040075A" w:rsidP="0040075A">
      <w:pPr>
        <w:rPr>
          <w:rFonts w:asciiTheme="minorHAnsi" w:eastAsia="Times New Roman" w:hAnsiTheme="minorHAnsi" w:cstheme="minorHAnsi"/>
          <w:b/>
          <w:i/>
          <w:iCs/>
          <w:noProof/>
          <w:sz w:val="22"/>
          <w:szCs w:val="22"/>
        </w:rPr>
      </w:pPr>
      <w:r w:rsidRPr="00890249">
        <w:rPr>
          <w:rFonts w:asciiTheme="minorHAnsi" w:hAnsiTheme="minorHAnsi" w:cstheme="minorHAnsi"/>
          <w:b/>
          <w:noProof/>
          <w:color w:val="2F5496" w:themeColor="accent5" w:themeShade="BF"/>
          <w:sz w:val="22"/>
          <w:szCs w:val="22"/>
        </w:rPr>
        <w:t>Powiązane rodzaje działań</w:t>
      </w:r>
    </w:p>
    <w:p w14:paraId="61F8D126" w14:textId="77777777" w:rsidR="0093433C" w:rsidRPr="00890249" w:rsidRDefault="5743BCD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Czynnikiem znacząco wpływającym na stan zanieczyszczenia środowiska, w tym jakości powietrza w miastach regionu jest infrastruktura transportu publicznego. Region charakteryzuje się najniższym w kraju wskaźnikiem przewozów pasażerskich komunikacją miejską. Brak zintegrowanego systemu komunikacji zbiorowej i wyeksploatowany, nieekologiczny tabor przyczyniają się do systematycznego spadku zainteresowania mieszkańców usługami komunikacji publicznej, a co za tym idzie, znacznego wzrostu zanieczyszczeń komunikacyjnych oraz emisji akustycznych. KE zwraca uwagę, iż słabo rozwinięty transport publiczny i długi czas dojazdów do miejsc pracy na obszarach miejskich powoduje dalsze uzależnienie mieszkańców od transportu indywidualnego</w:t>
      </w:r>
      <w:r w:rsidR="000806AB" w:rsidRPr="00890249">
        <w:rPr>
          <w:rFonts w:asciiTheme="minorHAnsi" w:hAnsiTheme="minorHAnsi" w:cstheme="minorHAnsi"/>
          <w:noProof/>
          <w:sz w:val="22"/>
          <w:szCs w:val="22"/>
          <w:vertAlign w:val="superscript"/>
        </w:rPr>
        <w:footnoteReference w:id="145"/>
      </w:r>
      <w:r w:rsidRPr="00890249">
        <w:rPr>
          <w:rFonts w:asciiTheme="minorHAnsi" w:hAnsiTheme="minorHAnsi" w:cstheme="minorHAnsi"/>
          <w:noProof/>
          <w:sz w:val="22"/>
          <w:szCs w:val="22"/>
        </w:rPr>
        <w:t xml:space="preserve">. </w:t>
      </w:r>
    </w:p>
    <w:p w14:paraId="429CBC0A" w14:textId="77777777" w:rsidR="0093433C" w:rsidRPr="00890249" w:rsidRDefault="5743BCD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Mając powyższe na uwadze konieczna jest intensyfikacja działań ukierunkowanych na rozwój proekologicznych rozwiązań systemu transportu publicznego</w:t>
      </w:r>
      <w:r w:rsidR="000806AB" w:rsidRPr="00890249">
        <w:rPr>
          <w:rFonts w:asciiTheme="minorHAnsi" w:hAnsiTheme="minorHAnsi" w:cstheme="minorHAnsi"/>
          <w:noProof/>
          <w:sz w:val="22"/>
          <w:szCs w:val="22"/>
          <w:vertAlign w:val="superscript"/>
        </w:rPr>
        <w:footnoteReference w:id="146"/>
      </w:r>
      <w:r w:rsidRPr="00890249">
        <w:rPr>
          <w:rFonts w:asciiTheme="minorHAnsi" w:hAnsiTheme="minorHAnsi" w:cstheme="minorHAnsi"/>
          <w:noProof/>
          <w:sz w:val="22"/>
          <w:szCs w:val="22"/>
        </w:rPr>
        <w:t xml:space="preserve"> oraz infrastruktury transportu niezmotoryzowanego. Warunkiem nadrzędnym jest, aby wszystkie planowane inwestycje w zakresie zrównoważonej mobilności miejskiej realizowane w ramach programu miały na celu ograniczenie emisji gazów cieplarnianych pochodzących z transportu. </w:t>
      </w:r>
    </w:p>
    <w:p w14:paraId="7A9DB068" w14:textId="36B5708B" w:rsidR="0093433C" w:rsidRPr="00890249" w:rsidRDefault="5743BCD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związku z powyższym w celu ograniczenia ruchu samochodowego w miastach należy wprowadzić przede wszystkim działania ukierunkowane m.in. na rozwój i poprawę dostępności transportu publicznego, w tym promowanie zintegrowanego, ekologicznego i bezpiecznego transportu pub</w:t>
      </w:r>
      <w:r w:rsidR="07E5CF52" w:rsidRPr="00890249">
        <w:rPr>
          <w:rFonts w:asciiTheme="minorHAnsi" w:hAnsiTheme="minorHAnsi" w:cstheme="minorHAnsi"/>
          <w:noProof/>
          <w:sz w:val="22"/>
          <w:szCs w:val="22"/>
        </w:rPr>
        <w:t>ublicznego.</w:t>
      </w:r>
      <w:r w:rsidRPr="00890249">
        <w:rPr>
          <w:rFonts w:asciiTheme="minorHAnsi" w:hAnsiTheme="minorHAnsi" w:cstheme="minorHAnsi"/>
          <w:noProof/>
          <w:sz w:val="22"/>
          <w:szCs w:val="22"/>
        </w:rPr>
        <w:t xml:space="preserve"> Wsparcie skierowane będzie przede wszystkim na zakup bezemisyjnego i niskoemisyjnego taboru autobusowego oraz rozbudowę infrastruktury tran</w:t>
      </w:r>
      <w:r w:rsidR="07E5CF52" w:rsidRPr="00890249">
        <w:rPr>
          <w:rFonts w:asciiTheme="minorHAnsi" w:hAnsiTheme="minorHAnsi" w:cstheme="minorHAnsi"/>
          <w:noProof/>
          <w:sz w:val="22"/>
          <w:szCs w:val="22"/>
        </w:rPr>
        <w:t>sportu publicznego</w:t>
      </w:r>
      <w:r w:rsidRPr="00890249">
        <w:rPr>
          <w:rFonts w:asciiTheme="minorHAnsi" w:hAnsiTheme="minorHAnsi" w:cstheme="minorHAnsi"/>
          <w:noProof/>
          <w:sz w:val="22"/>
          <w:szCs w:val="22"/>
        </w:rPr>
        <w:t xml:space="preserve">, w tym infrastrukturę paliw bezemisyjnych, tj. punkty/stacje ładowania/tankowania pojazdów elektrycznych i wodorowych. Dodatkowo zakupiony tabor autobusowy musi spełniać kryterium ekologicznie czystych pojazdów w rozumieniu </w:t>
      </w:r>
      <w:r w:rsidR="3BC1525B" w:rsidRPr="00890249">
        <w:rPr>
          <w:rFonts w:asciiTheme="minorHAnsi" w:hAnsiTheme="minorHAnsi" w:cstheme="minorHAnsi"/>
          <w:noProof/>
          <w:sz w:val="22"/>
          <w:szCs w:val="22"/>
        </w:rPr>
        <w:t xml:space="preserve">Dyrektywy </w:t>
      </w:r>
      <w:r w:rsidR="3B3AAA7A" w:rsidRPr="00890249">
        <w:rPr>
          <w:rFonts w:asciiTheme="minorHAnsi" w:hAnsiTheme="minorHAnsi" w:cstheme="minorHAnsi"/>
          <w:noProof/>
          <w:sz w:val="22"/>
          <w:szCs w:val="22"/>
        </w:rPr>
        <w:t>2</w:t>
      </w:r>
      <w:r w:rsidR="3BC1525B" w:rsidRPr="00890249">
        <w:rPr>
          <w:rFonts w:asciiTheme="minorHAnsi" w:hAnsiTheme="minorHAnsi" w:cstheme="minorHAnsi"/>
          <w:noProof/>
          <w:sz w:val="22"/>
          <w:szCs w:val="22"/>
        </w:rPr>
        <w:t>009/33/WE</w:t>
      </w:r>
      <w:r w:rsidR="00D12129" w:rsidRPr="00890249">
        <w:rPr>
          <w:rStyle w:val="Odwoanieprzypisudolnego"/>
          <w:rFonts w:asciiTheme="minorHAnsi" w:eastAsia="Times New Roman" w:hAnsiTheme="minorHAnsi" w:cstheme="minorHAnsi"/>
          <w:noProof/>
          <w:sz w:val="22"/>
          <w:szCs w:val="22"/>
        </w:rPr>
        <w:footnoteReference w:id="147"/>
      </w:r>
      <w:r w:rsidR="3BC1525B" w:rsidRPr="00890249">
        <w:rPr>
          <w:rFonts w:asciiTheme="minorHAnsi" w:hAnsiTheme="minorHAnsi" w:cstheme="minorHAnsi"/>
          <w:noProof/>
          <w:sz w:val="22"/>
          <w:szCs w:val="22"/>
        </w:rPr>
        <w:t xml:space="preserve">. </w:t>
      </w:r>
    </w:p>
    <w:p w14:paraId="34189ECB" w14:textId="77777777" w:rsidR="0093433C" w:rsidRPr="00890249" w:rsidRDefault="000806A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Ponadto ograniczeniu ruchu samochodowego służyć powinna również rozbudowa i poprawa standardów infrastruktury rowerowej. </w:t>
      </w:r>
    </w:p>
    <w:p w14:paraId="5BBA4F2C" w14:textId="69AB4E00" w:rsidR="0093433C" w:rsidRPr="00890249" w:rsidRDefault="000806A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Dopełnieniem powyższych działań będzie prowadzenie kampanii informacyjnej dla uczniów i osób dorosłych związanej z szeroko pojętą zrównoważoną mobilnością</w:t>
      </w:r>
      <w:r w:rsidR="00B119D7"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mając</w:t>
      </w:r>
      <w:r w:rsidR="00B119D7"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na celu zmianę zachowań komunikacyjnych mieszkańców na bardziej ekologiczne.  </w:t>
      </w:r>
    </w:p>
    <w:p w14:paraId="58720F3E" w14:textId="5EB1A84C" w:rsidR="0093433C" w:rsidRPr="00890249" w:rsidRDefault="5743BCDB" w:rsidP="00890249">
      <w:pPr>
        <w:pStyle w:val="Tekstpodstawowy"/>
        <w:rPr>
          <w:rFonts w:asciiTheme="minorHAnsi" w:eastAsia="Times New Roman" w:hAnsiTheme="minorHAnsi" w:cstheme="minorHAnsi"/>
          <w:noProof/>
          <w:sz w:val="22"/>
          <w:szCs w:val="22"/>
        </w:rPr>
      </w:pPr>
      <w:r w:rsidRPr="00890249">
        <w:rPr>
          <w:rFonts w:asciiTheme="minorHAnsi" w:hAnsiTheme="minorHAnsi" w:cstheme="minorHAnsi"/>
          <w:sz w:val="22"/>
          <w:szCs w:val="22"/>
        </w:rPr>
        <w:t>Planowane inwestycje wpisują się w zalecenia KE, określone jako priorytetowe w celu wspierania zrównoważonej multimodalnej mobilności miejskiej</w:t>
      </w:r>
      <w:r w:rsidR="000806AB" w:rsidRPr="00890249">
        <w:rPr>
          <w:rFonts w:asciiTheme="minorHAnsi" w:hAnsiTheme="minorHAnsi" w:cstheme="minorHAnsi"/>
          <w:i/>
          <w:sz w:val="22"/>
          <w:szCs w:val="22"/>
          <w:vertAlign w:val="superscript"/>
        </w:rPr>
        <w:footnoteReference w:id="148"/>
      </w:r>
      <w:r w:rsidRPr="00890249">
        <w:rPr>
          <w:rFonts w:asciiTheme="minorHAnsi" w:hAnsiTheme="minorHAnsi" w:cstheme="minorHAnsi"/>
          <w:i/>
          <w:iCs/>
          <w:sz w:val="22"/>
          <w:szCs w:val="22"/>
        </w:rPr>
        <w:t>.</w:t>
      </w:r>
      <w:r w:rsidRPr="00890249">
        <w:rPr>
          <w:rFonts w:asciiTheme="minorHAnsi" w:eastAsia="Times New Roman" w:hAnsiTheme="minorHAnsi" w:cstheme="minorHAnsi"/>
          <w:noProof/>
          <w:sz w:val="22"/>
          <w:szCs w:val="22"/>
        </w:rPr>
        <w:t xml:space="preserve"> Dodatkowo preferowane będą ośrodki miejskie, w których stosowane jest zintegrowane podejście do działań związanych z kształtowaniem systemu transportowego poprzez tworzenie i realizację planów zrównoważonej mobilności miejskiej (SUMP). Inwestycje objęte wsparciem będą zgodne z odpowiednim Planem Zrównoważonej Mobilności Miejskiej (SUMP) lub innymi dokumentami planowania mobilności przyjętymi na obszarze, w którym realizowana jest inwestycja – zgodnie z właściwymi wymogami Umowy Partnerstwa. </w:t>
      </w:r>
      <w:r w:rsidR="1AB3335F" w:rsidRPr="00890249">
        <w:rPr>
          <w:rFonts w:asciiTheme="minorHAnsi" w:eastAsia="Times New Roman" w:hAnsiTheme="minorHAnsi" w:cstheme="minorHAnsi"/>
          <w:noProof/>
          <w:sz w:val="22"/>
          <w:szCs w:val="22"/>
        </w:rPr>
        <w:t>W przypadku miasta wojewódzkiego</w:t>
      </w:r>
      <w:r w:rsidRPr="00890249">
        <w:rPr>
          <w:rFonts w:asciiTheme="minorHAnsi" w:eastAsia="Times New Roman" w:hAnsiTheme="minorHAnsi" w:cstheme="minorHAnsi"/>
          <w:noProof/>
          <w:sz w:val="22"/>
          <w:szCs w:val="22"/>
        </w:rPr>
        <w:t xml:space="preserve"> i jego obszaru funkcjonalnego posiadanie SUMP jest warunkiem w dostępie do środków. Dla pozostałych miast poniżej 100 tys. mieszkańców niezbędne jest wykazanie się dokumentem z zakresu planowania transportu. Funkcję takiego dokumentu mogą pełnić np. strategie ZIT/IIT</w:t>
      </w:r>
      <w:r w:rsidR="000806AB" w:rsidRPr="00890249">
        <w:rPr>
          <w:rStyle w:val="Odwoanieprzypisudolnego"/>
          <w:rFonts w:asciiTheme="minorHAnsi" w:eastAsia="Times New Roman" w:hAnsiTheme="minorHAnsi" w:cstheme="minorHAnsi"/>
          <w:noProof/>
          <w:sz w:val="22"/>
          <w:szCs w:val="22"/>
        </w:rPr>
        <w:footnoteReference w:id="149"/>
      </w:r>
      <w:r w:rsidRPr="00890249">
        <w:rPr>
          <w:rFonts w:asciiTheme="minorHAnsi" w:eastAsia="Times New Roman" w:hAnsiTheme="minorHAnsi" w:cstheme="minorHAnsi"/>
          <w:noProof/>
          <w:sz w:val="22"/>
          <w:szCs w:val="22"/>
        </w:rPr>
        <w:t xml:space="preserve">. Dokumenty </w:t>
      </w:r>
      <w:r w:rsidR="000B2721">
        <w:rPr>
          <w:rFonts w:asciiTheme="minorHAnsi" w:eastAsia="Times New Roman" w:hAnsiTheme="minorHAnsi" w:cstheme="minorHAnsi"/>
          <w:noProof/>
          <w:sz w:val="22"/>
          <w:szCs w:val="22"/>
        </w:rPr>
        <w:t>te powinny wskazywać, że cele i </w:t>
      </w:r>
      <w:r w:rsidRPr="00890249">
        <w:rPr>
          <w:rFonts w:asciiTheme="minorHAnsi" w:eastAsia="Times New Roman" w:hAnsiTheme="minorHAnsi" w:cstheme="minorHAnsi"/>
          <w:noProof/>
          <w:sz w:val="22"/>
          <w:szCs w:val="22"/>
        </w:rPr>
        <w:t>zastosowane środki w obszarze transportu przewidują redukcję emisji zanieczyszczeń z transportu na odpowiednich obszarach miejskich oraz zmniejszenie udziału indywidualnego transportu zmotoryzowanego w ruchu miejskim lub wskazywać obowiązujące dokumenty zawierające odniesienia do takich kwestii jak: zbiorowy transport pasażerski, transport niezmotoryzowany, wykorzystanie ITS, bezpieczeństwo ruchu drogowego w miastach. W przypadku wymogu przyjęcia SUMP, wymóg ten będzie uznany za spełniony jeżeli plan ten:</w:t>
      </w:r>
    </w:p>
    <w:p w14:paraId="64DDC958" w14:textId="74212DBE" w:rsidR="0093433C" w:rsidRPr="00890249" w:rsidRDefault="006C4787" w:rsidP="00890249">
      <w:pPr>
        <w:pStyle w:val="Tekstpodstawowy"/>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1.</w:t>
      </w:r>
      <w:r w:rsidR="0093433C" w:rsidRPr="00890249">
        <w:rPr>
          <w:rFonts w:asciiTheme="minorHAnsi" w:hAnsiTheme="minorHAnsi" w:cstheme="minorHAnsi"/>
          <w:noProof/>
          <w:sz w:val="22"/>
          <w:szCs w:val="22"/>
        </w:rPr>
        <w:tab/>
      </w:r>
      <w:r w:rsidRPr="00890249">
        <w:rPr>
          <w:rFonts w:asciiTheme="minorHAnsi" w:hAnsiTheme="minorHAnsi" w:cstheme="minorHAnsi"/>
          <w:noProof/>
          <w:sz w:val="22"/>
          <w:szCs w:val="22"/>
        </w:rPr>
        <w:t>będzie obejmował właściwy funkcjonalny obszar miejski</w:t>
      </w:r>
      <w:r w:rsidR="00B119D7" w:rsidRPr="00890249">
        <w:rPr>
          <w:rFonts w:asciiTheme="minorHAnsi" w:hAnsiTheme="minorHAnsi" w:cstheme="minorHAnsi"/>
          <w:noProof/>
          <w:sz w:val="22"/>
          <w:szCs w:val="22"/>
        </w:rPr>
        <w:t>.</w:t>
      </w:r>
    </w:p>
    <w:p w14:paraId="25E98C43" w14:textId="5EFD5CDA" w:rsidR="0093433C" w:rsidRPr="00890249" w:rsidRDefault="006C4787" w:rsidP="00890249">
      <w:pPr>
        <w:pStyle w:val="Lista3"/>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2.</w:t>
      </w:r>
      <w:r w:rsidR="0093433C" w:rsidRPr="00890249">
        <w:rPr>
          <w:rFonts w:asciiTheme="minorHAnsi" w:hAnsiTheme="minorHAnsi" w:cstheme="minorHAnsi"/>
          <w:noProof/>
          <w:sz w:val="22"/>
          <w:szCs w:val="22"/>
        </w:rPr>
        <w:tab/>
      </w:r>
      <w:r w:rsidRPr="00890249">
        <w:rPr>
          <w:rFonts w:asciiTheme="minorHAnsi" w:hAnsiTheme="minorHAnsi" w:cstheme="minorHAnsi"/>
          <w:noProof/>
          <w:sz w:val="22"/>
          <w:szCs w:val="22"/>
        </w:rPr>
        <w:t>będzie zgodny z wymogami SUMP określonymi we właściwym komunikacie KE dotyczącym SUMP oraz rozporządzeniem UE w sprawie sieci TEN-T</w:t>
      </w:r>
      <w:r w:rsidR="00B119D7" w:rsidRPr="00890249">
        <w:rPr>
          <w:rFonts w:asciiTheme="minorHAnsi" w:hAnsiTheme="minorHAnsi" w:cstheme="minorHAnsi"/>
          <w:noProof/>
          <w:sz w:val="22"/>
          <w:szCs w:val="22"/>
        </w:rPr>
        <w:t>.</w:t>
      </w:r>
    </w:p>
    <w:p w14:paraId="62EC44C6" w14:textId="38E003D8" w:rsidR="0093433C" w:rsidRPr="00890249" w:rsidRDefault="006C4787" w:rsidP="00890249">
      <w:pPr>
        <w:pStyle w:val="Lista3"/>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3.</w:t>
      </w:r>
      <w:r w:rsidR="0093433C" w:rsidRPr="00890249">
        <w:rPr>
          <w:rFonts w:asciiTheme="minorHAnsi" w:hAnsiTheme="minorHAnsi" w:cstheme="minorHAnsi"/>
          <w:noProof/>
          <w:sz w:val="22"/>
          <w:szCs w:val="22"/>
        </w:rPr>
        <w:tab/>
      </w:r>
      <w:r w:rsidRPr="00890249">
        <w:rPr>
          <w:rFonts w:asciiTheme="minorHAnsi" w:hAnsiTheme="minorHAnsi" w:cstheme="minorHAnsi"/>
          <w:noProof/>
          <w:sz w:val="22"/>
          <w:szCs w:val="22"/>
        </w:rPr>
        <w:t>będzie przyjęty przez organ właściwy terytorialnie oraz rzeczowo, w sposób zapewniający praktyczną realizację postanowień SUMP.</w:t>
      </w:r>
    </w:p>
    <w:p w14:paraId="2135138A" w14:textId="78EBB7ED" w:rsidR="0093433C" w:rsidRPr="00890249" w:rsidRDefault="07E5CF52" w:rsidP="00890249">
      <w:pPr>
        <w:pStyle w:val="Lista-kontynuacja3"/>
        <w:ind w:left="0"/>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Wszystkie projekty wspierane w ramach celu szczegółowego muszą zakładać rozwiązania dla osób o ograniczonej mobilności oraz uwzględniać systemy informacji wizualnej i głosowej dla osób z innymi niepełnosprawnościami. Priorytetowo będą traktowane inwestycje dotyczące zakupu autobusów bezemisyjnych (wykorzystywanych w transporcie publicznym) wraz z infrastrukturą towarzyszącą. W ramach cs (viii) realizowane będą projekty wyłącznie w miastach i ich obszarach funkcjonalnych (MOF). W przypadku zakupu taboru na potrzeby miejskiej komunikacji transportowej może on być wykorzystywany również w gminach spoza obszaru MOF, jeżeli dana gmina jest objęta częścią usług przewozowych komunikacji miejskiej organizowanej przez jednostki samorządu terytorialnego wchodzące w skład MOF</w:t>
      </w:r>
      <w:r w:rsidR="007F0564" w:rsidRPr="00890249">
        <w:rPr>
          <w:rStyle w:val="Odwoanieprzypisudolnego"/>
          <w:rFonts w:asciiTheme="minorHAnsi" w:eastAsia="Times New Roman" w:hAnsiTheme="minorHAnsi" w:cstheme="minorHAnsi"/>
          <w:noProof/>
          <w:sz w:val="22"/>
          <w:szCs w:val="22"/>
        </w:rPr>
        <w:footnoteReference w:id="150"/>
      </w:r>
      <w:r w:rsidR="00875C92" w:rsidRPr="00890249">
        <w:rPr>
          <w:rFonts w:asciiTheme="minorHAnsi" w:eastAsia="Times New Roman" w:hAnsiTheme="minorHAnsi" w:cstheme="minorHAnsi"/>
          <w:noProof/>
          <w:sz w:val="22"/>
          <w:szCs w:val="22"/>
        </w:rPr>
        <w:t>.</w:t>
      </w:r>
    </w:p>
    <w:p w14:paraId="5C121B2D" w14:textId="31134C69" w:rsidR="0093433C" w:rsidRPr="00890249" w:rsidRDefault="00211E6E" w:rsidP="00890249">
      <w:pPr>
        <w:pStyle w:val="Lista-kontynuacja3"/>
        <w:ind w:left="0"/>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p>
    <w:p w14:paraId="00B48123" w14:textId="4C672BEA"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w:t>
      </w:r>
      <w:r w:rsidR="00875C92" w:rsidRPr="00890249">
        <w:rPr>
          <w:rFonts w:asciiTheme="minorHAnsi" w:eastAsia="Times New Roman" w:hAnsiTheme="minorHAnsi" w:cstheme="minorHAnsi"/>
          <w:noProof/>
          <w:sz w:val="22"/>
          <w:szCs w:val="22"/>
        </w:rPr>
        <w:t>udowa i przebudowa infrastruktury transportu miejskiego, w tym:</w:t>
      </w:r>
    </w:p>
    <w:p w14:paraId="27CABBB6" w14:textId="77777777" w:rsidR="00B72154" w:rsidRPr="00890249" w:rsidRDefault="009736C6" w:rsidP="009F296A">
      <w:pPr>
        <w:pStyle w:val="Akapitzlist"/>
        <w:numPr>
          <w:ilvl w:val="0"/>
          <w:numId w:val="145"/>
        </w:numPr>
        <w:ind w:left="567" w:hanging="283"/>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centra przesiadkowe,</w:t>
      </w:r>
    </w:p>
    <w:p w14:paraId="278FFE1A" w14:textId="77777777" w:rsidR="00B72154" w:rsidRPr="00890249" w:rsidRDefault="6AC5CEFE" w:rsidP="009F296A">
      <w:pPr>
        <w:pStyle w:val="Akapitzlist"/>
        <w:numPr>
          <w:ilvl w:val="0"/>
          <w:numId w:val="145"/>
        </w:numPr>
        <w:ind w:left="567" w:hanging="283"/>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obiekty P&amp;R (wyłącznie na obrzeżach miast)</w:t>
      </w:r>
      <w:r w:rsidR="009736C6" w:rsidRPr="00890249">
        <w:rPr>
          <w:rStyle w:val="Odwoanieprzypisudolnego"/>
          <w:rFonts w:asciiTheme="minorHAnsi" w:eastAsia="Times New Roman" w:hAnsiTheme="minorHAnsi" w:cstheme="minorHAnsi"/>
          <w:noProof/>
          <w:sz w:val="22"/>
          <w:szCs w:val="22"/>
        </w:rPr>
        <w:footnoteReference w:id="151"/>
      </w:r>
      <w:r w:rsidRPr="00890249">
        <w:rPr>
          <w:rFonts w:asciiTheme="minorHAnsi" w:eastAsia="Times New Roman" w:hAnsiTheme="minorHAnsi" w:cstheme="minorHAnsi"/>
          <w:noProof/>
          <w:sz w:val="22"/>
          <w:szCs w:val="22"/>
        </w:rPr>
        <w:t>, B&amp;R,</w:t>
      </w:r>
    </w:p>
    <w:p w14:paraId="5A13E746" w14:textId="5FD3BEB7" w:rsidR="00B72154" w:rsidRPr="00890249" w:rsidRDefault="009736C6" w:rsidP="009F296A">
      <w:pPr>
        <w:pStyle w:val="Akapitzlist"/>
        <w:numPr>
          <w:ilvl w:val="0"/>
          <w:numId w:val="145"/>
        </w:numPr>
        <w:ind w:left="567" w:hanging="283"/>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niskoemisyjny i zeroemisyjny tabor autobusowy</w:t>
      </w:r>
      <w:r w:rsidR="0097068C" w:rsidRPr="00890249">
        <w:rPr>
          <w:rFonts w:asciiTheme="minorHAnsi" w:eastAsia="Times New Roman" w:hAnsiTheme="minorHAnsi" w:cstheme="minorHAnsi"/>
          <w:noProof/>
          <w:sz w:val="22"/>
          <w:szCs w:val="22"/>
        </w:rPr>
        <w:t>,</w:t>
      </w:r>
    </w:p>
    <w:p w14:paraId="489C56FC" w14:textId="77777777" w:rsidR="00B72154" w:rsidRPr="00890249" w:rsidRDefault="009736C6" w:rsidP="009F296A">
      <w:pPr>
        <w:pStyle w:val="Akapitzlist"/>
        <w:numPr>
          <w:ilvl w:val="0"/>
          <w:numId w:val="145"/>
        </w:numPr>
        <w:ind w:left="567" w:hanging="283"/>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inwestycje ograniczające indywidualny ruch zmotoryzowany w centrach miast (ciągi piesze, </w:t>
      </w:r>
      <w:r w:rsidR="008374CE" w:rsidRPr="00890249">
        <w:rPr>
          <w:rFonts w:asciiTheme="minorHAnsi" w:eastAsia="Times New Roman" w:hAnsiTheme="minorHAnsi" w:cstheme="minorHAnsi"/>
          <w:noProof/>
          <w:sz w:val="22"/>
          <w:szCs w:val="22"/>
        </w:rPr>
        <w:t xml:space="preserve">wspólny bilet, przejścia dla </w:t>
      </w:r>
      <w:r w:rsidRPr="00890249">
        <w:rPr>
          <w:rFonts w:asciiTheme="minorHAnsi" w:eastAsia="Times New Roman" w:hAnsiTheme="minorHAnsi" w:cstheme="minorHAnsi"/>
          <w:noProof/>
          <w:sz w:val="22"/>
          <w:szCs w:val="22"/>
        </w:rPr>
        <w:t>pieszych, azyle dla pieszych),</w:t>
      </w:r>
    </w:p>
    <w:p w14:paraId="30C1EEF2" w14:textId="77777777" w:rsidR="00B72154" w:rsidRPr="00890249" w:rsidRDefault="009736C6" w:rsidP="009F296A">
      <w:pPr>
        <w:pStyle w:val="Akapitzlist"/>
        <w:numPr>
          <w:ilvl w:val="0"/>
          <w:numId w:val="145"/>
        </w:numPr>
        <w:ind w:left="567" w:hanging="283"/>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lastRenderedPageBreak/>
        <w:t xml:space="preserve">drogi rowerowe, ciągi pieszo-rowerowe w obszarze funkcjonalnym miast – w przypadku łączenia </w:t>
      </w:r>
      <w:r w:rsidR="008374CE" w:rsidRPr="00890249">
        <w:rPr>
          <w:rFonts w:asciiTheme="minorHAnsi" w:eastAsia="Times New Roman" w:hAnsiTheme="minorHAnsi" w:cstheme="minorHAnsi"/>
          <w:noProof/>
          <w:sz w:val="22"/>
          <w:szCs w:val="22"/>
        </w:rPr>
        <w:t>miejscowości przebieg drogi rowerowej na obszarze wiejskim musi być uzasadniony</w:t>
      </w:r>
      <w:r w:rsidRPr="00890249">
        <w:rPr>
          <w:rFonts w:asciiTheme="minorHAnsi" w:eastAsia="Times New Roman" w:hAnsiTheme="minorHAnsi" w:cstheme="minorHAnsi"/>
          <w:noProof/>
          <w:sz w:val="22"/>
          <w:szCs w:val="22"/>
        </w:rPr>
        <w:t xml:space="preserve"> </w:t>
      </w:r>
      <w:r w:rsidR="008374CE" w:rsidRPr="00890249">
        <w:rPr>
          <w:rFonts w:asciiTheme="minorHAnsi" w:eastAsia="Times New Roman" w:hAnsiTheme="minorHAnsi" w:cstheme="minorHAnsi"/>
          <w:noProof/>
          <w:sz w:val="22"/>
          <w:szCs w:val="22"/>
        </w:rPr>
        <w:t>połączeniem drogi rowerowej z d</w:t>
      </w:r>
      <w:r w:rsidR="00737CAE" w:rsidRPr="00890249">
        <w:rPr>
          <w:rFonts w:asciiTheme="minorHAnsi" w:eastAsia="Times New Roman" w:hAnsiTheme="minorHAnsi" w:cstheme="minorHAnsi"/>
          <w:noProof/>
          <w:sz w:val="22"/>
          <w:szCs w:val="22"/>
        </w:rPr>
        <w:t xml:space="preserve">ojazdem do miejsca pracy, nauki, usług </w:t>
      </w:r>
      <w:r w:rsidR="008374CE" w:rsidRPr="00890249">
        <w:rPr>
          <w:rFonts w:asciiTheme="minorHAnsi" w:eastAsia="Times New Roman" w:hAnsiTheme="minorHAnsi" w:cstheme="minorHAnsi"/>
          <w:noProof/>
          <w:sz w:val="22"/>
          <w:szCs w:val="22"/>
        </w:rPr>
        <w:t>lub centrum przesiadkowego;</w:t>
      </w:r>
      <w:r w:rsidRPr="00890249">
        <w:rPr>
          <w:rFonts w:asciiTheme="minorHAnsi" w:eastAsia="Times New Roman" w:hAnsiTheme="minorHAnsi" w:cstheme="minorHAnsi"/>
          <w:noProof/>
          <w:sz w:val="22"/>
          <w:szCs w:val="22"/>
        </w:rPr>
        <w:t xml:space="preserve"> </w:t>
      </w:r>
      <w:r w:rsidR="008374CE" w:rsidRPr="00890249">
        <w:rPr>
          <w:rFonts w:asciiTheme="minorHAnsi" w:eastAsia="Times New Roman" w:hAnsiTheme="minorHAnsi" w:cstheme="minorHAnsi"/>
          <w:noProof/>
          <w:sz w:val="22"/>
          <w:szCs w:val="22"/>
        </w:rPr>
        <w:t>wsparcie przeznaczone będzie również na infrastrukturę towarzyszącą taką jak: stojaki, wiaty</w:t>
      </w:r>
      <w:r w:rsidRPr="00890249">
        <w:rPr>
          <w:rFonts w:asciiTheme="minorHAnsi" w:eastAsia="Times New Roman" w:hAnsiTheme="minorHAnsi" w:cstheme="minorHAnsi"/>
          <w:noProof/>
          <w:sz w:val="22"/>
          <w:szCs w:val="22"/>
        </w:rPr>
        <w:t xml:space="preserve"> </w:t>
      </w:r>
      <w:r w:rsidR="008374CE" w:rsidRPr="00890249">
        <w:rPr>
          <w:rFonts w:asciiTheme="minorHAnsi" w:eastAsia="Times New Roman" w:hAnsiTheme="minorHAnsi" w:cstheme="minorHAnsi"/>
          <w:noProof/>
          <w:sz w:val="22"/>
          <w:szCs w:val="22"/>
        </w:rPr>
        <w:t>rowerowe, stacje samoobsł</w:t>
      </w:r>
      <w:r w:rsidRPr="00890249">
        <w:rPr>
          <w:rFonts w:asciiTheme="minorHAnsi" w:eastAsia="Times New Roman" w:hAnsiTheme="minorHAnsi" w:cstheme="minorHAnsi"/>
          <w:noProof/>
          <w:sz w:val="22"/>
          <w:szCs w:val="22"/>
        </w:rPr>
        <w:t>ugowej naprawy rowerów,</w:t>
      </w:r>
    </w:p>
    <w:p w14:paraId="1AF874E3" w14:textId="77777777" w:rsidR="00B72154" w:rsidRPr="00890249" w:rsidRDefault="009736C6" w:rsidP="009F296A">
      <w:pPr>
        <w:pStyle w:val="Akapitzlist"/>
        <w:numPr>
          <w:ilvl w:val="0"/>
          <w:numId w:val="145"/>
        </w:numPr>
        <w:ind w:left="567" w:hanging="283"/>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 xml:space="preserve">przystanki, wysepki, infrastruktura punktowa służąca poprawie jakości </w:t>
      </w:r>
      <w:r w:rsidR="00C04B0F" w:rsidRPr="00890249">
        <w:rPr>
          <w:rFonts w:asciiTheme="minorHAnsi" w:eastAsia="Times New Roman" w:hAnsiTheme="minorHAnsi" w:cstheme="minorHAnsi"/>
          <w:noProof/>
          <w:sz w:val="22"/>
          <w:szCs w:val="22"/>
        </w:rPr>
        <w:t xml:space="preserve">publicznego </w:t>
      </w:r>
      <w:r w:rsidRPr="00890249">
        <w:rPr>
          <w:rFonts w:asciiTheme="minorHAnsi" w:eastAsia="Times New Roman" w:hAnsiTheme="minorHAnsi" w:cstheme="minorHAnsi"/>
          <w:noProof/>
          <w:sz w:val="22"/>
          <w:szCs w:val="22"/>
        </w:rPr>
        <w:t>transportu miejskiego</w:t>
      </w:r>
      <w:r w:rsidR="00892114" w:rsidRPr="00890249">
        <w:rPr>
          <w:rFonts w:asciiTheme="minorHAnsi" w:eastAsia="Times New Roman" w:hAnsiTheme="minorHAnsi" w:cstheme="minorHAnsi"/>
          <w:noProof/>
          <w:sz w:val="22"/>
          <w:szCs w:val="22"/>
        </w:rPr>
        <w:t>.</w:t>
      </w:r>
    </w:p>
    <w:p w14:paraId="10C2A175" w14:textId="6E872007"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Z</w:t>
      </w:r>
      <w:r w:rsidR="008374CE" w:rsidRPr="00890249">
        <w:rPr>
          <w:rFonts w:asciiTheme="minorHAnsi" w:eastAsia="Times New Roman" w:hAnsiTheme="minorHAnsi" w:cstheme="minorHAnsi"/>
          <w:noProof/>
          <w:sz w:val="22"/>
          <w:szCs w:val="22"/>
        </w:rPr>
        <w:t>aplecze techniczne do obsługi taboru, modernizacja zajezdni autobusowych wraz z infrastrukturą do</w:t>
      </w:r>
      <w:r w:rsidR="009736C6" w:rsidRPr="00890249">
        <w:rPr>
          <w:rFonts w:asciiTheme="minorHAnsi" w:eastAsia="Times New Roman" w:hAnsiTheme="minorHAnsi" w:cstheme="minorHAnsi"/>
          <w:noProof/>
          <w:sz w:val="22"/>
          <w:szCs w:val="22"/>
        </w:rPr>
        <w:t xml:space="preserve"> </w:t>
      </w:r>
      <w:r w:rsidR="008374CE" w:rsidRPr="00890249">
        <w:rPr>
          <w:rFonts w:asciiTheme="minorHAnsi" w:eastAsia="Times New Roman" w:hAnsiTheme="minorHAnsi" w:cstheme="minorHAnsi"/>
          <w:noProof/>
          <w:sz w:val="22"/>
          <w:szCs w:val="22"/>
        </w:rPr>
        <w:t>ładowania i tankowania pojazdów</w:t>
      </w:r>
      <w:r w:rsidR="00737CAE" w:rsidRPr="00890249">
        <w:rPr>
          <w:rFonts w:asciiTheme="minorHAnsi" w:eastAsia="Times New Roman" w:hAnsiTheme="minorHAnsi" w:cstheme="minorHAnsi"/>
          <w:noProof/>
          <w:sz w:val="22"/>
          <w:szCs w:val="22"/>
        </w:rPr>
        <w:t xml:space="preserve"> </w:t>
      </w:r>
      <w:r w:rsidR="008374CE" w:rsidRPr="00890249">
        <w:rPr>
          <w:rFonts w:asciiTheme="minorHAnsi" w:eastAsia="Times New Roman" w:hAnsiTheme="minorHAnsi" w:cstheme="minorHAnsi"/>
          <w:noProof/>
          <w:sz w:val="22"/>
          <w:szCs w:val="22"/>
        </w:rPr>
        <w:t>zeroemisyjnych</w:t>
      </w:r>
      <w:r w:rsidR="00892114" w:rsidRPr="00890249">
        <w:rPr>
          <w:rFonts w:asciiTheme="minorHAnsi" w:eastAsia="Times New Roman" w:hAnsiTheme="minorHAnsi" w:cstheme="minorHAnsi"/>
          <w:noProof/>
          <w:sz w:val="22"/>
          <w:szCs w:val="22"/>
        </w:rPr>
        <w:t>.</w:t>
      </w:r>
    </w:p>
    <w:p w14:paraId="15B8D2D5" w14:textId="12462CE3"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I</w:t>
      </w:r>
      <w:r w:rsidR="00875C92" w:rsidRPr="00890249">
        <w:rPr>
          <w:rFonts w:asciiTheme="minorHAnsi" w:eastAsia="Times New Roman" w:hAnsiTheme="minorHAnsi" w:cstheme="minorHAnsi"/>
          <w:noProof/>
          <w:sz w:val="22"/>
          <w:szCs w:val="22"/>
        </w:rPr>
        <w:t>nwestycje w infrastrukturę drogową transportu publicznego (np. buspasy, przebudowa skrzyżowań w celu ułatwienia oraz/lub nadania priorytetu transportowi publicznemu w ruchu: pasy skrętów dla autobusów, śluzy na skrzyżowaniach, infrastruktura drogowa przy pętlach autobusowych, stacjach kolejowych lub obiektach P&amp;R, B&amp;R wraz z odcinkami dróg łączących je bezpośrednio z drogami miejskimi, budowa/przebudowa kanalizacji teletechnicznej, wyposażenie dróg i ulic w niezbędne obiekty i urządzenia drogowe służące bezpieczeństwu ruchu pojazdów transportu publicznego) – jako element projektu</w:t>
      </w:r>
      <w:r w:rsidR="00892114" w:rsidRPr="00890249">
        <w:rPr>
          <w:rFonts w:asciiTheme="minorHAnsi" w:eastAsia="Times New Roman" w:hAnsiTheme="minorHAnsi" w:cstheme="minorHAnsi"/>
          <w:noProof/>
          <w:sz w:val="22"/>
          <w:szCs w:val="22"/>
        </w:rPr>
        <w:t>.</w:t>
      </w:r>
      <w:r w:rsidR="00875C92" w:rsidRPr="00890249">
        <w:rPr>
          <w:rFonts w:asciiTheme="minorHAnsi" w:eastAsia="Times New Roman" w:hAnsiTheme="minorHAnsi" w:cstheme="minorHAnsi"/>
          <w:noProof/>
          <w:sz w:val="22"/>
          <w:szCs w:val="22"/>
        </w:rPr>
        <w:t xml:space="preserve"> </w:t>
      </w:r>
    </w:p>
    <w:p w14:paraId="4006069B" w14:textId="40204C31"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I</w:t>
      </w:r>
      <w:r w:rsidR="00875C92" w:rsidRPr="00890249">
        <w:rPr>
          <w:rFonts w:asciiTheme="minorHAnsi" w:eastAsia="Times New Roman" w:hAnsiTheme="minorHAnsi" w:cstheme="minorHAnsi"/>
          <w:noProof/>
          <w:sz w:val="22"/>
          <w:szCs w:val="22"/>
        </w:rPr>
        <w:t>nwestycje (budowa, rozbudowa) związane z systemami zarządzania ruchem (ITS)</w:t>
      </w:r>
      <w:r w:rsidR="008C4C07" w:rsidRPr="00890249">
        <w:rPr>
          <w:rStyle w:val="Odwoanieprzypisudolnego"/>
          <w:rFonts w:asciiTheme="minorHAnsi" w:eastAsia="Times New Roman" w:hAnsiTheme="minorHAnsi" w:cstheme="minorHAnsi"/>
          <w:noProof/>
          <w:sz w:val="22"/>
          <w:szCs w:val="22"/>
        </w:rPr>
        <w:footnoteReference w:id="152"/>
      </w:r>
      <w:r w:rsidR="00892114" w:rsidRPr="00890249">
        <w:rPr>
          <w:rFonts w:asciiTheme="minorHAnsi" w:eastAsia="Times New Roman" w:hAnsiTheme="minorHAnsi" w:cstheme="minorHAnsi"/>
          <w:noProof/>
          <w:sz w:val="22"/>
          <w:szCs w:val="22"/>
        </w:rPr>
        <w:t>.</w:t>
      </w:r>
    </w:p>
    <w:p w14:paraId="052E87E2" w14:textId="00012496"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I</w:t>
      </w:r>
      <w:r w:rsidR="00875C92" w:rsidRPr="00890249">
        <w:rPr>
          <w:rFonts w:asciiTheme="minorHAnsi" w:eastAsia="Times New Roman" w:hAnsiTheme="minorHAnsi" w:cstheme="minorHAnsi"/>
          <w:noProof/>
          <w:sz w:val="22"/>
          <w:szCs w:val="22"/>
        </w:rPr>
        <w:t>nwestycje związane z energooszczędnym oświetleniem ulicznym i drogowym, jako element projektu związanego z infrastrukturą transportową</w:t>
      </w:r>
      <w:r w:rsidR="00892114" w:rsidRPr="00890249">
        <w:rPr>
          <w:rFonts w:asciiTheme="minorHAnsi" w:eastAsia="Times New Roman" w:hAnsiTheme="minorHAnsi" w:cstheme="minorHAnsi"/>
          <w:noProof/>
          <w:sz w:val="22"/>
          <w:szCs w:val="22"/>
        </w:rPr>
        <w:t>.</w:t>
      </w:r>
      <w:r w:rsidR="00875C92" w:rsidRPr="00890249">
        <w:rPr>
          <w:rFonts w:asciiTheme="minorHAnsi" w:eastAsia="Times New Roman" w:hAnsiTheme="minorHAnsi" w:cstheme="minorHAnsi"/>
          <w:noProof/>
          <w:sz w:val="22"/>
          <w:szCs w:val="22"/>
        </w:rPr>
        <w:t xml:space="preserve"> </w:t>
      </w:r>
    </w:p>
    <w:p w14:paraId="090E8835" w14:textId="2AF8338C"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B</w:t>
      </w:r>
      <w:r w:rsidR="00875C92" w:rsidRPr="00890249">
        <w:rPr>
          <w:rFonts w:asciiTheme="minorHAnsi" w:eastAsia="Times New Roman" w:hAnsiTheme="minorHAnsi" w:cstheme="minorHAnsi"/>
          <w:noProof/>
          <w:sz w:val="22"/>
          <w:szCs w:val="22"/>
        </w:rPr>
        <w:t>udowa i rozbudowa infrastruktury ładowania i tankowania pojazdów bezemisyjnych indywidualnych, zapewniającej niedyskryminacyjny dostęp wszystkich użytkowników</w:t>
      </w:r>
      <w:r w:rsidR="00892114" w:rsidRPr="00890249">
        <w:rPr>
          <w:rFonts w:asciiTheme="minorHAnsi" w:eastAsia="Times New Roman" w:hAnsiTheme="minorHAnsi" w:cstheme="minorHAnsi"/>
          <w:noProof/>
          <w:sz w:val="22"/>
          <w:szCs w:val="22"/>
        </w:rPr>
        <w:t>.</w:t>
      </w:r>
    </w:p>
    <w:p w14:paraId="0D8C1859" w14:textId="0EDE528F"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D</w:t>
      </w:r>
      <w:r w:rsidR="00875C92" w:rsidRPr="00890249">
        <w:rPr>
          <w:rFonts w:asciiTheme="minorHAnsi" w:eastAsia="Times New Roman" w:hAnsiTheme="minorHAnsi" w:cstheme="minorHAnsi"/>
          <w:noProof/>
          <w:sz w:val="22"/>
          <w:szCs w:val="22"/>
        </w:rPr>
        <w:t>ziałania info-promo i edu. podnoszące świadomość mieszkańców i władz w zakresie propagowania i promocji korzystania z transportu zbiorowego i zniemotoryzowanego oraz bezpieczeństwa korzystania z niego</w:t>
      </w:r>
      <w:r w:rsidR="00892114" w:rsidRPr="00890249">
        <w:rPr>
          <w:rFonts w:asciiTheme="minorHAnsi" w:eastAsia="Times New Roman" w:hAnsiTheme="minorHAnsi" w:cstheme="minorHAnsi"/>
          <w:noProof/>
          <w:sz w:val="22"/>
          <w:szCs w:val="22"/>
        </w:rPr>
        <w:t>.</w:t>
      </w:r>
    </w:p>
    <w:p w14:paraId="528EBF8F" w14:textId="0212037B" w:rsidR="00B72154" w:rsidRPr="00890249" w:rsidRDefault="00B64C9B" w:rsidP="009F296A">
      <w:pPr>
        <w:pStyle w:val="Akapitzlist"/>
        <w:numPr>
          <w:ilvl w:val="0"/>
          <w:numId w:val="140"/>
        </w:numPr>
        <w:ind w:left="284" w:hanging="284"/>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R</w:t>
      </w:r>
      <w:r w:rsidR="00875C92" w:rsidRPr="00890249">
        <w:rPr>
          <w:rFonts w:asciiTheme="minorHAnsi" w:eastAsia="Times New Roman" w:hAnsiTheme="minorHAnsi" w:cstheme="minorHAnsi"/>
          <w:noProof/>
          <w:sz w:val="22"/>
          <w:szCs w:val="22"/>
        </w:rPr>
        <w:t xml:space="preserve">ealizacja działań związanych z przygotowaniem i aktualizacją planów zrównoważonej mobilności miejskiej (SUMP). </w:t>
      </w:r>
    </w:p>
    <w:p w14:paraId="277B0784" w14:textId="081C3CC2"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57DDB9E1" w14:textId="77777777" w:rsidR="0093433C" w:rsidRPr="00890249" w:rsidRDefault="00654CF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Wszystkie działania w obszarze transportu miejskiego zarówno w zakresie infrastruktury</w:t>
      </w:r>
      <w:r w:rsidR="00645D22"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jak i taboru będą zapewniać dostępność dla osób do ograniczonej mobilności oraz z niepełnosprawnościami.</w:t>
      </w:r>
    </w:p>
    <w:p w14:paraId="19F710AC" w14:textId="29FBA4D0" w:rsidR="0093433C" w:rsidRPr="00890249" w:rsidRDefault="00426D4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Wsparciem nie będą objęte inwestycje w infrastrukturę drogową wykorzystywaną do ruchu pojazdów samochodowych nie wykorzystywanych w transporcie publicznym, z wyjątkiem narzędzi cyfrowych, obiektów „park&amp;ride” i środków ukierunkowanych na poprawę bezpieczeństwa niechronionych użytkowników dróg</w:t>
      </w:r>
      <w:r w:rsidR="00F357EE"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w tym pieszych i rowerzystów.</w:t>
      </w:r>
    </w:p>
    <w:p w14:paraId="6BCFC74A" w14:textId="77777777" w:rsidR="0093433C" w:rsidRPr="00890249" w:rsidRDefault="0041416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Priorytetowe wsparcie otrzymają projekty powiązane z wprowadzaniem integracji taryfowej oraz wdrażaniem koncepcji „Mobilność jako usługa” (MaaS). </w:t>
      </w:r>
    </w:p>
    <w:p w14:paraId="1CCB073C" w14:textId="76CF10A0"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370726EA" w14:textId="77777777" w:rsidR="0093433C" w:rsidRPr="00890249" w:rsidRDefault="003421B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Mieszkańcy regionu, turyści, przedsiębiorcy.  </w:t>
      </w:r>
    </w:p>
    <w:p w14:paraId="28F15278" w14:textId="77777777" w:rsidR="0097068C" w:rsidRPr="00890249" w:rsidRDefault="0097068C" w:rsidP="0097068C">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2489A1AA" w14:textId="77777777" w:rsidR="0093433C" w:rsidRPr="00890249" w:rsidRDefault="1FF26BB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 uwagi na zakres tematyczny celu szczegółowego działania obejmować będą m.in. konieczność zapewnienia równego dostępu do produktów, rezultatów projektu dla wszystkich odbiorców poprzez wymóg zasady uniwersalnego projektowania.</w:t>
      </w:r>
    </w:p>
    <w:p w14:paraId="0ECDA31E" w14:textId="48969856" w:rsidR="0093433C" w:rsidRPr="00890249" w:rsidRDefault="1FF26BB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Infrastruktura transportowa oraz tabor będą dostosowane do potrzeb osób ze szczególnymi potrzebami. Celem działań (w zakresie infrastruktury) oraz konstruktorskich (w zakresie taboru) jest </w:t>
      </w:r>
      <w:r w:rsidRPr="00890249">
        <w:rPr>
          <w:rFonts w:asciiTheme="minorHAnsi" w:hAnsiTheme="minorHAnsi" w:cstheme="minorHAnsi"/>
          <w:noProof/>
          <w:sz w:val="22"/>
          <w:szCs w:val="22"/>
        </w:rPr>
        <w:lastRenderedPageBreak/>
        <w:t>dostosowanie infrastruktury i pojazdów do potrzeb m.in. OzN. a stron internetowych zgodnych</w:t>
      </w:r>
      <w:r w:rsidR="000B2721">
        <w:rPr>
          <w:rFonts w:asciiTheme="minorHAnsi" w:hAnsiTheme="minorHAnsi" w:cstheme="minorHAnsi"/>
          <w:noProof/>
          <w:sz w:val="22"/>
          <w:szCs w:val="22"/>
        </w:rPr>
        <w:t xml:space="preserve"> z </w:t>
      </w:r>
      <w:r w:rsidRPr="00890249">
        <w:rPr>
          <w:rFonts w:asciiTheme="minorHAnsi" w:hAnsiTheme="minorHAnsi" w:cstheme="minorHAnsi"/>
          <w:noProof/>
          <w:sz w:val="22"/>
          <w:szCs w:val="22"/>
        </w:rPr>
        <w:t>WCAG 2.1. Przy projektowaniu i wdrażaniu przedsięwzięć infarstr</w:t>
      </w:r>
      <w:r w:rsidR="000B2721">
        <w:rPr>
          <w:rFonts w:asciiTheme="minorHAnsi" w:hAnsiTheme="minorHAnsi" w:cstheme="minorHAnsi"/>
          <w:noProof/>
          <w:sz w:val="22"/>
          <w:szCs w:val="22"/>
        </w:rPr>
        <w:t>ukturalnych i organizacyjnych z </w:t>
      </w:r>
      <w:r w:rsidRPr="00890249">
        <w:rPr>
          <w:rFonts w:asciiTheme="minorHAnsi" w:hAnsiTheme="minorHAnsi" w:cstheme="minorHAnsi"/>
          <w:noProof/>
          <w:sz w:val="22"/>
          <w:szCs w:val="22"/>
        </w:rPr>
        <w:t>zakresu mobilności będą podejmowane obligatoryjne działania na rzecz wyrównywania szans oraz przeciwdziałania dyskryminacji w dostępie do infrastruktury i usług transportu miejskiego, zgodnie ze standardem: transportowym, architektonicznym oraz cyfrowym. Wobec czego wspierana infrastruktura, tabor miejski oraz oferta przewozowa będą odpowiadały także na specyficzne potrzeby wszystkich potencjalnych użytkowników, w szczególnoś</w:t>
      </w:r>
      <w:r w:rsidR="000B2721">
        <w:rPr>
          <w:rFonts w:asciiTheme="minorHAnsi" w:hAnsiTheme="minorHAnsi" w:cstheme="minorHAnsi"/>
          <w:noProof/>
          <w:sz w:val="22"/>
          <w:szCs w:val="22"/>
        </w:rPr>
        <w:t>ci uwzględniały potrzeby osób w </w:t>
      </w:r>
      <w:r w:rsidRPr="00890249">
        <w:rPr>
          <w:rFonts w:asciiTheme="minorHAnsi" w:hAnsiTheme="minorHAnsi" w:cstheme="minorHAnsi"/>
          <w:noProof/>
          <w:sz w:val="22"/>
          <w:szCs w:val="22"/>
        </w:rPr>
        <w:t>niekorzystnej sytuacji: kobiet, osób z niepełnosprawn</w:t>
      </w:r>
      <w:r w:rsidR="000B2721">
        <w:rPr>
          <w:rFonts w:asciiTheme="minorHAnsi" w:hAnsiTheme="minorHAnsi" w:cstheme="minorHAnsi"/>
          <w:noProof/>
          <w:sz w:val="22"/>
          <w:szCs w:val="22"/>
        </w:rPr>
        <w:t>ościami, osób straszych, osób o </w:t>
      </w:r>
      <w:r w:rsidRPr="00890249">
        <w:rPr>
          <w:rFonts w:asciiTheme="minorHAnsi" w:hAnsiTheme="minorHAnsi" w:cstheme="minorHAnsi"/>
          <w:noProof/>
          <w:sz w:val="22"/>
          <w:szCs w:val="22"/>
        </w:rPr>
        <w:t xml:space="preserve">ograniczonych możliwościach poruszania się, opiekunów z dziećmi czy osobami zależnymi. Działania będą polegały na dostosowaniu miejskiej infrastruktury transportowej, w tym środków transportu zbiorowego, parkingów do specyficznych potrzeb </w:t>
      </w:r>
      <w:r w:rsidR="000B2721">
        <w:rPr>
          <w:rFonts w:asciiTheme="minorHAnsi" w:hAnsiTheme="minorHAnsi" w:cstheme="minorHAnsi"/>
          <w:noProof/>
          <w:sz w:val="22"/>
          <w:szCs w:val="22"/>
        </w:rPr>
        <w:t>wszystkich potencjalnych osób w </w:t>
      </w:r>
      <w:r w:rsidRPr="00890249">
        <w:rPr>
          <w:rFonts w:asciiTheme="minorHAnsi" w:hAnsiTheme="minorHAnsi" w:cstheme="minorHAnsi"/>
          <w:noProof/>
          <w:sz w:val="22"/>
          <w:szCs w:val="22"/>
        </w:rPr>
        <w:t>niekorzystnej sytuacji poprzez stosowanie kryteriów premiujących za zaplanowanie działań wyrównujących szanse ww. grup zagrożonych dyskryminacją. Cele</w:t>
      </w:r>
      <w:r w:rsidR="000B2721">
        <w:rPr>
          <w:rFonts w:asciiTheme="minorHAnsi" w:hAnsiTheme="minorHAnsi" w:cstheme="minorHAnsi"/>
          <w:noProof/>
          <w:sz w:val="22"/>
          <w:szCs w:val="22"/>
        </w:rPr>
        <w:t>m podejmowanych działań m.in. w </w:t>
      </w:r>
      <w:r w:rsidRPr="00890249">
        <w:rPr>
          <w:rFonts w:asciiTheme="minorHAnsi" w:hAnsiTheme="minorHAnsi" w:cstheme="minorHAnsi"/>
          <w:noProof/>
          <w:sz w:val="22"/>
          <w:szCs w:val="22"/>
        </w:rPr>
        <w:t>zakresie infrastruktury miejskiej, obiektów inżynieryjnych i obiektów obsługi podróżnych będzie eliminacja barier i zwiększenie dostępności dla osób ze szczególnymi potrzebami. Inwestycje będą również uwzględniać kwestie bezpieczeństwa, w szczególności na rzecz kobiet i niezmotoryzowanych uczestników ruchu.</w:t>
      </w:r>
    </w:p>
    <w:p w14:paraId="714BB828" w14:textId="796E143A" w:rsidR="0093433C" w:rsidRPr="00890249" w:rsidRDefault="1FF26BB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celu uniknięci</w:t>
      </w:r>
      <w:r w:rsidR="00F357EE" w:rsidRPr="00890249">
        <w:rPr>
          <w:rFonts w:asciiTheme="minorHAnsi" w:hAnsiTheme="minorHAnsi" w:cstheme="minorHAnsi"/>
          <w:noProof/>
          <w:sz w:val="22"/>
          <w:szCs w:val="22"/>
        </w:rPr>
        <w:t>a</w:t>
      </w:r>
      <w:r w:rsidRPr="00890249">
        <w:rPr>
          <w:rFonts w:asciiTheme="minorHAnsi" w:hAnsiTheme="minorHAnsi" w:cstheme="minorHAnsi"/>
          <w:noProof/>
          <w:sz w:val="22"/>
          <w:szCs w:val="22"/>
        </w:rPr>
        <w:t xml:space="preserve"> dyskryminacji pośredniej, jaką jest nierówny dostęp do informacji, której doświadczają osoby państw trzecich</w:t>
      </w:r>
      <w:r w:rsidR="00F357EE"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zaplanowane zostaną działania by zapewnić powszechnie dostępne, przejrzyste i aktualizowane przez kompetentne instytucje informacje w językach obcych (</w:t>
      </w:r>
      <w:r w:rsidR="00A15DBF" w:rsidRPr="00890249">
        <w:rPr>
          <w:rFonts w:asciiTheme="minorHAnsi" w:hAnsiTheme="minorHAnsi" w:cstheme="minorHAnsi"/>
          <w:noProof/>
          <w:sz w:val="22"/>
          <w:szCs w:val="22"/>
        </w:rPr>
        <w:t xml:space="preserve">np. </w:t>
      </w:r>
      <w:r w:rsidRPr="00890249">
        <w:rPr>
          <w:rFonts w:asciiTheme="minorHAnsi" w:hAnsiTheme="minorHAnsi" w:cstheme="minorHAnsi"/>
          <w:noProof/>
          <w:sz w:val="22"/>
          <w:szCs w:val="22"/>
        </w:rPr>
        <w:t>angielski</w:t>
      </w:r>
      <w:r w:rsidR="00A15DBF" w:rsidRPr="00890249">
        <w:rPr>
          <w:rFonts w:asciiTheme="minorHAnsi" w:hAnsiTheme="minorHAnsi" w:cstheme="minorHAnsi"/>
          <w:noProof/>
          <w:sz w:val="22"/>
          <w:szCs w:val="22"/>
        </w:rPr>
        <w:t>,</w:t>
      </w:r>
      <w:r w:rsidRPr="00890249">
        <w:rPr>
          <w:rFonts w:asciiTheme="minorHAnsi" w:hAnsiTheme="minorHAnsi" w:cstheme="minorHAnsi"/>
          <w:noProof/>
          <w:sz w:val="22"/>
          <w:szCs w:val="22"/>
        </w:rPr>
        <w:t>ukraiński).</w:t>
      </w:r>
    </w:p>
    <w:p w14:paraId="77E2C23D" w14:textId="77777777" w:rsidR="0097068C" w:rsidRPr="00890249" w:rsidRDefault="0097068C" w:rsidP="0097068C">
      <w:pPr>
        <w:pStyle w:val="Tekstpodstawowy"/>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Wskazanie konkretnych terytoriów objętych wsparciem, z uwzględnieniem planowanego wykorzystania narzędzi terytorialnych</w:t>
      </w:r>
    </w:p>
    <w:p w14:paraId="28FBA5EC" w14:textId="77777777" w:rsidR="0093433C" w:rsidRPr="00890249" w:rsidRDefault="00737CA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Wsparciem zostanie objęty cały obszar województa opolskiego. </w:t>
      </w:r>
    </w:p>
    <w:p w14:paraId="5A8DC8ED" w14:textId="77777777" w:rsidR="00CF1E38" w:rsidRPr="00CF1E38" w:rsidRDefault="00CF1E38" w:rsidP="00CF1E38">
      <w:pPr>
        <w:pStyle w:val="Tekstpodstawowy"/>
        <w:rPr>
          <w:rFonts w:asciiTheme="minorHAnsi" w:hAnsiTheme="minorHAnsi" w:cstheme="minorHAnsi"/>
          <w:noProof/>
          <w:sz w:val="22"/>
          <w:szCs w:val="22"/>
        </w:rPr>
      </w:pPr>
      <w:r w:rsidRPr="00CF1E38">
        <w:rPr>
          <w:rFonts w:asciiTheme="minorHAnsi" w:hAnsiTheme="minorHAnsi" w:cstheme="minorHAnsi"/>
          <w:noProof/>
          <w:sz w:val="22"/>
          <w:szCs w:val="22"/>
        </w:rPr>
        <w:t>Wsparciem zostaną objete miasta i ich obszary funkcjonalne (MOF) określone w Delimitacji Miejskich Obszarów Funkcjonalnych ośrodków powiatowych w województwie opolskim. W celu zachowania komplementarności oraz demarkacji wsparcie dla obszarów poza MOF realizowane będzie w zakresie celu szczegółowego (ii) CP 3.</w:t>
      </w:r>
    </w:p>
    <w:p w14:paraId="754978CC" w14:textId="4D5EE586" w:rsidR="00CF1E38" w:rsidRPr="00890249" w:rsidRDefault="00CF1E38" w:rsidP="00CF1E38">
      <w:pPr>
        <w:pStyle w:val="Tekstpodstawowy"/>
        <w:rPr>
          <w:rFonts w:asciiTheme="minorHAnsi" w:hAnsiTheme="minorHAnsi" w:cstheme="minorHAnsi"/>
          <w:noProof/>
          <w:sz w:val="22"/>
          <w:szCs w:val="22"/>
        </w:rPr>
      </w:pPr>
      <w:r w:rsidRPr="00CF1E38">
        <w:rPr>
          <w:rFonts w:asciiTheme="minorHAnsi" w:hAnsiTheme="minorHAnsi" w:cstheme="minorHAnsi"/>
          <w:noProof/>
          <w:sz w:val="22"/>
          <w:szCs w:val="22"/>
        </w:rPr>
        <w:t>Alokacja w tym zakresie będzie wyodrębniona na obszary subregionalne, które będą realizowały projekty w ramach Strategii Zintegrowanych Inwestycji Terytorialnych/Innych Instrumentów Terytorialnych.</w:t>
      </w:r>
    </w:p>
    <w:p w14:paraId="0F94AFCB" w14:textId="77777777" w:rsidR="0097068C" w:rsidRPr="00890249" w:rsidRDefault="0097068C" w:rsidP="0097068C">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Działania międzyregionalne, transgraniczne i transnarodowe </w:t>
      </w:r>
    </w:p>
    <w:p w14:paraId="4763B98A" w14:textId="77714BD7" w:rsidR="0093433C" w:rsidRPr="00890249" w:rsidRDefault="002F5914"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Współpraca transgraniczna między regionem a Czechami stale się rozwija, zwłaszcza w obszarze mobilności miejskiej (turystyczne szlaki rowerowe, drogowa infrastruktura transportowa, realizowane w latach 2014-2020) zapewniając mechanizm komplementarności z działaniami zaplanowanymi w ramach programu FEO 2021-2027. Pomimo punktowego, tj. ograniczonego obszarowo do miast i ich obszarów funkcjonalnych charaktertu projektów dotyczących publicznego transportu zbiorowego identyfikuje się ich wpływ na realizację ogólnoeuropejskich celów związanych z promowaniem zrównoważonej mobilności i ograniczaniem emisji </w:t>
      </w:r>
      <w:r w:rsidR="000B2721">
        <w:rPr>
          <w:rFonts w:asciiTheme="minorHAnsi" w:hAnsiTheme="minorHAnsi" w:cstheme="minorHAnsi"/>
          <w:noProof/>
          <w:sz w:val="22"/>
          <w:szCs w:val="22"/>
        </w:rPr>
        <w:t>gazów cieplarnianych i </w:t>
      </w:r>
      <w:r w:rsidRPr="00890249">
        <w:rPr>
          <w:rFonts w:asciiTheme="minorHAnsi" w:hAnsiTheme="minorHAnsi" w:cstheme="minorHAnsi"/>
          <w:noProof/>
          <w:sz w:val="22"/>
          <w:szCs w:val="22"/>
        </w:rPr>
        <w:t>zanieczyszczeń z transportu, a tym samym dążeniem do budowy gospodarki niskoemisyjnej. Szersze wykorzystanie środków transportu publicznego przyczyni się także do przyspieszenia ogólnoeuropejskiego procesu dekarbonizacji transportu i szy</w:t>
      </w:r>
      <w:r w:rsidR="000B2721">
        <w:rPr>
          <w:rFonts w:asciiTheme="minorHAnsi" w:hAnsiTheme="minorHAnsi" w:cstheme="minorHAnsi"/>
          <w:noProof/>
          <w:sz w:val="22"/>
          <w:szCs w:val="22"/>
        </w:rPr>
        <w:t>bszego wprowadzania innowacji w </w:t>
      </w:r>
      <w:r w:rsidRPr="00890249">
        <w:rPr>
          <w:rFonts w:asciiTheme="minorHAnsi" w:hAnsiTheme="minorHAnsi" w:cstheme="minorHAnsi"/>
          <w:noProof/>
          <w:sz w:val="22"/>
          <w:szCs w:val="22"/>
        </w:rPr>
        <w:t xml:space="preserve">transporcie, w tym wykorzystania alternatywnych źródeł zasilania pojazdów. </w:t>
      </w:r>
    </w:p>
    <w:p w14:paraId="338F8965" w14:textId="2BC1C22F" w:rsidR="0093433C" w:rsidRPr="00890249" w:rsidRDefault="002F5914"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Jednocześnie planowana interwencja będzie przyczyniać się do zacieśniania współpracy międzynarodowej, co jest głównym celem makroregionalnej Strategii UE dla Regionu Morza Bałtyckiego. Strategia stwarza możliwość nawiązania szerokich kontaktów z partnerami makroregionu, inicjowania nowych projektów oraz promowania na forum międzynarodowym projektów już istniejących. Realizacja zaplanowanych działań z </w:t>
      </w:r>
      <w:r w:rsidR="000B2721">
        <w:rPr>
          <w:rFonts w:asciiTheme="minorHAnsi" w:hAnsiTheme="minorHAnsi" w:cstheme="minorHAnsi"/>
          <w:noProof/>
          <w:sz w:val="22"/>
          <w:szCs w:val="22"/>
        </w:rPr>
        <w:t>obszaru mobilności miejskiej (w </w:t>
      </w:r>
      <w:r w:rsidRPr="00890249">
        <w:rPr>
          <w:rFonts w:asciiTheme="minorHAnsi" w:hAnsiTheme="minorHAnsi" w:cstheme="minorHAnsi"/>
          <w:noProof/>
          <w:sz w:val="22"/>
          <w:szCs w:val="22"/>
        </w:rPr>
        <w:t xml:space="preserve">obszarze infrastruktury dla niezmotoryzowanych) realizowanych przy wsparciu dokumentu strategicznego </w:t>
      </w:r>
      <w:r w:rsidRPr="00890249">
        <w:rPr>
          <w:rFonts w:asciiTheme="minorHAnsi" w:hAnsiTheme="minorHAnsi" w:cstheme="minorHAnsi"/>
          <w:i/>
          <w:noProof/>
          <w:sz w:val="22"/>
          <w:szCs w:val="22"/>
        </w:rPr>
        <w:lastRenderedPageBreak/>
        <w:t>Koncepcja przebiegu tras rowerowych w województwie opolskim</w:t>
      </w:r>
      <w:r w:rsidRPr="00890249">
        <w:rPr>
          <w:rFonts w:asciiTheme="minorHAnsi" w:hAnsiTheme="minorHAnsi" w:cstheme="minorHAnsi"/>
          <w:noProof/>
          <w:sz w:val="22"/>
          <w:szCs w:val="22"/>
        </w:rPr>
        <w:t xml:space="preserve"> przyczyni się do zwiększenia rozpoznawalności naszego regionu za granicą i wsparciu turystyki rowerowej na Polsko-Czeskim pograniczu. </w:t>
      </w:r>
    </w:p>
    <w:p w14:paraId="59752368" w14:textId="77777777"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150278C1" w14:textId="77777777" w:rsidR="0093433C" w:rsidRPr="00890249" w:rsidRDefault="002F5914"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Obszar transportu publicznego obejmuje zadania z zakresu usług publicznych realizowane w ogólnym interesie publicznym, tj. uznane jako podstawowe i mające szczególne znaczenie dla funkcjonowania społeczności lokalnej/regionalnej oraz warunkujące realizację jej istotnych potrzeb, które co do zasady są deficytowe, bo wymagają dotowania ze środków publicznych. Inwestycje w tym obszarze nie generują zysków. W związku z powyższym zidentyfikowane potrzeby inwestycyjne sfinansowane zostaną za pomocą dotacji. </w:t>
      </w:r>
    </w:p>
    <w:p w14:paraId="7FD4B3FD" w14:textId="77777777" w:rsidR="0093433C" w:rsidRDefault="002F5914"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Jednocześnie należy mieć na uwadze, iż inwestycje w infrastrukturę transportu publicznego mają ogromny wpływ na ograniczanie negatywnych skutków zewnętrznych transportu (np. emisja spalin, hałas, wypadki), w tym, np. nowoczesny, ekologiczny i zapewniający bezpieczeństwo podróży tabor (także w wymiarze zdrowotnym), wraz z koniecznością zapewnienia infrastruktury służącej obsłudze tego taboru (np. stacje ładowania, zaplecze służące obsłudze technicznej).</w:t>
      </w:r>
    </w:p>
    <w:p w14:paraId="43434450" w14:textId="77777777" w:rsidR="000B2721" w:rsidRPr="00890249" w:rsidRDefault="000B2721" w:rsidP="00890249">
      <w:pPr>
        <w:pStyle w:val="Tekstpodstawowy"/>
        <w:rPr>
          <w:rFonts w:asciiTheme="minorHAnsi" w:hAnsiTheme="minorHAnsi" w:cstheme="minorHAnsi"/>
          <w:sz w:val="22"/>
          <w:szCs w:val="22"/>
        </w:rPr>
      </w:pPr>
    </w:p>
    <w:p w14:paraId="4A35F2F6" w14:textId="1E64EFC9" w:rsidR="0093433C" w:rsidRPr="00890249" w:rsidRDefault="00130E51" w:rsidP="00890249">
      <w:pPr>
        <w:pStyle w:val="Tekstpodstawowy"/>
        <w:rPr>
          <w:rFonts w:asciiTheme="minorHAnsi" w:hAnsiTheme="minorHAnsi" w:cstheme="minorHAnsi"/>
          <w:b/>
          <w:noProof/>
        </w:rPr>
      </w:pPr>
      <w:r w:rsidRPr="00890249">
        <w:rPr>
          <w:rFonts w:asciiTheme="minorHAnsi" w:hAnsiTheme="minorHAnsi" w:cstheme="minorHAnsi"/>
          <w:b/>
          <w:noProof/>
        </w:rPr>
        <w:t>2.</w:t>
      </w:r>
      <w:r w:rsidR="0059186E" w:rsidRPr="00890249">
        <w:rPr>
          <w:rFonts w:asciiTheme="minorHAnsi" w:hAnsiTheme="minorHAnsi" w:cstheme="minorHAnsi"/>
          <w:b/>
          <w:noProof/>
        </w:rPr>
        <w:t>3</w:t>
      </w:r>
      <w:r w:rsidR="00B55553" w:rsidRPr="00890249">
        <w:rPr>
          <w:rFonts w:asciiTheme="minorHAnsi" w:hAnsiTheme="minorHAnsi" w:cstheme="minorHAnsi"/>
          <w:b/>
          <w:noProof/>
        </w:rPr>
        <w:t>.</w:t>
      </w:r>
      <w:r w:rsidR="0059186E" w:rsidRPr="00890249">
        <w:rPr>
          <w:rFonts w:asciiTheme="minorHAnsi" w:hAnsiTheme="minorHAnsi" w:cstheme="minorHAnsi"/>
          <w:b/>
          <w:noProof/>
        </w:rPr>
        <w:t>1</w:t>
      </w:r>
      <w:r w:rsidR="00B55553" w:rsidRPr="00890249">
        <w:rPr>
          <w:rFonts w:asciiTheme="minorHAnsi" w:hAnsiTheme="minorHAnsi" w:cstheme="minorHAnsi"/>
          <w:b/>
          <w:noProof/>
        </w:rPr>
        <w:t>.2 (vi</w:t>
      </w:r>
      <w:r w:rsidR="00C703FD" w:rsidRPr="00890249">
        <w:rPr>
          <w:rFonts w:asciiTheme="minorHAnsi" w:hAnsiTheme="minorHAnsi" w:cstheme="minorHAnsi"/>
          <w:b/>
          <w:noProof/>
        </w:rPr>
        <w:t>i</w:t>
      </w:r>
      <w:r w:rsidR="00B55553" w:rsidRPr="00890249">
        <w:rPr>
          <w:rFonts w:asciiTheme="minorHAnsi" w:hAnsiTheme="minorHAnsi" w:cstheme="minorHAnsi"/>
          <w:b/>
          <w:noProof/>
        </w:rPr>
        <w:t>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51"/>
        <w:gridCol w:w="693"/>
        <w:gridCol w:w="1009"/>
        <w:gridCol w:w="830"/>
        <w:gridCol w:w="2213"/>
        <w:gridCol w:w="830"/>
        <w:gridCol w:w="1106"/>
        <w:gridCol w:w="1067"/>
      </w:tblGrid>
      <w:tr w:rsidR="0034642D" w:rsidRPr="00890249" w14:paraId="6A963612" w14:textId="77777777" w:rsidTr="000B2721">
        <w:trPr>
          <w:trHeight w:val="425"/>
          <w:tblHeader/>
        </w:trPr>
        <w:tc>
          <w:tcPr>
            <w:tcW w:w="5000" w:type="pct"/>
            <w:gridSpan w:val="9"/>
            <w:shd w:val="clear" w:color="auto" w:fill="D9D9D9" w:themeFill="background1" w:themeFillShade="D9"/>
          </w:tcPr>
          <w:p w14:paraId="74332EC5"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62C0D8CB" w14:textId="77777777" w:rsidTr="000B2721">
        <w:trPr>
          <w:cantSplit/>
          <w:trHeight w:val="1647"/>
          <w:tblHeader/>
        </w:trPr>
        <w:tc>
          <w:tcPr>
            <w:tcW w:w="291" w:type="pct"/>
            <w:shd w:val="clear" w:color="auto" w:fill="F2F2F2" w:themeFill="background1" w:themeFillShade="F2"/>
            <w:textDirection w:val="btLr"/>
            <w:vAlign w:val="center"/>
          </w:tcPr>
          <w:p w14:paraId="1FA5502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24005BB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3CCBE8E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75B3BDB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0B80F0D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6CA525B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16A5297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593371A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1" w:type="pct"/>
            <w:shd w:val="clear" w:color="auto" w:fill="F2F2F2" w:themeFill="background1" w:themeFillShade="F2"/>
            <w:textDirection w:val="btLr"/>
            <w:vAlign w:val="center"/>
          </w:tcPr>
          <w:p w14:paraId="259BBD7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EA0876" w:rsidRPr="00890249" w14:paraId="229430F4" w14:textId="77777777" w:rsidTr="00C014A8">
        <w:trPr>
          <w:trHeight w:val="340"/>
        </w:trPr>
        <w:tc>
          <w:tcPr>
            <w:tcW w:w="291" w:type="pct"/>
            <w:vAlign w:val="center"/>
          </w:tcPr>
          <w:p w14:paraId="1B49DE08" w14:textId="77777777" w:rsidR="00EA0876" w:rsidRPr="00890249" w:rsidRDefault="00EA0876" w:rsidP="00EA0876">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7BD79D2A"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2.viii</w:t>
            </w:r>
          </w:p>
        </w:tc>
        <w:tc>
          <w:tcPr>
            <w:tcW w:w="384" w:type="pct"/>
            <w:vAlign w:val="center"/>
          </w:tcPr>
          <w:p w14:paraId="19B5404F"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5970C77A" w14:textId="77777777" w:rsidR="00EA0876" w:rsidRPr="00890249" w:rsidRDefault="00EA0876" w:rsidP="00EA0876">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56A176AD" w14:textId="77777777" w:rsidR="00EA0876" w:rsidRPr="00890249" w:rsidRDefault="0085195A" w:rsidP="00EA0876">
            <w:pPr>
              <w:jc w:val="center"/>
              <w:rPr>
                <w:rFonts w:asciiTheme="minorHAnsi" w:hAnsiTheme="minorHAnsi" w:cstheme="minorHAnsi"/>
                <w:i/>
                <w:sz w:val="18"/>
                <w:szCs w:val="18"/>
              </w:rPr>
            </w:pPr>
            <w:r w:rsidRPr="00890249">
              <w:rPr>
                <w:rFonts w:asciiTheme="minorHAnsi" w:hAnsiTheme="minorHAnsi" w:cstheme="minorHAnsi"/>
                <w:i/>
                <w:sz w:val="18"/>
                <w:szCs w:val="18"/>
              </w:rPr>
              <w:t>PLRO084</w:t>
            </w:r>
          </w:p>
        </w:tc>
        <w:tc>
          <w:tcPr>
            <w:tcW w:w="1226" w:type="pct"/>
            <w:shd w:val="clear" w:color="auto" w:fill="auto"/>
            <w:vAlign w:val="center"/>
          </w:tcPr>
          <w:p w14:paraId="0B529F25" w14:textId="77777777" w:rsidR="00EA0876" w:rsidRPr="00890249" w:rsidRDefault="00EA0876" w:rsidP="00EA0876">
            <w:pPr>
              <w:jc w:val="left"/>
              <w:rPr>
                <w:rFonts w:asciiTheme="minorHAnsi" w:hAnsiTheme="minorHAnsi" w:cstheme="minorHAnsi"/>
                <w:i/>
                <w:sz w:val="18"/>
                <w:szCs w:val="18"/>
              </w:rPr>
            </w:pPr>
            <w:r w:rsidRPr="00890249">
              <w:rPr>
                <w:rFonts w:asciiTheme="minorHAnsi" w:hAnsiTheme="minorHAnsi" w:cstheme="minorHAnsi"/>
                <w:i/>
                <w:sz w:val="18"/>
                <w:szCs w:val="18"/>
              </w:rPr>
              <w:t>Liczba zakupionych jednostek taboru pasażerskiego w publicznym transporcie zbiorowym komunikacji miejskiej i metropolitarnej</w:t>
            </w:r>
          </w:p>
        </w:tc>
        <w:tc>
          <w:tcPr>
            <w:tcW w:w="460" w:type="pct"/>
            <w:vAlign w:val="center"/>
          </w:tcPr>
          <w:p w14:paraId="7BB00F2D" w14:textId="77777777" w:rsidR="00EA0876" w:rsidRPr="00890249" w:rsidDel="00EA0876" w:rsidRDefault="0085195A"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13" w:type="pct"/>
            <w:shd w:val="clear" w:color="auto" w:fill="auto"/>
            <w:vAlign w:val="center"/>
          </w:tcPr>
          <w:p w14:paraId="2C432F27" w14:textId="77777777" w:rsidR="00A63705" w:rsidRPr="00890249" w:rsidRDefault="008374CE"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2</w:t>
            </w:r>
          </w:p>
        </w:tc>
        <w:tc>
          <w:tcPr>
            <w:tcW w:w="591" w:type="pct"/>
            <w:shd w:val="clear" w:color="auto" w:fill="auto"/>
            <w:vAlign w:val="center"/>
          </w:tcPr>
          <w:p w14:paraId="2874C41C" w14:textId="4C982942" w:rsidR="00A63705" w:rsidRPr="00890249" w:rsidRDefault="00695AEA" w:rsidP="0043241C">
            <w:pPr>
              <w:jc w:val="center"/>
              <w:rPr>
                <w:rFonts w:asciiTheme="minorHAnsi" w:hAnsiTheme="minorHAnsi" w:cstheme="minorHAnsi"/>
                <w:noProof/>
                <w:sz w:val="18"/>
                <w:szCs w:val="16"/>
              </w:rPr>
            </w:pPr>
            <w:r>
              <w:rPr>
                <w:rFonts w:asciiTheme="minorHAnsi" w:hAnsiTheme="minorHAnsi" w:cstheme="minorHAnsi"/>
                <w:noProof/>
                <w:sz w:val="18"/>
                <w:szCs w:val="16"/>
              </w:rPr>
              <w:t>30</w:t>
            </w:r>
          </w:p>
        </w:tc>
      </w:tr>
      <w:tr w:rsidR="00EA0876" w:rsidRPr="00890249" w14:paraId="2720DB01" w14:textId="77777777" w:rsidTr="00C014A8">
        <w:trPr>
          <w:trHeight w:val="340"/>
        </w:trPr>
        <w:tc>
          <w:tcPr>
            <w:tcW w:w="291" w:type="pct"/>
            <w:vAlign w:val="center"/>
          </w:tcPr>
          <w:p w14:paraId="2A26BEC2" w14:textId="77777777" w:rsidR="00EA0876" w:rsidRPr="00890249" w:rsidRDefault="00EA0876" w:rsidP="00EA0876">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2B70E235"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2.viii</w:t>
            </w:r>
          </w:p>
        </w:tc>
        <w:tc>
          <w:tcPr>
            <w:tcW w:w="384" w:type="pct"/>
            <w:vAlign w:val="center"/>
          </w:tcPr>
          <w:p w14:paraId="24A2DAE8"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16B4ACFB" w14:textId="77777777" w:rsidR="00EA0876" w:rsidRPr="00890249" w:rsidRDefault="00EA0876" w:rsidP="00EA0876">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2C5CE397" w14:textId="77777777" w:rsidR="00EA0876" w:rsidRPr="00890249" w:rsidRDefault="0085195A" w:rsidP="00EA0876">
            <w:pPr>
              <w:jc w:val="center"/>
              <w:rPr>
                <w:rFonts w:asciiTheme="minorHAnsi" w:hAnsiTheme="minorHAnsi" w:cstheme="minorHAnsi"/>
                <w:i/>
                <w:sz w:val="18"/>
                <w:szCs w:val="18"/>
              </w:rPr>
            </w:pPr>
            <w:r w:rsidRPr="00890249">
              <w:rPr>
                <w:rFonts w:asciiTheme="minorHAnsi" w:hAnsiTheme="minorHAnsi" w:cstheme="minorHAnsi"/>
                <w:i/>
                <w:sz w:val="18"/>
                <w:szCs w:val="18"/>
              </w:rPr>
              <w:t>PLRO097</w:t>
            </w:r>
          </w:p>
        </w:tc>
        <w:tc>
          <w:tcPr>
            <w:tcW w:w="1226" w:type="pct"/>
            <w:shd w:val="clear" w:color="auto" w:fill="auto"/>
            <w:vAlign w:val="center"/>
          </w:tcPr>
          <w:p w14:paraId="0293D97F" w14:textId="77777777" w:rsidR="00EA0876" w:rsidRPr="00890249" w:rsidRDefault="00EA0876" w:rsidP="00EA0876">
            <w:pPr>
              <w:jc w:val="left"/>
              <w:rPr>
                <w:rFonts w:asciiTheme="minorHAnsi" w:hAnsiTheme="minorHAnsi" w:cstheme="minorHAnsi"/>
                <w:i/>
                <w:sz w:val="18"/>
                <w:szCs w:val="18"/>
              </w:rPr>
            </w:pPr>
            <w:r w:rsidRPr="00890249">
              <w:rPr>
                <w:rFonts w:asciiTheme="minorHAnsi" w:hAnsiTheme="minorHAnsi" w:cstheme="minorHAnsi"/>
                <w:i/>
                <w:sz w:val="18"/>
                <w:szCs w:val="18"/>
              </w:rPr>
              <w:t>Liczba wspartych zintegrowanych węzłów przesiadkowych</w:t>
            </w:r>
          </w:p>
        </w:tc>
        <w:tc>
          <w:tcPr>
            <w:tcW w:w="460" w:type="pct"/>
            <w:vAlign w:val="center"/>
          </w:tcPr>
          <w:p w14:paraId="7D0B951B" w14:textId="77777777" w:rsidR="00EA0876" w:rsidRPr="00890249" w:rsidDel="00EA0876"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13" w:type="pct"/>
            <w:shd w:val="clear" w:color="auto" w:fill="auto"/>
            <w:vAlign w:val="center"/>
          </w:tcPr>
          <w:p w14:paraId="406420F3" w14:textId="77777777" w:rsidR="00A63705" w:rsidRPr="00890249" w:rsidRDefault="0085195A"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1</w:t>
            </w:r>
          </w:p>
        </w:tc>
        <w:tc>
          <w:tcPr>
            <w:tcW w:w="591" w:type="pct"/>
            <w:shd w:val="clear" w:color="auto" w:fill="auto"/>
            <w:vAlign w:val="center"/>
          </w:tcPr>
          <w:p w14:paraId="5C50E9A9" w14:textId="0473B22E" w:rsidR="00A63705" w:rsidRPr="00890249" w:rsidRDefault="00695AEA" w:rsidP="0043241C">
            <w:pPr>
              <w:jc w:val="center"/>
              <w:rPr>
                <w:rFonts w:asciiTheme="minorHAnsi" w:hAnsiTheme="minorHAnsi" w:cstheme="minorHAnsi"/>
                <w:noProof/>
                <w:sz w:val="18"/>
                <w:szCs w:val="16"/>
              </w:rPr>
            </w:pPr>
            <w:r>
              <w:rPr>
                <w:rFonts w:asciiTheme="minorHAnsi" w:hAnsiTheme="minorHAnsi" w:cstheme="minorHAnsi"/>
                <w:noProof/>
                <w:sz w:val="18"/>
                <w:szCs w:val="16"/>
              </w:rPr>
              <w:t>8</w:t>
            </w:r>
          </w:p>
        </w:tc>
      </w:tr>
      <w:tr w:rsidR="00EA0876" w:rsidRPr="00890249" w14:paraId="2106910F" w14:textId="77777777" w:rsidTr="00C014A8">
        <w:trPr>
          <w:trHeight w:val="332"/>
        </w:trPr>
        <w:tc>
          <w:tcPr>
            <w:tcW w:w="291" w:type="pct"/>
            <w:vAlign w:val="center"/>
          </w:tcPr>
          <w:p w14:paraId="327E6A57" w14:textId="77777777" w:rsidR="00EA0876" w:rsidRPr="00890249" w:rsidRDefault="00EA0876" w:rsidP="00EA0876">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36C24F31"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2.viii</w:t>
            </w:r>
          </w:p>
        </w:tc>
        <w:tc>
          <w:tcPr>
            <w:tcW w:w="384" w:type="pct"/>
            <w:vAlign w:val="center"/>
          </w:tcPr>
          <w:p w14:paraId="5764DE7F"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53B883DB"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eastAsia="Times New Roman" w:hAnsiTheme="minorHAnsi" w:cstheme="minorHAnsi"/>
                <w:iCs/>
                <w:noProof/>
                <w:sz w:val="18"/>
              </w:rPr>
              <w:t>Słabiej rozwinięte</w:t>
            </w:r>
          </w:p>
        </w:tc>
        <w:tc>
          <w:tcPr>
            <w:tcW w:w="460" w:type="pct"/>
            <w:vAlign w:val="center"/>
          </w:tcPr>
          <w:p w14:paraId="68A73A9A"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sz w:val="18"/>
                <w:szCs w:val="18"/>
              </w:rPr>
              <w:t>RCO</w:t>
            </w:r>
            <w:r w:rsidR="0085195A" w:rsidRPr="00890249">
              <w:rPr>
                <w:rFonts w:asciiTheme="minorHAnsi" w:hAnsiTheme="minorHAnsi" w:cstheme="minorHAnsi"/>
                <w:i/>
                <w:sz w:val="18"/>
                <w:szCs w:val="18"/>
              </w:rPr>
              <w:t>0</w:t>
            </w:r>
            <w:r w:rsidRPr="00890249">
              <w:rPr>
                <w:rFonts w:asciiTheme="minorHAnsi" w:hAnsiTheme="minorHAnsi" w:cstheme="minorHAnsi"/>
                <w:i/>
                <w:sz w:val="18"/>
                <w:szCs w:val="18"/>
              </w:rPr>
              <w:t>58</w:t>
            </w:r>
          </w:p>
        </w:tc>
        <w:tc>
          <w:tcPr>
            <w:tcW w:w="1226" w:type="pct"/>
            <w:shd w:val="clear" w:color="auto" w:fill="auto"/>
            <w:vAlign w:val="center"/>
          </w:tcPr>
          <w:p w14:paraId="7280222C" w14:textId="77777777" w:rsidR="00EA0876" w:rsidRPr="00890249" w:rsidRDefault="00EA0876" w:rsidP="00EA0876">
            <w:pPr>
              <w:jc w:val="left"/>
              <w:rPr>
                <w:rFonts w:asciiTheme="minorHAnsi" w:hAnsiTheme="minorHAnsi" w:cstheme="minorHAnsi"/>
                <w:i/>
                <w:noProof/>
                <w:sz w:val="18"/>
                <w:szCs w:val="18"/>
              </w:rPr>
            </w:pPr>
            <w:r w:rsidRPr="00890249">
              <w:rPr>
                <w:rFonts w:asciiTheme="minorHAnsi" w:hAnsiTheme="minorHAnsi" w:cstheme="minorHAnsi"/>
                <w:i/>
                <w:sz w:val="18"/>
                <w:szCs w:val="18"/>
              </w:rPr>
              <w:t>Wspierana  infrastruktura rowerowa</w:t>
            </w:r>
          </w:p>
        </w:tc>
        <w:tc>
          <w:tcPr>
            <w:tcW w:w="460" w:type="pct"/>
            <w:vAlign w:val="center"/>
          </w:tcPr>
          <w:p w14:paraId="38ABF855" w14:textId="77777777" w:rsidR="00EA0876" w:rsidRPr="00890249" w:rsidRDefault="00EA0876" w:rsidP="00EA0876">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km</w:t>
            </w:r>
          </w:p>
        </w:tc>
        <w:tc>
          <w:tcPr>
            <w:tcW w:w="613" w:type="pct"/>
            <w:shd w:val="clear" w:color="auto" w:fill="auto"/>
            <w:vAlign w:val="center"/>
          </w:tcPr>
          <w:p w14:paraId="3862A295" w14:textId="214FC232" w:rsidR="00A63705" w:rsidRPr="00890249" w:rsidRDefault="00440AFF"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9</w:t>
            </w:r>
          </w:p>
        </w:tc>
        <w:tc>
          <w:tcPr>
            <w:tcW w:w="591" w:type="pct"/>
            <w:shd w:val="clear" w:color="auto" w:fill="auto"/>
            <w:vAlign w:val="center"/>
          </w:tcPr>
          <w:p w14:paraId="3B03EF78" w14:textId="65874315" w:rsidR="00A63705" w:rsidRPr="00890249" w:rsidRDefault="00695AEA" w:rsidP="0043241C">
            <w:pPr>
              <w:jc w:val="center"/>
              <w:rPr>
                <w:rFonts w:asciiTheme="minorHAnsi" w:hAnsiTheme="minorHAnsi" w:cstheme="minorHAnsi"/>
                <w:noProof/>
                <w:sz w:val="18"/>
                <w:szCs w:val="16"/>
              </w:rPr>
            </w:pPr>
            <w:r>
              <w:rPr>
                <w:rFonts w:asciiTheme="minorHAnsi" w:hAnsiTheme="minorHAnsi" w:cstheme="minorHAnsi"/>
                <w:noProof/>
                <w:sz w:val="18"/>
                <w:szCs w:val="16"/>
              </w:rPr>
              <w:t>180</w:t>
            </w:r>
          </w:p>
        </w:tc>
      </w:tr>
      <w:tr w:rsidR="00C014A8" w:rsidRPr="00890249" w14:paraId="29118516" w14:textId="77777777" w:rsidTr="00C014A8">
        <w:trPr>
          <w:trHeight w:val="332"/>
        </w:trPr>
        <w:tc>
          <w:tcPr>
            <w:tcW w:w="291" w:type="pct"/>
            <w:vAlign w:val="center"/>
          </w:tcPr>
          <w:p w14:paraId="1E65F193" w14:textId="34E52183" w:rsidR="00C014A8" w:rsidRPr="00890249" w:rsidRDefault="00C014A8" w:rsidP="00C014A8">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47F15E0F" w14:textId="554364F2" w:rsidR="00C014A8" w:rsidRPr="00890249" w:rsidRDefault="00C014A8" w:rsidP="00C014A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2.viii</w:t>
            </w:r>
          </w:p>
        </w:tc>
        <w:tc>
          <w:tcPr>
            <w:tcW w:w="384" w:type="pct"/>
            <w:vAlign w:val="center"/>
          </w:tcPr>
          <w:p w14:paraId="11B22E22" w14:textId="15848743" w:rsidR="00C014A8" w:rsidRPr="00890249" w:rsidRDefault="00C014A8" w:rsidP="00C014A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7BA0892B" w14:textId="1845C5AC" w:rsidR="00C014A8" w:rsidRPr="00890249" w:rsidRDefault="00C014A8" w:rsidP="00C014A8">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58BB2703" w14:textId="176D190A" w:rsidR="00C014A8" w:rsidRPr="00890249" w:rsidRDefault="00C014A8" w:rsidP="00C014A8">
            <w:pPr>
              <w:jc w:val="center"/>
              <w:rPr>
                <w:rFonts w:asciiTheme="minorHAnsi" w:hAnsiTheme="minorHAnsi" w:cstheme="minorHAnsi"/>
                <w:i/>
                <w:sz w:val="18"/>
                <w:szCs w:val="18"/>
              </w:rPr>
            </w:pPr>
            <w:r w:rsidRPr="00890249">
              <w:rPr>
                <w:rFonts w:asciiTheme="minorHAnsi" w:hAnsiTheme="minorHAnsi" w:cstheme="minorHAnsi"/>
                <w:i/>
                <w:sz w:val="18"/>
                <w:szCs w:val="18"/>
              </w:rPr>
              <w:t>RCO074</w:t>
            </w:r>
          </w:p>
        </w:tc>
        <w:tc>
          <w:tcPr>
            <w:tcW w:w="1226" w:type="pct"/>
            <w:shd w:val="clear" w:color="auto" w:fill="auto"/>
            <w:vAlign w:val="center"/>
          </w:tcPr>
          <w:p w14:paraId="1ED4899D" w14:textId="6B85C359" w:rsidR="00C014A8" w:rsidRPr="00890249" w:rsidRDefault="00C014A8" w:rsidP="00C014A8">
            <w:pPr>
              <w:jc w:val="left"/>
              <w:rPr>
                <w:rFonts w:asciiTheme="minorHAnsi" w:hAnsiTheme="minorHAnsi" w:cstheme="minorHAnsi"/>
                <w:i/>
                <w:sz w:val="18"/>
                <w:szCs w:val="18"/>
              </w:rPr>
            </w:pPr>
            <w:r w:rsidRPr="00890249">
              <w:rPr>
                <w:rFonts w:asciiTheme="minorHAnsi" w:hAnsiTheme="minorHAnsi" w:cstheme="minorHAnsi"/>
                <w:i/>
                <w:noProof/>
                <w:sz w:val="18"/>
                <w:szCs w:val="18"/>
              </w:rPr>
              <w:t>Ludność objęta projektami w ramach strategii zintegrowanego rozwoju terytorialnego</w:t>
            </w:r>
          </w:p>
        </w:tc>
        <w:tc>
          <w:tcPr>
            <w:tcW w:w="460" w:type="pct"/>
            <w:vAlign w:val="center"/>
          </w:tcPr>
          <w:p w14:paraId="5AB0189C" w14:textId="18DB43B4" w:rsidR="00C014A8" w:rsidRPr="00890249" w:rsidRDefault="00C014A8" w:rsidP="00C014A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osoby</w:t>
            </w:r>
          </w:p>
        </w:tc>
        <w:tc>
          <w:tcPr>
            <w:tcW w:w="613" w:type="pct"/>
            <w:shd w:val="clear" w:color="auto" w:fill="auto"/>
            <w:vAlign w:val="center"/>
          </w:tcPr>
          <w:p w14:paraId="30AD0AF0" w14:textId="509B0605" w:rsidR="00C014A8" w:rsidRPr="00890249" w:rsidRDefault="00C014A8" w:rsidP="00C014A8">
            <w:pPr>
              <w:jc w:val="center"/>
              <w:rPr>
                <w:rFonts w:asciiTheme="minorHAnsi" w:hAnsiTheme="minorHAnsi" w:cstheme="minorHAnsi"/>
                <w:noProof/>
                <w:sz w:val="18"/>
                <w:szCs w:val="16"/>
              </w:rPr>
            </w:pPr>
            <w:r w:rsidRPr="00890249">
              <w:rPr>
                <w:rFonts w:asciiTheme="minorHAnsi" w:hAnsiTheme="minorHAnsi" w:cstheme="minorHAnsi"/>
                <w:noProof/>
                <w:sz w:val="18"/>
                <w:szCs w:val="16"/>
              </w:rPr>
              <w:t>163 200</w:t>
            </w:r>
          </w:p>
        </w:tc>
        <w:tc>
          <w:tcPr>
            <w:tcW w:w="591" w:type="pct"/>
            <w:shd w:val="clear" w:color="auto" w:fill="auto"/>
            <w:vAlign w:val="center"/>
          </w:tcPr>
          <w:p w14:paraId="79897319" w14:textId="0E5CFB73" w:rsidR="00C014A8" w:rsidRPr="00890249" w:rsidRDefault="00C014A8" w:rsidP="00C014A8">
            <w:pPr>
              <w:jc w:val="center"/>
              <w:rPr>
                <w:rFonts w:asciiTheme="minorHAnsi" w:hAnsiTheme="minorHAnsi" w:cstheme="minorHAnsi"/>
                <w:noProof/>
                <w:sz w:val="18"/>
                <w:szCs w:val="16"/>
              </w:rPr>
            </w:pPr>
            <w:r w:rsidRPr="00890249">
              <w:rPr>
                <w:rFonts w:asciiTheme="minorHAnsi" w:hAnsiTheme="minorHAnsi" w:cstheme="minorHAnsi"/>
                <w:noProof/>
                <w:sz w:val="18"/>
                <w:szCs w:val="16"/>
              </w:rPr>
              <w:t>816 000</w:t>
            </w:r>
          </w:p>
        </w:tc>
      </w:tr>
      <w:tr w:rsidR="00C014A8" w:rsidRPr="00890249" w14:paraId="3DB462C7" w14:textId="77777777" w:rsidTr="00C014A8">
        <w:trPr>
          <w:trHeight w:val="332"/>
        </w:trPr>
        <w:tc>
          <w:tcPr>
            <w:tcW w:w="291" w:type="pct"/>
            <w:vAlign w:val="center"/>
          </w:tcPr>
          <w:p w14:paraId="608F500B" w14:textId="6CFAEE2B" w:rsidR="00C014A8" w:rsidRPr="00890249" w:rsidRDefault="00C014A8" w:rsidP="00C014A8">
            <w:pP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416" w:type="pct"/>
            <w:vAlign w:val="center"/>
          </w:tcPr>
          <w:p w14:paraId="74FEAB08" w14:textId="718FC6C7" w:rsidR="00C014A8" w:rsidRPr="00890249" w:rsidRDefault="00C014A8" w:rsidP="00C014A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2.viii</w:t>
            </w:r>
          </w:p>
        </w:tc>
        <w:tc>
          <w:tcPr>
            <w:tcW w:w="384" w:type="pct"/>
            <w:vAlign w:val="center"/>
          </w:tcPr>
          <w:p w14:paraId="68F44777" w14:textId="33C9B482" w:rsidR="00C014A8" w:rsidRPr="00890249" w:rsidRDefault="00C014A8" w:rsidP="00C014A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EFRR</w:t>
            </w:r>
          </w:p>
        </w:tc>
        <w:tc>
          <w:tcPr>
            <w:tcW w:w="559" w:type="pct"/>
            <w:vAlign w:val="center"/>
          </w:tcPr>
          <w:p w14:paraId="7E66A048" w14:textId="5C1EAE93" w:rsidR="00C014A8" w:rsidRPr="00890249" w:rsidRDefault="00C014A8" w:rsidP="00C014A8">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421FD441" w14:textId="548974EB" w:rsidR="00C014A8" w:rsidRPr="00890249" w:rsidRDefault="00C014A8" w:rsidP="00C014A8">
            <w:pPr>
              <w:jc w:val="center"/>
              <w:rPr>
                <w:rFonts w:asciiTheme="minorHAnsi" w:hAnsiTheme="minorHAnsi" w:cstheme="minorHAnsi"/>
                <w:i/>
                <w:sz w:val="18"/>
                <w:szCs w:val="18"/>
              </w:rPr>
            </w:pPr>
            <w:r w:rsidRPr="00890249">
              <w:rPr>
                <w:rFonts w:asciiTheme="minorHAnsi" w:hAnsiTheme="minorHAnsi" w:cstheme="minorHAnsi"/>
                <w:i/>
                <w:sz w:val="18"/>
                <w:szCs w:val="18"/>
              </w:rPr>
              <w:t>RCO075</w:t>
            </w:r>
          </w:p>
        </w:tc>
        <w:tc>
          <w:tcPr>
            <w:tcW w:w="1226" w:type="pct"/>
            <w:shd w:val="clear" w:color="auto" w:fill="auto"/>
            <w:vAlign w:val="center"/>
          </w:tcPr>
          <w:p w14:paraId="5A1EA33E" w14:textId="187F0992" w:rsidR="00C014A8" w:rsidRPr="00890249" w:rsidRDefault="00C014A8" w:rsidP="00C014A8">
            <w:pPr>
              <w:jc w:val="left"/>
              <w:rPr>
                <w:rFonts w:asciiTheme="minorHAnsi" w:hAnsiTheme="minorHAnsi" w:cstheme="minorHAnsi"/>
                <w:i/>
                <w:sz w:val="18"/>
                <w:szCs w:val="18"/>
              </w:rPr>
            </w:pPr>
            <w:r w:rsidRPr="00890249">
              <w:rPr>
                <w:rFonts w:asciiTheme="minorHAnsi" w:hAnsiTheme="minorHAnsi" w:cstheme="minorHAnsi"/>
                <w:i/>
                <w:noProof/>
                <w:sz w:val="18"/>
                <w:szCs w:val="18"/>
              </w:rPr>
              <w:t>Wspierane strategie zintegrowanego rozwoju terytorialnego</w:t>
            </w:r>
          </w:p>
        </w:tc>
        <w:tc>
          <w:tcPr>
            <w:tcW w:w="460" w:type="pct"/>
            <w:vAlign w:val="center"/>
          </w:tcPr>
          <w:p w14:paraId="6469755C" w14:textId="67EBA8F2" w:rsidR="00C014A8" w:rsidRPr="00890249" w:rsidRDefault="00C014A8" w:rsidP="00C014A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13" w:type="pct"/>
            <w:shd w:val="clear" w:color="auto" w:fill="auto"/>
            <w:vAlign w:val="center"/>
          </w:tcPr>
          <w:p w14:paraId="3CC84395" w14:textId="56BD4D64" w:rsidR="00C014A8" w:rsidRPr="00890249" w:rsidRDefault="00C014A8" w:rsidP="00C014A8">
            <w:pPr>
              <w:jc w:val="center"/>
              <w:rPr>
                <w:rFonts w:asciiTheme="minorHAnsi" w:hAnsiTheme="minorHAnsi" w:cstheme="minorHAnsi"/>
                <w:noProof/>
                <w:sz w:val="18"/>
                <w:szCs w:val="16"/>
              </w:rPr>
            </w:pPr>
            <w:r w:rsidRPr="00890249">
              <w:rPr>
                <w:rFonts w:asciiTheme="minorHAnsi" w:hAnsiTheme="minorHAnsi" w:cstheme="minorHAnsi"/>
                <w:noProof/>
                <w:sz w:val="18"/>
                <w:szCs w:val="16"/>
              </w:rPr>
              <w:t>2</w:t>
            </w:r>
          </w:p>
        </w:tc>
        <w:tc>
          <w:tcPr>
            <w:tcW w:w="591" w:type="pct"/>
            <w:shd w:val="clear" w:color="auto" w:fill="auto"/>
            <w:vAlign w:val="center"/>
          </w:tcPr>
          <w:p w14:paraId="69D579F4" w14:textId="374ECA5F" w:rsidR="00C014A8" w:rsidRPr="00890249" w:rsidRDefault="00C014A8" w:rsidP="00C014A8">
            <w:pPr>
              <w:jc w:val="center"/>
              <w:rPr>
                <w:rFonts w:asciiTheme="minorHAnsi" w:hAnsiTheme="minorHAnsi" w:cstheme="minorHAnsi"/>
                <w:noProof/>
                <w:sz w:val="18"/>
                <w:szCs w:val="16"/>
              </w:rPr>
            </w:pPr>
            <w:r w:rsidRPr="00890249">
              <w:rPr>
                <w:rFonts w:asciiTheme="minorHAnsi" w:hAnsiTheme="minorHAnsi" w:cstheme="minorHAnsi"/>
                <w:noProof/>
                <w:sz w:val="18"/>
                <w:szCs w:val="16"/>
              </w:rPr>
              <w:t>10</w:t>
            </w:r>
          </w:p>
        </w:tc>
      </w:tr>
    </w:tbl>
    <w:p w14:paraId="13F7A459" w14:textId="6994CFDD" w:rsidR="000B2721" w:rsidRDefault="000B2721" w:rsidP="00D207AC">
      <w:pPr>
        <w:spacing w:before="0" w:after="160" w:line="259" w:lineRule="auto"/>
        <w:jc w:val="left"/>
        <w:rPr>
          <w:rFonts w:asciiTheme="minorHAnsi" w:hAnsiTheme="minorHAnsi" w:cstheme="minorHAnsi"/>
          <w:b/>
          <w:noProof/>
          <w:sz w:val="22"/>
          <w:szCs w:val="22"/>
        </w:rPr>
      </w:pPr>
    </w:p>
    <w:p w14:paraId="307EF102" w14:textId="06202034" w:rsidR="007D5C6D" w:rsidRPr="00890249" w:rsidRDefault="000B2721" w:rsidP="00D207AC">
      <w:pPr>
        <w:spacing w:before="0" w:after="160" w:line="259" w:lineRule="auto"/>
        <w:jc w:val="left"/>
        <w:rPr>
          <w:rFonts w:asciiTheme="minorHAnsi" w:hAnsiTheme="minorHAnsi" w:cstheme="minorHAnsi"/>
          <w:b/>
          <w:noProof/>
          <w:sz w:val="22"/>
          <w:szCs w:val="22"/>
        </w:rPr>
      </w:pPr>
      <w:r>
        <w:rPr>
          <w:rFonts w:asciiTheme="minorHAnsi" w:hAnsiTheme="minorHAnsi" w:cstheme="minorHAnsi"/>
          <w:b/>
          <w:noProof/>
          <w:sz w:val="22"/>
          <w:szCs w:val="22"/>
        </w:rPr>
        <w:br w:type="page"/>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49"/>
        <w:gridCol w:w="691"/>
        <w:gridCol w:w="1003"/>
        <w:gridCol w:w="772"/>
        <w:gridCol w:w="1378"/>
        <w:gridCol w:w="969"/>
        <w:gridCol w:w="554"/>
        <w:gridCol w:w="592"/>
        <w:gridCol w:w="558"/>
        <w:gridCol w:w="604"/>
        <w:gridCol w:w="1262"/>
      </w:tblGrid>
      <w:tr w:rsidR="00BC2FD4" w:rsidRPr="00890249" w14:paraId="31607E82" w14:textId="77777777" w:rsidTr="00890249">
        <w:trPr>
          <w:trHeight w:val="480"/>
        </w:trPr>
        <w:tc>
          <w:tcPr>
            <w:tcW w:w="5000" w:type="pct"/>
            <w:gridSpan w:val="12"/>
            <w:shd w:val="clear" w:color="auto" w:fill="D9D9D9" w:themeFill="background1" w:themeFillShade="D9"/>
          </w:tcPr>
          <w:p w14:paraId="1E68B124"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0A7CA3" w:rsidRPr="00890249" w14:paraId="56A579B4" w14:textId="77777777" w:rsidTr="009E78AD">
        <w:trPr>
          <w:cantSplit/>
          <w:trHeight w:val="1768"/>
        </w:trPr>
        <w:tc>
          <w:tcPr>
            <w:tcW w:w="268" w:type="pct"/>
            <w:shd w:val="clear" w:color="auto" w:fill="F2F2F2" w:themeFill="background1" w:themeFillShade="F2"/>
            <w:textDirection w:val="btLr"/>
            <w:vAlign w:val="center"/>
          </w:tcPr>
          <w:p w14:paraId="5DE1FF31"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388" w:type="pct"/>
            <w:shd w:val="clear" w:color="auto" w:fill="F2F2F2" w:themeFill="background1" w:themeFillShade="F2"/>
            <w:textDirection w:val="btLr"/>
            <w:vAlign w:val="center"/>
          </w:tcPr>
          <w:p w14:paraId="4207DCF5"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58" w:type="pct"/>
            <w:shd w:val="clear" w:color="auto" w:fill="F2F2F2" w:themeFill="background1" w:themeFillShade="F2"/>
            <w:textDirection w:val="btLr"/>
            <w:vAlign w:val="center"/>
          </w:tcPr>
          <w:p w14:paraId="42B47AE5"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20" w:type="pct"/>
            <w:shd w:val="clear" w:color="auto" w:fill="F2F2F2" w:themeFill="background1" w:themeFillShade="F2"/>
            <w:textDirection w:val="btLr"/>
            <w:vAlign w:val="center"/>
          </w:tcPr>
          <w:p w14:paraId="20DB7F81"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00" w:type="pct"/>
            <w:shd w:val="clear" w:color="auto" w:fill="F2F2F2" w:themeFill="background1" w:themeFillShade="F2"/>
            <w:textDirection w:val="btLr"/>
            <w:vAlign w:val="center"/>
          </w:tcPr>
          <w:p w14:paraId="1FB7495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14" w:type="pct"/>
            <w:shd w:val="clear" w:color="auto" w:fill="F2F2F2" w:themeFill="background1" w:themeFillShade="F2"/>
            <w:textDirection w:val="btLr"/>
            <w:vAlign w:val="center"/>
          </w:tcPr>
          <w:p w14:paraId="5584468C"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502" w:type="pct"/>
            <w:shd w:val="clear" w:color="auto" w:fill="F2F2F2" w:themeFill="background1" w:themeFillShade="F2"/>
            <w:textDirection w:val="btLr"/>
            <w:vAlign w:val="center"/>
          </w:tcPr>
          <w:p w14:paraId="4E934372"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287" w:type="pct"/>
            <w:shd w:val="clear" w:color="auto" w:fill="F2F2F2" w:themeFill="background1" w:themeFillShade="F2"/>
            <w:textDirection w:val="btLr"/>
            <w:vAlign w:val="center"/>
          </w:tcPr>
          <w:p w14:paraId="028F5D69"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07" w:type="pct"/>
            <w:shd w:val="clear" w:color="auto" w:fill="F2F2F2" w:themeFill="background1" w:themeFillShade="F2"/>
            <w:textDirection w:val="btLr"/>
            <w:vAlign w:val="center"/>
          </w:tcPr>
          <w:p w14:paraId="50FF3553"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289" w:type="pct"/>
            <w:shd w:val="clear" w:color="auto" w:fill="F2F2F2" w:themeFill="background1" w:themeFillShade="F2"/>
            <w:textDirection w:val="btLr"/>
            <w:vAlign w:val="center"/>
          </w:tcPr>
          <w:p w14:paraId="69AD832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13" w:type="pct"/>
            <w:shd w:val="clear" w:color="auto" w:fill="F2F2F2" w:themeFill="background1" w:themeFillShade="F2"/>
            <w:textDirection w:val="btLr"/>
            <w:vAlign w:val="center"/>
          </w:tcPr>
          <w:p w14:paraId="408C4887"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654" w:type="pct"/>
            <w:shd w:val="clear" w:color="auto" w:fill="F2F2F2" w:themeFill="background1" w:themeFillShade="F2"/>
            <w:textDirection w:val="btLr"/>
            <w:vAlign w:val="center"/>
          </w:tcPr>
          <w:p w14:paraId="60C73E14"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035ADA" w:rsidRPr="00890249" w14:paraId="67F6E3FA" w14:textId="77777777" w:rsidTr="00890249">
        <w:trPr>
          <w:trHeight w:val="434"/>
        </w:trPr>
        <w:tc>
          <w:tcPr>
            <w:tcW w:w="268" w:type="pct"/>
            <w:vAlign w:val="center"/>
          </w:tcPr>
          <w:p w14:paraId="253AD292" w14:textId="77777777" w:rsidR="00035ADA" w:rsidRPr="00890249" w:rsidRDefault="00A13182" w:rsidP="00BC2FD4">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CP2</w:t>
            </w:r>
          </w:p>
        </w:tc>
        <w:tc>
          <w:tcPr>
            <w:tcW w:w="388" w:type="pct"/>
            <w:vAlign w:val="center"/>
          </w:tcPr>
          <w:p w14:paraId="5CACFF42" w14:textId="77777777" w:rsidR="00035ADA" w:rsidRPr="00890249" w:rsidRDefault="00035ADA" w:rsidP="00035ADA">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2.viii</w:t>
            </w:r>
          </w:p>
        </w:tc>
        <w:tc>
          <w:tcPr>
            <w:tcW w:w="358" w:type="pct"/>
            <w:vAlign w:val="center"/>
          </w:tcPr>
          <w:p w14:paraId="73C9671B" w14:textId="77777777" w:rsidR="00035ADA" w:rsidRPr="00890249" w:rsidRDefault="00035ADA" w:rsidP="00035ADA">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20" w:type="pct"/>
            <w:vAlign w:val="center"/>
          </w:tcPr>
          <w:p w14:paraId="108578BD" w14:textId="77777777" w:rsidR="00035ADA" w:rsidRPr="00890249" w:rsidRDefault="00A13182" w:rsidP="00035ADA">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00" w:type="pct"/>
            <w:vAlign w:val="center"/>
          </w:tcPr>
          <w:p w14:paraId="6B759CEF" w14:textId="77777777" w:rsidR="00035ADA" w:rsidRPr="00890249" w:rsidRDefault="00035ADA" w:rsidP="00035ADA">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RC</w:t>
            </w:r>
            <w:r w:rsidR="0085195A" w:rsidRPr="00890249">
              <w:rPr>
                <w:rFonts w:asciiTheme="minorHAnsi" w:hAnsiTheme="minorHAnsi" w:cstheme="minorHAnsi"/>
                <w:i/>
                <w:noProof/>
                <w:sz w:val="18"/>
                <w:szCs w:val="16"/>
              </w:rPr>
              <w:t>R0</w:t>
            </w:r>
            <w:r w:rsidRPr="00890249">
              <w:rPr>
                <w:rFonts w:asciiTheme="minorHAnsi" w:hAnsiTheme="minorHAnsi" w:cstheme="minorHAnsi"/>
                <w:i/>
                <w:noProof/>
                <w:sz w:val="18"/>
                <w:szCs w:val="16"/>
              </w:rPr>
              <w:t>62</w:t>
            </w:r>
          </w:p>
        </w:tc>
        <w:tc>
          <w:tcPr>
            <w:tcW w:w="714" w:type="pct"/>
            <w:shd w:val="clear" w:color="auto" w:fill="auto"/>
            <w:vAlign w:val="center"/>
          </w:tcPr>
          <w:p w14:paraId="1A127875" w14:textId="77777777" w:rsidR="00035ADA" w:rsidRPr="00890249" w:rsidRDefault="00035ADA" w:rsidP="00035ADA">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Roczna liczba użytkowników nowego lub zmodernizowanego transportu publicznego</w:t>
            </w:r>
          </w:p>
        </w:tc>
        <w:tc>
          <w:tcPr>
            <w:tcW w:w="502" w:type="pct"/>
            <w:vAlign w:val="center"/>
          </w:tcPr>
          <w:p w14:paraId="51A3EF41" w14:textId="77777777" w:rsidR="00035ADA" w:rsidRPr="00890249" w:rsidRDefault="00514940" w:rsidP="00035ADA">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U</w:t>
            </w:r>
            <w:r w:rsidR="00EA0876" w:rsidRPr="00890249">
              <w:rPr>
                <w:rFonts w:asciiTheme="minorHAnsi" w:hAnsiTheme="minorHAnsi" w:cstheme="minorHAnsi"/>
                <w:i/>
                <w:noProof/>
                <w:sz w:val="18"/>
                <w:szCs w:val="16"/>
              </w:rPr>
              <w:t>żytkownicy</w:t>
            </w:r>
            <w:r w:rsidRPr="00890249">
              <w:rPr>
                <w:rFonts w:asciiTheme="minorHAnsi" w:hAnsiTheme="minorHAnsi" w:cstheme="minorHAnsi"/>
                <w:i/>
                <w:noProof/>
                <w:sz w:val="18"/>
                <w:szCs w:val="16"/>
              </w:rPr>
              <w:t>/rok</w:t>
            </w:r>
          </w:p>
        </w:tc>
        <w:tc>
          <w:tcPr>
            <w:tcW w:w="287" w:type="pct"/>
            <w:vAlign w:val="center"/>
          </w:tcPr>
          <w:p w14:paraId="191E66C9" w14:textId="77777777" w:rsidR="00035ADA" w:rsidRPr="00890249" w:rsidRDefault="00986111" w:rsidP="00BC2FD4">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0</w:t>
            </w:r>
          </w:p>
        </w:tc>
        <w:tc>
          <w:tcPr>
            <w:tcW w:w="307" w:type="pct"/>
            <w:vAlign w:val="center"/>
          </w:tcPr>
          <w:p w14:paraId="3E59DC26" w14:textId="77777777" w:rsidR="00035ADA" w:rsidRPr="00890249" w:rsidRDefault="0085195A" w:rsidP="00BC2FD4">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289" w:type="pct"/>
            <w:shd w:val="clear" w:color="auto" w:fill="auto"/>
            <w:vAlign w:val="center"/>
          </w:tcPr>
          <w:p w14:paraId="185F8150" w14:textId="11257B90" w:rsidR="00035ADA" w:rsidRPr="00890249" w:rsidRDefault="00EF113E" w:rsidP="00BC2FD4">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1 950 000</w:t>
            </w:r>
          </w:p>
        </w:tc>
        <w:tc>
          <w:tcPr>
            <w:tcW w:w="313" w:type="pct"/>
            <w:shd w:val="clear" w:color="auto" w:fill="auto"/>
            <w:vAlign w:val="center"/>
          </w:tcPr>
          <w:p w14:paraId="22F095EF" w14:textId="77777777" w:rsidR="00035ADA" w:rsidRPr="00890249" w:rsidRDefault="008374CE" w:rsidP="00BC2FD4">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654" w:type="pct"/>
            <w:vAlign w:val="center"/>
          </w:tcPr>
          <w:p w14:paraId="02B4AA53" w14:textId="77777777" w:rsidR="00035ADA" w:rsidRPr="00890249" w:rsidRDefault="008374CE" w:rsidP="00BC2FD4">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9E78AD" w:rsidRPr="00890249" w14:paraId="5495BE94" w14:textId="77777777" w:rsidTr="00890249">
        <w:trPr>
          <w:trHeight w:val="434"/>
        </w:trPr>
        <w:tc>
          <w:tcPr>
            <w:tcW w:w="268" w:type="pct"/>
            <w:vAlign w:val="center"/>
          </w:tcPr>
          <w:p w14:paraId="0594E603" w14:textId="77777777" w:rsidR="009E78AD" w:rsidRPr="00890249" w:rsidRDefault="009E78AD" w:rsidP="009E78A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CP2</w:t>
            </w:r>
          </w:p>
        </w:tc>
        <w:tc>
          <w:tcPr>
            <w:tcW w:w="388" w:type="pct"/>
            <w:vAlign w:val="center"/>
          </w:tcPr>
          <w:p w14:paraId="3C48B2B1" w14:textId="77777777" w:rsidR="009E78AD" w:rsidRPr="00890249" w:rsidRDefault="009E78AD" w:rsidP="009E78A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2.viii</w:t>
            </w:r>
          </w:p>
        </w:tc>
        <w:tc>
          <w:tcPr>
            <w:tcW w:w="358" w:type="pct"/>
            <w:vAlign w:val="center"/>
          </w:tcPr>
          <w:p w14:paraId="4BFC1395" w14:textId="77777777" w:rsidR="009E78AD" w:rsidRPr="00890249" w:rsidRDefault="009E78AD" w:rsidP="009E78A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20" w:type="pct"/>
            <w:vAlign w:val="center"/>
          </w:tcPr>
          <w:p w14:paraId="20880875" w14:textId="77777777" w:rsidR="009E78AD" w:rsidRPr="00890249" w:rsidRDefault="009E78AD" w:rsidP="009E78AD">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
                <w:iCs/>
                <w:noProof/>
                <w:sz w:val="18"/>
              </w:rPr>
              <w:t>Słabiej rozwinięte</w:t>
            </w:r>
          </w:p>
        </w:tc>
        <w:tc>
          <w:tcPr>
            <w:tcW w:w="400" w:type="pct"/>
            <w:vAlign w:val="center"/>
          </w:tcPr>
          <w:p w14:paraId="1DB9355E" w14:textId="3AA5ACB7" w:rsidR="009E78AD" w:rsidRPr="00890249" w:rsidRDefault="009E78AD" w:rsidP="009E78A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RCR</w:t>
            </w:r>
            <w:r w:rsidR="00106A06" w:rsidRPr="00890249">
              <w:rPr>
                <w:rFonts w:asciiTheme="minorHAnsi" w:hAnsiTheme="minorHAnsi" w:cstheme="minorHAnsi"/>
                <w:i/>
                <w:noProof/>
                <w:sz w:val="18"/>
                <w:szCs w:val="16"/>
              </w:rPr>
              <w:t>0</w:t>
            </w:r>
            <w:r w:rsidRPr="00890249">
              <w:rPr>
                <w:rFonts w:asciiTheme="minorHAnsi" w:hAnsiTheme="minorHAnsi" w:cstheme="minorHAnsi"/>
                <w:i/>
                <w:noProof/>
                <w:sz w:val="18"/>
                <w:szCs w:val="16"/>
              </w:rPr>
              <w:t>29</w:t>
            </w:r>
          </w:p>
        </w:tc>
        <w:tc>
          <w:tcPr>
            <w:tcW w:w="714" w:type="pct"/>
            <w:shd w:val="clear" w:color="auto" w:fill="auto"/>
            <w:vAlign w:val="center"/>
          </w:tcPr>
          <w:p w14:paraId="654107DA" w14:textId="77777777" w:rsidR="009E78AD" w:rsidRPr="00890249" w:rsidRDefault="009E78AD" w:rsidP="009E78A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Szacowana emisja gazów cieplarnianych</w:t>
            </w:r>
          </w:p>
        </w:tc>
        <w:tc>
          <w:tcPr>
            <w:tcW w:w="502" w:type="pct"/>
            <w:vAlign w:val="center"/>
          </w:tcPr>
          <w:p w14:paraId="0AD71296" w14:textId="77777777" w:rsidR="009E78AD" w:rsidRPr="00890249" w:rsidRDefault="00106A06" w:rsidP="009E78A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tonyrównoważnikaCO</w:t>
            </w:r>
            <w:r w:rsidRPr="00890249">
              <w:rPr>
                <w:rFonts w:asciiTheme="minorHAnsi" w:hAnsiTheme="minorHAnsi" w:cstheme="minorHAnsi"/>
                <w:i/>
                <w:noProof/>
                <w:sz w:val="18"/>
                <w:szCs w:val="16"/>
                <w:vertAlign w:val="subscript"/>
              </w:rPr>
              <w:t>2</w:t>
            </w:r>
            <w:r w:rsidRPr="00890249">
              <w:rPr>
                <w:rFonts w:asciiTheme="minorHAnsi" w:hAnsiTheme="minorHAnsi" w:cstheme="minorHAnsi"/>
                <w:i/>
                <w:noProof/>
                <w:sz w:val="18"/>
                <w:szCs w:val="16"/>
              </w:rPr>
              <w:t>/rok</w:t>
            </w:r>
          </w:p>
        </w:tc>
        <w:tc>
          <w:tcPr>
            <w:tcW w:w="287" w:type="pct"/>
            <w:vAlign w:val="center"/>
          </w:tcPr>
          <w:p w14:paraId="77F0B68B" w14:textId="6601EB3F" w:rsidR="009E78AD" w:rsidRPr="00890249" w:rsidRDefault="00EF113E" w:rsidP="009E78AD">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192 936</w:t>
            </w:r>
          </w:p>
        </w:tc>
        <w:tc>
          <w:tcPr>
            <w:tcW w:w="307" w:type="pct"/>
            <w:vAlign w:val="center"/>
          </w:tcPr>
          <w:p w14:paraId="6897D938" w14:textId="77777777" w:rsidR="009E78AD" w:rsidRPr="00890249" w:rsidRDefault="00106A06" w:rsidP="009E78A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289" w:type="pct"/>
            <w:shd w:val="clear" w:color="auto" w:fill="auto"/>
            <w:vAlign w:val="center"/>
          </w:tcPr>
          <w:p w14:paraId="24753ABF" w14:textId="72AAC8F8" w:rsidR="009E78AD" w:rsidRPr="00890249" w:rsidRDefault="00EF113E" w:rsidP="009E78AD">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135 055</w:t>
            </w:r>
          </w:p>
        </w:tc>
        <w:tc>
          <w:tcPr>
            <w:tcW w:w="313" w:type="pct"/>
            <w:shd w:val="clear" w:color="auto" w:fill="auto"/>
            <w:vAlign w:val="center"/>
          </w:tcPr>
          <w:p w14:paraId="405B7F76" w14:textId="77777777" w:rsidR="009E78AD" w:rsidRPr="00890249" w:rsidRDefault="00106A06" w:rsidP="009E78AD">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654" w:type="pct"/>
            <w:vAlign w:val="center"/>
          </w:tcPr>
          <w:p w14:paraId="1135B60D" w14:textId="77777777" w:rsidR="009E78AD" w:rsidRPr="00890249" w:rsidRDefault="009E78AD" w:rsidP="009E78AD">
            <w:pPr>
              <w:jc w:val="center"/>
              <w:rPr>
                <w:rFonts w:asciiTheme="minorHAnsi" w:hAnsiTheme="minorHAnsi" w:cstheme="minorHAnsi"/>
                <w:noProof/>
                <w:sz w:val="18"/>
                <w:szCs w:val="16"/>
              </w:rPr>
            </w:pPr>
            <w:r w:rsidRPr="00890249">
              <w:rPr>
                <w:rFonts w:asciiTheme="minorHAnsi" w:hAnsiTheme="minorHAnsi" w:cstheme="minorHAnsi"/>
                <w:i/>
                <w:noProof/>
                <w:sz w:val="18"/>
                <w:szCs w:val="16"/>
              </w:rPr>
              <w:t>Wartości wskaźnika mają charakter tymczasowy i będą podlegały rewizji w ramach przeglądu śródokresowego</w:t>
            </w:r>
          </w:p>
        </w:tc>
      </w:tr>
    </w:tbl>
    <w:p w14:paraId="2970C990" w14:textId="77777777" w:rsidR="000B2721" w:rsidRDefault="000B2721" w:rsidP="000B2721">
      <w:pPr>
        <w:spacing w:before="0" w:after="160" w:line="259" w:lineRule="auto"/>
        <w:jc w:val="left"/>
        <w:rPr>
          <w:rFonts w:asciiTheme="minorHAnsi" w:hAnsiTheme="minorHAnsi" w:cstheme="minorHAnsi"/>
          <w:b/>
          <w:noProof/>
          <w:sz w:val="22"/>
          <w:szCs w:val="22"/>
        </w:rPr>
      </w:pPr>
    </w:p>
    <w:p w14:paraId="36A684BF" w14:textId="60F4C685" w:rsidR="0097068C" w:rsidRPr="00890249" w:rsidRDefault="0097068C" w:rsidP="000B2721">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t>2.1.3.1.3 (viii) Orientacyjny podział zasobów programu (UE) według rodzaju interwencji</w:t>
      </w:r>
    </w:p>
    <w:tbl>
      <w:tblPr>
        <w:tblStyle w:val="Tabela-Siatka"/>
        <w:tblW w:w="0" w:type="auto"/>
        <w:tblLook w:val="04A0" w:firstRow="1" w:lastRow="0" w:firstColumn="1" w:lastColumn="0" w:noHBand="0" w:noVBand="1"/>
      </w:tblPr>
      <w:tblGrid>
        <w:gridCol w:w="1433"/>
        <w:gridCol w:w="1010"/>
        <w:gridCol w:w="1545"/>
        <w:gridCol w:w="1521"/>
        <w:gridCol w:w="1815"/>
        <w:gridCol w:w="1737"/>
      </w:tblGrid>
      <w:tr w:rsidR="00B2047A" w:rsidRPr="00890249" w14:paraId="214755A5" w14:textId="77777777" w:rsidTr="0097068C">
        <w:trPr>
          <w:trHeight w:val="360"/>
        </w:trPr>
        <w:tc>
          <w:tcPr>
            <w:tcW w:w="9287" w:type="dxa"/>
            <w:gridSpan w:val="6"/>
            <w:shd w:val="clear" w:color="auto" w:fill="D9D9D9" w:themeFill="background1" w:themeFillShade="D9"/>
          </w:tcPr>
          <w:p w14:paraId="3FCC723D" w14:textId="77777777" w:rsidR="00B2047A" w:rsidRPr="00890249" w:rsidRDefault="00B2047A" w:rsidP="00B2047A">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B2047A" w:rsidRPr="00890249" w14:paraId="47E3373F" w14:textId="77777777" w:rsidTr="0097068C">
        <w:tc>
          <w:tcPr>
            <w:tcW w:w="1465" w:type="dxa"/>
            <w:shd w:val="clear" w:color="auto" w:fill="F2F2F2" w:themeFill="background1" w:themeFillShade="F2"/>
          </w:tcPr>
          <w:p w14:paraId="48AD595B"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20" w:type="dxa"/>
            <w:shd w:val="clear" w:color="auto" w:fill="F2F2F2" w:themeFill="background1" w:themeFillShade="F2"/>
          </w:tcPr>
          <w:p w14:paraId="3D49DDA9"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587" w:type="dxa"/>
            <w:shd w:val="clear" w:color="auto" w:fill="F2F2F2" w:themeFill="background1" w:themeFillShade="F2"/>
          </w:tcPr>
          <w:p w14:paraId="55C981EC"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5" w:type="dxa"/>
            <w:shd w:val="clear" w:color="auto" w:fill="F2F2F2" w:themeFill="background1" w:themeFillShade="F2"/>
          </w:tcPr>
          <w:p w14:paraId="2E8A194C"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845" w:type="dxa"/>
            <w:shd w:val="clear" w:color="auto" w:fill="F2F2F2" w:themeFill="background1" w:themeFillShade="F2"/>
          </w:tcPr>
          <w:p w14:paraId="02F934EE"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25" w:type="dxa"/>
            <w:shd w:val="clear" w:color="auto" w:fill="F2F2F2" w:themeFill="background1" w:themeFillShade="F2"/>
          </w:tcPr>
          <w:p w14:paraId="2D704A68"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2FB0" w:rsidRPr="00890249" w14:paraId="13E6EB24" w14:textId="77777777" w:rsidTr="0097068C">
        <w:tc>
          <w:tcPr>
            <w:tcW w:w="1465" w:type="dxa"/>
            <w:vMerge w:val="restart"/>
            <w:vAlign w:val="center"/>
          </w:tcPr>
          <w:p w14:paraId="72CB56F5" w14:textId="77777777" w:rsidR="009E2FB0" w:rsidRPr="00890249" w:rsidRDefault="009E2FB0"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20" w:type="dxa"/>
            <w:vMerge w:val="restart"/>
            <w:vAlign w:val="center"/>
          </w:tcPr>
          <w:p w14:paraId="7DD3E47E" w14:textId="77777777" w:rsidR="009E2FB0" w:rsidRPr="00890249" w:rsidRDefault="009E2FB0"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587" w:type="dxa"/>
            <w:vMerge w:val="restart"/>
            <w:vAlign w:val="center"/>
          </w:tcPr>
          <w:p w14:paraId="44F1C0C4" w14:textId="77777777" w:rsidR="009E2FB0" w:rsidRPr="00890249" w:rsidRDefault="009E2FB0"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545" w:type="dxa"/>
            <w:vMerge w:val="restart"/>
            <w:vAlign w:val="center"/>
          </w:tcPr>
          <w:p w14:paraId="097CF6F3" w14:textId="77777777" w:rsidR="009E2FB0" w:rsidRPr="00890249" w:rsidRDefault="009E2FB0"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(viii)</w:t>
            </w:r>
          </w:p>
        </w:tc>
        <w:tc>
          <w:tcPr>
            <w:tcW w:w="1845" w:type="dxa"/>
          </w:tcPr>
          <w:p w14:paraId="1A1A704B"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077</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Działania mające na celu poprawę jakości powietrza i ograniczenie hałasu</w:t>
            </w:r>
          </w:p>
        </w:tc>
        <w:tc>
          <w:tcPr>
            <w:tcW w:w="1825" w:type="dxa"/>
          </w:tcPr>
          <w:p w14:paraId="0352A093" w14:textId="1FF2BAB6" w:rsidR="009E2FB0" w:rsidRPr="00890249" w:rsidRDefault="00A569B1" w:rsidP="00B2047A">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14 025 000</w:t>
            </w:r>
          </w:p>
        </w:tc>
      </w:tr>
      <w:tr w:rsidR="009E2FB0" w:rsidRPr="00890249" w14:paraId="25D77873" w14:textId="77777777" w:rsidTr="0097068C">
        <w:tc>
          <w:tcPr>
            <w:tcW w:w="1465" w:type="dxa"/>
            <w:vMerge/>
            <w:vAlign w:val="center"/>
          </w:tcPr>
          <w:p w14:paraId="1CD77F5A" w14:textId="77777777" w:rsidR="009E2FB0" w:rsidRPr="00890249" w:rsidRDefault="009E2FB0" w:rsidP="00BA2858">
            <w:pPr>
              <w:jc w:val="center"/>
              <w:rPr>
                <w:rFonts w:asciiTheme="minorHAnsi" w:eastAsia="Times New Roman" w:hAnsiTheme="minorHAnsi" w:cstheme="minorHAnsi"/>
                <w:iCs/>
                <w:noProof/>
                <w:sz w:val="20"/>
              </w:rPr>
            </w:pPr>
          </w:p>
        </w:tc>
        <w:tc>
          <w:tcPr>
            <w:tcW w:w="1020" w:type="dxa"/>
            <w:vMerge/>
            <w:vAlign w:val="center"/>
          </w:tcPr>
          <w:p w14:paraId="123D5DD0" w14:textId="77777777" w:rsidR="009E2FB0" w:rsidRPr="00890249" w:rsidRDefault="009E2FB0" w:rsidP="00BA2858">
            <w:pPr>
              <w:jc w:val="center"/>
              <w:rPr>
                <w:rFonts w:asciiTheme="minorHAnsi" w:eastAsia="Times New Roman" w:hAnsiTheme="minorHAnsi" w:cstheme="minorHAnsi"/>
                <w:iCs/>
                <w:noProof/>
                <w:sz w:val="20"/>
              </w:rPr>
            </w:pPr>
          </w:p>
        </w:tc>
        <w:tc>
          <w:tcPr>
            <w:tcW w:w="1587" w:type="dxa"/>
            <w:vMerge/>
            <w:vAlign w:val="center"/>
          </w:tcPr>
          <w:p w14:paraId="5744BE4A" w14:textId="77777777" w:rsidR="009E2FB0" w:rsidRPr="00890249" w:rsidRDefault="009E2FB0" w:rsidP="00BA2858">
            <w:pPr>
              <w:jc w:val="center"/>
              <w:rPr>
                <w:rFonts w:asciiTheme="minorHAnsi" w:eastAsia="Times New Roman" w:hAnsiTheme="minorHAnsi" w:cstheme="minorHAnsi"/>
                <w:iCs/>
                <w:noProof/>
                <w:sz w:val="20"/>
              </w:rPr>
            </w:pPr>
          </w:p>
        </w:tc>
        <w:tc>
          <w:tcPr>
            <w:tcW w:w="1545" w:type="dxa"/>
            <w:vMerge/>
            <w:vAlign w:val="center"/>
          </w:tcPr>
          <w:p w14:paraId="034512E6" w14:textId="77777777" w:rsidR="009E2FB0" w:rsidRPr="00890249" w:rsidRDefault="009E2FB0" w:rsidP="00BA2858">
            <w:pPr>
              <w:jc w:val="center"/>
              <w:rPr>
                <w:rFonts w:asciiTheme="minorHAnsi" w:eastAsia="Times New Roman" w:hAnsiTheme="minorHAnsi" w:cstheme="minorHAnsi"/>
                <w:iCs/>
                <w:noProof/>
                <w:sz w:val="20"/>
              </w:rPr>
            </w:pPr>
          </w:p>
        </w:tc>
        <w:tc>
          <w:tcPr>
            <w:tcW w:w="1845" w:type="dxa"/>
          </w:tcPr>
          <w:p w14:paraId="0BF2B841"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081</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Infrastruktura czystego transportu miejskiego</w:t>
            </w:r>
          </w:p>
        </w:tc>
        <w:tc>
          <w:tcPr>
            <w:tcW w:w="1825" w:type="dxa"/>
          </w:tcPr>
          <w:p w14:paraId="79936004" w14:textId="3DF188BF" w:rsidR="009E2FB0" w:rsidRPr="00890249" w:rsidRDefault="00A569B1" w:rsidP="00BA2858">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42 075 000</w:t>
            </w:r>
          </w:p>
        </w:tc>
      </w:tr>
      <w:tr w:rsidR="009E2FB0" w:rsidRPr="00890249" w14:paraId="11B833E7" w14:textId="77777777" w:rsidTr="0097068C">
        <w:tc>
          <w:tcPr>
            <w:tcW w:w="1465" w:type="dxa"/>
            <w:vMerge/>
            <w:vAlign w:val="center"/>
          </w:tcPr>
          <w:p w14:paraId="563499D6" w14:textId="77777777" w:rsidR="009E2FB0" w:rsidRPr="00890249" w:rsidRDefault="009E2FB0" w:rsidP="00BA2858">
            <w:pPr>
              <w:jc w:val="center"/>
              <w:rPr>
                <w:rFonts w:asciiTheme="minorHAnsi" w:eastAsia="Times New Roman" w:hAnsiTheme="minorHAnsi" w:cstheme="minorHAnsi"/>
                <w:iCs/>
                <w:noProof/>
                <w:sz w:val="20"/>
              </w:rPr>
            </w:pPr>
          </w:p>
        </w:tc>
        <w:tc>
          <w:tcPr>
            <w:tcW w:w="1020" w:type="dxa"/>
            <w:vMerge/>
            <w:vAlign w:val="center"/>
          </w:tcPr>
          <w:p w14:paraId="3AFE7A37" w14:textId="77777777" w:rsidR="009E2FB0" w:rsidRPr="00890249" w:rsidRDefault="009E2FB0" w:rsidP="00BA2858">
            <w:pPr>
              <w:jc w:val="center"/>
              <w:rPr>
                <w:rFonts w:asciiTheme="minorHAnsi" w:eastAsia="Times New Roman" w:hAnsiTheme="minorHAnsi" w:cstheme="minorHAnsi"/>
                <w:iCs/>
                <w:noProof/>
                <w:sz w:val="20"/>
              </w:rPr>
            </w:pPr>
          </w:p>
        </w:tc>
        <w:tc>
          <w:tcPr>
            <w:tcW w:w="1587" w:type="dxa"/>
            <w:vMerge/>
            <w:vAlign w:val="center"/>
          </w:tcPr>
          <w:p w14:paraId="4FA350CB" w14:textId="77777777" w:rsidR="009E2FB0" w:rsidRPr="00890249" w:rsidRDefault="009E2FB0" w:rsidP="00BA2858">
            <w:pPr>
              <w:jc w:val="center"/>
              <w:rPr>
                <w:rFonts w:asciiTheme="minorHAnsi" w:eastAsia="Times New Roman" w:hAnsiTheme="minorHAnsi" w:cstheme="minorHAnsi"/>
                <w:iCs/>
                <w:noProof/>
                <w:sz w:val="20"/>
              </w:rPr>
            </w:pPr>
          </w:p>
        </w:tc>
        <w:tc>
          <w:tcPr>
            <w:tcW w:w="1545" w:type="dxa"/>
            <w:vMerge/>
          </w:tcPr>
          <w:p w14:paraId="475F5A28" w14:textId="77777777" w:rsidR="009E2FB0" w:rsidRPr="00890249" w:rsidRDefault="009E2FB0" w:rsidP="00BA2858">
            <w:pPr>
              <w:jc w:val="center"/>
              <w:rPr>
                <w:rFonts w:asciiTheme="minorHAnsi" w:eastAsia="Times New Roman" w:hAnsiTheme="minorHAnsi" w:cstheme="minorHAnsi"/>
                <w:iCs/>
                <w:noProof/>
                <w:sz w:val="20"/>
              </w:rPr>
            </w:pPr>
          </w:p>
        </w:tc>
        <w:tc>
          <w:tcPr>
            <w:tcW w:w="1845" w:type="dxa"/>
          </w:tcPr>
          <w:p w14:paraId="30128547"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082</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Tabor czystego transportu miejskiego</w:t>
            </w:r>
          </w:p>
        </w:tc>
        <w:tc>
          <w:tcPr>
            <w:tcW w:w="1825" w:type="dxa"/>
          </w:tcPr>
          <w:p w14:paraId="518FB8FA" w14:textId="7617E84E" w:rsidR="009E2FB0" w:rsidRPr="00890249" w:rsidRDefault="00A569B1" w:rsidP="00BA2858">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28 050 000</w:t>
            </w:r>
          </w:p>
        </w:tc>
      </w:tr>
      <w:tr w:rsidR="009E2FB0" w:rsidRPr="00890249" w14:paraId="7826072D" w14:textId="77777777" w:rsidTr="0097068C">
        <w:tc>
          <w:tcPr>
            <w:tcW w:w="1465" w:type="dxa"/>
            <w:vMerge/>
            <w:vAlign w:val="center"/>
          </w:tcPr>
          <w:p w14:paraId="62ABD9AA" w14:textId="77777777" w:rsidR="009E2FB0" w:rsidRPr="00890249" w:rsidRDefault="009E2FB0" w:rsidP="00BA2858">
            <w:pPr>
              <w:jc w:val="center"/>
              <w:rPr>
                <w:rFonts w:asciiTheme="minorHAnsi" w:eastAsia="Times New Roman" w:hAnsiTheme="minorHAnsi" w:cstheme="minorHAnsi"/>
                <w:iCs/>
                <w:noProof/>
                <w:sz w:val="20"/>
              </w:rPr>
            </w:pPr>
          </w:p>
        </w:tc>
        <w:tc>
          <w:tcPr>
            <w:tcW w:w="1020" w:type="dxa"/>
            <w:vMerge/>
            <w:vAlign w:val="center"/>
          </w:tcPr>
          <w:p w14:paraId="75CA4A29" w14:textId="77777777" w:rsidR="009E2FB0" w:rsidRPr="00890249" w:rsidRDefault="009E2FB0" w:rsidP="00BA2858">
            <w:pPr>
              <w:jc w:val="center"/>
              <w:rPr>
                <w:rFonts w:asciiTheme="minorHAnsi" w:eastAsia="Times New Roman" w:hAnsiTheme="minorHAnsi" w:cstheme="minorHAnsi"/>
                <w:iCs/>
                <w:noProof/>
                <w:sz w:val="20"/>
              </w:rPr>
            </w:pPr>
          </w:p>
        </w:tc>
        <w:tc>
          <w:tcPr>
            <w:tcW w:w="1587" w:type="dxa"/>
            <w:vMerge/>
            <w:vAlign w:val="center"/>
          </w:tcPr>
          <w:p w14:paraId="6C8C0D50" w14:textId="77777777" w:rsidR="009E2FB0" w:rsidRPr="00890249" w:rsidRDefault="009E2FB0" w:rsidP="00BA2858">
            <w:pPr>
              <w:jc w:val="center"/>
              <w:rPr>
                <w:rFonts w:asciiTheme="minorHAnsi" w:eastAsia="Times New Roman" w:hAnsiTheme="minorHAnsi" w:cstheme="minorHAnsi"/>
                <w:iCs/>
                <w:noProof/>
                <w:sz w:val="20"/>
              </w:rPr>
            </w:pPr>
          </w:p>
        </w:tc>
        <w:tc>
          <w:tcPr>
            <w:tcW w:w="1545" w:type="dxa"/>
            <w:vMerge/>
          </w:tcPr>
          <w:p w14:paraId="53E7B12B" w14:textId="77777777" w:rsidR="009E2FB0" w:rsidRPr="00890249" w:rsidRDefault="009E2FB0" w:rsidP="00BA2858">
            <w:pPr>
              <w:jc w:val="center"/>
              <w:rPr>
                <w:rFonts w:asciiTheme="minorHAnsi" w:eastAsia="Times New Roman" w:hAnsiTheme="minorHAnsi" w:cstheme="minorHAnsi"/>
                <w:iCs/>
                <w:noProof/>
                <w:sz w:val="20"/>
              </w:rPr>
            </w:pPr>
          </w:p>
        </w:tc>
        <w:tc>
          <w:tcPr>
            <w:tcW w:w="1845" w:type="dxa"/>
          </w:tcPr>
          <w:p w14:paraId="7A84A93E"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083</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Infrastruktura rowerowa</w:t>
            </w:r>
          </w:p>
        </w:tc>
        <w:tc>
          <w:tcPr>
            <w:tcW w:w="1825" w:type="dxa"/>
          </w:tcPr>
          <w:p w14:paraId="4E5D9B92" w14:textId="0E37E37D" w:rsidR="009E2FB0" w:rsidRPr="00890249" w:rsidRDefault="00A569B1" w:rsidP="00BA2858">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27 000 000</w:t>
            </w:r>
          </w:p>
        </w:tc>
      </w:tr>
      <w:tr w:rsidR="009E2FB0" w:rsidRPr="00890249" w14:paraId="2CA49CE1" w14:textId="77777777" w:rsidTr="0097068C">
        <w:tc>
          <w:tcPr>
            <w:tcW w:w="1465" w:type="dxa"/>
            <w:vMerge/>
          </w:tcPr>
          <w:p w14:paraId="65EE5310" w14:textId="77777777" w:rsidR="009E2FB0" w:rsidRPr="00890249" w:rsidRDefault="009E2FB0" w:rsidP="00BA2858">
            <w:pPr>
              <w:rPr>
                <w:rFonts w:asciiTheme="minorHAnsi" w:eastAsia="Times New Roman" w:hAnsiTheme="minorHAnsi" w:cstheme="minorHAnsi"/>
                <w:iCs/>
                <w:noProof/>
                <w:sz w:val="20"/>
              </w:rPr>
            </w:pPr>
          </w:p>
        </w:tc>
        <w:tc>
          <w:tcPr>
            <w:tcW w:w="1020" w:type="dxa"/>
            <w:vMerge/>
          </w:tcPr>
          <w:p w14:paraId="02F587A0" w14:textId="77777777" w:rsidR="009E2FB0" w:rsidRPr="00890249" w:rsidRDefault="009E2FB0" w:rsidP="00BA2858">
            <w:pPr>
              <w:jc w:val="center"/>
              <w:rPr>
                <w:rFonts w:asciiTheme="minorHAnsi" w:eastAsia="Times New Roman" w:hAnsiTheme="minorHAnsi" w:cstheme="minorHAnsi"/>
                <w:iCs/>
                <w:noProof/>
                <w:sz w:val="20"/>
              </w:rPr>
            </w:pPr>
          </w:p>
        </w:tc>
        <w:tc>
          <w:tcPr>
            <w:tcW w:w="1587" w:type="dxa"/>
            <w:vMerge/>
          </w:tcPr>
          <w:p w14:paraId="2060AD70" w14:textId="77777777" w:rsidR="009E2FB0" w:rsidRPr="00890249" w:rsidRDefault="009E2FB0" w:rsidP="00BA2858">
            <w:pPr>
              <w:jc w:val="center"/>
              <w:rPr>
                <w:rFonts w:asciiTheme="minorHAnsi" w:eastAsia="Times New Roman" w:hAnsiTheme="minorHAnsi" w:cstheme="minorHAnsi"/>
                <w:iCs/>
                <w:noProof/>
                <w:sz w:val="20"/>
              </w:rPr>
            </w:pPr>
          </w:p>
        </w:tc>
        <w:tc>
          <w:tcPr>
            <w:tcW w:w="1545" w:type="dxa"/>
            <w:vMerge/>
          </w:tcPr>
          <w:p w14:paraId="37EA70E4" w14:textId="77777777" w:rsidR="009E2FB0" w:rsidRPr="00890249" w:rsidRDefault="009E2FB0" w:rsidP="00BA2858">
            <w:pPr>
              <w:jc w:val="center"/>
              <w:rPr>
                <w:rFonts w:asciiTheme="minorHAnsi" w:eastAsia="Times New Roman" w:hAnsiTheme="minorHAnsi" w:cstheme="minorHAnsi"/>
                <w:iCs/>
                <w:noProof/>
                <w:sz w:val="20"/>
              </w:rPr>
            </w:pPr>
          </w:p>
        </w:tc>
        <w:tc>
          <w:tcPr>
            <w:tcW w:w="1845" w:type="dxa"/>
          </w:tcPr>
          <w:p w14:paraId="37F9A515" w14:textId="77777777"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084</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 xml:space="preserve">Cyfryzacja transportu miejskiego </w:t>
            </w:r>
          </w:p>
        </w:tc>
        <w:tc>
          <w:tcPr>
            <w:tcW w:w="1825" w:type="dxa"/>
          </w:tcPr>
          <w:p w14:paraId="7F3EF0B0" w14:textId="111EDC4C" w:rsidR="009E2FB0" w:rsidRPr="00890249" w:rsidRDefault="00A569B1" w:rsidP="00BA2858">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4 675 000</w:t>
            </w:r>
          </w:p>
        </w:tc>
      </w:tr>
      <w:tr w:rsidR="009E2FB0" w:rsidRPr="00890249" w14:paraId="7568B170" w14:textId="77777777" w:rsidTr="0097068C">
        <w:tc>
          <w:tcPr>
            <w:tcW w:w="1465" w:type="dxa"/>
            <w:vMerge/>
          </w:tcPr>
          <w:p w14:paraId="422330D7" w14:textId="77777777" w:rsidR="009E2FB0" w:rsidRPr="00890249" w:rsidRDefault="009E2FB0" w:rsidP="00BA2858">
            <w:pPr>
              <w:rPr>
                <w:rFonts w:asciiTheme="minorHAnsi" w:eastAsia="Times New Roman" w:hAnsiTheme="minorHAnsi" w:cstheme="minorHAnsi"/>
                <w:iCs/>
                <w:noProof/>
                <w:sz w:val="20"/>
              </w:rPr>
            </w:pPr>
          </w:p>
        </w:tc>
        <w:tc>
          <w:tcPr>
            <w:tcW w:w="1020" w:type="dxa"/>
            <w:vMerge/>
          </w:tcPr>
          <w:p w14:paraId="5B157E6C" w14:textId="77777777" w:rsidR="009E2FB0" w:rsidRPr="00890249" w:rsidRDefault="009E2FB0" w:rsidP="00BA2858">
            <w:pPr>
              <w:jc w:val="center"/>
              <w:rPr>
                <w:rFonts w:asciiTheme="minorHAnsi" w:eastAsia="Times New Roman" w:hAnsiTheme="minorHAnsi" w:cstheme="minorHAnsi"/>
                <w:iCs/>
                <w:noProof/>
                <w:sz w:val="20"/>
              </w:rPr>
            </w:pPr>
          </w:p>
        </w:tc>
        <w:tc>
          <w:tcPr>
            <w:tcW w:w="1587" w:type="dxa"/>
            <w:vMerge/>
          </w:tcPr>
          <w:p w14:paraId="629FD8AA" w14:textId="77777777" w:rsidR="009E2FB0" w:rsidRPr="00890249" w:rsidRDefault="009E2FB0" w:rsidP="00BA2858">
            <w:pPr>
              <w:jc w:val="center"/>
              <w:rPr>
                <w:rFonts w:asciiTheme="minorHAnsi" w:eastAsia="Times New Roman" w:hAnsiTheme="minorHAnsi" w:cstheme="minorHAnsi"/>
                <w:iCs/>
                <w:noProof/>
                <w:sz w:val="20"/>
              </w:rPr>
            </w:pPr>
          </w:p>
        </w:tc>
        <w:tc>
          <w:tcPr>
            <w:tcW w:w="1545" w:type="dxa"/>
            <w:vMerge/>
          </w:tcPr>
          <w:p w14:paraId="2947CD06" w14:textId="77777777" w:rsidR="009E2FB0" w:rsidRPr="00890249" w:rsidRDefault="009E2FB0" w:rsidP="00BA2858">
            <w:pPr>
              <w:jc w:val="center"/>
              <w:rPr>
                <w:rFonts w:asciiTheme="minorHAnsi" w:eastAsia="Times New Roman" w:hAnsiTheme="minorHAnsi" w:cstheme="minorHAnsi"/>
                <w:iCs/>
                <w:noProof/>
                <w:sz w:val="20"/>
              </w:rPr>
            </w:pPr>
          </w:p>
        </w:tc>
        <w:tc>
          <w:tcPr>
            <w:tcW w:w="1845" w:type="dxa"/>
          </w:tcPr>
          <w:p w14:paraId="42911BCC" w14:textId="67F617B0" w:rsidR="00B72154" w:rsidRPr="00890249" w:rsidRDefault="00875C92"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086</w:t>
            </w:r>
            <w:r w:rsidR="003A08AE" w:rsidRPr="00890249">
              <w:rPr>
                <w:rFonts w:asciiTheme="minorHAnsi" w:eastAsia="Times New Roman" w:hAnsiTheme="minorHAnsi" w:cstheme="minorHAnsi"/>
                <w:iCs/>
                <w:noProof/>
                <w:sz w:val="20"/>
                <w:szCs w:val="20"/>
                <w:lang w:eastAsia="en-US" w:bidi="ar-SA"/>
              </w:rPr>
              <w:t xml:space="preserve"> </w:t>
            </w:r>
            <w:r w:rsidRPr="00890249">
              <w:rPr>
                <w:rFonts w:asciiTheme="minorHAnsi" w:hAnsiTheme="minorHAnsi" w:cstheme="minorHAnsi"/>
                <w:sz w:val="20"/>
                <w:szCs w:val="20"/>
                <w:lang w:eastAsia="en-US" w:bidi="ar-SA"/>
              </w:rPr>
              <w:t>Infrastruktura paliw alternatywnych</w:t>
            </w:r>
          </w:p>
        </w:tc>
        <w:tc>
          <w:tcPr>
            <w:tcW w:w="1825" w:type="dxa"/>
          </w:tcPr>
          <w:p w14:paraId="53E438ED" w14:textId="77777777" w:rsidR="009E2FB0" w:rsidRPr="00890249" w:rsidRDefault="00F86419" w:rsidP="00BA2858">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4 675 000</w:t>
            </w:r>
          </w:p>
        </w:tc>
      </w:tr>
    </w:tbl>
    <w:p w14:paraId="4C6C119E" w14:textId="77777777" w:rsidR="00B2047A" w:rsidRPr="00890249" w:rsidRDefault="00B2047A" w:rsidP="00B2047A">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2"/>
        <w:gridCol w:w="1050"/>
        <w:gridCol w:w="1709"/>
        <w:gridCol w:w="1617"/>
        <w:gridCol w:w="1038"/>
        <w:gridCol w:w="2085"/>
      </w:tblGrid>
      <w:tr w:rsidR="00B2047A" w:rsidRPr="00890249" w14:paraId="5E4F3CDD" w14:textId="77777777" w:rsidTr="0002590B">
        <w:tc>
          <w:tcPr>
            <w:tcW w:w="9288" w:type="dxa"/>
            <w:gridSpan w:val="6"/>
            <w:shd w:val="clear" w:color="auto" w:fill="D9D9D9" w:themeFill="background1" w:themeFillShade="D9"/>
          </w:tcPr>
          <w:p w14:paraId="68ECC505" w14:textId="77777777" w:rsidR="00B2047A" w:rsidRPr="00890249" w:rsidRDefault="00B2047A" w:rsidP="00B2047A">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B2047A" w:rsidRPr="00890249" w14:paraId="0079A981" w14:textId="77777777" w:rsidTr="0002590B">
        <w:tc>
          <w:tcPr>
            <w:tcW w:w="1599" w:type="dxa"/>
            <w:shd w:val="clear" w:color="auto" w:fill="F2F2F2" w:themeFill="background1" w:themeFillShade="F2"/>
          </w:tcPr>
          <w:p w14:paraId="20DEC147"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1CA99637"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30F47228"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2CCC2886"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2F3B54CD"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12311830" w14:textId="77777777" w:rsidR="00B2047A" w:rsidRPr="00890249" w:rsidRDefault="00B2047A" w:rsidP="00B2047A">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2047A" w:rsidRPr="00890249" w14:paraId="7AD5BE68" w14:textId="77777777" w:rsidTr="00BD5A2B">
        <w:tc>
          <w:tcPr>
            <w:tcW w:w="1599" w:type="dxa"/>
            <w:vAlign w:val="center"/>
          </w:tcPr>
          <w:p w14:paraId="566878F4" w14:textId="77777777" w:rsidR="00B2047A" w:rsidRPr="00890249" w:rsidRDefault="00B2047A"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2</w:t>
            </w:r>
          </w:p>
        </w:tc>
        <w:tc>
          <w:tcPr>
            <w:tcW w:w="1061" w:type="dxa"/>
            <w:vAlign w:val="center"/>
          </w:tcPr>
          <w:p w14:paraId="00F5003D" w14:textId="77777777" w:rsidR="00B2047A" w:rsidRPr="00890249" w:rsidRDefault="00B2047A"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5216C9B3" w14:textId="77777777" w:rsidR="00B2047A" w:rsidRPr="00890249" w:rsidRDefault="00B2047A"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44" w:type="dxa"/>
          </w:tcPr>
          <w:p w14:paraId="4F44B1F1" w14:textId="77777777" w:rsidR="00B2047A" w:rsidRPr="00890249" w:rsidRDefault="00B2047A"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(viii)</w:t>
            </w:r>
          </w:p>
        </w:tc>
        <w:tc>
          <w:tcPr>
            <w:tcW w:w="1053" w:type="dxa"/>
          </w:tcPr>
          <w:p w14:paraId="196B4EA8" w14:textId="77777777" w:rsidR="00B2047A" w:rsidRPr="00890249" w:rsidRDefault="00B2047A" w:rsidP="00B2047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3A08AE" w:rsidRPr="00890249">
              <w:rPr>
                <w:rFonts w:asciiTheme="minorHAnsi" w:eastAsia="Times New Roman" w:hAnsiTheme="minorHAnsi" w:cstheme="minorHAnsi"/>
                <w:iCs/>
                <w:noProof/>
                <w:sz w:val="20"/>
              </w:rPr>
              <w:t xml:space="preserve"> Dotacja</w:t>
            </w:r>
          </w:p>
        </w:tc>
        <w:tc>
          <w:tcPr>
            <w:tcW w:w="2175" w:type="dxa"/>
          </w:tcPr>
          <w:p w14:paraId="44B55048" w14:textId="77777777" w:rsidR="00B2047A" w:rsidRPr="00890249" w:rsidRDefault="006C0E39" w:rsidP="00B2047A">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120 500 000</w:t>
            </w:r>
          </w:p>
        </w:tc>
      </w:tr>
    </w:tbl>
    <w:p w14:paraId="74F69D54" w14:textId="77777777" w:rsidR="00130875" w:rsidRPr="00890249" w:rsidRDefault="00130875" w:rsidP="002E0634">
      <w:pPr>
        <w:spacing w:before="0" w:after="240"/>
        <w:rPr>
          <w:rFonts w:asciiTheme="minorHAnsi" w:hAnsiTheme="minorHAnsi" w:cstheme="minorHAnsi"/>
          <w:b/>
          <w:noProof/>
        </w:rPr>
      </w:pPr>
    </w:p>
    <w:tbl>
      <w:tblPr>
        <w:tblStyle w:val="Tabela-Siatka"/>
        <w:tblW w:w="0" w:type="auto"/>
        <w:tblLook w:val="04A0" w:firstRow="1" w:lastRow="0" w:firstColumn="1" w:lastColumn="0" w:noHBand="0" w:noVBand="1"/>
      </w:tblPr>
      <w:tblGrid>
        <w:gridCol w:w="1524"/>
        <w:gridCol w:w="1038"/>
        <w:gridCol w:w="1662"/>
        <w:gridCol w:w="1589"/>
        <w:gridCol w:w="1268"/>
        <w:gridCol w:w="1980"/>
      </w:tblGrid>
      <w:tr w:rsidR="00B2047A" w:rsidRPr="00890249" w14:paraId="4A9863B6" w14:textId="77777777" w:rsidTr="00AE5BFE">
        <w:tc>
          <w:tcPr>
            <w:tcW w:w="9287" w:type="dxa"/>
            <w:gridSpan w:val="6"/>
            <w:shd w:val="clear" w:color="auto" w:fill="D9D9D9" w:themeFill="background1" w:themeFillShade="D9"/>
          </w:tcPr>
          <w:p w14:paraId="33FEA1F8" w14:textId="419A9E65" w:rsidR="00B2047A" w:rsidRPr="00890249" w:rsidRDefault="006C0E39" w:rsidP="00C73C6E">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9B65D7">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9B65D7">
              <w:rPr>
                <w:rFonts w:asciiTheme="minorHAnsi" w:hAnsiTheme="minorHAnsi" w:cstheme="minorHAnsi"/>
                <w:b/>
                <w:noProof/>
                <w:sz w:val="20"/>
              </w:rPr>
              <w:t>3</w:t>
            </w:r>
            <w:r w:rsidR="00B2047A" w:rsidRPr="00890249">
              <w:rPr>
                <w:rFonts w:asciiTheme="minorHAnsi" w:hAnsiTheme="minorHAnsi" w:cstheme="minorHAnsi"/>
                <w:b/>
                <w:noProof/>
                <w:sz w:val="20"/>
              </w:rPr>
              <w:t xml:space="preserve"> – terytorialny mechanizm realizacji i ukierunkowanie terytorialne </w:t>
            </w:r>
          </w:p>
        </w:tc>
      </w:tr>
      <w:tr w:rsidR="00B2047A" w:rsidRPr="00890249" w14:paraId="6CDB1213" w14:textId="77777777" w:rsidTr="00AE5BFE">
        <w:tc>
          <w:tcPr>
            <w:tcW w:w="1562" w:type="dxa"/>
            <w:shd w:val="clear" w:color="auto" w:fill="F2F2F2" w:themeFill="background1" w:themeFillShade="F2"/>
          </w:tcPr>
          <w:p w14:paraId="533614EF"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0" w:type="dxa"/>
            <w:shd w:val="clear" w:color="auto" w:fill="F2F2F2" w:themeFill="background1" w:themeFillShade="F2"/>
          </w:tcPr>
          <w:p w14:paraId="5CCDEA2B"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0" w:type="dxa"/>
            <w:shd w:val="clear" w:color="auto" w:fill="F2F2F2" w:themeFill="background1" w:themeFillShade="F2"/>
          </w:tcPr>
          <w:p w14:paraId="629D4930"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17" w:type="dxa"/>
            <w:shd w:val="clear" w:color="auto" w:fill="F2F2F2" w:themeFill="background1" w:themeFillShade="F2"/>
          </w:tcPr>
          <w:p w14:paraId="470DA0E9"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268" w:type="dxa"/>
            <w:shd w:val="clear" w:color="auto" w:fill="F2F2F2" w:themeFill="background1" w:themeFillShade="F2"/>
          </w:tcPr>
          <w:p w14:paraId="70E2E8C0"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80" w:type="dxa"/>
            <w:shd w:val="clear" w:color="auto" w:fill="F2F2F2" w:themeFill="background1" w:themeFillShade="F2"/>
          </w:tcPr>
          <w:p w14:paraId="4C081359" w14:textId="77777777" w:rsidR="00B2047A" w:rsidRPr="00890249" w:rsidRDefault="00B2047A" w:rsidP="00BD5A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231D6E" w:rsidRPr="00890249" w14:paraId="26B23F0F" w14:textId="77777777" w:rsidTr="00AE5BFE">
        <w:tc>
          <w:tcPr>
            <w:tcW w:w="1562" w:type="dxa"/>
            <w:vMerge w:val="restart"/>
            <w:shd w:val="clear" w:color="auto" w:fill="auto"/>
          </w:tcPr>
          <w:p w14:paraId="2B514D74" w14:textId="77777777" w:rsidR="00231D6E" w:rsidRPr="00890249" w:rsidRDefault="00231D6E" w:rsidP="00B2047A">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CP 2</w:t>
            </w:r>
          </w:p>
        </w:tc>
        <w:tc>
          <w:tcPr>
            <w:tcW w:w="1050" w:type="dxa"/>
            <w:vMerge w:val="restart"/>
            <w:shd w:val="clear" w:color="auto" w:fill="auto"/>
          </w:tcPr>
          <w:p w14:paraId="69151A01" w14:textId="77777777" w:rsidR="00231D6E" w:rsidRPr="00890249" w:rsidRDefault="00231D6E" w:rsidP="00B2047A">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EFRR</w:t>
            </w:r>
          </w:p>
        </w:tc>
        <w:tc>
          <w:tcPr>
            <w:tcW w:w="1710" w:type="dxa"/>
            <w:vMerge w:val="restart"/>
            <w:shd w:val="clear" w:color="auto" w:fill="auto"/>
          </w:tcPr>
          <w:p w14:paraId="69938169" w14:textId="77777777" w:rsidR="00231D6E" w:rsidRPr="00890249" w:rsidRDefault="00231D6E" w:rsidP="00B2047A">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Słabiej rozwinięte</w:t>
            </w:r>
          </w:p>
        </w:tc>
        <w:tc>
          <w:tcPr>
            <w:tcW w:w="1617" w:type="dxa"/>
            <w:vMerge w:val="restart"/>
            <w:shd w:val="clear" w:color="auto" w:fill="auto"/>
          </w:tcPr>
          <w:p w14:paraId="5AD88C4F" w14:textId="77777777" w:rsidR="00231D6E" w:rsidRPr="00890249" w:rsidRDefault="00231D6E" w:rsidP="00B2047A">
            <w:pPr>
              <w:jc w:val="center"/>
              <w:rPr>
                <w:rFonts w:asciiTheme="minorHAnsi" w:hAnsiTheme="minorHAnsi" w:cstheme="minorHAnsi"/>
                <w:b/>
                <w:noProof/>
                <w:sz w:val="20"/>
              </w:rPr>
            </w:pPr>
            <w:r w:rsidRPr="00890249">
              <w:rPr>
                <w:rFonts w:asciiTheme="minorHAnsi" w:eastAsia="Times New Roman" w:hAnsiTheme="minorHAnsi" w:cstheme="minorHAnsi"/>
                <w:iCs/>
                <w:noProof/>
                <w:sz w:val="20"/>
              </w:rPr>
              <w:t>(viii)</w:t>
            </w:r>
          </w:p>
        </w:tc>
        <w:tc>
          <w:tcPr>
            <w:tcW w:w="1268" w:type="dxa"/>
            <w:shd w:val="clear" w:color="auto" w:fill="auto"/>
          </w:tcPr>
          <w:p w14:paraId="408B9382" w14:textId="77777777" w:rsidR="00B72154" w:rsidRPr="00890249" w:rsidRDefault="00875C92" w:rsidP="00890249">
            <w:pPr>
              <w:pStyle w:val="Default"/>
              <w:rPr>
                <w:rFonts w:asciiTheme="minorHAnsi" w:hAnsiTheme="minorHAnsi" w:cstheme="minorHAnsi"/>
                <w:sz w:val="20"/>
              </w:rPr>
            </w:pPr>
            <w:r w:rsidRPr="00890249">
              <w:rPr>
                <w:rFonts w:asciiTheme="minorHAnsi" w:hAnsiTheme="minorHAnsi" w:cstheme="minorHAnsi"/>
                <w:noProof/>
                <w:sz w:val="20"/>
                <w:szCs w:val="20"/>
                <w:lang w:eastAsia="en-US" w:bidi="ar-SA"/>
              </w:rPr>
              <w:t>03</w:t>
            </w:r>
            <w:r w:rsidR="00231D6E" w:rsidRPr="00890249">
              <w:rPr>
                <w:rFonts w:asciiTheme="minorHAnsi" w:hAnsiTheme="minorHAnsi" w:cstheme="minorHAnsi"/>
                <w:noProof/>
                <w:sz w:val="20"/>
                <w:szCs w:val="20"/>
                <w:lang w:eastAsia="en-US" w:bidi="ar-SA"/>
              </w:rPr>
              <w:t xml:space="preserve"> </w:t>
            </w:r>
            <w:r w:rsidRPr="00890249">
              <w:rPr>
                <w:rFonts w:asciiTheme="minorHAnsi" w:hAnsiTheme="minorHAnsi" w:cstheme="minorHAnsi"/>
                <w:sz w:val="20"/>
                <w:szCs w:val="20"/>
                <w:lang w:eastAsia="en-US" w:bidi="ar-SA"/>
              </w:rPr>
              <w:t xml:space="preserve">Miejskie obszary funkcjonalne </w:t>
            </w:r>
          </w:p>
        </w:tc>
        <w:tc>
          <w:tcPr>
            <w:tcW w:w="2080" w:type="dxa"/>
            <w:shd w:val="clear" w:color="auto" w:fill="auto"/>
          </w:tcPr>
          <w:p w14:paraId="45A6AFC7" w14:textId="7D4BAB66" w:rsidR="00B72154" w:rsidRPr="00890249" w:rsidRDefault="000528DA" w:rsidP="00890249">
            <w:pPr>
              <w:jc w:val="right"/>
              <w:rPr>
                <w:rFonts w:asciiTheme="minorHAnsi" w:hAnsiTheme="minorHAnsi" w:cstheme="minorHAnsi"/>
                <w:b/>
                <w:noProof/>
                <w:sz w:val="20"/>
              </w:rPr>
            </w:pPr>
            <w:r>
              <w:rPr>
                <w:rFonts w:asciiTheme="minorHAnsi" w:hAnsiTheme="minorHAnsi" w:cstheme="minorHAnsi"/>
                <w:b/>
                <w:noProof/>
                <w:sz w:val="20"/>
              </w:rPr>
              <w:t>47 701 824</w:t>
            </w:r>
          </w:p>
        </w:tc>
      </w:tr>
      <w:tr w:rsidR="00231D6E" w:rsidRPr="00890249" w14:paraId="1C88000E" w14:textId="77777777" w:rsidTr="00AE5BFE">
        <w:tc>
          <w:tcPr>
            <w:tcW w:w="1562" w:type="dxa"/>
            <w:vMerge/>
            <w:shd w:val="clear" w:color="auto" w:fill="auto"/>
          </w:tcPr>
          <w:p w14:paraId="1F29ED28" w14:textId="77777777" w:rsidR="00231D6E" w:rsidRPr="00890249" w:rsidRDefault="00231D6E" w:rsidP="00B2047A">
            <w:pPr>
              <w:jc w:val="center"/>
              <w:rPr>
                <w:rFonts w:asciiTheme="minorHAnsi" w:hAnsiTheme="minorHAnsi" w:cstheme="minorHAnsi"/>
                <w:b/>
                <w:noProof/>
                <w:sz w:val="20"/>
              </w:rPr>
            </w:pPr>
          </w:p>
        </w:tc>
        <w:tc>
          <w:tcPr>
            <w:tcW w:w="1050" w:type="dxa"/>
            <w:vMerge/>
            <w:shd w:val="clear" w:color="auto" w:fill="auto"/>
          </w:tcPr>
          <w:p w14:paraId="267BCEAE" w14:textId="77777777" w:rsidR="00231D6E" w:rsidRPr="00890249" w:rsidRDefault="00231D6E" w:rsidP="00B2047A">
            <w:pPr>
              <w:jc w:val="center"/>
              <w:rPr>
                <w:rFonts w:asciiTheme="minorHAnsi" w:hAnsiTheme="minorHAnsi" w:cstheme="minorHAnsi"/>
                <w:b/>
                <w:noProof/>
                <w:sz w:val="20"/>
              </w:rPr>
            </w:pPr>
          </w:p>
        </w:tc>
        <w:tc>
          <w:tcPr>
            <w:tcW w:w="1710" w:type="dxa"/>
            <w:vMerge/>
            <w:shd w:val="clear" w:color="auto" w:fill="auto"/>
          </w:tcPr>
          <w:p w14:paraId="76B4B70F" w14:textId="77777777" w:rsidR="00231D6E" w:rsidRPr="00890249" w:rsidRDefault="00231D6E" w:rsidP="00B2047A">
            <w:pPr>
              <w:jc w:val="center"/>
              <w:rPr>
                <w:rFonts w:asciiTheme="minorHAnsi" w:hAnsiTheme="minorHAnsi" w:cstheme="minorHAnsi"/>
                <w:b/>
                <w:noProof/>
                <w:sz w:val="20"/>
              </w:rPr>
            </w:pPr>
          </w:p>
        </w:tc>
        <w:tc>
          <w:tcPr>
            <w:tcW w:w="1617" w:type="dxa"/>
            <w:vMerge/>
            <w:shd w:val="clear" w:color="auto" w:fill="auto"/>
          </w:tcPr>
          <w:p w14:paraId="0DDFB017" w14:textId="77777777" w:rsidR="00231D6E" w:rsidRPr="00890249" w:rsidRDefault="00231D6E" w:rsidP="00B2047A">
            <w:pPr>
              <w:jc w:val="center"/>
              <w:rPr>
                <w:rFonts w:asciiTheme="minorHAnsi" w:hAnsiTheme="minorHAnsi" w:cstheme="minorHAnsi"/>
                <w:b/>
                <w:noProof/>
                <w:sz w:val="20"/>
              </w:rPr>
            </w:pPr>
          </w:p>
        </w:tc>
        <w:tc>
          <w:tcPr>
            <w:tcW w:w="1268" w:type="dxa"/>
            <w:shd w:val="clear" w:color="auto" w:fill="auto"/>
          </w:tcPr>
          <w:p w14:paraId="59731CB9" w14:textId="77777777" w:rsidR="00B72154" w:rsidRPr="00890249" w:rsidRDefault="00875C92" w:rsidP="00890249">
            <w:pPr>
              <w:pStyle w:val="Default"/>
              <w:rPr>
                <w:rFonts w:asciiTheme="minorHAnsi" w:hAnsiTheme="minorHAnsi" w:cstheme="minorHAnsi"/>
                <w:sz w:val="20"/>
              </w:rPr>
            </w:pPr>
            <w:r w:rsidRPr="00890249">
              <w:rPr>
                <w:rFonts w:asciiTheme="minorHAnsi" w:hAnsiTheme="minorHAnsi" w:cstheme="minorHAnsi"/>
                <w:noProof/>
                <w:sz w:val="20"/>
                <w:szCs w:val="20"/>
                <w:lang w:eastAsia="en-US" w:bidi="ar-SA"/>
              </w:rPr>
              <w:t>19</w:t>
            </w:r>
            <w:r w:rsidR="00231D6E" w:rsidRPr="00890249">
              <w:rPr>
                <w:rFonts w:asciiTheme="minorHAnsi" w:hAnsiTheme="minorHAnsi" w:cstheme="minorHAnsi"/>
                <w:noProof/>
                <w:sz w:val="20"/>
                <w:szCs w:val="20"/>
                <w:lang w:eastAsia="en-US" w:bidi="ar-SA"/>
              </w:rPr>
              <w:t xml:space="preserve"> </w:t>
            </w:r>
            <w:r w:rsidRPr="00890249">
              <w:rPr>
                <w:rFonts w:asciiTheme="minorHAnsi" w:hAnsiTheme="minorHAnsi" w:cstheme="minorHAnsi"/>
                <w:sz w:val="20"/>
                <w:szCs w:val="20"/>
                <w:lang w:eastAsia="en-US" w:bidi="ar-SA"/>
              </w:rPr>
              <w:t>Miejskie obszary funkcjonalne</w:t>
            </w:r>
          </w:p>
        </w:tc>
        <w:tc>
          <w:tcPr>
            <w:tcW w:w="2080" w:type="dxa"/>
            <w:shd w:val="clear" w:color="auto" w:fill="auto"/>
          </w:tcPr>
          <w:p w14:paraId="3021D227" w14:textId="6B841642" w:rsidR="00B72154" w:rsidRPr="00890249" w:rsidRDefault="000528DA" w:rsidP="00890249">
            <w:pPr>
              <w:jc w:val="right"/>
              <w:rPr>
                <w:rFonts w:asciiTheme="minorHAnsi" w:hAnsiTheme="minorHAnsi" w:cstheme="minorHAnsi"/>
                <w:b/>
                <w:noProof/>
                <w:sz w:val="20"/>
              </w:rPr>
            </w:pPr>
            <w:r>
              <w:rPr>
                <w:rFonts w:asciiTheme="minorHAnsi" w:hAnsiTheme="minorHAnsi" w:cstheme="minorHAnsi"/>
                <w:b/>
                <w:noProof/>
                <w:sz w:val="20"/>
              </w:rPr>
              <w:t>72 798 176</w:t>
            </w:r>
          </w:p>
        </w:tc>
      </w:tr>
    </w:tbl>
    <w:p w14:paraId="2876E36B" w14:textId="77777777" w:rsidR="000F4AA6" w:rsidRPr="00890249" w:rsidRDefault="000F4AA6" w:rsidP="000F4AA6">
      <w:pPr>
        <w:spacing w:after="0"/>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0F4AA6" w:rsidRPr="00890249" w14:paraId="2175A297" w14:textId="77777777" w:rsidTr="0002590B">
        <w:tc>
          <w:tcPr>
            <w:tcW w:w="9288" w:type="dxa"/>
            <w:gridSpan w:val="6"/>
            <w:shd w:val="clear" w:color="auto" w:fill="D9D9D9" w:themeFill="background1" w:themeFillShade="D9"/>
          </w:tcPr>
          <w:p w14:paraId="73FF3A89"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0F4AA6" w:rsidRPr="00890249" w14:paraId="6ECDD44B" w14:textId="77777777" w:rsidTr="0002590B">
        <w:tc>
          <w:tcPr>
            <w:tcW w:w="1599" w:type="dxa"/>
            <w:shd w:val="clear" w:color="auto" w:fill="F2F2F2" w:themeFill="background1" w:themeFillShade="F2"/>
          </w:tcPr>
          <w:p w14:paraId="38EB4868"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3545978C"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49D3A090"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56C391D2"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27BE1981"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2E53923" w14:textId="77777777" w:rsidR="000F4AA6" w:rsidRPr="00890249" w:rsidRDefault="000F4AA6"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0F4AA6" w:rsidRPr="00890249" w14:paraId="5BC3B299" w14:textId="77777777" w:rsidTr="002B20E2">
        <w:tc>
          <w:tcPr>
            <w:tcW w:w="1599" w:type="dxa"/>
            <w:vAlign w:val="center"/>
          </w:tcPr>
          <w:p w14:paraId="6956469E" w14:textId="77777777" w:rsidR="000F4AA6" w:rsidRPr="00890249" w:rsidRDefault="009E79E4"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2</w:t>
            </w:r>
          </w:p>
        </w:tc>
        <w:tc>
          <w:tcPr>
            <w:tcW w:w="1061" w:type="dxa"/>
            <w:vAlign w:val="center"/>
          </w:tcPr>
          <w:p w14:paraId="2DE00187" w14:textId="77777777" w:rsidR="000F4AA6" w:rsidRPr="00890249" w:rsidRDefault="000F4AA6"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05A761A0" w14:textId="77777777" w:rsidR="000F4AA6" w:rsidRPr="00890249" w:rsidRDefault="000F4AA6"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0158F8D7" w14:textId="77777777" w:rsidR="000F4AA6" w:rsidRPr="00890249" w:rsidRDefault="000F4AA6"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4D4F0F0B" w14:textId="77777777" w:rsidR="000F4AA6" w:rsidRPr="00890249" w:rsidRDefault="000F4AA6"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6D010903" w14:textId="77777777" w:rsidR="000F4AA6" w:rsidRPr="00890249" w:rsidRDefault="000F4AA6"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7DA770D1" w14:textId="77777777" w:rsidR="000F4AA6" w:rsidRPr="00890249" w:rsidRDefault="000F4AA6" w:rsidP="002E0634">
      <w:pPr>
        <w:spacing w:before="240" w:after="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0F4AA6" w:rsidRPr="00890249" w14:paraId="666A07B1" w14:textId="77777777" w:rsidTr="00FE7195">
        <w:tc>
          <w:tcPr>
            <w:tcW w:w="9322" w:type="dxa"/>
            <w:gridSpan w:val="6"/>
            <w:shd w:val="clear" w:color="auto" w:fill="D9D9D9" w:themeFill="background1" w:themeFillShade="D9"/>
          </w:tcPr>
          <w:p w14:paraId="1BA00EF2" w14:textId="77777777" w:rsidR="000F4AA6" w:rsidRPr="00890249" w:rsidRDefault="000F4AA6" w:rsidP="002B20E2">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0F4AA6" w:rsidRPr="00890249" w14:paraId="56643658" w14:textId="77777777" w:rsidTr="00FE7195">
        <w:tc>
          <w:tcPr>
            <w:tcW w:w="1570" w:type="dxa"/>
            <w:shd w:val="clear" w:color="auto" w:fill="F2F2F2" w:themeFill="background1" w:themeFillShade="F2"/>
          </w:tcPr>
          <w:p w14:paraId="0CB610D5" w14:textId="77777777" w:rsidR="000F4AA6" w:rsidRPr="00890249" w:rsidRDefault="000F4AA6"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3FB074B3" w14:textId="77777777" w:rsidR="000F4AA6" w:rsidRPr="00890249" w:rsidRDefault="000F4AA6"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6F79CF24" w14:textId="77777777" w:rsidR="000F4AA6" w:rsidRPr="00890249" w:rsidRDefault="000F4AA6"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2F0C894C" w14:textId="77777777" w:rsidR="000F4AA6" w:rsidRPr="00890249" w:rsidRDefault="000F4AA6"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0EFBEDC6" w14:textId="77777777" w:rsidR="000F4AA6" w:rsidRPr="00890249" w:rsidRDefault="000F4AA6"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71DD6B24" w14:textId="77777777" w:rsidR="000F4AA6" w:rsidRPr="00890249" w:rsidRDefault="000F4AA6"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6C0E39" w:rsidRPr="00890249" w14:paraId="02396BFA" w14:textId="77777777" w:rsidTr="00FE7195">
        <w:tc>
          <w:tcPr>
            <w:tcW w:w="1570" w:type="dxa"/>
            <w:vAlign w:val="center"/>
          </w:tcPr>
          <w:p w14:paraId="5D85A7F5"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2</w:t>
            </w:r>
          </w:p>
        </w:tc>
        <w:tc>
          <w:tcPr>
            <w:tcW w:w="1360" w:type="dxa"/>
            <w:vAlign w:val="center"/>
          </w:tcPr>
          <w:p w14:paraId="6B89419C"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0BA6F530"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shd w:val="clear" w:color="auto" w:fill="auto"/>
            <w:vAlign w:val="center"/>
          </w:tcPr>
          <w:p w14:paraId="1F18DB20" w14:textId="77777777" w:rsidR="006C0E39" w:rsidRPr="00890249" w:rsidRDefault="006C0E39" w:rsidP="00D207AC">
            <w:pPr>
              <w:spacing w:before="0" w:after="160" w:line="259" w:lineRule="auto"/>
              <w:jc w:val="center"/>
              <w:rPr>
                <w:rFonts w:asciiTheme="minorHAnsi" w:eastAsia="Times New Roman" w:hAnsiTheme="minorHAnsi" w:cstheme="minorHAnsi"/>
                <w:iCs/>
                <w:noProof/>
                <w:sz w:val="20"/>
                <w:lang w:eastAsia="en-US" w:bidi="ar-SA"/>
              </w:rPr>
            </w:pPr>
            <w:r w:rsidRPr="00890249">
              <w:rPr>
                <w:rFonts w:asciiTheme="minorHAnsi" w:eastAsia="Times New Roman" w:hAnsiTheme="minorHAnsi" w:cstheme="minorHAnsi"/>
                <w:iCs/>
                <w:noProof/>
                <w:sz w:val="20"/>
                <w:lang w:eastAsia="en-US" w:bidi="ar-SA"/>
              </w:rPr>
              <w:t>(viii)</w:t>
            </w:r>
          </w:p>
        </w:tc>
        <w:tc>
          <w:tcPr>
            <w:tcW w:w="1026" w:type="dxa"/>
            <w:shd w:val="clear" w:color="auto" w:fill="auto"/>
            <w:vAlign w:val="center"/>
          </w:tcPr>
          <w:p w14:paraId="179B264E" w14:textId="5C690A2E" w:rsidR="00B72154" w:rsidRPr="00890249" w:rsidRDefault="00D0622E" w:rsidP="00890249">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36194359" w14:textId="6FDB78B6" w:rsidR="006C0E39" w:rsidRPr="00890249" w:rsidRDefault="00D0622E" w:rsidP="004563E1">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120 5</w:t>
            </w:r>
            <w:r w:rsidR="001344ED" w:rsidRPr="00890249">
              <w:rPr>
                <w:rFonts w:asciiTheme="minorHAnsi" w:eastAsia="Times New Roman" w:hAnsiTheme="minorHAnsi" w:cstheme="minorHAnsi"/>
                <w:iCs/>
                <w:noProof/>
                <w:sz w:val="20"/>
                <w:lang w:eastAsia="en-US" w:bidi="ar-SA"/>
              </w:rPr>
              <w:t>00 000</w:t>
            </w:r>
          </w:p>
        </w:tc>
      </w:tr>
    </w:tbl>
    <w:p w14:paraId="6FF00399" w14:textId="77777777" w:rsidR="00461501" w:rsidRPr="00890249" w:rsidRDefault="00461501" w:rsidP="000F4AA6">
      <w:pPr>
        <w:spacing w:before="0" w:after="160" w:line="259" w:lineRule="auto"/>
        <w:jc w:val="left"/>
        <w:rPr>
          <w:rFonts w:asciiTheme="minorHAnsi" w:hAnsiTheme="minorHAnsi" w:cstheme="minorHAnsi"/>
          <w:b/>
          <w:noProof/>
          <w:color w:val="FF0000"/>
          <w:sz w:val="22"/>
          <w:szCs w:val="22"/>
        </w:rPr>
      </w:pPr>
    </w:p>
    <w:p w14:paraId="65C7041C" w14:textId="77777777" w:rsidR="000F4AA6" w:rsidRPr="00890249" w:rsidRDefault="00461501" w:rsidP="000F4AA6">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1EF59CF0" w14:textId="4B67AA0E" w:rsidR="00E94838" w:rsidRPr="00890249" w:rsidRDefault="00E94838" w:rsidP="00AC1BD0">
      <w:pPr>
        <w:pStyle w:val="Nagwek3"/>
        <w:ind w:left="567" w:hanging="567"/>
      </w:pPr>
      <w:bookmarkStart w:id="16" w:name="_Toc188266911"/>
      <w:r w:rsidRPr="00890249">
        <w:rPr>
          <w:rFonts w:eastAsia="Calibri"/>
        </w:rPr>
        <w:lastRenderedPageBreak/>
        <w:t>2.</w:t>
      </w:r>
      <w:r w:rsidR="00E6719C" w:rsidRPr="00890249">
        <w:rPr>
          <w:rFonts w:eastAsia="Calibri"/>
        </w:rPr>
        <w:t>1.</w:t>
      </w:r>
      <w:r w:rsidR="005F1F6A" w:rsidRPr="00890249">
        <w:rPr>
          <w:rFonts w:eastAsia="Calibri"/>
        </w:rPr>
        <w:t>4</w:t>
      </w:r>
      <w:r w:rsidRPr="00890249">
        <w:rPr>
          <w:rFonts w:eastAsia="Calibri"/>
        </w:rPr>
        <w:t xml:space="preserve"> </w:t>
      </w:r>
      <w:r w:rsidR="00A93A75" w:rsidRPr="00890249">
        <w:rPr>
          <w:rFonts w:eastAsia="Calibri"/>
        </w:rPr>
        <w:t>FUNDUSZE EUROPEJSKIE NA RZECZ SPÓJNOŚCI I DOSTĘPNOŚ</w:t>
      </w:r>
      <w:r w:rsidR="00D8617E" w:rsidRPr="00890249">
        <w:rPr>
          <w:rFonts w:eastAsia="Calibri"/>
        </w:rPr>
        <w:t xml:space="preserve">CI KOMUNIKACYJNEJ </w:t>
      </w:r>
      <w:r w:rsidR="00D176F1" w:rsidRPr="00890249">
        <w:rPr>
          <w:rFonts w:eastAsia="Calibri"/>
        </w:rPr>
        <w:t xml:space="preserve">WOJEWÓDZTWA </w:t>
      </w:r>
      <w:r w:rsidR="00D8617E" w:rsidRPr="00890249">
        <w:rPr>
          <w:rFonts w:eastAsia="Calibri"/>
        </w:rPr>
        <w:t>OPOLSKIEGO</w:t>
      </w:r>
      <w:bookmarkEnd w:id="16"/>
    </w:p>
    <w:tbl>
      <w:tblPr>
        <w:tblW w:w="9538" w:type="dxa"/>
        <w:tblLook w:val="04A0" w:firstRow="1" w:lastRow="0" w:firstColumn="1" w:lastColumn="0" w:noHBand="0" w:noVBand="1"/>
      </w:tblPr>
      <w:tblGrid>
        <w:gridCol w:w="9538"/>
      </w:tblGrid>
      <w:tr w:rsidR="000F4AA6" w:rsidRPr="00890249" w14:paraId="34B564BE" w14:textId="77777777" w:rsidTr="00B94D07">
        <w:tc>
          <w:tcPr>
            <w:tcW w:w="9538" w:type="dxa"/>
          </w:tcPr>
          <w:tbl>
            <w:tblPr>
              <w:tblW w:w="9322" w:type="dxa"/>
              <w:tblLook w:val="04A0" w:firstRow="1" w:lastRow="0" w:firstColumn="1" w:lastColumn="0" w:noHBand="0" w:noVBand="1"/>
            </w:tblPr>
            <w:tblGrid>
              <w:gridCol w:w="9322"/>
            </w:tblGrid>
            <w:tr w:rsidR="000F4AA6" w:rsidRPr="00890249" w14:paraId="3B80F007" w14:textId="77777777" w:rsidTr="002B20E2">
              <w:tc>
                <w:tcPr>
                  <w:tcW w:w="9322" w:type="dxa"/>
                </w:tcPr>
                <w:p w14:paraId="4F9252D7" w14:textId="77777777" w:rsidR="000F4AA6" w:rsidRPr="00890249" w:rsidRDefault="00875C92" w:rsidP="000F4AA6">
                  <w:pPr>
                    <w:spacing w:before="0" w:after="0"/>
                    <w:ind w:left="-74" w:firstLine="74"/>
                    <w:jc w:val="left"/>
                    <w:rPr>
                      <w:rFonts w:asciiTheme="minorHAnsi" w:hAnsiTheme="minorHAnsi" w:cstheme="minorHAnsi"/>
                      <w:noProof/>
                      <w:sz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0F4AA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F4AA6" w:rsidRPr="00890249">
                    <w:rPr>
                      <w:rFonts w:asciiTheme="minorHAnsi" w:hAnsiTheme="minorHAnsi" w:cstheme="minorHAnsi"/>
                      <w:noProof/>
                      <w:sz w:val="20"/>
                      <w:szCs w:val="22"/>
                    </w:rPr>
                    <w:t xml:space="preserve"> Ten priorytet dotyczy zatrudnienia ludzi młodych</w:t>
                  </w:r>
                </w:p>
              </w:tc>
            </w:tr>
            <w:tr w:rsidR="000F4AA6" w:rsidRPr="00890249" w14:paraId="75A7C294" w14:textId="77777777" w:rsidTr="002B20E2">
              <w:tc>
                <w:tcPr>
                  <w:tcW w:w="9322" w:type="dxa"/>
                </w:tcPr>
                <w:p w14:paraId="5C8501ED" w14:textId="77777777" w:rsidR="000F4AA6" w:rsidRPr="00890249" w:rsidRDefault="00875C92" w:rsidP="000F4AA6">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F4AA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F4AA6" w:rsidRPr="00890249">
                    <w:rPr>
                      <w:rFonts w:asciiTheme="minorHAnsi" w:hAnsiTheme="minorHAnsi" w:cstheme="minorHAnsi"/>
                      <w:noProof/>
                      <w:sz w:val="20"/>
                      <w:szCs w:val="22"/>
                    </w:rPr>
                    <w:t xml:space="preserve"> Ten priorytet dotyczy inowacyjnych działań społecznych</w:t>
                  </w:r>
                </w:p>
              </w:tc>
            </w:tr>
            <w:tr w:rsidR="000F4AA6" w:rsidRPr="00890249" w14:paraId="24A7B429" w14:textId="77777777" w:rsidTr="002B20E2">
              <w:tc>
                <w:tcPr>
                  <w:tcW w:w="9322" w:type="dxa"/>
                </w:tcPr>
                <w:p w14:paraId="3FE08DAB" w14:textId="77777777" w:rsidR="000F4AA6" w:rsidRPr="00890249" w:rsidRDefault="00875C92" w:rsidP="000F4AA6">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F4AA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F4AA6"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m) rozporządzenia w sprawie EFS+</w:t>
                  </w:r>
                </w:p>
              </w:tc>
            </w:tr>
            <w:tr w:rsidR="000F4AA6" w:rsidRPr="00890249" w14:paraId="5A0BD970" w14:textId="77777777" w:rsidTr="002B20E2">
              <w:tc>
                <w:tcPr>
                  <w:tcW w:w="9322" w:type="dxa"/>
                </w:tcPr>
                <w:p w14:paraId="50B756F8" w14:textId="77777777" w:rsidR="000F4AA6" w:rsidRPr="00890249" w:rsidRDefault="00875C92" w:rsidP="000F4AA6">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F4AA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F4AA6"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24904C46" w14:textId="77777777" w:rsidR="000F4AA6" w:rsidRPr="00890249" w:rsidRDefault="00875C92" w:rsidP="000F4AA6">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F4AA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F4AA6"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4ECAEDA6" w14:textId="77777777" w:rsidR="000F4AA6" w:rsidRPr="00890249" w:rsidRDefault="00875C92" w:rsidP="000F4AA6">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0F4AA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0F4AA6"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13A17941" w14:textId="77777777" w:rsidR="000F4AA6" w:rsidRPr="00890249" w:rsidRDefault="000F4AA6" w:rsidP="000F4AA6">
            <w:pPr>
              <w:pStyle w:val="Text3"/>
              <w:spacing w:before="0" w:after="0"/>
              <w:ind w:left="0" w:hanging="250"/>
              <w:rPr>
                <w:rFonts w:asciiTheme="minorHAnsi" w:hAnsiTheme="minorHAnsi" w:cstheme="minorHAnsi"/>
                <w:noProof/>
                <w:sz w:val="20"/>
                <w:szCs w:val="20"/>
              </w:rPr>
            </w:pPr>
          </w:p>
        </w:tc>
      </w:tr>
    </w:tbl>
    <w:p w14:paraId="772D23A6" w14:textId="77777777" w:rsidR="0097068C" w:rsidRPr="00890249" w:rsidRDefault="0097068C" w:rsidP="0097068C">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t>2.1.4.1 (ii) Cel szczegółowy</w:t>
      </w:r>
    </w:p>
    <w:p w14:paraId="19BD7CAF" w14:textId="77777777" w:rsidR="0097068C" w:rsidRPr="00890249" w:rsidRDefault="0097068C" w:rsidP="0097068C">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rPr>
        <w:t>(ii) Rozwój i udoskonalanie zrównoważonej, odpornej na zmiany klimatu, inteligentnej i intermodalnej mobilności na poziomie krajowym, regionalnym i lokalnym, w tym poprawę dostępu do TEN-T oraz mobilności transgranicznej</w:t>
      </w:r>
    </w:p>
    <w:p w14:paraId="15651646" w14:textId="77777777" w:rsidR="0097068C" w:rsidRPr="00890249" w:rsidRDefault="0097068C" w:rsidP="0097068C">
      <w:pPr>
        <w:spacing w:before="240" w:after="240"/>
        <w:jc w:val="left"/>
        <w:rPr>
          <w:rFonts w:asciiTheme="minorHAnsi" w:hAnsiTheme="minorHAnsi" w:cstheme="minorHAnsi"/>
          <w:b/>
          <w:noProof/>
          <w:sz w:val="22"/>
        </w:rPr>
      </w:pPr>
      <w:r w:rsidRPr="00890249">
        <w:rPr>
          <w:rFonts w:asciiTheme="minorHAnsi" w:hAnsiTheme="minorHAnsi" w:cstheme="minorHAnsi"/>
          <w:b/>
          <w:noProof/>
          <w:sz w:val="22"/>
        </w:rPr>
        <w:t>2.1.4.1.1 (ii) Interwencje w ramach funduszy</w:t>
      </w:r>
    </w:p>
    <w:p w14:paraId="621446F5" w14:textId="77777777"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7CCC3DB6" w14:textId="77777777" w:rsidR="0093433C" w:rsidRPr="00890249" w:rsidRDefault="5C81146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Podnoszenie konkurencyjności regionu w wymiarze terytorialnym i poprawa warunków życia jego mieszkańców wymaga stałego rozwoju infrastruktury transportowej, dzięki której możliwa jest poprawa dostępności do istniejących zasobów, niezbędna dla osiągnięcia spójności terytorialnej regionu oraz poprawa jakości środowiska, konieczna dla zapewnienia bezpiecznych i przyjaznych warunków życia</w:t>
      </w:r>
      <w:r w:rsidR="00E94838" w:rsidRPr="00890249">
        <w:rPr>
          <w:rFonts w:asciiTheme="minorHAnsi" w:hAnsiTheme="minorHAnsi" w:cstheme="minorHAnsi"/>
          <w:sz w:val="22"/>
          <w:szCs w:val="22"/>
          <w:vertAlign w:val="superscript"/>
        </w:rPr>
        <w:footnoteReference w:id="153"/>
      </w:r>
      <w:r w:rsidRPr="00890249">
        <w:rPr>
          <w:rFonts w:asciiTheme="minorHAnsi" w:hAnsiTheme="minorHAnsi" w:cstheme="minorHAnsi"/>
          <w:sz w:val="22"/>
          <w:szCs w:val="22"/>
        </w:rPr>
        <w:t xml:space="preserve">. </w:t>
      </w:r>
    </w:p>
    <w:p w14:paraId="3A2D5DDA" w14:textId="3D45192E" w:rsidR="0093433C" w:rsidRPr="00890249" w:rsidRDefault="0014080C"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związku z powyższym interwencja</w:t>
      </w:r>
      <w:r w:rsidR="00E65612" w:rsidRPr="00890249">
        <w:rPr>
          <w:rFonts w:asciiTheme="minorHAnsi" w:hAnsiTheme="minorHAnsi" w:cstheme="minorHAnsi"/>
          <w:sz w:val="22"/>
          <w:szCs w:val="22"/>
        </w:rPr>
        <w:t xml:space="preserve"> s</w:t>
      </w:r>
      <w:r w:rsidRPr="00890249">
        <w:rPr>
          <w:rFonts w:asciiTheme="minorHAnsi" w:hAnsiTheme="minorHAnsi" w:cstheme="minorHAnsi"/>
          <w:sz w:val="22"/>
          <w:szCs w:val="22"/>
        </w:rPr>
        <w:t>koncentrowana zostanie na działaniach inwestycyjnych skierowanych na transport publiczny</w:t>
      </w:r>
      <w:r w:rsidR="00EB473E" w:rsidRPr="00890249">
        <w:rPr>
          <w:rFonts w:asciiTheme="minorHAnsi" w:hAnsiTheme="minorHAnsi" w:cstheme="minorHAnsi"/>
          <w:sz w:val="22"/>
          <w:szCs w:val="22"/>
        </w:rPr>
        <w:t>,</w:t>
      </w:r>
      <w:r w:rsidR="00E65612" w:rsidRPr="00890249">
        <w:rPr>
          <w:rFonts w:asciiTheme="minorHAnsi" w:hAnsiTheme="minorHAnsi" w:cstheme="minorHAnsi"/>
          <w:sz w:val="22"/>
          <w:szCs w:val="22"/>
        </w:rPr>
        <w:t xml:space="preserve"> </w:t>
      </w:r>
      <w:r w:rsidRPr="00890249">
        <w:rPr>
          <w:rFonts w:asciiTheme="minorHAnsi" w:hAnsiTheme="minorHAnsi" w:cstheme="minorHAnsi"/>
          <w:sz w:val="22"/>
          <w:szCs w:val="22"/>
        </w:rPr>
        <w:t>w tym</w:t>
      </w:r>
      <w:r w:rsidR="00E65612" w:rsidRPr="00890249">
        <w:rPr>
          <w:rFonts w:asciiTheme="minorHAnsi" w:hAnsiTheme="minorHAnsi" w:cstheme="minorHAnsi"/>
          <w:sz w:val="22"/>
          <w:szCs w:val="22"/>
        </w:rPr>
        <w:t xml:space="preserve"> na </w:t>
      </w:r>
      <w:r w:rsidRPr="00890249">
        <w:rPr>
          <w:rFonts w:asciiTheme="minorHAnsi" w:hAnsiTheme="minorHAnsi" w:cstheme="minorHAnsi"/>
          <w:sz w:val="22"/>
          <w:szCs w:val="22"/>
        </w:rPr>
        <w:t>rozwoju</w:t>
      </w:r>
      <w:r w:rsidR="00E65612" w:rsidRPr="00890249">
        <w:rPr>
          <w:rFonts w:asciiTheme="minorHAnsi" w:hAnsiTheme="minorHAnsi" w:cstheme="minorHAnsi"/>
          <w:sz w:val="22"/>
          <w:szCs w:val="22"/>
        </w:rPr>
        <w:t xml:space="preserve"> i popraw</w:t>
      </w:r>
      <w:r w:rsidR="00EB473E" w:rsidRPr="00890249">
        <w:rPr>
          <w:rFonts w:asciiTheme="minorHAnsi" w:hAnsiTheme="minorHAnsi" w:cstheme="minorHAnsi"/>
          <w:sz w:val="22"/>
          <w:szCs w:val="22"/>
        </w:rPr>
        <w:t>ie</w:t>
      </w:r>
      <w:r w:rsidR="00E65612" w:rsidRPr="00890249">
        <w:rPr>
          <w:rFonts w:asciiTheme="minorHAnsi" w:hAnsiTheme="minorHAnsi" w:cstheme="minorHAnsi"/>
          <w:sz w:val="22"/>
          <w:szCs w:val="22"/>
        </w:rPr>
        <w:t xml:space="preserve"> zrównoważonej mobilności na szczeblu regionalnym i lokalnym, gdzie planowane jest wsparcie dotyczące m.in. zakupu taboru autobusowego wykorzystywanego w pozamiejskim publicznym transporcie zbiorowym wraz </w:t>
      </w:r>
      <w:r w:rsidR="00CC78CE" w:rsidRPr="00890249">
        <w:rPr>
          <w:rFonts w:asciiTheme="minorHAnsi" w:hAnsiTheme="minorHAnsi" w:cstheme="minorHAnsi"/>
          <w:sz w:val="22"/>
          <w:szCs w:val="22"/>
        </w:rPr>
        <w:br/>
      </w:r>
      <w:r w:rsidR="00E65612" w:rsidRPr="00890249">
        <w:rPr>
          <w:rFonts w:asciiTheme="minorHAnsi" w:hAnsiTheme="minorHAnsi" w:cstheme="minorHAnsi"/>
          <w:sz w:val="22"/>
          <w:szCs w:val="22"/>
        </w:rPr>
        <w:t>z niezbędną infrastrukturą do jego obsługi, a także rozwoju infrastruktury przystankowej oraz działań z zakresu integracji poszczególnych rodzajów transportu. Istotne jest zapewnienie warunków dostarczenia usług transportu publicznego adekwatnych do zdiagnozowanych potrzeb. W odniesieniu do zakupu taboru autobusowego wsparcie ograniczone będzie dla „czystych ekologicznie pojazdów” w rozumieniu Dyrektywy 2009/33/EC.</w:t>
      </w:r>
    </w:p>
    <w:p w14:paraId="494C3012" w14:textId="3C6C3CF6" w:rsidR="0093433C" w:rsidRPr="00890249" w:rsidRDefault="00A41C37"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w:t>
      </w:r>
      <w:r w:rsidR="005B2BA7" w:rsidRPr="00890249">
        <w:rPr>
          <w:rFonts w:asciiTheme="minorHAnsi" w:hAnsiTheme="minorHAnsi" w:cstheme="minorHAnsi"/>
          <w:sz w:val="22"/>
          <w:szCs w:val="22"/>
        </w:rPr>
        <w:t xml:space="preserve"> obszarze</w:t>
      </w:r>
      <w:r w:rsidR="0014080C" w:rsidRPr="00890249">
        <w:rPr>
          <w:rFonts w:asciiTheme="minorHAnsi" w:hAnsiTheme="minorHAnsi" w:cstheme="minorHAnsi"/>
          <w:sz w:val="22"/>
          <w:szCs w:val="22"/>
        </w:rPr>
        <w:t xml:space="preserve"> regionalnego transportu kolejowego planowana jest dalsza wymiana taboru kolejowego na zeroemisyjny na potrzeby regionalnych przewozów </w:t>
      </w:r>
      <w:r w:rsidR="006A3348" w:rsidRPr="00890249">
        <w:rPr>
          <w:rFonts w:asciiTheme="minorHAnsi" w:hAnsiTheme="minorHAnsi" w:cstheme="minorHAnsi"/>
          <w:sz w:val="22"/>
          <w:szCs w:val="22"/>
        </w:rPr>
        <w:t>pasażerskich</w:t>
      </w:r>
      <w:r w:rsidR="0014080C" w:rsidRPr="00890249">
        <w:rPr>
          <w:rFonts w:asciiTheme="minorHAnsi" w:hAnsiTheme="minorHAnsi" w:cstheme="minorHAnsi"/>
          <w:sz w:val="22"/>
          <w:szCs w:val="22"/>
        </w:rPr>
        <w:t xml:space="preserve">. </w:t>
      </w:r>
      <w:r w:rsidR="009165AE" w:rsidRPr="00890249">
        <w:rPr>
          <w:rFonts w:asciiTheme="minorHAnsi" w:hAnsiTheme="minorHAnsi" w:cstheme="minorHAnsi"/>
          <w:iCs/>
          <w:sz w:val="22"/>
          <w:szCs w:val="22"/>
        </w:rPr>
        <w:t>Wsparciem w ramach programu będzie objęty zakup taboru bezemisyjnego wykorzystywan</w:t>
      </w:r>
      <w:r w:rsidR="00DD1C5C">
        <w:rPr>
          <w:rFonts w:asciiTheme="minorHAnsi" w:hAnsiTheme="minorHAnsi" w:cstheme="minorHAnsi"/>
          <w:iCs/>
          <w:sz w:val="22"/>
          <w:szCs w:val="22"/>
        </w:rPr>
        <w:t>ego do przewozów pasażerskich o </w:t>
      </w:r>
      <w:r w:rsidR="009165AE" w:rsidRPr="00890249">
        <w:rPr>
          <w:rFonts w:asciiTheme="minorHAnsi" w:hAnsiTheme="minorHAnsi" w:cstheme="minorHAnsi"/>
          <w:iCs/>
          <w:sz w:val="22"/>
          <w:szCs w:val="22"/>
        </w:rPr>
        <w:t>charakterze użyteczności publicznej, wykonywanych przez o</w:t>
      </w:r>
      <w:r w:rsidR="00DD1C5C">
        <w:rPr>
          <w:rFonts w:asciiTheme="minorHAnsi" w:hAnsiTheme="minorHAnsi" w:cstheme="minorHAnsi"/>
          <w:iCs/>
          <w:sz w:val="22"/>
          <w:szCs w:val="22"/>
        </w:rPr>
        <w:t>peratorów wyłonionych zgodnie z </w:t>
      </w:r>
      <w:r w:rsidR="009165AE" w:rsidRPr="00890249">
        <w:rPr>
          <w:rFonts w:asciiTheme="minorHAnsi" w:hAnsiTheme="minorHAnsi" w:cstheme="minorHAnsi"/>
          <w:iCs/>
          <w:sz w:val="22"/>
          <w:szCs w:val="22"/>
        </w:rPr>
        <w:t>prawem UE (w tym tzw. czwartym pakietem kolejowym).  W przypadku umów zawartych po grudniu 2020 roku dofinansowanie będzie dotyczyć taboru wykorzystywanego przez operatorów wybranych w konkurencyjnej procedurze przetargowej w rozumie</w:t>
      </w:r>
      <w:r w:rsidR="004675A7">
        <w:rPr>
          <w:rFonts w:asciiTheme="minorHAnsi" w:hAnsiTheme="minorHAnsi" w:cstheme="minorHAnsi"/>
          <w:iCs/>
          <w:sz w:val="22"/>
          <w:szCs w:val="22"/>
        </w:rPr>
        <w:t>niu Rozporządzenia 1370/2007, z </w:t>
      </w:r>
      <w:r w:rsidR="009165AE" w:rsidRPr="00890249">
        <w:rPr>
          <w:rFonts w:asciiTheme="minorHAnsi" w:hAnsiTheme="minorHAnsi" w:cstheme="minorHAnsi"/>
          <w:iCs/>
          <w:sz w:val="22"/>
          <w:szCs w:val="22"/>
        </w:rPr>
        <w:t xml:space="preserve">zastrzeżeniem wyjątków wskazanych w tym rozporządzeniu. </w:t>
      </w:r>
      <w:r w:rsidR="004675A7">
        <w:rPr>
          <w:rFonts w:asciiTheme="minorHAnsi" w:hAnsiTheme="minorHAnsi" w:cstheme="minorHAnsi"/>
          <w:iCs/>
          <w:sz w:val="22"/>
          <w:szCs w:val="22"/>
        </w:rPr>
        <w:t>Realizowane będą te projekty, w </w:t>
      </w:r>
      <w:r w:rsidR="009165AE" w:rsidRPr="00890249">
        <w:rPr>
          <w:rFonts w:asciiTheme="minorHAnsi" w:hAnsiTheme="minorHAnsi" w:cstheme="minorHAnsi"/>
          <w:iCs/>
          <w:sz w:val="22"/>
          <w:szCs w:val="22"/>
        </w:rPr>
        <w:t>których nastąpi pełne rozliczenie korzyści wynikającej z dofinansowania inwestycji taborowej. Między innymi możliwe będzie przejęcie taboru przez organizatora po cenie rynkowej bez pomocy publicznej, bądź udostępnienie taboru innym uczestnikom rynku na niedyskryminujących warunkach. Nowo zakupiony tabor będzie wyposażony w ERTMS.</w:t>
      </w:r>
    </w:p>
    <w:p w14:paraId="5E0101EC" w14:textId="77777777" w:rsidR="0093433C" w:rsidRPr="00890249" w:rsidRDefault="0014486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lastRenderedPageBreak/>
        <w:t xml:space="preserve">Wsparciem będzie również objęta budowa i modernizacja infrastruktury dla ruchu niezmotoryzowanego, w tym drogi rowerowe oraz ciągi pieszo-rowerowe. </w:t>
      </w:r>
    </w:p>
    <w:p w14:paraId="70DE8B7C" w14:textId="52B74BF9" w:rsidR="0093433C" w:rsidRPr="00890249" w:rsidRDefault="00E6561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odniesieniu do</w:t>
      </w:r>
      <w:r w:rsidR="00E94838" w:rsidRPr="00890249">
        <w:rPr>
          <w:rFonts w:asciiTheme="minorHAnsi" w:hAnsiTheme="minorHAnsi" w:cstheme="minorHAnsi"/>
          <w:sz w:val="22"/>
          <w:szCs w:val="22"/>
        </w:rPr>
        <w:t xml:space="preserve"> infrastruktury drogowej o znaczeniu regionalnym </w:t>
      </w:r>
      <w:r w:rsidR="0014080C" w:rsidRPr="00890249">
        <w:rPr>
          <w:rFonts w:asciiTheme="minorHAnsi" w:hAnsiTheme="minorHAnsi" w:cstheme="minorHAnsi"/>
          <w:sz w:val="22"/>
          <w:szCs w:val="22"/>
        </w:rPr>
        <w:t xml:space="preserve">inwestycje skupią się na </w:t>
      </w:r>
      <w:r w:rsidR="00E94838" w:rsidRPr="00890249">
        <w:rPr>
          <w:rFonts w:asciiTheme="minorHAnsi" w:hAnsiTheme="minorHAnsi" w:cstheme="minorHAnsi"/>
          <w:sz w:val="22"/>
          <w:szCs w:val="22"/>
        </w:rPr>
        <w:t>poprawi</w:t>
      </w:r>
      <w:r w:rsidR="0014080C" w:rsidRPr="00890249">
        <w:rPr>
          <w:rFonts w:asciiTheme="minorHAnsi" w:hAnsiTheme="minorHAnsi" w:cstheme="minorHAnsi"/>
          <w:sz w:val="22"/>
          <w:szCs w:val="22"/>
        </w:rPr>
        <w:t>e</w:t>
      </w:r>
      <w:r w:rsidR="00E94838" w:rsidRPr="00890249">
        <w:rPr>
          <w:rFonts w:asciiTheme="minorHAnsi" w:hAnsiTheme="minorHAnsi" w:cstheme="minorHAnsi"/>
          <w:sz w:val="22"/>
          <w:szCs w:val="22"/>
        </w:rPr>
        <w:t xml:space="preserve"> </w:t>
      </w:r>
      <w:r w:rsidR="00E34429" w:rsidRPr="00890249">
        <w:rPr>
          <w:rFonts w:asciiTheme="minorHAnsi" w:hAnsiTheme="minorHAnsi" w:cstheme="minorHAnsi"/>
          <w:sz w:val="22"/>
          <w:szCs w:val="22"/>
        </w:rPr>
        <w:t xml:space="preserve">m.in. </w:t>
      </w:r>
      <w:r w:rsidR="00E94838" w:rsidRPr="00890249">
        <w:rPr>
          <w:rFonts w:asciiTheme="minorHAnsi" w:hAnsiTheme="minorHAnsi" w:cstheme="minorHAnsi"/>
          <w:sz w:val="22"/>
          <w:szCs w:val="22"/>
        </w:rPr>
        <w:t>dostępnoś</w:t>
      </w:r>
      <w:r w:rsidR="00EB473E" w:rsidRPr="00890249">
        <w:rPr>
          <w:rFonts w:asciiTheme="minorHAnsi" w:hAnsiTheme="minorHAnsi" w:cstheme="minorHAnsi"/>
          <w:sz w:val="22"/>
          <w:szCs w:val="22"/>
        </w:rPr>
        <w:t>ci</w:t>
      </w:r>
      <w:r w:rsidR="00E94838" w:rsidRPr="00890249">
        <w:rPr>
          <w:rFonts w:asciiTheme="minorHAnsi" w:hAnsiTheme="minorHAnsi" w:cstheme="minorHAnsi"/>
          <w:sz w:val="22"/>
          <w:szCs w:val="22"/>
        </w:rPr>
        <w:t xml:space="preserve"> transportow</w:t>
      </w:r>
      <w:r w:rsidR="0014080C" w:rsidRPr="00890249">
        <w:rPr>
          <w:rFonts w:asciiTheme="minorHAnsi" w:hAnsiTheme="minorHAnsi" w:cstheme="minorHAnsi"/>
          <w:sz w:val="22"/>
          <w:szCs w:val="22"/>
        </w:rPr>
        <w:t>ej</w:t>
      </w:r>
      <w:r w:rsidR="00E94838" w:rsidRPr="00890249">
        <w:rPr>
          <w:rFonts w:asciiTheme="minorHAnsi" w:hAnsiTheme="minorHAnsi" w:cstheme="minorHAnsi"/>
          <w:sz w:val="22"/>
          <w:szCs w:val="22"/>
        </w:rPr>
        <w:t xml:space="preserve"> ośrodków regionalnych i subregionalnych do infrastruktury sieciowej i węzłowej TEN-T</w:t>
      </w:r>
      <w:r w:rsidR="001C441F" w:rsidRPr="00890249">
        <w:rPr>
          <w:rFonts w:asciiTheme="minorHAnsi" w:hAnsiTheme="minorHAnsi" w:cstheme="minorHAnsi"/>
          <w:sz w:val="22"/>
          <w:szCs w:val="22"/>
        </w:rPr>
        <w:t>,</w:t>
      </w:r>
      <w:r w:rsidR="00E07256" w:rsidRPr="00890249">
        <w:rPr>
          <w:rFonts w:asciiTheme="minorHAnsi" w:hAnsiTheme="minorHAnsi" w:cstheme="minorHAnsi"/>
          <w:sz w:val="22"/>
          <w:szCs w:val="22"/>
        </w:rPr>
        <w:t xml:space="preserve"> </w:t>
      </w:r>
      <w:r w:rsidR="006A6030" w:rsidRPr="00890249">
        <w:rPr>
          <w:rFonts w:asciiTheme="minorHAnsi" w:hAnsiTheme="minorHAnsi" w:cstheme="minorHAnsi"/>
          <w:sz w:val="22"/>
          <w:szCs w:val="22"/>
        </w:rPr>
        <w:t>jak również do rozwoju publicznego transportu zbiorowego</w:t>
      </w:r>
      <w:r w:rsidR="001C441F" w:rsidRPr="00890249">
        <w:rPr>
          <w:rFonts w:asciiTheme="minorHAnsi" w:hAnsiTheme="minorHAnsi" w:cstheme="minorHAnsi"/>
          <w:sz w:val="22"/>
          <w:szCs w:val="22"/>
        </w:rPr>
        <w:t>.</w:t>
      </w:r>
      <w:r w:rsidR="00E94838" w:rsidRPr="00890249">
        <w:rPr>
          <w:rFonts w:asciiTheme="minorHAnsi" w:hAnsiTheme="minorHAnsi" w:cstheme="minorHAnsi"/>
          <w:sz w:val="22"/>
          <w:szCs w:val="22"/>
        </w:rPr>
        <w:t xml:space="preserve"> </w:t>
      </w:r>
    </w:p>
    <w:p w14:paraId="4275961F" w14:textId="6E2DF978" w:rsidR="0093433C" w:rsidRPr="00890249" w:rsidRDefault="005B2BA7"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Jednocześnie </w:t>
      </w:r>
      <w:r w:rsidR="007411A1" w:rsidRPr="00890249">
        <w:rPr>
          <w:rFonts w:asciiTheme="minorHAnsi" w:hAnsiTheme="minorHAnsi" w:cstheme="minorHAnsi"/>
          <w:sz w:val="22"/>
          <w:szCs w:val="22"/>
        </w:rPr>
        <w:t>realizowane będą również inwestycje służące wyprowadze</w:t>
      </w:r>
      <w:r w:rsidR="00140065" w:rsidRPr="00890249">
        <w:rPr>
          <w:rFonts w:asciiTheme="minorHAnsi" w:hAnsiTheme="minorHAnsi" w:cstheme="minorHAnsi"/>
          <w:sz w:val="22"/>
          <w:szCs w:val="22"/>
        </w:rPr>
        <w:t>niu ruchu tranzytowego z  </w:t>
      </w:r>
      <w:r w:rsidR="007411A1" w:rsidRPr="00890249">
        <w:rPr>
          <w:rFonts w:asciiTheme="minorHAnsi" w:hAnsiTheme="minorHAnsi" w:cstheme="minorHAnsi"/>
          <w:sz w:val="22"/>
          <w:szCs w:val="22"/>
        </w:rPr>
        <w:t xml:space="preserve">centrów miast i miejscowości, polegające m.in. na budowie obwodnic, jak również inwestycje poprawiające bezpieczeństwo na skrzyżowaniach, w tym z przejazdami kolejowymi. </w:t>
      </w:r>
      <w:r w:rsidR="00BF62EB" w:rsidRPr="00890249">
        <w:rPr>
          <w:rFonts w:asciiTheme="minorHAnsi" w:hAnsiTheme="minorHAnsi" w:cstheme="minorHAnsi"/>
          <w:sz w:val="22"/>
          <w:szCs w:val="22"/>
        </w:rPr>
        <w:t>Za wyjątkiem</w:t>
      </w:r>
      <w:r w:rsidR="005D7055" w:rsidRPr="00890249">
        <w:rPr>
          <w:rFonts w:asciiTheme="minorHAnsi" w:hAnsiTheme="minorHAnsi" w:cstheme="minorHAnsi"/>
          <w:sz w:val="22"/>
          <w:szCs w:val="22"/>
        </w:rPr>
        <w:t xml:space="preserve"> obwodnic i obiektów P+R, inwestycje drogowe realizowane na obszarach miast nie będą obejmowały budowy nowych, ani zwiększenia pojemności lub przepustowości is</w:t>
      </w:r>
      <w:r w:rsidR="004675A7">
        <w:rPr>
          <w:rFonts w:asciiTheme="minorHAnsi" w:hAnsiTheme="minorHAnsi" w:cstheme="minorHAnsi"/>
          <w:sz w:val="22"/>
          <w:szCs w:val="22"/>
        </w:rPr>
        <w:t>tniejących dróg lub parkingów i </w:t>
      </w:r>
      <w:r w:rsidR="005D7055" w:rsidRPr="00890249">
        <w:rPr>
          <w:rFonts w:asciiTheme="minorHAnsi" w:hAnsiTheme="minorHAnsi" w:cstheme="minorHAnsi"/>
          <w:sz w:val="22"/>
          <w:szCs w:val="22"/>
        </w:rPr>
        <w:t xml:space="preserve">nie będą przyczyniały się do zwiększenia natężenia ruchu samochodowego </w:t>
      </w:r>
      <w:r w:rsidR="00CC78CE" w:rsidRPr="00890249">
        <w:rPr>
          <w:rFonts w:asciiTheme="minorHAnsi" w:hAnsiTheme="minorHAnsi" w:cstheme="minorHAnsi"/>
          <w:sz w:val="22"/>
          <w:szCs w:val="22"/>
        </w:rPr>
        <w:t>na</w:t>
      </w:r>
      <w:r w:rsidR="005D7055" w:rsidRPr="00890249">
        <w:rPr>
          <w:rFonts w:asciiTheme="minorHAnsi" w:hAnsiTheme="minorHAnsi" w:cstheme="minorHAnsi"/>
          <w:sz w:val="22"/>
          <w:szCs w:val="22"/>
        </w:rPr>
        <w:t xml:space="preserve"> obszarach miejskich.</w:t>
      </w:r>
    </w:p>
    <w:p w14:paraId="733C6A42" w14:textId="29DEA2E0" w:rsidR="0093433C" w:rsidRPr="00890249" w:rsidRDefault="00A8345E"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Wszystkie inwestycj</w:t>
      </w:r>
      <w:r w:rsidR="005A40EE" w:rsidRPr="00890249">
        <w:rPr>
          <w:rFonts w:asciiTheme="minorHAnsi" w:hAnsiTheme="minorHAnsi" w:cstheme="minorHAnsi"/>
          <w:sz w:val="22"/>
          <w:szCs w:val="22"/>
        </w:rPr>
        <w:t>e w infrastrukturę transportową</w:t>
      </w:r>
      <w:r w:rsidRPr="00890249">
        <w:rPr>
          <w:rFonts w:asciiTheme="minorHAnsi" w:hAnsiTheme="minorHAnsi" w:cstheme="minorHAnsi"/>
          <w:sz w:val="22"/>
          <w:szCs w:val="22"/>
        </w:rPr>
        <w:t xml:space="preserve"> wspierane w ramach niniejszego celu szczegółowego będą musiały wynikać z Planu Transportowego Województwa Opolskiego 2030 lub odpowiedniego dokumentu planowania transportu na poziomie lokalnym. W przypadku inwestycji realizowanych na obszarach miejskich, inwestycje te będą musiały być </w:t>
      </w:r>
      <w:r w:rsidR="004A3CA0" w:rsidRPr="00890249">
        <w:rPr>
          <w:rFonts w:asciiTheme="minorHAnsi" w:hAnsiTheme="minorHAnsi" w:cstheme="minorHAnsi"/>
          <w:sz w:val="22"/>
          <w:szCs w:val="22"/>
        </w:rPr>
        <w:t>spójne</w:t>
      </w:r>
      <w:r w:rsidRPr="00890249">
        <w:rPr>
          <w:rFonts w:asciiTheme="minorHAnsi" w:hAnsiTheme="minorHAnsi" w:cstheme="minorHAnsi"/>
          <w:sz w:val="22"/>
          <w:szCs w:val="22"/>
        </w:rPr>
        <w:t xml:space="preserve"> z właściwymi Planami Zrównoważonej Mobilności Miejskiej, a jeśli nie są one wymagane – z innymi właściwymi dokumentami planowania</w:t>
      </w:r>
      <w:r w:rsidR="000F6590" w:rsidRPr="00890249">
        <w:rPr>
          <w:rFonts w:asciiTheme="minorHAnsi" w:hAnsiTheme="minorHAnsi" w:cstheme="minorHAnsi"/>
          <w:sz w:val="22"/>
          <w:szCs w:val="22"/>
        </w:rPr>
        <w:t xml:space="preserve"> zrównoważonej</w:t>
      </w:r>
      <w:r w:rsidRPr="00890249">
        <w:rPr>
          <w:rFonts w:asciiTheme="minorHAnsi" w:hAnsiTheme="minorHAnsi" w:cstheme="minorHAnsi"/>
          <w:sz w:val="22"/>
          <w:szCs w:val="22"/>
        </w:rPr>
        <w:t xml:space="preserve"> mobilności.</w:t>
      </w:r>
    </w:p>
    <w:p w14:paraId="01F96F88" w14:textId="15A88E6F" w:rsidR="0093433C" w:rsidRPr="00890249" w:rsidRDefault="007411A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Wsparciem zostaną objęte w szczególności inwestycje komplementarne wobec zrealizowanych lub realizowanych inwestycji drogowych na drogach wojewódzkich wskazane w dokumencie o charakterze strategicznym, tj. </w:t>
      </w:r>
      <w:r w:rsidRPr="00890249">
        <w:rPr>
          <w:rFonts w:asciiTheme="minorHAnsi" w:hAnsiTheme="minorHAnsi" w:cstheme="minorHAnsi"/>
          <w:i/>
          <w:sz w:val="22"/>
          <w:szCs w:val="22"/>
        </w:rPr>
        <w:t>Planie Transportowym Województwa Opolskiego</w:t>
      </w:r>
      <w:r w:rsidRPr="00890249">
        <w:rPr>
          <w:rFonts w:asciiTheme="minorHAnsi" w:hAnsiTheme="minorHAnsi" w:cstheme="minorHAnsi"/>
          <w:sz w:val="22"/>
          <w:szCs w:val="22"/>
        </w:rPr>
        <w:t xml:space="preserve">. </w:t>
      </w:r>
      <w:r w:rsidR="004B2CEF" w:rsidRPr="00890249">
        <w:rPr>
          <w:rFonts w:asciiTheme="minorHAnsi" w:hAnsiTheme="minorHAnsi" w:cstheme="minorHAnsi"/>
          <w:sz w:val="22"/>
          <w:szCs w:val="22"/>
        </w:rPr>
        <w:t>Ponadto przewiduj</w:t>
      </w:r>
      <w:r w:rsidR="00EB473E" w:rsidRPr="00890249">
        <w:rPr>
          <w:rFonts w:asciiTheme="minorHAnsi" w:hAnsiTheme="minorHAnsi" w:cstheme="minorHAnsi"/>
          <w:sz w:val="22"/>
          <w:szCs w:val="22"/>
        </w:rPr>
        <w:t>e</w:t>
      </w:r>
      <w:r w:rsidR="004B2CEF" w:rsidRPr="00890249">
        <w:rPr>
          <w:rFonts w:asciiTheme="minorHAnsi" w:hAnsiTheme="minorHAnsi" w:cstheme="minorHAnsi"/>
          <w:sz w:val="22"/>
          <w:szCs w:val="22"/>
        </w:rPr>
        <w:t xml:space="preserve"> się możliwość realizacji samodzielnych projektów mających na celu poprawę bezpieczeństwa użytkowników ruchu przy drogach lokalnych (</w:t>
      </w:r>
      <w:r w:rsidR="00B16F92" w:rsidRPr="00890249">
        <w:rPr>
          <w:rFonts w:asciiTheme="minorHAnsi" w:hAnsiTheme="minorHAnsi" w:cstheme="minorHAnsi"/>
          <w:sz w:val="22"/>
          <w:szCs w:val="22"/>
        </w:rPr>
        <w:t xml:space="preserve">np. </w:t>
      </w:r>
      <w:r w:rsidR="004B2CEF" w:rsidRPr="00890249">
        <w:rPr>
          <w:rFonts w:asciiTheme="minorHAnsi" w:hAnsiTheme="minorHAnsi" w:cstheme="minorHAnsi"/>
          <w:sz w:val="22"/>
          <w:szCs w:val="22"/>
        </w:rPr>
        <w:t xml:space="preserve">zatoczki autobusowe, wysepki). </w:t>
      </w:r>
    </w:p>
    <w:p w14:paraId="60FF3CEB" w14:textId="7E6CECB2" w:rsidR="0093433C" w:rsidRPr="00890249" w:rsidRDefault="5C81146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Planowane do realizacji ww. przedsięwzięcia są zgodne z wyzwaniami krajowymi zidentyfikowanymi </w:t>
      </w:r>
      <w:r w:rsidR="00816F82" w:rsidRPr="00890249">
        <w:rPr>
          <w:rFonts w:asciiTheme="minorHAnsi" w:hAnsiTheme="minorHAnsi" w:cstheme="minorHAnsi"/>
          <w:sz w:val="22"/>
          <w:szCs w:val="22"/>
        </w:rPr>
        <w:br/>
      </w:r>
      <w:r w:rsidRPr="00890249">
        <w:rPr>
          <w:rFonts w:asciiTheme="minorHAnsi" w:hAnsiTheme="minorHAnsi" w:cstheme="minorHAnsi"/>
          <w:sz w:val="22"/>
          <w:szCs w:val="22"/>
        </w:rPr>
        <w:t xml:space="preserve">w </w:t>
      </w:r>
      <w:r w:rsidRPr="00890249">
        <w:rPr>
          <w:rFonts w:asciiTheme="minorHAnsi" w:hAnsiTheme="minorHAnsi" w:cstheme="minorHAnsi"/>
          <w:i/>
          <w:iCs/>
          <w:sz w:val="22"/>
          <w:szCs w:val="22"/>
        </w:rPr>
        <w:t>Strategii Zrównoważonego Rozwoju Transportu do 2030</w:t>
      </w:r>
      <w:r w:rsidR="00E94838" w:rsidRPr="00890249">
        <w:rPr>
          <w:rStyle w:val="Odwoanieprzypisudolnego"/>
          <w:rFonts w:asciiTheme="minorHAnsi" w:hAnsiTheme="minorHAnsi" w:cstheme="minorHAnsi"/>
          <w:i/>
          <w:iCs/>
          <w:sz w:val="22"/>
          <w:szCs w:val="22"/>
        </w:rPr>
        <w:footnoteReference w:id="154"/>
      </w:r>
      <w:r w:rsidRPr="00890249">
        <w:rPr>
          <w:rFonts w:asciiTheme="minorHAnsi" w:hAnsiTheme="minorHAnsi" w:cstheme="minorHAnsi"/>
          <w:i/>
          <w:iCs/>
          <w:sz w:val="22"/>
          <w:szCs w:val="22"/>
        </w:rPr>
        <w:t>,</w:t>
      </w:r>
      <w:r w:rsidRPr="00890249">
        <w:rPr>
          <w:rFonts w:asciiTheme="minorHAnsi" w:hAnsiTheme="minorHAnsi" w:cstheme="minorHAnsi"/>
          <w:sz w:val="22"/>
          <w:szCs w:val="22"/>
        </w:rPr>
        <w:t xml:space="preserve"> gdzie jako konieczność wskazuje się </w:t>
      </w:r>
      <w:r w:rsidRPr="00890249">
        <w:rPr>
          <w:rFonts w:asciiTheme="minorHAnsi" w:hAnsiTheme="minorHAnsi" w:cstheme="minorHAnsi"/>
          <w:i/>
          <w:iCs/>
          <w:sz w:val="22"/>
          <w:szCs w:val="22"/>
        </w:rPr>
        <w:t xml:space="preserve">zwiększenie dostępności transportowej oraz poprawę bezpieczeństwa uczestników ruchu </w:t>
      </w:r>
      <w:r w:rsidRPr="00890249">
        <w:rPr>
          <w:rFonts w:asciiTheme="minorHAnsi" w:hAnsiTheme="minorHAnsi" w:cstheme="minorHAnsi"/>
          <w:sz w:val="22"/>
          <w:szCs w:val="22"/>
        </w:rPr>
        <w:t xml:space="preserve">(…), oraz </w:t>
      </w:r>
      <w:r w:rsidR="00D07879" w:rsidRPr="00890249">
        <w:rPr>
          <w:rFonts w:asciiTheme="minorHAnsi" w:hAnsiTheme="minorHAnsi" w:cstheme="minorHAnsi"/>
          <w:sz w:val="22"/>
          <w:szCs w:val="22"/>
        </w:rPr>
        <w:br/>
      </w:r>
      <w:r w:rsidRPr="00890249">
        <w:rPr>
          <w:rFonts w:asciiTheme="minorHAnsi" w:hAnsiTheme="minorHAnsi" w:cstheme="minorHAnsi"/>
          <w:sz w:val="22"/>
          <w:szCs w:val="22"/>
        </w:rPr>
        <w:t xml:space="preserve">w </w:t>
      </w:r>
      <w:r w:rsidRPr="00890249">
        <w:rPr>
          <w:rFonts w:asciiTheme="minorHAnsi" w:hAnsiTheme="minorHAnsi" w:cstheme="minorHAnsi"/>
          <w:i/>
          <w:iCs/>
          <w:sz w:val="22"/>
          <w:szCs w:val="22"/>
        </w:rPr>
        <w:t>SOR</w:t>
      </w:r>
      <w:r w:rsidRPr="00890249">
        <w:rPr>
          <w:rFonts w:asciiTheme="minorHAnsi" w:hAnsiTheme="minorHAnsi" w:cstheme="minorHAnsi"/>
          <w:sz w:val="22"/>
          <w:szCs w:val="22"/>
        </w:rPr>
        <w:t xml:space="preserve"> w zakresie celu </w:t>
      </w:r>
      <w:r w:rsidRPr="00890249">
        <w:rPr>
          <w:rFonts w:asciiTheme="minorHAnsi" w:hAnsiTheme="minorHAnsi" w:cstheme="minorHAnsi"/>
          <w:i/>
          <w:iCs/>
          <w:sz w:val="22"/>
          <w:szCs w:val="22"/>
        </w:rPr>
        <w:t>Zwiększenie dostępności transportowej (…)</w:t>
      </w:r>
      <w:r w:rsidR="3A81C37B" w:rsidRPr="00890249">
        <w:rPr>
          <w:rFonts w:asciiTheme="minorHAnsi" w:hAnsiTheme="minorHAnsi" w:cstheme="minorHAnsi"/>
          <w:i/>
          <w:iCs/>
          <w:sz w:val="22"/>
          <w:szCs w:val="22"/>
        </w:rPr>
        <w:t>,</w:t>
      </w:r>
      <w:r w:rsidRPr="00890249">
        <w:rPr>
          <w:rFonts w:asciiTheme="minorHAnsi" w:hAnsiTheme="minorHAnsi" w:cstheme="minorHAnsi"/>
          <w:i/>
          <w:iCs/>
          <w:sz w:val="22"/>
          <w:szCs w:val="22"/>
        </w:rPr>
        <w:t xml:space="preserve"> </w:t>
      </w:r>
      <w:r w:rsidRPr="00890249">
        <w:rPr>
          <w:rFonts w:asciiTheme="minorHAnsi" w:hAnsiTheme="minorHAnsi" w:cstheme="minorHAnsi"/>
          <w:sz w:val="22"/>
          <w:szCs w:val="22"/>
        </w:rPr>
        <w:t xml:space="preserve">gdzie </w:t>
      </w:r>
      <w:r w:rsidR="00F357EE" w:rsidRPr="00890249">
        <w:rPr>
          <w:rFonts w:asciiTheme="minorHAnsi" w:hAnsiTheme="minorHAnsi" w:cstheme="minorHAnsi"/>
          <w:sz w:val="22"/>
          <w:szCs w:val="22"/>
        </w:rPr>
        <w:t>uznano</w:t>
      </w:r>
      <w:r w:rsidRPr="00890249">
        <w:rPr>
          <w:rFonts w:asciiTheme="minorHAnsi" w:hAnsiTheme="minorHAnsi" w:cstheme="minorHAnsi"/>
          <w:sz w:val="22"/>
          <w:szCs w:val="22"/>
        </w:rPr>
        <w:t>, że rozwój infrastruktury transportowej wpływa znacząco na konkurencyjność regionów</w:t>
      </w:r>
      <w:r w:rsidR="00E94838" w:rsidRPr="00890249">
        <w:rPr>
          <w:rStyle w:val="Odwoanieprzypisudolnego"/>
          <w:rFonts w:asciiTheme="minorHAnsi" w:hAnsiTheme="minorHAnsi" w:cstheme="minorHAnsi"/>
          <w:sz w:val="22"/>
          <w:szCs w:val="22"/>
        </w:rPr>
        <w:footnoteReference w:id="155"/>
      </w:r>
      <w:r w:rsidR="5A3D53D2" w:rsidRPr="00890249">
        <w:rPr>
          <w:rFonts w:asciiTheme="minorHAnsi" w:hAnsiTheme="minorHAnsi" w:cstheme="minorHAnsi"/>
          <w:sz w:val="22"/>
          <w:szCs w:val="22"/>
        </w:rPr>
        <w:t xml:space="preserve">. </w:t>
      </w:r>
    </w:p>
    <w:p w14:paraId="797595C7" w14:textId="33C16798" w:rsidR="0093433C" w:rsidRPr="00890249" w:rsidRDefault="5C81146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Jednocześnie inwestycje drogowe będą umożliwiały ruch pojazdów o dopuszczalnym nacisku osi napędowej do 11,5 tony</w:t>
      </w:r>
      <w:r w:rsidR="00E94838" w:rsidRPr="00890249">
        <w:rPr>
          <w:rStyle w:val="Odwoanieprzypisudolnego"/>
          <w:rFonts w:asciiTheme="minorHAnsi" w:hAnsiTheme="minorHAnsi" w:cstheme="minorHAnsi"/>
          <w:sz w:val="22"/>
          <w:szCs w:val="22"/>
        </w:rPr>
        <w:footnoteReference w:id="156"/>
      </w:r>
      <w:r w:rsidRPr="00890249">
        <w:rPr>
          <w:rFonts w:asciiTheme="minorHAnsi" w:hAnsiTheme="minorHAnsi" w:cstheme="minorHAnsi"/>
          <w:sz w:val="22"/>
          <w:szCs w:val="22"/>
        </w:rPr>
        <w:t>.</w:t>
      </w:r>
    </w:p>
    <w:p w14:paraId="7DA42D4D" w14:textId="2310B521" w:rsidR="0093433C" w:rsidRPr="00890249" w:rsidRDefault="00E94838"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udzielone na inwestycje w infrastrukturę drogową przyczyni się do wzmocnienia dostępności komunikacyjnej i spójności terytorialnej oraz podniesienia pozi</w:t>
      </w:r>
      <w:r w:rsidR="002E0634" w:rsidRPr="00890249">
        <w:rPr>
          <w:rFonts w:asciiTheme="minorHAnsi" w:hAnsiTheme="minorHAnsi" w:cstheme="minorHAnsi"/>
          <w:sz w:val="22"/>
          <w:szCs w:val="22"/>
        </w:rPr>
        <w:t>omu bezpieczeństwa na drogach w </w:t>
      </w:r>
      <w:r w:rsidRPr="00890249">
        <w:rPr>
          <w:rFonts w:asciiTheme="minorHAnsi" w:hAnsiTheme="minorHAnsi" w:cstheme="minorHAnsi"/>
          <w:sz w:val="22"/>
          <w:szCs w:val="22"/>
        </w:rPr>
        <w:t xml:space="preserve">regionie. </w:t>
      </w:r>
      <w:r w:rsidR="00A8345E" w:rsidRPr="00890249">
        <w:rPr>
          <w:rFonts w:asciiTheme="minorHAnsi" w:hAnsiTheme="minorHAnsi" w:cstheme="minorHAnsi"/>
          <w:sz w:val="22"/>
          <w:szCs w:val="22"/>
        </w:rPr>
        <w:t xml:space="preserve">Tam gdzie jest to technicznie możliwe, realizowane projekty w zakresie infrastruktury drogowej będą obejmowały zapewnienie retencji i podczyszczania wód opadowych poprzez wykorzystanie zielonej i niebieskiej infrastruktury oraz rozwiązań opartych na przyrodzie. </w:t>
      </w:r>
    </w:p>
    <w:p w14:paraId="04F06EA7" w14:textId="77777777" w:rsidR="0093433C" w:rsidRPr="00890249" w:rsidRDefault="0078547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Przy wyborze do realizacji projektów drogowych istotną rolę będzie odgrywała funkcja tej inwestycji</w:t>
      </w:r>
      <w:r w:rsidR="00FC787C" w:rsidRPr="00890249">
        <w:rPr>
          <w:rFonts w:asciiTheme="minorHAnsi" w:hAnsiTheme="minorHAnsi" w:cstheme="minorHAnsi"/>
          <w:sz w:val="22"/>
          <w:szCs w:val="22"/>
        </w:rPr>
        <w:t xml:space="preserve"> </w:t>
      </w:r>
      <w:r w:rsidRPr="00890249">
        <w:rPr>
          <w:rFonts w:asciiTheme="minorHAnsi" w:hAnsiTheme="minorHAnsi" w:cstheme="minorHAnsi"/>
          <w:sz w:val="22"/>
          <w:szCs w:val="22"/>
        </w:rPr>
        <w:t>w budowaniu sprawnego i niskoemisyjnego transportu zbiorowego. W związku z tym jedną z</w:t>
      </w:r>
      <w:r w:rsidR="00FC787C" w:rsidRPr="00890249">
        <w:rPr>
          <w:rFonts w:asciiTheme="minorHAnsi" w:hAnsiTheme="minorHAnsi" w:cstheme="minorHAnsi"/>
          <w:sz w:val="22"/>
          <w:szCs w:val="22"/>
        </w:rPr>
        <w:t> </w:t>
      </w:r>
      <w:r w:rsidRPr="00890249">
        <w:rPr>
          <w:rFonts w:asciiTheme="minorHAnsi" w:hAnsiTheme="minorHAnsi" w:cstheme="minorHAnsi"/>
          <w:sz w:val="22"/>
          <w:szCs w:val="22"/>
        </w:rPr>
        <w:t>kluczowych przesłanek wyboru do dofinansowania inwestycji drogowych, będzie ich wpływ na zrównoważony transport, w tym ułatwienia dla transportu zbiorowego.</w:t>
      </w:r>
    </w:p>
    <w:p w14:paraId="240D3EAB" w14:textId="77777777" w:rsidR="0093433C" w:rsidRPr="00890249" w:rsidRDefault="00E94838"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Planowane typy przedsięwzięć: </w:t>
      </w:r>
    </w:p>
    <w:p w14:paraId="2FD40081" w14:textId="6E573845" w:rsidR="00A53545"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Z</w:t>
      </w:r>
      <w:r w:rsidR="00875C92" w:rsidRPr="00890249">
        <w:rPr>
          <w:rFonts w:asciiTheme="minorHAnsi" w:hAnsiTheme="minorHAnsi" w:cstheme="minorHAnsi"/>
          <w:sz w:val="22"/>
          <w:szCs w:val="22"/>
        </w:rPr>
        <w:t>akup taboru kolejowego, dostosowanego m.in. dla osób o ograniczonej możliwości poruszania się</w:t>
      </w:r>
      <w:r w:rsidR="00B56850" w:rsidRPr="00890249">
        <w:rPr>
          <w:rFonts w:asciiTheme="minorHAnsi" w:hAnsiTheme="minorHAnsi" w:cstheme="minorHAnsi"/>
          <w:sz w:val="22"/>
          <w:szCs w:val="22"/>
        </w:rPr>
        <w:t>.</w:t>
      </w:r>
    </w:p>
    <w:p w14:paraId="7324105B" w14:textId="23169113" w:rsidR="00A53545"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P</w:t>
      </w:r>
      <w:r w:rsidR="00A53545" w:rsidRPr="00890249">
        <w:rPr>
          <w:rFonts w:asciiTheme="minorHAnsi" w:hAnsiTheme="minorHAnsi" w:cstheme="minorHAnsi"/>
          <w:sz w:val="22"/>
          <w:szCs w:val="22"/>
        </w:rPr>
        <w:t>ojazdy niskoemisyjne lub zeroemisyjne spełniające kryteria „pojazdów czystych” w rozumieniu dyrektywy 2009/33/WE</w:t>
      </w:r>
      <w:r w:rsidR="00B56850" w:rsidRPr="00890249">
        <w:rPr>
          <w:rFonts w:asciiTheme="minorHAnsi" w:hAnsiTheme="minorHAnsi" w:cstheme="minorHAnsi"/>
          <w:sz w:val="22"/>
          <w:szCs w:val="22"/>
        </w:rPr>
        <w:t>.</w:t>
      </w:r>
    </w:p>
    <w:p w14:paraId="49945570" w14:textId="26AC691D" w:rsidR="00A53545"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lastRenderedPageBreak/>
        <w:t>I</w:t>
      </w:r>
      <w:r w:rsidR="00A53545" w:rsidRPr="00890249">
        <w:rPr>
          <w:rFonts w:asciiTheme="minorHAnsi" w:hAnsiTheme="minorHAnsi" w:cstheme="minorHAnsi"/>
          <w:sz w:val="22"/>
          <w:szCs w:val="22"/>
        </w:rPr>
        <w:t xml:space="preserve">nfrastruktura transportu publicznego, taka jak </w:t>
      </w:r>
      <w:r w:rsidR="005A40EE" w:rsidRPr="00890249">
        <w:rPr>
          <w:rFonts w:asciiTheme="minorHAnsi" w:hAnsiTheme="minorHAnsi" w:cstheme="minorHAnsi"/>
          <w:sz w:val="22"/>
          <w:szCs w:val="22"/>
        </w:rPr>
        <w:t>np.</w:t>
      </w:r>
      <w:r w:rsidR="00BF33CB" w:rsidRPr="00890249">
        <w:rPr>
          <w:rFonts w:asciiTheme="minorHAnsi" w:hAnsiTheme="minorHAnsi" w:cstheme="minorHAnsi"/>
          <w:sz w:val="22"/>
          <w:szCs w:val="22"/>
        </w:rPr>
        <w:t xml:space="preserve"> </w:t>
      </w:r>
      <w:r w:rsidR="00A53545" w:rsidRPr="00890249">
        <w:rPr>
          <w:rFonts w:asciiTheme="minorHAnsi" w:hAnsiTheme="minorHAnsi" w:cstheme="minorHAnsi"/>
          <w:sz w:val="22"/>
          <w:szCs w:val="22"/>
        </w:rPr>
        <w:t>przystanki autobusowe i kolejowe, zatoki autobusowe, zajezdnie autobusowe, węzły przesiadkowe oraz infrastruktura do ładowania/tankowania pojazdów bezemisyjnych</w:t>
      </w:r>
      <w:r w:rsidR="00B56850" w:rsidRPr="00890249">
        <w:rPr>
          <w:rFonts w:asciiTheme="minorHAnsi" w:hAnsiTheme="minorHAnsi" w:cstheme="minorHAnsi"/>
          <w:sz w:val="22"/>
          <w:szCs w:val="22"/>
        </w:rPr>
        <w:t>.</w:t>
      </w:r>
    </w:p>
    <w:p w14:paraId="5A9E968F" w14:textId="2EFD9097" w:rsidR="00A53545"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O</w:t>
      </w:r>
      <w:r w:rsidR="00A53545" w:rsidRPr="00890249">
        <w:rPr>
          <w:rFonts w:asciiTheme="minorHAnsi" w:hAnsiTheme="minorHAnsi" w:cstheme="minorHAnsi"/>
          <w:sz w:val="22"/>
          <w:szCs w:val="22"/>
        </w:rPr>
        <w:t xml:space="preserve">biekty P&amp;R – </w:t>
      </w:r>
      <w:r w:rsidR="00DC207B" w:rsidRPr="00890249">
        <w:rPr>
          <w:rFonts w:asciiTheme="minorHAnsi" w:hAnsiTheme="minorHAnsi" w:cstheme="minorHAnsi"/>
          <w:iCs/>
          <w:sz w:val="22"/>
          <w:szCs w:val="22"/>
        </w:rPr>
        <w:t>lokalizacja obiektów „park&amp;ride” objętych wsparciem będzie zapewniała integrację z publicznym transportem zbiorowym. W miastach pow. 50 tys. mieszkańców wsparcie dla tych obiektów będzie możliwe pod warunkiem ich zlokalizowania poza obszarem funkcjonalnego śródmieścia, wyznaczonym w studium uwarunkowań i kierunków zagospodarowania przestrzennego</w:t>
      </w:r>
      <w:r w:rsidR="00B56850" w:rsidRPr="00890249">
        <w:rPr>
          <w:rFonts w:asciiTheme="minorHAnsi" w:hAnsiTheme="minorHAnsi" w:cstheme="minorHAnsi"/>
          <w:sz w:val="22"/>
          <w:szCs w:val="22"/>
        </w:rPr>
        <w:t>.</w:t>
      </w:r>
    </w:p>
    <w:p w14:paraId="1102C2DF" w14:textId="50A0B7D0" w:rsidR="00B72154"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eastAsia="Times New Roman" w:hAnsiTheme="minorHAnsi" w:cstheme="minorHAnsi"/>
          <w:noProof/>
          <w:sz w:val="22"/>
          <w:szCs w:val="22"/>
        </w:rPr>
        <w:t>B</w:t>
      </w:r>
      <w:r w:rsidR="00A53545" w:rsidRPr="00890249">
        <w:rPr>
          <w:rFonts w:asciiTheme="minorHAnsi" w:eastAsia="Times New Roman" w:hAnsiTheme="minorHAnsi" w:cstheme="minorHAnsi"/>
          <w:noProof/>
          <w:sz w:val="22"/>
          <w:szCs w:val="22"/>
        </w:rPr>
        <w:t>udowa i rozbudowa infrastruktury ładowania i tankowania pojazdów</w:t>
      </w:r>
      <w:r w:rsidR="006A3348" w:rsidRPr="00890249">
        <w:rPr>
          <w:rFonts w:asciiTheme="minorHAnsi" w:eastAsia="Times New Roman" w:hAnsiTheme="minorHAnsi" w:cstheme="minorHAnsi"/>
          <w:noProof/>
          <w:sz w:val="22"/>
          <w:szCs w:val="22"/>
        </w:rPr>
        <w:t xml:space="preserve"> </w:t>
      </w:r>
      <w:r w:rsidR="00A53545" w:rsidRPr="00890249">
        <w:rPr>
          <w:rFonts w:asciiTheme="minorHAnsi" w:eastAsia="Times New Roman" w:hAnsiTheme="minorHAnsi" w:cstheme="minorHAnsi"/>
          <w:noProof/>
          <w:sz w:val="22"/>
          <w:szCs w:val="22"/>
        </w:rPr>
        <w:t>zeroemisyjnych indywidualnych</w:t>
      </w:r>
      <w:r w:rsidR="00B56850" w:rsidRPr="00890249">
        <w:rPr>
          <w:rFonts w:asciiTheme="minorHAnsi" w:eastAsia="Times New Roman" w:hAnsiTheme="minorHAnsi" w:cstheme="minorHAnsi"/>
          <w:noProof/>
          <w:sz w:val="22"/>
          <w:szCs w:val="22"/>
        </w:rPr>
        <w:t>.</w:t>
      </w:r>
    </w:p>
    <w:p w14:paraId="31FA8D19" w14:textId="0136E030" w:rsidR="00B72154" w:rsidRPr="00890249" w:rsidRDefault="00875C92"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Infrastruktura dla użytkowników niezmotoryzowanych, taka jak np. drogi rowerowe czy ścieżki dla pieszych, m.in. połączenia pierwszej/ostatniej mili z transportem publicznym – realizowane jako samodzielne projekty, nie tylko w ramach projektów drogowych</w:t>
      </w:r>
      <w:r w:rsidR="00B56850" w:rsidRPr="00890249">
        <w:rPr>
          <w:rFonts w:asciiTheme="minorHAnsi" w:hAnsiTheme="minorHAnsi" w:cstheme="minorHAnsi"/>
          <w:sz w:val="22"/>
          <w:szCs w:val="22"/>
        </w:rPr>
        <w:t>.</w:t>
      </w:r>
    </w:p>
    <w:p w14:paraId="7403D8BD" w14:textId="2FFD88E4" w:rsidR="00B72154"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I</w:t>
      </w:r>
      <w:r w:rsidR="00D37CF9" w:rsidRPr="00890249">
        <w:rPr>
          <w:rFonts w:asciiTheme="minorHAnsi" w:hAnsiTheme="minorHAnsi" w:cstheme="minorHAnsi"/>
          <w:sz w:val="22"/>
          <w:szCs w:val="22"/>
        </w:rPr>
        <w:t>nfrastruktura mając</w:t>
      </w:r>
      <w:r w:rsidR="00EB473E" w:rsidRPr="00890249">
        <w:rPr>
          <w:rFonts w:asciiTheme="minorHAnsi" w:hAnsiTheme="minorHAnsi" w:cstheme="minorHAnsi"/>
          <w:sz w:val="22"/>
          <w:szCs w:val="22"/>
        </w:rPr>
        <w:t>a</w:t>
      </w:r>
      <w:r w:rsidR="00D37CF9" w:rsidRPr="00890249">
        <w:rPr>
          <w:rFonts w:asciiTheme="minorHAnsi" w:hAnsiTheme="minorHAnsi" w:cstheme="minorHAnsi"/>
          <w:sz w:val="22"/>
          <w:szCs w:val="22"/>
        </w:rPr>
        <w:t xml:space="preserve"> na celu poprawę bezpieczeństwa użytkowników ruchu przy drogach lokalnych (np. zatoczki autobusowe, wysepki)</w:t>
      </w:r>
      <w:r w:rsidR="00B56850" w:rsidRPr="00890249">
        <w:rPr>
          <w:rFonts w:asciiTheme="minorHAnsi" w:hAnsiTheme="minorHAnsi" w:cstheme="minorHAnsi"/>
          <w:sz w:val="22"/>
          <w:szCs w:val="22"/>
        </w:rPr>
        <w:t>.</w:t>
      </w:r>
      <w:r w:rsidR="00875C92" w:rsidRPr="00890249">
        <w:rPr>
          <w:rFonts w:asciiTheme="minorHAnsi" w:hAnsiTheme="minorHAnsi" w:cstheme="minorHAnsi"/>
          <w:sz w:val="22"/>
          <w:szCs w:val="22"/>
        </w:rPr>
        <w:t xml:space="preserve"> </w:t>
      </w:r>
    </w:p>
    <w:p w14:paraId="2186F170" w14:textId="77777777" w:rsidR="00961490" w:rsidRPr="00890249" w:rsidRDefault="00961490" w:rsidP="009F296A">
      <w:pPr>
        <w:pStyle w:val="Akapitzlist"/>
        <w:numPr>
          <w:ilvl w:val="0"/>
          <w:numId w:val="97"/>
        </w:numPr>
        <w:ind w:left="284" w:hanging="284"/>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„Budowa i przebudowa następujących dróg wojewódzkich: </w:t>
      </w:r>
    </w:p>
    <w:p w14:paraId="0F2DA5A8" w14:textId="2C79718A" w:rsidR="0093433C" w:rsidRPr="00890249" w:rsidRDefault="00961490" w:rsidP="00890249">
      <w:pPr>
        <w:pStyle w:val="Lista2"/>
        <w:rPr>
          <w:rFonts w:asciiTheme="minorHAnsi" w:hAnsiTheme="minorHAnsi" w:cstheme="minorHAnsi"/>
          <w:sz w:val="22"/>
          <w:szCs w:val="22"/>
        </w:rPr>
      </w:pPr>
      <w:r w:rsidRPr="00890249">
        <w:rPr>
          <w:rFonts w:asciiTheme="minorHAnsi" w:hAnsiTheme="minorHAnsi" w:cstheme="minorHAnsi"/>
          <w:sz w:val="22"/>
          <w:szCs w:val="22"/>
        </w:rPr>
        <w:t>a)</w:t>
      </w:r>
      <w:r w:rsidR="0093433C" w:rsidRPr="00890249">
        <w:rPr>
          <w:rFonts w:asciiTheme="minorHAnsi" w:hAnsiTheme="minorHAnsi" w:cstheme="minorHAnsi"/>
          <w:sz w:val="22"/>
          <w:szCs w:val="22"/>
        </w:rPr>
        <w:tab/>
      </w:r>
      <w:r w:rsidRPr="00890249">
        <w:rPr>
          <w:rFonts w:asciiTheme="minorHAnsi" w:hAnsiTheme="minorHAnsi" w:cstheme="minorHAnsi"/>
          <w:sz w:val="22"/>
          <w:szCs w:val="22"/>
        </w:rPr>
        <w:t xml:space="preserve">poprawiających dostępność do sieci TEN-T, </w:t>
      </w:r>
    </w:p>
    <w:p w14:paraId="2A6EF2D9" w14:textId="77777777" w:rsidR="00961490" w:rsidRPr="00890249" w:rsidRDefault="00961490" w:rsidP="00890249">
      <w:pPr>
        <w:pStyle w:val="Akapitzlist"/>
        <w:ind w:left="284"/>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b) przyczyniających się do poprawy dostępności do miejsc inwestycyjnych, przejść granicznych centrów logistycznych lub innych gałęzi transportu, </w:t>
      </w:r>
    </w:p>
    <w:p w14:paraId="7BF7B777" w14:textId="7FAFDEDB" w:rsidR="00961490" w:rsidRPr="00890249" w:rsidRDefault="00961490" w:rsidP="00890249">
      <w:pPr>
        <w:pStyle w:val="Akapitzlist"/>
        <w:ind w:left="284"/>
        <w:contextualSpacing w:val="0"/>
        <w:rPr>
          <w:rFonts w:asciiTheme="minorHAnsi" w:hAnsiTheme="minorHAnsi" w:cstheme="minorHAnsi"/>
          <w:sz w:val="22"/>
          <w:szCs w:val="22"/>
        </w:rPr>
      </w:pPr>
      <w:r w:rsidRPr="00890249">
        <w:rPr>
          <w:rFonts w:asciiTheme="minorHAnsi" w:hAnsiTheme="minorHAnsi" w:cstheme="minorHAnsi"/>
          <w:sz w:val="22"/>
          <w:szCs w:val="22"/>
        </w:rPr>
        <w:t>c) wykorzystywanych do codziennych regularnych usług transp</w:t>
      </w:r>
      <w:r w:rsidR="004675A7">
        <w:rPr>
          <w:rFonts w:asciiTheme="minorHAnsi" w:hAnsiTheme="minorHAnsi" w:cstheme="minorHAnsi"/>
          <w:sz w:val="22"/>
          <w:szCs w:val="22"/>
        </w:rPr>
        <w:t>ortu publicznego świadczonych w </w:t>
      </w:r>
      <w:r w:rsidRPr="00890249">
        <w:rPr>
          <w:rFonts w:asciiTheme="minorHAnsi" w:hAnsiTheme="minorHAnsi" w:cstheme="minorHAnsi"/>
          <w:sz w:val="22"/>
          <w:szCs w:val="22"/>
        </w:rPr>
        <w:t xml:space="preserve">ramach wykonywania obowiązku świadczenia usługi publicznej. </w:t>
      </w:r>
    </w:p>
    <w:p w14:paraId="2CEB3F4C" w14:textId="7CC3501E" w:rsidR="00B72154" w:rsidRPr="00890249" w:rsidRDefault="00B64C9B"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B</w:t>
      </w:r>
      <w:r w:rsidR="00875C92" w:rsidRPr="00890249">
        <w:rPr>
          <w:rFonts w:asciiTheme="minorHAnsi" w:hAnsiTheme="minorHAnsi" w:cstheme="minorHAnsi"/>
          <w:sz w:val="22"/>
          <w:szCs w:val="22"/>
        </w:rPr>
        <w:t>udowa i przebudowa obwodnic w ciągu dróg wojewódzkich</w:t>
      </w:r>
      <w:r w:rsidR="003F3F08" w:rsidRPr="00890249">
        <w:rPr>
          <w:rFonts w:asciiTheme="minorHAnsi" w:hAnsiTheme="minorHAnsi" w:cstheme="minorHAnsi"/>
          <w:sz w:val="22"/>
          <w:szCs w:val="22"/>
        </w:rPr>
        <w:t>.</w:t>
      </w:r>
    </w:p>
    <w:p w14:paraId="57E81788" w14:textId="40622BA3" w:rsidR="00B72154" w:rsidRPr="00890249" w:rsidRDefault="007524B9" w:rsidP="009F296A">
      <w:pPr>
        <w:pStyle w:val="Akapitzlist"/>
        <w:numPr>
          <w:ilvl w:val="0"/>
          <w:numId w:val="97"/>
        </w:numPr>
        <w:ind w:left="284" w:hanging="284"/>
        <w:rPr>
          <w:rFonts w:asciiTheme="minorHAnsi" w:hAnsiTheme="minorHAnsi" w:cstheme="minorHAnsi"/>
          <w:sz w:val="22"/>
          <w:szCs w:val="22"/>
        </w:rPr>
      </w:pPr>
      <w:r w:rsidRPr="00890249">
        <w:rPr>
          <w:rFonts w:asciiTheme="minorHAnsi" w:hAnsiTheme="minorHAnsi" w:cstheme="minorHAnsi"/>
          <w:sz w:val="22"/>
          <w:szCs w:val="22"/>
        </w:rPr>
        <w:t>Działania</w:t>
      </w:r>
      <w:r w:rsidR="00875C92" w:rsidRPr="00890249">
        <w:rPr>
          <w:rFonts w:asciiTheme="minorHAnsi" w:hAnsiTheme="minorHAnsi" w:cstheme="minorHAnsi"/>
          <w:sz w:val="22"/>
          <w:szCs w:val="22"/>
        </w:rPr>
        <w:t xml:space="preserve"> poprawiające bezpieczeństwo ruchu drogowego, w tym bezpieczeństwo niezmotoryzowanych użytkowników dróg</w:t>
      </w:r>
      <w:r w:rsidR="00A53545" w:rsidRPr="00890249">
        <w:rPr>
          <w:rFonts w:asciiTheme="minorHAnsi" w:hAnsiTheme="minorHAnsi" w:cstheme="minorHAnsi"/>
          <w:sz w:val="22"/>
          <w:szCs w:val="22"/>
        </w:rPr>
        <w:t xml:space="preserve">. </w:t>
      </w:r>
    </w:p>
    <w:p w14:paraId="52B87825" w14:textId="474B3111"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7267A8E0" w14:textId="19C0E7F0" w:rsidR="00CF1E38" w:rsidRPr="00890249" w:rsidRDefault="00CF1E38" w:rsidP="00890249">
      <w:pPr>
        <w:pStyle w:val="Tekstpodstawowy"/>
        <w:rPr>
          <w:rFonts w:asciiTheme="minorHAnsi" w:hAnsiTheme="minorHAnsi" w:cstheme="minorHAnsi"/>
          <w:noProof/>
          <w:sz w:val="22"/>
          <w:szCs w:val="22"/>
        </w:rPr>
      </w:pPr>
      <w:r w:rsidRPr="00CF1E38">
        <w:rPr>
          <w:rFonts w:asciiTheme="minorHAnsi" w:hAnsiTheme="minorHAnsi" w:cstheme="minorHAnsi"/>
          <w:noProof/>
          <w:sz w:val="22"/>
          <w:szCs w:val="22"/>
        </w:rPr>
        <w:t xml:space="preserve">Wybór projektów do dofinansowania będzie dokonywany w procedurze konkurencyjnej/niekonkurencyjnej </w:t>
      </w:r>
      <w:r w:rsidR="009A0745">
        <w:rPr>
          <w:rFonts w:asciiTheme="minorHAnsi" w:hAnsiTheme="minorHAnsi" w:cstheme="minorHAnsi"/>
          <w:noProof/>
          <w:sz w:val="22"/>
          <w:szCs w:val="22"/>
        </w:rPr>
        <w:t xml:space="preserve">zgodnie z </w:t>
      </w:r>
      <w:r w:rsidRPr="00CF1E38">
        <w:rPr>
          <w:rFonts w:asciiTheme="minorHAnsi" w:hAnsiTheme="minorHAnsi" w:cstheme="minorHAnsi"/>
          <w:noProof/>
          <w:sz w:val="22"/>
          <w:szCs w:val="22"/>
        </w:rPr>
        <w:t xml:space="preserve">zapisami Regionalnego Planu Transportowego Województwa Opolskiego 2030, a w przypadku inwestycji </w:t>
      </w:r>
      <w:r w:rsidR="009A0745">
        <w:rPr>
          <w:rFonts w:asciiTheme="minorHAnsi" w:hAnsiTheme="minorHAnsi" w:cstheme="minorHAnsi"/>
          <w:noProof/>
          <w:sz w:val="22"/>
          <w:szCs w:val="22"/>
        </w:rPr>
        <w:t xml:space="preserve">prowadzonych na obszarach miejskich, inwestycje muszą być również spójne </w:t>
      </w:r>
      <w:r w:rsidRPr="00CF1E38">
        <w:rPr>
          <w:rFonts w:asciiTheme="minorHAnsi" w:hAnsiTheme="minorHAnsi" w:cstheme="minorHAnsi"/>
          <w:noProof/>
          <w:sz w:val="22"/>
          <w:szCs w:val="22"/>
        </w:rPr>
        <w:t>z odpowiednim</w:t>
      </w:r>
      <w:r w:rsidR="009A0745">
        <w:rPr>
          <w:rFonts w:asciiTheme="minorHAnsi" w:hAnsiTheme="minorHAnsi" w:cstheme="minorHAnsi"/>
          <w:noProof/>
          <w:sz w:val="22"/>
          <w:szCs w:val="22"/>
        </w:rPr>
        <w:t>i</w:t>
      </w:r>
      <w:r w:rsidRPr="00CF1E38">
        <w:rPr>
          <w:rFonts w:asciiTheme="minorHAnsi" w:hAnsiTheme="minorHAnsi" w:cstheme="minorHAnsi"/>
          <w:noProof/>
          <w:sz w:val="22"/>
          <w:szCs w:val="22"/>
        </w:rPr>
        <w:t xml:space="preserve"> dokument</w:t>
      </w:r>
      <w:r w:rsidR="009A0745">
        <w:rPr>
          <w:rFonts w:asciiTheme="minorHAnsi" w:hAnsiTheme="minorHAnsi" w:cstheme="minorHAnsi"/>
          <w:noProof/>
          <w:sz w:val="22"/>
          <w:szCs w:val="22"/>
        </w:rPr>
        <w:t>ami</w:t>
      </w:r>
      <w:r w:rsidRPr="00CF1E38">
        <w:rPr>
          <w:rFonts w:asciiTheme="minorHAnsi" w:hAnsiTheme="minorHAnsi" w:cstheme="minorHAnsi"/>
          <w:noProof/>
          <w:sz w:val="22"/>
          <w:szCs w:val="22"/>
        </w:rPr>
        <w:t xml:space="preserve"> planowania mobilności </w:t>
      </w:r>
      <w:r w:rsidR="009A0745">
        <w:rPr>
          <w:rFonts w:asciiTheme="minorHAnsi" w:hAnsiTheme="minorHAnsi" w:cstheme="minorHAnsi"/>
          <w:noProof/>
          <w:sz w:val="22"/>
          <w:szCs w:val="22"/>
        </w:rPr>
        <w:t xml:space="preserve">miejskiej. </w:t>
      </w:r>
    </w:p>
    <w:p w14:paraId="664B3329" w14:textId="77777777" w:rsidR="0097068C" w:rsidRPr="00890249" w:rsidRDefault="0097068C" w:rsidP="0097068C">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2B17D461" w14:textId="40C06635" w:rsidR="0093433C" w:rsidRPr="00890249" w:rsidRDefault="007411A1"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Użytkownicy </w:t>
      </w:r>
      <w:r w:rsidR="00D945B7" w:rsidRPr="00890249">
        <w:rPr>
          <w:rFonts w:asciiTheme="minorHAnsi" w:hAnsiTheme="minorHAnsi" w:cstheme="minorHAnsi"/>
          <w:noProof/>
          <w:sz w:val="22"/>
          <w:szCs w:val="22"/>
        </w:rPr>
        <w:t>infrastruktury transportowej i taboru, tj. mieszkańcy regionu, turyści, przedsiębiorcy.</w:t>
      </w:r>
      <w:r w:rsidRPr="00890249">
        <w:rPr>
          <w:rFonts w:asciiTheme="minorHAnsi" w:hAnsiTheme="minorHAnsi" w:cstheme="minorHAnsi"/>
          <w:noProof/>
          <w:sz w:val="22"/>
          <w:szCs w:val="22"/>
        </w:rPr>
        <w:t xml:space="preserve"> </w:t>
      </w:r>
    </w:p>
    <w:p w14:paraId="1CC34964" w14:textId="77777777" w:rsidR="0093433C" w:rsidRPr="00890249" w:rsidRDefault="009D09BC" w:rsidP="00890249">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4A5949E7" w14:textId="77777777" w:rsidR="0093433C" w:rsidRPr="00890249" w:rsidRDefault="67D2BC4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społeczności oraz brakiem wsparcia społecznego. </w:t>
      </w:r>
    </w:p>
    <w:p w14:paraId="4A19E440" w14:textId="77777777" w:rsidR="0093433C" w:rsidRPr="00890249" w:rsidRDefault="0437642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 uwagi na zakres tematyczny celu szczegółowego w ramach obszaru wsparcia będą podejmowane szczególne działania na rzecz wyrównywania szans oraz przeciwdziałania dyskryminacji w dostępie do infrastruktury transportu kolejowego i drogowego. Wspierana infrastruktura będzie odpowiadała na potrzeby wszystkich potencjalnych użytkowników, w szczególności osób z niepełnosprawnościami, osób starszych, osób o ograniczonych możliwościach poruszania się, opiekunów z dziećmi czy osobami zależnymi.</w:t>
      </w:r>
    </w:p>
    <w:p w14:paraId="2F408E0C" w14:textId="77777777" w:rsidR="0093433C" w:rsidRPr="00890249" w:rsidRDefault="0437642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Celem podejmowanych działań m.in. w zakresie transportu kolejowego i drogowego, obiektów inżynieryjnych i obiektów obsługi podróżnych będzie eliminacja barier i zwiększenie dostępności dla osób ze szczególnymi potrzebami zgodnie z architektonicznym standardem dostępności. Inwestycje </w:t>
      </w:r>
      <w:r w:rsidRPr="00890249">
        <w:rPr>
          <w:rFonts w:asciiTheme="minorHAnsi" w:hAnsiTheme="minorHAnsi" w:cstheme="minorHAnsi"/>
          <w:noProof/>
          <w:sz w:val="22"/>
          <w:szCs w:val="22"/>
        </w:rPr>
        <w:lastRenderedPageBreak/>
        <w:t xml:space="preserve">będą również uwzględniać kwestie bezpieczeństwa, w szczególności na rzecz niezmotoryzowanych uczestników ruchu. </w:t>
      </w:r>
    </w:p>
    <w:p w14:paraId="4BE47800" w14:textId="1E78D3E4" w:rsidR="0093433C" w:rsidRPr="00890249" w:rsidRDefault="0437642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celu uniknięcia dyskryminacji pośredniej, jaką jest nierówny dostęp do informacji, której doświadczają osoby państw trzecich (osoby mieszkające w Polsce o innym pochodzeniu), zaplanowane zostaną działania by zapewnić powszechnie dostępne, przejrzyste i aktualizowane przez kompetentne instytucje informacje w językach obcych np. angiels</w:t>
      </w:r>
      <w:r w:rsidR="004675A7">
        <w:rPr>
          <w:rFonts w:asciiTheme="minorHAnsi" w:hAnsiTheme="minorHAnsi" w:cstheme="minorHAnsi"/>
          <w:noProof/>
          <w:sz w:val="22"/>
          <w:szCs w:val="22"/>
        </w:rPr>
        <w:t>kim czy ukraińskim. Działania i </w:t>
      </w:r>
      <w:r w:rsidRPr="00890249">
        <w:rPr>
          <w:rFonts w:asciiTheme="minorHAnsi" w:hAnsiTheme="minorHAnsi" w:cstheme="minorHAnsi"/>
          <w:noProof/>
          <w:sz w:val="22"/>
          <w:szCs w:val="22"/>
        </w:rPr>
        <w:t>przygotowane materiały promocyjne zgodne ze standardem dostępności uwzględnią usługi dostępnościowe – audiodeskrypcja, napisy, tłumacz języka migowego.</w:t>
      </w:r>
    </w:p>
    <w:p w14:paraId="189EA08D" w14:textId="77777777" w:rsidR="0097068C" w:rsidRPr="00890249" w:rsidRDefault="0097068C" w:rsidP="0097068C">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Wskazanie konkretnych terytoriów objętych wsparciem, z uwzględnieniem planowanego wykorzystania narzędzi terytorialnych</w:t>
      </w:r>
    </w:p>
    <w:p w14:paraId="7EF0D754" w14:textId="77777777" w:rsidR="0093433C" w:rsidRPr="00890249" w:rsidRDefault="00E9483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Nie dotyczy.</w:t>
      </w:r>
      <w:r w:rsidR="007E52DE" w:rsidRPr="00890249">
        <w:rPr>
          <w:rFonts w:asciiTheme="minorHAnsi" w:hAnsiTheme="minorHAnsi" w:cstheme="minorHAnsi"/>
          <w:noProof/>
          <w:sz w:val="22"/>
          <w:szCs w:val="22"/>
        </w:rPr>
        <w:t xml:space="preserve"> </w:t>
      </w:r>
    </w:p>
    <w:p w14:paraId="2DD60C41" w14:textId="77777777"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Działania międzyregionalne, transgraniczne i transnarodowe </w:t>
      </w:r>
    </w:p>
    <w:p w14:paraId="0C7A533D" w14:textId="36BDA51F" w:rsidR="0093433C" w:rsidRPr="00890249" w:rsidRDefault="005A40E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Współpraca transgraniczna między regionem a Czechami stale się rozwija, zwłaszcza w obszarze </w:t>
      </w:r>
      <w:r w:rsidR="00D945B7" w:rsidRPr="00890249">
        <w:rPr>
          <w:rFonts w:asciiTheme="minorHAnsi" w:hAnsiTheme="minorHAnsi" w:cstheme="minorHAnsi"/>
          <w:noProof/>
          <w:sz w:val="22"/>
          <w:szCs w:val="22"/>
        </w:rPr>
        <w:t>transportu</w:t>
      </w:r>
      <w:r w:rsidRPr="00890249">
        <w:rPr>
          <w:rFonts w:asciiTheme="minorHAnsi" w:hAnsiTheme="minorHAnsi" w:cstheme="minorHAnsi"/>
          <w:noProof/>
          <w:sz w:val="22"/>
          <w:szCs w:val="22"/>
        </w:rPr>
        <w:t xml:space="preserve"> (turystyczne szlaki rowerowe, drogowa infrastruktura transportowa), zapewniając mechanizm komplementarności z FEO 2021-2027. Pomimo punktowych, tj. ograniczonych obszarowo działań, identyfikuje się ich wpływ na realizację ogólnoeuropejskich celów związanych z promowaniem zrównoważonej mobilności i ograniczaniem emisji</w:t>
      </w:r>
      <w:r w:rsidR="004675A7">
        <w:rPr>
          <w:rFonts w:asciiTheme="minorHAnsi" w:hAnsiTheme="minorHAnsi" w:cstheme="minorHAnsi"/>
          <w:noProof/>
          <w:sz w:val="22"/>
          <w:szCs w:val="22"/>
        </w:rPr>
        <w:t xml:space="preserve"> zanieczyszczeń z transportu, a </w:t>
      </w:r>
      <w:r w:rsidRPr="00890249">
        <w:rPr>
          <w:rFonts w:asciiTheme="minorHAnsi" w:hAnsiTheme="minorHAnsi" w:cstheme="minorHAnsi"/>
          <w:noProof/>
          <w:sz w:val="22"/>
          <w:szCs w:val="22"/>
        </w:rPr>
        <w:t xml:space="preserve">tym samym dążeniem do budowy gospodarki niskoemisyjnej. Szersze wykorzystanie środków transportu publicznego przyczyni się także do przyspieszenia ogólnoeuropejskiego procesu dekarbonizacji transportu i szybszego wprowadzania innowacji w transporcie, w tym wykorzystania alternatywnych źródeł zasilania pojazdów. </w:t>
      </w:r>
    </w:p>
    <w:p w14:paraId="39253B51" w14:textId="6B69BB16" w:rsidR="0093433C" w:rsidRPr="00890249" w:rsidRDefault="005A40E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Jednocześnie planowana interwencja będzie przyczyniać się do zacieśniania współpracy międzynarodowej, co jest głównym celem makroregionalnej Strategii UE dla Regionu Morza Bałtyckiego. Strategia stwarza możliwość nawiązania szerokich kontaktów z partnerami makroregionu, inicjowania nowych projektów oraz promowania na forum międzynarodowym projektów już istniejących. Realizacja zaplanowanych działań z obszaru </w:t>
      </w:r>
      <w:r w:rsidR="000F6590" w:rsidRPr="00890249">
        <w:rPr>
          <w:rFonts w:asciiTheme="minorHAnsi" w:hAnsiTheme="minorHAnsi" w:cstheme="minorHAnsi"/>
          <w:noProof/>
          <w:sz w:val="22"/>
          <w:szCs w:val="22"/>
        </w:rPr>
        <w:t>transportu</w:t>
      </w:r>
      <w:r w:rsidRPr="00890249">
        <w:rPr>
          <w:rFonts w:asciiTheme="minorHAnsi" w:hAnsiTheme="minorHAnsi" w:cstheme="minorHAnsi"/>
          <w:noProof/>
          <w:sz w:val="22"/>
          <w:szCs w:val="22"/>
        </w:rPr>
        <w:t xml:space="preserve"> (w obszarze infrastruktury dla niezmotoryzowanych) realizowanych przy wsparciu dokumentu strategicznego </w:t>
      </w:r>
      <w:r w:rsidRPr="00890249">
        <w:rPr>
          <w:rFonts w:asciiTheme="minorHAnsi" w:hAnsiTheme="minorHAnsi" w:cstheme="minorHAnsi"/>
          <w:i/>
          <w:noProof/>
          <w:sz w:val="22"/>
          <w:szCs w:val="22"/>
        </w:rPr>
        <w:t>Koncepcja przebiegu tras rowerowych w województwie opolskim</w:t>
      </w:r>
      <w:r w:rsidRPr="00890249">
        <w:rPr>
          <w:rFonts w:asciiTheme="minorHAnsi" w:hAnsiTheme="minorHAnsi" w:cstheme="minorHAnsi"/>
          <w:noProof/>
          <w:sz w:val="22"/>
          <w:szCs w:val="22"/>
        </w:rPr>
        <w:t xml:space="preserve"> przyczyni się do zwiększenia rozpoznawalności naszego regionu za granicą i wsparciu turystyki rowerowej na na Polsko-Czeskim pograniczu. </w:t>
      </w:r>
    </w:p>
    <w:p w14:paraId="16ABBCFD" w14:textId="77777777" w:rsidR="0093433C" w:rsidRPr="00890249" w:rsidRDefault="00E9483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59445A16" w14:textId="35E2481D" w:rsidR="0097068C" w:rsidRPr="00890249" w:rsidRDefault="007411A1">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 związku z brakiem generowania przez projekty </w:t>
      </w:r>
      <w:r w:rsidR="00D945B7" w:rsidRPr="00890249">
        <w:rPr>
          <w:rFonts w:asciiTheme="minorHAnsi" w:hAnsiTheme="minorHAnsi" w:cstheme="minorHAnsi"/>
          <w:sz w:val="22"/>
          <w:szCs w:val="22"/>
        </w:rPr>
        <w:t xml:space="preserve">w obszarze transportu </w:t>
      </w:r>
      <w:r w:rsidRPr="00890249">
        <w:rPr>
          <w:rFonts w:asciiTheme="minorHAnsi" w:hAnsiTheme="minorHAnsi" w:cstheme="minorHAnsi"/>
          <w:sz w:val="22"/>
          <w:szCs w:val="22"/>
        </w:rPr>
        <w:t>dochodów (inwestycje drogowe</w:t>
      </w:r>
      <w:r w:rsidR="00D945B7" w:rsidRPr="00890249">
        <w:rPr>
          <w:rFonts w:asciiTheme="minorHAnsi" w:hAnsiTheme="minorHAnsi" w:cstheme="minorHAnsi"/>
          <w:sz w:val="22"/>
          <w:szCs w:val="22"/>
        </w:rPr>
        <w:t>, inwestycje w tabor autobusowym, infrastrukturę dla niezmotoryzowanych</w:t>
      </w:r>
      <w:r w:rsidRPr="00890249">
        <w:rPr>
          <w:rFonts w:asciiTheme="minorHAnsi" w:hAnsiTheme="minorHAnsi" w:cstheme="minorHAnsi"/>
          <w:sz w:val="22"/>
          <w:szCs w:val="22"/>
        </w:rPr>
        <w:t xml:space="preserve"> dla samorządów generują dodatkowe koszty, gdyż samorządy muszą zabezpieczać środki na ich całoroczne utrzymanie techniczne), zidentyfikowane potrzeby inwestycyjne sfinansowane zostaną za pomocą dotacji połączonej z finansowaniem ze środków budżetowych (samorządów) lub innych źródeł finansowania publicznego postawionych do dyspozycji samorządów (np. w formie rozszerzonej formuły </w:t>
      </w:r>
      <w:r w:rsidR="00D945B7" w:rsidRPr="00890249">
        <w:rPr>
          <w:rFonts w:asciiTheme="minorHAnsi" w:hAnsiTheme="minorHAnsi" w:cstheme="minorHAnsi"/>
          <w:sz w:val="22"/>
          <w:szCs w:val="22"/>
        </w:rPr>
        <w:t>Rządowego Funduszu Rozwoju Dróg</w:t>
      </w:r>
      <w:r w:rsidRPr="00890249">
        <w:rPr>
          <w:rFonts w:asciiTheme="minorHAnsi" w:hAnsiTheme="minorHAnsi" w:cstheme="minorHAnsi"/>
          <w:sz w:val="22"/>
          <w:szCs w:val="22"/>
        </w:rPr>
        <w:t>).</w:t>
      </w:r>
      <w:r w:rsidR="0097068C" w:rsidRPr="00890249">
        <w:rPr>
          <w:rFonts w:asciiTheme="minorHAnsi" w:hAnsiTheme="minorHAnsi" w:cstheme="minorHAnsi"/>
          <w:sz w:val="22"/>
          <w:szCs w:val="22"/>
        </w:rPr>
        <w:br w:type="page"/>
      </w:r>
    </w:p>
    <w:p w14:paraId="0DD621E3" w14:textId="77777777" w:rsidR="0097068C" w:rsidRPr="00890249" w:rsidRDefault="0097068C" w:rsidP="0097068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2.1.4.1.2 (ii)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1"/>
        <w:gridCol w:w="693"/>
        <w:gridCol w:w="1009"/>
        <w:gridCol w:w="830"/>
        <w:gridCol w:w="2213"/>
        <w:gridCol w:w="830"/>
        <w:gridCol w:w="1106"/>
        <w:gridCol w:w="1072"/>
      </w:tblGrid>
      <w:tr w:rsidR="0034642D" w:rsidRPr="00890249" w14:paraId="7CCDD6C1" w14:textId="77777777" w:rsidTr="0002590B">
        <w:trPr>
          <w:trHeight w:val="425"/>
        </w:trPr>
        <w:tc>
          <w:tcPr>
            <w:tcW w:w="5000" w:type="pct"/>
            <w:gridSpan w:val="9"/>
            <w:shd w:val="clear" w:color="auto" w:fill="D9D9D9" w:themeFill="background1" w:themeFillShade="D9"/>
          </w:tcPr>
          <w:p w14:paraId="724FDC93"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334BA6B8" w14:textId="77777777" w:rsidTr="00514940">
        <w:trPr>
          <w:cantSplit/>
          <w:trHeight w:val="1647"/>
        </w:trPr>
        <w:tc>
          <w:tcPr>
            <w:tcW w:w="288" w:type="pct"/>
            <w:shd w:val="clear" w:color="auto" w:fill="F2F2F2" w:themeFill="background1" w:themeFillShade="F2"/>
            <w:textDirection w:val="btLr"/>
            <w:vAlign w:val="center"/>
          </w:tcPr>
          <w:p w14:paraId="7FB4A4E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5027C07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20102B4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2759925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3250195B"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45E9744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281F895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5CE385A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5" w:type="pct"/>
            <w:shd w:val="clear" w:color="auto" w:fill="F2F2F2" w:themeFill="background1" w:themeFillShade="F2"/>
            <w:textDirection w:val="btLr"/>
            <w:vAlign w:val="center"/>
          </w:tcPr>
          <w:p w14:paraId="1F8B050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924E9D" w:rsidRPr="00890249" w14:paraId="10386BA1" w14:textId="77777777" w:rsidTr="00514940">
        <w:trPr>
          <w:trHeight w:val="340"/>
        </w:trPr>
        <w:tc>
          <w:tcPr>
            <w:tcW w:w="288" w:type="pct"/>
            <w:vAlign w:val="center"/>
          </w:tcPr>
          <w:p w14:paraId="7847B2E3" w14:textId="77777777" w:rsidR="00924E9D" w:rsidRPr="00890249" w:rsidRDefault="00A13182"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CP3</w:t>
            </w:r>
          </w:p>
        </w:tc>
        <w:tc>
          <w:tcPr>
            <w:tcW w:w="416" w:type="pct"/>
            <w:vAlign w:val="center"/>
          </w:tcPr>
          <w:p w14:paraId="71A6AAB1" w14:textId="44F55BF3"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3.ii</w:t>
            </w:r>
          </w:p>
        </w:tc>
        <w:tc>
          <w:tcPr>
            <w:tcW w:w="384" w:type="pct"/>
            <w:vAlign w:val="center"/>
          </w:tcPr>
          <w:p w14:paraId="21EF4ECD" w14:textId="77777777"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74AEC3BE" w14:textId="77777777" w:rsidR="00924E9D" w:rsidRPr="00890249" w:rsidRDefault="00A13182" w:rsidP="00311CDD">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6F9855D8" w14:textId="77777777"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sz w:val="18"/>
                <w:szCs w:val="16"/>
              </w:rPr>
              <w:t>RCO</w:t>
            </w:r>
            <w:r w:rsidR="00A61F7D" w:rsidRPr="00890249">
              <w:rPr>
                <w:rFonts w:asciiTheme="minorHAnsi" w:hAnsiTheme="minorHAnsi" w:cstheme="minorHAnsi"/>
                <w:i/>
                <w:sz w:val="18"/>
                <w:szCs w:val="16"/>
              </w:rPr>
              <w:t>0</w:t>
            </w:r>
            <w:r w:rsidRPr="00890249">
              <w:rPr>
                <w:rFonts w:asciiTheme="minorHAnsi" w:hAnsiTheme="minorHAnsi" w:cstheme="minorHAnsi"/>
                <w:i/>
                <w:sz w:val="18"/>
                <w:szCs w:val="16"/>
              </w:rPr>
              <w:t>44</w:t>
            </w:r>
          </w:p>
        </w:tc>
        <w:tc>
          <w:tcPr>
            <w:tcW w:w="1226" w:type="pct"/>
            <w:shd w:val="clear" w:color="auto" w:fill="auto"/>
            <w:vAlign w:val="center"/>
          </w:tcPr>
          <w:p w14:paraId="42222931" w14:textId="77777777" w:rsidR="00924E9D" w:rsidRPr="00890249" w:rsidRDefault="00924E9D" w:rsidP="00CE360C">
            <w:pPr>
              <w:jc w:val="left"/>
              <w:rPr>
                <w:rFonts w:asciiTheme="minorHAnsi" w:hAnsiTheme="minorHAnsi" w:cstheme="minorHAnsi"/>
                <w:i/>
                <w:noProof/>
                <w:sz w:val="18"/>
                <w:szCs w:val="16"/>
              </w:rPr>
            </w:pPr>
            <w:r w:rsidRPr="00890249">
              <w:rPr>
                <w:rFonts w:asciiTheme="minorHAnsi" w:hAnsiTheme="minorHAnsi" w:cstheme="minorHAnsi"/>
                <w:i/>
                <w:sz w:val="18"/>
                <w:szCs w:val="16"/>
              </w:rPr>
              <w:t xml:space="preserve">Długość nowych </w:t>
            </w:r>
            <w:r w:rsidR="00CE360C" w:rsidRPr="00890249">
              <w:rPr>
                <w:rFonts w:asciiTheme="minorHAnsi" w:hAnsiTheme="minorHAnsi" w:cstheme="minorHAnsi"/>
                <w:i/>
                <w:sz w:val="18"/>
                <w:szCs w:val="16"/>
              </w:rPr>
              <w:t>lub rozbudowanych dróg poza TEN-T</w:t>
            </w:r>
          </w:p>
        </w:tc>
        <w:tc>
          <w:tcPr>
            <w:tcW w:w="460" w:type="pct"/>
            <w:vAlign w:val="center"/>
          </w:tcPr>
          <w:p w14:paraId="33932208" w14:textId="77777777"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km</w:t>
            </w:r>
          </w:p>
        </w:tc>
        <w:tc>
          <w:tcPr>
            <w:tcW w:w="613" w:type="pct"/>
            <w:shd w:val="clear" w:color="auto" w:fill="auto"/>
            <w:vAlign w:val="center"/>
          </w:tcPr>
          <w:p w14:paraId="2E8D4F98" w14:textId="77777777" w:rsidR="00924E9D" w:rsidRPr="00890249" w:rsidRDefault="008374CE" w:rsidP="00311CDD">
            <w:pPr>
              <w:jc w:val="center"/>
              <w:rPr>
                <w:rFonts w:asciiTheme="minorHAnsi" w:hAnsiTheme="minorHAnsi" w:cstheme="minorHAnsi"/>
                <w:noProof/>
                <w:sz w:val="18"/>
                <w:szCs w:val="16"/>
              </w:rPr>
            </w:pPr>
            <w:r w:rsidRPr="00890249">
              <w:rPr>
                <w:rFonts w:asciiTheme="minorHAnsi" w:hAnsiTheme="minorHAnsi" w:cstheme="minorHAnsi"/>
                <w:noProof/>
                <w:sz w:val="18"/>
                <w:szCs w:val="16"/>
              </w:rPr>
              <w:t>0</w:t>
            </w:r>
          </w:p>
        </w:tc>
        <w:tc>
          <w:tcPr>
            <w:tcW w:w="595" w:type="pct"/>
            <w:shd w:val="clear" w:color="auto" w:fill="auto"/>
            <w:vAlign w:val="center"/>
          </w:tcPr>
          <w:p w14:paraId="7E334704" w14:textId="77777777" w:rsidR="00924E9D" w:rsidRPr="00890249" w:rsidRDefault="008374CE" w:rsidP="00311CDD">
            <w:pPr>
              <w:jc w:val="center"/>
              <w:rPr>
                <w:rFonts w:asciiTheme="minorHAnsi" w:hAnsiTheme="minorHAnsi" w:cstheme="minorHAnsi"/>
                <w:noProof/>
                <w:sz w:val="18"/>
                <w:szCs w:val="16"/>
              </w:rPr>
            </w:pPr>
            <w:r w:rsidRPr="00890249">
              <w:rPr>
                <w:rFonts w:asciiTheme="minorHAnsi" w:hAnsiTheme="minorHAnsi" w:cstheme="minorHAnsi"/>
                <w:noProof/>
                <w:sz w:val="18"/>
                <w:szCs w:val="16"/>
              </w:rPr>
              <w:t>24</w:t>
            </w:r>
          </w:p>
        </w:tc>
      </w:tr>
      <w:tr w:rsidR="00924E9D" w:rsidRPr="00890249" w14:paraId="12FDCB35" w14:textId="77777777" w:rsidTr="00514940">
        <w:trPr>
          <w:trHeight w:val="332"/>
        </w:trPr>
        <w:tc>
          <w:tcPr>
            <w:tcW w:w="288" w:type="pct"/>
            <w:vAlign w:val="center"/>
          </w:tcPr>
          <w:p w14:paraId="5F85A6AD" w14:textId="77777777" w:rsidR="00924E9D" w:rsidRPr="00890249" w:rsidRDefault="00A13182"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CP3</w:t>
            </w:r>
          </w:p>
        </w:tc>
        <w:tc>
          <w:tcPr>
            <w:tcW w:w="416" w:type="pct"/>
            <w:vAlign w:val="center"/>
          </w:tcPr>
          <w:p w14:paraId="2558149D" w14:textId="13D543D6"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3.ii</w:t>
            </w:r>
          </w:p>
        </w:tc>
        <w:tc>
          <w:tcPr>
            <w:tcW w:w="384" w:type="pct"/>
            <w:vAlign w:val="center"/>
          </w:tcPr>
          <w:p w14:paraId="3F1B95BD" w14:textId="77777777"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204C512C" w14:textId="77777777" w:rsidR="00924E9D" w:rsidRPr="00890249" w:rsidRDefault="00A13182" w:rsidP="00311CDD">
            <w:pPr>
              <w:jc w:val="center"/>
              <w:rPr>
                <w:rFonts w:asciiTheme="minorHAnsi" w:hAnsiTheme="minorHAnsi" w:cstheme="minorHAnsi"/>
                <w:i/>
                <w:noProof/>
                <w:sz w:val="18"/>
                <w:szCs w:val="16"/>
              </w:rPr>
            </w:pPr>
            <w:r w:rsidRPr="00890249">
              <w:rPr>
                <w:rFonts w:asciiTheme="minorHAnsi" w:eastAsia="Times New Roman" w:hAnsiTheme="minorHAnsi" w:cstheme="minorHAnsi"/>
                <w:iCs/>
                <w:noProof/>
                <w:sz w:val="18"/>
              </w:rPr>
              <w:t>Słabiej rozwinięte</w:t>
            </w:r>
          </w:p>
        </w:tc>
        <w:tc>
          <w:tcPr>
            <w:tcW w:w="460" w:type="pct"/>
            <w:vAlign w:val="center"/>
          </w:tcPr>
          <w:p w14:paraId="2AD2D2D6" w14:textId="77777777"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sz w:val="18"/>
                <w:szCs w:val="16"/>
              </w:rPr>
              <w:t>RCO</w:t>
            </w:r>
            <w:r w:rsidR="00A61F7D" w:rsidRPr="00890249">
              <w:rPr>
                <w:rFonts w:asciiTheme="minorHAnsi" w:hAnsiTheme="minorHAnsi" w:cstheme="minorHAnsi"/>
                <w:i/>
                <w:sz w:val="18"/>
                <w:szCs w:val="16"/>
              </w:rPr>
              <w:t>0</w:t>
            </w:r>
            <w:r w:rsidRPr="00890249">
              <w:rPr>
                <w:rFonts w:asciiTheme="minorHAnsi" w:hAnsiTheme="minorHAnsi" w:cstheme="minorHAnsi"/>
                <w:i/>
                <w:sz w:val="18"/>
                <w:szCs w:val="16"/>
              </w:rPr>
              <w:t>46</w:t>
            </w:r>
          </w:p>
        </w:tc>
        <w:tc>
          <w:tcPr>
            <w:tcW w:w="1226" w:type="pct"/>
            <w:shd w:val="clear" w:color="auto" w:fill="auto"/>
            <w:vAlign w:val="center"/>
          </w:tcPr>
          <w:p w14:paraId="74EF2B03" w14:textId="77777777" w:rsidR="00924E9D" w:rsidRPr="00890249" w:rsidRDefault="00924E9D" w:rsidP="00CE360C">
            <w:pPr>
              <w:jc w:val="left"/>
              <w:rPr>
                <w:rFonts w:asciiTheme="minorHAnsi" w:hAnsiTheme="minorHAnsi" w:cstheme="minorHAnsi"/>
                <w:i/>
                <w:noProof/>
                <w:sz w:val="18"/>
                <w:szCs w:val="16"/>
              </w:rPr>
            </w:pPr>
            <w:r w:rsidRPr="00890249">
              <w:rPr>
                <w:rFonts w:asciiTheme="minorHAnsi" w:hAnsiTheme="minorHAnsi" w:cstheme="minorHAnsi"/>
                <w:i/>
                <w:sz w:val="18"/>
                <w:szCs w:val="16"/>
              </w:rPr>
              <w:t xml:space="preserve">Długość dróg przebudowanych </w:t>
            </w:r>
            <w:r w:rsidR="006F60D8" w:rsidRPr="00890249">
              <w:rPr>
                <w:rFonts w:asciiTheme="minorHAnsi" w:hAnsiTheme="minorHAnsi" w:cstheme="minorHAnsi"/>
                <w:i/>
                <w:sz w:val="18"/>
                <w:szCs w:val="16"/>
              </w:rPr>
              <w:t>lub</w:t>
            </w:r>
            <w:r w:rsidR="00CE360C" w:rsidRPr="00890249">
              <w:rPr>
                <w:rFonts w:asciiTheme="minorHAnsi" w:hAnsiTheme="minorHAnsi" w:cstheme="minorHAnsi"/>
                <w:i/>
                <w:sz w:val="18"/>
                <w:szCs w:val="16"/>
              </w:rPr>
              <w:t xml:space="preserve"> </w:t>
            </w:r>
            <w:r w:rsidRPr="00890249">
              <w:rPr>
                <w:rFonts w:asciiTheme="minorHAnsi" w:hAnsiTheme="minorHAnsi" w:cstheme="minorHAnsi"/>
                <w:i/>
                <w:sz w:val="18"/>
                <w:szCs w:val="16"/>
              </w:rPr>
              <w:t xml:space="preserve">zmodernizowanych </w:t>
            </w:r>
            <w:r w:rsidR="00CE360C" w:rsidRPr="00890249">
              <w:rPr>
                <w:rFonts w:asciiTheme="minorHAnsi" w:hAnsiTheme="minorHAnsi" w:cstheme="minorHAnsi"/>
                <w:i/>
                <w:sz w:val="18"/>
                <w:szCs w:val="16"/>
              </w:rPr>
              <w:t xml:space="preserve">poza </w:t>
            </w:r>
            <w:r w:rsidRPr="00890249">
              <w:rPr>
                <w:rFonts w:asciiTheme="minorHAnsi" w:hAnsiTheme="minorHAnsi" w:cstheme="minorHAnsi"/>
                <w:i/>
                <w:sz w:val="18"/>
                <w:szCs w:val="16"/>
              </w:rPr>
              <w:t>TEN-T</w:t>
            </w:r>
          </w:p>
        </w:tc>
        <w:tc>
          <w:tcPr>
            <w:tcW w:w="460" w:type="pct"/>
            <w:vAlign w:val="center"/>
          </w:tcPr>
          <w:p w14:paraId="1652190A" w14:textId="77777777" w:rsidR="00924E9D" w:rsidRPr="00890249" w:rsidRDefault="00924E9D"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km</w:t>
            </w:r>
          </w:p>
        </w:tc>
        <w:tc>
          <w:tcPr>
            <w:tcW w:w="613" w:type="pct"/>
            <w:shd w:val="clear" w:color="auto" w:fill="auto"/>
            <w:vAlign w:val="center"/>
          </w:tcPr>
          <w:p w14:paraId="66974D5A" w14:textId="77777777" w:rsidR="00924E9D" w:rsidRPr="00890249" w:rsidRDefault="00A61F7D" w:rsidP="00311CDD">
            <w:pPr>
              <w:jc w:val="center"/>
              <w:rPr>
                <w:rFonts w:asciiTheme="minorHAnsi" w:hAnsiTheme="minorHAnsi" w:cstheme="minorHAnsi"/>
                <w:noProof/>
                <w:sz w:val="18"/>
                <w:szCs w:val="16"/>
              </w:rPr>
            </w:pPr>
            <w:r w:rsidRPr="00890249">
              <w:rPr>
                <w:rFonts w:asciiTheme="minorHAnsi" w:hAnsiTheme="minorHAnsi" w:cstheme="minorHAnsi"/>
                <w:noProof/>
                <w:sz w:val="18"/>
                <w:szCs w:val="16"/>
              </w:rPr>
              <w:t>7,4</w:t>
            </w:r>
          </w:p>
        </w:tc>
        <w:tc>
          <w:tcPr>
            <w:tcW w:w="595" w:type="pct"/>
            <w:shd w:val="clear" w:color="auto" w:fill="auto"/>
            <w:vAlign w:val="center"/>
          </w:tcPr>
          <w:p w14:paraId="557F62CA" w14:textId="77777777" w:rsidR="00924E9D" w:rsidRPr="00890249" w:rsidRDefault="00A61F7D" w:rsidP="00311CDD">
            <w:pPr>
              <w:jc w:val="center"/>
              <w:rPr>
                <w:rFonts w:asciiTheme="minorHAnsi" w:hAnsiTheme="minorHAnsi" w:cstheme="minorHAnsi"/>
                <w:noProof/>
                <w:sz w:val="18"/>
                <w:szCs w:val="16"/>
              </w:rPr>
            </w:pPr>
            <w:r w:rsidRPr="00890249">
              <w:rPr>
                <w:rFonts w:asciiTheme="minorHAnsi" w:hAnsiTheme="minorHAnsi" w:cstheme="minorHAnsi"/>
                <w:noProof/>
                <w:sz w:val="18"/>
                <w:szCs w:val="16"/>
              </w:rPr>
              <w:t>100</w:t>
            </w:r>
          </w:p>
        </w:tc>
      </w:tr>
      <w:tr w:rsidR="00514940" w:rsidRPr="00890249" w14:paraId="7680CFB0" w14:textId="77777777" w:rsidTr="00514940">
        <w:trPr>
          <w:trHeight w:val="332"/>
        </w:trPr>
        <w:tc>
          <w:tcPr>
            <w:tcW w:w="288" w:type="pct"/>
            <w:vAlign w:val="center"/>
          </w:tcPr>
          <w:p w14:paraId="2D697258" w14:textId="77777777" w:rsidR="00514940" w:rsidRPr="00890249" w:rsidRDefault="00514940" w:rsidP="0051494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CP3</w:t>
            </w:r>
          </w:p>
        </w:tc>
        <w:tc>
          <w:tcPr>
            <w:tcW w:w="416" w:type="pct"/>
            <w:vAlign w:val="center"/>
          </w:tcPr>
          <w:p w14:paraId="41545563" w14:textId="779811F3" w:rsidR="00514940" w:rsidRPr="00890249" w:rsidRDefault="00514940" w:rsidP="0051494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3.ii</w:t>
            </w:r>
          </w:p>
        </w:tc>
        <w:tc>
          <w:tcPr>
            <w:tcW w:w="384" w:type="pct"/>
            <w:vAlign w:val="center"/>
          </w:tcPr>
          <w:p w14:paraId="5B5C9260" w14:textId="77777777" w:rsidR="00514940" w:rsidRPr="00890249" w:rsidRDefault="00514940" w:rsidP="0051494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09685DCC" w14:textId="77777777" w:rsidR="00514940" w:rsidRPr="00890249" w:rsidRDefault="00514940" w:rsidP="00514940">
            <w:pPr>
              <w:jc w:val="center"/>
              <w:rPr>
                <w:rFonts w:asciiTheme="minorHAnsi" w:eastAsia="Times New Roman" w:hAnsiTheme="minorHAnsi" w:cstheme="minorHAnsi"/>
                <w:iCs/>
                <w:noProof/>
                <w:sz w:val="18"/>
              </w:rPr>
            </w:pPr>
            <w:r w:rsidRPr="00890249">
              <w:rPr>
                <w:rFonts w:asciiTheme="minorHAnsi" w:eastAsia="Times New Roman" w:hAnsiTheme="minorHAnsi" w:cstheme="minorHAnsi"/>
                <w:iCs/>
                <w:noProof/>
                <w:sz w:val="18"/>
              </w:rPr>
              <w:t>Słabiej rozwinięte</w:t>
            </w:r>
          </w:p>
        </w:tc>
        <w:tc>
          <w:tcPr>
            <w:tcW w:w="460" w:type="pct"/>
            <w:vAlign w:val="center"/>
          </w:tcPr>
          <w:p w14:paraId="03E30453" w14:textId="77777777" w:rsidR="00514940" w:rsidRPr="00890249" w:rsidRDefault="00514940" w:rsidP="00514940">
            <w:pPr>
              <w:jc w:val="center"/>
              <w:rPr>
                <w:rFonts w:asciiTheme="minorHAnsi" w:hAnsiTheme="minorHAnsi" w:cstheme="minorHAnsi"/>
                <w:i/>
                <w:sz w:val="18"/>
                <w:szCs w:val="16"/>
              </w:rPr>
            </w:pPr>
            <w:r w:rsidRPr="00890249">
              <w:rPr>
                <w:rFonts w:asciiTheme="minorHAnsi" w:hAnsiTheme="minorHAnsi" w:cstheme="minorHAnsi"/>
                <w:i/>
                <w:sz w:val="18"/>
                <w:szCs w:val="16"/>
              </w:rPr>
              <w:t>PLRO113</w:t>
            </w:r>
          </w:p>
        </w:tc>
        <w:tc>
          <w:tcPr>
            <w:tcW w:w="1226" w:type="pct"/>
            <w:shd w:val="clear" w:color="auto" w:fill="auto"/>
            <w:vAlign w:val="center"/>
          </w:tcPr>
          <w:p w14:paraId="372993E2" w14:textId="77777777" w:rsidR="00514940" w:rsidRPr="00890249" w:rsidRDefault="00514940" w:rsidP="00514940">
            <w:pPr>
              <w:jc w:val="left"/>
              <w:rPr>
                <w:rFonts w:asciiTheme="minorHAnsi" w:hAnsiTheme="minorHAnsi" w:cstheme="minorHAnsi"/>
                <w:i/>
                <w:sz w:val="18"/>
                <w:szCs w:val="16"/>
              </w:rPr>
            </w:pPr>
            <w:r w:rsidRPr="00890249">
              <w:rPr>
                <w:rFonts w:asciiTheme="minorHAnsi" w:hAnsiTheme="minorHAnsi" w:cstheme="minorHAnsi"/>
                <w:i/>
                <w:sz w:val="18"/>
                <w:szCs w:val="16"/>
              </w:rPr>
              <w:t>Liczba zakupionych jednostek kolejowego taboru pasażerskiego</w:t>
            </w:r>
          </w:p>
        </w:tc>
        <w:tc>
          <w:tcPr>
            <w:tcW w:w="460" w:type="pct"/>
            <w:vAlign w:val="center"/>
          </w:tcPr>
          <w:p w14:paraId="511B13A0" w14:textId="77777777" w:rsidR="00514940" w:rsidRPr="00890249" w:rsidRDefault="00514940" w:rsidP="0051494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613" w:type="pct"/>
            <w:shd w:val="clear" w:color="auto" w:fill="auto"/>
            <w:vAlign w:val="center"/>
          </w:tcPr>
          <w:p w14:paraId="16CCC8C1" w14:textId="77777777" w:rsidR="00514940" w:rsidRPr="00890249" w:rsidRDefault="003E51AE" w:rsidP="00514940">
            <w:pPr>
              <w:jc w:val="center"/>
              <w:rPr>
                <w:rFonts w:asciiTheme="minorHAnsi" w:hAnsiTheme="minorHAnsi" w:cstheme="minorHAnsi"/>
                <w:noProof/>
                <w:sz w:val="18"/>
                <w:szCs w:val="16"/>
              </w:rPr>
            </w:pPr>
            <w:r w:rsidRPr="00890249">
              <w:rPr>
                <w:rFonts w:asciiTheme="minorHAnsi" w:hAnsiTheme="minorHAnsi" w:cstheme="minorHAnsi"/>
                <w:noProof/>
                <w:sz w:val="18"/>
                <w:szCs w:val="16"/>
              </w:rPr>
              <w:t>1</w:t>
            </w:r>
          </w:p>
        </w:tc>
        <w:tc>
          <w:tcPr>
            <w:tcW w:w="595" w:type="pct"/>
            <w:shd w:val="clear" w:color="auto" w:fill="auto"/>
            <w:vAlign w:val="center"/>
          </w:tcPr>
          <w:p w14:paraId="493E4F9B" w14:textId="77777777" w:rsidR="00514940" w:rsidRPr="00890249" w:rsidRDefault="00514940" w:rsidP="00514940">
            <w:pPr>
              <w:jc w:val="center"/>
              <w:rPr>
                <w:rFonts w:asciiTheme="minorHAnsi" w:hAnsiTheme="minorHAnsi" w:cstheme="minorHAnsi"/>
                <w:noProof/>
                <w:sz w:val="18"/>
                <w:szCs w:val="16"/>
              </w:rPr>
            </w:pPr>
            <w:r w:rsidRPr="00890249">
              <w:rPr>
                <w:rFonts w:asciiTheme="minorHAnsi" w:hAnsiTheme="minorHAnsi" w:cstheme="minorHAnsi"/>
                <w:noProof/>
                <w:sz w:val="18"/>
                <w:szCs w:val="16"/>
              </w:rPr>
              <w:t>4</w:t>
            </w:r>
          </w:p>
        </w:tc>
      </w:tr>
    </w:tbl>
    <w:p w14:paraId="62AD1F3E" w14:textId="1FF593BC" w:rsidR="004B46F4" w:rsidRPr="00890249" w:rsidRDefault="004B46F4" w:rsidP="00140065">
      <w:pPr>
        <w:spacing w:before="0" w:after="160" w:line="259" w:lineRule="auto"/>
        <w:jc w:val="left"/>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754"/>
        <w:gridCol w:w="689"/>
        <w:gridCol w:w="1008"/>
        <w:gridCol w:w="777"/>
        <w:gridCol w:w="1655"/>
        <w:gridCol w:w="826"/>
        <w:gridCol w:w="549"/>
        <w:gridCol w:w="458"/>
        <w:gridCol w:w="560"/>
        <w:gridCol w:w="603"/>
        <w:gridCol w:w="669"/>
      </w:tblGrid>
      <w:tr w:rsidR="00BC2FD4" w:rsidRPr="00890249" w14:paraId="2AF716CA" w14:textId="77777777" w:rsidTr="006100D7">
        <w:trPr>
          <w:trHeight w:val="480"/>
        </w:trPr>
        <w:tc>
          <w:tcPr>
            <w:tcW w:w="5000" w:type="pct"/>
            <w:gridSpan w:val="12"/>
            <w:shd w:val="clear" w:color="auto" w:fill="D9D9D9" w:themeFill="background1" w:themeFillShade="D9"/>
          </w:tcPr>
          <w:p w14:paraId="26948676" w14:textId="77777777" w:rsidR="00BC2FD4" w:rsidRPr="00890249" w:rsidRDefault="00BC2FD4" w:rsidP="00BC2FD4">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C2FD4" w:rsidRPr="00890249" w14:paraId="76C86FE0" w14:textId="77777777" w:rsidTr="00A61F7D">
        <w:trPr>
          <w:cantSplit/>
          <w:trHeight w:val="1768"/>
        </w:trPr>
        <w:tc>
          <w:tcPr>
            <w:tcW w:w="283" w:type="pct"/>
            <w:shd w:val="clear" w:color="auto" w:fill="F2F2F2" w:themeFill="background1" w:themeFillShade="F2"/>
            <w:textDirection w:val="btLr"/>
            <w:vAlign w:val="center"/>
          </w:tcPr>
          <w:p w14:paraId="64320684"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6" w:type="pct"/>
            <w:shd w:val="clear" w:color="auto" w:fill="F2F2F2" w:themeFill="background1" w:themeFillShade="F2"/>
            <w:textDirection w:val="btLr"/>
            <w:vAlign w:val="center"/>
          </w:tcPr>
          <w:p w14:paraId="6E30EC90"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0" w:type="pct"/>
            <w:shd w:val="clear" w:color="auto" w:fill="F2F2F2" w:themeFill="background1" w:themeFillShade="F2"/>
            <w:textDirection w:val="btLr"/>
            <w:vAlign w:val="center"/>
          </w:tcPr>
          <w:p w14:paraId="65F03EC1"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6" w:type="pct"/>
            <w:shd w:val="clear" w:color="auto" w:fill="F2F2F2" w:themeFill="background1" w:themeFillShade="F2"/>
            <w:textDirection w:val="btLr"/>
            <w:vAlign w:val="center"/>
          </w:tcPr>
          <w:p w14:paraId="4CA4686D"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9" w:type="pct"/>
            <w:shd w:val="clear" w:color="auto" w:fill="F2F2F2" w:themeFill="background1" w:themeFillShade="F2"/>
            <w:textDirection w:val="btLr"/>
            <w:vAlign w:val="center"/>
          </w:tcPr>
          <w:p w14:paraId="5A46F02B"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913" w:type="pct"/>
            <w:shd w:val="clear" w:color="auto" w:fill="F2F2F2" w:themeFill="background1" w:themeFillShade="F2"/>
            <w:textDirection w:val="btLr"/>
            <w:vAlign w:val="center"/>
          </w:tcPr>
          <w:p w14:paraId="6E7881E7"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6" w:type="pct"/>
            <w:shd w:val="clear" w:color="auto" w:fill="F2F2F2" w:themeFill="background1" w:themeFillShade="F2"/>
            <w:textDirection w:val="btLr"/>
            <w:vAlign w:val="center"/>
          </w:tcPr>
          <w:p w14:paraId="201C646B"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03" w:type="pct"/>
            <w:shd w:val="clear" w:color="auto" w:fill="F2F2F2" w:themeFill="background1" w:themeFillShade="F2"/>
            <w:textDirection w:val="btLr"/>
            <w:vAlign w:val="center"/>
          </w:tcPr>
          <w:p w14:paraId="7C452D1E"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253" w:type="pct"/>
            <w:shd w:val="clear" w:color="auto" w:fill="F2F2F2" w:themeFill="background1" w:themeFillShade="F2"/>
            <w:textDirection w:val="btLr"/>
            <w:vAlign w:val="center"/>
          </w:tcPr>
          <w:p w14:paraId="04E0C659"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9" w:type="pct"/>
            <w:shd w:val="clear" w:color="auto" w:fill="F2F2F2" w:themeFill="background1" w:themeFillShade="F2"/>
            <w:textDirection w:val="btLr"/>
            <w:vAlign w:val="center"/>
          </w:tcPr>
          <w:p w14:paraId="3E25EDEB"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3" w:type="pct"/>
            <w:shd w:val="clear" w:color="auto" w:fill="F2F2F2" w:themeFill="background1" w:themeFillShade="F2"/>
            <w:textDirection w:val="btLr"/>
            <w:vAlign w:val="center"/>
          </w:tcPr>
          <w:p w14:paraId="502522F1" w14:textId="77777777" w:rsidR="00BC2FD4" w:rsidRPr="00890249" w:rsidRDefault="00BC2FD4" w:rsidP="00BC2FD4">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69" w:type="pct"/>
            <w:shd w:val="clear" w:color="auto" w:fill="F2F2F2" w:themeFill="background1" w:themeFillShade="F2"/>
            <w:textDirection w:val="btLr"/>
            <w:vAlign w:val="center"/>
          </w:tcPr>
          <w:p w14:paraId="3BBA57D6" w14:textId="77777777" w:rsidR="00BC2FD4" w:rsidRPr="00890249" w:rsidRDefault="00BC2FD4" w:rsidP="00BC2FD4">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A61F7D" w:rsidRPr="00890249" w14:paraId="2F18A3BA" w14:textId="77777777" w:rsidTr="00A61F7D">
        <w:trPr>
          <w:trHeight w:val="434"/>
        </w:trPr>
        <w:tc>
          <w:tcPr>
            <w:tcW w:w="283" w:type="pct"/>
            <w:vAlign w:val="center"/>
          </w:tcPr>
          <w:p w14:paraId="0278DAFE"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CP3</w:t>
            </w:r>
          </w:p>
        </w:tc>
        <w:tc>
          <w:tcPr>
            <w:tcW w:w="416" w:type="pct"/>
            <w:vAlign w:val="center"/>
          </w:tcPr>
          <w:p w14:paraId="7175E410" w14:textId="2B3161E6"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3.ii</w:t>
            </w:r>
          </w:p>
        </w:tc>
        <w:tc>
          <w:tcPr>
            <w:tcW w:w="380" w:type="pct"/>
            <w:vAlign w:val="center"/>
          </w:tcPr>
          <w:p w14:paraId="52BB36F2"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56" w:type="pct"/>
            <w:vAlign w:val="center"/>
          </w:tcPr>
          <w:p w14:paraId="7337B981"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29" w:type="pct"/>
            <w:vAlign w:val="center"/>
          </w:tcPr>
          <w:p w14:paraId="3BD470AA"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RCR056</w:t>
            </w:r>
          </w:p>
        </w:tc>
        <w:tc>
          <w:tcPr>
            <w:tcW w:w="913" w:type="pct"/>
            <w:shd w:val="clear" w:color="auto" w:fill="auto"/>
            <w:vAlign w:val="center"/>
          </w:tcPr>
          <w:p w14:paraId="5FF30BB0" w14:textId="77777777" w:rsidR="00A61F7D" w:rsidRPr="00890249" w:rsidRDefault="00A61F7D" w:rsidP="00A61F7D">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Oszczędność czasu dzięki udoskonalonej infrastrukturze drogowej</w:t>
            </w:r>
          </w:p>
        </w:tc>
        <w:tc>
          <w:tcPr>
            <w:tcW w:w="456" w:type="pct"/>
            <w:vAlign w:val="center"/>
          </w:tcPr>
          <w:p w14:paraId="0A14484A"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osobodni/rok</w:t>
            </w:r>
          </w:p>
        </w:tc>
        <w:tc>
          <w:tcPr>
            <w:tcW w:w="303" w:type="pct"/>
            <w:vAlign w:val="center"/>
          </w:tcPr>
          <w:p w14:paraId="47260132" w14:textId="77777777" w:rsidR="00A61F7D" w:rsidRPr="00890249" w:rsidRDefault="008374CE" w:rsidP="00A61F7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253" w:type="pct"/>
            <w:vAlign w:val="center"/>
          </w:tcPr>
          <w:p w14:paraId="1808AB7D" w14:textId="77777777" w:rsidR="00A61F7D" w:rsidRPr="00890249" w:rsidRDefault="00A61F7D" w:rsidP="00A61F7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9" w:type="pct"/>
            <w:shd w:val="clear" w:color="auto" w:fill="auto"/>
            <w:vAlign w:val="center"/>
          </w:tcPr>
          <w:p w14:paraId="1FA7A976" w14:textId="77777777" w:rsidR="00A61F7D" w:rsidRPr="00890249" w:rsidRDefault="00A61F7D" w:rsidP="00A61F7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85 846</w:t>
            </w:r>
          </w:p>
        </w:tc>
        <w:tc>
          <w:tcPr>
            <w:tcW w:w="333" w:type="pct"/>
            <w:shd w:val="clear" w:color="auto" w:fill="auto"/>
            <w:vAlign w:val="center"/>
          </w:tcPr>
          <w:p w14:paraId="7E1CDF8B" w14:textId="77777777" w:rsidR="00A61F7D" w:rsidRPr="00890249" w:rsidRDefault="008374CE" w:rsidP="00A61F7D">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69" w:type="pct"/>
            <w:vAlign w:val="center"/>
          </w:tcPr>
          <w:p w14:paraId="34B8C2DF" w14:textId="77777777" w:rsidR="00A61F7D" w:rsidRPr="00890249" w:rsidRDefault="008374CE" w:rsidP="00A61F7D">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r w:rsidR="00A61F7D" w:rsidRPr="00890249" w14:paraId="713280E6" w14:textId="77777777" w:rsidTr="00A61F7D">
        <w:trPr>
          <w:trHeight w:val="434"/>
        </w:trPr>
        <w:tc>
          <w:tcPr>
            <w:tcW w:w="283" w:type="pct"/>
            <w:vAlign w:val="center"/>
          </w:tcPr>
          <w:p w14:paraId="5F4DF1AE"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CP3</w:t>
            </w:r>
          </w:p>
        </w:tc>
        <w:tc>
          <w:tcPr>
            <w:tcW w:w="416" w:type="pct"/>
            <w:vAlign w:val="center"/>
          </w:tcPr>
          <w:p w14:paraId="4C3D9B9E" w14:textId="20857CCA"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3.ii</w:t>
            </w:r>
          </w:p>
        </w:tc>
        <w:tc>
          <w:tcPr>
            <w:tcW w:w="380" w:type="pct"/>
            <w:vAlign w:val="center"/>
          </w:tcPr>
          <w:p w14:paraId="7287DC74"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56" w:type="pct"/>
            <w:vAlign w:val="center"/>
          </w:tcPr>
          <w:p w14:paraId="61214919"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eastAsia="Times New Roman" w:hAnsiTheme="minorHAnsi" w:cstheme="minorHAnsi"/>
                <w:iCs/>
                <w:noProof/>
                <w:sz w:val="18"/>
              </w:rPr>
              <w:t>Słabiej rozwinięte</w:t>
            </w:r>
          </w:p>
        </w:tc>
        <w:tc>
          <w:tcPr>
            <w:tcW w:w="429" w:type="pct"/>
            <w:vAlign w:val="center"/>
          </w:tcPr>
          <w:p w14:paraId="54FE20C4"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RCR055</w:t>
            </w:r>
          </w:p>
        </w:tc>
        <w:tc>
          <w:tcPr>
            <w:tcW w:w="913" w:type="pct"/>
            <w:shd w:val="clear" w:color="auto" w:fill="auto"/>
            <w:vAlign w:val="center"/>
          </w:tcPr>
          <w:p w14:paraId="343BF37E" w14:textId="77777777" w:rsidR="00A61F7D" w:rsidRPr="00890249" w:rsidRDefault="00A61F7D" w:rsidP="00A61F7D">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Roczna liczba użytkowników nowo wybudowanych, przebudowanych, rozbudowanych lub zmodernizowanych dróg</w:t>
            </w:r>
          </w:p>
        </w:tc>
        <w:tc>
          <w:tcPr>
            <w:tcW w:w="456" w:type="pct"/>
            <w:vAlign w:val="center"/>
          </w:tcPr>
          <w:p w14:paraId="7AF8FF03" w14:textId="77777777" w:rsidR="00A61F7D" w:rsidRPr="00890249" w:rsidRDefault="00A61F7D" w:rsidP="00A61F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pasażerokilometr / rok</w:t>
            </w:r>
          </w:p>
        </w:tc>
        <w:tc>
          <w:tcPr>
            <w:tcW w:w="303" w:type="pct"/>
            <w:vAlign w:val="center"/>
          </w:tcPr>
          <w:p w14:paraId="3D5C18EA" w14:textId="3C1108C1" w:rsidR="00A61F7D" w:rsidRPr="00890249" w:rsidRDefault="00530AA0" w:rsidP="00A61F7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402 638 087</w:t>
            </w:r>
          </w:p>
        </w:tc>
        <w:tc>
          <w:tcPr>
            <w:tcW w:w="253" w:type="pct"/>
            <w:vAlign w:val="center"/>
          </w:tcPr>
          <w:p w14:paraId="1134A88B" w14:textId="77777777" w:rsidR="00A61F7D" w:rsidRPr="00890249" w:rsidRDefault="00A61F7D" w:rsidP="00A61F7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309" w:type="pct"/>
            <w:shd w:val="clear" w:color="auto" w:fill="auto"/>
            <w:vAlign w:val="center"/>
          </w:tcPr>
          <w:p w14:paraId="2C32A6AD" w14:textId="77777777" w:rsidR="00A61F7D" w:rsidRPr="00890249" w:rsidRDefault="00A61F7D" w:rsidP="00A61F7D">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449 696 797</w:t>
            </w:r>
          </w:p>
        </w:tc>
        <w:tc>
          <w:tcPr>
            <w:tcW w:w="333" w:type="pct"/>
            <w:shd w:val="clear" w:color="auto" w:fill="auto"/>
            <w:vAlign w:val="center"/>
          </w:tcPr>
          <w:p w14:paraId="2E310DF2" w14:textId="77777777" w:rsidR="00A61F7D" w:rsidRPr="00890249" w:rsidRDefault="008374CE" w:rsidP="00A61F7D">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69" w:type="pct"/>
            <w:vAlign w:val="center"/>
          </w:tcPr>
          <w:p w14:paraId="2AF0C140" w14:textId="77777777" w:rsidR="00A61F7D" w:rsidRPr="00890249" w:rsidRDefault="008374CE" w:rsidP="00A61F7D">
            <w:pPr>
              <w:jc w:val="center"/>
              <w:rPr>
                <w:rFonts w:asciiTheme="minorHAnsi" w:hAnsiTheme="minorHAnsi" w:cstheme="minorHAnsi"/>
                <w:noProof/>
                <w:sz w:val="18"/>
                <w:szCs w:val="16"/>
              </w:rPr>
            </w:pPr>
            <w:r w:rsidRPr="00890249">
              <w:rPr>
                <w:rFonts w:asciiTheme="minorHAnsi" w:hAnsiTheme="minorHAnsi" w:cstheme="minorHAnsi"/>
                <w:noProof/>
                <w:sz w:val="18"/>
                <w:szCs w:val="16"/>
              </w:rPr>
              <w:t>nd</w:t>
            </w:r>
          </w:p>
        </w:tc>
      </w:tr>
    </w:tbl>
    <w:p w14:paraId="3987F0CA" w14:textId="0A0A37E1" w:rsidR="00CA485E" w:rsidRPr="00890249" w:rsidRDefault="00CA485E" w:rsidP="00D207AC">
      <w:pPr>
        <w:spacing w:before="0" w:after="160" w:line="259" w:lineRule="auto"/>
        <w:jc w:val="left"/>
        <w:rPr>
          <w:rFonts w:asciiTheme="minorHAnsi" w:hAnsiTheme="minorHAnsi" w:cstheme="minorHAnsi"/>
          <w:b/>
          <w:noProof/>
          <w:sz w:val="22"/>
          <w:szCs w:val="22"/>
        </w:rPr>
      </w:pPr>
    </w:p>
    <w:p w14:paraId="450E5AAD" w14:textId="77777777" w:rsidR="00CA485E" w:rsidRPr="00890249" w:rsidRDefault="00CA485E">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br w:type="page"/>
      </w:r>
    </w:p>
    <w:p w14:paraId="4E110E27" w14:textId="77777777" w:rsidR="0097068C" w:rsidRPr="00890249" w:rsidRDefault="0097068C" w:rsidP="0097068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2.1.4.1.3 (ii) Orientacyjny podział zasobów programu (UE) według rodzaju interwencji</w:t>
      </w:r>
    </w:p>
    <w:tbl>
      <w:tblPr>
        <w:tblStyle w:val="Tabela-Siatka6"/>
        <w:tblW w:w="0" w:type="auto"/>
        <w:tblLook w:val="04A0" w:firstRow="1" w:lastRow="0" w:firstColumn="1" w:lastColumn="0" w:noHBand="0" w:noVBand="1"/>
      </w:tblPr>
      <w:tblGrid>
        <w:gridCol w:w="1406"/>
        <w:gridCol w:w="1003"/>
        <w:gridCol w:w="1512"/>
        <w:gridCol w:w="1501"/>
        <w:gridCol w:w="1817"/>
        <w:gridCol w:w="1822"/>
      </w:tblGrid>
      <w:tr w:rsidR="00285695" w:rsidRPr="00890249" w14:paraId="261E5351" w14:textId="77777777" w:rsidTr="00F86419">
        <w:tc>
          <w:tcPr>
            <w:tcW w:w="9287" w:type="dxa"/>
            <w:gridSpan w:val="6"/>
            <w:shd w:val="clear" w:color="auto" w:fill="D9D9D9" w:themeFill="background1" w:themeFillShade="D9"/>
          </w:tcPr>
          <w:p w14:paraId="77AF961A"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3725C8" w:rsidRPr="00890249" w14:paraId="53EA12F1" w14:textId="77777777" w:rsidTr="00F86419">
        <w:tc>
          <w:tcPr>
            <w:tcW w:w="1453" w:type="dxa"/>
            <w:shd w:val="clear" w:color="auto" w:fill="F2F2F2" w:themeFill="background1" w:themeFillShade="F2"/>
          </w:tcPr>
          <w:p w14:paraId="746F053E"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17" w:type="dxa"/>
            <w:shd w:val="clear" w:color="auto" w:fill="F2F2F2" w:themeFill="background1" w:themeFillShade="F2"/>
          </w:tcPr>
          <w:p w14:paraId="62290BEA"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571" w:type="dxa"/>
            <w:shd w:val="clear" w:color="auto" w:fill="F2F2F2" w:themeFill="background1" w:themeFillShade="F2"/>
          </w:tcPr>
          <w:p w14:paraId="5BBAFB87"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36" w:type="dxa"/>
            <w:shd w:val="clear" w:color="auto" w:fill="F2F2F2" w:themeFill="background1" w:themeFillShade="F2"/>
          </w:tcPr>
          <w:p w14:paraId="2F505CFC"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845" w:type="dxa"/>
            <w:shd w:val="clear" w:color="auto" w:fill="F2F2F2" w:themeFill="background1" w:themeFillShade="F2"/>
          </w:tcPr>
          <w:p w14:paraId="390BFB73"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65" w:type="dxa"/>
            <w:shd w:val="clear" w:color="auto" w:fill="F2F2F2" w:themeFill="background1" w:themeFillShade="F2"/>
          </w:tcPr>
          <w:p w14:paraId="1BBA44B2"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F86419" w:rsidRPr="00890249" w14:paraId="0BA68B7C" w14:textId="77777777" w:rsidTr="00890249">
        <w:tc>
          <w:tcPr>
            <w:tcW w:w="1453" w:type="dxa"/>
            <w:vMerge w:val="restart"/>
          </w:tcPr>
          <w:p w14:paraId="55E57CD1" w14:textId="77777777" w:rsidR="00F86419" w:rsidRPr="00890249" w:rsidRDefault="00F86419" w:rsidP="00F8641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3</w:t>
            </w:r>
          </w:p>
        </w:tc>
        <w:tc>
          <w:tcPr>
            <w:tcW w:w="1017" w:type="dxa"/>
            <w:vMerge w:val="restart"/>
          </w:tcPr>
          <w:p w14:paraId="5FF252E3" w14:textId="77777777" w:rsidR="00F86419" w:rsidRPr="00890249" w:rsidRDefault="00F86419" w:rsidP="00F8641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571" w:type="dxa"/>
            <w:vMerge w:val="restart"/>
          </w:tcPr>
          <w:p w14:paraId="6E62BD0E" w14:textId="77777777" w:rsidR="00F86419" w:rsidRPr="00890249" w:rsidRDefault="00F86419" w:rsidP="00F8641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rozwiniete</w:t>
            </w:r>
          </w:p>
        </w:tc>
        <w:tc>
          <w:tcPr>
            <w:tcW w:w="1536" w:type="dxa"/>
            <w:vMerge w:val="restart"/>
          </w:tcPr>
          <w:p w14:paraId="5CFBC62F" w14:textId="77777777" w:rsidR="00F86419" w:rsidRPr="00890249" w:rsidRDefault="00F86419" w:rsidP="00F8641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845" w:type="dxa"/>
          </w:tcPr>
          <w:p w14:paraId="41EEDBE8" w14:textId="77777777" w:rsidR="00B72154" w:rsidRPr="00890249" w:rsidRDefault="00F86419"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077 </w:t>
            </w:r>
            <w:r w:rsidR="00875C92" w:rsidRPr="00890249">
              <w:rPr>
                <w:rFonts w:asciiTheme="minorHAnsi" w:hAnsiTheme="minorHAnsi" w:cstheme="minorHAnsi"/>
                <w:sz w:val="20"/>
                <w:szCs w:val="20"/>
                <w:lang w:eastAsia="en-US" w:bidi="ar-SA"/>
              </w:rPr>
              <w:t>Działania mające na celu poprawę jakości powietrza i ograniczenie hałasu</w:t>
            </w:r>
          </w:p>
        </w:tc>
        <w:tc>
          <w:tcPr>
            <w:tcW w:w="1865" w:type="dxa"/>
          </w:tcPr>
          <w:p w14:paraId="03771D2A" w14:textId="7489B6DE" w:rsidR="00F86419" w:rsidRPr="00890249" w:rsidRDefault="00F86419" w:rsidP="00F8641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12 500 000</w:t>
            </w:r>
          </w:p>
        </w:tc>
      </w:tr>
      <w:tr w:rsidR="00F86419" w:rsidRPr="00890249" w14:paraId="43D283E0" w14:textId="77777777" w:rsidTr="00F86419">
        <w:trPr>
          <w:trHeight w:val="420"/>
        </w:trPr>
        <w:tc>
          <w:tcPr>
            <w:tcW w:w="1453" w:type="dxa"/>
            <w:vMerge/>
            <w:vAlign w:val="center"/>
          </w:tcPr>
          <w:p w14:paraId="0F41C281" w14:textId="77777777" w:rsidR="00F86419" w:rsidRPr="00890249" w:rsidRDefault="00F86419" w:rsidP="00F86419">
            <w:pPr>
              <w:jc w:val="center"/>
              <w:rPr>
                <w:rFonts w:asciiTheme="minorHAnsi" w:eastAsia="Times New Roman" w:hAnsiTheme="minorHAnsi" w:cstheme="minorHAnsi"/>
                <w:iCs/>
                <w:noProof/>
                <w:sz w:val="20"/>
              </w:rPr>
            </w:pPr>
          </w:p>
        </w:tc>
        <w:tc>
          <w:tcPr>
            <w:tcW w:w="1017" w:type="dxa"/>
            <w:vMerge/>
            <w:vAlign w:val="center"/>
          </w:tcPr>
          <w:p w14:paraId="68CF9A04" w14:textId="77777777" w:rsidR="00F86419" w:rsidRPr="00890249" w:rsidRDefault="00F86419" w:rsidP="00F86419">
            <w:pPr>
              <w:jc w:val="center"/>
              <w:rPr>
                <w:rFonts w:asciiTheme="minorHAnsi" w:eastAsia="Times New Roman" w:hAnsiTheme="minorHAnsi" w:cstheme="minorHAnsi"/>
                <w:iCs/>
                <w:noProof/>
                <w:sz w:val="20"/>
              </w:rPr>
            </w:pPr>
          </w:p>
        </w:tc>
        <w:tc>
          <w:tcPr>
            <w:tcW w:w="1571" w:type="dxa"/>
            <w:vMerge/>
            <w:vAlign w:val="center"/>
          </w:tcPr>
          <w:p w14:paraId="7F546C68" w14:textId="77777777" w:rsidR="00F86419" w:rsidRPr="00890249" w:rsidRDefault="00F86419" w:rsidP="00F86419">
            <w:pPr>
              <w:jc w:val="center"/>
              <w:rPr>
                <w:rFonts w:asciiTheme="minorHAnsi" w:eastAsia="Times New Roman" w:hAnsiTheme="minorHAnsi" w:cstheme="minorHAnsi"/>
                <w:iCs/>
                <w:noProof/>
                <w:sz w:val="20"/>
              </w:rPr>
            </w:pPr>
          </w:p>
        </w:tc>
        <w:tc>
          <w:tcPr>
            <w:tcW w:w="1536" w:type="dxa"/>
            <w:vMerge/>
            <w:vAlign w:val="center"/>
          </w:tcPr>
          <w:p w14:paraId="64CFD3A1" w14:textId="77777777" w:rsidR="00F86419" w:rsidRPr="00890249" w:rsidRDefault="00F86419" w:rsidP="00F86419">
            <w:pPr>
              <w:jc w:val="center"/>
              <w:rPr>
                <w:rFonts w:asciiTheme="minorHAnsi" w:eastAsia="Times New Roman" w:hAnsiTheme="minorHAnsi" w:cstheme="minorHAnsi"/>
                <w:iCs/>
                <w:noProof/>
                <w:sz w:val="20"/>
              </w:rPr>
            </w:pPr>
          </w:p>
        </w:tc>
        <w:tc>
          <w:tcPr>
            <w:tcW w:w="1845" w:type="dxa"/>
          </w:tcPr>
          <w:p w14:paraId="13F6BF74" w14:textId="77777777" w:rsidR="00B72154" w:rsidRPr="00890249" w:rsidRDefault="00F86419"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083 </w:t>
            </w:r>
            <w:r w:rsidR="00875C92" w:rsidRPr="00890249">
              <w:rPr>
                <w:rFonts w:asciiTheme="minorHAnsi" w:hAnsiTheme="minorHAnsi" w:cstheme="minorHAnsi"/>
                <w:sz w:val="20"/>
                <w:szCs w:val="20"/>
                <w:lang w:eastAsia="en-US" w:bidi="ar-SA"/>
              </w:rPr>
              <w:t>Infrastruktura rowerowa</w:t>
            </w:r>
          </w:p>
        </w:tc>
        <w:tc>
          <w:tcPr>
            <w:tcW w:w="1865" w:type="dxa"/>
          </w:tcPr>
          <w:p w14:paraId="7C1B7132" w14:textId="77777777" w:rsidR="00F86419" w:rsidRPr="00890249" w:rsidRDefault="00F86419" w:rsidP="00F8641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6 000 000</w:t>
            </w:r>
          </w:p>
        </w:tc>
      </w:tr>
      <w:tr w:rsidR="00F86419" w:rsidRPr="00890249" w14:paraId="566E80B3" w14:textId="77777777" w:rsidTr="00F86419">
        <w:tc>
          <w:tcPr>
            <w:tcW w:w="1453" w:type="dxa"/>
            <w:vMerge/>
            <w:vAlign w:val="center"/>
          </w:tcPr>
          <w:p w14:paraId="7E19F3D3" w14:textId="77777777" w:rsidR="00F86419" w:rsidRPr="00890249" w:rsidRDefault="00F86419" w:rsidP="00F86419">
            <w:pPr>
              <w:jc w:val="center"/>
              <w:rPr>
                <w:rFonts w:asciiTheme="minorHAnsi" w:eastAsia="Times New Roman" w:hAnsiTheme="minorHAnsi" w:cstheme="minorHAnsi"/>
                <w:iCs/>
                <w:noProof/>
                <w:sz w:val="20"/>
              </w:rPr>
            </w:pPr>
          </w:p>
        </w:tc>
        <w:tc>
          <w:tcPr>
            <w:tcW w:w="1017" w:type="dxa"/>
            <w:vMerge/>
            <w:vAlign w:val="center"/>
          </w:tcPr>
          <w:p w14:paraId="44ABE27C" w14:textId="77777777" w:rsidR="00F86419" w:rsidRPr="00890249" w:rsidRDefault="00F86419" w:rsidP="00F86419">
            <w:pPr>
              <w:jc w:val="center"/>
              <w:rPr>
                <w:rFonts w:asciiTheme="minorHAnsi" w:eastAsia="Times New Roman" w:hAnsiTheme="minorHAnsi" w:cstheme="minorHAnsi"/>
                <w:iCs/>
                <w:noProof/>
                <w:sz w:val="20"/>
              </w:rPr>
            </w:pPr>
          </w:p>
        </w:tc>
        <w:tc>
          <w:tcPr>
            <w:tcW w:w="1571" w:type="dxa"/>
            <w:vMerge/>
            <w:vAlign w:val="center"/>
          </w:tcPr>
          <w:p w14:paraId="111C7A34" w14:textId="77777777" w:rsidR="00F86419" w:rsidRPr="00890249" w:rsidRDefault="00F86419" w:rsidP="00F86419">
            <w:pPr>
              <w:jc w:val="center"/>
              <w:rPr>
                <w:rFonts w:asciiTheme="minorHAnsi" w:eastAsia="Times New Roman" w:hAnsiTheme="minorHAnsi" w:cstheme="minorHAnsi"/>
                <w:iCs/>
                <w:noProof/>
                <w:sz w:val="20"/>
              </w:rPr>
            </w:pPr>
          </w:p>
        </w:tc>
        <w:tc>
          <w:tcPr>
            <w:tcW w:w="1536" w:type="dxa"/>
            <w:vMerge/>
            <w:vAlign w:val="center"/>
          </w:tcPr>
          <w:p w14:paraId="0C88D77D" w14:textId="77777777" w:rsidR="00F86419" w:rsidRPr="00890249" w:rsidRDefault="00F86419" w:rsidP="00F86419">
            <w:pPr>
              <w:jc w:val="center"/>
              <w:rPr>
                <w:rFonts w:asciiTheme="minorHAnsi" w:eastAsia="Times New Roman" w:hAnsiTheme="minorHAnsi" w:cstheme="minorHAnsi"/>
                <w:iCs/>
                <w:noProof/>
                <w:sz w:val="20"/>
              </w:rPr>
            </w:pPr>
          </w:p>
        </w:tc>
        <w:tc>
          <w:tcPr>
            <w:tcW w:w="1845" w:type="dxa"/>
          </w:tcPr>
          <w:p w14:paraId="78BF8B88" w14:textId="77777777" w:rsidR="00B72154" w:rsidRPr="00890249" w:rsidRDefault="00F86419"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086 </w:t>
            </w:r>
            <w:r w:rsidR="00875C92" w:rsidRPr="00890249">
              <w:rPr>
                <w:rFonts w:asciiTheme="minorHAnsi" w:hAnsiTheme="minorHAnsi" w:cstheme="minorHAnsi"/>
                <w:sz w:val="20"/>
                <w:szCs w:val="20"/>
                <w:lang w:eastAsia="en-US" w:bidi="ar-SA"/>
              </w:rPr>
              <w:t>Infrastruktura paliw alternatywnych</w:t>
            </w:r>
          </w:p>
        </w:tc>
        <w:tc>
          <w:tcPr>
            <w:tcW w:w="1865" w:type="dxa"/>
          </w:tcPr>
          <w:p w14:paraId="6758D84A" w14:textId="77777777" w:rsidR="00F86419" w:rsidRPr="00890249" w:rsidRDefault="00F86419" w:rsidP="00F8641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1 500 000</w:t>
            </w:r>
          </w:p>
        </w:tc>
      </w:tr>
      <w:tr w:rsidR="00F86419" w:rsidRPr="00890249" w14:paraId="546802F9" w14:textId="77777777" w:rsidTr="00F86419">
        <w:tc>
          <w:tcPr>
            <w:tcW w:w="1453" w:type="dxa"/>
            <w:vMerge/>
            <w:vAlign w:val="center"/>
          </w:tcPr>
          <w:p w14:paraId="684C297E" w14:textId="77777777" w:rsidR="00F86419" w:rsidRPr="00890249" w:rsidRDefault="00F86419" w:rsidP="00F86419">
            <w:pPr>
              <w:jc w:val="center"/>
              <w:rPr>
                <w:rFonts w:asciiTheme="minorHAnsi" w:eastAsia="Times New Roman" w:hAnsiTheme="minorHAnsi" w:cstheme="minorHAnsi"/>
                <w:iCs/>
                <w:noProof/>
                <w:sz w:val="20"/>
              </w:rPr>
            </w:pPr>
          </w:p>
        </w:tc>
        <w:tc>
          <w:tcPr>
            <w:tcW w:w="1017" w:type="dxa"/>
            <w:vMerge/>
            <w:vAlign w:val="center"/>
          </w:tcPr>
          <w:p w14:paraId="4CE0B824" w14:textId="77777777" w:rsidR="00F86419" w:rsidRPr="00890249" w:rsidRDefault="00F86419" w:rsidP="00F86419">
            <w:pPr>
              <w:jc w:val="center"/>
              <w:rPr>
                <w:rFonts w:asciiTheme="minorHAnsi" w:eastAsia="Times New Roman" w:hAnsiTheme="minorHAnsi" w:cstheme="minorHAnsi"/>
                <w:iCs/>
                <w:noProof/>
                <w:sz w:val="20"/>
              </w:rPr>
            </w:pPr>
          </w:p>
        </w:tc>
        <w:tc>
          <w:tcPr>
            <w:tcW w:w="1571" w:type="dxa"/>
            <w:vMerge/>
            <w:vAlign w:val="center"/>
          </w:tcPr>
          <w:p w14:paraId="64051019" w14:textId="77777777" w:rsidR="00F86419" w:rsidRPr="00890249" w:rsidRDefault="00F86419" w:rsidP="00F86419">
            <w:pPr>
              <w:jc w:val="center"/>
              <w:rPr>
                <w:rFonts w:asciiTheme="minorHAnsi" w:eastAsia="Times New Roman" w:hAnsiTheme="minorHAnsi" w:cstheme="minorHAnsi"/>
                <w:iCs/>
                <w:noProof/>
                <w:sz w:val="20"/>
              </w:rPr>
            </w:pPr>
          </w:p>
        </w:tc>
        <w:tc>
          <w:tcPr>
            <w:tcW w:w="1536" w:type="dxa"/>
            <w:vMerge/>
            <w:vAlign w:val="center"/>
          </w:tcPr>
          <w:p w14:paraId="314772D0" w14:textId="77777777" w:rsidR="00F86419" w:rsidRPr="00890249" w:rsidRDefault="00F86419" w:rsidP="00F86419">
            <w:pPr>
              <w:jc w:val="center"/>
              <w:rPr>
                <w:rFonts w:asciiTheme="minorHAnsi" w:eastAsia="Times New Roman" w:hAnsiTheme="minorHAnsi" w:cstheme="minorHAnsi"/>
                <w:iCs/>
                <w:noProof/>
                <w:sz w:val="20"/>
              </w:rPr>
            </w:pPr>
          </w:p>
        </w:tc>
        <w:tc>
          <w:tcPr>
            <w:tcW w:w="1845" w:type="dxa"/>
          </w:tcPr>
          <w:p w14:paraId="1D0C6656" w14:textId="77777777" w:rsidR="00B72154" w:rsidRPr="00890249" w:rsidRDefault="00F86419"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089</w:t>
            </w:r>
            <w:r w:rsidR="00875C92" w:rsidRPr="00890249">
              <w:rPr>
                <w:rFonts w:asciiTheme="minorHAnsi" w:eastAsia="Times New Roman" w:hAnsiTheme="minorHAnsi" w:cstheme="minorHAnsi"/>
                <w:iCs/>
                <w:noProof/>
                <w:sz w:val="20"/>
                <w:szCs w:val="20"/>
                <w:lang w:eastAsia="en-US" w:bidi="ar-SA"/>
              </w:rPr>
              <w:t xml:space="preserve"> </w:t>
            </w:r>
            <w:r w:rsidR="00875C92" w:rsidRPr="00890249">
              <w:rPr>
                <w:rFonts w:asciiTheme="minorHAnsi" w:hAnsiTheme="minorHAnsi" w:cstheme="minorHAnsi"/>
                <w:sz w:val="20"/>
                <w:szCs w:val="20"/>
                <w:lang w:eastAsia="en-US" w:bidi="ar-SA"/>
              </w:rPr>
              <w:t>Nowo wybudowane lub rozbudowane drugorzędne połączenia drogowe z siecią drogową i węzłami TEN-T</w:t>
            </w:r>
          </w:p>
        </w:tc>
        <w:tc>
          <w:tcPr>
            <w:tcW w:w="1865" w:type="dxa"/>
          </w:tcPr>
          <w:p w14:paraId="7FBEC3BC" w14:textId="188EA148" w:rsidR="00F86419" w:rsidRPr="00890249" w:rsidRDefault="00E433D7" w:rsidP="00F86419">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57 700 000</w:t>
            </w:r>
          </w:p>
        </w:tc>
      </w:tr>
      <w:tr w:rsidR="00F86419" w:rsidRPr="00890249" w14:paraId="3ADFB5C1" w14:textId="77777777" w:rsidTr="00F86419">
        <w:trPr>
          <w:trHeight w:val="2283"/>
        </w:trPr>
        <w:tc>
          <w:tcPr>
            <w:tcW w:w="1453" w:type="dxa"/>
            <w:vMerge/>
            <w:vAlign w:val="center"/>
          </w:tcPr>
          <w:p w14:paraId="3546F814" w14:textId="77777777" w:rsidR="00F86419" w:rsidRPr="00890249" w:rsidRDefault="00F86419" w:rsidP="00F86419">
            <w:pPr>
              <w:jc w:val="center"/>
              <w:rPr>
                <w:rFonts w:asciiTheme="minorHAnsi" w:eastAsia="Times New Roman" w:hAnsiTheme="minorHAnsi" w:cstheme="minorHAnsi"/>
                <w:iCs/>
                <w:noProof/>
                <w:sz w:val="20"/>
              </w:rPr>
            </w:pPr>
          </w:p>
        </w:tc>
        <w:tc>
          <w:tcPr>
            <w:tcW w:w="1017" w:type="dxa"/>
            <w:vMerge/>
            <w:vAlign w:val="center"/>
          </w:tcPr>
          <w:p w14:paraId="7EA7E723" w14:textId="77777777" w:rsidR="00F86419" w:rsidRPr="00890249" w:rsidRDefault="00F86419" w:rsidP="00F86419">
            <w:pPr>
              <w:jc w:val="center"/>
              <w:rPr>
                <w:rFonts w:asciiTheme="minorHAnsi" w:eastAsia="Times New Roman" w:hAnsiTheme="minorHAnsi" w:cstheme="minorHAnsi"/>
                <w:iCs/>
                <w:noProof/>
                <w:sz w:val="20"/>
              </w:rPr>
            </w:pPr>
          </w:p>
        </w:tc>
        <w:tc>
          <w:tcPr>
            <w:tcW w:w="1571" w:type="dxa"/>
            <w:vMerge/>
            <w:vAlign w:val="center"/>
          </w:tcPr>
          <w:p w14:paraId="0A5B1BAF" w14:textId="77777777" w:rsidR="00F86419" w:rsidRPr="00890249" w:rsidRDefault="00F86419" w:rsidP="00F86419">
            <w:pPr>
              <w:jc w:val="center"/>
              <w:rPr>
                <w:rFonts w:asciiTheme="minorHAnsi" w:eastAsia="Times New Roman" w:hAnsiTheme="minorHAnsi" w:cstheme="minorHAnsi"/>
                <w:iCs/>
                <w:noProof/>
                <w:sz w:val="20"/>
              </w:rPr>
            </w:pPr>
          </w:p>
        </w:tc>
        <w:tc>
          <w:tcPr>
            <w:tcW w:w="1536" w:type="dxa"/>
            <w:vMerge/>
            <w:vAlign w:val="center"/>
          </w:tcPr>
          <w:p w14:paraId="6441C6B0" w14:textId="77777777" w:rsidR="00F86419" w:rsidRPr="00890249" w:rsidRDefault="00F86419" w:rsidP="00F86419">
            <w:pPr>
              <w:jc w:val="center"/>
              <w:rPr>
                <w:rFonts w:asciiTheme="minorHAnsi" w:eastAsia="Times New Roman" w:hAnsiTheme="minorHAnsi" w:cstheme="minorHAnsi"/>
                <w:iCs/>
                <w:noProof/>
                <w:sz w:val="20"/>
              </w:rPr>
            </w:pPr>
          </w:p>
        </w:tc>
        <w:tc>
          <w:tcPr>
            <w:tcW w:w="1845" w:type="dxa"/>
          </w:tcPr>
          <w:p w14:paraId="4A703E08" w14:textId="77777777" w:rsidR="00F86419" w:rsidRPr="00890249" w:rsidRDefault="00F86419" w:rsidP="00F86419">
            <w:pPr>
              <w:pStyle w:val="Default"/>
              <w:spacing w:before="120"/>
              <w:jc w:val="both"/>
              <w:rPr>
                <w:rFonts w:asciiTheme="minorHAnsi" w:hAnsiTheme="minorHAnsi" w:cstheme="minorHAnsi"/>
                <w:sz w:val="20"/>
                <w:szCs w:val="20"/>
              </w:rPr>
            </w:pPr>
            <w:r w:rsidRPr="00890249">
              <w:rPr>
                <w:rFonts w:asciiTheme="minorHAnsi" w:eastAsia="Times New Roman" w:hAnsiTheme="minorHAnsi" w:cstheme="minorHAnsi"/>
                <w:iCs/>
                <w:noProof/>
                <w:sz w:val="20"/>
                <w:szCs w:val="20"/>
              </w:rPr>
              <w:t xml:space="preserve">093 </w:t>
            </w:r>
            <w:r w:rsidR="00875C92" w:rsidRPr="00890249">
              <w:rPr>
                <w:rFonts w:asciiTheme="minorHAnsi" w:hAnsiTheme="minorHAnsi" w:cstheme="minorHAnsi"/>
                <w:sz w:val="20"/>
                <w:szCs w:val="20"/>
              </w:rPr>
              <w:t>Inne drogi przebudowane lub zmodernizowane (autostrady, drogi krajowe, regionalne lub lokalne)</w:t>
            </w:r>
          </w:p>
          <w:p w14:paraId="4F08888E" w14:textId="4B227E84" w:rsidR="00B72154" w:rsidRPr="00890249" w:rsidRDefault="00F86419"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 </w:t>
            </w:r>
          </w:p>
        </w:tc>
        <w:tc>
          <w:tcPr>
            <w:tcW w:w="1865" w:type="dxa"/>
          </w:tcPr>
          <w:p w14:paraId="156B8CA6" w14:textId="32CDF863" w:rsidR="00F86419" w:rsidRPr="00890249" w:rsidRDefault="00801429" w:rsidP="00F86419">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15 000 000</w:t>
            </w:r>
          </w:p>
          <w:p w14:paraId="59FF86B5" w14:textId="77777777" w:rsidR="00F86419" w:rsidRPr="00890249" w:rsidRDefault="00F86419" w:rsidP="00F8641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(dot. projektów w obszarze infrastruktury mającej na celu poprawę  bezpieczenstwa użytkowników ruchu przy drogach lokalnych)</w:t>
            </w:r>
          </w:p>
        </w:tc>
      </w:tr>
      <w:tr w:rsidR="00F86419" w:rsidRPr="00890249" w14:paraId="41937F57" w14:textId="77777777" w:rsidTr="00F86419">
        <w:tc>
          <w:tcPr>
            <w:tcW w:w="1453" w:type="dxa"/>
            <w:vMerge/>
          </w:tcPr>
          <w:p w14:paraId="334C8B73" w14:textId="77777777" w:rsidR="00F86419" w:rsidRPr="00890249" w:rsidRDefault="00F86419" w:rsidP="00F86419">
            <w:pPr>
              <w:jc w:val="center"/>
              <w:rPr>
                <w:rFonts w:asciiTheme="minorHAnsi" w:eastAsia="Times New Roman" w:hAnsiTheme="minorHAnsi" w:cstheme="minorHAnsi"/>
                <w:iCs/>
                <w:noProof/>
                <w:sz w:val="20"/>
              </w:rPr>
            </w:pPr>
          </w:p>
        </w:tc>
        <w:tc>
          <w:tcPr>
            <w:tcW w:w="1017" w:type="dxa"/>
            <w:vMerge/>
          </w:tcPr>
          <w:p w14:paraId="1A8E888E" w14:textId="77777777" w:rsidR="00F86419" w:rsidRPr="00890249" w:rsidRDefault="00F86419" w:rsidP="00F86419">
            <w:pPr>
              <w:jc w:val="center"/>
              <w:rPr>
                <w:rFonts w:asciiTheme="minorHAnsi" w:eastAsia="Times New Roman" w:hAnsiTheme="minorHAnsi" w:cstheme="minorHAnsi"/>
                <w:iCs/>
                <w:noProof/>
                <w:sz w:val="20"/>
              </w:rPr>
            </w:pPr>
          </w:p>
        </w:tc>
        <w:tc>
          <w:tcPr>
            <w:tcW w:w="1571" w:type="dxa"/>
            <w:vMerge/>
          </w:tcPr>
          <w:p w14:paraId="691977E4" w14:textId="77777777" w:rsidR="00F86419" w:rsidRPr="00890249" w:rsidRDefault="00F86419" w:rsidP="00F86419">
            <w:pPr>
              <w:jc w:val="center"/>
              <w:rPr>
                <w:rFonts w:asciiTheme="minorHAnsi" w:eastAsia="Times New Roman" w:hAnsiTheme="minorHAnsi" w:cstheme="minorHAnsi"/>
                <w:iCs/>
                <w:noProof/>
                <w:sz w:val="20"/>
              </w:rPr>
            </w:pPr>
          </w:p>
        </w:tc>
        <w:tc>
          <w:tcPr>
            <w:tcW w:w="1536" w:type="dxa"/>
            <w:vMerge/>
          </w:tcPr>
          <w:p w14:paraId="11194A89" w14:textId="77777777" w:rsidR="00F86419" w:rsidRPr="00890249" w:rsidRDefault="00F86419" w:rsidP="00F86419">
            <w:pPr>
              <w:jc w:val="center"/>
              <w:rPr>
                <w:rFonts w:asciiTheme="minorHAnsi" w:eastAsia="Times New Roman" w:hAnsiTheme="minorHAnsi" w:cstheme="minorHAnsi"/>
                <w:iCs/>
                <w:noProof/>
                <w:sz w:val="20"/>
              </w:rPr>
            </w:pPr>
          </w:p>
        </w:tc>
        <w:tc>
          <w:tcPr>
            <w:tcW w:w="1845" w:type="dxa"/>
          </w:tcPr>
          <w:p w14:paraId="124D220B" w14:textId="5B495234" w:rsidR="00B72154" w:rsidRPr="00890249" w:rsidRDefault="00F86419"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107</w:t>
            </w:r>
            <w:r w:rsidR="003C2B55">
              <w:rPr>
                <w:rFonts w:asciiTheme="minorHAnsi" w:hAnsiTheme="minorHAnsi" w:cstheme="minorHAnsi"/>
                <w:sz w:val="20"/>
                <w:szCs w:val="20"/>
                <w:lang w:eastAsia="en-US" w:bidi="ar-SA"/>
              </w:rPr>
              <w:t xml:space="preserve"> Bezemisyjny /zasi</w:t>
            </w:r>
            <w:r w:rsidR="00875C92" w:rsidRPr="00890249">
              <w:rPr>
                <w:rFonts w:asciiTheme="minorHAnsi" w:hAnsiTheme="minorHAnsi" w:cstheme="minorHAnsi"/>
                <w:sz w:val="20"/>
                <w:szCs w:val="20"/>
                <w:lang w:eastAsia="en-US" w:bidi="ar-SA"/>
              </w:rPr>
              <w:t>l</w:t>
            </w:r>
            <w:r w:rsidR="003C2B55">
              <w:rPr>
                <w:rFonts w:asciiTheme="minorHAnsi" w:hAnsiTheme="minorHAnsi" w:cstheme="minorHAnsi"/>
                <w:sz w:val="20"/>
                <w:szCs w:val="20"/>
                <w:lang w:eastAsia="en-US" w:bidi="ar-SA"/>
              </w:rPr>
              <w:t>a</w:t>
            </w:r>
            <w:r w:rsidR="00875C92" w:rsidRPr="00890249">
              <w:rPr>
                <w:rFonts w:asciiTheme="minorHAnsi" w:hAnsiTheme="minorHAnsi" w:cstheme="minorHAnsi"/>
                <w:sz w:val="20"/>
                <w:szCs w:val="20"/>
                <w:lang w:eastAsia="en-US" w:bidi="ar-SA"/>
              </w:rPr>
              <w:t xml:space="preserve">ny energią elektryczną tabor kolejowy </w:t>
            </w:r>
          </w:p>
        </w:tc>
        <w:tc>
          <w:tcPr>
            <w:tcW w:w="1865" w:type="dxa"/>
          </w:tcPr>
          <w:p w14:paraId="341FC348" w14:textId="3773E2CA" w:rsidR="00F86419" w:rsidRPr="00890249" w:rsidRDefault="00F86419" w:rsidP="00F8641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25 000 000</w:t>
            </w:r>
          </w:p>
        </w:tc>
      </w:tr>
    </w:tbl>
    <w:p w14:paraId="528912CF" w14:textId="77777777" w:rsidR="00F852BC" w:rsidRPr="00890249" w:rsidRDefault="00F852BC" w:rsidP="002E0634">
      <w:pPr>
        <w:spacing w:before="0" w:after="0"/>
        <w:rPr>
          <w:rFonts w:asciiTheme="minorHAnsi" w:eastAsia="Times New Roman" w:hAnsiTheme="minorHAnsi" w:cstheme="minorHAnsi"/>
          <w:b/>
          <w:iCs/>
          <w:noProof/>
          <w:szCs w:val="24"/>
        </w:rPr>
      </w:pPr>
    </w:p>
    <w:tbl>
      <w:tblPr>
        <w:tblStyle w:val="Tabela-Siatka6"/>
        <w:tblW w:w="0" w:type="auto"/>
        <w:tblLook w:val="04A0" w:firstRow="1" w:lastRow="0" w:firstColumn="1" w:lastColumn="0" w:noHBand="0" w:noVBand="1"/>
      </w:tblPr>
      <w:tblGrid>
        <w:gridCol w:w="1562"/>
        <w:gridCol w:w="1050"/>
        <w:gridCol w:w="1709"/>
        <w:gridCol w:w="1617"/>
        <w:gridCol w:w="1038"/>
        <w:gridCol w:w="2085"/>
      </w:tblGrid>
      <w:tr w:rsidR="00285695" w:rsidRPr="00890249" w14:paraId="699D0657" w14:textId="77777777" w:rsidTr="0002590B">
        <w:tc>
          <w:tcPr>
            <w:tcW w:w="9288" w:type="dxa"/>
            <w:gridSpan w:val="6"/>
            <w:shd w:val="clear" w:color="auto" w:fill="D9D9D9" w:themeFill="background1" w:themeFillShade="D9"/>
          </w:tcPr>
          <w:p w14:paraId="6FA35FBF"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285695" w:rsidRPr="00890249" w14:paraId="68147517" w14:textId="77777777" w:rsidTr="0002590B">
        <w:tc>
          <w:tcPr>
            <w:tcW w:w="1599" w:type="dxa"/>
            <w:shd w:val="clear" w:color="auto" w:fill="F2F2F2" w:themeFill="background1" w:themeFillShade="F2"/>
          </w:tcPr>
          <w:p w14:paraId="48091D6F"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20BAFF65"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40E497E3"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CA3C346"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518705CF"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43F6A493" w14:textId="77777777" w:rsidR="00285695" w:rsidRPr="00890249" w:rsidRDefault="00285695" w:rsidP="00285695">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285695" w:rsidRPr="00890249" w14:paraId="3499BB38" w14:textId="77777777" w:rsidTr="000F16D1">
        <w:tc>
          <w:tcPr>
            <w:tcW w:w="1599" w:type="dxa"/>
          </w:tcPr>
          <w:p w14:paraId="73DCDD73" w14:textId="77777777" w:rsidR="00285695" w:rsidRPr="00890249" w:rsidRDefault="00285695" w:rsidP="0028569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3</w:t>
            </w:r>
          </w:p>
        </w:tc>
        <w:tc>
          <w:tcPr>
            <w:tcW w:w="1061" w:type="dxa"/>
          </w:tcPr>
          <w:p w14:paraId="7B288CC5" w14:textId="77777777" w:rsidR="00285695" w:rsidRPr="00890249" w:rsidRDefault="00285695" w:rsidP="0028569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tcPr>
          <w:p w14:paraId="5DAD557B" w14:textId="77777777" w:rsidR="00285695" w:rsidRPr="00890249" w:rsidRDefault="00285695" w:rsidP="0028569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rozwiniete</w:t>
            </w:r>
          </w:p>
        </w:tc>
        <w:tc>
          <w:tcPr>
            <w:tcW w:w="1644" w:type="dxa"/>
          </w:tcPr>
          <w:p w14:paraId="5DB52985" w14:textId="77777777" w:rsidR="00285695" w:rsidRPr="00890249" w:rsidRDefault="006C0E39" w:rsidP="0028569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r w:rsidR="00285695" w:rsidRPr="00890249">
              <w:rPr>
                <w:rFonts w:asciiTheme="minorHAnsi" w:eastAsia="Times New Roman" w:hAnsiTheme="minorHAnsi" w:cstheme="minorHAnsi"/>
                <w:iCs/>
                <w:noProof/>
                <w:sz w:val="20"/>
              </w:rPr>
              <w:t>i)</w:t>
            </w:r>
          </w:p>
        </w:tc>
        <w:tc>
          <w:tcPr>
            <w:tcW w:w="1053" w:type="dxa"/>
          </w:tcPr>
          <w:p w14:paraId="0A06CB5B" w14:textId="77777777" w:rsidR="00285695" w:rsidRPr="00890249" w:rsidRDefault="00285695" w:rsidP="0028569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9F4E70" w:rsidRPr="00890249">
              <w:rPr>
                <w:rFonts w:asciiTheme="minorHAnsi" w:eastAsia="Times New Roman" w:hAnsiTheme="minorHAnsi" w:cstheme="minorHAnsi"/>
                <w:iCs/>
                <w:noProof/>
                <w:sz w:val="20"/>
              </w:rPr>
              <w:t xml:space="preserve"> Dotacja</w:t>
            </w:r>
          </w:p>
        </w:tc>
        <w:tc>
          <w:tcPr>
            <w:tcW w:w="2175" w:type="dxa"/>
          </w:tcPr>
          <w:p w14:paraId="41B41516" w14:textId="38A6C48B" w:rsidR="00285695" w:rsidRPr="00890249" w:rsidRDefault="006C0E39" w:rsidP="00285695">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117 700 000</w:t>
            </w:r>
          </w:p>
        </w:tc>
      </w:tr>
    </w:tbl>
    <w:p w14:paraId="08B01F1A" w14:textId="2E46C2AF" w:rsidR="00114890" w:rsidRPr="00890249" w:rsidRDefault="00114890" w:rsidP="00D207AC">
      <w:pPr>
        <w:spacing w:before="0" w:after="0"/>
        <w:rPr>
          <w:rFonts w:asciiTheme="minorHAnsi" w:eastAsia="Times New Roman" w:hAnsiTheme="minorHAnsi" w:cstheme="minorHAnsi"/>
          <w:b/>
          <w:iCs/>
          <w:noProof/>
          <w:szCs w:val="24"/>
        </w:rPr>
      </w:pPr>
    </w:p>
    <w:p w14:paraId="6BA77C1A" w14:textId="77777777" w:rsidR="00114890" w:rsidRPr="00890249" w:rsidRDefault="00114890">
      <w:pPr>
        <w:spacing w:before="0" w:after="160" w:line="259" w:lineRule="auto"/>
        <w:jc w:val="left"/>
        <w:rPr>
          <w:rFonts w:asciiTheme="minorHAnsi" w:eastAsia="Times New Roman" w:hAnsiTheme="minorHAnsi" w:cstheme="minorHAnsi"/>
          <w:b/>
          <w:iCs/>
          <w:noProof/>
          <w:szCs w:val="24"/>
        </w:rPr>
      </w:pPr>
      <w:r w:rsidRPr="00890249">
        <w:rPr>
          <w:rFonts w:asciiTheme="minorHAnsi" w:eastAsia="Times New Roman" w:hAnsiTheme="minorHAnsi" w:cstheme="minorHAnsi"/>
          <w:b/>
          <w:iCs/>
          <w:noProof/>
          <w:szCs w:val="24"/>
        </w:rPr>
        <w:br w:type="page"/>
      </w:r>
    </w:p>
    <w:p w14:paraId="50497CD4" w14:textId="77777777" w:rsidR="00285695" w:rsidRPr="00890249" w:rsidRDefault="00285695" w:rsidP="00D207AC">
      <w:pPr>
        <w:spacing w:before="0" w:after="0"/>
        <w:rPr>
          <w:rFonts w:asciiTheme="minorHAnsi" w:eastAsia="Times New Roman" w:hAnsiTheme="minorHAnsi" w:cstheme="minorHAnsi"/>
          <w:b/>
          <w:iCs/>
          <w:noProof/>
          <w:szCs w:val="24"/>
        </w:rPr>
      </w:pPr>
    </w:p>
    <w:tbl>
      <w:tblPr>
        <w:tblStyle w:val="Tabela-Siatka6"/>
        <w:tblW w:w="9322" w:type="dxa"/>
        <w:tblLook w:val="04A0" w:firstRow="1" w:lastRow="0" w:firstColumn="1" w:lastColumn="0" w:noHBand="0" w:noVBand="1"/>
      </w:tblPr>
      <w:tblGrid>
        <w:gridCol w:w="1486"/>
        <w:gridCol w:w="1027"/>
        <w:gridCol w:w="1614"/>
        <w:gridCol w:w="1561"/>
        <w:gridCol w:w="1520"/>
        <w:gridCol w:w="2114"/>
      </w:tblGrid>
      <w:tr w:rsidR="00285695" w:rsidRPr="00890249" w14:paraId="5EDEF654" w14:textId="77777777" w:rsidTr="00FE7195">
        <w:tc>
          <w:tcPr>
            <w:tcW w:w="9322" w:type="dxa"/>
            <w:gridSpan w:val="6"/>
            <w:shd w:val="clear" w:color="auto" w:fill="D9D9D9" w:themeFill="background1" w:themeFillShade="D9"/>
          </w:tcPr>
          <w:p w14:paraId="67A5CE0F" w14:textId="0835875A" w:rsidR="00285695" w:rsidRPr="00890249" w:rsidRDefault="006C0E39" w:rsidP="00A66643">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9B65D7">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A66643">
              <w:rPr>
                <w:rFonts w:asciiTheme="minorHAnsi" w:hAnsiTheme="minorHAnsi" w:cstheme="minorHAnsi"/>
                <w:b/>
                <w:noProof/>
                <w:sz w:val="20"/>
              </w:rPr>
              <w:t xml:space="preserve">3 </w:t>
            </w:r>
            <w:r w:rsidR="00285695" w:rsidRPr="00890249">
              <w:rPr>
                <w:rFonts w:asciiTheme="minorHAnsi" w:hAnsiTheme="minorHAnsi" w:cstheme="minorHAnsi"/>
                <w:b/>
                <w:noProof/>
                <w:sz w:val="20"/>
              </w:rPr>
              <w:t xml:space="preserve"> – terytorialny mechanizm realizacji i ukierunkowanie terytorialne</w:t>
            </w:r>
          </w:p>
        </w:tc>
      </w:tr>
      <w:tr w:rsidR="00285695" w:rsidRPr="00890249" w14:paraId="7CD32352" w14:textId="77777777" w:rsidTr="00FE7195">
        <w:tc>
          <w:tcPr>
            <w:tcW w:w="1566" w:type="dxa"/>
            <w:shd w:val="clear" w:color="auto" w:fill="F2F2F2" w:themeFill="background1" w:themeFillShade="F2"/>
          </w:tcPr>
          <w:p w14:paraId="2A9CEF66"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6198F1B2"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437D2B1B"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33EB84CC"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6D5265B7"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348" w:type="dxa"/>
            <w:shd w:val="clear" w:color="auto" w:fill="F2F2F2" w:themeFill="background1" w:themeFillShade="F2"/>
          </w:tcPr>
          <w:p w14:paraId="0D1514FF" w14:textId="77777777" w:rsidR="00285695" w:rsidRPr="00890249" w:rsidRDefault="00285695" w:rsidP="00285695">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55F49" w:rsidRPr="00890249" w14:paraId="4DF929AC" w14:textId="77777777" w:rsidTr="00FE7195">
        <w:tc>
          <w:tcPr>
            <w:tcW w:w="1566" w:type="dxa"/>
          </w:tcPr>
          <w:p w14:paraId="4AFEF2D4" w14:textId="77777777" w:rsidR="00D55F49" w:rsidRPr="00890249" w:rsidRDefault="00D55F49"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3</w:t>
            </w:r>
          </w:p>
        </w:tc>
        <w:tc>
          <w:tcPr>
            <w:tcW w:w="1051" w:type="dxa"/>
          </w:tcPr>
          <w:p w14:paraId="31B69A8A" w14:textId="77777777" w:rsidR="00D55F49" w:rsidRPr="00890249" w:rsidRDefault="00D55F49"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5" w:type="dxa"/>
          </w:tcPr>
          <w:p w14:paraId="45536CB6" w14:textId="77777777" w:rsidR="00D55F49" w:rsidRPr="00890249" w:rsidRDefault="00D55F49"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rozwiniete</w:t>
            </w:r>
          </w:p>
        </w:tc>
        <w:tc>
          <w:tcPr>
            <w:tcW w:w="1620" w:type="dxa"/>
          </w:tcPr>
          <w:p w14:paraId="2C7E4E05" w14:textId="0F58DE51" w:rsidR="00D55F49" w:rsidRPr="00890249" w:rsidRDefault="00EA48A6"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22" w:type="dxa"/>
          </w:tcPr>
          <w:p w14:paraId="0483EFBC" w14:textId="5F558571" w:rsidR="00B72154" w:rsidRPr="00890249" w:rsidRDefault="001344ED" w:rsidP="00890249">
            <w:pPr>
              <w:pStyle w:val="Default"/>
              <w:rPr>
                <w:rFonts w:asciiTheme="minorHAnsi" w:hAnsiTheme="minorHAnsi" w:cstheme="minorHAnsi"/>
                <w:sz w:val="20"/>
              </w:rPr>
            </w:pPr>
            <w:r w:rsidRPr="00890249">
              <w:rPr>
                <w:rFonts w:asciiTheme="minorHAnsi" w:eastAsia="Times New Roman" w:hAnsiTheme="minorHAnsi" w:cstheme="minorHAnsi"/>
                <w:iCs/>
                <w:noProof/>
                <w:sz w:val="20"/>
                <w:szCs w:val="20"/>
                <w:lang w:eastAsia="en-US" w:bidi="ar-SA"/>
              </w:rPr>
              <w:t xml:space="preserve">33 </w:t>
            </w:r>
            <w:r w:rsidR="00875C92" w:rsidRPr="00890249">
              <w:rPr>
                <w:rFonts w:asciiTheme="minorHAnsi" w:hAnsiTheme="minorHAnsi" w:cstheme="minorHAnsi"/>
                <w:sz w:val="20"/>
                <w:szCs w:val="20"/>
                <w:lang w:eastAsia="en-US" w:bidi="ar-SA"/>
              </w:rPr>
              <w:t xml:space="preserve">Brak ukierunkowania terytorialnego </w:t>
            </w:r>
          </w:p>
        </w:tc>
        <w:tc>
          <w:tcPr>
            <w:tcW w:w="2348" w:type="dxa"/>
          </w:tcPr>
          <w:p w14:paraId="5490B193" w14:textId="29AFD4F3" w:rsidR="00D55F49" w:rsidRPr="00890249" w:rsidRDefault="00EA48A6"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117 700 000</w:t>
            </w:r>
          </w:p>
        </w:tc>
      </w:tr>
    </w:tbl>
    <w:p w14:paraId="75186638" w14:textId="1BDE50C8" w:rsidR="00140065" w:rsidRPr="00890249" w:rsidRDefault="00140065" w:rsidP="00140065">
      <w:pPr>
        <w:spacing w:before="0" w:after="160" w:line="259" w:lineRule="auto"/>
        <w:jc w:val="left"/>
        <w:rPr>
          <w:rFonts w:asciiTheme="minorHAnsi" w:eastAsia="Times New Roman" w:hAnsiTheme="minorHAnsi" w:cstheme="minorHAnsi"/>
          <w:b/>
          <w:iCs/>
          <w:noProof/>
          <w:szCs w:val="24"/>
        </w:rPr>
      </w:pPr>
    </w:p>
    <w:tbl>
      <w:tblPr>
        <w:tblStyle w:val="Tabela-Siatka"/>
        <w:tblW w:w="0" w:type="auto"/>
        <w:tblLook w:val="04A0" w:firstRow="1" w:lastRow="0" w:firstColumn="1" w:lastColumn="0" w:noHBand="0" w:noVBand="1"/>
      </w:tblPr>
      <w:tblGrid>
        <w:gridCol w:w="1566"/>
        <w:gridCol w:w="1051"/>
        <w:gridCol w:w="1714"/>
        <w:gridCol w:w="1620"/>
        <w:gridCol w:w="1022"/>
        <w:gridCol w:w="2088"/>
      </w:tblGrid>
      <w:tr w:rsidR="00AF6D6B" w:rsidRPr="00890249" w14:paraId="2CCAAFE2" w14:textId="77777777" w:rsidTr="0002590B">
        <w:tc>
          <w:tcPr>
            <w:tcW w:w="9288" w:type="dxa"/>
            <w:gridSpan w:val="6"/>
            <w:shd w:val="clear" w:color="auto" w:fill="D9D9D9" w:themeFill="background1" w:themeFillShade="D9"/>
          </w:tcPr>
          <w:p w14:paraId="44167671"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CC1C1B"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AF6D6B" w:rsidRPr="00890249" w14:paraId="3C0A2040" w14:textId="77777777" w:rsidTr="0002590B">
        <w:tc>
          <w:tcPr>
            <w:tcW w:w="1599" w:type="dxa"/>
            <w:shd w:val="clear" w:color="auto" w:fill="F2F2F2" w:themeFill="background1" w:themeFillShade="F2"/>
          </w:tcPr>
          <w:p w14:paraId="76CA3AFA"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47458CC5"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52363676"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04D41EFE"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58B5ACBF"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Kod </w:t>
            </w:r>
          </w:p>
        </w:tc>
        <w:tc>
          <w:tcPr>
            <w:tcW w:w="2175" w:type="dxa"/>
            <w:shd w:val="clear" w:color="auto" w:fill="F2F2F2" w:themeFill="background1" w:themeFillShade="F2"/>
          </w:tcPr>
          <w:p w14:paraId="4CB0F740" w14:textId="77777777" w:rsidR="00AF6D6B" w:rsidRPr="00890249" w:rsidRDefault="00AF6D6B" w:rsidP="002B20E2">
            <w:pP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F6D6B" w:rsidRPr="00890249" w14:paraId="57D501CF" w14:textId="77777777" w:rsidTr="002B20E2">
        <w:tc>
          <w:tcPr>
            <w:tcW w:w="1599" w:type="dxa"/>
            <w:vAlign w:val="center"/>
          </w:tcPr>
          <w:p w14:paraId="6B841475" w14:textId="77777777" w:rsidR="00AF6D6B" w:rsidRPr="00890249" w:rsidRDefault="00057934"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3</w:t>
            </w:r>
          </w:p>
        </w:tc>
        <w:tc>
          <w:tcPr>
            <w:tcW w:w="1061" w:type="dxa"/>
            <w:vAlign w:val="center"/>
          </w:tcPr>
          <w:p w14:paraId="4511CB35" w14:textId="77777777" w:rsidR="00AF6D6B" w:rsidRPr="00890249" w:rsidRDefault="00AF6D6B"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56" w:type="dxa"/>
            <w:vAlign w:val="center"/>
          </w:tcPr>
          <w:p w14:paraId="56AD9016" w14:textId="77777777" w:rsidR="00AF6D6B" w:rsidRPr="00890249" w:rsidRDefault="00AF6D6B"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44" w:type="dxa"/>
          </w:tcPr>
          <w:p w14:paraId="5B7D820B" w14:textId="77777777" w:rsidR="00AF6D6B" w:rsidRPr="00890249" w:rsidRDefault="00AF6D6B"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53" w:type="dxa"/>
          </w:tcPr>
          <w:p w14:paraId="78F2C8F8" w14:textId="77777777" w:rsidR="00AF6D6B" w:rsidRPr="00890249" w:rsidRDefault="00AF6D6B"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175" w:type="dxa"/>
          </w:tcPr>
          <w:p w14:paraId="1514BE4B" w14:textId="77777777" w:rsidR="00AF6D6B" w:rsidRPr="00890249" w:rsidRDefault="00AF6D6B" w:rsidP="00D207AC">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21B355BE" w14:textId="77777777" w:rsidR="00AF6D6B" w:rsidRPr="00890249" w:rsidRDefault="00AF6D6B" w:rsidP="00D207AC">
      <w:pPr>
        <w:spacing w:before="0" w:after="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AF6D6B" w:rsidRPr="00890249" w14:paraId="5CAFF339" w14:textId="77777777" w:rsidTr="00FE7195">
        <w:tc>
          <w:tcPr>
            <w:tcW w:w="9322" w:type="dxa"/>
            <w:gridSpan w:val="6"/>
            <w:shd w:val="clear" w:color="auto" w:fill="D9D9D9" w:themeFill="background1" w:themeFillShade="D9"/>
          </w:tcPr>
          <w:p w14:paraId="77ED10F1" w14:textId="77777777" w:rsidR="00AF6D6B" w:rsidRPr="00890249" w:rsidRDefault="00AF6D6B" w:rsidP="002B20E2">
            <w:pPr>
              <w:spacing w:before="0" w:after="160" w:line="259" w:lineRule="auto"/>
              <w:jc w:val="left"/>
              <w:rPr>
                <w:rFonts w:asciiTheme="minorHAnsi" w:eastAsiaTheme="minorHAnsi" w:hAnsiTheme="minorHAnsi" w:cstheme="minorHAnsi"/>
                <w:b/>
                <w:sz w:val="20"/>
                <w:lang w:eastAsia="en-US" w:bidi="ar-SA"/>
              </w:rPr>
            </w:pPr>
            <w:r w:rsidRPr="00890249">
              <w:rPr>
                <w:rFonts w:asciiTheme="minorHAnsi" w:eastAsiaTheme="minorHAnsi" w:hAnsiTheme="minorHAnsi" w:cstheme="minorHAnsi"/>
                <w:b/>
                <w:sz w:val="20"/>
                <w:lang w:eastAsia="en-US" w:bidi="ar-SA"/>
              </w:rPr>
              <w:t>Tabela 8: Wymiar 7 – wymiar „Równouprawnienie płci” w ramach EFS+, EFRR, Fundusz Spójności i FST</w:t>
            </w:r>
          </w:p>
        </w:tc>
      </w:tr>
      <w:tr w:rsidR="00AF6D6B" w:rsidRPr="00890249" w14:paraId="6FB58C9F" w14:textId="77777777" w:rsidTr="00FE7195">
        <w:tc>
          <w:tcPr>
            <w:tcW w:w="1570" w:type="dxa"/>
            <w:shd w:val="clear" w:color="auto" w:fill="F2F2F2" w:themeFill="background1" w:themeFillShade="F2"/>
          </w:tcPr>
          <w:p w14:paraId="6512AD58" w14:textId="77777777" w:rsidR="00AF6D6B" w:rsidRPr="00890249" w:rsidRDefault="00AF6D6B"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1890E86E" w14:textId="77777777" w:rsidR="00AF6D6B" w:rsidRPr="00890249" w:rsidRDefault="00AF6D6B"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0A31872D" w14:textId="77777777" w:rsidR="00AF6D6B" w:rsidRPr="00890249" w:rsidRDefault="00AF6D6B"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291B7A34" w14:textId="77777777" w:rsidR="00AF6D6B" w:rsidRPr="00890249" w:rsidRDefault="00AF6D6B"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1E2BE0DA" w14:textId="77777777" w:rsidR="00AF6D6B" w:rsidRPr="00890249" w:rsidRDefault="00AF6D6B"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145DDB5F" w14:textId="77777777" w:rsidR="00AF6D6B" w:rsidRPr="00890249" w:rsidRDefault="00AF6D6B" w:rsidP="002B20E2">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6C0E39" w:rsidRPr="00890249" w14:paraId="66A89B2A" w14:textId="77777777" w:rsidTr="00FE7195">
        <w:tc>
          <w:tcPr>
            <w:tcW w:w="1570" w:type="dxa"/>
            <w:vAlign w:val="center"/>
          </w:tcPr>
          <w:p w14:paraId="22E0AA0C"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CP 3</w:t>
            </w:r>
          </w:p>
        </w:tc>
        <w:tc>
          <w:tcPr>
            <w:tcW w:w="1360" w:type="dxa"/>
            <w:vAlign w:val="center"/>
          </w:tcPr>
          <w:p w14:paraId="1FE8529F"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EFRR</w:t>
            </w:r>
          </w:p>
        </w:tc>
        <w:tc>
          <w:tcPr>
            <w:tcW w:w="1415" w:type="dxa"/>
            <w:vAlign w:val="center"/>
          </w:tcPr>
          <w:p w14:paraId="2EB66372"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Słabiej rozwiniete</w:t>
            </w:r>
          </w:p>
        </w:tc>
        <w:tc>
          <w:tcPr>
            <w:tcW w:w="1628" w:type="dxa"/>
            <w:vAlign w:val="center"/>
          </w:tcPr>
          <w:p w14:paraId="2611E368" w14:textId="77777777" w:rsidR="006C0E39" w:rsidRPr="00890249" w:rsidRDefault="006C0E39" w:rsidP="00D207AC">
            <w:pPr>
              <w:spacing w:before="0" w:after="160" w:line="259" w:lineRule="auto"/>
              <w:jc w:val="center"/>
              <w:rPr>
                <w:rFonts w:asciiTheme="minorHAnsi" w:eastAsia="Times New Roman" w:hAnsiTheme="minorHAnsi" w:cstheme="minorHAnsi"/>
                <w:b/>
                <w:iCs/>
                <w:noProof/>
                <w:sz w:val="20"/>
                <w:lang w:eastAsia="en-US" w:bidi="ar-SA"/>
              </w:rPr>
            </w:pPr>
            <w:r w:rsidRPr="00890249">
              <w:rPr>
                <w:rFonts w:asciiTheme="minorHAnsi" w:eastAsia="Times New Roman" w:hAnsiTheme="minorHAnsi" w:cstheme="minorHAnsi"/>
                <w:iCs/>
                <w:noProof/>
                <w:sz w:val="20"/>
              </w:rPr>
              <w:t>(ii)</w:t>
            </w:r>
          </w:p>
        </w:tc>
        <w:tc>
          <w:tcPr>
            <w:tcW w:w="1026" w:type="dxa"/>
            <w:shd w:val="clear" w:color="auto" w:fill="auto"/>
            <w:vAlign w:val="center"/>
          </w:tcPr>
          <w:p w14:paraId="174DE234" w14:textId="0C9A3670" w:rsidR="00B72154" w:rsidRPr="00890249" w:rsidRDefault="00B25501" w:rsidP="00890249">
            <w:pPr>
              <w:pStyle w:val="Default"/>
              <w:rPr>
                <w:rFonts w:asciiTheme="minorHAnsi" w:hAnsiTheme="minorHAnsi" w:cstheme="minorHAnsi"/>
                <w:sz w:val="20"/>
                <w:szCs w:val="20"/>
              </w:rPr>
            </w:pPr>
            <w:r>
              <w:rPr>
                <w:rFonts w:asciiTheme="minorHAnsi" w:eastAsia="Times New Roman" w:hAnsiTheme="minorHAnsi" w:cstheme="minorHAnsi"/>
                <w:iCs/>
                <w:noProof/>
                <w:sz w:val="20"/>
                <w:szCs w:val="20"/>
              </w:rPr>
              <w:t>03</w:t>
            </w:r>
            <w:r w:rsidRPr="00890249">
              <w:rPr>
                <w:rFonts w:asciiTheme="minorHAnsi" w:eastAsia="Times New Roman" w:hAnsiTheme="minorHAnsi" w:cstheme="minorHAnsi"/>
                <w:iCs/>
                <w:noProof/>
                <w:sz w:val="20"/>
                <w:szCs w:val="20"/>
              </w:rPr>
              <w:t xml:space="preserve"> </w:t>
            </w:r>
            <w:r w:rsidRPr="00890249">
              <w:rPr>
                <w:rFonts w:asciiTheme="minorHAnsi" w:hAnsiTheme="minorHAnsi" w:cstheme="minorHAnsi"/>
                <w:sz w:val="20"/>
                <w:szCs w:val="20"/>
              </w:rPr>
              <w:t xml:space="preserve">Projekty </w:t>
            </w:r>
            <w:r>
              <w:rPr>
                <w:rFonts w:asciiTheme="minorHAnsi" w:hAnsiTheme="minorHAnsi" w:cstheme="minorHAnsi"/>
                <w:sz w:val="20"/>
                <w:szCs w:val="20"/>
              </w:rPr>
              <w:t xml:space="preserve">neutralne w kwestii </w:t>
            </w:r>
            <w:r w:rsidRPr="00890249">
              <w:rPr>
                <w:rFonts w:asciiTheme="minorHAnsi" w:hAnsiTheme="minorHAnsi" w:cstheme="minorHAnsi"/>
                <w:sz w:val="20"/>
                <w:szCs w:val="20"/>
              </w:rPr>
              <w:t>równouprawnienia płci</w:t>
            </w:r>
          </w:p>
        </w:tc>
        <w:tc>
          <w:tcPr>
            <w:tcW w:w="2323" w:type="dxa"/>
            <w:shd w:val="clear" w:color="auto" w:fill="auto"/>
            <w:vAlign w:val="center"/>
          </w:tcPr>
          <w:p w14:paraId="21EB9B11" w14:textId="58B0256E" w:rsidR="006C0E39" w:rsidRPr="00890249" w:rsidRDefault="00B25501" w:rsidP="004563E1">
            <w:pPr>
              <w:spacing w:before="0" w:after="160" w:line="259" w:lineRule="auto"/>
              <w:jc w:val="right"/>
              <w:rPr>
                <w:rFonts w:asciiTheme="minorHAnsi" w:eastAsia="Times New Roman" w:hAnsiTheme="minorHAnsi" w:cstheme="minorHAnsi"/>
                <w:iCs/>
                <w:noProof/>
                <w:sz w:val="20"/>
                <w:lang w:eastAsia="en-US" w:bidi="ar-SA"/>
              </w:rPr>
            </w:pPr>
            <w:r>
              <w:rPr>
                <w:rFonts w:asciiTheme="minorHAnsi" w:eastAsia="Times New Roman" w:hAnsiTheme="minorHAnsi" w:cstheme="minorHAnsi"/>
                <w:iCs/>
                <w:noProof/>
                <w:sz w:val="20"/>
                <w:lang w:eastAsia="en-US" w:bidi="ar-SA"/>
              </w:rPr>
              <w:t>117 700</w:t>
            </w:r>
            <w:r w:rsidR="001344ED" w:rsidRPr="00890249">
              <w:rPr>
                <w:rFonts w:asciiTheme="minorHAnsi" w:eastAsia="Times New Roman" w:hAnsiTheme="minorHAnsi" w:cstheme="minorHAnsi"/>
                <w:iCs/>
                <w:noProof/>
                <w:sz w:val="20"/>
                <w:lang w:eastAsia="en-US" w:bidi="ar-SA"/>
              </w:rPr>
              <w:t xml:space="preserve"> 000</w:t>
            </w:r>
          </w:p>
        </w:tc>
      </w:tr>
    </w:tbl>
    <w:p w14:paraId="6D5578BD" w14:textId="77777777" w:rsidR="00140065" w:rsidRPr="00890249" w:rsidRDefault="00140065">
      <w:pPr>
        <w:spacing w:before="0" w:after="160" w:line="259" w:lineRule="auto"/>
        <w:jc w:val="left"/>
        <w:rPr>
          <w:rFonts w:asciiTheme="minorHAnsi" w:hAnsiTheme="minorHAnsi" w:cstheme="minorHAnsi"/>
          <w:b/>
          <w:noProof/>
        </w:rPr>
      </w:pPr>
    </w:p>
    <w:p w14:paraId="0305ECBD" w14:textId="77777777" w:rsidR="002B20E2" w:rsidRPr="00890249" w:rsidRDefault="00140065">
      <w:pPr>
        <w:spacing w:before="0" w:after="160" w:line="259" w:lineRule="auto"/>
        <w:jc w:val="left"/>
        <w:rPr>
          <w:rFonts w:asciiTheme="minorHAnsi" w:hAnsiTheme="minorHAnsi" w:cstheme="minorHAnsi"/>
          <w:b/>
          <w:noProof/>
        </w:rPr>
      </w:pPr>
      <w:r w:rsidRPr="00890249">
        <w:rPr>
          <w:rFonts w:asciiTheme="minorHAnsi" w:hAnsiTheme="minorHAnsi" w:cstheme="minorHAnsi"/>
          <w:b/>
          <w:noProof/>
        </w:rPr>
        <w:br w:type="page"/>
      </w:r>
    </w:p>
    <w:p w14:paraId="1557CEBA" w14:textId="739A8DF4" w:rsidR="004B309A" w:rsidRPr="00AC1BD0" w:rsidRDefault="004B309A" w:rsidP="00AC1BD0">
      <w:pPr>
        <w:pStyle w:val="Nagwek3"/>
        <w:rPr>
          <w:rFonts w:eastAsia="Calibri"/>
        </w:rPr>
      </w:pPr>
      <w:bookmarkStart w:id="17" w:name="_Toc188266912"/>
      <w:r w:rsidRPr="00AC1BD0">
        <w:rPr>
          <w:rFonts w:eastAsia="Calibri"/>
        </w:rPr>
        <w:lastRenderedPageBreak/>
        <w:t>2.</w:t>
      </w:r>
      <w:r w:rsidR="00E6719C" w:rsidRPr="00AC1BD0">
        <w:rPr>
          <w:rFonts w:eastAsia="Calibri"/>
        </w:rPr>
        <w:t>1.</w:t>
      </w:r>
      <w:r w:rsidR="000F1714" w:rsidRPr="00AC1BD0">
        <w:rPr>
          <w:rFonts w:eastAsia="Calibri"/>
        </w:rPr>
        <w:t xml:space="preserve">5 </w:t>
      </w:r>
      <w:r w:rsidR="004163B1" w:rsidRPr="00AC1BD0">
        <w:rPr>
          <w:rFonts w:eastAsia="Calibri"/>
        </w:rPr>
        <w:t>FUNDU</w:t>
      </w:r>
      <w:r w:rsidR="00570C57" w:rsidRPr="00AC1BD0">
        <w:rPr>
          <w:rFonts w:eastAsia="Calibri"/>
        </w:rPr>
        <w:t>SZE EUROPEJSKIE WSPIERAJĄ</w:t>
      </w:r>
      <w:r w:rsidR="004163B1" w:rsidRPr="00AC1BD0">
        <w:rPr>
          <w:rFonts w:eastAsia="Calibri"/>
        </w:rPr>
        <w:t>CE</w:t>
      </w:r>
      <w:r w:rsidR="00570C57" w:rsidRPr="00AC1BD0">
        <w:rPr>
          <w:rFonts w:eastAsia="Calibri"/>
        </w:rPr>
        <w:t xml:space="preserve"> </w:t>
      </w:r>
      <w:r w:rsidR="00B83B31" w:rsidRPr="00AC1BD0">
        <w:rPr>
          <w:rFonts w:eastAsia="Calibri"/>
        </w:rPr>
        <w:t xml:space="preserve">OPOLSKI </w:t>
      </w:r>
      <w:r w:rsidR="004163B1" w:rsidRPr="00AC1BD0">
        <w:rPr>
          <w:rFonts w:eastAsia="Calibri"/>
        </w:rPr>
        <w:t>RYNEK PRACY I EDUKACJĘ</w:t>
      </w:r>
      <w:bookmarkEnd w:id="17"/>
    </w:p>
    <w:tbl>
      <w:tblPr>
        <w:tblW w:w="9322" w:type="dxa"/>
        <w:tblLook w:val="04A0" w:firstRow="1" w:lastRow="0" w:firstColumn="1" w:lastColumn="0" w:noHBand="0" w:noVBand="1"/>
      </w:tblPr>
      <w:tblGrid>
        <w:gridCol w:w="9322"/>
      </w:tblGrid>
      <w:tr w:rsidR="00AF60F6" w:rsidRPr="00890249" w14:paraId="476265FD" w14:textId="77777777" w:rsidTr="00AF60F6">
        <w:tc>
          <w:tcPr>
            <w:tcW w:w="9322" w:type="dxa"/>
          </w:tcPr>
          <w:p w14:paraId="64A274A9" w14:textId="77777777" w:rsidR="00AF60F6" w:rsidRPr="00890249" w:rsidRDefault="00875C92" w:rsidP="00053EAE">
            <w:pPr>
              <w:pStyle w:val="Text3"/>
              <w:spacing w:before="0" w:after="0"/>
              <w:ind w:left="0"/>
              <w:jc w:val="left"/>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
                  <w:enabled/>
                  <w:calcOnExit w:val="0"/>
                  <w:checkBox>
                    <w:sizeAuto/>
                    <w:default w:val="1"/>
                  </w:checkBox>
                </w:ffData>
              </w:fldChar>
            </w:r>
            <w:r w:rsidR="00AF60F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F60F6" w:rsidRPr="00890249">
              <w:rPr>
                <w:rFonts w:asciiTheme="minorHAnsi" w:hAnsiTheme="minorHAnsi" w:cstheme="minorHAnsi"/>
                <w:noProof/>
                <w:sz w:val="20"/>
              </w:rPr>
              <w:t xml:space="preserve"> Ten priorytet dotyczy zatrudnienia ludzi młodych</w:t>
            </w:r>
          </w:p>
        </w:tc>
      </w:tr>
      <w:tr w:rsidR="00AF60F6" w:rsidRPr="00890249" w14:paraId="11F434B3" w14:textId="77777777" w:rsidTr="00AF60F6">
        <w:tc>
          <w:tcPr>
            <w:tcW w:w="9322" w:type="dxa"/>
          </w:tcPr>
          <w:p w14:paraId="24EF78A6" w14:textId="77777777" w:rsidR="00AF60F6" w:rsidRPr="00890249" w:rsidRDefault="00875C92" w:rsidP="00053EAE">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AF60F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F60F6" w:rsidRPr="00890249">
              <w:rPr>
                <w:rFonts w:asciiTheme="minorHAnsi" w:hAnsiTheme="minorHAnsi" w:cstheme="minorHAnsi"/>
                <w:noProof/>
                <w:sz w:val="20"/>
              </w:rPr>
              <w:t xml:space="preserve"> Ten priorytet dotyczy inowacyjnych działań społecznych</w:t>
            </w:r>
          </w:p>
        </w:tc>
      </w:tr>
      <w:tr w:rsidR="00AF60F6" w:rsidRPr="00890249" w14:paraId="07D0CDE6" w14:textId="77777777" w:rsidTr="00AF60F6">
        <w:tc>
          <w:tcPr>
            <w:tcW w:w="9322" w:type="dxa"/>
          </w:tcPr>
          <w:p w14:paraId="609679F0" w14:textId="77777777" w:rsidR="00AF60F6" w:rsidRPr="00890249" w:rsidRDefault="00875C92" w:rsidP="00053EAE">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AF60F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F60F6" w:rsidRPr="00890249">
              <w:rPr>
                <w:rFonts w:asciiTheme="minorHAnsi" w:hAnsiTheme="minorHAnsi" w:cstheme="minorHAnsi"/>
                <w:noProof/>
                <w:sz w:val="20"/>
              </w:rPr>
              <w:t xml:space="preserve"> Ten priorytet dotyczy wsparcia dla osób najbardziej potrzebujacych w ramach celu szczegółowego określonego w art. 4 ust. 1 lit. m) rozporządzenia w sprawie EFS+</w:t>
            </w:r>
          </w:p>
        </w:tc>
      </w:tr>
      <w:tr w:rsidR="00AF60F6" w:rsidRPr="00890249" w14:paraId="25D0E0E7" w14:textId="77777777" w:rsidTr="00AF60F6">
        <w:tc>
          <w:tcPr>
            <w:tcW w:w="9322" w:type="dxa"/>
          </w:tcPr>
          <w:p w14:paraId="70779EA2" w14:textId="77777777" w:rsidR="00AF60F6" w:rsidRPr="00890249" w:rsidRDefault="00875C92" w:rsidP="00053EAE">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AF60F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F60F6"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380DA1E4" w14:textId="77777777" w:rsidR="00AF60F6" w:rsidRPr="00890249" w:rsidRDefault="00875C92" w:rsidP="00053EAE">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AF60F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F60F6"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7E08772C" w14:textId="77777777" w:rsidR="00AF60F6" w:rsidRPr="00890249" w:rsidRDefault="00875C92" w:rsidP="00053EAE">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AF60F6"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AF60F6"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2A227BA2" w14:textId="77777777" w:rsidR="0097068C" w:rsidRPr="00890249" w:rsidRDefault="0097068C" w:rsidP="0097068C">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t>2.1.5.1 (a) Cel szczegółowy</w:t>
      </w:r>
    </w:p>
    <w:p w14:paraId="07EDBAF0" w14:textId="77777777" w:rsidR="0097068C" w:rsidRPr="00890249" w:rsidRDefault="0097068C" w:rsidP="0097068C">
      <w:pPr>
        <w:spacing w:before="240" w:after="240"/>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rPr>
        <w:t>(a)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6294ECC" w14:textId="77777777" w:rsidR="0097068C" w:rsidRPr="00890249" w:rsidRDefault="0097068C" w:rsidP="0097068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2.1.5.1.1 (a) Interwencje w ramach funduszy</w:t>
      </w:r>
    </w:p>
    <w:p w14:paraId="39C0B822" w14:textId="77777777"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55A64846" w14:textId="192277A4"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Pomimo niekorzystnych zjawisk społeczno-ekonomicznych w Polsce i na świecie, sytuacja na regionalnym rynku pracy jest stabilna. Niemniej jednak trzeba mieć na uwadze nasilenie się negatywnych czynników, które potencjalnie mogą doprowadzić do załamania gospodarczego. Problemem w woj. staje się wewnątrzregionalne zróżnicowanie stopy bezrobocia oraz sytuacja niektórych grup szczególnie narażonych na negatywne zjawi</w:t>
      </w:r>
      <w:r w:rsidR="00DC39F0">
        <w:rPr>
          <w:rFonts w:asciiTheme="minorHAnsi" w:hAnsiTheme="minorHAnsi" w:cstheme="minorHAnsi"/>
          <w:sz w:val="22"/>
          <w:szCs w:val="22"/>
        </w:rPr>
        <w:t>ska wpływające na znalezienie i </w:t>
      </w:r>
      <w:r w:rsidRPr="00890249">
        <w:rPr>
          <w:rFonts w:asciiTheme="minorHAnsi" w:hAnsiTheme="minorHAnsi" w:cstheme="minorHAnsi"/>
          <w:sz w:val="22"/>
          <w:szCs w:val="22"/>
        </w:rPr>
        <w:t xml:space="preserve">utrzymanie zatrudnienia. </w:t>
      </w:r>
    </w:p>
    <w:p w14:paraId="26E42CB4" w14:textId="24946176" w:rsidR="0093433C" w:rsidRPr="00890249" w:rsidRDefault="7536A813"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tym kontekście grupami traktowanymi priorytetowo powinny być m.in. osoby młode z</w:t>
      </w:r>
      <w:r w:rsidR="0CFD55F3" w:rsidRPr="00890249">
        <w:rPr>
          <w:rFonts w:asciiTheme="minorHAnsi" w:hAnsiTheme="minorHAnsi" w:cstheme="minorHAnsi"/>
          <w:sz w:val="22"/>
          <w:szCs w:val="22"/>
        </w:rPr>
        <w:t> </w:t>
      </w:r>
      <w:r w:rsidRPr="00890249">
        <w:rPr>
          <w:rFonts w:asciiTheme="minorHAnsi" w:hAnsiTheme="minorHAnsi" w:cstheme="minorHAnsi"/>
          <w:sz w:val="22"/>
          <w:szCs w:val="22"/>
        </w:rPr>
        <w:t>kwalifikacjami często niedopasowanymi do wymagań rynku pracy. W przypadku osób młodych sytuację dodatkowo pogarsza każdorazowy spadek koniunktury, w tym aktualny</w:t>
      </w:r>
      <w:r w:rsidR="3227EC02" w:rsidRPr="00890249">
        <w:rPr>
          <w:rFonts w:asciiTheme="minorHAnsi" w:hAnsiTheme="minorHAnsi" w:cstheme="minorHAnsi"/>
          <w:sz w:val="22"/>
          <w:szCs w:val="22"/>
        </w:rPr>
        <w:t>,</w:t>
      </w:r>
      <w:r w:rsidRPr="00890249">
        <w:rPr>
          <w:rFonts w:asciiTheme="minorHAnsi" w:hAnsiTheme="minorHAnsi" w:cstheme="minorHAnsi"/>
          <w:sz w:val="22"/>
          <w:szCs w:val="22"/>
        </w:rPr>
        <w:t xml:space="preserve"> wywołany pandemią COVID-19. W swoim najnowszym raporcie Monitor</w:t>
      </w:r>
      <w:r w:rsidR="24824897" w:rsidRPr="00890249">
        <w:rPr>
          <w:rFonts w:asciiTheme="minorHAnsi" w:hAnsiTheme="minorHAnsi" w:cstheme="minorHAnsi"/>
          <w:sz w:val="22"/>
          <w:szCs w:val="22"/>
        </w:rPr>
        <w:t xml:space="preserve"> </w:t>
      </w:r>
      <w:r w:rsidR="1FA06C45" w:rsidRPr="00890249">
        <w:rPr>
          <w:rFonts w:asciiTheme="minorHAnsi" w:hAnsiTheme="minorHAnsi" w:cstheme="minorHAnsi"/>
          <w:sz w:val="22"/>
          <w:szCs w:val="22"/>
        </w:rPr>
        <w:t xml:space="preserve">International Labour Organization </w:t>
      </w:r>
      <w:r w:rsidRPr="00890249">
        <w:rPr>
          <w:rFonts w:asciiTheme="minorHAnsi" w:hAnsiTheme="minorHAnsi" w:cstheme="minorHAnsi"/>
          <w:sz w:val="22"/>
          <w:szCs w:val="22"/>
        </w:rPr>
        <w:t xml:space="preserve">argumentuje, że COVID-19 będzie miał </w:t>
      </w:r>
      <w:r w:rsidR="2019AA42" w:rsidRPr="00890249">
        <w:rPr>
          <w:rFonts w:asciiTheme="minorHAnsi" w:hAnsiTheme="minorHAnsi" w:cstheme="minorHAnsi"/>
          <w:sz w:val="22"/>
          <w:szCs w:val="22"/>
        </w:rPr>
        <w:t>„</w:t>
      </w:r>
      <w:r w:rsidRPr="00890249">
        <w:rPr>
          <w:rFonts w:asciiTheme="minorHAnsi" w:hAnsiTheme="minorHAnsi" w:cstheme="minorHAnsi"/>
          <w:sz w:val="22"/>
          <w:szCs w:val="22"/>
        </w:rPr>
        <w:t>niszczący i nieproporcjonalny” wpływ na perspektywy zawodowe młodych osób</w:t>
      </w:r>
      <w:r w:rsidR="0075505C" w:rsidRPr="00890249">
        <w:rPr>
          <w:rStyle w:val="Odwoanieprzypisudolnego"/>
          <w:rFonts w:asciiTheme="minorHAnsi" w:hAnsiTheme="minorHAnsi" w:cstheme="minorHAnsi"/>
          <w:sz w:val="22"/>
          <w:szCs w:val="22"/>
        </w:rPr>
        <w:footnoteReference w:id="157"/>
      </w:r>
      <w:r w:rsidRPr="00890249">
        <w:rPr>
          <w:rFonts w:asciiTheme="minorHAnsi" w:hAnsiTheme="minorHAnsi" w:cstheme="minorHAnsi"/>
          <w:sz w:val="22"/>
          <w:szCs w:val="22"/>
        </w:rPr>
        <w:t xml:space="preserve">. Pokolenie osób poniżej </w:t>
      </w:r>
      <w:r w:rsidR="672DF083" w:rsidRPr="00890249">
        <w:rPr>
          <w:rFonts w:asciiTheme="minorHAnsi" w:hAnsiTheme="minorHAnsi" w:cstheme="minorHAnsi"/>
          <w:sz w:val="22"/>
          <w:szCs w:val="22"/>
        </w:rPr>
        <w:t>30</w:t>
      </w:r>
      <w:r w:rsidRPr="00890249">
        <w:rPr>
          <w:rFonts w:asciiTheme="minorHAnsi" w:hAnsiTheme="minorHAnsi" w:cstheme="minorHAnsi"/>
          <w:sz w:val="22"/>
          <w:szCs w:val="22"/>
        </w:rPr>
        <w:t xml:space="preserve"> roku życia jest w obecnej sytuacji narażone na potrójny szok na rynku pracy. Po pierwsze, osobom w tym wieku częściej grozi utrata pracy</w:t>
      </w:r>
      <w:r w:rsidR="37C70634" w:rsidRPr="00890249">
        <w:rPr>
          <w:rFonts w:asciiTheme="minorHAnsi" w:hAnsiTheme="minorHAnsi" w:cstheme="minorHAnsi"/>
          <w:sz w:val="22"/>
          <w:szCs w:val="22"/>
        </w:rPr>
        <w:t>,</w:t>
      </w:r>
      <w:r w:rsidRPr="00890249">
        <w:rPr>
          <w:rFonts w:asciiTheme="minorHAnsi" w:hAnsiTheme="minorHAnsi" w:cstheme="minorHAnsi"/>
          <w:sz w:val="22"/>
          <w:szCs w:val="22"/>
        </w:rPr>
        <w:t xml:space="preserve"> niż reszcie ludności aktywnej zawodowo. Po drugie, istnieje większe prawdopodobieństwo doznania przez nich zakłóceń w edukacji lub przerwania szkoleń zawodowych. Po trzecie, gorsza koniunktura oznacza, że młodzi napotkają na większe bariery przy wejściu na rynek pracy spowodowane mniejszym popytem ze strony pracodaw</w:t>
      </w:r>
      <w:r w:rsidR="6F749D3C" w:rsidRPr="00890249">
        <w:rPr>
          <w:rFonts w:asciiTheme="minorHAnsi" w:hAnsiTheme="minorHAnsi" w:cstheme="minorHAnsi"/>
          <w:sz w:val="22"/>
          <w:szCs w:val="22"/>
        </w:rPr>
        <w:t>ców</w:t>
      </w:r>
      <w:r w:rsidRPr="00890249">
        <w:rPr>
          <w:rFonts w:asciiTheme="minorHAnsi" w:hAnsiTheme="minorHAnsi" w:cstheme="minorHAnsi"/>
          <w:sz w:val="22"/>
          <w:szCs w:val="22"/>
        </w:rPr>
        <w:t>. Utrata zatrudnienia przez osoby młode związana jest</w:t>
      </w:r>
      <w:r w:rsidR="37C70634" w:rsidRPr="00890249">
        <w:rPr>
          <w:rFonts w:asciiTheme="minorHAnsi" w:hAnsiTheme="minorHAnsi" w:cstheme="minorHAnsi"/>
          <w:sz w:val="22"/>
          <w:szCs w:val="22"/>
        </w:rPr>
        <w:t xml:space="preserve"> często </w:t>
      </w:r>
      <w:r w:rsidRPr="00890249">
        <w:rPr>
          <w:rFonts w:asciiTheme="minorHAnsi" w:hAnsiTheme="minorHAnsi" w:cstheme="minorHAnsi"/>
          <w:sz w:val="22"/>
          <w:szCs w:val="22"/>
        </w:rPr>
        <w:t>z ich relatywnie krótkim stażem pracy</w:t>
      </w:r>
      <w:r w:rsidR="3227EC02" w:rsidRPr="00890249">
        <w:rPr>
          <w:rFonts w:asciiTheme="minorHAnsi" w:hAnsiTheme="minorHAnsi" w:cstheme="minorHAnsi"/>
          <w:sz w:val="22"/>
          <w:szCs w:val="22"/>
        </w:rPr>
        <w:t xml:space="preserve">, </w:t>
      </w:r>
      <w:r w:rsidRPr="00890249">
        <w:rPr>
          <w:rFonts w:asciiTheme="minorHAnsi" w:hAnsiTheme="minorHAnsi" w:cstheme="minorHAnsi"/>
          <w:sz w:val="22"/>
          <w:szCs w:val="22"/>
        </w:rPr>
        <w:t>a co za tym</w:t>
      </w:r>
      <w:r w:rsidR="3227EC02" w:rsidRPr="00890249">
        <w:rPr>
          <w:rFonts w:asciiTheme="minorHAnsi" w:hAnsiTheme="minorHAnsi" w:cstheme="minorHAnsi"/>
          <w:sz w:val="22"/>
          <w:szCs w:val="22"/>
        </w:rPr>
        <w:t xml:space="preserve"> idzie doświadczeniem zawodowym</w:t>
      </w:r>
      <w:r w:rsidR="502EC946" w:rsidRPr="00890249">
        <w:rPr>
          <w:rFonts w:asciiTheme="minorHAnsi" w:hAnsiTheme="minorHAnsi" w:cstheme="minorHAnsi"/>
          <w:sz w:val="22"/>
          <w:szCs w:val="22"/>
        </w:rPr>
        <w:t>. Z </w:t>
      </w:r>
      <w:r w:rsidRPr="00890249">
        <w:rPr>
          <w:rFonts w:asciiTheme="minorHAnsi" w:hAnsiTheme="minorHAnsi" w:cstheme="minorHAnsi"/>
          <w:sz w:val="22"/>
          <w:szCs w:val="22"/>
        </w:rPr>
        <w:t xml:space="preserve">założenia w pierwszej kolejności zwalniane są osoby, które są najluźniej związane z podmiotem gospodarczym oraz te, których </w:t>
      </w:r>
      <w:r w:rsidR="37C70634" w:rsidRPr="00890249">
        <w:rPr>
          <w:rFonts w:asciiTheme="minorHAnsi" w:hAnsiTheme="minorHAnsi" w:cstheme="minorHAnsi"/>
          <w:sz w:val="22"/>
          <w:szCs w:val="22"/>
        </w:rPr>
        <w:t xml:space="preserve">forma </w:t>
      </w:r>
      <w:r w:rsidRPr="00890249">
        <w:rPr>
          <w:rFonts w:asciiTheme="minorHAnsi" w:hAnsiTheme="minorHAnsi" w:cstheme="minorHAnsi"/>
          <w:sz w:val="22"/>
          <w:szCs w:val="22"/>
        </w:rPr>
        <w:t>umow</w:t>
      </w:r>
      <w:r w:rsidR="37C70634" w:rsidRPr="00890249">
        <w:rPr>
          <w:rFonts w:asciiTheme="minorHAnsi" w:hAnsiTheme="minorHAnsi" w:cstheme="minorHAnsi"/>
          <w:sz w:val="22"/>
          <w:szCs w:val="22"/>
        </w:rPr>
        <w:t>y</w:t>
      </w:r>
      <w:r w:rsidRPr="00890249">
        <w:rPr>
          <w:rFonts w:asciiTheme="minorHAnsi" w:hAnsiTheme="minorHAnsi" w:cstheme="minorHAnsi"/>
          <w:sz w:val="22"/>
          <w:szCs w:val="22"/>
        </w:rPr>
        <w:t xml:space="preserve"> świadczenia prac</w:t>
      </w:r>
      <w:r w:rsidR="37C70634" w:rsidRPr="00890249">
        <w:rPr>
          <w:rFonts w:asciiTheme="minorHAnsi" w:hAnsiTheme="minorHAnsi" w:cstheme="minorHAnsi"/>
          <w:sz w:val="22"/>
          <w:szCs w:val="22"/>
        </w:rPr>
        <w:t>y</w:t>
      </w:r>
      <w:r w:rsidR="502EC946" w:rsidRPr="00890249">
        <w:rPr>
          <w:rFonts w:asciiTheme="minorHAnsi" w:hAnsiTheme="minorHAnsi" w:cstheme="minorHAnsi"/>
          <w:sz w:val="22"/>
          <w:szCs w:val="22"/>
        </w:rPr>
        <w:t xml:space="preserve"> pozwala rozwiązać relację z </w:t>
      </w:r>
      <w:r w:rsidRPr="00890249">
        <w:rPr>
          <w:rFonts w:asciiTheme="minorHAnsi" w:hAnsiTheme="minorHAnsi" w:cstheme="minorHAnsi"/>
          <w:sz w:val="22"/>
          <w:szCs w:val="22"/>
        </w:rPr>
        <w:t>praco</w:t>
      </w:r>
      <w:r w:rsidR="39F523A4" w:rsidRPr="00890249">
        <w:rPr>
          <w:rFonts w:asciiTheme="minorHAnsi" w:hAnsiTheme="minorHAnsi" w:cstheme="minorHAnsi"/>
          <w:sz w:val="22"/>
          <w:szCs w:val="22"/>
        </w:rPr>
        <w:t>wnikiem w najkrótszym czasie. W </w:t>
      </w:r>
      <w:r w:rsidRPr="00890249">
        <w:rPr>
          <w:rFonts w:asciiTheme="minorHAnsi" w:hAnsiTheme="minorHAnsi" w:cstheme="minorHAnsi"/>
          <w:sz w:val="22"/>
          <w:szCs w:val="22"/>
        </w:rPr>
        <w:t>przypadku osób młodych następuje współwystępowanie ob</w:t>
      </w:r>
      <w:r w:rsidR="6F749D3C" w:rsidRPr="00890249">
        <w:rPr>
          <w:rFonts w:asciiTheme="minorHAnsi" w:hAnsiTheme="minorHAnsi" w:cstheme="minorHAnsi"/>
          <w:sz w:val="22"/>
          <w:szCs w:val="22"/>
        </w:rPr>
        <w:t>ydw</w:t>
      </w:r>
      <w:r w:rsidRPr="00890249">
        <w:rPr>
          <w:rFonts w:asciiTheme="minorHAnsi" w:hAnsiTheme="minorHAnsi" w:cstheme="minorHAnsi"/>
          <w:sz w:val="22"/>
          <w:szCs w:val="22"/>
        </w:rPr>
        <w:t>u czynników.</w:t>
      </w:r>
      <w:r w:rsidR="2DEFDF17" w:rsidRPr="00890249">
        <w:rPr>
          <w:rFonts w:asciiTheme="minorHAnsi" w:hAnsiTheme="minorHAnsi" w:cstheme="minorHAnsi"/>
          <w:sz w:val="22"/>
          <w:szCs w:val="22"/>
        </w:rPr>
        <w:t xml:space="preserve"> Mając na uwadze powyższe w ramach FEO 2021-2027, wdrażana będzie Gwarancja dla Młodzieży. Inicjatywa ta pierwotnie skierowana do młodzieży NEET</w:t>
      </w:r>
      <w:r w:rsidR="15EA5322" w:rsidRPr="00890249">
        <w:rPr>
          <w:rFonts w:asciiTheme="minorHAnsi" w:hAnsiTheme="minorHAnsi" w:cstheme="minorHAnsi"/>
          <w:sz w:val="22"/>
          <w:szCs w:val="22"/>
        </w:rPr>
        <w:t xml:space="preserve">, </w:t>
      </w:r>
      <w:r w:rsidR="2DEFDF17" w:rsidRPr="00890249">
        <w:rPr>
          <w:rFonts w:asciiTheme="minorHAnsi" w:hAnsiTheme="minorHAnsi" w:cstheme="minorHAnsi"/>
          <w:sz w:val="22"/>
          <w:szCs w:val="22"/>
        </w:rPr>
        <w:t>w październiku 2020</w:t>
      </w:r>
      <w:r w:rsidR="15EA5322" w:rsidRPr="00890249">
        <w:rPr>
          <w:rFonts w:asciiTheme="minorHAnsi" w:hAnsiTheme="minorHAnsi" w:cstheme="minorHAnsi"/>
          <w:sz w:val="22"/>
          <w:szCs w:val="22"/>
        </w:rPr>
        <w:t xml:space="preserve">, decyzją Rady UE została rozszerzona o wszystkie osoby młode do 30 r.ż. Zgodnie z jej ideą zakłada się, że wszystkie osoby w tym wieku otrzymają dobrej jakości ofertę: zatrudnienia, kształcenia ustawicznego, przygotowania zawodowego, </w:t>
      </w:r>
      <w:r w:rsidR="00942644" w:rsidRPr="00890249">
        <w:rPr>
          <w:rFonts w:asciiTheme="minorHAnsi" w:hAnsiTheme="minorHAnsi" w:cstheme="minorHAnsi"/>
          <w:sz w:val="22"/>
          <w:szCs w:val="22"/>
        </w:rPr>
        <w:t xml:space="preserve">czy </w:t>
      </w:r>
      <w:r w:rsidR="15EA5322" w:rsidRPr="00890249">
        <w:rPr>
          <w:rFonts w:asciiTheme="minorHAnsi" w:hAnsiTheme="minorHAnsi" w:cstheme="minorHAnsi"/>
          <w:sz w:val="22"/>
          <w:szCs w:val="22"/>
        </w:rPr>
        <w:t>stażu w ciągu czterech miesięcy od utraty pracy lub zakończenia kształcenia.</w:t>
      </w:r>
      <w:r w:rsidR="5554CA20" w:rsidRPr="00890249">
        <w:rPr>
          <w:rFonts w:asciiTheme="minorHAnsi" w:hAnsiTheme="minorHAnsi" w:cstheme="minorHAnsi"/>
          <w:sz w:val="22"/>
          <w:szCs w:val="22"/>
        </w:rPr>
        <w:t xml:space="preserve"> W odniesieniu do stażu </w:t>
      </w:r>
      <w:r w:rsidR="5554CA20" w:rsidRPr="00890249">
        <w:rPr>
          <w:rFonts w:asciiTheme="minorHAnsi" w:hAnsiTheme="minorHAnsi" w:cstheme="minorHAnsi"/>
          <w:sz w:val="22"/>
          <w:szCs w:val="22"/>
        </w:rPr>
        <w:lastRenderedPageBreak/>
        <w:t xml:space="preserve">zakłada się możliwość zwiększenia </w:t>
      </w:r>
      <w:r w:rsidR="4351B904" w:rsidRPr="00890249">
        <w:rPr>
          <w:rFonts w:asciiTheme="minorHAnsi" w:hAnsiTheme="minorHAnsi" w:cstheme="minorHAnsi"/>
          <w:sz w:val="22"/>
          <w:szCs w:val="22"/>
        </w:rPr>
        <w:t xml:space="preserve">kwoty </w:t>
      </w:r>
      <w:r w:rsidR="5554CA20" w:rsidRPr="00890249">
        <w:rPr>
          <w:rFonts w:asciiTheme="minorHAnsi" w:hAnsiTheme="minorHAnsi" w:cstheme="minorHAnsi"/>
          <w:sz w:val="22"/>
          <w:szCs w:val="22"/>
        </w:rPr>
        <w:t xml:space="preserve">stypendium przez podmiot przyjmujący na staż. </w:t>
      </w:r>
      <w:r w:rsidR="2058433A" w:rsidRPr="00890249">
        <w:rPr>
          <w:rFonts w:asciiTheme="minorHAnsi" w:hAnsiTheme="minorHAnsi" w:cstheme="minorHAnsi"/>
          <w:sz w:val="22"/>
          <w:szCs w:val="22"/>
        </w:rPr>
        <w:t>Ponadto analizy wskazują, że osoby młode powinny być aktywizowane również w oparciu o inne, sprawdzone instrumenty rynku pracy, w tym: dotacje na podjęcie działalności gospodarczej, bon na zatrudnienie oraz bon na zasiedlenie. W przypadku projektów OHP polecanym narzędziem aktywizacji jest stree</w:t>
      </w:r>
      <w:r w:rsidR="009B75F2" w:rsidRPr="00890249">
        <w:rPr>
          <w:rFonts w:asciiTheme="minorHAnsi" w:hAnsiTheme="minorHAnsi" w:cstheme="minorHAnsi"/>
          <w:sz w:val="22"/>
          <w:szCs w:val="22"/>
        </w:rPr>
        <w:t>t</w:t>
      </w:r>
      <w:r w:rsidR="2058433A" w:rsidRPr="00890249">
        <w:rPr>
          <w:rFonts w:asciiTheme="minorHAnsi" w:hAnsiTheme="minorHAnsi" w:cstheme="minorHAnsi"/>
          <w:sz w:val="22"/>
          <w:szCs w:val="22"/>
        </w:rPr>
        <w:t>working</w:t>
      </w:r>
      <w:r w:rsidR="00DC0472" w:rsidRPr="00890249">
        <w:rPr>
          <w:rStyle w:val="Odwoanieprzypisudolnego"/>
          <w:rFonts w:asciiTheme="minorHAnsi" w:hAnsiTheme="minorHAnsi" w:cstheme="minorHAnsi"/>
          <w:sz w:val="22"/>
          <w:szCs w:val="22"/>
        </w:rPr>
        <w:footnoteReference w:id="158"/>
      </w:r>
      <w:r w:rsidR="2058433A" w:rsidRPr="00890249">
        <w:rPr>
          <w:rFonts w:asciiTheme="minorHAnsi" w:hAnsiTheme="minorHAnsi" w:cstheme="minorHAnsi"/>
          <w:sz w:val="22"/>
          <w:szCs w:val="22"/>
        </w:rPr>
        <w:t xml:space="preserve">. </w:t>
      </w:r>
    </w:p>
    <w:p w14:paraId="2EF2D09D" w14:textId="5DA2188F" w:rsidR="0093433C" w:rsidRPr="00890249" w:rsidRDefault="006D5146"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Duży udział bezrobotnych nisko wykształconych, bez zawodu i bez doświadczenia zawodowego jest słabą stroną regionalnego rynku pracy. Osoby takie, rozpatrując ich szansę znalezienia pracy, znajdują się na przegranej pozycji – poziom posiadanych kwalifikacji lub ich brak nie odpowiada </w:t>
      </w:r>
      <w:r w:rsidR="00CA20BC" w:rsidRPr="00890249">
        <w:rPr>
          <w:rFonts w:asciiTheme="minorHAnsi" w:hAnsiTheme="minorHAnsi" w:cstheme="minorHAnsi"/>
          <w:sz w:val="22"/>
          <w:szCs w:val="22"/>
        </w:rPr>
        <w:t>z</w:t>
      </w:r>
      <w:r w:rsidRPr="00890249">
        <w:rPr>
          <w:rFonts w:asciiTheme="minorHAnsi" w:hAnsiTheme="minorHAnsi" w:cstheme="minorHAnsi"/>
          <w:sz w:val="22"/>
          <w:szCs w:val="22"/>
        </w:rPr>
        <w:t xml:space="preserve">apotrzebowaniu pracodawców. Ponadto, jak wykazują badania np. BAEL, osoby takie charakteryzują się dużą biernością zawodową, częściej korzystają </w:t>
      </w:r>
      <w:r w:rsidR="007428CB" w:rsidRPr="00890249">
        <w:rPr>
          <w:rFonts w:asciiTheme="minorHAnsi" w:hAnsiTheme="minorHAnsi" w:cstheme="minorHAnsi"/>
          <w:sz w:val="22"/>
          <w:szCs w:val="22"/>
        </w:rPr>
        <w:t xml:space="preserve">też </w:t>
      </w:r>
      <w:r w:rsidRPr="00890249">
        <w:rPr>
          <w:rFonts w:asciiTheme="minorHAnsi" w:hAnsiTheme="minorHAnsi" w:cstheme="minorHAnsi"/>
          <w:sz w:val="22"/>
          <w:szCs w:val="22"/>
        </w:rPr>
        <w:t>ze świadczeń opieki społec</w:t>
      </w:r>
      <w:r w:rsidR="001E4C92" w:rsidRPr="00890249">
        <w:rPr>
          <w:rFonts w:asciiTheme="minorHAnsi" w:hAnsiTheme="minorHAnsi" w:cstheme="minorHAnsi"/>
          <w:sz w:val="22"/>
          <w:szCs w:val="22"/>
        </w:rPr>
        <w:t>znej oraz zasilają szarą strefę</w:t>
      </w:r>
      <w:r w:rsidRPr="00890249">
        <w:rPr>
          <w:rFonts w:asciiTheme="minorHAnsi" w:hAnsiTheme="minorHAnsi" w:cstheme="minorHAnsi"/>
          <w:sz w:val="22"/>
          <w:szCs w:val="22"/>
        </w:rPr>
        <w:t>.</w:t>
      </w:r>
      <w:r w:rsidR="00DC0472" w:rsidRPr="00890249">
        <w:rPr>
          <w:rFonts w:asciiTheme="minorHAnsi" w:hAnsiTheme="minorHAnsi" w:cstheme="minorHAnsi"/>
          <w:sz w:val="22"/>
          <w:szCs w:val="22"/>
        </w:rPr>
        <w:t xml:space="preserve"> W tym przypadku dodatkowym czynnikiem negatywnym jest długotrwałe bezrobocie. </w:t>
      </w:r>
      <w:r w:rsidR="005517CA" w:rsidRPr="00890249">
        <w:rPr>
          <w:rFonts w:asciiTheme="minorHAnsi" w:hAnsiTheme="minorHAnsi" w:cstheme="minorHAnsi"/>
          <w:sz w:val="22"/>
          <w:szCs w:val="22"/>
        </w:rPr>
        <w:t>Planuje się, aby o</w:t>
      </w:r>
      <w:r w:rsidR="00C44664" w:rsidRPr="00890249">
        <w:rPr>
          <w:rFonts w:asciiTheme="minorHAnsi" w:hAnsiTheme="minorHAnsi" w:cstheme="minorHAnsi"/>
          <w:sz w:val="22"/>
          <w:szCs w:val="22"/>
        </w:rPr>
        <w:t xml:space="preserve">soby z tej grupy, indywidualnie, w zależności </w:t>
      </w:r>
      <w:r w:rsidR="00942644" w:rsidRPr="00890249">
        <w:rPr>
          <w:rFonts w:asciiTheme="minorHAnsi" w:hAnsiTheme="minorHAnsi" w:cstheme="minorHAnsi"/>
          <w:sz w:val="22"/>
          <w:szCs w:val="22"/>
        </w:rPr>
        <w:t>od</w:t>
      </w:r>
      <w:r w:rsidR="005517CA" w:rsidRPr="00890249">
        <w:rPr>
          <w:rFonts w:asciiTheme="minorHAnsi" w:hAnsiTheme="minorHAnsi" w:cstheme="minorHAnsi"/>
          <w:sz w:val="22"/>
          <w:szCs w:val="22"/>
        </w:rPr>
        <w:t xml:space="preserve"> potrzeb miały możliwość skorzystania, oprócz usługi doradcy zawodowego, z pomocy psychologa i wsparcia z zakresu rozwijania kompetencji społecznych. </w:t>
      </w:r>
    </w:p>
    <w:p w14:paraId="2B902D6E" w14:textId="0757DF26" w:rsidR="0093433C" w:rsidRPr="00890249" w:rsidRDefault="00A90111" w:rsidP="00890249">
      <w:pPr>
        <w:pStyle w:val="Tekstpodstawowy"/>
        <w:rPr>
          <w:rFonts w:asciiTheme="minorHAnsi" w:hAnsiTheme="minorHAnsi" w:cstheme="minorHAnsi"/>
          <w:sz w:val="22"/>
          <w:szCs w:val="22"/>
        </w:rPr>
      </w:pPr>
      <w:r w:rsidRPr="00890249">
        <w:rPr>
          <w:rFonts w:asciiTheme="minorHAnsi" w:hAnsiTheme="minorHAnsi" w:cstheme="minorHAnsi"/>
          <w:color w:val="000000"/>
          <w:sz w:val="22"/>
          <w:szCs w:val="22"/>
        </w:rPr>
        <w:t xml:space="preserve">Z kolei </w:t>
      </w:r>
      <w:r w:rsidRPr="00890249">
        <w:rPr>
          <w:rFonts w:asciiTheme="minorHAnsi" w:hAnsiTheme="minorHAnsi" w:cstheme="minorHAnsi"/>
          <w:sz w:val="22"/>
          <w:szCs w:val="22"/>
          <w:lang w:eastAsia="en-US" w:bidi="ar-SA"/>
        </w:rPr>
        <w:t>r</w:t>
      </w:r>
      <w:r w:rsidR="00B2627E" w:rsidRPr="00890249">
        <w:rPr>
          <w:rFonts w:asciiTheme="minorHAnsi" w:hAnsiTheme="minorHAnsi" w:cstheme="minorHAnsi"/>
          <w:sz w:val="22"/>
          <w:szCs w:val="22"/>
          <w:lang w:eastAsia="en-US" w:bidi="ar-SA"/>
        </w:rPr>
        <w:t>osnący udział w</w:t>
      </w:r>
      <w:r w:rsidRPr="00890249">
        <w:rPr>
          <w:rFonts w:asciiTheme="minorHAnsi" w:hAnsiTheme="minorHAnsi" w:cstheme="minorHAnsi"/>
          <w:sz w:val="22"/>
          <w:szCs w:val="22"/>
          <w:lang w:eastAsia="en-US" w:bidi="ar-SA"/>
        </w:rPr>
        <w:t> </w:t>
      </w:r>
      <w:r w:rsidR="00B2627E" w:rsidRPr="00890249">
        <w:rPr>
          <w:rFonts w:asciiTheme="minorHAnsi" w:hAnsiTheme="minorHAnsi" w:cstheme="minorHAnsi"/>
          <w:sz w:val="22"/>
          <w:szCs w:val="22"/>
          <w:lang w:eastAsia="en-US" w:bidi="ar-SA"/>
        </w:rPr>
        <w:t>społeczeństwie osób starszych, ich pogarszająca się sytuacja na rynku pracy</w:t>
      </w:r>
      <w:r w:rsidR="00A8599B" w:rsidRPr="00890249">
        <w:rPr>
          <w:rFonts w:asciiTheme="minorHAnsi" w:hAnsiTheme="minorHAnsi" w:cstheme="minorHAnsi"/>
          <w:sz w:val="22"/>
          <w:szCs w:val="22"/>
          <w:lang w:eastAsia="en-US" w:bidi="ar-SA"/>
        </w:rPr>
        <w:t xml:space="preserve"> </w:t>
      </w:r>
      <w:r w:rsidR="00B2627E" w:rsidRPr="00890249">
        <w:rPr>
          <w:rFonts w:asciiTheme="minorHAnsi" w:hAnsiTheme="minorHAnsi" w:cstheme="minorHAnsi"/>
          <w:sz w:val="22"/>
          <w:szCs w:val="22"/>
          <w:lang w:eastAsia="en-US" w:bidi="ar-SA"/>
        </w:rPr>
        <w:t xml:space="preserve">związana z pandemią </w:t>
      </w:r>
      <w:r w:rsidR="00DC3E89" w:rsidRPr="00890249">
        <w:rPr>
          <w:rFonts w:asciiTheme="minorHAnsi" w:hAnsiTheme="minorHAnsi" w:cstheme="minorHAnsi"/>
          <w:sz w:val="22"/>
          <w:szCs w:val="22"/>
          <w:lang w:eastAsia="en-US" w:bidi="ar-SA"/>
        </w:rPr>
        <w:t xml:space="preserve">COVID-19 </w:t>
      </w:r>
      <w:r w:rsidR="00B2627E" w:rsidRPr="00890249">
        <w:rPr>
          <w:rFonts w:asciiTheme="minorHAnsi" w:hAnsiTheme="minorHAnsi" w:cstheme="minorHAnsi"/>
          <w:sz w:val="22"/>
          <w:szCs w:val="22"/>
          <w:lang w:eastAsia="en-US" w:bidi="ar-SA"/>
        </w:rPr>
        <w:t>(praco</w:t>
      </w:r>
      <w:r w:rsidR="00CC1C1B" w:rsidRPr="00890249">
        <w:rPr>
          <w:rFonts w:asciiTheme="minorHAnsi" w:hAnsiTheme="minorHAnsi" w:cstheme="minorHAnsi"/>
          <w:sz w:val="22"/>
          <w:szCs w:val="22"/>
          <w:lang w:eastAsia="en-US" w:bidi="ar-SA"/>
        </w:rPr>
        <w:t>dawcy</w:t>
      </w:r>
      <w:r w:rsidR="00B2627E" w:rsidRPr="00890249">
        <w:rPr>
          <w:rFonts w:asciiTheme="minorHAnsi" w:hAnsiTheme="minorHAnsi" w:cstheme="minorHAnsi"/>
          <w:sz w:val="22"/>
          <w:szCs w:val="22"/>
          <w:lang w:eastAsia="en-US" w:bidi="ar-SA"/>
        </w:rPr>
        <w:t xml:space="preserve"> często w pierwszej kolejności starają się zwolnić osoby 50+) </w:t>
      </w:r>
      <w:r w:rsidR="00DE6CD0" w:rsidRPr="00890249">
        <w:rPr>
          <w:rFonts w:asciiTheme="minorHAnsi" w:hAnsiTheme="minorHAnsi" w:cstheme="minorHAnsi"/>
          <w:sz w:val="22"/>
          <w:szCs w:val="22"/>
          <w:lang w:eastAsia="en-US" w:bidi="ar-SA"/>
        </w:rPr>
        <w:t>sprawiają, że wyzwaniem staje się aktywizacja zawodowa tej grupy, w tym zwłaszcza podnoszenie kwalifikacji cyfrowych. Zgodnie z raportem OECD</w:t>
      </w:r>
      <w:r w:rsidR="00A8599B" w:rsidRPr="00890249">
        <w:rPr>
          <w:rFonts w:asciiTheme="minorHAnsi" w:hAnsiTheme="minorHAnsi" w:cstheme="minorHAnsi"/>
          <w:sz w:val="22"/>
          <w:szCs w:val="22"/>
          <w:lang w:eastAsia="en-US" w:bidi="ar-SA"/>
        </w:rPr>
        <w:t xml:space="preserve"> </w:t>
      </w:r>
      <w:r w:rsidR="00A87EFD" w:rsidRPr="00890249">
        <w:rPr>
          <w:rFonts w:asciiTheme="minorHAnsi" w:hAnsiTheme="minorHAnsi" w:cstheme="minorHAnsi"/>
          <w:sz w:val="22"/>
          <w:szCs w:val="22"/>
        </w:rPr>
        <w:t>blisko 20% stanow</w:t>
      </w:r>
      <w:r w:rsidR="00E03FED" w:rsidRPr="00890249">
        <w:rPr>
          <w:rFonts w:asciiTheme="minorHAnsi" w:hAnsiTheme="minorHAnsi" w:cstheme="minorHAnsi"/>
          <w:sz w:val="22"/>
          <w:szCs w:val="22"/>
        </w:rPr>
        <w:t>isk, które dziś zajmują osoby w </w:t>
      </w:r>
      <w:r w:rsidR="00A87EFD" w:rsidRPr="00890249">
        <w:rPr>
          <w:rFonts w:asciiTheme="minorHAnsi" w:hAnsiTheme="minorHAnsi" w:cstheme="minorHAnsi"/>
          <w:sz w:val="22"/>
          <w:szCs w:val="22"/>
        </w:rPr>
        <w:t>wieku powyżej 55 lat będzie podlegało automatyzacji</w:t>
      </w:r>
      <w:r w:rsidRPr="00890249">
        <w:rPr>
          <w:rFonts w:asciiTheme="minorHAnsi" w:hAnsiTheme="minorHAnsi" w:cstheme="minorHAnsi"/>
          <w:sz w:val="22"/>
          <w:szCs w:val="22"/>
        </w:rPr>
        <w:t>,</w:t>
      </w:r>
      <w:r w:rsidR="00A87EFD" w:rsidRPr="00890249">
        <w:rPr>
          <w:rFonts w:asciiTheme="minorHAnsi" w:hAnsiTheme="minorHAnsi" w:cstheme="minorHAnsi"/>
          <w:sz w:val="22"/>
          <w:szCs w:val="22"/>
        </w:rPr>
        <w:t xml:space="preserve"> podczas gdy poziom kompetencji cyfrowych polskich seniorów odbiega znacząco od poziomu ich </w:t>
      </w:r>
      <w:r w:rsidR="00054DD9" w:rsidRPr="00890249">
        <w:rPr>
          <w:rFonts w:asciiTheme="minorHAnsi" w:hAnsiTheme="minorHAnsi" w:cstheme="minorHAnsi"/>
          <w:sz w:val="22"/>
          <w:szCs w:val="22"/>
        </w:rPr>
        <w:t>rówieśników z Europy Zachodniej</w:t>
      </w:r>
      <w:r w:rsidR="00C44664" w:rsidRPr="00890249">
        <w:rPr>
          <w:rFonts w:asciiTheme="minorHAnsi" w:hAnsiTheme="minorHAnsi" w:cstheme="minorHAnsi"/>
          <w:sz w:val="22"/>
          <w:szCs w:val="22"/>
        </w:rPr>
        <w:t>. D</w:t>
      </w:r>
      <w:r w:rsidR="0088576B" w:rsidRPr="00890249">
        <w:rPr>
          <w:rFonts w:asciiTheme="minorHAnsi" w:hAnsiTheme="minorHAnsi" w:cstheme="minorHAnsi"/>
          <w:sz w:val="22"/>
          <w:szCs w:val="22"/>
        </w:rPr>
        <w:t xml:space="preserve">latego proponowanymi formami wparcia dla tej grupy </w:t>
      </w:r>
      <w:r w:rsidR="00C44664" w:rsidRPr="00890249">
        <w:rPr>
          <w:rFonts w:asciiTheme="minorHAnsi" w:hAnsiTheme="minorHAnsi" w:cstheme="minorHAnsi"/>
          <w:sz w:val="22"/>
          <w:szCs w:val="22"/>
        </w:rPr>
        <w:t xml:space="preserve">będą </w:t>
      </w:r>
      <w:r w:rsidR="00034101" w:rsidRPr="00890249">
        <w:rPr>
          <w:rFonts w:asciiTheme="minorHAnsi" w:hAnsiTheme="minorHAnsi" w:cstheme="minorHAnsi"/>
          <w:sz w:val="22"/>
          <w:szCs w:val="22"/>
        </w:rPr>
        <w:t xml:space="preserve">np. </w:t>
      </w:r>
      <w:r w:rsidR="00C44664" w:rsidRPr="00890249">
        <w:rPr>
          <w:rFonts w:asciiTheme="minorHAnsi" w:hAnsiTheme="minorHAnsi" w:cstheme="minorHAnsi"/>
          <w:sz w:val="22"/>
          <w:szCs w:val="22"/>
        </w:rPr>
        <w:t>szkolenia</w:t>
      </w:r>
      <w:r w:rsidR="0088576B" w:rsidRPr="00890249">
        <w:rPr>
          <w:rFonts w:asciiTheme="minorHAnsi" w:hAnsiTheme="minorHAnsi" w:cstheme="minorHAnsi"/>
          <w:sz w:val="22"/>
          <w:szCs w:val="22"/>
        </w:rPr>
        <w:t xml:space="preserve"> z zakresu </w:t>
      </w:r>
      <w:r w:rsidR="00C44664" w:rsidRPr="00890249">
        <w:rPr>
          <w:rFonts w:asciiTheme="minorHAnsi" w:hAnsiTheme="minorHAnsi" w:cstheme="minorHAnsi"/>
          <w:sz w:val="22"/>
          <w:szCs w:val="22"/>
        </w:rPr>
        <w:t>nowych technologii informatyczno-komunikacyjnych</w:t>
      </w:r>
      <w:r w:rsidR="00034101" w:rsidRPr="00890249">
        <w:rPr>
          <w:rFonts w:asciiTheme="minorHAnsi" w:hAnsiTheme="minorHAnsi" w:cstheme="minorHAnsi"/>
          <w:sz w:val="22"/>
          <w:szCs w:val="22"/>
        </w:rPr>
        <w:t>.</w:t>
      </w:r>
      <w:r w:rsidR="0088576B" w:rsidRPr="00890249">
        <w:rPr>
          <w:rFonts w:asciiTheme="minorHAnsi" w:hAnsiTheme="minorHAnsi" w:cstheme="minorHAnsi"/>
          <w:sz w:val="22"/>
          <w:szCs w:val="22"/>
        </w:rPr>
        <w:t xml:space="preserve"> </w:t>
      </w:r>
    </w:p>
    <w:p w14:paraId="2AA72378" w14:textId="77777777" w:rsidR="0093433C" w:rsidRPr="00890249" w:rsidRDefault="0003410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Aktywizacja zawodowa uwzględniać będzie m.in. szkolenia w zakresie zawodów deficytowych oraz tzw. zielonych miejsc pracy </w:t>
      </w:r>
      <w:r w:rsidR="00B07B6C" w:rsidRPr="00890249">
        <w:rPr>
          <w:rFonts w:asciiTheme="minorHAnsi" w:hAnsiTheme="minorHAnsi" w:cstheme="minorHAnsi"/>
          <w:sz w:val="22"/>
          <w:szCs w:val="22"/>
        </w:rPr>
        <w:t>(podnoszenie kwalifikacji w celu dostosowania do nowych wymogów ekologicznych).</w:t>
      </w:r>
    </w:p>
    <w:p w14:paraId="03884379" w14:textId="206E6C7C" w:rsidR="0093433C" w:rsidRPr="00890249" w:rsidRDefault="6A142B8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dalszym ciągu wspieran</w:t>
      </w:r>
      <w:r w:rsidR="00DF57F1">
        <w:rPr>
          <w:rFonts w:asciiTheme="minorHAnsi" w:hAnsiTheme="minorHAnsi" w:cstheme="minorHAnsi"/>
          <w:sz w:val="22"/>
          <w:szCs w:val="22"/>
          <w:lang w:eastAsia="en-US" w:bidi="ar-SA"/>
        </w:rPr>
        <w:t xml:space="preserve">e będą także osoby zatrudnione </w:t>
      </w:r>
      <w:r w:rsidR="00DF57F1" w:rsidRPr="00DF57F1">
        <w:rPr>
          <w:rFonts w:asciiTheme="minorHAnsi" w:hAnsiTheme="minorHAnsi" w:cstheme="minorHAnsi"/>
          <w:sz w:val="22"/>
          <w:szCs w:val="22"/>
          <w:lang w:eastAsia="en-US" w:bidi="ar-SA"/>
        </w:rPr>
        <w:t xml:space="preserve">w </w:t>
      </w:r>
      <w:r w:rsidR="005E04BC">
        <w:rPr>
          <w:rFonts w:asciiTheme="minorHAnsi" w:hAnsiTheme="minorHAnsi" w:cstheme="minorHAnsi"/>
          <w:sz w:val="22"/>
          <w:szCs w:val="22"/>
          <w:lang w:eastAsia="en-US" w:bidi="ar-SA"/>
        </w:rPr>
        <w:t>oparciu o umowy cywilnoprawne i </w:t>
      </w:r>
      <w:r w:rsidR="00DF57F1">
        <w:rPr>
          <w:rFonts w:asciiTheme="minorHAnsi" w:hAnsiTheme="minorHAnsi" w:cstheme="minorHAnsi"/>
          <w:sz w:val="22"/>
          <w:szCs w:val="22"/>
          <w:lang w:eastAsia="en-US" w:bidi="ar-SA"/>
        </w:rPr>
        <w:t>krótkoterminowe, odchodzące z rolnictwa oraz ubogie pracujące</w:t>
      </w:r>
      <w:r w:rsidRPr="00890249">
        <w:rPr>
          <w:rFonts w:asciiTheme="minorHAnsi" w:hAnsiTheme="minorHAnsi" w:cstheme="minorHAnsi"/>
          <w:sz w:val="22"/>
          <w:szCs w:val="22"/>
          <w:lang w:eastAsia="en-US" w:bidi="ar-SA"/>
        </w:rPr>
        <w:t xml:space="preserve">. </w:t>
      </w:r>
      <w:r w:rsidR="05502E9D" w:rsidRPr="00890249">
        <w:rPr>
          <w:rFonts w:asciiTheme="minorHAnsi" w:hAnsiTheme="minorHAnsi" w:cstheme="minorHAnsi"/>
          <w:sz w:val="22"/>
          <w:szCs w:val="22"/>
          <w:lang w:eastAsia="en-US" w:bidi="ar-SA"/>
        </w:rPr>
        <w:t xml:space="preserve">W tym miejscu warto wspomnieć, </w:t>
      </w:r>
      <w:r w:rsidRPr="00890249">
        <w:rPr>
          <w:rFonts w:asciiTheme="minorHAnsi" w:hAnsiTheme="minorHAnsi" w:cstheme="minorHAnsi"/>
          <w:sz w:val="22"/>
          <w:szCs w:val="22"/>
          <w:lang w:eastAsia="en-US" w:bidi="ar-SA"/>
        </w:rPr>
        <w:t xml:space="preserve">że w </w:t>
      </w:r>
      <w:r w:rsidR="4CC74DAF" w:rsidRPr="00890249">
        <w:rPr>
          <w:rFonts w:asciiTheme="minorHAnsi" w:hAnsiTheme="minorHAnsi" w:cstheme="minorHAnsi"/>
          <w:sz w:val="22"/>
          <w:szCs w:val="22"/>
          <w:lang w:eastAsia="en-US" w:bidi="ar-SA"/>
        </w:rPr>
        <w:t xml:space="preserve">woj. </w:t>
      </w:r>
      <w:r w:rsidRPr="00890249">
        <w:rPr>
          <w:rFonts w:asciiTheme="minorHAnsi" w:hAnsiTheme="minorHAnsi" w:cstheme="minorHAnsi"/>
          <w:sz w:val="22"/>
          <w:szCs w:val="22"/>
          <w:lang w:eastAsia="en-US" w:bidi="ar-SA"/>
        </w:rPr>
        <w:t>opolskim w 2016 r. w gospodarstwach domowych o wydatkach poniżej granicy sfery niedostatku wyznaczanej w oparciu o minimum socjalne żyło aż 32,6% ludności</w:t>
      </w:r>
      <w:r w:rsidR="00EC011B" w:rsidRPr="00890249">
        <w:rPr>
          <w:rFonts w:asciiTheme="minorHAnsi" w:hAnsiTheme="minorHAnsi" w:cstheme="minorHAnsi"/>
          <w:sz w:val="22"/>
          <w:szCs w:val="22"/>
          <w:vertAlign w:val="superscript"/>
          <w:lang w:eastAsia="en-US" w:bidi="ar-SA"/>
        </w:rPr>
        <w:footnoteReference w:id="159"/>
      </w:r>
      <w:r w:rsidRPr="00890249">
        <w:rPr>
          <w:rFonts w:asciiTheme="minorHAnsi" w:hAnsiTheme="minorHAnsi" w:cstheme="minorHAnsi"/>
          <w:sz w:val="22"/>
          <w:szCs w:val="22"/>
          <w:lang w:eastAsia="en-US" w:bidi="ar-SA"/>
        </w:rPr>
        <w:t>.</w:t>
      </w:r>
    </w:p>
    <w:p w14:paraId="671B1C30" w14:textId="77777777" w:rsidR="0093433C" w:rsidRPr="00890249" w:rsidRDefault="00EC011B"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Planowane typy przedsięwzięć:</w:t>
      </w:r>
    </w:p>
    <w:p w14:paraId="4C43336C" w14:textId="77777777" w:rsidR="0093433C" w:rsidRPr="00890249" w:rsidRDefault="00EC011B" w:rsidP="009F296A">
      <w:pPr>
        <w:pStyle w:val="Lista2"/>
        <w:numPr>
          <w:ilvl w:val="0"/>
          <w:numId w:val="5"/>
        </w:numPr>
        <w:ind w:left="284" w:hanging="284"/>
        <w:rPr>
          <w:rFonts w:asciiTheme="minorHAnsi" w:hAnsiTheme="minorHAnsi" w:cstheme="minorHAnsi"/>
          <w:sz w:val="22"/>
          <w:szCs w:val="22"/>
        </w:rPr>
      </w:pPr>
      <w:r w:rsidRPr="00890249">
        <w:rPr>
          <w:rFonts w:asciiTheme="minorHAnsi" w:hAnsiTheme="minorHAnsi" w:cstheme="minorHAnsi"/>
          <w:sz w:val="22"/>
          <w:szCs w:val="22"/>
        </w:rPr>
        <w:t>Wsparcie przyczyniające się do wzmocnienia zasobów rynku pracy poprzez m.in.:</w:t>
      </w:r>
    </w:p>
    <w:p w14:paraId="4FFFA7B1" w14:textId="4B7FED1C" w:rsidR="0093433C" w:rsidRPr="00890249" w:rsidRDefault="6A142B87" w:rsidP="009F296A">
      <w:pPr>
        <w:pStyle w:val="Listapunktowana3"/>
        <w:numPr>
          <w:ilvl w:val="0"/>
          <w:numId w:val="43"/>
        </w:numPr>
        <w:ind w:left="641" w:hanging="357"/>
        <w:contextualSpacing w:val="0"/>
        <w:rPr>
          <w:rFonts w:asciiTheme="minorHAnsi" w:hAnsiTheme="minorHAnsi" w:cstheme="minorHAnsi"/>
          <w:sz w:val="22"/>
          <w:szCs w:val="22"/>
        </w:rPr>
      </w:pPr>
      <w:r w:rsidRPr="00890249">
        <w:rPr>
          <w:rFonts w:asciiTheme="minorHAnsi" w:hAnsiTheme="minorHAnsi" w:cstheme="minorHAnsi"/>
          <w:sz w:val="22"/>
          <w:szCs w:val="22"/>
        </w:rPr>
        <w:t>aktywizację zawodową osób pozostających bez zatrudnienia</w:t>
      </w:r>
      <w:r w:rsidR="588CF9DC" w:rsidRPr="00890249">
        <w:rPr>
          <w:rFonts w:asciiTheme="minorHAnsi" w:hAnsiTheme="minorHAnsi" w:cstheme="minorHAnsi"/>
          <w:sz w:val="22"/>
          <w:szCs w:val="22"/>
        </w:rPr>
        <w:t xml:space="preserve"> realizowaną przez powiatowe urzędy pracy, w tym m</w:t>
      </w:r>
      <w:r w:rsidR="37C70634" w:rsidRPr="00890249">
        <w:rPr>
          <w:rFonts w:asciiTheme="minorHAnsi" w:hAnsiTheme="minorHAnsi" w:cstheme="minorHAnsi"/>
          <w:sz w:val="22"/>
          <w:szCs w:val="22"/>
        </w:rPr>
        <w:t>.</w:t>
      </w:r>
      <w:r w:rsidR="588CF9DC" w:rsidRPr="00890249">
        <w:rPr>
          <w:rFonts w:asciiTheme="minorHAnsi" w:hAnsiTheme="minorHAnsi" w:cstheme="minorHAnsi"/>
          <w:sz w:val="22"/>
          <w:szCs w:val="22"/>
        </w:rPr>
        <w:t>in.</w:t>
      </w:r>
      <w:r w:rsidR="3057E38F" w:rsidRPr="00890249">
        <w:rPr>
          <w:rFonts w:asciiTheme="minorHAnsi" w:hAnsiTheme="minorHAnsi" w:cstheme="minorHAnsi"/>
          <w:sz w:val="22"/>
          <w:szCs w:val="22"/>
        </w:rPr>
        <w:t xml:space="preserve"> </w:t>
      </w:r>
      <w:r w:rsidR="588CF9DC" w:rsidRPr="00890249">
        <w:rPr>
          <w:rFonts w:asciiTheme="minorHAnsi" w:hAnsiTheme="minorHAnsi" w:cstheme="minorHAnsi"/>
          <w:sz w:val="22"/>
          <w:szCs w:val="22"/>
        </w:rPr>
        <w:t>wsparcie dla osób zamierzających rozpocząć prowadzenie działalności gospodarcze</w:t>
      </w:r>
      <w:r w:rsidR="4CC74DAF" w:rsidRPr="00890249">
        <w:rPr>
          <w:rFonts w:asciiTheme="minorHAnsi" w:hAnsiTheme="minorHAnsi" w:cstheme="minorHAnsi"/>
          <w:sz w:val="22"/>
          <w:szCs w:val="22"/>
        </w:rPr>
        <w:t>j</w:t>
      </w:r>
      <w:r w:rsidRPr="00890249">
        <w:rPr>
          <w:rFonts w:asciiTheme="minorHAnsi" w:hAnsiTheme="minorHAnsi" w:cstheme="minorHAnsi"/>
          <w:sz w:val="22"/>
          <w:szCs w:val="22"/>
        </w:rPr>
        <w:t>,</w:t>
      </w:r>
    </w:p>
    <w:p w14:paraId="7965A192" w14:textId="77777777" w:rsidR="0093433C" w:rsidRPr="00890249" w:rsidRDefault="009407E3" w:rsidP="009F296A">
      <w:pPr>
        <w:pStyle w:val="Listapunktowana3"/>
        <w:numPr>
          <w:ilvl w:val="0"/>
          <w:numId w:val="43"/>
        </w:numPr>
        <w:ind w:left="641"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aktywizację zawodową uczestników i absolwentów ochotniczych hufców pracy</w:t>
      </w:r>
      <w:r w:rsidR="00BA0D30" w:rsidRPr="00890249">
        <w:rPr>
          <w:rFonts w:asciiTheme="minorHAnsi" w:hAnsiTheme="minorHAnsi" w:cstheme="minorHAnsi"/>
          <w:noProof/>
          <w:sz w:val="22"/>
          <w:szCs w:val="22"/>
        </w:rPr>
        <w:t>,</w:t>
      </w:r>
    </w:p>
    <w:p w14:paraId="3F20E4A1" w14:textId="178E8C4E" w:rsidR="0093433C" w:rsidRPr="00DF57F1" w:rsidRDefault="00EC011B" w:rsidP="009F296A">
      <w:pPr>
        <w:pStyle w:val="Listapunktowana3"/>
        <w:numPr>
          <w:ilvl w:val="0"/>
          <w:numId w:val="43"/>
        </w:numPr>
        <w:ind w:left="641" w:hanging="357"/>
        <w:contextualSpacing w:val="0"/>
        <w:rPr>
          <w:rFonts w:asciiTheme="minorHAnsi" w:hAnsiTheme="minorHAnsi" w:cstheme="minorHAnsi"/>
          <w:sz w:val="22"/>
          <w:szCs w:val="22"/>
        </w:rPr>
      </w:pPr>
      <w:r w:rsidRPr="00890249">
        <w:rPr>
          <w:rFonts w:asciiTheme="minorHAnsi" w:hAnsiTheme="minorHAnsi" w:cstheme="minorHAnsi"/>
          <w:sz w:val="22"/>
          <w:szCs w:val="22"/>
        </w:rPr>
        <w:t>wsparcie służące podniesieniu kwalifikacji i kompetencji osób pracujących</w:t>
      </w:r>
      <w:r w:rsidR="00A01BCA">
        <w:rPr>
          <w:rFonts w:asciiTheme="minorHAnsi" w:hAnsiTheme="minorHAnsi" w:cstheme="minorHAnsi"/>
          <w:sz w:val="22"/>
          <w:szCs w:val="22"/>
        </w:rPr>
        <w:t xml:space="preserve"> </w:t>
      </w:r>
      <w:r w:rsidR="003504DD">
        <w:rPr>
          <w:rFonts w:asciiTheme="minorHAnsi" w:hAnsiTheme="minorHAnsi" w:cstheme="minorHAnsi"/>
          <w:sz w:val="22"/>
          <w:szCs w:val="22"/>
        </w:rPr>
        <w:t>zatrudnionych w </w:t>
      </w:r>
      <w:r w:rsidR="001036A8" w:rsidRPr="00890249">
        <w:rPr>
          <w:rFonts w:asciiTheme="minorHAnsi" w:hAnsiTheme="minorHAnsi" w:cstheme="minorHAnsi"/>
          <w:sz w:val="22"/>
          <w:szCs w:val="22"/>
        </w:rPr>
        <w:t>oparciu o umowy cywilnoprawne i umowy krótkoterminowe</w:t>
      </w:r>
      <w:r w:rsidRPr="00890249">
        <w:rPr>
          <w:rFonts w:asciiTheme="minorHAnsi" w:hAnsiTheme="minorHAnsi" w:cstheme="minorHAnsi"/>
          <w:sz w:val="22"/>
          <w:szCs w:val="22"/>
        </w:rPr>
        <w:t>,</w:t>
      </w:r>
      <w:r w:rsidR="009407E3" w:rsidRPr="00890249">
        <w:rPr>
          <w:rFonts w:asciiTheme="minorHAnsi" w:hAnsiTheme="minorHAnsi" w:cstheme="minorHAnsi"/>
          <w:sz w:val="22"/>
          <w:szCs w:val="22"/>
        </w:rPr>
        <w:t xml:space="preserve"> odchodzących z rolnictwa oraz</w:t>
      </w:r>
      <w:r w:rsidR="00412482" w:rsidRPr="00890249">
        <w:rPr>
          <w:rFonts w:asciiTheme="minorHAnsi" w:hAnsiTheme="minorHAnsi" w:cstheme="minorHAnsi"/>
          <w:sz w:val="22"/>
          <w:szCs w:val="22"/>
        </w:rPr>
        <w:t xml:space="preserve"> </w:t>
      </w:r>
      <w:r w:rsidR="009407E3" w:rsidRPr="00890249">
        <w:rPr>
          <w:rFonts w:asciiTheme="minorHAnsi" w:hAnsiTheme="minorHAnsi" w:cstheme="minorHAnsi"/>
          <w:sz w:val="22"/>
          <w:szCs w:val="22"/>
        </w:rPr>
        <w:t>ubogich pracujących</w:t>
      </w:r>
      <w:r w:rsidR="008374CE" w:rsidRPr="00890249">
        <w:rPr>
          <w:rFonts w:asciiTheme="minorHAnsi" w:hAnsiTheme="minorHAnsi" w:cstheme="minorHAnsi"/>
          <w:sz w:val="22"/>
          <w:szCs w:val="22"/>
        </w:rPr>
        <w:t>,</w:t>
      </w:r>
    </w:p>
    <w:p w14:paraId="2FB1EA0C" w14:textId="77777777" w:rsidR="00C94907" w:rsidRPr="00890249" w:rsidRDefault="00367403" w:rsidP="009F296A">
      <w:pPr>
        <w:pStyle w:val="Akapitzlist"/>
        <w:numPr>
          <w:ilvl w:val="0"/>
          <w:numId w:val="5"/>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Podnoszenie kwalifikacji kadr rynku pracy</w:t>
      </w:r>
      <w:r w:rsidR="00F55B41" w:rsidRPr="00890249">
        <w:rPr>
          <w:rFonts w:asciiTheme="minorHAnsi" w:eastAsia="Times New Roman" w:hAnsiTheme="minorHAnsi" w:cstheme="minorHAnsi"/>
          <w:noProof/>
          <w:sz w:val="22"/>
          <w:szCs w:val="22"/>
        </w:rPr>
        <w:t xml:space="preserve"> </w:t>
      </w:r>
      <w:r w:rsidR="00A87EFD" w:rsidRPr="00890249">
        <w:rPr>
          <w:rFonts w:asciiTheme="minorHAnsi" w:eastAsia="Times New Roman" w:hAnsiTheme="minorHAnsi" w:cstheme="minorHAnsi"/>
          <w:noProof/>
          <w:sz w:val="22"/>
          <w:szCs w:val="22"/>
        </w:rPr>
        <w:t>wynikające z potrzeb regionalnego i lokalnego rynku pracy</w:t>
      </w:r>
      <w:r w:rsidR="002127FA" w:rsidRPr="00890249">
        <w:rPr>
          <w:rFonts w:asciiTheme="minorHAnsi" w:eastAsia="Times New Roman" w:hAnsiTheme="minorHAnsi" w:cstheme="minorHAnsi"/>
          <w:noProof/>
          <w:sz w:val="22"/>
          <w:szCs w:val="22"/>
        </w:rPr>
        <w:t>.</w:t>
      </w:r>
    </w:p>
    <w:p w14:paraId="30D3EFA1" w14:textId="576C8EA6" w:rsidR="00C94907" w:rsidRPr="00890249" w:rsidRDefault="00C94907" w:rsidP="009F296A">
      <w:pPr>
        <w:pStyle w:val="Akapitzlist"/>
        <w:numPr>
          <w:ilvl w:val="0"/>
          <w:numId w:val="5"/>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Realizacje działań z zakresu wdrażania Gwarancji dla Młodzieży, np. Inicjatywa ALMA.</w:t>
      </w:r>
    </w:p>
    <w:p w14:paraId="68B74A9A" w14:textId="77777777" w:rsidR="0093433C" w:rsidRPr="00890249" w:rsidRDefault="0093433C" w:rsidP="00890249">
      <w:pPr>
        <w:pStyle w:val="Lista3"/>
        <w:rPr>
          <w:rFonts w:asciiTheme="minorHAnsi" w:hAnsiTheme="minorHAnsi" w:cstheme="minorHAnsi"/>
          <w:noProof/>
          <w:sz w:val="22"/>
          <w:szCs w:val="22"/>
        </w:rPr>
      </w:pPr>
    </w:p>
    <w:p w14:paraId="0DB18F85" w14:textId="1357834E"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01F7D0F8" w14:textId="77777777" w:rsidR="0097068C" w:rsidRPr="00890249" w:rsidRDefault="0097068C" w:rsidP="0097068C">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Główne grupy docelowe</w:t>
      </w:r>
    </w:p>
    <w:p w14:paraId="3E33B37E" w14:textId="77777777" w:rsidR="0093433C" w:rsidRPr="00890249" w:rsidRDefault="00D10449" w:rsidP="009F296A">
      <w:pPr>
        <w:pStyle w:val="Listapunktowana2"/>
        <w:numPr>
          <w:ilvl w:val="0"/>
          <w:numId w:val="4"/>
        </w:numPr>
        <w:ind w:left="426" w:hanging="426"/>
        <w:rPr>
          <w:rFonts w:asciiTheme="minorHAnsi" w:hAnsiTheme="minorHAnsi" w:cstheme="minorHAnsi"/>
          <w:sz w:val="22"/>
          <w:szCs w:val="22"/>
        </w:rPr>
      </w:pPr>
      <w:r w:rsidRPr="00890249">
        <w:rPr>
          <w:rFonts w:asciiTheme="minorHAnsi" w:hAnsiTheme="minorHAnsi" w:cstheme="minorHAnsi"/>
          <w:sz w:val="22"/>
          <w:szCs w:val="22"/>
        </w:rPr>
        <w:t xml:space="preserve">osoby bezrobotne oraz poszukujące pracy, w tym zwłaszcza: </w:t>
      </w:r>
    </w:p>
    <w:p w14:paraId="39069FE6" w14:textId="77777777" w:rsidR="0093433C" w:rsidRPr="00890249" w:rsidRDefault="00D10449" w:rsidP="009F296A">
      <w:pPr>
        <w:pStyle w:val="Listapunktowana3"/>
        <w:numPr>
          <w:ilvl w:val="0"/>
          <w:numId w:val="16"/>
        </w:numPr>
        <w:rPr>
          <w:rFonts w:asciiTheme="minorHAnsi" w:hAnsiTheme="minorHAnsi" w:cstheme="minorHAnsi"/>
          <w:sz w:val="22"/>
          <w:szCs w:val="22"/>
        </w:rPr>
      </w:pPr>
      <w:r w:rsidRPr="00890249">
        <w:rPr>
          <w:rFonts w:asciiTheme="minorHAnsi" w:hAnsiTheme="minorHAnsi" w:cstheme="minorHAnsi"/>
          <w:sz w:val="22"/>
          <w:szCs w:val="22"/>
        </w:rPr>
        <w:t>kobiety,</w:t>
      </w:r>
    </w:p>
    <w:p w14:paraId="4B97BBFC" w14:textId="77777777" w:rsidR="0093433C" w:rsidRPr="00890249" w:rsidRDefault="00D10449" w:rsidP="009F296A">
      <w:pPr>
        <w:pStyle w:val="Listapunktowana3"/>
        <w:numPr>
          <w:ilvl w:val="0"/>
          <w:numId w:val="16"/>
        </w:numPr>
        <w:rPr>
          <w:rFonts w:asciiTheme="minorHAnsi" w:hAnsiTheme="minorHAnsi" w:cstheme="minorHAnsi"/>
          <w:sz w:val="22"/>
          <w:szCs w:val="22"/>
        </w:rPr>
      </w:pPr>
      <w:r w:rsidRPr="00890249">
        <w:rPr>
          <w:rFonts w:asciiTheme="minorHAnsi" w:hAnsiTheme="minorHAnsi" w:cstheme="minorHAnsi"/>
          <w:sz w:val="22"/>
          <w:szCs w:val="22"/>
        </w:rPr>
        <w:t>osoby młode do 30 roku życia,</w:t>
      </w:r>
    </w:p>
    <w:p w14:paraId="63F7C3E5" w14:textId="77777777" w:rsidR="0093433C" w:rsidRPr="00890249" w:rsidRDefault="00D10449" w:rsidP="009F296A">
      <w:pPr>
        <w:pStyle w:val="Listapunktowana3"/>
        <w:numPr>
          <w:ilvl w:val="0"/>
          <w:numId w:val="16"/>
        </w:numPr>
        <w:rPr>
          <w:rFonts w:asciiTheme="minorHAnsi" w:hAnsiTheme="minorHAnsi" w:cstheme="minorHAnsi"/>
          <w:sz w:val="22"/>
          <w:szCs w:val="22"/>
        </w:rPr>
      </w:pPr>
      <w:r w:rsidRPr="00890249">
        <w:rPr>
          <w:rFonts w:asciiTheme="minorHAnsi" w:hAnsiTheme="minorHAnsi" w:cstheme="minorHAnsi"/>
          <w:sz w:val="22"/>
          <w:szCs w:val="22"/>
        </w:rPr>
        <w:t xml:space="preserve">osoby z niepełnosprawnościami, </w:t>
      </w:r>
    </w:p>
    <w:p w14:paraId="623CB120" w14:textId="77777777" w:rsidR="0093433C" w:rsidRPr="00890249" w:rsidRDefault="00D10449" w:rsidP="009F296A">
      <w:pPr>
        <w:pStyle w:val="Listapunktowana3"/>
        <w:numPr>
          <w:ilvl w:val="0"/>
          <w:numId w:val="16"/>
        </w:numPr>
        <w:rPr>
          <w:rFonts w:asciiTheme="minorHAnsi" w:hAnsiTheme="minorHAnsi" w:cstheme="minorHAnsi"/>
          <w:sz w:val="22"/>
          <w:szCs w:val="22"/>
        </w:rPr>
      </w:pPr>
      <w:r w:rsidRPr="00890249">
        <w:rPr>
          <w:rFonts w:asciiTheme="minorHAnsi" w:hAnsiTheme="minorHAnsi" w:cstheme="minorHAnsi"/>
          <w:sz w:val="22"/>
          <w:szCs w:val="22"/>
        </w:rPr>
        <w:t>osoby po 50 roku życia,</w:t>
      </w:r>
    </w:p>
    <w:p w14:paraId="130B1AD9" w14:textId="77777777" w:rsidR="0093433C" w:rsidRPr="00890249" w:rsidRDefault="00D10449" w:rsidP="009F296A">
      <w:pPr>
        <w:pStyle w:val="Listapunktowana3"/>
        <w:numPr>
          <w:ilvl w:val="0"/>
          <w:numId w:val="16"/>
        </w:numPr>
        <w:rPr>
          <w:rFonts w:asciiTheme="minorHAnsi" w:hAnsiTheme="minorHAnsi" w:cstheme="minorHAnsi"/>
          <w:sz w:val="22"/>
          <w:szCs w:val="22"/>
        </w:rPr>
      </w:pPr>
      <w:r w:rsidRPr="00890249">
        <w:rPr>
          <w:rFonts w:asciiTheme="minorHAnsi" w:hAnsiTheme="minorHAnsi" w:cstheme="minorHAnsi"/>
          <w:sz w:val="22"/>
          <w:szCs w:val="22"/>
        </w:rPr>
        <w:t>osoby długotrwale bezrobotne,</w:t>
      </w:r>
    </w:p>
    <w:p w14:paraId="3D3DE4AE" w14:textId="77777777" w:rsidR="0093433C" w:rsidRPr="00890249" w:rsidRDefault="00D10449" w:rsidP="009F296A">
      <w:pPr>
        <w:pStyle w:val="Listapunktowana3"/>
        <w:numPr>
          <w:ilvl w:val="0"/>
          <w:numId w:val="16"/>
        </w:numPr>
        <w:rPr>
          <w:rFonts w:asciiTheme="minorHAnsi" w:hAnsiTheme="minorHAnsi" w:cstheme="minorHAnsi"/>
          <w:sz w:val="22"/>
          <w:szCs w:val="22"/>
        </w:rPr>
      </w:pPr>
      <w:r w:rsidRPr="00890249">
        <w:rPr>
          <w:rFonts w:asciiTheme="minorHAnsi" w:hAnsiTheme="minorHAnsi" w:cstheme="minorHAnsi"/>
          <w:sz w:val="22"/>
          <w:szCs w:val="22"/>
        </w:rPr>
        <w:t>osoby o niskich kwalifikacjach;</w:t>
      </w:r>
    </w:p>
    <w:p w14:paraId="23CE1011" w14:textId="77777777" w:rsidR="0093433C" w:rsidRPr="00890249" w:rsidRDefault="00D10449" w:rsidP="009F296A">
      <w:pPr>
        <w:pStyle w:val="Listapunktowana2"/>
        <w:numPr>
          <w:ilvl w:val="0"/>
          <w:numId w:val="3"/>
        </w:numPr>
        <w:ind w:left="426" w:hanging="426"/>
        <w:rPr>
          <w:rFonts w:asciiTheme="minorHAnsi" w:hAnsiTheme="minorHAnsi" w:cstheme="minorHAnsi"/>
          <w:sz w:val="22"/>
          <w:szCs w:val="22"/>
        </w:rPr>
      </w:pPr>
      <w:r w:rsidRPr="00890249">
        <w:rPr>
          <w:rFonts w:asciiTheme="minorHAnsi" w:hAnsiTheme="minorHAnsi" w:cstheme="minorHAnsi"/>
          <w:sz w:val="22"/>
          <w:szCs w:val="22"/>
        </w:rPr>
        <w:t xml:space="preserve">osoby pracujące: </w:t>
      </w:r>
    </w:p>
    <w:p w14:paraId="650E2406" w14:textId="77777777" w:rsidR="0093433C" w:rsidRPr="00890249" w:rsidRDefault="00D10449" w:rsidP="009F296A">
      <w:pPr>
        <w:pStyle w:val="Listapunktowana3"/>
        <w:numPr>
          <w:ilvl w:val="0"/>
          <w:numId w:val="17"/>
        </w:numPr>
        <w:ind w:left="709" w:hanging="425"/>
        <w:rPr>
          <w:rFonts w:asciiTheme="minorHAnsi" w:hAnsiTheme="minorHAnsi" w:cstheme="minorHAnsi"/>
          <w:sz w:val="22"/>
          <w:szCs w:val="22"/>
        </w:rPr>
      </w:pPr>
      <w:r w:rsidRPr="00890249">
        <w:rPr>
          <w:rFonts w:asciiTheme="minorHAnsi" w:hAnsiTheme="minorHAnsi" w:cstheme="minorHAnsi"/>
          <w:sz w:val="22"/>
          <w:szCs w:val="22"/>
        </w:rPr>
        <w:t>zatrudnione na umowach cywilnoprawnych,</w:t>
      </w:r>
    </w:p>
    <w:p w14:paraId="20233F81" w14:textId="77777777" w:rsidR="0093433C" w:rsidRPr="00890249" w:rsidRDefault="00D10449" w:rsidP="009F296A">
      <w:pPr>
        <w:pStyle w:val="Listapunktowana3"/>
        <w:numPr>
          <w:ilvl w:val="0"/>
          <w:numId w:val="17"/>
        </w:numPr>
        <w:ind w:left="709" w:hanging="425"/>
        <w:rPr>
          <w:rFonts w:asciiTheme="minorHAnsi" w:hAnsiTheme="minorHAnsi" w:cstheme="minorHAnsi"/>
          <w:sz w:val="22"/>
          <w:szCs w:val="22"/>
        </w:rPr>
      </w:pPr>
      <w:r w:rsidRPr="00890249">
        <w:rPr>
          <w:rFonts w:asciiTheme="minorHAnsi" w:hAnsiTheme="minorHAnsi" w:cstheme="minorHAnsi"/>
          <w:sz w:val="22"/>
          <w:szCs w:val="22"/>
        </w:rPr>
        <w:t>zatrudnione na umowach krótkoterminowych,</w:t>
      </w:r>
    </w:p>
    <w:p w14:paraId="7D498A2A" w14:textId="77777777" w:rsidR="0093433C" w:rsidRPr="00890249" w:rsidRDefault="00D10449" w:rsidP="009F296A">
      <w:pPr>
        <w:pStyle w:val="Listapunktowana3"/>
        <w:numPr>
          <w:ilvl w:val="0"/>
          <w:numId w:val="17"/>
        </w:numPr>
        <w:ind w:left="709" w:hanging="425"/>
        <w:rPr>
          <w:rFonts w:asciiTheme="minorHAnsi" w:hAnsiTheme="minorHAnsi" w:cstheme="minorHAnsi"/>
          <w:sz w:val="22"/>
          <w:szCs w:val="22"/>
        </w:rPr>
      </w:pPr>
      <w:r w:rsidRPr="00890249">
        <w:rPr>
          <w:rFonts w:asciiTheme="minorHAnsi" w:hAnsiTheme="minorHAnsi" w:cstheme="minorHAnsi"/>
          <w:sz w:val="22"/>
          <w:szCs w:val="22"/>
        </w:rPr>
        <w:t>osiągające niskie dochody (tzw. ubodzy pracujący),</w:t>
      </w:r>
    </w:p>
    <w:p w14:paraId="6E0A6EBB" w14:textId="77777777" w:rsidR="0093433C" w:rsidRPr="00890249" w:rsidRDefault="00D10449" w:rsidP="009F296A">
      <w:pPr>
        <w:pStyle w:val="Listapunktowana3"/>
        <w:numPr>
          <w:ilvl w:val="0"/>
          <w:numId w:val="17"/>
        </w:numPr>
        <w:ind w:left="709" w:hanging="425"/>
        <w:rPr>
          <w:rFonts w:asciiTheme="minorHAnsi" w:hAnsiTheme="minorHAnsi" w:cstheme="minorHAnsi"/>
          <w:sz w:val="22"/>
          <w:szCs w:val="22"/>
        </w:rPr>
      </w:pPr>
      <w:r w:rsidRPr="00890249">
        <w:rPr>
          <w:rFonts w:asciiTheme="minorHAnsi" w:hAnsiTheme="minorHAnsi" w:cstheme="minorHAnsi"/>
          <w:sz w:val="22"/>
          <w:szCs w:val="22"/>
        </w:rPr>
        <w:t>odchodzące z rolnictwa i ich rodziny;</w:t>
      </w:r>
    </w:p>
    <w:p w14:paraId="019205E4" w14:textId="77777777" w:rsidR="00551181" w:rsidRPr="00890249" w:rsidRDefault="00D10449" w:rsidP="009F296A">
      <w:pPr>
        <w:pStyle w:val="Akapitzlist"/>
        <w:numPr>
          <w:ilvl w:val="0"/>
          <w:numId w:val="31"/>
        </w:numPr>
        <w:ind w:left="426" w:hanging="426"/>
        <w:contextualSpacing w:val="0"/>
        <w:jc w:val="left"/>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uczestnicy i absolwenci ochotniczych hufców pracy;</w:t>
      </w:r>
    </w:p>
    <w:p w14:paraId="7EDFC46A" w14:textId="5A58DA96" w:rsidR="00551181" w:rsidRDefault="00551181" w:rsidP="009F296A">
      <w:pPr>
        <w:pStyle w:val="Akapitzlist"/>
        <w:numPr>
          <w:ilvl w:val="0"/>
          <w:numId w:val="31"/>
        </w:numPr>
        <w:ind w:left="426" w:hanging="426"/>
        <w:contextualSpacing w:val="0"/>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osoby młode w wieku 18-29 z kategorii NEET;</w:t>
      </w:r>
    </w:p>
    <w:p w14:paraId="6B3474CA" w14:textId="1CF58371" w:rsidR="00860A93" w:rsidRDefault="00860A93" w:rsidP="009F296A">
      <w:pPr>
        <w:pStyle w:val="Akapitzlist"/>
        <w:numPr>
          <w:ilvl w:val="0"/>
          <w:numId w:val="31"/>
        </w:numPr>
        <w:ind w:left="426" w:hanging="426"/>
        <w:contextualSpacing w:val="0"/>
        <w:rPr>
          <w:rFonts w:asciiTheme="minorHAnsi" w:eastAsiaTheme="minorHAnsi" w:hAnsiTheme="minorHAnsi" w:cstheme="minorHAnsi"/>
          <w:sz w:val="22"/>
          <w:szCs w:val="22"/>
        </w:rPr>
      </w:pPr>
      <w:r>
        <w:rPr>
          <w:rFonts w:asciiTheme="minorHAnsi" w:eastAsiaTheme="minorHAnsi" w:hAnsiTheme="minorHAnsi" w:cstheme="minorHAnsi"/>
          <w:sz w:val="22"/>
          <w:szCs w:val="22"/>
        </w:rPr>
        <w:t>osoby młode w wieku 15-29 lat, w tym zwłaszcza znajdujące się w niekorzystnej sytuacji;</w:t>
      </w:r>
    </w:p>
    <w:p w14:paraId="7FFE6052" w14:textId="0B1F35E4" w:rsidR="00860A93" w:rsidRPr="00890249" w:rsidRDefault="00860A93" w:rsidP="009F296A">
      <w:pPr>
        <w:pStyle w:val="Akapitzlist"/>
        <w:numPr>
          <w:ilvl w:val="0"/>
          <w:numId w:val="31"/>
        </w:numPr>
        <w:ind w:left="426" w:hanging="426"/>
        <w:contextualSpacing w:val="0"/>
        <w:rPr>
          <w:rFonts w:asciiTheme="minorHAnsi" w:eastAsiaTheme="minorHAnsi" w:hAnsiTheme="minorHAnsi" w:cstheme="minorHAnsi"/>
          <w:sz w:val="22"/>
          <w:szCs w:val="22"/>
        </w:rPr>
      </w:pPr>
      <w:r>
        <w:rPr>
          <w:rFonts w:asciiTheme="minorHAnsi" w:eastAsiaTheme="minorHAnsi" w:hAnsiTheme="minorHAnsi" w:cstheme="minorHAnsi"/>
          <w:sz w:val="22"/>
          <w:szCs w:val="22"/>
        </w:rPr>
        <w:t>osoby bierne (nieaktywne zawodowo)</w:t>
      </w:r>
      <w:r>
        <w:rPr>
          <w:rStyle w:val="Odwoanieprzypisudolnego"/>
          <w:rFonts w:asciiTheme="minorHAnsi" w:eastAsiaTheme="minorHAnsi" w:hAnsiTheme="minorHAnsi" w:cstheme="minorHAnsi"/>
          <w:sz w:val="22"/>
          <w:szCs w:val="22"/>
        </w:rPr>
        <w:footnoteReference w:id="160"/>
      </w:r>
    </w:p>
    <w:p w14:paraId="52CF1701" w14:textId="77777777" w:rsidR="00D10449" w:rsidRPr="00890249" w:rsidRDefault="00D10449" w:rsidP="009F296A">
      <w:pPr>
        <w:pStyle w:val="Akapitzlist"/>
        <w:numPr>
          <w:ilvl w:val="0"/>
          <w:numId w:val="31"/>
        </w:numPr>
        <w:ind w:left="426" w:hanging="426"/>
        <w:contextualSpacing w:val="0"/>
        <w:jc w:val="left"/>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kadry rynku pracy.</w:t>
      </w:r>
    </w:p>
    <w:p w14:paraId="24BE0A22" w14:textId="77777777" w:rsidR="0097068C" w:rsidRPr="00890249" w:rsidRDefault="0097068C" w:rsidP="0097068C">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3B7E252A"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zrównoważonego rozwoju oraz Załącznikiem III do Rozporządzenia UE 2021/1060.</w:t>
      </w:r>
    </w:p>
    <w:p w14:paraId="3CA81A31"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5FA315AB"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581B309D" w14:textId="77777777" w:rsidR="0093433C" w:rsidRPr="00890249" w:rsidRDefault="00AD6FEC" w:rsidP="009F296A">
      <w:pPr>
        <w:pStyle w:val="Listapunktowana2"/>
        <w:numPr>
          <w:ilvl w:val="0"/>
          <w:numId w:val="65"/>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6F6ABC27" w14:textId="7777777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4877C404" w14:textId="7777777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Pr="00890249">
        <w:rPr>
          <w:rFonts w:asciiTheme="minorHAnsi" w:hAnsiTheme="minorHAnsi" w:cstheme="minorHAnsi"/>
          <w:sz w:val="22"/>
          <w:szCs w:val="22"/>
          <w:lang w:eastAsia="en-US" w:bidi="ar-SA"/>
        </w:rPr>
        <w:br/>
        <w:t xml:space="preserve">i szkodliwych praktyk, </w:t>
      </w:r>
    </w:p>
    <w:p w14:paraId="7A59CA78" w14:textId="4708360F"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00AE052A" w:rsidRPr="00890249">
        <w:rPr>
          <w:rFonts w:asciiTheme="minorHAnsi" w:hAnsiTheme="minorHAnsi" w:cstheme="minorHAnsi"/>
          <w:sz w:val="22"/>
          <w:szCs w:val="22"/>
          <w:lang w:eastAsia="en-US" w:bidi="ar-SA"/>
        </w:rPr>
        <w:t xml:space="preserve">beneficjenta, będącego </w:t>
      </w:r>
      <w:r w:rsidR="00AE052A"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1DCEFE30" w14:textId="7777777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 xml:space="preserve">tworzenie metodologii oceny kryterium wyboru projektów zgodnych z horyzontalną zasadą niedyskryminacji, </w:t>
      </w:r>
    </w:p>
    <w:p w14:paraId="238BDF4E" w14:textId="7777777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249B6CC6" w14:textId="7777777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włączenie do Komitetu Monitorującego członków organizacji pozarządowych oraz reprezentantów mniejszości, w tym etnicznych, </w:t>
      </w:r>
    </w:p>
    <w:p w14:paraId="54F70F99" w14:textId="7777777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5C0DCC83" w14:textId="77777777"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objętch wsparciem, z uwzglednieniem planowanego wykorzystania narzędzi terytorialnych</w:t>
      </w:r>
    </w:p>
    <w:p w14:paraId="59BC5E87" w14:textId="77777777" w:rsidR="0093433C" w:rsidRPr="00890249" w:rsidRDefault="00A55F50"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0B5F14C6" w14:textId="210EABC0" w:rsidR="0093433C" w:rsidRPr="00890249" w:rsidRDefault="00AC276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Istn</w:t>
      </w:r>
      <w:r w:rsidR="00A41980" w:rsidRPr="00890249">
        <w:rPr>
          <w:rFonts w:asciiTheme="minorHAnsi" w:hAnsiTheme="minorHAnsi" w:cstheme="minorHAnsi"/>
          <w:noProof/>
          <w:sz w:val="22"/>
          <w:szCs w:val="22"/>
        </w:rPr>
        <w:t>ieje możliwość preferencji dla m</w:t>
      </w:r>
      <w:r w:rsidRPr="00890249">
        <w:rPr>
          <w:rFonts w:asciiTheme="minorHAnsi" w:hAnsiTheme="minorHAnsi" w:cstheme="minorHAnsi"/>
          <w:noProof/>
          <w:sz w:val="22"/>
          <w:szCs w:val="22"/>
        </w:rPr>
        <w:t>ieszkańców</w:t>
      </w:r>
      <w:r w:rsidR="00F05571" w:rsidRPr="00890249">
        <w:rPr>
          <w:rFonts w:asciiTheme="minorHAnsi" w:hAnsiTheme="minorHAnsi" w:cstheme="minorHAnsi"/>
          <w:noProof/>
          <w:sz w:val="22"/>
          <w:szCs w:val="22"/>
        </w:rPr>
        <w:t xml:space="preserve"> obszarów strategicznej interwencji, tj. miast średnich tracących funkcje społeczno-gospodarcze oraz </w:t>
      </w:r>
      <w:r w:rsidR="00A31553" w:rsidRPr="00890249">
        <w:rPr>
          <w:rFonts w:asciiTheme="minorHAnsi" w:hAnsiTheme="minorHAnsi" w:cstheme="minorHAnsi"/>
          <w:noProof/>
          <w:sz w:val="22"/>
          <w:szCs w:val="22"/>
        </w:rPr>
        <w:t xml:space="preserve">obszarów </w:t>
      </w:r>
      <w:r w:rsidR="00F05571" w:rsidRPr="00890249">
        <w:rPr>
          <w:rFonts w:asciiTheme="minorHAnsi" w:hAnsiTheme="minorHAnsi" w:cstheme="minorHAnsi"/>
          <w:noProof/>
          <w:sz w:val="22"/>
          <w:szCs w:val="22"/>
        </w:rPr>
        <w:t>zagrożonych trwałą marginalizacją, zidentyfikowanych na poziomie krajowym.</w:t>
      </w:r>
      <w:r w:rsidR="00B73BBB" w:rsidRPr="00890249">
        <w:rPr>
          <w:rFonts w:asciiTheme="minorHAnsi" w:hAnsiTheme="minorHAnsi" w:cstheme="minorHAnsi"/>
          <w:noProof/>
          <w:sz w:val="22"/>
          <w:szCs w:val="22"/>
        </w:rPr>
        <w:t xml:space="preserve"> </w:t>
      </w:r>
    </w:p>
    <w:p w14:paraId="3F0ADE44" w14:textId="77777777" w:rsidR="0097068C" w:rsidRPr="00890249" w:rsidRDefault="0097068C" w:rsidP="0097068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6AB663AC" w14:textId="175DBCEC"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Wszystkie interwencje zaplanowane w </w:t>
      </w:r>
      <w:r w:rsidR="00A31553" w:rsidRPr="00890249">
        <w:rPr>
          <w:rFonts w:asciiTheme="minorHAnsi" w:hAnsiTheme="minorHAnsi" w:cstheme="minorHAnsi"/>
          <w:sz w:val="22"/>
          <w:szCs w:val="22"/>
          <w:lang w:eastAsia="en-US" w:bidi="ar-SA"/>
        </w:rPr>
        <w:t>cs (a)</w:t>
      </w:r>
      <w:r w:rsidRPr="00890249">
        <w:rPr>
          <w:rFonts w:asciiTheme="minorHAnsi" w:hAnsiTheme="minorHAnsi" w:cstheme="minorHAnsi"/>
          <w:sz w:val="22"/>
          <w:szCs w:val="22"/>
          <w:lang w:eastAsia="en-US" w:bidi="ar-SA"/>
        </w:rPr>
        <w:t xml:space="preserve"> 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w:t>
      </w:r>
      <w:r w:rsidR="00942644"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takich jak transport</w:t>
      </w:r>
      <w:r w:rsidR="00942644"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czy też turystyka. Z tego względu wsparcie zaplanowane w CP4 będzie uzupełniać się, a zarazem powodować efekt synergii</w:t>
      </w:r>
      <w:r w:rsidR="00C25687" w:rsidRPr="00890249">
        <w:rPr>
          <w:rFonts w:asciiTheme="minorHAnsi" w:hAnsiTheme="minorHAnsi" w:cstheme="minorHAnsi"/>
          <w:sz w:val="22"/>
          <w:szCs w:val="22"/>
          <w:lang w:eastAsia="en-US" w:bidi="ar-SA"/>
        </w:rPr>
        <w:t>, z</w:t>
      </w:r>
      <w:r w:rsidRPr="00890249">
        <w:rPr>
          <w:rFonts w:asciiTheme="minorHAnsi" w:hAnsiTheme="minorHAnsi" w:cstheme="minorHAnsi"/>
          <w:sz w:val="22"/>
          <w:szCs w:val="22"/>
          <w:lang w:eastAsia="en-US" w:bidi="ar-SA"/>
        </w:rPr>
        <w:t xml:space="preserve"> interwencj</w:t>
      </w:r>
      <w:r w:rsidR="00C25687"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wskazan</w:t>
      </w:r>
      <w:r w:rsidR="00C25687"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 programach współpracy transgranicznej </w:t>
      </w:r>
      <w:r w:rsidR="00942644" w:rsidRPr="00890249">
        <w:rPr>
          <w:rFonts w:asciiTheme="minorHAnsi" w:hAnsiTheme="minorHAnsi" w:cstheme="minorHAnsi"/>
          <w:sz w:val="22"/>
          <w:szCs w:val="22"/>
          <w:lang w:eastAsia="en-US" w:bidi="ar-SA"/>
        </w:rPr>
        <w:t>Interreg</w:t>
      </w:r>
      <w:r w:rsidRPr="00890249">
        <w:rPr>
          <w:rFonts w:asciiTheme="minorHAnsi" w:hAnsiTheme="minorHAnsi" w:cstheme="minorHAnsi"/>
          <w:sz w:val="22"/>
          <w:szCs w:val="22"/>
          <w:lang w:eastAsia="en-US" w:bidi="ar-SA"/>
        </w:rPr>
        <w:t xml:space="preserve"> Czechy-Polska 2021-2027 oraz Interreg Region Morza Bałtyckiego 2021-2027, w tym w zakresie: wzmacniania konkurencyjności MŚP, zwiększenia odporności i przystosowania do zmian klimatu, rozw</w:t>
      </w:r>
      <w:r w:rsidR="00C25687" w:rsidRPr="00890249">
        <w:rPr>
          <w:rFonts w:asciiTheme="minorHAnsi" w:hAnsiTheme="minorHAnsi" w:cstheme="minorHAnsi"/>
          <w:sz w:val="22"/>
          <w:szCs w:val="22"/>
          <w:lang w:eastAsia="en-US" w:bidi="ar-SA"/>
        </w:rPr>
        <w:t xml:space="preserve">oju </w:t>
      </w:r>
      <w:r w:rsidRPr="00890249">
        <w:rPr>
          <w:rFonts w:asciiTheme="minorHAnsi" w:hAnsiTheme="minorHAnsi" w:cstheme="minorHAnsi"/>
          <w:sz w:val="22"/>
          <w:szCs w:val="22"/>
          <w:lang w:eastAsia="en-US" w:bidi="ar-SA"/>
        </w:rPr>
        <w:t xml:space="preserve">bioróżnorodności, a także transgranicznej infrastruktury transportowej oraz zrównoważonej turystyki. </w:t>
      </w:r>
    </w:p>
    <w:p w14:paraId="022ED130" w14:textId="022576B1"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programie współpracy transgranicznej Interreg Czechy-Polska 2021-2027 założono wsparcie konkurencyjności MŚP, które może wpłynąć na większą liczbę dobrej jakości miejsc pracy i spadek stopy bezrobocia w regionie</w:t>
      </w:r>
      <w:r w:rsidR="00C25687" w:rsidRPr="00890249">
        <w:rPr>
          <w:rFonts w:asciiTheme="minorHAnsi" w:hAnsiTheme="minorHAnsi" w:cstheme="minorHAnsi"/>
          <w:sz w:val="22"/>
          <w:szCs w:val="22"/>
          <w:lang w:eastAsia="en-US" w:bidi="ar-SA"/>
        </w:rPr>
        <w:t xml:space="preserve">, co </w:t>
      </w:r>
      <w:r w:rsidRPr="00890249">
        <w:rPr>
          <w:rFonts w:asciiTheme="minorHAnsi" w:hAnsiTheme="minorHAnsi" w:cstheme="minorHAnsi"/>
          <w:sz w:val="22"/>
          <w:szCs w:val="22"/>
          <w:lang w:eastAsia="en-US" w:bidi="ar-SA"/>
        </w:rPr>
        <w:t>jest komplementarne z innymi działaniami wzmacniającymi regionalny rynek pracy.</w:t>
      </w:r>
    </w:p>
    <w:p w14:paraId="1D283A7A" w14:textId="77777777"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podejmowane w cs (a) wpisują się również w Obszar Tematyczny Edukacja Strategii UE dla regionu Morza Bałtyckiego.</w:t>
      </w:r>
    </w:p>
    <w:p w14:paraId="1FEDBD50" w14:textId="77777777" w:rsidR="0097068C" w:rsidRPr="00890249" w:rsidRDefault="0097068C" w:rsidP="0097068C">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7E845F87" w14:textId="77777777" w:rsidR="0097068C" w:rsidRPr="00890249" w:rsidRDefault="0097068C" w:rsidP="0097068C">
      <w:pPr>
        <w:spacing w:before="0" w:after="0"/>
        <w:rPr>
          <w:rFonts w:asciiTheme="minorHAnsi" w:hAnsiTheme="minorHAnsi" w:cstheme="minorHAnsi"/>
          <w:noProof/>
          <w:sz w:val="22"/>
          <w:szCs w:val="22"/>
        </w:rPr>
      </w:pPr>
      <w:r w:rsidRPr="00890249">
        <w:rPr>
          <w:rFonts w:asciiTheme="minorHAnsi" w:hAnsiTheme="minorHAnsi" w:cstheme="minorHAnsi"/>
          <w:noProof/>
          <w:sz w:val="22"/>
          <w:szCs w:val="22"/>
        </w:rPr>
        <w:t>W ramach cs (a) nie planuje się wykorzystania instrumentów finansowych.</w:t>
      </w:r>
    </w:p>
    <w:p w14:paraId="4DC1D008" w14:textId="669A14C7" w:rsidR="0093433C" w:rsidRPr="00890249" w:rsidRDefault="0014391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przedsięwzięcia dotyczą aktywizacji zawodowej dla osób znajduj</w:t>
      </w:r>
      <w:r w:rsidR="00C46153" w:rsidRPr="00890249">
        <w:rPr>
          <w:rFonts w:asciiTheme="minorHAnsi" w:hAnsiTheme="minorHAnsi" w:cstheme="minorHAnsi"/>
          <w:noProof/>
          <w:sz w:val="22"/>
          <w:szCs w:val="22"/>
        </w:rPr>
        <w:t>ą</w:t>
      </w:r>
      <w:r w:rsidRPr="00890249">
        <w:rPr>
          <w:rFonts w:asciiTheme="minorHAnsi" w:hAnsiTheme="minorHAnsi" w:cstheme="minorHAnsi"/>
          <w:noProof/>
          <w:sz w:val="22"/>
          <w:szCs w:val="22"/>
        </w:rPr>
        <w:t>cyc</w:t>
      </w:r>
      <w:r w:rsidR="00C46153" w:rsidRPr="00890249">
        <w:rPr>
          <w:rFonts w:asciiTheme="minorHAnsi" w:hAnsiTheme="minorHAnsi" w:cstheme="minorHAnsi"/>
          <w:noProof/>
          <w:sz w:val="22"/>
          <w:szCs w:val="22"/>
        </w:rPr>
        <w:t>h</w:t>
      </w:r>
      <w:r w:rsidRPr="00890249">
        <w:rPr>
          <w:rFonts w:asciiTheme="minorHAnsi" w:hAnsiTheme="minorHAnsi" w:cstheme="minorHAnsi"/>
          <w:noProof/>
          <w:sz w:val="22"/>
          <w:szCs w:val="22"/>
        </w:rPr>
        <w:t xml:space="preserve"> się w najgorszej sytuacji na rynku pracy, w tym m.in. osób 50+, z niepełnosprawności</w:t>
      </w:r>
      <w:r w:rsidR="00DC39F0">
        <w:rPr>
          <w:rFonts w:asciiTheme="minorHAnsi" w:hAnsiTheme="minorHAnsi" w:cstheme="minorHAnsi"/>
          <w:noProof/>
          <w:sz w:val="22"/>
          <w:szCs w:val="22"/>
        </w:rPr>
        <w:t>ami, długotrwale bezrobotnych i </w:t>
      </w:r>
      <w:r w:rsidRPr="00890249">
        <w:rPr>
          <w:rFonts w:asciiTheme="minorHAnsi" w:hAnsiTheme="minorHAnsi" w:cstheme="minorHAnsi"/>
          <w:noProof/>
          <w:sz w:val="22"/>
          <w:szCs w:val="22"/>
        </w:rPr>
        <w:t>młodych. Beneficjentami w tym przypadku będą przede wszystkim JST. Nie będą to przedsięwzięcia prowadzone dla zysku, samofinansujące się.</w:t>
      </w:r>
    </w:p>
    <w:p w14:paraId="22564A6F" w14:textId="77777777" w:rsidR="00114890" w:rsidRPr="00890249" w:rsidRDefault="00114890">
      <w:pPr>
        <w:spacing w:before="0" w:after="160" w:line="259" w:lineRule="auto"/>
        <w:jc w:val="left"/>
        <w:rPr>
          <w:rFonts w:asciiTheme="minorHAnsi" w:hAnsiTheme="minorHAnsi" w:cstheme="minorHAnsi"/>
          <w:noProof/>
          <w:sz w:val="22"/>
          <w:szCs w:val="22"/>
        </w:rPr>
      </w:pPr>
      <w:r w:rsidRPr="00890249">
        <w:rPr>
          <w:rFonts w:asciiTheme="minorHAnsi" w:hAnsiTheme="minorHAnsi" w:cstheme="minorHAnsi"/>
          <w:noProof/>
          <w:sz w:val="22"/>
          <w:szCs w:val="22"/>
        </w:rPr>
        <w:br w:type="page"/>
      </w:r>
    </w:p>
    <w:p w14:paraId="2F606CA7" w14:textId="77777777" w:rsidR="0097068C" w:rsidRPr="00890249" w:rsidRDefault="0097068C" w:rsidP="0097068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2.1.5.1.2 (a)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751"/>
        <w:gridCol w:w="693"/>
        <w:gridCol w:w="1009"/>
        <w:gridCol w:w="830"/>
        <w:gridCol w:w="2213"/>
        <w:gridCol w:w="830"/>
        <w:gridCol w:w="1106"/>
        <w:gridCol w:w="1069"/>
      </w:tblGrid>
      <w:tr w:rsidR="0034642D" w:rsidRPr="00890249" w14:paraId="79A45391" w14:textId="77777777" w:rsidTr="0002590B">
        <w:trPr>
          <w:trHeight w:val="425"/>
        </w:trPr>
        <w:tc>
          <w:tcPr>
            <w:tcW w:w="5000" w:type="pct"/>
            <w:gridSpan w:val="9"/>
            <w:shd w:val="clear" w:color="auto" w:fill="D9D9D9" w:themeFill="background1" w:themeFillShade="D9"/>
          </w:tcPr>
          <w:p w14:paraId="21D1688B"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3E23EEDB" w14:textId="77777777" w:rsidTr="00A818DF">
        <w:trPr>
          <w:cantSplit/>
          <w:trHeight w:val="1647"/>
        </w:trPr>
        <w:tc>
          <w:tcPr>
            <w:tcW w:w="290" w:type="pct"/>
            <w:shd w:val="clear" w:color="auto" w:fill="F2F2F2" w:themeFill="background1" w:themeFillShade="F2"/>
            <w:textDirection w:val="btLr"/>
            <w:vAlign w:val="center"/>
          </w:tcPr>
          <w:p w14:paraId="3026CEE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5BDD074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496D1CF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79FBFD7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5338067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275BDDB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0A5585F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0E00BEA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2" w:type="pct"/>
            <w:shd w:val="clear" w:color="auto" w:fill="F2F2F2" w:themeFill="background1" w:themeFillShade="F2"/>
            <w:textDirection w:val="btLr"/>
            <w:vAlign w:val="center"/>
          </w:tcPr>
          <w:p w14:paraId="4D9DE9E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311CDD" w:rsidRPr="00890249" w14:paraId="3E83DBB9" w14:textId="77777777" w:rsidTr="00A818DF">
        <w:trPr>
          <w:trHeight w:val="340"/>
        </w:trPr>
        <w:tc>
          <w:tcPr>
            <w:tcW w:w="290" w:type="pct"/>
            <w:vAlign w:val="center"/>
          </w:tcPr>
          <w:p w14:paraId="038F2586" w14:textId="77777777" w:rsidR="00311CDD" w:rsidRPr="00890249" w:rsidRDefault="00A13182" w:rsidP="0034642D">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259F309E" w14:textId="77777777" w:rsidR="00311CDD" w:rsidRPr="00890249" w:rsidRDefault="00311CDD"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243079" w:rsidRPr="00890249">
              <w:rPr>
                <w:rFonts w:asciiTheme="minorHAnsi" w:eastAsiaTheme="minorHAnsi" w:hAnsiTheme="minorHAnsi" w:cstheme="minorHAnsi"/>
                <w:i/>
                <w:noProof/>
                <w:sz w:val="18"/>
                <w:szCs w:val="16"/>
                <w:lang w:eastAsia="en-US" w:bidi="ar-SA"/>
              </w:rPr>
              <w:t>a</w:t>
            </w:r>
          </w:p>
        </w:tc>
        <w:tc>
          <w:tcPr>
            <w:tcW w:w="384" w:type="pct"/>
            <w:vAlign w:val="center"/>
          </w:tcPr>
          <w:p w14:paraId="6718D3F2" w14:textId="77777777" w:rsidR="00311CDD" w:rsidRPr="00890249" w:rsidRDefault="00311CDD"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3E87CDBF" w14:textId="77777777" w:rsidR="00311CDD" w:rsidRPr="00890249" w:rsidRDefault="00E76BD1" w:rsidP="00311CD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0" w:type="pct"/>
            <w:vAlign w:val="center"/>
          </w:tcPr>
          <w:p w14:paraId="7AECE243" w14:textId="77777777" w:rsidR="00311CDD" w:rsidRPr="00890249" w:rsidRDefault="002F64CC"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EECO02</w:t>
            </w:r>
          </w:p>
        </w:tc>
        <w:tc>
          <w:tcPr>
            <w:tcW w:w="1226" w:type="pct"/>
            <w:shd w:val="clear" w:color="auto" w:fill="auto"/>
            <w:vAlign w:val="center"/>
          </w:tcPr>
          <w:p w14:paraId="6CB12849" w14:textId="77777777" w:rsidR="00311CDD" w:rsidRPr="00890249" w:rsidRDefault="00311CDD" w:rsidP="00311CDD">
            <w:pPr>
              <w:jc w:val="left"/>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 xml:space="preserve">Liczba osób bezrobotnych, </w:t>
            </w:r>
            <w:r w:rsidRPr="00890249">
              <w:rPr>
                <w:rFonts w:asciiTheme="minorHAnsi" w:eastAsiaTheme="minorHAnsi" w:hAnsiTheme="minorHAnsi" w:cstheme="minorHAnsi"/>
                <w:i/>
                <w:noProof/>
                <w:sz w:val="18"/>
                <w:szCs w:val="16"/>
                <w:lang w:eastAsia="en-US" w:bidi="ar-SA"/>
              </w:rPr>
              <w:br/>
              <w:t>w tym długotrwale bezrobotnych objętych wsparciem w programie</w:t>
            </w:r>
          </w:p>
        </w:tc>
        <w:tc>
          <w:tcPr>
            <w:tcW w:w="460" w:type="pct"/>
            <w:vAlign w:val="center"/>
          </w:tcPr>
          <w:p w14:paraId="636373C6" w14:textId="77777777" w:rsidR="00311CDD" w:rsidRPr="00890249" w:rsidRDefault="00ED4DE3" w:rsidP="00ED4DE3">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795D6B7C" w14:textId="77777777" w:rsidR="00311CDD" w:rsidRPr="00890249" w:rsidRDefault="002F64CC"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5 28</w:t>
            </w:r>
            <w:r w:rsidR="006E088D" w:rsidRPr="00890249">
              <w:rPr>
                <w:rFonts w:asciiTheme="minorHAnsi" w:hAnsiTheme="minorHAnsi" w:cstheme="minorHAnsi"/>
                <w:i/>
                <w:noProof/>
                <w:sz w:val="18"/>
                <w:szCs w:val="16"/>
              </w:rPr>
              <w:t>0</w:t>
            </w:r>
          </w:p>
        </w:tc>
        <w:tc>
          <w:tcPr>
            <w:tcW w:w="592" w:type="pct"/>
            <w:shd w:val="clear" w:color="auto" w:fill="auto"/>
            <w:vAlign w:val="center"/>
          </w:tcPr>
          <w:p w14:paraId="0FF17E38" w14:textId="77777777" w:rsidR="00A63705" w:rsidRPr="00890249" w:rsidRDefault="002F64CC"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18 50</w:t>
            </w:r>
            <w:r w:rsidR="006E088D" w:rsidRPr="00890249">
              <w:rPr>
                <w:rFonts w:asciiTheme="minorHAnsi" w:hAnsiTheme="minorHAnsi" w:cstheme="minorHAnsi"/>
                <w:i/>
                <w:noProof/>
                <w:sz w:val="18"/>
                <w:szCs w:val="16"/>
              </w:rPr>
              <w:t>0</w:t>
            </w:r>
          </w:p>
        </w:tc>
      </w:tr>
      <w:tr w:rsidR="00A818DF" w:rsidRPr="00890249" w14:paraId="3559EB43" w14:textId="77777777" w:rsidTr="00A818DF">
        <w:trPr>
          <w:trHeight w:val="332"/>
        </w:trPr>
        <w:tc>
          <w:tcPr>
            <w:tcW w:w="290" w:type="pct"/>
            <w:vAlign w:val="center"/>
          </w:tcPr>
          <w:p w14:paraId="63911695" w14:textId="77777777" w:rsidR="00A818DF" w:rsidRPr="00890249" w:rsidRDefault="00A818DF" w:rsidP="00A818DF">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501C2BD1" w14:textId="77777777" w:rsidR="00A818DF" w:rsidRPr="00890249" w:rsidRDefault="00A818DF" w:rsidP="00A818D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4.a</w:t>
            </w:r>
          </w:p>
        </w:tc>
        <w:tc>
          <w:tcPr>
            <w:tcW w:w="384" w:type="pct"/>
            <w:vAlign w:val="center"/>
          </w:tcPr>
          <w:p w14:paraId="63C9DB06" w14:textId="77777777" w:rsidR="00A818DF" w:rsidRPr="00890249" w:rsidRDefault="00A818DF" w:rsidP="00A818D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51E456CF" w14:textId="77777777" w:rsidR="00A818DF" w:rsidRPr="00890249" w:rsidRDefault="00A818DF" w:rsidP="00A818DF">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0" w:type="pct"/>
            <w:vAlign w:val="center"/>
          </w:tcPr>
          <w:p w14:paraId="3FE3370A" w14:textId="77777777" w:rsidR="00A818DF" w:rsidRPr="00890249" w:rsidRDefault="00A818DF" w:rsidP="00A818D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EECO07</w:t>
            </w:r>
          </w:p>
        </w:tc>
        <w:tc>
          <w:tcPr>
            <w:tcW w:w="1226" w:type="pct"/>
            <w:shd w:val="clear" w:color="auto" w:fill="auto"/>
            <w:vAlign w:val="center"/>
          </w:tcPr>
          <w:p w14:paraId="0AC34D6F" w14:textId="77777777" w:rsidR="00A818DF" w:rsidRPr="00890249" w:rsidRDefault="00A818DF" w:rsidP="00A818DF">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w wieku 18-29 lat objętych wsparciem w programie</w:t>
            </w:r>
          </w:p>
        </w:tc>
        <w:tc>
          <w:tcPr>
            <w:tcW w:w="460" w:type="pct"/>
            <w:vAlign w:val="center"/>
          </w:tcPr>
          <w:p w14:paraId="017E43CA" w14:textId="77777777" w:rsidR="00A818DF" w:rsidRPr="00890249" w:rsidRDefault="00A818DF" w:rsidP="00A818D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63FB5327" w14:textId="77777777" w:rsidR="00A818DF" w:rsidRPr="00890249" w:rsidRDefault="00A818DF" w:rsidP="00A818DF">
            <w:pPr>
              <w:jc w:val="center"/>
              <w:rPr>
                <w:rFonts w:asciiTheme="minorHAnsi" w:hAnsiTheme="minorHAnsi" w:cstheme="minorHAnsi"/>
                <w:noProof/>
                <w:sz w:val="18"/>
                <w:szCs w:val="16"/>
              </w:rPr>
            </w:pPr>
            <w:r w:rsidRPr="00890249">
              <w:rPr>
                <w:rFonts w:asciiTheme="minorHAnsi" w:hAnsiTheme="minorHAnsi" w:cstheme="minorHAnsi"/>
                <w:noProof/>
                <w:sz w:val="18"/>
                <w:szCs w:val="16"/>
              </w:rPr>
              <w:t>1 320</w:t>
            </w:r>
          </w:p>
        </w:tc>
        <w:tc>
          <w:tcPr>
            <w:tcW w:w="592" w:type="pct"/>
            <w:shd w:val="clear" w:color="auto" w:fill="auto"/>
            <w:vAlign w:val="center"/>
          </w:tcPr>
          <w:p w14:paraId="3BB1F6E8" w14:textId="77777777" w:rsidR="00A818DF" w:rsidRPr="00890249" w:rsidRDefault="00A818DF" w:rsidP="00A818DF">
            <w:pPr>
              <w:jc w:val="center"/>
              <w:rPr>
                <w:rFonts w:asciiTheme="minorHAnsi" w:hAnsiTheme="minorHAnsi" w:cstheme="minorHAnsi"/>
                <w:noProof/>
                <w:sz w:val="18"/>
                <w:szCs w:val="16"/>
              </w:rPr>
            </w:pPr>
            <w:r w:rsidRPr="00890249">
              <w:rPr>
                <w:rFonts w:asciiTheme="minorHAnsi" w:hAnsiTheme="minorHAnsi" w:cstheme="minorHAnsi"/>
                <w:noProof/>
                <w:sz w:val="18"/>
                <w:szCs w:val="16"/>
              </w:rPr>
              <w:t>4 625</w:t>
            </w:r>
          </w:p>
        </w:tc>
      </w:tr>
      <w:tr w:rsidR="00A818DF" w:rsidRPr="00890249" w14:paraId="7CCB606A" w14:textId="77777777" w:rsidTr="00A818DF">
        <w:trPr>
          <w:trHeight w:val="332"/>
        </w:trPr>
        <w:tc>
          <w:tcPr>
            <w:tcW w:w="290" w:type="pct"/>
            <w:vAlign w:val="center"/>
          </w:tcPr>
          <w:p w14:paraId="55A34008" w14:textId="77777777" w:rsidR="00A818DF" w:rsidRPr="00890249" w:rsidRDefault="00A818DF" w:rsidP="00A818DF">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72DC52D0" w14:textId="77777777" w:rsidR="00A818DF" w:rsidRPr="00890249" w:rsidRDefault="00A818DF" w:rsidP="00A818DF">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4.a</w:t>
            </w:r>
          </w:p>
        </w:tc>
        <w:tc>
          <w:tcPr>
            <w:tcW w:w="384" w:type="pct"/>
            <w:vAlign w:val="center"/>
          </w:tcPr>
          <w:p w14:paraId="0961E296" w14:textId="77777777" w:rsidR="00A818DF" w:rsidRPr="00890249" w:rsidRDefault="00A818DF" w:rsidP="00A818DF">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0B3E5310" w14:textId="77777777" w:rsidR="00A818DF" w:rsidRPr="00890249" w:rsidRDefault="00A818DF" w:rsidP="00A818DF">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0" w:type="pct"/>
            <w:vAlign w:val="center"/>
          </w:tcPr>
          <w:p w14:paraId="7105339F" w14:textId="77777777" w:rsidR="00A818DF" w:rsidRPr="00890249" w:rsidRDefault="00A818DF" w:rsidP="00A818DF">
            <w:pPr>
              <w:jc w:val="center"/>
              <w:rPr>
                <w:rFonts w:asciiTheme="minorHAnsi" w:hAnsiTheme="minorHAnsi" w:cstheme="minorHAnsi"/>
                <w:i/>
                <w:sz w:val="18"/>
                <w:szCs w:val="16"/>
              </w:rPr>
            </w:pPr>
            <w:r w:rsidRPr="00890249">
              <w:rPr>
                <w:rFonts w:asciiTheme="minorHAnsi" w:eastAsiaTheme="minorHAnsi" w:hAnsiTheme="minorHAnsi" w:cstheme="minorHAnsi"/>
                <w:i/>
                <w:noProof/>
                <w:sz w:val="18"/>
                <w:szCs w:val="16"/>
                <w:lang w:eastAsia="en-US" w:bidi="ar-SA"/>
              </w:rPr>
              <w:t>PLACO01</w:t>
            </w:r>
          </w:p>
        </w:tc>
        <w:tc>
          <w:tcPr>
            <w:tcW w:w="1226" w:type="pct"/>
            <w:shd w:val="clear" w:color="auto" w:fill="auto"/>
            <w:vAlign w:val="center"/>
          </w:tcPr>
          <w:p w14:paraId="6F9A5E68" w14:textId="77777777" w:rsidR="00A818DF" w:rsidRPr="00890249" w:rsidRDefault="00A818DF" w:rsidP="00A818DF">
            <w:pPr>
              <w:jc w:val="left"/>
              <w:rPr>
                <w:rFonts w:asciiTheme="minorHAnsi" w:hAnsiTheme="minorHAnsi" w:cstheme="minorHAnsi"/>
                <w:i/>
                <w:sz w:val="18"/>
                <w:szCs w:val="16"/>
              </w:rPr>
            </w:pPr>
            <w:r w:rsidRPr="00890249">
              <w:rPr>
                <w:rFonts w:asciiTheme="minorHAnsi" w:eastAsiaTheme="minorHAnsi" w:hAnsiTheme="minorHAnsi" w:cstheme="minorHAnsi"/>
                <w:i/>
                <w:noProof/>
                <w:sz w:val="18"/>
                <w:szCs w:val="16"/>
                <w:lang w:eastAsia="en-US" w:bidi="ar-SA"/>
              </w:rPr>
              <w:t>Liczba osób, które otrzymały bezzwrotne środki na podjęcie działalności gospodarczej w programie</w:t>
            </w:r>
          </w:p>
        </w:tc>
        <w:tc>
          <w:tcPr>
            <w:tcW w:w="460" w:type="pct"/>
            <w:vAlign w:val="center"/>
          </w:tcPr>
          <w:p w14:paraId="1024C188" w14:textId="77777777" w:rsidR="00A818DF" w:rsidRPr="00890249" w:rsidRDefault="00A818DF" w:rsidP="00A818DF">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6D213AB9" w14:textId="77777777" w:rsidR="00A818DF" w:rsidRPr="00890249" w:rsidRDefault="00A818DF" w:rsidP="00A818DF">
            <w:pPr>
              <w:jc w:val="center"/>
              <w:rPr>
                <w:rFonts w:asciiTheme="minorHAnsi" w:hAnsiTheme="minorHAnsi" w:cstheme="minorHAnsi"/>
                <w:noProof/>
                <w:sz w:val="18"/>
                <w:szCs w:val="16"/>
              </w:rPr>
            </w:pPr>
            <w:r w:rsidRPr="00890249">
              <w:rPr>
                <w:rFonts w:asciiTheme="minorHAnsi" w:hAnsiTheme="minorHAnsi" w:cstheme="minorHAnsi"/>
                <w:noProof/>
                <w:sz w:val="18"/>
                <w:szCs w:val="16"/>
              </w:rPr>
              <w:t>630</w:t>
            </w:r>
          </w:p>
        </w:tc>
        <w:tc>
          <w:tcPr>
            <w:tcW w:w="592" w:type="pct"/>
            <w:shd w:val="clear" w:color="auto" w:fill="auto"/>
            <w:vAlign w:val="center"/>
          </w:tcPr>
          <w:p w14:paraId="2ED6AD84" w14:textId="77777777" w:rsidR="00A818DF" w:rsidRPr="00890249" w:rsidRDefault="00A818DF" w:rsidP="00A818DF">
            <w:pPr>
              <w:jc w:val="center"/>
              <w:rPr>
                <w:rFonts w:asciiTheme="minorHAnsi" w:hAnsiTheme="minorHAnsi" w:cstheme="minorHAnsi"/>
                <w:noProof/>
                <w:sz w:val="18"/>
                <w:szCs w:val="16"/>
              </w:rPr>
            </w:pPr>
            <w:r w:rsidRPr="00890249">
              <w:rPr>
                <w:rFonts w:asciiTheme="minorHAnsi" w:hAnsiTheme="minorHAnsi" w:cstheme="minorHAnsi"/>
                <w:noProof/>
                <w:sz w:val="18"/>
                <w:szCs w:val="16"/>
              </w:rPr>
              <w:t>2 220</w:t>
            </w:r>
          </w:p>
        </w:tc>
      </w:tr>
    </w:tbl>
    <w:p w14:paraId="213EBCF1" w14:textId="77777777" w:rsidR="00E03FED" w:rsidRPr="00890249" w:rsidRDefault="00E03FED" w:rsidP="006100D7">
      <w:pPr>
        <w:spacing w:before="0" w:after="160" w:line="259" w:lineRule="auto"/>
        <w:jc w:val="left"/>
        <w:rPr>
          <w:rFonts w:asciiTheme="minorHAnsi" w:eastAsia="Times New Roman" w:hAnsiTheme="minorHAnsi" w:cstheme="minorHAnsi"/>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49"/>
        <w:gridCol w:w="690"/>
        <w:gridCol w:w="1004"/>
        <w:gridCol w:w="772"/>
        <w:gridCol w:w="1379"/>
        <w:gridCol w:w="826"/>
        <w:gridCol w:w="690"/>
        <w:gridCol w:w="593"/>
        <w:gridCol w:w="558"/>
        <w:gridCol w:w="603"/>
        <w:gridCol w:w="678"/>
      </w:tblGrid>
      <w:tr w:rsidR="0098169C" w:rsidRPr="00890249" w14:paraId="6E7DB1EE" w14:textId="77777777" w:rsidTr="00547D2A">
        <w:trPr>
          <w:trHeight w:val="480"/>
        </w:trPr>
        <w:tc>
          <w:tcPr>
            <w:tcW w:w="5000" w:type="pct"/>
            <w:gridSpan w:val="12"/>
            <w:shd w:val="clear" w:color="auto" w:fill="D9D9D9" w:themeFill="background1" w:themeFillShade="D9"/>
          </w:tcPr>
          <w:p w14:paraId="7EE33BE5"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98169C" w:rsidRPr="00890249" w14:paraId="65441897" w14:textId="77777777" w:rsidTr="00547D2A">
        <w:trPr>
          <w:cantSplit/>
          <w:trHeight w:val="1768"/>
        </w:trPr>
        <w:tc>
          <w:tcPr>
            <w:tcW w:w="286" w:type="pct"/>
            <w:shd w:val="clear" w:color="auto" w:fill="F2F2F2" w:themeFill="background1" w:themeFillShade="F2"/>
            <w:textDirection w:val="btLr"/>
            <w:vAlign w:val="center"/>
          </w:tcPr>
          <w:p w14:paraId="671FED79"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3" w:type="pct"/>
            <w:shd w:val="clear" w:color="auto" w:fill="F2F2F2" w:themeFill="background1" w:themeFillShade="F2"/>
            <w:textDirection w:val="btLr"/>
            <w:vAlign w:val="center"/>
          </w:tcPr>
          <w:p w14:paraId="4EE6181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1" w:type="pct"/>
            <w:shd w:val="clear" w:color="auto" w:fill="F2F2F2" w:themeFill="background1" w:themeFillShade="F2"/>
            <w:textDirection w:val="btLr"/>
            <w:vAlign w:val="center"/>
          </w:tcPr>
          <w:p w14:paraId="6C372217"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4" w:type="pct"/>
            <w:shd w:val="clear" w:color="auto" w:fill="F2F2F2" w:themeFill="background1" w:themeFillShade="F2"/>
            <w:textDirection w:val="btLr"/>
            <w:vAlign w:val="center"/>
          </w:tcPr>
          <w:p w14:paraId="1A23B03D"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6" w:type="pct"/>
            <w:shd w:val="clear" w:color="auto" w:fill="F2F2F2" w:themeFill="background1" w:themeFillShade="F2"/>
            <w:textDirection w:val="btLr"/>
            <w:vAlign w:val="center"/>
          </w:tcPr>
          <w:p w14:paraId="662CCC94"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1" w:type="pct"/>
            <w:shd w:val="clear" w:color="auto" w:fill="F2F2F2" w:themeFill="background1" w:themeFillShade="F2"/>
            <w:textDirection w:val="btLr"/>
            <w:vAlign w:val="center"/>
          </w:tcPr>
          <w:p w14:paraId="5FB14159"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6" w:type="pct"/>
            <w:shd w:val="clear" w:color="auto" w:fill="F2F2F2" w:themeFill="background1" w:themeFillShade="F2"/>
            <w:textDirection w:val="btLr"/>
            <w:vAlign w:val="center"/>
          </w:tcPr>
          <w:p w14:paraId="2E24EFA4"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1" w:type="pct"/>
            <w:shd w:val="clear" w:color="auto" w:fill="F2F2F2" w:themeFill="background1" w:themeFillShade="F2"/>
            <w:textDirection w:val="btLr"/>
            <w:vAlign w:val="center"/>
          </w:tcPr>
          <w:p w14:paraId="5A0A272A"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7" w:type="pct"/>
            <w:shd w:val="clear" w:color="auto" w:fill="F2F2F2" w:themeFill="background1" w:themeFillShade="F2"/>
            <w:textDirection w:val="btLr"/>
            <w:vAlign w:val="center"/>
          </w:tcPr>
          <w:p w14:paraId="528D6620"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8" w:type="pct"/>
            <w:shd w:val="clear" w:color="auto" w:fill="F2F2F2" w:themeFill="background1" w:themeFillShade="F2"/>
            <w:textDirection w:val="btLr"/>
            <w:vAlign w:val="center"/>
          </w:tcPr>
          <w:p w14:paraId="1593BABC"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3" w:type="pct"/>
            <w:shd w:val="clear" w:color="auto" w:fill="F2F2F2" w:themeFill="background1" w:themeFillShade="F2"/>
            <w:textDirection w:val="btLr"/>
            <w:vAlign w:val="center"/>
          </w:tcPr>
          <w:p w14:paraId="5F6F815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74" w:type="pct"/>
            <w:shd w:val="clear" w:color="auto" w:fill="F2F2F2" w:themeFill="background1" w:themeFillShade="F2"/>
            <w:textDirection w:val="btLr"/>
            <w:vAlign w:val="center"/>
          </w:tcPr>
          <w:p w14:paraId="53C26FB3"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4C3250" w:rsidRPr="00890249" w14:paraId="460C5222" w14:textId="77777777" w:rsidTr="00547D2A">
        <w:trPr>
          <w:trHeight w:val="434"/>
        </w:trPr>
        <w:tc>
          <w:tcPr>
            <w:tcW w:w="286" w:type="pct"/>
            <w:vAlign w:val="center"/>
          </w:tcPr>
          <w:p w14:paraId="00704EA6" w14:textId="77777777" w:rsidR="004C3250" w:rsidRPr="00890249" w:rsidRDefault="00E76BD1" w:rsidP="00243079">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3" w:type="pct"/>
            <w:vAlign w:val="center"/>
          </w:tcPr>
          <w:p w14:paraId="6F85D818" w14:textId="77777777" w:rsidR="004C3250" w:rsidRPr="00890249" w:rsidRDefault="004C3250" w:rsidP="004C325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w:t>
            </w:r>
            <w:r w:rsidR="00243079" w:rsidRPr="00890249">
              <w:rPr>
                <w:rFonts w:asciiTheme="minorHAnsi" w:eastAsiaTheme="minorHAnsi" w:hAnsiTheme="minorHAnsi" w:cstheme="minorHAnsi"/>
                <w:i/>
                <w:noProof/>
                <w:sz w:val="18"/>
                <w:szCs w:val="16"/>
                <w:lang w:eastAsia="en-US" w:bidi="ar-SA"/>
              </w:rPr>
              <w:t>a</w:t>
            </w:r>
          </w:p>
        </w:tc>
        <w:tc>
          <w:tcPr>
            <w:tcW w:w="381" w:type="pct"/>
            <w:vAlign w:val="center"/>
          </w:tcPr>
          <w:p w14:paraId="7CC00DD9" w14:textId="77777777" w:rsidR="004C3250" w:rsidRPr="00890249" w:rsidRDefault="004C3250" w:rsidP="004C325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4" w:type="pct"/>
            <w:vAlign w:val="center"/>
          </w:tcPr>
          <w:p w14:paraId="6EE0303F" w14:textId="77777777" w:rsidR="004C3250" w:rsidRPr="00890249" w:rsidRDefault="00E76BD1" w:rsidP="004C3250">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6" w:type="pct"/>
            <w:vAlign w:val="center"/>
          </w:tcPr>
          <w:p w14:paraId="29A7C8D0" w14:textId="77777777" w:rsidR="004C3250" w:rsidRPr="00890249" w:rsidRDefault="002F64CC" w:rsidP="004C325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EECR04</w:t>
            </w:r>
          </w:p>
        </w:tc>
        <w:tc>
          <w:tcPr>
            <w:tcW w:w="761" w:type="pct"/>
            <w:shd w:val="clear" w:color="auto" w:fill="auto"/>
            <w:vAlign w:val="center"/>
          </w:tcPr>
          <w:p w14:paraId="24CFAB01" w14:textId="08964AAF" w:rsidR="004C3250" w:rsidRPr="00890249" w:rsidRDefault="002F64CC" w:rsidP="004C3250">
            <w:pPr>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pracujących, łącznie z prowadzącymi działalność na własny rachunek po opuszczeniu programu</w:t>
            </w:r>
          </w:p>
        </w:tc>
        <w:tc>
          <w:tcPr>
            <w:tcW w:w="456" w:type="pct"/>
            <w:vAlign w:val="center"/>
          </w:tcPr>
          <w:p w14:paraId="4DE01E3A" w14:textId="77777777" w:rsidR="004C3250" w:rsidRPr="00890249" w:rsidRDefault="002576D4" w:rsidP="004C325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381" w:type="pct"/>
            <w:vAlign w:val="center"/>
          </w:tcPr>
          <w:p w14:paraId="29F4813F" w14:textId="415CC09F" w:rsidR="004C3250" w:rsidRPr="00890249" w:rsidRDefault="006A700C" w:rsidP="0098169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12 692</w:t>
            </w:r>
          </w:p>
        </w:tc>
        <w:tc>
          <w:tcPr>
            <w:tcW w:w="327" w:type="pct"/>
            <w:vAlign w:val="center"/>
          </w:tcPr>
          <w:p w14:paraId="240F1020" w14:textId="77777777" w:rsidR="004C3250" w:rsidRPr="00890249" w:rsidRDefault="002F64CC" w:rsidP="0098169C">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08" w:type="pct"/>
            <w:shd w:val="clear" w:color="auto" w:fill="auto"/>
            <w:vAlign w:val="center"/>
          </w:tcPr>
          <w:p w14:paraId="70EA64FA" w14:textId="1E566549" w:rsidR="004C3250" w:rsidRPr="00890249" w:rsidRDefault="006A700C" w:rsidP="0098169C">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12 950</w:t>
            </w:r>
          </w:p>
        </w:tc>
        <w:tc>
          <w:tcPr>
            <w:tcW w:w="333" w:type="pct"/>
            <w:shd w:val="clear" w:color="auto" w:fill="auto"/>
            <w:vAlign w:val="center"/>
          </w:tcPr>
          <w:p w14:paraId="6B30C45A" w14:textId="77777777" w:rsidR="004C3250" w:rsidRPr="00890249" w:rsidRDefault="00D31E60" w:rsidP="0098169C">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74" w:type="pct"/>
            <w:vAlign w:val="center"/>
          </w:tcPr>
          <w:p w14:paraId="48E9A283" w14:textId="73786CF8" w:rsidR="004C3250" w:rsidRPr="00890249" w:rsidRDefault="006A700C" w:rsidP="0098169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EECO02</w:t>
            </w:r>
          </w:p>
        </w:tc>
      </w:tr>
    </w:tbl>
    <w:p w14:paraId="61B7B452" w14:textId="390F6B4A" w:rsidR="00114890" w:rsidRPr="00890249" w:rsidRDefault="00114890" w:rsidP="004B46F4">
      <w:pPr>
        <w:spacing w:before="240" w:after="240"/>
        <w:rPr>
          <w:rFonts w:asciiTheme="minorHAnsi" w:hAnsiTheme="minorHAnsi" w:cstheme="minorHAnsi"/>
          <w:b/>
          <w:noProof/>
          <w:sz w:val="22"/>
          <w:szCs w:val="22"/>
        </w:rPr>
      </w:pPr>
    </w:p>
    <w:p w14:paraId="1F93B6C6" w14:textId="77777777" w:rsidR="00114890" w:rsidRPr="00890249" w:rsidRDefault="00114890">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br w:type="page"/>
      </w:r>
    </w:p>
    <w:p w14:paraId="4F8B2E41" w14:textId="77777777" w:rsidR="0097068C" w:rsidRPr="00890249" w:rsidRDefault="0097068C" w:rsidP="0097068C">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2.1.5.1.3 (a) Orientacyjny podział zasobów programu (UE) według rodzaju interwencji</w:t>
      </w:r>
    </w:p>
    <w:tbl>
      <w:tblPr>
        <w:tblStyle w:val="Tabela-Siatka"/>
        <w:tblW w:w="0" w:type="auto"/>
        <w:tblLook w:val="04A0" w:firstRow="1" w:lastRow="0" w:firstColumn="1" w:lastColumn="0" w:noHBand="0" w:noVBand="1"/>
      </w:tblPr>
      <w:tblGrid>
        <w:gridCol w:w="1422"/>
        <w:gridCol w:w="1223"/>
        <w:gridCol w:w="1315"/>
        <w:gridCol w:w="1623"/>
        <w:gridCol w:w="1675"/>
        <w:gridCol w:w="1803"/>
      </w:tblGrid>
      <w:tr w:rsidR="00D55F49" w:rsidRPr="00890249" w14:paraId="57E04B44" w14:textId="77777777" w:rsidTr="00FB44E7">
        <w:tc>
          <w:tcPr>
            <w:tcW w:w="9287" w:type="dxa"/>
            <w:gridSpan w:val="6"/>
            <w:shd w:val="clear" w:color="auto" w:fill="D9D9D9" w:themeFill="background1" w:themeFillShade="D9"/>
          </w:tcPr>
          <w:p w14:paraId="57B50DD3" w14:textId="77777777" w:rsidR="00D55F49" w:rsidRPr="00890249" w:rsidRDefault="00D55F49"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D55F49" w:rsidRPr="00890249" w14:paraId="08AA7C4B" w14:textId="77777777" w:rsidTr="00FB44E7">
        <w:tc>
          <w:tcPr>
            <w:tcW w:w="1459" w:type="dxa"/>
            <w:shd w:val="clear" w:color="auto" w:fill="F2F2F2" w:themeFill="background1" w:themeFillShade="F2"/>
          </w:tcPr>
          <w:p w14:paraId="52B453F5"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56" w:type="dxa"/>
            <w:shd w:val="clear" w:color="auto" w:fill="F2F2F2" w:themeFill="background1" w:themeFillShade="F2"/>
          </w:tcPr>
          <w:p w14:paraId="6B05B930"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39" w:type="dxa"/>
            <w:shd w:val="clear" w:color="auto" w:fill="F2F2F2" w:themeFill="background1" w:themeFillShade="F2"/>
          </w:tcPr>
          <w:p w14:paraId="559E68D0"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61" w:type="dxa"/>
            <w:shd w:val="clear" w:color="auto" w:fill="F2F2F2" w:themeFill="background1" w:themeFillShade="F2"/>
          </w:tcPr>
          <w:p w14:paraId="3927CF80"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75" w:type="dxa"/>
            <w:shd w:val="clear" w:color="auto" w:fill="F2F2F2" w:themeFill="background1" w:themeFillShade="F2"/>
          </w:tcPr>
          <w:p w14:paraId="47503678" w14:textId="778A97BD"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97" w:type="dxa"/>
            <w:shd w:val="clear" w:color="auto" w:fill="F2F2F2" w:themeFill="background1" w:themeFillShade="F2"/>
          </w:tcPr>
          <w:p w14:paraId="6B4672AE"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FB44E7" w:rsidRPr="00890249" w14:paraId="75B50B41" w14:textId="77777777" w:rsidTr="00FB44E7">
        <w:trPr>
          <w:trHeight w:val="284"/>
        </w:trPr>
        <w:tc>
          <w:tcPr>
            <w:tcW w:w="1459" w:type="dxa"/>
            <w:vMerge w:val="restart"/>
            <w:vAlign w:val="center"/>
          </w:tcPr>
          <w:p w14:paraId="0F6EFF1F" w14:textId="77777777" w:rsidR="00FB44E7" w:rsidRPr="00890249" w:rsidRDefault="00FB44E7" w:rsidP="00BD5A2B">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256" w:type="dxa"/>
            <w:vMerge w:val="restart"/>
            <w:vAlign w:val="center"/>
          </w:tcPr>
          <w:p w14:paraId="303E12BE" w14:textId="77777777" w:rsidR="00FB44E7" w:rsidRPr="00890249" w:rsidRDefault="00FB44E7" w:rsidP="00BD5A2B">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39" w:type="dxa"/>
            <w:vMerge w:val="restart"/>
            <w:vAlign w:val="center"/>
          </w:tcPr>
          <w:p w14:paraId="5861CBA1" w14:textId="77777777" w:rsidR="00FB44E7" w:rsidRPr="00890249" w:rsidRDefault="00FB44E7"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61" w:type="dxa"/>
            <w:vMerge w:val="restart"/>
            <w:vAlign w:val="center"/>
          </w:tcPr>
          <w:p w14:paraId="3ACDB9B4" w14:textId="77777777" w:rsidR="00FB44E7" w:rsidRPr="00890249" w:rsidRDefault="00FB44E7" w:rsidP="00243079">
            <w:pPr>
              <w:jc w:val="center"/>
              <w:rPr>
                <w:rFonts w:asciiTheme="minorHAnsi" w:hAnsiTheme="minorHAnsi" w:cstheme="minorHAnsi"/>
                <w:noProof/>
                <w:sz w:val="20"/>
              </w:rPr>
            </w:pPr>
            <w:r w:rsidRPr="00890249">
              <w:rPr>
                <w:rFonts w:asciiTheme="minorHAnsi" w:hAnsiTheme="minorHAnsi" w:cstheme="minorHAnsi"/>
                <w:noProof/>
                <w:sz w:val="20"/>
              </w:rPr>
              <w:t>(a)</w:t>
            </w:r>
          </w:p>
        </w:tc>
        <w:tc>
          <w:tcPr>
            <w:tcW w:w="1675" w:type="dxa"/>
          </w:tcPr>
          <w:p w14:paraId="0159FC8C" w14:textId="77777777" w:rsidR="00FB44E7" w:rsidRPr="00890249" w:rsidRDefault="00FB44E7" w:rsidP="00BD5A2B">
            <w:pPr>
              <w:jc w:val="center"/>
              <w:rPr>
                <w:rFonts w:asciiTheme="minorHAnsi" w:hAnsiTheme="minorHAnsi" w:cstheme="minorHAnsi"/>
                <w:noProof/>
                <w:sz w:val="20"/>
              </w:rPr>
            </w:pPr>
            <w:r w:rsidRPr="00890249">
              <w:rPr>
                <w:rFonts w:asciiTheme="minorHAnsi" w:hAnsiTheme="minorHAnsi" w:cstheme="minorHAnsi"/>
                <w:noProof/>
                <w:sz w:val="20"/>
              </w:rPr>
              <w:t>134 Działania na rzecz poprawy dostępu do zatrudniania</w:t>
            </w:r>
          </w:p>
        </w:tc>
        <w:tc>
          <w:tcPr>
            <w:tcW w:w="1897" w:type="dxa"/>
          </w:tcPr>
          <w:p w14:paraId="743A2547" w14:textId="1354E941" w:rsidR="00FB44E7" w:rsidRPr="00890249" w:rsidRDefault="00FB44E7" w:rsidP="00BD5A2B">
            <w:pPr>
              <w:jc w:val="right"/>
              <w:rPr>
                <w:rFonts w:asciiTheme="minorHAnsi" w:hAnsiTheme="minorHAnsi" w:cstheme="minorHAnsi"/>
                <w:noProof/>
                <w:sz w:val="20"/>
              </w:rPr>
            </w:pPr>
            <w:r w:rsidRPr="00890249">
              <w:rPr>
                <w:rFonts w:asciiTheme="minorHAnsi" w:hAnsiTheme="minorHAnsi" w:cstheme="minorHAnsi"/>
                <w:noProof/>
                <w:sz w:val="20"/>
              </w:rPr>
              <w:t>27 </w:t>
            </w:r>
            <w:r w:rsidR="00D3644E" w:rsidRPr="00890249">
              <w:rPr>
                <w:rFonts w:asciiTheme="minorHAnsi" w:hAnsiTheme="minorHAnsi" w:cstheme="minorHAnsi"/>
                <w:noProof/>
                <w:sz w:val="20"/>
              </w:rPr>
              <w:t>95</w:t>
            </w:r>
            <w:r w:rsidRPr="00890249">
              <w:rPr>
                <w:rFonts w:asciiTheme="minorHAnsi" w:hAnsiTheme="minorHAnsi" w:cstheme="minorHAnsi"/>
                <w:noProof/>
                <w:sz w:val="20"/>
              </w:rPr>
              <w:t>0 000</w:t>
            </w:r>
          </w:p>
        </w:tc>
      </w:tr>
      <w:tr w:rsidR="00FB44E7" w:rsidRPr="00890249" w14:paraId="580CCC0F" w14:textId="77777777" w:rsidTr="00FB44E7">
        <w:trPr>
          <w:trHeight w:val="284"/>
        </w:trPr>
        <w:tc>
          <w:tcPr>
            <w:tcW w:w="1459" w:type="dxa"/>
            <w:vMerge/>
          </w:tcPr>
          <w:p w14:paraId="3D7DA8BC" w14:textId="77777777" w:rsidR="00FB44E7" w:rsidRPr="00890249" w:rsidRDefault="00FB44E7" w:rsidP="00BD5A2B">
            <w:pPr>
              <w:jc w:val="center"/>
              <w:rPr>
                <w:rFonts w:asciiTheme="minorHAnsi" w:hAnsiTheme="minorHAnsi" w:cstheme="minorHAnsi"/>
                <w:noProof/>
                <w:sz w:val="20"/>
              </w:rPr>
            </w:pPr>
          </w:p>
        </w:tc>
        <w:tc>
          <w:tcPr>
            <w:tcW w:w="1256" w:type="dxa"/>
            <w:vMerge/>
          </w:tcPr>
          <w:p w14:paraId="18BF1256" w14:textId="77777777" w:rsidR="00FB44E7" w:rsidRPr="00890249" w:rsidRDefault="00FB44E7" w:rsidP="00BD5A2B">
            <w:pPr>
              <w:jc w:val="center"/>
              <w:rPr>
                <w:rFonts w:asciiTheme="minorHAnsi" w:hAnsiTheme="minorHAnsi" w:cstheme="minorHAnsi"/>
                <w:noProof/>
                <w:sz w:val="20"/>
              </w:rPr>
            </w:pPr>
          </w:p>
        </w:tc>
        <w:tc>
          <w:tcPr>
            <w:tcW w:w="1339" w:type="dxa"/>
            <w:vMerge/>
          </w:tcPr>
          <w:p w14:paraId="752F1F24" w14:textId="77777777" w:rsidR="00FB44E7" w:rsidRPr="00890249" w:rsidRDefault="00FB44E7" w:rsidP="00BD5A2B">
            <w:pPr>
              <w:jc w:val="center"/>
              <w:rPr>
                <w:rFonts w:asciiTheme="minorHAnsi" w:hAnsiTheme="minorHAnsi" w:cstheme="minorHAnsi"/>
                <w:noProof/>
                <w:sz w:val="20"/>
              </w:rPr>
            </w:pPr>
          </w:p>
        </w:tc>
        <w:tc>
          <w:tcPr>
            <w:tcW w:w="1661" w:type="dxa"/>
            <w:vMerge/>
            <w:vAlign w:val="center"/>
          </w:tcPr>
          <w:p w14:paraId="2BCAA73C" w14:textId="77777777" w:rsidR="00FB44E7" w:rsidRPr="00890249" w:rsidRDefault="00FB44E7" w:rsidP="00BD5A2B">
            <w:pPr>
              <w:jc w:val="center"/>
              <w:rPr>
                <w:rFonts w:asciiTheme="minorHAnsi" w:hAnsiTheme="minorHAnsi" w:cstheme="minorHAnsi"/>
                <w:noProof/>
                <w:sz w:val="20"/>
              </w:rPr>
            </w:pPr>
          </w:p>
        </w:tc>
        <w:tc>
          <w:tcPr>
            <w:tcW w:w="1675" w:type="dxa"/>
          </w:tcPr>
          <w:p w14:paraId="187E65B7" w14:textId="77777777" w:rsidR="00FB44E7" w:rsidRPr="00890249" w:rsidRDefault="00FB44E7" w:rsidP="00BD5A2B">
            <w:pPr>
              <w:jc w:val="center"/>
              <w:rPr>
                <w:rFonts w:asciiTheme="minorHAnsi" w:hAnsiTheme="minorHAnsi" w:cstheme="minorHAnsi"/>
                <w:noProof/>
                <w:sz w:val="20"/>
              </w:rPr>
            </w:pPr>
            <w:r w:rsidRPr="00890249">
              <w:rPr>
                <w:rFonts w:asciiTheme="minorHAnsi" w:hAnsiTheme="minorHAnsi" w:cstheme="minorHAnsi"/>
                <w:noProof/>
                <w:sz w:val="20"/>
              </w:rPr>
              <w:t>136 Wsparcie szczególne na rzecz zatrudnienia ludzi młodych i integracji społeczno-gospodarczej ludzi młodych</w:t>
            </w:r>
          </w:p>
        </w:tc>
        <w:tc>
          <w:tcPr>
            <w:tcW w:w="1897" w:type="dxa"/>
          </w:tcPr>
          <w:p w14:paraId="4410EACE" w14:textId="3E326F19" w:rsidR="00FB44E7" w:rsidRPr="00890249" w:rsidRDefault="007C0CEB" w:rsidP="00BD5A2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 xml:space="preserve">24 </w:t>
            </w:r>
            <w:r w:rsidR="005A1433">
              <w:rPr>
                <w:rFonts w:asciiTheme="minorHAnsi" w:hAnsiTheme="minorHAnsi" w:cstheme="minorHAnsi"/>
                <w:noProof/>
                <w:sz w:val="20"/>
              </w:rPr>
              <w:t>3</w:t>
            </w:r>
            <w:r>
              <w:rPr>
                <w:rFonts w:asciiTheme="minorHAnsi" w:hAnsiTheme="minorHAnsi" w:cstheme="minorHAnsi"/>
                <w:noProof/>
                <w:sz w:val="20"/>
              </w:rPr>
              <w:t>00 000</w:t>
            </w:r>
            <w:r w:rsidR="00FB44E7" w:rsidRPr="00890249">
              <w:rPr>
                <w:rFonts w:asciiTheme="minorHAnsi" w:hAnsiTheme="minorHAnsi" w:cstheme="minorHAnsi"/>
                <w:noProof/>
                <w:sz w:val="20"/>
              </w:rPr>
              <w:t xml:space="preserve"> </w:t>
            </w:r>
          </w:p>
        </w:tc>
      </w:tr>
      <w:tr w:rsidR="00FB44E7" w:rsidRPr="00890249" w14:paraId="0A7F2839" w14:textId="77777777" w:rsidTr="00FB44E7">
        <w:trPr>
          <w:trHeight w:val="284"/>
        </w:trPr>
        <w:tc>
          <w:tcPr>
            <w:tcW w:w="1459" w:type="dxa"/>
            <w:vMerge/>
          </w:tcPr>
          <w:p w14:paraId="7DFD3283" w14:textId="77777777" w:rsidR="00FB44E7" w:rsidRPr="00890249" w:rsidRDefault="00FB44E7" w:rsidP="00BD5A2B">
            <w:pPr>
              <w:jc w:val="center"/>
              <w:rPr>
                <w:rFonts w:asciiTheme="minorHAnsi" w:hAnsiTheme="minorHAnsi" w:cstheme="minorHAnsi"/>
                <w:noProof/>
                <w:sz w:val="20"/>
              </w:rPr>
            </w:pPr>
          </w:p>
        </w:tc>
        <w:tc>
          <w:tcPr>
            <w:tcW w:w="1256" w:type="dxa"/>
            <w:vMerge/>
          </w:tcPr>
          <w:p w14:paraId="7587CE56" w14:textId="77777777" w:rsidR="00FB44E7" w:rsidRPr="00890249" w:rsidRDefault="00FB44E7" w:rsidP="00BD5A2B">
            <w:pPr>
              <w:jc w:val="center"/>
              <w:rPr>
                <w:rFonts w:asciiTheme="minorHAnsi" w:hAnsiTheme="minorHAnsi" w:cstheme="minorHAnsi"/>
                <w:noProof/>
                <w:sz w:val="20"/>
              </w:rPr>
            </w:pPr>
          </w:p>
        </w:tc>
        <w:tc>
          <w:tcPr>
            <w:tcW w:w="1339" w:type="dxa"/>
            <w:vMerge/>
          </w:tcPr>
          <w:p w14:paraId="7603B818" w14:textId="77777777" w:rsidR="00FB44E7" w:rsidRPr="00890249" w:rsidRDefault="00FB44E7" w:rsidP="00BD5A2B">
            <w:pPr>
              <w:jc w:val="center"/>
              <w:rPr>
                <w:rFonts w:asciiTheme="minorHAnsi" w:hAnsiTheme="minorHAnsi" w:cstheme="minorHAnsi"/>
                <w:noProof/>
                <w:sz w:val="20"/>
              </w:rPr>
            </w:pPr>
          </w:p>
        </w:tc>
        <w:tc>
          <w:tcPr>
            <w:tcW w:w="1661" w:type="dxa"/>
            <w:vMerge/>
            <w:vAlign w:val="center"/>
          </w:tcPr>
          <w:p w14:paraId="07BA5E7E" w14:textId="77777777" w:rsidR="00FB44E7" w:rsidRPr="00890249" w:rsidRDefault="00FB44E7" w:rsidP="00BD5A2B">
            <w:pPr>
              <w:jc w:val="center"/>
              <w:rPr>
                <w:rFonts w:asciiTheme="minorHAnsi" w:hAnsiTheme="minorHAnsi" w:cstheme="minorHAnsi"/>
                <w:noProof/>
                <w:sz w:val="20"/>
              </w:rPr>
            </w:pPr>
          </w:p>
        </w:tc>
        <w:tc>
          <w:tcPr>
            <w:tcW w:w="1675" w:type="dxa"/>
          </w:tcPr>
          <w:p w14:paraId="13C7BF4C" w14:textId="77777777" w:rsidR="00FB44E7" w:rsidRPr="00890249" w:rsidRDefault="00FB44E7" w:rsidP="00BD5A2B">
            <w:pPr>
              <w:jc w:val="center"/>
              <w:rPr>
                <w:rFonts w:asciiTheme="minorHAnsi" w:hAnsiTheme="minorHAnsi" w:cstheme="minorHAnsi"/>
                <w:noProof/>
                <w:sz w:val="20"/>
              </w:rPr>
            </w:pPr>
            <w:r w:rsidRPr="00890249">
              <w:rPr>
                <w:rFonts w:asciiTheme="minorHAnsi" w:hAnsiTheme="minorHAnsi" w:cstheme="minorHAnsi"/>
                <w:noProof/>
                <w:sz w:val="20"/>
              </w:rPr>
              <w:t>137 Wsparcie na rzecz samozatrudnienia i zakładania działalności gospodarczej typu start-up</w:t>
            </w:r>
          </w:p>
        </w:tc>
        <w:tc>
          <w:tcPr>
            <w:tcW w:w="1897" w:type="dxa"/>
          </w:tcPr>
          <w:p w14:paraId="710290F0" w14:textId="1B329570" w:rsidR="00FB44E7" w:rsidRPr="00890249" w:rsidRDefault="00D3644E" w:rsidP="00BD5A2B">
            <w:pPr>
              <w:jc w:val="right"/>
              <w:rPr>
                <w:rFonts w:asciiTheme="minorHAnsi" w:hAnsiTheme="minorHAnsi" w:cstheme="minorHAnsi"/>
                <w:noProof/>
                <w:sz w:val="20"/>
              </w:rPr>
            </w:pPr>
            <w:r w:rsidRPr="00890249">
              <w:rPr>
                <w:rFonts w:asciiTheme="minorHAnsi" w:hAnsiTheme="minorHAnsi" w:cstheme="minorHAnsi"/>
                <w:noProof/>
                <w:sz w:val="20"/>
              </w:rPr>
              <w:t>3 950</w:t>
            </w:r>
            <w:r w:rsidR="00FB44E7" w:rsidRPr="00890249">
              <w:rPr>
                <w:rFonts w:asciiTheme="minorHAnsi" w:hAnsiTheme="minorHAnsi" w:cstheme="minorHAnsi"/>
                <w:noProof/>
                <w:sz w:val="20"/>
              </w:rPr>
              <w:t xml:space="preserve"> 000 </w:t>
            </w:r>
          </w:p>
        </w:tc>
      </w:tr>
      <w:tr w:rsidR="00FB44E7" w:rsidRPr="00890249" w14:paraId="49512C53" w14:textId="77777777" w:rsidTr="00FB44E7">
        <w:trPr>
          <w:trHeight w:val="284"/>
        </w:trPr>
        <w:tc>
          <w:tcPr>
            <w:tcW w:w="1459" w:type="dxa"/>
            <w:vMerge/>
          </w:tcPr>
          <w:p w14:paraId="34AB9DB4" w14:textId="77777777" w:rsidR="00FB44E7" w:rsidRPr="00890249" w:rsidRDefault="00FB44E7" w:rsidP="00BD5A2B">
            <w:pPr>
              <w:jc w:val="center"/>
              <w:rPr>
                <w:rFonts w:asciiTheme="minorHAnsi" w:hAnsiTheme="minorHAnsi" w:cstheme="minorHAnsi"/>
                <w:noProof/>
                <w:sz w:val="20"/>
              </w:rPr>
            </w:pPr>
          </w:p>
        </w:tc>
        <w:tc>
          <w:tcPr>
            <w:tcW w:w="1256" w:type="dxa"/>
            <w:vMerge/>
          </w:tcPr>
          <w:p w14:paraId="36CDC873" w14:textId="77777777" w:rsidR="00FB44E7" w:rsidRPr="00890249" w:rsidRDefault="00FB44E7" w:rsidP="00BD5A2B">
            <w:pPr>
              <w:jc w:val="center"/>
              <w:rPr>
                <w:rFonts w:asciiTheme="minorHAnsi" w:hAnsiTheme="minorHAnsi" w:cstheme="minorHAnsi"/>
                <w:noProof/>
                <w:sz w:val="20"/>
              </w:rPr>
            </w:pPr>
          </w:p>
        </w:tc>
        <w:tc>
          <w:tcPr>
            <w:tcW w:w="1339" w:type="dxa"/>
            <w:vMerge/>
          </w:tcPr>
          <w:p w14:paraId="0F8FB740" w14:textId="77777777" w:rsidR="00FB44E7" w:rsidRPr="00890249" w:rsidRDefault="00FB44E7" w:rsidP="00BD5A2B">
            <w:pPr>
              <w:jc w:val="center"/>
              <w:rPr>
                <w:rFonts w:asciiTheme="minorHAnsi" w:hAnsiTheme="minorHAnsi" w:cstheme="minorHAnsi"/>
                <w:noProof/>
                <w:sz w:val="20"/>
              </w:rPr>
            </w:pPr>
          </w:p>
        </w:tc>
        <w:tc>
          <w:tcPr>
            <w:tcW w:w="1661" w:type="dxa"/>
            <w:vMerge/>
            <w:vAlign w:val="center"/>
          </w:tcPr>
          <w:p w14:paraId="1775D311" w14:textId="77777777" w:rsidR="00FB44E7" w:rsidRPr="00890249" w:rsidRDefault="00FB44E7" w:rsidP="00BD5A2B">
            <w:pPr>
              <w:jc w:val="center"/>
              <w:rPr>
                <w:rFonts w:asciiTheme="minorHAnsi" w:hAnsiTheme="minorHAnsi" w:cstheme="minorHAnsi"/>
                <w:noProof/>
                <w:sz w:val="20"/>
              </w:rPr>
            </w:pPr>
          </w:p>
        </w:tc>
        <w:tc>
          <w:tcPr>
            <w:tcW w:w="1675" w:type="dxa"/>
          </w:tcPr>
          <w:p w14:paraId="1E2EEB39" w14:textId="587359E3" w:rsidR="00FB44E7" w:rsidRPr="00890249" w:rsidRDefault="00D3644E">
            <w:pPr>
              <w:jc w:val="center"/>
              <w:rPr>
                <w:rFonts w:asciiTheme="minorHAnsi" w:hAnsiTheme="minorHAnsi" w:cstheme="minorHAnsi"/>
                <w:noProof/>
                <w:sz w:val="20"/>
              </w:rPr>
            </w:pPr>
            <w:r w:rsidRPr="00890249">
              <w:rPr>
                <w:rFonts w:asciiTheme="minorHAnsi" w:hAnsiTheme="minorHAnsi" w:cstheme="minorHAnsi"/>
                <w:noProof/>
                <w:sz w:val="20"/>
              </w:rPr>
              <w:t>139 Działania na rzecz modernizacji i wzmocnienia instytucji i służb rynku pracy celem oceny i przewidywania zapotrzebowania na umiejętności oraz zapewnienie terminowej i dopasowanej do potrzeb pomocy</w:t>
            </w:r>
          </w:p>
        </w:tc>
        <w:tc>
          <w:tcPr>
            <w:tcW w:w="1897" w:type="dxa"/>
          </w:tcPr>
          <w:p w14:paraId="0902BE74" w14:textId="43A36562" w:rsidR="00FB44E7" w:rsidRPr="00890249" w:rsidRDefault="007C0CEB" w:rsidP="00BD5A2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r>
            <w:r w:rsidR="005A1433">
              <w:rPr>
                <w:rFonts w:asciiTheme="minorHAnsi" w:hAnsiTheme="minorHAnsi" w:cstheme="minorHAnsi"/>
                <w:noProof/>
                <w:sz w:val="20"/>
              </w:rPr>
              <w:t>5</w:t>
            </w:r>
            <w:r>
              <w:rPr>
                <w:rFonts w:asciiTheme="minorHAnsi" w:hAnsiTheme="minorHAnsi" w:cstheme="minorHAnsi"/>
                <w:noProof/>
                <w:sz w:val="20"/>
              </w:rPr>
              <w:t xml:space="preserve">00 000 </w:t>
            </w:r>
          </w:p>
        </w:tc>
      </w:tr>
    </w:tbl>
    <w:p w14:paraId="4B36CEE0" w14:textId="058F7EB2" w:rsidR="00114890" w:rsidRPr="00890249" w:rsidRDefault="00114890" w:rsidP="00461501">
      <w:pPr>
        <w:spacing w:before="0" w:after="240"/>
        <w:rPr>
          <w:rFonts w:asciiTheme="minorHAnsi" w:hAnsiTheme="minorHAnsi" w:cstheme="minorHAnsi"/>
          <w:b/>
          <w:noProof/>
          <w:color w:val="FF0000"/>
          <w:sz w:val="22"/>
          <w:szCs w:val="22"/>
        </w:rPr>
      </w:pPr>
    </w:p>
    <w:p w14:paraId="6CFC3952" w14:textId="77777777" w:rsidR="00114890" w:rsidRPr="00890249" w:rsidRDefault="00114890">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67AD7C89" w14:textId="77777777" w:rsidR="00D55F49" w:rsidRPr="00890249" w:rsidRDefault="00D55F49" w:rsidP="00461501">
      <w:pPr>
        <w:spacing w:before="0" w:after="240"/>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566"/>
        <w:gridCol w:w="1354"/>
        <w:gridCol w:w="1411"/>
        <w:gridCol w:w="1620"/>
        <w:gridCol w:w="1022"/>
        <w:gridCol w:w="2349"/>
      </w:tblGrid>
      <w:tr w:rsidR="00D55F49" w:rsidRPr="00890249" w14:paraId="141FD619" w14:textId="77777777" w:rsidTr="00FE7195">
        <w:tc>
          <w:tcPr>
            <w:tcW w:w="9322" w:type="dxa"/>
            <w:gridSpan w:val="6"/>
            <w:shd w:val="clear" w:color="auto" w:fill="D9D9D9" w:themeFill="background1" w:themeFillShade="D9"/>
          </w:tcPr>
          <w:p w14:paraId="10AB3BBF" w14:textId="77777777" w:rsidR="00D55F49" w:rsidRPr="00890249" w:rsidRDefault="00D55F49"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D55F49" w:rsidRPr="00890249" w14:paraId="4B66A8C6" w14:textId="77777777" w:rsidTr="00FE7195">
        <w:tc>
          <w:tcPr>
            <w:tcW w:w="1566" w:type="dxa"/>
            <w:tcBorders>
              <w:bottom w:val="single" w:sz="4" w:space="0" w:color="auto"/>
            </w:tcBorders>
            <w:shd w:val="clear" w:color="auto" w:fill="F2F2F2" w:themeFill="background1" w:themeFillShade="F2"/>
          </w:tcPr>
          <w:p w14:paraId="24652A0B"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54" w:type="dxa"/>
            <w:tcBorders>
              <w:bottom w:val="single" w:sz="4" w:space="0" w:color="auto"/>
            </w:tcBorders>
            <w:shd w:val="clear" w:color="auto" w:fill="F2F2F2" w:themeFill="background1" w:themeFillShade="F2"/>
          </w:tcPr>
          <w:p w14:paraId="580A9ADF"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1" w:type="dxa"/>
            <w:tcBorders>
              <w:bottom w:val="single" w:sz="4" w:space="0" w:color="auto"/>
            </w:tcBorders>
            <w:shd w:val="clear" w:color="auto" w:fill="F2F2F2" w:themeFill="background1" w:themeFillShade="F2"/>
          </w:tcPr>
          <w:p w14:paraId="29E443AA"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tcBorders>
              <w:bottom w:val="single" w:sz="4" w:space="0" w:color="auto"/>
            </w:tcBorders>
            <w:shd w:val="clear" w:color="auto" w:fill="F2F2F2" w:themeFill="background1" w:themeFillShade="F2"/>
          </w:tcPr>
          <w:p w14:paraId="3504A4C1"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tcBorders>
              <w:bottom w:val="single" w:sz="4" w:space="0" w:color="auto"/>
            </w:tcBorders>
            <w:shd w:val="clear" w:color="auto" w:fill="F2F2F2" w:themeFill="background1" w:themeFillShade="F2"/>
          </w:tcPr>
          <w:p w14:paraId="0E314B58" w14:textId="17B5D031"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9" w:type="dxa"/>
            <w:shd w:val="clear" w:color="auto" w:fill="F2F2F2" w:themeFill="background1" w:themeFillShade="F2"/>
          </w:tcPr>
          <w:p w14:paraId="14243089"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E03FED" w:rsidRPr="00890249" w14:paraId="41AF601D" w14:textId="77777777" w:rsidTr="00FE7195">
        <w:trPr>
          <w:trHeight w:val="777"/>
        </w:trPr>
        <w:tc>
          <w:tcPr>
            <w:tcW w:w="1566" w:type="dxa"/>
            <w:tcBorders>
              <w:top w:val="single" w:sz="4" w:space="0" w:color="auto"/>
              <w:left w:val="single" w:sz="4" w:space="0" w:color="auto"/>
              <w:bottom w:val="single" w:sz="4" w:space="0" w:color="auto"/>
              <w:right w:val="single" w:sz="4" w:space="0" w:color="auto"/>
            </w:tcBorders>
            <w:vAlign w:val="center"/>
          </w:tcPr>
          <w:p w14:paraId="3C6585D4" w14:textId="77777777" w:rsidR="00E03FED" w:rsidRPr="00890249" w:rsidRDefault="00E03FED"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54" w:type="dxa"/>
            <w:tcBorders>
              <w:top w:val="single" w:sz="4" w:space="0" w:color="auto"/>
              <w:left w:val="single" w:sz="4" w:space="0" w:color="auto"/>
              <w:bottom w:val="single" w:sz="4" w:space="0" w:color="auto"/>
              <w:right w:val="single" w:sz="4" w:space="0" w:color="auto"/>
            </w:tcBorders>
            <w:vAlign w:val="center"/>
          </w:tcPr>
          <w:p w14:paraId="1DCBDDF3" w14:textId="77777777" w:rsidR="00E03FED" w:rsidRPr="00890249" w:rsidRDefault="00E03FED"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p>
        </w:tc>
        <w:tc>
          <w:tcPr>
            <w:tcW w:w="1411" w:type="dxa"/>
            <w:tcBorders>
              <w:top w:val="single" w:sz="4" w:space="0" w:color="auto"/>
              <w:left w:val="single" w:sz="4" w:space="0" w:color="auto"/>
              <w:bottom w:val="single" w:sz="4" w:space="0" w:color="auto"/>
              <w:right w:val="single" w:sz="4" w:space="0" w:color="auto"/>
            </w:tcBorders>
            <w:vAlign w:val="center"/>
          </w:tcPr>
          <w:p w14:paraId="310E7524" w14:textId="77777777" w:rsidR="00E03FED" w:rsidRPr="00890249" w:rsidRDefault="00E03FED"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20" w:type="dxa"/>
            <w:tcBorders>
              <w:top w:val="single" w:sz="4" w:space="0" w:color="auto"/>
              <w:left w:val="single" w:sz="4" w:space="0" w:color="auto"/>
              <w:bottom w:val="single" w:sz="4" w:space="0" w:color="auto"/>
              <w:right w:val="single" w:sz="4" w:space="0" w:color="auto"/>
            </w:tcBorders>
            <w:vAlign w:val="center"/>
          </w:tcPr>
          <w:p w14:paraId="12B0B2F5" w14:textId="77777777" w:rsidR="00E03FED" w:rsidRPr="00890249" w:rsidRDefault="00E03FED" w:rsidP="0024307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(a)</w:t>
            </w:r>
          </w:p>
        </w:tc>
        <w:tc>
          <w:tcPr>
            <w:tcW w:w="1022" w:type="dxa"/>
            <w:tcBorders>
              <w:top w:val="single" w:sz="4" w:space="0" w:color="auto"/>
              <w:left w:val="single" w:sz="4" w:space="0" w:color="auto"/>
              <w:right w:val="single" w:sz="4" w:space="0" w:color="auto"/>
            </w:tcBorders>
            <w:vAlign w:val="center"/>
          </w:tcPr>
          <w:p w14:paraId="1FCE226B" w14:textId="77777777" w:rsidR="00E03FED" w:rsidRPr="00890249" w:rsidRDefault="00E03FED"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B954EB" w:rsidRPr="00890249">
              <w:rPr>
                <w:rFonts w:asciiTheme="minorHAnsi" w:eastAsia="Times New Roman" w:hAnsiTheme="minorHAnsi" w:cstheme="minorHAnsi"/>
                <w:iCs/>
                <w:noProof/>
                <w:sz w:val="20"/>
              </w:rPr>
              <w:t xml:space="preserve"> dotacja</w:t>
            </w:r>
          </w:p>
        </w:tc>
        <w:tc>
          <w:tcPr>
            <w:tcW w:w="2349" w:type="dxa"/>
            <w:tcBorders>
              <w:left w:val="single" w:sz="4" w:space="0" w:color="auto"/>
            </w:tcBorders>
            <w:vAlign w:val="center"/>
          </w:tcPr>
          <w:p w14:paraId="420B2C4D" w14:textId="6E754C0C" w:rsidR="00E03FED" w:rsidRPr="00890249" w:rsidRDefault="00E03FED" w:rsidP="00BD5A2B">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5</w:t>
            </w:r>
            <w:r w:rsidR="004B73D0" w:rsidRPr="00890249">
              <w:rPr>
                <w:rFonts w:asciiTheme="minorHAnsi" w:eastAsia="Times New Roman" w:hAnsiTheme="minorHAnsi" w:cstheme="minorHAnsi"/>
                <w:iCs/>
                <w:noProof/>
                <w:sz w:val="20"/>
              </w:rPr>
              <w:t>6</w:t>
            </w:r>
            <w:r w:rsidRPr="00890249">
              <w:rPr>
                <w:rFonts w:asciiTheme="minorHAnsi" w:eastAsia="Times New Roman" w:hAnsiTheme="minorHAnsi" w:cstheme="minorHAnsi"/>
                <w:iCs/>
                <w:noProof/>
                <w:sz w:val="20"/>
              </w:rPr>
              <w:t> </w:t>
            </w:r>
            <w:r w:rsidR="005A1433">
              <w:rPr>
                <w:rFonts w:asciiTheme="minorHAnsi" w:eastAsia="Times New Roman" w:hAnsiTheme="minorHAnsi" w:cstheme="minorHAnsi"/>
                <w:iCs/>
                <w:noProof/>
                <w:sz w:val="20"/>
              </w:rPr>
              <w:t>7</w:t>
            </w:r>
            <w:r w:rsidRPr="00890249">
              <w:rPr>
                <w:rFonts w:asciiTheme="minorHAnsi" w:eastAsia="Times New Roman" w:hAnsiTheme="minorHAnsi" w:cstheme="minorHAnsi"/>
                <w:iCs/>
                <w:noProof/>
                <w:sz w:val="20"/>
              </w:rPr>
              <w:t>00 000</w:t>
            </w:r>
          </w:p>
        </w:tc>
      </w:tr>
    </w:tbl>
    <w:p w14:paraId="0006FFB9" w14:textId="77777777" w:rsidR="00D55F49" w:rsidRPr="00890249" w:rsidRDefault="00D55F49" w:rsidP="00ED6696">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93"/>
        <w:gridCol w:w="1288"/>
        <w:gridCol w:w="1319"/>
        <w:gridCol w:w="1610"/>
        <w:gridCol w:w="1520"/>
        <w:gridCol w:w="1831"/>
      </w:tblGrid>
      <w:tr w:rsidR="00D55F49" w:rsidRPr="00890249" w14:paraId="6715DB79" w14:textId="77777777" w:rsidTr="0002590B">
        <w:tc>
          <w:tcPr>
            <w:tcW w:w="9288" w:type="dxa"/>
            <w:gridSpan w:val="6"/>
            <w:shd w:val="clear" w:color="auto" w:fill="D9D9D9" w:themeFill="background1" w:themeFillShade="D9"/>
          </w:tcPr>
          <w:p w14:paraId="278CFEC0" w14:textId="12532755" w:rsidR="00D55F49" w:rsidRPr="00890249" w:rsidRDefault="0028300B" w:rsidP="008A2402">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8A2402">
              <w:rPr>
                <w:rFonts w:asciiTheme="minorHAnsi" w:hAnsiTheme="minorHAnsi" w:cstheme="minorHAnsi"/>
                <w:b/>
                <w:noProof/>
                <w:sz w:val="20"/>
              </w:rPr>
              <w:t xml:space="preserve">3 </w:t>
            </w:r>
            <w:r w:rsidR="00D55F49" w:rsidRPr="00890249">
              <w:rPr>
                <w:rFonts w:asciiTheme="minorHAnsi" w:hAnsiTheme="minorHAnsi" w:cstheme="minorHAnsi"/>
                <w:b/>
                <w:noProof/>
                <w:sz w:val="20"/>
              </w:rPr>
              <w:t>– terytorialny mechanizm realizacji i ukierunkowanie terytorialne</w:t>
            </w:r>
          </w:p>
        </w:tc>
      </w:tr>
      <w:tr w:rsidR="00D55F49" w:rsidRPr="00890249" w14:paraId="531EDB11" w14:textId="77777777" w:rsidTr="0002590B">
        <w:trPr>
          <w:trHeight w:val="364"/>
        </w:trPr>
        <w:tc>
          <w:tcPr>
            <w:tcW w:w="1599" w:type="dxa"/>
            <w:shd w:val="clear" w:color="auto" w:fill="F2F2F2" w:themeFill="background1" w:themeFillShade="F2"/>
          </w:tcPr>
          <w:p w14:paraId="4C91A29F"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0A189CA9"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6D3EAC46"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1863F211"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4D4A3ABC" w14:textId="6E60EECB"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33BC1FDB" w14:textId="77777777" w:rsidR="00D55F49" w:rsidRPr="00890249" w:rsidRDefault="00D55F49"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55F49" w:rsidRPr="00890249" w14:paraId="1A3EEF9E" w14:textId="77777777" w:rsidTr="002E5AB0">
        <w:tc>
          <w:tcPr>
            <w:tcW w:w="1599" w:type="dxa"/>
            <w:vAlign w:val="center"/>
          </w:tcPr>
          <w:p w14:paraId="61C6F217" w14:textId="77777777" w:rsidR="00D55F49" w:rsidRPr="00890249" w:rsidRDefault="00D55F49"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2842512C" w14:textId="77777777" w:rsidR="00D55F49" w:rsidRPr="00890249" w:rsidRDefault="00D55F49" w:rsidP="00D55F49">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r w:rsidR="0054388E" w:rsidRPr="00890249">
              <w:rPr>
                <w:rFonts w:asciiTheme="minorHAnsi" w:hAnsiTheme="minorHAnsi" w:cstheme="minorHAnsi"/>
                <w:noProof/>
                <w:sz w:val="20"/>
              </w:rPr>
              <w:t>+</w:t>
            </w:r>
          </w:p>
        </w:tc>
        <w:tc>
          <w:tcPr>
            <w:tcW w:w="1378" w:type="dxa"/>
            <w:vAlign w:val="center"/>
          </w:tcPr>
          <w:p w14:paraId="1330BF48" w14:textId="77777777" w:rsidR="00D55F49" w:rsidRPr="00890249" w:rsidRDefault="00D55F49" w:rsidP="00D55F49">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5026ECC5" w14:textId="230BCD35" w:rsidR="00D55F49" w:rsidRPr="00890249" w:rsidRDefault="00D20530" w:rsidP="00D55F49">
            <w:pPr>
              <w:jc w:val="center"/>
              <w:rPr>
                <w:rFonts w:asciiTheme="minorHAnsi" w:hAnsiTheme="minorHAnsi" w:cstheme="minorHAnsi"/>
                <w:noProof/>
                <w:sz w:val="20"/>
              </w:rPr>
            </w:pPr>
            <w:r w:rsidRPr="00890249">
              <w:rPr>
                <w:rFonts w:asciiTheme="minorHAnsi" w:hAnsiTheme="minorHAnsi" w:cstheme="minorHAnsi"/>
                <w:noProof/>
                <w:sz w:val="20"/>
              </w:rPr>
              <w:t>(a)</w:t>
            </w:r>
          </w:p>
        </w:tc>
        <w:tc>
          <w:tcPr>
            <w:tcW w:w="1136" w:type="dxa"/>
            <w:vAlign w:val="center"/>
          </w:tcPr>
          <w:p w14:paraId="00562394" w14:textId="16CC3F86" w:rsidR="00D55F49" w:rsidRPr="00890249" w:rsidRDefault="00D20530" w:rsidP="00D55F49">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B954EB" w:rsidRPr="00890249">
              <w:rPr>
                <w:rFonts w:asciiTheme="minorHAnsi" w:eastAsia="Times New Roman" w:hAnsiTheme="minorHAnsi" w:cstheme="minorHAnsi"/>
                <w:iCs/>
                <w:noProof/>
                <w:sz w:val="20"/>
              </w:rPr>
              <w:t xml:space="preserve"> Brak ukierunkowania terutorialnego</w:t>
            </w:r>
          </w:p>
        </w:tc>
        <w:tc>
          <w:tcPr>
            <w:tcW w:w="2092" w:type="dxa"/>
            <w:vAlign w:val="center"/>
          </w:tcPr>
          <w:p w14:paraId="039F885C" w14:textId="1B18998F" w:rsidR="00B72154" w:rsidRPr="00890249" w:rsidRDefault="004B73D0" w:rsidP="00890249">
            <w:pPr>
              <w:jc w:val="right"/>
              <w:rPr>
                <w:rFonts w:asciiTheme="minorHAnsi" w:hAnsiTheme="minorHAnsi" w:cstheme="minorHAnsi"/>
                <w:b/>
                <w:noProof/>
                <w:color w:val="003399"/>
                <w:sz w:val="20"/>
              </w:rPr>
            </w:pPr>
            <w:r w:rsidRPr="00890249">
              <w:rPr>
                <w:rFonts w:asciiTheme="minorHAnsi" w:hAnsiTheme="minorHAnsi" w:cstheme="minorHAnsi"/>
                <w:noProof/>
                <w:sz w:val="20"/>
              </w:rPr>
              <w:t>56</w:t>
            </w:r>
            <w:r w:rsidR="00FB44E7" w:rsidRPr="00890249">
              <w:rPr>
                <w:rFonts w:asciiTheme="minorHAnsi" w:hAnsiTheme="minorHAnsi" w:cstheme="minorHAnsi"/>
                <w:noProof/>
                <w:sz w:val="20"/>
              </w:rPr>
              <w:t> </w:t>
            </w:r>
            <w:r w:rsidR="005A1433">
              <w:rPr>
                <w:rFonts w:asciiTheme="minorHAnsi" w:hAnsiTheme="minorHAnsi" w:cstheme="minorHAnsi"/>
                <w:noProof/>
                <w:sz w:val="20"/>
              </w:rPr>
              <w:t>7</w:t>
            </w:r>
            <w:r w:rsidR="00D20530" w:rsidRPr="00890249">
              <w:rPr>
                <w:rFonts w:asciiTheme="minorHAnsi" w:hAnsiTheme="minorHAnsi" w:cstheme="minorHAnsi"/>
                <w:noProof/>
                <w:sz w:val="20"/>
              </w:rPr>
              <w:t>00 000</w:t>
            </w:r>
          </w:p>
        </w:tc>
      </w:tr>
    </w:tbl>
    <w:p w14:paraId="7B7B391A" w14:textId="77777777" w:rsidR="009E79E4" w:rsidRPr="00890249" w:rsidRDefault="009E79E4" w:rsidP="009E79E4">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69"/>
        <w:gridCol w:w="1021"/>
        <w:gridCol w:w="1591"/>
        <w:gridCol w:w="1548"/>
        <w:gridCol w:w="1651"/>
        <w:gridCol w:w="2042"/>
      </w:tblGrid>
      <w:tr w:rsidR="009E79E4" w:rsidRPr="00890249" w14:paraId="65903A5C" w14:textId="77777777" w:rsidTr="003D6E86">
        <w:tc>
          <w:tcPr>
            <w:tcW w:w="9322" w:type="dxa"/>
            <w:gridSpan w:val="6"/>
            <w:shd w:val="clear" w:color="auto" w:fill="D9D9D9" w:themeFill="background1" w:themeFillShade="D9"/>
          </w:tcPr>
          <w:p w14:paraId="414A9704" w14:textId="77777777" w:rsidR="009E79E4" w:rsidRPr="00890249" w:rsidRDefault="009E79E4" w:rsidP="000B7697">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uzupełniajace obsza</w:t>
            </w:r>
            <w:r w:rsidR="009A2F85" w:rsidRPr="00890249">
              <w:rPr>
                <w:rFonts w:asciiTheme="minorHAnsi" w:hAnsiTheme="minorHAnsi" w:cstheme="minorHAnsi"/>
                <w:b/>
                <w:noProof/>
                <w:sz w:val="20"/>
              </w:rPr>
              <w:t>r</w:t>
            </w:r>
            <w:r w:rsidRPr="00890249">
              <w:rPr>
                <w:rFonts w:asciiTheme="minorHAnsi" w:hAnsiTheme="minorHAnsi" w:cstheme="minorHAnsi"/>
                <w:b/>
                <w:noProof/>
                <w:sz w:val="20"/>
              </w:rPr>
              <w:t>y tematyczne EFS+</w:t>
            </w:r>
          </w:p>
        </w:tc>
      </w:tr>
      <w:tr w:rsidR="009E79E4" w:rsidRPr="00890249" w14:paraId="61261103" w14:textId="77777777" w:rsidTr="003D6E86">
        <w:tc>
          <w:tcPr>
            <w:tcW w:w="1566" w:type="dxa"/>
            <w:shd w:val="clear" w:color="auto" w:fill="F2F2F2" w:themeFill="background1" w:themeFillShade="F2"/>
          </w:tcPr>
          <w:p w14:paraId="691BC751" w14:textId="77777777" w:rsidR="009E79E4" w:rsidRPr="00890249" w:rsidRDefault="009E79E4"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69BA5DD8" w14:textId="77777777" w:rsidR="009E79E4" w:rsidRPr="00890249" w:rsidRDefault="009E79E4"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2DAF0521" w14:textId="77777777" w:rsidR="009E79E4" w:rsidRPr="00890249" w:rsidRDefault="009E79E4"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2E649EC7" w14:textId="77777777" w:rsidR="009E79E4" w:rsidRPr="00890249" w:rsidRDefault="009E79E4"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652BFF53" w14:textId="1AEC17FC" w:rsidR="009E79E4" w:rsidRPr="00890249" w:rsidRDefault="009E79E4"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8" w:type="dxa"/>
            <w:shd w:val="clear" w:color="auto" w:fill="F2F2F2" w:themeFill="background1" w:themeFillShade="F2"/>
          </w:tcPr>
          <w:p w14:paraId="63EEF47B" w14:textId="77777777" w:rsidR="009E79E4" w:rsidRPr="00890249" w:rsidRDefault="009E79E4"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C1CEC" w:rsidRPr="00890249" w14:paraId="0D283428" w14:textId="77777777" w:rsidTr="003D6E86">
        <w:tc>
          <w:tcPr>
            <w:tcW w:w="1566" w:type="dxa"/>
            <w:vMerge w:val="restart"/>
            <w:vAlign w:val="center"/>
          </w:tcPr>
          <w:p w14:paraId="0C678360" w14:textId="77777777" w:rsidR="00DC1CEC" w:rsidRPr="00890249" w:rsidRDefault="00DC1CEC" w:rsidP="00E03FED">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 xml:space="preserve">CP </w:t>
            </w:r>
            <w:r w:rsidR="00487D02" w:rsidRPr="00890249">
              <w:rPr>
                <w:rFonts w:asciiTheme="minorHAnsi" w:eastAsia="Times New Roman" w:hAnsiTheme="minorHAnsi" w:cstheme="minorHAnsi"/>
                <w:iCs/>
                <w:noProof/>
                <w:sz w:val="20"/>
              </w:rPr>
              <w:t>4</w:t>
            </w:r>
          </w:p>
        </w:tc>
        <w:tc>
          <w:tcPr>
            <w:tcW w:w="1051" w:type="dxa"/>
            <w:vMerge w:val="restart"/>
            <w:vAlign w:val="center"/>
          </w:tcPr>
          <w:p w14:paraId="7A27A0D6" w14:textId="77777777" w:rsidR="00DC1CEC" w:rsidRPr="00890249" w:rsidRDefault="00487D02" w:rsidP="00E03FED">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EFS+</w:t>
            </w:r>
          </w:p>
        </w:tc>
        <w:tc>
          <w:tcPr>
            <w:tcW w:w="1715" w:type="dxa"/>
            <w:vMerge w:val="restart"/>
            <w:vAlign w:val="center"/>
          </w:tcPr>
          <w:p w14:paraId="5D521CF7" w14:textId="77777777" w:rsidR="00DC1CEC" w:rsidRPr="00890249" w:rsidRDefault="00DC1CEC" w:rsidP="00E03FED">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rozwiniete</w:t>
            </w:r>
          </w:p>
        </w:tc>
        <w:tc>
          <w:tcPr>
            <w:tcW w:w="1620" w:type="dxa"/>
            <w:vMerge w:val="restart"/>
            <w:shd w:val="clear" w:color="auto" w:fill="auto"/>
            <w:vAlign w:val="center"/>
          </w:tcPr>
          <w:p w14:paraId="322E06E0" w14:textId="77777777" w:rsidR="00DC1CEC" w:rsidRPr="00890249" w:rsidRDefault="00DC1CEC" w:rsidP="00E03FED">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szCs w:val="22"/>
                <w:lang w:eastAsia="en-US" w:bidi="ar-SA"/>
              </w:rPr>
              <w:t>(a)</w:t>
            </w:r>
          </w:p>
        </w:tc>
        <w:tc>
          <w:tcPr>
            <w:tcW w:w="1022" w:type="dxa"/>
            <w:shd w:val="clear" w:color="auto" w:fill="auto"/>
          </w:tcPr>
          <w:p w14:paraId="2ACA7C5E" w14:textId="77777777" w:rsidR="00DC1CEC" w:rsidRPr="00890249" w:rsidRDefault="00DC1CEC" w:rsidP="00E32622">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szCs w:val="22"/>
                <w:lang w:eastAsia="en-US" w:bidi="ar-SA"/>
              </w:rPr>
              <w:t>05</w:t>
            </w:r>
            <w:r w:rsidR="00B954EB" w:rsidRPr="00890249">
              <w:rPr>
                <w:rFonts w:asciiTheme="minorHAnsi" w:eastAsia="Times New Roman" w:hAnsiTheme="minorHAnsi" w:cstheme="minorHAnsi"/>
                <w:iCs/>
                <w:noProof/>
                <w:sz w:val="20"/>
                <w:szCs w:val="22"/>
                <w:lang w:eastAsia="en-US" w:bidi="ar-SA"/>
              </w:rPr>
              <w:t xml:space="preserve"> Niedyskryminacja</w:t>
            </w:r>
          </w:p>
        </w:tc>
        <w:tc>
          <w:tcPr>
            <w:tcW w:w="2348" w:type="dxa"/>
            <w:shd w:val="clear" w:color="auto" w:fill="auto"/>
          </w:tcPr>
          <w:p w14:paraId="3511F672" w14:textId="53F633B3" w:rsidR="00DC1CEC" w:rsidRPr="00890249" w:rsidRDefault="00DC1CEC" w:rsidP="00DC1CEC">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5 </w:t>
            </w:r>
            <w:r w:rsidR="004B73D0" w:rsidRPr="00890249">
              <w:rPr>
                <w:rFonts w:asciiTheme="minorHAnsi" w:eastAsia="Times New Roman" w:hAnsiTheme="minorHAnsi" w:cstheme="minorHAnsi"/>
                <w:iCs/>
                <w:noProof/>
                <w:sz w:val="20"/>
              </w:rPr>
              <w:t>6</w:t>
            </w:r>
            <w:r w:rsidR="00FB44E7" w:rsidRPr="00890249">
              <w:rPr>
                <w:rFonts w:asciiTheme="minorHAnsi" w:eastAsia="Times New Roman" w:hAnsiTheme="minorHAnsi" w:cstheme="minorHAnsi"/>
                <w:iCs/>
                <w:noProof/>
                <w:sz w:val="20"/>
              </w:rPr>
              <w:t>9</w:t>
            </w:r>
            <w:r w:rsidRPr="00890249">
              <w:rPr>
                <w:rFonts w:asciiTheme="minorHAnsi" w:eastAsia="Times New Roman" w:hAnsiTheme="minorHAnsi" w:cstheme="minorHAnsi"/>
                <w:iCs/>
                <w:noProof/>
                <w:sz w:val="20"/>
              </w:rPr>
              <w:t>0 000</w:t>
            </w:r>
          </w:p>
        </w:tc>
      </w:tr>
      <w:tr w:rsidR="00DC1CEC" w:rsidRPr="00890249" w14:paraId="2E124980" w14:textId="77777777" w:rsidTr="003D6E86">
        <w:tc>
          <w:tcPr>
            <w:tcW w:w="1566" w:type="dxa"/>
            <w:vMerge/>
            <w:vAlign w:val="center"/>
          </w:tcPr>
          <w:p w14:paraId="5A65939C" w14:textId="77777777" w:rsidR="00DC1CEC" w:rsidRPr="00890249" w:rsidRDefault="00DC1CEC" w:rsidP="00E32622">
            <w:pPr>
              <w:rPr>
                <w:rFonts w:asciiTheme="minorHAnsi" w:eastAsia="Times New Roman" w:hAnsiTheme="minorHAnsi" w:cstheme="minorHAnsi"/>
                <w:iCs/>
                <w:noProof/>
                <w:sz w:val="20"/>
              </w:rPr>
            </w:pPr>
          </w:p>
        </w:tc>
        <w:tc>
          <w:tcPr>
            <w:tcW w:w="1051" w:type="dxa"/>
            <w:vMerge/>
            <w:vAlign w:val="center"/>
          </w:tcPr>
          <w:p w14:paraId="05DCA08A" w14:textId="77777777" w:rsidR="00DC1CEC" w:rsidRPr="00890249" w:rsidRDefault="00DC1CEC" w:rsidP="00E32622">
            <w:pPr>
              <w:rPr>
                <w:rFonts w:asciiTheme="minorHAnsi" w:eastAsia="Times New Roman" w:hAnsiTheme="minorHAnsi" w:cstheme="minorHAnsi"/>
                <w:iCs/>
                <w:noProof/>
                <w:sz w:val="20"/>
              </w:rPr>
            </w:pPr>
          </w:p>
        </w:tc>
        <w:tc>
          <w:tcPr>
            <w:tcW w:w="1715" w:type="dxa"/>
            <w:vMerge/>
            <w:vAlign w:val="center"/>
          </w:tcPr>
          <w:p w14:paraId="7C0791F1" w14:textId="77777777" w:rsidR="00DC1CEC" w:rsidRPr="00890249" w:rsidRDefault="00DC1CEC" w:rsidP="00E32622">
            <w:pPr>
              <w:rPr>
                <w:rFonts w:asciiTheme="minorHAnsi" w:eastAsia="Times New Roman" w:hAnsiTheme="minorHAnsi" w:cstheme="minorHAnsi"/>
                <w:iCs/>
                <w:noProof/>
                <w:sz w:val="20"/>
              </w:rPr>
            </w:pPr>
          </w:p>
        </w:tc>
        <w:tc>
          <w:tcPr>
            <w:tcW w:w="1620" w:type="dxa"/>
            <w:vMerge/>
            <w:shd w:val="clear" w:color="auto" w:fill="auto"/>
          </w:tcPr>
          <w:p w14:paraId="4976B327" w14:textId="77777777" w:rsidR="00DC1CEC" w:rsidRPr="00890249" w:rsidRDefault="00DC1CEC" w:rsidP="00E32622">
            <w:pPr>
              <w:jc w:val="center"/>
              <w:rPr>
                <w:rFonts w:asciiTheme="minorHAnsi" w:eastAsia="Times New Roman" w:hAnsiTheme="minorHAnsi" w:cstheme="minorHAnsi"/>
                <w:iCs/>
                <w:noProof/>
                <w:sz w:val="20"/>
                <w:szCs w:val="22"/>
                <w:lang w:eastAsia="en-US" w:bidi="ar-SA"/>
              </w:rPr>
            </w:pPr>
          </w:p>
        </w:tc>
        <w:tc>
          <w:tcPr>
            <w:tcW w:w="1022" w:type="dxa"/>
            <w:shd w:val="clear" w:color="auto" w:fill="auto"/>
          </w:tcPr>
          <w:p w14:paraId="69C3A885" w14:textId="77777777" w:rsidR="00DC1CEC" w:rsidRPr="00890249" w:rsidRDefault="00DC1CEC" w:rsidP="00E32622">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09</w:t>
            </w:r>
            <w:r w:rsidR="00B954EB" w:rsidRPr="00890249">
              <w:rPr>
                <w:rFonts w:asciiTheme="minorHAnsi" w:eastAsia="Times New Roman" w:hAnsiTheme="minorHAnsi" w:cstheme="minorHAnsi"/>
                <w:iCs/>
                <w:noProof/>
                <w:sz w:val="20"/>
                <w:szCs w:val="22"/>
                <w:lang w:eastAsia="en-US" w:bidi="ar-SA"/>
              </w:rPr>
              <w:t xml:space="preserve"> Nie dotyczy</w:t>
            </w:r>
          </w:p>
        </w:tc>
        <w:tc>
          <w:tcPr>
            <w:tcW w:w="2348" w:type="dxa"/>
            <w:shd w:val="clear" w:color="auto" w:fill="auto"/>
          </w:tcPr>
          <w:p w14:paraId="1224EFDA" w14:textId="7A899573" w:rsidR="00DC1CEC" w:rsidRPr="00890249" w:rsidRDefault="007C0CEB" w:rsidP="00DC1CEC">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A1433">
              <w:rPr>
                <w:rFonts w:asciiTheme="minorHAnsi" w:eastAsia="Times New Roman" w:hAnsiTheme="minorHAnsi" w:cstheme="minorHAnsi"/>
                <w:iCs/>
                <w:noProof/>
                <w:sz w:val="20"/>
              </w:rPr>
              <w:t>33 640 000</w:t>
            </w:r>
          </w:p>
        </w:tc>
      </w:tr>
      <w:tr w:rsidR="00DC1CEC" w:rsidRPr="00890249" w14:paraId="5E3B2210" w14:textId="77777777" w:rsidTr="003D6E86">
        <w:tc>
          <w:tcPr>
            <w:tcW w:w="1566" w:type="dxa"/>
            <w:vMerge/>
            <w:vAlign w:val="center"/>
          </w:tcPr>
          <w:p w14:paraId="0E9A7C09" w14:textId="77777777" w:rsidR="00DC1CEC" w:rsidRPr="00890249" w:rsidRDefault="00DC1CEC" w:rsidP="00E32622">
            <w:pPr>
              <w:rPr>
                <w:rFonts w:asciiTheme="minorHAnsi" w:eastAsia="Times New Roman" w:hAnsiTheme="minorHAnsi" w:cstheme="minorHAnsi"/>
                <w:iCs/>
                <w:noProof/>
                <w:sz w:val="20"/>
              </w:rPr>
            </w:pPr>
          </w:p>
        </w:tc>
        <w:tc>
          <w:tcPr>
            <w:tcW w:w="1051" w:type="dxa"/>
            <w:vMerge/>
            <w:vAlign w:val="center"/>
          </w:tcPr>
          <w:p w14:paraId="57951227" w14:textId="77777777" w:rsidR="00DC1CEC" w:rsidRPr="00890249" w:rsidRDefault="00DC1CEC" w:rsidP="00E32622">
            <w:pPr>
              <w:rPr>
                <w:rFonts w:asciiTheme="minorHAnsi" w:eastAsia="Times New Roman" w:hAnsiTheme="minorHAnsi" w:cstheme="minorHAnsi"/>
                <w:iCs/>
                <w:noProof/>
                <w:sz w:val="20"/>
              </w:rPr>
            </w:pPr>
          </w:p>
        </w:tc>
        <w:tc>
          <w:tcPr>
            <w:tcW w:w="1715" w:type="dxa"/>
            <w:vMerge/>
            <w:vAlign w:val="center"/>
          </w:tcPr>
          <w:p w14:paraId="0CE63471" w14:textId="77777777" w:rsidR="00DC1CEC" w:rsidRPr="00890249" w:rsidRDefault="00DC1CEC" w:rsidP="00E32622">
            <w:pPr>
              <w:rPr>
                <w:rFonts w:asciiTheme="minorHAnsi" w:eastAsia="Times New Roman" w:hAnsiTheme="minorHAnsi" w:cstheme="minorHAnsi"/>
                <w:iCs/>
                <w:noProof/>
                <w:sz w:val="20"/>
              </w:rPr>
            </w:pPr>
          </w:p>
        </w:tc>
        <w:tc>
          <w:tcPr>
            <w:tcW w:w="1620" w:type="dxa"/>
            <w:vMerge/>
            <w:shd w:val="clear" w:color="auto" w:fill="auto"/>
          </w:tcPr>
          <w:p w14:paraId="76769775" w14:textId="77777777" w:rsidR="00DC1CEC" w:rsidRPr="00890249" w:rsidRDefault="00DC1CEC" w:rsidP="00E32622">
            <w:pPr>
              <w:jc w:val="center"/>
              <w:rPr>
                <w:rFonts w:asciiTheme="minorHAnsi" w:eastAsia="Times New Roman" w:hAnsiTheme="minorHAnsi" w:cstheme="minorHAnsi"/>
                <w:iCs/>
                <w:noProof/>
                <w:sz w:val="20"/>
                <w:szCs w:val="22"/>
                <w:lang w:eastAsia="en-US" w:bidi="ar-SA"/>
              </w:rPr>
            </w:pPr>
          </w:p>
        </w:tc>
        <w:tc>
          <w:tcPr>
            <w:tcW w:w="1022" w:type="dxa"/>
            <w:shd w:val="clear" w:color="auto" w:fill="auto"/>
          </w:tcPr>
          <w:p w14:paraId="3E9D5D7D" w14:textId="77777777" w:rsidR="00DC1CEC" w:rsidRPr="00890249" w:rsidRDefault="00DC1CEC" w:rsidP="00E32622">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10</w:t>
            </w:r>
            <w:r w:rsidR="00B954EB" w:rsidRPr="00890249">
              <w:rPr>
                <w:rFonts w:asciiTheme="minorHAnsi" w:eastAsia="Times New Roman" w:hAnsiTheme="minorHAnsi" w:cstheme="minorHAnsi"/>
                <w:iCs/>
                <w:noProof/>
                <w:sz w:val="20"/>
                <w:szCs w:val="22"/>
                <w:lang w:eastAsia="en-US" w:bidi="ar-SA"/>
              </w:rPr>
              <w:t xml:space="preserve"> Działania podejmowane w odpowiedzi na wyzwania wskazane w ramach semestru europejskiego</w:t>
            </w:r>
          </w:p>
        </w:tc>
        <w:tc>
          <w:tcPr>
            <w:tcW w:w="2348" w:type="dxa"/>
            <w:shd w:val="clear" w:color="auto" w:fill="auto"/>
          </w:tcPr>
          <w:p w14:paraId="36185329" w14:textId="3E20BF65" w:rsidR="00DC1CEC" w:rsidRPr="00890249" w:rsidRDefault="007C0CEB" w:rsidP="00DC1CEC">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r>
            <w:r w:rsidR="005A1433">
              <w:rPr>
                <w:rFonts w:asciiTheme="minorHAnsi" w:eastAsia="Times New Roman" w:hAnsiTheme="minorHAnsi" w:cstheme="minorHAnsi"/>
                <w:iCs/>
                <w:noProof/>
                <w:sz w:val="20"/>
              </w:rPr>
              <w:t>17 370 000</w:t>
            </w:r>
          </w:p>
        </w:tc>
      </w:tr>
    </w:tbl>
    <w:p w14:paraId="232FE3A5" w14:textId="77777777" w:rsidR="00114890" w:rsidRPr="00890249" w:rsidRDefault="00114890" w:rsidP="00461501">
      <w:pPr>
        <w:spacing w:before="0" w:after="24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277"/>
        <w:gridCol w:w="1354"/>
        <w:gridCol w:w="1573"/>
        <w:gridCol w:w="1761"/>
        <w:gridCol w:w="1885"/>
      </w:tblGrid>
      <w:tr w:rsidR="009E79E4" w:rsidRPr="00890249" w14:paraId="2B287E57" w14:textId="77777777" w:rsidTr="003D6E86">
        <w:tc>
          <w:tcPr>
            <w:tcW w:w="9322" w:type="dxa"/>
            <w:gridSpan w:val="6"/>
            <w:shd w:val="clear" w:color="auto" w:fill="D9D9D9" w:themeFill="background1" w:themeFillShade="D9"/>
          </w:tcPr>
          <w:p w14:paraId="34EAB4D7" w14:textId="77777777" w:rsidR="009E79E4" w:rsidRPr="00890249" w:rsidRDefault="009E79E4" w:rsidP="000B7697">
            <w:pPr>
              <w:spacing w:before="0" w:after="160" w:line="259" w:lineRule="auto"/>
              <w:jc w:val="left"/>
              <w:rPr>
                <w:rFonts w:asciiTheme="minorHAnsi" w:eastAsiaTheme="minorHAnsi" w:hAnsiTheme="minorHAnsi" w:cstheme="minorHAnsi"/>
                <w:b/>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 EFS+, EFRR, Fundusz Spójności i FST</w:t>
            </w:r>
          </w:p>
        </w:tc>
      </w:tr>
      <w:tr w:rsidR="009E79E4" w:rsidRPr="00890249" w14:paraId="7288EF62" w14:textId="77777777" w:rsidTr="000F00F3">
        <w:tc>
          <w:tcPr>
            <w:tcW w:w="1472" w:type="dxa"/>
            <w:shd w:val="clear" w:color="auto" w:fill="F2F2F2" w:themeFill="background1" w:themeFillShade="F2"/>
          </w:tcPr>
          <w:p w14:paraId="4B83881A"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277" w:type="dxa"/>
            <w:shd w:val="clear" w:color="auto" w:fill="F2F2F2" w:themeFill="background1" w:themeFillShade="F2"/>
          </w:tcPr>
          <w:p w14:paraId="100925A4"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354" w:type="dxa"/>
            <w:shd w:val="clear" w:color="auto" w:fill="F2F2F2" w:themeFill="background1" w:themeFillShade="F2"/>
          </w:tcPr>
          <w:p w14:paraId="49F5B009"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573" w:type="dxa"/>
            <w:shd w:val="clear" w:color="auto" w:fill="F2F2F2" w:themeFill="background1" w:themeFillShade="F2"/>
          </w:tcPr>
          <w:p w14:paraId="716F3098"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761" w:type="dxa"/>
            <w:shd w:val="clear" w:color="auto" w:fill="F2F2F2" w:themeFill="background1" w:themeFillShade="F2"/>
          </w:tcPr>
          <w:p w14:paraId="51A82390"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1885" w:type="dxa"/>
            <w:shd w:val="clear" w:color="auto" w:fill="F2F2F2" w:themeFill="background1" w:themeFillShade="F2"/>
          </w:tcPr>
          <w:p w14:paraId="3A693E54" w14:textId="77777777" w:rsidR="009E79E4" w:rsidRPr="00890249" w:rsidRDefault="009E79E4" w:rsidP="000B7697">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28300B" w:rsidRPr="00890249" w14:paraId="4766E8EE" w14:textId="77777777" w:rsidTr="000F00F3">
        <w:tc>
          <w:tcPr>
            <w:tcW w:w="1472" w:type="dxa"/>
            <w:vAlign w:val="center"/>
          </w:tcPr>
          <w:p w14:paraId="0A547EC3" w14:textId="77777777" w:rsidR="0028300B" w:rsidRPr="00890249" w:rsidRDefault="0028300B" w:rsidP="00E03FED">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 xml:space="preserve">CP </w:t>
            </w:r>
            <w:r w:rsidR="00487D02" w:rsidRPr="00890249">
              <w:rPr>
                <w:rFonts w:asciiTheme="minorHAnsi" w:eastAsia="Times New Roman" w:hAnsiTheme="minorHAnsi" w:cstheme="minorHAnsi"/>
                <w:iCs/>
                <w:noProof/>
                <w:sz w:val="20"/>
              </w:rPr>
              <w:t>4</w:t>
            </w:r>
          </w:p>
        </w:tc>
        <w:tc>
          <w:tcPr>
            <w:tcW w:w="1277" w:type="dxa"/>
            <w:vAlign w:val="center"/>
          </w:tcPr>
          <w:p w14:paraId="668FB190" w14:textId="77777777" w:rsidR="0028300B" w:rsidRPr="00890249" w:rsidRDefault="00487D02" w:rsidP="00E03FED">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EFS</w:t>
            </w:r>
            <w:r w:rsidR="002F4394" w:rsidRPr="00890249">
              <w:rPr>
                <w:rFonts w:asciiTheme="minorHAnsi" w:eastAsia="Times New Roman" w:hAnsiTheme="minorHAnsi" w:cstheme="minorHAnsi"/>
                <w:iCs/>
                <w:noProof/>
                <w:sz w:val="20"/>
              </w:rPr>
              <w:t>+</w:t>
            </w:r>
          </w:p>
        </w:tc>
        <w:tc>
          <w:tcPr>
            <w:tcW w:w="1354" w:type="dxa"/>
            <w:vAlign w:val="center"/>
          </w:tcPr>
          <w:p w14:paraId="319BE064" w14:textId="77777777" w:rsidR="0028300B" w:rsidRPr="00890249" w:rsidRDefault="0028300B" w:rsidP="00E03FED">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Słabiej rozwiniete</w:t>
            </w:r>
          </w:p>
        </w:tc>
        <w:tc>
          <w:tcPr>
            <w:tcW w:w="1573" w:type="dxa"/>
            <w:shd w:val="clear" w:color="auto" w:fill="auto"/>
            <w:vAlign w:val="center"/>
          </w:tcPr>
          <w:p w14:paraId="43FC3891" w14:textId="77777777" w:rsidR="0028300B" w:rsidRPr="00890249" w:rsidRDefault="0028300B" w:rsidP="00E03FED">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(a)</w:t>
            </w:r>
          </w:p>
        </w:tc>
        <w:tc>
          <w:tcPr>
            <w:tcW w:w="1761" w:type="dxa"/>
            <w:shd w:val="clear" w:color="auto" w:fill="auto"/>
            <w:vAlign w:val="center"/>
          </w:tcPr>
          <w:p w14:paraId="3E12DD28" w14:textId="77777777" w:rsidR="0028300B" w:rsidRPr="00890249" w:rsidRDefault="0028300B" w:rsidP="00E03FED">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B954EB"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1885" w:type="dxa"/>
            <w:shd w:val="clear" w:color="auto" w:fill="auto"/>
            <w:vAlign w:val="center"/>
          </w:tcPr>
          <w:p w14:paraId="74BB1022" w14:textId="095B5E8F" w:rsidR="0028300B" w:rsidRPr="00890249" w:rsidRDefault="0048205E" w:rsidP="000528DA">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56 </w:t>
            </w:r>
            <w:r w:rsidR="005A1433">
              <w:rPr>
                <w:rFonts w:asciiTheme="minorHAnsi" w:eastAsia="Times New Roman" w:hAnsiTheme="minorHAnsi" w:cstheme="minorHAnsi"/>
                <w:iCs/>
                <w:noProof/>
                <w:sz w:val="20"/>
                <w:szCs w:val="22"/>
                <w:lang w:eastAsia="en-US" w:bidi="ar-SA"/>
              </w:rPr>
              <w:t>7</w:t>
            </w:r>
            <w:r>
              <w:rPr>
                <w:rFonts w:asciiTheme="minorHAnsi" w:eastAsia="Times New Roman" w:hAnsiTheme="minorHAnsi" w:cstheme="minorHAnsi"/>
                <w:iCs/>
                <w:noProof/>
                <w:sz w:val="20"/>
                <w:szCs w:val="22"/>
                <w:lang w:eastAsia="en-US" w:bidi="ar-SA"/>
              </w:rPr>
              <w:t>00 000</w:t>
            </w:r>
          </w:p>
        </w:tc>
      </w:tr>
    </w:tbl>
    <w:p w14:paraId="6C26FC87" w14:textId="77777777" w:rsidR="00114890" w:rsidRPr="00890249" w:rsidRDefault="00114890">
      <w:pPr>
        <w:spacing w:before="0" w:after="160" w:line="259" w:lineRule="auto"/>
        <w:jc w:val="left"/>
        <w:rPr>
          <w:rFonts w:asciiTheme="minorHAnsi" w:hAnsiTheme="minorHAnsi" w:cstheme="minorHAnsi"/>
          <w:b/>
          <w:noProof/>
          <w:sz w:val="22"/>
        </w:rPr>
      </w:pPr>
      <w:r w:rsidRPr="00890249">
        <w:rPr>
          <w:rFonts w:asciiTheme="minorHAnsi" w:hAnsiTheme="minorHAnsi" w:cstheme="minorHAnsi"/>
          <w:b/>
          <w:noProof/>
          <w:sz w:val="22"/>
        </w:rPr>
        <w:br w:type="page"/>
      </w:r>
    </w:p>
    <w:p w14:paraId="2D05DB6E" w14:textId="77777777" w:rsidR="0097068C" w:rsidRPr="00890249" w:rsidRDefault="0097068C" w:rsidP="0097068C">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2.1.5.2 (c) Cel szczegółowy</w:t>
      </w:r>
    </w:p>
    <w:p w14:paraId="54BFC421" w14:textId="77777777" w:rsidR="0097068C" w:rsidRPr="00890249" w:rsidRDefault="0097068C" w:rsidP="0097068C">
      <w:pPr>
        <w:spacing w:before="240" w:after="240" w:line="276" w:lineRule="auto"/>
        <w:rPr>
          <w:rFonts w:asciiTheme="minorHAnsi" w:hAnsiTheme="minorHAnsi" w:cstheme="minorHAnsi"/>
          <w:b/>
          <w:noProof/>
          <w:color w:val="1F4E79" w:themeColor="accent1" w:themeShade="80"/>
        </w:rPr>
      </w:pPr>
      <w:r w:rsidRPr="00890249">
        <w:rPr>
          <w:rFonts w:asciiTheme="minorHAnsi" w:hAnsiTheme="minorHAnsi" w:cstheme="minorHAnsi"/>
          <w:b/>
          <w:noProof/>
          <w:color w:val="2F5496" w:themeColor="accent5" w:themeShade="BF"/>
          <w:sz w:val="22"/>
        </w:rPr>
        <w:t>(</w:t>
      </w:r>
      <w:r w:rsidRPr="00890249">
        <w:rPr>
          <w:rFonts w:asciiTheme="minorHAnsi" w:hAnsiTheme="minorHAnsi" w:cstheme="minorHAnsi"/>
          <w:b/>
          <w:noProof/>
          <w:color w:val="2F5496" w:themeColor="accent5" w:themeShade="BF"/>
          <w:szCs w:val="22"/>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5BD41687" w14:textId="77777777" w:rsidR="0097068C" w:rsidRPr="00890249" w:rsidRDefault="0097068C" w:rsidP="0097068C">
      <w:pPr>
        <w:tabs>
          <w:tab w:val="left" w:pos="5322"/>
        </w:tabs>
        <w:rPr>
          <w:rFonts w:asciiTheme="minorHAnsi" w:hAnsiTheme="minorHAnsi" w:cstheme="minorHAnsi"/>
          <w:b/>
          <w:noProof/>
          <w:sz w:val="22"/>
        </w:rPr>
      </w:pPr>
      <w:r w:rsidRPr="00890249">
        <w:rPr>
          <w:rFonts w:asciiTheme="minorHAnsi" w:hAnsiTheme="minorHAnsi" w:cstheme="minorHAnsi"/>
          <w:b/>
          <w:noProof/>
          <w:sz w:val="22"/>
        </w:rPr>
        <w:t>2.1.5.2.1 (c) Interwencje w ramach funduszy</w:t>
      </w:r>
      <w:r w:rsidRPr="00890249">
        <w:rPr>
          <w:rFonts w:asciiTheme="minorHAnsi" w:hAnsiTheme="minorHAnsi" w:cstheme="minorHAnsi"/>
          <w:b/>
          <w:noProof/>
          <w:sz w:val="22"/>
        </w:rPr>
        <w:tab/>
      </w:r>
    </w:p>
    <w:p w14:paraId="1CCD817A" w14:textId="72713280" w:rsidR="000F00F3" w:rsidRPr="00890249" w:rsidRDefault="0097068C" w:rsidP="00890249">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3C2AFD4C" w14:textId="05451F47" w:rsidR="0093433C" w:rsidRPr="00890249" w:rsidRDefault="00A46493" w:rsidP="00890249">
      <w:pPr>
        <w:pStyle w:val="Tekstpodstawowy"/>
        <w:rPr>
          <w:rFonts w:asciiTheme="minorHAnsi" w:hAnsiTheme="minorHAnsi" w:cstheme="minorHAnsi"/>
          <w:noProof/>
          <w:sz w:val="22"/>
          <w:szCs w:val="22"/>
          <w:lang w:eastAsia="en-US"/>
        </w:rPr>
      </w:pPr>
      <w:r w:rsidRPr="00890249">
        <w:rPr>
          <w:rFonts w:asciiTheme="minorHAnsi" w:hAnsiTheme="minorHAnsi" w:cstheme="minorHAnsi"/>
          <w:noProof/>
          <w:sz w:val="22"/>
          <w:szCs w:val="22"/>
          <w:lang w:eastAsia="en-US"/>
        </w:rPr>
        <w:t xml:space="preserve">Aktywność zawodowa Polek jest niska w porównaniu do aktywności zawodowej kobiet w innych krajach Unii Europejskiej: niewiele ponad 63% kobiet w wieku produkcyjnym jest aktywnych zawodowo, w stosunku do średnio 68% w UE. Najmniej aktywne zawodowo są kobiety z grup: słabiej wykształconych, mieszkających w mniejszych miejscowościach i na wsi oraz będących matkami dwójki </w:t>
      </w:r>
      <w:r w:rsidR="007A1A10" w:rsidRPr="00890249">
        <w:rPr>
          <w:rFonts w:asciiTheme="minorHAnsi" w:hAnsiTheme="minorHAnsi" w:cstheme="minorHAnsi"/>
          <w:noProof/>
          <w:sz w:val="22"/>
          <w:szCs w:val="22"/>
          <w:lang w:eastAsia="en-US"/>
        </w:rPr>
        <w:t xml:space="preserve">i więcej </w:t>
      </w:r>
      <w:r w:rsidRPr="00890249">
        <w:rPr>
          <w:rFonts w:asciiTheme="minorHAnsi" w:hAnsiTheme="minorHAnsi" w:cstheme="minorHAnsi"/>
          <w:noProof/>
          <w:sz w:val="22"/>
          <w:szCs w:val="22"/>
          <w:lang w:eastAsia="en-US"/>
        </w:rPr>
        <w:t>małych dzieci. Napotykają one bariery w postaci nieelastycznego czasu pracy, nieatrakcyjnych finansowo miejsc pracy, obciążenia obowiązkami domowymi i opiekuńczymi i braku instytucji świadczących usługi opiekuńcze dla małych dzieci. Warto zauważyć, że zróżnicowanie wskaźnika zatrudnienia ze względu na płeć wzrasta wraz z liczbą dzieci w rodzinie</w:t>
      </w:r>
      <w:r w:rsidRPr="00890249">
        <w:rPr>
          <w:rFonts w:asciiTheme="minorHAnsi" w:hAnsiTheme="minorHAnsi" w:cstheme="minorHAnsi"/>
          <w:noProof/>
          <w:sz w:val="22"/>
          <w:szCs w:val="22"/>
          <w:vertAlign w:val="superscript"/>
          <w:lang w:eastAsia="en-US"/>
        </w:rPr>
        <w:footnoteReference w:id="161"/>
      </w:r>
      <w:r w:rsidRPr="00890249">
        <w:rPr>
          <w:rFonts w:asciiTheme="minorHAnsi" w:hAnsiTheme="minorHAnsi" w:cstheme="minorHAnsi"/>
          <w:noProof/>
          <w:sz w:val="22"/>
          <w:szCs w:val="22"/>
          <w:lang w:eastAsia="en-US"/>
        </w:rPr>
        <w:t>. Patrząc przez pryzmat sytuacji w regionie wyższy współczynnik aktywnośc</w:t>
      </w:r>
      <w:r w:rsidR="00043D80">
        <w:rPr>
          <w:rFonts w:asciiTheme="minorHAnsi" w:hAnsiTheme="minorHAnsi" w:cstheme="minorHAnsi"/>
          <w:noProof/>
          <w:sz w:val="22"/>
          <w:szCs w:val="22"/>
          <w:lang w:eastAsia="en-US"/>
        </w:rPr>
        <w:t>i zawodowej występuje również w </w:t>
      </w:r>
      <w:r w:rsidRPr="00890249">
        <w:rPr>
          <w:rFonts w:asciiTheme="minorHAnsi" w:hAnsiTheme="minorHAnsi" w:cstheme="minorHAnsi"/>
          <w:noProof/>
          <w:sz w:val="22"/>
          <w:szCs w:val="22"/>
          <w:lang w:eastAsia="en-US"/>
        </w:rPr>
        <w:t>przypadku mężczyzn (wg danych za 2020 r. 66,2% wobec 44,8%), a różnica między wskaźnikami dla mężczyzn i kobiet wzrosła zarówno w skali kwartału, jak i w porównaniu z analogicznymi okresami 2019 r. oraz 2010 r. Gorszą sytuację kobiet na rynku pracy obrazują również wskaźniki dotyczące liczby osób biernych. W tej grupie zdecydowanie przeważają kobiety (63,9% w 2020 r.), a ich udział zwiększył się w porównaniu z II kwartałem 2020 r. oraz w skali roku</w:t>
      </w:r>
      <w:r w:rsidRPr="00890249">
        <w:rPr>
          <w:rFonts w:asciiTheme="minorHAnsi" w:hAnsiTheme="minorHAnsi" w:cstheme="minorHAnsi"/>
          <w:noProof/>
          <w:sz w:val="22"/>
          <w:szCs w:val="22"/>
          <w:vertAlign w:val="superscript"/>
          <w:lang w:eastAsia="en-US"/>
        </w:rPr>
        <w:footnoteReference w:id="162"/>
      </w:r>
      <w:r w:rsidRPr="00890249">
        <w:rPr>
          <w:rFonts w:asciiTheme="minorHAnsi" w:hAnsiTheme="minorHAnsi" w:cstheme="minorHAnsi"/>
          <w:noProof/>
          <w:sz w:val="22"/>
          <w:szCs w:val="22"/>
          <w:lang w:eastAsia="en-US"/>
        </w:rPr>
        <w:t xml:space="preserve">. </w:t>
      </w:r>
    </w:p>
    <w:p w14:paraId="46AF7C0A" w14:textId="7487C55B" w:rsidR="0093433C" w:rsidRPr="00890249" w:rsidRDefault="47139222"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Według danych GUS liczba osób bezrobotnych w woj. opolskim na koniec II kwartału 2022 r. wyniosła  20 185. Dane wskazują, że bezrobocie dotyka częściej kobiet, bowiem ich liczba wyniosła 11 582, co stanowiło aż 57,4% ogólnej liczby zarejestrowanych bezrobotnych. Natomiast długotrwale bezrobotnych w regionie na koniec czerwca 2022 r. było 9 </w:t>
      </w:r>
      <w:r w:rsidR="00740914">
        <w:rPr>
          <w:rFonts w:asciiTheme="minorHAnsi" w:hAnsiTheme="minorHAnsi" w:cstheme="minorHAnsi"/>
          <w:noProof/>
          <w:sz w:val="22"/>
          <w:szCs w:val="22"/>
          <w:lang w:eastAsia="en-US" w:bidi="ar-SA"/>
        </w:rPr>
        <w:t>324, z czego 5 770, czyli 61,88</w:t>
      </w:r>
      <w:r w:rsidRPr="00890249">
        <w:rPr>
          <w:rFonts w:asciiTheme="minorHAnsi" w:hAnsiTheme="minorHAnsi" w:cstheme="minorHAnsi"/>
          <w:noProof/>
          <w:sz w:val="22"/>
          <w:szCs w:val="22"/>
          <w:lang w:eastAsia="en-US" w:bidi="ar-SA"/>
        </w:rPr>
        <w:t>%</w:t>
      </w:r>
      <w:r w:rsidR="007A1A10" w:rsidRPr="00890249">
        <w:rPr>
          <w:rFonts w:asciiTheme="minorHAnsi" w:hAnsiTheme="minorHAnsi" w:cstheme="minorHAnsi"/>
          <w:noProof/>
          <w:sz w:val="22"/>
          <w:szCs w:val="22"/>
          <w:lang w:eastAsia="en-US" w:bidi="ar-SA"/>
        </w:rPr>
        <w:t>,</w:t>
      </w:r>
      <w:r w:rsidRPr="00890249">
        <w:rPr>
          <w:rFonts w:asciiTheme="minorHAnsi" w:hAnsiTheme="minorHAnsi" w:cstheme="minorHAnsi"/>
          <w:noProof/>
          <w:sz w:val="22"/>
          <w:szCs w:val="22"/>
          <w:lang w:eastAsia="en-US" w:bidi="ar-SA"/>
        </w:rPr>
        <w:t xml:space="preserve"> stanowiły kobiety. Należy mieć na uwadze, że powyższe dane dotyczą bezrobocia rejestrowanego, które nie ujmują osób biernych zawodowo. Biorąc pod uwagę powyższe</w:t>
      </w:r>
      <w:r w:rsidR="005F31A6">
        <w:rPr>
          <w:rFonts w:asciiTheme="minorHAnsi" w:hAnsiTheme="minorHAnsi" w:cstheme="minorHAnsi"/>
          <w:noProof/>
          <w:sz w:val="22"/>
          <w:szCs w:val="22"/>
          <w:lang w:eastAsia="en-US" w:bidi="ar-SA"/>
        </w:rPr>
        <w:t>,</w:t>
      </w:r>
      <w:r w:rsidRPr="00890249">
        <w:rPr>
          <w:rFonts w:asciiTheme="minorHAnsi" w:hAnsiTheme="minorHAnsi" w:cstheme="minorHAnsi"/>
          <w:noProof/>
          <w:sz w:val="22"/>
          <w:szCs w:val="22"/>
          <w:lang w:eastAsia="en-US" w:bidi="ar-SA"/>
        </w:rPr>
        <w:t xml:space="preserve"> kobiety są grupą wymagającą zintensyfikowanych działań z zakresu kompleksowej aktywizacji zawodowej w regionie celem zwiększenia możliwości ich trwałego zatrudnienia. Działania realizowane będą zgodnie z zaleceniami ETO wskazanymi w Sprawozdaniu specjalnym 25/2021.</w:t>
      </w:r>
      <w:r w:rsidR="000F00F3" w:rsidRPr="00890249">
        <w:rPr>
          <w:rFonts w:asciiTheme="minorHAnsi" w:hAnsiTheme="minorHAnsi" w:cstheme="minorHAnsi"/>
          <w:b/>
          <w:noProof/>
          <w:sz w:val="22"/>
          <w:szCs w:val="22"/>
          <w:vertAlign w:val="superscript"/>
          <w:lang w:eastAsia="en-US" w:bidi="ar-SA"/>
        </w:rPr>
        <w:footnoteReference w:id="163"/>
      </w:r>
    </w:p>
    <w:p w14:paraId="3130250C" w14:textId="6BE7F0AF" w:rsidR="0093433C" w:rsidRPr="00890249" w:rsidRDefault="47139222"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Współczynnik feminizacji w woj. opolskim w 2021 r. wyniósł 107.</w:t>
      </w:r>
      <w:r w:rsidR="000F00F3" w:rsidRPr="00890249">
        <w:rPr>
          <w:rFonts w:asciiTheme="minorHAnsi" w:hAnsiTheme="minorHAnsi" w:cstheme="minorHAnsi"/>
          <w:noProof/>
          <w:sz w:val="22"/>
          <w:szCs w:val="22"/>
          <w:vertAlign w:val="superscript"/>
          <w:lang w:eastAsia="en-US" w:bidi="ar-SA"/>
        </w:rPr>
        <w:footnoteReference w:id="164"/>
      </w:r>
      <w:r w:rsidRPr="00890249">
        <w:rPr>
          <w:rFonts w:asciiTheme="minorHAnsi" w:hAnsiTheme="minorHAnsi" w:cstheme="minorHAnsi"/>
          <w:noProof/>
          <w:sz w:val="22"/>
          <w:szCs w:val="22"/>
          <w:lang w:eastAsia="en-US" w:bidi="ar-SA"/>
        </w:rPr>
        <w:t xml:space="preserve"> Również w 2021 r. 5 606 kobiet bezrobotnych zamieszkiwało </w:t>
      </w:r>
      <w:r w:rsidR="007A1A10" w:rsidRPr="00890249">
        <w:rPr>
          <w:rFonts w:asciiTheme="minorHAnsi" w:hAnsiTheme="minorHAnsi" w:cstheme="minorHAnsi"/>
          <w:noProof/>
          <w:sz w:val="22"/>
          <w:szCs w:val="22"/>
          <w:lang w:eastAsia="en-US" w:bidi="ar-SA"/>
        </w:rPr>
        <w:t>obszary wiejskie</w:t>
      </w:r>
      <w:r w:rsidRPr="00890249">
        <w:rPr>
          <w:rFonts w:asciiTheme="minorHAnsi" w:hAnsiTheme="minorHAnsi" w:cstheme="minorHAnsi"/>
          <w:noProof/>
          <w:sz w:val="22"/>
          <w:szCs w:val="22"/>
          <w:lang w:eastAsia="en-US" w:bidi="ar-SA"/>
        </w:rPr>
        <w:t xml:space="preserve">, co stanowiło aż 26% </w:t>
      </w:r>
      <w:r w:rsidR="00043D80">
        <w:rPr>
          <w:rFonts w:asciiTheme="minorHAnsi" w:hAnsiTheme="minorHAnsi" w:cstheme="minorHAnsi"/>
          <w:noProof/>
          <w:sz w:val="22"/>
          <w:szCs w:val="22"/>
          <w:lang w:eastAsia="en-US" w:bidi="ar-SA"/>
        </w:rPr>
        <w:t>ogółu wszystkich bezrobotnych w </w:t>
      </w:r>
      <w:r w:rsidRPr="00890249">
        <w:rPr>
          <w:rFonts w:asciiTheme="minorHAnsi" w:hAnsiTheme="minorHAnsi" w:cstheme="minorHAnsi"/>
          <w:noProof/>
          <w:sz w:val="22"/>
          <w:szCs w:val="22"/>
          <w:lang w:eastAsia="en-US" w:bidi="ar-SA"/>
        </w:rPr>
        <w:t xml:space="preserve">regionie. W związku z tym w dalszym ciągu należy zwiększać udział kobiet w rynku pracy, w szczególności na obszarach wiejskich. </w:t>
      </w:r>
    </w:p>
    <w:p w14:paraId="60769937" w14:textId="5C58AD25" w:rsidR="0093433C" w:rsidRPr="00890249" w:rsidRDefault="000F00F3"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Odnośnie zjawiska feminizacji ubóstwa należy zwrócić uwagę, że główną przyczyną tego, że to właśnie kobiety znacznie bardziej niż mężczyźni narażone są na biedę, jest dyskryminacja tej grupy na rynku pracy. Kobiety bowiem mniej zarabiają, pracują w sfeminizowa</w:t>
      </w:r>
      <w:r w:rsidR="00043D80">
        <w:rPr>
          <w:rFonts w:asciiTheme="minorHAnsi" w:hAnsiTheme="minorHAnsi" w:cstheme="minorHAnsi"/>
          <w:noProof/>
          <w:sz w:val="22"/>
          <w:szCs w:val="22"/>
          <w:lang w:eastAsia="en-US" w:bidi="ar-SA"/>
        </w:rPr>
        <w:t>nych, nisko płatnych branżach i </w:t>
      </w:r>
      <w:r w:rsidRPr="00890249">
        <w:rPr>
          <w:rFonts w:asciiTheme="minorHAnsi" w:hAnsiTheme="minorHAnsi" w:cstheme="minorHAnsi"/>
          <w:noProof/>
          <w:sz w:val="22"/>
          <w:szCs w:val="22"/>
          <w:lang w:eastAsia="en-US" w:bidi="ar-SA"/>
        </w:rPr>
        <w:t>bardziej niż mężczyźni narażone są na utratę pracy.</w:t>
      </w:r>
    </w:p>
    <w:p w14:paraId="0A0D1B07" w14:textId="16BB84CD" w:rsidR="0093433C" w:rsidRPr="00890249" w:rsidRDefault="000F00F3"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lastRenderedPageBreak/>
        <w:t>W IV kwartale 2020 r. bezrobotne kobiety powyżej 55 roku życia w regionie stanowiły 5,6% ogółu bezrobotnych. Bezrobocie w tym wieku staje się bezrobociem długotrwały</w:t>
      </w:r>
      <w:r w:rsidR="00C94907" w:rsidRPr="00890249">
        <w:rPr>
          <w:rFonts w:asciiTheme="minorHAnsi" w:hAnsiTheme="minorHAnsi" w:cstheme="minorHAnsi"/>
          <w:noProof/>
          <w:sz w:val="22"/>
          <w:szCs w:val="22"/>
          <w:lang w:eastAsia="en-US" w:bidi="ar-SA"/>
        </w:rPr>
        <w:t>m</w:t>
      </w:r>
      <w:r w:rsidRPr="00890249">
        <w:rPr>
          <w:rFonts w:asciiTheme="minorHAnsi" w:hAnsiTheme="minorHAnsi" w:cstheme="minorHAnsi"/>
          <w:noProof/>
          <w:sz w:val="22"/>
          <w:szCs w:val="22"/>
          <w:lang w:eastAsia="en-US" w:bidi="ar-SA"/>
        </w:rPr>
        <w:t xml:space="preserve">, bo kobietom po 50 r.ż.  trudno zdobyć jest jakiekolwiek zatrudnienie. Kobiety padają ofiarą ageizmu, czyli dyskryminacji ze względu na wiek, przy czym dyskryminacja dotyka nie tylko kobiet starszych. Młode kobiety, w tym młode matki są również mniej chętnie zatrudniane, gdyż pracodawcy przyjmują z góry, że wkrótce będą miały dzieci i zaczną korzystać z urlopów i zwolnień lekarskich. </w:t>
      </w:r>
    </w:p>
    <w:p w14:paraId="31A2AF05" w14:textId="7A955005" w:rsidR="0093433C" w:rsidRPr="00890249" w:rsidRDefault="00A01BCA" w:rsidP="00890249">
      <w:pPr>
        <w:pStyle w:val="Tekstpodstawowy"/>
        <w:rPr>
          <w:rFonts w:asciiTheme="minorHAnsi" w:hAnsiTheme="minorHAnsi" w:cstheme="minorHAnsi"/>
          <w:noProof/>
          <w:sz w:val="22"/>
          <w:szCs w:val="22"/>
          <w:lang w:eastAsia="en-US" w:bidi="ar-SA"/>
        </w:rPr>
      </w:pPr>
      <w:r>
        <w:rPr>
          <w:rFonts w:asciiTheme="minorHAnsi" w:hAnsiTheme="minorHAnsi" w:cstheme="minorHAnsi"/>
          <w:noProof/>
          <w:sz w:val="22"/>
          <w:szCs w:val="22"/>
          <w:lang w:eastAsia="en-US" w:bidi="ar-SA"/>
        </w:rPr>
        <w:t>Uczennice</w:t>
      </w:r>
      <w:r w:rsidR="000F00F3" w:rsidRPr="00890249">
        <w:rPr>
          <w:rFonts w:asciiTheme="minorHAnsi" w:hAnsiTheme="minorHAnsi" w:cstheme="minorHAnsi"/>
          <w:noProof/>
          <w:sz w:val="22"/>
          <w:szCs w:val="22"/>
          <w:lang w:eastAsia="en-US" w:bidi="ar-SA"/>
        </w:rPr>
        <w:t xml:space="preserve"> natomiast podczas procesu edukacji przygotowywane są głównie do wyboru zawodów  sfeminizowanych, nisko płatnych, zniechęcane zaś są do kształcenia w branżach uważanych za zmaskulinizowane, w tym w zakresie nauk ścisłych i praktycznych. </w:t>
      </w:r>
    </w:p>
    <w:p w14:paraId="19A0F05C" w14:textId="0F75EF2A" w:rsidR="0093433C" w:rsidRPr="00890249" w:rsidRDefault="47139222"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 xml:space="preserve">Spośród ogółu osób zarejestrowanych w PUP, w woj. opolskim w 2018 r., około 22% w ogóle nie poszukiwało zatrudnienia, co automatycznie zmniejszało pulę osób potencjalnie zainteresowanych udziałem w projektach aktywizacyjnych (zwiększając tym samym </w:t>
      </w:r>
      <w:r w:rsidR="00043D80">
        <w:rPr>
          <w:rFonts w:asciiTheme="minorHAnsi" w:hAnsiTheme="minorHAnsi" w:cstheme="minorHAnsi"/>
          <w:noProof/>
          <w:sz w:val="22"/>
          <w:szCs w:val="22"/>
          <w:lang w:eastAsia="en-US" w:bidi="ar-SA"/>
        </w:rPr>
        <w:t>odsetek trwale bezrobotnych). Z </w:t>
      </w:r>
      <w:r w:rsidRPr="00890249">
        <w:rPr>
          <w:rFonts w:asciiTheme="minorHAnsi" w:hAnsiTheme="minorHAnsi" w:cstheme="minorHAnsi"/>
          <w:noProof/>
          <w:sz w:val="22"/>
          <w:szCs w:val="22"/>
          <w:lang w:eastAsia="en-US" w:bidi="ar-SA"/>
        </w:rPr>
        <w:t>kolei do głównych czynników utrudniających poszukiwanie pracy zalicza się: konieczność opieki na</w:t>
      </w:r>
      <w:r w:rsidR="00F25891" w:rsidRPr="00890249">
        <w:rPr>
          <w:rFonts w:asciiTheme="minorHAnsi" w:hAnsiTheme="minorHAnsi" w:cstheme="minorHAnsi"/>
          <w:noProof/>
          <w:sz w:val="22"/>
          <w:szCs w:val="22"/>
          <w:lang w:eastAsia="en-US" w:bidi="ar-SA"/>
        </w:rPr>
        <w:t>d</w:t>
      </w:r>
      <w:r w:rsidRPr="00890249">
        <w:rPr>
          <w:rFonts w:asciiTheme="minorHAnsi" w:hAnsiTheme="minorHAnsi" w:cstheme="minorHAnsi"/>
          <w:noProof/>
          <w:sz w:val="22"/>
          <w:szCs w:val="22"/>
          <w:lang w:eastAsia="en-US" w:bidi="ar-SA"/>
        </w:rPr>
        <w:t xml:space="preserve"> osobami zależnymi, problemy zdrowotne, zajmowanie się domem oraz negatywne następstwa długotrwałego bezrobocia. Niemałe znaczenie może mieć również skala szarej strefy. Ustalenia wskazują, że 22% bezrobotnych świadczy pracę nierejestrowaną.</w:t>
      </w:r>
      <w:r w:rsidR="000F00F3" w:rsidRPr="00890249">
        <w:rPr>
          <w:rFonts w:asciiTheme="minorHAnsi" w:hAnsiTheme="minorHAnsi" w:cstheme="minorHAnsi"/>
          <w:noProof/>
          <w:sz w:val="22"/>
          <w:szCs w:val="22"/>
          <w:vertAlign w:val="superscript"/>
          <w:lang w:eastAsia="en-US" w:bidi="ar-SA"/>
        </w:rPr>
        <w:footnoteReference w:id="165"/>
      </w:r>
    </w:p>
    <w:p w14:paraId="1002950E" w14:textId="17E04951" w:rsidR="0093433C" w:rsidRPr="00890249" w:rsidRDefault="000F00F3"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bCs/>
          <w:noProof/>
          <w:sz w:val="22"/>
          <w:szCs w:val="22"/>
          <w:lang w:eastAsia="en-US" w:bidi="ar-SA"/>
        </w:rPr>
        <w:t>Biorąc pod uwagę powyższe priorytetami w obszarze</w:t>
      </w:r>
      <w:r w:rsidRPr="00890249">
        <w:rPr>
          <w:rFonts w:asciiTheme="minorHAnsi" w:hAnsiTheme="minorHAnsi" w:cstheme="minorHAnsi"/>
          <w:noProof/>
          <w:sz w:val="22"/>
          <w:szCs w:val="22"/>
          <w:lang w:eastAsia="en-US" w:bidi="ar-SA"/>
        </w:rPr>
        <w:t xml:space="preserve"> wsparcia działań na rzecz równości szans kobiet i mężczyzn na rynku pracy, powinny być m.in. tworzenie warunków pracy służących równouprawnieniu płci, zapewnienie większej równowagi między życiem zawodowym i prywatnym, przełamywanie stereotypów związanych z płcią,  niwelowanie różnic w traktowaniu kobiet i mężczyzn na rynku pracy, poprawa płacowych i pozapłacowych warunków pracy. Z uwagi na konieczność zwiększenia poziomu zatrudnienia kobiet</w:t>
      </w:r>
      <w:r w:rsidR="00F25891" w:rsidRPr="00890249">
        <w:rPr>
          <w:rFonts w:asciiTheme="minorHAnsi" w:hAnsiTheme="minorHAnsi" w:cstheme="minorHAnsi"/>
          <w:noProof/>
          <w:sz w:val="22"/>
          <w:szCs w:val="22"/>
          <w:lang w:eastAsia="en-US" w:bidi="ar-SA"/>
        </w:rPr>
        <w:t xml:space="preserve">, </w:t>
      </w:r>
      <w:r w:rsidRPr="00890249">
        <w:rPr>
          <w:rFonts w:asciiTheme="minorHAnsi" w:hAnsiTheme="minorHAnsi" w:cstheme="minorHAnsi"/>
          <w:noProof/>
          <w:sz w:val="22"/>
          <w:szCs w:val="22"/>
          <w:lang w:eastAsia="en-US" w:bidi="ar-SA"/>
        </w:rPr>
        <w:t>w tym w szczególności kobiet biernych zawodowo</w:t>
      </w:r>
      <w:r w:rsidR="00F25891" w:rsidRPr="00890249">
        <w:rPr>
          <w:rFonts w:asciiTheme="minorHAnsi" w:hAnsiTheme="minorHAnsi" w:cstheme="minorHAnsi"/>
          <w:noProof/>
          <w:sz w:val="22"/>
          <w:szCs w:val="22"/>
          <w:lang w:eastAsia="en-US" w:bidi="ar-SA"/>
        </w:rPr>
        <w:t>,</w:t>
      </w:r>
      <w:r w:rsidRPr="00890249">
        <w:rPr>
          <w:rFonts w:asciiTheme="minorHAnsi" w:hAnsiTheme="minorHAnsi" w:cstheme="minorHAnsi"/>
          <w:noProof/>
          <w:sz w:val="22"/>
          <w:szCs w:val="22"/>
          <w:lang w:eastAsia="en-US" w:bidi="ar-SA"/>
        </w:rPr>
        <w:t xml:space="preserve"> ważne jest również wsparcie możliwości pracy w niepełnym wymiarze czasu, prac</w:t>
      </w:r>
      <w:r w:rsidR="007A1A10" w:rsidRPr="00890249">
        <w:rPr>
          <w:rFonts w:asciiTheme="minorHAnsi" w:hAnsiTheme="minorHAnsi" w:cstheme="minorHAnsi"/>
          <w:noProof/>
          <w:sz w:val="22"/>
          <w:szCs w:val="22"/>
          <w:lang w:eastAsia="en-US" w:bidi="ar-SA"/>
        </w:rPr>
        <w:t>y</w:t>
      </w:r>
      <w:r w:rsidRPr="00890249">
        <w:rPr>
          <w:rFonts w:asciiTheme="minorHAnsi" w:hAnsiTheme="minorHAnsi" w:cstheme="minorHAnsi"/>
          <w:noProof/>
          <w:sz w:val="22"/>
          <w:szCs w:val="22"/>
          <w:lang w:eastAsia="en-US" w:bidi="ar-SA"/>
        </w:rPr>
        <w:t xml:space="preserve"> na odległość oraz inn</w:t>
      </w:r>
      <w:r w:rsidR="007A1A10" w:rsidRPr="00890249">
        <w:rPr>
          <w:rFonts w:asciiTheme="minorHAnsi" w:hAnsiTheme="minorHAnsi" w:cstheme="minorHAnsi"/>
          <w:noProof/>
          <w:sz w:val="22"/>
          <w:szCs w:val="22"/>
          <w:lang w:eastAsia="en-US" w:bidi="ar-SA"/>
        </w:rPr>
        <w:t>ych</w:t>
      </w:r>
      <w:r w:rsidR="00C94907" w:rsidRPr="00890249">
        <w:rPr>
          <w:rFonts w:asciiTheme="minorHAnsi" w:hAnsiTheme="minorHAnsi" w:cstheme="minorHAnsi"/>
          <w:noProof/>
          <w:sz w:val="22"/>
          <w:szCs w:val="22"/>
          <w:lang w:eastAsia="en-US" w:bidi="ar-SA"/>
        </w:rPr>
        <w:t xml:space="preserve"> </w:t>
      </w:r>
      <w:r w:rsidRPr="00890249">
        <w:rPr>
          <w:rFonts w:asciiTheme="minorHAnsi" w:hAnsiTheme="minorHAnsi" w:cstheme="minorHAnsi"/>
          <w:noProof/>
          <w:sz w:val="22"/>
          <w:szCs w:val="22"/>
          <w:lang w:eastAsia="en-US" w:bidi="ar-SA"/>
        </w:rPr>
        <w:t>działa</w:t>
      </w:r>
      <w:r w:rsidR="007A1A10" w:rsidRPr="00890249">
        <w:rPr>
          <w:rFonts w:asciiTheme="minorHAnsi" w:hAnsiTheme="minorHAnsi" w:cstheme="minorHAnsi"/>
          <w:noProof/>
          <w:sz w:val="22"/>
          <w:szCs w:val="22"/>
          <w:lang w:eastAsia="en-US" w:bidi="ar-SA"/>
        </w:rPr>
        <w:t>ń</w:t>
      </w:r>
      <w:r w:rsidRPr="00890249">
        <w:rPr>
          <w:rFonts w:asciiTheme="minorHAnsi" w:hAnsiTheme="minorHAnsi" w:cstheme="minorHAnsi"/>
          <w:noProof/>
          <w:sz w:val="22"/>
          <w:szCs w:val="22"/>
          <w:lang w:eastAsia="en-US" w:bidi="ar-SA"/>
        </w:rPr>
        <w:t xml:space="preserve"> służąc</w:t>
      </w:r>
      <w:r w:rsidR="007A1A10" w:rsidRPr="00890249">
        <w:rPr>
          <w:rFonts w:asciiTheme="minorHAnsi" w:hAnsiTheme="minorHAnsi" w:cstheme="minorHAnsi"/>
          <w:noProof/>
          <w:sz w:val="22"/>
          <w:szCs w:val="22"/>
          <w:lang w:eastAsia="en-US" w:bidi="ar-SA"/>
        </w:rPr>
        <w:t>ych</w:t>
      </w:r>
      <w:r w:rsidRPr="00890249">
        <w:rPr>
          <w:rFonts w:asciiTheme="minorHAnsi" w:hAnsiTheme="minorHAnsi" w:cstheme="minorHAnsi"/>
          <w:noProof/>
          <w:sz w:val="22"/>
          <w:szCs w:val="22"/>
          <w:lang w:eastAsia="en-US" w:bidi="ar-SA"/>
        </w:rPr>
        <w:t xml:space="preserve"> aktywizacji zawodowej oraz przeciwdziałanie feminizacji ubóstwa. W tym zakresie cs </w:t>
      </w:r>
      <w:r w:rsidR="00043D80">
        <w:rPr>
          <w:rFonts w:asciiTheme="minorHAnsi" w:hAnsiTheme="minorHAnsi" w:cstheme="minorHAnsi"/>
          <w:noProof/>
          <w:sz w:val="22"/>
          <w:szCs w:val="22"/>
          <w:lang w:eastAsia="en-US" w:bidi="ar-SA"/>
        </w:rPr>
        <w:t xml:space="preserve">(c) </w:t>
      </w:r>
      <w:r w:rsidRPr="00890249">
        <w:rPr>
          <w:rFonts w:asciiTheme="minorHAnsi" w:hAnsiTheme="minorHAnsi" w:cstheme="minorHAnsi"/>
          <w:noProof/>
          <w:sz w:val="22"/>
          <w:szCs w:val="22"/>
          <w:lang w:eastAsia="en-US" w:bidi="ar-SA"/>
        </w:rPr>
        <w:t>będzie komplementarny z cs (d), w ramach którego promowane będą elastyczne formy zatrudnienia.</w:t>
      </w:r>
    </w:p>
    <w:p w14:paraId="4756B909" w14:textId="77777777" w:rsidR="0093433C" w:rsidRPr="00890249" w:rsidRDefault="000F00F3"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 xml:space="preserve">Działania nie będą powielały wsparcia realizowanego na poziomie krajowym dotyczącego zwiększenia dostępu do opieki nad dziećmi do lat 3 oraz systemowych działań w zakresie równości szans. Będą natomiast komplementarne </w:t>
      </w:r>
      <w:r w:rsidR="009B023D" w:rsidRPr="00890249">
        <w:rPr>
          <w:rFonts w:asciiTheme="minorHAnsi" w:hAnsiTheme="minorHAnsi" w:cstheme="minorHAnsi"/>
          <w:noProof/>
          <w:sz w:val="22"/>
          <w:szCs w:val="22"/>
          <w:lang w:eastAsia="en-US" w:bidi="ar-SA"/>
        </w:rPr>
        <w:t>z działaniami wskazanymi w FERS oraz w KPO (uwzględnione zostaną mechanizmy zapobiegające podwójnemu finansowaniu).</w:t>
      </w:r>
    </w:p>
    <w:p w14:paraId="31A9C4A5" w14:textId="77777777" w:rsidR="00583E3C" w:rsidRPr="00890249" w:rsidRDefault="00583E3C" w:rsidP="00583E3C">
      <w:pPr>
        <w:jc w:val="left"/>
        <w:rPr>
          <w:rFonts w:asciiTheme="minorHAnsi" w:eastAsia="Times New Roman" w:hAnsiTheme="minorHAnsi" w:cstheme="minorHAnsi"/>
          <w:noProof/>
          <w:sz w:val="22"/>
          <w:szCs w:val="22"/>
          <w:lang w:eastAsia="en-US" w:bidi="ar-SA"/>
        </w:rPr>
      </w:pPr>
      <w:r w:rsidRPr="00890249">
        <w:rPr>
          <w:rFonts w:asciiTheme="minorHAnsi" w:eastAsia="Times New Roman" w:hAnsiTheme="minorHAnsi" w:cstheme="minorHAnsi"/>
          <w:noProof/>
          <w:sz w:val="22"/>
          <w:szCs w:val="22"/>
          <w:lang w:eastAsia="en-US" w:bidi="ar-SA"/>
        </w:rPr>
        <w:t>Planowane typy przedsięwzięć:</w:t>
      </w:r>
    </w:p>
    <w:p w14:paraId="04702CC3" w14:textId="64ADC194" w:rsidR="0093433C" w:rsidRPr="00890249" w:rsidRDefault="00C94907" w:rsidP="00890249">
      <w:pPr>
        <w:pStyle w:val="Nagwek8"/>
        <w:ind w:left="284" w:hanging="284"/>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1.</w:t>
      </w:r>
      <w:r w:rsidR="0093433C" w:rsidRPr="00890249">
        <w:rPr>
          <w:rFonts w:asciiTheme="minorHAnsi" w:eastAsiaTheme="minorHAnsi" w:hAnsiTheme="minorHAnsi" w:cstheme="minorHAnsi"/>
          <w:sz w:val="22"/>
          <w:szCs w:val="22"/>
          <w:lang w:eastAsia="en-US" w:bidi="ar-SA"/>
        </w:rPr>
        <w:tab/>
      </w:r>
      <w:r w:rsidR="000F00F3" w:rsidRPr="00890249">
        <w:rPr>
          <w:rFonts w:asciiTheme="minorHAnsi" w:eastAsiaTheme="minorHAnsi" w:hAnsiTheme="minorHAnsi" w:cstheme="minorHAnsi"/>
          <w:sz w:val="22"/>
          <w:szCs w:val="22"/>
          <w:lang w:eastAsia="en-US" w:bidi="ar-SA"/>
        </w:rPr>
        <w:t>Działania (przykładowo: szkolenia, warsztaty, kampanie, doradztwo, panele, grupy doradcze) mające na celu:</w:t>
      </w:r>
    </w:p>
    <w:p w14:paraId="1A6A7899" w14:textId="7A04807D" w:rsidR="00B72154" w:rsidRPr="00890249" w:rsidRDefault="00C94907" w:rsidP="009F296A">
      <w:pPr>
        <w:pStyle w:val="Akapitzlist"/>
        <w:numPr>
          <w:ilvl w:val="0"/>
          <w:numId w:val="134"/>
        </w:numPr>
        <w:spacing w:before="0" w:line="259" w:lineRule="auto"/>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z</w:t>
      </w:r>
      <w:r w:rsidR="00875C92" w:rsidRPr="00890249">
        <w:rPr>
          <w:rFonts w:asciiTheme="minorHAnsi" w:eastAsiaTheme="minorHAnsi" w:hAnsiTheme="minorHAnsi" w:cstheme="minorHAnsi"/>
          <w:sz w:val="22"/>
          <w:szCs w:val="22"/>
          <w:lang w:eastAsia="en-US" w:bidi="ar-SA"/>
        </w:rPr>
        <w:t>większenie udziału w rynku pracy kobiet, zwłaszcza mieszkających na obszarach wiejskich</w:t>
      </w:r>
      <w:r w:rsidRPr="00890249">
        <w:rPr>
          <w:rFonts w:asciiTheme="minorHAnsi" w:eastAsiaTheme="minorHAnsi" w:hAnsiTheme="minorHAnsi" w:cstheme="minorHAnsi"/>
          <w:sz w:val="22"/>
          <w:szCs w:val="22"/>
          <w:lang w:eastAsia="en-US" w:bidi="ar-SA"/>
        </w:rPr>
        <w:t>,</w:t>
      </w:r>
      <w:r w:rsidR="00875C92" w:rsidRPr="00890249">
        <w:rPr>
          <w:rFonts w:asciiTheme="minorHAnsi" w:eastAsiaTheme="minorHAnsi" w:hAnsiTheme="minorHAnsi" w:cstheme="minorHAnsi"/>
          <w:sz w:val="22"/>
          <w:szCs w:val="22"/>
          <w:lang w:eastAsia="en-US" w:bidi="ar-SA"/>
        </w:rPr>
        <w:t xml:space="preserve"> </w:t>
      </w:r>
    </w:p>
    <w:p w14:paraId="5040FBBF" w14:textId="1E0B0C62"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w:t>
      </w:r>
      <w:r w:rsidR="000F00F3" w:rsidRPr="00890249">
        <w:rPr>
          <w:rFonts w:asciiTheme="minorHAnsi" w:hAnsiTheme="minorHAnsi" w:cstheme="minorHAnsi"/>
          <w:sz w:val="22"/>
          <w:szCs w:val="22"/>
          <w:lang w:eastAsia="en-US" w:bidi="ar-SA"/>
        </w:rPr>
        <w:t xml:space="preserve">walczanie stereotypów związanych z płcią oraz zapobieganie dyskryminacji i molestowaniu </w:t>
      </w:r>
      <w:r w:rsidR="000F00F3" w:rsidRPr="00890249">
        <w:rPr>
          <w:rFonts w:asciiTheme="minorHAnsi" w:hAnsiTheme="minorHAnsi" w:cstheme="minorHAnsi"/>
          <w:sz w:val="22"/>
          <w:szCs w:val="22"/>
          <w:lang w:eastAsia="en-US" w:bidi="ar-SA"/>
        </w:rPr>
        <w:br/>
        <w:t>w systemach zatrudnienia, kształcenia i szkolenia</w:t>
      </w:r>
      <w:r w:rsidRPr="00890249">
        <w:rPr>
          <w:rFonts w:asciiTheme="minorHAnsi" w:hAnsiTheme="minorHAnsi" w:cstheme="minorHAnsi"/>
          <w:sz w:val="22"/>
          <w:szCs w:val="22"/>
          <w:lang w:eastAsia="en-US" w:bidi="ar-SA"/>
        </w:rPr>
        <w:t>,</w:t>
      </w:r>
    </w:p>
    <w:p w14:paraId="6502CD20" w14:textId="7C662183"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w:t>
      </w:r>
      <w:r w:rsidR="000F00F3" w:rsidRPr="00890249">
        <w:rPr>
          <w:rFonts w:asciiTheme="minorHAnsi" w:hAnsiTheme="minorHAnsi" w:cstheme="minorHAnsi"/>
          <w:sz w:val="22"/>
          <w:szCs w:val="22"/>
          <w:lang w:eastAsia="en-US" w:bidi="ar-SA"/>
        </w:rPr>
        <w:t>walczanie stereotypów związanych z płcią w odniesieniu do dzielenia się obowiązkami  opiekuńczymi między mężczyznami i kobietami oraz wspieranie większego zaangażowania mężczyzn w obowiązki opiekuńcze</w:t>
      </w:r>
      <w:r w:rsidRPr="00890249">
        <w:rPr>
          <w:rFonts w:asciiTheme="minorHAnsi" w:hAnsiTheme="minorHAnsi" w:cstheme="minorHAnsi"/>
          <w:sz w:val="22"/>
          <w:szCs w:val="22"/>
          <w:lang w:eastAsia="en-US" w:bidi="ar-SA"/>
        </w:rPr>
        <w:t>,</w:t>
      </w:r>
    </w:p>
    <w:p w14:paraId="64CD932A" w14:textId="0ED00BBE"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000F00F3" w:rsidRPr="00890249">
        <w:rPr>
          <w:rFonts w:asciiTheme="minorHAnsi" w:hAnsiTheme="minorHAnsi" w:cstheme="minorHAnsi"/>
          <w:sz w:val="22"/>
          <w:szCs w:val="22"/>
          <w:lang w:eastAsia="en-US" w:bidi="ar-SA"/>
        </w:rPr>
        <w:t>spieranie partnerów społecznych i przedsiębiorstw w rozwijaniu i wdrażaniu zrównoważonego życia zawodowego i prywatnego</w:t>
      </w:r>
      <w:r w:rsidRPr="00890249">
        <w:rPr>
          <w:rFonts w:asciiTheme="minorHAnsi" w:hAnsiTheme="minorHAnsi" w:cstheme="minorHAnsi"/>
          <w:sz w:val="22"/>
          <w:szCs w:val="22"/>
          <w:lang w:eastAsia="en-US" w:bidi="ar-SA"/>
        </w:rPr>
        <w:t>,</w:t>
      </w:r>
      <w:r w:rsidR="000F00F3" w:rsidRPr="00890249">
        <w:rPr>
          <w:rFonts w:asciiTheme="minorHAnsi" w:hAnsiTheme="minorHAnsi" w:cstheme="minorHAnsi"/>
          <w:sz w:val="22"/>
          <w:szCs w:val="22"/>
          <w:lang w:eastAsia="en-US" w:bidi="ar-SA"/>
        </w:rPr>
        <w:t xml:space="preserve"> </w:t>
      </w:r>
    </w:p>
    <w:p w14:paraId="63F62446" w14:textId="47825B92"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w:t>
      </w:r>
      <w:r w:rsidR="000F00F3" w:rsidRPr="00890249">
        <w:rPr>
          <w:rFonts w:asciiTheme="minorHAnsi" w:hAnsiTheme="minorHAnsi" w:cstheme="minorHAnsi"/>
          <w:sz w:val="22"/>
          <w:szCs w:val="22"/>
          <w:lang w:eastAsia="en-US" w:bidi="ar-SA"/>
        </w:rPr>
        <w:t xml:space="preserve">odnoszenie świadomości i mobilizowanie partnerów społecznych i przedsiębiorstw w celu rozwiązania problemu segregacji płciowej na rynku pracy oraz likwidowania różnic </w:t>
      </w:r>
      <w:r w:rsidR="000F00F3" w:rsidRPr="00890249">
        <w:rPr>
          <w:rFonts w:asciiTheme="minorHAnsi" w:hAnsiTheme="minorHAnsi" w:cstheme="minorHAnsi"/>
          <w:sz w:val="22"/>
          <w:szCs w:val="22"/>
          <w:lang w:eastAsia="en-US" w:bidi="ar-SA"/>
        </w:rPr>
        <w:br/>
        <w:t>w wynagrodzeniach ze względu na płeć</w:t>
      </w:r>
      <w:r w:rsidR="003C3208" w:rsidRPr="00890249">
        <w:rPr>
          <w:rFonts w:asciiTheme="minorHAnsi" w:hAnsiTheme="minorHAnsi" w:cstheme="minorHAnsi"/>
          <w:sz w:val="22"/>
          <w:szCs w:val="22"/>
          <w:lang w:eastAsia="en-US" w:bidi="ar-SA"/>
        </w:rPr>
        <w:t xml:space="preserve"> lub niepełnosprawność</w:t>
      </w:r>
      <w:r w:rsidRPr="00890249">
        <w:rPr>
          <w:rFonts w:asciiTheme="minorHAnsi" w:hAnsiTheme="minorHAnsi" w:cstheme="minorHAnsi"/>
          <w:sz w:val="22"/>
          <w:szCs w:val="22"/>
          <w:lang w:eastAsia="en-US" w:bidi="ar-SA"/>
        </w:rPr>
        <w:t>,</w:t>
      </w:r>
    </w:p>
    <w:p w14:paraId="7C6B8F8D" w14:textId="6E4D5F63"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p</w:t>
      </w:r>
      <w:r w:rsidR="000F00F3" w:rsidRPr="00890249">
        <w:rPr>
          <w:rFonts w:asciiTheme="minorHAnsi" w:hAnsiTheme="minorHAnsi" w:cstheme="minorHAnsi"/>
          <w:sz w:val="22"/>
          <w:szCs w:val="22"/>
          <w:lang w:eastAsia="en-US" w:bidi="ar-SA"/>
        </w:rPr>
        <w:t>rzeciwdziałanie problemowi feminizacji ubóstwa</w:t>
      </w:r>
      <w:r w:rsidRPr="00890249">
        <w:rPr>
          <w:rFonts w:asciiTheme="minorHAnsi" w:hAnsiTheme="minorHAnsi" w:cstheme="minorHAnsi"/>
          <w:sz w:val="22"/>
          <w:szCs w:val="22"/>
          <w:lang w:eastAsia="en-US" w:bidi="ar-SA"/>
        </w:rPr>
        <w:t>,</w:t>
      </w:r>
    </w:p>
    <w:p w14:paraId="50DFB1CF" w14:textId="29BD9BBD"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u</w:t>
      </w:r>
      <w:r w:rsidR="000F00F3" w:rsidRPr="00890249">
        <w:rPr>
          <w:rFonts w:asciiTheme="minorHAnsi" w:hAnsiTheme="minorHAnsi" w:cstheme="minorHAnsi"/>
          <w:sz w:val="22"/>
          <w:szCs w:val="22"/>
          <w:lang w:eastAsia="en-US" w:bidi="ar-SA"/>
        </w:rPr>
        <w:t>kierunkowanie dziewcząt i młodych kobiet w celu realizacji kariery w ramach kompetencji STEM (nauki ścisłe, technologia, inżynieria i matematyka) i STEAM (nauki ścisłe, technologia, inżynieri</w:t>
      </w:r>
      <w:r w:rsidR="00596AAF" w:rsidRPr="00890249">
        <w:rPr>
          <w:rFonts w:asciiTheme="minorHAnsi" w:hAnsiTheme="minorHAnsi" w:cstheme="minorHAnsi"/>
          <w:sz w:val="22"/>
          <w:szCs w:val="22"/>
          <w:lang w:eastAsia="en-US" w:bidi="ar-SA"/>
        </w:rPr>
        <w:t>a, sztuka i matematyka)</w:t>
      </w:r>
      <w:r w:rsidRPr="00890249">
        <w:rPr>
          <w:rFonts w:asciiTheme="minorHAnsi" w:hAnsiTheme="minorHAnsi" w:cstheme="minorHAnsi"/>
          <w:sz w:val="22"/>
          <w:szCs w:val="22"/>
          <w:lang w:eastAsia="en-US" w:bidi="ar-SA"/>
        </w:rPr>
        <w:t>,</w:t>
      </w:r>
    </w:p>
    <w:p w14:paraId="3483897B" w14:textId="61D4DCEF"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w:t>
      </w:r>
      <w:r w:rsidR="000F00F3" w:rsidRPr="00890249">
        <w:rPr>
          <w:rFonts w:asciiTheme="minorHAnsi" w:hAnsiTheme="minorHAnsi" w:cstheme="minorHAnsi"/>
          <w:sz w:val="22"/>
          <w:szCs w:val="22"/>
          <w:lang w:eastAsia="en-US" w:bidi="ar-SA"/>
        </w:rPr>
        <w:t xml:space="preserve">apobieganie i zwalczanie konkretnych form przemocy ze względu na płeć, w tym molestowania seksualnego, nadużyć wobec kobiet określanych jako europrzestępstwo </w:t>
      </w:r>
      <w:r w:rsidR="000F00F3" w:rsidRPr="00890249">
        <w:rPr>
          <w:rFonts w:asciiTheme="minorHAnsi" w:hAnsiTheme="minorHAnsi" w:cstheme="minorHAnsi"/>
          <w:sz w:val="22"/>
          <w:szCs w:val="22"/>
          <w:lang w:eastAsia="en-US" w:bidi="ar-SA"/>
        </w:rPr>
        <w:br/>
        <w:t>w rozumieniu art. 83 ust. 1 TFUE</w:t>
      </w:r>
      <w:r w:rsidRPr="00890249">
        <w:rPr>
          <w:rFonts w:asciiTheme="minorHAnsi" w:hAnsiTheme="minorHAnsi" w:cstheme="minorHAnsi"/>
          <w:sz w:val="22"/>
          <w:szCs w:val="22"/>
          <w:lang w:eastAsia="en-US" w:bidi="ar-SA"/>
        </w:rPr>
        <w:t>,</w:t>
      </w:r>
    </w:p>
    <w:p w14:paraId="29EFAFF7" w14:textId="1247F873"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w:t>
      </w:r>
      <w:r w:rsidR="009208EF" w:rsidRPr="00890249">
        <w:rPr>
          <w:rFonts w:asciiTheme="minorHAnsi" w:hAnsiTheme="minorHAnsi" w:cstheme="minorHAnsi"/>
          <w:sz w:val="22"/>
          <w:szCs w:val="22"/>
          <w:lang w:eastAsia="en-US" w:bidi="ar-SA"/>
        </w:rPr>
        <w:t xml:space="preserve">większenie świadomości pracodawców i całej społeczności </w:t>
      </w:r>
      <w:r w:rsidR="0093233E">
        <w:rPr>
          <w:rFonts w:asciiTheme="minorHAnsi" w:hAnsiTheme="minorHAnsi" w:cstheme="minorHAnsi"/>
          <w:sz w:val="22"/>
          <w:szCs w:val="22"/>
          <w:lang w:eastAsia="en-US" w:bidi="ar-SA"/>
        </w:rPr>
        <w:t>odnośnie przełamywania barier i </w:t>
      </w:r>
      <w:r w:rsidR="009208EF" w:rsidRPr="00890249">
        <w:rPr>
          <w:rFonts w:asciiTheme="minorHAnsi" w:hAnsiTheme="minorHAnsi" w:cstheme="minorHAnsi"/>
          <w:sz w:val="22"/>
          <w:szCs w:val="22"/>
          <w:lang w:eastAsia="en-US" w:bidi="ar-SA"/>
        </w:rPr>
        <w:t>stereotypów związanych z płcią</w:t>
      </w:r>
      <w:r w:rsidRPr="00890249">
        <w:rPr>
          <w:rFonts w:asciiTheme="minorHAnsi" w:hAnsiTheme="minorHAnsi" w:cstheme="minorHAnsi"/>
          <w:sz w:val="22"/>
          <w:szCs w:val="22"/>
          <w:lang w:eastAsia="en-US" w:bidi="ar-SA"/>
        </w:rPr>
        <w:t>,</w:t>
      </w:r>
    </w:p>
    <w:p w14:paraId="50DF7759" w14:textId="0F39B511" w:rsidR="0093433C" w:rsidRPr="00890249" w:rsidRDefault="00C94907" w:rsidP="009F296A">
      <w:pPr>
        <w:pStyle w:val="Listapunktowana3"/>
        <w:numPr>
          <w:ilvl w:val="0"/>
          <w:numId w:val="134"/>
        </w:numPr>
        <w:spacing w:before="0"/>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w:t>
      </w:r>
      <w:r w:rsidR="009208EF" w:rsidRPr="00890249">
        <w:rPr>
          <w:rFonts w:asciiTheme="minorHAnsi" w:hAnsiTheme="minorHAnsi" w:cstheme="minorHAnsi"/>
          <w:sz w:val="22"/>
          <w:szCs w:val="22"/>
          <w:lang w:eastAsia="en-US" w:bidi="ar-SA"/>
        </w:rPr>
        <w:t>ostosowanie środowiska pracy celem dostępności dla osó</w:t>
      </w:r>
      <w:r w:rsidR="0093233E">
        <w:rPr>
          <w:rFonts w:asciiTheme="minorHAnsi" w:hAnsiTheme="minorHAnsi" w:cstheme="minorHAnsi"/>
          <w:sz w:val="22"/>
          <w:szCs w:val="22"/>
          <w:lang w:eastAsia="en-US" w:bidi="ar-SA"/>
        </w:rPr>
        <w:t>b ze szczególnymi potrzebami, w </w:t>
      </w:r>
      <w:r w:rsidR="009208EF" w:rsidRPr="00890249">
        <w:rPr>
          <w:rFonts w:asciiTheme="minorHAnsi" w:hAnsiTheme="minorHAnsi" w:cstheme="minorHAnsi"/>
          <w:sz w:val="22"/>
          <w:szCs w:val="22"/>
          <w:lang w:eastAsia="en-US" w:bidi="ar-SA"/>
        </w:rPr>
        <w:t>tym z niepełnosprawnościami</w:t>
      </w:r>
      <w:r w:rsidR="00551181" w:rsidRPr="00890249">
        <w:rPr>
          <w:rFonts w:asciiTheme="minorHAnsi" w:hAnsiTheme="minorHAnsi" w:cstheme="minorHAnsi"/>
          <w:sz w:val="22"/>
          <w:szCs w:val="22"/>
          <w:lang w:eastAsia="en-US" w:bidi="ar-SA"/>
        </w:rPr>
        <w:t>.</w:t>
      </w:r>
    </w:p>
    <w:p w14:paraId="0643D3B0" w14:textId="3CBF8345" w:rsidR="00B72154" w:rsidRPr="00890249" w:rsidRDefault="008D1D08" w:rsidP="009F296A">
      <w:pPr>
        <w:pStyle w:val="Akapitzlist"/>
        <w:numPr>
          <w:ilvl w:val="0"/>
          <w:numId w:val="155"/>
        </w:numPr>
        <w:tabs>
          <w:tab w:val="left" w:pos="284"/>
        </w:tabs>
        <w:ind w:left="284" w:hanging="284"/>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B</w:t>
      </w:r>
      <w:r w:rsidR="00A46139" w:rsidRPr="00890249">
        <w:rPr>
          <w:rFonts w:asciiTheme="minorHAnsi" w:eastAsiaTheme="minorHAnsi" w:hAnsiTheme="minorHAnsi" w:cstheme="minorHAnsi"/>
          <w:sz w:val="22"/>
          <w:szCs w:val="22"/>
          <w:lang w:eastAsia="en-US" w:bidi="ar-SA"/>
        </w:rPr>
        <w:t>udowanie zdolności partnerów społecznych oraz organizacji społeczeństwa obywatelskiego.</w:t>
      </w:r>
    </w:p>
    <w:p w14:paraId="185CDBCD" w14:textId="1A1BCFDA"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F00F3"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512EE939" w14:textId="77777777" w:rsidR="004376A2" w:rsidRPr="00890249" w:rsidRDefault="004376A2" w:rsidP="004376A2">
      <w:pPr>
        <w:rPr>
          <w:rFonts w:asciiTheme="minorHAnsi" w:hAnsiTheme="minorHAnsi" w:cstheme="minorHAnsi"/>
          <w:noProof/>
          <w:color w:val="2F5496" w:themeColor="accent5" w:themeShade="BF"/>
          <w:sz w:val="22"/>
        </w:rPr>
      </w:pPr>
      <w:r w:rsidRPr="00890249">
        <w:rPr>
          <w:rFonts w:asciiTheme="minorHAnsi" w:hAnsiTheme="minorHAnsi" w:cstheme="minorHAnsi"/>
          <w:b/>
          <w:noProof/>
          <w:color w:val="2F5496" w:themeColor="accent5" w:themeShade="BF"/>
          <w:sz w:val="22"/>
        </w:rPr>
        <w:t>Główne grupy docelowe</w:t>
      </w:r>
    </w:p>
    <w:p w14:paraId="0846CEAA" w14:textId="77777777" w:rsidR="0093433C" w:rsidRPr="00890249" w:rsidRDefault="000F00F3" w:rsidP="009F296A">
      <w:pPr>
        <w:pStyle w:val="Listapunktowana2"/>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kobiety, w szczególności bezrobotne, z obszarów wiejskich, matki samotnie wychowujące dzieci lub sprawujące opi</w:t>
      </w:r>
      <w:r w:rsidR="007724A5" w:rsidRPr="00890249">
        <w:rPr>
          <w:rFonts w:asciiTheme="minorHAnsi" w:hAnsiTheme="minorHAnsi" w:cstheme="minorHAnsi"/>
          <w:noProof/>
          <w:sz w:val="22"/>
          <w:szCs w:val="22"/>
        </w:rPr>
        <w:t>ekę nad osobami wymagającymi wsparcia w codziennym funkcjonowaniu</w:t>
      </w:r>
      <w:r w:rsidRPr="00890249">
        <w:rPr>
          <w:rFonts w:asciiTheme="minorHAnsi" w:hAnsiTheme="minorHAnsi" w:cstheme="minorHAnsi"/>
          <w:noProof/>
          <w:sz w:val="22"/>
          <w:szCs w:val="22"/>
        </w:rPr>
        <w:t>,</w:t>
      </w:r>
      <w:r w:rsidR="009208EF" w:rsidRPr="00890249">
        <w:rPr>
          <w:rFonts w:asciiTheme="minorHAnsi" w:hAnsiTheme="minorHAnsi" w:cstheme="minorHAnsi"/>
          <w:noProof/>
          <w:sz w:val="22"/>
          <w:szCs w:val="22"/>
        </w:rPr>
        <w:t xml:space="preserve"> w tym </w:t>
      </w:r>
      <w:r w:rsidR="00551181" w:rsidRPr="00890249">
        <w:rPr>
          <w:rFonts w:asciiTheme="minorHAnsi" w:hAnsiTheme="minorHAnsi" w:cstheme="minorHAnsi"/>
          <w:noProof/>
          <w:sz w:val="22"/>
          <w:szCs w:val="22"/>
        </w:rPr>
        <w:t xml:space="preserve">osobami </w:t>
      </w:r>
      <w:r w:rsidR="009208EF" w:rsidRPr="00890249">
        <w:rPr>
          <w:rFonts w:asciiTheme="minorHAnsi" w:hAnsiTheme="minorHAnsi" w:cstheme="minorHAnsi"/>
          <w:noProof/>
          <w:sz w:val="22"/>
          <w:szCs w:val="22"/>
        </w:rPr>
        <w:t>z niepełnosprawnościami,</w:t>
      </w:r>
      <w:r w:rsidRPr="00890249">
        <w:rPr>
          <w:rFonts w:asciiTheme="minorHAnsi" w:hAnsiTheme="minorHAnsi" w:cstheme="minorHAnsi"/>
          <w:noProof/>
          <w:sz w:val="22"/>
          <w:szCs w:val="22"/>
        </w:rPr>
        <w:t xml:space="preserve"> doświadczające ubóstwa, </w:t>
      </w:r>
      <w:r w:rsidR="009208EF" w:rsidRPr="00890249">
        <w:rPr>
          <w:rFonts w:asciiTheme="minorHAnsi" w:hAnsiTheme="minorHAnsi" w:cstheme="minorHAnsi"/>
          <w:noProof/>
          <w:sz w:val="22"/>
          <w:szCs w:val="22"/>
        </w:rPr>
        <w:t xml:space="preserve">niepełnosprawności, </w:t>
      </w:r>
      <w:r w:rsidRPr="00890249">
        <w:rPr>
          <w:rFonts w:asciiTheme="minorHAnsi" w:hAnsiTheme="minorHAnsi" w:cstheme="minorHAnsi"/>
          <w:noProof/>
          <w:sz w:val="22"/>
          <w:szCs w:val="22"/>
        </w:rPr>
        <w:t>przemocy, dyskryminacji ze względu na płeć,</w:t>
      </w:r>
    </w:p>
    <w:p w14:paraId="1B1BFD4A" w14:textId="77777777" w:rsidR="0093433C" w:rsidRPr="00890249" w:rsidRDefault="000F00F3" w:rsidP="009F296A">
      <w:pPr>
        <w:pStyle w:val="Listapunktowana2"/>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uczennice i słuchacze szkół i placówek systemu oświaty, rodzice / opiekunowie prawni dzieci </w:t>
      </w:r>
      <w:r w:rsidRPr="00890249">
        <w:rPr>
          <w:rFonts w:asciiTheme="minorHAnsi" w:hAnsiTheme="minorHAnsi" w:cstheme="minorHAnsi"/>
          <w:noProof/>
          <w:sz w:val="22"/>
          <w:szCs w:val="22"/>
        </w:rPr>
        <w:br/>
        <w:t>i młodzieży w wieku szkolnym,</w:t>
      </w:r>
    </w:p>
    <w:p w14:paraId="32916A2B" w14:textId="77777777" w:rsidR="0093433C" w:rsidRPr="00890249" w:rsidRDefault="000F00F3" w:rsidP="009F296A">
      <w:pPr>
        <w:pStyle w:val="Listapunktowana2"/>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publiczne i niepubliczne szkoły podstawowe, ponadpodstawowe, szkoły dla dorosłych i placówki systemu oświaty,</w:t>
      </w:r>
    </w:p>
    <w:p w14:paraId="745A91E8" w14:textId="77777777" w:rsidR="0093433C" w:rsidRPr="00890249" w:rsidRDefault="000F00F3" w:rsidP="009F296A">
      <w:pPr>
        <w:pStyle w:val="Listapunktowana2"/>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partnerzy społeczni</w:t>
      </w:r>
      <w:r w:rsidR="00A46139" w:rsidRPr="00890249">
        <w:rPr>
          <w:rFonts w:asciiTheme="minorHAnsi" w:hAnsiTheme="minorHAnsi" w:cstheme="minorHAnsi"/>
          <w:noProof/>
          <w:sz w:val="22"/>
          <w:szCs w:val="22"/>
        </w:rPr>
        <w:t xml:space="preserve"> i organizacje społeczeństwa obywatelskiego</w:t>
      </w:r>
      <w:r w:rsidRPr="00890249">
        <w:rPr>
          <w:rFonts w:asciiTheme="minorHAnsi" w:hAnsiTheme="minorHAnsi" w:cstheme="minorHAnsi"/>
          <w:noProof/>
          <w:sz w:val="22"/>
          <w:szCs w:val="22"/>
        </w:rPr>
        <w:t>,</w:t>
      </w:r>
    </w:p>
    <w:p w14:paraId="77B7EADD" w14:textId="77777777" w:rsidR="0093433C" w:rsidRPr="00890249" w:rsidRDefault="000F00F3" w:rsidP="009F296A">
      <w:pPr>
        <w:pStyle w:val="Listapunktowana2"/>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pracodawcy.</w:t>
      </w:r>
    </w:p>
    <w:p w14:paraId="37DCAB82" w14:textId="77777777" w:rsidR="004376A2" w:rsidRPr="00890249" w:rsidRDefault="004376A2" w:rsidP="004376A2">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7CD1221C" w14:textId="77777777" w:rsidR="0093433C" w:rsidRPr="00890249" w:rsidRDefault="000F00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UE,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w:t>
      </w:r>
      <w:r w:rsidRPr="00890249">
        <w:rPr>
          <w:rFonts w:asciiTheme="minorHAnsi" w:hAnsiTheme="minorHAnsi" w:cstheme="minorHAnsi"/>
          <w:sz w:val="22"/>
          <w:szCs w:val="22"/>
          <w:lang w:eastAsia="en-US" w:bidi="ar-SA"/>
        </w:rPr>
        <w:br/>
        <w:t xml:space="preserve">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zrównoważonego rozwoju oraz Zał. III do Rozporządzenia UE 2021/1060.</w:t>
      </w:r>
    </w:p>
    <w:p w14:paraId="41229B7C" w14:textId="77777777" w:rsidR="0093433C" w:rsidRPr="00890249" w:rsidRDefault="000F00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76A7F233" w14:textId="77777777" w:rsidR="0093433C" w:rsidRPr="00890249" w:rsidRDefault="000F00F3" w:rsidP="009F296A">
      <w:pPr>
        <w:pStyle w:val="Listapunktowana2"/>
        <w:numPr>
          <w:ilvl w:val="0"/>
          <w:numId w:val="34"/>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mające na celu zrozumienie praw i potrzeb osób zagrożonych dyskryminacją, np. z uwagi na płeć,</w:t>
      </w:r>
    </w:p>
    <w:p w14:paraId="38F19D63" w14:textId="77777777" w:rsidR="0093433C" w:rsidRPr="00890249" w:rsidRDefault="000F00F3" w:rsidP="009F296A">
      <w:pPr>
        <w:pStyle w:val="Listapunktowana2"/>
        <w:numPr>
          <w:ilvl w:val="0"/>
          <w:numId w:val="34"/>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mające na celu zwalczanie wszelkich form dyskryminacji oraz eliminowanie barier mentalnych i stereotypów dotyczących płci,</w:t>
      </w:r>
    </w:p>
    <w:p w14:paraId="47B800B1"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psychologiczne oraz pomoc prawną dla osób doświadczających przemocy, dyskryminacji z uwagi na płeć,</w:t>
      </w:r>
    </w:p>
    <w:p w14:paraId="788831B4"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w celu zwalczania przestępstw, mowy nienawiści, przemocy </w:t>
      </w:r>
      <w:r w:rsidRPr="00890249">
        <w:rPr>
          <w:rFonts w:asciiTheme="minorHAnsi" w:hAnsiTheme="minorHAnsi" w:cstheme="minorHAnsi"/>
          <w:sz w:val="22"/>
          <w:szCs w:val="22"/>
          <w:lang w:eastAsia="en-US" w:bidi="ar-SA"/>
        </w:rPr>
        <w:br/>
        <w:t xml:space="preserve">i szkodliwych praktyk, </w:t>
      </w:r>
    </w:p>
    <w:p w14:paraId="24955429"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zapobiegające dyskryminacji ze względu na płeć, zwalczające stereotypy dotyczące wyboru ścieżek edukacyjnych i zawodowych oraz wspierające wybory dziewcząt w edukacji STEM,</w:t>
      </w:r>
    </w:p>
    <w:p w14:paraId="620151C7"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rPr>
      </w:pPr>
      <w:r w:rsidRPr="00890249">
        <w:rPr>
          <w:rFonts w:asciiTheme="minorHAnsi" w:hAnsiTheme="minorHAnsi" w:cstheme="minorHAnsi"/>
          <w:sz w:val="22"/>
          <w:szCs w:val="22"/>
          <w:lang w:eastAsia="en-US" w:bidi="ar-SA"/>
        </w:rPr>
        <w:t xml:space="preserve">formułowanie kryteriów wyboru projektów wskazujących na odmowę dofinansowania dla beneficjenta, będącego </w:t>
      </w:r>
      <w:r w:rsidRPr="00890249">
        <w:rPr>
          <w:rFonts w:asciiTheme="minorHAnsi" w:hAnsiTheme="minorHAnsi" w:cstheme="minorHAnsi"/>
          <w:sz w:val="22"/>
          <w:szCs w:val="22"/>
          <w:lang w:eastAsia="en-US"/>
        </w:rPr>
        <w:t>jst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UE lub Karcie Praw Podstawowych UE,</w:t>
      </w:r>
    </w:p>
    <w:p w14:paraId="29F89EA3"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611239DF"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0D85FA34"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włączenie do KM członków organizacji pozarządowych oraz reprezentantów mniejszości, w tym etnicznych, </w:t>
      </w:r>
    </w:p>
    <w:p w14:paraId="0BE9C1F8" w14:textId="77777777" w:rsidR="0093433C" w:rsidRPr="00890249" w:rsidRDefault="000F00F3" w:rsidP="009F296A">
      <w:pPr>
        <w:pStyle w:val="Listapunktowana2"/>
        <w:numPr>
          <w:ilvl w:val="0"/>
          <w:numId w:val="66"/>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0BB3C156" w14:textId="77777777" w:rsidR="004376A2" w:rsidRPr="00890249" w:rsidRDefault="004376A2" w:rsidP="004376A2">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18BD8F38" w14:textId="3801933F" w:rsidR="0093433C" w:rsidRPr="00890249" w:rsidRDefault="000F00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Strategia Opolskie 2030 szczególne znaczenie przypisuje obszarom strategicznej interwencji (OSI), tj. tym obszarom funkcjonalnym, które wymagają ukierunkowanej interwencji publicznej lub rozwiązań regulacyjnych, stąd w regionie wyodrębniono 5 OSI: Subregion Aglomeracja Opolska, Subregion Brzeski, Subregion Kędzierzyńsko-Strzelecki, </w:t>
      </w:r>
      <w:r w:rsidR="007A1A10" w:rsidRPr="00890249">
        <w:rPr>
          <w:rFonts w:asciiTheme="minorHAnsi" w:hAnsiTheme="minorHAnsi" w:cstheme="minorHAnsi"/>
          <w:noProof/>
          <w:sz w:val="22"/>
          <w:szCs w:val="22"/>
        </w:rPr>
        <w:t xml:space="preserve">Subregion Południowy, </w:t>
      </w:r>
      <w:r w:rsidRPr="00890249">
        <w:rPr>
          <w:rFonts w:asciiTheme="minorHAnsi" w:hAnsiTheme="minorHAnsi" w:cstheme="minorHAnsi"/>
          <w:noProof/>
          <w:sz w:val="22"/>
          <w:szCs w:val="22"/>
        </w:rPr>
        <w:t>Subregion Północny</w:t>
      </w:r>
      <w:r w:rsidR="007A1A10" w:rsidRPr="00890249">
        <w:rPr>
          <w:rFonts w:asciiTheme="minorHAnsi" w:hAnsiTheme="minorHAnsi" w:cstheme="minorHAnsi"/>
          <w:noProof/>
          <w:sz w:val="22"/>
          <w:szCs w:val="22"/>
        </w:rPr>
        <w:t>.</w:t>
      </w:r>
    </w:p>
    <w:p w14:paraId="262BCEFE" w14:textId="2F7AA271" w:rsidR="0093433C" w:rsidRPr="00890249" w:rsidRDefault="000F00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Istnieje możliwość preferencji dla mieszkańców obszarów strategicznej interwencji, tj. miast średnich tracących funkcje społeczno-gospodarcze oraz </w:t>
      </w:r>
      <w:r w:rsidR="0061387D" w:rsidRPr="00890249">
        <w:rPr>
          <w:rFonts w:asciiTheme="minorHAnsi" w:hAnsiTheme="minorHAnsi" w:cstheme="minorHAnsi"/>
          <w:noProof/>
          <w:sz w:val="22"/>
          <w:szCs w:val="22"/>
        </w:rPr>
        <w:t>obszarów</w:t>
      </w:r>
      <w:r w:rsidRPr="00890249">
        <w:rPr>
          <w:rFonts w:asciiTheme="minorHAnsi" w:hAnsiTheme="minorHAnsi" w:cstheme="minorHAnsi"/>
          <w:noProof/>
          <w:sz w:val="22"/>
          <w:szCs w:val="22"/>
        </w:rPr>
        <w:t xml:space="preserve"> zagrożonych trwałą marginalizacją, zidentyfikowanych na poziomie krajowym. </w:t>
      </w:r>
    </w:p>
    <w:p w14:paraId="0C59AF20" w14:textId="77777777" w:rsidR="0093433C" w:rsidRPr="00890249" w:rsidRDefault="000F00F3"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 xml:space="preserve">Ponadto wsparcie zostanie ukierunkowane na inne tereny </w:t>
      </w:r>
      <w:r w:rsidRPr="00890249">
        <w:rPr>
          <w:rFonts w:asciiTheme="minorHAnsi" w:hAnsiTheme="minorHAnsi" w:cstheme="minorHAnsi"/>
          <w:sz w:val="22"/>
          <w:szCs w:val="22"/>
        </w:rPr>
        <w:t>o słabym dostępie do usług publicznych takie jak obszary wiejskie, dzięki czemu nastąpi wyrównanie szans osób zamieszkujących tego typu terytoria.</w:t>
      </w:r>
    </w:p>
    <w:p w14:paraId="235A76E6" w14:textId="77777777" w:rsidR="004376A2" w:rsidRPr="00890249" w:rsidRDefault="004376A2" w:rsidP="004376A2">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7357B000" w14:textId="31EA1ADF" w:rsidR="0093433C" w:rsidRPr="00890249" w:rsidRDefault="000F00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Wszystkie interwencje zaplanowane w </w:t>
      </w:r>
      <w:r w:rsidR="0061387D" w:rsidRPr="00890249">
        <w:rPr>
          <w:rFonts w:asciiTheme="minorHAnsi" w:hAnsiTheme="minorHAnsi" w:cstheme="minorHAnsi"/>
          <w:sz w:val="22"/>
          <w:szCs w:val="22"/>
          <w:lang w:eastAsia="en-US" w:bidi="ar-SA"/>
        </w:rPr>
        <w:t xml:space="preserve">cs </w:t>
      </w:r>
      <w:r w:rsidR="00917144" w:rsidRPr="00890249" w:rsidDel="00917144">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z  interwencją wskazaną w programach współpracy transgranicznej Interreg Czechy-Polska 2021-2027 oraz Interreg Region Morza Bałtyckiego 2021-2027, w tym w zakresie: wzmacniania konkurencyjności MŚP, zwiększenia odporności i przystosowania do zmian klimatu, rozwoju bioróżnorodności, a także transgranicznej infrastruktury transportowej oraz zrównoważonej turystyki. </w:t>
      </w:r>
    </w:p>
    <w:p w14:paraId="542F98EA" w14:textId="4165C549" w:rsidR="0093433C" w:rsidRPr="00890249" w:rsidRDefault="000F00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podejmowane w cs  wpisują się również w Obszar Tematyczny Edukacja Strategii UE dla regionu Morza Bałtyckiego.</w:t>
      </w:r>
    </w:p>
    <w:p w14:paraId="2EA45660" w14:textId="77777777" w:rsidR="004376A2" w:rsidRPr="00890249" w:rsidRDefault="004376A2" w:rsidP="004376A2">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7919143F" w14:textId="72611B17" w:rsidR="0093433C" w:rsidRPr="00890249" w:rsidRDefault="000F00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cs  nie planuje się wykorzystania instrumentów finansowych. Planowane przedsięwzięcia dotyczą aktywizacji zawodowej kobiet, przeciwdziałania dyskryminacji ze względu na płeć, wyrównywania szans kobiet na rynku pracy.</w:t>
      </w:r>
    </w:p>
    <w:p w14:paraId="08FE9FF3" w14:textId="77777777" w:rsidR="004376A2" w:rsidRPr="00890249" w:rsidRDefault="004376A2" w:rsidP="004376A2">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2.1.5.2.2 (c) Wskaźniki</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961"/>
        <w:gridCol w:w="685"/>
        <w:gridCol w:w="1236"/>
        <w:gridCol w:w="812"/>
        <w:gridCol w:w="2165"/>
        <w:gridCol w:w="812"/>
        <w:gridCol w:w="1084"/>
        <w:gridCol w:w="1041"/>
      </w:tblGrid>
      <w:tr w:rsidR="000F00F3" w:rsidRPr="00890249" w14:paraId="5736A9C6" w14:textId="77777777" w:rsidTr="000F00F3">
        <w:trPr>
          <w:trHeight w:val="425"/>
          <w:jc w:val="center"/>
        </w:trPr>
        <w:tc>
          <w:tcPr>
            <w:tcW w:w="5000" w:type="pct"/>
            <w:gridSpan w:val="9"/>
            <w:shd w:val="clear" w:color="auto" w:fill="D9D9D9" w:themeFill="background1" w:themeFillShade="D9"/>
          </w:tcPr>
          <w:p w14:paraId="2584156C" w14:textId="77777777" w:rsidR="000F00F3" w:rsidRPr="00890249" w:rsidRDefault="000F00F3" w:rsidP="000F00F3">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0F00F3" w:rsidRPr="00890249" w14:paraId="78F9B1C0" w14:textId="77777777" w:rsidTr="000F00F3">
        <w:trPr>
          <w:cantSplit/>
          <w:trHeight w:val="1647"/>
          <w:jc w:val="center"/>
        </w:trPr>
        <w:tc>
          <w:tcPr>
            <w:tcW w:w="276" w:type="pct"/>
            <w:shd w:val="clear" w:color="auto" w:fill="F2F2F2" w:themeFill="background1" w:themeFillShade="F2"/>
            <w:textDirection w:val="btLr"/>
            <w:vAlign w:val="center"/>
          </w:tcPr>
          <w:p w14:paraId="671BED17"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516" w:type="pct"/>
            <w:shd w:val="clear" w:color="auto" w:fill="F2F2F2" w:themeFill="background1" w:themeFillShade="F2"/>
            <w:textDirection w:val="btLr"/>
            <w:vAlign w:val="center"/>
          </w:tcPr>
          <w:p w14:paraId="3563753B"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68" w:type="pct"/>
            <w:shd w:val="clear" w:color="auto" w:fill="F2F2F2" w:themeFill="background1" w:themeFillShade="F2"/>
            <w:textDirection w:val="btLr"/>
            <w:vAlign w:val="center"/>
          </w:tcPr>
          <w:p w14:paraId="43952529"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664" w:type="pct"/>
            <w:shd w:val="clear" w:color="auto" w:fill="F2F2F2" w:themeFill="background1" w:themeFillShade="F2"/>
            <w:textDirection w:val="btLr"/>
            <w:vAlign w:val="center"/>
          </w:tcPr>
          <w:p w14:paraId="4BBF6FBC"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36" w:type="pct"/>
            <w:shd w:val="clear" w:color="auto" w:fill="F2F2F2" w:themeFill="background1" w:themeFillShade="F2"/>
            <w:textDirection w:val="btLr"/>
            <w:vAlign w:val="center"/>
          </w:tcPr>
          <w:p w14:paraId="0A2E50F9"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163" w:type="pct"/>
            <w:shd w:val="clear" w:color="auto" w:fill="F2F2F2" w:themeFill="background1" w:themeFillShade="F2"/>
            <w:textDirection w:val="btLr"/>
            <w:vAlign w:val="center"/>
          </w:tcPr>
          <w:p w14:paraId="2DE5137C"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36" w:type="pct"/>
            <w:shd w:val="clear" w:color="auto" w:fill="F2F2F2" w:themeFill="background1" w:themeFillShade="F2"/>
            <w:textDirection w:val="btLr"/>
            <w:vAlign w:val="center"/>
          </w:tcPr>
          <w:p w14:paraId="48294A46"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82" w:type="pct"/>
            <w:shd w:val="clear" w:color="auto" w:fill="F2F2F2" w:themeFill="background1" w:themeFillShade="F2"/>
            <w:textDirection w:val="btLr"/>
            <w:vAlign w:val="center"/>
          </w:tcPr>
          <w:p w14:paraId="73132B2E"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59" w:type="pct"/>
            <w:shd w:val="clear" w:color="auto" w:fill="F2F2F2" w:themeFill="background1" w:themeFillShade="F2"/>
            <w:textDirection w:val="btLr"/>
            <w:vAlign w:val="center"/>
          </w:tcPr>
          <w:p w14:paraId="416C760D" w14:textId="77777777" w:rsidR="000F00F3" w:rsidRPr="00890249" w:rsidRDefault="000F00F3" w:rsidP="000F00F3">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0F00F3" w:rsidRPr="00890249" w14:paraId="116C1C17" w14:textId="77777777" w:rsidTr="000F00F3">
        <w:trPr>
          <w:trHeight w:val="332"/>
          <w:jc w:val="center"/>
        </w:trPr>
        <w:tc>
          <w:tcPr>
            <w:tcW w:w="276" w:type="pct"/>
            <w:vAlign w:val="center"/>
          </w:tcPr>
          <w:p w14:paraId="1E251B92" w14:textId="77777777" w:rsidR="000F00F3" w:rsidRPr="00890249" w:rsidRDefault="000F00F3" w:rsidP="000F00F3">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516" w:type="pct"/>
            <w:vAlign w:val="center"/>
          </w:tcPr>
          <w:p w14:paraId="109F7D98" w14:textId="77777777" w:rsidR="000F00F3" w:rsidRPr="00890249" w:rsidRDefault="000F00F3" w:rsidP="000F00F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4.c</w:t>
            </w:r>
          </w:p>
        </w:tc>
        <w:tc>
          <w:tcPr>
            <w:tcW w:w="368" w:type="pct"/>
            <w:vAlign w:val="center"/>
          </w:tcPr>
          <w:p w14:paraId="51A1E39E" w14:textId="77777777" w:rsidR="000F00F3" w:rsidRPr="00890249" w:rsidRDefault="000F00F3" w:rsidP="000F00F3">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664" w:type="pct"/>
            <w:vAlign w:val="center"/>
          </w:tcPr>
          <w:p w14:paraId="4AA61577" w14:textId="77777777" w:rsidR="000F00F3" w:rsidRPr="00890249" w:rsidRDefault="000F00F3" w:rsidP="000F00F3">
            <w:pPr>
              <w:jc w:val="center"/>
              <w:rPr>
                <w:rFonts w:asciiTheme="minorHAnsi" w:hAnsiTheme="minorHAnsi" w:cstheme="minorHAnsi"/>
                <w:b/>
                <w:i/>
                <w:noProof/>
                <w:sz w:val="18"/>
                <w:szCs w:val="16"/>
              </w:rPr>
            </w:pPr>
            <w:r w:rsidRPr="00890249">
              <w:rPr>
                <w:rFonts w:asciiTheme="minorHAnsi" w:hAnsiTheme="minorHAnsi" w:cstheme="minorHAnsi"/>
                <w:noProof/>
                <w:sz w:val="18"/>
              </w:rPr>
              <w:t>słabiej rozwinięte</w:t>
            </w:r>
          </w:p>
        </w:tc>
        <w:tc>
          <w:tcPr>
            <w:tcW w:w="436" w:type="pct"/>
            <w:vAlign w:val="center"/>
          </w:tcPr>
          <w:p w14:paraId="609253BD" w14:textId="12592F94" w:rsidR="000F00F3" w:rsidRPr="00890249" w:rsidRDefault="007D0E2B" w:rsidP="000F00F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PLCCO01</w:t>
            </w:r>
          </w:p>
        </w:tc>
        <w:tc>
          <w:tcPr>
            <w:tcW w:w="1163" w:type="pct"/>
            <w:shd w:val="clear" w:color="auto" w:fill="auto"/>
            <w:vAlign w:val="center"/>
          </w:tcPr>
          <w:p w14:paraId="68A36DDF" w14:textId="0282FBBD" w:rsidR="000F00F3" w:rsidRPr="00890249" w:rsidRDefault="007D0E2B" w:rsidP="000F00F3">
            <w:pPr>
              <w:spacing w:before="0" w:after="160" w:line="259" w:lineRule="auto"/>
              <w:jc w:val="left"/>
              <w:rPr>
                <w:rFonts w:asciiTheme="minorHAnsi" w:eastAsiaTheme="minorHAnsi" w:hAnsiTheme="minorHAnsi" w:cstheme="minorHAnsi"/>
                <w:i/>
                <w:iCs/>
                <w:color w:val="000000"/>
                <w:szCs w:val="22"/>
                <w:lang w:eastAsia="en-US" w:bidi="ar-SA"/>
              </w:rPr>
            </w:pPr>
            <w:r w:rsidRPr="00890249">
              <w:rPr>
                <w:rFonts w:asciiTheme="minorHAnsi" w:eastAsiaTheme="minorHAnsi" w:hAnsiTheme="minorHAnsi" w:cstheme="minorHAnsi"/>
                <w:i/>
                <w:iCs/>
                <w:color w:val="000000"/>
                <w:sz w:val="18"/>
                <w:szCs w:val="22"/>
                <w:lang w:eastAsia="en-US" w:bidi="ar-SA"/>
              </w:rPr>
              <w:t>Liczba osób objętych wsparciem w zakresie równości kobiet i mężczyzn</w:t>
            </w:r>
          </w:p>
        </w:tc>
        <w:tc>
          <w:tcPr>
            <w:tcW w:w="436" w:type="pct"/>
            <w:vAlign w:val="center"/>
          </w:tcPr>
          <w:p w14:paraId="60BAF9A6" w14:textId="76003342" w:rsidR="000F00F3" w:rsidRPr="00890249" w:rsidRDefault="000F00F3" w:rsidP="000F00F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w:t>
            </w:r>
            <w:r w:rsidR="002B6F03" w:rsidRPr="00890249">
              <w:rPr>
                <w:rFonts w:asciiTheme="minorHAnsi" w:hAnsiTheme="minorHAnsi" w:cstheme="minorHAnsi"/>
                <w:i/>
                <w:noProof/>
                <w:sz w:val="18"/>
                <w:szCs w:val="16"/>
              </w:rPr>
              <w:t>s.</w:t>
            </w:r>
          </w:p>
        </w:tc>
        <w:tc>
          <w:tcPr>
            <w:tcW w:w="582" w:type="pct"/>
            <w:shd w:val="clear" w:color="auto" w:fill="auto"/>
            <w:vAlign w:val="center"/>
          </w:tcPr>
          <w:p w14:paraId="000835E4" w14:textId="00BB74A0" w:rsidR="000F00F3" w:rsidRPr="00890249" w:rsidRDefault="007D0E2B" w:rsidP="000F00F3">
            <w:pPr>
              <w:jc w:val="center"/>
              <w:rPr>
                <w:rFonts w:asciiTheme="minorHAnsi" w:hAnsiTheme="minorHAnsi" w:cstheme="minorHAnsi"/>
                <w:noProof/>
                <w:sz w:val="18"/>
                <w:szCs w:val="16"/>
              </w:rPr>
            </w:pPr>
            <w:r w:rsidRPr="00890249">
              <w:rPr>
                <w:rFonts w:asciiTheme="minorHAnsi" w:hAnsiTheme="minorHAnsi" w:cstheme="minorHAnsi"/>
                <w:noProof/>
                <w:sz w:val="18"/>
                <w:szCs w:val="16"/>
              </w:rPr>
              <w:t>10</w:t>
            </w:r>
          </w:p>
        </w:tc>
        <w:tc>
          <w:tcPr>
            <w:tcW w:w="559" w:type="pct"/>
            <w:shd w:val="clear" w:color="auto" w:fill="auto"/>
            <w:vAlign w:val="center"/>
          </w:tcPr>
          <w:p w14:paraId="56082479" w14:textId="114757C3" w:rsidR="000F00F3" w:rsidRPr="00890249" w:rsidRDefault="00745649" w:rsidP="000F00F3">
            <w:pPr>
              <w:jc w:val="center"/>
              <w:rPr>
                <w:rFonts w:asciiTheme="minorHAnsi" w:hAnsiTheme="minorHAnsi" w:cstheme="minorHAnsi"/>
                <w:noProof/>
                <w:sz w:val="18"/>
                <w:szCs w:val="16"/>
              </w:rPr>
            </w:pPr>
            <w:r>
              <w:rPr>
                <w:rFonts w:asciiTheme="minorHAnsi" w:hAnsiTheme="minorHAnsi" w:cstheme="minorHAnsi"/>
                <w:noProof/>
                <w:sz w:val="18"/>
                <w:szCs w:val="16"/>
              </w:rPr>
              <w:t>2 000</w:t>
            </w:r>
          </w:p>
        </w:tc>
      </w:tr>
      <w:tr w:rsidR="007D0E2B" w:rsidRPr="00890249" w14:paraId="304C79F8" w14:textId="77777777" w:rsidTr="000F00F3">
        <w:trPr>
          <w:trHeight w:val="332"/>
          <w:jc w:val="center"/>
        </w:trPr>
        <w:tc>
          <w:tcPr>
            <w:tcW w:w="276" w:type="pct"/>
            <w:vAlign w:val="center"/>
          </w:tcPr>
          <w:p w14:paraId="7B7E4F35" w14:textId="77777777" w:rsidR="007D0E2B" w:rsidRPr="00890249" w:rsidRDefault="007D0E2B" w:rsidP="007D0E2B">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516" w:type="pct"/>
            <w:vAlign w:val="center"/>
          </w:tcPr>
          <w:p w14:paraId="37B18E94" w14:textId="77777777" w:rsidR="007D0E2B" w:rsidRPr="00890249" w:rsidRDefault="007D0E2B" w:rsidP="007D0E2B">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4.c</w:t>
            </w:r>
          </w:p>
        </w:tc>
        <w:tc>
          <w:tcPr>
            <w:tcW w:w="368" w:type="pct"/>
            <w:vAlign w:val="center"/>
          </w:tcPr>
          <w:p w14:paraId="31B79404" w14:textId="77777777" w:rsidR="007D0E2B" w:rsidRPr="00890249" w:rsidRDefault="007D0E2B" w:rsidP="007D0E2B">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664" w:type="pct"/>
            <w:vAlign w:val="center"/>
          </w:tcPr>
          <w:p w14:paraId="6AB62588" w14:textId="77777777" w:rsidR="007D0E2B" w:rsidRPr="00890249" w:rsidRDefault="007D0E2B" w:rsidP="007D0E2B">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36" w:type="pct"/>
            <w:vAlign w:val="center"/>
          </w:tcPr>
          <w:p w14:paraId="68CAC891" w14:textId="77777777" w:rsidR="007D0E2B" w:rsidRPr="00890249" w:rsidRDefault="007D0E2B" w:rsidP="007D0E2B">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PLCCO02</w:t>
            </w:r>
          </w:p>
        </w:tc>
        <w:tc>
          <w:tcPr>
            <w:tcW w:w="1163" w:type="pct"/>
            <w:shd w:val="clear" w:color="auto" w:fill="auto"/>
            <w:vAlign w:val="center"/>
          </w:tcPr>
          <w:p w14:paraId="467D4DAC" w14:textId="77777777" w:rsidR="007D0E2B" w:rsidRPr="00890249" w:rsidRDefault="007D0E2B" w:rsidP="007D0E2B">
            <w:pPr>
              <w:spacing w:before="0" w:after="160" w:line="259" w:lineRule="auto"/>
              <w:jc w:val="left"/>
              <w:rPr>
                <w:rFonts w:asciiTheme="minorHAnsi" w:eastAsiaTheme="minorHAnsi" w:hAnsiTheme="minorHAnsi" w:cstheme="minorHAnsi"/>
                <w:i/>
                <w:iCs/>
                <w:color w:val="000000"/>
                <w:sz w:val="18"/>
                <w:szCs w:val="22"/>
                <w:lang w:eastAsia="en-US" w:bidi="ar-SA"/>
              </w:rPr>
            </w:pPr>
            <w:r w:rsidRPr="00890249">
              <w:rPr>
                <w:rFonts w:asciiTheme="minorHAnsi" w:eastAsiaTheme="minorHAnsi" w:hAnsiTheme="minorHAnsi" w:cstheme="minorHAnsi"/>
                <w:i/>
                <w:iCs/>
                <w:color w:val="000000"/>
                <w:sz w:val="18"/>
                <w:szCs w:val="22"/>
                <w:lang w:eastAsia="en-US" w:bidi="ar-SA"/>
              </w:rPr>
              <w:t>Liczba osób objętych wsparciem w zakresie godzenia życia zawodowego z prywatnym</w:t>
            </w:r>
          </w:p>
        </w:tc>
        <w:tc>
          <w:tcPr>
            <w:tcW w:w="436" w:type="pct"/>
            <w:vAlign w:val="center"/>
          </w:tcPr>
          <w:p w14:paraId="5019A802" w14:textId="125416B4" w:rsidR="007D0E2B" w:rsidRPr="00890249" w:rsidRDefault="002B6F03" w:rsidP="007D0E2B">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os.</w:t>
            </w:r>
          </w:p>
        </w:tc>
        <w:tc>
          <w:tcPr>
            <w:tcW w:w="582" w:type="pct"/>
            <w:shd w:val="clear" w:color="auto" w:fill="auto"/>
            <w:vAlign w:val="center"/>
          </w:tcPr>
          <w:p w14:paraId="034F3D7B" w14:textId="77777777" w:rsidR="007D0E2B" w:rsidRPr="00890249" w:rsidRDefault="007D0E2B" w:rsidP="007D0E2B">
            <w:pPr>
              <w:jc w:val="center"/>
              <w:rPr>
                <w:rFonts w:asciiTheme="minorHAnsi" w:hAnsiTheme="minorHAnsi" w:cstheme="minorHAnsi"/>
                <w:noProof/>
                <w:sz w:val="18"/>
                <w:szCs w:val="16"/>
              </w:rPr>
            </w:pPr>
            <w:r w:rsidRPr="00890249">
              <w:rPr>
                <w:rFonts w:asciiTheme="minorHAnsi" w:hAnsiTheme="minorHAnsi" w:cstheme="minorHAnsi"/>
                <w:noProof/>
                <w:sz w:val="18"/>
                <w:szCs w:val="16"/>
              </w:rPr>
              <w:t>10</w:t>
            </w:r>
          </w:p>
        </w:tc>
        <w:tc>
          <w:tcPr>
            <w:tcW w:w="559" w:type="pct"/>
            <w:shd w:val="clear" w:color="auto" w:fill="auto"/>
            <w:vAlign w:val="center"/>
          </w:tcPr>
          <w:p w14:paraId="11F6489D" w14:textId="78FE9613" w:rsidR="007D0E2B" w:rsidRPr="00890249" w:rsidRDefault="00745649" w:rsidP="007D0E2B">
            <w:pPr>
              <w:jc w:val="center"/>
              <w:rPr>
                <w:rFonts w:asciiTheme="minorHAnsi" w:hAnsiTheme="minorHAnsi" w:cstheme="minorHAnsi"/>
                <w:noProof/>
                <w:sz w:val="18"/>
                <w:szCs w:val="16"/>
              </w:rPr>
            </w:pPr>
            <w:r>
              <w:rPr>
                <w:rFonts w:asciiTheme="minorHAnsi" w:hAnsiTheme="minorHAnsi" w:cstheme="minorHAnsi"/>
                <w:noProof/>
                <w:sz w:val="18"/>
                <w:szCs w:val="16"/>
              </w:rPr>
              <w:t>1 500</w:t>
            </w:r>
          </w:p>
        </w:tc>
      </w:tr>
    </w:tbl>
    <w:p w14:paraId="00EFDBCA" w14:textId="77777777" w:rsidR="000F00F3" w:rsidRPr="00890249" w:rsidRDefault="000F00F3" w:rsidP="000F00F3">
      <w:pPr>
        <w:spacing w:before="0" w:after="0"/>
        <w:rPr>
          <w:rFonts w:asciiTheme="minorHAnsi" w:eastAsia="Times New Roman" w:hAnsiTheme="minorHAnsi" w:cstheme="minorHAnsi"/>
          <w:b/>
          <w:iCs/>
          <w:noProof/>
          <w:szCs w:val="24"/>
        </w:rPr>
      </w:pPr>
    </w:p>
    <w:p w14:paraId="0CCF8CCF" w14:textId="77777777" w:rsidR="000F00F3" w:rsidRPr="00890249" w:rsidRDefault="000F00F3" w:rsidP="000F00F3">
      <w:pPr>
        <w:spacing w:before="0" w:after="0"/>
        <w:rPr>
          <w:rFonts w:asciiTheme="minorHAnsi" w:eastAsia="Times New Roman" w:hAnsiTheme="minorHAnsi" w:cstheme="minorHAnsi"/>
          <w:b/>
          <w:iCs/>
          <w:noProof/>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895"/>
        <w:gridCol w:w="710"/>
        <w:gridCol w:w="991"/>
        <w:gridCol w:w="849"/>
        <w:gridCol w:w="1417"/>
        <w:gridCol w:w="708"/>
        <w:gridCol w:w="691"/>
        <w:gridCol w:w="596"/>
        <w:gridCol w:w="562"/>
        <w:gridCol w:w="605"/>
        <w:gridCol w:w="647"/>
      </w:tblGrid>
      <w:tr w:rsidR="000F00F3" w:rsidRPr="00890249" w14:paraId="335EFCE5" w14:textId="77777777" w:rsidTr="000F00F3">
        <w:trPr>
          <w:trHeight w:val="480"/>
        </w:trPr>
        <w:tc>
          <w:tcPr>
            <w:tcW w:w="5000" w:type="pct"/>
            <w:gridSpan w:val="12"/>
            <w:shd w:val="clear" w:color="auto" w:fill="D9D9D9" w:themeFill="background1" w:themeFillShade="D9"/>
          </w:tcPr>
          <w:p w14:paraId="11598C10" w14:textId="77777777" w:rsidR="000F00F3" w:rsidRPr="00890249" w:rsidRDefault="000F00F3" w:rsidP="000F00F3">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0F00F3" w:rsidRPr="00890249" w14:paraId="54AE1990" w14:textId="77777777" w:rsidTr="000F00F3">
        <w:trPr>
          <w:cantSplit/>
          <w:trHeight w:val="1623"/>
        </w:trPr>
        <w:tc>
          <w:tcPr>
            <w:tcW w:w="283" w:type="pct"/>
            <w:shd w:val="clear" w:color="auto" w:fill="F2F2F2" w:themeFill="background1" w:themeFillShade="F2"/>
            <w:textDirection w:val="btLr"/>
            <w:vAlign w:val="center"/>
          </w:tcPr>
          <w:p w14:paraId="5E18AC6D"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87" w:type="pct"/>
            <w:shd w:val="clear" w:color="auto" w:fill="F2F2F2" w:themeFill="background1" w:themeFillShade="F2"/>
            <w:textDirection w:val="btLr"/>
            <w:vAlign w:val="center"/>
          </w:tcPr>
          <w:p w14:paraId="739BC1E0"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6" w:type="pct"/>
            <w:shd w:val="clear" w:color="auto" w:fill="F2F2F2" w:themeFill="background1" w:themeFillShade="F2"/>
            <w:textDirection w:val="btLr"/>
            <w:vAlign w:val="center"/>
          </w:tcPr>
          <w:p w14:paraId="3969A2AA"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39" w:type="pct"/>
            <w:shd w:val="clear" w:color="auto" w:fill="F2F2F2" w:themeFill="background1" w:themeFillShade="F2"/>
            <w:textDirection w:val="btLr"/>
            <w:vAlign w:val="center"/>
          </w:tcPr>
          <w:p w14:paraId="24922A01"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62" w:type="pct"/>
            <w:shd w:val="clear" w:color="auto" w:fill="F2F2F2" w:themeFill="background1" w:themeFillShade="F2"/>
            <w:textDirection w:val="btLr"/>
            <w:vAlign w:val="center"/>
          </w:tcPr>
          <w:p w14:paraId="16621E77"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71" w:type="pct"/>
            <w:shd w:val="clear" w:color="auto" w:fill="F2F2F2" w:themeFill="background1" w:themeFillShade="F2"/>
            <w:textDirection w:val="btLr"/>
            <w:vAlign w:val="center"/>
          </w:tcPr>
          <w:p w14:paraId="4D377440"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385" w:type="pct"/>
            <w:shd w:val="clear" w:color="auto" w:fill="F2F2F2" w:themeFill="background1" w:themeFillShade="F2"/>
            <w:textDirection w:val="btLr"/>
            <w:vAlign w:val="center"/>
          </w:tcPr>
          <w:p w14:paraId="63739DDB"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76" w:type="pct"/>
            <w:shd w:val="clear" w:color="auto" w:fill="F2F2F2" w:themeFill="background1" w:themeFillShade="F2"/>
            <w:textDirection w:val="btLr"/>
            <w:vAlign w:val="center"/>
          </w:tcPr>
          <w:p w14:paraId="657BB5E5"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4" w:type="pct"/>
            <w:shd w:val="clear" w:color="auto" w:fill="F2F2F2" w:themeFill="background1" w:themeFillShade="F2"/>
            <w:textDirection w:val="btLr"/>
            <w:vAlign w:val="center"/>
          </w:tcPr>
          <w:p w14:paraId="55FDFC24"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6" w:type="pct"/>
            <w:shd w:val="clear" w:color="auto" w:fill="F2F2F2" w:themeFill="background1" w:themeFillShade="F2"/>
            <w:textDirection w:val="btLr"/>
            <w:vAlign w:val="center"/>
          </w:tcPr>
          <w:p w14:paraId="0BBEC4C7"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29" w:type="pct"/>
            <w:shd w:val="clear" w:color="auto" w:fill="F2F2F2" w:themeFill="background1" w:themeFillShade="F2"/>
            <w:textDirection w:val="btLr"/>
            <w:vAlign w:val="center"/>
          </w:tcPr>
          <w:p w14:paraId="308FB5A6" w14:textId="77777777" w:rsidR="000F00F3" w:rsidRPr="00890249" w:rsidRDefault="000F00F3" w:rsidP="000F00F3">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52" w:type="pct"/>
            <w:shd w:val="clear" w:color="auto" w:fill="F2F2F2" w:themeFill="background1" w:themeFillShade="F2"/>
            <w:textDirection w:val="btLr"/>
            <w:vAlign w:val="center"/>
          </w:tcPr>
          <w:p w14:paraId="1438735B" w14:textId="77777777" w:rsidR="000F00F3" w:rsidRPr="00890249" w:rsidRDefault="000F00F3" w:rsidP="000F00F3">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0F00F3" w:rsidRPr="00890249" w14:paraId="5D124329" w14:textId="77777777" w:rsidTr="000F00F3">
        <w:trPr>
          <w:trHeight w:val="434"/>
        </w:trPr>
        <w:tc>
          <w:tcPr>
            <w:tcW w:w="283" w:type="pct"/>
            <w:vAlign w:val="center"/>
          </w:tcPr>
          <w:p w14:paraId="3617894C" w14:textId="77777777" w:rsidR="000F00F3" w:rsidRPr="00890249" w:rsidRDefault="000F00F3" w:rsidP="000F00F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87" w:type="pct"/>
            <w:vAlign w:val="center"/>
          </w:tcPr>
          <w:p w14:paraId="3FFAF63C" w14:textId="77777777" w:rsidR="000F00F3" w:rsidRPr="00890249" w:rsidRDefault="000F00F3" w:rsidP="000F00F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4.c</w:t>
            </w:r>
          </w:p>
        </w:tc>
        <w:tc>
          <w:tcPr>
            <w:tcW w:w="386" w:type="pct"/>
            <w:vAlign w:val="center"/>
          </w:tcPr>
          <w:p w14:paraId="19C53C88" w14:textId="77777777" w:rsidR="000F00F3" w:rsidRPr="00890249" w:rsidRDefault="000F00F3" w:rsidP="000F00F3">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39" w:type="pct"/>
            <w:vAlign w:val="center"/>
          </w:tcPr>
          <w:p w14:paraId="3EAFF3FD" w14:textId="77777777" w:rsidR="000F00F3" w:rsidRPr="00890249" w:rsidRDefault="000F00F3" w:rsidP="000F00F3">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62" w:type="pct"/>
            <w:vAlign w:val="center"/>
          </w:tcPr>
          <w:p w14:paraId="7F300ECB" w14:textId="6E894083" w:rsidR="000F00F3" w:rsidRPr="00890249" w:rsidRDefault="007D0E2B" w:rsidP="000F00F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PLCCR01</w:t>
            </w:r>
          </w:p>
        </w:tc>
        <w:tc>
          <w:tcPr>
            <w:tcW w:w="771" w:type="pct"/>
            <w:shd w:val="clear" w:color="auto" w:fill="auto"/>
            <w:vAlign w:val="center"/>
          </w:tcPr>
          <w:p w14:paraId="71B4726F" w14:textId="227CC4FC" w:rsidR="000F00F3" w:rsidRPr="00890249" w:rsidRDefault="007D0E2B" w:rsidP="000F00F3">
            <w:pPr>
              <w:spacing w:before="60"/>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Liczba osób, któe podniosły poziom wiedzy w zakresie równości kobiet i mężczyzn dzięki wsparciu w programie</w:t>
            </w:r>
          </w:p>
        </w:tc>
        <w:tc>
          <w:tcPr>
            <w:tcW w:w="385" w:type="pct"/>
            <w:vAlign w:val="center"/>
          </w:tcPr>
          <w:p w14:paraId="329713B9" w14:textId="694BF91B" w:rsidR="000F00F3" w:rsidRPr="00890249" w:rsidRDefault="002B6F03" w:rsidP="000F00F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o</w:t>
            </w:r>
            <w:r w:rsidR="000F00F3" w:rsidRPr="00890249">
              <w:rPr>
                <w:rFonts w:asciiTheme="minorHAnsi" w:hAnsiTheme="minorHAnsi" w:cstheme="minorHAnsi"/>
                <w:i/>
                <w:noProof/>
                <w:sz w:val="18"/>
                <w:szCs w:val="16"/>
                <w:lang w:eastAsia="en-US" w:bidi="ar-SA"/>
              </w:rPr>
              <w:t>s</w:t>
            </w:r>
            <w:r w:rsidRPr="00890249">
              <w:rPr>
                <w:rFonts w:asciiTheme="minorHAnsi" w:hAnsiTheme="minorHAnsi" w:cstheme="minorHAnsi"/>
                <w:i/>
                <w:noProof/>
                <w:sz w:val="18"/>
                <w:szCs w:val="16"/>
                <w:lang w:eastAsia="en-US" w:bidi="ar-SA"/>
              </w:rPr>
              <w:t>.</w:t>
            </w:r>
          </w:p>
        </w:tc>
        <w:tc>
          <w:tcPr>
            <w:tcW w:w="376" w:type="pct"/>
            <w:vAlign w:val="center"/>
          </w:tcPr>
          <w:p w14:paraId="68DC5C5F" w14:textId="77777777" w:rsidR="000F00F3" w:rsidRPr="00890249" w:rsidRDefault="000F00F3" w:rsidP="000F00F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bd</w:t>
            </w:r>
          </w:p>
        </w:tc>
        <w:tc>
          <w:tcPr>
            <w:tcW w:w="324" w:type="pct"/>
            <w:vAlign w:val="center"/>
          </w:tcPr>
          <w:p w14:paraId="68D0A33E" w14:textId="77777777" w:rsidR="000F00F3" w:rsidRPr="00890249" w:rsidRDefault="000F00F3" w:rsidP="000F00F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bd</w:t>
            </w:r>
          </w:p>
        </w:tc>
        <w:tc>
          <w:tcPr>
            <w:tcW w:w="306" w:type="pct"/>
            <w:shd w:val="clear" w:color="auto" w:fill="auto"/>
            <w:vAlign w:val="center"/>
          </w:tcPr>
          <w:p w14:paraId="27136F98" w14:textId="59D0469F" w:rsidR="000F00F3" w:rsidRPr="00890249" w:rsidRDefault="00745649" w:rsidP="000F00F3">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1 900</w:t>
            </w:r>
          </w:p>
        </w:tc>
        <w:tc>
          <w:tcPr>
            <w:tcW w:w="329" w:type="pct"/>
            <w:shd w:val="clear" w:color="auto" w:fill="auto"/>
            <w:vAlign w:val="center"/>
          </w:tcPr>
          <w:p w14:paraId="2FACED8A" w14:textId="7E60515A" w:rsidR="000F00F3" w:rsidRPr="00890249" w:rsidRDefault="007D0E2B" w:rsidP="000F00F3">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2" w:type="pct"/>
            <w:vAlign w:val="center"/>
          </w:tcPr>
          <w:p w14:paraId="1821A060" w14:textId="501DD777" w:rsidR="000F00F3" w:rsidRPr="00890249" w:rsidRDefault="007D0E2B" w:rsidP="000F00F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PLCCO01</w:t>
            </w:r>
          </w:p>
        </w:tc>
      </w:tr>
      <w:tr w:rsidR="007D0E2B" w:rsidRPr="00890249" w14:paraId="05FE7841" w14:textId="77777777" w:rsidTr="000F00F3">
        <w:trPr>
          <w:trHeight w:val="434"/>
        </w:trPr>
        <w:tc>
          <w:tcPr>
            <w:tcW w:w="283" w:type="pct"/>
            <w:vAlign w:val="center"/>
          </w:tcPr>
          <w:p w14:paraId="20A77641" w14:textId="77777777" w:rsidR="007D0E2B" w:rsidRPr="00890249" w:rsidRDefault="007D0E2B" w:rsidP="007D0E2B">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87" w:type="pct"/>
            <w:vAlign w:val="center"/>
          </w:tcPr>
          <w:p w14:paraId="537066D7" w14:textId="77777777" w:rsidR="007D0E2B" w:rsidRPr="00890249" w:rsidRDefault="007D0E2B" w:rsidP="007D0E2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4.c</w:t>
            </w:r>
          </w:p>
        </w:tc>
        <w:tc>
          <w:tcPr>
            <w:tcW w:w="386" w:type="pct"/>
            <w:vAlign w:val="center"/>
          </w:tcPr>
          <w:p w14:paraId="1A262E09" w14:textId="77777777" w:rsidR="007D0E2B" w:rsidRPr="00890249" w:rsidRDefault="007D0E2B" w:rsidP="007D0E2B">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39" w:type="pct"/>
            <w:vAlign w:val="center"/>
          </w:tcPr>
          <w:p w14:paraId="45C0C046" w14:textId="77777777" w:rsidR="007D0E2B" w:rsidRPr="00890249" w:rsidRDefault="007D0E2B" w:rsidP="007D0E2B">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2" w:type="pct"/>
            <w:vAlign w:val="center"/>
          </w:tcPr>
          <w:p w14:paraId="0E9D0F54" w14:textId="77777777" w:rsidR="007D0E2B" w:rsidRPr="00890249" w:rsidRDefault="007D0E2B" w:rsidP="007D0E2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PLCCR02</w:t>
            </w:r>
          </w:p>
        </w:tc>
        <w:tc>
          <w:tcPr>
            <w:tcW w:w="771" w:type="pct"/>
            <w:shd w:val="clear" w:color="auto" w:fill="auto"/>
            <w:vAlign w:val="center"/>
          </w:tcPr>
          <w:p w14:paraId="3A61D173" w14:textId="77777777" w:rsidR="007D0E2B" w:rsidRPr="00890249" w:rsidRDefault="007D0E2B" w:rsidP="007D0E2B">
            <w:pPr>
              <w:spacing w:before="60"/>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Liczba osób znajdujących się w lepszej sytuacji na rynku pracy po opuszczeniu programu</w:t>
            </w:r>
          </w:p>
        </w:tc>
        <w:tc>
          <w:tcPr>
            <w:tcW w:w="385" w:type="pct"/>
            <w:vAlign w:val="center"/>
          </w:tcPr>
          <w:p w14:paraId="55ACEAA3" w14:textId="2B20A2E5" w:rsidR="007D0E2B" w:rsidRPr="00890249" w:rsidRDefault="002B6F03" w:rsidP="007D0E2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os.</w:t>
            </w:r>
          </w:p>
        </w:tc>
        <w:tc>
          <w:tcPr>
            <w:tcW w:w="376" w:type="pct"/>
            <w:vAlign w:val="center"/>
          </w:tcPr>
          <w:p w14:paraId="65B26274" w14:textId="77777777" w:rsidR="007D0E2B" w:rsidRPr="00890249" w:rsidRDefault="007D0E2B" w:rsidP="007D0E2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bd</w:t>
            </w:r>
          </w:p>
        </w:tc>
        <w:tc>
          <w:tcPr>
            <w:tcW w:w="324" w:type="pct"/>
            <w:vAlign w:val="center"/>
          </w:tcPr>
          <w:p w14:paraId="0777E3EC" w14:textId="77777777" w:rsidR="007D0E2B" w:rsidRPr="00890249" w:rsidRDefault="007D0E2B" w:rsidP="007D0E2B">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bd</w:t>
            </w:r>
          </w:p>
        </w:tc>
        <w:tc>
          <w:tcPr>
            <w:tcW w:w="306" w:type="pct"/>
            <w:shd w:val="clear" w:color="auto" w:fill="auto"/>
            <w:vAlign w:val="center"/>
          </w:tcPr>
          <w:p w14:paraId="1D6F77CE" w14:textId="26321502" w:rsidR="007D0E2B" w:rsidRPr="00890249" w:rsidRDefault="00745649" w:rsidP="007D0E2B">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1 200</w:t>
            </w:r>
          </w:p>
        </w:tc>
        <w:tc>
          <w:tcPr>
            <w:tcW w:w="329" w:type="pct"/>
            <w:shd w:val="clear" w:color="auto" w:fill="auto"/>
            <w:vAlign w:val="center"/>
          </w:tcPr>
          <w:p w14:paraId="5853CD9C" w14:textId="77777777" w:rsidR="007D0E2B" w:rsidRPr="00890249" w:rsidRDefault="007D0E2B" w:rsidP="007D0E2B">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2" w:type="pct"/>
            <w:vAlign w:val="center"/>
          </w:tcPr>
          <w:p w14:paraId="2203C738" w14:textId="77777777" w:rsidR="007D0E2B" w:rsidRPr="00890249" w:rsidRDefault="007D0E2B" w:rsidP="007D0E2B">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PLCCO02</w:t>
            </w:r>
          </w:p>
        </w:tc>
      </w:tr>
    </w:tbl>
    <w:p w14:paraId="33E3F4AA" w14:textId="4816966B" w:rsidR="0093233E" w:rsidRDefault="0093233E" w:rsidP="0093233E">
      <w:pPr>
        <w:pStyle w:val="Akapitzlist"/>
        <w:spacing w:before="240" w:after="240" w:line="259" w:lineRule="auto"/>
        <w:ind w:left="993"/>
        <w:jc w:val="left"/>
        <w:rPr>
          <w:rFonts w:asciiTheme="minorHAnsi" w:hAnsiTheme="minorHAnsi" w:cstheme="minorHAnsi"/>
          <w:b/>
          <w:noProof/>
          <w:color w:val="FF0000"/>
          <w:sz w:val="22"/>
          <w:szCs w:val="22"/>
        </w:rPr>
      </w:pPr>
    </w:p>
    <w:p w14:paraId="3BEB2C7D" w14:textId="47692D71" w:rsidR="0093233E" w:rsidRPr="0093233E" w:rsidRDefault="0093233E" w:rsidP="0093233E">
      <w:pPr>
        <w:spacing w:before="0" w:after="160" w:line="259" w:lineRule="auto"/>
        <w:jc w:val="left"/>
        <w:rPr>
          <w:rFonts w:asciiTheme="minorHAnsi" w:hAnsiTheme="minorHAnsi" w:cstheme="minorHAnsi"/>
          <w:b/>
          <w:noProof/>
          <w:color w:val="FF0000"/>
          <w:sz w:val="22"/>
          <w:szCs w:val="22"/>
        </w:rPr>
      </w:pPr>
      <w:r>
        <w:rPr>
          <w:rFonts w:asciiTheme="minorHAnsi" w:hAnsiTheme="minorHAnsi" w:cstheme="minorHAnsi"/>
          <w:b/>
          <w:noProof/>
          <w:color w:val="FF0000"/>
          <w:sz w:val="22"/>
          <w:szCs w:val="22"/>
        </w:rPr>
        <w:br w:type="page"/>
      </w:r>
    </w:p>
    <w:p w14:paraId="719D494B" w14:textId="77777777" w:rsidR="004376A2" w:rsidRPr="00890249" w:rsidRDefault="004376A2" w:rsidP="009F296A">
      <w:pPr>
        <w:pStyle w:val="Akapitzlist"/>
        <w:numPr>
          <w:ilvl w:val="4"/>
          <w:numId w:val="135"/>
        </w:numPr>
        <w:spacing w:before="240" w:after="240" w:line="259" w:lineRule="auto"/>
        <w:ind w:left="993"/>
        <w:jc w:val="left"/>
        <w:rPr>
          <w:rFonts w:asciiTheme="minorHAnsi" w:hAnsiTheme="minorHAnsi" w:cstheme="minorHAnsi"/>
          <w:b/>
          <w:noProof/>
          <w:color w:val="FF0000"/>
          <w:sz w:val="22"/>
          <w:szCs w:val="22"/>
        </w:rPr>
      </w:pPr>
      <w:r w:rsidRPr="00890249">
        <w:rPr>
          <w:rFonts w:asciiTheme="minorHAnsi" w:hAnsiTheme="minorHAnsi" w:cstheme="minorHAnsi"/>
          <w:b/>
          <w:noProof/>
          <w:sz w:val="22"/>
          <w:szCs w:val="22"/>
        </w:rPr>
        <w:lastRenderedPageBreak/>
        <w:t>(c) Orientacyjny podział zasobów programu (UE) według rodzaju interwencji</w:t>
      </w:r>
    </w:p>
    <w:tbl>
      <w:tblPr>
        <w:tblStyle w:val="Tabela-Siatka"/>
        <w:tblW w:w="0" w:type="auto"/>
        <w:tblLook w:val="04A0" w:firstRow="1" w:lastRow="0" w:firstColumn="1" w:lastColumn="0" w:noHBand="0" w:noVBand="1"/>
      </w:tblPr>
      <w:tblGrid>
        <w:gridCol w:w="1489"/>
        <w:gridCol w:w="1285"/>
        <w:gridCol w:w="1359"/>
        <w:gridCol w:w="1694"/>
        <w:gridCol w:w="1338"/>
        <w:gridCol w:w="1896"/>
      </w:tblGrid>
      <w:tr w:rsidR="00A46139" w:rsidRPr="00890249" w14:paraId="196A68AA" w14:textId="77777777" w:rsidTr="00034101">
        <w:tc>
          <w:tcPr>
            <w:tcW w:w="9286" w:type="dxa"/>
            <w:gridSpan w:val="6"/>
            <w:shd w:val="clear" w:color="auto" w:fill="D9D9D9" w:themeFill="background1" w:themeFillShade="D9"/>
          </w:tcPr>
          <w:p w14:paraId="39B615AD" w14:textId="77777777" w:rsidR="00A46139" w:rsidRPr="00890249" w:rsidRDefault="00A46139" w:rsidP="00034101">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A46139" w:rsidRPr="00890249" w14:paraId="1D75C6D9" w14:textId="77777777" w:rsidTr="00A46139">
        <w:tc>
          <w:tcPr>
            <w:tcW w:w="1524" w:type="dxa"/>
            <w:shd w:val="clear" w:color="auto" w:fill="F2F2F2" w:themeFill="background1" w:themeFillShade="F2"/>
          </w:tcPr>
          <w:p w14:paraId="223DFAEE"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17" w:type="dxa"/>
            <w:shd w:val="clear" w:color="auto" w:fill="F2F2F2" w:themeFill="background1" w:themeFillShade="F2"/>
          </w:tcPr>
          <w:p w14:paraId="3ED046A4"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83" w:type="dxa"/>
            <w:shd w:val="clear" w:color="auto" w:fill="F2F2F2" w:themeFill="background1" w:themeFillShade="F2"/>
          </w:tcPr>
          <w:p w14:paraId="5732D4AC"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32" w:type="dxa"/>
            <w:shd w:val="clear" w:color="auto" w:fill="F2F2F2" w:themeFill="background1" w:themeFillShade="F2"/>
          </w:tcPr>
          <w:p w14:paraId="5415B52E"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338" w:type="dxa"/>
            <w:shd w:val="clear" w:color="auto" w:fill="F2F2F2" w:themeFill="background1" w:themeFillShade="F2"/>
          </w:tcPr>
          <w:p w14:paraId="5FD498B9"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92" w:type="dxa"/>
            <w:shd w:val="clear" w:color="auto" w:fill="F2F2F2" w:themeFill="background1" w:themeFillShade="F2"/>
          </w:tcPr>
          <w:p w14:paraId="79F3EA70"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46139" w:rsidRPr="00890249" w14:paraId="3D48C49E" w14:textId="77777777" w:rsidTr="00A46139">
        <w:trPr>
          <w:trHeight w:val="284"/>
        </w:trPr>
        <w:tc>
          <w:tcPr>
            <w:tcW w:w="1524" w:type="dxa"/>
            <w:vMerge w:val="restart"/>
            <w:vAlign w:val="center"/>
          </w:tcPr>
          <w:p w14:paraId="4A5A258F"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17" w:type="dxa"/>
            <w:vMerge w:val="restart"/>
            <w:vAlign w:val="center"/>
          </w:tcPr>
          <w:p w14:paraId="7F5FB7A9"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83" w:type="dxa"/>
            <w:vMerge w:val="restart"/>
            <w:vAlign w:val="center"/>
          </w:tcPr>
          <w:p w14:paraId="1615D0FF"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732" w:type="dxa"/>
            <w:vMerge w:val="restart"/>
            <w:vAlign w:val="center"/>
          </w:tcPr>
          <w:p w14:paraId="5DFF9130" w14:textId="5BF31F3A" w:rsidR="00A46139" w:rsidRPr="00890249" w:rsidRDefault="00DE716B" w:rsidP="00917144">
            <w:pPr>
              <w:jc w:val="center"/>
              <w:rPr>
                <w:rFonts w:asciiTheme="minorHAnsi" w:hAnsiTheme="minorHAnsi" w:cstheme="minorHAnsi"/>
                <w:noProof/>
                <w:sz w:val="20"/>
              </w:rPr>
            </w:pPr>
            <w:r w:rsidRPr="00890249">
              <w:rPr>
                <w:rFonts w:asciiTheme="minorHAnsi" w:hAnsiTheme="minorHAnsi" w:cstheme="minorHAnsi"/>
                <w:noProof/>
                <w:sz w:val="20"/>
              </w:rPr>
              <w:t>(c)</w:t>
            </w:r>
          </w:p>
        </w:tc>
        <w:tc>
          <w:tcPr>
            <w:tcW w:w="1338" w:type="dxa"/>
          </w:tcPr>
          <w:p w14:paraId="3071D460"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134 Działania na rzecz poprawy dostępu do zatrudniania</w:t>
            </w:r>
          </w:p>
        </w:tc>
        <w:tc>
          <w:tcPr>
            <w:tcW w:w="1992" w:type="dxa"/>
          </w:tcPr>
          <w:p w14:paraId="19ED3CF8" w14:textId="6A5CBFFF" w:rsidR="00A46139" w:rsidRPr="00890249" w:rsidRDefault="005A1433" w:rsidP="00034101">
            <w:pPr>
              <w:jc w:val="right"/>
              <w:rPr>
                <w:rFonts w:asciiTheme="minorHAnsi" w:hAnsiTheme="minorHAnsi" w:cstheme="minorHAnsi"/>
                <w:noProof/>
                <w:sz w:val="20"/>
              </w:rPr>
            </w:pPr>
            <w:r>
              <w:rPr>
                <w:rFonts w:asciiTheme="minorHAnsi" w:hAnsiTheme="minorHAnsi" w:cstheme="minorHAnsi"/>
                <w:noProof/>
                <w:sz w:val="20"/>
              </w:rPr>
              <w:t>2</w:t>
            </w:r>
            <w:r w:rsidR="006615BA" w:rsidRPr="00890249">
              <w:rPr>
                <w:rFonts w:asciiTheme="minorHAnsi" w:hAnsiTheme="minorHAnsi" w:cstheme="minorHAnsi"/>
                <w:noProof/>
                <w:sz w:val="20"/>
              </w:rPr>
              <w:t>50 000</w:t>
            </w:r>
          </w:p>
        </w:tc>
      </w:tr>
      <w:tr w:rsidR="00A46139" w:rsidRPr="00890249" w14:paraId="54A14DD3" w14:textId="77777777" w:rsidTr="00A46139">
        <w:trPr>
          <w:trHeight w:val="284"/>
        </w:trPr>
        <w:tc>
          <w:tcPr>
            <w:tcW w:w="1524" w:type="dxa"/>
            <w:vMerge/>
          </w:tcPr>
          <w:p w14:paraId="2BABC907" w14:textId="77777777" w:rsidR="00A46139" w:rsidRPr="00890249" w:rsidRDefault="00A46139" w:rsidP="00034101">
            <w:pPr>
              <w:jc w:val="center"/>
              <w:rPr>
                <w:rFonts w:asciiTheme="minorHAnsi" w:hAnsiTheme="minorHAnsi" w:cstheme="minorHAnsi"/>
                <w:noProof/>
                <w:sz w:val="20"/>
              </w:rPr>
            </w:pPr>
          </w:p>
        </w:tc>
        <w:tc>
          <w:tcPr>
            <w:tcW w:w="1317" w:type="dxa"/>
            <w:vMerge/>
          </w:tcPr>
          <w:p w14:paraId="784BCD08" w14:textId="77777777" w:rsidR="00A46139" w:rsidRPr="00890249" w:rsidRDefault="00A46139" w:rsidP="00034101">
            <w:pPr>
              <w:jc w:val="center"/>
              <w:rPr>
                <w:rFonts w:asciiTheme="minorHAnsi" w:hAnsiTheme="minorHAnsi" w:cstheme="minorHAnsi"/>
                <w:noProof/>
                <w:sz w:val="20"/>
              </w:rPr>
            </w:pPr>
          </w:p>
        </w:tc>
        <w:tc>
          <w:tcPr>
            <w:tcW w:w="1383" w:type="dxa"/>
            <w:vMerge/>
          </w:tcPr>
          <w:p w14:paraId="0F05B4A7" w14:textId="77777777" w:rsidR="00A46139" w:rsidRPr="00890249" w:rsidRDefault="00A46139" w:rsidP="00034101">
            <w:pPr>
              <w:jc w:val="center"/>
              <w:rPr>
                <w:rFonts w:asciiTheme="minorHAnsi" w:hAnsiTheme="minorHAnsi" w:cstheme="minorHAnsi"/>
                <w:noProof/>
                <w:sz w:val="20"/>
              </w:rPr>
            </w:pPr>
          </w:p>
        </w:tc>
        <w:tc>
          <w:tcPr>
            <w:tcW w:w="1732" w:type="dxa"/>
            <w:vMerge/>
            <w:vAlign w:val="center"/>
          </w:tcPr>
          <w:p w14:paraId="68F0312C" w14:textId="77777777" w:rsidR="00A46139" w:rsidRPr="00890249" w:rsidRDefault="00A46139" w:rsidP="00034101">
            <w:pPr>
              <w:jc w:val="center"/>
              <w:rPr>
                <w:rFonts w:asciiTheme="minorHAnsi" w:hAnsiTheme="minorHAnsi" w:cstheme="minorHAnsi"/>
                <w:noProof/>
                <w:sz w:val="20"/>
              </w:rPr>
            </w:pPr>
          </w:p>
        </w:tc>
        <w:tc>
          <w:tcPr>
            <w:tcW w:w="1338" w:type="dxa"/>
          </w:tcPr>
          <w:p w14:paraId="619B6243" w14:textId="77777777" w:rsidR="00A46139" w:rsidRPr="00890249" w:rsidDel="00CA473D"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 xml:space="preserve">135 </w:t>
            </w:r>
            <w:r w:rsidRPr="00890249">
              <w:rPr>
                <w:rFonts w:asciiTheme="minorHAnsi" w:hAnsiTheme="minorHAnsi" w:cstheme="minorHAnsi"/>
                <w:noProof/>
                <w:sz w:val="20"/>
              </w:rPr>
              <w:br/>
              <w:t xml:space="preserve">Działania na rzecz promowania dostępu do zatrudnienia osób długotrwale bezrobotnych </w:t>
            </w:r>
          </w:p>
        </w:tc>
        <w:tc>
          <w:tcPr>
            <w:tcW w:w="1992" w:type="dxa"/>
          </w:tcPr>
          <w:p w14:paraId="21159928" w14:textId="033E846A" w:rsidR="00A46139" w:rsidRPr="00890249" w:rsidRDefault="005A1433" w:rsidP="00034101">
            <w:pPr>
              <w:jc w:val="right"/>
              <w:rPr>
                <w:rFonts w:asciiTheme="minorHAnsi" w:hAnsiTheme="minorHAnsi" w:cstheme="minorHAnsi"/>
                <w:noProof/>
                <w:sz w:val="20"/>
              </w:rPr>
            </w:pPr>
            <w:r>
              <w:rPr>
                <w:rFonts w:asciiTheme="minorHAnsi" w:hAnsiTheme="minorHAnsi" w:cstheme="minorHAnsi"/>
                <w:noProof/>
                <w:sz w:val="20"/>
              </w:rPr>
              <w:t>2</w:t>
            </w:r>
            <w:r w:rsidR="006615BA" w:rsidRPr="00890249">
              <w:rPr>
                <w:rFonts w:asciiTheme="minorHAnsi" w:hAnsiTheme="minorHAnsi" w:cstheme="minorHAnsi"/>
                <w:noProof/>
                <w:sz w:val="20"/>
              </w:rPr>
              <w:t>50 000</w:t>
            </w:r>
          </w:p>
        </w:tc>
      </w:tr>
      <w:tr w:rsidR="00A46139" w:rsidRPr="00890249" w14:paraId="11A71693" w14:textId="77777777" w:rsidTr="00A46139">
        <w:trPr>
          <w:trHeight w:val="284"/>
        </w:trPr>
        <w:tc>
          <w:tcPr>
            <w:tcW w:w="1524" w:type="dxa"/>
            <w:vMerge/>
          </w:tcPr>
          <w:p w14:paraId="4B337DA1" w14:textId="77777777" w:rsidR="00A46139" w:rsidRPr="00890249" w:rsidRDefault="00A46139" w:rsidP="00034101">
            <w:pPr>
              <w:jc w:val="center"/>
              <w:rPr>
                <w:rFonts w:asciiTheme="minorHAnsi" w:hAnsiTheme="minorHAnsi" w:cstheme="minorHAnsi"/>
                <w:noProof/>
                <w:sz w:val="20"/>
              </w:rPr>
            </w:pPr>
          </w:p>
        </w:tc>
        <w:tc>
          <w:tcPr>
            <w:tcW w:w="1317" w:type="dxa"/>
            <w:vMerge/>
          </w:tcPr>
          <w:p w14:paraId="11676B7F" w14:textId="77777777" w:rsidR="00A46139" w:rsidRPr="00890249" w:rsidRDefault="00A46139" w:rsidP="00034101">
            <w:pPr>
              <w:jc w:val="center"/>
              <w:rPr>
                <w:rFonts w:asciiTheme="minorHAnsi" w:hAnsiTheme="minorHAnsi" w:cstheme="minorHAnsi"/>
                <w:noProof/>
                <w:sz w:val="20"/>
              </w:rPr>
            </w:pPr>
          </w:p>
        </w:tc>
        <w:tc>
          <w:tcPr>
            <w:tcW w:w="1383" w:type="dxa"/>
            <w:vMerge/>
          </w:tcPr>
          <w:p w14:paraId="4793B117" w14:textId="77777777" w:rsidR="00A46139" w:rsidRPr="00890249" w:rsidRDefault="00A46139" w:rsidP="00034101">
            <w:pPr>
              <w:jc w:val="center"/>
              <w:rPr>
                <w:rFonts w:asciiTheme="minorHAnsi" w:hAnsiTheme="minorHAnsi" w:cstheme="minorHAnsi"/>
                <w:noProof/>
                <w:sz w:val="20"/>
              </w:rPr>
            </w:pPr>
          </w:p>
        </w:tc>
        <w:tc>
          <w:tcPr>
            <w:tcW w:w="1732" w:type="dxa"/>
            <w:vMerge/>
            <w:vAlign w:val="center"/>
          </w:tcPr>
          <w:p w14:paraId="07FDA3EA" w14:textId="77777777" w:rsidR="00A46139" w:rsidRPr="00890249" w:rsidRDefault="00A46139" w:rsidP="00034101">
            <w:pPr>
              <w:jc w:val="center"/>
              <w:rPr>
                <w:rFonts w:asciiTheme="minorHAnsi" w:hAnsiTheme="minorHAnsi" w:cstheme="minorHAnsi"/>
                <w:noProof/>
                <w:sz w:val="20"/>
              </w:rPr>
            </w:pPr>
          </w:p>
        </w:tc>
        <w:tc>
          <w:tcPr>
            <w:tcW w:w="1338" w:type="dxa"/>
          </w:tcPr>
          <w:p w14:paraId="2885F258"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142</w:t>
            </w:r>
            <w:r w:rsidRPr="00890249">
              <w:rPr>
                <w:rFonts w:asciiTheme="minorHAnsi" w:hAnsiTheme="minorHAnsi" w:cstheme="minorHAnsi"/>
                <w:noProof/>
                <w:sz w:val="20"/>
              </w:rPr>
              <w:br/>
              <w:t xml:space="preserve">Działania na rzecz promowania aktywności zawodowej kobiet oraz zmniejszenia segregacji na rynku pracy ze względu na płeć </w:t>
            </w:r>
          </w:p>
        </w:tc>
        <w:tc>
          <w:tcPr>
            <w:tcW w:w="1992" w:type="dxa"/>
          </w:tcPr>
          <w:p w14:paraId="35AEE57F" w14:textId="106A83C5" w:rsidR="00A46139" w:rsidRPr="00890249" w:rsidRDefault="005A1433" w:rsidP="00034101">
            <w:pPr>
              <w:jc w:val="right"/>
              <w:rPr>
                <w:rFonts w:asciiTheme="minorHAnsi" w:hAnsiTheme="minorHAnsi" w:cstheme="minorHAnsi"/>
                <w:noProof/>
                <w:sz w:val="20"/>
              </w:rPr>
            </w:pPr>
            <w:r>
              <w:rPr>
                <w:rFonts w:asciiTheme="minorHAnsi" w:hAnsiTheme="minorHAnsi" w:cstheme="minorHAnsi"/>
                <w:noProof/>
                <w:sz w:val="20"/>
              </w:rPr>
              <w:t>500 000</w:t>
            </w:r>
          </w:p>
        </w:tc>
      </w:tr>
    </w:tbl>
    <w:p w14:paraId="5219CC49" w14:textId="272BB949" w:rsidR="00114890" w:rsidRPr="00890249" w:rsidRDefault="00114890" w:rsidP="00A46139">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2"/>
        <w:gridCol w:w="1352"/>
        <w:gridCol w:w="1409"/>
        <w:gridCol w:w="1618"/>
        <w:gridCol w:w="1039"/>
        <w:gridCol w:w="2081"/>
      </w:tblGrid>
      <w:tr w:rsidR="00A46139" w:rsidRPr="00890249" w14:paraId="2FA0F438" w14:textId="77777777" w:rsidTr="004376A2">
        <w:tc>
          <w:tcPr>
            <w:tcW w:w="9287" w:type="dxa"/>
            <w:gridSpan w:val="6"/>
            <w:shd w:val="clear" w:color="auto" w:fill="D9D9D9" w:themeFill="background1" w:themeFillShade="D9"/>
          </w:tcPr>
          <w:p w14:paraId="42BEDFEA" w14:textId="37F74D76" w:rsidR="00A46139" w:rsidRPr="00890249" w:rsidRDefault="00114890" w:rsidP="00034101">
            <w:pPr>
              <w:rPr>
                <w:rFonts w:asciiTheme="minorHAnsi" w:eastAsia="Times New Roman" w:hAnsiTheme="minorHAnsi" w:cstheme="minorHAnsi"/>
                <w:b/>
                <w:iCs/>
                <w:noProof/>
                <w:sz w:val="20"/>
              </w:rPr>
            </w:pPr>
            <w:r w:rsidRPr="00890249">
              <w:rPr>
                <w:rFonts w:asciiTheme="minorHAnsi" w:hAnsiTheme="minorHAnsi" w:cstheme="minorHAnsi"/>
                <w:b/>
                <w:noProof/>
                <w:color w:val="FF0000"/>
                <w:szCs w:val="22"/>
              </w:rPr>
              <w:br w:type="page"/>
            </w:r>
            <w:r w:rsidR="00A46139" w:rsidRPr="00890249">
              <w:rPr>
                <w:rFonts w:asciiTheme="minorHAnsi" w:hAnsiTheme="minorHAnsi" w:cstheme="minorHAnsi"/>
                <w:b/>
                <w:noProof/>
                <w:sz w:val="20"/>
              </w:rPr>
              <w:t>Tabela 5: Wymiar 2 – forma finansowania</w:t>
            </w:r>
          </w:p>
        </w:tc>
      </w:tr>
      <w:tr w:rsidR="00A46139" w:rsidRPr="00890249" w14:paraId="0540F19F" w14:textId="77777777" w:rsidTr="004376A2">
        <w:tc>
          <w:tcPr>
            <w:tcW w:w="1598" w:type="dxa"/>
            <w:shd w:val="clear" w:color="auto" w:fill="F2F2F2" w:themeFill="background1" w:themeFillShade="F2"/>
          </w:tcPr>
          <w:p w14:paraId="4CC5C483"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5A10A9F5"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4C550A13"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75704E38"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7075B9F2"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6F6B5FA3"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46139" w:rsidRPr="00890249" w14:paraId="57047A1B" w14:textId="77777777" w:rsidTr="004376A2">
        <w:tc>
          <w:tcPr>
            <w:tcW w:w="1598" w:type="dxa"/>
          </w:tcPr>
          <w:p w14:paraId="2782088D"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428ECE02"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p>
        </w:tc>
        <w:tc>
          <w:tcPr>
            <w:tcW w:w="1433" w:type="dxa"/>
          </w:tcPr>
          <w:p w14:paraId="7B81F2D2"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434D6929" w14:textId="765928E6" w:rsidR="00A46139" w:rsidRPr="00890249" w:rsidRDefault="00DE716B" w:rsidP="00DE716B">
            <w:pP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w:t>
            </w:r>
          </w:p>
        </w:tc>
        <w:tc>
          <w:tcPr>
            <w:tcW w:w="1053" w:type="dxa"/>
          </w:tcPr>
          <w:p w14:paraId="0BC821F0"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Dotacja</w:t>
            </w:r>
          </w:p>
        </w:tc>
        <w:tc>
          <w:tcPr>
            <w:tcW w:w="2175" w:type="dxa"/>
          </w:tcPr>
          <w:p w14:paraId="17CAB813" w14:textId="614DC4F4" w:rsidR="00A46139" w:rsidRPr="00890249" w:rsidRDefault="005A1433" w:rsidP="0003410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1 000 000</w:t>
            </w:r>
            <w:r w:rsidR="00A46139" w:rsidRPr="00890249">
              <w:rPr>
                <w:rFonts w:asciiTheme="minorHAnsi" w:eastAsia="Times New Roman" w:hAnsiTheme="minorHAnsi" w:cstheme="minorHAnsi"/>
                <w:iCs/>
                <w:noProof/>
                <w:sz w:val="20"/>
              </w:rPr>
              <w:t xml:space="preserve"> </w:t>
            </w:r>
          </w:p>
        </w:tc>
      </w:tr>
    </w:tbl>
    <w:p w14:paraId="61CD4967" w14:textId="2C169E93" w:rsidR="0093233E" w:rsidRDefault="00A46139" w:rsidP="00A46139">
      <w:pPr>
        <w:tabs>
          <w:tab w:val="left" w:pos="1039"/>
        </w:tabs>
        <w:spacing w:before="240" w:after="0"/>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tab/>
      </w:r>
    </w:p>
    <w:p w14:paraId="2E667802" w14:textId="521D9A68" w:rsidR="00A46139" w:rsidRPr="00890249" w:rsidRDefault="0093233E" w:rsidP="0093233E">
      <w:pPr>
        <w:spacing w:before="0" w:after="160" w:line="259" w:lineRule="auto"/>
        <w:jc w:val="left"/>
        <w:rPr>
          <w:rFonts w:asciiTheme="minorHAnsi" w:hAnsiTheme="minorHAnsi" w:cstheme="minorHAnsi"/>
          <w:b/>
          <w:noProof/>
          <w:color w:val="FF0000"/>
          <w:sz w:val="22"/>
          <w:szCs w:val="22"/>
        </w:rPr>
      </w:pPr>
      <w:r>
        <w:rPr>
          <w:rFonts w:asciiTheme="minorHAnsi" w:hAnsiTheme="minorHAnsi" w:cstheme="minorHAnsi"/>
          <w:b/>
          <w:noProof/>
          <w:color w:val="FF0000"/>
          <w:sz w:val="22"/>
          <w:szCs w:val="22"/>
        </w:rPr>
        <w:br w:type="page"/>
      </w:r>
    </w:p>
    <w:tbl>
      <w:tblPr>
        <w:tblStyle w:val="Tabela-Siatka"/>
        <w:tblW w:w="0" w:type="auto"/>
        <w:tblLook w:val="04A0" w:firstRow="1" w:lastRow="0" w:firstColumn="1" w:lastColumn="0" w:noHBand="0" w:noVBand="1"/>
      </w:tblPr>
      <w:tblGrid>
        <w:gridCol w:w="1494"/>
        <w:gridCol w:w="1289"/>
        <w:gridCol w:w="1319"/>
        <w:gridCol w:w="1610"/>
        <w:gridCol w:w="1520"/>
        <w:gridCol w:w="1829"/>
      </w:tblGrid>
      <w:tr w:rsidR="00A46139" w:rsidRPr="00890249" w14:paraId="7C14D44B" w14:textId="77777777" w:rsidTr="00034101">
        <w:tc>
          <w:tcPr>
            <w:tcW w:w="9288" w:type="dxa"/>
            <w:gridSpan w:val="6"/>
            <w:shd w:val="clear" w:color="auto" w:fill="D9D9D9" w:themeFill="background1" w:themeFillShade="D9"/>
          </w:tcPr>
          <w:p w14:paraId="1B85EE54" w14:textId="607744FD" w:rsidR="00A46139" w:rsidRPr="00890249" w:rsidRDefault="00A46139" w:rsidP="008A2402">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8A2402">
              <w:rPr>
                <w:rFonts w:asciiTheme="minorHAnsi" w:hAnsiTheme="minorHAnsi" w:cstheme="minorHAnsi"/>
                <w:b/>
                <w:noProof/>
                <w:sz w:val="20"/>
              </w:rPr>
              <w:t xml:space="preserve">3 </w:t>
            </w:r>
            <w:r w:rsidRPr="00890249">
              <w:rPr>
                <w:rFonts w:asciiTheme="minorHAnsi" w:hAnsiTheme="minorHAnsi" w:cstheme="minorHAnsi"/>
                <w:b/>
                <w:noProof/>
                <w:sz w:val="20"/>
              </w:rPr>
              <w:t>– terytorialny mechanizm realizacji i ukierunkowanie terytorialne</w:t>
            </w:r>
          </w:p>
        </w:tc>
      </w:tr>
      <w:tr w:rsidR="00A46139" w:rsidRPr="00890249" w14:paraId="59E1A04F" w14:textId="77777777" w:rsidTr="00034101">
        <w:trPr>
          <w:trHeight w:val="364"/>
        </w:trPr>
        <w:tc>
          <w:tcPr>
            <w:tcW w:w="1599" w:type="dxa"/>
            <w:shd w:val="clear" w:color="auto" w:fill="F2F2F2" w:themeFill="background1" w:themeFillShade="F2"/>
          </w:tcPr>
          <w:p w14:paraId="462141E6"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04E9E9C1"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1CB93262"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07CEA5F5"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1DC15F01"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1E666948"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46139" w:rsidRPr="00890249" w14:paraId="06BC9215" w14:textId="77777777" w:rsidTr="00034101">
        <w:tc>
          <w:tcPr>
            <w:tcW w:w="1599" w:type="dxa"/>
            <w:vAlign w:val="center"/>
          </w:tcPr>
          <w:p w14:paraId="3FCFD688"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23660576"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p>
        </w:tc>
        <w:tc>
          <w:tcPr>
            <w:tcW w:w="1378" w:type="dxa"/>
            <w:vAlign w:val="center"/>
          </w:tcPr>
          <w:p w14:paraId="1BEC427B"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51BF2E84" w14:textId="1BBD5CB2" w:rsidR="00A46139" w:rsidRPr="00890249" w:rsidRDefault="00DE716B" w:rsidP="00917144">
            <w:pPr>
              <w:jc w:val="center"/>
              <w:rPr>
                <w:rFonts w:asciiTheme="minorHAnsi" w:hAnsiTheme="minorHAnsi" w:cstheme="minorHAnsi"/>
                <w:noProof/>
                <w:sz w:val="20"/>
              </w:rPr>
            </w:pPr>
            <w:r w:rsidRPr="00890249">
              <w:rPr>
                <w:rFonts w:asciiTheme="minorHAnsi" w:hAnsiTheme="minorHAnsi" w:cstheme="minorHAnsi"/>
                <w:noProof/>
                <w:sz w:val="20"/>
              </w:rPr>
              <w:t>(c)</w:t>
            </w:r>
            <w:r w:rsidRPr="00890249" w:rsidDel="0093433C">
              <w:rPr>
                <w:rFonts w:asciiTheme="minorHAnsi" w:hAnsiTheme="minorHAnsi" w:cstheme="minorHAnsi"/>
                <w:noProof/>
                <w:sz w:val="20"/>
              </w:rPr>
              <w:t xml:space="preserve"> </w:t>
            </w:r>
          </w:p>
        </w:tc>
        <w:tc>
          <w:tcPr>
            <w:tcW w:w="1136" w:type="dxa"/>
            <w:vAlign w:val="center"/>
          </w:tcPr>
          <w:p w14:paraId="2E6862E2"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092" w:type="dxa"/>
            <w:vAlign w:val="center"/>
          </w:tcPr>
          <w:p w14:paraId="75A64546" w14:textId="5A9E823D" w:rsidR="00A46139" w:rsidRPr="00890249" w:rsidRDefault="005A1433" w:rsidP="00034101">
            <w:pPr>
              <w:jc w:val="right"/>
              <w:rPr>
                <w:rFonts w:asciiTheme="minorHAnsi" w:hAnsiTheme="minorHAnsi" w:cstheme="minorHAnsi"/>
                <w:noProof/>
                <w:sz w:val="20"/>
              </w:rPr>
            </w:pPr>
            <w:r>
              <w:rPr>
                <w:rFonts w:asciiTheme="minorHAnsi" w:hAnsiTheme="minorHAnsi" w:cstheme="minorHAnsi"/>
                <w:noProof/>
                <w:sz w:val="20"/>
              </w:rPr>
              <w:t>1 000 000</w:t>
            </w:r>
          </w:p>
        </w:tc>
      </w:tr>
    </w:tbl>
    <w:p w14:paraId="3AB60AE9" w14:textId="77777777" w:rsidR="00A46139" w:rsidRPr="00890249" w:rsidRDefault="00A46139" w:rsidP="00A46139">
      <w:pPr>
        <w:spacing w:before="0" w:after="160" w:line="259" w:lineRule="auto"/>
        <w:jc w:val="left"/>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A46139" w:rsidRPr="00890249" w14:paraId="071AF223" w14:textId="77777777" w:rsidTr="00034101">
        <w:tc>
          <w:tcPr>
            <w:tcW w:w="9322" w:type="dxa"/>
            <w:gridSpan w:val="6"/>
            <w:shd w:val="clear" w:color="auto" w:fill="D9D9D9" w:themeFill="background1" w:themeFillShade="D9"/>
          </w:tcPr>
          <w:p w14:paraId="74CD67FB" w14:textId="77777777" w:rsidR="00A46139" w:rsidRPr="00890249" w:rsidRDefault="00A46139" w:rsidP="00034101">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uzupełniające obszary tematyczne EFS+</w:t>
            </w:r>
          </w:p>
        </w:tc>
      </w:tr>
      <w:tr w:rsidR="00A46139" w:rsidRPr="00890249" w14:paraId="34384CAD" w14:textId="77777777" w:rsidTr="00034101">
        <w:tc>
          <w:tcPr>
            <w:tcW w:w="1461" w:type="dxa"/>
            <w:shd w:val="clear" w:color="auto" w:fill="F2F2F2" w:themeFill="background1" w:themeFillShade="F2"/>
          </w:tcPr>
          <w:p w14:paraId="2FC7D633"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58" w:type="dxa"/>
            <w:shd w:val="clear" w:color="auto" w:fill="F2F2F2" w:themeFill="background1" w:themeFillShade="F2"/>
          </w:tcPr>
          <w:p w14:paraId="20711FD2"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41" w:type="dxa"/>
            <w:shd w:val="clear" w:color="auto" w:fill="F2F2F2" w:themeFill="background1" w:themeFillShade="F2"/>
          </w:tcPr>
          <w:p w14:paraId="2EDE8518"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2" w:type="dxa"/>
            <w:shd w:val="clear" w:color="auto" w:fill="F2F2F2" w:themeFill="background1" w:themeFillShade="F2"/>
          </w:tcPr>
          <w:p w14:paraId="29A4C056"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30737C2F"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69" w:type="dxa"/>
            <w:shd w:val="clear" w:color="auto" w:fill="F2F2F2" w:themeFill="background1" w:themeFillShade="F2"/>
          </w:tcPr>
          <w:p w14:paraId="596FE1DA" w14:textId="77777777" w:rsidR="00A46139" w:rsidRPr="00890249" w:rsidRDefault="00A46139" w:rsidP="00034101">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46139" w:rsidRPr="00890249" w14:paraId="1F1FC5DB" w14:textId="77777777" w:rsidTr="00034101">
        <w:tc>
          <w:tcPr>
            <w:tcW w:w="1461" w:type="dxa"/>
            <w:vMerge w:val="restart"/>
            <w:vAlign w:val="center"/>
          </w:tcPr>
          <w:p w14:paraId="6EE25293"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258" w:type="dxa"/>
            <w:vMerge w:val="restart"/>
            <w:vAlign w:val="center"/>
          </w:tcPr>
          <w:p w14:paraId="7B86C769"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41" w:type="dxa"/>
            <w:vMerge w:val="restart"/>
            <w:vAlign w:val="center"/>
          </w:tcPr>
          <w:p w14:paraId="7C9D0AA4" w14:textId="77777777" w:rsidR="00A46139" w:rsidRPr="00890249" w:rsidRDefault="00A46139" w:rsidP="0003410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542" w:type="dxa"/>
            <w:vMerge w:val="restart"/>
            <w:shd w:val="clear" w:color="auto" w:fill="auto"/>
            <w:vAlign w:val="center"/>
          </w:tcPr>
          <w:p w14:paraId="2FAE2D64" w14:textId="250C5A82" w:rsidR="00A46139" w:rsidRPr="00890249" w:rsidRDefault="00DE716B" w:rsidP="00034101">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(c)</w:t>
            </w:r>
          </w:p>
          <w:p w14:paraId="481019E3" w14:textId="093C32A0" w:rsidR="00A46139" w:rsidRPr="00890249" w:rsidRDefault="00A46139" w:rsidP="00917144">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2CBDFB06"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 Niedyskryminacja</w:t>
            </w:r>
          </w:p>
        </w:tc>
        <w:tc>
          <w:tcPr>
            <w:tcW w:w="2069" w:type="dxa"/>
            <w:shd w:val="clear" w:color="auto" w:fill="auto"/>
          </w:tcPr>
          <w:p w14:paraId="0F53DBB1" w14:textId="0DF74052" w:rsidR="00A46139" w:rsidRPr="00890249" w:rsidRDefault="005A1433" w:rsidP="0003410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600 000</w:t>
            </w:r>
          </w:p>
        </w:tc>
      </w:tr>
      <w:tr w:rsidR="00A46139" w:rsidRPr="00890249" w14:paraId="09A096AE" w14:textId="77777777" w:rsidTr="00034101">
        <w:tc>
          <w:tcPr>
            <w:tcW w:w="1461" w:type="dxa"/>
            <w:vMerge/>
            <w:vAlign w:val="center"/>
          </w:tcPr>
          <w:p w14:paraId="20F63103" w14:textId="77777777" w:rsidR="00A46139" w:rsidRPr="00890249" w:rsidRDefault="00A46139" w:rsidP="00034101">
            <w:pPr>
              <w:jc w:val="center"/>
              <w:rPr>
                <w:rFonts w:asciiTheme="minorHAnsi" w:eastAsia="Times New Roman" w:hAnsiTheme="minorHAnsi" w:cstheme="minorHAnsi"/>
                <w:b/>
                <w:iCs/>
                <w:noProof/>
                <w:sz w:val="20"/>
              </w:rPr>
            </w:pPr>
          </w:p>
        </w:tc>
        <w:tc>
          <w:tcPr>
            <w:tcW w:w="1258" w:type="dxa"/>
            <w:vMerge/>
            <w:vAlign w:val="center"/>
          </w:tcPr>
          <w:p w14:paraId="1FC2FA63" w14:textId="77777777" w:rsidR="00A46139" w:rsidRPr="00890249" w:rsidRDefault="00A46139" w:rsidP="00034101">
            <w:pPr>
              <w:jc w:val="center"/>
              <w:rPr>
                <w:rFonts w:asciiTheme="minorHAnsi" w:eastAsia="Times New Roman" w:hAnsiTheme="minorHAnsi" w:cstheme="minorHAnsi"/>
                <w:b/>
                <w:iCs/>
                <w:noProof/>
                <w:sz w:val="20"/>
              </w:rPr>
            </w:pPr>
          </w:p>
        </w:tc>
        <w:tc>
          <w:tcPr>
            <w:tcW w:w="1341" w:type="dxa"/>
            <w:vMerge/>
            <w:vAlign w:val="center"/>
          </w:tcPr>
          <w:p w14:paraId="160C6795" w14:textId="77777777" w:rsidR="00A46139" w:rsidRPr="00890249" w:rsidRDefault="00A46139" w:rsidP="00034101">
            <w:pPr>
              <w:jc w:val="center"/>
              <w:rPr>
                <w:rFonts w:asciiTheme="minorHAnsi" w:eastAsia="Times New Roman" w:hAnsiTheme="minorHAnsi" w:cstheme="minorHAnsi"/>
                <w:b/>
                <w:iCs/>
                <w:noProof/>
                <w:sz w:val="20"/>
              </w:rPr>
            </w:pPr>
          </w:p>
        </w:tc>
        <w:tc>
          <w:tcPr>
            <w:tcW w:w="1542" w:type="dxa"/>
            <w:vMerge/>
            <w:shd w:val="clear" w:color="auto" w:fill="auto"/>
          </w:tcPr>
          <w:p w14:paraId="74EE7AC5" w14:textId="77777777" w:rsidR="00A46139" w:rsidRPr="00890249" w:rsidRDefault="00A46139" w:rsidP="00034101">
            <w:pPr>
              <w:jc w:val="center"/>
              <w:rPr>
                <w:rFonts w:asciiTheme="minorHAnsi" w:eastAsia="Times New Roman" w:hAnsiTheme="minorHAnsi" w:cstheme="minorHAnsi"/>
                <w:b/>
                <w:iCs/>
                <w:noProof/>
                <w:sz w:val="20"/>
              </w:rPr>
            </w:pPr>
          </w:p>
        </w:tc>
        <w:tc>
          <w:tcPr>
            <w:tcW w:w="1651" w:type="dxa"/>
            <w:shd w:val="clear" w:color="auto" w:fill="auto"/>
          </w:tcPr>
          <w:p w14:paraId="7BE8C7E1"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07 Budowanie zdolności partnerów społecznych</w:t>
            </w:r>
          </w:p>
        </w:tc>
        <w:tc>
          <w:tcPr>
            <w:tcW w:w="2069" w:type="dxa"/>
            <w:shd w:val="clear" w:color="auto" w:fill="auto"/>
          </w:tcPr>
          <w:p w14:paraId="2C490DBB" w14:textId="616B3B51" w:rsidR="00A46139" w:rsidRPr="00890249" w:rsidRDefault="005A1433" w:rsidP="0003410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100 000</w:t>
            </w:r>
          </w:p>
        </w:tc>
      </w:tr>
      <w:tr w:rsidR="00A46139" w:rsidRPr="00890249" w14:paraId="204B7368" w14:textId="77777777" w:rsidTr="00034101">
        <w:tc>
          <w:tcPr>
            <w:tcW w:w="1461" w:type="dxa"/>
            <w:vMerge/>
            <w:vAlign w:val="center"/>
          </w:tcPr>
          <w:p w14:paraId="70C13938" w14:textId="77777777" w:rsidR="00A46139" w:rsidRPr="00890249" w:rsidRDefault="00A46139" w:rsidP="00034101">
            <w:pPr>
              <w:jc w:val="center"/>
              <w:rPr>
                <w:rFonts w:asciiTheme="minorHAnsi" w:eastAsia="Times New Roman" w:hAnsiTheme="minorHAnsi" w:cstheme="minorHAnsi"/>
                <w:iCs/>
                <w:noProof/>
                <w:sz w:val="20"/>
              </w:rPr>
            </w:pPr>
          </w:p>
        </w:tc>
        <w:tc>
          <w:tcPr>
            <w:tcW w:w="1258" w:type="dxa"/>
            <w:vMerge/>
            <w:vAlign w:val="center"/>
          </w:tcPr>
          <w:p w14:paraId="3FBD1966" w14:textId="77777777" w:rsidR="00A46139" w:rsidRPr="00890249" w:rsidRDefault="00A46139" w:rsidP="00034101">
            <w:pPr>
              <w:jc w:val="center"/>
              <w:rPr>
                <w:rFonts w:asciiTheme="minorHAnsi" w:hAnsiTheme="minorHAnsi" w:cstheme="minorHAnsi"/>
                <w:noProof/>
                <w:sz w:val="20"/>
              </w:rPr>
            </w:pPr>
          </w:p>
        </w:tc>
        <w:tc>
          <w:tcPr>
            <w:tcW w:w="1341" w:type="dxa"/>
            <w:vMerge/>
            <w:vAlign w:val="center"/>
          </w:tcPr>
          <w:p w14:paraId="548421DD" w14:textId="77777777" w:rsidR="00A46139" w:rsidRPr="00890249" w:rsidRDefault="00A46139" w:rsidP="00034101">
            <w:pPr>
              <w:jc w:val="center"/>
              <w:rPr>
                <w:rFonts w:asciiTheme="minorHAnsi" w:hAnsiTheme="minorHAnsi" w:cstheme="minorHAnsi"/>
                <w:noProof/>
                <w:sz w:val="20"/>
              </w:rPr>
            </w:pPr>
          </w:p>
        </w:tc>
        <w:tc>
          <w:tcPr>
            <w:tcW w:w="1542" w:type="dxa"/>
            <w:vMerge/>
            <w:shd w:val="clear" w:color="auto" w:fill="auto"/>
          </w:tcPr>
          <w:p w14:paraId="6C1403E2" w14:textId="77777777" w:rsidR="00A46139" w:rsidRPr="00890249" w:rsidRDefault="00A46139" w:rsidP="00034101">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56E5E4D2"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 Budowanie zdolności organizacji społeczeństwa obywatelskiego</w:t>
            </w:r>
          </w:p>
        </w:tc>
        <w:tc>
          <w:tcPr>
            <w:tcW w:w="2069" w:type="dxa"/>
            <w:shd w:val="clear" w:color="auto" w:fill="auto"/>
          </w:tcPr>
          <w:p w14:paraId="1D2E9D0B" w14:textId="55D81A1B" w:rsidR="00A46139" w:rsidRPr="00890249" w:rsidRDefault="005A1433" w:rsidP="005A1433">
            <w:pPr>
              <w:jc w:val="right"/>
              <w:rPr>
                <w:rFonts w:asciiTheme="minorHAnsi" w:eastAsia="Times New Roman" w:hAnsiTheme="minorHAnsi" w:cstheme="minorHAnsi"/>
                <w:sz w:val="20"/>
              </w:rPr>
            </w:pPr>
            <w:r>
              <w:rPr>
                <w:rFonts w:asciiTheme="minorHAnsi" w:eastAsia="Times New Roman" w:hAnsiTheme="minorHAnsi" w:cstheme="minorHAnsi"/>
                <w:iCs/>
                <w:noProof/>
                <w:sz w:val="20"/>
              </w:rPr>
              <w:t>100 000</w:t>
            </w:r>
          </w:p>
        </w:tc>
      </w:tr>
      <w:tr w:rsidR="00A46139" w:rsidRPr="00890249" w14:paraId="24D940F4" w14:textId="77777777" w:rsidTr="00034101">
        <w:tc>
          <w:tcPr>
            <w:tcW w:w="1461" w:type="dxa"/>
            <w:vMerge/>
            <w:vAlign w:val="center"/>
          </w:tcPr>
          <w:p w14:paraId="09973068" w14:textId="77777777" w:rsidR="00A46139" w:rsidRPr="00890249" w:rsidRDefault="00A46139" w:rsidP="00034101">
            <w:pPr>
              <w:jc w:val="center"/>
              <w:rPr>
                <w:rFonts w:asciiTheme="minorHAnsi" w:eastAsia="Times New Roman" w:hAnsiTheme="minorHAnsi" w:cstheme="minorHAnsi"/>
                <w:iCs/>
                <w:noProof/>
                <w:sz w:val="20"/>
              </w:rPr>
            </w:pPr>
          </w:p>
        </w:tc>
        <w:tc>
          <w:tcPr>
            <w:tcW w:w="1258" w:type="dxa"/>
            <w:vMerge/>
            <w:vAlign w:val="center"/>
          </w:tcPr>
          <w:p w14:paraId="0828AE2C" w14:textId="77777777" w:rsidR="00A46139" w:rsidRPr="00890249" w:rsidRDefault="00A46139" w:rsidP="00034101">
            <w:pPr>
              <w:jc w:val="center"/>
              <w:rPr>
                <w:rFonts w:asciiTheme="minorHAnsi" w:hAnsiTheme="minorHAnsi" w:cstheme="minorHAnsi"/>
                <w:noProof/>
                <w:sz w:val="20"/>
              </w:rPr>
            </w:pPr>
          </w:p>
        </w:tc>
        <w:tc>
          <w:tcPr>
            <w:tcW w:w="1341" w:type="dxa"/>
            <w:vMerge/>
            <w:vAlign w:val="center"/>
          </w:tcPr>
          <w:p w14:paraId="1BAE7DCB" w14:textId="77777777" w:rsidR="00A46139" w:rsidRPr="00890249" w:rsidRDefault="00A46139" w:rsidP="00034101">
            <w:pPr>
              <w:jc w:val="center"/>
              <w:rPr>
                <w:rFonts w:asciiTheme="minorHAnsi" w:hAnsiTheme="minorHAnsi" w:cstheme="minorHAnsi"/>
                <w:noProof/>
                <w:sz w:val="20"/>
              </w:rPr>
            </w:pPr>
          </w:p>
        </w:tc>
        <w:tc>
          <w:tcPr>
            <w:tcW w:w="1542" w:type="dxa"/>
            <w:vMerge/>
            <w:shd w:val="clear" w:color="auto" w:fill="auto"/>
          </w:tcPr>
          <w:p w14:paraId="101C83E1" w14:textId="77777777" w:rsidR="00A46139" w:rsidRPr="00890249" w:rsidRDefault="00A46139" w:rsidP="00034101">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30FC0BE2"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069" w:type="dxa"/>
            <w:shd w:val="clear" w:color="auto" w:fill="auto"/>
          </w:tcPr>
          <w:p w14:paraId="506098F8" w14:textId="4CB1CF9E" w:rsidR="00A46139" w:rsidRPr="00890249" w:rsidRDefault="005A1433" w:rsidP="0003410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150 000</w:t>
            </w:r>
          </w:p>
        </w:tc>
      </w:tr>
      <w:tr w:rsidR="00A46139" w:rsidRPr="00890249" w14:paraId="4CDB1ADC" w14:textId="77777777" w:rsidTr="00034101">
        <w:tc>
          <w:tcPr>
            <w:tcW w:w="1461" w:type="dxa"/>
            <w:vMerge/>
            <w:vAlign w:val="center"/>
          </w:tcPr>
          <w:p w14:paraId="3D9DA8D5" w14:textId="77777777" w:rsidR="00A46139" w:rsidRPr="00890249" w:rsidRDefault="00A46139" w:rsidP="00034101">
            <w:pPr>
              <w:jc w:val="center"/>
              <w:rPr>
                <w:rFonts w:asciiTheme="minorHAnsi" w:eastAsia="Times New Roman" w:hAnsiTheme="minorHAnsi" w:cstheme="minorHAnsi"/>
                <w:iCs/>
                <w:noProof/>
                <w:sz w:val="20"/>
              </w:rPr>
            </w:pPr>
          </w:p>
        </w:tc>
        <w:tc>
          <w:tcPr>
            <w:tcW w:w="1258" w:type="dxa"/>
            <w:vMerge/>
            <w:vAlign w:val="center"/>
          </w:tcPr>
          <w:p w14:paraId="6462C533" w14:textId="77777777" w:rsidR="00A46139" w:rsidRPr="00890249" w:rsidRDefault="00A46139" w:rsidP="00034101">
            <w:pPr>
              <w:jc w:val="center"/>
              <w:rPr>
                <w:rFonts w:asciiTheme="minorHAnsi" w:hAnsiTheme="minorHAnsi" w:cstheme="minorHAnsi"/>
                <w:noProof/>
                <w:sz w:val="20"/>
              </w:rPr>
            </w:pPr>
          </w:p>
        </w:tc>
        <w:tc>
          <w:tcPr>
            <w:tcW w:w="1341" w:type="dxa"/>
            <w:vMerge/>
            <w:vAlign w:val="center"/>
          </w:tcPr>
          <w:p w14:paraId="3C341CDB" w14:textId="77777777" w:rsidR="00A46139" w:rsidRPr="00890249" w:rsidRDefault="00A46139" w:rsidP="00034101">
            <w:pPr>
              <w:jc w:val="center"/>
              <w:rPr>
                <w:rFonts w:asciiTheme="minorHAnsi" w:hAnsiTheme="minorHAnsi" w:cstheme="minorHAnsi"/>
                <w:noProof/>
                <w:sz w:val="20"/>
              </w:rPr>
            </w:pPr>
          </w:p>
        </w:tc>
        <w:tc>
          <w:tcPr>
            <w:tcW w:w="1542" w:type="dxa"/>
            <w:vMerge/>
            <w:shd w:val="clear" w:color="auto" w:fill="auto"/>
          </w:tcPr>
          <w:p w14:paraId="3643C38B" w14:textId="77777777" w:rsidR="00A46139" w:rsidRPr="00890249" w:rsidRDefault="00A46139" w:rsidP="00034101">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60B177FF" w14:textId="77777777" w:rsidR="00A46139" w:rsidRPr="00890249" w:rsidRDefault="00A46139" w:rsidP="0003410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Działania podejmowane w odpowiedzi na wyzwania wskazane w ramach semestru europejskiego</w:t>
            </w:r>
          </w:p>
        </w:tc>
        <w:tc>
          <w:tcPr>
            <w:tcW w:w="2069" w:type="dxa"/>
            <w:shd w:val="clear" w:color="auto" w:fill="auto"/>
          </w:tcPr>
          <w:p w14:paraId="13555CF0" w14:textId="5C76D164" w:rsidR="00B72154" w:rsidRPr="00890249" w:rsidRDefault="005A1433" w:rsidP="00890249">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50 000</w:t>
            </w:r>
          </w:p>
        </w:tc>
      </w:tr>
    </w:tbl>
    <w:p w14:paraId="00BD5DF8" w14:textId="77777777" w:rsidR="00A46139" w:rsidRPr="00890249" w:rsidRDefault="00A46139" w:rsidP="00A46139">
      <w:pPr>
        <w:spacing w:before="0" w:after="160" w:line="259" w:lineRule="auto"/>
        <w:jc w:val="left"/>
        <w:rPr>
          <w:rFonts w:asciiTheme="minorHAnsi" w:hAnsiTheme="minorHAnsi" w:cstheme="minorHAnsi"/>
          <w:b/>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A46139" w:rsidRPr="00890249" w14:paraId="5EF90846" w14:textId="77777777" w:rsidTr="00034101">
        <w:tc>
          <w:tcPr>
            <w:tcW w:w="9322" w:type="dxa"/>
            <w:gridSpan w:val="6"/>
            <w:shd w:val="clear" w:color="auto" w:fill="D9D9D9" w:themeFill="background1" w:themeFillShade="D9"/>
          </w:tcPr>
          <w:p w14:paraId="47D2043A" w14:textId="77777777" w:rsidR="00A46139" w:rsidRPr="00890249" w:rsidRDefault="00A46139" w:rsidP="00034101">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 EFS+, EFRR, Fundusz Spójności i FST</w:t>
            </w:r>
          </w:p>
        </w:tc>
      </w:tr>
      <w:tr w:rsidR="00A46139" w:rsidRPr="00890249" w14:paraId="672E6CE8" w14:textId="77777777" w:rsidTr="00034101">
        <w:tc>
          <w:tcPr>
            <w:tcW w:w="1570" w:type="dxa"/>
            <w:shd w:val="clear" w:color="auto" w:fill="F2F2F2" w:themeFill="background1" w:themeFillShade="F2"/>
          </w:tcPr>
          <w:p w14:paraId="12BF5227" w14:textId="77777777" w:rsidR="00A46139" w:rsidRPr="00890249" w:rsidRDefault="00A46139" w:rsidP="00034101">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50BF6B26" w14:textId="77777777" w:rsidR="00A46139" w:rsidRPr="00890249" w:rsidRDefault="00A46139" w:rsidP="00034101">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5A7E677F" w14:textId="77777777" w:rsidR="00A46139" w:rsidRPr="00890249" w:rsidRDefault="00A46139" w:rsidP="00034101">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3E55530C" w14:textId="77777777" w:rsidR="00A46139" w:rsidRPr="00890249" w:rsidRDefault="00A46139" w:rsidP="00034101">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6A5FBA04" w14:textId="77777777" w:rsidR="00A46139" w:rsidRPr="00890249" w:rsidRDefault="00A46139" w:rsidP="00034101">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7570104E" w14:textId="77777777" w:rsidR="00A46139" w:rsidRPr="00890249" w:rsidRDefault="00A46139" w:rsidP="00034101">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A46139" w:rsidRPr="00890249" w14:paraId="35C1653B" w14:textId="77777777" w:rsidTr="00034101">
        <w:tc>
          <w:tcPr>
            <w:tcW w:w="1570" w:type="dxa"/>
            <w:shd w:val="clear" w:color="auto" w:fill="auto"/>
            <w:vAlign w:val="center"/>
          </w:tcPr>
          <w:p w14:paraId="7B14E1C2" w14:textId="77777777" w:rsidR="00A46139" w:rsidRPr="00890249" w:rsidRDefault="00A46139" w:rsidP="00034101">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CP 4</w:t>
            </w:r>
          </w:p>
        </w:tc>
        <w:tc>
          <w:tcPr>
            <w:tcW w:w="1360" w:type="dxa"/>
            <w:shd w:val="clear" w:color="auto" w:fill="auto"/>
            <w:vAlign w:val="center"/>
          </w:tcPr>
          <w:p w14:paraId="6B25DBBD" w14:textId="77777777" w:rsidR="00A46139" w:rsidRPr="00890249" w:rsidRDefault="00A46139" w:rsidP="00034101">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EFS+</w:t>
            </w:r>
          </w:p>
        </w:tc>
        <w:tc>
          <w:tcPr>
            <w:tcW w:w="1415" w:type="dxa"/>
            <w:shd w:val="clear" w:color="auto" w:fill="auto"/>
            <w:vAlign w:val="center"/>
          </w:tcPr>
          <w:p w14:paraId="266BE310" w14:textId="77777777" w:rsidR="00A46139" w:rsidRPr="00890249" w:rsidRDefault="00A46139" w:rsidP="00034101">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słabiej rozwinięte</w:t>
            </w:r>
          </w:p>
        </w:tc>
        <w:tc>
          <w:tcPr>
            <w:tcW w:w="1628" w:type="dxa"/>
            <w:shd w:val="clear" w:color="auto" w:fill="auto"/>
            <w:vAlign w:val="center"/>
          </w:tcPr>
          <w:p w14:paraId="13F2AAF7" w14:textId="67A2A881" w:rsidR="00A46139" w:rsidRPr="00890249" w:rsidRDefault="00DE716B" w:rsidP="0091714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(c)</w:t>
            </w:r>
            <w:r w:rsidRPr="00890249" w:rsidDel="0093433C">
              <w:rPr>
                <w:rFonts w:asciiTheme="minorHAnsi" w:eastAsia="Times New Roman" w:hAnsiTheme="minorHAnsi" w:cstheme="minorHAnsi"/>
                <w:iCs/>
                <w:noProof/>
                <w:sz w:val="20"/>
                <w:szCs w:val="22"/>
                <w:lang w:eastAsia="en-US" w:bidi="ar-SA"/>
              </w:rPr>
              <w:t xml:space="preserve"> </w:t>
            </w:r>
          </w:p>
        </w:tc>
        <w:tc>
          <w:tcPr>
            <w:tcW w:w="1026" w:type="dxa"/>
            <w:shd w:val="clear" w:color="auto" w:fill="auto"/>
            <w:vAlign w:val="center"/>
          </w:tcPr>
          <w:p w14:paraId="5F958A83" w14:textId="7A815F05" w:rsidR="00A46139" w:rsidRPr="00890249" w:rsidRDefault="0001396A" w:rsidP="0001396A">
            <w:pPr>
              <w:spacing w:before="0" w:after="160" w:line="259" w:lineRule="auto"/>
              <w:jc w:val="center"/>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01</w:t>
            </w:r>
            <w:r w:rsidR="00A46139" w:rsidRPr="00890249">
              <w:rPr>
                <w:rFonts w:asciiTheme="minorHAnsi" w:eastAsia="Times New Roman" w:hAnsiTheme="minorHAnsi" w:cstheme="minorHAnsi"/>
                <w:iCs/>
                <w:noProof/>
                <w:sz w:val="20"/>
                <w:szCs w:val="22"/>
                <w:lang w:eastAsia="en-US" w:bidi="ar-SA"/>
              </w:rPr>
              <w:t xml:space="preserve"> Projekty </w:t>
            </w:r>
            <w:r>
              <w:rPr>
                <w:rFonts w:asciiTheme="minorHAnsi" w:eastAsia="Times New Roman" w:hAnsiTheme="minorHAnsi" w:cstheme="minorHAnsi"/>
                <w:iCs/>
                <w:noProof/>
                <w:sz w:val="20"/>
                <w:szCs w:val="22"/>
                <w:lang w:eastAsia="en-US" w:bidi="ar-SA"/>
              </w:rPr>
              <w:t>ukierunkowane na kwestię równouprawnienia płci</w:t>
            </w:r>
          </w:p>
        </w:tc>
        <w:tc>
          <w:tcPr>
            <w:tcW w:w="2323" w:type="dxa"/>
            <w:shd w:val="clear" w:color="auto" w:fill="auto"/>
            <w:vAlign w:val="center"/>
          </w:tcPr>
          <w:p w14:paraId="06EFBA0E" w14:textId="3D625572" w:rsidR="00A46139" w:rsidRPr="00890249" w:rsidRDefault="005A1433" w:rsidP="00034101">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1 000 000</w:t>
            </w:r>
          </w:p>
        </w:tc>
      </w:tr>
    </w:tbl>
    <w:p w14:paraId="57556079" w14:textId="77777777" w:rsidR="000F00F3" w:rsidRPr="00890249" w:rsidRDefault="000F00F3" w:rsidP="000F00F3">
      <w:pPr>
        <w:spacing w:before="0" w:after="240"/>
        <w:rPr>
          <w:rFonts w:asciiTheme="minorHAnsi" w:hAnsiTheme="minorHAnsi" w:cstheme="minorHAnsi"/>
          <w:b/>
          <w:noProof/>
          <w:sz w:val="22"/>
          <w:szCs w:val="22"/>
        </w:rPr>
      </w:pPr>
    </w:p>
    <w:p w14:paraId="0162EC36" w14:textId="77777777" w:rsidR="000F00F3" w:rsidRPr="00890249" w:rsidRDefault="000F00F3" w:rsidP="000F00F3">
      <w:pPr>
        <w:spacing w:before="0" w:after="160" w:line="259" w:lineRule="auto"/>
        <w:jc w:val="left"/>
        <w:rPr>
          <w:rFonts w:asciiTheme="minorHAnsi" w:eastAsiaTheme="minorHAnsi" w:hAnsiTheme="minorHAnsi" w:cstheme="minorHAnsi"/>
          <w:sz w:val="22"/>
          <w:szCs w:val="22"/>
          <w:lang w:eastAsia="en-US" w:bidi="ar-SA"/>
        </w:rPr>
      </w:pPr>
      <w:r w:rsidRPr="00890249">
        <w:rPr>
          <w:rFonts w:asciiTheme="minorHAnsi" w:hAnsiTheme="minorHAnsi" w:cstheme="minorHAnsi"/>
          <w:b/>
          <w:noProof/>
          <w:sz w:val="22"/>
          <w:szCs w:val="22"/>
        </w:rPr>
        <w:br w:type="page"/>
      </w:r>
    </w:p>
    <w:p w14:paraId="296EF546" w14:textId="77777777" w:rsidR="00701EDC" w:rsidRPr="00890249" w:rsidRDefault="00701EDC" w:rsidP="00701EDC">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2.1.5.3 (d) Cel szczegółowy</w:t>
      </w:r>
    </w:p>
    <w:p w14:paraId="20C43FC5" w14:textId="77777777" w:rsidR="00701EDC" w:rsidRPr="00890249" w:rsidRDefault="00701EDC" w:rsidP="00701EDC">
      <w:pPr>
        <w:spacing w:before="240" w:after="240"/>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(d) Wspieranie dostosowania pracowników, przedsiębiorstw i przedsiębiorców do zmian, wspieranie aktywnego i zdrowego starzenia się oraz zdrowego i dobrze dostosowanego środowiska pracy, które uwzględnia zagrożenia dla zdrowia</w:t>
      </w:r>
    </w:p>
    <w:p w14:paraId="23CF2B08" w14:textId="77777777" w:rsidR="00701EDC" w:rsidRPr="00890249" w:rsidRDefault="00701EDC" w:rsidP="00701EDC">
      <w:pPr>
        <w:rPr>
          <w:rFonts w:asciiTheme="minorHAnsi" w:hAnsiTheme="minorHAnsi" w:cstheme="minorHAnsi"/>
          <w:b/>
          <w:noProof/>
          <w:sz w:val="22"/>
        </w:rPr>
      </w:pPr>
      <w:r w:rsidRPr="00890249">
        <w:rPr>
          <w:rFonts w:asciiTheme="minorHAnsi" w:hAnsiTheme="minorHAnsi" w:cstheme="minorHAnsi"/>
          <w:b/>
          <w:noProof/>
          <w:sz w:val="22"/>
        </w:rPr>
        <w:t>2.1.5.3.1 (d) Interwencje w ramach funduszy</w:t>
      </w:r>
    </w:p>
    <w:p w14:paraId="5DB289CD"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08208E79" w14:textId="77777777" w:rsidR="0093433C" w:rsidRPr="00890249" w:rsidRDefault="22D4A14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Szacuje się, że na Opolszczyźnie po 2020 r. na </w:t>
      </w:r>
      <w:r w:rsidR="1870C409" w:rsidRPr="00890249">
        <w:rPr>
          <w:rFonts w:asciiTheme="minorHAnsi" w:hAnsiTheme="minorHAnsi" w:cstheme="minorHAnsi"/>
          <w:sz w:val="22"/>
          <w:szCs w:val="22"/>
          <w:lang w:eastAsia="en-US" w:bidi="ar-SA"/>
        </w:rPr>
        <w:t xml:space="preserve">1 </w:t>
      </w:r>
      <w:r w:rsidR="71ED4860" w:rsidRPr="00890249">
        <w:rPr>
          <w:rFonts w:asciiTheme="minorHAnsi" w:hAnsiTheme="minorHAnsi" w:cstheme="minorHAnsi"/>
          <w:sz w:val="22"/>
          <w:szCs w:val="22"/>
          <w:lang w:eastAsia="en-US" w:bidi="ar-SA"/>
        </w:rPr>
        <w:t>osobę w wieku poprodukcyjnym</w:t>
      </w:r>
      <w:r w:rsidRPr="00890249">
        <w:rPr>
          <w:rFonts w:asciiTheme="minorHAnsi" w:hAnsiTheme="minorHAnsi" w:cstheme="minorHAnsi"/>
          <w:sz w:val="22"/>
          <w:szCs w:val="22"/>
          <w:lang w:eastAsia="en-US" w:bidi="ar-SA"/>
        </w:rPr>
        <w:t xml:space="preserve"> pracować będą mniej</w:t>
      </w:r>
      <w:r w:rsidR="71ED4860"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niż 3 osoby w wieku produkcyjnym, a w 2050 r. już tylko 1 osoba w wieku produkcyjnym (1,2 osoby)</w:t>
      </w:r>
      <w:r w:rsidR="00EE19EB" w:rsidRPr="00890249">
        <w:rPr>
          <w:rFonts w:asciiTheme="minorHAnsi" w:hAnsiTheme="minorHAnsi" w:cstheme="minorHAnsi"/>
          <w:sz w:val="22"/>
          <w:szCs w:val="22"/>
          <w:vertAlign w:val="superscript"/>
          <w:lang w:eastAsia="en-US" w:bidi="ar-SA"/>
        </w:rPr>
        <w:footnoteReference w:id="166"/>
      </w:r>
      <w:r w:rsidRPr="00890249">
        <w:rPr>
          <w:rFonts w:asciiTheme="minorHAnsi" w:hAnsiTheme="minorHAnsi" w:cstheme="minorHAnsi"/>
          <w:sz w:val="22"/>
          <w:szCs w:val="22"/>
          <w:lang w:eastAsia="en-US" w:bidi="ar-SA"/>
        </w:rPr>
        <w:t>.</w:t>
      </w:r>
      <w:r w:rsidR="71ED4860"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Postępujący proces starzenia się społeczeństwa ma niekorzystny wpływ na zasoby rynku pracy, dlatego niezbędne jest podjęcie działań sprzyjających akty</w:t>
      </w:r>
      <w:r w:rsidR="41812178" w:rsidRPr="00890249">
        <w:rPr>
          <w:rFonts w:asciiTheme="minorHAnsi" w:hAnsiTheme="minorHAnsi" w:cstheme="minorHAnsi"/>
          <w:sz w:val="22"/>
          <w:szCs w:val="22"/>
          <w:lang w:eastAsia="en-US" w:bidi="ar-SA"/>
        </w:rPr>
        <w:t>wności zawodowej mieszkańców, w </w:t>
      </w:r>
      <w:r w:rsidRPr="00890249">
        <w:rPr>
          <w:rFonts w:asciiTheme="minorHAnsi" w:hAnsiTheme="minorHAnsi" w:cstheme="minorHAnsi"/>
          <w:sz w:val="22"/>
          <w:szCs w:val="22"/>
          <w:lang w:eastAsia="en-US" w:bidi="ar-SA"/>
        </w:rPr>
        <w:t>tym również w</w:t>
      </w:r>
      <w:r w:rsidR="71ED4860"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obszarze ochrony zdrowia. Zwiększenie długości życia w zdrowiu wpłynie na wzrost liczby osób aktywnych na rynku pracy - im dłużej dana osoba żyje w dobrym zdrowiu, tym dłużej jest zdolna do pracy i może przyczynić się m.in. do zmniejszenia luki na rynku pracy. Dlatego też stały dostęp do skutecznej i taniej opieki zdrowotnej jest istotnym środkiem w zapobieganiu/opóźnianiu przedwczesnego opuszczania rynku pracy.</w:t>
      </w:r>
      <w:r w:rsidR="6DC41808" w:rsidRPr="00890249">
        <w:rPr>
          <w:rFonts w:asciiTheme="minorHAnsi" w:hAnsiTheme="minorHAnsi" w:cstheme="minorHAnsi"/>
          <w:sz w:val="22"/>
          <w:szCs w:val="22"/>
          <w:lang w:eastAsia="en-US" w:bidi="ar-SA"/>
        </w:rPr>
        <w:t xml:space="preserve"> </w:t>
      </w:r>
    </w:p>
    <w:p w14:paraId="6817732E" w14:textId="0C86A53E" w:rsidR="0093433C" w:rsidRPr="00890249" w:rsidRDefault="008374CE"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W oparciu o priorytety KE w </w:t>
      </w:r>
      <w:r w:rsidR="000158CA" w:rsidRPr="00890249">
        <w:rPr>
          <w:rFonts w:asciiTheme="minorHAnsi" w:hAnsiTheme="minorHAnsi" w:cstheme="minorHAnsi"/>
          <w:sz w:val="22"/>
          <w:szCs w:val="22"/>
        </w:rPr>
        <w:t>woj.</w:t>
      </w:r>
      <w:r w:rsidRPr="00890249">
        <w:rPr>
          <w:rFonts w:asciiTheme="minorHAnsi" w:hAnsiTheme="minorHAnsi" w:cstheme="minorHAnsi"/>
          <w:sz w:val="22"/>
          <w:szCs w:val="22"/>
        </w:rPr>
        <w:t xml:space="preserve"> opolskim stworzono </w:t>
      </w:r>
      <w:r w:rsidR="00E21EC0" w:rsidRPr="00890249">
        <w:rPr>
          <w:rFonts w:asciiTheme="minorHAnsi" w:hAnsiTheme="minorHAnsi" w:cstheme="minorHAnsi"/>
          <w:sz w:val="22"/>
          <w:szCs w:val="22"/>
        </w:rPr>
        <w:t xml:space="preserve">spójną </w:t>
      </w:r>
      <w:r w:rsidRPr="00890249">
        <w:rPr>
          <w:rFonts w:asciiTheme="minorHAnsi" w:hAnsiTheme="minorHAnsi" w:cstheme="minorHAnsi"/>
          <w:sz w:val="22"/>
          <w:szCs w:val="22"/>
        </w:rPr>
        <w:t>koncepcję wsparcia w całym obszarze zdrowia</w:t>
      </w:r>
      <w:r w:rsidR="00610DE4" w:rsidRPr="00890249">
        <w:rPr>
          <w:rFonts w:asciiTheme="minorHAnsi" w:hAnsiTheme="minorHAnsi" w:cstheme="minorHAnsi"/>
          <w:sz w:val="22"/>
          <w:szCs w:val="22"/>
        </w:rPr>
        <w:t>,</w:t>
      </w:r>
      <w:r w:rsidRPr="00890249">
        <w:rPr>
          <w:rFonts w:asciiTheme="minorHAnsi" w:hAnsiTheme="minorHAnsi" w:cstheme="minorHAnsi"/>
          <w:sz w:val="22"/>
          <w:szCs w:val="22"/>
        </w:rPr>
        <w:t xml:space="preserve"> mającą na celu poprawę </w:t>
      </w:r>
      <w:r w:rsidR="00DA6AE0" w:rsidRPr="00890249">
        <w:rPr>
          <w:rFonts w:asciiTheme="minorHAnsi" w:hAnsiTheme="minorHAnsi" w:cstheme="minorHAnsi"/>
          <w:sz w:val="22"/>
          <w:szCs w:val="22"/>
        </w:rPr>
        <w:t xml:space="preserve">jakości i </w:t>
      </w:r>
      <w:r w:rsidRPr="00890249">
        <w:rPr>
          <w:rFonts w:asciiTheme="minorHAnsi" w:hAnsiTheme="minorHAnsi" w:cstheme="minorHAnsi"/>
          <w:sz w:val="22"/>
          <w:szCs w:val="22"/>
        </w:rPr>
        <w:t>dostęp</w:t>
      </w:r>
      <w:r w:rsidR="00DA6AE0" w:rsidRPr="00890249">
        <w:rPr>
          <w:rFonts w:asciiTheme="minorHAnsi" w:hAnsiTheme="minorHAnsi" w:cstheme="minorHAnsi"/>
          <w:sz w:val="22"/>
          <w:szCs w:val="22"/>
        </w:rPr>
        <w:t>ności</w:t>
      </w:r>
      <w:r w:rsidRPr="00890249">
        <w:rPr>
          <w:rFonts w:asciiTheme="minorHAnsi" w:hAnsiTheme="minorHAnsi" w:cstheme="minorHAnsi"/>
          <w:sz w:val="22"/>
          <w:szCs w:val="22"/>
        </w:rPr>
        <w:t xml:space="preserve"> do usług zdrowotnych. Koncepcja ta powiązana jest </w:t>
      </w:r>
      <w:r w:rsidR="001B51EF" w:rsidRPr="00890249">
        <w:rPr>
          <w:rFonts w:asciiTheme="minorHAnsi" w:hAnsiTheme="minorHAnsi" w:cstheme="minorHAnsi"/>
          <w:sz w:val="22"/>
          <w:szCs w:val="22"/>
        </w:rPr>
        <w:t>także</w:t>
      </w:r>
      <w:r w:rsidRPr="00890249">
        <w:rPr>
          <w:rFonts w:asciiTheme="minorHAnsi" w:hAnsiTheme="minorHAnsi" w:cstheme="minorHAnsi"/>
          <w:sz w:val="22"/>
          <w:szCs w:val="22"/>
        </w:rPr>
        <w:t xml:space="preserve"> z celem szczegółowym </w:t>
      </w:r>
      <w:r w:rsidR="00DC3E89" w:rsidRPr="00890249">
        <w:rPr>
          <w:rFonts w:asciiTheme="minorHAnsi" w:hAnsiTheme="minorHAnsi" w:cstheme="minorHAnsi"/>
          <w:sz w:val="22"/>
          <w:szCs w:val="22"/>
        </w:rPr>
        <w:t>(</w:t>
      </w:r>
      <w:r w:rsidRPr="00890249">
        <w:rPr>
          <w:rFonts w:asciiTheme="minorHAnsi" w:hAnsiTheme="minorHAnsi" w:cstheme="minorHAnsi"/>
          <w:sz w:val="22"/>
          <w:szCs w:val="22"/>
        </w:rPr>
        <w:t xml:space="preserve">k) oraz </w:t>
      </w:r>
      <w:r w:rsidR="00DC3E89" w:rsidRPr="00890249">
        <w:rPr>
          <w:rFonts w:asciiTheme="minorHAnsi" w:hAnsiTheme="minorHAnsi" w:cstheme="minorHAnsi"/>
          <w:sz w:val="22"/>
          <w:szCs w:val="22"/>
        </w:rPr>
        <w:t>(</w:t>
      </w:r>
      <w:r w:rsidRPr="00890249">
        <w:rPr>
          <w:rFonts w:asciiTheme="minorHAnsi" w:hAnsiTheme="minorHAnsi" w:cstheme="minorHAnsi"/>
          <w:sz w:val="22"/>
          <w:szCs w:val="22"/>
        </w:rPr>
        <w:t xml:space="preserve">v). </w:t>
      </w:r>
    </w:p>
    <w:p w14:paraId="3A0E1EA6" w14:textId="3849CF50" w:rsidR="0093433C" w:rsidRPr="00890249" w:rsidRDefault="008374C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rPr>
        <w:t>Jednym z jej elementów jest skonsolidowana rehabilitacja medyczna osób</w:t>
      </w:r>
      <w:r w:rsidR="006F053C" w:rsidRPr="00890249">
        <w:rPr>
          <w:rFonts w:asciiTheme="minorHAnsi" w:hAnsiTheme="minorHAnsi" w:cstheme="minorHAnsi"/>
          <w:sz w:val="22"/>
          <w:szCs w:val="22"/>
        </w:rPr>
        <w:t xml:space="preserve"> </w:t>
      </w:r>
      <w:r w:rsidR="00EE19EB" w:rsidRPr="00890249">
        <w:rPr>
          <w:rFonts w:asciiTheme="minorHAnsi" w:hAnsiTheme="minorHAnsi" w:cstheme="minorHAnsi"/>
          <w:sz w:val="22"/>
          <w:szCs w:val="22"/>
          <w:lang w:eastAsia="en-US" w:bidi="ar-SA"/>
        </w:rPr>
        <w:t>wymagając</w:t>
      </w:r>
      <w:r w:rsidR="006F053C" w:rsidRPr="00890249">
        <w:rPr>
          <w:rFonts w:asciiTheme="minorHAnsi" w:hAnsiTheme="minorHAnsi" w:cstheme="minorHAnsi"/>
          <w:sz w:val="22"/>
          <w:szCs w:val="22"/>
          <w:lang w:eastAsia="en-US" w:bidi="ar-SA"/>
        </w:rPr>
        <w:t>ych</w:t>
      </w:r>
      <w:r w:rsidR="00EE19EB" w:rsidRPr="00890249">
        <w:rPr>
          <w:rFonts w:asciiTheme="minorHAnsi" w:hAnsiTheme="minorHAnsi" w:cstheme="minorHAnsi"/>
          <w:sz w:val="22"/>
          <w:szCs w:val="22"/>
          <w:lang w:eastAsia="en-US" w:bidi="ar-SA"/>
        </w:rPr>
        <w:t xml:space="preserve"> wzmożonej rekonwalescencji po przebyciu ciężkich chorób</w:t>
      </w:r>
      <w:r w:rsidR="000E491F" w:rsidRPr="00890249">
        <w:rPr>
          <w:rFonts w:asciiTheme="minorHAnsi" w:hAnsiTheme="minorHAnsi" w:cstheme="minorHAnsi"/>
          <w:sz w:val="22"/>
          <w:szCs w:val="22"/>
          <w:lang w:eastAsia="en-US" w:bidi="ar-SA"/>
        </w:rPr>
        <w:t>,</w:t>
      </w:r>
      <w:r w:rsidR="00AE019B" w:rsidRPr="00890249">
        <w:rPr>
          <w:rFonts w:asciiTheme="minorHAnsi" w:hAnsiTheme="minorHAnsi" w:cstheme="minorHAnsi"/>
          <w:sz w:val="22"/>
          <w:szCs w:val="22"/>
          <w:lang w:eastAsia="en-US" w:bidi="ar-SA"/>
        </w:rPr>
        <w:t xml:space="preserve"> </w:t>
      </w:r>
      <w:r w:rsidR="00637745">
        <w:rPr>
          <w:rFonts w:asciiTheme="minorHAnsi" w:hAnsiTheme="minorHAnsi" w:cstheme="minorHAnsi"/>
          <w:sz w:val="22"/>
          <w:szCs w:val="22"/>
          <w:lang w:eastAsia="en-US" w:bidi="ar-SA"/>
        </w:rPr>
        <w:t xml:space="preserve">w sytuacji schorzeń, </w:t>
      </w:r>
      <w:r w:rsidR="00EE19EB" w:rsidRPr="00890249">
        <w:rPr>
          <w:rFonts w:asciiTheme="minorHAnsi" w:hAnsiTheme="minorHAnsi" w:cstheme="minorHAnsi"/>
          <w:sz w:val="22"/>
          <w:szCs w:val="22"/>
          <w:lang w:eastAsia="en-US" w:bidi="ar-SA"/>
        </w:rPr>
        <w:t xml:space="preserve">które na dłuższy czas wykluczyły je z aktywności zawodowej. </w:t>
      </w:r>
      <w:r w:rsidR="00637745" w:rsidRPr="00637745">
        <w:rPr>
          <w:rFonts w:asciiTheme="minorHAnsi" w:hAnsiTheme="minorHAnsi" w:cstheme="minorHAnsi"/>
          <w:sz w:val="22"/>
          <w:szCs w:val="22"/>
          <w:lang w:eastAsia="en-US" w:bidi="ar-SA"/>
        </w:rPr>
        <w:t>Z uwagi na ograniczony dostęp do świadczeń rehabilitacyjnych, w tym zwłaszcza długi okres oczekiwania na tego typu usługi, szansa na powrót do zdrowia i sprawności jest coraz mniejsza. Istotna staje się m.in. rehabilitacja osób po przebyciu COVID-19 i innych chorób. Nadmierne przeciążanie pleców, długotrwałe siedzenie przed komputerem czy też inne czynniki związane z miejscem pracy prowadzą do różnego rodzaju schorzeń kręgosłupa, przez co niezbędna staje się również rehabilitacja pleców</w:t>
      </w:r>
      <w:r w:rsidR="00637745">
        <w:rPr>
          <w:rFonts w:asciiTheme="minorHAnsi" w:hAnsiTheme="minorHAnsi" w:cstheme="minorHAnsi"/>
          <w:sz w:val="22"/>
          <w:szCs w:val="22"/>
          <w:lang w:eastAsia="en-US" w:bidi="ar-SA"/>
        </w:rPr>
        <w:t xml:space="preserve">. </w:t>
      </w:r>
      <w:r w:rsidR="00F47334" w:rsidRPr="00890249">
        <w:rPr>
          <w:rFonts w:asciiTheme="minorHAnsi" w:hAnsiTheme="minorHAnsi" w:cstheme="minorHAnsi"/>
          <w:sz w:val="22"/>
          <w:szCs w:val="22"/>
        </w:rPr>
        <w:t>Jednocześnie z </w:t>
      </w:r>
      <w:r w:rsidR="00AE019B" w:rsidRPr="00890249">
        <w:rPr>
          <w:rFonts w:asciiTheme="minorHAnsi" w:hAnsiTheme="minorHAnsi" w:cstheme="minorHAnsi"/>
          <w:sz w:val="22"/>
          <w:szCs w:val="22"/>
        </w:rPr>
        <w:t xml:space="preserve">uwagi na ograniczony dostęp do świadczeń rehabilitacyjnych, w tym zwłaszcza długi okres oczekiwania na tego typu usługi, osoby po przebyciu ciężkich chorób mają coraz mniejszą szansę na powrót do zdrowia i sprawności. W kontekście pandemii COVID-19 istotna staje się </w:t>
      </w:r>
      <w:r w:rsidR="001B51EF" w:rsidRPr="00890249">
        <w:rPr>
          <w:rFonts w:asciiTheme="minorHAnsi" w:hAnsiTheme="minorHAnsi" w:cstheme="minorHAnsi"/>
          <w:sz w:val="22"/>
          <w:szCs w:val="22"/>
        </w:rPr>
        <w:t xml:space="preserve">także </w:t>
      </w:r>
      <w:r w:rsidR="00AE019B" w:rsidRPr="00890249">
        <w:rPr>
          <w:rFonts w:asciiTheme="minorHAnsi" w:hAnsiTheme="minorHAnsi" w:cstheme="minorHAnsi"/>
          <w:sz w:val="22"/>
          <w:szCs w:val="22"/>
        </w:rPr>
        <w:t>rehab</w:t>
      </w:r>
      <w:r w:rsidR="000E491F" w:rsidRPr="00890249">
        <w:rPr>
          <w:rFonts w:asciiTheme="minorHAnsi" w:hAnsiTheme="minorHAnsi" w:cstheme="minorHAnsi"/>
          <w:sz w:val="22"/>
          <w:szCs w:val="22"/>
        </w:rPr>
        <w:t>ilitacja osób, które przebyły tę</w:t>
      </w:r>
      <w:r w:rsidR="00AE019B" w:rsidRPr="00890249">
        <w:rPr>
          <w:rFonts w:asciiTheme="minorHAnsi" w:hAnsiTheme="minorHAnsi" w:cstheme="minorHAnsi"/>
          <w:sz w:val="22"/>
          <w:szCs w:val="22"/>
        </w:rPr>
        <w:t xml:space="preserve"> chorobę i </w:t>
      </w:r>
      <w:r w:rsidR="001B51EF" w:rsidRPr="00890249">
        <w:rPr>
          <w:rFonts w:asciiTheme="minorHAnsi" w:hAnsiTheme="minorHAnsi" w:cstheme="minorHAnsi"/>
          <w:sz w:val="22"/>
          <w:szCs w:val="22"/>
        </w:rPr>
        <w:t>cierpią</w:t>
      </w:r>
      <w:r w:rsidR="0061211F" w:rsidRPr="00890249">
        <w:rPr>
          <w:rFonts w:asciiTheme="minorHAnsi" w:hAnsiTheme="minorHAnsi" w:cstheme="minorHAnsi"/>
          <w:sz w:val="22"/>
          <w:szCs w:val="22"/>
        </w:rPr>
        <w:t xml:space="preserve"> na zaburzenia oddychania oraz problemy neurologiczne</w:t>
      </w:r>
      <w:r w:rsidR="00E842F9" w:rsidRPr="00890249">
        <w:rPr>
          <w:rFonts w:asciiTheme="minorHAnsi" w:hAnsiTheme="minorHAnsi" w:cstheme="minorHAnsi"/>
          <w:sz w:val="22"/>
          <w:szCs w:val="22"/>
        </w:rPr>
        <w:t>.</w:t>
      </w:r>
      <w:r w:rsidR="0061211F" w:rsidRPr="00890249">
        <w:rPr>
          <w:rFonts w:asciiTheme="minorHAnsi" w:hAnsiTheme="minorHAnsi" w:cstheme="minorHAnsi"/>
          <w:sz w:val="22"/>
          <w:szCs w:val="22"/>
        </w:rPr>
        <w:t xml:space="preserve"> Dostęp do tego typu świadczeń jest bardzo ograniczony, a podmioty je realizujące nie są w stanie wypełnić pogłębiającej się luki w tym zakresie.</w:t>
      </w:r>
      <w:r w:rsidR="00EE19EB" w:rsidRPr="00890249">
        <w:rPr>
          <w:rFonts w:asciiTheme="minorHAnsi" w:hAnsiTheme="minorHAnsi" w:cstheme="minorHAnsi"/>
          <w:sz w:val="22"/>
          <w:szCs w:val="22"/>
          <w:lang w:eastAsia="en-US" w:bidi="ar-SA"/>
        </w:rPr>
        <w:t xml:space="preserve"> </w:t>
      </w:r>
    </w:p>
    <w:p w14:paraId="74E939BF" w14:textId="77777777" w:rsidR="0093433C" w:rsidRPr="00890249" w:rsidRDefault="001B51EF"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E</w:t>
      </w:r>
      <w:r w:rsidR="008374CE" w:rsidRPr="00890249">
        <w:rPr>
          <w:rFonts w:asciiTheme="minorHAnsi" w:hAnsiTheme="minorHAnsi" w:cstheme="minorHAnsi"/>
          <w:sz w:val="22"/>
          <w:szCs w:val="22"/>
          <w:lang w:eastAsia="en-US" w:bidi="ar-SA"/>
        </w:rPr>
        <w:t>fektem wsparcia będzie utrzymanie pracowników w jak najlepszej</w:t>
      </w:r>
      <w:r w:rsidR="0061211F" w:rsidRPr="00890249">
        <w:rPr>
          <w:rFonts w:asciiTheme="minorHAnsi" w:hAnsiTheme="minorHAnsi" w:cstheme="minorHAnsi"/>
          <w:sz w:val="22"/>
          <w:szCs w:val="22"/>
          <w:lang w:eastAsia="en-US" w:bidi="ar-SA"/>
        </w:rPr>
        <w:t xml:space="preserve"> kondycji psychofizycznej na rynku pracy, przy jednoczesnym ułatwieniu </w:t>
      </w:r>
      <w:r w:rsidR="005E7A03" w:rsidRPr="00890249">
        <w:rPr>
          <w:rFonts w:asciiTheme="minorHAnsi" w:hAnsiTheme="minorHAnsi" w:cstheme="minorHAnsi"/>
          <w:sz w:val="22"/>
          <w:szCs w:val="22"/>
          <w:lang w:eastAsia="en-US" w:bidi="ar-SA"/>
        </w:rPr>
        <w:t>zatrudnienia</w:t>
      </w:r>
      <w:r w:rsidR="0061211F" w:rsidRPr="00890249">
        <w:rPr>
          <w:rFonts w:asciiTheme="minorHAnsi" w:hAnsiTheme="minorHAnsi" w:cstheme="minorHAnsi"/>
          <w:sz w:val="22"/>
          <w:szCs w:val="22"/>
          <w:lang w:eastAsia="en-US" w:bidi="ar-SA"/>
        </w:rPr>
        <w:t xml:space="preserve"> osobom </w:t>
      </w:r>
      <w:r w:rsidR="00D56DD7" w:rsidRPr="00890249">
        <w:rPr>
          <w:rFonts w:asciiTheme="minorHAnsi" w:hAnsiTheme="minorHAnsi" w:cstheme="minorHAnsi"/>
          <w:sz w:val="22"/>
          <w:szCs w:val="22"/>
          <w:lang w:eastAsia="en-US" w:bidi="ar-SA"/>
        </w:rPr>
        <w:t>bezrobotnym</w:t>
      </w:r>
      <w:r w:rsidR="0061211F" w:rsidRPr="00890249">
        <w:rPr>
          <w:rFonts w:asciiTheme="minorHAnsi" w:hAnsiTheme="minorHAnsi" w:cstheme="minorHAnsi"/>
          <w:sz w:val="22"/>
          <w:szCs w:val="22"/>
          <w:lang w:eastAsia="en-US" w:bidi="ar-SA"/>
        </w:rPr>
        <w:t>.</w:t>
      </w:r>
    </w:p>
    <w:p w14:paraId="208C98B8" w14:textId="071E6EC0" w:rsidR="0093433C" w:rsidRPr="00890249" w:rsidRDefault="22D4A14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Rosnąca liczba osób pracujących w sektorze przemysłu i usług oraz rosnąca liczba nowopowstających miejsc pracy wskazuje, że w przedsiębiorstwach występować będzie </w:t>
      </w:r>
      <w:r w:rsidR="26B95310" w:rsidRPr="00890249">
        <w:rPr>
          <w:rFonts w:asciiTheme="minorHAnsi" w:hAnsiTheme="minorHAnsi" w:cstheme="minorHAnsi"/>
          <w:sz w:val="22"/>
          <w:szCs w:val="22"/>
          <w:lang w:eastAsia="en-US" w:bidi="ar-SA"/>
        </w:rPr>
        <w:t xml:space="preserve">popyt </w:t>
      </w:r>
      <w:r w:rsidRPr="00890249">
        <w:rPr>
          <w:rFonts w:asciiTheme="minorHAnsi" w:hAnsiTheme="minorHAnsi" w:cstheme="minorHAnsi"/>
          <w:sz w:val="22"/>
          <w:szCs w:val="22"/>
          <w:lang w:eastAsia="en-US" w:bidi="ar-SA"/>
        </w:rPr>
        <w:t>na podnoszenie kwalifikacji</w:t>
      </w:r>
      <w:r w:rsidR="0D3BDFD3" w:rsidRPr="00890249">
        <w:rPr>
          <w:rFonts w:asciiTheme="minorHAnsi" w:hAnsiTheme="minorHAnsi" w:cstheme="minorHAnsi"/>
          <w:sz w:val="22"/>
          <w:szCs w:val="22"/>
          <w:lang w:eastAsia="en-US" w:bidi="ar-SA"/>
        </w:rPr>
        <w:t xml:space="preserve"> i kompetencji</w:t>
      </w:r>
      <w:r w:rsidRPr="00890249">
        <w:rPr>
          <w:rFonts w:asciiTheme="minorHAnsi" w:hAnsiTheme="minorHAnsi" w:cstheme="minorHAnsi"/>
          <w:sz w:val="22"/>
          <w:szCs w:val="22"/>
          <w:lang w:eastAsia="en-US" w:bidi="ar-SA"/>
        </w:rPr>
        <w:t xml:space="preserve"> pracowników. </w:t>
      </w:r>
      <w:r w:rsidR="5DC8790B" w:rsidRPr="00890249">
        <w:rPr>
          <w:rFonts w:asciiTheme="minorHAnsi" w:hAnsiTheme="minorHAnsi" w:cstheme="minorHAnsi"/>
          <w:sz w:val="22"/>
          <w:szCs w:val="22"/>
          <w:lang w:eastAsia="en-US" w:bidi="ar-SA"/>
        </w:rPr>
        <w:t xml:space="preserve">Działania </w:t>
      </w:r>
      <w:r w:rsidRPr="00890249">
        <w:rPr>
          <w:rFonts w:asciiTheme="minorHAnsi" w:hAnsiTheme="minorHAnsi" w:cstheme="minorHAnsi"/>
          <w:sz w:val="22"/>
          <w:szCs w:val="22"/>
          <w:lang w:eastAsia="en-US" w:bidi="ar-SA"/>
        </w:rPr>
        <w:t>ukierunkowane będ</w:t>
      </w:r>
      <w:r w:rsidR="5DC8790B"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na </w:t>
      </w:r>
      <w:r w:rsidR="5DC8790B" w:rsidRPr="00890249">
        <w:rPr>
          <w:rFonts w:asciiTheme="minorHAnsi" w:hAnsiTheme="minorHAnsi" w:cstheme="minorHAnsi"/>
          <w:sz w:val="22"/>
          <w:szCs w:val="22"/>
          <w:lang w:eastAsia="en-US" w:bidi="ar-SA"/>
        </w:rPr>
        <w:t xml:space="preserve">potrzeby pracodawców </w:t>
      </w:r>
      <w:r w:rsidR="00E53D32">
        <w:rPr>
          <w:rFonts w:asciiTheme="minorHAnsi" w:hAnsiTheme="minorHAnsi" w:cstheme="minorHAnsi"/>
          <w:sz w:val="22"/>
          <w:szCs w:val="22"/>
          <w:lang w:eastAsia="en-US" w:bidi="ar-SA"/>
        </w:rPr>
        <w:t>i </w:t>
      </w:r>
      <w:r w:rsidRPr="00890249">
        <w:rPr>
          <w:rFonts w:asciiTheme="minorHAnsi" w:hAnsiTheme="minorHAnsi" w:cstheme="minorHAnsi"/>
          <w:sz w:val="22"/>
          <w:szCs w:val="22"/>
          <w:lang w:eastAsia="en-US" w:bidi="ar-SA"/>
        </w:rPr>
        <w:t>obejm</w:t>
      </w:r>
      <w:r w:rsidR="5DC8790B"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t>
      </w:r>
      <w:r w:rsidR="0D3BDFD3" w:rsidRPr="00890249">
        <w:rPr>
          <w:rFonts w:asciiTheme="minorHAnsi" w:hAnsiTheme="minorHAnsi" w:cstheme="minorHAnsi"/>
          <w:sz w:val="22"/>
          <w:szCs w:val="22"/>
          <w:lang w:eastAsia="en-US" w:bidi="ar-SA"/>
        </w:rPr>
        <w:t xml:space="preserve">kompleksowe usługi rozwojowe. </w:t>
      </w:r>
      <w:r w:rsidR="7BB3038C" w:rsidRPr="00890249">
        <w:rPr>
          <w:rFonts w:asciiTheme="minorHAnsi" w:hAnsiTheme="minorHAnsi" w:cstheme="minorHAnsi"/>
          <w:sz w:val="22"/>
          <w:szCs w:val="22"/>
          <w:lang w:eastAsia="en-US" w:bidi="ar-SA"/>
        </w:rPr>
        <w:t>Wsparcie udzielane będzie z wykorzystaniem popytowego systemu</w:t>
      </w:r>
      <w:r w:rsidR="3D71C946" w:rsidRPr="00890249">
        <w:rPr>
          <w:rFonts w:asciiTheme="minorHAnsi" w:hAnsiTheme="minorHAnsi" w:cstheme="minorHAnsi"/>
          <w:sz w:val="22"/>
          <w:szCs w:val="22"/>
          <w:lang w:eastAsia="en-US" w:bidi="ar-SA"/>
        </w:rPr>
        <w:t xml:space="preserve"> finansowania</w:t>
      </w:r>
      <w:r w:rsidR="7BB3038C" w:rsidRPr="00890249">
        <w:rPr>
          <w:rFonts w:asciiTheme="minorHAnsi" w:hAnsiTheme="minorHAnsi" w:cstheme="minorHAnsi"/>
          <w:sz w:val="22"/>
          <w:szCs w:val="22"/>
          <w:lang w:eastAsia="en-US" w:bidi="ar-SA"/>
        </w:rPr>
        <w:t xml:space="preserve">. </w:t>
      </w:r>
      <w:r w:rsidR="41812178" w:rsidRPr="00890249">
        <w:rPr>
          <w:rFonts w:asciiTheme="minorHAnsi" w:hAnsiTheme="minorHAnsi" w:cstheme="minorHAnsi"/>
          <w:sz w:val="22"/>
          <w:szCs w:val="22"/>
          <w:lang w:eastAsia="en-US" w:bidi="ar-SA"/>
        </w:rPr>
        <w:t>Interwencja w </w:t>
      </w:r>
      <w:r w:rsidRPr="00890249">
        <w:rPr>
          <w:rFonts w:asciiTheme="minorHAnsi" w:hAnsiTheme="minorHAnsi" w:cstheme="minorHAnsi"/>
          <w:sz w:val="22"/>
          <w:szCs w:val="22"/>
          <w:lang w:eastAsia="en-US" w:bidi="ar-SA"/>
        </w:rPr>
        <w:t>zakresie usług rozwojowych zostanie skoncentrowana przede wszystkim na int</w:t>
      </w:r>
      <w:r w:rsidR="004E4D13">
        <w:rPr>
          <w:rFonts w:asciiTheme="minorHAnsi" w:hAnsiTheme="minorHAnsi" w:cstheme="minorHAnsi"/>
          <w:sz w:val="22"/>
          <w:szCs w:val="22"/>
          <w:lang w:eastAsia="en-US" w:bidi="ar-SA"/>
        </w:rPr>
        <w:t xml:space="preserve">eligentnych specjalizacjach, </w:t>
      </w:r>
      <w:r w:rsidRPr="00890249">
        <w:rPr>
          <w:rFonts w:asciiTheme="minorHAnsi" w:hAnsiTheme="minorHAnsi" w:cstheme="minorHAnsi"/>
          <w:sz w:val="22"/>
          <w:szCs w:val="22"/>
          <w:lang w:eastAsia="en-US" w:bidi="ar-SA"/>
        </w:rPr>
        <w:t>branżach zidentyfikowanych jako kluczowe</w:t>
      </w:r>
      <w:r w:rsidR="004E4D13">
        <w:rPr>
          <w:rFonts w:asciiTheme="minorHAnsi" w:hAnsiTheme="minorHAnsi" w:cstheme="minorHAnsi"/>
          <w:sz w:val="22"/>
          <w:szCs w:val="22"/>
          <w:lang w:eastAsia="en-US" w:bidi="ar-SA"/>
        </w:rPr>
        <w:t xml:space="preserve"> dla rozwoju regionu </w:t>
      </w:r>
      <w:r w:rsidR="41812178" w:rsidRPr="00890249">
        <w:rPr>
          <w:rFonts w:asciiTheme="minorHAnsi" w:hAnsiTheme="minorHAnsi" w:cstheme="minorHAnsi"/>
          <w:sz w:val="22"/>
          <w:szCs w:val="22"/>
          <w:lang w:eastAsia="en-US" w:bidi="ar-SA"/>
        </w:rPr>
        <w:t>w </w:t>
      </w:r>
      <w:r w:rsidRPr="00890249">
        <w:rPr>
          <w:rFonts w:asciiTheme="minorHAnsi" w:hAnsiTheme="minorHAnsi" w:cstheme="minorHAnsi"/>
          <w:sz w:val="22"/>
          <w:szCs w:val="22"/>
          <w:lang w:eastAsia="en-US" w:bidi="ar-SA"/>
        </w:rPr>
        <w:t>obszarze zawodów deficytowych</w:t>
      </w:r>
      <w:r w:rsidR="00EE19EB" w:rsidRPr="00890249">
        <w:rPr>
          <w:rFonts w:asciiTheme="minorHAnsi" w:hAnsiTheme="minorHAnsi" w:cstheme="minorHAnsi"/>
          <w:sz w:val="22"/>
          <w:szCs w:val="22"/>
          <w:vertAlign w:val="superscript"/>
          <w:lang w:eastAsia="en-US" w:bidi="ar-SA"/>
        </w:rPr>
        <w:footnoteReference w:id="167"/>
      </w:r>
      <w:r w:rsidR="004E4D13">
        <w:rPr>
          <w:rFonts w:asciiTheme="minorHAnsi" w:hAnsiTheme="minorHAnsi" w:cstheme="minorHAnsi"/>
          <w:sz w:val="22"/>
          <w:szCs w:val="22"/>
          <w:lang w:eastAsia="en-US" w:bidi="ar-SA"/>
        </w:rPr>
        <w:t xml:space="preserve"> oraz na kompetencjach ekologicznych i cyfrowych</w:t>
      </w:r>
      <w:r w:rsidRPr="00890249">
        <w:rPr>
          <w:rFonts w:asciiTheme="minorHAnsi" w:hAnsiTheme="minorHAnsi" w:cstheme="minorHAnsi"/>
          <w:sz w:val="22"/>
          <w:szCs w:val="22"/>
          <w:lang w:eastAsia="en-US" w:bidi="ar-SA"/>
        </w:rPr>
        <w:t>.</w:t>
      </w:r>
    </w:p>
    <w:p w14:paraId="3C81B73C" w14:textId="54E235B1" w:rsidR="0093433C" w:rsidRPr="00890249" w:rsidRDefault="004D352C"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Narastające negatywne </w:t>
      </w:r>
      <w:r w:rsidR="000158CA" w:rsidRPr="00890249">
        <w:rPr>
          <w:rFonts w:asciiTheme="minorHAnsi" w:hAnsiTheme="minorHAnsi" w:cstheme="minorHAnsi"/>
          <w:sz w:val="22"/>
          <w:szCs w:val="22"/>
        </w:rPr>
        <w:t>zjawiska społeczno-ekonomiczne</w:t>
      </w:r>
      <w:r w:rsidR="00C8057B" w:rsidRPr="00890249">
        <w:rPr>
          <w:rFonts w:asciiTheme="minorHAnsi" w:hAnsiTheme="minorHAnsi" w:cstheme="minorHAnsi"/>
          <w:sz w:val="22"/>
          <w:szCs w:val="22"/>
        </w:rPr>
        <w:t xml:space="preserve"> </w:t>
      </w:r>
      <w:r w:rsidRPr="00890249">
        <w:rPr>
          <w:rFonts w:asciiTheme="minorHAnsi" w:hAnsiTheme="minorHAnsi" w:cstheme="minorHAnsi"/>
          <w:sz w:val="22"/>
          <w:szCs w:val="22"/>
        </w:rPr>
        <w:t>mogą potencjalnie zachwiać sytuacją na rynku pracy</w:t>
      </w:r>
      <w:r w:rsidR="00C8057B" w:rsidRPr="00890249">
        <w:rPr>
          <w:rFonts w:asciiTheme="minorHAnsi" w:hAnsiTheme="minorHAnsi" w:cstheme="minorHAnsi"/>
          <w:sz w:val="22"/>
          <w:szCs w:val="22"/>
        </w:rPr>
        <w:t>, powodują</w:t>
      </w:r>
      <w:r w:rsidR="000158CA" w:rsidRPr="00890249">
        <w:rPr>
          <w:rFonts w:asciiTheme="minorHAnsi" w:hAnsiTheme="minorHAnsi" w:cstheme="minorHAnsi"/>
          <w:sz w:val="22"/>
          <w:szCs w:val="22"/>
        </w:rPr>
        <w:t>c</w:t>
      </w:r>
      <w:r w:rsidR="00C8057B" w:rsidRPr="00890249">
        <w:rPr>
          <w:rFonts w:asciiTheme="minorHAnsi" w:hAnsiTheme="minorHAnsi" w:cstheme="minorHAnsi"/>
          <w:sz w:val="22"/>
          <w:szCs w:val="22"/>
        </w:rPr>
        <w:t xml:space="preserve"> konieczność</w:t>
      </w:r>
      <w:r w:rsidR="009C0C14" w:rsidRPr="00890249">
        <w:rPr>
          <w:rFonts w:asciiTheme="minorHAnsi" w:hAnsiTheme="minorHAnsi" w:cstheme="minorHAnsi"/>
          <w:sz w:val="22"/>
          <w:szCs w:val="22"/>
        </w:rPr>
        <w:t xml:space="preserve"> </w:t>
      </w:r>
      <w:r w:rsidR="000E491F" w:rsidRPr="00890249">
        <w:rPr>
          <w:rFonts w:asciiTheme="minorHAnsi" w:hAnsiTheme="minorHAnsi" w:cstheme="minorHAnsi"/>
          <w:sz w:val="22"/>
          <w:szCs w:val="22"/>
        </w:rPr>
        <w:t>n</w:t>
      </w:r>
      <w:r w:rsidR="00C8057B" w:rsidRPr="00890249">
        <w:rPr>
          <w:rFonts w:asciiTheme="minorHAnsi" w:hAnsiTheme="minorHAnsi" w:cstheme="minorHAnsi"/>
          <w:sz w:val="22"/>
          <w:szCs w:val="22"/>
        </w:rPr>
        <w:t xml:space="preserve">atychmiastowej odpowiedzi w postaci </w:t>
      </w:r>
      <w:r w:rsidR="009C0C14" w:rsidRPr="00890249">
        <w:rPr>
          <w:rFonts w:asciiTheme="minorHAnsi" w:hAnsiTheme="minorHAnsi" w:cstheme="minorHAnsi"/>
          <w:sz w:val="22"/>
          <w:szCs w:val="22"/>
        </w:rPr>
        <w:t>programów outplacementowych</w:t>
      </w:r>
      <w:r w:rsidR="00B314B0" w:rsidRPr="00890249">
        <w:rPr>
          <w:rFonts w:asciiTheme="minorHAnsi" w:hAnsiTheme="minorHAnsi" w:cstheme="minorHAnsi"/>
          <w:sz w:val="22"/>
          <w:szCs w:val="22"/>
        </w:rPr>
        <w:t>.</w:t>
      </w:r>
      <w:r w:rsidR="00F11D6A" w:rsidRPr="00890249">
        <w:rPr>
          <w:rFonts w:asciiTheme="minorHAnsi" w:hAnsiTheme="minorHAnsi" w:cstheme="minorHAnsi"/>
          <w:sz w:val="22"/>
          <w:szCs w:val="22"/>
        </w:rPr>
        <w:t xml:space="preserve"> </w:t>
      </w:r>
      <w:r w:rsidR="00967287" w:rsidRPr="00890249">
        <w:rPr>
          <w:rFonts w:asciiTheme="minorHAnsi" w:hAnsiTheme="minorHAnsi" w:cstheme="minorHAnsi"/>
          <w:sz w:val="22"/>
          <w:szCs w:val="22"/>
        </w:rPr>
        <w:t xml:space="preserve">Obejmować one będą wszelkie usługi i instrumenty rynku pracy, w tym m.in. doradztwo zawodowe, szkolenia, staże, dodatek relokacyjny, bezzwrotne wsparcie finansowe na </w:t>
      </w:r>
      <w:r w:rsidR="00967287" w:rsidRPr="00890249">
        <w:rPr>
          <w:rFonts w:asciiTheme="minorHAnsi" w:hAnsiTheme="minorHAnsi" w:cstheme="minorHAnsi"/>
          <w:sz w:val="22"/>
          <w:szCs w:val="22"/>
        </w:rPr>
        <w:lastRenderedPageBreak/>
        <w:t xml:space="preserve">rozpoczęcie działalności gospodarczej itp. </w:t>
      </w:r>
      <w:r w:rsidR="009C0C14" w:rsidRPr="00890249">
        <w:rPr>
          <w:rFonts w:asciiTheme="minorHAnsi" w:hAnsiTheme="minorHAnsi" w:cstheme="minorHAnsi"/>
          <w:sz w:val="22"/>
          <w:szCs w:val="22"/>
        </w:rPr>
        <w:t xml:space="preserve">Wsparcie </w:t>
      </w:r>
      <w:r w:rsidR="006673E5" w:rsidRPr="00890249">
        <w:rPr>
          <w:rFonts w:asciiTheme="minorHAnsi" w:hAnsiTheme="minorHAnsi" w:cstheme="minorHAnsi"/>
          <w:sz w:val="22"/>
          <w:szCs w:val="22"/>
        </w:rPr>
        <w:t>to będzie miało</w:t>
      </w:r>
      <w:r w:rsidR="009C0C14" w:rsidRPr="00890249">
        <w:rPr>
          <w:rFonts w:asciiTheme="minorHAnsi" w:hAnsiTheme="minorHAnsi" w:cstheme="minorHAnsi"/>
          <w:sz w:val="22"/>
          <w:szCs w:val="22"/>
        </w:rPr>
        <w:t xml:space="preserve"> na celu złagodzenie niepożądanych procesów na rynku pracy</w:t>
      </w:r>
      <w:r w:rsidR="00F11D6A" w:rsidRPr="00890249">
        <w:rPr>
          <w:rFonts w:asciiTheme="minorHAnsi" w:hAnsiTheme="minorHAnsi" w:cstheme="minorHAnsi"/>
          <w:sz w:val="22"/>
          <w:szCs w:val="22"/>
        </w:rPr>
        <w:t xml:space="preserve">, </w:t>
      </w:r>
      <w:r w:rsidR="009C0C14" w:rsidRPr="00890249">
        <w:rPr>
          <w:rFonts w:asciiTheme="minorHAnsi" w:hAnsiTheme="minorHAnsi" w:cstheme="minorHAnsi"/>
          <w:sz w:val="22"/>
          <w:szCs w:val="22"/>
        </w:rPr>
        <w:t>powstrzymanie wzrostu bezrobocia</w:t>
      </w:r>
      <w:r w:rsidR="00F11D6A" w:rsidRPr="00890249">
        <w:rPr>
          <w:rFonts w:asciiTheme="minorHAnsi" w:hAnsiTheme="minorHAnsi" w:cstheme="minorHAnsi"/>
          <w:sz w:val="22"/>
          <w:szCs w:val="22"/>
        </w:rPr>
        <w:t xml:space="preserve">, </w:t>
      </w:r>
      <w:r w:rsidR="009C0C14" w:rsidRPr="00890249">
        <w:rPr>
          <w:rFonts w:asciiTheme="minorHAnsi" w:hAnsiTheme="minorHAnsi" w:cstheme="minorHAnsi"/>
          <w:sz w:val="22"/>
          <w:szCs w:val="22"/>
        </w:rPr>
        <w:t>dostosowanie kwalifikacji</w:t>
      </w:r>
      <w:r w:rsidR="00F11D6A" w:rsidRPr="00890249">
        <w:rPr>
          <w:rFonts w:asciiTheme="minorHAnsi" w:hAnsiTheme="minorHAnsi" w:cstheme="minorHAnsi"/>
          <w:sz w:val="22"/>
          <w:szCs w:val="22"/>
        </w:rPr>
        <w:t xml:space="preserve"> pracownika</w:t>
      </w:r>
      <w:r w:rsidR="009C0C14" w:rsidRPr="00890249">
        <w:rPr>
          <w:rFonts w:asciiTheme="minorHAnsi" w:hAnsiTheme="minorHAnsi" w:cstheme="minorHAnsi"/>
          <w:sz w:val="22"/>
          <w:szCs w:val="22"/>
        </w:rPr>
        <w:t xml:space="preserve"> do aktualnych wymogów rynku, a także pozyskanie </w:t>
      </w:r>
      <w:r w:rsidR="00F11D6A" w:rsidRPr="00890249">
        <w:rPr>
          <w:rFonts w:asciiTheme="minorHAnsi" w:hAnsiTheme="minorHAnsi" w:cstheme="minorHAnsi"/>
          <w:sz w:val="22"/>
          <w:szCs w:val="22"/>
        </w:rPr>
        <w:t xml:space="preserve">przez niego </w:t>
      </w:r>
      <w:r w:rsidR="009C0C14" w:rsidRPr="00890249">
        <w:rPr>
          <w:rFonts w:asciiTheme="minorHAnsi" w:hAnsiTheme="minorHAnsi" w:cstheme="minorHAnsi"/>
          <w:sz w:val="22"/>
          <w:szCs w:val="22"/>
        </w:rPr>
        <w:t>now</w:t>
      </w:r>
      <w:r w:rsidR="0061158F" w:rsidRPr="00890249">
        <w:rPr>
          <w:rFonts w:asciiTheme="minorHAnsi" w:hAnsiTheme="minorHAnsi" w:cstheme="minorHAnsi"/>
          <w:sz w:val="22"/>
          <w:szCs w:val="22"/>
        </w:rPr>
        <w:t>ych</w:t>
      </w:r>
      <w:r w:rsidR="009C0C14" w:rsidRPr="00890249">
        <w:rPr>
          <w:rFonts w:asciiTheme="minorHAnsi" w:hAnsiTheme="minorHAnsi" w:cstheme="minorHAnsi"/>
          <w:sz w:val="22"/>
          <w:szCs w:val="22"/>
        </w:rPr>
        <w:t xml:space="preserve"> umiejętności</w:t>
      </w:r>
      <w:r w:rsidR="00283544" w:rsidRPr="00890249">
        <w:rPr>
          <w:rFonts w:asciiTheme="minorHAnsi" w:hAnsiTheme="minorHAnsi" w:cstheme="minorHAnsi"/>
          <w:sz w:val="22"/>
          <w:szCs w:val="22"/>
        </w:rPr>
        <w:t xml:space="preserve"> i kompetencji</w:t>
      </w:r>
      <w:r w:rsidR="009C0C14" w:rsidRPr="00890249">
        <w:rPr>
          <w:rFonts w:asciiTheme="minorHAnsi" w:hAnsiTheme="minorHAnsi" w:cstheme="minorHAnsi"/>
          <w:sz w:val="22"/>
          <w:szCs w:val="22"/>
        </w:rPr>
        <w:t xml:space="preserve">. </w:t>
      </w:r>
    </w:p>
    <w:p w14:paraId="7F11A776" w14:textId="3E55CC90" w:rsidR="0093433C" w:rsidRPr="00890249" w:rsidRDefault="5AD6420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Pandemia </w:t>
      </w:r>
      <w:r w:rsidR="1014C6C8" w:rsidRPr="00890249">
        <w:rPr>
          <w:rFonts w:asciiTheme="minorHAnsi" w:hAnsiTheme="minorHAnsi" w:cstheme="minorHAnsi"/>
          <w:sz w:val="22"/>
          <w:szCs w:val="22"/>
          <w:lang w:eastAsia="en-US" w:bidi="ar-SA"/>
        </w:rPr>
        <w:t xml:space="preserve">COVID-19 </w:t>
      </w:r>
      <w:r w:rsidRPr="00890249">
        <w:rPr>
          <w:rFonts w:asciiTheme="minorHAnsi" w:hAnsiTheme="minorHAnsi" w:cstheme="minorHAnsi"/>
          <w:sz w:val="22"/>
          <w:szCs w:val="22"/>
          <w:lang w:eastAsia="en-US" w:bidi="ar-SA"/>
        </w:rPr>
        <w:t>uwypukliła konieczność dalszej promocji elastycznych form zatrudnienia, zwłaszcza pracy zdalnej, która wykorzystywana jest</w:t>
      </w:r>
      <w:r w:rsidR="39F523A4" w:rsidRPr="00890249">
        <w:rPr>
          <w:rFonts w:asciiTheme="minorHAnsi" w:hAnsiTheme="minorHAnsi" w:cstheme="minorHAnsi"/>
          <w:sz w:val="22"/>
          <w:szCs w:val="22"/>
          <w:lang w:eastAsia="en-US" w:bidi="ar-SA"/>
        </w:rPr>
        <w:t xml:space="preserve"> wciąż w niewielkim zakresie. W </w:t>
      </w:r>
      <w:r w:rsidRPr="00890249">
        <w:rPr>
          <w:rFonts w:asciiTheme="minorHAnsi" w:hAnsiTheme="minorHAnsi" w:cstheme="minorHAnsi"/>
          <w:sz w:val="22"/>
          <w:szCs w:val="22"/>
          <w:lang w:eastAsia="en-US" w:bidi="ar-SA"/>
        </w:rPr>
        <w:t xml:space="preserve">końcu czerwca 2020 r. udział osób, które pracowały zdalnie w związku z sytuacją epidemiczną </w:t>
      </w:r>
      <w:r w:rsidR="39F523A4" w:rsidRPr="00890249">
        <w:rPr>
          <w:rFonts w:asciiTheme="minorHAnsi" w:hAnsiTheme="minorHAnsi" w:cstheme="minorHAnsi"/>
          <w:sz w:val="22"/>
          <w:szCs w:val="22"/>
          <w:lang w:eastAsia="en-US" w:bidi="ar-SA"/>
        </w:rPr>
        <w:t>w </w:t>
      </w:r>
      <w:r w:rsidRPr="00890249">
        <w:rPr>
          <w:rFonts w:asciiTheme="minorHAnsi" w:hAnsiTheme="minorHAnsi" w:cstheme="minorHAnsi"/>
          <w:sz w:val="22"/>
          <w:szCs w:val="22"/>
          <w:lang w:eastAsia="en-US" w:bidi="ar-SA"/>
        </w:rPr>
        <w:t>ogólnej liczbie pracujących objętych badaniem „Popyt na pracę” w </w:t>
      </w:r>
      <w:r w:rsidR="26B95310" w:rsidRPr="00890249">
        <w:rPr>
          <w:rFonts w:asciiTheme="minorHAnsi" w:hAnsiTheme="minorHAnsi" w:cstheme="minorHAnsi"/>
          <w:sz w:val="22"/>
          <w:szCs w:val="22"/>
          <w:lang w:eastAsia="en-US" w:bidi="ar-SA"/>
        </w:rPr>
        <w:t>regionie</w:t>
      </w:r>
      <w:r w:rsidRPr="00890249">
        <w:rPr>
          <w:rFonts w:asciiTheme="minorHAnsi" w:hAnsiTheme="minorHAnsi" w:cstheme="minorHAnsi"/>
          <w:sz w:val="22"/>
          <w:szCs w:val="22"/>
          <w:lang w:eastAsia="en-US" w:bidi="ar-SA"/>
        </w:rPr>
        <w:t xml:space="preserve"> wyniósł 4,9% i był jednym z najniższych w kraju</w:t>
      </w:r>
      <w:r w:rsidR="009E70CA" w:rsidRPr="00890249">
        <w:rPr>
          <w:rStyle w:val="Odwoanieprzypisudolnego"/>
          <w:rFonts w:asciiTheme="minorHAnsi" w:eastAsiaTheme="minorEastAsia" w:hAnsiTheme="minorHAnsi" w:cstheme="minorHAnsi"/>
          <w:sz w:val="22"/>
          <w:szCs w:val="22"/>
          <w:lang w:eastAsia="en-US" w:bidi="ar-SA"/>
        </w:rPr>
        <w:footnoteReference w:id="168"/>
      </w:r>
      <w:r w:rsidRPr="00890249">
        <w:rPr>
          <w:rFonts w:asciiTheme="minorHAnsi" w:hAnsiTheme="minorHAnsi" w:cstheme="minorHAnsi"/>
          <w:sz w:val="22"/>
          <w:szCs w:val="22"/>
          <w:lang w:eastAsia="en-US" w:bidi="ar-SA"/>
        </w:rPr>
        <w:t xml:space="preserve">. </w:t>
      </w:r>
      <w:r w:rsidR="0074473A" w:rsidRPr="00890249">
        <w:rPr>
          <w:rFonts w:asciiTheme="minorHAnsi" w:hAnsiTheme="minorHAnsi" w:cstheme="minorHAnsi"/>
          <w:sz w:val="22"/>
          <w:szCs w:val="22"/>
          <w:lang w:eastAsia="en-US" w:bidi="ar-SA"/>
        </w:rPr>
        <w:t>U</w:t>
      </w:r>
      <w:r w:rsidR="4D60318C" w:rsidRPr="00890249">
        <w:rPr>
          <w:rFonts w:asciiTheme="minorHAnsi" w:hAnsiTheme="minorHAnsi" w:cstheme="minorHAnsi"/>
          <w:sz w:val="22"/>
          <w:szCs w:val="22"/>
          <w:lang w:eastAsia="en-US" w:bidi="ar-SA"/>
        </w:rPr>
        <w:t>powszechnienie</w:t>
      </w:r>
      <w:r w:rsidRPr="00890249">
        <w:rPr>
          <w:rFonts w:asciiTheme="minorHAnsi" w:hAnsiTheme="minorHAnsi" w:cstheme="minorHAnsi"/>
          <w:sz w:val="22"/>
          <w:szCs w:val="22"/>
          <w:lang w:eastAsia="en-US" w:bidi="ar-SA"/>
        </w:rPr>
        <w:t xml:space="preserve"> elastycznych form organizacji pracy może pomóc w reagowaniu na kryzys, a także zapewnić wsparcie osobom z grup o niższych wskaźnikach aktywności zawodowej w znalezieniu</w:t>
      </w:r>
      <w:r w:rsidR="4D60318C" w:rsidRPr="00890249">
        <w:rPr>
          <w:rFonts w:asciiTheme="minorHAnsi" w:hAnsiTheme="minorHAnsi" w:cstheme="minorHAnsi"/>
          <w:sz w:val="22"/>
          <w:szCs w:val="22"/>
          <w:lang w:eastAsia="en-US" w:bidi="ar-SA"/>
        </w:rPr>
        <w:t>/utrzymaniu</w:t>
      </w:r>
      <w:r w:rsidRPr="00890249">
        <w:rPr>
          <w:rFonts w:asciiTheme="minorHAnsi" w:hAnsiTheme="minorHAnsi" w:cstheme="minorHAnsi"/>
          <w:sz w:val="22"/>
          <w:szCs w:val="22"/>
          <w:lang w:eastAsia="en-US" w:bidi="ar-SA"/>
        </w:rPr>
        <w:t xml:space="preserve"> stałego zatrudnienia. </w:t>
      </w:r>
      <w:r w:rsidR="03622C44" w:rsidRPr="00890249">
        <w:rPr>
          <w:rFonts w:asciiTheme="minorHAnsi" w:hAnsiTheme="minorHAnsi" w:cstheme="minorHAnsi"/>
          <w:sz w:val="22"/>
          <w:szCs w:val="22"/>
          <w:lang w:eastAsia="en-US" w:bidi="ar-SA"/>
        </w:rPr>
        <w:t>W ramach elastycznych form zatrudnienia realizowane będ</w:t>
      </w:r>
      <w:r w:rsidR="68537518" w:rsidRPr="00890249">
        <w:rPr>
          <w:rFonts w:asciiTheme="minorHAnsi" w:hAnsiTheme="minorHAnsi" w:cstheme="minorHAnsi"/>
          <w:sz w:val="22"/>
          <w:szCs w:val="22"/>
          <w:lang w:eastAsia="en-US" w:bidi="ar-SA"/>
        </w:rPr>
        <w:t>ą</w:t>
      </w:r>
      <w:r w:rsidR="03622C44" w:rsidRPr="00890249">
        <w:rPr>
          <w:rFonts w:asciiTheme="minorHAnsi" w:hAnsiTheme="minorHAnsi" w:cstheme="minorHAnsi"/>
          <w:sz w:val="22"/>
          <w:szCs w:val="22"/>
          <w:lang w:eastAsia="en-US" w:bidi="ar-SA"/>
        </w:rPr>
        <w:t xml:space="preserve"> m.in.: </w:t>
      </w:r>
      <w:r w:rsidR="72028CA5" w:rsidRPr="00890249">
        <w:rPr>
          <w:rFonts w:asciiTheme="minorHAnsi" w:hAnsiTheme="minorHAnsi" w:cstheme="minorHAnsi"/>
          <w:sz w:val="22"/>
          <w:szCs w:val="22"/>
          <w:lang w:eastAsia="en-US" w:bidi="ar-SA"/>
        </w:rPr>
        <w:t>szkolenia dla pracowników i pracodawców</w:t>
      </w:r>
      <w:r w:rsidR="4696C143" w:rsidRPr="00890249">
        <w:rPr>
          <w:rFonts w:asciiTheme="minorHAnsi" w:hAnsiTheme="minorHAnsi" w:cstheme="minorHAnsi"/>
          <w:sz w:val="22"/>
          <w:szCs w:val="22"/>
          <w:lang w:eastAsia="en-US" w:bidi="ar-SA"/>
        </w:rPr>
        <w:t xml:space="preserve"> oraz </w:t>
      </w:r>
      <w:r w:rsidR="03622C44" w:rsidRPr="00890249">
        <w:rPr>
          <w:rFonts w:asciiTheme="minorHAnsi" w:hAnsiTheme="minorHAnsi" w:cstheme="minorHAnsi"/>
          <w:sz w:val="22"/>
          <w:szCs w:val="22"/>
          <w:lang w:eastAsia="en-US" w:bidi="ar-SA"/>
        </w:rPr>
        <w:t xml:space="preserve">subsydiowanie zatrudnienia itp. </w:t>
      </w:r>
      <w:r w:rsidR="652CF95A" w:rsidRPr="00890249">
        <w:rPr>
          <w:rFonts w:asciiTheme="minorHAnsi" w:hAnsiTheme="minorHAnsi" w:cstheme="minorHAnsi"/>
          <w:sz w:val="22"/>
          <w:szCs w:val="22"/>
          <w:lang w:eastAsia="en-US" w:bidi="ar-SA"/>
        </w:rPr>
        <w:t xml:space="preserve">Subsydiowanie zatrudnienia </w:t>
      </w:r>
      <w:r w:rsidR="16EB9ACE" w:rsidRPr="00890249">
        <w:rPr>
          <w:rFonts w:asciiTheme="minorHAnsi" w:hAnsiTheme="minorHAnsi" w:cstheme="minorHAnsi"/>
          <w:sz w:val="22"/>
          <w:szCs w:val="22"/>
          <w:lang w:eastAsia="en-US" w:bidi="ar-SA"/>
        </w:rPr>
        <w:t xml:space="preserve">skierowane będzie do osób wykluczonych z rynku pracy i </w:t>
      </w:r>
      <w:r w:rsidR="652CF95A" w:rsidRPr="00890249">
        <w:rPr>
          <w:rFonts w:asciiTheme="minorHAnsi" w:hAnsiTheme="minorHAnsi" w:cstheme="minorHAnsi"/>
          <w:sz w:val="22"/>
          <w:szCs w:val="22"/>
          <w:lang w:eastAsia="en-US" w:bidi="ar-SA"/>
        </w:rPr>
        <w:t>zachęci pracodawców do zatrudnienia osób z wykorzystaniem elastycznych form pracy</w:t>
      </w:r>
      <w:r w:rsidR="72028CA5" w:rsidRPr="00890249">
        <w:rPr>
          <w:rFonts w:asciiTheme="minorHAnsi" w:hAnsiTheme="minorHAnsi" w:cstheme="minorHAnsi"/>
          <w:sz w:val="22"/>
          <w:szCs w:val="22"/>
          <w:lang w:eastAsia="en-US" w:bidi="ar-SA"/>
        </w:rPr>
        <w:t xml:space="preserve">, co </w:t>
      </w:r>
      <w:r w:rsidR="26B95310" w:rsidRPr="00890249">
        <w:rPr>
          <w:rFonts w:asciiTheme="minorHAnsi" w:hAnsiTheme="minorHAnsi" w:cstheme="minorHAnsi"/>
          <w:sz w:val="22"/>
          <w:szCs w:val="22"/>
          <w:lang w:eastAsia="en-US" w:bidi="ar-SA"/>
        </w:rPr>
        <w:t>głównie</w:t>
      </w:r>
      <w:r w:rsidR="72028CA5" w:rsidRPr="00890249">
        <w:rPr>
          <w:rFonts w:asciiTheme="minorHAnsi" w:hAnsiTheme="minorHAnsi" w:cstheme="minorHAnsi"/>
          <w:sz w:val="22"/>
          <w:szCs w:val="22"/>
          <w:lang w:eastAsia="en-US" w:bidi="ar-SA"/>
        </w:rPr>
        <w:t xml:space="preserve"> dotyczy osób, które z takich przyczyn jak wiek, niepełnosprawność czy opieka nad osobami zależnymi mają problem z pracą w </w:t>
      </w:r>
      <w:r w:rsidR="5BBCF6A4" w:rsidRPr="00890249">
        <w:rPr>
          <w:rFonts w:asciiTheme="minorHAnsi" w:hAnsiTheme="minorHAnsi" w:cstheme="minorHAnsi"/>
          <w:sz w:val="22"/>
          <w:szCs w:val="22"/>
          <w:lang w:eastAsia="en-US" w:bidi="ar-SA"/>
        </w:rPr>
        <w:t>oparciu o standardowe warunki zatrudnienia</w:t>
      </w:r>
      <w:r w:rsidR="652CF95A" w:rsidRPr="00890249">
        <w:rPr>
          <w:rFonts w:asciiTheme="minorHAnsi" w:hAnsiTheme="minorHAnsi" w:cstheme="minorHAnsi"/>
          <w:sz w:val="22"/>
          <w:szCs w:val="22"/>
          <w:lang w:eastAsia="en-US" w:bidi="ar-SA"/>
        </w:rPr>
        <w:t xml:space="preserve">. </w:t>
      </w:r>
      <w:r w:rsidR="3737FD4A" w:rsidRPr="00890249">
        <w:rPr>
          <w:rFonts w:asciiTheme="minorHAnsi" w:hAnsiTheme="minorHAnsi" w:cstheme="minorHAnsi"/>
          <w:sz w:val="22"/>
          <w:szCs w:val="22"/>
          <w:lang w:eastAsia="en-US" w:bidi="ar-SA"/>
        </w:rPr>
        <w:t xml:space="preserve">Wsparcie będzie komplementarne do działań realizowanych </w:t>
      </w:r>
      <w:r w:rsidR="1BA3F6FD" w:rsidRPr="00890249">
        <w:rPr>
          <w:rFonts w:asciiTheme="minorHAnsi" w:hAnsiTheme="minorHAnsi" w:cstheme="minorHAnsi"/>
          <w:sz w:val="22"/>
          <w:szCs w:val="22"/>
          <w:lang w:eastAsia="en-US" w:bidi="ar-SA"/>
        </w:rPr>
        <w:t>w ramach</w:t>
      </w:r>
      <w:r w:rsidR="3737FD4A" w:rsidRPr="00890249">
        <w:rPr>
          <w:rFonts w:asciiTheme="minorHAnsi" w:hAnsiTheme="minorHAnsi" w:cstheme="minorHAnsi"/>
          <w:sz w:val="22"/>
          <w:szCs w:val="22"/>
          <w:lang w:eastAsia="en-US" w:bidi="ar-SA"/>
        </w:rPr>
        <w:t xml:space="preserve"> </w:t>
      </w:r>
      <w:r w:rsidR="79AF501C" w:rsidRPr="00890249">
        <w:rPr>
          <w:rFonts w:asciiTheme="minorHAnsi" w:hAnsiTheme="minorHAnsi" w:cstheme="minorHAnsi"/>
          <w:i/>
          <w:iCs/>
          <w:sz w:val="22"/>
          <w:szCs w:val="22"/>
          <w:lang w:eastAsia="en-US" w:bidi="ar-SA"/>
        </w:rPr>
        <w:t>Krajowego Planu Odbudowy</w:t>
      </w:r>
      <w:r w:rsidR="3737FD4A" w:rsidRPr="00890249">
        <w:rPr>
          <w:rFonts w:asciiTheme="minorHAnsi" w:hAnsiTheme="minorHAnsi" w:cstheme="minorHAnsi"/>
          <w:sz w:val="22"/>
          <w:szCs w:val="22"/>
          <w:lang w:eastAsia="en-US" w:bidi="ar-SA"/>
        </w:rPr>
        <w:t xml:space="preserve"> (uwzględnione zostaną mechanizmy zapobiegające podwójnemu finansowaniu).</w:t>
      </w:r>
    </w:p>
    <w:p w14:paraId="156EAFEF" w14:textId="77777777" w:rsidR="0093433C" w:rsidRPr="00890249" w:rsidRDefault="00EE19EB"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Planowane typy przedsięwzięć:</w:t>
      </w:r>
    </w:p>
    <w:p w14:paraId="4D6D3F7F" w14:textId="2D6020AB" w:rsidR="0093433C" w:rsidRPr="00890249" w:rsidRDefault="22D4A143" w:rsidP="009F296A">
      <w:pPr>
        <w:pStyle w:val="Lista2"/>
        <w:numPr>
          <w:ilvl w:val="0"/>
          <w:numId w:val="7"/>
        </w:numPr>
        <w:rPr>
          <w:rFonts w:asciiTheme="minorHAnsi" w:hAnsiTheme="minorHAnsi" w:cstheme="minorHAnsi"/>
          <w:sz w:val="22"/>
          <w:szCs w:val="22"/>
        </w:rPr>
      </w:pPr>
      <w:r w:rsidRPr="00890249">
        <w:rPr>
          <w:rFonts w:asciiTheme="minorHAnsi" w:hAnsiTheme="minorHAnsi" w:cstheme="minorHAnsi"/>
          <w:color w:val="000000"/>
          <w:sz w:val="22"/>
          <w:szCs w:val="22"/>
        </w:rPr>
        <w:t>Wsparcie przyczyniające się do zapobiegania przedwczesnemu opuszczaniu rynku pracy, poprzez m.in.</w:t>
      </w:r>
      <w:r w:rsidR="140D91FF" w:rsidRPr="00890249">
        <w:rPr>
          <w:rFonts w:asciiTheme="minorHAnsi" w:eastAsia="Times New Roman" w:hAnsiTheme="minorHAnsi" w:cstheme="minorHAnsi"/>
          <w:noProof/>
          <w:sz w:val="22"/>
          <w:szCs w:val="22"/>
        </w:rPr>
        <w:t xml:space="preserve"> </w:t>
      </w:r>
      <w:r w:rsidRPr="00890249">
        <w:rPr>
          <w:rFonts w:asciiTheme="minorHAnsi" w:hAnsiTheme="minorHAnsi" w:cstheme="minorHAnsi"/>
          <w:sz w:val="22"/>
          <w:szCs w:val="22"/>
        </w:rPr>
        <w:t>realizację programów zdrowotnych dotyczących rehabilitacji medyczn</w:t>
      </w:r>
      <w:r w:rsidR="631A6A99" w:rsidRPr="00890249">
        <w:rPr>
          <w:rFonts w:asciiTheme="minorHAnsi" w:hAnsiTheme="minorHAnsi" w:cstheme="minorHAnsi"/>
          <w:sz w:val="22"/>
          <w:szCs w:val="22"/>
        </w:rPr>
        <w:t>ej ułatwiającej powrót do pracy</w:t>
      </w:r>
      <w:r w:rsidR="0079381F" w:rsidRPr="00890249">
        <w:rPr>
          <w:rFonts w:asciiTheme="minorHAnsi" w:hAnsiTheme="minorHAnsi" w:cstheme="minorHAnsi"/>
          <w:sz w:val="22"/>
          <w:szCs w:val="22"/>
        </w:rPr>
        <w:t xml:space="preserve"> pracownikom i osobom bezrobotnym</w:t>
      </w:r>
      <w:r w:rsidR="00181EFA" w:rsidRPr="00890249">
        <w:rPr>
          <w:rStyle w:val="Odwoanieprzypisudolnego"/>
          <w:rFonts w:asciiTheme="minorHAnsi" w:eastAsiaTheme="minorHAnsi" w:hAnsiTheme="minorHAnsi" w:cstheme="minorHAnsi"/>
          <w:sz w:val="22"/>
          <w:szCs w:val="22"/>
        </w:rPr>
        <w:footnoteReference w:id="169"/>
      </w:r>
      <w:r w:rsidR="6F4888B5" w:rsidRPr="00890249">
        <w:rPr>
          <w:rFonts w:asciiTheme="minorHAnsi" w:hAnsiTheme="minorHAnsi" w:cstheme="minorHAnsi"/>
          <w:sz w:val="22"/>
          <w:szCs w:val="22"/>
        </w:rPr>
        <w:t xml:space="preserve"> </w:t>
      </w:r>
      <w:r w:rsidR="70B37411" w:rsidRPr="00890249">
        <w:rPr>
          <w:rFonts w:asciiTheme="minorHAnsi" w:hAnsiTheme="minorHAnsi" w:cstheme="minorHAnsi"/>
          <w:sz w:val="22"/>
          <w:szCs w:val="22"/>
        </w:rPr>
        <w:t>.</w:t>
      </w:r>
    </w:p>
    <w:p w14:paraId="2314EC67" w14:textId="77777777" w:rsidR="0093433C" w:rsidRPr="00890249" w:rsidRDefault="00C0631B" w:rsidP="009F296A">
      <w:pPr>
        <w:pStyle w:val="Lista2"/>
        <w:numPr>
          <w:ilvl w:val="0"/>
          <w:numId w:val="7"/>
        </w:numPr>
        <w:rPr>
          <w:rFonts w:asciiTheme="minorHAnsi" w:hAnsiTheme="minorHAnsi" w:cstheme="minorHAnsi"/>
          <w:sz w:val="22"/>
          <w:szCs w:val="22"/>
        </w:rPr>
      </w:pPr>
      <w:r w:rsidRPr="00890249">
        <w:rPr>
          <w:rFonts w:asciiTheme="minorHAnsi" w:hAnsiTheme="minorHAnsi" w:cstheme="minorHAnsi"/>
          <w:sz w:val="22"/>
          <w:szCs w:val="22"/>
        </w:rPr>
        <w:t>Opracowanie i wdrożenie programów ukierunkowanych na eliminowanie zdrowotnych czynników ryzyka w miejscu pracy (m.in. w zakresie wypalenia zawodowego), w tym działania szkoleniowe</w:t>
      </w:r>
      <w:r w:rsidR="000560BA" w:rsidRPr="00890249">
        <w:rPr>
          <w:rFonts w:asciiTheme="minorHAnsi" w:hAnsiTheme="minorHAnsi" w:cstheme="minorHAnsi"/>
          <w:sz w:val="22"/>
          <w:szCs w:val="22"/>
        </w:rPr>
        <w:t>.</w:t>
      </w:r>
    </w:p>
    <w:p w14:paraId="3447BB6A" w14:textId="2053AA95" w:rsidR="0093433C" w:rsidRPr="00890249" w:rsidRDefault="37BE053D" w:rsidP="009F296A">
      <w:pPr>
        <w:pStyle w:val="Lista2"/>
        <w:numPr>
          <w:ilvl w:val="0"/>
          <w:numId w:val="7"/>
        </w:numPr>
        <w:rPr>
          <w:rFonts w:asciiTheme="minorHAnsi" w:hAnsiTheme="minorHAnsi" w:cstheme="minorHAnsi"/>
          <w:sz w:val="22"/>
          <w:szCs w:val="22"/>
        </w:rPr>
      </w:pPr>
      <w:r w:rsidRPr="00890249">
        <w:rPr>
          <w:rFonts w:asciiTheme="minorHAnsi" w:hAnsiTheme="minorHAnsi" w:cstheme="minorHAnsi"/>
          <w:sz w:val="22"/>
          <w:szCs w:val="22"/>
        </w:rPr>
        <w:t>W</w:t>
      </w:r>
      <w:r w:rsidR="4C9FFBF9" w:rsidRPr="00890249">
        <w:rPr>
          <w:rFonts w:asciiTheme="minorHAnsi" w:hAnsiTheme="minorHAnsi" w:cstheme="minorHAnsi"/>
          <w:sz w:val="22"/>
          <w:szCs w:val="22"/>
        </w:rPr>
        <w:t xml:space="preserve">drożenie </w:t>
      </w:r>
      <w:r w:rsidR="5AD6420B" w:rsidRPr="00890249">
        <w:rPr>
          <w:rFonts w:asciiTheme="minorHAnsi" w:hAnsiTheme="minorHAnsi" w:cstheme="minorHAnsi"/>
          <w:sz w:val="22"/>
          <w:szCs w:val="22"/>
        </w:rPr>
        <w:t>elastycznych form zatrudnienia</w:t>
      </w:r>
      <w:r w:rsidR="5BBCF6A4" w:rsidRPr="00890249">
        <w:rPr>
          <w:rFonts w:asciiTheme="minorHAnsi" w:hAnsiTheme="minorHAnsi" w:cstheme="minorHAnsi"/>
          <w:sz w:val="22"/>
          <w:szCs w:val="22"/>
        </w:rPr>
        <w:t xml:space="preserve"> takich jak </w:t>
      </w:r>
      <w:r w:rsidR="5AD6420B" w:rsidRPr="00890249">
        <w:rPr>
          <w:rFonts w:asciiTheme="minorHAnsi" w:hAnsiTheme="minorHAnsi" w:cstheme="minorHAnsi"/>
          <w:sz w:val="22"/>
          <w:szCs w:val="22"/>
        </w:rPr>
        <w:t>prac</w:t>
      </w:r>
      <w:r w:rsidR="5BBCF6A4" w:rsidRPr="00890249">
        <w:rPr>
          <w:rFonts w:asciiTheme="minorHAnsi" w:hAnsiTheme="minorHAnsi" w:cstheme="minorHAnsi"/>
          <w:sz w:val="22"/>
          <w:szCs w:val="22"/>
        </w:rPr>
        <w:t>a</w:t>
      </w:r>
      <w:r w:rsidR="5AD6420B" w:rsidRPr="00890249">
        <w:rPr>
          <w:rFonts w:asciiTheme="minorHAnsi" w:hAnsiTheme="minorHAnsi" w:cstheme="minorHAnsi"/>
          <w:sz w:val="22"/>
          <w:szCs w:val="22"/>
        </w:rPr>
        <w:t xml:space="preserve"> zdaln</w:t>
      </w:r>
      <w:r w:rsidR="5BBCF6A4" w:rsidRPr="00890249">
        <w:rPr>
          <w:rFonts w:asciiTheme="minorHAnsi" w:hAnsiTheme="minorHAnsi" w:cstheme="minorHAnsi"/>
          <w:sz w:val="22"/>
          <w:szCs w:val="22"/>
        </w:rPr>
        <w:t>a,</w:t>
      </w:r>
      <w:r w:rsidR="5BBCF6A4" w:rsidRPr="00890249">
        <w:rPr>
          <w:rFonts w:asciiTheme="minorHAnsi" w:hAnsiTheme="minorHAnsi" w:cstheme="minorHAnsi"/>
          <w:sz w:val="22"/>
          <w:szCs w:val="22"/>
          <w:lang w:eastAsia="en-US" w:bidi="ar-SA"/>
        </w:rPr>
        <w:t xml:space="preserve"> zatrudnienie przejściowe</w:t>
      </w:r>
      <w:r w:rsidR="004363FE" w:rsidRPr="00890249">
        <w:rPr>
          <w:rStyle w:val="Odwoanieprzypisudolnego"/>
          <w:rFonts w:asciiTheme="minorHAnsi" w:eastAsiaTheme="minorEastAsia" w:hAnsiTheme="minorHAnsi" w:cstheme="minorHAnsi"/>
          <w:sz w:val="22"/>
          <w:szCs w:val="22"/>
          <w:lang w:eastAsia="en-US" w:bidi="ar-SA"/>
        </w:rPr>
        <w:footnoteReference w:id="170"/>
      </w:r>
      <w:r w:rsidR="5BBCF6A4" w:rsidRPr="00890249">
        <w:rPr>
          <w:rFonts w:asciiTheme="minorHAnsi" w:hAnsiTheme="minorHAnsi" w:cstheme="minorHAnsi"/>
          <w:sz w:val="22"/>
          <w:szCs w:val="22"/>
          <w:lang w:eastAsia="en-US" w:bidi="ar-SA"/>
        </w:rPr>
        <w:t>, prac</w:t>
      </w:r>
      <w:r w:rsidR="1BA3F6FD" w:rsidRPr="00890249">
        <w:rPr>
          <w:rFonts w:asciiTheme="minorHAnsi" w:hAnsiTheme="minorHAnsi" w:cstheme="minorHAnsi"/>
          <w:sz w:val="22"/>
          <w:szCs w:val="22"/>
          <w:lang w:eastAsia="en-US" w:bidi="ar-SA"/>
        </w:rPr>
        <w:t>a</w:t>
      </w:r>
      <w:r w:rsidR="4807DB43" w:rsidRPr="00890249">
        <w:rPr>
          <w:rFonts w:asciiTheme="minorHAnsi" w:hAnsiTheme="minorHAnsi" w:cstheme="minorHAnsi"/>
          <w:sz w:val="22"/>
          <w:szCs w:val="22"/>
          <w:lang w:eastAsia="en-US" w:bidi="ar-SA"/>
        </w:rPr>
        <w:t xml:space="preserve"> w </w:t>
      </w:r>
      <w:r w:rsidR="5BBCF6A4" w:rsidRPr="00890249">
        <w:rPr>
          <w:rFonts w:asciiTheme="minorHAnsi" w:hAnsiTheme="minorHAnsi" w:cstheme="minorHAnsi"/>
          <w:sz w:val="22"/>
          <w:szCs w:val="22"/>
          <w:lang w:eastAsia="en-US" w:bidi="ar-SA"/>
        </w:rPr>
        <w:t xml:space="preserve">niepełnym wymiarze, job sharing </w:t>
      </w:r>
      <w:r w:rsidR="6C6EBD9E" w:rsidRPr="00890249">
        <w:rPr>
          <w:rFonts w:asciiTheme="minorHAnsi" w:hAnsiTheme="minorHAnsi" w:cstheme="minorHAnsi"/>
          <w:sz w:val="22"/>
          <w:szCs w:val="22"/>
        </w:rPr>
        <w:t xml:space="preserve">(m.in. </w:t>
      </w:r>
      <w:r w:rsidR="4C9FFBF9" w:rsidRPr="00890249">
        <w:rPr>
          <w:rFonts w:asciiTheme="minorHAnsi" w:hAnsiTheme="minorHAnsi" w:cstheme="minorHAnsi"/>
          <w:sz w:val="22"/>
          <w:szCs w:val="22"/>
        </w:rPr>
        <w:t xml:space="preserve">poprzez </w:t>
      </w:r>
      <w:r w:rsidR="72028CA5" w:rsidRPr="00890249">
        <w:rPr>
          <w:rFonts w:asciiTheme="minorHAnsi" w:hAnsiTheme="minorHAnsi" w:cstheme="minorHAnsi"/>
          <w:sz w:val="22"/>
          <w:szCs w:val="22"/>
        </w:rPr>
        <w:t xml:space="preserve">szkolenia, </w:t>
      </w:r>
      <w:r w:rsidR="6C6EBD9E" w:rsidRPr="00890249">
        <w:rPr>
          <w:rFonts w:asciiTheme="minorHAnsi" w:hAnsiTheme="minorHAnsi" w:cstheme="minorHAnsi"/>
          <w:sz w:val="22"/>
          <w:szCs w:val="22"/>
        </w:rPr>
        <w:t>subsydiowanie zatrudnienia</w:t>
      </w:r>
      <w:r w:rsidR="28263B19" w:rsidRPr="00890249">
        <w:rPr>
          <w:rFonts w:asciiTheme="minorHAnsi" w:hAnsiTheme="minorHAnsi" w:cstheme="minorHAnsi"/>
          <w:sz w:val="22"/>
          <w:szCs w:val="22"/>
        </w:rPr>
        <w:t>)</w:t>
      </w:r>
      <w:r w:rsidR="5AD6420B" w:rsidRPr="00890249">
        <w:rPr>
          <w:rFonts w:asciiTheme="minorHAnsi" w:hAnsiTheme="minorHAnsi" w:cstheme="minorHAnsi"/>
          <w:sz w:val="22"/>
          <w:szCs w:val="22"/>
        </w:rPr>
        <w:t>.</w:t>
      </w:r>
    </w:p>
    <w:p w14:paraId="3DCAD2E7" w14:textId="7EED61A7" w:rsidR="0093433C" w:rsidRPr="00890249" w:rsidRDefault="00832508" w:rsidP="009F296A">
      <w:pPr>
        <w:pStyle w:val="Lista3"/>
        <w:numPr>
          <w:ilvl w:val="0"/>
          <w:numId w:val="7"/>
        </w:numPr>
        <w:rPr>
          <w:rFonts w:asciiTheme="minorHAnsi" w:hAnsiTheme="minorHAnsi" w:cstheme="minorHAnsi"/>
          <w:sz w:val="22"/>
          <w:szCs w:val="22"/>
        </w:rPr>
      </w:pPr>
      <w:r w:rsidRPr="00890249">
        <w:rPr>
          <w:rFonts w:asciiTheme="minorHAnsi" w:hAnsiTheme="minorHAnsi" w:cstheme="minorHAnsi"/>
          <w:sz w:val="22"/>
          <w:szCs w:val="22"/>
        </w:rPr>
        <w:t>D</w:t>
      </w:r>
      <w:r w:rsidR="00875C92" w:rsidRPr="00890249">
        <w:rPr>
          <w:rFonts w:asciiTheme="minorHAnsi" w:hAnsiTheme="minorHAnsi" w:cstheme="minorHAnsi"/>
          <w:sz w:val="22"/>
          <w:szCs w:val="22"/>
        </w:rPr>
        <w:t xml:space="preserve">ziałania </w:t>
      </w:r>
      <w:r w:rsidR="00181EFA" w:rsidRPr="00890249">
        <w:rPr>
          <w:rFonts w:asciiTheme="minorHAnsi" w:hAnsiTheme="minorHAnsi" w:cstheme="minorHAnsi"/>
          <w:sz w:val="22"/>
          <w:szCs w:val="22"/>
        </w:rPr>
        <w:t>ułatwiające</w:t>
      </w:r>
      <w:r w:rsidR="00875C92" w:rsidRPr="00890249">
        <w:rPr>
          <w:rFonts w:asciiTheme="minorHAnsi" w:hAnsiTheme="minorHAnsi" w:cstheme="minorHAnsi"/>
          <w:sz w:val="22"/>
          <w:szCs w:val="22"/>
        </w:rPr>
        <w:t xml:space="preserve"> starszy</w:t>
      </w:r>
      <w:r w:rsidR="00181EFA" w:rsidRPr="00890249">
        <w:rPr>
          <w:rFonts w:asciiTheme="minorHAnsi" w:hAnsiTheme="minorHAnsi" w:cstheme="minorHAnsi"/>
          <w:sz w:val="22"/>
          <w:szCs w:val="22"/>
        </w:rPr>
        <w:t>m</w:t>
      </w:r>
      <w:r w:rsidR="00875C92" w:rsidRPr="00890249">
        <w:rPr>
          <w:rFonts w:asciiTheme="minorHAnsi" w:hAnsiTheme="minorHAnsi" w:cstheme="minorHAnsi"/>
          <w:sz w:val="22"/>
          <w:szCs w:val="22"/>
        </w:rPr>
        <w:t xml:space="preserve"> pracownik</w:t>
      </w:r>
      <w:r w:rsidR="00FE205B" w:rsidRPr="00890249">
        <w:rPr>
          <w:rFonts w:asciiTheme="minorHAnsi" w:hAnsiTheme="minorHAnsi" w:cstheme="minorHAnsi"/>
          <w:sz w:val="22"/>
          <w:szCs w:val="22"/>
        </w:rPr>
        <w:t>om</w:t>
      </w:r>
      <w:r w:rsidR="00875C92" w:rsidRPr="00890249">
        <w:rPr>
          <w:rFonts w:asciiTheme="minorHAnsi" w:hAnsiTheme="minorHAnsi" w:cstheme="minorHAnsi"/>
          <w:sz w:val="22"/>
          <w:szCs w:val="22"/>
        </w:rPr>
        <w:t xml:space="preserve"> </w:t>
      </w:r>
      <w:r w:rsidR="00181EFA" w:rsidRPr="00890249">
        <w:rPr>
          <w:rFonts w:asciiTheme="minorHAnsi" w:hAnsiTheme="minorHAnsi" w:cstheme="minorHAnsi"/>
          <w:sz w:val="22"/>
          <w:szCs w:val="22"/>
        </w:rPr>
        <w:t>pozostanie</w:t>
      </w:r>
      <w:r w:rsidR="00875C92" w:rsidRPr="00890249">
        <w:rPr>
          <w:rFonts w:asciiTheme="minorHAnsi" w:hAnsiTheme="minorHAnsi" w:cstheme="minorHAnsi"/>
          <w:sz w:val="22"/>
          <w:szCs w:val="22"/>
        </w:rPr>
        <w:t xml:space="preserve"> w zatrudnieniu poprzez dostosowanie warunków pracy do ich stanu zdrowia i potrzeb w zakresie dostępności, dostosowan</w:t>
      </w:r>
      <w:r w:rsidR="00FE205B" w:rsidRPr="00890249">
        <w:rPr>
          <w:rFonts w:asciiTheme="minorHAnsi" w:hAnsiTheme="minorHAnsi" w:cstheme="minorHAnsi"/>
          <w:sz w:val="22"/>
          <w:szCs w:val="22"/>
        </w:rPr>
        <w:t>i</w:t>
      </w:r>
      <w:r w:rsidR="00875C92" w:rsidRPr="00890249">
        <w:rPr>
          <w:rFonts w:asciiTheme="minorHAnsi" w:hAnsiTheme="minorHAnsi" w:cstheme="minorHAnsi"/>
          <w:sz w:val="22"/>
          <w:szCs w:val="22"/>
        </w:rPr>
        <w:t>e miejsca pracy do bardziej zróżnicowanej wiekowo siły roboczej</w:t>
      </w:r>
      <w:r w:rsidRPr="00890249">
        <w:rPr>
          <w:rFonts w:asciiTheme="minorHAnsi" w:hAnsiTheme="minorHAnsi" w:cstheme="minorHAnsi"/>
          <w:sz w:val="22"/>
          <w:szCs w:val="22"/>
        </w:rPr>
        <w:t>.</w:t>
      </w:r>
    </w:p>
    <w:p w14:paraId="759D49AE" w14:textId="73C83C00" w:rsidR="0093433C" w:rsidRPr="00890249" w:rsidRDefault="00126CBC" w:rsidP="009F296A">
      <w:pPr>
        <w:pStyle w:val="Lista3"/>
        <w:numPr>
          <w:ilvl w:val="0"/>
          <w:numId w:val="7"/>
        </w:numPr>
        <w:rPr>
          <w:rFonts w:asciiTheme="minorHAnsi" w:hAnsiTheme="minorHAnsi" w:cstheme="minorHAnsi"/>
          <w:sz w:val="22"/>
          <w:szCs w:val="22"/>
        </w:rPr>
      </w:pPr>
      <w:r w:rsidRPr="00890249">
        <w:rPr>
          <w:rFonts w:asciiTheme="minorHAnsi" w:hAnsiTheme="minorHAnsi" w:cstheme="minorHAnsi"/>
          <w:sz w:val="22"/>
          <w:szCs w:val="22"/>
        </w:rPr>
        <w:t xml:space="preserve">Wsparcie doradcze dla związków zawodowych i organizacji pracodawców w zakresie m.in. </w:t>
      </w:r>
      <w:r w:rsidR="00B61CC2" w:rsidRPr="00890249">
        <w:rPr>
          <w:rFonts w:asciiTheme="minorHAnsi" w:hAnsiTheme="minorHAnsi" w:cstheme="minorHAnsi"/>
          <w:sz w:val="22"/>
          <w:szCs w:val="22"/>
        </w:rPr>
        <w:t>rozwiązań skierowanych do pracowników i pracodawców</w:t>
      </w:r>
      <w:r w:rsidRPr="00890249">
        <w:rPr>
          <w:rFonts w:asciiTheme="minorHAnsi" w:hAnsiTheme="minorHAnsi" w:cstheme="minorHAnsi"/>
          <w:sz w:val="22"/>
          <w:szCs w:val="22"/>
        </w:rPr>
        <w:t>.</w:t>
      </w:r>
    </w:p>
    <w:p w14:paraId="33F6E715" w14:textId="77777777" w:rsidR="0093433C" w:rsidRPr="00890249" w:rsidRDefault="00EE19EB" w:rsidP="009F296A">
      <w:pPr>
        <w:pStyle w:val="Lista3"/>
        <w:numPr>
          <w:ilvl w:val="0"/>
          <w:numId w:val="7"/>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Usługi rozwojowe dla </w:t>
      </w:r>
      <w:r w:rsidR="00376C15" w:rsidRPr="00890249">
        <w:rPr>
          <w:rFonts w:asciiTheme="minorHAnsi" w:hAnsiTheme="minorHAnsi" w:cstheme="minorHAnsi"/>
          <w:sz w:val="22"/>
          <w:szCs w:val="22"/>
          <w:lang w:eastAsia="en-US" w:bidi="ar-SA"/>
        </w:rPr>
        <w:t>pracodawców</w:t>
      </w:r>
      <w:r w:rsidRPr="00890249">
        <w:rPr>
          <w:rFonts w:asciiTheme="minorHAnsi" w:hAnsiTheme="minorHAnsi" w:cstheme="minorHAnsi"/>
          <w:sz w:val="22"/>
          <w:szCs w:val="22"/>
          <w:lang w:eastAsia="en-US" w:bidi="ar-SA"/>
        </w:rPr>
        <w:t xml:space="preserve"> i ich pracowników</w:t>
      </w:r>
      <w:r w:rsidR="0067188F" w:rsidRPr="00890249">
        <w:rPr>
          <w:rFonts w:asciiTheme="minorHAnsi" w:hAnsiTheme="minorHAnsi" w:cstheme="minorHAnsi"/>
          <w:sz w:val="22"/>
          <w:szCs w:val="22"/>
          <w:lang w:eastAsia="en-US" w:bidi="ar-SA"/>
        </w:rPr>
        <w:t>, zgodnie z ich zidentyfikowanymi potrzebami (system popytowy w oparciu o Bazę Usług Rozwojowych)</w:t>
      </w:r>
      <w:r w:rsidRPr="00890249">
        <w:rPr>
          <w:rFonts w:asciiTheme="minorHAnsi" w:hAnsiTheme="minorHAnsi" w:cstheme="minorHAnsi"/>
          <w:sz w:val="22"/>
          <w:szCs w:val="22"/>
          <w:lang w:eastAsia="en-US" w:bidi="ar-SA"/>
        </w:rPr>
        <w:t>.</w:t>
      </w:r>
    </w:p>
    <w:p w14:paraId="3D73F7AC" w14:textId="0837A8A1" w:rsidR="0093433C" w:rsidRDefault="009C0C14" w:rsidP="009F296A">
      <w:pPr>
        <w:pStyle w:val="Lista3"/>
        <w:numPr>
          <w:ilvl w:val="0"/>
          <w:numId w:val="7"/>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typu outplacement</w:t>
      </w:r>
      <w:r w:rsidR="00C648A0" w:rsidRPr="00890249">
        <w:rPr>
          <w:rFonts w:asciiTheme="minorHAnsi" w:hAnsiTheme="minorHAnsi" w:cstheme="minorHAnsi"/>
          <w:sz w:val="22"/>
          <w:szCs w:val="22"/>
          <w:lang w:eastAsia="en-US" w:bidi="ar-SA"/>
        </w:rPr>
        <w:t xml:space="preserve"> dla pracowników zagrożonych zwolnieniem </w:t>
      </w:r>
      <w:r w:rsidR="00126CBC" w:rsidRPr="00890249">
        <w:rPr>
          <w:rFonts w:asciiTheme="minorHAnsi" w:hAnsiTheme="minorHAnsi" w:cstheme="minorHAnsi"/>
          <w:sz w:val="22"/>
          <w:szCs w:val="22"/>
          <w:lang w:eastAsia="en-US" w:bidi="ar-SA"/>
        </w:rPr>
        <w:t>przewidzian</w:t>
      </w:r>
      <w:r w:rsidR="00C826B1" w:rsidRPr="00890249">
        <w:rPr>
          <w:rFonts w:asciiTheme="minorHAnsi" w:hAnsiTheme="minorHAnsi" w:cstheme="minorHAnsi"/>
          <w:sz w:val="22"/>
          <w:szCs w:val="22"/>
          <w:lang w:eastAsia="en-US" w:bidi="ar-SA"/>
        </w:rPr>
        <w:t>ych</w:t>
      </w:r>
      <w:r w:rsidR="00126CBC" w:rsidRPr="00890249">
        <w:rPr>
          <w:rFonts w:asciiTheme="minorHAnsi" w:hAnsiTheme="minorHAnsi" w:cstheme="minorHAnsi"/>
          <w:sz w:val="22"/>
          <w:szCs w:val="22"/>
          <w:lang w:eastAsia="en-US" w:bidi="ar-SA"/>
        </w:rPr>
        <w:t xml:space="preserve"> do zwolnienia lub zwolni</w:t>
      </w:r>
      <w:r w:rsidR="00C826B1" w:rsidRPr="00890249">
        <w:rPr>
          <w:rFonts w:asciiTheme="minorHAnsi" w:hAnsiTheme="minorHAnsi" w:cstheme="minorHAnsi"/>
          <w:sz w:val="22"/>
          <w:szCs w:val="22"/>
          <w:lang w:eastAsia="en-US" w:bidi="ar-SA"/>
        </w:rPr>
        <w:t>o</w:t>
      </w:r>
      <w:r w:rsidR="00126CBC" w:rsidRPr="00890249">
        <w:rPr>
          <w:rFonts w:asciiTheme="minorHAnsi" w:hAnsiTheme="minorHAnsi" w:cstheme="minorHAnsi"/>
          <w:sz w:val="22"/>
          <w:szCs w:val="22"/>
          <w:lang w:eastAsia="en-US" w:bidi="ar-SA"/>
        </w:rPr>
        <w:t>n</w:t>
      </w:r>
      <w:r w:rsidR="00C826B1" w:rsidRPr="00890249">
        <w:rPr>
          <w:rFonts w:asciiTheme="minorHAnsi" w:hAnsiTheme="minorHAnsi" w:cstheme="minorHAnsi"/>
          <w:sz w:val="22"/>
          <w:szCs w:val="22"/>
          <w:lang w:eastAsia="en-US" w:bidi="ar-SA"/>
        </w:rPr>
        <w:t>ych</w:t>
      </w:r>
      <w:r w:rsidR="00126CBC" w:rsidRPr="00890249">
        <w:rPr>
          <w:rFonts w:asciiTheme="minorHAnsi" w:hAnsiTheme="minorHAnsi" w:cstheme="minorHAnsi"/>
          <w:sz w:val="22"/>
          <w:szCs w:val="22"/>
          <w:lang w:eastAsia="en-US" w:bidi="ar-SA"/>
        </w:rPr>
        <w:t xml:space="preserve"> z przyczyn dotyczących zakładu pracy</w:t>
      </w:r>
      <w:r w:rsidR="000158CA" w:rsidRPr="00890249">
        <w:rPr>
          <w:rFonts w:asciiTheme="minorHAnsi" w:hAnsiTheme="minorHAnsi" w:cstheme="minorHAnsi"/>
          <w:sz w:val="22"/>
          <w:szCs w:val="22"/>
          <w:lang w:eastAsia="en-US" w:bidi="ar-SA"/>
        </w:rPr>
        <w:t xml:space="preserve"> </w:t>
      </w:r>
      <w:r w:rsidR="00E53D32">
        <w:rPr>
          <w:rFonts w:asciiTheme="minorHAnsi" w:hAnsiTheme="minorHAnsi" w:cstheme="minorHAnsi"/>
          <w:sz w:val="22"/>
          <w:szCs w:val="22"/>
          <w:lang w:eastAsia="en-US" w:bidi="ar-SA"/>
        </w:rPr>
        <w:t>oraz osób odchodzących z </w:t>
      </w:r>
      <w:r w:rsidR="00C648A0" w:rsidRPr="00890249">
        <w:rPr>
          <w:rFonts w:asciiTheme="minorHAnsi" w:hAnsiTheme="minorHAnsi" w:cstheme="minorHAnsi"/>
          <w:sz w:val="22"/>
          <w:szCs w:val="22"/>
          <w:lang w:eastAsia="en-US" w:bidi="ar-SA"/>
        </w:rPr>
        <w:t>rolnictwa</w:t>
      </w:r>
      <w:r w:rsidRPr="00890249">
        <w:rPr>
          <w:rFonts w:asciiTheme="minorHAnsi" w:hAnsiTheme="minorHAnsi" w:cstheme="minorHAnsi"/>
          <w:sz w:val="22"/>
          <w:szCs w:val="22"/>
          <w:lang w:eastAsia="en-US" w:bidi="ar-SA"/>
        </w:rPr>
        <w:t>.</w:t>
      </w:r>
    </w:p>
    <w:p w14:paraId="30564CA2" w14:textId="31098340" w:rsidR="001E6548" w:rsidRPr="00890249" w:rsidRDefault="001E6548" w:rsidP="009F296A">
      <w:pPr>
        <w:pStyle w:val="Lista3"/>
        <w:numPr>
          <w:ilvl w:val="0"/>
          <w:numId w:val="7"/>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Budowanie zdolności partnerów społecznych do realizacji działań na rzecz rynku pracy.</w:t>
      </w:r>
    </w:p>
    <w:p w14:paraId="5A1E32C3" w14:textId="752C9550"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374A8940" w14:textId="3037CFE1" w:rsidR="0093433C" w:rsidRPr="00890249" w:rsidRDefault="00701EDC">
      <w:pPr>
        <w:rPr>
          <w:rFonts w:asciiTheme="minorHAnsi" w:hAnsiTheme="minorHAnsi" w:cstheme="minorHAnsi"/>
          <w:sz w:val="22"/>
          <w:szCs w:val="22"/>
        </w:rPr>
      </w:pPr>
      <w:r w:rsidRPr="00890249">
        <w:rPr>
          <w:rFonts w:asciiTheme="minorHAnsi" w:hAnsiTheme="minorHAnsi" w:cstheme="minorHAnsi"/>
          <w:b/>
          <w:noProof/>
          <w:color w:val="2F5496" w:themeColor="accent5" w:themeShade="BF"/>
          <w:sz w:val="22"/>
          <w:szCs w:val="22"/>
        </w:rPr>
        <w:t>Główne grupy docelowe</w:t>
      </w:r>
    </w:p>
    <w:p w14:paraId="7EF1E2ED" w14:textId="682EC51A" w:rsidR="00AA1445" w:rsidRPr="00890249" w:rsidRDefault="002A7A05" w:rsidP="009F296A">
      <w:pPr>
        <w:pStyle w:val="Akapitzlist"/>
        <w:numPr>
          <w:ilvl w:val="0"/>
          <w:numId w:val="20"/>
        </w:numPr>
        <w:tabs>
          <w:tab w:val="left" w:pos="426"/>
        </w:tabs>
        <w:ind w:hanging="720"/>
        <w:contextualSpacing w:val="0"/>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pracodawcy oraz ich pracownicy</w:t>
      </w:r>
      <w:r w:rsidR="00AA1445" w:rsidRPr="00890249">
        <w:rPr>
          <w:rFonts w:asciiTheme="minorHAnsi" w:eastAsiaTheme="minorHAnsi" w:hAnsiTheme="minorHAnsi" w:cstheme="minorHAnsi"/>
          <w:sz w:val="22"/>
          <w:szCs w:val="22"/>
        </w:rPr>
        <w:t>, w tym zwłaszcza:</w:t>
      </w:r>
    </w:p>
    <w:p w14:paraId="0CF24346" w14:textId="654C5288" w:rsidR="00AA1445" w:rsidRPr="00890249" w:rsidRDefault="00AA1445" w:rsidP="009F296A">
      <w:pPr>
        <w:pStyle w:val="Akapitzlist"/>
        <w:numPr>
          <w:ilvl w:val="0"/>
          <w:numId w:val="60"/>
        </w:numPr>
        <w:tabs>
          <w:tab w:val="left" w:pos="426"/>
        </w:tabs>
        <w:spacing w:line="276" w:lineRule="auto"/>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lastRenderedPageBreak/>
        <w:t>osoby sprawujące opiekę nad małymi dziećmi, osobami starszymi i z niepełnosprawnościami,</w:t>
      </w:r>
    </w:p>
    <w:p w14:paraId="450B9983" w14:textId="77777777" w:rsidR="00B72154" w:rsidRPr="00890249" w:rsidRDefault="00875C92" w:rsidP="009F296A">
      <w:pPr>
        <w:pStyle w:val="Akapitzlist"/>
        <w:numPr>
          <w:ilvl w:val="0"/>
          <w:numId w:val="60"/>
        </w:numPr>
        <w:tabs>
          <w:tab w:val="left" w:pos="426"/>
        </w:tabs>
        <w:spacing w:line="276" w:lineRule="auto"/>
        <w:rPr>
          <w:rFonts w:asciiTheme="minorHAnsi" w:eastAsiaTheme="minorHAnsi" w:hAnsiTheme="minorHAnsi" w:cstheme="minorHAnsi"/>
          <w:sz w:val="22"/>
          <w:szCs w:val="22"/>
        </w:rPr>
      </w:pPr>
      <w:r w:rsidRPr="00890249">
        <w:rPr>
          <w:rFonts w:asciiTheme="minorHAnsi" w:hAnsiTheme="minorHAnsi" w:cstheme="minorHAnsi"/>
          <w:sz w:val="22"/>
          <w:szCs w:val="22"/>
        </w:rPr>
        <w:t xml:space="preserve">osoby, które ze względu na wiek oraz inne bariery nie są w stanie pracować w oparciu </w:t>
      </w:r>
      <w:r w:rsidRPr="00890249">
        <w:rPr>
          <w:rFonts w:asciiTheme="minorHAnsi" w:hAnsiTheme="minorHAnsi" w:cstheme="minorHAnsi"/>
          <w:sz w:val="22"/>
          <w:szCs w:val="22"/>
        </w:rPr>
        <w:br/>
        <w:t>o standardowe warunki zatrudnienia</w:t>
      </w:r>
      <w:r w:rsidRPr="00890249">
        <w:rPr>
          <w:rFonts w:asciiTheme="minorHAnsi" w:eastAsiaTheme="minorHAnsi" w:hAnsiTheme="minorHAnsi" w:cstheme="minorHAnsi"/>
          <w:sz w:val="22"/>
          <w:szCs w:val="22"/>
        </w:rPr>
        <w:t>,</w:t>
      </w:r>
    </w:p>
    <w:p w14:paraId="690D228F" w14:textId="77777777" w:rsidR="00AA1445" w:rsidRPr="00890249" w:rsidRDefault="00AA1445" w:rsidP="009F296A">
      <w:pPr>
        <w:pStyle w:val="Akapitzlist"/>
        <w:numPr>
          <w:ilvl w:val="0"/>
          <w:numId w:val="20"/>
        </w:numPr>
        <w:tabs>
          <w:tab w:val="left" w:pos="426"/>
        </w:tabs>
        <w:ind w:left="426" w:hanging="426"/>
        <w:contextualSpacing w:val="0"/>
        <w:rPr>
          <w:rFonts w:asciiTheme="minorHAnsi" w:eastAsiaTheme="minorHAnsi" w:hAnsiTheme="minorHAnsi" w:cstheme="minorHAnsi"/>
          <w:sz w:val="22"/>
          <w:szCs w:val="22"/>
        </w:rPr>
      </w:pPr>
      <w:r w:rsidRPr="00890249">
        <w:rPr>
          <w:rFonts w:asciiTheme="minorHAnsi" w:hAnsiTheme="minorHAnsi" w:cstheme="minorHAnsi"/>
          <w:sz w:val="22"/>
          <w:szCs w:val="22"/>
        </w:rPr>
        <w:t>pracownicy przedsiębiorstw zagrożeni zwolnieniem, przewidziani do zwolnienia lub zwolnieni z przyczyn dotyczących zakładu pracy, w tym również pracownicy dużych przedsiębiorstw,</w:t>
      </w:r>
    </w:p>
    <w:p w14:paraId="37F3BE56" w14:textId="77777777" w:rsidR="00304B33" w:rsidRPr="00890249" w:rsidRDefault="3ADA03BE" w:rsidP="009F296A">
      <w:pPr>
        <w:pStyle w:val="Akapitzlist"/>
        <w:numPr>
          <w:ilvl w:val="0"/>
          <w:numId w:val="20"/>
        </w:numPr>
        <w:tabs>
          <w:tab w:val="left" w:pos="426"/>
        </w:tabs>
        <w:ind w:hanging="720"/>
        <w:contextualSpacing w:val="0"/>
        <w:rPr>
          <w:rFonts w:asciiTheme="minorHAnsi" w:eastAsiaTheme="minorHAnsi" w:hAnsiTheme="minorHAnsi" w:cstheme="minorHAnsi"/>
          <w:sz w:val="22"/>
          <w:szCs w:val="22"/>
        </w:rPr>
      </w:pPr>
      <w:r w:rsidRPr="00890249">
        <w:rPr>
          <w:rFonts w:asciiTheme="minorHAnsi" w:eastAsiaTheme="minorEastAsia" w:hAnsiTheme="minorHAnsi" w:cstheme="minorHAnsi"/>
          <w:sz w:val="22"/>
          <w:szCs w:val="22"/>
        </w:rPr>
        <w:t>inne osoby pracujące</w:t>
      </w:r>
      <w:r w:rsidR="2E9B7710" w:rsidRPr="00890249">
        <w:rPr>
          <w:rFonts w:asciiTheme="minorHAnsi" w:eastAsiaTheme="minorEastAsia" w:hAnsiTheme="minorHAnsi" w:cstheme="minorHAnsi"/>
          <w:sz w:val="22"/>
          <w:szCs w:val="22"/>
        </w:rPr>
        <w:t>,</w:t>
      </w:r>
    </w:p>
    <w:p w14:paraId="6B80265E" w14:textId="75BCE3E8" w:rsidR="0093433C" w:rsidRPr="00890249" w:rsidRDefault="00875C92" w:rsidP="009F296A">
      <w:pPr>
        <w:pStyle w:val="Akapitzlist"/>
        <w:numPr>
          <w:ilvl w:val="0"/>
          <w:numId w:val="20"/>
        </w:numPr>
        <w:tabs>
          <w:tab w:val="left" w:pos="426"/>
        </w:tabs>
        <w:ind w:hanging="720"/>
        <w:contextualSpacing w:val="0"/>
        <w:rPr>
          <w:rFonts w:asciiTheme="minorHAnsi" w:eastAsiaTheme="minorHAnsi" w:hAnsiTheme="minorHAnsi" w:cstheme="minorHAnsi"/>
          <w:sz w:val="22"/>
          <w:szCs w:val="22"/>
        </w:rPr>
      </w:pPr>
      <w:r w:rsidRPr="00890249">
        <w:rPr>
          <w:rFonts w:asciiTheme="minorHAnsi" w:eastAsiaTheme="minorEastAsia" w:hAnsiTheme="minorHAnsi" w:cstheme="minorHAnsi"/>
          <w:sz w:val="22"/>
          <w:szCs w:val="22"/>
        </w:rPr>
        <w:t>osoby bezrobotne</w:t>
      </w:r>
      <w:r w:rsidR="3615D931" w:rsidRPr="00890249">
        <w:rPr>
          <w:rFonts w:asciiTheme="minorHAnsi" w:eastAsiaTheme="minorEastAsia" w:hAnsiTheme="minorHAnsi" w:cstheme="minorHAnsi"/>
          <w:sz w:val="22"/>
          <w:szCs w:val="22"/>
        </w:rPr>
        <w:t>,</w:t>
      </w:r>
    </w:p>
    <w:p w14:paraId="4B297B96" w14:textId="1CF64CED" w:rsidR="0093433C" w:rsidRPr="00890249" w:rsidRDefault="00672318" w:rsidP="009F296A">
      <w:pPr>
        <w:pStyle w:val="Akapitzlist"/>
        <w:numPr>
          <w:ilvl w:val="0"/>
          <w:numId w:val="20"/>
        </w:numPr>
        <w:tabs>
          <w:tab w:val="left" w:pos="426"/>
        </w:tabs>
        <w:ind w:hanging="720"/>
        <w:contextualSpacing w:val="0"/>
        <w:rPr>
          <w:rFonts w:asciiTheme="minorHAnsi" w:eastAsiaTheme="minorEastAsia" w:hAnsiTheme="minorHAnsi" w:cstheme="minorHAnsi"/>
          <w:sz w:val="22"/>
          <w:szCs w:val="22"/>
        </w:rPr>
      </w:pPr>
      <w:r w:rsidRPr="00890249">
        <w:rPr>
          <w:rFonts w:asciiTheme="minorHAnsi" w:eastAsiaTheme="minorEastAsia" w:hAnsiTheme="minorHAnsi" w:cstheme="minorHAnsi"/>
          <w:sz w:val="22"/>
          <w:szCs w:val="22"/>
        </w:rPr>
        <w:t xml:space="preserve">związki zawodowe i </w:t>
      </w:r>
      <w:r w:rsidR="00CC7C16" w:rsidRPr="00890249">
        <w:rPr>
          <w:rFonts w:asciiTheme="minorHAnsi" w:eastAsiaTheme="minorEastAsia" w:hAnsiTheme="minorHAnsi" w:cstheme="minorHAnsi"/>
          <w:sz w:val="22"/>
          <w:szCs w:val="22"/>
        </w:rPr>
        <w:t xml:space="preserve">organizacje </w:t>
      </w:r>
      <w:r w:rsidRPr="00890249">
        <w:rPr>
          <w:rFonts w:asciiTheme="minorHAnsi" w:eastAsiaTheme="minorEastAsia" w:hAnsiTheme="minorHAnsi" w:cstheme="minorHAnsi"/>
          <w:sz w:val="22"/>
          <w:szCs w:val="22"/>
        </w:rPr>
        <w:t>pracodawców</w:t>
      </w:r>
      <w:r w:rsidR="00AA1445" w:rsidRPr="00890249">
        <w:rPr>
          <w:rFonts w:asciiTheme="minorHAnsi" w:eastAsiaTheme="minorEastAsia" w:hAnsiTheme="minorHAnsi" w:cstheme="minorHAnsi"/>
          <w:sz w:val="22"/>
          <w:szCs w:val="22"/>
        </w:rPr>
        <w:t>,</w:t>
      </w:r>
    </w:p>
    <w:p w14:paraId="2070E6E7" w14:textId="77777777" w:rsidR="0093433C" w:rsidRPr="00890249" w:rsidRDefault="00DE5D95" w:rsidP="009F296A">
      <w:pPr>
        <w:pStyle w:val="Akapitzlist"/>
        <w:numPr>
          <w:ilvl w:val="0"/>
          <w:numId w:val="20"/>
        </w:numPr>
        <w:tabs>
          <w:tab w:val="left" w:pos="426"/>
        </w:tabs>
        <w:ind w:hanging="720"/>
        <w:contextualSpacing w:val="0"/>
        <w:rPr>
          <w:rFonts w:asciiTheme="minorHAnsi" w:hAnsiTheme="minorHAnsi" w:cstheme="minorHAnsi"/>
          <w:sz w:val="22"/>
          <w:szCs w:val="22"/>
        </w:rPr>
      </w:pPr>
      <w:r w:rsidRPr="00890249">
        <w:rPr>
          <w:rFonts w:asciiTheme="minorHAnsi" w:eastAsiaTheme="minorEastAsia" w:hAnsiTheme="minorHAnsi" w:cstheme="minorHAnsi"/>
          <w:sz w:val="22"/>
          <w:szCs w:val="22"/>
        </w:rPr>
        <w:t>osoby odchodzące</w:t>
      </w:r>
      <w:r w:rsidRPr="00890249">
        <w:rPr>
          <w:rFonts w:asciiTheme="minorHAnsi" w:hAnsiTheme="minorHAnsi" w:cstheme="minorHAnsi"/>
          <w:sz w:val="22"/>
          <w:szCs w:val="22"/>
        </w:rPr>
        <w:t xml:space="preserve"> z rolnictwa.</w:t>
      </w:r>
    </w:p>
    <w:p w14:paraId="0F5AB64E" w14:textId="77777777" w:rsidR="00701EDC" w:rsidRPr="00890249" w:rsidRDefault="00701EDC" w:rsidP="00701EDC">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47C0A506"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zrównoważonego rozwoju oraz Załącznikiem III do Rozporządzenia UE 2021/1060.</w:t>
      </w:r>
    </w:p>
    <w:p w14:paraId="266AC9CC"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6AFB71D1"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7D787A98" w14:textId="77777777" w:rsidR="0093433C" w:rsidRPr="00890249" w:rsidRDefault="00AD6FEC" w:rsidP="009F296A">
      <w:pPr>
        <w:pStyle w:val="Listapunktowana2"/>
        <w:numPr>
          <w:ilvl w:val="0"/>
          <w:numId w:val="65"/>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4116C427" w14:textId="77777777"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5D30C863" w14:textId="77777777"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Pr="00890249">
        <w:rPr>
          <w:rFonts w:asciiTheme="minorHAnsi" w:hAnsiTheme="minorHAnsi" w:cstheme="minorHAnsi"/>
          <w:sz w:val="22"/>
          <w:szCs w:val="22"/>
          <w:lang w:eastAsia="en-US" w:bidi="ar-SA"/>
        </w:rPr>
        <w:br/>
        <w:t xml:space="preserve">i szkodliwych praktyk, </w:t>
      </w:r>
    </w:p>
    <w:p w14:paraId="7AF1FFEC" w14:textId="60ABF608"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00AE052A" w:rsidRPr="00890249">
        <w:rPr>
          <w:rFonts w:asciiTheme="minorHAnsi" w:hAnsiTheme="minorHAnsi" w:cstheme="minorHAnsi"/>
          <w:sz w:val="22"/>
          <w:szCs w:val="22"/>
          <w:lang w:eastAsia="en-US" w:bidi="ar-SA"/>
        </w:rPr>
        <w:t xml:space="preserve">beneficjenta, będącego </w:t>
      </w:r>
      <w:r w:rsidR="00AE052A"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1A9B771C" w14:textId="77777777"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668B6DF7" w14:textId="77777777"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2CC84521" w14:textId="77777777"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włączenie do Komitetu Monitorującego członków organizacji pozarządowych oraz reprezentantów mniejszości, w tym etnicznych, </w:t>
      </w:r>
    </w:p>
    <w:p w14:paraId="12BB30C9" w14:textId="77777777" w:rsidR="0093433C" w:rsidRPr="00890249" w:rsidRDefault="00AD6FEC"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6BCAF698"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79B19877" w14:textId="77777777" w:rsidR="0093433C" w:rsidRPr="00890249" w:rsidRDefault="00A55F50"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r w:rsidR="00F05571" w:rsidRPr="00890249">
        <w:rPr>
          <w:rFonts w:asciiTheme="minorHAnsi" w:hAnsiTheme="minorHAnsi" w:cstheme="minorHAnsi"/>
          <w:sz w:val="22"/>
          <w:szCs w:val="22"/>
        </w:rPr>
        <w:t xml:space="preserve"> </w:t>
      </w:r>
    </w:p>
    <w:p w14:paraId="19CB162E" w14:textId="400A8366" w:rsidR="0093433C" w:rsidRPr="00890249" w:rsidRDefault="00AC276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Istn</w:t>
      </w:r>
      <w:r w:rsidR="00A41980" w:rsidRPr="00890249">
        <w:rPr>
          <w:rFonts w:asciiTheme="minorHAnsi" w:hAnsiTheme="minorHAnsi" w:cstheme="minorHAnsi"/>
          <w:noProof/>
          <w:sz w:val="22"/>
          <w:szCs w:val="22"/>
        </w:rPr>
        <w:t>ieje możliwość preferencji dla m</w:t>
      </w:r>
      <w:r w:rsidRPr="00890249">
        <w:rPr>
          <w:rFonts w:asciiTheme="minorHAnsi" w:hAnsiTheme="minorHAnsi" w:cstheme="minorHAnsi"/>
          <w:noProof/>
          <w:sz w:val="22"/>
          <w:szCs w:val="22"/>
        </w:rPr>
        <w:t xml:space="preserve">ieszkańców obszarów strategicznej interwencji, tj. miast średnich tracących funkcje społeczno-gospodarcze oraz </w:t>
      </w:r>
      <w:r w:rsidR="00A31553" w:rsidRPr="00890249">
        <w:rPr>
          <w:rFonts w:asciiTheme="minorHAnsi" w:hAnsiTheme="minorHAnsi" w:cstheme="minorHAnsi"/>
          <w:noProof/>
          <w:sz w:val="22"/>
          <w:szCs w:val="22"/>
        </w:rPr>
        <w:t xml:space="preserve">obszarów </w:t>
      </w:r>
      <w:r w:rsidRPr="00890249">
        <w:rPr>
          <w:rFonts w:asciiTheme="minorHAnsi" w:hAnsiTheme="minorHAnsi" w:cstheme="minorHAnsi"/>
          <w:noProof/>
          <w:sz w:val="22"/>
          <w:szCs w:val="22"/>
        </w:rPr>
        <w:t xml:space="preserve">zagrożonych trwałą marginalizacją, zidentyfikowanych na poziomie krajowym. </w:t>
      </w:r>
    </w:p>
    <w:p w14:paraId="02B557D9"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6F925A68" w14:textId="422FDBD4"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Wszystkie interwencje zaplanowane w </w:t>
      </w:r>
      <w:r w:rsidR="00A31553" w:rsidRPr="00890249">
        <w:rPr>
          <w:rFonts w:asciiTheme="minorHAnsi" w:hAnsiTheme="minorHAnsi" w:cstheme="minorHAnsi"/>
          <w:sz w:val="22"/>
          <w:szCs w:val="22"/>
          <w:lang w:eastAsia="en-US" w:bidi="ar-SA"/>
        </w:rPr>
        <w:t>cs (d)</w:t>
      </w:r>
      <w:r w:rsidRPr="00890249">
        <w:rPr>
          <w:rFonts w:asciiTheme="minorHAnsi" w:hAnsiTheme="minorHAnsi" w:cstheme="minorHAnsi"/>
          <w:sz w:val="22"/>
          <w:szCs w:val="22"/>
          <w:lang w:eastAsia="en-US" w:bidi="ar-SA"/>
        </w:rPr>
        <w:t xml:space="preserve"> 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w:t>
      </w:r>
      <w:r w:rsidR="00523863" w:rsidRPr="00890249">
        <w:rPr>
          <w:rFonts w:asciiTheme="minorHAnsi" w:hAnsiTheme="minorHAnsi" w:cstheme="minorHAnsi"/>
          <w:sz w:val="22"/>
          <w:szCs w:val="22"/>
          <w:lang w:eastAsia="en-US" w:bidi="ar-SA"/>
        </w:rPr>
        <w:t xml:space="preserve">, z </w:t>
      </w:r>
      <w:r w:rsidRPr="00890249">
        <w:rPr>
          <w:rFonts w:asciiTheme="minorHAnsi" w:hAnsiTheme="minorHAnsi" w:cstheme="minorHAnsi"/>
          <w:sz w:val="22"/>
          <w:szCs w:val="22"/>
          <w:lang w:eastAsia="en-US" w:bidi="ar-SA"/>
        </w:rPr>
        <w:t xml:space="preserve"> interwencj</w:t>
      </w:r>
      <w:r w:rsidR="00523863"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wskazan</w:t>
      </w:r>
      <w:r w:rsidR="00523863"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 programach współpracy transgranicznej </w:t>
      </w:r>
      <w:r w:rsidR="00A37995" w:rsidRPr="00890249">
        <w:rPr>
          <w:rFonts w:asciiTheme="minorHAnsi" w:hAnsiTheme="minorHAnsi" w:cstheme="minorHAnsi"/>
          <w:sz w:val="22"/>
          <w:szCs w:val="22"/>
          <w:lang w:eastAsia="en-US" w:bidi="ar-SA"/>
        </w:rPr>
        <w:t>Interreg</w:t>
      </w:r>
      <w:r w:rsidRPr="00890249">
        <w:rPr>
          <w:rFonts w:asciiTheme="minorHAnsi" w:hAnsiTheme="minorHAnsi" w:cstheme="minorHAnsi"/>
          <w:sz w:val="22"/>
          <w:szCs w:val="22"/>
          <w:lang w:eastAsia="en-US" w:bidi="ar-SA"/>
        </w:rPr>
        <w:t xml:space="preserve"> Czechy-Polska 2021-2027 oraz Interreg Region Morza Bałtyckiego 2021-2027, w tym w zakresie: wzmacniania konkurencyjności MŚP, zwiększenia odporności i przystosowania do zmian klimatu, rozw</w:t>
      </w:r>
      <w:r w:rsidR="00523863" w:rsidRPr="00890249">
        <w:rPr>
          <w:rFonts w:asciiTheme="minorHAnsi" w:hAnsiTheme="minorHAnsi" w:cstheme="minorHAnsi"/>
          <w:sz w:val="22"/>
          <w:szCs w:val="22"/>
          <w:lang w:eastAsia="en-US" w:bidi="ar-SA"/>
        </w:rPr>
        <w:t xml:space="preserve">oju </w:t>
      </w:r>
      <w:r w:rsidRPr="00890249">
        <w:rPr>
          <w:rFonts w:asciiTheme="minorHAnsi" w:hAnsiTheme="minorHAnsi" w:cstheme="minorHAnsi"/>
          <w:sz w:val="22"/>
          <w:szCs w:val="22"/>
          <w:lang w:eastAsia="en-US" w:bidi="ar-SA"/>
        </w:rPr>
        <w:t xml:space="preserve">bioróżnorodności, a także transgranicznej infrastruktury transportowej oraz zrównoważonej turystyki. </w:t>
      </w:r>
    </w:p>
    <w:p w14:paraId="7D6C931E" w14:textId="77777777"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programie współpracy transgranicznej Interreg Czechy-Polska 2021-2027 założono wsparcie konkurencyjności MŚP, które jest komplementarne z działaniami zaplanowanymi w FEO 2021-2027 wzmacniającymi kwalifikacje i kompetencje pracowników tych podmiotów.</w:t>
      </w:r>
    </w:p>
    <w:p w14:paraId="58A1EA0D" w14:textId="4CA2CA83"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Ponadto wsparcie zaplanowane w FEO 2021-2027 w kontekście wdrażania elastycznych form zatrudnienia będzie uzupełniać się</w:t>
      </w:r>
      <w:r w:rsidR="00523863" w:rsidRPr="00890249">
        <w:rPr>
          <w:rFonts w:asciiTheme="minorHAnsi" w:hAnsiTheme="minorHAnsi" w:cstheme="minorHAnsi"/>
          <w:sz w:val="22"/>
          <w:szCs w:val="22"/>
          <w:lang w:eastAsia="en-US" w:bidi="ar-SA"/>
        </w:rPr>
        <w:t xml:space="preserve"> z interwencją </w:t>
      </w:r>
      <w:r w:rsidRPr="00890249">
        <w:rPr>
          <w:rFonts w:asciiTheme="minorHAnsi" w:hAnsiTheme="minorHAnsi" w:cstheme="minorHAnsi"/>
          <w:sz w:val="22"/>
          <w:szCs w:val="22"/>
          <w:lang w:eastAsia="en-US" w:bidi="ar-SA"/>
        </w:rPr>
        <w:t>wskazan</w:t>
      </w:r>
      <w:r w:rsidR="00523863"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 programie współpracy transgranicznej Interreg Region Morza Bałtyckiego 2021-2027, w ramach którego zaplanowano promowanie inteligentnych rozwiązań w zakresie pracy i testowanie mechanizmów wspierających słabsze grupy społeczne.</w:t>
      </w:r>
      <w:r w:rsidR="00523863" w:rsidRPr="00890249">
        <w:rPr>
          <w:rFonts w:asciiTheme="minorHAnsi" w:hAnsiTheme="minorHAnsi" w:cstheme="minorHAnsi"/>
          <w:sz w:val="22"/>
          <w:szCs w:val="22"/>
          <w:lang w:eastAsia="en-US" w:bidi="ar-SA"/>
        </w:rPr>
        <w:t xml:space="preserve"> </w:t>
      </w:r>
      <w:r w:rsidR="002347CB" w:rsidRPr="00890249">
        <w:rPr>
          <w:rFonts w:asciiTheme="minorHAnsi" w:hAnsiTheme="minorHAnsi" w:cstheme="minorHAnsi"/>
          <w:sz w:val="22"/>
          <w:szCs w:val="22"/>
          <w:lang w:eastAsia="en-US" w:bidi="ar-SA"/>
        </w:rPr>
        <w:t xml:space="preserve">Komplementarność tych działań wpłynie na zwiększenie skuteczności podejmowanej interwencji powodując tym samym efekt synergii. </w:t>
      </w:r>
    </w:p>
    <w:p w14:paraId="5A8D4663" w14:textId="77777777"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podejmowane w cs (d) wpisują się również w Obszar Tematyczny Zdrowie Strategii UE dla regionu Morza Bałtyckiego.</w:t>
      </w:r>
    </w:p>
    <w:p w14:paraId="0D29CD6F" w14:textId="1C3FE7D9"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 Planowane wykorzystanie instrumentów finansowych</w:t>
      </w:r>
    </w:p>
    <w:p w14:paraId="17BACD3B" w14:textId="77777777" w:rsidR="00701EDC" w:rsidRPr="00890249" w:rsidRDefault="00701EDC" w:rsidP="00701EDC">
      <w:pPr>
        <w:spacing w:before="0" w:after="0"/>
        <w:rPr>
          <w:rFonts w:asciiTheme="minorHAnsi" w:hAnsiTheme="minorHAnsi" w:cstheme="minorHAnsi"/>
          <w:noProof/>
          <w:sz w:val="22"/>
        </w:rPr>
      </w:pPr>
      <w:r w:rsidRPr="00890249">
        <w:rPr>
          <w:rFonts w:asciiTheme="minorHAnsi" w:hAnsiTheme="minorHAnsi" w:cstheme="minorHAnsi"/>
          <w:noProof/>
          <w:sz w:val="22"/>
        </w:rPr>
        <w:t>W ramach cs (d) nie planuje się wykorzystania instrumentów finansowych.</w:t>
      </w:r>
    </w:p>
    <w:p w14:paraId="1C4D574A" w14:textId="089A1CD7" w:rsidR="0093433C" w:rsidRPr="00890249" w:rsidRDefault="00143915"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przedsięwzięcia dotyczą ochrony zdrowia oraz wsparcia usług rozwojowych</w:t>
      </w:r>
      <w:r w:rsidR="009C1C8D" w:rsidRPr="00890249">
        <w:rPr>
          <w:rFonts w:asciiTheme="minorHAnsi" w:hAnsiTheme="minorHAnsi" w:cstheme="minorHAnsi"/>
          <w:noProof/>
          <w:sz w:val="22"/>
          <w:szCs w:val="22"/>
        </w:rPr>
        <w:t xml:space="preserve">. </w:t>
      </w:r>
      <w:r w:rsidR="00705DC1" w:rsidRPr="00890249">
        <w:rPr>
          <w:rFonts w:asciiTheme="minorHAnsi" w:hAnsiTheme="minorHAnsi" w:cstheme="minorHAnsi"/>
          <w:noProof/>
          <w:sz w:val="22"/>
          <w:szCs w:val="22"/>
        </w:rPr>
        <w:t>Nie będą to przedsięwzięcia prowadzone dla zysku, samofinansujące się</w:t>
      </w:r>
      <w:r w:rsidR="005A7E1B" w:rsidRPr="00890249">
        <w:rPr>
          <w:rFonts w:asciiTheme="minorHAnsi" w:hAnsiTheme="minorHAnsi" w:cstheme="minorHAnsi"/>
          <w:noProof/>
          <w:sz w:val="22"/>
          <w:szCs w:val="22"/>
        </w:rPr>
        <w:t>.</w:t>
      </w:r>
      <w:r w:rsidR="00705DC1" w:rsidRPr="00890249">
        <w:rPr>
          <w:rFonts w:asciiTheme="minorHAnsi" w:hAnsiTheme="minorHAnsi" w:cstheme="minorHAnsi"/>
          <w:noProof/>
          <w:sz w:val="22"/>
          <w:szCs w:val="22"/>
        </w:rPr>
        <w:t xml:space="preserve"> Będą</w:t>
      </w:r>
      <w:r w:rsidR="00E53D32">
        <w:rPr>
          <w:rFonts w:asciiTheme="minorHAnsi" w:hAnsiTheme="minorHAnsi" w:cstheme="minorHAnsi"/>
          <w:noProof/>
          <w:sz w:val="22"/>
          <w:szCs w:val="22"/>
        </w:rPr>
        <w:t xml:space="preserve"> to inwestycje w kwalifikacje i </w:t>
      </w:r>
      <w:r w:rsidR="009C1C8D" w:rsidRPr="00890249">
        <w:rPr>
          <w:rFonts w:asciiTheme="minorHAnsi" w:hAnsiTheme="minorHAnsi" w:cstheme="minorHAnsi"/>
          <w:noProof/>
          <w:sz w:val="22"/>
          <w:szCs w:val="22"/>
        </w:rPr>
        <w:t xml:space="preserve">kompetencje pracowników, </w:t>
      </w:r>
      <w:r w:rsidR="00705DC1" w:rsidRPr="00890249">
        <w:rPr>
          <w:rFonts w:asciiTheme="minorHAnsi" w:hAnsiTheme="minorHAnsi" w:cstheme="minorHAnsi"/>
          <w:noProof/>
          <w:sz w:val="22"/>
          <w:szCs w:val="22"/>
        </w:rPr>
        <w:t xml:space="preserve">tak więc </w:t>
      </w:r>
      <w:r w:rsidR="00A37995" w:rsidRPr="00890249">
        <w:rPr>
          <w:rFonts w:asciiTheme="minorHAnsi" w:hAnsiTheme="minorHAnsi" w:cstheme="minorHAnsi"/>
          <w:noProof/>
          <w:sz w:val="22"/>
          <w:szCs w:val="22"/>
        </w:rPr>
        <w:t>będą</w:t>
      </w:r>
      <w:r w:rsidR="00705DC1" w:rsidRPr="00890249">
        <w:rPr>
          <w:rFonts w:asciiTheme="minorHAnsi" w:hAnsiTheme="minorHAnsi" w:cstheme="minorHAnsi"/>
          <w:noProof/>
          <w:sz w:val="22"/>
          <w:szCs w:val="22"/>
        </w:rPr>
        <w:t xml:space="preserve"> z nich</w:t>
      </w:r>
      <w:r w:rsidR="009C1C8D" w:rsidRPr="00890249">
        <w:rPr>
          <w:rFonts w:asciiTheme="minorHAnsi" w:hAnsiTheme="minorHAnsi" w:cstheme="minorHAnsi"/>
          <w:noProof/>
          <w:sz w:val="22"/>
          <w:szCs w:val="22"/>
        </w:rPr>
        <w:t xml:space="preserve"> korzystać nie tylko pracodawc</w:t>
      </w:r>
      <w:r w:rsidR="00A37995" w:rsidRPr="00890249">
        <w:rPr>
          <w:rFonts w:asciiTheme="minorHAnsi" w:hAnsiTheme="minorHAnsi" w:cstheme="minorHAnsi"/>
          <w:noProof/>
          <w:sz w:val="22"/>
          <w:szCs w:val="22"/>
        </w:rPr>
        <w:t>y,</w:t>
      </w:r>
      <w:r w:rsidR="009C1C8D" w:rsidRPr="00890249">
        <w:rPr>
          <w:rFonts w:asciiTheme="minorHAnsi" w:hAnsiTheme="minorHAnsi" w:cstheme="minorHAnsi"/>
          <w:noProof/>
          <w:sz w:val="22"/>
          <w:szCs w:val="22"/>
        </w:rPr>
        <w:t xml:space="preserve"> ale </w:t>
      </w:r>
      <w:r w:rsidR="00705DC1" w:rsidRPr="00890249">
        <w:rPr>
          <w:rFonts w:asciiTheme="minorHAnsi" w:hAnsiTheme="minorHAnsi" w:cstheme="minorHAnsi"/>
          <w:noProof/>
          <w:sz w:val="22"/>
          <w:szCs w:val="22"/>
        </w:rPr>
        <w:t>również uczestnicy (osoby fizyczne). P</w:t>
      </w:r>
      <w:r w:rsidR="009C1C8D" w:rsidRPr="00890249">
        <w:rPr>
          <w:rFonts w:asciiTheme="minorHAnsi" w:hAnsiTheme="minorHAnsi" w:cstheme="minorHAnsi"/>
          <w:noProof/>
          <w:sz w:val="22"/>
          <w:szCs w:val="22"/>
        </w:rPr>
        <w:t xml:space="preserve">otencjalnie </w:t>
      </w:r>
      <w:r w:rsidR="00705DC1" w:rsidRPr="00890249">
        <w:rPr>
          <w:rFonts w:asciiTheme="minorHAnsi" w:hAnsiTheme="minorHAnsi" w:cstheme="minorHAnsi"/>
          <w:noProof/>
          <w:sz w:val="22"/>
          <w:szCs w:val="22"/>
        </w:rPr>
        <w:t>zwiększy to</w:t>
      </w:r>
      <w:r w:rsidR="009C1C8D" w:rsidRPr="00890249">
        <w:rPr>
          <w:rFonts w:asciiTheme="minorHAnsi" w:hAnsiTheme="minorHAnsi" w:cstheme="minorHAnsi"/>
          <w:noProof/>
          <w:sz w:val="22"/>
          <w:szCs w:val="22"/>
        </w:rPr>
        <w:t xml:space="preserve"> </w:t>
      </w:r>
      <w:r w:rsidR="00705DC1" w:rsidRPr="00890249">
        <w:rPr>
          <w:rFonts w:asciiTheme="minorHAnsi" w:hAnsiTheme="minorHAnsi" w:cstheme="minorHAnsi"/>
          <w:noProof/>
          <w:sz w:val="22"/>
          <w:szCs w:val="22"/>
        </w:rPr>
        <w:t>ich</w:t>
      </w:r>
      <w:r w:rsidR="009C1C8D" w:rsidRPr="00890249">
        <w:rPr>
          <w:rFonts w:asciiTheme="minorHAnsi" w:hAnsiTheme="minorHAnsi" w:cstheme="minorHAnsi"/>
          <w:noProof/>
          <w:sz w:val="22"/>
          <w:szCs w:val="22"/>
        </w:rPr>
        <w:t xml:space="preserve"> szanse na rynku </w:t>
      </w:r>
      <w:r w:rsidR="00705DC1" w:rsidRPr="00890249">
        <w:rPr>
          <w:rFonts w:asciiTheme="minorHAnsi" w:hAnsiTheme="minorHAnsi" w:cstheme="minorHAnsi"/>
          <w:noProof/>
          <w:sz w:val="22"/>
          <w:szCs w:val="22"/>
        </w:rPr>
        <w:t xml:space="preserve">pracy </w:t>
      </w:r>
      <w:r w:rsidR="009C1C8D" w:rsidRPr="00890249">
        <w:rPr>
          <w:rFonts w:asciiTheme="minorHAnsi" w:hAnsiTheme="minorHAnsi" w:cstheme="minorHAnsi"/>
          <w:noProof/>
          <w:sz w:val="22"/>
          <w:szCs w:val="22"/>
        </w:rPr>
        <w:t>lub rozwó</w:t>
      </w:r>
      <w:r w:rsidR="00705DC1" w:rsidRPr="00890249">
        <w:rPr>
          <w:rFonts w:asciiTheme="minorHAnsi" w:hAnsiTheme="minorHAnsi" w:cstheme="minorHAnsi"/>
          <w:noProof/>
          <w:sz w:val="22"/>
          <w:szCs w:val="22"/>
        </w:rPr>
        <w:t xml:space="preserve">j </w:t>
      </w:r>
      <w:r w:rsidR="00A37995" w:rsidRPr="00890249">
        <w:rPr>
          <w:rFonts w:asciiTheme="minorHAnsi" w:hAnsiTheme="minorHAnsi" w:cstheme="minorHAnsi"/>
          <w:noProof/>
          <w:sz w:val="22"/>
          <w:szCs w:val="22"/>
        </w:rPr>
        <w:t>u danego pracodawcy.</w:t>
      </w:r>
    </w:p>
    <w:p w14:paraId="67A7F4A0" w14:textId="77777777" w:rsidR="00701EDC" w:rsidRPr="00890249" w:rsidRDefault="00701EDC" w:rsidP="00701EDC">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t>2.1.5.3.2 (d) Wskaźniki</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751"/>
        <w:gridCol w:w="693"/>
        <w:gridCol w:w="1009"/>
        <w:gridCol w:w="830"/>
        <w:gridCol w:w="2213"/>
        <w:gridCol w:w="1383"/>
        <w:gridCol w:w="830"/>
        <w:gridCol w:w="691"/>
      </w:tblGrid>
      <w:tr w:rsidR="0034642D" w:rsidRPr="00890249" w14:paraId="50E3580A" w14:textId="77777777" w:rsidTr="00E53D32">
        <w:trPr>
          <w:trHeight w:val="425"/>
          <w:tblHeader/>
        </w:trPr>
        <w:tc>
          <w:tcPr>
            <w:tcW w:w="5000" w:type="pct"/>
            <w:gridSpan w:val="9"/>
            <w:shd w:val="clear" w:color="auto" w:fill="D9D9D9" w:themeFill="background1" w:themeFillShade="D9"/>
          </w:tcPr>
          <w:p w14:paraId="5609CBFC"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18BBFE17" w14:textId="77777777" w:rsidTr="00E53D32">
        <w:trPr>
          <w:cantSplit/>
          <w:trHeight w:val="1647"/>
          <w:tblHeader/>
        </w:trPr>
        <w:tc>
          <w:tcPr>
            <w:tcW w:w="294" w:type="pct"/>
            <w:shd w:val="clear" w:color="auto" w:fill="F2F2F2" w:themeFill="background1" w:themeFillShade="F2"/>
            <w:textDirection w:val="btLr"/>
            <w:vAlign w:val="center"/>
          </w:tcPr>
          <w:p w14:paraId="3CB55B2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21" w:type="pct"/>
            <w:shd w:val="clear" w:color="auto" w:fill="F2F2F2" w:themeFill="background1" w:themeFillShade="F2"/>
            <w:textDirection w:val="btLr"/>
            <w:vAlign w:val="center"/>
          </w:tcPr>
          <w:p w14:paraId="14762FF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8" w:type="pct"/>
            <w:shd w:val="clear" w:color="auto" w:fill="F2F2F2" w:themeFill="background1" w:themeFillShade="F2"/>
            <w:textDirection w:val="btLr"/>
            <w:vAlign w:val="center"/>
          </w:tcPr>
          <w:p w14:paraId="151A35C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65" w:type="pct"/>
            <w:shd w:val="clear" w:color="auto" w:fill="F2F2F2" w:themeFill="background1" w:themeFillShade="F2"/>
            <w:textDirection w:val="btLr"/>
            <w:vAlign w:val="center"/>
          </w:tcPr>
          <w:p w14:paraId="298DC51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5" w:type="pct"/>
            <w:shd w:val="clear" w:color="auto" w:fill="F2F2F2" w:themeFill="background1" w:themeFillShade="F2"/>
            <w:textDirection w:val="btLr"/>
            <w:vAlign w:val="center"/>
          </w:tcPr>
          <w:p w14:paraId="3ED0081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40" w:type="pct"/>
            <w:shd w:val="clear" w:color="auto" w:fill="F2F2F2" w:themeFill="background1" w:themeFillShade="F2"/>
            <w:textDirection w:val="btLr"/>
            <w:vAlign w:val="center"/>
          </w:tcPr>
          <w:p w14:paraId="4DD2F4F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775" w:type="pct"/>
            <w:shd w:val="clear" w:color="auto" w:fill="F2F2F2" w:themeFill="background1" w:themeFillShade="F2"/>
            <w:textDirection w:val="btLr"/>
            <w:vAlign w:val="center"/>
          </w:tcPr>
          <w:p w14:paraId="310C20F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465" w:type="pct"/>
            <w:shd w:val="clear" w:color="auto" w:fill="F2F2F2" w:themeFill="background1" w:themeFillShade="F2"/>
            <w:textDirection w:val="btLr"/>
            <w:vAlign w:val="center"/>
          </w:tcPr>
          <w:p w14:paraId="395A566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387" w:type="pct"/>
            <w:shd w:val="clear" w:color="auto" w:fill="F2F2F2" w:themeFill="background1" w:themeFillShade="F2"/>
            <w:textDirection w:val="btLr"/>
            <w:vAlign w:val="center"/>
          </w:tcPr>
          <w:p w14:paraId="59B1E57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311CDD" w:rsidRPr="00890249" w14:paraId="303C31FD" w14:textId="77777777" w:rsidTr="0043241C">
        <w:trPr>
          <w:trHeight w:val="340"/>
        </w:trPr>
        <w:tc>
          <w:tcPr>
            <w:tcW w:w="294" w:type="pct"/>
            <w:vAlign w:val="center"/>
          </w:tcPr>
          <w:p w14:paraId="7F0F6A41" w14:textId="77777777" w:rsidR="00311CDD" w:rsidRPr="00890249" w:rsidRDefault="00E76BD1" w:rsidP="0034642D">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21" w:type="pct"/>
            <w:vAlign w:val="center"/>
          </w:tcPr>
          <w:p w14:paraId="0D6C3EC5" w14:textId="77777777" w:rsidR="00311CDD" w:rsidRPr="00890249" w:rsidRDefault="00311CDD" w:rsidP="00DF114C">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DF114C" w:rsidRPr="00890249">
              <w:rPr>
                <w:rFonts w:asciiTheme="minorHAnsi" w:eastAsiaTheme="minorHAnsi" w:hAnsiTheme="minorHAnsi" w:cstheme="minorHAnsi"/>
                <w:i/>
                <w:noProof/>
                <w:sz w:val="18"/>
                <w:szCs w:val="16"/>
                <w:lang w:eastAsia="en-US" w:bidi="ar-SA"/>
              </w:rPr>
              <w:t>d</w:t>
            </w:r>
          </w:p>
        </w:tc>
        <w:tc>
          <w:tcPr>
            <w:tcW w:w="388" w:type="pct"/>
            <w:vAlign w:val="center"/>
          </w:tcPr>
          <w:p w14:paraId="0CB0C87D" w14:textId="77777777" w:rsidR="00311CDD" w:rsidRPr="00890249" w:rsidRDefault="00311CDD"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65" w:type="pct"/>
            <w:vAlign w:val="center"/>
          </w:tcPr>
          <w:p w14:paraId="75080A5F" w14:textId="77777777" w:rsidR="00311CDD" w:rsidRPr="00890249" w:rsidRDefault="00E76BD1" w:rsidP="00311CD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5" w:type="pct"/>
            <w:vAlign w:val="center"/>
          </w:tcPr>
          <w:p w14:paraId="5082C9BC" w14:textId="0074DA86" w:rsidR="00311CDD" w:rsidRPr="00890249" w:rsidRDefault="002970A9" w:rsidP="00311CDD">
            <w:pPr>
              <w:jc w:val="center"/>
              <w:rPr>
                <w:rFonts w:asciiTheme="minorHAnsi" w:hAnsiTheme="minorHAnsi" w:cstheme="minorHAnsi"/>
                <w:i/>
                <w:noProof/>
                <w:sz w:val="18"/>
                <w:szCs w:val="16"/>
              </w:rPr>
            </w:pPr>
            <w:r w:rsidRPr="002970A9">
              <w:rPr>
                <w:rFonts w:asciiTheme="minorHAnsi" w:hAnsiTheme="minorHAnsi" w:cstheme="minorHAnsi"/>
                <w:i/>
                <w:noProof/>
                <w:sz w:val="18"/>
                <w:szCs w:val="16"/>
              </w:rPr>
              <w:t>PLDCO08</w:t>
            </w:r>
          </w:p>
        </w:tc>
        <w:tc>
          <w:tcPr>
            <w:tcW w:w="1240" w:type="pct"/>
            <w:shd w:val="clear" w:color="auto" w:fill="auto"/>
            <w:vAlign w:val="center"/>
          </w:tcPr>
          <w:p w14:paraId="44820870" w14:textId="67A4D947" w:rsidR="00311CDD" w:rsidRPr="00890249" w:rsidRDefault="00311CDD" w:rsidP="007D0E2B">
            <w:pPr>
              <w:jc w:val="left"/>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 xml:space="preserve">Liczba osób objętych </w:t>
            </w:r>
            <w:r w:rsidR="007D0E2B" w:rsidRPr="00890249">
              <w:rPr>
                <w:rFonts w:asciiTheme="minorHAnsi" w:eastAsiaTheme="minorHAnsi" w:hAnsiTheme="minorHAnsi" w:cstheme="minorHAnsi"/>
                <w:i/>
                <w:noProof/>
                <w:sz w:val="18"/>
                <w:szCs w:val="16"/>
                <w:lang w:eastAsia="en-US" w:bidi="ar-SA"/>
              </w:rPr>
              <w:t>wsparciem w obszarze zdrowia</w:t>
            </w:r>
          </w:p>
        </w:tc>
        <w:tc>
          <w:tcPr>
            <w:tcW w:w="775" w:type="pct"/>
            <w:vAlign w:val="center"/>
          </w:tcPr>
          <w:p w14:paraId="4B8A940B" w14:textId="77777777" w:rsidR="00311CDD" w:rsidRPr="00890249" w:rsidRDefault="002576D4"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os.</w:t>
            </w:r>
          </w:p>
        </w:tc>
        <w:tc>
          <w:tcPr>
            <w:tcW w:w="465" w:type="pct"/>
            <w:shd w:val="clear" w:color="auto" w:fill="auto"/>
            <w:vAlign w:val="center"/>
          </w:tcPr>
          <w:p w14:paraId="1E5E3E4B" w14:textId="77777777" w:rsidR="00A63705" w:rsidRPr="00F62734" w:rsidRDefault="002F64CC" w:rsidP="0043241C">
            <w:pPr>
              <w:jc w:val="center"/>
              <w:rPr>
                <w:rFonts w:asciiTheme="minorHAnsi" w:hAnsiTheme="minorHAnsi" w:cstheme="minorHAnsi"/>
                <w:iCs/>
                <w:noProof/>
                <w:sz w:val="18"/>
                <w:szCs w:val="16"/>
              </w:rPr>
            </w:pPr>
            <w:r w:rsidRPr="00F62734">
              <w:rPr>
                <w:rFonts w:asciiTheme="minorHAnsi" w:hAnsiTheme="minorHAnsi" w:cstheme="minorHAnsi"/>
                <w:iCs/>
                <w:noProof/>
                <w:sz w:val="18"/>
                <w:szCs w:val="16"/>
              </w:rPr>
              <w:t>100</w:t>
            </w:r>
          </w:p>
        </w:tc>
        <w:tc>
          <w:tcPr>
            <w:tcW w:w="387" w:type="pct"/>
            <w:shd w:val="clear" w:color="auto" w:fill="auto"/>
            <w:vAlign w:val="center"/>
          </w:tcPr>
          <w:p w14:paraId="208883FD" w14:textId="1879B7EF" w:rsidR="00A63705" w:rsidRPr="00F62734" w:rsidRDefault="00745649" w:rsidP="0043241C">
            <w:pPr>
              <w:jc w:val="center"/>
              <w:rPr>
                <w:rFonts w:asciiTheme="minorHAnsi" w:hAnsiTheme="minorHAnsi" w:cstheme="minorHAnsi"/>
                <w:iCs/>
                <w:noProof/>
                <w:sz w:val="18"/>
                <w:szCs w:val="16"/>
              </w:rPr>
            </w:pPr>
            <w:r w:rsidRPr="00F62734">
              <w:rPr>
                <w:rFonts w:asciiTheme="minorHAnsi" w:hAnsiTheme="minorHAnsi" w:cstheme="minorHAnsi"/>
                <w:iCs/>
                <w:noProof/>
                <w:sz w:val="18"/>
                <w:szCs w:val="16"/>
              </w:rPr>
              <w:t xml:space="preserve"> 700</w:t>
            </w:r>
          </w:p>
        </w:tc>
      </w:tr>
      <w:tr w:rsidR="002E3F2E" w:rsidRPr="00890249" w14:paraId="39F8057A" w14:textId="77777777" w:rsidTr="0043241C">
        <w:trPr>
          <w:trHeight w:val="332"/>
        </w:trPr>
        <w:tc>
          <w:tcPr>
            <w:tcW w:w="294" w:type="pct"/>
            <w:vAlign w:val="center"/>
          </w:tcPr>
          <w:p w14:paraId="075CC1B1" w14:textId="77777777" w:rsidR="002E3F2E" w:rsidRPr="00890249" w:rsidRDefault="00E76BD1" w:rsidP="002E3F2E">
            <w:pPr>
              <w:rPr>
                <w:rFonts w:asciiTheme="minorHAnsi" w:hAnsiTheme="minorHAnsi" w:cstheme="minorHAnsi"/>
                <w:i/>
                <w:noProof/>
                <w:sz w:val="18"/>
                <w:szCs w:val="16"/>
              </w:rPr>
            </w:pPr>
            <w:r w:rsidRPr="00890249">
              <w:rPr>
                <w:rFonts w:asciiTheme="minorHAnsi" w:hAnsiTheme="minorHAnsi" w:cstheme="minorHAnsi"/>
                <w:i/>
                <w:noProof/>
                <w:sz w:val="18"/>
                <w:szCs w:val="16"/>
              </w:rPr>
              <w:lastRenderedPageBreak/>
              <w:t>CP4</w:t>
            </w:r>
          </w:p>
        </w:tc>
        <w:tc>
          <w:tcPr>
            <w:tcW w:w="421" w:type="pct"/>
            <w:vAlign w:val="center"/>
          </w:tcPr>
          <w:p w14:paraId="0C7F6132" w14:textId="77777777" w:rsidR="002E3F2E" w:rsidRPr="00890249" w:rsidRDefault="002E3F2E" w:rsidP="00DF114C">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DF114C" w:rsidRPr="00890249">
              <w:rPr>
                <w:rFonts w:asciiTheme="minorHAnsi" w:eastAsiaTheme="minorHAnsi" w:hAnsiTheme="minorHAnsi" w:cstheme="minorHAnsi"/>
                <w:i/>
                <w:noProof/>
                <w:sz w:val="18"/>
                <w:szCs w:val="16"/>
                <w:lang w:eastAsia="en-US" w:bidi="ar-SA"/>
              </w:rPr>
              <w:t>d</w:t>
            </w:r>
          </w:p>
        </w:tc>
        <w:tc>
          <w:tcPr>
            <w:tcW w:w="388" w:type="pct"/>
            <w:vAlign w:val="center"/>
          </w:tcPr>
          <w:p w14:paraId="0DC06FFE" w14:textId="77777777" w:rsidR="002E3F2E" w:rsidRPr="00890249" w:rsidRDefault="002E3F2E" w:rsidP="002E3F2E">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65" w:type="pct"/>
            <w:vAlign w:val="center"/>
          </w:tcPr>
          <w:p w14:paraId="2A9518EC" w14:textId="77777777" w:rsidR="002E3F2E" w:rsidRPr="00890249" w:rsidRDefault="00E76BD1" w:rsidP="002E3F2E">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5" w:type="pct"/>
            <w:vAlign w:val="center"/>
          </w:tcPr>
          <w:p w14:paraId="34E9F1AC" w14:textId="3A3072B4" w:rsidR="002E3F2E" w:rsidRPr="00890249" w:rsidRDefault="00FD3A29" w:rsidP="002E3F2E">
            <w:pPr>
              <w:jc w:val="center"/>
              <w:rPr>
                <w:rFonts w:asciiTheme="minorHAnsi" w:hAnsiTheme="minorHAnsi" w:cstheme="minorHAnsi"/>
                <w:i/>
                <w:sz w:val="18"/>
                <w:szCs w:val="16"/>
              </w:rPr>
            </w:pPr>
            <w:r w:rsidRPr="00890249">
              <w:rPr>
                <w:rFonts w:asciiTheme="minorHAnsi" w:hAnsiTheme="minorHAnsi" w:cstheme="minorHAnsi"/>
                <w:i/>
                <w:sz w:val="18"/>
                <w:szCs w:val="16"/>
              </w:rPr>
              <w:t>EECO19</w:t>
            </w:r>
          </w:p>
        </w:tc>
        <w:tc>
          <w:tcPr>
            <w:tcW w:w="1240" w:type="pct"/>
            <w:shd w:val="clear" w:color="auto" w:fill="auto"/>
            <w:vAlign w:val="center"/>
          </w:tcPr>
          <w:p w14:paraId="0DE92875" w14:textId="70C97F9F" w:rsidR="002E3F2E" w:rsidRPr="00890249" w:rsidRDefault="00FD3A29" w:rsidP="002E3F2E">
            <w:pPr>
              <w:jc w:val="left"/>
              <w:rPr>
                <w:rFonts w:asciiTheme="minorHAnsi" w:hAnsiTheme="minorHAnsi" w:cstheme="minorHAnsi"/>
                <w:i/>
                <w:sz w:val="18"/>
                <w:szCs w:val="16"/>
              </w:rPr>
            </w:pPr>
            <w:r w:rsidRPr="00890249">
              <w:rPr>
                <w:rFonts w:asciiTheme="minorHAnsi" w:eastAsiaTheme="minorHAnsi" w:hAnsiTheme="minorHAnsi" w:cstheme="minorHAnsi"/>
                <w:i/>
                <w:noProof/>
                <w:sz w:val="18"/>
                <w:szCs w:val="16"/>
                <w:lang w:eastAsia="en-US" w:bidi="ar-SA"/>
              </w:rPr>
              <w:t>Liczba objętych wsparciem mikro-, małych i średnich przedsiębiorstw (w tym spółdzielni i przedsiębiorstw społecznych)</w:t>
            </w:r>
          </w:p>
        </w:tc>
        <w:tc>
          <w:tcPr>
            <w:tcW w:w="775" w:type="pct"/>
            <w:vAlign w:val="center"/>
          </w:tcPr>
          <w:p w14:paraId="44C1C33B" w14:textId="77777777" w:rsidR="002E3F2E" w:rsidRPr="00890249" w:rsidRDefault="002E3F2E" w:rsidP="002E3F2E">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przesiębiorstwa</w:t>
            </w:r>
          </w:p>
        </w:tc>
        <w:tc>
          <w:tcPr>
            <w:tcW w:w="465" w:type="pct"/>
            <w:shd w:val="clear" w:color="auto" w:fill="auto"/>
            <w:vAlign w:val="center"/>
          </w:tcPr>
          <w:p w14:paraId="586B8726" w14:textId="10920C27" w:rsidR="00A63705" w:rsidRPr="00890249" w:rsidRDefault="00A309C8" w:rsidP="0043241C">
            <w:pPr>
              <w:jc w:val="center"/>
              <w:rPr>
                <w:rFonts w:asciiTheme="minorHAnsi" w:hAnsiTheme="minorHAnsi" w:cstheme="minorHAnsi"/>
                <w:noProof/>
                <w:sz w:val="18"/>
                <w:szCs w:val="16"/>
              </w:rPr>
            </w:pPr>
            <w:r>
              <w:rPr>
                <w:rFonts w:asciiTheme="minorHAnsi" w:hAnsiTheme="minorHAnsi" w:cstheme="minorHAnsi"/>
                <w:noProof/>
                <w:sz w:val="18"/>
                <w:szCs w:val="16"/>
              </w:rPr>
              <w:t>54</w:t>
            </w:r>
          </w:p>
        </w:tc>
        <w:tc>
          <w:tcPr>
            <w:tcW w:w="387" w:type="pct"/>
            <w:shd w:val="clear" w:color="auto" w:fill="auto"/>
            <w:vAlign w:val="center"/>
          </w:tcPr>
          <w:p w14:paraId="302C990B" w14:textId="77777777" w:rsidR="00A63705" w:rsidRPr="00890249" w:rsidRDefault="002F64CC"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420</w:t>
            </w:r>
          </w:p>
        </w:tc>
      </w:tr>
      <w:tr w:rsidR="002F64CC" w:rsidRPr="00890249" w14:paraId="0F317282" w14:textId="77777777" w:rsidTr="002F64CC">
        <w:trPr>
          <w:trHeight w:val="332"/>
        </w:trPr>
        <w:tc>
          <w:tcPr>
            <w:tcW w:w="294" w:type="pct"/>
            <w:vAlign w:val="center"/>
          </w:tcPr>
          <w:p w14:paraId="7AF6E1EC" w14:textId="77777777" w:rsidR="002F64CC" w:rsidRPr="00890249" w:rsidRDefault="002F64CC" w:rsidP="002F64CC">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21" w:type="pct"/>
            <w:vAlign w:val="center"/>
          </w:tcPr>
          <w:p w14:paraId="6C461B4F" w14:textId="77777777" w:rsidR="002F64CC" w:rsidRPr="00890249" w:rsidRDefault="002F64CC" w:rsidP="002F64CC">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4.d</w:t>
            </w:r>
          </w:p>
        </w:tc>
        <w:tc>
          <w:tcPr>
            <w:tcW w:w="388" w:type="pct"/>
            <w:vAlign w:val="center"/>
          </w:tcPr>
          <w:p w14:paraId="58929A36" w14:textId="77777777" w:rsidR="002F64CC" w:rsidRPr="00890249" w:rsidRDefault="002F64CC" w:rsidP="002F64CC">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5" w:type="pct"/>
            <w:vAlign w:val="center"/>
          </w:tcPr>
          <w:p w14:paraId="0B32F4D8" w14:textId="77777777" w:rsidR="002F64CC" w:rsidRPr="00890249" w:rsidRDefault="002F64CC" w:rsidP="002F64CC">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5" w:type="pct"/>
            <w:vAlign w:val="center"/>
          </w:tcPr>
          <w:p w14:paraId="3CE7B32C" w14:textId="77777777" w:rsidR="002F64CC" w:rsidRPr="00890249" w:rsidRDefault="002F64CC" w:rsidP="002F64CC">
            <w:pPr>
              <w:jc w:val="center"/>
              <w:rPr>
                <w:rFonts w:asciiTheme="minorHAnsi" w:hAnsiTheme="minorHAnsi" w:cstheme="minorHAnsi"/>
                <w:i/>
                <w:sz w:val="18"/>
                <w:szCs w:val="16"/>
              </w:rPr>
            </w:pPr>
            <w:r w:rsidRPr="00890249">
              <w:rPr>
                <w:rFonts w:asciiTheme="minorHAnsi" w:hAnsiTheme="minorHAnsi" w:cstheme="minorHAnsi"/>
                <w:i/>
                <w:sz w:val="18"/>
                <w:szCs w:val="16"/>
              </w:rPr>
              <w:t>PLDCO06</w:t>
            </w:r>
          </w:p>
        </w:tc>
        <w:tc>
          <w:tcPr>
            <w:tcW w:w="1240" w:type="pct"/>
            <w:shd w:val="clear" w:color="auto" w:fill="auto"/>
            <w:vAlign w:val="center"/>
          </w:tcPr>
          <w:p w14:paraId="1FD17B60" w14:textId="77777777" w:rsidR="002F64CC" w:rsidRPr="00890249" w:rsidRDefault="002F64CC" w:rsidP="002F64CC">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objętych wsparciem z zakresu outplacementu</w:t>
            </w:r>
          </w:p>
        </w:tc>
        <w:tc>
          <w:tcPr>
            <w:tcW w:w="775" w:type="pct"/>
            <w:vAlign w:val="center"/>
          </w:tcPr>
          <w:p w14:paraId="4276C3ED" w14:textId="7D31E4C1" w:rsidR="002F64CC" w:rsidRPr="00890249" w:rsidRDefault="002B6F03" w:rsidP="002F64CC">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465" w:type="pct"/>
            <w:shd w:val="clear" w:color="auto" w:fill="auto"/>
            <w:vAlign w:val="center"/>
          </w:tcPr>
          <w:p w14:paraId="614741D3" w14:textId="77777777" w:rsidR="002F64CC" w:rsidRPr="00890249" w:rsidRDefault="002F64CC" w:rsidP="002F64CC">
            <w:pPr>
              <w:jc w:val="center"/>
              <w:rPr>
                <w:rFonts w:asciiTheme="minorHAnsi" w:hAnsiTheme="minorHAnsi" w:cstheme="minorHAnsi"/>
                <w:noProof/>
                <w:sz w:val="18"/>
                <w:szCs w:val="16"/>
              </w:rPr>
            </w:pPr>
            <w:r w:rsidRPr="00890249">
              <w:rPr>
                <w:rFonts w:asciiTheme="minorHAnsi" w:hAnsiTheme="minorHAnsi" w:cstheme="minorHAnsi"/>
                <w:noProof/>
                <w:sz w:val="18"/>
                <w:szCs w:val="16"/>
              </w:rPr>
              <w:t>20</w:t>
            </w:r>
          </w:p>
        </w:tc>
        <w:tc>
          <w:tcPr>
            <w:tcW w:w="387" w:type="pct"/>
            <w:shd w:val="clear" w:color="auto" w:fill="auto"/>
            <w:vAlign w:val="center"/>
          </w:tcPr>
          <w:p w14:paraId="05B5169F" w14:textId="77777777" w:rsidR="002F64CC" w:rsidRPr="00890249" w:rsidRDefault="002F64CC" w:rsidP="002F64CC">
            <w:pPr>
              <w:jc w:val="center"/>
              <w:rPr>
                <w:rFonts w:asciiTheme="minorHAnsi" w:hAnsiTheme="minorHAnsi" w:cstheme="minorHAnsi"/>
                <w:noProof/>
                <w:sz w:val="18"/>
                <w:szCs w:val="16"/>
              </w:rPr>
            </w:pPr>
            <w:r w:rsidRPr="00890249">
              <w:rPr>
                <w:rFonts w:asciiTheme="minorHAnsi" w:hAnsiTheme="minorHAnsi" w:cstheme="minorHAnsi"/>
                <w:noProof/>
                <w:sz w:val="18"/>
                <w:szCs w:val="16"/>
              </w:rPr>
              <w:t>300</w:t>
            </w:r>
          </w:p>
        </w:tc>
      </w:tr>
    </w:tbl>
    <w:p w14:paraId="7702A729" w14:textId="77777777" w:rsidR="00B25BDE" w:rsidRPr="00890249" w:rsidRDefault="00B25BDE" w:rsidP="00B25BDE">
      <w:pPr>
        <w:spacing w:after="0"/>
        <w:rPr>
          <w:rFonts w:asciiTheme="minorHAnsi" w:eastAsia="Times New Roman" w:hAnsiTheme="minorHAnsi" w:cstheme="minorHAnsi"/>
          <w:b/>
          <w:iCs/>
          <w:noProof/>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52"/>
        <w:gridCol w:w="692"/>
        <w:gridCol w:w="1008"/>
        <w:gridCol w:w="775"/>
        <w:gridCol w:w="1383"/>
        <w:gridCol w:w="831"/>
        <w:gridCol w:w="692"/>
        <w:gridCol w:w="596"/>
        <w:gridCol w:w="561"/>
        <w:gridCol w:w="605"/>
        <w:gridCol w:w="554"/>
      </w:tblGrid>
      <w:tr w:rsidR="0098169C" w:rsidRPr="00890249" w14:paraId="46FD2B2D" w14:textId="77777777" w:rsidTr="00E53D32">
        <w:trPr>
          <w:trHeight w:val="480"/>
          <w:tblHeader/>
        </w:trPr>
        <w:tc>
          <w:tcPr>
            <w:tcW w:w="5000" w:type="pct"/>
            <w:gridSpan w:val="12"/>
            <w:shd w:val="clear" w:color="auto" w:fill="D9D9D9" w:themeFill="background1" w:themeFillShade="D9"/>
          </w:tcPr>
          <w:p w14:paraId="3BD3CA1A"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98169C" w:rsidRPr="00890249" w14:paraId="2DC332F2" w14:textId="77777777" w:rsidTr="00E53D32">
        <w:trPr>
          <w:cantSplit/>
          <w:trHeight w:val="1768"/>
          <w:tblHeader/>
        </w:trPr>
        <w:tc>
          <w:tcPr>
            <w:tcW w:w="290" w:type="pct"/>
            <w:shd w:val="clear" w:color="auto" w:fill="F2F2F2" w:themeFill="background1" w:themeFillShade="F2"/>
            <w:textDirection w:val="btLr"/>
            <w:vAlign w:val="center"/>
          </w:tcPr>
          <w:p w14:paraId="796E2E1E"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9" w:type="pct"/>
            <w:shd w:val="clear" w:color="auto" w:fill="F2F2F2" w:themeFill="background1" w:themeFillShade="F2"/>
            <w:textDirection w:val="btLr"/>
            <w:vAlign w:val="center"/>
          </w:tcPr>
          <w:p w14:paraId="12EC2DC3"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6" w:type="pct"/>
            <w:shd w:val="clear" w:color="auto" w:fill="F2F2F2" w:themeFill="background1" w:themeFillShade="F2"/>
            <w:textDirection w:val="btLr"/>
            <w:vAlign w:val="center"/>
          </w:tcPr>
          <w:p w14:paraId="09A444DF"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62" w:type="pct"/>
            <w:shd w:val="clear" w:color="auto" w:fill="F2F2F2" w:themeFill="background1" w:themeFillShade="F2"/>
            <w:textDirection w:val="btLr"/>
            <w:vAlign w:val="center"/>
          </w:tcPr>
          <w:p w14:paraId="7DF2C6DF"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32" w:type="pct"/>
            <w:shd w:val="clear" w:color="auto" w:fill="F2F2F2" w:themeFill="background1" w:themeFillShade="F2"/>
            <w:textDirection w:val="btLr"/>
            <w:vAlign w:val="center"/>
          </w:tcPr>
          <w:p w14:paraId="65C44B20"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71" w:type="pct"/>
            <w:shd w:val="clear" w:color="auto" w:fill="F2F2F2" w:themeFill="background1" w:themeFillShade="F2"/>
            <w:textDirection w:val="btLr"/>
            <w:vAlign w:val="center"/>
          </w:tcPr>
          <w:p w14:paraId="3682FD0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63" w:type="pct"/>
            <w:shd w:val="clear" w:color="auto" w:fill="F2F2F2" w:themeFill="background1" w:themeFillShade="F2"/>
            <w:textDirection w:val="btLr"/>
            <w:vAlign w:val="center"/>
          </w:tcPr>
          <w:p w14:paraId="5A32507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6" w:type="pct"/>
            <w:shd w:val="clear" w:color="auto" w:fill="F2F2F2" w:themeFill="background1" w:themeFillShade="F2"/>
            <w:textDirection w:val="btLr"/>
            <w:vAlign w:val="center"/>
          </w:tcPr>
          <w:p w14:paraId="5746757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32" w:type="pct"/>
            <w:shd w:val="clear" w:color="auto" w:fill="F2F2F2" w:themeFill="background1" w:themeFillShade="F2"/>
            <w:textDirection w:val="btLr"/>
            <w:vAlign w:val="center"/>
          </w:tcPr>
          <w:p w14:paraId="45146C6F"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3" w:type="pct"/>
            <w:shd w:val="clear" w:color="auto" w:fill="F2F2F2" w:themeFill="background1" w:themeFillShade="F2"/>
            <w:textDirection w:val="btLr"/>
            <w:vAlign w:val="center"/>
          </w:tcPr>
          <w:p w14:paraId="3B90A5E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7" w:type="pct"/>
            <w:shd w:val="clear" w:color="auto" w:fill="F2F2F2" w:themeFill="background1" w:themeFillShade="F2"/>
            <w:textDirection w:val="btLr"/>
            <w:vAlign w:val="center"/>
          </w:tcPr>
          <w:p w14:paraId="3738947C"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9" w:type="pct"/>
            <w:shd w:val="clear" w:color="auto" w:fill="F2F2F2" w:themeFill="background1" w:themeFillShade="F2"/>
            <w:textDirection w:val="btLr"/>
            <w:vAlign w:val="center"/>
          </w:tcPr>
          <w:p w14:paraId="10A53A88"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491BC2" w:rsidRPr="00890249" w14:paraId="52585151" w14:textId="77777777" w:rsidTr="00775731">
        <w:trPr>
          <w:trHeight w:val="434"/>
        </w:trPr>
        <w:tc>
          <w:tcPr>
            <w:tcW w:w="290" w:type="pct"/>
            <w:tcBorders>
              <w:bottom w:val="single" w:sz="4" w:space="0" w:color="auto"/>
            </w:tcBorders>
            <w:vAlign w:val="center"/>
          </w:tcPr>
          <w:p w14:paraId="348648F4" w14:textId="77777777" w:rsidR="00491BC2" w:rsidRPr="00890249" w:rsidRDefault="00491BC2" w:rsidP="00491BC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9" w:type="pct"/>
            <w:tcBorders>
              <w:bottom w:val="single" w:sz="4" w:space="0" w:color="auto"/>
            </w:tcBorders>
            <w:vAlign w:val="center"/>
          </w:tcPr>
          <w:p w14:paraId="1EA986B8" w14:textId="77777777" w:rsidR="00491BC2" w:rsidRPr="00890249" w:rsidRDefault="00491BC2" w:rsidP="00491BC2">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4.d</w:t>
            </w:r>
          </w:p>
        </w:tc>
        <w:tc>
          <w:tcPr>
            <w:tcW w:w="386" w:type="pct"/>
            <w:tcBorders>
              <w:bottom w:val="single" w:sz="4" w:space="0" w:color="auto"/>
            </w:tcBorders>
            <w:vAlign w:val="center"/>
          </w:tcPr>
          <w:p w14:paraId="68A1FEA8" w14:textId="77777777" w:rsidR="00491BC2" w:rsidRPr="00890249" w:rsidRDefault="00491BC2" w:rsidP="00491BC2">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2" w:type="pct"/>
            <w:tcBorders>
              <w:bottom w:val="single" w:sz="4" w:space="0" w:color="auto"/>
            </w:tcBorders>
            <w:vAlign w:val="center"/>
          </w:tcPr>
          <w:p w14:paraId="29B36D9E" w14:textId="77777777" w:rsidR="00491BC2" w:rsidRPr="00890249" w:rsidRDefault="00491BC2" w:rsidP="00491BC2">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32" w:type="pct"/>
            <w:tcBorders>
              <w:bottom w:val="single" w:sz="4" w:space="0" w:color="auto"/>
            </w:tcBorders>
            <w:vAlign w:val="center"/>
          </w:tcPr>
          <w:p w14:paraId="6381002B" w14:textId="77777777" w:rsidR="00491BC2" w:rsidRPr="00890249" w:rsidRDefault="002F64CC" w:rsidP="00491BC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PLDCR02</w:t>
            </w:r>
          </w:p>
        </w:tc>
        <w:tc>
          <w:tcPr>
            <w:tcW w:w="771" w:type="pct"/>
            <w:tcBorders>
              <w:bottom w:val="single" w:sz="4" w:space="0" w:color="auto"/>
            </w:tcBorders>
            <w:shd w:val="clear" w:color="auto" w:fill="auto"/>
            <w:vAlign w:val="center"/>
          </w:tcPr>
          <w:p w14:paraId="66F04D2E" w14:textId="36921AEB" w:rsidR="00491BC2" w:rsidRPr="00890249" w:rsidRDefault="00491BC2" w:rsidP="00491BC2">
            <w:pPr>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które w wyniku realizacji wsparcia z zakresu outplacementu/</w:t>
            </w:r>
            <w:r w:rsidR="002970A9" w:rsidRPr="002970A9">
              <w:rPr>
                <w:rFonts w:asciiTheme="minorHAnsi" w:eastAsiaTheme="minorHAnsi" w:hAnsiTheme="minorHAnsi" w:cstheme="minorHAnsi"/>
                <w:i/>
                <w:noProof/>
                <w:sz w:val="18"/>
                <w:szCs w:val="16"/>
                <w:lang w:eastAsia="en-US" w:bidi="ar-SA"/>
              </w:rPr>
              <w:t xml:space="preserve"> poprawy środowiska pracy podjęły pracę lub kontynuowały zatrudnienie</w:t>
            </w:r>
          </w:p>
        </w:tc>
        <w:tc>
          <w:tcPr>
            <w:tcW w:w="463" w:type="pct"/>
            <w:tcBorders>
              <w:bottom w:val="single" w:sz="4" w:space="0" w:color="auto"/>
            </w:tcBorders>
            <w:vAlign w:val="center"/>
          </w:tcPr>
          <w:p w14:paraId="2BCDDC91" w14:textId="6DD64C73" w:rsidR="00491BC2" w:rsidRPr="00890249" w:rsidRDefault="00586C86" w:rsidP="00491BC2">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w:t>
            </w:r>
          </w:p>
        </w:tc>
        <w:tc>
          <w:tcPr>
            <w:tcW w:w="386" w:type="pct"/>
            <w:tcBorders>
              <w:bottom w:val="single" w:sz="4" w:space="0" w:color="auto"/>
            </w:tcBorders>
            <w:vAlign w:val="center"/>
          </w:tcPr>
          <w:p w14:paraId="13936E03" w14:textId="77777777" w:rsidR="00491BC2" w:rsidRPr="00890249" w:rsidRDefault="0036471F" w:rsidP="00491BC2">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51%</w:t>
            </w:r>
          </w:p>
        </w:tc>
        <w:tc>
          <w:tcPr>
            <w:tcW w:w="332" w:type="pct"/>
            <w:tcBorders>
              <w:bottom w:val="single" w:sz="4" w:space="0" w:color="auto"/>
            </w:tcBorders>
            <w:vAlign w:val="center"/>
          </w:tcPr>
          <w:p w14:paraId="19F01992" w14:textId="77777777" w:rsidR="00491BC2" w:rsidRPr="00890249" w:rsidRDefault="0036471F" w:rsidP="00491BC2">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3" w:type="pct"/>
            <w:tcBorders>
              <w:bottom w:val="single" w:sz="4" w:space="0" w:color="auto"/>
            </w:tcBorders>
            <w:shd w:val="clear" w:color="auto" w:fill="auto"/>
            <w:vAlign w:val="center"/>
          </w:tcPr>
          <w:p w14:paraId="2B11BD86" w14:textId="77777777" w:rsidR="00491BC2" w:rsidRPr="00890249" w:rsidRDefault="003F3AB0" w:rsidP="00491BC2">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7</w:t>
            </w:r>
            <w:r w:rsidR="0036471F" w:rsidRPr="00890249">
              <w:rPr>
                <w:rFonts w:asciiTheme="minorHAnsi" w:hAnsiTheme="minorHAnsi" w:cstheme="minorHAnsi"/>
                <w:b/>
                <w:noProof/>
                <w:sz w:val="18"/>
                <w:szCs w:val="16"/>
                <w:lang w:eastAsia="en-US" w:bidi="ar-SA"/>
              </w:rPr>
              <w:t>0%</w:t>
            </w:r>
          </w:p>
        </w:tc>
        <w:tc>
          <w:tcPr>
            <w:tcW w:w="337" w:type="pct"/>
            <w:tcBorders>
              <w:bottom w:val="single" w:sz="4" w:space="0" w:color="auto"/>
            </w:tcBorders>
            <w:shd w:val="clear" w:color="auto" w:fill="auto"/>
            <w:vAlign w:val="center"/>
          </w:tcPr>
          <w:p w14:paraId="62A07C18" w14:textId="77777777" w:rsidR="00491BC2" w:rsidRPr="00890249" w:rsidRDefault="00D31E60" w:rsidP="00491BC2">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09" w:type="pct"/>
            <w:tcBorders>
              <w:bottom w:val="single" w:sz="4" w:space="0" w:color="auto"/>
            </w:tcBorders>
            <w:vAlign w:val="center"/>
          </w:tcPr>
          <w:p w14:paraId="41C58A52" w14:textId="513FC519" w:rsidR="00491BC2" w:rsidRPr="00890249" w:rsidRDefault="00FD3A29" w:rsidP="00491BC2">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PLDCO06</w:t>
            </w:r>
          </w:p>
        </w:tc>
      </w:tr>
      <w:tr w:rsidR="0036471F" w:rsidRPr="00890249" w14:paraId="265B4519" w14:textId="77777777" w:rsidTr="00E76BD1">
        <w:trPr>
          <w:trHeight w:val="434"/>
        </w:trPr>
        <w:tc>
          <w:tcPr>
            <w:tcW w:w="290" w:type="pct"/>
            <w:vAlign w:val="center"/>
          </w:tcPr>
          <w:p w14:paraId="21346EFD" w14:textId="77777777" w:rsidR="0036471F" w:rsidRPr="00890249" w:rsidRDefault="0036471F" w:rsidP="0036471F">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9" w:type="pct"/>
            <w:vAlign w:val="center"/>
          </w:tcPr>
          <w:p w14:paraId="73929C3A" w14:textId="77777777" w:rsidR="0036471F" w:rsidRPr="00890249" w:rsidRDefault="0036471F" w:rsidP="0036471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4.d</w:t>
            </w:r>
          </w:p>
        </w:tc>
        <w:tc>
          <w:tcPr>
            <w:tcW w:w="386" w:type="pct"/>
            <w:vAlign w:val="center"/>
          </w:tcPr>
          <w:p w14:paraId="5A803F60" w14:textId="77777777" w:rsidR="0036471F" w:rsidRPr="00890249" w:rsidRDefault="0036471F" w:rsidP="0036471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2" w:type="pct"/>
            <w:vAlign w:val="center"/>
          </w:tcPr>
          <w:p w14:paraId="050C2BB5" w14:textId="77777777" w:rsidR="0036471F" w:rsidRPr="00890249" w:rsidRDefault="0036471F" w:rsidP="0036471F">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32" w:type="pct"/>
            <w:vAlign w:val="center"/>
          </w:tcPr>
          <w:p w14:paraId="3EF56C76" w14:textId="1E1F6F6E" w:rsidR="0036471F" w:rsidRPr="00890249" w:rsidRDefault="002970A9" w:rsidP="0036471F">
            <w:pPr>
              <w:jc w:val="center"/>
              <w:rPr>
                <w:rFonts w:asciiTheme="minorHAnsi" w:hAnsiTheme="minorHAnsi" w:cstheme="minorHAnsi"/>
                <w:i/>
                <w:noProof/>
                <w:sz w:val="18"/>
                <w:szCs w:val="16"/>
                <w:lang w:eastAsia="en-US" w:bidi="ar-SA"/>
              </w:rPr>
            </w:pPr>
            <w:r w:rsidRPr="002970A9">
              <w:rPr>
                <w:rFonts w:asciiTheme="minorHAnsi" w:hAnsiTheme="minorHAnsi" w:cstheme="minorHAnsi"/>
                <w:i/>
                <w:noProof/>
                <w:sz w:val="18"/>
                <w:szCs w:val="16"/>
                <w:lang w:eastAsia="en-US" w:bidi="ar-SA"/>
              </w:rPr>
              <w:t>EECR03</w:t>
            </w:r>
          </w:p>
        </w:tc>
        <w:tc>
          <w:tcPr>
            <w:tcW w:w="771" w:type="pct"/>
            <w:shd w:val="clear" w:color="auto" w:fill="auto"/>
            <w:vAlign w:val="center"/>
          </w:tcPr>
          <w:p w14:paraId="684EBD10" w14:textId="3702A26F" w:rsidR="0036471F" w:rsidRPr="00890249" w:rsidRDefault="002970A9" w:rsidP="0036471F">
            <w:pPr>
              <w:jc w:val="left"/>
              <w:rPr>
                <w:rFonts w:asciiTheme="minorHAnsi" w:eastAsiaTheme="minorHAnsi" w:hAnsiTheme="minorHAnsi" w:cstheme="minorHAnsi"/>
                <w:i/>
                <w:noProof/>
                <w:sz w:val="18"/>
                <w:szCs w:val="16"/>
                <w:lang w:eastAsia="en-US" w:bidi="ar-SA"/>
              </w:rPr>
            </w:pPr>
            <w:r w:rsidRPr="002970A9">
              <w:rPr>
                <w:rFonts w:asciiTheme="minorHAnsi" w:eastAsiaTheme="minorHAnsi" w:hAnsiTheme="minorHAnsi" w:cstheme="minorHAnsi"/>
                <w:i/>
                <w:noProof/>
                <w:sz w:val="18"/>
                <w:szCs w:val="16"/>
                <w:lang w:eastAsia="en-US" w:bidi="ar-SA"/>
              </w:rPr>
              <w:t>Liczba osób,które uzyskały kwalifikacje po opuszczeniu programu</w:t>
            </w:r>
          </w:p>
        </w:tc>
        <w:tc>
          <w:tcPr>
            <w:tcW w:w="463" w:type="pct"/>
            <w:vAlign w:val="center"/>
          </w:tcPr>
          <w:p w14:paraId="2FB7F29E" w14:textId="77777777" w:rsidR="0036471F" w:rsidRPr="00890249" w:rsidRDefault="0036471F" w:rsidP="0036471F">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osoby</w:t>
            </w:r>
          </w:p>
        </w:tc>
        <w:tc>
          <w:tcPr>
            <w:tcW w:w="386" w:type="pct"/>
            <w:vAlign w:val="center"/>
          </w:tcPr>
          <w:p w14:paraId="3EE36F24" w14:textId="16792A86" w:rsidR="0036471F" w:rsidRPr="00890249" w:rsidRDefault="00FD3A29" w:rsidP="0036471F">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1 019</w:t>
            </w:r>
          </w:p>
        </w:tc>
        <w:tc>
          <w:tcPr>
            <w:tcW w:w="332" w:type="pct"/>
            <w:vAlign w:val="center"/>
          </w:tcPr>
          <w:p w14:paraId="362B8674" w14:textId="77777777" w:rsidR="0036471F" w:rsidRPr="00890249" w:rsidRDefault="00D31E60" w:rsidP="0036471F">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3" w:type="pct"/>
            <w:shd w:val="clear" w:color="auto" w:fill="auto"/>
            <w:vAlign w:val="center"/>
          </w:tcPr>
          <w:p w14:paraId="3ED1E9D5" w14:textId="4161135F" w:rsidR="0036471F" w:rsidRPr="00890249" w:rsidRDefault="00FD3A29" w:rsidP="0036471F">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1 400</w:t>
            </w:r>
          </w:p>
        </w:tc>
        <w:tc>
          <w:tcPr>
            <w:tcW w:w="337" w:type="pct"/>
            <w:shd w:val="clear" w:color="auto" w:fill="auto"/>
            <w:vAlign w:val="center"/>
          </w:tcPr>
          <w:p w14:paraId="1604541E" w14:textId="77777777" w:rsidR="0036471F" w:rsidRPr="00890249" w:rsidRDefault="00D31E60" w:rsidP="0036471F">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09" w:type="pct"/>
            <w:vAlign w:val="center"/>
          </w:tcPr>
          <w:p w14:paraId="3F1BBE2B" w14:textId="77777777" w:rsidR="0036471F" w:rsidRPr="00890249" w:rsidRDefault="003F3AB0" w:rsidP="0036471F">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r w:rsidR="00AF6E56" w:rsidRPr="00890249" w14:paraId="60187D08" w14:textId="77777777" w:rsidTr="00E76BD1">
        <w:trPr>
          <w:trHeight w:val="434"/>
        </w:trPr>
        <w:tc>
          <w:tcPr>
            <w:tcW w:w="290" w:type="pct"/>
            <w:vAlign w:val="center"/>
          </w:tcPr>
          <w:p w14:paraId="47F93C1F" w14:textId="0484CEDA" w:rsidR="00AF6E56" w:rsidRPr="00890249" w:rsidRDefault="00AF6E56" w:rsidP="00AF6E5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9" w:type="pct"/>
            <w:vAlign w:val="center"/>
          </w:tcPr>
          <w:p w14:paraId="3F844781" w14:textId="760039C3" w:rsidR="00AF6E56" w:rsidRPr="00890249" w:rsidRDefault="00AF6E56" w:rsidP="00AF6E56">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4.d</w:t>
            </w:r>
          </w:p>
        </w:tc>
        <w:tc>
          <w:tcPr>
            <w:tcW w:w="386" w:type="pct"/>
            <w:vAlign w:val="center"/>
          </w:tcPr>
          <w:p w14:paraId="50B7FC53" w14:textId="01B4F35E" w:rsidR="00AF6E56" w:rsidRPr="00890249" w:rsidRDefault="00AF6E56" w:rsidP="00AF6E56">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2" w:type="pct"/>
            <w:vAlign w:val="center"/>
          </w:tcPr>
          <w:p w14:paraId="3D57DB89" w14:textId="15E904A3" w:rsidR="00AF6E56" w:rsidRPr="00890249" w:rsidRDefault="00AF6E56" w:rsidP="00AF6E56">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32" w:type="pct"/>
            <w:vAlign w:val="center"/>
          </w:tcPr>
          <w:p w14:paraId="6E8DF95F" w14:textId="3676A2FF" w:rsidR="00AF6E56" w:rsidRPr="00890249" w:rsidRDefault="00AF6E56" w:rsidP="00AF6E5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PLDCR03</w:t>
            </w:r>
          </w:p>
        </w:tc>
        <w:tc>
          <w:tcPr>
            <w:tcW w:w="771" w:type="pct"/>
            <w:shd w:val="clear" w:color="auto" w:fill="auto"/>
            <w:vAlign w:val="center"/>
          </w:tcPr>
          <w:p w14:paraId="57A4B336" w14:textId="341D4247" w:rsidR="00AF6E56" w:rsidRPr="00890249" w:rsidRDefault="00AF6E56" w:rsidP="00AF6E56">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które dzięki wsparciu w obszarze zdrowia podjęły pracę lub kontynuowały zatrudnienie</w:t>
            </w:r>
          </w:p>
        </w:tc>
        <w:tc>
          <w:tcPr>
            <w:tcW w:w="463" w:type="pct"/>
            <w:vAlign w:val="center"/>
          </w:tcPr>
          <w:p w14:paraId="647C08A4" w14:textId="61847DA0" w:rsidR="00AF6E56" w:rsidRPr="00890249" w:rsidRDefault="00AF6E56" w:rsidP="00AF6E56">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osoby</w:t>
            </w:r>
          </w:p>
        </w:tc>
        <w:tc>
          <w:tcPr>
            <w:tcW w:w="386" w:type="pct"/>
            <w:vAlign w:val="center"/>
          </w:tcPr>
          <w:p w14:paraId="0564563F" w14:textId="32D4492E" w:rsidR="00AF6E56" w:rsidRPr="00890249" w:rsidDel="00FD3A29" w:rsidRDefault="00AF6E56" w:rsidP="00AF6E56">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720</w:t>
            </w:r>
          </w:p>
        </w:tc>
        <w:tc>
          <w:tcPr>
            <w:tcW w:w="332" w:type="pct"/>
            <w:vAlign w:val="center"/>
          </w:tcPr>
          <w:p w14:paraId="754D5A1E" w14:textId="15082C53" w:rsidR="00AF6E56" w:rsidRPr="00890249" w:rsidRDefault="00AF6E56" w:rsidP="00AF6E56">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2022</w:t>
            </w:r>
          </w:p>
        </w:tc>
        <w:tc>
          <w:tcPr>
            <w:tcW w:w="313" w:type="pct"/>
            <w:shd w:val="clear" w:color="auto" w:fill="auto"/>
            <w:vAlign w:val="center"/>
          </w:tcPr>
          <w:p w14:paraId="338729AF" w14:textId="7B1E3D22" w:rsidR="00AF6E56" w:rsidRPr="00890249" w:rsidDel="00FD3A29" w:rsidRDefault="00350CCA" w:rsidP="00AF6E56">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280</w:t>
            </w:r>
          </w:p>
        </w:tc>
        <w:tc>
          <w:tcPr>
            <w:tcW w:w="337" w:type="pct"/>
            <w:shd w:val="clear" w:color="auto" w:fill="auto"/>
            <w:vAlign w:val="center"/>
          </w:tcPr>
          <w:p w14:paraId="6356F0EB" w14:textId="111F757A" w:rsidR="00AF6E56" w:rsidRPr="00890249" w:rsidRDefault="00AF6E56" w:rsidP="00AF6E56">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09" w:type="pct"/>
            <w:vAlign w:val="center"/>
          </w:tcPr>
          <w:p w14:paraId="1965591D" w14:textId="6D3EDC09" w:rsidR="00AF6E56" w:rsidRPr="00890249" w:rsidRDefault="00AF6E56" w:rsidP="00AF6E56">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PLD</w:t>
            </w:r>
            <w:r w:rsidRPr="00890249">
              <w:rPr>
                <w:rFonts w:asciiTheme="minorHAnsi" w:hAnsiTheme="minorHAnsi" w:cstheme="minorHAnsi"/>
                <w:i/>
                <w:noProof/>
                <w:sz w:val="18"/>
                <w:szCs w:val="16"/>
              </w:rPr>
              <w:lastRenderedPageBreak/>
              <w:t>KCO01</w:t>
            </w:r>
          </w:p>
        </w:tc>
      </w:tr>
    </w:tbl>
    <w:p w14:paraId="04FE3CF8" w14:textId="77777777" w:rsidR="00E53D32" w:rsidRDefault="00E53D32" w:rsidP="00E53D32">
      <w:pPr>
        <w:spacing w:before="0" w:after="160" w:line="259" w:lineRule="auto"/>
        <w:jc w:val="left"/>
        <w:rPr>
          <w:rFonts w:asciiTheme="minorHAnsi" w:hAnsiTheme="minorHAnsi" w:cstheme="minorHAnsi"/>
          <w:b/>
          <w:noProof/>
          <w:sz w:val="22"/>
          <w:szCs w:val="22"/>
        </w:rPr>
      </w:pPr>
    </w:p>
    <w:p w14:paraId="2C20EC08" w14:textId="0ED7B9C4" w:rsidR="00701EDC" w:rsidRPr="00890249" w:rsidRDefault="00701EDC" w:rsidP="00E53D32">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2.1.5.3.3(d) Orientacyjny podział zasobów programu (UE) według rodzaju interwencji</w:t>
      </w:r>
      <w:r w:rsidRPr="00890249">
        <w:rPr>
          <w:rFonts w:asciiTheme="minorHAnsi" w:hAnsiTheme="minorHAnsi" w:cstheme="minorHAnsi"/>
          <w:b/>
          <w:i/>
          <w:noProof/>
          <w:color w:val="FF0000"/>
          <w:sz w:val="22"/>
          <w:szCs w:val="22"/>
        </w:rPr>
        <w:t xml:space="preserve"> </w:t>
      </w:r>
    </w:p>
    <w:tbl>
      <w:tblPr>
        <w:tblStyle w:val="Tabela-Siatka"/>
        <w:tblW w:w="0" w:type="auto"/>
        <w:tblLook w:val="04A0" w:firstRow="1" w:lastRow="0" w:firstColumn="1" w:lastColumn="0" w:noHBand="0" w:noVBand="1"/>
      </w:tblPr>
      <w:tblGrid>
        <w:gridCol w:w="1417"/>
        <w:gridCol w:w="1218"/>
        <w:gridCol w:w="1312"/>
        <w:gridCol w:w="1617"/>
        <w:gridCol w:w="1714"/>
        <w:gridCol w:w="1783"/>
      </w:tblGrid>
      <w:tr w:rsidR="00D917E1" w:rsidRPr="00890249" w14:paraId="62BD7A26" w14:textId="77777777" w:rsidTr="0002590B">
        <w:tc>
          <w:tcPr>
            <w:tcW w:w="9288" w:type="dxa"/>
            <w:gridSpan w:val="6"/>
            <w:shd w:val="clear" w:color="auto" w:fill="D9D9D9" w:themeFill="background1" w:themeFillShade="D9"/>
          </w:tcPr>
          <w:p w14:paraId="79AC5172" w14:textId="77777777" w:rsidR="00D917E1" w:rsidRPr="00890249" w:rsidRDefault="00D917E1"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1C2BEA" w:rsidRPr="00890249" w14:paraId="6008D283" w14:textId="77777777" w:rsidTr="00890249">
        <w:tc>
          <w:tcPr>
            <w:tcW w:w="1574" w:type="dxa"/>
            <w:tcBorders>
              <w:bottom w:val="single" w:sz="4" w:space="0" w:color="auto"/>
            </w:tcBorders>
            <w:shd w:val="clear" w:color="auto" w:fill="F2F2F2" w:themeFill="background1" w:themeFillShade="F2"/>
          </w:tcPr>
          <w:p w14:paraId="1A03E7D6" w14:textId="77777777" w:rsidR="00D917E1" w:rsidRPr="00890249" w:rsidRDefault="00D917E1"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61" w:type="dxa"/>
            <w:tcBorders>
              <w:bottom w:val="single" w:sz="4" w:space="0" w:color="auto"/>
            </w:tcBorders>
            <w:shd w:val="clear" w:color="auto" w:fill="F2F2F2" w:themeFill="background1" w:themeFillShade="F2"/>
          </w:tcPr>
          <w:p w14:paraId="22E1C307" w14:textId="77777777" w:rsidR="00D917E1" w:rsidRPr="00890249" w:rsidRDefault="00D917E1"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6" w:type="dxa"/>
            <w:tcBorders>
              <w:bottom w:val="single" w:sz="4" w:space="0" w:color="auto"/>
            </w:tcBorders>
            <w:shd w:val="clear" w:color="auto" w:fill="F2F2F2" w:themeFill="background1" w:themeFillShade="F2"/>
          </w:tcPr>
          <w:p w14:paraId="4A03A58E" w14:textId="77777777" w:rsidR="00D917E1" w:rsidRPr="00890249" w:rsidRDefault="00D917E1"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83" w:type="dxa"/>
            <w:tcBorders>
              <w:bottom w:val="single" w:sz="4" w:space="0" w:color="auto"/>
            </w:tcBorders>
            <w:shd w:val="clear" w:color="auto" w:fill="F2F2F2" w:themeFill="background1" w:themeFillShade="F2"/>
          </w:tcPr>
          <w:p w14:paraId="08F31367" w14:textId="77777777" w:rsidR="00D917E1" w:rsidRPr="00890249" w:rsidRDefault="00D917E1"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9" w:type="dxa"/>
            <w:tcBorders>
              <w:bottom w:val="single" w:sz="4" w:space="0" w:color="auto"/>
            </w:tcBorders>
            <w:shd w:val="clear" w:color="auto" w:fill="F2F2F2" w:themeFill="background1" w:themeFillShade="F2"/>
          </w:tcPr>
          <w:p w14:paraId="703C0F96" w14:textId="3500B7C0" w:rsidR="00D917E1" w:rsidRPr="00890249" w:rsidRDefault="00D917E1"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25" w:type="dxa"/>
            <w:tcBorders>
              <w:bottom w:val="single" w:sz="4" w:space="0" w:color="auto"/>
            </w:tcBorders>
            <w:shd w:val="clear" w:color="auto" w:fill="F2F2F2" w:themeFill="background1" w:themeFillShade="F2"/>
          </w:tcPr>
          <w:p w14:paraId="4B2EDE09" w14:textId="77777777" w:rsidR="00D917E1" w:rsidRPr="00890249" w:rsidRDefault="00D917E1"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917E1" w:rsidRPr="00890249" w14:paraId="32462F79" w14:textId="77777777" w:rsidTr="00BD5A2B">
        <w:trPr>
          <w:trHeight w:val="284"/>
        </w:trPr>
        <w:tc>
          <w:tcPr>
            <w:tcW w:w="1574" w:type="dxa"/>
            <w:vMerge w:val="restart"/>
            <w:vAlign w:val="center"/>
          </w:tcPr>
          <w:p w14:paraId="4D80E439" w14:textId="77777777" w:rsidR="00D917E1" w:rsidRPr="00890249" w:rsidRDefault="00D917E1" w:rsidP="00BD5A2B">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61" w:type="dxa"/>
            <w:vMerge w:val="restart"/>
            <w:vAlign w:val="center"/>
          </w:tcPr>
          <w:p w14:paraId="64C0497A" w14:textId="77777777" w:rsidR="00D917E1" w:rsidRPr="00890249" w:rsidRDefault="00D917E1" w:rsidP="00BD5A2B">
            <w:pPr>
              <w:jc w:val="center"/>
              <w:rPr>
                <w:rFonts w:asciiTheme="minorHAnsi" w:hAnsiTheme="minorHAnsi" w:cstheme="minorHAnsi"/>
                <w:noProof/>
                <w:sz w:val="20"/>
              </w:rPr>
            </w:pPr>
            <w:r w:rsidRPr="00890249">
              <w:rPr>
                <w:rFonts w:asciiTheme="minorHAnsi" w:hAnsiTheme="minorHAnsi" w:cstheme="minorHAnsi"/>
                <w:noProof/>
                <w:sz w:val="20"/>
              </w:rPr>
              <w:t>EFS</w:t>
            </w:r>
            <w:r w:rsidR="0054388E" w:rsidRPr="00890249">
              <w:rPr>
                <w:rFonts w:asciiTheme="minorHAnsi" w:hAnsiTheme="minorHAnsi" w:cstheme="minorHAnsi"/>
                <w:noProof/>
                <w:sz w:val="20"/>
              </w:rPr>
              <w:t>+</w:t>
            </w:r>
          </w:p>
        </w:tc>
        <w:tc>
          <w:tcPr>
            <w:tcW w:w="1416" w:type="dxa"/>
            <w:vMerge w:val="restart"/>
            <w:vAlign w:val="center"/>
          </w:tcPr>
          <w:p w14:paraId="3FCFC74E" w14:textId="77777777" w:rsidR="00D917E1" w:rsidRPr="00890249" w:rsidRDefault="00D917E1"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783" w:type="dxa"/>
            <w:vMerge w:val="restart"/>
            <w:vAlign w:val="center"/>
          </w:tcPr>
          <w:p w14:paraId="211DCA16" w14:textId="77777777" w:rsidR="00D917E1" w:rsidRPr="00890249" w:rsidRDefault="00D917E1" w:rsidP="00F45D63">
            <w:pPr>
              <w:jc w:val="center"/>
              <w:rPr>
                <w:rFonts w:asciiTheme="minorHAnsi" w:hAnsiTheme="minorHAnsi" w:cstheme="minorHAnsi"/>
                <w:noProof/>
                <w:sz w:val="20"/>
              </w:rPr>
            </w:pPr>
            <w:r w:rsidRPr="00890249">
              <w:rPr>
                <w:rFonts w:asciiTheme="minorHAnsi" w:hAnsiTheme="minorHAnsi" w:cstheme="minorHAnsi"/>
                <w:noProof/>
                <w:sz w:val="20"/>
              </w:rPr>
              <w:t>(</w:t>
            </w:r>
            <w:r w:rsidR="00F45D63" w:rsidRPr="00890249">
              <w:rPr>
                <w:rFonts w:asciiTheme="minorHAnsi" w:hAnsiTheme="minorHAnsi" w:cstheme="minorHAnsi"/>
                <w:noProof/>
                <w:sz w:val="20"/>
              </w:rPr>
              <w:t>d</w:t>
            </w:r>
            <w:r w:rsidRPr="00890249">
              <w:rPr>
                <w:rFonts w:asciiTheme="minorHAnsi" w:hAnsiTheme="minorHAnsi" w:cstheme="minorHAnsi"/>
                <w:noProof/>
                <w:sz w:val="20"/>
              </w:rPr>
              <w:t>)</w:t>
            </w:r>
          </w:p>
        </w:tc>
        <w:tc>
          <w:tcPr>
            <w:tcW w:w="1029" w:type="dxa"/>
          </w:tcPr>
          <w:p w14:paraId="0EDE842A" w14:textId="77777777" w:rsidR="00D917E1" w:rsidRPr="00890249" w:rsidRDefault="0028300B" w:rsidP="00BD5A2B">
            <w:pPr>
              <w:jc w:val="center"/>
              <w:rPr>
                <w:rFonts w:asciiTheme="minorHAnsi" w:hAnsiTheme="minorHAnsi" w:cstheme="minorHAnsi"/>
                <w:noProof/>
                <w:sz w:val="20"/>
              </w:rPr>
            </w:pPr>
            <w:r w:rsidRPr="00890249">
              <w:rPr>
                <w:rFonts w:asciiTheme="minorHAnsi" w:hAnsiTheme="minorHAnsi" w:cstheme="minorHAnsi"/>
                <w:noProof/>
                <w:sz w:val="20"/>
              </w:rPr>
              <w:t>142</w:t>
            </w:r>
            <w:r w:rsidR="001C2BEA" w:rsidRPr="00890249">
              <w:rPr>
                <w:rFonts w:asciiTheme="minorHAnsi" w:hAnsiTheme="minorHAnsi" w:cstheme="minorHAnsi"/>
                <w:noProof/>
                <w:sz w:val="20"/>
              </w:rPr>
              <w:t xml:space="preserve"> Działania na rzecz promowania aktywności zawodowej kobiet oraz zmniejszenia segregacji na rynku pracy za względu na płeć</w:t>
            </w:r>
          </w:p>
        </w:tc>
        <w:tc>
          <w:tcPr>
            <w:tcW w:w="2125" w:type="dxa"/>
          </w:tcPr>
          <w:p w14:paraId="0980EE64" w14:textId="77777777" w:rsidR="00D917E1" w:rsidRPr="00890249" w:rsidRDefault="00B36B45" w:rsidP="00BD5A2B">
            <w:pPr>
              <w:jc w:val="right"/>
              <w:rPr>
                <w:rFonts w:asciiTheme="minorHAnsi" w:hAnsiTheme="minorHAnsi" w:cstheme="minorHAnsi"/>
                <w:noProof/>
                <w:sz w:val="20"/>
              </w:rPr>
            </w:pPr>
            <w:r w:rsidRPr="00890249">
              <w:rPr>
                <w:rFonts w:asciiTheme="minorHAnsi" w:hAnsiTheme="minorHAnsi" w:cstheme="minorHAnsi"/>
                <w:noProof/>
                <w:sz w:val="20"/>
              </w:rPr>
              <w:t xml:space="preserve">3 150 000 </w:t>
            </w:r>
          </w:p>
        </w:tc>
      </w:tr>
      <w:tr w:rsidR="0028300B" w:rsidRPr="00890249" w14:paraId="5741FC62" w14:textId="77777777" w:rsidTr="00BD5A2B">
        <w:trPr>
          <w:trHeight w:val="284"/>
        </w:trPr>
        <w:tc>
          <w:tcPr>
            <w:tcW w:w="1574" w:type="dxa"/>
            <w:vMerge/>
          </w:tcPr>
          <w:p w14:paraId="4997F0D3" w14:textId="77777777" w:rsidR="0028300B" w:rsidRPr="00890249" w:rsidRDefault="0028300B" w:rsidP="00BD5A2B">
            <w:pPr>
              <w:jc w:val="center"/>
              <w:rPr>
                <w:rFonts w:asciiTheme="minorHAnsi" w:hAnsiTheme="minorHAnsi" w:cstheme="minorHAnsi"/>
                <w:noProof/>
                <w:sz w:val="20"/>
              </w:rPr>
            </w:pPr>
          </w:p>
        </w:tc>
        <w:tc>
          <w:tcPr>
            <w:tcW w:w="1361" w:type="dxa"/>
            <w:vMerge/>
          </w:tcPr>
          <w:p w14:paraId="64FEAD82" w14:textId="77777777" w:rsidR="0028300B" w:rsidRPr="00890249" w:rsidRDefault="0028300B" w:rsidP="00BD5A2B">
            <w:pPr>
              <w:jc w:val="center"/>
              <w:rPr>
                <w:rFonts w:asciiTheme="minorHAnsi" w:hAnsiTheme="minorHAnsi" w:cstheme="minorHAnsi"/>
                <w:noProof/>
                <w:sz w:val="20"/>
              </w:rPr>
            </w:pPr>
          </w:p>
        </w:tc>
        <w:tc>
          <w:tcPr>
            <w:tcW w:w="1416" w:type="dxa"/>
            <w:vMerge/>
          </w:tcPr>
          <w:p w14:paraId="195352C8" w14:textId="77777777" w:rsidR="0028300B" w:rsidRPr="00890249" w:rsidRDefault="0028300B" w:rsidP="00BD5A2B">
            <w:pPr>
              <w:jc w:val="center"/>
              <w:rPr>
                <w:rFonts w:asciiTheme="minorHAnsi" w:hAnsiTheme="minorHAnsi" w:cstheme="minorHAnsi"/>
                <w:noProof/>
                <w:sz w:val="20"/>
              </w:rPr>
            </w:pPr>
          </w:p>
        </w:tc>
        <w:tc>
          <w:tcPr>
            <w:tcW w:w="1783" w:type="dxa"/>
            <w:vMerge/>
            <w:vAlign w:val="center"/>
          </w:tcPr>
          <w:p w14:paraId="2C9B947B" w14:textId="77777777" w:rsidR="0028300B" w:rsidRPr="00890249" w:rsidRDefault="0028300B" w:rsidP="00BD5A2B">
            <w:pPr>
              <w:jc w:val="center"/>
              <w:rPr>
                <w:rFonts w:asciiTheme="minorHAnsi" w:hAnsiTheme="minorHAnsi" w:cstheme="minorHAnsi"/>
                <w:noProof/>
                <w:sz w:val="20"/>
              </w:rPr>
            </w:pPr>
          </w:p>
        </w:tc>
        <w:tc>
          <w:tcPr>
            <w:tcW w:w="1029" w:type="dxa"/>
          </w:tcPr>
          <w:p w14:paraId="679BF3A5" w14:textId="77777777" w:rsidR="0028300B" w:rsidRPr="00890249" w:rsidRDefault="0028300B" w:rsidP="001C2BEA">
            <w:pPr>
              <w:jc w:val="center"/>
              <w:rPr>
                <w:rFonts w:asciiTheme="minorHAnsi" w:hAnsiTheme="minorHAnsi" w:cstheme="minorHAnsi"/>
                <w:noProof/>
                <w:sz w:val="20"/>
              </w:rPr>
            </w:pPr>
            <w:r w:rsidRPr="00890249">
              <w:rPr>
                <w:rFonts w:asciiTheme="minorHAnsi" w:hAnsiTheme="minorHAnsi" w:cstheme="minorHAnsi"/>
                <w:noProof/>
                <w:sz w:val="20"/>
              </w:rPr>
              <w:t>146</w:t>
            </w:r>
            <w:r w:rsidR="001C2BEA" w:rsidRPr="00890249">
              <w:rPr>
                <w:rFonts w:asciiTheme="minorHAnsi" w:hAnsiTheme="minorHAnsi" w:cstheme="minorHAnsi"/>
                <w:noProof/>
                <w:sz w:val="20"/>
              </w:rPr>
              <w:t xml:space="preserve"> Wsparcie na rzecz przystosowywania pracowników, przedsiębiorstw i przedsiębiorców do zmian</w:t>
            </w:r>
          </w:p>
        </w:tc>
        <w:tc>
          <w:tcPr>
            <w:tcW w:w="2125" w:type="dxa"/>
          </w:tcPr>
          <w:p w14:paraId="64DEED49" w14:textId="21BB0E5F" w:rsidR="0028300B" w:rsidRPr="00890249" w:rsidRDefault="00C846D9" w:rsidP="00BD5A2B">
            <w:pPr>
              <w:jc w:val="right"/>
              <w:rPr>
                <w:rFonts w:asciiTheme="minorHAnsi" w:hAnsiTheme="minorHAnsi" w:cstheme="minorHAnsi"/>
                <w:noProof/>
                <w:sz w:val="20"/>
              </w:rPr>
            </w:pPr>
            <w:r>
              <w:rPr>
                <w:rFonts w:asciiTheme="minorHAnsi" w:hAnsiTheme="minorHAnsi" w:cstheme="minorHAnsi"/>
                <w:noProof/>
                <w:sz w:val="20"/>
              </w:rPr>
              <w:br/>
            </w:r>
            <w:r w:rsidR="005A1433">
              <w:rPr>
                <w:rFonts w:asciiTheme="minorHAnsi" w:hAnsiTheme="minorHAnsi" w:cstheme="minorHAnsi"/>
                <w:noProof/>
                <w:sz w:val="20"/>
              </w:rPr>
              <w:t>5 350 000</w:t>
            </w:r>
          </w:p>
        </w:tc>
      </w:tr>
      <w:tr w:rsidR="00D917E1" w:rsidRPr="00890249" w14:paraId="2FF4D445" w14:textId="77777777" w:rsidTr="00890249">
        <w:trPr>
          <w:trHeight w:val="284"/>
        </w:trPr>
        <w:tc>
          <w:tcPr>
            <w:tcW w:w="1574" w:type="dxa"/>
            <w:vMerge/>
            <w:tcBorders>
              <w:bottom w:val="single" w:sz="4" w:space="0" w:color="auto"/>
            </w:tcBorders>
          </w:tcPr>
          <w:p w14:paraId="197C26E7" w14:textId="77777777" w:rsidR="00D917E1" w:rsidRPr="00890249" w:rsidRDefault="00D917E1" w:rsidP="00BD5A2B">
            <w:pPr>
              <w:jc w:val="center"/>
              <w:rPr>
                <w:rFonts w:asciiTheme="minorHAnsi" w:hAnsiTheme="minorHAnsi" w:cstheme="minorHAnsi"/>
                <w:noProof/>
                <w:sz w:val="20"/>
              </w:rPr>
            </w:pPr>
          </w:p>
        </w:tc>
        <w:tc>
          <w:tcPr>
            <w:tcW w:w="1361" w:type="dxa"/>
            <w:vMerge/>
            <w:tcBorders>
              <w:bottom w:val="single" w:sz="4" w:space="0" w:color="auto"/>
            </w:tcBorders>
          </w:tcPr>
          <w:p w14:paraId="4AED2397" w14:textId="77777777" w:rsidR="00D917E1" w:rsidRPr="00890249" w:rsidRDefault="00D917E1" w:rsidP="00BD5A2B">
            <w:pPr>
              <w:jc w:val="center"/>
              <w:rPr>
                <w:rFonts w:asciiTheme="minorHAnsi" w:hAnsiTheme="minorHAnsi" w:cstheme="minorHAnsi"/>
                <w:noProof/>
                <w:sz w:val="20"/>
              </w:rPr>
            </w:pPr>
          </w:p>
        </w:tc>
        <w:tc>
          <w:tcPr>
            <w:tcW w:w="1416" w:type="dxa"/>
            <w:vMerge/>
            <w:tcBorders>
              <w:bottom w:val="single" w:sz="4" w:space="0" w:color="auto"/>
            </w:tcBorders>
          </w:tcPr>
          <w:p w14:paraId="067B3020" w14:textId="77777777" w:rsidR="00D917E1" w:rsidRPr="00890249" w:rsidRDefault="00D917E1" w:rsidP="00BD5A2B">
            <w:pPr>
              <w:jc w:val="center"/>
              <w:rPr>
                <w:rFonts w:asciiTheme="minorHAnsi" w:hAnsiTheme="minorHAnsi" w:cstheme="minorHAnsi"/>
                <w:noProof/>
                <w:sz w:val="20"/>
              </w:rPr>
            </w:pPr>
          </w:p>
        </w:tc>
        <w:tc>
          <w:tcPr>
            <w:tcW w:w="1783" w:type="dxa"/>
            <w:vMerge/>
            <w:tcBorders>
              <w:bottom w:val="single" w:sz="4" w:space="0" w:color="auto"/>
            </w:tcBorders>
            <w:vAlign w:val="center"/>
          </w:tcPr>
          <w:p w14:paraId="3EF1EE0D" w14:textId="77777777" w:rsidR="00D917E1" w:rsidRPr="00890249" w:rsidRDefault="00D917E1" w:rsidP="00BD5A2B">
            <w:pPr>
              <w:jc w:val="center"/>
              <w:rPr>
                <w:rFonts w:asciiTheme="minorHAnsi" w:hAnsiTheme="minorHAnsi" w:cstheme="minorHAnsi"/>
                <w:noProof/>
                <w:sz w:val="20"/>
              </w:rPr>
            </w:pPr>
          </w:p>
        </w:tc>
        <w:tc>
          <w:tcPr>
            <w:tcW w:w="1029" w:type="dxa"/>
            <w:tcBorders>
              <w:bottom w:val="single" w:sz="4" w:space="0" w:color="auto"/>
            </w:tcBorders>
          </w:tcPr>
          <w:p w14:paraId="62464BED" w14:textId="77777777" w:rsidR="00D917E1" w:rsidRPr="00890249" w:rsidRDefault="0028300B" w:rsidP="00BD5A2B">
            <w:pPr>
              <w:jc w:val="center"/>
              <w:rPr>
                <w:rFonts w:asciiTheme="minorHAnsi" w:hAnsiTheme="minorHAnsi" w:cstheme="minorHAnsi"/>
                <w:noProof/>
                <w:sz w:val="20"/>
              </w:rPr>
            </w:pPr>
            <w:r w:rsidRPr="00890249">
              <w:rPr>
                <w:rFonts w:asciiTheme="minorHAnsi" w:hAnsiTheme="minorHAnsi" w:cstheme="minorHAnsi"/>
                <w:noProof/>
                <w:sz w:val="20"/>
              </w:rPr>
              <w:t>147</w:t>
            </w:r>
            <w:r w:rsidR="001C2BEA" w:rsidRPr="00890249">
              <w:rPr>
                <w:rFonts w:asciiTheme="minorHAnsi" w:hAnsiTheme="minorHAnsi" w:cstheme="minorHAnsi"/>
                <w:noProof/>
                <w:sz w:val="20"/>
              </w:rPr>
              <w:t xml:space="preserve"> Działania zachęcające do aktywnego starzenia się w dobrym zdrowiu</w:t>
            </w:r>
          </w:p>
        </w:tc>
        <w:tc>
          <w:tcPr>
            <w:tcW w:w="2125" w:type="dxa"/>
            <w:tcBorders>
              <w:bottom w:val="single" w:sz="4" w:space="0" w:color="auto"/>
            </w:tcBorders>
          </w:tcPr>
          <w:p w14:paraId="3DDBAFD2" w14:textId="202316B3" w:rsidR="00D917E1" w:rsidRPr="00890249" w:rsidRDefault="00C846D9" w:rsidP="009335A7">
            <w:pPr>
              <w:jc w:val="right"/>
              <w:rPr>
                <w:rFonts w:asciiTheme="minorHAnsi" w:hAnsiTheme="minorHAnsi" w:cstheme="minorHAnsi"/>
                <w:noProof/>
                <w:sz w:val="20"/>
              </w:rPr>
            </w:pPr>
            <w:r>
              <w:rPr>
                <w:rFonts w:asciiTheme="minorHAnsi" w:hAnsiTheme="minorHAnsi" w:cstheme="minorHAnsi"/>
                <w:noProof/>
                <w:sz w:val="20"/>
              </w:rPr>
              <w:br/>
              <w:t>4 000 000</w:t>
            </w:r>
          </w:p>
        </w:tc>
      </w:tr>
    </w:tbl>
    <w:p w14:paraId="5E8031C2" w14:textId="77777777" w:rsidR="00D917E1" w:rsidRPr="00890249" w:rsidRDefault="00D917E1" w:rsidP="009F65DF">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4"/>
        <w:gridCol w:w="1351"/>
        <w:gridCol w:w="1409"/>
        <w:gridCol w:w="1617"/>
        <w:gridCol w:w="1039"/>
        <w:gridCol w:w="2081"/>
      </w:tblGrid>
      <w:tr w:rsidR="00D917E1" w:rsidRPr="00890249" w14:paraId="1917FFA0" w14:textId="77777777" w:rsidTr="0002590B">
        <w:tc>
          <w:tcPr>
            <w:tcW w:w="9288" w:type="dxa"/>
            <w:gridSpan w:val="6"/>
            <w:shd w:val="clear" w:color="auto" w:fill="D9D9D9" w:themeFill="background1" w:themeFillShade="D9"/>
          </w:tcPr>
          <w:p w14:paraId="7701BF62" w14:textId="77777777" w:rsidR="00D917E1" w:rsidRPr="00890249" w:rsidRDefault="00D917E1"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D917E1" w:rsidRPr="00890249" w14:paraId="271F1E4C" w14:textId="77777777" w:rsidTr="0002590B">
        <w:tc>
          <w:tcPr>
            <w:tcW w:w="1599" w:type="dxa"/>
            <w:shd w:val="clear" w:color="auto" w:fill="F2F2F2" w:themeFill="background1" w:themeFillShade="F2"/>
          </w:tcPr>
          <w:p w14:paraId="48B65BB1"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16E8627B"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6C16BF9B"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FC17C9E"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7CD69508"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4F2059BA"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917E1" w:rsidRPr="00890249" w14:paraId="5A0ACE16" w14:textId="77777777" w:rsidTr="00890249">
        <w:tc>
          <w:tcPr>
            <w:tcW w:w="1599" w:type="dxa"/>
          </w:tcPr>
          <w:p w14:paraId="6FDA0866"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1A811323"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r w:rsidR="0054388E" w:rsidRPr="00890249">
              <w:rPr>
                <w:rFonts w:asciiTheme="minorHAnsi" w:eastAsia="Times New Roman" w:hAnsiTheme="minorHAnsi" w:cstheme="minorHAnsi"/>
                <w:iCs/>
                <w:noProof/>
                <w:sz w:val="20"/>
              </w:rPr>
              <w:t>+</w:t>
            </w:r>
          </w:p>
        </w:tc>
        <w:tc>
          <w:tcPr>
            <w:tcW w:w="1433" w:type="dxa"/>
          </w:tcPr>
          <w:p w14:paraId="64C7F6B6" w14:textId="77777777" w:rsidR="00D917E1" w:rsidRPr="00890249" w:rsidRDefault="00D917E1"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66508B84" w14:textId="77777777" w:rsidR="00D917E1" w:rsidRPr="00890249" w:rsidRDefault="00D917E1" w:rsidP="00F45D6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r w:rsidR="00F45D63" w:rsidRPr="00890249">
              <w:rPr>
                <w:rFonts w:asciiTheme="minorHAnsi" w:eastAsia="Times New Roman" w:hAnsiTheme="minorHAnsi" w:cstheme="minorHAnsi"/>
                <w:iCs/>
                <w:noProof/>
                <w:sz w:val="20"/>
              </w:rPr>
              <w:t>d</w:t>
            </w:r>
            <w:r w:rsidRPr="00890249">
              <w:rPr>
                <w:rFonts w:asciiTheme="minorHAnsi" w:eastAsia="Times New Roman" w:hAnsiTheme="minorHAnsi" w:cstheme="minorHAnsi"/>
                <w:iCs/>
                <w:noProof/>
                <w:sz w:val="20"/>
              </w:rPr>
              <w:t>)</w:t>
            </w:r>
          </w:p>
        </w:tc>
        <w:tc>
          <w:tcPr>
            <w:tcW w:w="1053" w:type="dxa"/>
          </w:tcPr>
          <w:p w14:paraId="3B053A45"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45767D" w:rsidRPr="00890249">
              <w:rPr>
                <w:rFonts w:asciiTheme="minorHAnsi" w:eastAsia="Times New Roman" w:hAnsiTheme="minorHAnsi" w:cstheme="minorHAnsi"/>
                <w:iCs/>
                <w:noProof/>
                <w:sz w:val="20"/>
              </w:rPr>
              <w:t xml:space="preserve"> Dotacja</w:t>
            </w:r>
          </w:p>
        </w:tc>
        <w:tc>
          <w:tcPr>
            <w:tcW w:w="2175" w:type="dxa"/>
          </w:tcPr>
          <w:p w14:paraId="52993172" w14:textId="7D2A8FBD" w:rsidR="00D917E1" w:rsidRPr="00890249" w:rsidRDefault="005A1433" w:rsidP="00BD5A2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12 500 000</w:t>
            </w:r>
          </w:p>
        </w:tc>
      </w:tr>
    </w:tbl>
    <w:p w14:paraId="6B90FC81" w14:textId="77777777" w:rsidR="00D917E1" w:rsidRPr="00890249" w:rsidRDefault="00D917E1" w:rsidP="009F65DF">
      <w:pPr>
        <w:spacing w:before="240" w:after="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93"/>
        <w:gridCol w:w="1288"/>
        <w:gridCol w:w="1319"/>
        <w:gridCol w:w="1610"/>
        <w:gridCol w:w="1520"/>
        <w:gridCol w:w="1831"/>
      </w:tblGrid>
      <w:tr w:rsidR="00D917E1" w:rsidRPr="00890249" w14:paraId="41FB4134" w14:textId="77777777" w:rsidTr="0002590B">
        <w:tc>
          <w:tcPr>
            <w:tcW w:w="9288" w:type="dxa"/>
            <w:gridSpan w:val="6"/>
            <w:shd w:val="clear" w:color="auto" w:fill="D9D9D9" w:themeFill="background1" w:themeFillShade="D9"/>
          </w:tcPr>
          <w:p w14:paraId="3433CAE3" w14:textId="7E8ADEC1" w:rsidR="00D917E1" w:rsidRPr="00890249" w:rsidRDefault="0028300B"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00D917E1" w:rsidRPr="00890249">
              <w:rPr>
                <w:rFonts w:asciiTheme="minorHAnsi" w:hAnsiTheme="minorHAnsi" w:cstheme="minorHAnsi"/>
                <w:b/>
                <w:noProof/>
                <w:sz w:val="20"/>
              </w:rPr>
              <w:t xml:space="preserve"> – terytorialny mechanizm realizacji i ukierunkowanie terytorialne</w:t>
            </w:r>
          </w:p>
        </w:tc>
      </w:tr>
      <w:tr w:rsidR="00D917E1" w:rsidRPr="00890249" w14:paraId="7620A0E1" w14:textId="77777777" w:rsidTr="0002590B">
        <w:trPr>
          <w:trHeight w:val="364"/>
        </w:trPr>
        <w:tc>
          <w:tcPr>
            <w:tcW w:w="1599" w:type="dxa"/>
            <w:shd w:val="clear" w:color="auto" w:fill="F2F2F2" w:themeFill="background1" w:themeFillShade="F2"/>
          </w:tcPr>
          <w:p w14:paraId="5F014074"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4E1296CE"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3A302F8F"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659D48CE"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5DFEE817"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171AB1B8"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917E1" w:rsidRPr="00890249" w14:paraId="3D8E171F" w14:textId="77777777" w:rsidTr="00BD5A2B">
        <w:tc>
          <w:tcPr>
            <w:tcW w:w="1599" w:type="dxa"/>
            <w:vAlign w:val="center"/>
          </w:tcPr>
          <w:p w14:paraId="5CC8CB0D"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1E22A08B"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r w:rsidR="0054388E" w:rsidRPr="00890249">
              <w:rPr>
                <w:rFonts w:asciiTheme="minorHAnsi" w:hAnsiTheme="minorHAnsi" w:cstheme="minorHAnsi"/>
                <w:noProof/>
                <w:sz w:val="20"/>
              </w:rPr>
              <w:t>+</w:t>
            </w:r>
          </w:p>
        </w:tc>
        <w:tc>
          <w:tcPr>
            <w:tcW w:w="1378" w:type="dxa"/>
            <w:vAlign w:val="center"/>
          </w:tcPr>
          <w:p w14:paraId="3175C0C6"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0D714253" w14:textId="4431024C" w:rsidR="00D917E1" w:rsidRPr="00890249" w:rsidRDefault="00D040F2" w:rsidP="00BD5A2B">
            <w:pPr>
              <w:jc w:val="center"/>
              <w:rPr>
                <w:rFonts w:asciiTheme="minorHAnsi" w:hAnsiTheme="minorHAnsi" w:cstheme="minorHAnsi"/>
                <w:noProof/>
                <w:sz w:val="20"/>
              </w:rPr>
            </w:pPr>
            <w:r w:rsidRPr="00890249">
              <w:rPr>
                <w:rFonts w:asciiTheme="minorHAnsi" w:hAnsiTheme="minorHAnsi" w:cstheme="minorHAnsi"/>
                <w:noProof/>
                <w:sz w:val="20"/>
              </w:rPr>
              <w:t>(d)</w:t>
            </w:r>
          </w:p>
        </w:tc>
        <w:tc>
          <w:tcPr>
            <w:tcW w:w="1136" w:type="dxa"/>
            <w:vAlign w:val="center"/>
          </w:tcPr>
          <w:p w14:paraId="4D0A2E30" w14:textId="2731EED5" w:rsidR="00D917E1" w:rsidRPr="00890249" w:rsidRDefault="00D040F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45767D" w:rsidRPr="00890249">
              <w:rPr>
                <w:rFonts w:asciiTheme="minorHAnsi" w:eastAsia="Times New Roman" w:hAnsiTheme="minorHAnsi" w:cstheme="minorHAnsi"/>
                <w:iCs/>
                <w:noProof/>
                <w:sz w:val="20"/>
              </w:rPr>
              <w:t xml:space="preserve"> Brak ukierunkowania terytorialnego</w:t>
            </w:r>
          </w:p>
        </w:tc>
        <w:tc>
          <w:tcPr>
            <w:tcW w:w="2092" w:type="dxa"/>
            <w:vAlign w:val="center"/>
          </w:tcPr>
          <w:p w14:paraId="1A9ABE95" w14:textId="30909889" w:rsidR="00B72154" w:rsidRPr="00890249" w:rsidRDefault="005A1433" w:rsidP="00890249">
            <w:pPr>
              <w:jc w:val="right"/>
              <w:rPr>
                <w:rFonts w:asciiTheme="minorHAnsi" w:hAnsiTheme="minorHAnsi" w:cstheme="minorHAnsi"/>
                <w:noProof/>
                <w:sz w:val="20"/>
              </w:rPr>
            </w:pPr>
            <w:r>
              <w:rPr>
                <w:rFonts w:asciiTheme="minorHAnsi" w:hAnsiTheme="minorHAnsi" w:cstheme="minorHAnsi"/>
                <w:noProof/>
                <w:sz w:val="20"/>
              </w:rPr>
              <w:t>12 500 000</w:t>
            </w:r>
          </w:p>
        </w:tc>
      </w:tr>
    </w:tbl>
    <w:p w14:paraId="22316162" w14:textId="43E32420" w:rsidR="00B72154" w:rsidRPr="00890249" w:rsidRDefault="00B72154" w:rsidP="00890249">
      <w:pPr>
        <w:spacing w:before="0" w:after="160" w:line="259" w:lineRule="auto"/>
        <w:jc w:val="left"/>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D917E1" w:rsidRPr="00890249" w14:paraId="30F4727E" w14:textId="77777777" w:rsidTr="003D6E86">
        <w:tc>
          <w:tcPr>
            <w:tcW w:w="9322" w:type="dxa"/>
            <w:gridSpan w:val="6"/>
            <w:shd w:val="clear" w:color="auto" w:fill="D9D9D9" w:themeFill="background1" w:themeFillShade="D9"/>
          </w:tcPr>
          <w:p w14:paraId="5B719F2D" w14:textId="77777777" w:rsidR="00D917E1" w:rsidRPr="00890249" w:rsidRDefault="00D917E1" w:rsidP="00E66DB5">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E66DB5" w:rsidRPr="00890249">
              <w:rPr>
                <w:rFonts w:asciiTheme="minorHAnsi" w:hAnsiTheme="minorHAnsi" w:cstheme="minorHAnsi"/>
                <w:b/>
                <w:noProof/>
                <w:sz w:val="20"/>
              </w:rPr>
              <w:t>uzupełniające obszary tematyczne EFS+</w:t>
            </w:r>
          </w:p>
        </w:tc>
      </w:tr>
      <w:tr w:rsidR="00D917E1" w:rsidRPr="00890249" w14:paraId="3E2D6B4D" w14:textId="77777777" w:rsidTr="00736E89">
        <w:tc>
          <w:tcPr>
            <w:tcW w:w="1461" w:type="dxa"/>
            <w:shd w:val="clear" w:color="auto" w:fill="F2F2F2" w:themeFill="background1" w:themeFillShade="F2"/>
          </w:tcPr>
          <w:p w14:paraId="2CD909E4"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58" w:type="dxa"/>
            <w:shd w:val="clear" w:color="auto" w:fill="F2F2F2" w:themeFill="background1" w:themeFillShade="F2"/>
          </w:tcPr>
          <w:p w14:paraId="1D5D398F"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41" w:type="dxa"/>
            <w:shd w:val="clear" w:color="auto" w:fill="F2F2F2" w:themeFill="background1" w:themeFillShade="F2"/>
          </w:tcPr>
          <w:p w14:paraId="1C75F29A"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2" w:type="dxa"/>
            <w:shd w:val="clear" w:color="auto" w:fill="F2F2F2" w:themeFill="background1" w:themeFillShade="F2"/>
          </w:tcPr>
          <w:p w14:paraId="73E8B4A4"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4166E858"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69" w:type="dxa"/>
            <w:shd w:val="clear" w:color="auto" w:fill="F2F2F2" w:themeFill="background1" w:themeFillShade="F2"/>
          </w:tcPr>
          <w:p w14:paraId="23EC600C" w14:textId="77777777" w:rsidR="00D917E1" w:rsidRPr="00890249" w:rsidRDefault="00D917E1" w:rsidP="0002590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736E89" w:rsidRPr="00890249" w14:paraId="33C1174C" w14:textId="77777777" w:rsidTr="00890249">
        <w:tc>
          <w:tcPr>
            <w:tcW w:w="1461" w:type="dxa"/>
            <w:vMerge w:val="restart"/>
            <w:vAlign w:val="center"/>
          </w:tcPr>
          <w:p w14:paraId="6F7A32A0" w14:textId="77777777" w:rsidR="00736E89" w:rsidRPr="00890249" w:rsidRDefault="00736E89" w:rsidP="00DC1CE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258" w:type="dxa"/>
            <w:vMerge w:val="restart"/>
            <w:vAlign w:val="center"/>
          </w:tcPr>
          <w:p w14:paraId="3DF5132B" w14:textId="77777777" w:rsidR="00736E89" w:rsidRPr="00890249" w:rsidRDefault="00736E89" w:rsidP="00DC1CEC">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41" w:type="dxa"/>
            <w:vMerge w:val="restart"/>
            <w:vAlign w:val="center"/>
          </w:tcPr>
          <w:p w14:paraId="7DED39F3" w14:textId="77777777" w:rsidR="00736E89" w:rsidRPr="00890249" w:rsidRDefault="00736E89" w:rsidP="00DC1CEC">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542" w:type="dxa"/>
            <w:vMerge w:val="restart"/>
            <w:shd w:val="clear" w:color="auto" w:fill="auto"/>
            <w:vAlign w:val="center"/>
          </w:tcPr>
          <w:p w14:paraId="10D51D9C" w14:textId="77777777" w:rsidR="00736E89" w:rsidRPr="00890249" w:rsidRDefault="00736E89" w:rsidP="00DC1CEC">
            <w:pPr>
              <w:jc w:val="center"/>
              <w:rPr>
                <w:rFonts w:asciiTheme="minorHAnsi" w:eastAsia="Times New Roman" w:hAnsiTheme="minorHAnsi" w:cstheme="minorHAnsi"/>
                <w:iCs/>
                <w:noProof/>
                <w:sz w:val="20"/>
                <w:szCs w:val="22"/>
                <w:lang w:eastAsia="en-US" w:bidi="ar-SA"/>
              </w:rPr>
            </w:pPr>
          </w:p>
          <w:p w14:paraId="5ADDA6BD" w14:textId="77777777" w:rsidR="00736E89" w:rsidRPr="00890249" w:rsidRDefault="00736E89" w:rsidP="00DC1CEC">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(d)</w:t>
            </w:r>
          </w:p>
        </w:tc>
        <w:tc>
          <w:tcPr>
            <w:tcW w:w="1651" w:type="dxa"/>
            <w:shd w:val="clear" w:color="auto" w:fill="auto"/>
          </w:tcPr>
          <w:p w14:paraId="04527BED" w14:textId="77777777" w:rsidR="00736E89" w:rsidRPr="00890249" w:rsidRDefault="00736E89" w:rsidP="00DC1CE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Przyczynianie się</w:t>
            </w:r>
            <w:r w:rsidR="00484CBD" w:rsidRPr="00890249">
              <w:rPr>
                <w:rFonts w:asciiTheme="minorHAnsi" w:eastAsia="Times New Roman" w:hAnsiTheme="minorHAnsi" w:cstheme="minorHAnsi"/>
                <w:iCs/>
                <w:noProof/>
                <w:sz w:val="20"/>
              </w:rPr>
              <w:t xml:space="preserve"> </w:t>
            </w:r>
            <w:r w:rsidRPr="00890249">
              <w:rPr>
                <w:rFonts w:asciiTheme="minorHAnsi" w:eastAsia="Times New Roman" w:hAnsiTheme="minorHAnsi" w:cstheme="minorHAnsi"/>
                <w:iCs/>
                <w:noProof/>
                <w:sz w:val="20"/>
              </w:rPr>
              <w:t>do ekologicznych umiejętności i zielonych miejsc pracy oraz zielonej gospodarki</w:t>
            </w:r>
          </w:p>
        </w:tc>
        <w:tc>
          <w:tcPr>
            <w:tcW w:w="2069" w:type="dxa"/>
            <w:shd w:val="clear" w:color="auto" w:fill="auto"/>
          </w:tcPr>
          <w:p w14:paraId="6B68EFB6" w14:textId="0E5D33CC" w:rsidR="00736E89" w:rsidRPr="00890249" w:rsidRDefault="00C846D9" w:rsidP="002147E2">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A1433">
              <w:rPr>
                <w:rFonts w:asciiTheme="minorHAnsi" w:eastAsia="Times New Roman" w:hAnsiTheme="minorHAnsi" w:cstheme="minorHAnsi"/>
                <w:iCs/>
                <w:noProof/>
                <w:sz w:val="20"/>
              </w:rPr>
              <w:t>850 000</w:t>
            </w:r>
          </w:p>
        </w:tc>
      </w:tr>
      <w:tr w:rsidR="00736E89" w:rsidRPr="00890249" w14:paraId="0FF0525D" w14:textId="77777777" w:rsidTr="00736E89">
        <w:tc>
          <w:tcPr>
            <w:tcW w:w="1461" w:type="dxa"/>
            <w:vMerge/>
            <w:vAlign w:val="center"/>
          </w:tcPr>
          <w:p w14:paraId="11A793F5" w14:textId="77777777" w:rsidR="00736E89" w:rsidRPr="00890249" w:rsidRDefault="00736E89" w:rsidP="00DC1CEC">
            <w:pPr>
              <w:jc w:val="center"/>
              <w:rPr>
                <w:rFonts w:asciiTheme="minorHAnsi" w:eastAsia="Times New Roman" w:hAnsiTheme="minorHAnsi" w:cstheme="minorHAnsi"/>
                <w:b/>
                <w:iCs/>
                <w:noProof/>
                <w:sz w:val="20"/>
              </w:rPr>
            </w:pPr>
          </w:p>
        </w:tc>
        <w:tc>
          <w:tcPr>
            <w:tcW w:w="1258" w:type="dxa"/>
            <w:vMerge/>
            <w:vAlign w:val="center"/>
          </w:tcPr>
          <w:p w14:paraId="64E3CD35" w14:textId="77777777" w:rsidR="00736E89" w:rsidRPr="00890249" w:rsidRDefault="00736E89" w:rsidP="00DC1CEC">
            <w:pPr>
              <w:jc w:val="center"/>
              <w:rPr>
                <w:rFonts w:asciiTheme="minorHAnsi" w:eastAsia="Times New Roman" w:hAnsiTheme="minorHAnsi" w:cstheme="minorHAnsi"/>
                <w:b/>
                <w:iCs/>
                <w:noProof/>
                <w:sz w:val="20"/>
              </w:rPr>
            </w:pPr>
          </w:p>
        </w:tc>
        <w:tc>
          <w:tcPr>
            <w:tcW w:w="1341" w:type="dxa"/>
            <w:vMerge/>
            <w:vAlign w:val="center"/>
          </w:tcPr>
          <w:p w14:paraId="124454BB" w14:textId="77777777" w:rsidR="00736E89" w:rsidRPr="00890249" w:rsidRDefault="00736E89" w:rsidP="00DC1CEC">
            <w:pPr>
              <w:jc w:val="center"/>
              <w:rPr>
                <w:rFonts w:asciiTheme="minorHAnsi" w:eastAsia="Times New Roman" w:hAnsiTheme="minorHAnsi" w:cstheme="minorHAnsi"/>
                <w:b/>
                <w:iCs/>
                <w:noProof/>
                <w:sz w:val="20"/>
              </w:rPr>
            </w:pPr>
          </w:p>
        </w:tc>
        <w:tc>
          <w:tcPr>
            <w:tcW w:w="1542" w:type="dxa"/>
            <w:vMerge/>
            <w:shd w:val="clear" w:color="auto" w:fill="auto"/>
          </w:tcPr>
          <w:p w14:paraId="627341AE" w14:textId="77777777" w:rsidR="00736E89" w:rsidRPr="00890249" w:rsidRDefault="00736E89" w:rsidP="00DC1CEC">
            <w:pPr>
              <w:jc w:val="center"/>
              <w:rPr>
                <w:rFonts w:asciiTheme="minorHAnsi" w:eastAsia="Times New Roman" w:hAnsiTheme="minorHAnsi" w:cstheme="minorHAnsi"/>
                <w:b/>
                <w:iCs/>
                <w:noProof/>
                <w:sz w:val="20"/>
              </w:rPr>
            </w:pPr>
          </w:p>
        </w:tc>
        <w:tc>
          <w:tcPr>
            <w:tcW w:w="1651" w:type="dxa"/>
            <w:shd w:val="clear" w:color="auto" w:fill="auto"/>
          </w:tcPr>
          <w:p w14:paraId="7AAB8F71" w14:textId="77777777" w:rsidR="00736E89" w:rsidRPr="00890249" w:rsidRDefault="00736E89" w:rsidP="00DC1CE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 Niedyskryminacja</w:t>
            </w:r>
          </w:p>
        </w:tc>
        <w:tc>
          <w:tcPr>
            <w:tcW w:w="2069" w:type="dxa"/>
            <w:shd w:val="clear" w:color="auto" w:fill="auto"/>
          </w:tcPr>
          <w:p w14:paraId="22AADD16" w14:textId="1BCDF549" w:rsidR="00736E89" w:rsidRPr="00890249" w:rsidRDefault="00C846D9" w:rsidP="005A1433">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sidR="005A1433">
              <w:rPr>
                <w:rFonts w:asciiTheme="minorHAnsi" w:eastAsia="Times New Roman" w:hAnsiTheme="minorHAnsi" w:cstheme="minorHAnsi"/>
                <w:iCs/>
                <w:noProof/>
                <w:sz w:val="20"/>
              </w:rPr>
              <w:t>2 525 000</w:t>
            </w:r>
          </w:p>
        </w:tc>
      </w:tr>
      <w:tr w:rsidR="00736E89" w:rsidRPr="00890249" w14:paraId="655EBAFD" w14:textId="77777777" w:rsidTr="00736E89">
        <w:tc>
          <w:tcPr>
            <w:tcW w:w="1461" w:type="dxa"/>
            <w:vMerge/>
            <w:vAlign w:val="center"/>
          </w:tcPr>
          <w:p w14:paraId="11946433" w14:textId="77777777" w:rsidR="00736E89" w:rsidRPr="00890249" w:rsidRDefault="00736E89" w:rsidP="00DC1CEC">
            <w:pPr>
              <w:jc w:val="center"/>
              <w:rPr>
                <w:rFonts w:asciiTheme="minorHAnsi" w:eastAsia="Times New Roman" w:hAnsiTheme="minorHAnsi" w:cstheme="minorHAnsi"/>
                <w:iCs/>
                <w:noProof/>
                <w:sz w:val="20"/>
              </w:rPr>
            </w:pPr>
          </w:p>
        </w:tc>
        <w:tc>
          <w:tcPr>
            <w:tcW w:w="1258" w:type="dxa"/>
            <w:vMerge/>
            <w:vAlign w:val="center"/>
          </w:tcPr>
          <w:p w14:paraId="04D4A4AA" w14:textId="77777777" w:rsidR="00736E89" w:rsidRPr="00890249" w:rsidRDefault="00736E89" w:rsidP="00DC1CEC">
            <w:pPr>
              <w:jc w:val="center"/>
              <w:rPr>
                <w:rFonts w:asciiTheme="minorHAnsi" w:hAnsiTheme="minorHAnsi" w:cstheme="minorHAnsi"/>
                <w:noProof/>
                <w:sz w:val="20"/>
              </w:rPr>
            </w:pPr>
          </w:p>
        </w:tc>
        <w:tc>
          <w:tcPr>
            <w:tcW w:w="1341" w:type="dxa"/>
            <w:vMerge/>
            <w:vAlign w:val="center"/>
          </w:tcPr>
          <w:p w14:paraId="6CBDC0B5" w14:textId="77777777" w:rsidR="00736E89" w:rsidRPr="00890249" w:rsidRDefault="00736E89" w:rsidP="00DC1CEC">
            <w:pPr>
              <w:jc w:val="center"/>
              <w:rPr>
                <w:rFonts w:asciiTheme="minorHAnsi" w:hAnsiTheme="minorHAnsi" w:cstheme="minorHAnsi"/>
                <w:noProof/>
                <w:sz w:val="20"/>
              </w:rPr>
            </w:pPr>
          </w:p>
        </w:tc>
        <w:tc>
          <w:tcPr>
            <w:tcW w:w="1542" w:type="dxa"/>
            <w:vMerge/>
            <w:shd w:val="clear" w:color="auto" w:fill="auto"/>
          </w:tcPr>
          <w:p w14:paraId="4696CD60" w14:textId="77777777" w:rsidR="00736E89" w:rsidRPr="00890249" w:rsidRDefault="00736E89" w:rsidP="00DC1CEC">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2251ABD3" w14:textId="77777777" w:rsidR="00736E89" w:rsidRPr="00890249" w:rsidRDefault="00736E89" w:rsidP="00DC1CE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07 Budowanie zdolności partnerów społecznych</w:t>
            </w:r>
          </w:p>
        </w:tc>
        <w:tc>
          <w:tcPr>
            <w:tcW w:w="2069" w:type="dxa"/>
            <w:shd w:val="clear" w:color="auto" w:fill="auto"/>
          </w:tcPr>
          <w:p w14:paraId="32399039" w14:textId="4B134153" w:rsidR="00736E89" w:rsidRPr="00890249" w:rsidRDefault="00C846D9" w:rsidP="002147E2">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A1433">
              <w:rPr>
                <w:rFonts w:asciiTheme="minorHAnsi" w:eastAsia="Times New Roman" w:hAnsiTheme="minorHAnsi" w:cstheme="minorHAnsi"/>
                <w:iCs/>
                <w:noProof/>
                <w:sz w:val="20"/>
              </w:rPr>
              <w:t>425 000</w:t>
            </w:r>
          </w:p>
        </w:tc>
      </w:tr>
      <w:tr w:rsidR="00736E89" w:rsidRPr="00890249" w14:paraId="54511FA5" w14:textId="77777777" w:rsidTr="00736E89">
        <w:tc>
          <w:tcPr>
            <w:tcW w:w="1461" w:type="dxa"/>
            <w:vMerge/>
            <w:vAlign w:val="center"/>
          </w:tcPr>
          <w:p w14:paraId="7E386568" w14:textId="77777777" w:rsidR="00736E89" w:rsidRPr="00890249" w:rsidRDefault="00736E89" w:rsidP="00DC1CEC">
            <w:pPr>
              <w:jc w:val="center"/>
              <w:rPr>
                <w:rFonts w:asciiTheme="minorHAnsi" w:eastAsia="Times New Roman" w:hAnsiTheme="minorHAnsi" w:cstheme="minorHAnsi"/>
                <w:iCs/>
                <w:noProof/>
                <w:sz w:val="20"/>
              </w:rPr>
            </w:pPr>
          </w:p>
        </w:tc>
        <w:tc>
          <w:tcPr>
            <w:tcW w:w="1258" w:type="dxa"/>
            <w:vMerge/>
            <w:vAlign w:val="center"/>
          </w:tcPr>
          <w:p w14:paraId="54973D64" w14:textId="77777777" w:rsidR="00736E89" w:rsidRPr="00890249" w:rsidRDefault="00736E89" w:rsidP="00DC1CEC">
            <w:pPr>
              <w:jc w:val="center"/>
              <w:rPr>
                <w:rFonts w:asciiTheme="minorHAnsi" w:hAnsiTheme="minorHAnsi" w:cstheme="minorHAnsi"/>
                <w:noProof/>
                <w:sz w:val="20"/>
              </w:rPr>
            </w:pPr>
          </w:p>
        </w:tc>
        <w:tc>
          <w:tcPr>
            <w:tcW w:w="1341" w:type="dxa"/>
            <w:vMerge/>
            <w:vAlign w:val="center"/>
          </w:tcPr>
          <w:p w14:paraId="491B13D9" w14:textId="77777777" w:rsidR="00736E89" w:rsidRPr="00890249" w:rsidRDefault="00736E89" w:rsidP="00DC1CEC">
            <w:pPr>
              <w:jc w:val="center"/>
              <w:rPr>
                <w:rFonts w:asciiTheme="minorHAnsi" w:hAnsiTheme="minorHAnsi" w:cstheme="minorHAnsi"/>
                <w:noProof/>
                <w:sz w:val="20"/>
              </w:rPr>
            </w:pPr>
          </w:p>
        </w:tc>
        <w:tc>
          <w:tcPr>
            <w:tcW w:w="1542" w:type="dxa"/>
            <w:vMerge/>
            <w:shd w:val="clear" w:color="auto" w:fill="auto"/>
          </w:tcPr>
          <w:p w14:paraId="2ED5429A" w14:textId="77777777" w:rsidR="00736E89" w:rsidRPr="00890249" w:rsidRDefault="00736E89" w:rsidP="00DC1CEC">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4668CE75" w14:textId="77777777" w:rsidR="00736E89" w:rsidRPr="00890249" w:rsidRDefault="00736E89" w:rsidP="00DC1CE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069" w:type="dxa"/>
            <w:shd w:val="clear" w:color="auto" w:fill="auto"/>
          </w:tcPr>
          <w:p w14:paraId="3DC54767" w14:textId="56F8CD6C" w:rsidR="00736E89" w:rsidRPr="00890249" w:rsidRDefault="005A1433" w:rsidP="002147E2">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6 150 000</w:t>
            </w:r>
          </w:p>
        </w:tc>
      </w:tr>
      <w:tr w:rsidR="00736E89" w:rsidRPr="00890249" w14:paraId="0E25E136" w14:textId="77777777" w:rsidTr="00736E89">
        <w:tc>
          <w:tcPr>
            <w:tcW w:w="1461" w:type="dxa"/>
            <w:vMerge/>
            <w:vAlign w:val="center"/>
          </w:tcPr>
          <w:p w14:paraId="4737E5FE" w14:textId="77777777" w:rsidR="00736E89" w:rsidRPr="00890249" w:rsidRDefault="00736E89" w:rsidP="00DC1CEC">
            <w:pPr>
              <w:jc w:val="center"/>
              <w:rPr>
                <w:rFonts w:asciiTheme="minorHAnsi" w:eastAsia="Times New Roman" w:hAnsiTheme="minorHAnsi" w:cstheme="minorHAnsi"/>
                <w:iCs/>
                <w:noProof/>
                <w:sz w:val="20"/>
              </w:rPr>
            </w:pPr>
          </w:p>
        </w:tc>
        <w:tc>
          <w:tcPr>
            <w:tcW w:w="1258" w:type="dxa"/>
            <w:vMerge/>
            <w:vAlign w:val="center"/>
          </w:tcPr>
          <w:p w14:paraId="467F0E13" w14:textId="77777777" w:rsidR="00736E89" w:rsidRPr="00890249" w:rsidRDefault="00736E89" w:rsidP="00DC1CEC">
            <w:pPr>
              <w:jc w:val="center"/>
              <w:rPr>
                <w:rFonts w:asciiTheme="minorHAnsi" w:hAnsiTheme="minorHAnsi" w:cstheme="minorHAnsi"/>
                <w:noProof/>
                <w:sz w:val="20"/>
              </w:rPr>
            </w:pPr>
          </w:p>
        </w:tc>
        <w:tc>
          <w:tcPr>
            <w:tcW w:w="1341" w:type="dxa"/>
            <w:vMerge/>
            <w:vAlign w:val="center"/>
          </w:tcPr>
          <w:p w14:paraId="134BCFB6" w14:textId="77777777" w:rsidR="00736E89" w:rsidRPr="00890249" w:rsidRDefault="00736E89" w:rsidP="00DC1CEC">
            <w:pPr>
              <w:jc w:val="center"/>
              <w:rPr>
                <w:rFonts w:asciiTheme="minorHAnsi" w:hAnsiTheme="minorHAnsi" w:cstheme="minorHAnsi"/>
                <w:noProof/>
                <w:sz w:val="20"/>
              </w:rPr>
            </w:pPr>
          </w:p>
        </w:tc>
        <w:tc>
          <w:tcPr>
            <w:tcW w:w="1542" w:type="dxa"/>
            <w:vMerge/>
            <w:shd w:val="clear" w:color="auto" w:fill="auto"/>
          </w:tcPr>
          <w:p w14:paraId="5E6C46AB" w14:textId="77777777" w:rsidR="00736E89" w:rsidRPr="00890249" w:rsidRDefault="00736E89" w:rsidP="00DC1CEC">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7ADFE7E2" w14:textId="77777777" w:rsidR="00736E89" w:rsidRPr="00890249" w:rsidRDefault="00736E89" w:rsidP="00DC1CE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Działania podejmowane w odpowiedzi na wyzwania wskazane w ramach semestru europejskiego</w:t>
            </w:r>
          </w:p>
        </w:tc>
        <w:tc>
          <w:tcPr>
            <w:tcW w:w="2069" w:type="dxa"/>
            <w:shd w:val="clear" w:color="auto" w:fill="auto"/>
          </w:tcPr>
          <w:p w14:paraId="7ACFBA2A" w14:textId="1D81F962" w:rsidR="00736E89" w:rsidRPr="00890249" w:rsidRDefault="00C846D9" w:rsidP="00DC1CEC">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A1433">
              <w:rPr>
                <w:rFonts w:asciiTheme="minorHAnsi" w:eastAsia="Times New Roman" w:hAnsiTheme="minorHAnsi" w:cstheme="minorHAnsi"/>
                <w:iCs/>
                <w:noProof/>
                <w:sz w:val="20"/>
              </w:rPr>
              <w:t>2 550 000</w:t>
            </w:r>
          </w:p>
        </w:tc>
      </w:tr>
    </w:tbl>
    <w:p w14:paraId="5E3D8325" w14:textId="77777777" w:rsidR="006023F3" w:rsidRPr="00890249" w:rsidRDefault="006023F3" w:rsidP="00E03FED">
      <w:pPr>
        <w:spacing w:before="0" w:after="160" w:line="259" w:lineRule="auto"/>
        <w:jc w:val="left"/>
        <w:rPr>
          <w:rFonts w:asciiTheme="minorHAnsi" w:hAnsiTheme="minorHAnsi" w:cstheme="minorHAnsi"/>
          <w:b/>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613A79" w:rsidRPr="00890249" w14:paraId="555ED2EF" w14:textId="77777777" w:rsidTr="003D6E86">
        <w:tc>
          <w:tcPr>
            <w:tcW w:w="9322" w:type="dxa"/>
            <w:gridSpan w:val="6"/>
            <w:shd w:val="clear" w:color="auto" w:fill="D9D9D9" w:themeFill="background1" w:themeFillShade="D9"/>
          </w:tcPr>
          <w:p w14:paraId="78DD1AEC" w14:textId="77777777" w:rsidR="00613A79" w:rsidRPr="00890249" w:rsidRDefault="00E66DB5" w:rsidP="00BE778E">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Tabela 8: Wymiar 7 – wymiar „R</w:t>
            </w:r>
            <w:r w:rsidR="006035F0" w:rsidRPr="00890249">
              <w:rPr>
                <w:rFonts w:asciiTheme="minorHAnsi" w:eastAsiaTheme="minorHAnsi" w:hAnsiTheme="minorHAnsi" w:cstheme="minorHAnsi"/>
                <w:b/>
                <w:sz w:val="20"/>
                <w:szCs w:val="22"/>
                <w:lang w:eastAsia="en-US" w:bidi="ar-SA"/>
              </w:rPr>
              <w:t>ównouprawnienie</w:t>
            </w:r>
            <w:r w:rsidR="00613A79" w:rsidRPr="00890249">
              <w:rPr>
                <w:rFonts w:asciiTheme="minorHAnsi" w:eastAsiaTheme="minorHAnsi" w:hAnsiTheme="minorHAnsi" w:cstheme="minorHAnsi"/>
                <w:b/>
                <w:sz w:val="20"/>
                <w:szCs w:val="22"/>
                <w:lang w:eastAsia="en-US" w:bidi="ar-SA"/>
              </w:rPr>
              <w:t xml:space="preserve"> płci</w:t>
            </w:r>
            <w:r w:rsidRPr="00890249">
              <w:rPr>
                <w:rFonts w:asciiTheme="minorHAnsi" w:eastAsiaTheme="minorHAnsi" w:hAnsiTheme="minorHAnsi" w:cstheme="minorHAnsi"/>
                <w:b/>
                <w:sz w:val="20"/>
                <w:szCs w:val="22"/>
                <w:lang w:eastAsia="en-US" w:bidi="ar-SA"/>
              </w:rPr>
              <w:t>” w ramach EFS+, EFRR, Fundusz Spójności i FST</w:t>
            </w:r>
          </w:p>
        </w:tc>
      </w:tr>
      <w:tr w:rsidR="00613A79" w:rsidRPr="00890249" w14:paraId="3DB66160" w14:textId="77777777" w:rsidTr="003D6E86">
        <w:tc>
          <w:tcPr>
            <w:tcW w:w="1570" w:type="dxa"/>
            <w:shd w:val="clear" w:color="auto" w:fill="F2F2F2" w:themeFill="background1" w:themeFillShade="F2"/>
          </w:tcPr>
          <w:p w14:paraId="31CEF6C3"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6BDD6BCE"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287DBD4A"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7AD398AB"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2294E1B1"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44A309A9"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613A79" w:rsidRPr="00890249" w14:paraId="7BAD64D4" w14:textId="77777777" w:rsidTr="003D6E86">
        <w:tc>
          <w:tcPr>
            <w:tcW w:w="1570" w:type="dxa"/>
            <w:shd w:val="clear" w:color="auto" w:fill="auto"/>
            <w:vAlign w:val="center"/>
          </w:tcPr>
          <w:p w14:paraId="18C27692" w14:textId="77777777" w:rsidR="00613A79" w:rsidRPr="00890249" w:rsidRDefault="00875C92" w:rsidP="00B94D07">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CP 4</w:t>
            </w:r>
          </w:p>
        </w:tc>
        <w:tc>
          <w:tcPr>
            <w:tcW w:w="1360" w:type="dxa"/>
            <w:shd w:val="clear" w:color="auto" w:fill="auto"/>
            <w:vAlign w:val="center"/>
          </w:tcPr>
          <w:p w14:paraId="774B7895" w14:textId="77777777" w:rsidR="00613A79" w:rsidRPr="00890249" w:rsidRDefault="00875C92" w:rsidP="00B94D07">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EFS+</w:t>
            </w:r>
          </w:p>
        </w:tc>
        <w:tc>
          <w:tcPr>
            <w:tcW w:w="1415" w:type="dxa"/>
            <w:shd w:val="clear" w:color="auto" w:fill="auto"/>
            <w:vAlign w:val="center"/>
          </w:tcPr>
          <w:p w14:paraId="255DD927" w14:textId="77777777" w:rsidR="00613A79" w:rsidRPr="00890249" w:rsidRDefault="00875C92" w:rsidP="00B94D07">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słabiej rozwinięte</w:t>
            </w:r>
          </w:p>
        </w:tc>
        <w:tc>
          <w:tcPr>
            <w:tcW w:w="1628" w:type="dxa"/>
            <w:shd w:val="clear" w:color="auto" w:fill="auto"/>
            <w:vAlign w:val="center"/>
          </w:tcPr>
          <w:p w14:paraId="1C606BBC" w14:textId="77777777" w:rsidR="00613A79" w:rsidRPr="00890249" w:rsidRDefault="0028300B" w:rsidP="0028300B">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(d)</w:t>
            </w:r>
          </w:p>
        </w:tc>
        <w:tc>
          <w:tcPr>
            <w:tcW w:w="1026" w:type="dxa"/>
            <w:shd w:val="clear" w:color="auto" w:fill="auto"/>
            <w:vAlign w:val="center"/>
          </w:tcPr>
          <w:p w14:paraId="3A11D879" w14:textId="77777777" w:rsidR="00613A79" w:rsidRPr="00890249" w:rsidRDefault="0028300B" w:rsidP="0028300B">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9822BC"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2323" w:type="dxa"/>
            <w:shd w:val="clear" w:color="auto" w:fill="auto"/>
            <w:vAlign w:val="center"/>
          </w:tcPr>
          <w:p w14:paraId="59AA773E" w14:textId="6D737378" w:rsidR="00613A79" w:rsidRPr="00890249" w:rsidRDefault="005A1433" w:rsidP="0028300B">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12 500 000</w:t>
            </w:r>
          </w:p>
        </w:tc>
      </w:tr>
    </w:tbl>
    <w:p w14:paraId="46021B04" w14:textId="77777777" w:rsidR="00F47334" w:rsidRPr="00890249" w:rsidRDefault="00F47334" w:rsidP="009F65DF">
      <w:pPr>
        <w:spacing w:before="0" w:after="240"/>
        <w:rPr>
          <w:rFonts w:asciiTheme="minorHAnsi" w:hAnsiTheme="minorHAnsi" w:cstheme="minorHAnsi"/>
          <w:b/>
          <w:noProof/>
          <w:sz w:val="22"/>
          <w:szCs w:val="22"/>
        </w:rPr>
      </w:pPr>
    </w:p>
    <w:p w14:paraId="5E5FD1C8" w14:textId="77777777" w:rsidR="00701EDC" w:rsidRPr="00890249" w:rsidRDefault="00701EDC" w:rsidP="00701EDC">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2. 1.5.4 (f) Cel szczegółowy</w:t>
      </w:r>
    </w:p>
    <w:p w14:paraId="1CFFC797" w14:textId="77777777" w:rsidR="00701EDC" w:rsidRPr="00890249" w:rsidRDefault="00701EDC" w:rsidP="00701EDC">
      <w:pPr>
        <w:spacing w:before="240" w:after="240" w:line="276" w:lineRule="auto"/>
        <w:rPr>
          <w:rFonts w:asciiTheme="minorHAnsi" w:hAnsiTheme="minorHAnsi" w:cstheme="minorHAnsi"/>
          <w:b/>
          <w:noProof/>
          <w:color w:val="1F4E79" w:themeColor="accent1" w:themeShade="80"/>
        </w:rPr>
      </w:pPr>
      <w:r w:rsidRPr="00890249">
        <w:rPr>
          <w:rFonts w:asciiTheme="minorHAnsi" w:hAnsiTheme="minorHAnsi" w:cstheme="minorHAnsi"/>
          <w:b/>
          <w:noProof/>
          <w:color w:val="2F5496" w:themeColor="accent5" w:themeShade="BF"/>
          <w:sz w:val="22"/>
        </w:rPr>
        <w:t>(</w:t>
      </w:r>
      <w:r w:rsidRPr="00890249">
        <w:rPr>
          <w:rFonts w:asciiTheme="minorHAnsi" w:hAnsiTheme="minorHAnsi" w:cstheme="minorHAnsi"/>
          <w:b/>
          <w:noProof/>
          <w:color w:val="2F5496" w:themeColor="accent5" w:themeShade="BF"/>
          <w:szCs w:val="22"/>
        </w:rPr>
        <w:t>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1B98AED8" w14:textId="77777777" w:rsidR="00701EDC" w:rsidRPr="00890249" w:rsidRDefault="00701EDC" w:rsidP="00701EDC">
      <w:pPr>
        <w:rPr>
          <w:rFonts w:asciiTheme="minorHAnsi" w:hAnsiTheme="minorHAnsi" w:cstheme="minorHAnsi"/>
          <w:b/>
          <w:noProof/>
          <w:sz w:val="22"/>
        </w:rPr>
      </w:pPr>
      <w:r w:rsidRPr="00890249">
        <w:rPr>
          <w:rFonts w:asciiTheme="minorHAnsi" w:hAnsiTheme="minorHAnsi" w:cstheme="minorHAnsi"/>
          <w:b/>
          <w:noProof/>
          <w:sz w:val="22"/>
        </w:rPr>
        <w:t>2.1.5.4.1 (f) Interwencje w ramach funduszy</w:t>
      </w:r>
    </w:p>
    <w:p w14:paraId="4B7856C8"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05EEC4D6" w14:textId="1296F453" w:rsidR="0093433C" w:rsidRPr="00890249" w:rsidRDefault="1461C33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regionie odsetek dzieci objętych wychowaniem przedszkolnym jest jednym z najwyższych w kraju</w:t>
      </w:r>
      <w:r w:rsidR="348D74B4" w:rsidRPr="00890249">
        <w:rPr>
          <w:rFonts w:asciiTheme="minorHAnsi" w:hAnsiTheme="minorHAnsi" w:cstheme="minorHAnsi"/>
          <w:sz w:val="22"/>
          <w:szCs w:val="22"/>
          <w:lang w:eastAsia="en-US" w:bidi="ar-SA"/>
        </w:rPr>
        <w:t>, jednak</w:t>
      </w:r>
      <w:r w:rsidR="39F523A4" w:rsidRPr="00890249">
        <w:rPr>
          <w:rFonts w:asciiTheme="minorHAnsi" w:hAnsiTheme="minorHAnsi" w:cstheme="minorHAnsi"/>
          <w:sz w:val="22"/>
          <w:szCs w:val="22"/>
          <w:lang w:eastAsia="en-US" w:bidi="ar-SA"/>
        </w:rPr>
        <w:t xml:space="preserve"> </w:t>
      </w:r>
      <w:r w:rsidR="7C35CF0B" w:rsidRPr="00890249">
        <w:rPr>
          <w:rFonts w:asciiTheme="minorHAnsi" w:hAnsiTheme="minorHAnsi" w:cstheme="minorHAnsi"/>
          <w:sz w:val="22"/>
          <w:szCs w:val="22"/>
          <w:lang w:eastAsia="en-US" w:bidi="ar-SA"/>
        </w:rPr>
        <w:t xml:space="preserve">wciąż </w:t>
      </w:r>
      <w:r w:rsidRPr="00890249">
        <w:rPr>
          <w:rFonts w:asciiTheme="minorHAnsi" w:hAnsiTheme="minorHAnsi" w:cstheme="minorHAnsi"/>
          <w:sz w:val="22"/>
          <w:szCs w:val="22"/>
          <w:lang w:eastAsia="en-US" w:bidi="ar-SA"/>
        </w:rPr>
        <w:t>występują dysproporcje wewnątrzregionalne. Wysok</w:t>
      </w:r>
      <w:r w:rsidR="008C67B3">
        <w:rPr>
          <w:rFonts w:asciiTheme="minorHAnsi" w:hAnsiTheme="minorHAnsi" w:cstheme="minorHAnsi"/>
          <w:sz w:val="22"/>
          <w:szCs w:val="22"/>
          <w:lang w:eastAsia="en-US" w:bidi="ar-SA"/>
        </w:rPr>
        <w:t>i współczynnik odnotowuje się w </w:t>
      </w:r>
      <w:r w:rsidRPr="00890249">
        <w:rPr>
          <w:rFonts w:asciiTheme="minorHAnsi" w:hAnsiTheme="minorHAnsi" w:cstheme="minorHAnsi"/>
          <w:sz w:val="22"/>
          <w:szCs w:val="22"/>
          <w:lang w:eastAsia="en-US" w:bidi="ar-SA"/>
        </w:rPr>
        <w:t>miastach, natomiast znacznie niższy na terenach wiejskich</w:t>
      </w:r>
      <w:r w:rsidR="00577560" w:rsidRPr="00890249">
        <w:rPr>
          <w:rFonts w:asciiTheme="minorHAnsi" w:hAnsiTheme="minorHAnsi" w:cstheme="minorHAnsi"/>
          <w:sz w:val="22"/>
          <w:szCs w:val="22"/>
          <w:vertAlign w:val="superscript"/>
          <w:lang w:eastAsia="en-US" w:bidi="ar-SA"/>
        </w:rPr>
        <w:footnoteReference w:id="171"/>
      </w:r>
      <w:r w:rsidRPr="00890249">
        <w:rPr>
          <w:rFonts w:asciiTheme="minorHAnsi" w:hAnsiTheme="minorHAnsi" w:cstheme="minorHAnsi"/>
          <w:sz w:val="22"/>
          <w:szCs w:val="22"/>
          <w:lang w:eastAsia="en-US" w:bidi="ar-SA"/>
        </w:rPr>
        <w:t xml:space="preserve">. </w:t>
      </w:r>
      <w:r w:rsidR="65FB2401" w:rsidRPr="00890249">
        <w:rPr>
          <w:rFonts w:asciiTheme="minorHAnsi" w:hAnsiTheme="minorHAnsi" w:cstheme="minorHAnsi"/>
          <w:sz w:val="22"/>
          <w:szCs w:val="22"/>
          <w:lang w:eastAsia="en-US" w:bidi="ar-SA"/>
        </w:rPr>
        <w:t>Problemem jest</w:t>
      </w:r>
      <w:r w:rsidRPr="00890249">
        <w:rPr>
          <w:rFonts w:asciiTheme="minorHAnsi" w:hAnsiTheme="minorHAnsi" w:cstheme="minorHAnsi"/>
          <w:sz w:val="22"/>
          <w:szCs w:val="22"/>
          <w:lang w:eastAsia="en-US" w:bidi="ar-SA"/>
        </w:rPr>
        <w:t xml:space="preserve"> </w:t>
      </w:r>
      <w:r w:rsidR="7C35CF0B" w:rsidRPr="00890249">
        <w:rPr>
          <w:rFonts w:asciiTheme="minorHAnsi" w:hAnsiTheme="minorHAnsi" w:cstheme="minorHAnsi"/>
          <w:sz w:val="22"/>
          <w:szCs w:val="22"/>
          <w:lang w:eastAsia="en-US" w:bidi="ar-SA"/>
        </w:rPr>
        <w:t xml:space="preserve">też </w:t>
      </w:r>
      <w:r w:rsidRPr="00890249">
        <w:rPr>
          <w:rFonts w:asciiTheme="minorHAnsi" w:hAnsiTheme="minorHAnsi" w:cstheme="minorHAnsi"/>
          <w:sz w:val="22"/>
          <w:szCs w:val="22"/>
          <w:lang w:eastAsia="en-US" w:bidi="ar-SA"/>
        </w:rPr>
        <w:t>zbyt krótki czas opieki oferowany przez niektóre placówki oraz wysokie koszty ponos</w:t>
      </w:r>
      <w:r w:rsidR="008C67B3">
        <w:rPr>
          <w:rFonts w:asciiTheme="minorHAnsi" w:hAnsiTheme="minorHAnsi" w:cstheme="minorHAnsi"/>
          <w:sz w:val="22"/>
          <w:szCs w:val="22"/>
          <w:lang w:eastAsia="en-US" w:bidi="ar-SA"/>
        </w:rPr>
        <w:t>zone przez rodziców w związku z </w:t>
      </w:r>
      <w:r w:rsidRPr="00890249">
        <w:rPr>
          <w:rFonts w:asciiTheme="minorHAnsi" w:hAnsiTheme="minorHAnsi" w:cstheme="minorHAnsi"/>
          <w:sz w:val="22"/>
          <w:szCs w:val="22"/>
          <w:lang w:eastAsia="en-US" w:bidi="ar-SA"/>
        </w:rPr>
        <w:t>udziałem ich dzieci w zajęciach dodatkowych</w:t>
      </w:r>
      <w:r w:rsidR="00577560" w:rsidRPr="00890249">
        <w:rPr>
          <w:rFonts w:asciiTheme="minorHAnsi" w:hAnsiTheme="minorHAnsi" w:cstheme="minorHAnsi"/>
          <w:sz w:val="22"/>
          <w:szCs w:val="22"/>
          <w:vertAlign w:val="superscript"/>
          <w:lang w:eastAsia="en-US" w:bidi="ar-SA"/>
        </w:rPr>
        <w:footnoteReference w:id="172"/>
      </w:r>
      <w:r w:rsidRPr="00890249">
        <w:rPr>
          <w:rFonts w:asciiTheme="minorHAnsi" w:hAnsiTheme="minorHAnsi" w:cstheme="minorHAnsi"/>
          <w:sz w:val="22"/>
          <w:szCs w:val="22"/>
          <w:lang w:eastAsia="en-US" w:bidi="ar-SA"/>
        </w:rPr>
        <w:t>.</w:t>
      </w:r>
      <w:r w:rsidR="50B4B2C9" w:rsidRPr="00890249">
        <w:rPr>
          <w:rFonts w:asciiTheme="minorHAnsi" w:hAnsiTheme="minorHAnsi" w:cstheme="minorHAnsi"/>
          <w:sz w:val="22"/>
          <w:szCs w:val="22"/>
          <w:lang w:eastAsia="en-US" w:bidi="ar-SA"/>
        </w:rPr>
        <w:t xml:space="preserve"> </w:t>
      </w:r>
    </w:p>
    <w:p w14:paraId="49AEB76E" w14:textId="575E7139" w:rsidR="0093433C" w:rsidRPr="00890249" w:rsidRDefault="007713A8" w:rsidP="00890249">
      <w:pPr>
        <w:pStyle w:val="Tekstpodstawowy"/>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W</w:t>
      </w:r>
      <w:r w:rsidR="50B4B2C9" w:rsidRPr="00890249">
        <w:rPr>
          <w:rFonts w:asciiTheme="minorHAnsi" w:hAnsiTheme="minorHAnsi" w:cstheme="minorHAnsi"/>
          <w:sz w:val="22"/>
          <w:szCs w:val="22"/>
          <w:lang w:eastAsia="en-US" w:bidi="ar-SA"/>
        </w:rPr>
        <w:t xml:space="preserve">idoczne </w:t>
      </w:r>
      <w:r w:rsidR="107E3309" w:rsidRPr="00890249">
        <w:rPr>
          <w:rFonts w:asciiTheme="minorHAnsi" w:hAnsiTheme="minorHAnsi" w:cstheme="minorHAnsi"/>
          <w:sz w:val="22"/>
          <w:szCs w:val="22"/>
          <w:lang w:eastAsia="en-US" w:bidi="ar-SA"/>
        </w:rPr>
        <w:t xml:space="preserve">jest </w:t>
      </w:r>
      <w:r w:rsidR="1461C33B" w:rsidRPr="00890249">
        <w:rPr>
          <w:rFonts w:asciiTheme="minorHAnsi" w:hAnsiTheme="minorHAnsi" w:cstheme="minorHAnsi"/>
          <w:sz w:val="22"/>
          <w:szCs w:val="22"/>
          <w:lang w:eastAsia="en-US" w:bidi="ar-SA"/>
        </w:rPr>
        <w:t xml:space="preserve">niedopasowanie systemu edukacji do potrzeb rynku pracy. </w:t>
      </w:r>
      <w:r w:rsidR="00D6488A" w:rsidRPr="00890249">
        <w:rPr>
          <w:rFonts w:asciiTheme="minorHAnsi" w:hAnsiTheme="minorHAnsi" w:cstheme="minorHAnsi"/>
          <w:sz w:val="22"/>
          <w:szCs w:val="22"/>
          <w:lang w:eastAsia="en-US" w:bidi="ar-SA"/>
        </w:rPr>
        <w:t>S</w:t>
      </w:r>
      <w:r w:rsidR="1461C33B" w:rsidRPr="00890249">
        <w:rPr>
          <w:rFonts w:asciiTheme="minorHAnsi" w:hAnsiTheme="minorHAnsi" w:cstheme="minorHAnsi"/>
          <w:sz w:val="22"/>
          <w:szCs w:val="22"/>
          <w:lang w:eastAsia="en-US" w:bidi="ar-SA"/>
        </w:rPr>
        <w:t xml:space="preserve">łabością szkolnictwa </w:t>
      </w:r>
      <w:r w:rsidR="008C67B3">
        <w:rPr>
          <w:rFonts w:asciiTheme="minorHAnsi" w:hAnsiTheme="minorHAnsi" w:cstheme="minorHAnsi"/>
          <w:sz w:val="22"/>
          <w:szCs w:val="22"/>
          <w:lang w:eastAsia="en-US" w:bidi="ar-SA"/>
        </w:rPr>
        <w:t>w </w:t>
      </w:r>
      <w:r w:rsidR="00D6488A" w:rsidRPr="00890249">
        <w:rPr>
          <w:rFonts w:asciiTheme="minorHAnsi" w:hAnsiTheme="minorHAnsi" w:cstheme="minorHAnsi"/>
          <w:sz w:val="22"/>
          <w:szCs w:val="22"/>
          <w:lang w:eastAsia="en-US" w:bidi="ar-SA"/>
        </w:rPr>
        <w:t xml:space="preserve">regionie </w:t>
      </w:r>
      <w:r w:rsidR="1461C33B" w:rsidRPr="00890249">
        <w:rPr>
          <w:rFonts w:asciiTheme="minorHAnsi" w:hAnsiTheme="minorHAnsi" w:cstheme="minorHAnsi"/>
          <w:sz w:val="22"/>
          <w:szCs w:val="22"/>
          <w:lang w:eastAsia="en-US" w:bidi="ar-SA"/>
        </w:rPr>
        <w:t xml:space="preserve">jest kształcenie praktyczne </w:t>
      </w:r>
      <w:r w:rsidR="5D0AF4C2" w:rsidRPr="00890249">
        <w:rPr>
          <w:rFonts w:asciiTheme="minorHAnsi" w:hAnsiTheme="minorHAnsi" w:cstheme="minorHAnsi"/>
          <w:sz w:val="22"/>
          <w:szCs w:val="22"/>
          <w:lang w:eastAsia="en-US" w:bidi="ar-SA"/>
        </w:rPr>
        <w:t>i</w:t>
      </w:r>
      <w:r w:rsidR="1461C33B" w:rsidRPr="00890249">
        <w:rPr>
          <w:rFonts w:asciiTheme="minorHAnsi" w:hAnsiTheme="minorHAnsi" w:cstheme="minorHAnsi"/>
          <w:sz w:val="22"/>
          <w:szCs w:val="22"/>
          <w:lang w:eastAsia="en-US" w:bidi="ar-SA"/>
        </w:rPr>
        <w:t xml:space="preserve"> niewystarczające przygotowanie do zawodu</w:t>
      </w:r>
      <w:r w:rsidR="00577560" w:rsidRPr="00890249">
        <w:rPr>
          <w:rFonts w:asciiTheme="minorHAnsi" w:hAnsiTheme="minorHAnsi" w:cstheme="minorHAnsi"/>
          <w:sz w:val="22"/>
          <w:szCs w:val="22"/>
          <w:vertAlign w:val="superscript"/>
          <w:lang w:eastAsia="en-US" w:bidi="ar-SA"/>
        </w:rPr>
        <w:footnoteReference w:id="173"/>
      </w:r>
      <w:r w:rsidR="1461C33B" w:rsidRPr="00890249">
        <w:rPr>
          <w:rFonts w:asciiTheme="minorHAnsi" w:hAnsiTheme="minorHAnsi" w:cstheme="minorHAnsi"/>
          <w:sz w:val="22"/>
          <w:szCs w:val="22"/>
          <w:lang w:eastAsia="en-US" w:bidi="ar-SA"/>
        </w:rPr>
        <w:t xml:space="preserve">. </w:t>
      </w:r>
      <w:r w:rsidR="11F63899" w:rsidRPr="00890249">
        <w:rPr>
          <w:rFonts w:asciiTheme="minorHAnsi" w:hAnsiTheme="minorHAnsi" w:cstheme="minorHAnsi"/>
          <w:sz w:val="22"/>
          <w:szCs w:val="22"/>
          <w:lang w:eastAsia="en-US" w:bidi="ar-SA"/>
        </w:rPr>
        <w:t xml:space="preserve">Niezbędne jest podjęcie stałej współpracy szkół, w tym zawodowych, </w:t>
      </w:r>
      <w:r w:rsidR="4B2AEA34" w:rsidRPr="00890249">
        <w:rPr>
          <w:rFonts w:asciiTheme="minorHAnsi" w:hAnsiTheme="minorHAnsi" w:cstheme="minorHAnsi"/>
          <w:sz w:val="22"/>
          <w:szCs w:val="22"/>
          <w:lang w:eastAsia="en-US" w:bidi="ar-SA"/>
        </w:rPr>
        <w:t xml:space="preserve">ogólnokształcących, </w:t>
      </w:r>
      <w:r w:rsidR="11F63899" w:rsidRPr="00890249">
        <w:rPr>
          <w:rFonts w:asciiTheme="minorHAnsi" w:hAnsiTheme="minorHAnsi" w:cstheme="minorHAnsi"/>
          <w:sz w:val="22"/>
          <w:szCs w:val="22"/>
          <w:lang w:eastAsia="en-US" w:bidi="ar-SA"/>
        </w:rPr>
        <w:t xml:space="preserve">wyższych uczelni, pracodawców, ośrodków </w:t>
      </w:r>
      <w:r w:rsidR="00191D8C">
        <w:rPr>
          <w:rFonts w:asciiTheme="minorHAnsi" w:hAnsiTheme="minorHAnsi" w:cstheme="minorHAnsi"/>
          <w:sz w:val="22"/>
          <w:szCs w:val="22"/>
          <w:lang w:eastAsia="en-US" w:bidi="ar-SA"/>
        </w:rPr>
        <w:t>B+R</w:t>
      </w:r>
      <w:r w:rsidR="11F63899" w:rsidRPr="00890249">
        <w:rPr>
          <w:rFonts w:asciiTheme="minorHAnsi" w:hAnsiTheme="minorHAnsi" w:cstheme="minorHAnsi"/>
          <w:sz w:val="22"/>
          <w:szCs w:val="22"/>
          <w:lang w:eastAsia="en-US" w:bidi="ar-SA"/>
        </w:rPr>
        <w:t xml:space="preserve"> i </w:t>
      </w:r>
      <w:r w:rsidR="109C4EDB" w:rsidRPr="00890249">
        <w:rPr>
          <w:rFonts w:asciiTheme="minorHAnsi" w:hAnsiTheme="minorHAnsi" w:cstheme="minorHAnsi"/>
          <w:sz w:val="22"/>
          <w:szCs w:val="22"/>
          <w:lang w:eastAsia="en-US" w:bidi="ar-SA"/>
        </w:rPr>
        <w:t>IOB</w:t>
      </w:r>
      <w:r w:rsidR="11F63899" w:rsidRPr="00890249">
        <w:rPr>
          <w:rFonts w:asciiTheme="minorHAnsi" w:hAnsiTheme="minorHAnsi" w:cstheme="minorHAnsi"/>
          <w:sz w:val="22"/>
          <w:szCs w:val="22"/>
          <w:lang w:eastAsia="en-US" w:bidi="ar-SA"/>
        </w:rPr>
        <w:t>, co pozwoli na bieżąco monitorować potrzeby branż</w:t>
      </w:r>
      <w:r w:rsidR="00D6488A" w:rsidRPr="00890249">
        <w:rPr>
          <w:rFonts w:asciiTheme="minorHAnsi" w:hAnsiTheme="minorHAnsi" w:cstheme="minorHAnsi"/>
          <w:sz w:val="22"/>
          <w:szCs w:val="22"/>
          <w:lang w:eastAsia="en-US" w:bidi="ar-SA"/>
        </w:rPr>
        <w:t>owe</w:t>
      </w:r>
      <w:r w:rsidR="11F63899" w:rsidRPr="00890249">
        <w:rPr>
          <w:rFonts w:asciiTheme="minorHAnsi" w:hAnsiTheme="minorHAnsi" w:cstheme="minorHAnsi"/>
          <w:sz w:val="22"/>
          <w:szCs w:val="22"/>
          <w:lang w:eastAsia="en-US" w:bidi="ar-SA"/>
        </w:rPr>
        <w:t xml:space="preserve"> i odpowiednio kierunkować kształcenie</w:t>
      </w:r>
      <w:r w:rsidR="65FB2401" w:rsidRPr="00890249">
        <w:rPr>
          <w:rFonts w:asciiTheme="minorHAnsi" w:hAnsiTheme="minorHAnsi" w:cstheme="minorHAnsi"/>
          <w:sz w:val="22"/>
          <w:szCs w:val="22"/>
          <w:lang w:eastAsia="en-US" w:bidi="ar-SA"/>
        </w:rPr>
        <w:t>.</w:t>
      </w:r>
      <w:r w:rsidR="14981CE1" w:rsidRPr="00890249">
        <w:rPr>
          <w:rFonts w:asciiTheme="minorHAnsi" w:hAnsiTheme="minorHAnsi" w:cstheme="minorHAnsi"/>
          <w:sz w:val="22"/>
          <w:szCs w:val="22"/>
          <w:lang w:eastAsia="en-US" w:bidi="ar-SA"/>
        </w:rPr>
        <w:t xml:space="preserve"> Istotne znaczenie ma możliwość korzystania z rozwiązań, jakie oferuje </w:t>
      </w:r>
      <w:r w:rsidR="75B74731" w:rsidRPr="00890249">
        <w:rPr>
          <w:rFonts w:asciiTheme="minorHAnsi" w:hAnsiTheme="minorHAnsi" w:cstheme="minorHAnsi"/>
          <w:sz w:val="22"/>
          <w:szCs w:val="22"/>
          <w:lang w:eastAsia="en-US" w:bidi="ar-SA"/>
        </w:rPr>
        <w:t>ZSK</w:t>
      </w:r>
      <w:r w:rsidR="009857B6" w:rsidRPr="00890249">
        <w:rPr>
          <w:rStyle w:val="Odwoanieprzypisudolnego"/>
          <w:rFonts w:asciiTheme="minorHAnsi" w:eastAsiaTheme="minorEastAsia" w:hAnsiTheme="minorHAnsi" w:cstheme="minorHAnsi"/>
          <w:sz w:val="22"/>
          <w:szCs w:val="22"/>
          <w:lang w:eastAsia="en-US" w:bidi="ar-SA"/>
        </w:rPr>
        <w:footnoteReference w:id="174"/>
      </w:r>
      <w:r w:rsidR="14981CE1" w:rsidRPr="00890249">
        <w:rPr>
          <w:rFonts w:asciiTheme="minorHAnsi" w:hAnsiTheme="minorHAnsi" w:cstheme="minorHAnsi"/>
          <w:sz w:val="22"/>
          <w:szCs w:val="22"/>
          <w:lang w:eastAsia="en-US" w:bidi="ar-SA"/>
        </w:rPr>
        <w:t xml:space="preserve"> i stwarzanie warunków do walidacji i certyfikacji nabywanych </w:t>
      </w:r>
      <w:r w:rsidR="53A0DF69" w:rsidRPr="00890249">
        <w:rPr>
          <w:rFonts w:asciiTheme="minorHAnsi" w:hAnsiTheme="minorHAnsi" w:cstheme="minorHAnsi"/>
          <w:sz w:val="22"/>
          <w:szCs w:val="22"/>
          <w:lang w:eastAsia="en-US" w:bidi="ar-SA"/>
        </w:rPr>
        <w:t>kwalifikacji</w:t>
      </w:r>
      <w:r w:rsidR="14981CE1" w:rsidRPr="00890249">
        <w:rPr>
          <w:rFonts w:asciiTheme="minorHAnsi" w:hAnsiTheme="minorHAnsi" w:cstheme="minorHAnsi"/>
          <w:sz w:val="22"/>
          <w:szCs w:val="22"/>
          <w:lang w:eastAsia="en-US" w:bidi="ar-SA"/>
        </w:rPr>
        <w:t>.</w:t>
      </w:r>
    </w:p>
    <w:p w14:paraId="28210E75" w14:textId="06062A83" w:rsidR="0093433C" w:rsidRPr="00890249" w:rsidRDefault="0057646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Konieczne jest</w:t>
      </w:r>
      <w:r w:rsidR="000642FC" w:rsidRPr="00890249">
        <w:rPr>
          <w:rFonts w:asciiTheme="minorHAnsi" w:hAnsiTheme="minorHAnsi" w:cstheme="minorHAnsi"/>
          <w:sz w:val="22"/>
          <w:szCs w:val="22"/>
          <w:lang w:eastAsia="en-US" w:bidi="ar-SA"/>
        </w:rPr>
        <w:t xml:space="preserve"> </w:t>
      </w:r>
      <w:r w:rsidR="00683FA2" w:rsidRPr="00890249">
        <w:rPr>
          <w:rFonts w:asciiTheme="minorHAnsi" w:hAnsiTheme="minorHAnsi" w:cstheme="minorHAnsi"/>
          <w:sz w:val="22"/>
          <w:szCs w:val="22"/>
          <w:lang w:eastAsia="en-US" w:bidi="ar-SA"/>
        </w:rPr>
        <w:t xml:space="preserve"> </w:t>
      </w:r>
      <w:r w:rsidR="00230002" w:rsidRPr="00890249">
        <w:rPr>
          <w:rFonts w:asciiTheme="minorHAnsi" w:hAnsiTheme="minorHAnsi" w:cstheme="minorHAnsi"/>
          <w:sz w:val="22"/>
          <w:szCs w:val="22"/>
          <w:lang w:eastAsia="en-US" w:bidi="ar-SA"/>
        </w:rPr>
        <w:t>wsparci</w:t>
      </w:r>
      <w:r w:rsidRPr="00890249">
        <w:rPr>
          <w:rFonts w:asciiTheme="minorHAnsi" w:hAnsiTheme="minorHAnsi" w:cstheme="minorHAnsi"/>
          <w:sz w:val="22"/>
          <w:szCs w:val="22"/>
          <w:lang w:eastAsia="en-US" w:bidi="ar-SA"/>
        </w:rPr>
        <w:t>e</w:t>
      </w:r>
      <w:r w:rsidR="00230002" w:rsidRPr="00890249">
        <w:rPr>
          <w:rFonts w:asciiTheme="minorHAnsi" w:hAnsiTheme="minorHAnsi" w:cstheme="minorHAnsi"/>
          <w:sz w:val="22"/>
          <w:szCs w:val="22"/>
          <w:lang w:eastAsia="en-US" w:bidi="ar-SA"/>
        </w:rPr>
        <w:t xml:space="preserve"> </w:t>
      </w:r>
      <w:r w:rsidR="0080600B">
        <w:rPr>
          <w:rFonts w:asciiTheme="minorHAnsi" w:hAnsiTheme="minorHAnsi" w:cstheme="minorHAnsi"/>
          <w:sz w:val="22"/>
          <w:szCs w:val="22"/>
          <w:lang w:eastAsia="en-US" w:bidi="ar-SA"/>
        </w:rPr>
        <w:t xml:space="preserve">rozwoju </w:t>
      </w:r>
      <w:r w:rsidR="00230002" w:rsidRPr="00890249">
        <w:rPr>
          <w:rFonts w:asciiTheme="minorHAnsi" w:hAnsiTheme="minorHAnsi" w:cstheme="minorHAnsi"/>
          <w:sz w:val="22"/>
          <w:szCs w:val="22"/>
          <w:lang w:eastAsia="en-US" w:bidi="ar-SA"/>
        </w:rPr>
        <w:t>kompetencji cyfrowych</w:t>
      </w:r>
      <w:r w:rsidR="0080600B">
        <w:rPr>
          <w:rFonts w:asciiTheme="minorHAnsi" w:hAnsiTheme="minorHAnsi" w:cstheme="minorHAnsi"/>
          <w:sz w:val="22"/>
          <w:szCs w:val="22"/>
          <w:lang w:eastAsia="en-US" w:bidi="ar-SA"/>
        </w:rPr>
        <w:t xml:space="preserve"> uczniów i nauczycieli</w:t>
      </w:r>
      <w:r w:rsidR="00230002" w:rsidRPr="00890249">
        <w:rPr>
          <w:rFonts w:asciiTheme="minorHAnsi" w:hAnsiTheme="minorHAnsi" w:cstheme="minorHAnsi"/>
          <w:sz w:val="22"/>
          <w:szCs w:val="22"/>
          <w:lang w:eastAsia="en-US" w:bidi="ar-SA"/>
        </w:rPr>
        <w:t xml:space="preserve">: </w:t>
      </w:r>
      <w:r w:rsidR="009A0AA9" w:rsidRPr="00890249">
        <w:rPr>
          <w:rFonts w:asciiTheme="minorHAnsi" w:hAnsiTheme="minorHAnsi" w:cstheme="minorHAnsi"/>
          <w:sz w:val="22"/>
          <w:szCs w:val="22"/>
          <w:lang w:eastAsia="en-US" w:bidi="ar-SA"/>
        </w:rPr>
        <w:t xml:space="preserve">umiejętności wykorzystania w procesie edukacji nowoczesnych narzędzi IT, </w:t>
      </w:r>
      <w:r w:rsidR="00230002" w:rsidRPr="00890249">
        <w:rPr>
          <w:rFonts w:asciiTheme="minorHAnsi" w:hAnsiTheme="minorHAnsi" w:cstheme="minorHAnsi"/>
          <w:sz w:val="22"/>
          <w:szCs w:val="22"/>
          <w:lang w:eastAsia="en-US" w:bidi="ar-SA"/>
        </w:rPr>
        <w:t xml:space="preserve">umiejętność tworzenia, wyszukiwania oraz selekcjonowania informacji, netykieta, świadomość zagrożeń w </w:t>
      </w:r>
      <w:r w:rsidR="00740914" w:rsidRPr="00890249">
        <w:rPr>
          <w:rFonts w:asciiTheme="minorHAnsi" w:hAnsiTheme="minorHAnsi" w:cstheme="minorHAnsi"/>
          <w:sz w:val="22"/>
          <w:szCs w:val="22"/>
          <w:lang w:eastAsia="en-US" w:bidi="ar-SA"/>
        </w:rPr>
        <w:t>Internecie</w:t>
      </w:r>
      <w:r w:rsidR="00230002" w:rsidRPr="00890249">
        <w:rPr>
          <w:rFonts w:asciiTheme="minorHAnsi" w:hAnsiTheme="minorHAnsi" w:cstheme="minorHAnsi"/>
          <w:sz w:val="22"/>
          <w:szCs w:val="22"/>
          <w:lang w:eastAsia="en-US" w:bidi="ar-SA"/>
        </w:rPr>
        <w:t>, cyberbezpieczeństwo.</w:t>
      </w:r>
      <w:r w:rsidR="009A0AA9" w:rsidRPr="00890249">
        <w:rPr>
          <w:rFonts w:asciiTheme="minorHAnsi" w:hAnsiTheme="minorHAnsi" w:cstheme="minorHAnsi"/>
          <w:sz w:val="22"/>
          <w:szCs w:val="22"/>
          <w:lang w:eastAsia="en-US" w:bidi="ar-SA"/>
        </w:rPr>
        <w:t xml:space="preserve"> </w:t>
      </w:r>
    </w:p>
    <w:p w14:paraId="52500145" w14:textId="35998E86" w:rsidR="0093433C" w:rsidRPr="00890249" w:rsidRDefault="00191D8C" w:rsidP="00890249">
      <w:pPr>
        <w:pStyle w:val="Tekstpodstawowy"/>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D</w:t>
      </w:r>
      <w:r w:rsidR="002111B8" w:rsidRPr="00890249">
        <w:rPr>
          <w:rFonts w:asciiTheme="minorHAnsi" w:hAnsiTheme="minorHAnsi" w:cstheme="minorHAnsi"/>
          <w:sz w:val="22"/>
          <w:szCs w:val="22"/>
          <w:lang w:eastAsia="en-US" w:bidi="ar-SA"/>
        </w:rPr>
        <w:t>zieci z małych szkół podstawowych, często na obszarach wiejskich, rzadziej podejmują studia wyższe, a ich perspektywy na rynku pracy są gorsze.</w:t>
      </w:r>
    </w:p>
    <w:p w14:paraId="5629D95B" w14:textId="5EFD8797" w:rsidR="0093433C" w:rsidRPr="00890249" w:rsidRDefault="00191D8C" w:rsidP="00890249">
      <w:pPr>
        <w:pStyle w:val="Tekstpodstawowy"/>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O</w:t>
      </w:r>
      <w:r w:rsidR="002111B8" w:rsidRPr="00890249">
        <w:rPr>
          <w:rFonts w:asciiTheme="minorHAnsi" w:hAnsiTheme="minorHAnsi" w:cstheme="minorHAnsi"/>
          <w:sz w:val="22"/>
          <w:szCs w:val="22"/>
          <w:lang w:eastAsia="en-US" w:bidi="ar-SA"/>
        </w:rPr>
        <w:t>dsetek osób porzucających studia jest bardzo wysoki. W ciągu ostatnich dziesięciu lat liczba studentów zmniejszyła się o 34%, a liczba absolwentów o 41%. Dlatego doradztwem zawodowym powinni być objęci uczniowie wszystkich poziomów nauczania, także uczniów liceów ogólnokształcących stojących przed wyborem programu studiów. Doradztwo zawodowe będzie uwzględniać perspektywę płci przy wyborze zawodu, przeciwdziałać stereotypom płci oraz wspierać promocję kierunków STEM.</w:t>
      </w:r>
    </w:p>
    <w:p w14:paraId="558E92FE" w14:textId="3D809283" w:rsidR="0093433C" w:rsidRPr="00890249" w:rsidRDefault="00A64AD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w:t>
      </w:r>
      <w:r w:rsidR="00576460" w:rsidRPr="00890249">
        <w:rPr>
          <w:rFonts w:asciiTheme="minorHAnsi" w:hAnsiTheme="minorHAnsi" w:cstheme="minorHAnsi"/>
          <w:sz w:val="22"/>
          <w:szCs w:val="22"/>
          <w:lang w:eastAsia="en-US" w:bidi="ar-SA"/>
        </w:rPr>
        <w:t xml:space="preserve">woj. opolskim </w:t>
      </w:r>
      <w:r w:rsidR="00D6488A" w:rsidRPr="00890249">
        <w:rPr>
          <w:rFonts w:asciiTheme="minorHAnsi" w:hAnsiTheme="minorHAnsi" w:cstheme="minorHAnsi"/>
          <w:sz w:val="22"/>
          <w:szCs w:val="22"/>
          <w:lang w:eastAsia="en-US" w:bidi="ar-SA"/>
        </w:rPr>
        <w:t>konieczne jest</w:t>
      </w:r>
      <w:r w:rsidR="00551181" w:rsidRPr="00890249">
        <w:rPr>
          <w:rFonts w:asciiTheme="minorHAnsi" w:hAnsiTheme="minorHAnsi" w:cstheme="minorHAnsi"/>
          <w:sz w:val="22"/>
          <w:szCs w:val="22"/>
          <w:lang w:eastAsia="en-US" w:bidi="ar-SA"/>
        </w:rPr>
        <w:t xml:space="preserve"> </w:t>
      </w:r>
      <w:r w:rsidR="004274DF" w:rsidRPr="00890249">
        <w:rPr>
          <w:rFonts w:asciiTheme="minorHAnsi" w:hAnsiTheme="minorHAnsi" w:cstheme="minorHAnsi"/>
          <w:sz w:val="22"/>
          <w:szCs w:val="22"/>
          <w:lang w:eastAsia="en-US" w:bidi="ar-SA"/>
        </w:rPr>
        <w:t>wsparci</w:t>
      </w:r>
      <w:r w:rsidR="00D6488A" w:rsidRPr="00890249">
        <w:rPr>
          <w:rFonts w:asciiTheme="minorHAnsi" w:hAnsiTheme="minorHAnsi" w:cstheme="minorHAnsi"/>
          <w:sz w:val="22"/>
          <w:szCs w:val="22"/>
          <w:lang w:eastAsia="en-US" w:bidi="ar-SA"/>
        </w:rPr>
        <w:t>e</w:t>
      </w:r>
      <w:r w:rsidR="004274DF" w:rsidRPr="00890249">
        <w:rPr>
          <w:rFonts w:asciiTheme="minorHAnsi" w:hAnsiTheme="minorHAnsi" w:cstheme="minorHAnsi"/>
          <w:sz w:val="22"/>
          <w:szCs w:val="22"/>
          <w:lang w:eastAsia="en-US" w:bidi="ar-SA"/>
        </w:rPr>
        <w:t xml:space="preserve"> edukacji włączającej</w:t>
      </w:r>
      <w:r w:rsidR="00576460" w:rsidRPr="00890249">
        <w:rPr>
          <w:rFonts w:asciiTheme="minorHAnsi" w:hAnsiTheme="minorHAnsi" w:cstheme="minorHAnsi"/>
          <w:sz w:val="22"/>
          <w:szCs w:val="22"/>
          <w:lang w:eastAsia="en-US" w:bidi="ar-SA"/>
        </w:rPr>
        <w:t>, której celem jest</w:t>
      </w:r>
      <w:r w:rsidR="000642FC" w:rsidRPr="00890249">
        <w:rPr>
          <w:rFonts w:asciiTheme="minorHAnsi" w:hAnsiTheme="minorHAnsi" w:cstheme="minorHAnsi"/>
          <w:sz w:val="22"/>
          <w:szCs w:val="22"/>
          <w:lang w:eastAsia="en-US" w:bidi="ar-SA"/>
        </w:rPr>
        <w:t xml:space="preserve"> </w:t>
      </w:r>
      <w:r w:rsidR="004274DF" w:rsidRPr="00890249">
        <w:rPr>
          <w:rFonts w:asciiTheme="minorHAnsi" w:hAnsiTheme="minorHAnsi" w:cstheme="minorHAnsi"/>
          <w:sz w:val="22"/>
          <w:szCs w:val="22"/>
          <w:lang w:eastAsia="en-US" w:bidi="ar-SA"/>
        </w:rPr>
        <w:t>z</w:t>
      </w:r>
      <w:r w:rsidR="00A87EFD" w:rsidRPr="00890249">
        <w:rPr>
          <w:rFonts w:asciiTheme="minorHAnsi" w:hAnsiTheme="minorHAnsi" w:cstheme="minorHAnsi"/>
          <w:sz w:val="22"/>
          <w:szCs w:val="22"/>
          <w:lang w:eastAsia="en-US" w:bidi="ar-SA"/>
        </w:rPr>
        <w:t>apewnienie  dostępu do edukacji oraz zapobieganie ew</w:t>
      </w:r>
      <w:r w:rsidR="009A1964" w:rsidRPr="00890249">
        <w:rPr>
          <w:rFonts w:asciiTheme="minorHAnsi" w:hAnsiTheme="minorHAnsi" w:cstheme="minorHAnsi"/>
          <w:sz w:val="22"/>
          <w:szCs w:val="22"/>
          <w:lang w:eastAsia="en-US" w:bidi="ar-SA"/>
        </w:rPr>
        <w:t>entualnym nierównościom</w:t>
      </w:r>
      <w:r w:rsidR="00273EC4" w:rsidRPr="00890249">
        <w:rPr>
          <w:rFonts w:asciiTheme="minorHAnsi" w:hAnsiTheme="minorHAnsi" w:cstheme="minorHAnsi"/>
          <w:sz w:val="22"/>
          <w:szCs w:val="22"/>
          <w:lang w:eastAsia="en-US" w:bidi="ar-SA"/>
        </w:rPr>
        <w:t xml:space="preserve">. Wsparcie dotyczyć będzie uczniów </w:t>
      </w:r>
      <w:r w:rsidR="0057539A" w:rsidRPr="00890249">
        <w:rPr>
          <w:rFonts w:asciiTheme="minorHAnsi" w:hAnsiTheme="minorHAnsi" w:cstheme="minorHAnsi"/>
          <w:sz w:val="22"/>
          <w:szCs w:val="22"/>
          <w:lang w:eastAsia="en-US" w:bidi="ar-SA"/>
        </w:rPr>
        <w:t>z SPE</w:t>
      </w:r>
      <w:r w:rsidR="00273EC4" w:rsidRPr="00890249">
        <w:rPr>
          <w:rFonts w:asciiTheme="minorHAnsi" w:hAnsiTheme="minorHAnsi" w:cstheme="minorHAnsi"/>
          <w:sz w:val="22"/>
          <w:szCs w:val="22"/>
          <w:lang w:eastAsia="en-US" w:bidi="ar-SA"/>
        </w:rPr>
        <w:t>, w ty</w:t>
      </w:r>
      <w:r w:rsidR="006339BC" w:rsidRPr="00890249">
        <w:rPr>
          <w:rFonts w:asciiTheme="minorHAnsi" w:hAnsiTheme="minorHAnsi" w:cstheme="minorHAnsi"/>
          <w:sz w:val="22"/>
          <w:szCs w:val="22"/>
          <w:lang w:eastAsia="en-US" w:bidi="ar-SA"/>
        </w:rPr>
        <w:t xml:space="preserve">m m.in.: </w:t>
      </w:r>
      <w:r w:rsidR="0080600B">
        <w:rPr>
          <w:rFonts w:asciiTheme="minorHAnsi" w:hAnsiTheme="minorHAnsi" w:cstheme="minorHAnsi"/>
          <w:sz w:val="22"/>
          <w:szCs w:val="22"/>
          <w:lang w:eastAsia="en-US" w:bidi="ar-SA"/>
        </w:rPr>
        <w:t>OzN</w:t>
      </w:r>
      <w:r w:rsidR="00273EC4" w:rsidRPr="00890249">
        <w:rPr>
          <w:rFonts w:asciiTheme="minorHAnsi" w:hAnsiTheme="minorHAnsi" w:cstheme="minorHAnsi"/>
          <w:sz w:val="22"/>
          <w:szCs w:val="22"/>
          <w:lang w:eastAsia="en-US" w:bidi="ar-SA"/>
        </w:rPr>
        <w:t xml:space="preserve">, przewlekle chorych, </w:t>
      </w:r>
      <w:r w:rsidR="00BC34B6" w:rsidRPr="00890249">
        <w:rPr>
          <w:rFonts w:asciiTheme="minorHAnsi" w:hAnsiTheme="minorHAnsi" w:cstheme="minorHAnsi"/>
          <w:sz w:val="22"/>
          <w:szCs w:val="22"/>
          <w:lang w:eastAsia="en-US" w:bidi="ar-SA"/>
        </w:rPr>
        <w:t xml:space="preserve">adaptujących się </w:t>
      </w:r>
      <w:r w:rsidR="008C67B3">
        <w:rPr>
          <w:rFonts w:asciiTheme="minorHAnsi" w:hAnsiTheme="minorHAnsi" w:cstheme="minorHAnsi"/>
          <w:sz w:val="22"/>
          <w:szCs w:val="22"/>
          <w:lang w:eastAsia="en-US" w:bidi="ar-SA"/>
        </w:rPr>
        <w:t>w </w:t>
      </w:r>
      <w:r w:rsidR="00BC34B6" w:rsidRPr="00890249">
        <w:rPr>
          <w:rFonts w:asciiTheme="minorHAnsi" w:hAnsiTheme="minorHAnsi" w:cstheme="minorHAnsi"/>
          <w:sz w:val="22"/>
          <w:szCs w:val="22"/>
          <w:lang w:eastAsia="en-US" w:bidi="ar-SA"/>
        </w:rPr>
        <w:t>nowym środowisku</w:t>
      </w:r>
      <w:r w:rsidR="00661CBB" w:rsidRPr="00890249">
        <w:rPr>
          <w:rFonts w:asciiTheme="minorHAnsi" w:hAnsiTheme="minorHAnsi" w:cstheme="minorHAnsi"/>
          <w:sz w:val="22"/>
          <w:szCs w:val="22"/>
          <w:lang w:eastAsia="en-US" w:bidi="ar-SA"/>
        </w:rPr>
        <w:t xml:space="preserve"> (np. </w:t>
      </w:r>
      <w:r w:rsidR="00BC34B6" w:rsidRPr="00890249">
        <w:rPr>
          <w:rFonts w:asciiTheme="minorHAnsi" w:hAnsiTheme="minorHAnsi" w:cstheme="minorHAnsi"/>
          <w:sz w:val="22"/>
          <w:szCs w:val="22"/>
          <w:lang w:eastAsia="en-US" w:bidi="ar-SA"/>
        </w:rPr>
        <w:t>z rodzin</w:t>
      </w:r>
      <w:r w:rsidR="006334FD"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rPr>
        <w:t>migrantów czy społeczności romskiej)</w:t>
      </w:r>
      <w:r w:rsidR="00BC34B6" w:rsidRPr="00890249">
        <w:rPr>
          <w:rFonts w:asciiTheme="minorHAnsi" w:hAnsiTheme="minorHAnsi" w:cstheme="minorHAnsi"/>
          <w:sz w:val="22"/>
          <w:szCs w:val="22"/>
          <w:lang w:eastAsia="en-US" w:bidi="ar-SA"/>
        </w:rPr>
        <w:t xml:space="preserve">, </w:t>
      </w:r>
      <w:r w:rsidR="002C780B" w:rsidRPr="00890249">
        <w:rPr>
          <w:rFonts w:asciiTheme="minorHAnsi" w:hAnsiTheme="minorHAnsi" w:cstheme="minorHAnsi"/>
          <w:sz w:val="22"/>
          <w:szCs w:val="22"/>
          <w:lang w:eastAsia="en-US" w:bidi="ar-SA"/>
        </w:rPr>
        <w:t xml:space="preserve">ale także </w:t>
      </w:r>
      <w:r w:rsidR="00BC34B6" w:rsidRPr="00890249">
        <w:rPr>
          <w:rFonts w:asciiTheme="minorHAnsi" w:hAnsiTheme="minorHAnsi" w:cstheme="minorHAnsi"/>
          <w:sz w:val="22"/>
          <w:szCs w:val="22"/>
          <w:lang w:eastAsia="en-US" w:bidi="ar-SA"/>
        </w:rPr>
        <w:t>wybitnie zdolnych.</w:t>
      </w:r>
      <w:r w:rsidR="009A1964" w:rsidRPr="00890249">
        <w:rPr>
          <w:rFonts w:asciiTheme="minorHAnsi" w:hAnsiTheme="minorHAnsi" w:cstheme="minorHAnsi"/>
          <w:sz w:val="22"/>
          <w:szCs w:val="22"/>
          <w:lang w:eastAsia="en-US" w:bidi="ar-SA"/>
        </w:rPr>
        <w:t xml:space="preserve"> </w:t>
      </w:r>
      <w:r w:rsidR="006C377F" w:rsidRPr="00890249">
        <w:rPr>
          <w:rFonts w:asciiTheme="minorHAnsi" w:hAnsiTheme="minorHAnsi" w:cstheme="minorHAnsi"/>
          <w:sz w:val="22"/>
          <w:szCs w:val="22"/>
          <w:lang w:eastAsia="en-US" w:bidi="ar-SA"/>
        </w:rPr>
        <w:t>Ze względu na fakt, iż w grupie tej mieszczą się również dzieci zagrożone niedostosowaniem społecznym, będące w sytuacji kryzysowej bądź traumatycznej, mające niepowodzenia edukacyjne</w:t>
      </w:r>
      <w:r w:rsidR="00EE1845" w:rsidRPr="00890249">
        <w:rPr>
          <w:rFonts w:asciiTheme="minorHAnsi" w:hAnsiTheme="minorHAnsi" w:cstheme="minorHAnsi"/>
          <w:sz w:val="22"/>
          <w:szCs w:val="22"/>
          <w:lang w:eastAsia="en-US" w:bidi="ar-SA"/>
        </w:rPr>
        <w:t xml:space="preserve"> np. spowodowane ograniczeniami nauczania w czasie </w:t>
      </w:r>
      <w:r w:rsidR="006C377F" w:rsidRPr="00890249">
        <w:rPr>
          <w:rFonts w:asciiTheme="minorHAnsi" w:hAnsiTheme="minorHAnsi" w:cstheme="minorHAnsi"/>
          <w:sz w:val="22"/>
          <w:szCs w:val="22"/>
          <w:lang w:eastAsia="en-US" w:bidi="ar-SA"/>
        </w:rPr>
        <w:t xml:space="preserve">pandemii, realizowane będzie wsparcie z zakresu radzenia sobie ze stresem, przeciwdziałania </w:t>
      </w:r>
      <w:r w:rsidR="006C377F" w:rsidRPr="00890249">
        <w:rPr>
          <w:rFonts w:asciiTheme="minorHAnsi" w:hAnsiTheme="minorHAnsi" w:cstheme="minorHAnsi"/>
          <w:sz w:val="22"/>
          <w:szCs w:val="22"/>
          <w:lang w:eastAsia="en-US" w:bidi="ar-SA"/>
        </w:rPr>
        <w:lastRenderedPageBreak/>
        <w:t>negatywnym skutkom izolacji społecznej, depresji, zaburzeniom lękowym, samobójstwom czy uzależnieniom behawioralnym.</w:t>
      </w:r>
    </w:p>
    <w:p w14:paraId="69C45A29" w14:textId="15ACC911" w:rsidR="0093433C" w:rsidRPr="00890249" w:rsidRDefault="00661CB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M</w:t>
      </w:r>
      <w:r w:rsidR="00BC34B6" w:rsidRPr="00890249">
        <w:rPr>
          <w:rFonts w:asciiTheme="minorHAnsi" w:hAnsiTheme="minorHAnsi" w:cstheme="minorHAnsi"/>
          <w:sz w:val="22"/>
          <w:szCs w:val="22"/>
          <w:lang w:eastAsia="en-US" w:bidi="ar-SA"/>
        </w:rPr>
        <w:t>ożliwe będzie</w:t>
      </w:r>
      <w:r w:rsidR="00273EC4"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także </w:t>
      </w:r>
      <w:r w:rsidR="00273EC4" w:rsidRPr="00890249">
        <w:rPr>
          <w:rFonts w:asciiTheme="minorHAnsi" w:hAnsiTheme="minorHAnsi" w:cstheme="minorHAnsi"/>
          <w:sz w:val="22"/>
          <w:szCs w:val="22"/>
          <w:lang w:eastAsia="en-US" w:bidi="ar-SA"/>
        </w:rPr>
        <w:t>zapewnienie usług asystenckich dla uczniów,</w:t>
      </w:r>
      <w:r w:rsidR="00273EC4" w:rsidRPr="00890249">
        <w:rPr>
          <w:rFonts w:asciiTheme="minorHAnsi" w:hAnsiTheme="minorHAnsi" w:cstheme="minorHAnsi"/>
          <w:sz w:val="22"/>
          <w:szCs w:val="22"/>
          <w:lang w:eastAsia="en-US"/>
        </w:rPr>
        <w:t xml:space="preserve"> </w:t>
      </w:r>
      <w:r w:rsidR="00BC34B6" w:rsidRPr="00890249">
        <w:rPr>
          <w:rFonts w:asciiTheme="minorHAnsi" w:hAnsiTheme="minorHAnsi" w:cstheme="minorHAnsi"/>
          <w:sz w:val="22"/>
          <w:szCs w:val="22"/>
          <w:lang w:eastAsia="en-US"/>
        </w:rPr>
        <w:t xml:space="preserve">wsparcie psychologiczne, podnoszenie kwalifikacji nauczycieli oraz </w:t>
      </w:r>
      <w:r w:rsidR="00D03A1B" w:rsidRPr="00890249">
        <w:rPr>
          <w:rFonts w:asciiTheme="minorHAnsi" w:hAnsiTheme="minorHAnsi" w:cstheme="minorHAnsi"/>
          <w:sz w:val="22"/>
          <w:szCs w:val="22"/>
          <w:lang w:eastAsia="en-US"/>
        </w:rPr>
        <w:t>upowszechnienie Modelu Dostępnej Szkoły wypracowanego w ramach PO WER</w:t>
      </w:r>
      <w:r w:rsidR="0080498E" w:rsidRPr="00890249">
        <w:rPr>
          <w:rFonts w:asciiTheme="minorHAnsi" w:hAnsiTheme="minorHAnsi" w:cstheme="minorHAnsi"/>
          <w:sz w:val="22"/>
          <w:szCs w:val="22"/>
          <w:lang w:eastAsia="en-US" w:bidi="ar-SA"/>
        </w:rPr>
        <w:t>.</w:t>
      </w:r>
      <w:r w:rsidR="00273EC4" w:rsidRPr="00890249">
        <w:rPr>
          <w:rFonts w:asciiTheme="minorHAnsi" w:hAnsiTheme="minorHAnsi" w:cstheme="minorHAnsi"/>
          <w:sz w:val="22"/>
          <w:szCs w:val="22"/>
          <w:lang w:eastAsia="en-US" w:bidi="ar-SA"/>
        </w:rPr>
        <w:t xml:space="preserve"> </w:t>
      </w:r>
    </w:p>
    <w:p w14:paraId="6C513798" w14:textId="77777777" w:rsidR="0093433C" w:rsidRPr="00890249" w:rsidRDefault="006B20B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dla</w:t>
      </w:r>
      <w:r w:rsidR="000B6A6B" w:rsidRPr="00890249">
        <w:rPr>
          <w:rFonts w:asciiTheme="minorHAnsi" w:hAnsiTheme="minorHAnsi" w:cstheme="minorHAnsi"/>
          <w:sz w:val="22"/>
          <w:szCs w:val="22"/>
          <w:lang w:eastAsia="en-US" w:bidi="ar-SA"/>
        </w:rPr>
        <w:t xml:space="preserve"> nauczycieli będzie komplementar</w:t>
      </w:r>
      <w:r w:rsidRPr="00890249">
        <w:rPr>
          <w:rFonts w:asciiTheme="minorHAnsi" w:hAnsiTheme="minorHAnsi" w:cstheme="minorHAnsi"/>
          <w:sz w:val="22"/>
          <w:szCs w:val="22"/>
          <w:lang w:eastAsia="en-US" w:bidi="ar-SA"/>
        </w:rPr>
        <w:t>ne do działań podejmowanych na poziomie krajowym.</w:t>
      </w:r>
    </w:p>
    <w:p w14:paraId="4D98C280" w14:textId="77777777" w:rsidR="0093433C" w:rsidRPr="00890249" w:rsidRDefault="0057539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Edukacja jest ważnym elementem budowania kapitału społecznego, dlatego promowane będą inicjatywy i projekty realizowane w partnerstwie, w tym z organizacjami pozarządowymi (np. szkoła podstawowa z terenów wiejskich ze szkołą miejską, szkoła zawodowa z uczelnią, szkoła ogólnodostępna ze szkołą specjalną).</w:t>
      </w:r>
      <w:r w:rsidR="00EF225A" w:rsidRPr="00890249">
        <w:rPr>
          <w:rFonts w:asciiTheme="minorHAnsi" w:hAnsiTheme="minorHAnsi" w:cstheme="minorHAnsi"/>
          <w:sz w:val="22"/>
          <w:szCs w:val="22"/>
        </w:rPr>
        <w:t xml:space="preserve"> </w:t>
      </w:r>
      <w:r w:rsidR="00EF225A" w:rsidRPr="00890249">
        <w:rPr>
          <w:rFonts w:asciiTheme="minorHAnsi" w:hAnsiTheme="minorHAnsi" w:cstheme="minorHAnsi"/>
          <w:sz w:val="22"/>
          <w:szCs w:val="22"/>
          <w:lang w:eastAsia="en-US" w:bidi="ar-SA"/>
        </w:rPr>
        <w:t>W</w:t>
      </w:r>
      <w:r w:rsidR="00C0595D" w:rsidRPr="00890249">
        <w:rPr>
          <w:rFonts w:asciiTheme="minorHAnsi" w:hAnsiTheme="minorHAnsi" w:cstheme="minorHAnsi"/>
          <w:sz w:val="22"/>
          <w:szCs w:val="22"/>
          <w:lang w:eastAsia="en-US" w:bidi="ar-SA"/>
        </w:rPr>
        <w:t xml:space="preserve">spółpraca </w:t>
      </w:r>
      <w:r w:rsidR="00EF225A" w:rsidRPr="00890249">
        <w:rPr>
          <w:rFonts w:asciiTheme="minorHAnsi" w:hAnsiTheme="minorHAnsi" w:cstheme="minorHAnsi"/>
          <w:sz w:val="22"/>
          <w:szCs w:val="22"/>
          <w:lang w:eastAsia="en-US" w:bidi="ar-SA"/>
        </w:rPr>
        <w:t xml:space="preserve">ma na celu umożliwienie integracji uczniów, wymianę doświadczeń i </w:t>
      </w:r>
      <w:r w:rsidR="00C0595D" w:rsidRPr="00890249">
        <w:rPr>
          <w:rFonts w:asciiTheme="minorHAnsi" w:hAnsiTheme="minorHAnsi" w:cstheme="minorHAnsi"/>
          <w:sz w:val="22"/>
          <w:szCs w:val="22"/>
          <w:lang w:eastAsia="en-US" w:bidi="ar-SA"/>
        </w:rPr>
        <w:t>dostosowanie szkół do potrzeb uczniów ze SPE.</w:t>
      </w:r>
    </w:p>
    <w:p w14:paraId="29C0C4A7" w14:textId="77777777" w:rsidR="0093433C" w:rsidRPr="00890249" w:rsidRDefault="00577560"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Planowane typy przedsięwzięć:</w:t>
      </w:r>
    </w:p>
    <w:p w14:paraId="68D237B2" w14:textId="20AA5E47" w:rsidR="0093433C" w:rsidRPr="00890249" w:rsidRDefault="00605677" w:rsidP="00890249">
      <w:pPr>
        <w:pStyle w:val="Lista2"/>
        <w:ind w:left="0" w:hanging="1"/>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00577560" w:rsidRPr="00890249">
        <w:rPr>
          <w:rFonts w:asciiTheme="minorHAnsi" w:hAnsiTheme="minorHAnsi" w:cstheme="minorHAnsi"/>
          <w:sz w:val="22"/>
          <w:szCs w:val="22"/>
          <w:lang w:eastAsia="en-US" w:bidi="ar-SA"/>
        </w:rPr>
        <w:t>sparcie wychowania przedszkolnego</w:t>
      </w:r>
      <w:r w:rsidR="002C780B" w:rsidRPr="00890249">
        <w:rPr>
          <w:rFonts w:asciiTheme="minorHAnsi" w:hAnsiTheme="minorHAnsi" w:cstheme="minorHAnsi"/>
          <w:sz w:val="22"/>
          <w:szCs w:val="22"/>
          <w:lang w:eastAsia="en-US" w:bidi="ar-SA"/>
        </w:rPr>
        <w:t xml:space="preserve"> </w:t>
      </w:r>
      <w:r w:rsidR="00577560" w:rsidRPr="00890249">
        <w:rPr>
          <w:rFonts w:asciiTheme="minorHAnsi" w:hAnsiTheme="minorHAnsi" w:cstheme="minorHAnsi"/>
          <w:sz w:val="22"/>
          <w:szCs w:val="22"/>
          <w:lang w:eastAsia="en-US" w:bidi="ar-SA"/>
        </w:rPr>
        <w:t xml:space="preserve"> </w:t>
      </w:r>
    </w:p>
    <w:p w14:paraId="73D7C6C2" w14:textId="38354463" w:rsidR="00B72154" w:rsidRPr="00890249" w:rsidRDefault="008D1D08" w:rsidP="009F296A">
      <w:pPr>
        <w:pStyle w:val="Akapitzlist"/>
        <w:numPr>
          <w:ilvl w:val="0"/>
          <w:numId w:val="44"/>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T</w:t>
      </w:r>
      <w:r w:rsidR="00875C92" w:rsidRPr="00890249">
        <w:rPr>
          <w:rFonts w:asciiTheme="minorHAnsi" w:eastAsiaTheme="minorHAnsi" w:hAnsiTheme="minorHAnsi" w:cstheme="minorHAnsi"/>
          <w:sz w:val="22"/>
          <w:szCs w:val="22"/>
          <w:lang w:eastAsia="en-US" w:bidi="ar-SA"/>
        </w:rPr>
        <w:t>worzenie nowych miejsc wychowania przedszkolnego, w tym dostosowanych do potrzeb dzieci z niepełnosprawnościami</w:t>
      </w:r>
      <w:r w:rsidRPr="00890249">
        <w:rPr>
          <w:rFonts w:asciiTheme="minorHAnsi" w:eastAsiaTheme="minorHAnsi" w:hAnsiTheme="minorHAnsi" w:cstheme="minorHAnsi"/>
          <w:sz w:val="22"/>
          <w:szCs w:val="22"/>
          <w:lang w:eastAsia="en-US" w:bidi="ar-SA"/>
        </w:rPr>
        <w:t>.</w:t>
      </w:r>
      <w:r w:rsidR="00875C92" w:rsidRPr="00890249">
        <w:rPr>
          <w:rFonts w:asciiTheme="minorHAnsi" w:eastAsiaTheme="minorHAnsi" w:hAnsiTheme="minorHAnsi" w:cstheme="minorHAnsi"/>
          <w:sz w:val="22"/>
          <w:szCs w:val="22"/>
          <w:lang w:eastAsia="en-US" w:bidi="ar-SA"/>
        </w:rPr>
        <w:t xml:space="preserve"> </w:t>
      </w:r>
    </w:p>
    <w:p w14:paraId="6044354F" w14:textId="7320FC49" w:rsidR="0093433C" w:rsidRPr="00890249" w:rsidRDefault="008D1D08"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00577560" w:rsidRPr="00890249">
        <w:rPr>
          <w:rFonts w:asciiTheme="minorHAnsi" w:hAnsiTheme="minorHAnsi" w:cstheme="minorHAnsi"/>
          <w:sz w:val="22"/>
          <w:szCs w:val="22"/>
          <w:lang w:eastAsia="en-US" w:bidi="ar-SA"/>
        </w:rPr>
        <w:t xml:space="preserve">ydłużenie godzin pracy </w:t>
      </w:r>
      <w:r w:rsidR="00EE22F5" w:rsidRPr="00890249">
        <w:rPr>
          <w:rFonts w:asciiTheme="minorHAnsi" w:hAnsiTheme="minorHAnsi" w:cstheme="minorHAnsi"/>
          <w:sz w:val="22"/>
          <w:szCs w:val="22"/>
          <w:lang w:eastAsia="en-US" w:bidi="ar-SA"/>
        </w:rPr>
        <w:t>OWP</w:t>
      </w:r>
      <w:r w:rsidRPr="00890249">
        <w:rPr>
          <w:rFonts w:asciiTheme="minorHAnsi" w:hAnsiTheme="minorHAnsi" w:cstheme="minorHAnsi"/>
          <w:sz w:val="22"/>
          <w:szCs w:val="22"/>
          <w:lang w:eastAsia="en-US" w:bidi="ar-SA"/>
        </w:rPr>
        <w:t>.</w:t>
      </w:r>
    </w:p>
    <w:p w14:paraId="19E5016D" w14:textId="4533F1DD" w:rsidR="0093433C" w:rsidRPr="00890249" w:rsidRDefault="008D1D08"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R</w:t>
      </w:r>
      <w:r w:rsidR="00577560" w:rsidRPr="00890249">
        <w:rPr>
          <w:rFonts w:asciiTheme="minorHAnsi" w:hAnsiTheme="minorHAnsi" w:cstheme="minorHAnsi"/>
          <w:sz w:val="22"/>
          <w:szCs w:val="22"/>
          <w:lang w:eastAsia="en-US" w:bidi="ar-SA"/>
        </w:rPr>
        <w:t xml:space="preserve">ozszerzenie oferty </w:t>
      </w:r>
      <w:r w:rsidR="00EE22F5" w:rsidRPr="00890249">
        <w:rPr>
          <w:rFonts w:asciiTheme="minorHAnsi" w:hAnsiTheme="minorHAnsi" w:cstheme="minorHAnsi"/>
          <w:sz w:val="22"/>
          <w:szCs w:val="22"/>
          <w:lang w:eastAsia="en-US" w:bidi="ar-SA"/>
        </w:rPr>
        <w:t>OWP</w:t>
      </w:r>
      <w:r w:rsidR="00577560" w:rsidRPr="00890249">
        <w:rPr>
          <w:rFonts w:asciiTheme="minorHAnsi" w:hAnsiTheme="minorHAnsi" w:cstheme="minorHAnsi"/>
          <w:sz w:val="22"/>
          <w:szCs w:val="22"/>
          <w:lang w:eastAsia="en-US" w:bidi="ar-SA"/>
        </w:rPr>
        <w:t xml:space="preserve"> o zajęcia dodatkowe wyrównujące szanse edukacyjne, rozwijające kompetencje k</w:t>
      </w:r>
      <w:r w:rsidR="00F47334" w:rsidRPr="00890249">
        <w:rPr>
          <w:rFonts w:asciiTheme="minorHAnsi" w:hAnsiTheme="minorHAnsi" w:cstheme="minorHAnsi"/>
          <w:sz w:val="22"/>
          <w:szCs w:val="22"/>
          <w:lang w:eastAsia="en-US" w:bidi="ar-SA"/>
        </w:rPr>
        <w:t>luczowe i transferowalne oraz o </w:t>
      </w:r>
      <w:r w:rsidR="00577560" w:rsidRPr="00890249">
        <w:rPr>
          <w:rFonts w:asciiTheme="minorHAnsi" w:hAnsiTheme="minorHAnsi" w:cstheme="minorHAnsi"/>
          <w:sz w:val="22"/>
          <w:szCs w:val="22"/>
          <w:lang w:eastAsia="en-US" w:bidi="ar-SA"/>
        </w:rPr>
        <w:t>zajęcia służące preorientacji zawodowej</w:t>
      </w:r>
      <w:r w:rsidR="008C67B3">
        <w:rPr>
          <w:rFonts w:asciiTheme="minorHAnsi" w:hAnsiTheme="minorHAnsi" w:cstheme="minorHAnsi"/>
          <w:sz w:val="22"/>
          <w:szCs w:val="22"/>
          <w:lang w:eastAsia="en-US" w:bidi="ar-SA"/>
        </w:rPr>
        <w:t>, w </w:t>
      </w:r>
      <w:r w:rsidR="009A0AA9" w:rsidRPr="00890249">
        <w:rPr>
          <w:rFonts w:asciiTheme="minorHAnsi" w:hAnsiTheme="minorHAnsi" w:cstheme="minorHAnsi"/>
          <w:sz w:val="22"/>
          <w:szCs w:val="22"/>
          <w:lang w:eastAsia="en-US" w:bidi="ar-SA"/>
        </w:rPr>
        <w:t>tym dotyczące aktywowania postaw przedsiębiorczych u najmłodszych</w:t>
      </w:r>
      <w:r w:rsidR="00D42888" w:rsidRPr="00890249">
        <w:rPr>
          <w:rFonts w:asciiTheme="minorHAnsi" w:hAnsiTheme="minorHAnsi" w:cstheme="minorHAnsi"/>
          <w:sz w:val="22"/>
          <w:szCs w:val="22"/>
          <w:lang w:eastAsia="en-US" w:bidi="ar-SA"/>
        </w:rPr>
        <w:t xml:space="preserve"> </w:t>
      </w:r>
      <w:r w:rsidR="009A0AA9" w:rsidRPr="00890249">
        <w:rPr>
          <w:rFonts w:asciiTheme="minorHAnsi" w:hAnsiTheme="minorHAnsi" w:cstheme="minorHAnsi"/>
          <w:sz w:val="22"/>
          <w:szCs w:val="22"/>
          <w:lang w:eastAsia="en-US" w:bidi="ar-SA"/>
        </w:rPr>
        <w:t>oraz</w:t>
      </w:r>
      <w:r w:rsidR="008C67B3">
        <w:rPr>
          <w:rFonts w:asciiTheme="minorHAnsi" w:hAnsiTheme="minorHAnsi" w:cstheme="minorHAnsi"/>
          <w:sz w:val="22"/>
          <w:szCs w:val="22"/>
          <w:lang w:eastAsia="en-US" w:bidi="ar-SA"/>
        </w:rPr>
        <w:t xml:space="preserve"> pobudzające i </w:t>
      </w:r>
      <w:r w:rsidR="00577560" w:rsidRPr="00890249">
        <w:rPr>
          <w:rFonts w:asciiTheme="minorHAnsi" w:hAnsiTheme="minorHAnsi" w:cstheme="minorHAnsi"/>
          <w:sz w:val="22"/>
          <w:szCs w:val="22"/>
          <w:lang w:eastAsia="en-US" w:bidi="ar-SA"/>
        </w:rPr>
        <w:t>rozwijające zainteresowania</w:t>
      </w:r>
      <w:r w:rsidRPr="00890249">
        <w:rPr>
          <w:rFonts w:asciiTheme="minorHAnsi" w:hAnsiTheme="minorHAnsi" w:cstheme="minorHAnsi"/>
          <w:sz w:val="22"/>
          <w:szCs w:val="22"/>
          <w:lang w:eastAsia="en-US" w:bidi="ar-SA"/>
        </w:rPr>
        <w:t>.</w:t>
      </w:r>
    </w:p>
    <w:p w14:paraId="6C905523" w14:textId="31A815AE" w:rsidR="0093433C" w:rsidRPr="00890249" w:rsidRDefault="008D1D08"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w:t>
      </w:r>
      <w:r w:rsidR="00577560" w:rsidRPr="00890249">
        <w:rPr>
          <w:rFonts w:asciiTheme="minorHAnsi" w:hAnsiTheme="minorHAnsi" w:cstheme="minorHAnsi"/>
          <w:sz w:val="22"/>
          <w:szCs w:val="22"/>
          <w:lang w:eastAsia="en-US" w:bidi="ar-SA"/>
        </w:rPr>
        <w:t>ndywidualizacja pracy z dziećmi, w tym</w:t>
      </w:r>
      <w:r w:rsidR="00EE22F5" w:rsidRPr="00890249">
        <w:rPr>
          <w:rFonts w:asciiTheme="minorHAnsi" w:hAnsiTheme="minorHAnsi" w:cstheme="minorHAnsi"/>
          <w:sz w:val="22"/>
          <w:szCs w:val="22"/>
          <w:lang w:eastAsia="en-US" w:bidi="ar-SA"/>
        </w:rPr>
        <w:t xml:space="preserve"> z</w:t>
      </w:r>
      <w:r w:rsidR="00CE69D5" w:rsidRPr="00890249">
        <w:rPr>
          <w:rFonts w:asciiTheme="minorHAnsi" w:hAnsiTheme="minorHAnsi" w:cstheme="minorHAnsi"/>
          <w:sz w:val="22"/>
          <w:szCs w:val="22"/>
          <w:lang w:eastAsia="en-US" w:bidi="ar-SA"/>
        </w:rPr>
        <w:t>e</w:t>
      </w:r>
      <w:r w:rsidR="00EE22F5" w:rsidRPr="00890249">
        <w:rPr>
          <w:rFonts w:asciiTheme="minorHAnsi" w:hAnsiTheme="minorHAnsi" w:cstheme="minorHAnsi"/>
          <w:sz w:val="22"/>
          <w:szCs w:val="22"/>
          <w:lang w:eastAsia="en-US" w:bidi="ar-SA"/>
        </w:rPr>
        <w:t xml:space="preserve"> SPE</w:t>
      </w:r>
      <w:r w:rsidR="00577560" w:rsidRPr="00890249">
        <w:rPr>
          <w:rFonts w:asciiTheme="minorHAnsi" w:hAnsiTheme="minorHAnsi" w:cstheme="minorHAnsi"/>
          <w:sz w:val="22"/>
          <w:szCs w:val="22"/>
          <w:lang w:eastAsia="en-US" w:bidi="ar-SA"/>
        </w:rPr>
        <w:t xml:space="preserve"> z uwzględnieniem realizacji różnych form edukacji dla rodziców</w:t>
      </w:r>
      <w:r w:rsidRPr="00890249">
        <w:rPr>
          <w:rFonts w:asciiTheme="minorHAnsi" w:hAnsiTheme="minorHAnsi" w:cstheme="minorHAnsi"/>
          <w:sz w:val="22"/>
          <w:szCs w:val="22"/>
          <w:lang w:eastAsia="en-US" w:bidi="ar-SA"/>
        </w:rPr>
        <w:t>.</w:t>
      </w:r>
    </w:p>
    <w:p w14:paraId="5A88F524" w14:textId="7D702AB0" w:rsidR="0093433C" w:rsidRPr="00890249" w:rsidRDefault="008D1D08"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w:t>
      </w:r>
      <w:r w:rsidR="00577560" w:rsidRPr="00890249">
        <w:rPr>
          <w:rFonts w:asciiTheme="minorHAnsi" w:hAnsiTheme="minorHAnsi" w:cstheme="minorHAnsi"/>
          <w:sz w:val="22"/>
          <w:szCs w:val="22"/>
          <w:lang w:eastAsia="en-US" w:bidi="ar-SA"/>
        </w:rPr>
        <w:t>oskonalenie kompetencji i kwalifikacji nauczycieli ośrodków wychowania przedszkolnego</w:t>
      </w:r>
      <w:r w:rsidRPr="00890249">
        <w:rPr>
          <w:rFonts w:asciiTheme="minorHAnsi" w:hAnsiTheme="minorHAnsi" w:cstheme="minorHAnsi"/>
          <w:sz w:val="22"/>
          <w:szCs w:val="22"/>
          <w:lang w:eastAsia="en-US" w:bidi="ar-SA"/>
        </w:rPr>
        <w:t>.</w:t>
      </w:r>
    </w:p>
    <w:p w14:paraId="271701E2" w14:textId="6FF5B061" w:rsidR="0093433C" w:rsidRDefault="008D1D08"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00D03A1B" w:rsidRPr="00890249">
        <w:rPr>
          <w:rFonts w:asciiTheme="minorHAnsi" w:hAnsiTheme="minorHAnsi" w:cstheme="minorHAnsi"/>
          <w:sz w:val="22"/>
          <w:szCs w:val="22"/>
          <w:lang w:eastAsia="en-US" w:bidi="ar-SA"/>
        </w:rPr>
        <w:t xml:space="preserve">sparcie </w:t>
      </w:r>
      <w:r w:rsidR="00273EC4" w:rsidRPr="00890249">
        <w:rPr>
          <w:rFonts w:asciiTheme="minorHAnsi" w:hAnsiTheme="minorHAnsi" w:cstheme="minorHAnsi"/>
          <w:sz w:val="22"/>
          <w:szCs w:val="22"/>
          <w:lang w:eastAsia="en-US" w:bidi="ar-SA"/>
        </w:rPr>
        <w:t>edukacj</w:t>
      </w:r>
      <w:r w:rsidR="00D03A1B" w:rsidRPr="00890249">
        <w:rPr>
          <w:rFonts w:asciiTheme="minorHAnsi" w:hAnsiTheme="minorHAnsi" w:cstheme="minorHAnsi"/>
          <w:sz w:val="22"/>
          <w:szCs w:val="22"/>
          <w:lang w:eastAsia="en-US" w:bidi="ar-SA"/>
        </w:rPr>
        <w:t>i</w:t>
      </w:r>
      <w:r w:rsidR="00273EC4" w:rsidRPr="00890249">
        <w:rPr>
          <w:rFonts w:asciiTheme="minorHAnsi" w:hAnsiTheme="minorHAnsi" w:cstheme="minorHAnsi"/>
          <w:sz w:val="22"/>
          <w:szCs w:val="22"/>
          <w:lang w:eastAsia="en-US" w:bidi="ar-SA"/>
        </w:rPr>
        <w:t xml:space="preserve"> włączając</w:t>
      </w:r>
      <w:r w:rsidR="00D03A1B" w:rsidRPr="00890249">
        <w:rPr>
          <w:rFonts w:asciiTheme="minorHAnsi" w:hAnsiTheme="minorHAnsi" w:cstheme="minorHAnsi"/>
          <w:sz w:val="22"/>
          <w:szCs w:val="22"/>
          <w:lang w:eastAsia="en-US" w:bidi="ar-SA"/>
        </w:rPr>
        <w:t>ej</w:t>
      </w:r>
      <w:r w:rsidRPr="00890249">
        <w:rPr>
          <w:rFonts w:asciiTheme="minorHAnsi" w:hAnsiTheme="minorHAnsi" w:cstheme="minorHAnsi"/>
          <w:sz w:val="22"/>
          <w:szCs w:val="22"/>
          <w:lang w:eastAsia="en-US" w:bidi="ar-SA"/>
        </w:rPr>
        <w:t>.</w:t>
      </w:r>
    </w:p>
    <w:p w14:paraId="0B30B579" w14:textId="0881806A" w:rsidR="005E02B0" w:rsidRDefault="005E02B0"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5E02B0">
        <w:rPr>
          <w:rFonts w:asciiTheme="minorHAnsi" w:hAnsiTheme="minorHAnsi" w:cstheme="minorHAnsi"/>
          <w:sz w:val="22"/>
          <w:szCs w:val="22"/>
          <w:lang w:eastAsia="en-US" w:bidi="ar-SA"/>
        </w:rPr>
        <w:t>Dostosowanie i wyposażenie/doposażenie OWP z uwzględnieniem potrzeb dzieci ze SPE, w zakresie niezbędnym do realizacji celu projektu.</w:t>
      </w:r>
    </w:p>
    <w:p w14:paraId="740947F6" w14:textId="6B28074C" w:rsidR="005E02B0" w:rsidRPr="00890249" w:rsidRDefault="005E02B0" w:rsidP="009F296A">
      <w:pPr>
        <w:pStyle w:val="Lista3"/>
        <w:numPr>
          <w:ilvl w:val="0"/>
          <w:numId w:val="44"/>
        </w:numPr>
        <w:ind w:left="714" w:hanging="357"/>
        <w:contextualSpacing w:val="0"/>
        <w:rPr>
          <w:rFonts w:asciiTheme="minorHAnsi" w:hAnsiTheme="minorHAnsi" w:cstheme="minorHAnsi"/>
          <w:sz w:val="22"/>
          <w:szCs w:val="22"/>
          <w:lang w:eastAsia="en-US" w:bidi="ar-SA"/>
        </w:rPr>
      </w:pPr>
      <w:r w:rsidRPr="005E02B0">
        <w:rPr>
          <w:rFonts w:asciiTheme="minorHAnsi" w:hAnsiTheme="minorHAnsi" w:cstheme="minorHAnsi"/>
          <w:sz w:val="22"/>
          <w:szCs w:val="22"/>
          <w:lang w:eastAsia="en-US" w:bidi="ar-SA"/>
        </w:rPr>
        <w:t>Budowanie potencjału organizacji społeczeństwa obywatelskiego do realizacji działań na rzecz edukacji przedszkolnej.</w:t>
      </w:r>
    </w:p>
    <w:p w14:paraId="5BD7E910" w14:textId="2D31BF31" w:rsidR="0093433C" w:rsidRPr="00890249" w:rsidRDefault="00577560" w:rsidP="00890249">
      <w:pPr>
        <w:pStyle w:val="Lista"/>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kształcenia ogólnego i zawodowego   </w:t>
      </w:r>
    </w:p>
    <w:p w14:paraId="7786C728" w14:textId="154A6D49" w:rsidR="00B72154"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w:t>
      </w:r>
      <w:r w:rsidR="00875C92" w:rsidRPr="00890249">
        <w:rPr>
          <w:rFonts w:asciiTheme="minorHAnsi" w:eastAsiaTheme="minorHAnsi" w:hAnsiTheme="minorHAnsi" w:cstheme="minorHAnsi"/>
          <w:sz w:val="22"/>
          <w:szCs w:val="22"/>
          <w:lang w:eastAsia="en-US" w:bidi="ar-SA"/>
        </w:rPr>
        <w:t>sparcie szkół, uczniów i nauczycieli ukierunkowane na podniesienie jakości edukacji, obejmujące: rozwój kompetencji kluczowych, w tym informatycznych, językowych, społecznych i rozwijających przedsiębiorczość; kompetencji przekrojowych, w tym myślenia krytycznego, kompetencji obywatelskich i innowacyjn</w:t>
      </w:r>
      <w:r w:rsidR="008C67B3">
        <w:rPr>
          <w:rFonts w:asciiTheme="minorHAnsi" w:eastAsiaTheme="minorHAnsi" w:hAnsiTheme="minorHAnsi" w:cstheme="minorHAnsi"/>
          <w:sz w:val="22"/>
          <w:szCs w:val="22"/>
          <w:lang w:eastAsia="en-US" w:bidi="ar-SA"/>
        </w:rPr>
        <w:t>ych, umiejętności korzystania z </w:t>
      </w:r>
      <w:r w:rsidR="00875C92" w:rsidRPr="00890249">
        <w:rPr>
          <w:rFonts w:asciiTheme="minorHAnsi" w:eastAsiaTheme="minorHAnsi" w:hAnsiTheme="minorHAnsi" w:cstheme="minorHAnsi"/>
          <w:sz w:val="22"/>
          <w:szCs w:val="22"/>
          <w:lang w:eastAsia="en-US" w:bidi="ar-SA"/>
        </w:rPr>
        <w:t>mediów, umiejętności społeczno-emocjonaln</w:t>
      </w:r>
      <w:r w:rsidR="00A37995" w:rsidRPr="00890249">
        <w:rPr>
          <w:rFonts w:asciiTheme="minorHAnsi" w:eastAsiaTheme="minorHAnsi" w:hAnsiTheme="minorHAnsi" w:cstheme="minorHAnsi"/>
          <w:sz w:val="22"/>
          <w:szCs w:val="22"/>
          <w:lang w:eastAsia="en-US" w:bidi="ar-SA"/>
        </w:rPr>
        <w:t>ych</w:t>
      </w:r>
      <w:r w:rsidRPr="00890249">
        <w:rPr>
          <w:rFonts w:asciiTheme="minorHAnsi" w:eastAsiaTheme="minorHAnsi" w:hAnsiTheme="minorHAnsi" w:cstheme="minorHAnsi"/>
          <w:sz w:val="22"/>
          <w:szCs w:val="22"/>
          <w:lang w:eastAsia="en-US" w:bidi="ar-SA"/>
        </w:rPr>
        <w:t>.</w:t>
      </w:r>
    </w:p>
    <w:p w14:paraId="08934E75" w14:textId="70576818" w:rsidR="00186BBB"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w:t>
      </w:r>
      <w:r w:rsidR="00186BBB" w:rsidRPr="00890249">
        <w:rPr>
          <w:rFonts w:asciiTheme="minorHAnsi" w:eastAsiaTheme="minorHAnsi" w:hAnsiTheme="minorHAnsi" w:cstheme="minorHAnsi"/>
          <w:sz w:val="22"/>
          <w:szCs w:val="22"/>
          <w:lang w:eastAsia="en-US" w:bidi="ar-SA"/>
        </w:rPr>
        <w:t>yrównywanie szans edukacyjnych dla uczniów</w:t>
      </w:r>
      <w:r w:rsidR="00807D66" w:rsidRPr="00890249">
        <w:rPr>
          <w:rFonts w:asciiTheme="minorHAnsi" w:eastAsiaTheme="minorHAnsi" w:hAnsiTheme="minorHAnsi" w:cstheme="minorHAnsi"/>
          <w:sz w:val="22"/>
          <w:szCs w:val="22"/>
          <w:lang w:eastAsia="en-US" w:bidi="ar-SA"/>
        </w:rPr>
        <w:t>, w tym przede wszystkim</w:t>
      </w:r>
      <w:r w:rsidR="00186BBB" w:rsidRPr="00890249">
        <w:rPr>
          <w:rFonts w:asciiTheme="minorHAnsi" w:eastAsiaTheme="minorHAnsi" w:hAnsiTheme="minorHAnsi" w:cstheme="minorHAnsi"/>
          <w:sz w:val="22"/>
          <w:szCs w:val="22"/>
          <w:lang w:eastAsia="en-US" w:bidi="ar-SA"/>
        </w:rPr>
        <w:t xml:space="preserve"> z grup defaworyzowanych, np. z rodzin o niskim statusie społeczno-ekonomicznym, mieszkających na obszarach zmarginalizowanych i/lub wiejskich, z rodzin migranckich i społeczności romskiej</w:t>
      </w:r>
      <w:r w:rsidRPr="00890249">
        <w:rPr>
          <w:rFonts w:asciiTheme="minorHAnsi" w:eastAsiaTheme="minorHAnsi" w:hAnsiTheme="minorHAnsi" w:cstheme="minorHAnsi"/>
          <w:sz w:val="22"/>
          <w:szCs w:val="22"/>
          <w:lang w:eastAsia="en-US" w:bidi="ar-SA"/>
        </w:rPr>
        <w:t>.</w:t>
      </w:r>
    </w:p>
    <w:p w14:paraId="21870C57" w14:textId="590ACDE7" w:rsidR="00B72154"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w:t>
      </w:r>
      <w:r w:rsidR="2FCEBCFD" w:rsidRPr="00890249">
        <w:rPr>
          <w:rFonts w:asciiTheme="minorHAnsi" w:eastAsiaTheme="minorEastAsia" w:hAnsiTheme="minorHAnsi" w:cstheme="minorHAnsi"/>
          <w:sz w:val="22"/>
          <w:szCs w:val="22"/>
          <w:lang w:eastAsia="en-US" w:bidi="ar-SA"/>
        </w:rPr>
        <w:t>sparcie jakości nauczania przedmiotów ścisłych, m.in. poprzez wykorzystanie metod eksperymentu w edukacji</w:t>
      </w:r>
      <w:r w:rsidRPr="00890249">
        <w:rPr>
          <w:rFonts w:asciiTheme="minorHAnsi" w:eastAsiaTheme="minorEastAsia" w:hAnsiTheme="minorHAnsi" w:cstheme="minorHAnsi"/>
          <w:sz w:val="22"/>
          <w:szCs w:val="22"/>
          <w:lang w:eastAsia="en-US" w:bidi="ar-SA"/>
        </w:rPr>
        <w:t>.</w:t>
      </w:r>
    </w:p>
    <w:p w14:paraId="54F11CD4" w14:textId="60360DFF" w:rsidR="00577560"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I</w:t>
      </w:r>
      <w:r w:rsidR="2FCEBCFD" w:rsidRPr="00890249">
        <w:rPr>
          <w:rFonts w:asciiTheme="minorHAnsi" w:eastAsiaTheme="minorEastAsia" w:hAnsiTheme="minorHAnsi" w:cstheme="minorHAnsi"/>
          <w:sz w:val="22"/>
          <w:szCs w:val="22"/>
          <w:lang w:eastAsia="en-US" w:bidi="ar-SA"/>
        </w:rPr>
        <w:t>ndywidualizacja podejścia do ucznia, w tym z niepełnosprawnościami</w:t>
      </w:r>
      <w:r w:rsidRPr="00890249">
        <w:rPr>
          <w:rFonts w:asciiTheme="minorHAnsi" w:eastAsiaTheme="minorEastAsia" w:hAnsiTheme="minorHAnsi" w:cstheme="minorHAnsi"/>
          <w:sz w:val="22"/>
          <w:szCs w:val="22"/>
          <w:lang w:eastAsia="en-US" w:bidi="ar-SA"/>
        </w:rPr>
        <w:t>.</w:t>
      </w:r>
      <w:r w:rsidR="2FCEBCFD" w:rsidRPr="00890249">
        <w:rPr>
          <w:rFonts w:asciiTheme="minorHAnsi" w:eastAsiaTheme="minorEastAsia" w:hAnsiTheme="minorHAnsi" w:cstheme="minorHAnsi"/>
          <w:sz w:val="22"/>
          <w:szCs w:val="22"/>
          <w:lang w:eastAsia="en-US" w:bidi="ar-SA"/>
        </w:rPr>
        <w:t xml:space="preserve"> </w:t>
      </w:r>
    </w:p>
    <w:p w14:paraId="40EBC5D6" w14:textId="6B6BBB97" w:rsidR="0048323F"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w:t>
      </w:r>
      <w:r w:rsidR="00071EBB" w:rsidRPr="00890249">
        <w:rPr>
          <w:rFonts w:asciiTheme="minorHAnsi" w:eastAsiaTheme="minorHAnsi" w:hAnsiTheme="minorHAnsi" w:cstheme="minorHAnsi"/>
          <w:sz w:val="22"/>
          <w:szCs w:val="22"/>
          <w:lang w:eastAsia="en-US" w:bidi="ar-SA"/>
        </w:rPr>
        <w:t>sparcie edukacji włączającej</w:t>
      </w:r>
      <w:r w:rsidR="00BC5611" w:rsidRPr="00890249">
        <w:rPr>
          <w:rFonts w:asciiTheme="minorHAnsi" w:eastAsiaTheme="minorHAnsi" w:hAnsiTheme="minorHAnsi" w:cstheme="minorHAnsi"/>
          <w:sz w:val="22"/>
          <w:szCs w:val="22"/>
          <w:lang w:eastAsia="en-US" w:bidi="ar-SA"/>
        </w:rPr>
        <w:t xml:space="preserve">, </w:t>
      </w:r>
      <w:r w:rsidR="001D2658" w:rsidRPr="00890249">
        <w:rPr>
          <w:rFonts w:asciiTheme="minorHAnsi" w:eastAsiaTheme="minorHAnsi" w:hAnsiTheme="minorHAnsi" w:cstheme="minorHAnsi"/>
          <w:sz w:val="22"/>
          <w:szCs w:val="22"/>
          <w:lang w:eastAsia="en-US" w:bidi="ar-SA"/>
        </w:rPr>
        <w:t>w tym podnoszenie kompetencji</w:t>
      </w:r>
      <w:r w:rsidR="00273EC4" w:rsidRPr="00890249">
        <w:rPr>
          <w:rFonts w:asciiTheme="minorHAnsi" w:eastAsiaTheme="minorHAnsi" w:hAnsiTheme="minorHAnsi" w:cstheme="minorHAnsi"/>
          <w:sz w:val="22"/>
          <w:szCs w:val="22"/>
          <w:lang w:eastAsia="en-US" w:bidi="ar-SA"/>
        </w:rPr>
        <w:t xml:space="preserve"> </w:t>
      </w:r>
      <w:r w:rsidR="001D2658" w:rsidRPr="00890249">
        <w:rPr>
          <w:rFonts w:asciiTheme="minorHAnsi" w:eastAsiaTheme="minorHAnsi" w:hAnsiTheme="minorHAnsi" w:cstheme="minorHAnsi"/>
          <w:sz w:val="22"/>
          <w:szCs w:val="22"/>
          <w:lang w:eastAsia="en-US" w:bidi="ar-SA"/>
        </w:rPr>
        <w:t>kadr pedagogicznych, bezpośrednie wsparcie uczniów</w:t>
      </w:r>
      <w:r w:rsidRPr="00890249">
        <w:rPr>
          <w:rFonts w:asciiTheme="minorHAnsi" w:eastAsiaTheme="minorHAnsi" w:hAnsiTheme="minorHAnsi" w:cstheme="minorHAnsi"/>
          <w:sz w:val="22"/>
          <w:szCs w:val="22"/>
          <w:lang w:eastAsia="en-US" w:bidi="ar-SA"/>
        </w:rPr>
        <w:t>.</w:t>
      </w:r>
    </w:p>
    <w:p w14:paraId="30116DE6" w14:textId="7E6339AC" w:rsidR="003B44E5" w:rsidRPr="00890249" w:rsidRDefault="00A37995"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D</w:t>
      </w:r>
      <w:r w:rsidR="4BA42706" w:rsidRPr="00890249">
        <w:rPr>
          <w:rFonts w:asciiTheme="minorHAnsi" w:eastAsiaTheme="minorEastAsia" w:hAnsiTheme="minorHAnsi" w:cstheme="minorHAnsi"/>
          <w:sz w:val="22"/>
          <w:szCs w:val="22"/>
          <w:lang w:eastAsia="en-US" w:bidi="ar-SA"/>
        </w:rPr>
        <w:t>ziałania wspierające</w:t>
      </w:r>
      <w:r w:rsidR="204B99D5" w:rsidRPr="00890249">
        <w:rPr>
          <w:rFonts w:asciiTheme="minorHAnsi" w:eastAsiaTheme="minorEastAsia" w:hAnsiTheme="minorHAnsi" w:cstheme="minorHAnsi"/>
          <w:sz w:val="22"/>
          <w:szCs w:val="22"/>
          <w:lang w:eastAsia="en-US" w:bidi="ar-SA"/>
        </w:rPr>
        <w:t xml:space="preserve"> </w:t>
      </w:r>
      <w:r w:rsidRPr="00890249">
        <w:rPr>
          <w:rFonts w:asciiTheme="minorHAnsi" w:eastAsiaTheme="minorEastAsia" w:hAnsiTheme="minorHAnsi" w:cstheme="minorHAnsi"/>
          <w:sz w:val="22"/>
          <w:szCs w:val="22"/>
          <w:lang w:eastAsia="en-US" w:bidi="ar-SA"/>
        </w:rPr>
        <w:t>w</w:t>
      </w:r>
      <w:r w:rsidR="204B99D5" w:rsidRPr="00890249">
        <w:rPr>
          <w:rFonts w:asciiTheme="minorHAnsi" w:eastAsiaTheme="minorEastAsia" w:hAnsiTheme="minorHAnsi" w:cstheme="minorHAnsi"/>
          <w:sz w:val="22"/>
          <w:szCs w:val="22"/>
          <w:lang w:eastAsia="en-US" w:bidi="ar-SA"/>
        </w:rPr>
        <w:t xml:space="preserve">drażanie </w:t>
      </w:r>
      <w:r w:rsidR="204B99D5" w:rsidRPr="00890249">
        <w:rPr>
          <w:rFonts w:asciiTheme="minorHAnsi" w:eastAsiaTheme="minorEastAsia" w:hAnsiTheme="minorHAnsi" w:cstheme="minorHAnsi"/>
          <w:i/>
          <w:sz w:val="22"/>
          <w:szCs w:val="22"/>
          <w:lang w:eastAsia="en-US" w:bidi="ar-SA"/>
        </w:rPr>
        <w:t xml:space="preserve">Modelu </w:t>
      </w:r>
      <w:r w:rsidR="4BA42706" w:rsidRPr="00890249">
        <w:rPr>
          <w:rFonts w:asciiTheme="minorHAnsi" w:eastAsiaTheme="minorEastAsia" w:hAnsiTheme="minorHAnsi" w:cstheme="minorHAnsi"/>
          <w:i/>
          <w:sz w:val="22"/>
          <w:szCs w:val="22"/>
          <w:lang w:eastAsia="en-US" w:bidi="ar-SA"/>
        </w:rPr>
        <w:t>szk</w:t>
      </w:r>
      <w:r w:rsidR="204B99D5" w:rsidRPr="00890249">
        <w:rPr>
          <w:rFonts w:asciiTheme="minorHAnsi" w:eastAsiaTheme="minorEastAsia" w:hAnsiTheme="minorHAnsi" w:cstheme="minorHAnsi"/>
          <w:i/>
          <w:sz w:val="22"/>
          <w:szCs w:val="22"/>
          <w:lang w:eastAsia="en-US" w:bidi="ar-SA"/>
        </w:rPr>
        <w:t>oły</w:t>
      </w:r>
      <w:r w:rsidR="4BA42706" w:rsidRPr="00890249">
        <w:rPr>
          <w:rFonts w:asciiTheme="minorHAnsi" w:eastAsiaTheme="minorEastAsia" w:hAnsiTheme="minorHAnsi" w:cstheme="minorHAnsi"/>
          <w:i/>
          <w:sz w:val="22"/>
          <w:szCs w:val="22"/>
          <w:lang w:eastAsia="en-US" w:bidi="ar-SA"/>
        </w:rPr>
        <w:t xml:space="preserve"> ćwiczeń</w:t>
      </w:r>
      <w:r w:rsidR="00551181" w:rsidRPr="00890249">
        <w:rPr>
          <w:rFonts w:asciiTheme="minorHAnsi" w:eastAsiaTheme="minorEastAsia" w:hAnsiTheme="minorHAnsi" w:cstheme="minorHAnsi"/>
          <w:i/>
          <w:sz w:val="22"/>
          <w:szCs w:val="22"/>
          <w:lang w:eastAsia="en-US" w:bidi="ar-SA"/>
        </w:rPr>
        <w:t>.</w:t>
      </w:r>
    </w:p>
    <w:p w14:paraId="27B1CB27" w14:textId="3D13E6E4" w:rsidR="00A61DA9"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lastRenderedPageBreak/>
        <w:t>W</w:t>
      </w:r>
      <w:r w:rsidR="0593CF07" w:rsidRPr="00890249">
        <w:rPr>
          <w:rFonts w:asciiTheme="minorHAnsi" w:eastAsiaTheme="minorEastAsia" w:hAnsiTheme="minorHAnsi" w:cstheme="minorHAnsi"/>
          <w:sz w:val="22"/>
          <w:szCs w:val="22"/>
          <w:lang w:eastAsia="en-US" w:bidi="ar-SA"/>
        </w:rPr>
        <w:t>sparcie działań związanych z edukacją ekologiczną</w:t>
      </w:r>
      <w:r w:rsidR="4BA42706" w:rsidRPr="00890249">
        <w:rPr>
          <w:rFonts w:asciiTheme="minorHAnsi" w:eastAsiaTheme="minorEastAsia" w:hAnsiTheme="minorHAnsi" w:cstheme="minorHAnsi"/>
          <w:sz w:val="22"/>
          <w:szCs w:val="22"/>
          <w:lang w:eastAsia="en-US" w:bidi="ar-SA"/>
        </w:rPr>
        <w:t xml:space="preserve"> dla uczniów i nauczycieli</w:t>
      </w:r>
      <w:r w:rsidR="0593CF07" w:rsidRPr="00890249">
        <w:rPr>
          <w:rFonts w:asciiTheme="minorHAnsi" w:eastAsiaTheme="minorEastAsia" w:hAnsiTheme="minorHAnsi" w:cstheme="minorHAnsi"/>
          <w:sz w:val="22"/>
          <w:szCs w:val="22"/>
          <w:lang w:eastAsia="en-US" w:bidi="ar-SA"/>
        </w:rPr>
        <w:t xml:space="preserve">, </w:t>
      </w:r>
      <w:r w:rsidR="1E70862A" w:rsidRPr="00890249">
        <w:rPr>
          <w:rFonts w:asciiTheme="minorHAnsi" w:eastAsiaTheme="minorEastAsia" w:hAnsiTheme="minorHAnsi" w:cstheme="minorHAnsi"/>
          <w:sz w:val="22"/>
          <w:szCs w:val="22"/>
          <w:lang w:eastAsia="en-US" w:bidi="ar-SA"/>
        </w:rPr>
        <w:t>w tym wiedza o klimacie i ochronie środowisk</w:t>
      </w:r>
      <w:r w:rsidR="3691824A" w:rsidRPr="00890249">
        <w:rPr>
          <w:rFonts w:asciiTheme="minorHAnsi" w:eastAsiaTheme="minorEastAsia" w:hAnsiTheme="minorHAnsi" w:cstheme="minorHAnsi"/>
          <w:sz w:val="22"/>
          <w:szCs w:val="22"/>
          <w:lang w:eastAsia="en-US" w:bidi="ar-SA"/>
        </w:rPr>
        <w:t>a</w:t>
      </w:r>
      <w:r w:rsidR="1E70862A" w:rsidRPr="00890249">
        <w:rPr>
          <w:rFonts w:asciiTheme="minorHAnsi" w:eastAsiaTheme="minorEastAsia" w:hAnsiTheme="minorHAnsi" w:cstheme="minorHAnsi"/>
          <w:sz w:val="22"/>
          <w:szCs w:val="22"/>
          <w:lang w:eastAsia="en-US" w:bidi="ar-SA"/>
        </w:rPr>
        <w:t>, współpraca szkół z pracodawcami</w:t>
      </w:r>
      <w:r w:rsidR="60D5C19C" w:rsidRPr="00890249">
        <w:rPr>
          <w:rFonts w:asciiTheme="minorHAnsi" w:eastAsiaTheme="minorEastAsia" w:hAnsiTheme="minorHAnsi" w:cstheme="minorHAnsi"/>
          <w:sz w:val="22"/>
          <w:szCs w:val="22"/>
          <w:lang w:eastAsia="en-US" w:bidi="ar-SA"/>
        </w:rPr>
        <w:t xml:space="preserve"> w zakresie</w:t>
      </w:r>
      <w:r w:rsidR="1E70862A" w:rsidRPr="00890249">
        <w:rPr>
          <w:rFonts w:asciiTheme="minorHAnsi" w:eastAsiaTheme="minorEastAsia" w:hAnsiTheme="minorHAnsi" w:cstheme="minorHAnsi"/>
          <w:sz w:val="22"/>
          <w:szCs w:val="22"/>
          <w:lang w:eastAsia="en-US" w:bidi="ar-SA"/>
        </w:rPr>
        <w:t xml:space="preserve"> nowych zielonych zawodów</w:t>
      </w:r>
      <w:r w:rsidRPr="00890249">
        <w:rPr>
          <w:rFonts w:asciiTheme="minorHAnsi" w:eastAsiaTheme="minorEastAsia" w:hAnsiTheme="minorHAnsi" w:cstheme="minorHAnsi"/>
          <w:sz w:val="22"/>
          <w:szCs w:val="22"/>
          <w:lang w:eastAsia="en-US" w:bidi="ar-SA"/>
        </w:rPr>
        <w:t>.</w:t>
      </w:r>
    </w:p>
    <w:p w14:paraId="6ACB4C4A" w14:textId="3C4002CD" w:rsidR="00577560"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R</w:t>
      </w:r>
      <w:r w:rsidR="2FCEBCFD" w:rsidRPr="00890249">
        <w:rPr>
          <w:rFonts w:asciiTheme="minorHAnsi" w:eastAsiaTheme="minorEastAsia" w:hAnsiTheme="minorHAnsi" w:cstheme="minorHAnsi"/>
          <w:sz w:val="22"/>
          <w:szCs w:val="22"/>
          <w:lang w:eastAsia="en-US" w:bidi="ar-SA"/>
        </w:rPr>
        <w:t xml:space="preserve">ealizacja programów pomocy stypendialnej w ramach kształcenia ogólnego i zawodowego dla uczniów uzdolnionych </w:t>
      </w:r>
      <w:r w:rsidR="77362590" w:rsidRPr="00890249">
        <w:rPr>
          <w:rFonts w:asciiTheme="minorHAnsi" w:eastAsiaTheme="minorEastAsia" w:hAnsiTheme="minorHAnsi" w:cstheme="minorHAnsi"/>
          <w:sz w:val="22"/>
          <w:szCs w:val="22"/>
          <w:lang w:eastAsia="en-US" w:bidi="ar-SA"/>
        </w:rPr>
        <w:t xml:space="preserve">z grup defaworyzowanych, </w:t>
      </w:r>
      <w:r w:rsidR="22D63A0F" w:rsidRPr="00890249">
        <w:rPr>
          <w:rFonts w:asciiTheme="minorHAnsi" w:eastAsiaTheme="minorEastAsia" w:hAnsiTheme="minorHAnsi" w:cstheme="minorHAnsi"/>
          <w:sz w:val="22"/>
          <w:szCs w:val="22"/>
          <w:lang w:eastAsia="en-US" w:bidi="ar-SA"/>
        </w:rPr>
        <w:t>np.</w:t>
      </w:r>
      <w:r w:rsidR="2FCEBCFD" w:rsidRPr="00890249">
        <w:rPr>
          <w:rFonts w:asciiTheme="minorHAnsi" w:eastAsiaTheme="minorEastAsia" w:hAnsiTheme="minorHAnsi" w:cstheme="minorHAnsi"/>
          <w:sz w:val="22"/>
          <w:szCs w:val="22"/>
          <w:lang w:eastAsia="en-US" w:bidi="ar-SA"/>
        </w:rPr>
        <w:t xml:space="preserve"> z niepełnosprawnościami</w:t>
      </w:r>
      <w:r w:rsidR="22D63A0F" w:rsidRPr="00890249">
        <w:rPr>
          <w:rFonts w:asciiTheme="minorHAnsi" w:eastAsiaTheme="minorEastAsia" w:hAnsiTheme="minorHAnsi" w:cstheme="minorHAnsi"/>
          <w:sz w:val="22"/>
          <w:szCs w:val="22"/>
          <w:lang w:eastAsia="en-US" w:bidi="ar-SA"/>
        </w:rPr>
        <w:t xml:space="preserve"> i </w:t>
      </w:r>
      <w:r w:rsidR="77362590" w:rsidRPr="00890249">
        <w:rPr>
          <w:rFonts w:asciiTheme="minorHAnsi" w:eastAsiaTheme="minorEastAsia" w:hAnsiTheme="minorHAnsi" w:cstheme="minorHAnsi"/>
          <w:sz w:val="22"/>
          <w:szCs w:val="22"/>
          <w:lang w:eastAsia="en-US" w:bidi="ar-SA"/>
        </w:rPr>
        <w:t>z obszarów wiejskich</w:t>
      </w:r>
      <w:r w:rsidRPr="00890249">
        <w:rPr>
          <w:rFonts w:asciiTheme="minorHAnsi" w:eastAsiaTheme="minorEastAsia" w:hAnsiTheme="minorHAnsi" w:cstheme="minorHAnsi"/>
          <w:sz w:val="22"/>
          <w:szCs w:val="22"/>
          <w:lang w:eastAsia="en-US" w:bidi="ar-SA"/>
        </w:rPr>
        <w:t>.</w:t>
      </w:r>
    </w:p>
    <w:p w14:paraId="143AAAC5" w14:textId="0114D690" w:rsidR="00577560"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D</w:t>
      </w:r>
      <w:r w:rsidR="2FCEBCFD" w:rsidRPr="00890249">
        <w:rPr>
          <w:rFonts w:asciiTheme="minorHAnsi" w:eastAsiaTheme="minorEastAsia" w:hAnsiTheme="minorHAnsi" w:cstheme="minorHAnsi"/>
          <w:sz w:val="22"/>
          <w:szCs w:val="22"/>
          <w:lang w:eastAsia="en-US" w:bidi="ar-SA"/>
        </w:rPr>
        <w:t>oskonalenie kompetencji i kwalifikacji nauczycieli kształcenia ogólnego oraz nauczycieli zawodu, w tym we współpracy z uczelniami, przedsiębiorcami i pracodawcami</w:t>
      </w:r>
      <w:r w:rsidRPr="00890249">
        <w:rPr>
          <w:rFonts w:asciiTheme="minorHAnsi" w:eastAsiaTheme="minorEastAsia" w:hAnsiTheme="minorHAnsi" w:cstheme="minorHAnsi"/>
          <w:sz w:val="22"/>
          <w:szCs w:val="22"/>
          <w:lang w:eastAsia="en-US" w:bidi="ar-SA"/>
        </w:rPr>
        <w:t>.</w:t>
      </w:r>
    </w:p>
    <w:p w14:paraId="29B61305" w14:textId="540EE8DB" w:rsidR="00577560"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D</w:t>
      </w:r>
      <w:r w:rsidR="2FCEBCFD" w:rsidRPr="00890249">
        <w:rPr>
          <w:rFonts w:asciiTheme="minorHAnsi" w:eastAsiaTheme="minorEastAsia" w:hAnsiTheme="minorHAnsi" w:cstheme="minorHAnsi"/>
          <w:sz w:val="22"/>
          <w:szCs w:val="22"/>
          <w:lang w:eastAsia="en-US" w:bidi="ar-SA"/>
        </w:rPr>
        <w:t>oradztwo zawodowe w ramach kształcenia ogólnego i zawodowego</w:t>
      </w:r>
      <w:r w:rsidR="4F4B3273" w:rsidRPr="00890249">
        <w:rPr>
          <w:rFonts w:asciiTheme="minorHAnsi" w:eastAsiaTheme="minorEastAsia" w:hAnsiTheme="minorHAnsi" w:cstheme="minorHAnsi"/>
          <w:sz w:val="22"/>
          <w:szCs w:val="22"/>
          <w:lang w:eastAsia="en-US" w:bidi="ar-SA"/>
        </w:rPr>
        <w:t xml:space="preserve"> </w:t>
      </w:r>
      <w:r w:rsidR="77362590" w:rsidRPr="00890249">
        <w:rPr>
          <w:rFonts w:asciiTheme="minorHAnsi" w:eastAsiaTheme="minorEastAsia" w:hAnsiTheme="minorHAnsi" w:cstheme="minorHAnsi"/>
          <w:sz w:val="22"/>
          <w:szCs w:val="22"/>
          <w:lang w:eastAsia="en-US" w:bidi="ar-SA"/>
        </w:rPr>
        <w:t>dla uczniów, nauczycieli oraz</w:t>
      </w:r>
      <w:r w:rsidR="00003223" w:rsidRPr="00890249">
        <w:rPr>
          <w:rFonts w:asciiTheme="minorHAnsi" w:eastAsiaTheme="minorEastAsia" w:hAnsiTheme="minorHAnsi" w:cstheme="minorHAnsi"/>
          <w:sz w:val="22"/>
          <w:szCs w:val="22"/>
          <w:lang w:eastAsia="en-US" w:bidi="ar-SA"/>
        </w:rPr>
        <w:t xml:space="preserve"> osób dorosłych</w:t>
      </w:r>
      <w:r w:rsidRPr="00890249">
        <w:rPr>
          <w:rFonts w:asciiTheme="minorHAnsi" w:eastAsiaTheme="minorEastAsia" w:hAnsiTheme="minorHAnsi" w:cstheme="minorHAnsi"/>
          <w:sz w:val="22"/>
          <w:szCs w:val="22"/>
          <w:lang w:eastAsia="en-US" w:bidi="ar-SA"/>
        </w:rPr>
        <w:t>.</w:t>
      </w:r>
    </w:p>
    <w:p w14:paraId="49047D49" w14:textId="5C8710EA" w:rsidR="004B4E43"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C</w:t>
      </w:r>
      <w:r w:rsidR="496E85D5" w:rsidRPr="00890249">
        <w:rPr>
          <w:rFonts w:asciiTheme="minorHAnsi" w:eastAsiaTheme="minorEastAsia" w:hAnsiTheme="minorHAnsi" w:cstheme="minorHAnsi"/>
          <w:sz w:val="22"/>
          <w:szCs w:val="22"/>
          <w:lang w:eastAsia="en-US" w:bidi="ar-SA"/>
        </w:rPr>
        <w:t>oach</w:t>
      </w:r>
      <w:r w:rsidR="77362590" w:rsidRPr="00890249">
        <w:rPr>
          <w:rFonts w:asciiTheme="minorHAnsi" w:eastAsiaTheme="minorEastAsia" w:hAnsiTheme="minorHAnsi" w:cstheme="minorHAnsi"/>
          <w:sz w:val="22"/>
          <w:szCs w:val="22"/>
          <w:lang w:eastAsia="en-US" w:bidi="ar-SA"/>
        </w:rPr>
        <w:t>ing</w:t>
      </w:r>
      <w:r w:rsidR="496E85D5" w:rsidRPr="00890249">
        <w:rPr>
          <w:rFonts w:asciiTheme="minorHAnsi" w:eastAsiaTheme="minorEastAsia" w:hAnsiTheme="minorHAnsi" w:cstheme="minorHAnsi"/>
          <w:sz w:val="22"/>
          <w:szCs w:val="22"/>
          <w:lang w:eastAsia="en-US" w:bidi="ar-SA"/>
        </w:rPr>
        <w:t xml:space="preserve"> i tutor</w:t>
      </w:r>
      <w:r w:rsidR="77362590" w:rsidRPr="00890249">
        <w:rPr>
          <w:rFonts w:asciiTheme="minorHAnsi" w:eastAsiaTheme="minorEastAsia" w:hAnsiTheme="minorHAnsi" w:cstheme="minorHAnsi"/>
          <w:sz w:val="22"/>
          <w:szCs w:val="22"/>
          <w:lang w:eastAsia="en-US" w:bidi="ar-SA"/>
        </w:rPr>
        <w:t>ing</w:t>
      </w:r>
      <w:r w:rsidRPr="00890249">
        <w:rPr>
          <w:rFonts w:asciiTheme="minorHAnsi" w:eastAsiaTheme="minorEastAsia" w:hAnsiTheme="minorHAnsi" w:cstheme="minorHAnsi"/>
          <w:sz w:val="22"/>
          <w:szCs w:val="22"/>
          <w:lang w:eastAsia="en-US" w:bidi="ar-SA"/>
        </w:rPr>
        <w:t>.</w:t>
      </w:r>
      <w:r w:rsidR="496E85D5" w:rsidRPr="00890249">
        <w:rPr>
          <w:rFonts w:asciiTheme="minorHAnsi" w:eastAsiaTheme="minorEastAsia" w:hAnsiTheme="minorHAnsi" w:cstheme="minorHAnsi"/>
          <w:sz w:val="22"/>
          <w:szCs w:val="22"/>
          <w:lang w:eastAsia="en-US" w:bidi="ar-SA"/>
        </w:rPr>
        <w:t xml:space="preserve"> </w:t>
      </w:r>
    </w:p>
    <w:p w14:paraId="4C472486" w14:textId="4704935C" w:rsidR="00577560"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w:t>
      </w:r>
      <w:r w:rsidR="2FCEBCFD" w:rsidRPr="00890249">
        <w:rPr>
          <w:rFonts w:asciiTheme="minorHAnsi" w:eastAsiaTheme="minorEastAsia" w:hAnsiTheme="minorHAnsi" w:cstheme="minorHAnsi"/>
          <w:sz w:val="22"/>
          <w:szCs w:val="22"/>
          <w:lang w:eastAsia="en-US" w:bidi="ar-SA"/>
        </w:rPr>
        <w:t xml:space="preserve">spółpraca szkół i placówek prowadzących kształcenie </w:t>
      </w:r>
      <w:r w:rsidR="00C75449" w:rsidRPr="00890249">
        <w:rPr>
          <w:rFonts w:asciiTheme="minorHAnsi" w:eastAsiaTheme="minorEastAsia" w:hAnsiTheme="minorHAnsi" w:cstheme="minorHAnsi"/>
          <w:sz w:val="22"/>
          <w:szCs w:val="22"/>
          <w:lang w:eastAsia="en-US" w:bidi="ar-SA"/>
        </w:rPr>
        <w:t xml:space="preserve">ogólne, jak i </w:t>
      </w:r>
      <w:r w:rsidR="2FCEBCFD" w:rsidRPr="00890249">
        <w:rPr>
          <w:rFonts w:asciiTheme="minorHAnsi" w:eastAsiaTheme="minorEastAsia" w:hAnsiTheme="minorHAnsi" w:cstheme="minorHAnsi"/>
          <w:sz w:val="22"/>
          <w:szCs w:val="22"/>
          <w:lang w:eastAsia="en-US" w:bidi="ar-SA"/>
        </w:rPr>
        <w:t>zawodowe</w:t>
      </w:r>
      <w:r w:rsidR="58948844" w:rsidRPr="00890249">
        <w:rPr>
          <w:rFonts w:asciiTheme="minorHAnsi" w:eastAsiaTheme="minorEastAsia" w:hAnsiTheme="minorHAnsi" w:cstheme="minorHAnsi"/>
          <w:sz w:val="22"/>
          <w:szCs w:val="22"/>
          <w:lang w:eastAsia="en-US" w:bidi="ar-SA"/>
        </w:rPr>
        <w:t xml:space="preserve"> o charakterze strategicznym i praktycznym</w:t>
      </w:r>
      <w:r w:rsidR="22D63A0F" w:rsidRPr="00890249">
        <w:rPr>
          <w:rFonts w:asciiTheme="minorHAnsi" w:eastAsiaTheme="minorEastAsia" w:hAnsiTheme="minorHAnsi" w:cstheme="minorHAnsi"/>
          <w:sz w:val="22"/>
          <w:szCs w:val="22"/>
          <w:lang w:eastAsia="en-US" w:bidi="ar-SA"/>
        </w:rPr>
        <w:t xml:space="preserve"> </w:t>
      </w:r>
      <w:r w:rsidR="2FCEBCFD" w:rsidRPr="00890249">
        <w:rPr>
          <w:rFonts w:asciiTheme="minorHAnsi" w:eastAsiaTheme="minorEastAsia" w:hAnsiTheme="minorHAnsi" w:cstheme="minorHAnsi"/>
          <w:sz w:val="22"/>
          <w:szCs w:val="22"/>
          <w:lang w:eastAsia="en-US" w:bidi="ar-SA"/>
        </w:rPr>
        <w:t>z otoczeniem społeczno-gospodarczym, zwłaszcza z pracodawcami</w:t>
      </w:r>
      <w:r w:rsidR="5F0A38F8" w:rsidRPr="00890249">
        <w:rPr>
          <w:rFonts w:asciiTheme="minorHAnsi" w:eastAsiaTheme="minorEastAsia" w:hAnsiTheme="minorHAnsi" w:cstheme="minorHAnsi"/>
          <w:sz w:val="22"/>
          <w:szCs w:val="22"/>
          <w:lang w:eastAsia="en-US" w:bidi="ar-SA"/>
        </w:rPr>
        <w:t xml:space="preserve">, a także </w:t>
      </w:r>
      <w:r w:rsidR="2FCEBCFD" w:rsidRPr="00890249">
        <w:rPr>
          <w:rFonts w:asciiTheme="minorHAnsi" w:eastAsiaTheme="minorEastAsia" w:hAnsiTheme="minorHAnsi" w:cstheme="minorHAnsi"/>
          <w:sz w:val="22"/>
          <w:szCs w:val="22"/>
          <w:lang w:eastAsia="en-US" w:bidi="ar-SA"/>
        </w:rPr>
        <w:t>uczelniami wyższymi, instytucjami rynku pracy</w:t>
      </w:r>
      <w:r w:rsidRPr="00890249">
        <w:rPr>
          <w:rFonts w:asciiTheme="minorHAnsi" w:eastAsiaTheme="minorEastAsia" w:hAnsiTheme="minorHAnsi" w:cstheme="minorHAnsi"/>
          <w:sz w:val="22"/>
          <w:szCs w:val="22"/>
          <w:lang w:eastAsia="en-US" w:bidi="ar-SA"/>
        </w:rPr>
        <w:t>.</w:t>
      </w:r>
    </w:p>
    <w:p w14:paraId="6050FBB3" w14:textId="3731683B" w:rsidR="00280A25"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K</w:t>
      </w:r>
      <w:r w:rsidR="00280A25" w:rsidRPr="00890249">
        <w:rPr>
          <w:rFonts w:asciiTheme="minorHAnsi" w:eastAsiaTheme="minorHAnsi" w:hAnsiTheme="minorHAnsi" w:cstheme="minorHAnsi"/>
          <w:sz w:val="22"/>
          <w:szCs w:val="22"/>
          <w:lang w:eastAsia="en-US" w:bidi="ar-SA"/>
        </w:rPr>
        <w:t>ształcenie praktyczne uczniów</w:t>
      </w:r>
      <w:r w:rsidR="00806812" w:rsidRPr="00890249">
        <w:rPr>
          <w:rFonts w:asciiTheme="minorHAnsi" w:eastAsiaTheme="minorHAnsi" w:hAnsiTheme="minorHAnsi" w:cstheme="minorHAnsi"/>
          <w:sz w:val="22"/>
          <w:szCs w:val="22"/>
          <w:lang w:eastAsia="en-US" w:bidi="ar-SA"/>
        </w:rPr>
        <w:t xml:space="preserve"> szkół zawodowych</w:t>
      </w:r>
      <w:r w:rsidR="00280A25" w:rsidRPr="00890249">
        <w:rPr>
          <w:rFonts w:asciiTheme="minorHAnsi" w:eastAsiaTheme="minorHAnsi" w:hAnsiTheme="minorHAnsi" w:cstheme="minorHAnsi"/>
          <w:sz w:val="22"/>
          <w:szCs w:val="22"/>
          <w:lang w:eastAsia="en-US" w:bidi="ar-SA"/>
        </w:rPr>
        <w:t>, w tym we współpracy z pracodawcami, tj. organizacja staży, praktyk czy kwalifikacyjnych kursów zawodowych</w:t>
      </w:r>
      <w:r w:rsidRPr="00890249">
        <w:rPr>
          <w:rFonts w:asciiTheme="minorHAnsi" w:eastAsiaTheme="minorHAnsi" w:hAnsiTheme="minorHAnsi" w:cstheme="minorHAnsi"/>
          <w:sz w:val="22"/>
          <w:szCs w:val="22"/>
          <w:lang w:eastAsia="en-US" w:bidi="ar-SA"/>
        </w:rPr>
        <w:t>.</w:t>
      </w:r>
      <w:r w:rsidR="00280A25" w:rsidRPr="00890249">
        <w:rPr>
          <w:rFonts w:asciiTheme="minorHAnsi" w:eastAsiaTheme="minorHAnsi" w:hAnsiTheme="minorHAnsi" w:cstheme="minorHAnsi"/>
          <w:sz w:val="22"/>
          <w:szCs w:val="22"/>
          <w:lang w:eastAsia="en-US" w:bidi="ar-SA"/>
        </w:rPr>
        <w:t xml:space="preserve"> </w:t>
      </w:r>
    </w:p>
    <w:p w14:paraId="0B7F1441" w14:textId="5B7E967A" w:rsidR="00267079"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w:t>
      </w:r>
      <w:r w:rsidR="060F75D7" w:rsidRPr="00890249">
        <w:rPr>
          <w:rFonts w:asciiTheme="minorHAnsi" w:eastAsiaTheme="minorEastAsia" w:hAnsiTheme="minorHAnsi" w:cstheme="minorHAnsi"/>
          <w:sz w:val="22"/>
          <w:szCs w:val="22"/>
          <w:lang w:eastAsia="en-US" w:bidi="ar-SA"/>
        </w:rPr>
        <w:t xml:space="preserve">sparcie uczniów szkół </w:t>
      </w:r>
      <w:r w:rsidR="39FF1621" w:rsidRPr="00890249">
        <w:rPr>
          <w:rFonts w:asciiTheme="minorHAnsi" w:eastAsiaTheme="minorEastAsia" w:hAnsiTheme="minorHAnsi" w:cstheme="minorHAnsi"/>
          <w:sz w:val="22"/>
          <w:szCs w:val="22"/>
          <w:lang w:eastAsia="en-US" w:bidi="ar-SA"/>
        </w:rPr>
        <w:t xml:space="preserve">ogólnokształcących </w:t>
      </w:r>
      <w:r w:rsidR="060F75D7" w:rsidRPr="00890249">
        <w:rPr>
          <w:rFonts w:asciiTheme="minorHAnsi" w:eastAsiaTheme="minorEastAsia" w:hAnsiTheme="minorHAnsi" w:cstheme="minorHAnsi"/>
          <w:sz w:val="22"/>
          <w:szCs w:val="22"/>
          <w:lang w:eastAsia="en-US" w:bidi="ar-SA"/>
        </w:rPr>
        <w:t xml:space="preserve">w zdobywaniu dodatkowych kwalifikacji </w:t>
      </w:r>
      <w:r w:rsidR="241D9E81" w:rsidRPr="00890249">
        <w:rPr>
          <w:rFonts w:asciiTheme="minorHAnsi" w:eastAsiaTheme="minorEastAsia" w:hAnsiTheme="minorHAnsi" w:cstheme="minorHAnsi"/>
          <w:sz w:val="22"/>
          <w:szCs w:val="22"/>
          <w:lang w:eastAsia="en-US" w:bidi="ar-SA"/>
        </w:rPr>
        <w:t>zawodowych</w:t>
      </w:r>
      <w:r w:rsidRPr="00890249">
        <w:rPr>
          <w:rFonts w:asciiTheme="minorHAnsi" w:eastAsiaTheme="minorEastAsia" w:hAnsiTheme="minorHAnsi" w:cstheme="minorHAnsi"/>
          <w:sz w:val="22"/>
          <w:szCs w:val="22"/>
          <w:lang w:eastAsia="en-US" w:bidi="ar-SA"/>
        </w:rPr>
        <w:t>.</w:t>
      </w:r>
      <w:r w:rsidR="060F75D7" w:rsidRPr="00890249">
        <w:rPr>
          <w:rFonts w:asciiTheme="minorHAnsi" w:eastAsiaTheme="minorEastAsia" w:hAnsiTheme="minorHAnsi" w:cstheme="minorHAnsi"/>
          <w:sz w:val="22"/>
          <w:szCs w:val="22"/>
          <w:lang w:eastAsia="en-US" w:bidi="ar-SA"/>
        </w:rPr>
        <w:t xml:space="preserve"> </w:t>
      </w:r>
    </w:p>
    <w:p w14:paraId="2538ADBF" w14:textId="142C48BE" w:rsidR="00577560"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D</w:t>
      </w:r>
      <w:r w:rsidR="00577560" w:rsidRPr="00890249">
        <w:rPr>
          <w:rFonts w:asciiTheme="minorHAnsi" w:eastAsiaTheme="minorHAnsi" w:hAnsiTheme="minorHAnsi" w:cstheme="minorHAnsi"/>
          <w:sz w:val="22"/>
          <w:szCs w:val="22"/>
          <w:lang w:eastAsia="en-US" w:bidi="ar-SA"/>
        </w:rPr>
        <w:t>ostosowanie kompetencji i kwalifikacji zawodowych osób dorosłych do potrzeb rynku pracy, w tym z uwzględnieniem elastycznych rozwiązań  (np. kształcenie na odległość)</w:t>
      </w:r>
      <w:r w:rsidRPr="00890249">
        <w:rPr>
          <w:rFonts w:asciiTheme="minorHAnsi" w:eastAsiaTheme="minorHAnsi" w:hAnsiTheme="minorHAnsi" w:cstheme="minorHAnsi"/>
          <w:sz w:val="22"/>
          <w:szCs w:val="22"/>
          <w:lang w:eastAsia="en-US" w:bidi="ar-SA"/>
        </w:rPr>
        <w:t>.</w:t>
      </w:r>
    </w:p>
    <w:p w14:paraId="0A6E51B4" w14:textId="2122D9B3" w:rsidR="00F561A1"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w:t>
      </w:r>
      <w:r w:rsidR="055CD894" w:rsidRPr="00890249">
        <w:rPr>
          <w:rFonts w:asciiTheme="minorHAnsi" w:eastAsiaTheme="minorEastAsia" w:hAnsiTheme="minorHAnsi" w:cstheme="minorHAnsi"/>
          <w:sz w:val="22"/>
          <w:szCs w:val="22"/>
          <w:lang w:eastAsia="en-US" w:bidi="ar-SA"/>
        </w:rPr>
        <w:t>spar</w:t>
      </w:r>
      <w:r w:rsidR="61035800" w:rsidRPr="00890249">
        <w:rPr>
          <w:rFonts w:asciiTheme="minorHAnsi" w:eastAsiaTheme="minorEastAsia" w:hAnsiTheme="minorHAnsi" w:cstheme="minorHAnsi"/>
          <w:sz w:val="22"/>
          <w:szCs w:val="22"/>
          <w:lang w:eastAsia="en-US" w:bidi="ar-SA"/>
        </w:rPr>
        <w:t>cie kompetencji STEM i STEAM</w:t>
      </w:r>
      <w:r w:rsidR="2325E85C" w:rsidRPr="00890249">
        <w:rPr>
          <w:rFonts w:asciiTheme="minorHAnsi" w:eastAsiaTheme="minorEastAsia" w:hAnsiTheme="minorHAnsi" w:cstheme="minorHAnsi"/>
          <w:sz w:val="22"/>
          <w:szCs w:val="22"/>
          <w:lang w:eastAsia="en-US" w:bidi="ar-SA"/>
        </w:rPr>
        <w:t>, zwłaszcza u uczennic</w:t>
      </w:r>
      <w:r w:rsidRPr="00890249">
        <w:rPr>
          <w:rFonts w:asciiTheme="minorHAnsi" w:eastAsiaTheme="minorEastAsia" w:hAnsiTheme="minorHAnsi" w:cstheme="minorHAnsi"/>
          <w:sz w:val="22"/>
          <w:szCs w:val="22"/>
          <w:lang w:eastAsia="en-US" w:bidi="ar-SA"/>
        </w:rPr>
        <w:t>.</w:t>
      </w:r>
    </w:p>
    <w:p w14:paraId="2149F551" w14:textId="5485D8BA" w:rsidR="00071EBB"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w:t>
      </w:r>
      <w:r w:rsidR="51EEF264" w:rsidRPr="00890249">
        <w:rPr>
          <w:rFonts w:asciiTheme="minorHAnsi" w:eastAsiaTheme="minorEastAsia" w:hAnsiTheme="minorHAnsi" w:cstheme="minorHAnsi"/>
          <w:sz w:val="22"/>
          <w:szCs w:val="22"/>
          <w:lang w:eastAsia="en-US" w:bidi="ar-SA"/>
        </w:rPr>
        <w:t>sparcie rozwijania kompetencji, umiejętności,</w:t>
      </w:r>
      <w:r w:rsidR="54855BAF" w:rsidRPr="00890249">
        <w:rPr>
          <w:rFonts w:asciiTheme="minorHAnsi" w:eastAsiaTheme="minorEastAsia" w:hAnsiTheme="minorHAnsi" w:cstheme="minorHAnsi"/>
          <w:sz w:val="22"/>
          <w:szCs w:val="22"/>
          <w:lang w:eastAsia="en-US" w:bidi="ar-SA"/>
        </w:rPr>
        <w:t xml:space="preserve"> </w:t>
      </w:r>
      <w:r w:rsidR="51EEF264" w:rsidRPr="00890249">
        <w:rPr>
          <w:rFonts w:asciiTheme="minorHAnsi" w:eastAsiaTheme="minorEastAsia" w:hAnsiTheme="minorHAnsi" w:cstheme="minorHAnsi"/>
          <w:sz w:val="22"/>
          <w:szCs w:val="22"/>
          <w:lang w:eastAsia="en-US" w:bidi="ar-SA"/>
        </w:rPr>
        <w:t>uzdolnień, zainteresowań uczniów poza edukacją formalną</w:t>
      </w:r>
      <w:r w:rsidRPr="00890249">
        <w:rPr>
          <w:rFonts w:asciiTheme="minorHAnsi" w:eastAsiaTheme="minorEastAsia" w:hAnsiTheme="minorHAnsi" w:cstheme="minorHAnsi"/>
          <w:sz w:val="22"/>
          <w:szCs w:val="22"/>
          <w:lang w:eastAsia="en-US" w:bidi="ar-SA"/>
        </w:rPr>
        <w:t>.</w:t>
      </w:r>
    </w:p>
    <w:p w14:paraId="2C83B83A" w14:textId="36B99EEC" w:rsidR="00001223" w:rsidRPr="00890249" w:rsidRDefault="008D1D08" w:rsidP="009F296A">
      <w:pPr>
        <w:pStyle w:val="Akapitzlist"/>
        <w:numPr>
          <w:ilvl w:val="0"/>
          <w:numId w:val="45"/>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w:t>
      </w:r>
      <w:r w:rsidR="514953C2" w:rsidRPr="00890249">
        <w:rPr>
          <w:rFonts w:asciiTheme="minorHAnsi" w:eastAsiaTheme="minorEastAsia" w:hAnsiTheme="minorHAnsi" w:cstheme="minorHAnsi"/>
          <w:sz w:val="22"/>
          <w:szCs w:val="22"/>
          <w:lang w:eastAsia="en-US" w:bidi="ar-SA"/>
        </w:rPr>
        <w:t>sparcie psychologiczno-pedagogiczne dla dzieci, młodzieży, nauczycieli i rodziców</w:t>
      </w:r>
      <w:r w:rsidR="1ACBEA07" w:rsidRPr="00890249">
        <w:rPr>
          <w:rFonts w:asciiTheme="minorHAnsi" w:eastAsiaTheme="minorEastAsia" w:hAnsiTheme="minorHAnsi" w:cstheme="minorHAnsi"/>
          <w:sz w:val="22"/>
          <w:szCs w:val="22"/>
          <w:lang w:eastAsia="en-US" w:bidi="ar-SA"/>
        </w:rPr>
        <w:t xml:space="preserve"> przeciwdziałające skutkom izolacji, zaburzeniom behawioralnym oraz psychicznym, </w:t>
      </w:r>
      <w:r w:rsidR="7BC92A47" w:rsidRPr="00890249">
        <w:rPr>
          <w:rFonts w:asciiTheme="minorHAnsi" w:eastAsiaTheme="minorEastAsia" w:hAnsiTheme="minorHAnsi" w:cstheme="minorHAnsi"/>
          <w:sz w:val="22"/>
          <w:szCs w:val="22"/>
          <w:lang w:eastAsia="en-US" w:bidi="ar-SA"/>
        </w:rPr>
        <w:t xml:space="preserve"> </w:t>
      </w:r>
      <w:r w:rsidR="1ACBEA07" w:rsidRPr="00890249">
        <w:rPr>
          <w:rFonts w:asciiTheme="minorHAnsi" w:eastAsiaTheme="minorEastAsia" w:hAnsiTheme="minorHAnsi" w:cstheme="minorHAnsi"/>
          <w:sz w:val="22"/>
          <w:szCs w:val="22"/>
          <w:lang w:eastAsia="en-US" w:bidi="ar-SA"/>
        </w:rPr>
        <w:t xml:space="preserve">a także </w:t>
      </w:r>
      <w:r w:rsidR="514953C2" w:rsidRPr="00890249">
        <w:rPr>
          <w:rFonts w:asciiTheme="minorHAnsi" w:eastAsiaTheme="minorEastAsia" w:hAnsiTheme="minorHAnsi" w:cstheme="minorHAnsi"/>
          <w:sz w:val="22"/>
          <w:szCs w:val="22"/>
          <w:lang w:eastAsia="en-US" w:bidi="ar-SA"/>
        </w:rPr>
        <w:t xml:space="preserve">podnoszenie kwalifikacji psychologów, pedagogów, logopedów i doradców zawodowych zatrudnionych w </w:t>
      </w:r>
      <w:r w:rsidR="4310FA28" w:rsidRPr="00890249">
        <w:rPr>
          <w:rFonts w:asciiTheme="minorHAnsi" w:eastAsiaTheme="minorEastAsia" w:hAnsiTheme="minorHAnsi" w:cstheme="minorHAnsi"/>
          <w:sz w:val="22"/>
          <w:szCs w:val="22"/>
          <w:lang w:eastAsia="en-US" w:bidi="ar-SA"/>
        </w:rPr>
        <w:t>szkołach</w:t>
      </w:r>
      <w:r w:rsidRPr="00890249">
        <w:rPr>
          <w:rFonts w:asciiTheme="minorHAnsi" w:eastAsiaTheme="minorEastAsia" w:hAnsiTheme="minorHAnsi" w:cstheme="minorHAnsi"/>
          <w:sz w:val="22"/>
          <w:szCs w:val="22"/>
          <w:lang w:eastAsia="en-US" w:bidi="ar-SA"/>
        </w:rPr>
        <w:t>.</w:t>
      </w:r>
      <w:r w:rsidR="514953C2" w:rsidRPr="00890249">
        <w:rPr>
          <w:rFonts w:asciiTheme="minorHAnsi" w:eastAsiaTheme="minorEastAsia" w:hAnsiTheme="minorHAnsi" w:cstheme="minorHAnsi"/>
          <w:sz w:val="22"/>
          <w:szCs w:val="22"/>
          <w:lang w:eastAsia="en-US" w:bidi="ar-SA"/>
        </w:rPr>
        <w:t xml:space="preserve"> </w:t>
      </w:r>
    </w:p>
    <w:p w14:paraId="543F58B8" w14:textId="50419953" w:rsidR="0022780B"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w:t>
      </w:r>
      <w:r w:rsidR="0022780B" w:rsidRPr="00890249">
        <w:rPr>
          <w:rFonts w:asciiTheme="minorHAnsi" w:eastAsiaTheme="minorHAnsi" w:hAnsiTheme="minorHAnsi" w:cstheme="minorHAnsi"/>
          <w:sz w:val="22"/>
          <w:szCs w:val="22"/>
          <w:lang w:eastAsia="en-US" w:bidi="ar-SA"/>
        </w:rPr>
        <w:t>zmocnienie roli szkoły jako lokalnego centrum integrowania społeczności sz</w:t>
      </w:r>
      <w:r w:rsidR="008C67B3">
        <w:rPr>
          <w:rFonts w:asciiTheme="minorHAnsi" w:eastAsiaTheme="minorHAnsi" w:hAnsiTheme="minorHAnsi" w:cstheme="minorHAnsi"/>
          <w:sz w:val="22"/>
          <w:szCs w:val="22"/>
          <w:lang w:eastAsia="en-US" w:bidi="ar-SA"/>
        </w:rPr>
        <w:t>kolnej i </w:t>
      </w:r>
      <w:r w:rsidR="0022780B" w:rsidRPr="00890249">
        <w:rPr>
          <w:rFonts w:asciiTheme="minorHAnsi" w:eastAsiaTheme="minorHAnsi" w:hAnsiTheme="minorHAnsi" w:cstheme="minorHAnsi"/>
          <w:sz w:val="22"/>
          <w:szCs w:val="22"/>
          <w:lang w:eastAsia="en-US" w:bidi="ar-SA"/>
        </w:rPr>
        <w:t>pozaszkolnej</w:t>
      </w:r>
      <w:r w:rsidR="00812513" w:rsidRPr="00890249">
        <w:rPr>
          <w:rFonts w:asciiTheme="minorHAnsi" w:eastAsiaTheme="minorHAnsi" w:hAnsiTheme="minorHAnsi" w:cstheme="minorHAnsi"/>
          <w:sz w:val="22"/>
          <w:szCs w:val="22"/>
          <w:lang w:eastAsia="en-US" w:bidi="ar-SA"/>
        </w:rPr>
        <w:t xml:space="preserve"> poprzez współpracę kadry placówek, rodziców i uczniów oraz upowszechniania w szkole kultury włączenia</w:t>
      </w:r>
      <w:r w:rsidRPr="00890249">
        <w:rPr>
          <w:rFonts w:asciiTheme="minorHAnsi" w:eastAsiaTheme="minorHAnsi" w:hAnsiTheme="minorHAnsi" w:cstheme="minorHAnsi"/>
          <w:sz w:val="22"/>
          <w:szCs w:val="22"/>
          <w:lang w:eastAsia="en-US" w:bidi="ar-SA"/>
        </w:rPr>
        <w:t>.</w:t>
      </w:r>
    </w:p>
    <w:p w14:paraId="1D3B67E8" w14:textId="36E0AE40" w:rsidR="00812513"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w:t>
      </w:r>
      <w:r w:rsidR="00812513" w:rsidRPr="00890249">
        <w:rPr>
          <w:rFonts w:asciiTheme="minorHAnsi" w:eastAsiaTheme="minorHAnsi" w:hAnsiTheme="minorHAnsi" w:cstheme="minorHAnsi"/>
          <w:sz w:val="22"/>
          <w:szCs w:val="22"/>
          <w:lang w:eastAsia="en-US" w:bidi="ar-SA"/>
        </w:rPr>
        <w:t>spieranie aktywności fizycznej i wiedzy nt. zdrowego</w:t>
      </w:r>
      <w:r w:rsidR="008C67B3">
        <w:rPr>
          <w:rFonts w:asciiTheme="minorHAnsi" w:eastAsiaTheme="minorHAnsi" w:hAnsiTheme="minorHAnsi" w:cstheme="minorHAnsi"/>
          <w:sz w:val="22"/>
          <w:szCs w:val="22"/>
          <w:lang w:eastAsia="en-US" w:bidi="ar-SA"/>
        </w:rPr>
        <w:t xml:space="preserve"> trybu życia, w szczególności w </w:t>
      </w:r>
      <w:r w:rsidR="00812513" w:rsidRPr="00890249">
        <w:rPr>
          <w:rFonts w:asciiTheme="minorHAnsi" w:eastAsiaTheme="minorHAnsi" w:hAnsiTheme="minorHAnsi" w:cstheme="minorHAnsi"/>
          <w:sz w:val="22"/>
          <w:szCs w:val="22"/>
          <w:lang w:eastAsia="en-US" w:bidi="ar-SA"/>
        </w:rPr>
        <w:t>odniesieniu do uczniów ze środowisk defaworyzowanych, w tym zajęcia nt. zdrowej diety, higieny cyfrowej, radzenia sobie z</w:t>
      </w:r>
      <w:r w:rsidR="00C0595D" w:rsidRPr="00890249">
        <w:rPr>
          <w:rFonts w:asciiTheme="minorHAnsi" w:eastAsiaTheme="minorHAnsi" w:hAnsiTheme="minorHAnsi" w:cstheme="minorHAnsi"/>
          <w:sz w:val="22"/>
          <w:szCs w:val="22"/>
          <w:lang w:eastAsia="en-US" w:bidi="ar-SA"/>
        </w:rPr>
        <w:t>e stresem, budowania relacji</w:t>
      </w:r>
      <w:r w:rsidR="00812513" w:rsidRPr="00890249">
        <w:rPr>
          <w:rFonts w:asciiTheme="minorHAnsi" w:eastAsiaTheme="minorHAnsi" w:hAnsiTheme="minorHAnsi" w:cstheme="minorHAnsi"/>
          <w:sz w:val="22"/>
          <w:szCs w:val="22"/>
          <w:lang w:eastAsia="en-US" w:bidi="ar-SA"/>
        </w:rPr>
        <w:t xml:space="preserve"> i kompetencji społecznych oraz zajęcia sportowe</w:t>
      </w:r>
      <w:r w:rsidR="00582FB6">
        <w:rPr>
          <w:rFonts w:asciiTheme="minorHAnsi" w:eastAsiaTheme="minorHAnsi" w:hAnsiTheme="minorHAnsi" w:cstheme="minorHAnsi"/>
          <w:sz w:val="22"/>
          <w:szCs w:val="22"/>
          <w:lang w:eastAsia="en-US" w:bidi="ar-SA"/>
        </w:rPr>
        <w:t xml:space="preserve">, </w:t>
      </w:r>
      <w:r w:rsidR="00582FB6" w:rsidRPr="00582FB6">
        <w:rPr>
          <w:rFonts w:asciiTheme="minorHAnsi" w:eastAsiaTheme="minorHAnsi" w:hAnsiTheme="minorHAnsi" w:cstheme="minorHAnsi"/>
          <w:sz w:val="22"/>
          <w:szCs w:val="22"/>
          <w:lang w:eastAsia="en-US" w:bidi="ar-SA"/>
        </w:rPr>
        <w:t>związane z wyrównywaniem szans/nadrabianiem zaległości po pandemii i nauce zdalnej.</w:t>
      </w:r>
    </w:p>
    <w:p w14:paraId="0B0DF9B0" w14:textId="5572A174" w:rsidR="004A7EBD" w:rsidRPr="00890249"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D</w:t>
      </w:r>
      <w:r w:rsidR="004A7EBD" w:rsidRPr="00890249">
        <w:rPr>
          <w:rFonts w:asciiTheme="minorHAnsi" w:eastAsiaTheme="minorHAnsi" w:hAnsiTheme="minorHAnsi" w:cstheme="minorHAnsi"/>
          <w:sz w:val="22"/>
          <w:szCs w:val="22"/>
          <w:lang w:eastAsia="en-US" w:bidi="ar-SA"/>
        </w:rPr>
        <w:t>ojazdy do szkół dla uczniów</w:t>
      </w:r>
      <w:r w:rsidR="00807D66" w:rsidRPr="00890249">
        <w:rPr>
          <w:rFonts w:asciiTheme="minorHAnsi" w:eastAsiaTheme="minorHAnsi" w:hAnsiTheme="minorHAnsi" w:cstheme="minorHAnsi"/>
          <w:sz w:val="22"/>
          <w:szCs w:val="22"/>
          <w:lang w:eastAsia="en-US" w:bidi="ar-SA"/>
        </w:rPr>
        <w:t xml:space="preserve"> szkół ponadpodstawowych</w:t>
      </w:r>
      <w:r w:rsidR="004A7EBD" w:rsidRPr="00890249">
        <w:rPr>
          <w:rFonts w:asciiTheme="minorHAnsi" w:eastAsiaTheme="minorHAnsi" w:hAnsiTheme="minorHAnsi" w:cstheme="minorHAnsi"/>
          <w:sz w:val="22"/>
          <w:szCs w:val="22"/>
          <w:lang w:eastAsia="en-US" w:bidi="ar-SA"/>
        </w:rPr>
        <w:t xml:space="preserve"> z obszarów zmarginalizowanych</w:t>
      </w:r>
      <w:r w:rsidR="00961475" w:rsidRPr="00890249">
        <w:rPr>
          <w:rFonts w:asciiTheme="minorHAnsi" w:eastAsiaTheme="minorHAnsi" w:hAnsiTheme="minorHAnsi" w:cstheme="minorHAnsi"/>
          <w:sz w:val="22"/>
          <w:szCs w:val="22"/>
          <w:lang w:eastAsia="en-US" w:bidi="ar-SA"/>
        </w:rPr>
        <w:t xml:space="preserve"> </w:t>
      </w:r>
      <w:r w:rsidR="00582FB6">
        <w:rPr>
          <w:rFonts w:asciiTheme="minorHAnsi" w:eastAsiaTheme="minorHAnsi" w:hAnsiTheme="minorHAnsi" w:cstheme="minorHAnsi"/>
          <w:sz w:val="22"/>
          <w:szCs w:val="22"/>
          <w:lang w:eastAsia="en-US" w:bidi="ar-SA"/>
        </w:rPr>
        <w:br/>
      </w:r>
      <w:r w:rsidR="00961475" w:rsidRPr="00890249">
        <w:rPr>
          <w:rFonts w:asciiTheme="minorHAnsi" w:eastAsiaTheme="minorHAnsi" w:hAnsiTheme="minorHAnsi" w:cstheme="minorHAnsi"/>
          <w:sz w:val="22"/>
          <w:szCs w:val="22"/>
          <w:lang w:eastAsia="en-US" w:bidi="ar-SA"/>
        </w:rPr>
        <w:t>i o obniżonej mobilności</w:t>
      </w:r>
      <w:r w:rsidR="00582FB6">
        <w:rPr>
          <w:rFonts w:asciiTheme="minorHAnsi" w:eastAsiaTheme="minorHAnsi" w:hAnsiTheme="minorHAnsi" w:cstheme="minorHAnsi"/>
          <w:sz w:val="22"/>
          <w:szCs w:val="22"/>
          <w:lang w:eastAsia="en-US" w:bidi="ar-SA"/>
        </w:rPr>
        <w:t xml:space="preserve"> </w:t>
      </w:r>
      <w:r w:rsidR="00582FB6" w:rsidRPr="00582FB6">
        <w:rPr>
          <w:rFonts w:asciiTheme="minorHAnsi" w:eastAsiaTheme="minorHAnsi" w:hAnsiTheme="minorHAnsi" w:cstheme="minorHAnsi"/>
          <w:sz w:val="22"/>
          <w:szCs w:val="22"/>
          <w:lang w:eastAsia="en-US" w:bidi="ar-SA"/>
        </w:rPr>
        <w:t>w celu podniesienia dostępu do edukacji wysokiej jakości</w:t>
      </w:r>
      <w:r w:rsidRPr="00890249">
        <w:rPr>
          <w:rFonts w:asciiTheme="minorHAnsi" w:eastAsiaTheme="minorHAnsi" w:hAnsiTheme="minorHAnsi" w:cstheme="minorHAnsi"/>
          <w:sz w:val="22"/>
          <w:szCs w:val="22"/>
          <w:lang w:eastAsia="en-US" w:bidi="ar-SA"/>
        </w:rPr>
        <w:t>.</w:t>
      </w:r>
      <w:r w:rsidR="004A7EBD" w:rsidRPr="00890249">
        <w:rPr>
          <w:rFonts w:asciiTheme="minorHAnsi" w:eastAsiaTheme="minorHAnsi" w:hAnsiTheme="minorHAnsi" w:cstheme="minorHAnsi"/>
          <w:sz w:val="22"/>
          <w:szCs w:val="22"/>
          <w:lang w:eastAsia="en-US" w:bidi="ar-SA"/>
        </w:rPr>
        <w:t xml:space="preserve"> </w:t>
      </w:r>
    </w:p>
    <w:p w14:paraId="32309693" w14:textId="6528A677" w:rsidR="00BF51BA" w:rsidRPr="00F62734" w:rsidRDefault="008D1D08"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B</w:t>
      </w:r>
      <w:r w:rsidR="4FDA60C4" w:rsidRPr="00890249">
        <w:rPr>
          <w:rFonts w:asciiTheme="minorHAnsi" w:eastAsiaTheme="minorEastAsia" w:hAnsiTheme="minorHAnsi" w:cstheme="minorHAnsi"/>
          <w:sz w:val="22"/>
          <w:szCs w:val="22"/>
          <w:lang w:eastAsia="en-US" w:bidi="ar-SA"/>
        </w:rPr>
        <w:t>udowanie potencjału organizacji społeczeństwa obywatelskiego do realizacji działań na rzecz edukacji.</w:t>
      </w:r>
    </w:p>
    <w:p w14:paraId="7B3C1E13" w14:textId="233F8596" w:rsidR="005E02B0" w:rsidRPr="00890249" w:rsidRDefault="005E02B0" w:rsidP="009F296A">
      <w:pPr>
        <w:pStyle w:val="Akapitzlist"/>
        <w:numPr>
          <w:ilvl w:val="0"/>
          <w:numId w:val="45"/>
        </w:numPr>
        <w:contextualSpacing w:val="0"/>
        <w:rPr>
          <w:rFonts w:asciiTheme="minorHAnsi" w:eastAsiaTheme="minorHAnsi" w:hAnsiTheme="minorHAnsi" w:cstheme="minorHAnsi"/>
          <w:sz w:val="22"/>
          <w:szCs w:val="22"/>
          <w:lang w:eastAsia="en-US" w:bidi="ar-SA"/>
        </w:rPr>
      </w:pPr>
      <w:r w:rsidRPr="005E02B0">
        <w:rPr>
          <w:rFonts w:asciiTheme="minorHAnsi" w:eastAsiaTheme="minorHAnsi" w:hAnsiTheme="minorHAnsi" w:cstheme="minorHAnsi"/>
          <w:sz w:val="22"/>
          <w:szCs w:val="22"/>
          <w:lang w:eastAsia="en-US" w:bidi="ar-SA"/>
        </w:rPr>
        <w:t>Dostosowanie szkół do potrzeb uczniów ze SPE, wyposażenie i doposażenie bazy dydaktycznej szkół, w tym do nauki praktycznej zawodu oraz do nauczania przedmiotów ścisłych poprzez doświadczenia i eksperymenty, a także sprzęt TIK, w zakresie niezbędnym do realizacji celu projektu.</w:t>
      </w:r>
    </w:p>
    <w:p w14:paraId="0E2A259E" w14:textId="638719FD"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6B519166" w14:textId="77777777" w:rsidR="00701EDC" w:rsidRPr="00890249" w:rsidRDefault="00701EDC" w:rsidP="00701EDC">
      <w:pPr>
        <w:rPr>
          <w:rFonts w:asciiTheme="minorHAnsi" w:hAnsiTheme="minorHAnsi" w:cstheme="minorHAnsi"/>
          <w:noProof/>
          <w:color w:val="2F5496" w:themeColor="accent5" w:themeShade="BF"/>
          <w:sz w:val="22"/>
        </w:rPr>
      </w:pPr>
      <w:r w:rsidRPr="00890249">
        <w:rPr>
          <w:rFonts w:asciiTheme="minorHAnsi" w:hAnsiTheme="minorHAnsi" w:cstheme="minorHAnsi"/>
          <w:b/>
          <w:noProof/>
          <w:color w:val="2F5496" w:themeColor="accent5" w:themeShade="BF"/>
          <w:sz w:val="22"/>
        </w:rPr>
        <w:t>Główne grupy docelowe</w:t>
      </w:r>
    </w:p>
    <w:p w14:paraId="1267EBFF" w14:textId="77777777"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dzieci w wieku przedszkolnym, rodzice / opiekunowie prawni dzieci w wieku przedszkolnym,</w:t>
      </w:r>
    </w:p>
    <w:p w14:paraId="37D553FA" w14:textId="77777777"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nowo utworzone i istniejące ośrodki wychowania przedszkolnego,</w:t>
      </w:r>
    </w:p>
    <w:p w14:paraId="0E037C75" w14:textId="77777777"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uczniowie i słuchacze szkół i placówek systemu oświaty, rodzice / opiekunowie prawni dzieci </w:t>
      </w:r>
      <w:r w:rsidR="00D10449" w:rsidRPr="00890249">
        <w:rPr>
          <w:rFonts w:asciiTheme="minorHAnsi" w:hAnsiTheme="minorHAnsi" w:cstheme="minorHAnsi"/>
          <w:sz w:val="22"/>
          <w:szCs w:val="22"/>
        </w:rPr>
        <w:br/>
      </w:r>
      <w:r w:rsidRPr="00890249">
        <w:rPr>
          <w:rFonts w:asciiTheme="minorHAnsi" w:hAnsiTheme="minorHAnsi" w:cstheme="minorHAnsi"/>
          <w:noProof/>
          <w:sz w:val="22"/>
          <w:szCs w:val="22"/>
        </w:rPr>
        <w:t>i młodzieży w wieku szkolnym,</w:t>
      </w:r>
    </w:p>
    <w:p w14:paraId="36CA57CA" w14:textId="77777777"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publiczne i niepubliczne szkoły podstawowe, ponadpodstawowe, szkoły dla dorosłych i placówki systemu oświaty,</w:t>
      </w:r>
    </w:p>
    <w:p w14:paraId="3119A6E1" w14:textId="63B468A6"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os</w:t>
      </w:r>
      <w:r w:rsidR="52509411" w:rsidRPr="00890249">
        <w:rPr>
          <w:rFonts w:asciiTheme="minorHAnsi" w:hAnsiTheme="minorHAnsi" w:cstheme="minorHAnsi"/>
          <w:noProof/>
          <w:sz w:val="22"/>
          <w:szCs w:val="22"/>
        </w:rPr>
        <w:t>o</w:t>
      </w:r>
      <w:r w:rsidRPr="00890249">
        <w:rPr>
          <w:rFonts w:asciiTheme="minorHAnsi" w:hAnsiTheme="minorHAnsi" w:cstheme="minorHAnsi"/>
          <w:noProof/>
          <w:sz w:val="22"/>
          <w:szCs w:val="22"/>
        </w:rPr>
        <w:t>by dorosłe zainteresowane z własnej inicjatywy zdobyciem, uzupełnieniem lub podnoszeniem kompetencji lub kwalifikacji w zakresie zawodowym,</w:t>
      </w:r>
    </w:p>
    <w:p w14:paraId="4023D649" w14:textId="6C309509" w:rsidR="00D10449" w:rsidRPr="00890249" w:rsidRDefault="362C6704" w:rsidP="009F296A">
      <w:pPr>
        <w:pStyle w:val="Akapitzlist"/>
        <w:numPr>
          <w:ilvl w:val="0"/>
          <w:numId w:val="46"/>
        </w:numPr>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nauczyciele zatrudnieni w ośrodkach wychowania przedszkolnego oraz w szkołach i placówkach systemu oświaty, w tym nauczyciele kształcenia zawodowego</w:t>
      </w:r>
      <w:r w:rsidR="0FBDFD76" w:rsidRPr="00890249">
        <w:rPr>
          <w:rFonts w:asciiTheme="minorHAnsi" w:hAnsiTheme="minorHAnsi" w:cstheme="minorHAnsi"/>
          <w:noProof/>
          <w:sz w:val="22"/>
          <w:szCs w:val="22"/>
        </w:rPr>
        <w:t>,</w:t>
      </w:r>
      <w:r w:rsidR="0FBDFD76" w:rsidRPr="00890249">
        <w:rPr>
          <w:rFonts w:asciiTheme="minorHAnsi" w:hAnsiTheme="minorHAnsi" w:cstheme="minorHAnsi"/>
          <w:sz w:val="22"/>
          <w:szCs w:val="22"/>
        </w:rPr>
        <w:t xml:space="preserve"> </w:t>
      </w:r>
      <w:r w:rsidR="0FBDFD76" w:rsidRPr="00890249">
        <w:rPr>
          <w:rFonts w:asciiTheme="minorHAnsi" w:hAnsiTheme="minorHAnsi" w:cstheme="minorHAnsi"/>
          <w:noProof/>
          <w:sz w:val="22"/>
          <w:szCs w:val="22"/>
        </w:rPr>
        <w:t>psychologowie, pedagodzy i inna kadra szkół.</w:t>
      </w:r>
    </w:p>
    <w:p w14:paraId="39E09279" w14:textId="77777777"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instruktorzy praktycznej nauki zawodu,</w:t>
      </w:r>
    </w:p>
    <w:p w14:paraId="776011A2" w14:textId="77777777" w:rsidR="00D10449" w:rsidRPr="00890249" w:rsidRDefault="362C6704" w:rsidP="009F296A">
      <w:pPr>
        <w:pStyle w:val="Akapitzlist"/>
        <w:numPr>
          <w:ilvl w:val="0"/>
          <w:numId w:val="4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instytucje z otoczenia społeczno-gospodarczego szkół lub placówek systemu oświaty prowadzących kształcenie zawodowe.</w:t>
      </w:r>
    </w:p>
    <w:p w14:paraId="6EE5F5BF" w14:textId="77777777" w:rsidR="0093433C" w:rsidRPr="00890249" w:rsidRDefault="008C0360">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Działania na rzecz</w:t>
      </w:r>
      <w:r w:rsidR="006D61FA" w:rsidRPr="00890249">
        <w:rPr>
          <w:rFonts w:asciiTheme="minorHAnsi" w:hAnsiTheme="minorHAnsi" w:cstheme="minorHAnsi"/>
          <w:b/>
          <w:noProof/>
          <w:color w:val="2F5496" w:themeColor="accent5" w:themeShade="BF"/>
          <w:sz w:val="22"/>
        </w:rPr>
        <w:t xml:space="preserve"> zapewnienia</w:t>
      </w:r>
      <w:r w:rsidRPr="00890249">
        <w:rPr>
          <w:rFonts w:asciiTheme="minorHAnsi" w:hAnsiTheme="minorHAnsi" w:cstheme="minorHAnsi"/>
          <w:b/>
          <w:noProof/>
          <w:color w:val="2F5496" w:themeColor="accent5" w:themeShade="BF"/>
          <w:sz w:val="22"/>
        </w:rPr>
        <w:t xml:space="preserve"> równości, </w:t>
      </w:r>
      <w:r w:rsidR="006D61FA" w:rsidRPr="00890249">
        <w:rPr>
          <w:rFonts w:asciiTheme="minorHAnsi" w:hAnsiTheme="minorHAnsi" w:cstheme="minorHAnsi"/>
          <w:b/>
          <w:noProof/>
          <w:color w:val="2F5496" w:themeColor="accent5" w:themeShade="BF"/>
          <w:sz w:val="22"/>
        </w:rPr>
        <w:t>włączenia społecznego</w:t>
      </w:r>
      <w:r w:rsidRPr="00890249">
        <w:rPr>
          <w:rFonts w:asciiTheme="minorHAnsi" w:hAnsiTheme="minorHAnsi" w:cstheme="minorHAnsi"/>
          <w:b/>
          <w:noProof/>
          <w:color w:val="2F5496" w:themeColor="accent5" w:themeShade="BF"/>
          <w:sz w:val="22"/>
        </w:rPr>
        <w:t xml:space="preserve"> i niedyskryminacji</w:t>
      </w:r>
    </w:p>
    <w:p w14:paraId="3477E8EE" w14:textId="693EAD63"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w Karcie Praw Podstawowych U</w:t>
      </w:r>
      <w:r w:rsidR="00EC1B5D" w:rsidRPr="00890249">
        <w:rPr>
          <w:rFonts w:asciiTheme="minorHAnsi" w:hAnsiTheme="minorHAnsi" w:cstheme="minorHAnsi"/>
          <w:sz w:val="22"/>
          <w:szCs w:val="22"/>
          <w:lang w:eastAsia="en-US" w:bidi="ar-SA"/>
        </w:rPr>
        <w:t>E</w:t>
      </w:r>
      <w:r w:rsidRPr="00890249">
        <w:rPr>
          <w:rFonts w:asciiTheme="minorHAnsi" w:hAnsiTheme="minorHAnsi" w:cstheme="minorHAnsi"/>
          <w:sz w:val="22"/>
          <w:szCs w:val="22"/>
          <w:lang w:eastAsia="en-US" w:bidi="ar-SA"/>
        </w:rPr>
        <w:t xml:space="preserve">,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w:t>
      </w:r>
      <w:r w:rsidR="002975B4" w:rsidRPr="00890249">
        <w:rPr>
          <w:rFonts w:asciiTheme="minorHAnsi" w:hAnsiTheme="minorHAnsi" w:cstheme="minorHAnsi"/>
          <w:sz w:val="22"/>
          <w:szCs w:val="22"/>
          <w:lang w:eastAsia="en-US" w:bidi="ar-SA"/>
        </w:rPr>
        <w:t>żonego rozwoju oraz Zał.</w:t>
      </w:r>
      <w:r w:rsidRPr="00890249">
        <w:rPr>
          <w:rFonts w:asciiTheme="minorHAnsi" w:hAnsiTheme="minorHAnsi" w:cstheme="minorHAnsi"/>
          <w:sz w:val="22"/>
          <w:szCs w:val="22"/>
          <w:lang w:eastAsia="en-US" w:bidi="ar-SA"/>
        </w:rPr>
        <w:t xml:space="preserve"> III do Rozporządzenia UE 2021/1060.</w:t>
      </w:r>
    </w:p>
    <w:p w14:paraId="15910907" w14:textId="77777777" w:rsidR="0093433C" w:rsidRPr="00890249" w:rsidRDefault="00AD6FE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35D482AD" w14:textId="77777777" w:rsidR="0093433C" w:rsidRPr="00890249" w:rsidRDefault="00AD6FEC" w:rsidP="009F296A">
      <w:pPr>
        <w:pStyle w:val="Listapunktowana2"/>
        <w:numPr>
          <w:ilvl w:val="0"/>
          <w:numId w:val="65"/>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5CF14E94" w14:textId="77777777" w:rsidR="0093433C" w:rsidRPr="00890249" w:rsidRDefault="00AD6FEC" w:rsidP="009F296A">
      <w:pPr>
        <w:pStyle w:val="Listapunktowana2"/>
        <w:numPr>
          <w:ilvl w:val="0"/>
          <w:numId w:val="65"/>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mające na celu zwalczanie wszelkich form dyskryminacji oraz eliminowanie barier mentalnych i stereotypów dotyczących dzieci z niepełnosprawnościami,</w:t>
      </w:r>
    </w:p>
    <w:p w14:paraId="7C3E919D" w14:textId="12EAF12A"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w:t>
      </w:r>
      <w:r w:rsidR="00EC1B5D"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-ped</w:t>
      </w:r>
      <w:r w:rsidR="00EC1B5D"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oraz pomoc prawną dla osób doświadczających przemocy,</w:t>
      </w:r>
    </w:p>
    <w:p w14:paraId="51B14CF9" w14:textId="5C1243D7" w:rsidR="0093433C" w:rsidRPr="00890249" w:rsidRDefault="00AD6FE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w:t>
      </w:r>
      <w:r w:rsidR="00BF67AD" w:rsidRPr="00890249">
        <w:rPr>
          <w:rFonts w:asciiTheme="minorHAnsi" w:hAnsiTheme="minorHAnsi" w:cstheme="minorHAnsi"/>
          <w:sz w:val="22"/>
          <w:szCs w:val="22"/>
          <w:lang w:eastAsia="en-US" w:bidi="ar-SA"/>
        </w:rPr>
        <w:t>w</w:t>
      </w:r>
      <w:r w:rsidRPr="00890249">
        <w:rPr>
          <w:rFonts w:asciiTheme="minorHAnsi" w:hAnsiTheme="minorHAnsi" w:cstheme="minorHAnsi"/>
          <w:sz w:val="22"/>
          <w:szCs w:val="22"/>
          <w:lang w:eastAsia="en-US" w:bidi="ar-SA"/>
        </w:rPr>
        <w:t xml:space="preserve"> celu zwalczani</w:t>
      </w:r>
      <w:r w:rsidR="00BF67AD" w:rsidRPr="00890249">
        <w:rPr>
          <w:rFonts w:asciiTheme="minorHAnsi" w:hAnsiTheme="minorHAnsi" w:cstheme="minorHAnsi"/>
          <w:sz w:val="22"/>
          <w:szCs w:val="22"/>
          <w:lang w:eastAsia="en-US" w:bidi="ar-SA"/>
        </w:rPr>
        <w:t>a</w:t>
      </w:r>
      <w:r w:rsidRPr="00890249">
        <w:rPr>
          <w:rFonts w:asciiTheme="minorHAnsi" w:hAnsiTheme="minorHAnsi" w:cstheme="minorHAnsi"/>
          <w:sz w:val="22"/>
          <w:szCs w:val="22"/>
          <w:lang w:eastAsia="en-US" w:bidi="ar-SA"/>
        </w:rPr>
        <w:t xml:space="preserve"> przestępstw, mowy nienawiści, przemocy i szkodliwych praktyk, </w:t>
      </w:r>
    </w:p>
    <w:p w14:paraId="20BB96B1" w14:textId="77777777" w:rsidR="005F28AA" w:rsidRPr="00890249" w:rsidRDefault="005F28AA" w:rsidP="009F296A">
      <w:pPr>
        <w:pStyle w:val="Akapitzlist"/>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promowanie wdrażania rozwiązań w placówkach edukacyjnych mających na celu przeciwdziałanie dyskryminacji i przemocy ze względu na orientację seksualną i tożsamość płciową, w tym wsparcie nauczycieli,</w:t>
      </w:r>
    </w:p>
    <w:p w14:paraId="5790C41A" w14:textId="77777777" w:rsidR="002111B8" w:rsidRPr="00890249" w:rsidRDefault="7DC0FA64" w:rsidP="009F296A">
      <w:pPr>
        <w:pStyle w:val="Akapitzlist"/>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zapobiegające dyskryminacji ze względu na płeć, zwalczające stereotypy dotyczące wyboru ścieżek edukacyjnych i zawodowych oraz wspierające wybory dziewcząt w edukacji STEM,</w:t>
      </w:r>
    </w:p>
    <w:p w14:paraId="5573177D" w14:textId="01D20664" w:rsidR="0093433C" w:rsidRPr="00890249" w:rsidRDefault="577725BB"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16965D05" w:rsidRPr="00890249">
        <w:rPr>
          <w:rFonts w:asciiTheme="minorHAnsi" w:hAnsiTheme="minorHAnsi" w:cstheme="minorHAnsi"/>
          <w:sz w:val="22"/>
          <w:szCs w:val="22"/>
          <w:lang w:eastAsia="en-US" w:bidi="ar-SA"/>
        </w:rPr>
        <w:t xml:space="preserve">beneficjenta, będącego </w:t>
      </w:r>
      <w:r w:rsidR="7385B26E" w:rsidRPr="00890249">
        <w:rPr>
          <w:rFonts w:asciiTheme="minorHAnsi" w:hAnsiTheme="minorHAnsi" w:cstheme="minorHAnsi"/>
          <w:sz w:val="22"/>
          <w:szCs w:val="22"/>
          <w:lang w:eastAsia="en-US"/>
        </w:rPr>
        <w:t>jst</w:t>
      </w:r>
      <w:r w:rsidR="16965D05" w:rsidRPr="00890249">
        <w:rPr>
          <w:rFonts w:asciiTheme="minorHAnsi" w:hAnsiTheme="minorHAnsi" w:cstheme="minorHAnsi"/>
          <w:sz w:val="22"/>
          <w:szCs w:val="22"/>
          <w:lang w:eastAsia="en-US"/>
        </w:rPr>
        <w:t xml:space="preserve">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w:t>
      </w:r>
      <w:r w:rsidR="149967EA" w:rsidRPr="00890249">
        <w:rPr>
          <w:rFonts w:asciiTheme="minorHAnsi" w:hAnsiTheme="minorHAnsi" w:cstheme="minorHAnsi"/>
          <w:sz w:val="22"/>
          <w:szCs w:val="22"/>
          <w:lang w:eastAsia="en-US"/>
        </w:rPr>
        <w:t>UE</w:t>
      </w:r>
      <w:r w:rsidR="16965D05" w:rsidRPr="00890249">
        <w:rPr>
          <w:rFonts w:asciiTheme="minorHAnsi" w:hAnsiTheme="minorHAnsi" w:cstheme="minorHAnsi"/>
          <w:sz w:val="22"/>
          <w:szCs w:val="22"/>
          <w:lang w:eastAsia="en-US"/>
        </w:rPr>
        <w:t xml:space="preserve"> lub Karcie Praw Podstawowych </w:t>
      </w:r>
      <w:r w:rsidR="149967EA" w:rsidRPr="00890249">
        <w:rPr>
          <w:rFonts w:asciiTheme="minorHAnsi" w:hAnsiTheme="minorHAnsi" w:cstheme="minorHAnsi"/>
          <w:sz w:val="22"/>
          <w:szCs w:val="22"/>
          <w:lang w:eastAsia="en-US"/>
        </w:rPr>
        <w:t>UE</w:t>
      </w:r>
      <w:r w:rsidR="16965D05" w:rsidRPr="00890249">
        <w:rPr>
          <w:rFonts w:asciiTheme="minorHAnsi" w:hAnsiTheme="minorHAnsi" w:cstheme="minorHAnsi"/>
          <w:sz w:val="22"/>
          <w:szCs w:val="22"/>
          <w:lang w:eastAsia="en-US"/>
        </w:rPr>
        <w:t>,</w:t>
      </w:r>
    </w:p>
    <w:p w14:paraId="611095DF" w14:textId="77777777" w:rsidR="0093433C" w:rsidRPr="00890249" w:rsidRDefault="577725BB"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 xml:space="preserve">tworzenie metodologii oceny kryterium wyboru projektów zgodnych z horyzontalną zasadą niedyskryminacji, </w:t>
      </w:r>
    </w:p>
    <w:p w14:paraId="7D24D3CC" w14:textId="714BE4B2" w:rsidR="0093433C" w:rsidRPr="00890249" w:rsidRDefault="577725BB"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zawarcie w umowach o dof</w:t>
      </w:r>
      <w:r w:rsidR="7385B26E"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klauzuli zakazującej jakiejkolwiek dyskryminacji </w:t>
      </w:r>
      <w:r w:rsidR="00AD6FEC" w:rsidRPr="00890249">
        <w:rPr>
          <w:rFonts w:asciiTheme="minorHAnsi" w:hAnsiTheme="minorHAnsi" w:cstheme="minorHAnsi"/>
          <w:sz w:val="22"/>
          <w:szCs w:val="22"/>
        </w:rPr>
        <w:br/>
      </w:r>
      <w:r w:rsidRPr="00890249">
        <w:rPr>
          <w:rFonts w:asciiTheme="minorHAnsi" w:hAnsiTheme="minorHAnsi" w:cstheme="minorHAnsi"/>
          <w:sz w:val="22"/>
          <w:szCs w:val="22"/>
          <w:lang w:eastAsia="en-US" w:bidi="ar-SA"/>
        </w:rPr>
        <w:t>w korzystaniu ze wsparcia przez odbiorców ostatecznych,</w:t>
      </w:r>
    </w:p>
    <w:p w14:paraId="4EE2340D" w14:textId="77777777" w:rsidR="0093433C" w:rsidRPr="00890249" w:rsidRDefault="577725BB"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włąc</w:t>
      </w:r>
      <w:r w:rsidR="7D50C8C8" w:rsidRPr="00890249">
        <w:rPr>
          <w:rFonts w:asciiTheme="minorHAnsi" w:hAnsiTheme="minorHAnsi" w:cstheme="minorHAnsi"/>
          <w:sz w:val="22"/>
          <w:szCs w:val="22"/>
          <w:lang w:eastAsia="en-US" w:bidi="ar-SA"/>
        </w:rPr>
        <w:t>zenie do KM</w:t>
      </w:r>
      <w:r w:rsidRPr="00890249">
        <w:rPr>
          <w:rFonts w:asciiTheme="minorHAnsi" w:hAnsiTheme="minorHAnsi" w:cstheme="minorHAnsi"/>
          <w:sz w:val="22"/>
          <w:szCs w:val="22"/>
          <w:lang w:eastAsia="en-US" w:bidi="ar-SA"/>
        </w:rPr>
        <w:t xml:space="preserve"> członków organizacji pozarządowych oraz reprezentantów mniejszości, w</w:t>
      </w:r>
      <w:r w:rsidR="742075EC"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 xml:space="preserve">tym etnicznych, </w:t>
      </w:r>
    </w:p>
    <w:p w14:paraId="5C848499" w14:textId="77777777" w:rsidR="0093433C" w:rsidRPr="00890249" w:rsidRDefault="577725BB"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58FA95BA"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6F5CA1E3" w14:textId="79741D17" w:rsidR="0093433C" w:rsidRPr="00890249" w:rsidRDefault="0076661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Strategia Opolskie 2030</w:t>
      </w:r>
      <w:r w:rsidR="00A55F50" w:rsidRPr="00890249">
        <w:rPr>
          <w:rFonts w:asciiTheme="minorHAnsi" w:hAnsiTheme="minorHAnsi" w:cstheme="minorHAnsi"/>
          <w:noProof/>
          <w:sz w:val="22"/>
          <w:szCs w:val="22"/>
        </w:rPr>
        <w:t xml:space="preserve"> szczególne znaczenie przypisuje obszarom strategicznej interwencji (OSI), tj. tym obszarom funkcjonalnym, które wymagają ukierunkowanej interwencji publicznej lub rozwiązań regulacyjnych, stąd w regionie wyodrębniono 5 OSI: Subregion Aglomeracja Opolska, Subregion Brzeski, Subregion Kędzierzyńsko-Strzelecki, </w:t>
      </w:r>
      <w:r w:rsidR="00680219" w:rsidRPr="00890249">
        <w:rPr>
          <w:rFonts w:asciiTheme="minorHAnsi" w:hAnsiTheme="minorHAnsi" w:cstheme="minorHAnsi"/>
          <w:noProof/>
          <w:sz w:val="22"/>
          <w:szCs w:val="22"/>
        </w:rPr>
        <w:t xml:space="preserve">Subregion Południowy, </w:t>
      </w:r>
      <w:r w:rsidR="00A55F50" w:rsidRPr="00890249">
        <w:rPr>
          <w:rFonts w:asciiTheme="minorHAnsi" w:hAnsiTheme="minorHAnsi" w:cstheme="minorHAnsi"/>
          <w:noProof/>
          <w:sz w:val="22"/>
          <w:szCs w:val="22"/>
        </w:rPr>
        <w:t xml:space="preserve">Subregion Północny. </w:t>
      </w:r>
    </w:p>
    <w:p w14:paraId="657EC4E8" w14:textId="77777777" w:rsidR="0093433C" w:rsidRPr="00890249" w:rsidRDefault="00AC276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Istn</w:t>
      </w:r>
      <w:r w:rsidR="00A41980" w:rsidRPr="00890249">
        <w:rPr>
          <w:rFonts w:asciiTheme="minorHAnsi" w:hAnsiTheme="minorHAnsi" w:cstheme="minorHAnsi"/>
          <w:noProof/>
          <w:sz w:val="22"/>
          <w:szCs w:val="22"/>
        </w:rPr>
        <w:t>ieje możliwość preferencji dla m</w:t>
      </w:r>
      <w:r w:rsidRPr="00890249">
        <w:rPr>
          <w:rFonts w:asciiTheme="minorHAnsi" w:hAnsiTheme="minorHAnsi" w:cstheme="minorHAnsi"/>
          <w:noProof/>
          <w:sz w:val="22"/>
          <w:szCs w:val="22"/>
        </w:rPr>
        <w:t xml:space="preserve">ieszkańców obszarów strategicznej interwencji, tj. miast średnich tracących funkcje społeczno-gospodarcze oraz gmin </w:t>
      </w:r>
      <w:r w:rsidR="00C75449" w:rsidRPr="00890249">
        <w:rPr>
          <w:rFonts w:asciiTheme="minorHAnsi" w:hAnsiTheme="minorHAnsi" w:cstheme="minorHAnsi"/>
          <w:noProof/>
          <w:sz w:val="22"/>
          <w:szCs w:val="22"/>
        </w:rPr>
        <w:t xml:space="preserve">obszarów </w:t>
      </w:r>
      <w:r w:rsidRPr="00890249">
        <w:rPr>
          <w:rFonts w:asciiTheme="minorHAnsi" w:hAnsiTheme="minorHAnsi" w:cstheme="minorHAnsi"/>
          <w:noProof/>
          <w:sz w:val="22"/>
          <w:szCs w:val="22"/>
        </w:rPr>
        <w:t xml:space="preserve">zagrożonych trwałą marginalizacją, zidentyfikowanych na poziomie krajowym. </w:t>
      </w:r>
    </w:p>
    <w:p w14:paraId="121BC945" w14:textId="77777777" w:rsidR="0093433C" w:rsidRPr="00890249" w:rsidRDefault="00A55F50"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 xml:space="preserve">Ponadto wsparcie zostanie ukierunkowane na inne tereny </w:t>
      </w:r>
      <w:r w:rsidRPr="00890249">
        <w:rPr>
          <w:rFonts w:asciiTheme="minorHAnsi" w:hAnsiTheme="minorHAnsi" w:cstheme="minorHAnsi"/>
          <w:sz w:val="22"/>
          <w:szCs w:val="22"/>
        </w:rPr>
        <w:t>o słabym dostępie do usług publicznych takie jak obszary wiejskie, dzięki czemu nastąpi wyrównanie szans osób zamieszkujących tego typu terytoria.</w:t>
      </w:r>
    </w:p>
    <w:p w14:paraId="6F90DB03"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565D1395" w14:textId="6983D14A"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Wszystkie interwencje zaplanowane w </w:t>
      </w:r>
      <w:r w:rsidR="00C75449" w:rsidRPr="00890249">
        <w:rPr>
          <w:rFonts w:asciiTheme="minorHAnsi" w:hAnsiTheme="minorHAnsi" w:cstheme="minorHAnsi"/>
          <w:sz w:val="22"/>
          <w:szCs w:val="22"/>
          <w:lang w:eastAsia="en-US" w:bidi="ar-SA"/>
        </w:rPr>
        <w:t>cs (f)</w:t>
      </w:r>
      <w:r w:rsidRPr="00890249">
        <w:rPr>
          <w:rFonts w:asciiTheme="minorHAnsi" w:hAnsiTheme="minorHAnsi" w:cstheme="minorHAnsi"/>
          <w:sz w:val="22"/>
          <w:szCs w:val="22"/>
          <w:lang w:eastAsia="en-US" w:bidi="ar-SA"/>
        </w:rPr>
        <w:t xml:space="preserve"> 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w:t>
      </w:r>
      <w:r w:rsidR="00351B62" w:rsidRPr="00890249">
        <w:rPr>
          <w:rFonts w:asciiTheme="minorHAnsi" w:hAnsiTheme="minorHAnsi" w:cstheme="minorHAnsi"/>
          <w:sz w:val="22"/>
          <w:szCs w:val="22"/>
          <w:lang w:eastAsia="en-US" w:bidi="ar-SA"/>
        </w:rPr>
        <w:t xml:space="preserve">, z </w:t>
      </w:r>
      <w:r w:rsidRPr="00890249">
        <w:rPr>
          <w:rFonts w:asciiTheme="minorHAnsi" w:hAnsiTheme="minorHAnsi" w:cstheme="minorHAnsi"/>
          <w:sz w:val="22"/>
          <w:szCs w:val="22"/>
          <w:lang w:eastAsia="en-US" w:bidi="ar-SA"/>
        </w:rPr>
        <w:t xml:space="preserve"> interwencj</w:t>
      </w:r>
      <w:r w:rsidR="00351B62"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wskazan</w:t>
      </w:r>
      <w:r w:rsidR="00351B62"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 programach współpracy transgranicznej Interreg Czechy-Polska 2021-2027 oraz Interreg Region Morza Bałtyckiego 2021-2027, w tym w zakresie: wzmacniania konkurencyjności MŚP, zwiększenia odporności i przystosowania do zmian klimatu, rozw</w:t>
      </w:r>
      <w:r w:rsidR="00351B62" w:rsidRPr="00890249">
        <w:rPr>
          <w:rFonts w:asciiTheme="minorHAnsi" w:hAnsiTheme="minorHAnsi" w:cstheme="minorHAnsi"/>
          <w:sz w:val="22"/>
          <w:szCs w:val="22"/>
          <w:lang w:eastAsia="en-US" w:bidi="ar-SA"/>
        </w:rPr>
        <w:t xml:space="preserve">oju </w:t>
      </w:r>
      <w:r w:rsidRPr="00890249">
        <w:rPr>
          <w:rFonts w:asciiTheme="minorHAnsi" w:hAnsiTheme="minorHAnsi" w:cstheme="minorHAnsi"/>
          <w:sz w:val="22"/>
          <w:szCs w:val="22"/>
          <w:lang w:eastAsia="en-US" w:bidi="ar-SA"/>
        </w:rPr>
        <w:t xml:space="preserve">bioróżnorodności, a także transgranicznej infrastruktury transportowej oraz zrównoważonej turystyki. </w:t>
      </w:r>
    </w:p>
    <w:p w14:paraId="637197E0" w14:textId="4A5B6B36"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 punktu widzenia wsparcia edukacji działania zaplanowane w FEO 2021-2027 będą uzupełniać się, </w:t>
      </w:r>
      <w:r w:rsidR="005311EC" w:rsidRPr="00890249">
        <w:rPr>
          <w:rFonts w:asciiTheme="minorHAnsi" w:hAnsiTheme="minorHAnsi" w:cstheme="minorHAnsi"/>
          <w:sz w:val="22"/>
          <w:szCs w:val="22"/>
          <w:lang w:eastAsia="en-US" w:bidi="ar-SA"/>
        </w:rPr>
        <w:t>dążąc do osiągnięcia</w:t>
      </w:r>
      <w:r w:rsidRPr="00890249">
        <w:rPr>
          <w:rFonts w:asciiTheme="minorHAnsi" w:hAnsiTheme="minorHAnsi" w:cstheme="minorHAnsi"/>
          <w:sz w:val="22"/>
          <w:szCs w:val="22"/>
          <w:lang w:eastAsia="en-US" w:bidi="ar-SA"/>
        </w:rPr>
        <w:t xml:space="preserve"> efekt</w:t>
      </w:r>
      <w:r w:rsidR="005311EC" w:rsidRPr="00890249">
        <w:rPr>
          <w:rFonts w:asciiTheme="minorHAnsi" w:hAnsiTheme="minorHAnsi" w:cstheme="minorHAnsi"/>
          <w:sz w:val="22"/>
          <w:szCs w:val="22"/>
          <w:lang w:eastAsia="en-US" w:bidi="ar-SA"/>
        </w:rPr>
        <w:t>u</w:t>
      </w:r>
      <w:r w:rsidRPr="00890249">
        <w:rPr>
          <w:rFonts w:asciiTheme="minorHAnsi" w:hAnsiTheme="minorHAnsi" w:cstheme="minorHAnsi"/>
          <w:sz w:val="22"/>
          <w:szCs w:val="22"/>
          <w:lang w:eastAsia="en-US" w:bidi="ar-SA"/>
        </w:rPr>
        <w:t xml:space="preserve"> synergii </w:t>
      </w:r>
      <w:r w:rsidR="005311EC" w:rsidRPr="00890249">
        <w:rPr>
          <w:rFonts w:asciiTheme="minorHAnsi" w:hAnsiTheme="minorHAnsi" w:cstheme="minorHAnsi"/>
          <w:sz w:val="22"/>
          <w:szCs w:val="22"/>
          <w:lang w:eastAsia="en-US" w:bidi="ar-SA"/>
        </w:rPr>
        <w:t xml:space="preserve">z </w:t>
      </w:r>
      <w:r w:rsidRPr="00890249">
        <w:rPr>
          <w:rFonts w:asciiTheme="minorHAnsi" w:hAnsiTheme="minorHAnsi" w:cstheme="minorHAnsi"/>
          <w:sz w:val="22"/>
          <w:szCs w:val="22"/>
          <w:lang w:eastAsia="en-US" w:bidi="ar-SA"/>
        </w:rPr>
        <w:t>interwencj</w:t>
      </w:r>
      <w:r w:rsidR="005311EC"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wskazan</w:t>
      </w:r>
      <w:r w:rsidR="005311EC" w:rsidRPr="00890249">
        <w:rPr>
          <w:rFonts w:asciiTheme="minorHAnsi" w:hAnsiTheme="minorHAnsi" w:cstheme="minorHAnsi"/>
          <w:sz w:val="22"/>
          <w:szCs w:val="22"/>
          <w:lang w:eastAsia="en-US" w:bidi="ar-SA"/>
        </w:rPr>
        <w:t>ą</w:t>
      </w:r>
      <w:r w:rsidRPr="00890249">
        <w:rPr>
          <w:rFonts w:asciiTheme="minorHAnsi" w:hAnsiTheme="minorHAnsi" w:cstheme="minorHAnsi"/>
          <w:sz w:val="22"/>
          <w:szCs w:val="22"/>
          <w:lang w:eastAsia="en-US" w:bidi="ar-SA"/>
        </w:rPr>
        <w:t xml:space="preserve"> w programie Erasmus+, którego celami są m.in.:</w:t>
      </w:r>
    </w:p>
    <w:p w14:paraId="7AFF80CF" w14:textId="302CC5DB" w:rsidR="0093433C" w:rsidRPr="00890249" w:rsidRDefault="0068788E" w:rsidP="009F296A">
      <w:pPr>
        <w:pStyle w:val="Listapunktowana"/>
        <w:numPr>
          <w:ilvl w:val="0"/>
          <w:numId w:val="118"/>
        </w:numPr>
        <w:ind w:left="56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promowanie mobilności edukacyjnej osób i grup, jak również współpracy, włączenia społecznego i równego dostępu, doskonałości, kreatywności i innowacji na szczeblu organizacji i polityki w dziedzinie kształcenia i szkolenia</w:t>
      </w:r>
      <w:r w:rsidR="00680219" w:rsidRPr="00890249">
        <w:rPr>
          <w:rFonts w:asciiTheme="minorHAnsi" w:hAnsiTheme="minorHAnsi" w:cstheme="minorHAnsi"/>
          <w:sz w:val="22"/>
          <w:szCs w:val="22"/>
          <w:lang w:eastAsia="en-US" w:bidi="ar-SA"/>
        </w:rPr>
        <w:t>,</w:t>
      </w:r>
    </w:p>
    <w:p w14:paraId="37246FE4" w14:textId="77777777" w:rsidR="0093433C" w:rsidRPr="00890249" w:rsidRDefault="0068788E" w:rsidP="009F296A">
      <w:pPr>
        <w:pStyle w:val="Listapunktowana"/>
        <w:numPr>
          <w:ilvl w:val="0"/>
          <w:numId w:val="118"/>
        </w:numPr>
        <w:ind w:left="56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promowanie pozaformalnej i nieformalnej mobilności edukacyjnej i aktywnego uczestnictwa wśród osób młodych, jak również współpracy, jakości, włączenia, kreatywności i innowacji na szczeblu organizacji i </w:t>
      </w:r>
      <w:r w:rsidR="008F10FC" w:rsidRPr="00890249">
        <w:rPr>
          <w:rFonts w:asciiTheme="minorHAnsi" w:hAnsiTheme="minorHAnsi" w:cstheme="minorHAnsi"/>
          <w:sz w:val="22"/>
          <w:szCs w:val="22"/>
          <w:lang w:eastAsia="en-US" w:bidi="ar-SA"/>
        </w:rPr>
        <w:t>polityki w dziedzinie młodzieży.</w:t>
      </w:r>
    </w:p>
    <w:p w14:paraId="15D48AC6" w14:textId="40AF2C70" w:rsidR="0093433C" w:rsidRPr="00890249" w:rsidRDefault="0068788E" w:rsidP="00890249">
      <w:pPr>
        <w:rPr>
          <w:rFonts w:asciiTheme="minorHAnsi" w:hAnsiTheme="minorHAnsi" w:cstheme="minorHAnsi"/>
          <w:sz w:val="22"/>
          <w:szCs w:val="22"/>
          <w:lang w:eastAsia="en-US" w:bidi="ar-SA"/>
        </w:rPr>
      </w:pPr>
      <w:r w:rsidRPr="00890249">
        <w:rPr>
          <w:rFonts w:asciiTheme="minorHAnsi" w:hAnsiTheme="minorHAnsi" w:cstheme="minorHAnsi"/>
          <w:sz w:val="22"/>
          <w:lang w:eastAsia="en-US" w:bidi="ar-SA"/>
        </w:rPr>
        <w:t>Ponadto jednym z celów szczegółowych tego programu jest propagowanie uczenia się języków (brak</w:t>
      </w:r>
      <w:r w:rsidR="00701EDC" w:rsidRPr="00890249">
        <w:rPr>
          <w:rFonts w:asciiTheme="minorHAnsi" w:hAnsiTheme="minorHAnsi" w:cstheme="minorHAnsi"/>
          <w:sz w:val="22"/>
          <w:lang w:eastAsia="en-US" w:bidi="ar-SA"/>
        </w:rPr>
        <w:t xml:space="preserve"> </w:t>
      </w:r>
      <w:r w:rsidRPr="00890249">
        <w:rPr>
          <w:rFonts w:asciiTheme="minorHAnsi" w:hAnsiTheme="minorHAnsi" w:cstheme="minorHAnsi"/>
          <w:sz w:val="22"/>
          <w:szCs w:val="22"/>
          <w:lang w:eastAsia="en-US" w:bidi="ar-SA"/>
        </w:rPr>
        <w:t>kompetencji językowych jest jedną z głównych barier uczestnictwa w europejskich programach na rzecz kształcenia, szkolenia i młodzieży).</w:t>
      </w:r>
    </w:p>
    <w:p w14:paraId="4774436B" w14:textId="77777777" w:rsidR="0093433C" w:rsidRPr="00890249" w:rsidRDefault="0068788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podejmowane w cs (f)</w:t>
      </w:r>
      <w:r w:rsidRPr="00890249">
        <w:rPr>
          <w:rFonts w:asciiTheme="minorHAnsi" w:hAnsiTheme="minorHAnsi" w:cstheme="minorHAnsi"/>
          <w:color w:val="FF0000"/>
          <w:sz w:val="22"/>
          <w:szCs w:val="22"/>
          <w:lang w:eastAsia="en-US" w:bidi="ar-SA"/>
        </w:rPr>
        <w:t xml:space="preserve"> </w:t>
      </w:r>
      <w:r w:rsidRPr="00890249">
        <w:rPr>
          <w:rFonts w:asciiTheme="minorHAnsi" w:hAnsiTheme="minorHAnsi" w:cstheme="minorHAnsi"/>
          <w:sz w:val="22"/>
          <w:szCs w:val="22"/>
          <w:lang w:eastAsia="en-US" w:bidi="ar-SA"/>
        </w:rPr>
        <w:t>wpisują się również w Obszar Tematyczny Edukacja Strategii UE dla regionu Morza Bałtyckiego.</w:t>
      </w:r>
    </w:p>
    <w:p w14:paraId="098B0D88"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65734A52" w14:textId="099D172C" w:rsidR="0093433C" w:rsidRPr="00890249" w:rsidRDefault="00705DC1"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W ramach </w:t>
      </w:r>
      <w:r w:rsidR="00BA1D2F" w:rsidRPr="00890249">
        <w:rPr>
          <w:rFonts w:asciiTheme="minorHAnsi" w:hAnsiTheme="minorHAnsi" w:cstheme="minorHAnsi"/>
          <w:noProof/>
          <w:sz w:val="22"/>
          <w:szCs w:val="22"/>
        </w:rPr>
        <w:t>cs</w:t>
      </w:r>
      <w:r w:rsidRPr="00890249">
        <w:rPr>
          <w:rFonts w:asciiTheme="minorHAnsi" w:hAnsiTheme="minorHAnsi" w:cstheme="minorHAnsi"/>
          <w:noProof/>
          <w:sz w:val="22"/>
          <w:szCs w:val="22"/>
        </w:rPr>
        <w:t xml:space="preserve"> (f) nie planuje się wykorzystania instrumentów finansowych. Edukacja w Polsce jest przede wszystkim finansowana ze środków publicznych, zadania z nią związane  co do zasady nie są prowadzone dla zysku i nie mają charakteru zadań samofinansujących się. Szacuje się, że udział środków publicznych sięga około 89% w przypadku oświaty i około 81-82% w przypadku szkół wyższych oraz wczesnej opieki i edukacji. System oświaty realizuje zadania  niezależnie od statusu społecznego i miejsca zamieszkania uczniów</w:t>
      </w:r>
      <w:r w:rsidR="00680219"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poprzez rozpozn</w:t>
      </w:r>
      <w:r w:rsidR="008C67B3">
        <w:rPr>
          <w:rFonts w:asciiTheme="minorHAnsi" w:hAnsiTheme="minorHAnsi" w:cstheme="minorHAnsi"/>
          <w:noProof/>
          <w:sz w:val="22"/>
          <w:szCs w:val="22"/>
        </w:rPr>
        <w:t>anie potrzeb i predyspozycji, a </w:t>
      </w:r>
      <w:r w:rsidRPr="00890249">
        <w:rPr>
          <w:rFonts w:asciiTheme="minorHAnsi" w:hAnsiTheme="minorHAnsi" w:cstheme="minorHAnsi"/>
          <w:noProof/>
          <w:sz w:val="22"/>
          <w:szCs w:val="22"/>
        </w:rPr>
        <w:t>następnie zapewnienie adekwatnego ich rozwoju, a szkoła powinna zapewnić każdemu uczniowi warunki niezbędne do jego rozwoju i przygotować do wype</w:t>
      </w:r>
      <w:r w:rsidR="008C67B3">
        <w:rPr>
          <w:rFonts w:asciiTheme="minorHAnsi" w:hAnsiTheme="minorHAnsi" w:cstheme="minorHAnsi"/>
          <w:noProof/>
          <w:sz w:val="22"/>
          <w:szCs w:val="22"/>
        </w:rPr>
        <w:t>łnienia obowiązków rodzinnych i </w:t>
      </w:r>
      <w:r w:rsidRPr="00890249">
        <w:rPr>
          <w:rFonts w:asciiTheme="minorHAnsi" w:hAnsiTheme="minorHAnsi" w:cstheme="minorHAnsi"/>
          <w:noProof/>
          <w:sz w:val="22"/>
          <w:szCs w:val="22"/>
        </w:rPr>
        <w:t>obywatelskich. Dlatego też źródłem sfinansowania koniecznych wydatków w obszarze edukacji powinny być środki publiczne.</w:t>
      </w:r>
    </w:p>
    <w:p w14:paraId="41D4DED7" w14:textId="26301C5D" w:rsidR="00701EDC" w:rsidRPr="00890249" w:rsidRDefault="00701EDC" w:rsidP="00701EDC">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2.1.5.4.2 (f) Wskaźniki</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753"/>
        <w:gridCol w:w="693"/>
        <w:gridCol w:w="1009"/>
        <w:gridCol w:w="830"/>
        <w:gridCol w:w="2213"/>
        <w:gridCol w:w="830"/>
        <w:gridCol w:w="1106"/>
        <w:gridCol w:w="1065"/>
      </w:tblGrid>
      <w:tr w:rsidR="0034642D" w:rsidRPr="00890249" w14:paraId="6683AC9D" w14:textId="77777777" w:rsidTr="00E3427C">
        <w:trPr>
          <w:trHeight w:val="425"/>
          <w:jc w:val="center"/>
        </w:trPr>
        <w:tc>
          <w:tcPr>
            <w:tcW w:w="5000" w:type="pct"/>
            <w:gridSpan w:val="9"/>
            <w:shd w:val="clear" w:color="auto" w:fill="D9D9D9" w:themeFill="background1" w:themeFillShade="D9"/>
          </w:tcPr>
          <w:p w14:paraId="7ACEB1B0" w14:textId="77777777" w:rsidR="0034642D" w:rsidRPr="00890249" w:rsidRDefault="0034642D" w:rsidP="00701EDC">
            <w:pPr>
              <w:pStyle w:val="Tekstpodstawowy"/>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4B3D7573" w14:textId="77777777" w:rsidTr="003C3BB1">
        <w:trPr>
          <w:cantSplit/>
          <w:trHeight w:val="1647"/>
          <w:jc w:val="center"/>
        </w:trPr>
        <w:tc>
          <w:tcPr>
            <w:tcW w:w="291" w:type="pct"/>
            <w:shd w:val="clear" w:color="auto" w:fill="F2F2F2" w:themeFill="background1" w:themeFillShade="F2"/>
            <w:textDirection w:val="btLr"/>
            <w:vAlign w:val="center"/>
          </w:tcPr>
          <w:p w14:paraId="6481F0A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7" w:type="pct"/>
            <w:shd w:val="clear" w:color="auto" w:fill="F2F2F2" w:themeFill="background1" w:themeFillShade="F2"/>
            <w:textDirection w:val="btLr"/>
            <w:vAlign w:val="center"/>
          </w:tcPr>
          <w:p w14:paraId="67FA2CE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03998BE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3498418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5015DAF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717EEFA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2DBDC2E6"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63EABF8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0" w:type="pct"/>
            <w:shd w:val="clear" w:color="auto" w:fill="F2F2F2" w:themeFill="background1" w:themeFillShade="F2"/>
            <w:textDirection w:val="btLr"/>
            <w:vAlign w:val="center"/>
          </w:tcPr>
          <w:p w14:paraId="3FC387C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F45D63" w:rsidRPr="00890249" w14:paraId="1E6D0C5E" w14:textId="77777777" w:rsidTr="003C3BB1">
        <w:trPr>
          <w:trHeight w:val="332"/>
          <w:jc w:val="center"/>
        </w:trPr>
        <w:tc>
          <w:tcPr>
            <w:tcW w:w="291" w:type="pct"/>
            <w:vAlign w:val="center"/>
          </w:tcPr>
          <w:p w14:paraId="0FCF9C8A" w14:textId="77777777" w:rsidR="00F45D63" w:rsidRPr="00890249" w:rsidRDefault="00F45D63" w:rsidP="00F45D63">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7" w:type="pct"/>
            <w:vAlign w:val="center"/>
          </w:tcPr>
          <w:p w14:paraId="2AB512DB" w14:textId="77777777" w:rsidR="00F45D63" w:rsidRPr="00890249" w:rsidRDefault="00F45D63" w:rsidP="0009010C">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f</w:t>
            </w:r>
          </w:p>
        </w:tc>
        <w:tc>
          <w:tcPr>
            <w:tcW w:w="384" w:type="pct"/>
            <w:vAlign w:val="center"/>
          </w:tcPr>
          <w:p w14:paraId="7FA1224A" w14:textId="77777777" w:rsidR="00F45D63" w:rsidRPr="00890249" w:rsidRDefault="00F45D63" w:rsidP="00F45D63">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63AD5CB4" w14:textId="77777777" w:rsidR="00F45D63" w:rsidRPr="00890249" w:rsidRDefault="00F45D63" w:rsidP="00F45D63">
            <w:pPr>
              <w:jc w:val="center"/>
              <w:rPr>
                <w:rFonts w:asciiTheme="minorHAnsi" w:hAnsiTheme="minorHAnsi" w:cstheme="minorHAnsi"/>
                <w:b/>
                <w:i/>
                <w:noProof/>
                <w:sz w:val="18"/>
                <w:szCs w:val="16"/>
              </w:rPr>
            </w:pPr>
            <w:r w:rsidRPr="00890249">
              <w:rPr>
                <w:rFonts w:asciiTheme="minorHAnsi" w:hAnsiTheme="minorHAnsi" w:cstheme="minorHAnsi"/>
                <w:noProof/>
                <w:sz w:val="18"/>
              </w:rPr>
              <w:t>słabiej rozwinięte</w:t>
            </w:r>
          </w:p>
        </w:tc>
        <w:tc>
          <w:tcPr>
            <w:tcW w:w="460" w:type="pct"/>
            <w:vAlign w:val="center"/>
          </w:tcPr>
          <w:p w14:paraId="0CCA4DEB" w14:textId="77777777" w:rsidR="00F45D63" w:rsidRPr="00890249" w:rsidRDefault="00957DD2" w:rsidP="00F45D6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PLFCO02</w:t>
            </w:r>
          </w:p>
        </w:tc>
        <w:tc>
          <w:tcPr>
            <w:tcW w:w="1226" w:type="pct"/>
            <w:shd w:val="clear" w:color="auto" w:fill="auto"/>
            <w:vAlign w:val="center"/>
          </w:tcPr>
          <w:p w14:paraId="481BF2C2" w14:textId="77777777" w:rsidR="00F45D63" w:rsidRPr="00890249" w:rsidRDefault="00F45D63" w:rsidP="00491BC2">
            <w:pPr>
              <w:jc w:val="left"/>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 xml:space="preserve">Liczba </w:t>
            </w:r>
            <w:r w:rsidR="00491BC2" w:rsidRPr="00890249">
              <w:rPr>
                <w:rFonts w:asciiTheme="minorHAnsi" w:eastAsiaTheme="minorHAnsi" w:hAnsiTheme="minorHAnsi" w:cstheme="minorHAnsi"/>
                <w:i/>
                <w:noProof/>
                <w:sz w:val="18"/>
                <w:szCs w:val="16"/>
                <w:lang w:eastAsia="en-US" w:bidi="ar-SA"/>
              </w:rPr>
              <w:t xml:space="preserve">dofinansowanych </w:t>
            </w:r>
            <w:r w:rsidRPr="00890249">
              <w:rPr>
                <w:rFonts w:asciiTheme="minorHAnsi" w:eastAsiaTheme="minorHAnsi" w:hAnsiTheme="minorHAnsi" w:cstheme="minorHAnsi"/>
                <w:i/>
                <w:noProof/>
                <w:sz w:val="18"/>
                <w:szCs w:val="16"/>
                <w:lang w:eastAsia="en-US" w:bidi="ar-SA"/>
              </w:rPr>
              <w:t xml:space="preserve">miejsc wychowania przedszkolnego </w:t>
            </w:r>
          </w:p>
        </w:tc>
        <w:tc>
          <w:tcPr>
            <w:tcW w:w="460" w:type="pct"/>
            <w:vAlign w:val="center"/>
          </w:tcPr>
          <w:p w14:paraId="733CD3C4" w14:textId="77777777" w:rsidR="00F45D63" w:rsidRPr="00890249" w:rsidRDefault="00491BC2" w:rsidP="00F45D63">
            <w:pPr>
              <w:jc w:val="center"/>
              <w:rPr>
                <w:rFonts w:asciiTheme="minorHAnsi" w:hAnsiTheme="minorHAnsi" w:cstheme="minorHAnsi"/>
                <w:i/>
                <w:noProof/>
                <w:sz w:val="18"/>
                <w:szCs w:val="16"/>
              </w:rPr>
            </w:pPr>
            <w:r w:rsidRPr="00890249">
              <w:rPr>
                <w:rFonts w:asciiTheme="minorHAnsi" w:eastAsiaTheme="minorHAnsi" w:hAnsiTheme="minorHAnsi" w:cstheme="minorHAnsi"/>
                <w:i/>
                <w:sz w:val="18"/>
                <w:szCs w:val="16"/>
                <w:lang w:eastAsia="en-US" w:bidi="ar-SA"/>
              </w:rPr>
              <w:t>szt.</w:t>
            </w:r>
          </w:p>
        </w:tc>
        <w:tc>
          <w:tcPr>
            <w:tcW w:w="613" w:type="pct"/>
            <w:shd w:val="clear" w:color="auto" w:fill="auto"/>
            <w:vAlign w:val="center"/>
          </w:tcPr>
          <w:p w14:paraId="7F94F77E" w14:textId="50E8BB27" w:rsidR="00A63705" w:rsidRPr="00890249" w:rsidRDefault="00D65A14"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34</w:t>
            </w:r>
          </w:p>
        </w:tc>
        <w:tc>
          <w:tcPr>
            <w:tcW w:w="590" w:type="pct"/>
            <w:shd w:val="clear" w:color="auto" w:fill="auto"/>
            <w:vAlign w:val="center"/>
          </w:tcPr>
          <w:p w14:paraId="10E78F31" w14:textId="79ACCF90" w:rsidR="00A63705" w:rsidRPr="00890249" w:rsidRDefault="004D40E4" w:rsidP="0043241C">
            <w:pPr>
              <w:jc w:val="center"/>
              <w:rPr>
                <w:rFonts w:asciiTheme="minorHAnsi" w:hAnsiTheme="minorHAnsi" w:cstheme="minorHAnsi"/>
                <w:noProof/>
                <w:sz w:val="18"/>
                <w:szCs w:val="16"/>
              </w:rPr>
            </w:pPr>
            <w:r>
              <w:rPr>
                <w:rFonts w:asciiTheme="minorHAnsi" w:hAnsiTheme="minorHAnsi" w:cstheme="minorHAnsi"/>
                <w:noProof/>
                <w:sz w:val="18"/>
                <w:szCs w:val="16"/>
              </w:rPr>
              <w:t>280</w:t>
            </w:r>
          </w:p>
        </w:tc>
      </w:tr>
      <w:tr w:rsidR="00F45D63" w:rsidRPr="00890249" w14:paraId="51925843" w14:textId="77777777" w:rsidTr="003C3BB1">
        <w:trPr>
          <w:trHeight w:val="332"/>
          <w:jc w:val="center"/>
        </w:trPr>
        <w:tc>
          <w:tcPr>
            <w:tcW w:w="291" w:type="pct"/>
            <w:vAlign w:val="center"/>
          </w:tcPr>
          <w:p w14:paraId="58802326" w14:textId="77777777" w:rsidR="00F45D63" w:rsidRPr="00890249" w:rsidRDefault="00F45D63" w:rsidP="00F45D63">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7" w:type="pct"/>
            <w:vAlign w:val="center"/>
          </w:tcPr>
          <w:p w14:paraId="46D16111" w14:textId="77777777" w:rsidR="00F45D63" w:rsidRPr="00890249" w:rsidRDefault="00F45D63" w:rsidP="0009010C">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f</w:t>
            </w:r>
          </w:p>
        </w:tc>
        <w:tc>
          <w:tcPr>
            <w:tcW w:w="384" w:type="pct"/>
            <w:vAlign w:val="center"/>
          </w:tcPr>
          <w:p w14:paraId="6985911B" w14:textId="77777777" w:rsidR="00F45D63" w:rsidRPr="00890249" w:rsidRDefault="00F45D63" w:rsidP="00F45D63">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441CA109" w14:textId="77777777" w:rsidR="00F45D63" w:rsidRPr="00890249" w:rsidRDefault="00F45D63" w:rsidP="00F45D63">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0" w:type="pct"/>
            <w:vAlign w:val="center"/>
          </w:tcPr>
          <w:p w14:paraId="195AA326" w14:textId="77777777" w:rsidR="00F45D63" w:rsidRPr="00890249" w:rsidRDefault="00957DD2" w:rsidP="00F45D63">
            <w:pPr>
              <w:jc w:val="center"/>
              <w:rPr>
                <w:rFonts w:asciiTheme="minorHAnsi" w:hAnsiTheme="minorHAnsi" w:cstheme="minorHAnsi"/>
                <w:i/>
                <w:sz w:val="18"/>
                <w:szCs w:val="16"/>
              </w:rPr>
            </w:pPr>
            <w:r w:rsidRPr="00890249">
              <w:rPr>
                <w:rFonts w:asciiTheme="minorHAnsi" w:hAnsiTheme="minorHAnsi" w:cstheme="minorHAnsi"/>
                <w:i/>
                <w:sz w:val="18"/>
                <w:szCs w:val="16"/>
              </w:rPr>
              <w:t>PLFCO03</w:t>
            </w:r>
          </w:p>
        </w:tc>
        <w:tc>
          <w:tcPr>
            <w:tcW w:w="1226" w:type="pct"/>
            <w:shd w:val="clear" w:color="auto" w:fill="auto"/>
            <w:vAlign w:val="center"/>
          </w:tcPr>
          <w:p w14:paraId="4531AA38" w14:textId="77777777" w:rsidR="00F45D63" w:rsidRPr="00890249" w:rsidRDefault="00957DD2" w:rsidP="00F45D63">
            <w:pPr>
              <w:jc w:val="left"/>
              <w:rPr>
                <w:rFonts w:asciiTheme="minorHAnsi" w:hAnsiTheme="minorHAnsi" w:cstheme="minorHAnsi"/>
                <w:i/>
                <w:sz w:val="18"/>
                <w:szCs w:val="16"/>
              </w:rPr>
            </w:pPr>
            <w:r w:rsidRPr="00890249">
              <w:rPr>
                <w:rFonts w:asciiTheme="minorHAnsi" w:eastAsiaTheme="minorHAnsi" w:hAnsiTheme="minorHAnsi" w:cstheme="minorHAnsi"/>
                <w:i/>
                <w:noProof/>
                <w:sz w:val="18"/>
                <w:szCs w:val="16"/>
                <w:lang w:eastAsia="en-US" w:bidi="ar-SA"/>
              </w:rPr>
              <w:t>Liczba uczniów szkół i placówek systemu oświaty prowadzących kształcenie ogólne objętych wsparciem</w:t>
            </w:r>
          </w:p>
        </w:tc>
        <w:tc>
          <w:tcPr>
            <w:tcW w:w="460" w:type="pct"/>
            <w:vAlign w:val="center"/>
          </w:tcPr>
          <w:p w14:paraId="1D5BEFC7" w14:textId="4515D784" w:rsidR="00F45D63" w:rsidRPr="00890249" w:rsidRDefault="00D61DA0" w:rsidP="00F45D63">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6B0A5911" w14:textId="77777777" w:rsidR="00A63705" w:rsidRPr="00890249" w:rsidRDefault="00957DD2"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6 900</w:t>
            </w:r>
          </w:p>
        </w:tc>
        <w:tc>
          <w:tcPr>
            <w:tcW w:w="590" w:type="pct"/>
            <w:shd w:val="clear" w:color="auto" w:fill="auto"/>
            <w:vAlign w:val="center"/>
          </w:tcPr>
          <w:p w14:paraId="0707CEBA" w14:textId="75A3C94F" w:rsidR="00A63705" w:rsidRPr="00890249" w:rsidRDefault="00B114AB" w:rsidP="0043241C">
            <w:pPr>
              <w:jc w:val="center"/>
              <w:rPr>
                <w:rFonts w:asciiTheme="minorHAnsi" w:hAnsiTheme="minorHAnsi" w:cstheme="minorHAnsi"/>
                <w:noProof/>
                <w:sz w:val="18"/>
                <w:szCs w:val="16"/>
              </w:rPr>
            </w:pPr>
            <w:r>
              <w:rPr>
                <w:rFonts w:asciiTheme="minorHAnsi" w:hAnsiTheme="minorHAnsi" w:cstheme="minorHAnsi"/>
                <w:noProof/>
                <w:sz w:val="18"/>
                <w:szCs w:val="16"/>
              </w:rPr>
              <w:t>22 760</w:t>
            </w:r>
          </w:p>
        </w:tc>
      </w:tr>
      <w:tr w:rsidR="00D31E60" w:rsidRPr="00890249" w14:paraId="434130B6" w14:textId="77777777" w:rsidTr="003C3BB1">
        <w:trPr>
          <w:trHeight w:val="332"/>
          <w:jc w:val="center"/>
        </w:trPr>
        <w:tc>
          <w:tcPr>
            <w:tcW w:w="291" w:type="pct"/>
            <w:vAlign w:val="center"/>
          </w:tcPr>
          <w:p w14:paraId="7650DFFF" w14:textId="77777777" w:rsidR="00D31E60" w:rsidRPr="00890249" w:rsidRDefault="00D31E60" w:rsidP="00D31E60">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7" w:type="pct"/>
            <w:vAlign w:val="center"/>
          </w:tcPr>
          <w:p w14:paraId="17AE3BCA" w14:textId="77777777" w:rsidR="00D31E60" w:rsidRPr="00890249" w:rsidRDefault="00D31E60" w:rsidP="00D31E6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4.f</w:t>
            </w:r>
          </w:p>
        </w:tc>
        <w:tc>
          <w:tcPr>
            <w:tcW w:w="384" w:type="pct"/>
            <w:vAlign w:val="center"/>
          </w:tcPr>
          <w:p w14:paraId="12387B7E" w14:textId="77777777" w:rsidR="00D31E60" w:rsidRPr="00890249" w:rsidRDefault="00D31E60" w:rsidP="00D31E6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1BE652B6" w14:textId="77777777" w:rsidR="00D31E60" w:rsidRPr="00890249" w:rsidRDefault="00D31E60" w:rsidP="00D31E60">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0" w:type="pct"/>
            <w:vAlign w:val="center"/>
          </w:tcPr>
          <w:p w14:paraId="6DFFE3F6" w14:textId="77777777" w:rsidR="00D31E60" w:rsidRPr="00890249" w:rsidRDefault="00D31E60" w:rsidP="00D31E60">
            <w:pPr>
              <w:jc w:val="center"/>
              <w:rPr>
                <w:rFonts w:asciiTheme="minorHAnsi" w:hAnsiTheme="minorHAnsi" w:cstheme="minorHAnsi"/>
                <w:i/>
                <w:sz w:val="18"/>
                <w:szCs w:val="16"/>
              </w:rPr>
            </w:pPr>
            <w:r w:rsidRPr="00890249">
              <w:rPr>
                <w:rFonts w:asciiTheme="minorHAnsi" w:hAnsiTheme="minorHAnsi" w:cstheme="minorHAnsi"/>
                <w:i/>
                <w:sz w:val="18"/>
                <w:szCs w:val="16"/>
              </w:rPr>
              <w:t>PLFCO04</w:t>
            </w:r>
          </w:p>
        </w:tc>
        <w:tc>
          <w:tcPr>
            <w:tcW w:w="1226" w:type="pct"/>
            <w:shd w:val="clear" w:color="auto" w:fill="auto"/>
            <w:vAlign w:val="center"/>
          </w:tcPr>
          <w:p w14:paraId="0CD93806" w14:textId="77777777" w:rsidR="00D31E60" w:rsidRPr="00890249" w:rsidRDefault="00D31E60" w:rsidP="00D31E60">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uczniów szkół i placówek kształcenia zawodowego  objętych wsparciem</w:t>
            </w:r>
          </w:p>
        </w:tc>
        <w:tc>
          <w:tcPr>
            <w:tcW w:w="460" w:type="pct"/>
            <w:vAlign w:val="center"/>
          </w:tcPr>
          <w:p w14:paraId="04470823" w14:textId="1370B912" w:rsidR="00D31E60" w:rsidRPr="00890249" w:rsidRDefault="00D61DA0" w:rsidP="00D31E60">
            <w:pPr>
              <w:jc w:val="center"/>
              <w:rPr>
                <w:rFonts w:asciiTheme="minorHAnsi" w:eastAsiaTheme="minorHAnsi" w:hAnsiTheme="minorHAnsi" w:cstheme="minorHAnsi"/>
                <w:i/>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340FE4E8" w14:textId="77777777" w:rsidR="00D31E60" w:rsidRPr="00890249" w:rsidRDefault="00D31E60" w:rsidP="00D31E60">
            <w:pPr>
              <w:jc w:val="center"/>
              <w:rPr>
                <w:rFonts w:asciiTheme="minorHAnsi" w:hAnsiTheme="minorHAnsi" w:cstheme="minorHAnsi"/>
                <w:noProof/>
                <w:sz w:val="18"/>
                <w:szCs w:val="16"/>
              </w:rPr>
            </w:pPr>
            <w:r w:rsidRPr="00890249">
              <w:rPr>
                <w:rFonts w:asciiTheme="minorHAnsi" w:hAnsiTheme="minorHAnsi" w:cstheme="minorHAnsi"/>
                <w:noProof/>
                <w:sz w:val="18"/>
                <w:szCs w:val="16"/>
              </w:rPr>
              <w:t>500</w:t>
            </w:r>
          </w:p>
        </w:tc>
        <w:tc>
          <w:tcPr>
            <w:tcW w:w="590" w:type="pct"/>
            <w:shd w:val="clear" w:color="auto" w:fill="auto"/>
            <w:vAlign w:val="center"/>
          </w:tcPr>
          <w:p w14:paraId="60CD68FA" w14:textId="77777777" w:rsidR="00D31E60" w:rsidRPr="00890249" w:rsidRDefault="00D31E60" w:rsidP="00D31E60">
            <w:pPr>
              <w:jc w:val="center"/>
              <w:rPr>
                <w:rFonts w:asciiTheme="minorHAnsi" w:hAnsiTheme="minorHAnsi" w:cstheme="minorHAnsi"/>
                <w:noProof/>
                <w:sz w:val="18"/>
                <w:szCs w:val="16"/>
              </w:rPr>
            </w:pPr>
            <w:r w:rsidRPr="00890249">
              <w:rPr>
                <w:rFonts w:asciiTheme="minorHAnsi" w:hAnsiTheme="minorHAnsi" w:cstheme="minorHAnsi"/>
                <w:noProof/>
                <w:sz w:val="18"/>
                <w:szCs w:val="16"/>
              </w:rPr>
              <w:t>4 000</w:t>
            </w:r>
          </w:p>
        </w:tc>
      </w:tr>
      <w:tr w:rsidR="003C3BB1" w:rsidRPr="00890249" w14:paraId="71B62272" w14:textId="77777777" w:rsidTr="003C3BB1">
        <w:trPr>
          <w:trHeight w:val="332"/>
          <w:jc w:val="center"/>
        </w:trPr>
        <w:tc>
          <w:tcPr>
            <w:tcW w:w="291" w:type="pct"/>
            <w:vAlign w:val="center"/>
          </w:tcPr>
          <w:p w14:paraId="3F31C380" w14:textId="1FEFAFEB" w:rsidR="003C3BB1" w:rsidRPr="00890249" w:rsidRDefault="003C3BB1" w:rsidP="003C3BB1">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7" w:type="pct"/>
            <w:vAlign w:val="center"/>
          </w:tcPr>
          <w:p w14:paraId="7325DF56" w14:textId="493CA063" w:rsidR="003C3BB1" w:rsidRPr="00890249" w:rsidRDefault="003C3BB1" w:rsidP="003C3BB1">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4.f</w:t>
            </w:r>
          </w:p>
        </w:tc>
        <w:tc>
          <w:tcPr>
            <w:tcW w:w="384" w:type="pct"/>
            <w:vAlign w:val="center"/>
          </w:tcPr>
          <w:p w14:paraId="0EF5DE48" w14:textId="35E1E3E3" w:rsidR="003C3BB1" w:rsidRPr="00890249" w:rsidRDefault="003C3BB1" w:rsidP="003C3BB1">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095D2356" w14:textId="35F040D9" w:rsidR="003C3BB1" w:rsidRPr="00890249" w:rsidRDefault="003C3BB1" w:rsidP="003C3BB1">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0" w:type="pct"/>
            <w:vAlign w:val="center"/>
          </w:tcPr>
          <w:p w14:paraId="5521500A" w14:textId="276EE199" w:rsidR="003C3BB1" w:rsidRPr="00890249" w:rsidRDefault="002970A9" w:rsidP="003C3BB1">
            <w:pPr>
              <w:jc w:val="center"/>
              <w:rPr>
                <w:rFonts w:asciiTheme="minorHAnsi" w:hAnsiTheme="minorHAnsi" w:cstheme="minorHAnsi"/>
                <w:i/>
                <w:sz w:val="18"/>
                <w:szCs w:val="16"/>
              </w:rPr>
            </w:pPr>
            <w:r w:rsidRPr="002970A9">
              <w:rPr>
                <w:rFonts w:asciiTheme="minorHAnsi" w:hAnsiTheme="minorHAnsi" w:cstheme="minorHAnsi"/>
                <w:i/>
                <w:sz w:val="18"/>
                <w:szCs w:val="16"/>
              </w:rPr>
              <w:t>PLEFCO05</w:t>
            </w:r>
          </w:p>
        </w:tc>
        <w:tc>
          <w:tcPr>
            <w:tcW w:w="1226" w:type="pct"/>
            <w:shd w:val="clear" w:color="auto" w:fill="auto"/>
            <w:vAlign w:val="center"/>
          </w:tcPr>
          <w:p w14:paraId="7A087981" w14:textId="365BA89B" w:rsidR="003C3BB1" w:rsidRPr="00890249" w:rsidRDefault="003C3BB1" w:rsidP="003C3BB1">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uczniów szkół i placówek kształcenia zawodowego uczestniczących w stażach uczniowskich</w:t>
            </w:r>
          </w:p>
        </w:tc>
        <w:tc>
          <w:tcPr>
            <w:tcW w:w="460" w:type="pct"/>
            <w:vAlign w:val="center"/>
          </w:tcPr>
          <w:p w14:paraId="322A3CF4" w14:textId="27554952" w:rsidR="003C3BB1" w:rsidRPr="00890249" w:rsidRDefault="003C3BB1" w:rsidP="003C3BB1">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1971367B" w14:textId="5F4F2B1B" w:rsidR="003C3BB1" w:rsidRPr="00890249" w:rsidRDefault="003C3BB1" w:rsidP="003C3BB1">
            <w:pPr>
              <w:jc w:val="center"/>
              <w:rPr>
                <w:rFonts w:asciiTheme="minorHAnsi" w:hAnsiTheme="minorHAnsi" w:cstheme="minorHAnsi"/>
                <w:noProof/>
                <w:sz w:val="18"/>
                <w:szCs w:val="16"/>
              </w:rPr>
            </w:pPr>
            <w:r w:rsidRPr="00890249">
              <w:rPr>
                <w:rFonts w:asciiTheme="minorHAnsi" w:hAnsiTheme="minorHAnsi" w:cstheme="minorHAnsi"/>
                <w:noProof/>
                <w:sz w:val="18"/>
                <w:szCs w:val="16"/>
              </w:rPr>
              <w:t>275</w:t>
            </w:r>
          </w:p>
        </w:tc>
        <w:tc>
          <w:tcPr>
            <w:tcW w:w="590" w:type="pct"/>
            <w:shd w:val="clear" w:color="auto" w:fill="auto"/>
            <w:vAlign w:val="center"/>
          </w:tcPr>
          <w:p w14:paraId="2743DE5B" w14:textId="63D174D6" w:rsidR="003C3BB1" w:rsidRPr="00890249" w:rsidRDefault="004D40E4" w:rsidP="003C3BB1">
            <w:pPr>
              <w:jc w:val="center"/>
              <w:rPr>
                <w:rFonts w:asciiTheme="minorHAnsi" w:hAnsiTheme="minorHAnsi" w:cstheme="minorHAnsi"/>
                <w:noProof/>
                <w:sz w:val="18"/>
                <w:szCs w:val="16"/>
              </w:rPr>
            </w:pPr>
            <w:r>
              <w:rPr>
                <w:rFonts w:asciiTheme="minorHAnsi" w:hAnsiTheme="minorHAnsi" w:cstheme="minorHAnsi"/>
                <w:noProof/>
                <w:sz w:val="18"/>
                <w:szCs w:val="16"/>
              </w:rPr>
              <w:t>3 500</w:t>
            </w:r>
          </w:p>
        </w:tc>
      </w:tr>
      <w:tr w:rsidR="003C3BB1" w:rsidRPr="00890249" w14:paraId="45C2B7E3" w14:textId="77777777" w:rsidTr="003C3BB1">
        <w:trPr>
          <w:trHeight w:val="332"/>
          <w:jc w:val="center"/>
        </w:trPr>
        <w:tc>
          <w:tcPr>
            <w:tcW w:w="291" w:type="pct"/>
            <w:vAlign w:val="center"/>
          </w:tcPr>
          <w:p w14:paraId="36F6938E" w14:textId="77777777" w:rsidR="003C3BB1" w:rsidRPr="00890249" w:rsidRDefault="003C3BB1" w:rsidP="003C3BB1">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7" w:type="pct"/>
            <w:vAlign w:val="center"/>
          </w:tcPr>
          <w:p w14:paraId="2C877578" w14:textId="77777777" w:rsidR="003C3BB1" w:rsidRPr="00890249" w:rsidRDefault="003C3BB1" w:rsidP="003C3BB1">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4.f</w:t>
            </w:r>
          </w:p>
        </w:tc>
        <w:tc>
          <w:tcPr>
            <w:tcW w:w="384" w:type="pct"/>
            <w:vAlign w:val="center"/>
          </w:tcPr>
          <w:p w14:paraId="63B24FFD" w14:textId="77777777" w:rsidR="003C3BB1" w:rsidRPr="00890249" w:rsidRDefault="003C3BB1" w:rsidP="003C3BB1">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4AB37D1E" w14:textId="77777777" w:rsidR="003C3BB1" w:rsidRPr="00890249" w:rsidRDefault="003C3BB1" w:rsidP="003C3BB1">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0" w:type="pct"/>
            <w:vAlign w:val="center"/>
          </w:tcPr>
          <w:p w14:paraId="62D3CA6D" w14:textId="77777777" w:rsidR="003C3BB1" w:rsidRPr="00890249" w:rsidRDefault="003C3BB1" w:rsidP="003C3BB1">
            <w:pPr>
              <w:jc w:val="center"/>
              <w:rPr>
                <w:rFonts w:asciiTheme="minorHAnsi" w:hAnsiTheme="minorHAnsi" w:cstheme="minorHAnsi"/>
                <w:i/>
                <w:sz w:val="18"/>
                <w:szCs w:val="16"/>
              </w:rPr>
            </w:pPr>
            <w:r w:rsidRPr="00890249">
              <w:rPr>
                <w:rFonts w:asciiTheme="minorHAnsi" w:hAnsiTheme="minorHAnsi" w:cstheme="minorHAnsi"/>
                <w:i/>
                <w:sz w:val="18"/>
                <w:szCs w:val="16"/>
              </w:rPr>
              <w:t>PLFCO06</w:t>
            </w:r>
          </w:p>
        </w:tc>
        <w:tc>
          <w:tcPr>
            <w:tcW w:w="1226" w:type="pct"/>
            <w:shd w:val="clear" w:color="auto" w:fill="auto"/>
            <w:vAlign w:val="center"/>
          </w:tcPr>
          <w:p w14:paraId="7209B254" w14:textId="77777777" w:rsidR="003C3BB1" w:rsidRPr="00890249" w:rsidRDefault="003C3BB1" w:rsidP="003C3BB1">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 xml:space="preserve">Liczba przedstawicieli kadry szkół i placówek systemu oświaty objętych wsparciem </w:t>
            </w:r>
          </w:p>
        </w:tc>
        <w:tc>
          <w:tcPr>
            <w:tcW w:w="460" w:type="pct"/>
            <w:vAlign w:val="center"/>
          </w:tcPr>
          <w:p w14:paraId="790B2E95" w14:textId="66789A90" w:rsidR="003C3BB1" w:rsidRPr="00890249" w:rsidDel="00491BC2" w:rsidRDefault="003C3BB1" w:rsidP="003C3BB1">
            <w:pPr>
              <w:jc w:val="center"/>
              <w:rPr>
                <w:rFonts w:asciiTheme="minorHAnsi" w:eastAsiaTheme="minorHAnsi" w:hAnsiTheme="minorHAnsi" w:cstheme="minorHAnsi"/>
                <w:i/>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3D0703E3" w14:textId="77777777" w:rsidR="003C3BB1" w:rsidRPr="00890249" w:rsidRDefault="003C3BB1" w:rsidP="003C3BB1">
            <w:pPr>
              <w:jc w:val="center"/>
              <w:rPr>
                <w:rFonts w:asciiTheme="minorHAnsi" w:hAnsiTheme="minorHAnsi" w:cstheme="minorHAnsi"/>
                <w:noProof/>
                <w:sz w:val="18"/>
                <w:szCs w:val="16"/>
              </w:rPr>
            </w:pPr>
            <w:r w:rsidRPr="00890249">
              <w:rPr>
                <w:rFonts w:asciiTheme="minorHAnsi" w:hAnsiTheme="minorHAnsi" w:cstheme="minorHAnsi"/>
                <w:noProof/>
                <w:sz w:val="18"/>
                <w:szCs w:val="16"/>
              </w:rPr>
              <w:t>490</w:t>
            </w:r>
          </w:p>
        </w:tc>
        <w:tc>
          <w:tcPr>
            <w:tcW w:w="590" w:type="pct"/>
            <w:shd w:val="clear" w:color="auto" w:fill="auto"/>
            <w:vAlign w:val="center"/>
          </w:tcPr>
          <w:p w14:paraId="512CFBBF" w14:textId="757C0FCE" w:rsidR="003C3BB1" w:rsidRPr="00890249" w:rsidRDefault="004D40E4" w:rsidP="003C3BB1">
            <w:pPr>
              <w:jc w:val="center"/>
              <w:rPr>
                <w:rFonts w:asciiTheme="minorHAnsi" w:hAnsiTheme="minorHAnsi" w:cstheme="minorHAnsi"/>
                <w:noProof/>
                <w:sz w:val="18"/>
                <w:szCs w:val="16"/>
              </w:rPr>
            </w:pPr>
            <w:r>
              <w:rPr>
                <w:rFonts w:asciiTheme="minorHAnsi" w:hAnsiTheme="minorHAnsi" w:cstheme="minorHAnsi"/>
                <w:noProof/>
                <w:sz w:val="18"/>
                <w:szCs w:val="16"/>
              </w:rPr>
              <w:t>4 100</w:t>
            </w:r>
          </w:p>
        </w:tc>
      </w:tr>
      <w:tr w:rsidR="003C3BB1" w:rsidRPr="00890249" w14:paraId="1399C311" w14:textId="77777777" w:rsidTr="003C3BB1">
        <w:trPr>
          <w:trHeight w:val="332"/>
          <w:jc w:val="center"/>
        </w:trPr>
        <w:tc>
          <w:tcPr>
            <w:tcW w:w="291" w:type="pct"/>
            <w:vAlign w:val="center"/>
          </w:tcPr>
          <w:p w14:paraId="5A154FB6" w14:textId="77777777" w:rsidR="003C3BB1" w:rsidRPr="00890249" w:rsidRDefault="003C3BB1" w:rsidP="003C3BB1">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7" w:type="pct"/>
            <w:vAlign w:val="center"/>
          </w:tcPr>
          <w:p w14:paraId="7E9FE78F" w14:textId="77777777" w:rsidR="003C3BB1" w:rsidRPr="00890249" w:rsidRDefault="003C3BB1" w:rsidP="003C3BB1">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4.f</w:t>
            </w:r>
          </w:p>
        </w:tc>
        <w:tc>
          <w:tcPr>
            <w:tcW w:w="384" w:type="pct"/>
            <w:vAlign w:val="center"/>
          </w:tcPr>
          <w:p w14:paraId="57834F1C" w14:textId="77777777" w:rsidR="003C3BB1" w:rsidRPr="00890249" w:rsidRDefault="003C3BB1" w:rsidP="003C3BB1">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637ED03E" w14:textId="77777777" w:rsidR="003C3BB1" w:rsidRPr="00890249" w:rsidRDefault="003C3BB1" w:rsidP="003C3BB1">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0" w:type="pct"/>
            <w:vAlign w:val="center"/>
          </w:tcPr>
          <w:p w14:paraId="1307CA05" w14:textId="77777777" w:rsidR="003C3BB1" w:rsidRPr="00890249" w:rsidRDefault="003C3BB1" w:rsidP="003C3BB1">
            <w:pPr>
              <w:jc w:val="center"/>
              <w:rPr>
                <w:rFonts w:asciiTheme="minorHAnsi" w:hAnsiTheme="minorHAnsi" w:cstheme="minorHAnsi"/>
                <w:i/>
                <w:sz w:val="18"/>
                <w:szCs w:val="16"/>
              </w:rPr>
            </w:pPr>
            <w:r w:rsidRPr="00890249">
              <w:rPr>
                <w:rFonts w:asciiTheme="minorHAnsi" w:hAnsiTheme="minorHAnsi" w:cstheme="minorHAnsi"/>
                <w:i/>
                <w:sz w:val="18"/>
                <w:szCs w:val="16"/>
              </w:rPr>
              <w:t>PLFCO07</w:t>
            </w:r>
          </w:p>
        </w:tc>
        <w:tc>
          <w:tcPr>
            <w:tcW w:w="1226" w:type="pct"/>
            <w:shd w:val="clear" w:color="auto" w:fill="auto"/>
            <w:vAlign w:val="center"/>
          </w:tcPr>
          <w:p w14:paraId="2CDDE015" w14:textId="77777777" w:rsidR="003C3BB1" w:rsidRPr="00890249" w:rsidRDefault="003C3BB1" w:rsidP="003C3BB1">
            <w:pPr>
              <w:jc w:val="left"/>
              <w:rPr>
                <w:rFonts w:asciiTheme="minorHAnsi" w:hAnsiTheme="minorHAnsi" w:cstheme="minorHAnsi"/>
                <w:i/>
                <w:sz w:val="18"/>
                <w:szCs w:val="16"/>
              </w:rPr>
            </w:pPr>
            <w:r w:rsidRPr="00890249">
              <w:rPr>
                <w:rFonts w:asciiTheme="minorHAnsi" w:eastAsiaTheme="minorHAnsi" w:hAnsiTheme="minorHAnsi" w:cstheme="minorHAnsi"/>
                <w:i/>
                <w:noProof/>
                <w:sz w:val="18"/>
                <w:szCs w:val="16"/>
                <w:lang w:eastAsia="en-US" w:bidi="ar-SA"/>
              </w:rPr>
              <w:t>Liczba szkół i placówek systemu oświaty objętych wsparciem</w:t>
            </w:r>
          </w:p>
        </w:tc>
        <w:tc>
          <w:tcPr>
            <w:tcW w:w="460" w:type="pct"/>
            <w:vAlign w:val="center"/>
          </w:tcPr>
          <w:p w14:paraId="56EA5D4B" w14:textId="77777777" w:rsidR="003C3BB1" w:rsidRPr="00890249" w:rsidRDefault="003C3BB1" w:rsidP="003C3BB1">
            <w:pPr>
              <w:jc w:val="center"/>
              <w:rPr>
                <w:rFonts w:asciiTheme="minorHAnsi" w:hAnsiTheme="minorHAnsi" w:cstheme="minorHAnsi"/>
                <w:i/>
                <w:noProof/>
                <w:sz w:val="18"/>
                <w:szCs w:val="16"/>
              </w:rPr>
            </w:pPr>
            <w:r w:rsidRPr="00890249">
              <w:rPr>
                <w:rFonts w:asciiTheme="minorHAnsi" w:eastAsiaTheme="minorHAnsi" w:hAnsiTheme="minorHAnsi" w:cstheme="minorHAnsi"/>
                <w:i/>
                <w:sz w:val="18"/>
                <w:szCs w:val="16"/>
                <w:lang w:eastAsia="en-US" w:bidi="ar-SA"/>
              </w:rPr>
              <w:t>podmioty</w:t>
            </w:r>
          </w:p>
        </w:tc>
        <w:tc>
          <w:tcPr>
            <w:tcW w:w="613" w:type="pct"/>
            <w:shd w:val="clear" w:color="auto" w:fill="auto"/>
            <w:vAlign w:val="center"/>
          </w:tcPr>
          <w:p w14:paraId="7809F403" w14:textId="77777777" w:rsidR="003C3BB1" w:rsidRPr="00890249" w:rsidRDefault="003C3BB1" w:rsidP="003C3BB1">
            <w:pPr>
              <w:jc w:val="center"/>
              <w:rPr>
                <w:rFonts w:asciiTheme="minorHAnsi" w:hAnsiTheme="minorHAnsi" w:cstheme="minorHAnsi"/>
                <w:noProof/>
                <w:sz w:val="18"/>
                <w:szCs w:val="16"/>
              </w:rPr>
            </w:pPr>
            <w:r w:rsidRPr="00890249">
              <w:rPr>
                <w:rFonts w:asciiTheme="minorHAnsi" w:hAnsiTheme="minorHAnsi" w:cstheme="minorHAnsi"/>
                <w:noProof/>
                <w:sz w:val="18"/>
                <w:szCs w:val="16"/>
              </w:rPr>
              <w:t>300</w:t>
            </w:r>
          </w:p>
        </w:tc>
        <w:tc>
          <w:tcPr>
            <w:tcW w:w="590" w:type="pct"/>
            <w:shd w:val="clear" w:color="auto" w:fill="auto"/>
            <w:vAlign w:val="center"/>
          </w:tcPr>
          <w:p w14:paraId="30E31B44" w14:textId="3377386A" w:rsidR="003C3BB1" w:rsidRPr="00890249" w:rsidRDefault="004D40E4" w:rsidP="003C3BB1">
            <w:pPr>
              <w:jc w:val="center"/>
              <w:rPr>
                <w:rFonts w:asciiTheme="minorHAnsi" w:hAnsiTheme="minorHAnsi" w:cstheme="minorHAnsi"/>
                <w:noProof/>
                <w:sz w:val="18"/>
                <w:szCs w:val="16"/>
              </w:rPr>
            </w:pPr>
            <w:r>
              <w:rPr>
                <w:rFonts w:asciiTheme="minorHAnsi" w:hAnsiTheme="minorHAnsi" w:cstheme="minorHAnsi"/>
                <w:noProof/>
                <w:sz w:val="18"/>
                <w:szCs w:val="16"/>
              </w:rPr>
              <w:t>590</w:t>
            </w:r>
          </w:p>
        </w:tc>
      </w:tr>
    </w:tbl>
    <w:p w14:paraId="0CDD21F8" w14:textId="77777777" w:rsidR="005F3F05" w:rsidRPr="00890249" w:rsidRDefault="005F3F05" w:rsidP="00E03FED">
      <w:pPr>
        <w:spacing w:before="0" w:after="0"/>
        <w:rPr>
          <w:rFonts w:asciiTheme="minorHAnsi" w:eastAsia="Times New Roman" w:hAnsiTheme="minorHAnsi" w:cstheme="minorHAnsi"/>
          <w:b/>
          <w:iCs/>
          <w:noProof/>
          <w:szCs w:val="24"/>
        </w:rPr>
      </w:pPr>
    </w:p>
    <w:p w14:paraId="1A6CE2D0" w14:textId="366F569D" w:rsidR="00E26858" w:rsidRPr="00890249" w:rsidRDefault="00E26858">
      <w:pPr>
        <w:spacing w:before="0" w:after="160" w:line="259" w:lineRule="auto"/>
        <w:jc w:val="left"/>
        <w:rPr>
          <w:rFonts w:asciiTheme="minorHAnsi" w:eastAsia="Times New Roman" w:hAnsiTheme="minorHAnsi" w:cstheme="minorHAnsi"/>
          <w:b/>
          <w:iCs/>
          <w:noProof/>
          <w:szCs w:val="24"/>
        </w:rPr>
      </w:pPr>
      <w:r w:rsidRPr="00890249">
        <w:rPr>
          <w:rFonts w:asciiTheme="minorHAnsi" w:eastAsia="Times New Roman" w:hAnsiTheme="minorHAnsi" w:cstheme="minorHAnsi"/>
          <w:b/>
          <w:iCs/>
          <w:noProof/>
          <w:szCs w:val="24"/>
        </w:rPr>
        <w:br w:type="page"/>
      </w:r>
    </w:p>
    <w:p w14:paraId="685AA7CA" w14:textId="77777777" w:rsidR="004B46F4" w:rsidRPr="00890249" w:rsidRDefault="004B46F4" w:rsidP="00E03FED">
      <w:pPr>
        <w:spacing w:before="0" w:after="0"/>
        <w:rPr>
          <w:rFonts w:asciiTheme="minorHAnsi" w:eastAsia="Times New Roman" w:hAnsiTheme="minorHAnsi" w:cstheme="minorHAnsi"/>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892"/>
        <w:gridCol w:w="710"/>
        <w:gridCol w:w="991"/>
        <w:gridCol w:w="631"/>
        <w:gridCol w:w="1636"/>
        <w:gridCol w:w="576"/>
        <w:gridCol w:w="692"/>
        <w:gridCol w:w="596"/>
        <w:gridCol w:w="562"/>
        <w:gridCol w:w="605"/>
        <w:gridCol w:w="649"/>
      </w:tblGrid>
      <w:tr w:rsidR="0098169C" w:rsidRPr="00890249" w14:paraId="41D9737B" w14:textId="77777777" w:rsidTr="00E3427C">
        <w:trPr>
          <w:trHeight w:val="480"/>
        </w:trPr>
        <w:tc>
          <w:tcPr>
            <w:tcW w:w="5000" w:type="pct"/>
            <w:gridSpan w:val="12"/>
            <w:shd w:val="clear" w:color="auto" w:fill="D9D9D9" w:themeFill="background1" w:themeFillShade="D9"/>
          </w:tcPr>
          <w:p w14:paraId="5E46167C"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98169C" w:rsidRPr="00890249" w14:paraId="331F5E3C" w14:textId="77777777" w:rsidTr="00E3427C">
        <w:trPr>
          <w:cantSplit/>
          <w:trHeight w:val="1623"/>
        </w:trPr>
        <w:tc>
          <w:tcPr>
            <w:tcW w:w="287" w:type="pct"/>
            <w:shd w:val="clear" w:color="auto" w:fill="F2F2F2" w:themeFill="background1" w:themeFillShade="F2"/>
            <w:textDirection w:val="btLr"/>
            <w:vAlign w:val="center"/>
          </w:tcPr>
          <w:p w14:paraId="4E3006C1"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92" w:type="pct"/>
            <w:shd w:val="clear" w:color="auto" w:fill="F2F2F2" w:themeFill="background1" w:themeFillShade="F2"/>
            <w:textDirection w:val="btLr"/>
            <w:vAlign w:val="center"/>
          </w:tcPr>
          <w:p w14:paraId="2380087C"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92" w:type="pct"/>
            <w:shd w:val="clear" w:color="auto" w:fill="F2F2F2" w:themeFill="background1" w:themeFillShade="F2"/>
            <w:textDirection w:val="btLr"/>
            <w:vAlign w:val="center"/>
          </w:tcPr>
          <w:p w14:paraId="01D245E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47" w:type="pct"/>
            <w:shd w:val="clear" w:color="auto" w:fill="F2F2F2" w:themeFill="background1" w:themeFillShade="F2"/>
            <w:textDirection w:val="btLr"/>
            <w:vAlign w:val="center"/>
          </w:tcPr>
          <w:p w14:paraId="7ACF917E"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348" w:type="pct"/>
            <w:shd w:val="clear" w:color="auto" w:fill="F2F2F2" w:themeFill="background1" w:themeFillShade="F2"/>
            <w:textDirection w:val="btLr"/>
            <w:vAlign w:val="center"/>
          </w:tcPr>
          <w:p w14:paraId="080D76EE"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903" w:type="pct"/>
            <w:shd w:val="clear" w:color="auto" w:fill="F2F2F2" w:themeFill="background1" w:themeFillShade="F2"/>
            <w:textDirection w:val="btLr"/>
            <w:vAlign w:val="center"/>
          </w:tcPr>
          <w:p w14:paraId="07983F16"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318" w:type="pct"/>
            <w:shd w:val="clear" w:color="auto" w:fill="F2F2F2" w:themeFill="background1" w:themeFillShade="F2"/>
            <w:textDirection w:val="btLr"/>
            <w:vAlign w:val="center"/>
          </w:tcPr>
          <w:p w14:paraId="76B8F26D"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30392BB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9" w:type="pct"/>
            <w:shd w:val="clear" w:color="auto" w:fill="F2F2F2" w:themeFill="background1" w:themeFillShade="F2"/>
            <w:textDirection w:val="btLr"/>
            <w:vAlign w:val="center"/>
          </w:tcPr>
          <w:p w14:paraId="1C4F0FE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0" w:type="pct"/>
            <w:shd w:val="clear" w:color="auto" w:fill="F2F2F2" w:themeFill="background1" w:themeFillShade="F2"/>
            <w:textDirection w:val="btLr"/>
            <w:vAlign w:val="center"/>
          </w:tcPr>
          <w:p w14:paraId="2021030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2D7D162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58" w:type="pct"/>
            <w:shd w:val="clear" w:color="auto" w:fill="F2F2F2" w:themeFill="background1" w:themeFillShade="F2"/>
            <w:textDirection w:val="btLr"/>
            <w:vAlign w:val="center"/>
          </w:tcPr>
          <w:p w14:paraId="32C7B960"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F45D63" w:rsidRPr="00890249" w14:paraId="1FE065CE" w14:textId="77777777" w:rsidTr="00E03FED">
        <w:trPr>
          <w:trHeight w:val="434"/>
        </w:trPr>
        <w:tc>
          <w:tcPr>
            <w:tcW w:w="287" w:type="pct"/>
            <w:vAlign w:val="center"/>
          </w:tcPr>
          <w:p w14:paraId="556EECC7" w14:textId="77777777" w:rsidR="00F45D63" w:rsidRPr="00890249" w:rsidRDefault="00F45D63"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92" w:type="pct"/>
            <w:vAlign w:val="center"/>
          </w:tcPr>
          <w:p w14:paraId="1B7E64FD" w14:textId="77777777" w:rsidR="00F45D63" w:rsidRPr="00890249" w:rsidRDefault="00F45D63" w:rsidP="00F45D63">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f</w:t>
            </w:r>
          </w:p>
        </w:tc>
        <w:tc>
          <w:tcPr>
            <w:tcW w:w="392" w:type="pct"/>
            <w:vAlign w:val="center"/>
          </w:tcPr>
          <w:p w14:paraId="5AF4F774" w14:textId="77777777" w:rsidR="00F45D63" w:rsidRPr="00890249" w:rsidRDefault="00F45D63" w:rsidP="00F45D63">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47" w:type="pct"/>
            <w:vAlign w:val="center"/>
          </w:tcPr>
          <w:p w14:paraId="02C60A2A" w14:textId="77777777" w:rsidR="00F45D63" w:rsidRPr="00890249" w:rsidRDefault="00F45D63"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348" w:type="pct"/>
            <w:vAlign w:val="center"/>
          </w:tcPr>
          <w:p w14:paraId="0280ABC1" w14:textId="77777777" w:rsidR="00F45D63" w:rsidRPr="00890249" w:rsidRDefault="00957DD2"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PLFCR01</w:t>
            </w:r>
          </w:p>
        </w:tc>
        <w:tc>
          <w:tcPr>
            <w:tcW w:w="903" w:type="pct"/>
            <w:shd w:val="clear" w:color="auto" w:fill="auto"/>
            <w:vAlign w:val="center"/>
          </w:tcPr>
          <w:p w14:paraId="1D49AAF6" w14:textId="7FBC079B" w:rsidR="00F45D63" w:rsidRPr="00890249" w:rsidRDefault="00491BC2" w:rsidP="003F3AB0">
            <w:pPr>
              <w:spacing w:before="60"/>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uczniów, którzy nabyli kompetencje po opuszczeniu programu</w:t>
            </w:r>
          </w:p>
        </w:tc>
        <w:tc>
          <w:tcPr>
            <w:tcW w:w="318" w:type="pct"/>
            <w:vAlign w:val="center"/>
          </w:tcPr>
          <w:p w14:paraId="2E307169" w14:textId="69E46CE6" w:rsidR="00F45D63" w:rsidRPr="00890249" w:rsidRDefault="00586C86" w:rsidP="00F45D63">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sz w:val="18"/>
                <w:szCs w:val="16"/>
                <w:lang w:eastAsia="en-US" w:bidi="ar-SA"/>
              </w:rPr>
              <w:t>%</w:t>
            </w:r>
          </w:p>
        </w:tc>
        <w:tc>
          <w:tcPr>
            <w:tcW w:w="382" w:type="pct"/>
            <w:vAlign w:val="center"/>
          </w:tcPr>
          <w:p w14:paraId="137B975F" w14:textId="77777777" w:rsidR="00F45D63" w:rsidRPr="00890249" w:rsidRDefault="00957DD2"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86%</w:t>
            </w:r>
          </w:p>
        </w:tc>
        <w:tc>
          <w:tcPr>
            <w:tcW w:w="329" w:type="pct"/>
            <w:vAlign w:val="center"/>
          </w:tcPr>
          <w:p w14:paraId="076AE345" w14:textId="77777777" w:rsidR="00F45D63" w:rsidRPr="00890249" w:rsidRDefault="00957DD2" w:rsidP="00F45D6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0" w:type="pct"/>
            <w:shd w:val="clear" w:color="auto" w:fill="auto"/>
            <w:vAlign w:val="center"/>
          </w:tcPr>
          <w:p w14:paraId="2A9D73AF" w14:textId="77777777" w:rsidR="00F45D63" w:rsidRPr="00890249" w:rsidRDefault="00957DD2" w:rsidP="00F45D6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90%</w:t>
            </w:r>
          </w:p>
        </w:tc>
        <w:tc>
          <w:tcPr>
            <w:tcW w:w="334" w:type="pct"/>
            <w:shd w:val="clear" w:color="auto" w:fill="auto"/>
            <w:vAlign w:val="center"/>
          </w:tcPr>
          <w:p w14:paraId="756BBB17" w14:textId="77777777" w:rsidR="00F45D63" w:rsidRPr="00890249" w:rsidRDefault="006E088D" w:rsidP="00F45D63">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8" w:type="pct"/>
            <w:vAlign w:val="center"/>
          </w:tcPr>
          <w:p w14:paraId="40F55C3D" w14:textId="7B329615" w:rsidR="00B72154" w:rsidRPr="00890249" w:rsidRDefault="001E4924" w:rsidP="00890249">
            <w:pPr>
              <w:rPr>
                <w:rFonts w:asciiTheme="minorHAnsi" w:hAnsiTheme="minorHAnsi" w:cstheme="minorHAnsi"/>
                <w:i/>
                <w:noProof/>
                <w:sz w:val="18"/>
                <w:szCs w:val="16"/>
              </w:rPr>
            </w:pPr>
            <w:r w:rsidRPr="00890249">
              <w:rPr>
                <w:rFonts w:asciiTheme="minorHAnsi" w:hAnsiTheme="minorHAnsi" w:cstheme="minorHAnsi"/>
                <w:i/>
                <w:noProof/>
                <w:sz w:val="18"/>
                <w:szCs w:val="16"/>
              </w:rPr>
              <w:t>Wskaźniki referencyjne: PLFCO03 + PLFCO04</w:t>
            </w:r>
          </w:p>
        </w:tc>
      </w:tr>
      <w:tr w:rsidR="00F45D63" w:rsidRPr="00890249" w14:paraId="22A6FF17" w14:textId="77777777" w:rsidTr="00E03FED">
        <w:trPr>
          <w:trHeight w:val="434"/>
        </w:trPr>
        <w:tc>
          <w:tcPr>
            <w:tcW w:w="287" w:type="pct"/>
            <w:vAlign w:val="center"/>
          </w:tcPr>
          <w:p w14:paraId="7EAE5AE9" w14:textId="77777777" w:rsidR="00F45D63" w:rsidRPr="00890249" w:rsidRDefault="00F45D63"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92" w:type="pct"/>
            <w:vAlign w:val="center"/>
          </w:tcPr>
          <w:p w14:paraId="01E29D00" w14:textId="77777777" w:rsidR="00F45D63" w:rsidRPr="00890249" w:rsidRDefault="00F45D63" w:rsidP="00F45D63">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f</w:t>
            </w:r>
          </w:p>
        </w:tc>
        <w:tc>
          <w:tcPr>
            <w:tcW w:w="392" w:type="pct"/>
            <w:vAlign w:val="center"/>
          </w:tcPr>
          <w:p w14:paraId="6DADC251" w14:textId="77777777" w:rsidR="00F45D63" w:rsidRPr="00890249" w:rsidRDefault="00F45D63" w:rsidP="00F45D63">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47" w:type="pct"/>
            <w:vAlign w:val="center"/>
          </w:tcPr>
          <w:p w14:paraId="3E049BE8" w14:textId="77777777" w:rsidR="00F45D63" w:rsidRPr="00890249" w:rsidRDefault="00F45D63"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348" w:type="pct"/>
            <w:vAlign w:val="center"/>
          </w:tcPr>
          <w:p w14:paraId="51DDF536" w14:textId="77777777" w:rsidR="00F45D63" w:rsidRPr="00890249" w:rsidRDefault="00957DD2"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PLFCR02</w:t>
            </w:r>
          </w:p>
        </w:tc>
        <w:tc>
          <w:tcPr>
            <w:tcW w:w="903" w:type="pct"/>
            <w:shd w:val="clear" w:color="auto" w:fill="auto"/>
            <w:vAlign w:val="center"/>
          </w:tcPr>
          <w:p w14:paraId="4B1501F7" w14:textId="77777777" w:rsidR="00F45D63" w:rsidRPr="00890249" w:rsidRDefault="00F45D63" w:rsidP="00F45D63">
            <w:pPr>
              <w:spacing w:before="60"/>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przedstawicieli kadry szkół i placówek systemu oświaty, którzy uzyskali kwalifikacje po opuszczeniu programu</w:t>
            </w:r>
          </w:p>
        </w:tc>
        <w:tc>
          <w:tcPr>
            <w:tcW w:w="318" w:type="pct"/>
            <w:vAlign w:val="center"/>
          </w:tcPr>
          <w:p w14:paraId="7FF94967" w14:textId="522C1DA4" w:rsidR="00F45D63" w:rsidRPr="00890249" w:rsidDel="00836311" w:rsidRDefault="00586C86" w:rsidP="00F45D63">
            <w:pPr>
              <w:jc w:val="center"/>
              <w:rPr>
                <w:rFonts w:asciiTheme="minorHAnsi" w:eastAsiaTheme="minorHAnsi" w:hAnsiTheme="minorHAnsi" w:cstheme="minorHAnsi"/>
                <w:i/>
                <w:sz w:val="18"/>
                <w:szCs w:val="16"/>
                <w:lang w:eastAsia="en-US" w:bidi="ar-SA"/>
              </w:rPr>
            </w:pPr>
            <w:r w:rsidRPr="00890249">
              <w:rPr>
                <w:rFonts w:asciiTheme="minorHAnsi" w:eastAsiaTheme="minorHAnsi" w:hAnsiTheme="minorHAnsi" w:cstheme="minorHAnsi"/>
                <w:i/>
                <w:sz w:val="18"/>
                <w:szCs w:val="16"/>
                <w:lang w:eastAsia="en-US" w:bidi="ar-SA"/>
              </w:rPr>
              <w:t>%</w:t>
            </w:r>
          </w:p>
        </w:tc>
        <w:tc>
          <w:tcPr>
            <w:tcW w:w="382" w:type="pct"/>
            <w:vAlign w:val="center"/>
          </w:tcPr>
          <w:p w14:paraId="1981EB1B" w14:textId="77777777" w:rsidR="00F45D63" w:rsidRPr="00890249" w:rsidRDefault="00957DD2" w:rsidP="00F45D6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50%</w:t>
            </w:r>
          </w:p>
        </w:tc>
        <w:tc>
          <w:tcPr>
            <w:tcW w:w="329" w:type="pct"/>
            <w:vAlign w:val="center"/>
          </w:tcPr>
          <w:p w14:paraId="282539DC" w14:textId="77777777" w:rsidR="00F45D63" w:rsidRPr="00890249" w:rsidRDefault="00957DD2" w:rsidP="00F45D6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0" w:type="pct"/>
            <w:shd w:val="clear" w:color="auto" w:fill="auto"/>
            <w:vAlign w:val="center"/>
          </w:tcPr>
          <w:p w14:paraId="3729789A" w14:textId="77777777" w:rsidR="00F45D63" w:rsidRPr="00890249" w:rsidRDefault="00957DD2" w:rsidP="00F45D6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90%</w:t>
            </w:r>
          </w:p>
        </w:tc>
        <w:tc>
          <w:tcPr>
            <w:tcW w:w="334" w:type="pct"/>
            <w:shd w:val="clear" w:color="auto" w:fill="auto"/>
            <w:vAlign w:val="center"/>
          </w:tcPr>
          <w:p w14:paraId="4D0470F4" w14:textId="77777777" w:rsidR="00F45D63" w:rsidRPr="00890249" w:rsidRDefault="006E088D" w:rsidP="00F45D63">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8" w:type="pct"/>
            <w:vAlign w:val="center"/>
          </w:tcPr>
          <w:p w14:paraId="3E6E25A5" w14:textId="0179FDD7" w:rsidR="00B72154" w:rsidRPr="00890249" w:rsidRDefault="001E4924" w:rsidP="00890249">
            <w:pPr>
              <w:rPr>
                <w:rFonts w:asciiTheme="minorHAnsi" w:hAnsiTheme="minorHAnsi" w:cstheme="minorHAnsi"/>
                <w:b/>
                <w:i/>
                <w:noProof/>
                <w:color w:val="003399"/>
                <w:sz w:val="18"/>
                <w:szCs w:val="16"/>
              </w:rPr>
            </w:pPr>
            <w:r w:rsidRPr="00890249">
              <w:rPr>
                <w:rFonts w:asciiTheme="minorHAnsi" w:hAnsiTheme="minorHAnsi" w:cstheme="minorHAnsi"/>
                <w:i/>
                <w:noProof/>
                <w:sz w:val="18"/>
                <w:szCs w:val="16"/>
              </w:rPr>
              <w:t>Wskaźnik referencyjny: PLFCO06</w:t>
            </w:r>
          </w:p>
        </w:tc>
      </w:tr>
    </w:tbl>
    <w:p w14:paraId="371FB727" w14:textId="77777777" w:rsidR="00701EDC" w:rsidRPr="00890249" w:rsidRDefault="00701EDC" w:rsidP="00701EDC">
      <w:pPr>
        <w:spacing w:before="240" w:after="240"/>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2.1.5.4.3(f) Orientacyjny podział zasobów programu (UE) według rodzaju interwencji</w:t>
      </w:r>
    </w:p>
    <w:tbl>
      <w:tblPr>
        <w:tblStyle w:val="Tabela-Siatka"/>
        <w:tblW w:w="0" w:type="auto"/>
        <w:tblLook w:val="04A0" w:firstRow="1" w:lastRow="0" w:firstColumn="1" w:lastColumn="0" w:noHBand="0" w:noVBand="1"/>
      </w:tblPr>
      <w:tblGrid>
        <w:gridCol w:w="1461"/>
        <w:gridCol w:w="1258"/>
        <w:gridCol w:w="1341"/>
        <w:gridCol w:w="1664"/>
        <w:gridCol w:w="1464"/>
        <w:gridCol w:w="1873"/>
      </w:tblGrid>
      <w:tr w:rsidR="00D917E1" w:rsidRPr="00890249" w14:paraId="62DE9DCE" w14:textId="77777777" w:rsidTr="008C67B3">
        <w:trPr>
          <w:tblHeader/>
        </w:trPr>
        <w:tc>
          <w:tcPr>
            <w:tcW w:w="9287" w:type="dxa"/>
            <w:gridSpan w:val="6"/>
            <w:shd w:val="clear" w:color="auto" w:fill="D9D9D9" w:themeFill="background1" w:themeFillShade="D9"/>
          </w:tcPr>
          <w:p w14:paraId="555CC42C" w14:textId="77777777" w:rsidR="00D917E1" w:rsidRPr="00890249" w:rsidRDefault="00D917E1"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D917E1" w:rsidRPr="00890249" w14:paraId="00529E19" w14:textId="77777777" w:rsidTr="008C67B3">
        <w:trPr>
          <w:tblHeader/>
        </w:trPr>
        <w:tc>
          <w:tcPr>
            <w:tcW w:w="1497" w:type="dxa"/>
            <w:shd w:val="clear" w:color="auto" w:fill="F2F2F2" w:themeFill="background1" w:themeFillShade="F2"/>
          </w:tcPr>
          <w:p w14:paraId="1158CF2A"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90" w:type="dxa"/>
            <w:shd w:val="clear" w:color="auto" w:fill="F2F2F2" w:themeFill="background1" w:themeFillShade="F2"/>
          </w:tcPr>
          <w:p w14:paraId="1710443E"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64" w:type="dxa"/>
            <w:shd w:val="clear" w:color="auto" w:fill="F2F2F2" w:themeFill="background1" w:themeFillShade="F2"/>
          </w:tcPr>
          <w:p w14:paraId="6616CB06"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01" w:type="dxa"/>
            <w:shd w:val="clear" w:color="auto" w:fill="F2F2F2" w:themeFill="background1" w:themeFillShade="F2"/>
          </w:tcPr>
          <w:p w14:paraId="1377907B"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464" w:type="dxa"/>
            <w:shd w:val="clear" w:color="auto" w:fill="F2F2F2" w:themeFill="background1" w:themeFillShade="F2"/>
          </w:tcPr>
          <w:p w14:paraId="6CEE765A"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71" w:type="dxa"/>
            <w:shd w:val="clear" w:color="auto" w:fill="F2F2F2" w:themeFill="background1" w:themeFillShade="F2"/>
          </w:tcPr>
          <w:p w14:paraId="133F5954"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774289" w:rsidRPr="00890249" w14:paraId="3C1D5F64" w14:textId="77777777" w:rsidTr="00774289">
        <w:trPr>
          <w:trHeight w:val="284"/>
        </w:trPr>
        <w:tc>
          <w:tcPr>
            <w:tcW w:w="1497" w:type="dxa"/>
            <w:vMerge w:val="restart"/>
            <w:vAlign w:val="center"/>
          </w:tcPr>
          <w:p w14:paraId="7C87C97E" w14:textId="77777777" w:rsidR="00774289" w:rsidRPr="00890249" w:rsidRDefault="00774289" w:rsidP="00F45D63">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290" w:type="dxa"/>
            <w:vMerge w:val="restart"/>
            <w:vAlign w:val="center"/>
          </w:tcPr>
          <w:p w14:paraId="0049F19F" w14:textId="77777777" w:rsidR="00774289" w:rsidRPr="00890249" w:rsidRDefault="00774289" w:rsidP="00BD5A2B">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64" w:type="dxa"/>
            <w:vMerge w:val="restart"/>
            <w:vAlign w:val="center"/>
          </w:tcPr>
          <w:p w14:paraId="2FC71297" w14:textId="77777777" w:rsidR="00774289" w:rsidRPr="00890249" w:rsidRDefault="00774289"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701" w:type="dxa"/>
            <w:vMerge w:val="restart"/>
            <w:vAlign w:val="center"/>
          </w:tcPr>
          <w:p w14:paraId="0320FCAF" w14:textId="77777777" w:rsidR="00774289" w:rsidRPr="00890249" w:rsidRDefault="00774289" w:rsidP="00F45D63">
            <w:pPr>
              <w:jc w:val="center"/>
              <w:rPr>
                <w:rFonts w:asciiTheme="minorHAnsi" w:hAnsiTheme="minorHAnsi" w:cstheme="minorHAnsi"/>
                <w:noProof/>
                <w:sz w:val="20"/>
              </w:rPr>
            </w:pPr>
            <w:r w:rsidRPr="00890249">
              <w:rPr>
                <w:rFonts w:asciiTheme="minorHAnsi" w:hAnsiTheme="minorHAnsi" w:cstheme="minorHAnsi"/>
                <w:noProof/>
                <w:sz w:val="20"/>
              </w:rPr>
              <w:t>(f)</w:t>
            </w:r>
          </w:p>
        </w:tc>
        <w:tc>
          <w:tcPr>
            <w:tcW w:w="1464" w:type="dxa"/>
          </w:tcPr>
          <w:p w14:paraId="238A6E90" w14:textId="77777777" w:rsidR="00774289" w:rsidRPr="00890249" w:rsidRDefault="00774289" w:rsidP="0028300B">
            <w:pPr>
              <w:jc w:val="center"/>
              <w:rPr>
                <w:rFonts w:asciiTheme="minorHAnsi" w:hAnsiTheme="minorHAnsi" w:cstheme="minorHAnsi"/>
                <w:noProof/>
                <w:sz w:val="20"/>
              </w:rPr>
            </w:pPr>
            <w:r w:rsidRPr="00890249">
              <w:rPr>
                <w:rFonts w:asciiTheme="minorHAnsi" w:hAnsiTheme="minorHAnsi" w:cstheme="minorHAnsi"/>
                <w:noProof/>
                <w:sz w:val="20"/>
              </w:rPr>
              <w:t>140 Wsparcie na rzecz dostosowania umiejętności i kwalifikacji zawodowych do potrzeb rynku pracy oraz na rzecz przepływów na rynku pracy</w:t>
            </w:r>
          </w:p>
        </w:tc>
        <w:tc>
          <w:tcPr>
            <w:tcW w:w="1971" w:type="dxa"/>
          </w:tcPr>
          <w:p w14:paraId="10C04B81" w14:textId="1F93F911" w:rsidR="00774289" w:rsidRPr="00890249" w:rsidRDefault="00FB44E7" w:rsidP="00BD5A2B">
            <w:pPr>
              <w:jc w:val="right"/>
              <w:rPr>
                <w:rFonts w:asciiTheme="minorHAnsi" w:hAnsiTheme="minorHAnsi" w:cstheme="minorHAnsi"/>
                <w:noProof/>
                <w:sz w:val="20"/>
              </w:rPr>
            </w:pPr>
            <w:r w:rsidRPr="00890249">
              <w:rPr>
                <w:rFonts w:asciiTheme="minorHAnsi" w:hAnsiTheme="minorHAnsi" w:cstheme="minorHAnsi"/>
                <w:noProof/>
                <w:sz w:val="20"/>
              </w:rPr>
              <w:t>9 900 000</w:t>
            </w:r>
          </w:p>
        </w:tc>
      </w:tr>
      <w:tr w:rsidR="00774289" w:rsidRPr="00890249" w14:paraId="0A82B4DD" w14:textId="77777777" w:rsidTr="00774289">
        <w:trPr>
          <w:trHeight w:val="284"/>
        </w:trPr>
        <w:tc>
          <w:tcPr>
            <w:tcW w:w="1497" w:type="dxa"/>
            <w:vMerge/>
          </w:tcPr>
          <w:p w14:paraId="4DE15CC3" w14:textId="77777777" w:rsidR="00774289" w:rsidRPr="00890249" w:rsidRDefault="00774289" w:rsidP="00BD5A2B">
            <w:pPr>
              <w:jc w:val="center"/>
              <w:rPr>
                <w:rFonts w:asciiTheme="minorHAnsi" w:hAnsiTheme="minorHAnsi" w:cstheme="minorHAnsi"/>
                <w:noProof/>
                <w:sz w:val="20"/>
              </w:rPr>
            </w:pPr>
          </w:p>
        </w:tc>
        <w:tc>
          <w:tcPr>
            <w:tcW w:w="1290" w:type="dxa"/>
            <w:vMerge/>
          </w:tcPr>
          <w:p w14:paraId="59B09216" w14:textId="77777777" w:rsidR="00774289" w:rsidRPr="00890249" w:rsidRDefault="00774289" w:rsidP="00BD5A2B">
            <w:pPr>
              <w:jc w:val="center"/>
              <w:rPr>
                <w:rFonts w:asciiTheme="minorHAnsi" w:hAnsiTheme="minorHAnsi" w:cstheme="minorHAnsi"/>
                <w:noProof/>
                <w:sz w:val="20"/>
              </w:rPr>
            </w:pPr>
          </w:p>
        </w:tc>
        <w:tc>
          <w:tcPr>
            <w:tcW w:w="1364" w:type="dxa"/>
            <w:vMerge/>
          </w:tcPr>
          <w:p w14:paraId="65E12963" w14:textId="77777777" w:rsidR="00774289" w:rsidRPr="00890249" w:rsidRDefault="00774289" w:rsidP="00BD5A2B">
            <w:pPr>
              <w:jc w:val="center"/>
              <w:rPr>
                <w:rFonts w:asciiTheme="minorHAnsi" w:hAnsiTheme="minorHAnsi" w:cstheme="minorHAnsi"/>
                <w:noProof/>
                <w:sz w:val="20"/>
              </w:rPr>
            </w:pPr>
          </w:p>
        </w:tc>
        <w:tc>
          <w:tcPr>
            <w:tcW w:w="1701" w:type="dxa"/>
            <w:vMerge/>
            <w:vAlign w:val="center"/>
          </w:tcPr>
          <w:p w14:paraId="09FD9B2D" w14:textId="77777777" w:rsidR="00774289" w:rsidRPr="00890249" w:rsidRDefault="00774289" w:rsidP="00BD5A2B">
            <w:pPr>
              <w:jc w:val="center"/>
              <w:rPr>
                <w:rFonts w:asciiTheme="minorHAnsi" w:hAnsiTheme="minorHAnsi" w:cstheme="minorHAnsi"/>
                <w:noProof/>
                <w:sz w:val="20"/>
              </w:rPr>
            </w:pPr>
          </w:p>
        </w:tc>
        <w:tc>
          <w:tcPr>
            <w:tcW w:w="1464" w:type="dxa"/>
          </w:tcPr>
          <w:p w14:paraId="6136C983" w14:textId="77777777" w:rsidR="00774289" w:rsidRPr="00890249" w:rsidDel="00CA473D" w:rsidRDefault="00774289" w:rsidP="00CA473D">
            <w:pPr>
              <w:jc w:val="center"/>
              <w:rPr>
                <w:rFonts w:asciiTheme="minorHAnsi" w:hAnsiTheme="minorHAnsi" w:cstheme="minorHAnsi"/>
                <w:noProof/>
                <w:sz w:val="20"/>
              </w:rPr>
            </w:pPr>
            <w:r w:rsidRPr="00890249">
              <w:rPr>
                <w:rFonts w:asciiTheme="minorHAnsi" w:hAnsiTheme="minorHAnsi" w:cstheme="minorHAnsi"/>
                <w:noProof/>
                <w:sz w:val="20"/>
              </w:rPr>
              <w:t>148 Wsparcie na rzecz wczesnej edukacji i opieki nad dzieckiem (z wyłączeniem infrastruktury)</w:t>
            </w:r>
          </w:p>
        </w:tc>
        <w:tc>
          <w:tcPr>
            <w:tcW w:w="1971" w:type="dxa"/>
          </w:tcPr>
          <w:p w14:paraId="0DDDA153" w14:textId="056CE6F2" w:rsidR="00774289" w:rsidRPr="00890249" w:rsidRDefault="003B5787">
            <w:pPr>
              <w:jc w:val="right"/>
              <w:rPr>
                <w:rFonts w:asciiTheme="minorHAnsi" w:hAnsiTheme="minorHAnsi" w:cstheme="minorHAnsi"/>
                <w:noProof/>
                <w:sz w:val="20"/>
              </w:rPr>
            </w:pPr>
            <w:r>
              <w:rPr>
                <w:rFonts w:asciiTheme="minorHAnsi" w:hAnsiTheme="minorHAnsi" w:cstheme="minorHAnsi"/>
                <w:noProof/>
                <w:sz w:val="20"/>
              </w:rPr>
              <w:br/>
            </w:r>
            <w:r w:rsidR="005A1433">
              <w:rPr>
                <w:rFonts w:asciiTheme="minorHAnsi" w:hAnsiTheme="minorHAnsi" w:cstheme="minorHAnsi"/>
                <w:noProof/>
                <w:sz w:val="20"/>
              </w:rPr>
              <w:t>6 150 000</w:t>
            </w:r>
          </w:p>
        </w:tc>
      </w:tr>
      <w:tr w:rsidR="00774289" w:rsidRPr="00890249" w14:paraId="4A416AED" w14:textId="77777777" w:rsidTr="00774289">
        <w:trPr>
          <w:trHeight w:val="284"/>
        </w:trPr>
        <w:tc>
          <w:tcPr>
            <w:tcW w:w="1497" w:type="dxa"/>
            <w:vMerge/>
          </w:tcPr>
          <w:p w14:paraId="53612F3E" w14:textId="77777777" w:rsidR="00774289" w:rsidRPr="00890249" w:rsidRDefault="00774289" w:rsidP="00BD5A2B">
            <w:pPr>
              <w:jc w:val="center"/>
              <w:rPr>
                <w:rFonts w:asciiTheme="minorHAnsi" w:hAnsiTheme="minorHAnsi" w:cstheme="minorHAnsi"/>
                <w:noProof/>
                <w:sz w:val="20"/>
              </w:rPr>
            </w:pPr>
          </w:p>
        </w:tc>
        <w:tc>
          <w:tcPr>
            <w:tcW w:w="1290" w:type="dxa"/>
            <w:vMerge/>
          </w:tcPr>
          <w:p w14:paraId="525E36C3" w14:textId="77777777" w:rsidR="00774289" w:rsidRPr="00890249" w:rsidRDefault="00774289" w:rsidP="00BD5A2B">
            <w:pPr>
              <w:jc w:val="center"/>
              <w:rPr>
                <w:rFonts w:asciiTheme="minorHAnsi" w:hAnsiTheme="minorHAnsi" w:cstheme="minorHAnsi"/>
                <w:noProof/>
                <w:sz w:val="20"/>
              </w:rPr>
            </w:pPr>
          </w:p>
        </w:tc>
        <w:tc>
          <w:tcPr>
            <w:tcW w:w="1364" w:type="dxa"/>
            <w:vMerge/>
          </w:tcPr>
          <w:p w14:paraId="0367BD7F" w14:textId="77777777" w:rsidR="00774289" w:rsidRPr="00890249" w:rsidRDefault="00774289" w:rsidP="00BD5A2B">
            <w:pPr>
              <w:jc w:val="center"/>
              <w:rPr>
                <w:rFonts w:asciiTheme="minorHAnsi" w:hAnsiTheme="minorHAnsi" w:cstheme="minorHAnsi"/>
                <w:noProof/>
                <w:sz w:val="20"/>
              </w:rPr>
            </w:pPr>
          </w:p>
        </w:tc>
        <w:tc>
          <w:tcPr>
            <w:tcW w:w="1701" w:type="dxa"/>
            <w:vMerge/>
            <w:vAlign w:val="center"/>
          </w:tcPr>
          <w:p w14:paraId="3DDD5EC5" w14:textId="77777777" w:rsidR="00774289" w:rsidRPr="00890249" w:rsidRDefault="00774289" w:rsidP="00BD5A2B">
            <w:pPr>
              <w:jc w:val="center"/>
              <w:rPr>
                <w:rFonts w:asciiTheme="minorHAnsi" w:hAnsiTheme="minorHAnsi" w:cstheme="minorHAnsi"/>
                <w:noProof/>
                <w:sz w:val="20"/>
              </w:rPr>
            </w:pPr>
          </w:p>
        </w:tc>
        <w:tc>
          <w:tcPr>
            <w:tcW w:w="1464" w:type="dxa"/>
          </w:tcPr>
          <w:p w14:paraId="708976CB" w14:textId="77777777" w:rsidR="00774289" w:rsidRPr="00890249" w:rsidRDefault="00774289" w:rsidP="00CA473D">
            <w:pPr>
              <w:jc w:val="center"/>
              <w:rPr>
                <w:rFonts w:asciiTheme="minorHAnsi" w:hAnsiTheme="minorHAnsi" w:cstheme="minorHAnsi"/>
                <w:noProof/>
                <w:sz w:val="20"/>
              </w:rPr>
            </w:pPr>
            <w:r w:rsidRPr="00890249">
              <w:rPr>
                <w:rFonts w:asciiTheme="minorHAnsi" w:hAnsiTheme="minorHAnsi" w:cstheme="minorHAnsi"/>
                <w:noProof/>
                <w:sz w:val="20"/>
              </w:rPr>
              <w:t>149 Wsparcie na rzecz szkolnictwa podstawowego i średniego (z wyłączeniem infrastruktury)</w:t>
            </w:r>
          </w:p>
        </w:tc>
        <w:tc>
          <w:tcPr>
            <w:tcW w:w="1971" w:type="dxa"/>
          </w:tcPr>
          <w:p w14:paraId="649F31AB" w14:textId="3DE49580" w:rsidR="00774289" w:rsidRPr="00890249" w:rsidRDefault="005A1433" w:rsidP="00BD5A2B">
            <w:pPr>
              <w:jc w:val="right"/>
              <w:rPr>
                <w:rFonts w:asciiTheme="minorHAnsi" w:hAnsiTheme="minorHAnsi" w:cstheme="minorHAnsi"/>
                <w:noProof/>
                <w:sz w:val="20"/>
              </w:rPr>
            </w:pPr>
            <w:r>
              <w:rPr>
                <w:rFonts w:asciiTheme="minorHAnsi" w:hAnsiTheme="minorHAnsi" w:cstheme="minorHAnsi"/>
                <w:noProof/>
                <w:sz w:val="20"/>
              </w:rPr>
              <w:t>14 500 000</w:t>
            </w:r>
          </w:p>
        </w:tc>
      </w:tr>
      <w:tr w:rsidR="00774289" w:rsidRPr="00890249" w14:paraId="22DB8EB8" w14:textId="77777777" w:rsidTr="00774289">
        <w:trPr>
          <w:trHeight w:val="284"/>
        </w:trPr>
        <w:tc>
          <w:tcPr>
            <w:tcW w:w="1497" w:type="dxa"/>
            <w:vMerge/>
          </w:tcPr>
          <w:p w14:paraId="4AAFDEF6" w14:textId="77777777" w:rsidR="00774289" w:rsidRPr="00890249" w:rsidRDefault="00774289" w:rsidP="00BD5A2B">
            <w:pPr>
              <w:jc w:val="center"/>
              <w:rPr>
                <w:rFonts w:asciiTheme="minorHAnsi" w:hAnsiTheme="minorHAnsi" w:cstheme="minorHAnsi"/>
                <w:noProof/>
                <w:sz w:val="20"/>
              </w:rPr>
            </w:pPr>
          </w:p>
        </w:tc>
        <w:tc>
          <w:tcPr>
            <w:tcW w:w="1290" w:type="dxa"/>
            <w:vMerge/>
          </w:tcPr>
          <w:p w14:paraId="58096D8A" w14:textId="77777777" w:rsidR="00774289" w:rsidRPr="00890249" w:rsidRDefault="00774289" w:rsidP="00BD5A2B">
            <w:pPr>
              <w:jc w:val="center"/>
              <w:rPr>
                <w:rFonts w:asciiTheme="minorHAnsi" w:hAnsiTheme="minorHAnsi" w:cstheme="minorHAnsi"/>
                <w:noProof/>
                <w:sz w:val="20"/>
              </w:rPr>
            </w:pPr>
          </w:p>
        </w:tc>
        <w:tc>
          <w:tcPr>
            <w:tcW w:w="1364" w:type="dxa"/>
            <w:vMerge/>
          </w:tcPr>
          <w:p w14:paraId="7CBC2FBB" w14:textId="77777777" w:rsidR="00774289" w:rsidRPr="00890249" w:rsidRDefault="00774289" w:rsidP="00BD5A2B">
            <w:pPr>
              <w:jc w:val="center"/>
              <w:rPr>
                <w:rFonts w:asciiTheme="minorHAnsi" w:hAnsiTheme="minorHAnsi" w:cstheme="minorHAnsi"/>
                <w:noProof/>
                <w:sz w:val="20"/>
              </w:rPr>
            </w:pPr>
          </w:p>
        </w:tc>
        <w:tc>
          <w:tcPr>
            <w:tcW w:w="1701" w:type="dxa"/>
            <w:vMerge/>
            <w:vAlign w:val="center"/>
          </w:tcPr>
          <w:p w14:paraId="5A8008A6" w14:textId="77777777" w:rsidR="00774289" w:rsidRPr="00890249" w:rsidRDefault="00774289" w:rsidP="00BD5A2B">
            <w:pPr>
              <w:jc w:val="center"/>
              <w:rPr>
                <w:rFonts w:asciiTheme="minorHAnsi" w:hAnsiTheme="minorHAnsi" w:cstheme="minorHAnsi"/>
                <w:noProof/>
                <w:sz w:val="20"/>
              </w:rPr>
            </w:pPr>
          </w:p>
        </w:tc>
        <w:tc>
          <w:tcPr>
            <w:tcW w:w="1464" w:type="dxa"/>
          </w:tcPr>
          <w:p w14:paraId="7CD8C1E9" w14:textId="77777777" w:rsidR="00774289" w:rsidRPr="00890249" w:rsidRDefault="00774289" w:rsidP="00CA473D">
            <w:pPr>
              <w:jc w:val="center"/>
              <w:rPr>
                <w:rFonts w:asciiTheme="minorHAnsi" w:hAnsiTheme="minorHAnsi" w:cstheme="minorHAnsi"/>
                <w:noProof/>
                <w:sz w:val="20"/>
              </w:rPr>
            </w:pPr>
            <w:r w:rsidRPr="00890249">
              <w:rPr>
                <w:rFonts w:asciiTheme="minorHAnsi" w:hAnsiTheme="minorHAnsi" w:cstheme="minorHAnsi"/>
                <w:noProof/>
                <w:sz w:val="20"/>
              </w:rPr>
              <w:t>163 Promowanie integracji społecznej osób zagrożonych ubóstwem lub wykluczeniem społecznym, w tym osób najbardziej potrzebujących i dzieci</w:t>
            </w:r>
          </w:p>
        </w:tc>
        <w:tc>
          <w:tcPr>
            <w:tcW w:w="1971" w:type="dxa"/>
          </w:tcPr>
          <w:p w14:paraId="22940048" w14:textId="692551AC" w:rsidR="00774289" w:rsidRPr="00890249" w:rsidRDefault="003B5787" w:rsidP="0034164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r>
            <w:r w:rsidR="005A1433">
              <w:rPr>
                <w:rFonts w:asciiTheme="minorHAnsi" w:hAnsiTheme="minorHAnsi" w:cstheme="minorHAnsi"/>
                <w:noProof/>
                <w:sz w:val="20"/>
              </w:rPr>
              <w:t>4 950 000</w:t>
            </w:r>
          </w:p>
        </w:tc>
      </w:tr>
    </w:tbl>
    <w:p w14:paraId="5C7F1A24" w14:textId="5B96D312" w:rsidR="00D917E1" w:rsidRPr="00890249" w:rsidRDefault="00D917E1" w:rsidP="00BE3318">
      <w:pPr>
        <w:spacing w:before="0" w:after="160" w:line="259" w:lineRule="auto"/>
        <w:jc w:val="left"/>
        <w:rPr>
          <w:rFonts w:asciiTheme="minorHAnsi" w:hAnsiTheme="minorHAnsi" w:cstheme="minorHAnsi"/>
          <w:b/>
          <w:noProof/>
          <w:sz w:val="22"/>
          <w:szCs w:val="22"/>
        </w:rPr>
      </w:pPr>
    </w:p>
    <w:tbl>
      <w:tblPr>
        <w:tblStyle w:val="Tabela-Siatka"/>
        <w:tblW w:w="0" w:type="auto"/>
        <w:tblLook w:val="04A0" w:firstRow="1" w:lastRow="0" w:firstColumn="1" w:lastColumn="0" w:noHBand="0" w:noVBand="1"/>
      </w:tblPr>
      <w:tblGrid>
        <w:gridCol w:w="1564"/>
        <w:gridCol w:w="1351"/>
        <w:gridCol w:w="1409"/>
        <w:gridCol w:w="1617"/>
        <w:gridCol w:w="1039"/>
        <w:gridCol w:w="2081"/>
      </w:tblGrid>
      <w:tr w:rsidR="00D917E1" w:rsidRPr="00890249" w14:paraId="0191DE17" w14:textId="77777777" w:rsidTr="00E3427C">
        <w:tc>
          <w:tcPr>
            <w:tcW w:w="9288" w:type="dxa"/>
            <w:gridSpan w:val="6"/>
            <w:shd w:val="clear" w:color="auto" w:fill="D9D9D9" w:themeFill="background1" w:themeFillShade="D9"/>
          </w:tcPr>
          <w:p w14:paraId="131AADFF" w14:textId="77777777" w:rsidR="00D917E1" w:rsidRPr="00890249" w:rsidRDefault="00D917E1"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D917E1" w:rsidRPr="00890249" w14:paraId="2DC7058F" w14:textId="77777777" w:rsidTr="00E3427C">
        <w:tc>
          <w:tcPr>
            <w:tcW w:w="1599" w:type="dxa"/>
            <w:shd w:val="clear" w:color="auto" w:fill="F2F2F2" w:themeFill="background1" w:themeFillShade="F2"/>
          </w:tcPr>
          <w:p w14:paraId="5401D2A6"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64FB1048"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0EAC87A1"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0BDBED6E"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0F304272"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4971CCB5" w14:textId="77777777" w:rsidR="00D917E1" w:rsidRPr="00890249" w:rsidRDefault="00D917E1" w:rsidP="00E3427C">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917E1" w:rsidRPr="00890249" w14:paraId="5E1AB738" w14:textId="77777777" w:rsidTr="00890249">
        <w:tc>
          <w:tcPr>
            <w:tcW w:w="1599" w:type="dxa"/>
            <w:vAlign w:val="center"/>
          </w:tcPr>
          <w:p w14:paraId="472D1591" w14:textId="77777777" w:rsidR="00D917E1" w:rsidRPr="00890249" w:rsidRDefault="00D917E1" w:rsidP="00F45D6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27A1349E"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r w:rsidR="0054388E" w:rsidRPr="00890249">
              <w:rPr>
                <w:rFonts w:asciiTheme="minorHAnsi" w:eastAsia="Times New Roman" w:hAnsiTheme="minorHAnsi" w:cstheme="minorHAnsi"/>
                <w:iCs/>
                <w:noProof/>
                <w:sz w:val="20"/>
              </w:rPr>
              <w:t>+</w:t>
            </w:r>
          </w:p>
        </w:tc>
        <w:tc>
          <w:tcPr>
            <w:tcW w:w="1433" w:type="dxa"/>
            <w:vAlign w:val="center"/>
          </w:tcPr>
          <w:p w14:paraId="6E6C5C2D" w14:textId="77777777" w:rsidR="00D917E1" w:rsidRPr="00890249" w:rsidRDefault="00D917E1"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4E190ED3" w14:textId="77777777" w:rsidR="00D917E1" w:rsidRPr="00890249" w:rsidRDefault="00D917E1" w:rsidP="00F45D63">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r w:rsidR="00F45D63" w:rsidRPr="00890249">
              <w:rPr>
                <w:rFonts w:asciiTheme="minorHAnsi" w:eastAsia="Times New Roman" w:hAnsiTheme="minorHAnsi" w:cstheme="minorHAnsi"/>
                <w:iCs/>
                <w:noProof/>
                <w:sz w:val="20"/>
              </w:rPr>
              <w:t>f</w:t>
            </w:r>
            <w:r w:rsidRPr="00890249">
              <w:rPr>
                <w:rFonts w:asciiTheme="minorHAnsi" w:eastAsia="Times New Roman" w:hAnsiTheme="minorHAnsi" w:cstheme="minorHAnsi"/>
                <w:iCs/>
                <w:noProof/>
                <w:sz w:val="20"/>
              </w:rPr>
              <w:t>)</w:t>
            </w:r>
          </w:p>
        </w:tc>
        <w:tc>
          <w:tcPr>
            <w:tcW w:w="1053" w:type="dxa"/>
          </w:tcPr>
          <w:p w14:paraId="325AA4D2" w14:textId="77777777" w:rsidR="00D917E1" w:rsidRPr="00890249" w:rsidRDefault="00D917E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1F6306" w:rsidRPr="00890249">
              <w:rPr>
                <w:rFonts w:asciiTheme="minorHAnsi" w:eastAsia="Times New Roman" w:hAnsiTheme="minorHAnsi" w:cstheme="minorHAnsi"/>
                <w:iCs/>
                <w:noProof/>
                <w:sz w:val="20"/>
              </w:rPr>
              <w:t xml:space="preserve"> Dotacja</w:t>
            </w:r>
          </w:p>
        </w:tc>
        <w:tc>
          <w:tcPr>
            <w:tcW w:w="2175" w:type="dxa"/>
          </w:tcPr>
          <w:p w14:paraId="5A71E2E8" w14:textId="57BB139E" w:rsidR="00D917E1" w:rsidRPr="00890249" w:rsidRDefault="005A1433" w:rsidP="00BD5A2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35 500 000</w:t>
            </w:r>
          </w:p>
        </w:tc>
      </w:tr>
    </w:tbl>
    <w:p w14:paraId="41F3D07C" w14:textId="77777777" w:rsidR="00D917E1" w:rsidRPr="00890249" w:rsidRDefault="00D917E1" w:rsidP="00DE5D95">
      <w:pPr>
        <w:spacing w:before="0" w:after="240"/>
        <w:rPr>
          <w:rFonts w:asciiTheme="minorHAnsi" w:hAnsiTheme="minorHAnsi" w:cstheme="minorHAnsi"/>
          <w:b/>
          <w:noProof/>
          <w:sz w:val="22"/>
          <w:szCs w:val="22"/>
        </w:rPr>
      </w:pPr>
    </w:p>
    <w:tbl>
      <w:tblPr>
        <w:tblStyle w:val="Tabela-Siatka"/>
        <w:tblW w:w="0" w:type="auto"/>
        <w:tblLook w:val="04A0" w:firstRow="1" w:lastRow="0" w:firstColumn="1" w:lastColumn="0" w:noHBand="0" w:noVBand="1"/>
      </w:tblPr>
      <w:tblGrid>
        <w:gridCol w:w="1483"/>
        <w:gridCol w:w="1278"/>
        <w:gridCol w:w="1355"/>
        <w:gridCol w:w="1557"/>
        <w:gridCol w:w="1520"/>
        <w:gridCol w:w="1868"/>
      </w:tblGrid>
      <w:tr w:rsidR="00D917E1" w:rsidRPr="00890249" w14:paraId="1A8449C6" w14:textId="77777777" w:rsidTr="00F96149">
        <w:tc>
          <w:tcPr>
            <w:tcW w:w="9288" w:type="dxa"/>
            <w:gridSpan w:val="6"/>
            <w:shd w:val="clear" w:color="auto" w:fill="D9D9D9" w:themeFill="background1" w:themeFillShade="D9"/>
          </w:tcPr>
          <w:p w14:paraId="41920987" w14:textId="0F9008DC" w:rsidR="00D917E1" w:rsidRPr="00890249" w:rsidRDefault="00D917E1" w:rsidP="0028300B">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0028300B" w:rsidRPr="00890249">
              <w:rPr>
                <w:rFonts w:asciiTheme="minorHAnsi" w:hAnsiTheme="minorHAnsi" w:cstheme="minorHAnsi"/>
                <w:b/>
                <w:noProof/>
                <w:sz w:val="20"/>
              </w:rPr>
              <w:t>: Wymiar</w:t>
            </w:r>
            <w:r w:rsidR="001206F6">
              <w:rPr>
                <w:rFonts w:asciiTheme="minorHAnsi" w:hAnsiTheme="minorHAnsi" w:cstheme="minorHAnsi"/>
                <w:b/>
                <w:noProof/>
                <w:sz w:val="20"/>
              </w:rPr>
              <w:t xml:space="preserve"> 3 </w:t>
            </w:r>
            <w:r w:rsidRPr="00890249">
              <w:rPr>
                <w:rFonts w:asciiTheme="minorHAnsi" w:hAnsiTheme="minorHAnsi" w:cstheme="minorHAnsi"/>
                <w:b/>
                <w:noProof/>
                <w:sz w:val="20"/>
              </w:rPr>
              <w:t xml:space="preserve"> – terytorialny mechanizm realizacji i ukierunkowanie terytorialne</w:t>
            </w:r>
          </w:p>
        </w:tc>
      </w:tr>
      <w:tr w:rsidR="00D917E1" w:rsidRPr="00890249" w14:paraId="775E107A" w14:textId="77777777" w:rsidTr="00F96149">
        <w:tc>
          <w:tcPr>
            <w:tcW w:w="1599" w:type="dxa"/>
            <w:shd w:val="clear" w:color="auto" w:fill="F2F2F2" w:themeFill="background1" w:themeFillShade="F2"/>
          </w:tcPr>
          <w:p w14:paraId="600F0094"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3A960AD4"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292A316C"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52B6BDDF"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479EF259"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7C40E1C"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040F2" w:rsidRPr="00890249" w14:paraId="17F78BE3" w14:textId="77777777" w:rsidTr="00F62734">
        <w:tc>
          <w:tcPr>
            <w:tcW w:w="1599" w:type="dxa"/>
            <w:shd w:val="clear" w:color="auto" w:fill="auto"/>
            <w:vAlign w:val="center"/>
          </w:tcPr>
          <w:p w14:paraId="6EAAFD05" w14:textId="77777777" w:rsidR="00D040F2" w:rsidRPr="00890249" w:rsidRDefault="00875C92" w:rsidP="00F96149">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84" w:type="dxa"/>
            <w:shd w:val="clear" w:color="auto" w:fill="auto"/>
            <w:vAlign w:val="center"/>
          </w:tcPr>
          <w:p w14:paraId="30B9ADD1" w14:textId="77777777" w:rsidR="00D040F2" w:rsidRPr="00890249" w:rsidRDefault="00875C92" w:rsidP="00F96149">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433" w:type="dxa"/>
            <w:shd w:val="clear" w:color="auto" w:fill="auto"/>
            <w:vAlign w:val="center"/>
          </w:tcPr>
          <w:p w14:paraId="5E4DEE49" w14:textId="77777777" w:rsidR="00D040F2" w:rsidRPr="00890249" w:rsidRDefault="00875C92" w:rsidP="00F96149">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shd w:val="clear" w:color="auto" w:fill="auto"/>
            <w:vAlign w:val="center"/>
          </w:tcPr>
          <w:p w14:paraId="6EBB4BAC" w14:textId="77777777" w:rsidR="00D040F2" w:rsidRPr="00890249" w:rsidRDefault="00875C92" w:rsidP="00F96149">
            <w:pPr>
              <w:jc w:val="center"/>
              <w:rPr>
                <w:rFonts w:asciiTheme="minorHAnsi" w:hAnsiTheme="minorHAnsi" w:cstheme="minorHAnsi"/>
                <w:noProof/>
                <w:sz w:val="20"/>
              </w:rPr>
            </w:pPr>
            <w:r w:rsidRPr="00890249">
              <w:rPr>
                <w:rFonts w:asciiTheme="minorHAnsi" w:hAnsiTheme="minorHAnsi" w:cstheme="minorHAnsi"/>
                <w:noProof/>
                <w:sz w:val="20"/>
              </w:rPr>
              <w:t>(f)</w:t>
            </w:r>
          </w:p>
        </w:tc>
        <w:tc>
          <w:tcPr>
            <w:tcW w:w="1053" w:type="dxa"/>
            <w:shd w:val="clear" w:color="auto" w:fill="auto"/>
          </w:tcPr>
          <w:p w14:paraId="2252E791" w14:textId="77777777" w:rsidR="00D040F2" w:rsidRPr="00890249" w:rsidRDefault="00875C92" w:rsidP="00F96149">
            <w:pPr>
              <w:jc w:val="center"/>
              <w:rPr>
                <w:rFonts w:asciiTheme="minorHAnsi" w:hAnsiTheme="minorHAnsi" w:cstheme="minorHAnsi"/>
                <w:noProof/>
                <w:sz w:val="20"/>
              </w:rPr>
            </w:pPr>
            <w:r w:rsidRPr="00890249">
              <w:rPr>
                <w:rFonts w:asciiTheme="minorHAnsi" w:hAnsiTheme="minorHAnsi" w:cstheme="minorHAnsi"/>
                <w:noProof/>
                <w:sz w:val="20"/>
              </w:rPr>
              <w:t>33</w:t>
            </w:r>
            <w:r w:rsidR="00DC760C" w:rsidRPr="00890249">
              <w:rPr>
                <w:rFonts w:asciiTheme="minorHAnsi" w:hAnsiTheme="minorHAnsi" w:cstheme="minorHAnsi"/>
                <w:noProof/>
                <w:sz w:val="20"/>
              </w:rPr>
              <w:t xml:space="preserve"> Brak ukierunkowania terytorialnego</w:t>
            </w:r>
          </w:p>
        </w:tc>
        <w:tc>
          <w:tcPr>
            <w:tcW w:w="2175" w:type="dxa"/>
            <w:shd w:val="clear" w:color="auto" w:fill="auto"/>
          </w:tcPr>
          <w:p w14:paraId="618A76AC" w14:textId="23B0A741" w:rsidR="00B72154" w:rsidRPr="00890249" w:rsidRDefault="005A1433" w:rsidP="00890249">
            <w:pPr>
              <w:jc w:val="right"/>
              <w:rPr>
                <w:rFonts w:asciiTheme="minorHAnsi" w:hAnsiTheme="minorHAnsi" w:cstheme="minorHAnsi"/>
                <w:noProof/>
                <w:sz w:val="20"/>
              </w:rPr>
            </w:pPr>
            <w:r>
              <w:rPr>
                <w:rFonts w:asciiTheme="minorHAnsi" w:hAnsiTheme="minorHAnsi" w:cstheme="minorHAnsi"/>
                <w:noProof/>
                <w:sz w:val="20"/>
              </w:rPr>
              <w:t>35 500 000</w:t>
            </w:r>
          </w:p>
        </w:tc>
      </w:tr>
    </w:tbl>
    <w:p w14:paraId="61FDEF39" w14:textId="30E0BF38" w:rsidR="008C67B3" w:rsidRDefault="008C67B3" w:rsidP="00D917E1">
      <w:pPr>
        <w:spacing w:after="0"/>
        <w:rPr>
          <w:rFonts w:asciiTheme="minorHAnsi" w:eastAsia="Times New Roman" w:hAnsiTheme="minorHAnsi" w:cstheme="minorHAnsi"/>
          <w:b/>
          <w:iCs/>
          <w:noProof/>
          <w:szCs w:val="24"/>
        </w:rPr>
      </w:pPr>
    </w:p>
    <w:p w14:paraId="7FDF3427" w14:textId="65B22E2D" w:rsidR="00D917E1" w:rsidRPr="00890249" w:rsidRDefault="008C67B3" w:rsidP="008C67B3">
      <w:pPr>
        <w:spacing w:before="0" w:after="160" w:line="259" w:lineRule="auto"/>
        <w:jc w:val="left"/>
        <w:rPr>
          <w:rFonts w:asciiTheme="minorHAnsi" w:eastAsia="Times New Roman" w:hAnsiTheme="minorHAnsi" w:cstheme="minorHAnsi"/>
          <w:b/>
          <w:iCs/>
          <w:noProof/>
          <w:szCs w:val="24"/>
        </w:rPr>
      </w:pPr>
      <w:r>
        <w:rPr>
          <w:rFonts w:asciiTheme="minorHAnsi" w:eastAsia="Times New Roman" w:hAnsiTheme="minorHAnsi" w:cstheme="minorHAnsi"/>
          <w:b/>
          <w:iCs/>
          <w:noProof/>
          <w:szCs w:val="24"/>
        </w:rPr>
        <w:br w:type="page"/>
      </w:r>
    </w:p>
    <w:tbl>
      <w:tblPr>
        <w:tblStyle w:val="Tabela-Siatka"/>
        <w:tblW w:w="9322" w:type="dxa"/>
        <w:tblLook w:val="04A0" w:firstRow="1" w:lastRow="0" w:firstColumn="1" w:lastColumn="0" w:noHBand="0" w:noVBand="1"/>
      </w:tblPr>
      <w:tblGrid>
        <w:gridCol w:w="1457"/>
        <w:gridCol w:w="1255"/>
        <w:gridCol w:w="1339"/>
        <w:gridCol w:w="1539"/>
        <w:gridCol w:w="1651"/>
        <w:gridCol w:w="2081"/>
      </w:tblGrid>
      <w:tr w:rsidR="00D917E1" w:rsidRPr="00890249" w14:paraId="5A7B9D0E" w14:textId="77777777" w:rsidTr="003D6E86">
        <w:tc>
          <w:tcPr>
            <w:tcW w:w="9322" w:type="dxa"/>
            <w:gridSpan w:val="6"/>
            <w:shd w:val="clear" w:color="auto" w:fill="D9D9D9" w:themeFill="background1" w:themeFillShade="D9"/>
          </w:tcPr>
          <w:p w14:paraId="65CF3D9D" w14:textId="77777777" w:rsidR="00D917E1" w:rsidRPr="00890249" w:rsidRDefault="00D917E1" w:rsidP="00E014DF">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Tabela 7: Wymiar 6 –</w:t>
            </w:r>
            <w:r w:rsidR="00E014DF" w:rsidRPr="00890249">
              <w:rPr>
                <w:rFonts w:asciiTheme="minorHAnsi" w:hAnsiTheme="minorHAnsi" w:cstheme="minorHAnsi"/>
                <w:b/>
                <w:noProof/>
                <w:sz w:val="20"/>
              </w:rPr>
              <w:t xml:space="preserve"> uzupełniające obszary</w:t>
            </w:r>
            <w:r w:rsidRPr="00890249">
              <w:rPr>
                <w:rFonts w:asciiTheme="minorHAnsi" w:hAnsiTheme="minorHAnsi" w:cstheme="minorHAnsi"/>
                <w:b/>
                <w:noProof/>
                <w:sz w:val="20"/>
              </w:rPr>
              <w:t xml:space="preserve"> tematy</w:t>
            </w:r>
            <w:r w:rsidR="00E014DF" w:rsidRPr="00890249">
              <w:rPr>
                <w:rFonts w:asciiTheme="minorHAnsi" w:hAnsiTheme="minorHAnsi" w:cstheme="minorHAnsi"/>
                <w:b/>
                <w:noProof/>
                <w:sz w:val="20"/>
              </w:rPr>
              <w:t>czne</w:t>
            </w:r>
            <w:r w:rsidRPr="00890249">
              <w:rPr>
                <w:rFonts w:asciiTheme="minorHAnsi" w:hAnsiTheme="minorHAnsi" w:cstheme="minorHAnsi"/>
                <w:b/>
                <w:noProof/>
                <w:sz w:val="20"/>
              </w:rPr>
              <w:t xml:space="preserve"> EFS+</w:t>
            </w:r>
          </w:p>
        </w:tc>
      </w:tr>
      <w:tr w:rsidR="00D917E1" w:rsidRPr="00890249" w14:paraId="454B948F" w14:textId="77777777" w:rsidTr="00533EC2">
        <w:tc>
          <w:tcPr>
            <w:tcW w:w="1457" w:type="dxa"/>
            <w:shd w:val="clear" w:color="auto" w:fill="F2F2F2" w:themeFill="background1" w:themeFillShade="F2"/>
          </w:tcPr>
          <w:p w14:paraId="534506F0"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55" w:type="dxa"/>
            <w:shd w:val="clear" w:color="auto" w:fill="F2F2F2" w:themeFill="background1" w:themeFillShade="F2"/>
          </w:tcPr>
          <w:p w14:paraId="1A2811C3"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39" w:type="dxa"/>
            <w:shd w:val="clear" w:color="auto" w:fill="F2F2F2" w:themeFill="background1" w:themeFillShade="F2"/>
          </w:tcPr>
          <w:p w14:paraId="0E3E20E3"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39" w:type="dxa"/>
            <w:shd w:val="clear" w:color="auto" w:fill="F2F2F2" w:themeFill="background1" w:themeFillShade="F2"/>
          </w:tcPr>
          <w:p w14:paraId="00805D0A"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577E016D"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81" w:type="dxa"/>
            <w:shd w:val="clear" w:color="auto" w:fill="F2F2F2" w:themeFill="background1" w:themeFillShade="F2"/>
          </w:tcPr>
          <w:p w14:paraId="1809A6AA" w14:textId="77777777" w:rsidR="00D917E1" w:rsidRPr="00890249" w:rsidRDefault="00D917E1"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33EC2" w:rsidRPr="00890249" w14:paraId="2F7ED4A7" w14:textId="77777777" w:rsidTr="00533EC2">
        <w:tc>
          <w:tcPr>
            <w:tcW w:w="1457" w:type="dxa"/>
            <w:vMerge w:val="restart"/>
            <w:vAlign w:val="center"/>
          </w:tcPr>
          <w:p w14:paraId="7F8F12C1" w14:textId="77777777" w:rsidR="00533EC2" w:rsidRPr="00890249" w:rsidRDefault="00533EC2" w:rsidP="00F45D63">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255" w:type="dxa"/>
            <w:vMerge w:val="restart"/>
            <w:vAlign w:val="center"/>
          </w:tcPr>
          <w:p w14:paraId="2ECF6A07" w14:textId="77777777" w:rsidR="00533EC2" w:rsidRPr="00890249" w:rsidRDefault="00533EC2" w:rsidP="00BD5A2B">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EFS+</w:t>
            </w:r>
          </w:p>
        </w:tc>
        <w:tc>
          <w:tcPr>
            <w:tcW w:w="1339" w:type="dxa"/>
            <w:vMerge w:val="restart"/>
            <w:vAlign w:val="center"/>
          </w:tcPr>
          <w:p w14:paraId="66236861" w14:textId="77777777" w:rsidR="00533EC2" w:rsidRPr="00890249" w:rsidRDefault="00533EC2" w:rsidP="00BD5A2B">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539" w:type="dxa"/>
            <w:vMerge w:val="restart"/>
            <w:vAlign w:val="center"/>
          </w:tcPr>
          <w:p w14:paraId="77684945" w14:textId="77777777" w:rsidR="00533EC2" w:rsidRPr="00890249" w:rsidRDefault="00875C9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(f)</w:t>
            </w:r>
          </w:p>
        </w:tc>
        <w:tc>
          <w:tcPr>
            <w:tcW w:w="1651" w:type="dxa"/>
            <w:vAlign w:val="center"/>
          </w:tcPr>
          <w:p w14:paraId="76CFDBD1" w14:textId="77777777"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Przyczynianie się do ekologicznych umiejętności i zielonych miejsc pracy oraz zielonej gospodarki</w:t>
            </w:r>
          </w:p>
        </w:tc>
        <w:tc>
          <w:tcPr>
            <w:tcW w:w="2081" w:type="dxa"/>
            <w:vAlign w:val="center"/>
          </w:tcPr>
          <w:p w14:paraId="1F30D597" w14:textId="4B0D3F74" w:rsidR="00533EC2" w:rsidRPr="00890249" w:rsidRDefault="005A1433" w:rsidP="0048016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2 150 000</w:t>
            </w:r>
          </w:p>
        </w:tc>
      </w:tr>
      <w:tr w:rsidR="00533EC2" w:rsidRPr="00890249" w14:paraId="3062ADDA" w14:textId="77777777" w:rsidTr="00533EC2">
        <w:tc>
          <w:tcPr>
            <w:tcW w:w="1457" w:type="dxa"/>
            <w:vMerge/>
            <w:vAlign w:val="center"/>
          </w:tcPr>
          <w:p w14:paraId="2FB0D97E" w14:textId="77777777" w:rsidR="00533EC2" w:rsidRPr="00890249" w:rsidRDefault="00533EC2" w:rsidP="00F45D63">
            <w:pPr>
              <w:jc w:val="center"/>
              <w:rPr>
                <w:rFonts w:asciiTheme="minorHAnsi" w:eastAsia="Times New Roman" w:hAnsiTheme="minorHAnsi" w:cstheme="minorHAnsi"/>
                <w:iCs/>
                <w:noProof/>
                <w:sz w:val="20"/>
              </w:rPr>
            </w:pPr>
          </w:p>
        </w:tc>
        <w:tc>
          <w:tcPr>
            <w:tcW w:w="1255" w:type="dxa"/>
            <w:vMerge/>
            <w:vAlign w:val="center"/>
          </w:tcPr>
          <w:p w14:paraId="2E9493E9" w14:textId="77777777" w:rsidR="00533EC2" w:rsidRPr="00890249" w:rsidRDefault="00533EC2" w:rsidP="00BD5A2B">
            <w:pPr>
              <w:jc w:val="center"/>
              <w:rPr>
                <w:rFonts w:asciiTheme="minorHAnsi" w:hAnsiTheme="minorHAnsi" w:cstheme="minorHAnsi"/>
                <w:noProof/>
                <w:sz w:val="20"/>
              </w:rPr>
            </w:pPr>
          </w:p>
        </w:tc>
        <w:tc>
          <w:tcPr>
            <w:tcW w:w="1339" w:type="dxa"/>
            <w:vMerge/>
            <w:vAlign w:val="center"/>
          </w:tcPr>
          <w:p w14:paraId="14FB2305" w14:textId="77777777" w:rsidR="00533EC2" w:rsidRPr="00890249" w:rsidRDefault="00533EC2" w:rsidP="00BD5A2B">
            <w:pPr>
              <w:jc w:val="center"/>
              <w:rPr>
                <w:rFonts w:asciiTheme="minorHAnsi" w:hAnsiTheme="minorHAnsi" w:cstheme="minorHAnsi"/>
                <w:noProof/>
                <w:sz w:val="20"/>
              </w:rPr>
            </w:pPr>
          </w:p>
        </w:tc>
        <w:tc>
          <w:tcPr>
            <w:tcW w:w="1539" w:type="dxa"/>
            <w:vMerge/>
            <w:vAlign w:val="center"/>
          </w:tcPr>
          <w:p w14:paraId="017B3456" w14:textId="77777777" w:rsidR="00533EC2" w:rsidRPr="00890249" w:rsidRDefault="00533EC2" w:rsidP="00BD5A2B">
            <w:pPr>
              <w:jc w:val="center"/>
              <w:rPr>
                <w:rFonts w:asciiTheme="minorHAnsi" w:eastAsia="Times New Roman" w:hAnsiTheme="minorHAnsi" w:cstheme="minorHAnsi"/>
                <w:b/>
                <w:iCs/>
                <w:noProof/>
                <w:sz w:val="20"/>
              </w:rPr>
            </w:pPr>
          </w:p>
        </w:tc>
        <w:tc>
          <w:tcPr>
            <w:tcW w:w="1651" w:type="dxa"/>
            <w:vAlign w:val="center"/>
          </w:tcPr>
          <w:p w14:paraId="6E937F96" w14:textId="77777777"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02 Rozwój kompetencji cyfrowych i tworzenie miejsc pracy w sektorze cyfrowym</w:t>
            </w:r>
          </w:p>
        </w:tc>
        <w:tc>
          <w:tcPr>
            <w:tcW w:w="2081" w:type="dxa"/>
            <w:vAlign w:val="center"/>
          </w:tcPr>
          <w:p w14:paraId="2B928E1D" w14:textId="564832FC" w:rsidR="00533EC2" w:rsidRPr="00890249" w:rsidRDefault="005A1433" w:rsidP="0048016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2 150 000</w:t>
            </w:r>
          </w:p>
        </w:tc>
      </w:tr>
      <w:tr w:rsidR="00533EC2" w:rsidRPr="00890249" w14:paraId="12331E81" w14:textId="77777777" w:rsidTr="00533EC2">
        <w:tc>
          <w:tcPr>
            <w:tcW w:w="1457" w:type="dxa"/>
            <w:vMerge/>
            <w:vAlign w:val="center"/>
          </w:tcPr>
          <w:p w14:paraId="54B44A54" w14:textId="77777777" w:rsidR="00533EC2" w:rsidRPr="00890249" w:rsidRDefault="00533EC2" w:rsidP="00F45D63">
            <w:pPr>
              <w:jc w:val="center"/>
              <w:rPr>
                <w:rFonts w:asciiTheme="minorHAnsi" w:eastAsia="Times New Roman" w:hAnsiTheme="minorHAnsi" w:cstheme="minorHAnsi"/>
                <w:iCs/>
                <w:noProof/>
                <w:sz w:val="20"/>
              </w:rPr>
            </w:pPr>
          </w:p>
        </w:tc>
        <w:tc>
          <w:tcPr>
            <w:tcW w:w="1255" w:type="dxa"/>
            <w:vMerge/>
            <w:vAlign w:val="center"/>
          </w:tcPr>
          <w:p w14:paraId="239452F5" w14:textId="77777777" w:rsidR="00533EC2" w:rsidRPr="00890249" w:rsidRDefault="00533EC2" w:rsidP="00BD5A2B">
            <w:pPr>
              <w:jc w:val="center"/>
              <w:rPr>
                <w:rFonts w:asciiTheme="minorHAnsi" w:hAnsiTheme="minorHAnsi" w:cstheme="minorHAnsi"/>
                <w:noProof/>
                <w:sz w:val="20"/>
              </w:rPr>
            </w:pPr>
          </w:p>
        </w:tc>
        <w:tc>
          <w:tcPr>
            <w:tcW w:w="1339" w:type="dxa"/>
            <w:vMerge/>
            <w:vAlign w:val="center"/>
          </w:tcPr>
          <w:p w14:paraId="0C3F3DB3" w14:textId="77777777" w:rsidR="00533EC2" w:rsidRPr="00890249" w:rsidRDefault="00533EC2" w:rsidP="00BD5A2B">
            <w:pPr>
              <w:jc w:val="center"/>
              <w:rPr>
                <w:rFonts w:asciiTheme="minorHAnsi" w:hAnsiTheme="minorHAnsi" w:cstheme="minorHAnsi"/>
                <w:noProof/>
                <w:sz w:val="20"/>
              </w:rPr>
            </w:pPr>
          </w:p>
        </w:tc>
        <w:tc>
          <w:tcPr>
            <w:tcW w:w="1539" w:type="dxa"/>
            <w:vMerge/>
            <w:vAlign w:val="center"/>
          </w:tcPr>
          <w:p w14:paraId="712EB472" w14:textId="77777777" w:rsidR="00533EC2" w:rsidRPr="00890249" w:rsidRDefault="00533EC2" w:rsidP="00BD5A2B">
            <w:pPr>
              <w:jc w:val="center"/>
              <w:rPr>
                <w:rFonts w:asciiTheme="minorHAnsi" w:eastAsia="Times New Roman" w:hAnsiTheme="minorHAnsi" w:cstheme="minorHAnsi"/>
                <w:b/>
                <w:iCs/>
                <w:noProof/>
                <w:sz w:val="20"/>
              </w:rPr>
            </w:pPr>
          </w:p>
        </w:tc>
        <w:tc>
          <w:tcPr>
            <w:tcW w:w="1651" w:type="dxa"/>
            <w:vAlign w:val="center"/>
          </w:tcPr>
          <w:p w14:paraId="27CD7100" w14:textId="77777777"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 Niedyskryminacja</w:t>
            </w:r>
          </w:p>
        </w:tc>
        <w:tc>
          <w:tcPr>
            <w:tcW w:w="2081" w:type="dxa"/>
            <w:vAlign w:val="center"/>
          </w:tcPr>
          <w:p w14:paraId="0F74E2F2" w14:textId="2AD8D254" w:rsidR="00533EC2" w:rsidRPr="00890249" w:rsidRDefault="005E33B6" w:rsidP="0048016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9 150 000</w:t>
            </w:r>
          </w:p>
        </w:tc>
      </w:tr>
      <w:tr w:rsidR="00533EC2" w:rsidRPr="00890249" w14:paraId="2035AC28" w14:textId="77777777" w:rsidTr="00533EC2">
        <w:tc>
          <w:tcPr>
            <w:tcW w:w="1457" w:type="dxa"/>
            <w:vMerge/>
            <w:vAlign w:val="center"/>
          </w:tcPr>
          <w:p w14:paraId="4E26045E" w14:textId="77777777" w:rsidR="00533EC2" w:rsidRPr="00890249" w:rsidRDefault="00533EC2" w:rsidP="00F45D63">
            <w:pPr>
              <w:jc w:val="center"/>
              <w:rPr>
                <w:rFonts w:asciiTheme="minorHAnsi" w:eastAsia="Times New Roman" w:hAnsiTheme="minorHAnsi" w:cstheme="minorHAnsi"/>
                <w:iCs/>
                <w:noProof/>
                <w:sz w:val="20"/>
              </w:rPr>
            </w:pPr>
          </w:p>
        </w:tc>
        <w:tc>
          <w:tcPr>
            <w:tcW w:w="1255" w:type="dxa"/>
            <w:vMerge/>
            <w:vAlign w:val="center"/>
          </w:tcPr>
          <w:p w14:paraId="23826B42" w14:textId="77777777" w:rsidR="00533EC2" w:rsidRPr="00890249" w:rsidRDefault="00533EC2" w:rsidP="00BD5A2B">
            <w:pPr>
              <w:jc w:val="center"/>
              <w:rPr>
                <w:rFonts w:asciiTheme="minorHAnsi" w:hAnsiTheme="minorHAnsi" w:cstheme="minorHAnsi"/>
                <w:noProof/>
                <w:sz w:val="20"/>
              </w:rPr>
            </w:pPr>
          </w:p>
        </w:tc>
        <w:tc>
          <w:tcPr>
            <w:tcW w:w="1339" w:type="dxa"/>
            <w:vMerge/>
            <w:vAlign w:val="center"/>
          </w:tcPr>
          <w:p w14:paraId="5D598609" w14:textId="77777777" w:rsidR="00533EC2" w:rsidRPr="00890249" w:rsidRDefault="00533EC2" w:rsidP="00BD5A2B">
            <w:pPr>
              <w:jc w:val="center"/>
              <w:rPr>
                <w:rFonts w:asciiTheme="minorHAnsi" w:hAnsiTheme="minorHAnsi" w:cstheme="minorHAnsi"/>
                <w:noProof/>
                <w:sz w:val="20"/>
              </w:rPr>
            </w:pPr>
          </w:p>
        </w:tc>
        <w:tc>
          <w:tcPr>
            <w:tcW w:w="1539" w:type="dxa"/>
            <w:vMerge/>
            <w:vAlign w:val="center"/>
          </w:tcPr>
          <w:p w14:paraId="4E77F6EA" w14:textId="77777777" w:rsidR="00533EC2" w:rsidRPr="00890249" w:rsidRDefault="00533EC2" w:rsidP="00BD5A2B">
            <w:pPr>
              <w:jc w:val="center"/>
              <w:rPr>
                <w:rFonts w:asciiTheme="minorHAnsi" w:eastAsia="Times New Roman" w:hAnsiTheme="minorHAnsi" w:cstheme="minorHAnsi"/>
                <w:b/>
                <w:iCs/>
                <w:noProof/>
                <w:sz w:val="20"/>
              </w:rPr>
            </w:pPr>
          </w:p>
        </w:tc>
        <w:tc>
          <w:tcPr>
            <w:tcW w:w="1651" w:type="dxa"/>
            <w:vAlign w:val="center"/>
          </w:tcPr>
          <w:p w14:paraId="6B483B35" w14:textId="77777777"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06 Zwalczanie ubóstwa dzieci</w:t>
            </w:r>
          </w:p>
        </w:tc>
        <w:tc>
          <w:tcPr>
            <w:tcW w:w="2081" w:type="dxa"/>
            <w:vAlign w:val="center"/>
          </w:tcPr>
          <w:p w14:paraId="4D14560A" w14:textId="1B4294A5" w:rsidR="00533EC2" w:rsidRPr="00890249" w:rsidRDefault="005E33B6" w:rsidP="0048016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1 400 000</w:t>
            </w:r>
          </w:p>
        </w:tc>
      </w:tr>
      <w:tr w:rsidR="00533EC2" w:rsidRPr="00890249" w14:paraId="127A601C" w14:textId="77777777" w:rsidTr="00533EC2">
        <w:tc>
          <w:tcPr>
            <w:tcW w:w="1457" w:type="dxa"/>
            <w:vMerge/>
            <w:vAlign w:val="center"/>
          </w:tcPr>
          <w:p w14:paraId="461A2AEF" w14:textId="77777777" w:rsidR="00533EC2" w:rsidRPr="00890249" w:rsidRDefault="00533EC2" w:rsidP="00F45D63">
            <w:pPr>
              <w:jc w:val="center"/>
              <w:rPr>
                <w:rFonts w:asciiTheme="minorHAnsi" w:eastAsia="Times New Roman" w:hAnsiTheme="minorHAnsi" w:cstheme="minorHAnsi"/>
                <w:iCs/>
                <w:noProof/>
                <w:sz w:val="20"/>
              </w:rPr>
            </w:pPr>
          </w:p>
        </w:tc>
        <w:tc>
          <w:tcPr>
            <w:tcW w:w="1255" w:type="dxa"/>
            <w:vMerge/>
            <w:vAlign w:val="center"/>
          </w:tcPr>
          <w:p w14:paraId="74EDF9B3" w14:textId="77777777" w:rsidR="00533EC2" w:rsidRPr="00890249" w:rsidRDefault="00533EC2" w:rsidP="00BD5A2B">
            <w:pPr>
              <w:jc w:val="center"/>
              <w:rPr>
                <w:rFonts w:asciiTheme="minorHAnsi" w:hAnsiTheme="minorHAnsi" w:cstheme="minorHAnsi"/>
                <w:noProof/>
                <w:sz w:val="20"/>
              </w:rPr>
            </w:pPr>
          </w:p>
        </w:tc>
        <w:tc>
          <w:tcPr>
            <w:tcW w:w="1339" w:type="dxa"/>
            <w:vMerge/>
            <w:vAlign w:val="center"/>
          </w:tcPr>
          <w:p w14:paraId="689130ED" w14:textId="77777777" w:rsidR="00533EC2" w:rsidRPr="00890249" w:rsidRDefault="00533EC2" w:rsidP="00BD5A2B">
            <w:pPr>
              <w:jc w:val="center"/>
              <w:rPr>
                <w:rFonts w:asciiTheme="minorHAnsi" w:hAnsiTheme="minorHAnsi" w:cstheme="minorHAnsi"/>
                <w:noProof/>
                <w:sz w:val="20"/>
              </w:rPr>
            </w:pPr>
          </w:p>
        </w:tc>
        <w:tc>
          <w:tcPr>
            <w:tcW w:w="1539" w:type="dxa"/>
            <w:vMerge/>
            <w:vAlign w:val="center"/>
          </w:tcPr>
          <w:p w14:paraId="250ED954" w14:textId="77777777" w:rsidR="00533EC2" w:rsidRPr="00890249" w:rsidRDefault="00533EC2" w:rsidP="00BD5A2B">
            <w:pPr>
              <w:jc w:val="center"/>
              <w:rPr>
                <w:rFonts w:asciiTheme="minorHAnsi" w:eastAsia="Times New Roman" w:hAnsiTheme="minorHAnsi" w:cstheme="minorHAnsi"/>
                <w:b/>
                <w:iCs/>
                <w:noProof/>
                <w:sz w:val="20"/>
              </w:rPr>
            </w:pPr>
          </w:p>
        </w:tc>
        <w:tc>
          <w:tcPr>
            <w:tcW w:w="1651" w:type="dxa"/>
            <w:vAlign w:val="center"/>
          </w:tcPr>
          <w:p w14:paraId="45B42E34" w14:textId="644D3623"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 Budowanie zdolności organizacji społ</w:t>
            </w:r>
            <w:r w:rsidR="0034164B">
              <w:rPr>
                <w:rFonts w:asciiTheme="minorHAnsi" w:eastAsia="Times New Roman" w:hAnsiTheme="minorHAnsi" w:cstheme="minorHAnsi"/>
                <w:iCs/>
                <w:noProof/>
                <w:sz w:val="20"/>
              </w:rPr>
              <w:t>e</w:t>
            </w:r>
            <w:r w:rsidRPr="00890249">
              <w:rPr>
                <w:rFonts w:asciiTheme="minorHAnsi" w:eastAsia="Times New Roman" w:hAnsiTheme="minorHAnsi" w:cstheme="minorHAnsi"/>
                <w:iCs/>
                <w:noProof/>
                <w:sz w:val="20"/>
              </w:rPr>
              <w:t>czeństwa obywatelskiego</w:t>
            </w:r>
          </w:p>
        </w:tc>
        <w:tc>
          <w:tcPr>
            <w:tcW w:w="2081" w:type="dxa"/>
            <w:vAlign w:val="center"/>
          </w:tcPr>
          <w:p w14:paraId="2C5D4DB2" w14:textId="0122BF66" w:rsidR="00533EC2" w:rsidRPr="00890249" w:rsidRDefault="005E33B6" w:rsidP="0048016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500 000</w:t>
            </w:r>
          </w:p>
        </w:tc>
      </w:tr>
      <w:tr w:rsidR="00533EC2" w:rsidRPr="00890249" w14:paraId="4AC129E4" w14:textId="77777777" w:rsidTr="00533EC2">
        <w:tc>
          <w:tcPr>
            <w:tcW w:w="1457" w:type="dxa"/>
            <w:vMerge/>
            <w:vAlign w:val="center"/>
          </w:tcPr>
          <w:p w14:paraId="7BC5DFB8" w14:textId="77777777" w:rsidR="00533EC2" w:rsidRPr="00890249" w:rsidRDefault="00533EC2" w:rsidP="00F45D63">
            <w:pPr>
              <w:jc w:val="center"/>
              <w:rPr>
                <w:rFonts w:asciiTheme="minorHAnsi" w:eastAsia="Times New Roman" w:hAnsiTheme="minorHAnsi" w:cstheme="minorHAnsi"/>
                <w:iCs/>
                <w:noProof/>
                <w:sz w:val="20"/>
              </w:rPr>
            </w:pPr>
          </w:p>
        </w:tc>
        <w:tc>
          <w:tcPr>
            <w:tcW w:w="1255" w:type="dxa"/>
            <w:vMerge/>
            <w:vAlign w:val="center"/>
          </w:tcPr>
          <w:p w14:paraId="712495F8" w14:textId="77777777" w:rsidR="00533EC2" w:rsidRPr="00890249" w:rsidRDefault="00533EC2" w:rsidP="00BD5A2B">
            <w:pPr>
              <w:jc w:val="center"/>
              <w:rPr>
                <w:rFonts w:asciiTheme="minorHAnsi" w:hAnsiTheme="minorHAnsi" w:cstheme="minorHAnsi"/>
                <w:noProof/>
                <w:sz w:val="20"/>
              </w:rPr>
            </w:pPr>
          </w:p>
        </w:tc>
        <w:tc>
          <w:tcPr>
            <w:tcW w:w="1339" w:type="dxa"/>
            <w:vMerge/>
            <w:vAlign w:val="center"/>
          </w:tcPr>
          <w:p w14:paraId="239A3C50" w14:textId="77777777" w:rsidR="00533EC2" w:rsidRPr="00890249" w:rsidRDefault="00533EC2" w:rsidP="00BD5A2B">
            <w:pPr>
              <w:jc w:val="center"/>
              <w:rPr>
                <w:rFonts w:asciiTheme="minorHAnsi" w:hAnsiTheme="minorHAnsi" w:cstheme="minorHAnsi"/>
                <w:noProof/>
                <w:sz w:val="20"/>
              </w:rPr>
            </w:pPr>
          </w:p>
        </w:tc>
        <w:tc>
          <w:tcPr>
            <w:tcW w:w="1539" w:type="dxa"/>
            <w:vMerge/>
            <w:vAlign w:val="center"/>
          </w:tcPr>
          <w:p w14:paraId="6F088E38" w14:textId="77777777" w:rsidR="00533EC2" w:rsidRPr="00890249" w:rsidRDefault="00533EC2" w:rsidP="00BD5A2B">
            <w:pPr>
              <w:jc w:val="center"/>
              <w:rPr>
                <w:rFonts w:asciiTheme="minorHAnsi" w:eastAsia="Times New Roman" w:hAnsiTheme="minorHAnsi" w:cstheme="minorHAnsi"/>
                <w:b/>
                <w:iCs/>
                <w:noProof/>
                <w:sz w:val="20"/>
              </w:rPr>
            </w:pPr>
          </w:p>
        </w:tc>
        <w:tc>
          <w:tcPr>
            <w:tcW w:w="1651" w:type="dxa"/>
            <w:vAlign w:val="center"/>
          </w:tcPr>
          <w:p w14:paraId="3644ED49" w14:textId="77777777"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081" w:type="dxa"/>
            <w:vAlign w:val="center"/>
          </w:tcPr>
          <w:p w14:paraId="0D4FD593" w14:textId="2D156800" w:rsidR="00533EC2" w:rsidRPr="00890249" w:rsidRDefault="005E33B6" w:rsidP="00DD08A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9 925 000</w:t>
            </w:r>
          </w:p>
        </w:tc>
      </w:tr>
      <w:tr w:rsidR="00533EC2" w:rsidRPr="00890249" w14:paraId="6155367B" w14:textId="77777777" w:rsidTr="00533EC2">
        <w:tc>
          <w:tcPr>
            <w:tcW w:w="1457" w:type="dxa"/>
            <w:vMerge/>
            <w:vAlign w:val="center"/>
          </w:tcPr>
          <w:p w14:paraId="6F70E039" w14:textId="77777777" w:rsidR="00533EC2" w:rsidRPr="00890249" w:rsidRDefault="00533EC2" w:rsidP="00F45D63">
            <w:pPr>
              <w:jc w:val="center"/>
              <w:rPr>
                <w:rFonts w:asciiTheme="minorHAnsi" w:eastAsia="Times New Roman" w:hAnsiTheme="minorHAnsi" w:cstheme="minorHAnsi"/>
                <w:iCs/>
                <w:noProof/>
                <w:sz w:val="20"/>
              </w:rPr>
            </w:pPr>
          </w:p>
        </w:tc>
        <w:tc>
          <w:tcPr>
            <w:tcW w:w="1255" w:type="dxa"/>
            <w:vMerge/>
            <w:vAlign w:val="center"/>
          </w:tcPr>
          <w:p w14:paraId="5856E716" w14:textId="77777777" w:rsidR="00533EC2" w:rsidRPr="00890249" w:rsidRDefault="00533EC2" w:rsidP="00BD5A2B">
            <w:pPr>
              <w:jc w:val="center"/>
              <w:rPr>
                <w:rFonts w:asciiTheme="minorHAnsi" w:hAnsiTheme="minorHAnsi" w:cstheme="minorHAnsi"/>
                <w:noProof/>
                <w:sz w:val="20"/>
              </w:rPr>
            </w:pPr>
          </w:p>
        </w:tc>
        <w:tc>
          <w:tcPr>
            <w:tcW w:w="1339" w:type="dxa"/>
            <w:vMerge/>
            <w:vAlign w:val="center"/>
          </w:tcPr>
          <w:p w14:paraId="18EC24EA" w14:textId="77777777" w:rsidR="00533EC2" w:rsidRPr="00890249" w:rsidRDefault="00533EC2" w:rsidP="00BD5A2B">
            <w:pPr>
              <w:jc w:val="center"/>
              <w:rPr>
                <w:rFonts w:asciiTheme="minorHAnsi" w:hAnsiTheme="minorHAnsi" w:cstheme="minorHAnsi"/>
                <w:noProof/>
                <w:sz w:val="20"/>
              </w:rPr>
            </w:pPr>
          </w:p>
        </w:tc>
        <w:tc>
          <w:tcPr>
            <w:tcW w:w="1539" w:type="dxa"/>
            <w:vMerge/>
            <w:vAlign w:val="center"/>
          </w:tcPr>
          <w:p w14:paraId="3650EA64" w14:textId="77777777" w:rsidR="00533EC2" w:rsidRPr="00890249" w:rsidRDefault="00533EC2" w:rsidP="00BD5A2B">
            <w:pPr>
              <w:jc w:val="center"/>
              <w:rPr>
                <w:rFonts w:asciiTheme="minorHAnsi" w:eastAsia="Times New Roman" w:hAnsiTheme="minorHAnsi" w:cstheme="minorHAnsi"/>
                <w:b/>
                <w:iCs/>
                <w:noProof/>
                <w:sz w:val="20"/>
              </w:rPr>
            </w:pPr>
          </w:p>
        </w:tc>
        <w:tc>
          <w:tcPr>
            <w:tcW w:w="1651" w:type="dxa"/>
            <w:vAlign w:val="center"/>
          </w:tcPr>
          <w:p w14:paraId="593CDFCF" w14:textId="77777777" w:rsidR="00533EC2" w:rsidRPr="00890249" w:rsidRDefault="00533EC2"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Działanie podejmowane w odpowiedzi na wyzwania wskazane w ramach semestru europejskiego</w:t>
            </w:r>
          </w:p>
        </w:tc>
        <w:tc>
          <w:tcPr>
            <w:tcW w:w="2081" w:type="dxa"/>
            <w:vAlign w:val="center"/>
          </w:tcPr>
          <w:p w14:paraId="0F62EE1B" w14:textId="29438778" w:rsidR="00533EC2" w:rsidRPr="00890249" w:rsidRDefault="005E33B6" w:rsidP="00480166">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10 225 000</w:t>
            </w:r>
          </w:p>
        </w:tc>
      </w:tr>
    </w:tbl>
    <w:p w14:paraId="1D180120" w14:textId="77777777" w:rsidR="00613A79" w:rsidRPr="00890249" w:rsidRDefault="00613A79" w:rsidP="00DE5D95">
      <w:pPr>
        <w:spacing w:before="0" w:after="240"/>
        <w:jc w:val="center"/>
        <w:rPr>
          <w:rFonts w:asciiTheme="minorHAnsi" w:hAnsiTheme="minorHAnsi" w:cstheme="minorHAnsi"/>
          <w:b/>
          <w:noProof/>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613A79" w:rsidRPr="00890249" w14:paraId="5A685145" w14:textId="77777777" w:rsidTr="003D6E86">
        <w:tc>
          <w:tcPr>
            <w:tcW w:w="9322" w:type="dxa"/>
            <w:gridSpan w:val="6"/>
            <w:shd w:val="clear" w:color="auto" w:fill="D9D9D9" w:themeFill="background1" w:themeFillShade="D9"/>
          </w:tcPr>
          <w:p w14:paraId="3CEFE671" w14:textId="77777777" w:rsidR="00613A79" w:rsidRPr="00890249" w:rsidRDefault="00613A79" w:rsidP="00E014DF">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Tabela 8: Wymiar 7 – wymiar</w:t>
            </w:r>
            <w:r w:rsidR="00E014DF" w:rsidRPr="00890249">
              <w:rPr>
                <w:rFonts w:asciiTheme="minorHAnsi" w:eastAsiaTheme="minorHAnsi" w:hAnsiTheme="minorHAnsi" w:cstheme="minorHAnsi"/>
                <w:b/>
                <w:sz w:val="20"/>
                <w:szCs w:val="22"/>
                <w:lang w:eastAsia="en-US" w:bidi="ar-SA"/>
              </w:rPr>
              <w:t xml:space="preserve"> ”Równouprawnienie płci” w ramach EFS+, EFRR, Fundusz Spójności i FST</w:t>
            </w:r>
          </w:p>
        </w:tc>
      </w:tr>
      <w:tr w:rsidR="00613A79" w:rsidRPr="00890249" w14:paraId="59868365" w14:textId="77777777" w:rsidTr="003D6E86">
        <w:tc>
          <w:tcPr>
            <w:tcW w:w="1570" w:type="dxa"/>
            <w:shd w:val="clear" w:color="auto" w:fill="F2F2F2" w:themeFill="background1" w:themeFillShade="F2"/>
          </w:tcPr>
          <w:p w14:paraId="6F02A432"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53621417"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74A98EFE"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27DFA1E8"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49531008"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129AD914"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613A79" w:rsidRPr="00890249" w14:paraId="07EE249A" w14:textId="77777777" w:rsidTr="003D6E86">
        <w:trPr>
          <w:trHeight w:val="425"/>
        </w:trPr>
        <w:tc>
          <w:tcPr>
            <w:tcW w:w="1570" w:type="dxa"/>
            <w:shd w:val="clear" w:color="auto" w:fill="auto"/>
            <w:vAlign w:val="center"/>
          </w:tcPr>
          <w:p w14:paraId="186B9D33" w14:textId="77777777" w:rsidR="00613A79" w:rsidRPr="00890249" w:rsidRDefault="00304F40" w:rsidP="00E03BE1">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 xml:space="preserve">CP </w:t>
            </w:r>
            <w:r w:rsidR="0009010C" w:rsidRPr="00890249">
              <w:rPr>
                <w:rFonts w:asciiTheme="minorHAnsi" w:eastAsia="Times New Roman" w:hAnsiTheme="minorHAnsi" w:cstheme="minorHAnsi"/>
                <w:iCs/>
                <w:noProof/>
                <w:sz w:val="20"/>
                <w:szCs w:val="22"/>
                <w:lang w:eastAsia="en-US" w:bidi="ar-SA"/>
              </w:rPr>
              <w:t>4</w:t>
            </w:r>
          </w:p>
        </w:tc>
        <w:tc>
          <w:tcPr>
            <w:tcW w:w="1360" w:type="dxa"/>
            <w:shd w:val="clear" w:color="auto" w:fill="auto"/>
            <w:vAlign w:val="center"/>
          </w:tcPr>
          <w:p w14:paraId="737A6964" w14:textId="77777777" w:rsidR="00613A79" w:rsidRPr="00890249" w:rsidRDefault="00304F40" w:rsidP="00E03BE1">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EFS+</w:t>
            </w:r>
          </w:p>
        </w:tc>
        <w:tc>
          <w:tcPr>
            <w:tcW w:w="1415" w:type="dxa"/>
            <w:shd w:val="clear" w:color="auto" w:fill="auto"/>
            <w:vAlign w:val="center"/>
          </w:tcPr>
          <w:p w14:paraId="3A2A268D" w14:textId="77777777" w:rsidR="00613A79" w:rsidRPr="00890249" w:rsidRDefault="00304F40" w:rsidP="00E03BE1">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słabiej rozwinięty</w:t>
            </w:r>
          </w:p>
        </w:tc>
        <w:tc>
          <w:tcPr>
            <w:tcW w:w="1628" w:type="dxa"/>
            <w:shd w:val="clear" w:color="auto" w:fill="auto"/>
            <w:vAlign w:val="center"/>
          </w:tcPr>
          <w:p w14:paraId="7E15C78F" w14:textId="77777777" w:rsidR="00613A79" w:rsidRPr="00890249" w:rsidRDefault="0088418A" w:rsidP="0088418A">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(f)</w:t>
            </w:r>
          </w:p>
        </w:tc>
        <w:tc>
          <w:tcPr>
            <w:tcW w:w="1026" w:type="dxa"/>
            <w:shd w:val="clear" w:color="auto" w:fill="auto"/>
            <w:vAlign w:val="center"/>
          </w:tcPr>
          <w:p w14:paraId="2495BF13" w14:textId="77777777" w:rsidR="00DE5D95" w:rsidRPr="00890249" w:rsidRDefault="0088418A" w:rsidP="00DC760C">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DC760C"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2323" w:type="dxa"/>
            <w:shd w:val="clear" w:color="auto" w:fill="auto"/>
            <w:vAlign w:val="center"/>
          </w:tcPr>
          <w:p w14:paraId="1FCFF4C6" w14:textId="1EB0BFCE" w:rsidR="00F47334" w:rsidRPr="00890249" w:rsidRDefault="005E33B6" w:rsidP="00D560E7">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35 500 000</w:t>
            </w:r>
          </w:p>
        </w:tc>
      </w:tr>
    </w:tbl>
    <w:p w14:paraId="66E2B200" w14:textId="4B5E764D" w:rsidR="008C67B3" w:rsidRDefault="008C67B3" w:rsidP="008C67B3">
      <w:pPr>
        <w:spacing w:before="0" w:after="160" w:line="259" w:lineRule="auto"/>
        <w:jc w:val="left"/>
        <w:rPr>
          <w:rFonts w:asciiTheme="minorHAnsi" w:hAnsiTheme="minorHAnsi" w:cstheme="minorHAnsi"/>
          <w:b/>
          <w:noProof/>
          <w:color w:val="2F5496" w:themeColor="accent5" w:themeShade="BF"/>
          <w:szCs w:val="24"/>
        </w:rPr>
      </w:pPr>
    </w:p>
    <w:p w14:paraId="0B6FCAAA" w14:textId="21D389E9" w:rsidR="00701EDC" w:rsidRPr="00890249" w:rsidRDefault="00701EDC" w:rsidP="008C67B3">
      <w:pPr>
        <w:shd w:val="clear" w:color="auto" w:fill="D9D9D9" w:themeFill="background1" w:themeFillShade="D9"/>
        <w:spacing w:before="0" w:after="160" w:line="259" w:lineRule="auto"/>
        <w:jc w:val="left"/>
        <w:rPr>
          <w:rFonts w:asciiTheme="minorHAnsi" w:hAnsiTheme="minorHAnsi" w:cstheme="minorHAnsi"/>
          <w:b/>
          <w:noProof/>
          <w:sz w:val="22"/>
        </w:rPr>
      </w:pPr>
      <w:r w:rsidRPr="00890249">
        <w:rPr>
          <w:rFonts w:asciiTheme="minorHAnsi" w:hAnsiTheme="minorHAnsi" w:cstheme="minorHAnsi"/>
          <w:b/>
          <w:noProof/>
          <w:sz w:val="22"/>
        </w:rPr>
        <w:t>2.1.5.5 (g) Cel szczegółowy</w:t>
      </w:r>
    </w:p>
    <w:p w14:paraId="5ABE9574" w14:textId="77777777" w:rsidR="00701EDC" w:rsidRPr="00890249" w:rsidRDefault="00701EDC" w:rsidP="00701EDC">
      <w:pPr>
        <w:spacing w:before="240" w:after="240"/>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4"/>
        </w:rPr>
        <w:t>(</w:t>
      </w:r>
      <w:r w:rsidRPr="00890249">
        <w:rPr>
          <w:rFonts w:asciiTheme="minorHAnsi" w:hAnsiTheme="minorHAnsi" w:cstheme="minorHAnsi"/>
          <w:b/>
          <w:noProof/>
          <w:color w:val="2F5496" w:themeColor="accent5" w:themeShade="BF"/>
          <w:szCs w:val="22"/>
        </w:rPr>
        <w:t>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i wspieranie mobilności zawodowej</w:t>
      </w:r>
    </w:p>
    <w:p w14:paraId="5C7857BC" w14:textId="77777777" w:rsidR="00701EDC" w:rsidRPr="00890249" w:rsidRDefault="00701EDC" w:rsidP="00701EDC">
      <w:pPr>
        <w:spacing w:before="240" w:after="240"/>
        <w:rPr>
          <w:rFonts w:asciiTheme="minorHAnsi" w:hAnsiTheme="minorHAnsi" w:cstheme="minorHAnsi"/>
          <w:b/>
          <w:noProof/>
          <w:sz w:val="22"/>
        </w:rPr>
      </w:pPr>
      <w:r w:rsidRPr="00890249">
        <w:rPr>
          <w:rFonts w:asciiTheme="minorHAnsi" w:hAnsiTheme="minorHAnsi" w:cstheme="minorHAnsi"/>
          <w:b/>
          <w:noProof/>
          <w:sz w:val="22"/>
        </w:rPr>
        <w:t>2.1.5.5.1 (g) Interwencje w ramach funduszy</w:t>
      </w:r>
    </w:p>
    <w:p w14:paraId="0FCAA3E9"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Powiązane rodzaje działań </w:t>
      </w:r>
    </w:p>
    <w:p w14:paraId="199E6C4B" w14:textId="77777777" w:rsidR="0093433C" w:rsidRPr="00890249" w:rsidRDefault="48C669E9"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Potencjał społeczno-gospodarczy i szanse rozwojowe regionu w dużej mierze warunkuje kapitał ludzki. Istotnym czynnikiem wpływającym na jego rozwój jest edukacja permanentna, której obraz w województwie jest niekorzystny. Zainteresowanie mieszkańców regionu </w:t>
      </w:r>
      <w:r w:rsidR="454CEA6D" w:rsidRPr="00890249">
        <w:rPr>
          <w:rFonts w:asciiTheme="minorHAnsi" w:hAnsiTheme="minorHAnsi" w:cstheme="minorHAnsi"/>
          <w:sz w:val="22"/>
          <w:szCs w:val="22"/>
          <w:lang w:eastAsia="en-US" w:bidi="ar-SA"/>
        </w:rPr>
        <w:t>kształceniem ustawicznym</w:t>
      </w:r>
      <w:r w:rsidRPr="00890249">
        <w:rPr>
          <w:rFonts w:asciiTheme="minorHAnsi" w:hAnsiTheme="minorHAnsi" w:cstheme="minorHAnsi"/>
          <w:sz w:val="22"/>
          <w:szCs w:val="22"/>
          <w:lang w:eastAsia="en-US" w:bidi="ar-SA"/>
        </w:rPr>
        <w:t xml:space="preserve"> od lat jest niewielkie i obecnie odsetek osób doskonalących </w:t>
      </w:r>
      <w:r w:rsidR="717C7A8B" w:rsidRPr="00890249">
        <w:rPr>
          <w:rFonts w:asciiTheme="minorHAnsi" w:hAnsiTheme="minorHAnsi" w:cstheme="minorHAnsi"/>
          <w:sz w:val="22"/>
          <w:szCs w:val="22"/>
          <w:lang w:eastAsia="en-US" w:bidi="ar-SA"/>
        </w:rPr>
        <w:t>się jest jednym z najniższych w </w:t>
      </w:r>
      <w:r w:rsidRPr="00890249">
        <w:rPr>
          <w:rFonts w:asciiTheme="minorHAnsi" w:hAnsiTheme="minorHAnsi" w:cstheme="minorHAnsi"/>
          <w:sz w:val="22"/>
          <w:szCs w:val="22"/>
          <w:lang w:eastAsia="en-US" w:bidi="ar-SA"/>
        </w:rPr>
        <w:t>kraju. W</w:t>
      </w:r>
      <w:r w:rsidR="75B7150E"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201</w:t>
      </w:r>
      <w:r w:rsidR="597998FD" w:rsidRPr="00890249">
        <w:rPr>
          <w:rFonts w:asciiTheme="minorHAnsi" w:hAnsiTheme="minorHAnsi" w:cstheme="minorHAnsi"/>
          <w:sz w:val="22"/>
          <w:szCs w:val="22"/>
          <w:lang w:eastAsia="en-US" w:bidi="ar-SA"/>
        </w:rPr>
        <w:t>8</w:t>
      </w:r>
      <w:r w:rsidRPr="00890249">
        <w:rPr>
          <w:rFonts w:asciiTheme="minorHAnsi" w:hAnsiTheme="minorHAnsi" w:cstheme="minorHAnsi"/>
          <w:sz w:val="22"/>
          <w:szCs w:val="22"/>
          <w:lang w:eastAsia="en-US" w:bidi="ar-SA"/>
        </w:rPr>
        <w:t xml:space="preserve"> roku tylko 3,</w:t>
      </w:r>
      <w:r w:rsidR="597998FD" w:rsidRPr="00890249">
        <w:rPr>
          <w:rFonts w:asciiTheme="minorHAnsi" w:hAnsiTheme="minorHAnsi" w:cstheme="minorHAnsi"/>
          <w:sz w:val="22"/>
          <w:szCs w:val="22"/>
          <w:lang w:eastAsia="en-US" w:bidi="ar-SA"/>
        </w:rPr>
        <w:t>7</w:t>
      </w:r>
      <w:r w:rsidRPr="00890249">
        <w:rPr>
          <w:rFonts w:asciiTheme="minorHAnsi" w:hAnsiTheme="minorHAnsi" w:cstheme="minorHAnsi"/>
          <w:sz w:val="22"/>
          <w:szCs w:val="22"/>
          <w:lang w:eastAsia="en-US" w:bidi="ar-SA"/>
        </w:rPr>
        <w:t>% osób dorosłych w wieku 25-64 l</w:t>
      </w:r>
      <w:r w:rsidR="717C7A8B" w:rsidRPr="00890249">
        <w:rPr>
          <w:rFonts w:asciiTheme="minorHAnsi" w:hAnsiTheme="minorHAnsi" w:cstheme="minorHAnsi"/>
          <w:sz w:val="22"/>
          <w:szCs w:val="22"/>
          <w:lang w:eastAsia="en-US" w:bidi="ar-SA"/>
        </w:rPr>
        <w:t>at zadeklarowało uczestnictwo w </w:t>
      </w:r>
      <w:r w:rsidRPr="00890249">
        <w:rPr>
          <w:rFonts w:asciiTheme="minorHAnsi" w:hAnsiTheme="minorHAnsi" w:cstheme="minorHAnsi"/>
          <w:sz w:val="22"/>
          <w:szCs w:val="22"/>
          <w:lang w:eastAsia="en-US" w:bidi="ar-SA"/>
        </w:rPr>
        <w:t xml:space="preserve">formalnym lub pozaformalnym kształceniu i szkoleniu się, przy średniej krajowej </w:t>
      </w:r>
      <w:r w:rsidR="597998FD" w:rsidRPr="00890249">
        <w:rPr>
          <w:rFonts w:asciiTheme="minorHAnsi" w:hAnsiTheme="minorHAnsi" w:cstheme="minorHAnsi"/>
          <w:sz w:val="22"/>
          <w:szCs w:val="22"/>
          <w:lang w:eastAsia="en-US" w:bidi="ar-SA"/>
        </w:rPr>
        <w:t>5,7</w:t>
      </w:r>
      <w:r w:rsidRPr="00890249">
        <w:rPr>
          <w:rFonts w:asciiTheme="minorHAnsi" w:hAnsiTheme="minorHAnsi" w:cstheme="minorHAnsi"/>
          <w:sz w:val="22"/>
          <w:szCs w:val="22"/>
          <w:lang w:eastAsia="en-US" w:bidi="ar-SA"/>
        </w:rPr>
        <w:t>%</w:t>
      </w:r>
      <w:r w:rsidR="008279F5" w:rsidRPr="00890249">
        <w:rPr>
          <w:rFonts w:asciiTheme="minorHAnsi" w:hAnsiTheme="minorHAnsi" w:cstheme="minorHAnsi"/>
          <w:sz w:val="22"/>
          <w:szCs w:val="22"/>
          <w:vertAlign w:val="superscript"/>
          <w:lang w:eastAsia="en-US" w:bidi="ar-SA"/>
        </w:rPr>
        <w:footnoteReference w:id="175"/>
      </w:r>
      <w:r w:rsidRPr="00890249">
        <w:rPr>
          <w:rFonts w:asciiTheme="minorHAnsi" w:hAnsiTheme="minorHAnsi" w:cstheme="minorHAnsi"/>
          <w:sz w:val="22"/>
          <w:szCs w:val="22"/>
          <w:lang w:eastAsia="en-US" w:bidi="ar-SA"/>
        </w:rPr>
        <w:t xml:space="preserve">. Jednocześnie, zgodnie z prognozami, sytuacja ta nie ulegnie poprawie. Szacuje się, że w 2030 r. miernik aktywności edukacyjnej </w:t>
      </w:r>
      <w:r w:rsidR="454CEA6D" w:rsidRPr="00890249">
        <w:rPr>
          <w:rFonts w:asciiTheme="minorHAnsi" w:hAnsiTheme="minorHAnsi" w:cstheme="minorHAnsi"/>
          <w:sz w:val="22"/>
          <w:szCs w:val="22"/>
          <w:lang w:eastAsia="en-US" w:bidi="ar-SA"/>
        </w:rPr>
        <w:t xml:space="preserve">osób dorosłych </w:t>
      </w:r>
      <w:r w:rsidRPr="00890249">
        <w:rPr>
          <w:rFonts w:asciiTheme="minorHAnsi" w:hAnsiTheme="minorHAnsi" w:cstheme="minorHAnsi"/>
          <w:sz w:val="22"/>
          <w:szCs w:val="22"/>
          <w:lang w:eastAsia="en-US" w:bidi="ar-SA"/>
        </w:rPr>
        <w:t>w regionie będzie wynosił zaledwie 3,57%</w:t>
      </w:r>
      <w:r w:rsidR="008279F5" w:rsidRPr="00890249">
        <w:rPr>
          <w:rFonts w:asciiTheme="minorHAnsi" w:hAnsiTheme="minorHAnsi" w:cstheme="minorHAnsi"/>
          <w:sz w:val="22"/>
          <w:szCs w:val="22"/>
          <w:vertAlign w:val="superscript"/>
          <w:lang w:eastAsia="en-US" w:bidi="ar-SA"/>
        </w:rPr>
        <w:footnoteReference w:id="176"/>
      </w:r>
      <w:r w:rsidRPr="00890249">
        <w:rPr>
          <w:rFonts w:asciiTheme="minorHAnsi" w:hAnsiTheme="minorHAnsi" w:cstheme="minorHAnsi"/>
          <w:sz w:val="22"/>
          <w:szCs w:val="22"/>
          <w:lang w:eastAsia="en-US" w:bidi="ar-SA"/>
        </w:rPr>
        <w:t xml:space="preserve">. </w:t>
      </w:r>
    </w:p>
    <w:p w14:paraId="26F88E1F" w14:textId="77777777" w:rsidR="0093433C" w:rsidRPr="00890249" w:rsidRDefault="008279F5"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Powyższy problem wynika z niskiej świadomości mieszkańców regionu na temat korzyści płynących z uczenia się przez całe życie, które jest jednym z podstawowych warunków zwiększenia zdolności do zatrudnienia i drogą do rozwoju ścieżki kariery. </w:t>
      </w:r>
    </w:p>
    <w:p w14:paraId="154ED79A" w14:textId="77777777" w:rsidR="0093433C" w:rsidRPr="00890249" w:rsidRDefault="48C669E9"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Wyniki międzynarodowego badania PIAAC wyraźnie wskazują na niski poziom kompetencji kluczowych Polaków, który dodatkowo jest niższy niż przeciętny poziom umiejętności krajów OECD</w:t>
      </w:r>
      <w:r w:rsidR="008279F5" w:rsidRPr="00890249">
        <w:rPr>
          <w:rFonts w:asciiTheme="minorHAnsi" w:hAnsiTheme="minorHAnsi" w:cstheme="minorHAnsi"/>
          <w:sz w:val="22"/>
          <w:szCs w:val="22"/>
          <w:vertAlign w:val="superscript"/>
          <w:lang w:eastAsia="en-US" w:bidi="ar-SA"/>
        </w:rPr>
        <w:footnoteReference w:id="177"/>
      </w:r>
      <w:r w:rsidRPr="00890249">
        <w:rPr>
          <w:rFonts w:asciiTheme="minorHAnsi" w:hAnsiTheme="minorHAnsi" w:cstheme="minorHAnsi"/>
          <w:sz w:val="22"/>
          <w:szCs w:val="22"/>
          <w:lang w:eastAsia="en-US" w:bidi="ar-SA"/>
        </w:rPr>
        <w:t xml:space="preserve">. Zgodnie ze statystyką publiczną odsetek osób posiadających podstawowe lub ponadpodstawowe umiejętności cyfrowe w regionie był jednym z najniższych w kraju i w 2018 r. kształtował się na poziomie 41%, podczas gdy np. w </w:t>
      </w:r>
      <w:r w:rsidR="0A325994" w:rsidRPr="00890249">
        <w:rPr>
          <w:rFonts w:asciiTheme="minorHAnsi" w:hAnsiTheme="minorHAnsi" w:cstheme="minorHAnsi"/>
          <w:sz w:val="22"/>
          <w:szCs w:val="22"/>
          <w:lang w:eastAsia="en-US" w:bidi="ar-SA"/>
        </w:rPr>
        <w:t>woj.</w:t>
      </w:r>
      <w:r w:rsidRPr="00890249">
        <w:rPr>
          <w:rFonts w:asciiTheme="minorHAnsi" w:hAnsiTheme="minorHAnsi" w:cstheme="minorHAnsi"/>
          <w:sz w:val="22"/>
          <w:szCs w:val="22"/>
          <w:lang w:eastAsia="en-US" w:bidi="ar-SA"/>
        </w:rPr>
        <w:t xml:space="preserve"> mazowieckim odsetek ten wynosił 54%</w:t>
      </w:r>
      <w:r w:rsidR="008279F5" w:rsidRPr="00890249">
        <w:rPr>
          <w:rFonts w:asciiTheme="minorHAnsi" w:hAnsiTheme="minorHAnsi" w:cstheme="minorHAnsi"/>
          <w:sz w:val="22"/>
          <w:szCs w:val="22"/>
          <w:vertAlign w:val="superscript"/>
          <w:lang w:eastAsia="en-US" w:bidi="ar-SA"/>
        </w:rPr>
        <w:footnoteReference w:id="178"/>
      </w:r>
      <w:r w:rsidRPr="00890249">
        <w:rPr>
          <w:rFonts w:asciiTheme="minorHAnsi" w:hAnsiTheme="minorHAnsi" w:cstheme="minorHAnsi"/>
          <w:sz w:val="22"/>
          <w:szCs w:val="22"/>
          <w:lang w:eastAsia="en-US" w:bidi="ar-SA"/>
        </w:rPr>
        <w:t>. Szczególną uwagę na ten problem zwracają pracodawcy, co r</w:t>
      </w:r>
      <w:r w:rsidR="41812178" w:rsidRPr="00890249">
        <w:rPr>
          <w:rFonts w:asciiTheme="minorHAnsi" w:hAnsiTheme="minorHAnsi" w:cstheme="minorHAnsi"/>
          <w:sz w:val="22"/>
          <w:szCs w:val="22"/>
          <w:lang w:eastAsia="en-US" w:bidi="ar-SA"/>
        </w:rPr>
        <w:t>ównież znajduje potwierdzenie w </w:t>
      </w:r>
      <w:r w:rsidRPr="00890249">
        <w:rPr>
          <w:rFonts w:asciiTheme="minorHAnsi" w:hAnsiTheme="minorHAnsi" w:cstheme="minorHAnsi"/>
          <w:sz w:val="22"/>
          <w:szCs w:val="22"/>
          <w:lang w:eastAsia="en-US" w:bidi="ar-SA"/>
        </w:rPr>
        <w:t xml:space="preserve">analizach regionalnych. Wyniki projektu </w:t>
      </w:r>
      <w:r w:rsidRPr="00890249">
        <w:rPr>
          <w:rFonts w:asciiTheme="minorHAnsi" w:hAnsiTheme="minorHAnsi" w:cstheme="minorHAnsi"/>
          <w:i/>
          <w:iCs/>
          <w:sz w:val="22"/>
          <w:szCs w:val="22"/>
          <w:lang w:eastAsia="en-US" w:bidi="ar-SA"/>
        </w:rPr>
        <w:t>Badania potrzeb pracodawców w kontekście oferty systemu eduk</w:t>
      </w:r>
      <w:r w:rsidR="6486D113" w:rsidRPr="00890249">
        <w:rPr>
          <w:rFonts w:asciiTheme="minorHAnsi" w:hAnsiTheme="minorHAnsi" w:cstheme="minorHAnsi"/>
          <w:i/>
          <w:iCs/>
          <w:sz w:val="22"/>
          <w:szCs w:val="22"/>
          <w:lang w:eastAsia="en-US" w:bidi="ar-SA"/>
        </w:rPr>
        <w:t>acji na poziomie średnim i </w:t>
      </w:r>
      <w:r w:rsidRPr="00890249">
        <w:rPr>
          <w:rFonts w:asciiTheme="minorHAnsi" w:hAnsiTheme="minorHAnsi" w:cstheme="minorHAnsi"/>
          <w:i/>
          <w:iCs/>
          <w:sz w:val="22"/>
          <w:szCs w:val="22"/>
          <w:lang w:eastAsia="en-US" w:bidi="ar-SA"/>
        </w:rPr>
        <w:t>wyższym</w:t>
      </w:r>
      <w:r w:rsidRPr="00890249">
        <w:rPr>
          <w:rFonts w:asciiTheme="minorHAnsi" w:hAnsiTheme="minorHAnsi" w:cstheme="minorHAnsi"/>
          <w:sz w:val="22"/>
          <w:szCs w:val="22"/>
          <w:lang w:eastAsia="en-US" w:bidi="ar-SA"/>
        </w:rPr>
        <w:t xml:space="preserve"> wskazują, że osoby gotowe podjąć pracę posiadają inne kwalifikacje</w:t>
      </w:r>
      <w:r w:rsidR="0A325994"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niż oczekiwane przez pracodawców. Natomiast nawet, gdy osoby te posiadają odpowiednie kwalifikacje, to często ich poziom jest niewystarczający</w:t>
      </w:r>
      <w:r w:rsidR="008279F5" w:rsidRPr="00890249">
        <w:rPr>
          <w:rFonts w:asciiTheme="minorHAnsi" w:hAnsiTheme="minorHAnsi" w:cstheme="minorHAnsi"/>
          <w:sz w:val="22"/>
          <w:szCs w:val="22"/>
          <w:vertAlign w:val="superscript"/>
          <w:lang w:eastAsia="en-US" w:bidi="ar-SA"/>
        </w:rPr>
        <w:footnoteReference w:id="179"/>
      </w:r>
      <w:r w:rsidRPr="00890249">
        <w:rPr>
          <w:rFonts w:asciiTheme="minorHAnsi" w:hAnsiTheme="minorHAnsi" w:cstheme="minorHAnsi"/>
          <w:sz w:val="22"/>
          <w:szCs w:val="22"/>
          <w:lang w:eastAsia="en-US" w:bidi="ar-SA"/>
        </w:rPr>
        <w:t xml:space="preserve">. </w:t>
      </w:r>
      <w:r w:rsidR="65120F7D" w:rsidRPr="00890249">
        <w:rPr>
          <w:rFonts w:asciiTheme="minorHAnsi" w:hAnsiTheme="minorHAnsi" w:cstheme="minorHAnsi"/>
          <w:sz w:val="22"/>
          <w:szCs w:val="22"/>
          <w:lang w:eastAsia="en-US" w:bidi="ar-SA"/>
        </w:rPr>
        <w:t>Jednocześnie widoczny jest problem braku motywacji wewnętrznej mieszkańców oraz chęci podejmowania działań na rzecz własnego rozwoju.</w:t>
      </w:r>
    </w:p>
    <w:p w14:paraId="227E35EC" w14:textId="77777777" w:rsidR="0093433C" w:rsidRPr="00890249" w:rsidRDefault="48C669E9"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Zgodnie z CSR na 2019 r. jednym z czynników, który może mieć w przyszłości decydujący wpływ na perspektywy wzrostu gospodarczego jest dobry system kształcenia i szkolenia przez całe życie. Podnoszenie i nabywanie nowych umiejętności i kwalifikacji na szybko zmieniającym się rynku pracy ma kluczowe znaczenie dla zwiększenia zarówno aktywności ludności, jak i zdolności gospodarki do innowacji</w:t>
      </w:r>
      <w:r w:rsidR="008279F5" w:rsidRPr="00890249">
        <w:rPr>
          <w:rFonts w:asciiTheme="minorHAnsi" w:hAnsiTheme="minorHAnsi" w:cstheme="minorHAnsi"/>
          <w:sz w:val="22"/>
          <w:szCs w:val="22"/>
          <w:vertAlign w:val="superscript"/>
          <w:lang w:eastAsia="en-US" w:bidi="ar-SA"/>
        </w:rPr>
        <w:footnoteReference w:id="180"/>
      </w:r>
      <w:r w:rsidRPr="00890249">
        <w:rPr>
          <w:rFonts w:asciiTheme="minorHAnsi" w:hAnsiTheme="minorHAnsi" w:cstheme="minorHAnsi"/>
          <w:sz w:val="22"/>
          <w:szCs w:val="22"/>
          <w:lang w:eastAsia="en-US" w:bidi="ar-SA"/>
        </w:rPr>
        <w:t>.</w:t>
      </w:r>
    </w:p>
    <w:p w14:paraId="6CD0A1B3" w14:textId="77777777" w:rsidR="0093433C" w:rsidRPr="00890249" w:rsidRDefault="0009645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Podobnie</w:t>
      </w:r>
      <w:r w:rsidR="00BC5611"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jak w latach 2014-2020</w:t>
      </w:r>
      <w:r w:rsidR="001D41EA"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z</w:t>
      </w:r>
      <w:r w:rsidR="00D20289" w:rsidRPr="00890249">
        <w:rPr>
          <w:rFonts w:asciiTheme="minorHAnsi" w:hAnsiTheme="minorHAnsi" w:cstheme="minorHAnsi"/>
          <w:sz w:val="22"/>
          <w:szCs w:val="22"/>
          <w:lang w:eastAsia="en-US" w:bidi="ar-SA"/>
        </w:rPr>
        <w:t>aplanowane w ramach celu szczegółowego wsparcie</w:t>
      </w:r>
      <w:r w:rsidR="001D41EA" w:rsidRPr="00890249">
        <w:rPr>
          <w:rFonts w:asciiTheme="minorHAnsi" w:hAnsiTheme="minorHAnsi" w:cstheme="minorHAnsi"/>
          <w:sz w:val="22"/>
          <w:szCs w:val="22"/>
          <w:lang w:eastAsia="en-US" w:bidi="ar-SA"/>
        </w:rPr>
        <w:t>,</w:t>
      </w:r>
      <w:r w:rsidR="00D20289" w:rsidRPr="00890249">
        <w:rPr>
          <w:rFonts w:asciiTheme="minorHAnsi" w:hAnsiTheme="minorHAnsi" w:cstheme="minorHAnsi"/>
          <w:sz w:val="22"/>
          <w:szCs w:val="22"/>
          <w:lang w:eastAsia="en-US" w:bidi="ar-SA"/>
        </w:rPr>
        <w:t xml:space="preserve"> realizowane będzie</w:t>
      </w:r>
      <w:r w:rsidRPr="00890249">
        <w:rPr>
          <w:rFonts w:asciiTheme="minorHAnsi" w:hAnsiTheme="minorHAnsi" w:cstheme="minorHAnsi"/>
          <w:sz w:val="22"/>
          <w:szCs w:val="22"/>
          <w:lang w:eastAsia="en-US" w:bidi="ar-SA"/>
        </w:rPr>
        <w:t xml:space="preserve"> zgodnie z podejściem</w:t>
      </w:r>
      <w:r w:rsidR="00F55B41" w:rsidRPr="00890249">
        <w:rPr>
          <w:rFonts w:asciiTheme="minorHAnsi" w:hAnsiTheme="minorHAnsi" w:cstheme="minorHAnsi"/>
          <w:sz w:val="22"/>
          <w:szCs w:val="22"/>
          <w:lang w:eastAsia="en-US" w:bidi="ar-SA"/>
        </w:rPr>
        <w:t xml:space="preserve"> </w:t>
      </w:r>
      <w:r w:rsidR="00BA074C" w:rsidRPr="00890249">
        <w:rPr>
          <w:rFonts w:asciiTheme="minorHAnsi" w:hAnsiTheme="minorHAnsi" w:cstheme="minorHAnsi"/>
          <w:sz w:val="22"/>
          <w:szCs w:val="22"/>
          <w:lang w:eastAsia="en-US" w:bidi="ar-SA"/>
        </w:rPr>
        <w:t>popytow</w:t>
      </w:r>
      <w:r w:rsidRPr="00890249">
        <w:rPr>
          <w:rFonts w:asciiTheme="minorHAnsi" w:hAnsiTheme="minorHAnsi" w:cstheme="minorHAnsi"/>
          <w:sz w:val="22"/>
          <w:szCs w:val="22"/>
          <w:lang w:eastAsia="en-US" w:bidi="ar-SA"/>
        </w:rPr>
        <w:t>ym</w:t>
      </w:r>
      <w:r w:rsidR="00023D99"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np. poprzez system bonowy</w:t>
      </w:r>
      <w:r w:rsidR="00023D99" w:rsidRPr="00890249">
        <w:rPr>
          <w:rFonts w:asciiTheme="minorHAnsi" w:hAnsiTheme="minorHAnsi" w:cstheme="minorHAnsi"/>
          <w:sz w:val="22"/>
          <w:szCs w:val="22"/>
          <w:lang w:eastAsia="en-US" w:bidi="ar-SA"/>
        </w:rPr>
        <w:t>)</w:t>
      </w:r>
      <w:r w:rsidR="001D41EA" w:rsidRPr="00890249">
        <w:rPr>
          <w:rFonts w:asciiTheme="minorHAnsi" w:hAnsiTheme="minorHAnsi" w:cstheme="minorHAnsi"/>
          <w:sz w:val="22"/>
          <w:szCs w:val="22"/>
          <w:lang w:eastAsia="en-US" w:bidi="ar-SA"/>
        </w:rPr>
        <w:t>,</w:t>
      </w:r>
      <w:r w:rsidR="00023D99" w:rsidRPr="00890249">
        <w:rPr>
          <w:rFonts w:asciiTheme="minorHAnsi" w:hAnsiTheme="minorHAnsi" w:cstheme="minorHAnsi"/>
          <w:sz w:val="22"/>
          <w:szCs w:val="22"/>
          <w:lang w:eastAsia="en-US" w:bidi="ar-SA"/>
        </w:rPr>
        <w:t xml:space="preserve"> a z</w:t>
      </w:r>
      <w:r w:rsidR="00BA074C" w:rsidRPr="00890249">
        <w:rPr>
          <w:rFonts w:asciiTheme="minorHAnsi" w:hAnsiTheme="minorHAnsi" w:cstheme="minorHAnsi"/>
          <w:sz w:val="22"/>
          <w:szCs w:val="22"/>
          <w:lang w:eastAsia="en-US" w:bidi="ar-SA"/>
        </w:rPr>
        <w:t xml:space="preserve">akres </w:t>
      </w:r>
      <w:r w:rsidRPr="00890249">
        <w:rPr>
          <w:rFonts w:asciiTheme="minorHAnsi" w:hAnsiTheme="minorHAnsi" w:cstheme="minorHAnsi"/>
          <w:sz w:val="22"/>
          <w:szCs w:val="22"/>
          <w:lang w:eastAsia="en-US" w:bidi="ar-SA"/>
        </w:rPr>
        <w:t xml:space="preserve">nabywanej lub </w:t>
      </w:r>
      <w:r w:rsidR="00BA074C" w:rsidRPr="00890249">
        <w:rPr>
          <w:rFonts w:asciiTheme="minorHAnsi" w:hAnsiTheme="minorHAnsi" w:cstheme="minorHAnsi"/>
          <w:sz w:val="22"/>
          <w:szCs w:val="22"/>
          <w:lang w:eastAsia="en-US" w:bidi="ar-SA"/>
        </w:rPr>
        <w:t>aktualizowanej wiedzy wynikać będzie z indywid</w:t>
      </w:r>
      <w:r w:rsidR="00F47334" w:rsidRPr="00890249">
        <w:rPr>
          <w:rFonts w:asciiTheme="minorHAnsi" w:hAnsiTheme="minorHAnsi" w:cstheme="minorHAnsi"/>
          <w:sz w:val="22"/>
          <w:szCs w:val="22"/>
          <w:lang w:eastAsia="en-US" w:bidi="ar-SA"/>
        </w:rPr>
        <w:t>ualnych potrzeb osób chcących z </w:t>
      </w:r>
      <w:r w:rsidR="00BA074C" w:rsidRPr="00890249">
        <w:rPr>
          <w:rFonts w:asciiTheme="minorHAnsi" w:hAnsiTheme="minorHAnsi" w:cstheme="minorHAnsi"/>
          <w:sz w:val="22"/>
          <w:szCs w:val="22"/>
          <w:lang w:eastAsia="en-US" w:bidi="ar-SA"/>
        </w:rPr>
        <w:t xml:space="preserve">własnej inicjatywy </w:t>
      </w:r>
      <w:r w:rsidR="00BA074C" w:rsidRPr="00890249">
        <w:rPr>
          <w:rFonts w:asciiTheme="minorHAnsi" w:hAnsiTheme="minorHAnsi" w:cstheme="minorHAnsi"/>
          <w:sz w:val="22"/>
          <w:szCs w:val="22"/>
          <w:lang w:eastAsia="en-US" w:bidi="ar-SA"/>
        </w:rPr>
        <w:lastRenderedPageBreak/>
        <w:t>uczestniczyć w edukacji ustawicznej</w:t>
      </w:r>
      <w:r w:rsidRPr="00890249">
        <w:rPr>
          <w:rFonts w:asciiTheme="minorHAnsi" w:hAnsiTheme="minorHAnsi" w:cstheme="minorHAnsi"/>
          <w:sz w:val="22"/>
          <w:szCs w:val="22"/>
          <w:lang w:eastAsia="en-US" w:bidi="ar-SA"/>
        </w:rPr>
        <w:t xml:space="preserve">. </w:t>
      </w:r>
      <w:r w:rsidR="00825D8A" w:rsidRPr="00890249">
        <w:rPr>
          <w:rFonts w:asciiTheme="minorHAnsi" w:hAnsiTheme="minorHAnsi" w:cstheme="minorHAnsi"/>
          <w:sz w:val="22"/>
          <w:szCs w:val="22"/>
          <w:lang w:eastAsia="en-US" w:bidi="ar-SA"/>
        </w:rPr>
        <w:t xml:space="preserve">Podejmowane działania poprzedzone zostaną analizą rynku pracy w zakresie zapotrzebowania na nowe umiejętności. Powyższe będzie skutkować racjonalnym wyborem oferty edukacyjnej, zgodnej z aktualnymi potrzebami na rynku pracy. </w:t>
      </w:r>
      <w:r w:rsidR="00A21C71" w:rsidRPr="00890249">
        <w:rPr>
          <w:rFonts w:asciiTheme="minorHAnsi" w:hAnsiTheme="minorHAnsi" w:cstheme="minorHAnsi"/>
          <w:sz w:val="22"/>
          <w:szCs w:val="22"/>
          <w:lang w:eastAsia="en-US" w:bidi="ar-SA"/>
        </w:rPr>
        <w:t xml:space="preserve">Jednocześnie wsparciem zostaną objęte </w:t>
      </w:r>
      <w:r w:rsidR="007F25D4" w:rsidRPr="00890249">
        <w:rPr>
          <w:rFonts w:asciiTheme="minorHAnsi" w:hAnsiTheme="minorHAnsi" w:cstheme="minorHAnsi"/>
          <w:sz w:val="22"/>
          <w:szCs w:val="22"/>
          <w:lang w:eastAsia="en-US" w:bidi="ar-SA"/>
        </w:rPr>
        <w:t xml:space="preserve">osoby dorosłe będące </w:t>
      </w:r>
      <w:r w:rsidR="00A21C71" w:rsidRPr="00890249">
        <w:rPr>
          <w:rFonts w:asciiTheme="minorHAnsi" w:hAnsiTheme="minorHAnsi" w:cstheme="minorHAnsi"/>
          <w:sz w:val="22"/>
          <w:szCs w:val="22"/>
          <w:lang w:eastAsia="en-US" w:bidi="ar-SA"/>
        </w:rPr>
        <w:t>w najtrudniejszej sytuacji</w:t>
      </w:r>
      <w:r w:rsidR="006339BC" w:rsidRPr="00890249">
        <w:rPr>
          <w:rFonts w:asciiTheme="minorHAnsi" w:hAnsiTheme="minorHAnsi" w:cstheme="minorHAnsi"/>
          <w:sz w:val="22"/>
          <w:szCs w:val="22"/>
          <w:lang w:eastAsia="en-US" w:bidi="ar-SA"/>
        </w:rPr>
        <w:t>, w </w:t>
      </w:r>
      <w:r w:rsidR="007F25D4" w:rsidRPr="00890249">
        <w:rPr>
          <w:rFonts w:asciiTheme="minorHAnsi" w:hAnsiTheme="minorHAnsi" w:cstheme="minorHAnsi"/>
          <w:sz w:val="22"/>
          <w:szCs w:val="22"/>
          <w:lang w:eastAsia="en-US" w:bidi="ar-SA"/>
        </w:rPr>
        <w:t>tym osoby bezrobotne, nieaktywne zawodow</w:t>
      </w:r>
      <w:r w:rsidR="00BF67F0" w:rsidRPr="00890249">
        <w:rPr>
          <w:rFonts w:asciiTheme="minorHAnsi" w:hAnsiTheme="minorHAnsi" w:cstheme="minorHAnsi"/>
          <w:sz w:val="22"/>
          <w:szCs w:val="22"/>
          <w:lang w:eastAsia="en-US" w:bidi="ar-SA"/>
        </w:rPr>
        <w:t>o</w:t>
      </w:r>
      <w:r w:rsidR="007F25D4" w:rsidRPr="00890249">
        <w:rPr>
          <w:rFonts w:asciiTheme="minorHAnsi" w:hAnsiTheme="minorHAnsi" w:cstheme="minorHAnsi"/>
          <w:sz w:val="22"/>
          <w:szCs w:val="22"/>
          <w:lang w:eastAsia="en-US" w:bidi="ar-SA"/>
        </w:rPr>
        <w:t xml:space="preserve"> i z niepełn</w:t>
      </w:r>
      <w:r w:rsidR="006339BC" w:rsidRPr="00890249">
        <w:rPr>
          <w:rFonts w:asciiTheme="minorHAnsi" w:hAnsiTheme="minorHAnsi" w:cstheme="minorHAnsi"/>
          <w:sz w:val="22"/>
          <w:szCs w:val="22"/>
          <w:lang w:eastAsia="en-US" w:bidi="ar-SA"/>
        </w:rPr>
        <w:t>osprawnościami. Dla dorosłych o </w:t>
      </w:r>
      <w:r w:rsidR="007F25D4" w:rsidRPr="00890249">
        <w:rPr>
          <w:rFonts w:asciiTheme="minorHAnsi" w:hAnsiTheme="minorHAnsi" w:cstheme="minorHAnsi"/>
          <w:sz w:val="22"/>
          <w:szCs w:val="22"/>
          <w:lang w:eastAsia="en-US" w:bidi="ar-SA"/>
        </w:rPr>
        <w:t xml:space="preserve">najniższych kwalifikacjach przewidziano Ścieżki Poprawy Umiejętności. Ponadto </w:t>
      </w:r>
      <w:r w:rsidR="00BF67F0" w:rsidRPr="00890249">
        <w:rPr>
          <w:rFonts w:asciiTheme="minorHAnsi" w:hAnsiTheme="minorHAnsi" w:cstheme="minorHAnsi"/>
          <w:sz w:val="22"/>
          <w:szCs w:val="22"/>
          <w:lang w:eastAsia="en-US" w:bidi="ar-SA"/>
        </w:rPr>
        <w:t>w zakresie</w:t>
      </w:r>
      <w:r w:rsidR="007F25D4" w:rsidRPr="00890249">
        <w:rPr>
          <w:rFonts w:asciiTheme="minorHAnsi" w:hAnsiTheme="minorHAnsi" w:cstheme="minorHAnsi"/>
          <w:sz w:val="22"/>
          <w:szCs w:val="22"/>
          <w:lang w:eastAsia="en-US" w:bidi="ar-SA"/>
        </w:rPr>
        <w:t xml:space="preserve"> kształcenia pozaformalnego w szkołach na obszarach wiejskich po</w:t>
      </w:r>
      <w:r w:rsidR="006339BC" w:rsidRPr="00890249">
        <w:rPr>
          <w:rFonts w:asciiTheme="minorHAnsi" w:hAnsiTheme="minorHAnsi" w:cstheme="minorHAnsi"/>
          <w:sz w:val="22"/>
          <w:szCs w:val="22"/>
          <w:lang w:eastAsia="en-US" w:bidi="ar-SA"/>
        </w:rPr>
        <w:t>wstaną Lokalne Ośrodki Wiedzy i </w:t>
      </w:r>
      <w:r w:rsidR="007F25D4" w:rsidRPr="00890249">
        <w:rPr>
          <w:rFonts w:asciiTheme="minorHAnsi" w:hAnsiTheme="minorHAnsi" w:cstheme="minorHAnsi"/>
          <w:sz w:val="22"/>
          <w:szCs w:val="22"/>
          <w:lang w:eastAsia="en-US" w:bidi="ar-SA"/>
        </w:rPr>
        <w:t>Edukacji. Planuje się również objąć wsparciem uczestników Uniwersytetów Trzeciego</w:t>
      </w:r>
      <w:r w:rsidR="00A61DA9" w:rsidRPr="00890249">
        <w:rPr>
          <w:rFonts w:asciiTheme="minorHAnsi" w:hAnsiTheme="minorHAnsi" w:cstheme="minorHAnsi"/>
          <w:sz w:val="22"/>
          <w:szCs w:val="22"/>
          <w:lang w:eastAsia="en-US" w:bidi="ar-SA"/>
        </w:rPr>
        <w:softHyphen/>
      </w:r>
      <w:r w:rsidR="007F25D4" w:rsidRPr="00890249">
        <w:rPr>
          <w:rFonts w:asciiTheme="minorHAnsi" w:hAnsiTheme="minorHAnsi" w:cstheme="minorHAnsi"/>
          <w:sz w:val="22"/>
          <w:szCs w:val="22"/>
          <w:lang w:eastAsia="en-US" w:bidi="ar-SA"/>
        </w:rPr>
        <w:t xml:space="preserve"> Wieku.  </w:t>
      </w:r>
    </w:p>
    <w:p w14:paraId="73F8A24E" w14:textId="77777777" w:rsidR="0093433C" w:rsidRPr="00890249" w:rsidRDefault="006B20B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na poziomie regionalnym będzie komplementarne do działań podejmowanych na poziomie krajowym.</w:t>
      </w:r>
    </w:p>
    <w:p w14:paraId="1530AE2B" w14:textId="77777777" w:rsidR="0093433C" w:rsidRPr="00890249" w:rsidRDefault="008279F5"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typy przedsięwzięć:</w:t>
      </w:r>
    </w:p>
    <w:p w14:paraId="08B2E511" w14:textId="77777777" w:rsidR="00E127B6" w:rsidRPr="00890249" w:rsidRDefault="008279F5" w:rsidP="009F296A">
      <w:pPr>
        <w:pStyle w:val="Akapitzlist"/>
        <w:numPr>
          <w:ilvl w:val="0"/>
          <w:numId w:val="62"/>
        </w:numPr>
        <w:ind w:left="284" w:hanging="284"/>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Wsparcie </w:t>
      </w:r>
      <w:r w:rsidR="00242C6B" w:rsidRPr="00890249">
        <w:rPr>
          <w:rFonts w:asciiTheme="minorHAnsi" w:eastAsiaTheme="minorHAnsi" w:hAnsiTheme="minorHAnsi" w:cstheme="minorHAnsi"/>
          <w:sz w:val="22"/>
          <w:szCs w:val="22"/>
          <w:lang w:eastAsia="en-US" w:bidi="ar-SA"/>
        </w:rPr>
        <w:t>edukacji ustawicznej</w:t>
      </w:r>
      <w:r w:rsidRPr="00890249">
        <w:rPr>
          <w:rFonts w:asciiTheme="minorHAnsi" w:eastAsiaTheme="minorHAnsi" w:hAnsiTheme="minorHAnsi" w:cstheme="minorHAnsi"/>
          <w:sz w:val="22"/>
          <w:szCs w:val="22"/>
          <w:lang w:eastAsia="en-US" w:bidi="ar-SA"/>
        </w:rPr>
        <w:t xml:space="preserve">  poprzez</w:t>
      </w:r>
      <w:r w:rsidR="00242C6B" w:rsidRPr="00890249">
        <w:rPr>
          <w:rFonts w:asciiTheme="minorHAnsi" w:eastAsiaTheme="minorHAnsi" w:hAnsiTheme="minorHAnsi" w:cstheme="minorHAnsi"/>
          <w:sz w:val="22"/>
          <w:szCs w:val="22"/>
          <w:lang w:eastAsia="en-US" w:bidi="ar-SA"/>
        </w:rPr>
        <w:t xml:space="preserve"> realizację</w:t>
      </w:r>
      <w:r w:rsidRPr="00890249">
        <w:rPr>
          <w:rFonts w:asciiTheme="minorHAnsi" w:eastAsiaTheme="minorHAnsi" w:hAnsiTheme="minorHAnsi" w:cstheme="minorHAnsi"/>
          <w:sz w:val="22"/>
          <w:szCs w:val="22"/>
          <w:lang w:eastAsia="en-US" w:bidi="ar-SA"/>
        </w:rPr>
        <w:t>:</w:t>
      </w:r>
    </w:p>
    <w:p w14:paraId="520A7E10" w14:textId="4033C7DF" w:rsidR="008279F5" w:rsidRPr="00890249" w:rsidRDefault="005E02B0" w:rsidP="009F296A">
      <w:pPr>
        <w:pStyle w:val="Akapitzlist"/>
        <w:numPr>
          <w:ilvl w:val="0"/>
          <w:numId w:val="47"/>
        </w:numPr>
        <w:contextualSpacing w:val="0"/>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u</w:t>
      </w:r>
      <w:r w:rsidRPr="005E02B0">
        <w:rPr>
          <w:rFonts w:asciiTheme="minorHAnsi" w:eastAsiaTheme="minorHAnsi" w:hAnsiTheme="minorHAnsi" w:cstheme="minorHAnsi"/>
          <w:sz w:val="22"/>
          <w:szCs w:val="22"/>
          <w:lang w:eastAsia="en-US" w:bidi="ar-SA"/>
        </w:rPr>
        <w:t>sług rozwojowych dla osób, które z własnej inicjatywy chcą podnieść swoje umiejętności/kompetencje/kwalifikacje, w tym form</w:t>
      </w:r>
      <w:r>
        <w:rPr>
          <w:rFonts w:asciiTheme="minorHAnsi" w:eastAsiaTheme="minorHAnsi" w:hAnsiTheme="minorHAnsi" w:cstheme="minorHAnsi"/>
          <w:sz w:val="22"/>
          <w:szCs w:val="22"/>
          <w:lang w:eastAsia="en-US" w:bidi="ar-SA"/>
        </w:rPr>
        <w:t xml:space="preserve"> </w:t>
      </w:r>
      <w:r w:rsidR="00BC5611" w:rsidRPr="00890249">
        <w:rPr>
          <w:rFonts w:asciiTheme="minorHAnsi" w:eastAsiaTheme="minorHAnsi" w:hAnsiTheme="minorHAnsi" w:cstheme="minorHAnsi"/>
          <w:sz w:val="22"/>
          <w:szCs w:val="22"/>
          <w:lang w:eastAsia="en-US" w:bidi="ar-SA"/>
        </w:rPr>
        <w:t>k</w:t>
      </w:r>
      <w:r w:rsidR="00242C6B" w:rsidRPr="00890249">
        <w:rPr>
          <w:rFonts w:asciiTheme="minorHAnsi" w:eastAsiaTheme="minorHAnsi" w:hAnsiTheme="minorHAnsi" w:cstheme="minorHAnsi"/>
          <w:sz w:val="22"/>
          <w:szCs w:val="22"/>
          <w:lang w:eastAsia="en-US" w:bidi="ar-SA"/>
        </w:rPr>
        <w:t>ształceni</w:t>
      </w:r>
      <w:r w:rsidR="0085728F" w:rsidRPr="00890249">
        <w:rPr>
          <w:rFonts w:asciiTheme="minorHAnsi" w:eastAsiaTheme="minorHAnsi" w:hAnsiTheme="minorHAnsi" w:cstheme="minorHAnsi"/>
          <w:sz w:val="22"/>
          <w:szCs w:val="22"/>
          <w:lang w:eastAsia="en-US" w:bidi="ar-SA"/>
        </w:rPr>
        <w:t>a</w:t>
      </w:r>
      <w:r w:rsidR="00F55B41" w:rsidRPr="00890249">
        <w:rPr>
          <w:rFonts w:asciiTheme="minorHAnsi" w:eastAsiaTheme="minorHAnsi" w:hAnsiTheme="minorHAnsi" w:cstheme="minorHAnsi"/>
          <w:sz w:val="22"/>
          <w:szCs w:val="22"/>
          <w:lang w:eastAsia="en-US" w:bidi="ar-SA"/>
        </w:rPr>
        <w:t xml:space="preserve">  </w:t>
      </w:r>
      <w:r w:rsidR="008279F5" w:rsidRPr="00890249">
        <w:rPr>
          <w:rFonts w:asciiTheme="minorHAnsi" w:eastAsiaTheme="minorHAnsi" w:hAnsiTheme="minorHAnsi" w:cstheme="minorHAnsi"/>
          <w:sz w:val="22"/>
          <w:szCs w:val="22"/>
          <w:lang w:eastAsia="en-US" w:bidi="ar-SA"/>
        </w:rPr>
        <w:t>w ramach systemu formalnego lub pozaformalnego</w:t>
      </w:r>
      <w:r w:rsidR="007F6227" w:rsidRPr="00890249">
        <w:rPr>
          <w:rFonts w:asciiTheme="minorHAnsi" w:eastAsiaTheme="minorHAnsi" w:hAnsiTheme="minorHAnsi" w:cstheme="minorHAnsi"/>
          <w:sz w:val="22"/>
          <w:szCs w:val="22"/>
          <w:lang w:eastAsia="en-US" w:bidi="ar-SA"/>
        </w:rPr>
        <w:t xml:space="preserve"> lub poprzez uczenie się nieformalne,</w:t>
      </w:r>
      <w:r w:rsidR="008279F5" w:rsidRPr="00890249">
        <w:rPr>
          <w:rFonts w:asciiTheme="minorHAnsi" w:eastAsiaTheme="minorHAnsi" w:hAnsiTheme="minorHAnsi" w:cstheme="minorHAnsi"/>
          <w:sz w:val="22"/>
          <w:szCs w:val="22"/>
          <w:lang w:eastAsia="en-US" w:bidi="ar-SA"/>
        </w:rPr>
        <w:t xml:space="preserve"> z</w:t>
      </w:r>
      <w:r w:rsidR="0085728F" w:rsidRPr="00890249">
        <w:rPr>
          <w:rFonts w:asciiTheme="minorHAnsi" w:eastAsiaTheme="minorHAnsi" w:hAnsiTheme="minorHAnsi" w:cstheme="minorHAnsi"/>
          <w:sz w:val="22"/>
          <w:szCs w:val="22"/>
          <w:lang w:eastAsia="en-US" w:bidi="ar-SA"/>
        </w:rPr>
        <w:t> </w:t>
      </w:r>
      <w:r w:rsidR="008279F5" w:rsidRPr="00890249">
        <w:rPr>
          <w:rFonts w:asciiTheme="minorHAnsi" w:eastAsiaTheme="minorHAnsi" w:hAnsiTheme="minorHAnsi" w:cstheme="minorHAnsi"/>
          <w:sz w:val="22"/>
          <w:szCs w:val="22"/>
          <w:lang w:eastAsia="en-US" w:bidi="ar-SA"/>
        </w:rPr>
        <w:t>uwzględnieniem elastycznych rozwiązań (np. kształcenie na odległość)</w:t>
      </w:r>
      <w:r w:rsidR="000163FE" w:rsidRPr="00890249">
        <w:rPr>
          <w:rFonts w:asciiTheme="minorHAnsi" w:eastAsiaTheme="minorHAnsi" w:hAnsiTheme="minorHAnsi" w:cstheme="minorHAnsi"/>
          <w:sz w:val="22"/>
          <w:szCs w:val="22"/>
          <w:lang w:eastAsia="en-US" w:bidi="ar-SA"/>
        </w:rPr>
        <w:t xml:space="preserve"> m.in.</w:t>
      </w:r>
      <w:r w:rsidR="008279F5" w:rsidRPr="00890249">
        <w:rPr>
          <w:rFonts w:asciiTheme="minorHAnsi" w:eastAsiaTheme="minorHAnsi" w:hAnsiTheme="minorHAnsi" w:cstheme="minorHAnsi"/>
          <w:sz w:val="22"/>
          <w:szCs w:val="22"/>
          <w:lang w:eastAsia="en-US" w:bidi="ar-SA"/>
        </w:rPr>
        <w:t xml:space="preserve"> w zakresie kompetencji kluczowych,</w:t>
      </w:r>
      <w:r w:rsidR="006339BC" w:rsidRPr="00890249">
        <w:rPr>
          <w:rFonts w:asciiTheme="minorHAnsi" w:eastAsiaTheme="minorHAnsi" w:hAnsiTheme="minorHAnsi" w:cstheme="minorHAnsi"/>
          <w:sz w:val="22"/>
          <w:szCs w:val="22"/>
          <w:lang w:eastAsia="en-US" w:bidi="ar-SA"/>
        </w:rPr>
        <w:t xml:space="preserve"> kompetencji transferowalnych i </w:t>
      </w:r>
      <w:r w:rsidR="008279F5" w:rsidRPr="00890249">
        <w:rPr>
          <w:rFonts w:asciiTheme="minorHAnsi" w:eastAsiaTheme="minorHAnsi" w:hAnsiTheme="minorHAnsi" w:cstheme="minorHAnsi"/>
          <w:sz w:val="22"/>
          <w:szCs w:val="22"/>
          <w:lang w:eastAsia="en-US" w:bidi="ar-SA"/>
        </w:rPr>
        <w:t>wyspecjalizowanych umiejętności twardych</w:t>
      </w:r>
      <w:r w:rsidR="0008785B" w:rsidRPr="00890249">
        <w:rPr>
          <w:rFonts w:asciiTheme="minorHAnsi" w:eastAsiaTheme="minorHAnsi" w:hAnsiTheme="minorHAnsi" w:cstheme="minorHAnsi"/>
          <w:sz w:val="22"/>
          <w:szCs w:val="22"/>
          <w:lang w:eastAsia="en-US" w:bidi="ar-SA"/>
        </w:rPr>
        <w:t>, zielonych kompetencji</w:t>
      </w:r>
      <w:r w:rsidR="00392DDC" w:rsidRPr="00890249">
        <w:rPr>
          <w:rFonts w:asciiTheme="minorHAnsi" w:eastAsiaTheme="minorHAnsi" w:hAnsiTheme="minorHAnsi" w:cstheme="minorHAnsi"/>
          <w:sz w:val="22"/>
          <w:szCs w:val="22"/>
          <w:lang w:eastAsia="en-US" w:bidi="ar-SA"/>
        </w:rPr>
        <w:t>,</w:t>
      </w:r>
      <w:r w:rsidR="00AF1000" w:rsidRPr="00890249">
        <w:rPr>
          <w:rFonts w:asciiTheme="minorHAnsi" w:eastAsiaTheme="minorHAnsi" w:hAnsiTheme="minorHAnsi" w:cstheme="minorHAnsi"/>
          <w:sz w:val="22"/>
          <w:szCs w:val="22"/>
          <w:lang w:eastAsia="en-US" w:bidi="ar-SA"/>
        </w:rPr>
        <w:t xml:space="preserve"> za pośrednictwem BUR</w:t>
      </w:r>
      <w:r w:rsidR="008279F5" w:rsidRPr="00890249">
        <w:rPr>
          <w:rFonts w:asciiTheme="minorHAnsi" w:eastAsiaTheme="minorHAnsi" w:hAnsiTheme="minorHAnsi" w:cstheme="minorHAnsi"/>
          <w:sz w:val="22"/>
          <w:szCs w:val="22"/>
          <w:lang w:eastAsia="en-US" w:bidi="ar-SA"/>
        </w:rPr>
        <w:t>,</w:t>
      </w:r>
      <w:r w:rsidR="00E33151" w:rsidRPr="00890249">
        <w:rPr>
          <w:rFonts w:asciiTheme="minorHAnsi" w:eastAsiaTheme="minorHAnsi" w:hAnsiTheme="minorHAnsi" w:cstheme="minorHAnsi"/>
          <w:sz w:val="22"/>
          <w:szCs w:val="22"/>
          <w:lang w:eastAsia="en-US" w:bidi="ar-SA"/>
        </w:rPr>
        <w:t xml:space="preserve"> </w:t>
      </w:r>
      <w:r w:rsidRPr="005E02B0">
        <w:rPr>
          <w:rFonts w:asciiTheme="minorHAnsi" w:eastAsiaTheme="minorHAnsi" w:hAnsiTheme="minorHAnsi" w:cstheme="minorHAnsi"/>
          <w:sz w:val="22"/>
          <w:szCs w:val="22"/>
          <w:lang w:eastAsia="en-US" w:bidi="ar-SA"/>
        </w:rPr>
        <w:t>w szczególności dla</w:t>
      </w:r>
      <w:r>
        <w:rPr>
          <w:rFonts w:asciiTheme="minorHAnsi" w:eastAsiaTheme="minorHAnsi" w:hAnsiTheme="minorHAnsi" w:cstheme="minorHAnsi"/>
          <w:sz w:val="22"/>
          <w:szCs w:val="22"/>
          <w:lang w:eastAsia="en-US" w:bidi="ar-SA"/>
        </w:rPr>
        <w:t xml:space="preserve"> </w:t>
      </w:r>
      <w:r w:rsidR="00E33151" w:rsidRPr="00890249">
        <w:rPr>
          <w:rFonts w:asciiTheme="minorHAnsi" w:eastAsiaTheme="minorHAnsi" w:hAnsiTheme="minorHAnsi" w:cstheme="minorHAnsi"/>
          <w:sz w:val="22"/>
          <w:szCs w:val="22"/>
          <w:lang w:eastAsia="en-US" w:bidi="ar-SA"/>
        </w:rPr>
        <w:t>osób w niekorzystnej sytuacji</w:t>
      </w:r>
      <w:r w:rsidR="00551181" w:rsidRPr="00890249">
        <w:rPr>
          <w:rFonts w:asciiTheme="minorHAnsi" w:eastAsiaTheme="minorHAnsi" w:hAnsiTheme="minorHAnsi" w:cstheme="minorHAnsi"/>
          <w:sz w:val="22"/>
          <w:szCs w:val="22"/>
          <w:lang w:eastAsia="en-US" w:bidi="ar-SA"/>
        </w:rPr>
        <w:t>,</w:t>
      </w:r>
      <w:r w:rsidR="005E737F" w:rsidRPr="00890249">
        <w:rPr>
          <w:rFonts w:asciiTheme="minorHAnsi" w:eastAsiaTheme="minorHAnsi" w:hAnsiTheme="minorHAnsi" w:cstheme="minorHAnsi"/>
          <w:sz w:val="22"/>
          <w:szCs w:val="22"/>
          <w:lang w:eastAsia="en-US" w:bidi="ar-SA"/>
        </w:rPr>
        <w:t xml:space="preserve"> </w:t>
      </w:r>
      <w:r w:rsidR="008355B3" w:rsidRPr="00890249">
        <w:rPr>
          <w:rFonts w:asciiTheme="minorHAnsi" w:eastAsiaTheme="minorHAnsi" w:hAnsiTheme="minorHAnsi" w:cstheme="minorHAnsi"/>
          <w:sz w:val="22"/>
          <w:szCs w:val="22"/>
          <w:lang w:eastAsia="en-US" w:bidi="ar-SA"/>
        </w:rPr>
        <w:t xml:space="preserve">osób </w:t>
      </w:r>
      <w:r w:rsidR="00503CB3" w:rsidRPr="00890249">
        <w:rPr>
          <w:rFonts w:asciiTheme="minorHAnsi" w:eastAsiaTheme="minorHAnsi" w:hAnsiTheme="minorHAnsi" w:cstheme="minorHAnsi"/>
          <w:sz w:val="22"/>
          <w:szCs w:val="22"/>
          <w:lang w:eastAsia="en-US" w:bidi="ar-SA"/>
        </w:rPr>
        <w:t>posiadających zawody deficytowe</w:t>
      </w:r>
      <w:r w:rsidR="008355B3" w:rsidRPr="00890249">
        <w:rPr>
          <w:rFonts w:asciiTheme="minorHAnsi" w:eastAsiaTheme="minorHAnsi" w:hAnsiTheme="minorHAnsi" w:cstheme="minorHAnsi"/>
          <w:sz w:val="22"/>
          <w:szCs w:val="22"/>
          <w:lang w:eastAsia="en-US" w:bidi="ar-SA"/>
        </w:rPr>
        <w:t xml:space="preserve"> w regionie</w:t>
      </w:r>
      <w:r w:rsidR="00BA1D2F" w:rsidRPr="00890249">
        <w:rPr>
          <w:rFonts w:asciiTheme="minorHAnsi" w:eastAsiaTheme="minorHAnsi" w:hAnsiTheme="minorHAnsi" w:cstheme="minorHAnsi"/>
          <w:sz w:val="22"/>
          <w:szCs w:val="22"/>
          <w:lang w:eastAsia="en-US" w:bidi="ar-SA"/>
        </w:rPr>
        <w:t>,</w:t>
      </w:r>
      <w:r w:rsidR="008355B3" w:rsidRPr="00890249">
        <w:rPr>
          <w:rFonts w:asciiTheme="minorHAnsi" w:eastAsiaTheme="minorHAnsi" w:hAnsiTheme="minorHAnsi" w:cstheme="minorHAnsi"/>
          <w:sz w:val="22"/>
          <w:szCs w:val="22"/>
          <w:lang w:eastAsia="en-US" w:bidi="ar-SA"/>
        </w:rPr>
        <w:t xml:space="preserve"> </w:t>
      </w:r>
      <w:r w:rsidR="00F703B9">
        <w:rPr>
          <w:rFonts w:asciiTheme="minorHAnsi" w:eastAsiaTheme="minorHAnsi" w:hAnsiTheme="minorHAnsi" w:cstheme="minorHAnsi"/>
          <w:sz w:val="22"/>
          <w:szCs w:val="22"/>
          <w:lang w:eastAsia="en-US" w:bidi="ar-SA"/>
        </w:rPr>
        <w:t>w tym np.</w:t>
      </w:r>
      <w:r w:rsidR="008355B3" w:rsidRPr="00890249">
        <w:rPr>
          <w:rFonts w:asciiTheme="minorHAnsi" w:eastAsiaTheme="minorHAnsi" w:hAnsiTheme="minorHAnsi" w:cstheme="minorHAnsi"/>
          <w:sz w:val="22"/>
          <w:szCs w:val="22"/>
          <w:lang w:eastAsia="en-US" w:bidi="ar-SA"/>
        </w:rPr>
        <w:t>: psychologów, pedagogów oraz obecnych i potencjalnych opiekunów osób wymagających wsparcia w codziennym funkcjonowaniu</w:t>
      </w:r>
      <w:r w:rsidR="00BA34DF" w:rsidRPr="00890249">
        <w:rPr>
          <w:rFonts w:asciiTheme="minorHAnsi" w:eastAsiaTheme="minorHAnsi" w:hAnsiTheme="minorHAnsi" w:cstheme="minorHAnsi"/>
          <w:sz w:val="22"/>
          <w:szCs w:val="22"/>
          <w:lang w:eastAsia="en-US" w:bidi="ar-SA"/>
        </w:rPr>
        <w:t xml:space="preserve"> </w:t>
      </w:r>
      <w:r w:rsidR="001E0DF2" w:rsidRPr="00890249">
        <w:rPr>
          <w:rFonts w:asciiTheme="minorHAnsi" w:eastAsiaTheme="minorHAnsi" w:hAnsiTheme="minorHAnsi" w:cstheme="minorHAnsi"/>
          <w:sz w:val="22"/>
          <w:szCs w:val="22"/>
          <w:lang w:eastAsia="en-US" w:bidi="ar-SA"/>
        </w:rPr>
        <w:t>(w</w:t>
      </w:r>
      <w:r w:rsidR="008C67B3">
        <w:rPr>
          <w:rFonts w:asciiTheme="minorHAnsi" w:eastAsiaTheme="minorHAnsi" w:hAnsiTheme="minorHAnsi" w:cstheme="minorHAnsi"/>
          <w:sz w:val="22"/>
          <w:szCs w:val="22"/>
          <w:lang w:eastAsia="en-US" w:bidi="ar-SA"/>
        </w:rPr>
        <w:t xml:space="preserve"> przypadku zawodów medycznych i </w:t>
      </w:r>
      <w:r w:rsidR="001E0DF2" w:rsidRPr="00890249">
        <w:rPr>
          <w:rFonts w:asciiTheme="minorHAnsi" w:eastAsiaTheme="minorHAnsi" w:hAnsiTheme="minorHAnsi" w:cstheme="minorHAnsi"/>
          <w:sz w:val="22"/>
          <w:szCs w:val="22"/>
          <w:lang w:eastAsia="en-US" w:bidi="ar-SA"/>
        </w:rPr>
        <w:t xml:space="preserve">niemedycznych </w:t>
      </w:r>
      <w:r w:rsidR="00EA68C2">
        <w:rPr>
          <w:rFonts w:asciiTheme="minorHAnsi" w:eastAsiaTheme="minorHAnsi" w:hAnsiTheme="minorHAnsi" w:cstheme="minorHAnsi"/>
          <w:sz w:val="22"/>
          <w:szCs w:val="22"/>
          <w:lang w:eastAsia="en-US" w:bidi="ar-SA"/>
        </w:rPr>
        <w:t xml:space="preserve">z </w:t>
      </w:r>
      <w:r w:rsidR="001E0DF2" w:rsidRPr="00890249">
        <w:rPr>
          <w:rFonts w:asciiTheme="minorHAnsi" w:eastAsiaTheme="minorHAnsi" w:hAnsiTheme="minorHAnsi" w:cstheme="minorHAnsi"/>
          <w:sz w:val="22"/>
          <w:szCs w:val="22"/>
          <w:lang w:eastAsia="en-US" w:bidi="ar-SA"/>
        </w:rPr>
        <w:t>zachowan</w:t>
      </w:r>
      <w:r w:rsidR="00EA68C2">
        <w:rPr>
          <w:rFonts w:asciiTheme="minorHAnsi" w:eastAsiaTheme="minorHAnsi" w:hAnsiTheme="minorHAnsi" w:cstheme="minorHAnsi"/>
          <w:sz w:val="22"/>
          <w:szCs w:val="22"/>
          <w:lang w:eastAsia="en-US" w:bidi="ar-SA"/>
        </w:rPr>
        <w:t>iem</w:t>
      </w:r>
      <w:r w:rsidR="001E0DF2" w:rsidRPr="00890249">
        <w:rPr>
          <w:rFonts w:asciiTheme="minorHAnsi" w:eastAsiaTheme="minorHAnsi" w:hAnsiTheme="minorHAnsi" w:cstheme="minorHAnsi"/>
          <w:sz w:val="22"/>
          <w:szCs w:val="22"/>
          <w:lang w:eastAsia="en-US" w:bidi="ar-SA"/>
        </w:rPr>
        <w:t xml:space="preserve"> komplementarnoś</w:t>
      </w:r>
      <w:r w:rsidR="00EA68C2">
        <w:rPr>
          <w:rFonts w:asciiTheme="minorHAnsi" w:eastAsiaTheme="minorHAnsi" w:hAnsiTheme="minorHAnsi" w:cstheme="minorHAnsi"/>
          <w:sz w:val="22"/>
          <w:szCs w:val="22"/>
          <w:lang w:eastAsia="en-US" w:bidi="ar-SA"/>
        </w:rPr>
        <w:t>ci</w:t>
      </w:r>
      <w:r w:rsidR="001E0DF2" w:rsidRPr="00890249">
        <w:rPr>
          <w:rFonts w:asciiTheme="minorHAnsi" w:eastAsiaTheme="minorHAnsi" w:hAnsiTheme="minorHAnsi" w:cstheme="minorHAnsi"/>
          <w:sz w:val="22"/>
          <w:szCs w:val="22"/>
          <w:lang w:eastAsia="en-US" w:bidi="ar-SA"/>
        </w:rPr>
        <w:t xml:space="preserve"> i demarkacj</w:t>
      </w:r>
      <w:r w:rsidR="00EA68C2">
        <w:rPr>
          <w:rFonts w:asciiTheme="minorHAnsi" w:eastAsiaTheme="minorHAnsi" w:hAnsiTheme="minorHAnsi" w:cstheme="minorHAnsi"/>
          <w:sz w:val="22"/>
          <w:szCs w:val="22"/>
          <w:lang w:eastAsia="en-US" w:bidi="ar-SA"/>
        </w:rPr>
        <w:t>i</w:t>
      </w:r>
      <w:r w:rsidR="001E0DF2" w:rsidRPr="00890249">
        <w:rPr>
          <w:rFonts w:asciiTheme="minorHAnsi" w:eastAsiaTheme="minorHAnsi" w:hAnsiTheme="minorHAnsi" w:cstheme="minorHAnsi"/>
          <w:sz w:val="22"/>
          <w:szCs w:val="22"/>
          <w:lang w:eastAsia="en-US" w:bidi="ar-SA"/>
        </w:rPr>
        <w:t xml:space="preserve"> ze wsparciem oferowanym na poziomie krajowym w FERS oraz KPO)</w:t>
      </w:r>
      <w:r w:rsidR="008355B3" w:rsidRPr="00890249">
        <w:rPr>
          <w:rFonts w:asciiTheme="minorHAnsi" w:eastAsiaTheme="minorHAnsi" w:hAnsiTheme="minorHAnsi" w:cstheme="minorHAnsi"/>
          <w:sz w:val="22"/>
          <w:szCs w:val="22"/>
          <w:lang w:eastAsia="en-US" w:bidi="ar-SA"/>
        </w:rPr>
        <w:t>,</w:t>
      </w:r>
    </w:p>
    <w:p w14:paraId="77931130" w14:textId="77777777" w:rsidR="004236F1" w:rsidRPr="00890249" w:rsidRDefault="004236F1" w:rsidP="009F296A">
      <w:pPr>
        <w:pStyle w:val="Akapitzlist"/>
        <w:numPr>
          <w:ilvl w:val="0"/>
          <w:numId w:val="47"/>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podnoszenia kompetencji</w:t>
      </w:r>
      <w:r w:rsidR="000B5AA4" w:rsidRPr="00890249">
        <w:rPr>
          <w:rFonts w:asciiTheme="minorHAnsi" w:eastAsiaTheme="minorHAnsi" w:hAnsiTheme="minorHAnsi" w:cstheme="minorHAnsi"/>
          <w:sz w:val="22"/>
          <w:szCs w:val="22"/>
          <w:lang w:eastAsia="en-US" w:bidi="ar-SA"/>
        </w:rPr>
        <w:t xml:space="preserve"> podstawowych</w:t>
      </w:r>
      <w:r w:rsidR="00BC5611" w:rsidRPr="00890249">
        <w:rPr>
          <w:rFonts w:asciiTheme="minorHAnsi" w:eastAsiaTheme="minorHAnsi" w:hAnsiTheme="minorHAnsi" w:cstheme="minorHAnsi"/>
          <w:sz w:val="22"/>
          <w:szCs w:val="22"/>
          <w:lang w:eastAsia="en-US" w:bidi="ar-SA"/>
        </w:rPr>
        <w:t>,</w:t>
      </w:r>
      <w:r w:rsidR="0075505C" w:rsidRPr="00890249">
        <w:rPr>
          <w:rFonts w:asciiTheme="minorHAnsi" w:eastAsiaTheme="minorHAnsi" w:hAnsiTheme="minorHAnsi" w:cstheme="minorHAnsi"/>
          <w:sz w:val="22"/>
          <w:szCs w:val="22"/>
          <w:lang w:eastAsia="en-US" w:bidi="ar-SA"/>
        </w:rPr>
        <w:t xml:space="preserve"> w tym</w:t>
      </w:r>
      <w:r w:rsidRPr="00890249">
        <w:rPr>
          <w:rFonts w:asciiTheme="minorHAnsi" w:eastAsiaTheme="minorHAnsi" w:hAnsiTheme="minorHAnsi" w:cstheme="minorHAnsi"/>
          <w:sz w:val="22"/>
          <w:szCs w:val="22"/>
          <w:lang w:eastAsia="en-US" w:bidi="ar-SA"/>
        </w:rPr>
        <w:t xml:space="preserve"> m.in. </w:t>
      </w:r>
      <w:r w:rsidR="000B5AA4" w:rsidRPr="00890249">
        <w:rPr>
          <w:rFonts w:asciiTheme="minorHAnsi" w:eastAsiaTheme="minorHAnsi" w:hAnsiTheme="minorHAnsi" w:cstheme="minorHAnsi"/>
          <w:sz w:val="22"/>
          <w:szCs w:val="22"/>
          <w:lang w:eastAsia="en-US" w:bidi="ar-SA"/>
        </w:rPr>
        <w:t xml:space="preserve">kompetencji </w:t>
      </w:r>
      <w:r w:rsidRPr="00890249">
        <w:rPr>
          <w:rFonts w:asciiTheme="minorHAnsi" w:eastAsiaTheme="minorHAnsi" w:hAnsiTheme="minorHAnsi" w:cstheme="minorHAnsi"/>
          <w:sz w:val="22"/>
          <w:szCs w:val="22"/>
          <w:lang w:eastAsia="en-US" w:bidi="ar-SA"/>
        </w:rPr>
        <w:t>cyfrowych osób z grup wykluczonych cyfrowo, umożliwiających wdrażanie</w:t>
      </w:r>
      <w:r w:rsidR="00BF67F0" w:rsidRPr="00890249">
        <w:rPr>
          <w:rFonts w:asciiTheme="minorHAnsi" w:eastAsiaTheme="minorHAnsi" w:hAnsiTheme="minorHAnsi" w:cstheme="minorHAnsi"/>
          <w:sz w:val="22"/>
          <w:szCs w:val="22"/>
          <w:lang w:eastAsia="en-US" w:bidi="ar-SA"/>
        </w:rPr>
        <w:t xml:space="preserve"> Ścieżek poprawy umiejętności</w:t>
      </w:r>
      <w:r w:rsidRPr="00890249">
        <w:rPr>
          <w:rFonts w:asciiTheme="minorHAnsi" w:eastAsiaTheme="minorHAnsi" w:hAnsiTheme="minorHAnsi" w:cstheme="minorHAnsi"/>
          <w:sz w:val="22"/>
          <w:szCs w:val="22"/>
          <w:lang w:eastAsia="en-US" w:bidi="ar-SA"/>
        </w:rPr>
        <w:t xml:space="preserve"> </w:t>
      </w:r>
      <w:r w:rsidR="00BF67F0" w:rsidRPr="00890249">
        <w:rPr>
          <w:rFonts w:asciiTheme="minorHAnsi" w:eastAsiaTheme="minorHAnsi" w:hAnsiTheme="minorHAnsi" w:cstheme="minorHAnsi"/>
          <w:sz w:val="22"/>
          <w:szCs w:val="22"/>
          <w:lang w:eastAsia="en-US" w:bidi="ar-SA"/>
        </w:rPr>
        <w:t>(</w:t>
      </w:r>
      <w:r w:rsidRPr="00890249">
        <w:rPr>
          <w:rFonts w:asciiTheme="minorHAnsi" w:eastAsiaTheme="minorHAnsi" w:hAnsiTheme="minorHAnsi" w:cstheme="minorHAnsi"/>
          <w:sz w:val="22"/>
          <w:szCs w:val="22"/>
          <w:lang w:eastAsia="en-US" w:bidi="ar-SA"/>
        </w:rPr>
        <w:t>Upskilling pathways</w:t>
      </w:r>
      <w:r w:rsidR="00BF67F0" w:rsidRPr="00890249">
        <w:rPr>
          <w:rFonts w:asciiTheme="minorHAnsi" w:eastAsiaTheme="minorHAnsi" w:hAnsiTheme="minorHAnsi" w:cstheme="minorHAnsi"/>
          <w:sz w:val="22"/>
          <w:szCs w:val="22"/>
          <w:lang w:eastAsia="en-US" w:bidi="ar-SA"/>
        </w:rPr>
        <w:t>)</w:t>
      </w:r>
      <w:r w:rsidR="008F7DF9" w:rsidRPr="00890249">
        <w:rPr>
          <w:rFonts w:asciiTheme="minorHAnsi" w:eastAsiaTheme="minorHAnsi" w:hAnsiTheme="minorHAnsi" w:cstheme="minorHAnsi"/>
          <w:sz w:val="22"/>
          <w:szCs w:val="22"/>
          <w:lang w:eastAsia="en-US" w:bidi="ar-SA"/>
        </w:rPr>
        <w:t xml:space="preserve"> dla dorosłych o niskich kwalifikacjach</w:t>
      </w:r>
      <w:r w:rsidRPr="00890249">
        <w:rPr>
          <w:rFonts w:asciiTheme="minorHAnsi" w:eastAsiaTheme="minorHAnsi" w:hAnsiTheme="minorHAnsi" w:cstheme="minorHAnsi"/>
          <w:sz w:val="22"/>
          <w:szCs w:val="22"/>
          <w:lang w:eastAsia="en-US" w:bidi="ar-SA"/>
        </w:rPr>
        <w:t>,</w:t>
      </w:r>
    </w:p>
    <w:p w14:paraId="01040F18" w14:textId="14E6494D" w:rsidR="00A66D86" w:rsidRPr="00890249" w:rsidRDefault="00452D26" w:rsidP="009F296A">
      <w:pPr>
        <w:pStyle w:val="Akapitzlist"/>
        <w:numPr>
          <w:ilvl w:val="0"/>
          <w:numId w:val="47"/>
        </w:numPr>
        <w:contextualSpacing w:val="0"/>
        <w:rPr>
          <w:rFonts w:asciiTheme="minorHAnsi" w:eastAsiaTheme="minorHAnsi" w:hAnsiTheme="minorHAnsi" w:cstheme="minorHAnsi"/>
          <w:sz w:val="22"/>
          <w:szCs w:val="22"/>
          <w:lang w:eastAsia="en-US" w:bidi="ar-SA"/>
        </w:rPr>
      </w:pPr>
      <w:r>
        <w:rPr>
          <w:rFonts w:asciiTheme="minorHAnsi" w:eastAsiaTheme="minorEastAsia" w:hAnsiTheme="minorHAnsi" w:cstheme="minorHAnsi"/>
          <w:sz w:val="22"/>
          <w:szCs w:val="22"/>
          <w:lang w:eastAsia="en-US" w:bidi="ar-SA"/>
        </w:rPr>
        <w:t>wsparcia</w:t>
      </w:r>
      <w:r w:rsidR="4649A3E8" w:rsidRPr="00890249">
        <w:rPr>
          <w:rFonts w:asciiTheme="minorHAnsi" w:eastAsiaTheme="minorEastAsia" w:hAnsiTheme="minorHAnsi" w:cstheme="minorHAnsi"/>
          <w:sz w:val="22"/>
          <w:szCs w:val="22"/>
          <w:lang w:eastAsia="en-US" w:bidi="ar-SA"/>
        </w:rPr>
        <w:t xml:space="preserve"> procesu walidacji i certyfikacji </w:t>
      </w:r>
      <w:r w:rsidR="1289231C" w:rsidRPr="00890249">
        <w:rPr>
          <w:rFonts w:asciiTheme="minorHAnsi" w:eastAsiaTheme="minorEastAsia" w:hAnsiTheme="minorHAnsi" w:cstheme="minorHAnsi"/>
          <w:sz w:val="22"/>
          <w:szCs w:val="22"/>
          <w:lang w:eastAsia="en-US" w:bidi="ar-SA"/>
        </w:rPr>
        <w:t>umiejętności nabytych w ramach edukacji pozaformalnej i uczenia się nieformalnego,</w:t>
      </w:r>
    </w:p>
    <w:p w14:paraId="13C3ABDE" w14:textId="77777777" w:rsidR="002D2C88" w:rsidRPr="00890249" w:rsidRDefault="377D646A" w:rsidP="009F296A">
      <w:pPr>
        <w:pStyle w:val="Akapitzlist"/>
        <w:numPr>
          <w:ilvl w:val="0"/>
          <w:numId w:val="47"/>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lokalnych inicjatyw na rzecz kształcenia osób dorosłych, w tym tworzenie lokalnych punktów wsparcia kształcenia osób dorosłych, służących np. akty</w:t>
      </w:r>
      <w:r w:rsidR="083DCFC6" w:rsidRPr="00890249">
        <w:rPr>
          <w:rFonts w:asciiTheme="minorHAnsi" w:eastAsiaTheme="minorEastAsia" w:hAnsiTheme="minorHAnsi" w:cstheme="minorHAnsi"/>
          <w:sz w:val="22"/>
          <w:szCs w:val="22"/>
          <w:lang w:eastAsia="en-US" w:bidi="ar-SA"/>
        </w:rPr>
        <w:t>wizacji osób znajdujących się w </w:t>
      </w:r>
      <w:r w:rsidRPr="00890249">
        <w:rPr>
          <w:rFonts w:asciiTheme="minorHAnsi" w:eastAsiaTheme="minorEastAsia" w:hAnsiTheme="minorHAnsi" w:cstheme="minorHAnsi"/>
          <w:sz w:val="22"/>
          <w:szCs w:val="22"/>
          <w:lang w:eastAsia="en-US" w:bidi="ar-SA"/>
        </w:rPr>
        <w:t>najtrudniejszej sytuacji, w tym osób starszych, osób o niskich kwalifikacjach, nieaktywnych zawodowo</w:t>
      </w:r>
      <w:r w:rsidR="62EDC254" w:rsidRPr="00890249">
        <w:rPr>
          <w:rFonts w:asciiTheme="minorHAnsi" w:eastAsiaTheme="minorEastAsia" w:hAnsiTheme="minorHAnsi" w:cstheme="minorHAnsi"/>
          <w:sz w:val="22"/>
          <w:szCs w:val="22"/>
          <w:lang w:eastAsia="en-US" w:bidi="ar-SA"/>
        </w:rPr>
        <w:t>, z terenów wiejskich</w:t>
      </w:r>
      <w:r w:rsidRPr="00890249">
        <w:rPr>
          <w:rFonts w:asciiTheme="minorHAnsi" w:eastAsiaTheme="minorEastAsia" w:hAnsiTheme="minorHAnsi" w:cstheme="minorHAnsi"/>
          <w:sz w:val="22"/>
          <w:szCs w:val="22"/>
          <w:lang w:eastAsia="en-US" w:bidi="ar-SA"/>
        </w:rPr>
        <w:t xml:space="preserve"> oraz z niepełnosprawnościami, na przykład</w:t>
      </w:r>
      <w:r w:rsidR="62EDC254" w:rsidRPr="00890249">
        <w:rPr>
          <w:rFonts w:asciiTheme="minorHAnsi" w:eastAsiaTheme="minorEastAsia" w:hAnsiTheme="minorHAnsi" w:cstheme="minorHAnsi"/>
          <w:sz w:val="22"/>
          <w:szCs w:val="22"/>
          <w:lang w:eastAsia="en-US" w:bidi="ar-SA"/>
        </w:rPr>
        <w:t>:</w:t>
      </w:r>
      <w:r w:rsidRPr="00890249">
        <w:rPr>
          <w:rFonts w:asciiTheme="minorHAnsi" w:eastAsiaTheme="minorEastAsia" w:hAnsiTheme="minorHAnsi" w:cstheme="minorHAnsi"/>
          <w:sz w:val="22"/>
          <w:szCs w:val="22"/>
          <w:lang w:eastAsia="en-US" w:bidi="ar-SA"/>
        </w:rPr>
        <w:t xml:space="preserve"> LOWE</w:t>
      </w:r>
      <w:r w:rsidR="002D2C88" w:rsidRPr="00890249">
        <w:rPr>
          <w:rStyle w:val="Odwoanieprzypisudolnego"/>
          <w:rFonts w:asciiTheme="minorHAnsi" w:eastAsiaTheme="minorEastAsia" w:hAnsiTheme="minorHAnsi" w:cstheme="minorHAnsi"/>
          <w:sz w:val="22"/>
          <w:szCs w:val="22"/>
          <w:lang w:eastAsia="en-US" w:bidi="ar-SA"/>
        </w:rPr>
        <w:footnoteReference w:id="181"/>
      </w:r>
      <w:r w:rsidRPr="00890249">
        <w:rPr>
          <w:rFonts w:asciiTheme="minorHAnsi" w:eastAsiaTheme="minorEastAsia" w:hAnsiTheme="minorHAnsi" w:cstheme="minorHAnsi"/>
          <w:sz w:val="22"/>
          <w:szCs w:val="22"/>
          <w:lang w:eastAsia="en-US" w:bidi="ar-SA"/>
        </w:rPr>
        <w:t>, Uniwersytety Trzeciego Wieku,</w:t>
      </w:r>
    </w:p>
    <w:p w14:paraId="54A51434" w14:textId="0288B8BB" w:rsidR="000163FE" w:rsidRPr="00890249" w:rsidRDefault="1FBCDD92" w:rsidP="009F296A">
      <w:pPr>
        <w:pStyle w:val="Akapitzlist"/>
        <w:numPr>
          <w:ilvl w:val="0"/>
          <w:numId w:val="47"/>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usług doradcz</w:t>
      </w:r>
      <w:r w:rsidR="287E3EAA" w:rsidRPr="00890249">
        <w:rPr>
          <w:rFonts w:asciiTheme="minorHAnsi" w:eastAsiaTheme="minorEastAsia" w:hAnsiTheme="minorHAnsi" w:cstheme="minorHAnsi"/>
          <w:sz w:val="22"/>
          <w:szCs w:val="22"/>
          <w:lang w:eastAsia="en-US" w:bidi="ar-SA"/>
        </w:rPr>
        <w:t>ych</w:t>
      </w:r>
      <w:r w:rsidRPr="00890249">
        <w:rPr>
          <w:rFonts w:asciiTheme="minorHAnsi" w:eastAsiaTheme="minorEastAsia" w:hAnsiTheme="minorHAnsi" w:cstheme="minorHAnsi"/>
          <w:sz w:val="22"/>
          <w:szCs w:val="22"/>
          <w:lang w:eastAsia="en-US" w:bidi="ar-SA"/>
        </w:rPr>
        <w:t xml:space="preserve"> w zakresie wyboru kierunku i rodzaju edukacji w kontekście potrzeb regionalnego lub lokalnego rynku pracy, </w:t>
      </w:r>
      <w:r w:rsidR="4DFB05C3" w:rsidRPr="00890249">
        <w:rPr>
          <w:rFonts w:asciiTheme="minorHAnsi" w:eastAsiaTheme="minorEastAsia" w:hAnsiTheme="minorHAnsi" w:cstheme="minorHAnsi"/>
          <w:sz w:val="22"/>
          <w:szCs w:val="22"/>
          <w:lang w:eastAsia="en-US" w:bidi="ar-SA"/>
        </w:rPr>
        <w:t xml:space="preserve">mentoring, </w:t>
      </w:r>
      <w:r w:rsidRPr="00890249">
        <w:rPr>
          <w:rFonts w:asciiTheme="minorHAnsi" w:eastAsiaTheme="minorEastAsia" w:hAnsiTheme="minorHAnsi" w:cstheme="minorHAnsi"/>
          <w:sz w:val="22"/>
          <w:szCs w:val="22"/>
          <w:lang w:eastAsia="en-US" w:bidi="ar-SA"/>
        </w:rPr>
        <w:t>coaching</w:t>
      </w:r>
      <w:r w:rsidR="33A4DCA2" w:rsidRPr="00890249">
        <w:rPr>
          <w:rFonts w:asciiTheme="minorHAnsi" w:eastAsiaTheme="minorEastAsia" w:hAnsiTheme="minorHAnsi" w:cstheme="minorHAnsi"/>
          <w:sz w:val="22"/>
          <w:szCs w:val="22"/>
          <w:lang w:eastAsia="en-US" w:bidi="ar-SA"/>
        </w:rPr>
        <w:t>,</w:t>
      </w:r>
      <w:r w:rsidR="49EB2A7A" w:rsidRPr="00890249">
        <w:rPr>
          <w:rFonts w:asciiTheme="minorHAnsi" w:eastAsiaTheme="minorEastAsia" w:hAnsiTheme="minorHAnsi" w:cstheme="minorHAnsi"/>
          <w:sz w:val="22"/>
          <w:szCs w:val="22"/>
          <w:lang w:eastAsia="en-US" w:bidi="ar-SA"/>
        </w:rPr>
        <w:t xml:space="preserve"> tutoring</w:t>
      </w:r>
      <w:r w:rsidR="459CA2FC" w:rsidRPr="00890249">
        <w:rPr>
          <w:rFonts w:asciiTheme="minorHAnsi" w:eastAsiaTheme="minorEastAsia" w:hAnsiTheme="minorHAnsi" w:cstheme="minorHAnsi"/>
          <w:sz w:val="22"/>
          <w:szCs w:val="22"/>
          <w:lang w:eastAsia="en-US" w:bidi="ar-SA"/>
        </w:rPr>
        <w:t>.</w:t>
      </w:r>
    </w:p>
    <w:p w14:paraId="43656F73" w14:textId="52C9507A" w:rsidR="00296612" w:rsidRPr="00890249" w:rsidRDefault="00592D6F" w:rsidP="009F296A">
      <w:pPr>
        <w:pStyle w:val="Akapitzlist"/>
        <w:numPr>
          <w:ilvl w:val="0"/>
          <w:numId w:val="62"/>
        </w:numPr>
        <w:ind w:left="284" w:hanging="284"/>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Współpraca i partnerstwo między instytucjami edukacyjnymi </w:t>
      </w:r>
      <w:r w:rsidR="00503CB3" w:rsidRPr="00890249">
        <w:rPr>
          <w:rFonts w:asciiTheme="minorHAnsi" w:eastAsiaTheme="minorHAnsi" w:hAnsiTheme="minorHAnsi" w:cstheme="minorHAnsi"/>
          <w:sz w:val="22"/>
          <w:szCs w:val="22"/>
          <w:lang w:eastAsia="en-US" w:bidi="ar-SA"/>
        </w:rPr>
        <w:t xml:space="preserve">i </w:t>
      </w:r>
      <w:r w:rsidRPr="00890249">
        <w:rPr>
          <w:rFonts w:asciiTheme="minorHAnsi" w:eastAsiaTheme="minorHAnsi" w:hAnsiTheme="minorHAnsi" w:cstheme="minorHAnsi"/>
          <w:sz w:val="22"/>
          <w:szCs w:val="22"/>
          <w:lang w:eastAsia="en-US" w:bidi="ar-SA"/>
        </w:rPr>
        <w:t xml:space="preserve">partnerami społecznymi, przedsiębiorcami, organizacjami klastrów przemysłowych, IOB, instytucjami badawczymi oraz zajmującymi się innowacjami, </w:t>
      </w:r>
      <w:r w:rsidR="00503CB3" w:rsidRPr="00890249">
        <w:rPr>
          <w:rFonts w:asciiTheme="minorHAnsi" w:eastAsiaTheme="minorHAnsi" w:hAnsiTheme="minorHAnsi" w:cstheme="minorHAnsi"/>
          <w:sz w:val="22"/>
          <w:szCs w:val="22"/>
          <w:lang w:eastAsia="en-US" w:bidi="ar-SA"/>
        </w:rPr>
        <w:t xml:space="preserve">a także </w:t>
      </w:r>
      <w:r w:rsidRPr="00890249">
        <w:rPr>
          <w:rFonts w:asciiTheme="minorHAnsi" w:eastAsiaTheme="minorHAnsi" w:hAnsiTheme="minorHAnsi" w:cstheme="minorHAnsi"/>
          <w:sz w:val="22"/>
          <w:szCs w:val="22"/>
          <w:lang w:eastAsia="en-US" w:bidi="ar-SA"/>
        </w:rPr>
        <w:t>instytucjami szkoleniowymi/usługodawcami w celu zapewnienia lepszej komunikacji potrzeb rynku pracy oraz promowania uczenia się w miejscu pracy.</w:t>
      </w:r>
    </w:p>
    <w:p w14:paraId="25716579" w14:textId="77777777" w:rsidR="00E127B6" w:rsidRPr="00890249" w:rsidRDefault="5C6A3B89" w:rsidP="009F296A">
      <w:pPr>
        <w:pStyle w:val="Akapitzlist"/>
        <w:numPr>
          <w:ilvl w:val="0"/>
          <w:numId w:val="62"/>
        </w:numPr>
        <w:ind w:left="284" w:hanging="284"/>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Budowanie potencjału organizacj</w:t>
      </w:r>
      <w:r w:rsidR="4FDA60C4" w:rsidRPr="00890249">
        <w:rPr>
          <w:rFonts w:asciiTheme="minorHAnsi" w:eastAsiaTheme="minorEastAsia" w:hAnsiTheme="minorHAnsi" w:cstheme="minorHAnsi"/>
          <w:sz w:val="22"/>
          <w:szCs w:val="22"/>
          <w:lang w:eastAsia="en-US" w:bidi="ar-SA"/>
        </w:rPr>
        <w:t>i społeczeństwa obywatelskiego</w:t>
      </w:r>
      <w:r w:rsidRPr="00890249">
        <w:rPr>
          <w:rFonts w:asciiTheme="minorHAnsi" w:eastAsiaTheme="minorEastAsia" w:hAnsiTheme="minorHAnsi" w:cstheme="minorHAnsi"/>
          <w:sz w:val="22"/>
          <w:szCs w:val="22"/>
          <w:lang w:eastAsia="en-US" w:bidi="ar-SA"/>
        </w:rPr>
        <w:t xml:space="preserve"> do realizacji działań na rzecz edukacji.</w:t>
      </w:r>
    </w:p>
    <w:p w14:paraId="0A4E8C81" w14:textId="77777777" w:rsidR="00E127B6" w:rsidRPr="00890249" w:rsidRDefault="5C6A3B89" w:rsidP="009F296A">
      <w:pPr>
        <w:pStyle w:val="Akapitzlist"/>
        <w:numPr>
          <w:ilvl w:val="0"/>
          <w:numId w:val="62"/>
        </w:numPr>
        <w:ind w:left="284" w:hanging="284"/>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A</w:t>
      </w:r>
      <w:r w:rsidR="3ADA03BE" w:rsidRPr="00890249">
        <w:rPr>
          <w:rFonts w:asciiTheme="minorHAnsi" w:eastAsiaTheme="minorEastAsia" w:hAnsiTheme="minorHAnsi" w:cstheme="minorHAnsi"/>
          <w:sz w:val="22"/>
          <w:szCs w:val="22"/>
          <w:lang w:eastAsia="en-US" w:bidi="ar-SA"/>
        </w:rPr>
        <w:t>naliz</w:t>
      </w:r>
      <w:r w:rsidR="4FDA60C4" w:rsidRPr="00890249">
        <w:rPr>
          <w:rFonts w:asciiTheme="minorHAnsi" w:eastAsiaTheme="minorEastAsia" w:hAnsiTheme="minorHAnsi" w:cstheme="minorHAnsi"/>
          <w:sz w:val="22"/>
          <w:szCs w:val="22"/>
          <w:lang w:eastAsia="en-US" w:bidi="ar-SA"/>
        </w:rPr>
        <w:t>y</w:t>
      </w:r>
      <w:r w:rsidR="3ADA03BE" w:rsidRPr="00890249">
        <w:rPr>
          <w:rFonts w:asciiTheme="minorHAnsi" w:eastAsiaTheme="minorEastAsia" w:hAnsiTheme="minorHAnsi" w:cstheme="minorHAnsi"/>
          <w:sz w:val="22"/>
          <w:szCs w:val="22"/>
          <w:lang w:eastAsia="en-US" w:bidi="ar-SA"/>
        </w:rPr>
        <w:t xml:space="preserve"> rynku pracy w zakresie zapotrzebowania na nowe umiejętności.</w:t>
      </w:r>
    </w:p>
    <w:p w14:paraId="2D3D4ABF" w14:textId="10213C21"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0270F786" w14:textId="12D7B71C" w:rsidR="00701EDC" w:rsidRPr="00890249" w:rsidRDefault="00701EDC" w:rsidP="00701EDC">
      <w:pPr>
        <w:rPr>
          <w:rFonts w:asciiTheme="minorHAnsi" w:hAnsiTheme="minorHAnsi" w:cstheme="minorHAnsi"/>
          <w:noProof/>
          <w:vanish/>
          <w:sz w:val="20"/>
          <w:szCs w:val="22"/>
        </w:rPr>
      </w:pPr>
      <w:r w:rsidRPr="00890249">
        <w:rPr>
          <w:rFonts w:asciiTheme="minorHAnsi" w:hAnsiTheme="minorHAnsi" w:cstheme="minorHAnsi"/>
          <w:noProof/>
          <w:vanish/>
          <w:sz w:val="20"/>
          <w:szCs w:val="22"/>
        </w:rPr>
        <w:lastRenderedPageBreak/>
        <w:br w:type="page"/>
      </w:r>
    </w:p>
    <w:p w14:paraId="74038D7A" w14:textId="77777777" w:rsidR="00701EDC" w:rsidRPr="00890249" w:rsidRDefault="00701EDC" w:rsidP="00701EDC">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Główne grupy docelowe</w:t>
      </w:r>
    </w:p>
    <w:p w14:paraId="6F5EF431" w14:textId="660C6F5D" w:rsidR="00B72154" w:rsidRPr="00890249" w:rsidRDefault="00D4350C" w:rsidP="009F296A">
      <w:pPr>
        <w:pStyle w:val="Akapitzlist"/>
        <w:numPr>
          <w:ilvl w:val="0"/>
          <w:numId w:val="130"/>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o</w:t>
      </w:r>
      <w:r w:rsidR="00875C92" w:rsidRPr="00890249">
        <w:rPr>
          <w:rFonts w:asciiTheme="minorHAnsi" w:hAnsiTheme="minorHAnsi" w:cstheme="minorHAnsi"/>
          <w:noProof/>
          <w:sz w:val="22"/>
          <w:szCs w:val="22"/>
        </w:rPr>
        <w:t>soby od 15 r.ż. uczestniczące z własnej inicjatywy w uczeniu się przez całe życie</w:t>
      </w:r>
      <w:r w:rsidRPr="00890249">
        <w:rPr>
          <w:rFonts w:asciiTheme="minorHAnsi" w:hAnsiTheme="minorHAnsi" w:cstheme="minorHAnsi"/>
          <w:noProof/>
          <w:sz w:val="22"/>
          <w:szCs w:val="22"/>
        </w:rPr>
        <w:t>,</w:t>
      </w:r>
    </w:p>
    <w:p w14:paraId="28CAF436" w14:textId="06193787" w:rsidR="00B72154" w:rsidRPr="00890249" w:rsidRDefault="270D0FC7" w:rsidP="009F296A">
      <w:pPr>
        <w:pStyle w:val="Akapitzlist"/>
        <w:numPr>
          <w:ilvl w:val="0"/>
          <w:numId w:val="130"/>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i</w:t>
      </w:r>
      <w:r w:rsidR="00875C92" w:rsidRPr="00890249">
        <w:rPr>
          <w:rFonts w:asciiTheme="minorHAnsi" w:hAnsiTheme="minorHAnsi" w:cstheme="minorHAnsi"/>
          <w:noProof/>
          <w:sz w:val="22"/>
          <w:szCs w:val="22"/>
        </w:rPr>
        <w:t>nstytucj</w:t>
      </w:r>
      <w:r w:rsidRPr="00890249">
        <w:rPr>
          <w:rFonts w:asciiTheme="minorHAnsi" w:hAnsiTheme="minorHAnsi" w:cstheme="minorHAnsi"/>
          <w:noProof/>
          <w:sz w:val="22"/>
          <w:szCs w:val="22"/>
        </w:rPr>
        <w:t>e edukacyjne, partnerzy społeczni, przedsiębiorcy, organizacje</w:t>
      </w:r>
      <w:r w:rsidR="00875C92" w:rsidRPr="00890249">
        <w:rPr>
          <w:rFonts w:asciiTheme="minorHAnsi" w:hAnsiTheme="minorHAnsi" w:cstheme="minorHAnsi"/>
          <w:noProof/>
          <w:sz w:val="22"/>
          <w:szCs w:val="22"/>
        </w:rPr>
        <w:t xml:space="preserve"> klastrów </w:t>
      </w:r>
      <w:r w:rsidRPr="00890249">
        <w:rPr>
          <w:rFonts w:asciiTheme="minorHAnsi" w:hAnsiTheme="minorHAnsi" w:cstheme="minorHAnsi"/>
          <w:noProof/>
          <w:sz w:val="22"/>
          <w:szCs w:val="22"/>
        </w:rPr>
        <w:t>przemysłowych, instytucje otoczenia biznesu, instytucje badawcze.</w:t>
      </w:r>
    </w:p>
    <w:p w14:paraId="3D3CE315" w14:textId="77777777" w:rsidR="00701EDC" w:rsidRPr="00890249" w:rsidRDefault="00701EDC" w:rsidP="00701EDC">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0E7AA359" w14:textId="77777777" w:rsidR="0093433C" w:rsidRPr="00890249" w:rsidRDefault="002975B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zrównoważonego rozwoju oraz Załącznika III do Rozporządzenia UE 2021/1060.</w:t>
      </w:r>
    </w:p>
    <w:p w14:paraId="581D9559" w14:textId="77777777" w:rsidR="0093433C" w:rsidRPr="00890249" w:rsidRDefault="002975B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0748EF22" w14:textId="77777777" w:rsidR="0093433C" w:rsidRPr="00890249" w:rsidRDefault="002975B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78D185CD" w14:textId="77777777" w:rsidR="0093433C" w:rsidRPr="00890249" w:rsidRDefault="002975B4" w:rsidP="009F296A">
      <w:pPr>
        <w:pStyle w:val="Listapunktowana2"/>
        <w:numPr>
          <w:ilvl w:val="0"/>
          <w:numId w:val="65"/>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3CCBF1E0"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7A5FCD78"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Pr="00890249">
        <w:rPr>
          <w:rFonts w:asciiTheme="minorHAnsi" w:hAnsiTheme="minorHAnsi" w:cstheme="minorHAnsi"/>
          <w:sz w:val="22"/>
          <w:szCs w:val="22"/>
          <w:lang w:eastAsia="en-US" w:bidi="ar-SA"/>
        </w:rPr>
        <w:br/>
        <w:t xml:space="preserve">i szkodliwych praktyk, </w:t>
      </w:r>
    </w:p>
    <w:p w14:paraId="503CD37F"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wykorzystujące ekspresję kulturową w celu zwalczania dyskryminacji,</w:t>
      </w:r>
    </w:p>
    <w:p w14:paraId="04C71B3B" w14:textId="64E712CA"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00AE052A" w:rsidRPr="00890249">
        <w:rPr>
          <w:rFonts w:asciiTheme="minorHAnsi" w:hAnsiTheme="minorHAnsi" w:cstheme="minorHAnsi"/>
          <w:sz w:val="22"/>
          <w:szCs w:val="22"/>
          <w:lang w:eastAsia="en-US" w:bidi="ar-SA"/>
        </w:rPr>
        <w:t xml:space="preserve">beneficjenta, będącego </w:t>
      </w:r>
      <w:r w:rsidR="00AE052A"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083537A8"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5CF8AB37"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3E805F2B"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włączenie do Komitetu Monitorującego członków organizacji pozarządowych</w:t>
      </w:r>
      <w:r w:rsidR="0009479D"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oraz reprezentantów mniejszości, w tym etnicznych, </w:t>
      </w:r>
    </w:p>
    <w:p w14:paraId="065EAB7E"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7CD3CDAA"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4BE02925" w14:textId="4CD065ED" w:rsidR="0093433C" w:rsidRPr="00890249" w:rsidRDefault="00415397"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Strategia Opolskie 2030 szczególne znaczenie przypisuje obszarom strategicznej interwencji (OSI), tj. tym obszarom funkcjonalnym, które wymagają ukierunkowanej interwencji publicznej lub rozwiązań regulacyjnych, stąd w regionie wyodrębniono 5 OSI: Subregion Aglomeracja Opolska, Subregion Brzeski, Subregion Kędzierzyńsko-Strzelecki, </w:t>
      </w:r>
      <w:r w:rsidR="00392DDC" w:rsidRPr="00890249">
        <w:rPr>
          <w:rFonts w:asciiTheme="minorHAnsi" w:hAnsiTheme="minorHAnsi" w:cstheme="minorHAnsi"/>
          <w:sz w:val="22"/>
          <w:szCs w:val="22"/>
        </w:rPr>
        <w:t xml:space="preserve">Subregion Południowy, </w:t>
      </w:r>
      <w:r w:rsidRPr="00890249">
        <w:rPr>
          <w:rFonts w:asciiTheme="minorHAnsi" w:hAnsiTheme="minorHAnsi" w:cstheme="minorHAnsi"/>
          <w:sz w:val="22"/>
          <w:szCs w:val="22"/>
        </w:rPr>
        <w:t xml:space="preserve">Subregion Północny. </w:t>
      </w:r>
    </w:p>
    <w:p w14:paraId="545FB9F3" w14:textId="77777777" w:rsidR="0093433C" w:rsidRPr="00890249" w:rsidRDefault="00415397"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Istnieje możliwość preferencji dla mieszkańców obszarów strategicznej interwencji, tj. miast średnich tracących funkcje społeczno-gospodarcze oraz gmin </w:t>
      </w:r>
      <w:r w:rsidR="00C75449" w:rsidRPr="00890249">
        <w:rPr>
          <w:rFonts w:asciiTheme="minorHAnsi" w:hAnsiTheme="minorHAnsi" w:cstheme="minorHAnsi"/>
          <w:sz w:val="22"/>
          <w:szCs w:val="22"/>
        </w:rPr>
        <w:t xml:space="preserve">obszarów </w:t>
      </w:r>
      <w:r w:rsidRPr="00890249">
        <w:rPr>
          <w:rFonts w:asciiTheme="minorHAnsi" w:hAnsiTheme="minorHAnsi" w:cstheme="minorHAnsi"/>
          <w:sz w:val="22"/>
          <w:szCs w:val="22"/>
        </w:rPr>
        <w:t xml:space="preserve">zagrożonych trwałą marginalizacją, zidentyfikowanych na poziomie krajowym. </w:t>
      </w:r>
    </w:p>
    <w:p w14:paraId="3C735517" w14:textId="77777777" w:rsidR="0093433C" w:rsidRPr="00890249" w:rsidRDefault="00415397"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lastRenderedPageBreak/>
        <w:t>Ponadto wsparcie zostanie ukierunkowane na inne tereny o słabym dostępie do usług publicznych takie jak obszary wiejskie, dzięki czemu nastąpi wyrównanie szans osób zamieszkujących tego typu terytoria.</w:t>
      </w:r>
    </w:p>
    <w:p w14:paraId="17301AB6" w14:textId="77777777" w:rsidR="00701EDC" w:rsidRPr="00890249" w:rsidRDefault="00701EDC" w:rsidP="00701EDC">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59B46169" w14:textId="0E6B7F40" w:rsidR="0093433C" w:rsidRPr="00890249" w:rsidRDefault="008F10F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Wszystkie interwencje zaplanowane w </w:t>
      </w:r>
      <w:r w:rsidR="00C75449" w:rsidRPr="00890249">
        <w:rPr>
          <w:rFonts w:asciiTheme="minorHAnsi" w:hAnsiTheme="minorHAnsi" w:cstheme="minorHAnsi"/>
          <w:noProof/>
          <w:sz w:val="22"/>
          <w:szCs w:val="22"/>
        </w:rPr>
        <w:t>cs (g)</w:t>
      </w:r>
      <w:r w:rsidR="00560CEC"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w:t>
      </w:r>
      <w:r w:rsidR="005311EC" w:rsidRPr="00890249">
        <w:rPr>
          <w:rFonts w:asciiTheme="minorHAnsi" w:hAnsiTheme="minorHAnsi" w:cstheme="minorHAnsi"/>
          <w:noProof/>
          <w:sz w:val="22"/>
          <w:szCs w:val="22"/>
        </w:rPr>
        <w:t xml:space="preserve"> z</w:t>
      </w:r>
      <w:r w:rsidRPr="00890249">
        <w:rPr>
          <w:rFonts w:asciiTheme="minorHAnsi" w:hAnsiTheme="minorHAnsi" w:cstheme="minorHAnsi"/>
          <w:noProof/>
          <w:sz w:val="22"/>
          <w:szCs w:val="22"/>
        </w:rPr>
        <w:t xml:space="preserve"> interwencj</w:t>
      </w:r>
      <w:r w:rsidR="005311EC"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wskazan</w:t>
      </w:r>
      <w:r w:rsidR="005311EC"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 programach współpracy transgranicznej Interreg Czechy-Polska 2021-2027 oraz Interreg Region Morza Bałtyckiego 2021-2027, w tym w zakresie: wzmacniania konkurencyjności MŚP, zwiększenia odporności i przystosowania do zmian klimatu, rozw</w:t>
      </w:r>
      <w:r w:rsidR="005311EC" w:rsidRPr="00890249">
        <w:rPr>
          <w:rFonts w:asciiTheme="minorHAnsi" w:hAnsiTheme="minorHAnsi" w:cstheme="minorHAnsi"/>
          <w:noProof/>
          <w:sz w:val="22"/>
          <w:szCs w:val="22"/>
        </w:rPr>
        <w:t xml:space="preserve">oju </w:t>
      </w:r>
      <w:r w:rsidRPr="00890249">
        <w:rPr>
          <w:rFonts w:asciiTheme="minorHAnsi" w:hAnsiTheme="minorHAnsi" w:cstheme="minorHAnsi"/>
          <w:noProof/>
          <w:sz w:val="22"/>
          <w:szCs w:val="22"/>
        </w:rPr>
        <w:t xml:space="preserve">bioróżnorodności, a także transgranicznej infrastruktury transportowej oraz zrównoważonej turystyki. </w:t>
      </w:r>
    </w:p>
    <w:p w14:paraId="2CBED5E9" w14:textId="77777777" w:rsidR="0093433C" w:rsidRPr="00890249" w:rsidRDefault="008F10F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programie współpracy transgranicznej Interreg Czechy-Polska 2021-2027 założono wsparcie konkurencyjności MŚP, które jest komplementarne z działaniami zaplanowanymi w FEO 2021-2027 wzmacniającymi kwalifikacje i kompetencje osób pracujących.</w:t>
      </w:r>
    </w:p>
    <w:p w14:paraId="7E6388DC" w14:textId="77777777" w:rsidR="0093433C" w:rsidRPr="00890249" w:rsidRDefault="008F10F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Działania podejmowane w cs (g) wpisują się również w Obszar Tematyczny Edukacja Strategii UE dla regionu Morza Bałtyckiego.</w:t>
      </w:r>
    </w:p>
    <w:p w14:paraId="52F7EDB6" w14:textId="77777777" w:rsidR="00701EDC" w:rsidRPr="00890249" w:rsidRDefault="00701EDC" w:rsidP="00701EDC">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3C988D0A" w14:textId="77777777" w:rsidR="0093433C" w:rsidRPr="00890249" w:rsidRDefault="00DA698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celu szczegółowego (g) nie planuje się wykorzystania instrumentów finansowych.</w:t>
      </w:r>
    </w:p>
    <w:p w14:paraId="7600CDEC" w14:textId="30D1D0F8" w:rsidR="0093433C" w:rsidRPr="00890249" w:rsidRDefault="00DA698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Planowane przedsięwzięcia dotyczą edukacji ustawicznej, w tym m.in. </w:t>
      </w:r>
      <w:r w:rsidR="00E03E5F" w:rsidRPr="00890249">
        <w:rPr>
          <w:rFonts w:asciiTheme="minorHAnsi" w:hAnsiTheme="minorHAnsi" w:cstheme="minorHAnsi"/>
          <w:noProof/>
          <w:sz w:val="22"/>
          <w:szCs w:val="22"/>
        </w:rPr>
        <w:t xml:space="preserve">dla </w:t>
      </w:r>
      <w:r w:rsidRPr="00890249">
        <w:rPr>
          <w:rFonts w:asciiTheme="minorHAnsi" w:hAnsiTheme="minorHAnsi" w:cstheme="minorHAnsi"/>
          <w:noProof/>
          <w:sz w:val="22"/>
          <w:szCs w:val="22"/>
        </w:rPr>
        <w:t xml:space="preserve">osób 50+, o niskich kwalifikacjach. Beneficjentami w tym przypadku </w:t>
      </w:r>
      <w:r w:rsidR="0095551D" w:rsidRPr="00890249">
        <w:rPr>
          <w:rFonts w:asciiTheme="minorHAnsi" w:hAnsiTheme="minorHAnsi" w:cstheme="minorHAnsi"/>
          <w:noProof/>
          <w:sz w:val="22"/>
          <w:szCs w:val="22"/>
        </w:rPr>
        <w:t>c</w:t>
      </w:r>
      <w:r w:rsidR="00E03E5F" w:rsidRPr="00890249">
        <w:rPr>
          <w:rFonts w:asciiTheme="minorHAnsi" w:hAnsiTheme="minorHAnsi" w:cstheme="minorHAnsi"/>
          <w:noProof/>
          <w:sz w:val="22"/>
          <w:szCs w:val="22"/>
        </w:rPr>
        <w:t>o do zasady nie będą przedsiębiorstwa</w:t>
      </w:r>
      <w:r w:rsidRPr="00890249">
        <w:rPr>
          <w:rFonts w:asciiTheme="minorHAnsi" w:hAnsiTheme="minorHAnsi" w:cstheme="minorHAnsi"/>
          <w:noProof/>
          <w:sz w:val="22"/>
          <w:szCs w:val="22"/>
        </w:rPr>
        <w:t>. Nie będą to przedsięwzięcia prowadzone dla zysku, samofinansujące się.</w:t>
      </w:r>
    </w:p>
    <w:p w14:paraId="4DF8E791" w14:textId="77777777" w:rsidR="00701EDC" w:rsidRPr="00890249" w:rsidRDefault="00701EDC" w:rsidP="00701EDC">
      <w:pPr>
        <w:pStyle w:val="Tekstpodstawowy"/>
        <w:rPr>
          <w:rFonts w:asciiTheme="minorHAnsi" w:hAnsiTheme="minorHAnsi" w:cstheme="minorHAnsi"/>
          <w:b/>
          <w:noProof/>
          <w:sz w:val="22"/>
          <w:szCs w:val="22"/>
        </w:rPr>
      </w:pPr>
      <w:r w:rsidRPr="00890249">
        <w:rPr>
          <w:rFonts w:asciiTheme="minorHAnsi" w:hAnsiTheme="minorHAnsi" w:cstheme="minorHAnsi"/>
          <w:b/>
          <w:noProof/>
          <w:sz w:val="22"/>
          <w:szCs w:val="22"/>
        </w:rPr>
        <w:t>2.1.5.5.2 (g)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743"/>
        <w:gridCol w:w="683"/>
        <w:gridCol w:w="1031"/>
        <w:gridCol w:w="819"/>
        <w:gridCol w:w="2187"/>
        <w:gridCol w:w="819"/>
        <w:gridCol w:w="1093"/>
        <w:gridCol w:w="1174"/>
      </w:tblGrid>
      <w:tr w:rsidR="0034642D" w:rsidRPr="00890249" w14:paraId="5A4CD375" w14:textId="77777777" w:rsidTr="004D47E8">
        <w:trPr>
          <w:trHeight w:val="425"/>
        </w:trPr>
        <w:tc>
          <w:tcPr>
            <w:tcW w:w="5000" w:type="pct"/>
            <w:gridSpan w:val="9"/>
            <w:shd w:val="clear" w:color="auto" w:fill="D9D9D9" w:themeFill="background1" w:themeFillShade="D9"/>
          </w:tcPr>
          <w:p w14:paraId="1CC8B177"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037552E5" w14:textId="77777777" w:rsidTr="00D42ACA">
        <w:trPr>
          <w:cantSplit/>
          <w:trHeight w:val="1647"/>
        </w:trPr>
        <w:tc>
          <w:tcPr>
            <w:tcW w:w="282" w:type="pct"/>
            <w:shd w:val="clear" w:color="auto" w:fill="F2F2F2" w:themeFill="background1" w:themeFillShade="F2"/>
            <w:textDirection w:val="btLr"/>
            <w:vAlign w:val="center"/>
          </w:tcPr>
          <w:p w14:paraId="5059164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0" w:type="pct"/>
            <w:shd w:val="clear" w:color="auto" w:fill="F2F2F2" w:themeFill="background1" w:themeFillShade="F2"/>
            <w:textDirection w:val="btLr"/>
            <w:vAlign w:val="center"/>
          </w:tcPr>
          <w:p w14:paraId="04B9904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77" w:type="pct"/>
            <w:shd w:val="clear" w:color="auto" w:fill="F2F2F2" w:themeFill="background1" w:themeFillShade="F2"/>
            <w:textDirection w:val="btLr"/>
            <w:vAlign w:val="center"/>
          </w:tcPr>
          <w:p w14:paraId="5DE06A0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69" w:type="pct"/>
            <w:shd w:val="clear" w:color="auto" w:fill="F2F2F2" w:themeFill="background1" w:themeFillShade="F2"/>
            <w:textDirection w:val="btLr"/>
            <w:vAlign w:val="center"/>
          </w:tcPr>
          <w:p w14:paraId="05515D6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52" w:type="pct"/>
            <w:shd w:val="clear" w:color="auto" w:fill="F2F2F2" w:themeFill="background1" w:themeFillShade="F2"/>
            <w:textDirection w:val="btLr"/>
            <w:vAlign w:val="center"/>
          </w:tcPr>
          <w:p w14:paraId="1D78E26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07" w:type="pct"/>
            <w:shd w:val="clear" w:color="auto" w:fill="F2F2F2" w:themeFill="background1" w:themeFillShade="F2"/>
            <w:textDirection w:val="btLr"/>
            <w:vAlign w:val="center"/>
          </w:tcPr>
          <w:p w14:paraId="4191724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52" w:type="pct"/>
            <w:shd w:val="clear" w:color="auto" w:fill="F2F2F2" w:themeFill="background1" w:themeFillShade="F2"/>
            <w:textDirection w:val="btLr"/>
            <w:vAlign w:val="center"/>
          </w:tcPr>
          <w:p w14:paraId="03DA4C9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03" w:type="pct"/>
            <w:shd w:val="clear" w:color="auto" w:fill="F2F2F2" w:themeFill="background1" w:themeFillShade="F2"/>
            <w:textDirection w:val="btLr"/>
            <w:vAlign w:val="center"/>
          </w:tcPr>
          <w:p w14:paraId="68B7F55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648" w:type="pct"/>
            <w:shd w:val="clear" w:color="auto" w:fill="F2F2F2" w:themeFill="background1" w:themeFillShade="F2"/>
            <w:textDirection w:val="btLr"/>
            <w:vAlign w:val="center"/>
          </w:tcPr>
          <w:p w14:paraId="744B2FCA"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311CDD" w:rsidRPr="00890249" w14:paraId="799D2285" w14:textId="77777777" w:rsidTr="0043241C">
        <w:trPr>
          <w:trHeight w:val="340"/>
        </w:trPr>
        <w:tc>
          <w:tcPr>
            <w:tcW w:w="282" w:type="pct"/>
            <w:vAlign w:val="center"/>
          </w:tcPr>
          <w:p w14:paraId="46F9CE11" w14:textId="77777777" w:rsidR="00A63705" w:rsidRPr="00890249" w:rsidRDefault="00E76BD1"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0" w:type="pct"/>
            <w:vAlign w:val="center"/>
          </w:tcPr>
          <w:p w14:paraId="786348D3" w14:textId="77777777" w:rsidR="00311CDD" w:rsidRPr="00890249" w:rsidRDefault="00311CDD"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g</w:t>
            </w:r>
          </w:p>
        </w:tc>
        <w:tc>
          <w:tcPr>
            <w:tcW w:w="377" w:type="pct"/>
            <w:vAlign w:val="center"/>
          </w:tcPr>
          <w:p w14:paraId="13EDC103" w14:textId="77777777" w:rsidR="00311CDD" w:rsidRPr="00890249" w:rsidRDefault="00311CDD"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69" w:type="pct"/>
            <w:vAlign w:val="center"/>
          </w:tcPr>
          <w:p w14:paraId="23125B65" w14:textId="77777777" w:rsidR="00311CDD" w:rsidRPr="00890249" w:rsidRDefault="00E76BD1" w:rsidP="00311CD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52" w:type="pct"/>
            <w:vAlign w:val="center"/>
          </w:tcPr>
          <w:p w14:paraId="1248FA3A" w14:textId="77777777" w:rsidR="00311CDD" w:rsidRPr="00890249" w:rsidRDefault="00D42ACA" w:rsidP="00311CD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EECO02</w:t>
            </w:r>
          </w:p>
        </w:tc>
        <w:tc>
          <w:tcPr>
            <w:tcW w:w="1207" w:type="pct"/>
            <w:shd w:val="clear" w:color="auto" w:fill="auto"/>
            <w:vAlign w:val="center"/>
          </w:tcPr>
          <w:p w14:paraId="14B42FF5" w14:textId="77777777" w:rsidR="00311CDD" w:rsidRPr="00890249" w:rsidRDefault="00D42ACA" w:rsidP="00CE360C">
            <w:pPr>
              <w:jc w:val="left"/>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Liczba osób bezrobotnych, w tym długotrwale bezrobotnych, objętych wsparciem w programie</w:t>
            </w:r>
          </w:p>
        </w:tc>
        <w:tc>
          <w:tcPr>
            <w:tcW w:w="452" w:type="pct"/>
            <w:vAlign w:val="center"/>
          </w:tcPr>
          <w:p w14:paraId="5FA075E9" w14:textId="5A358B10" w:rsidR="00311CDD" w:rsidRPr="00890249" w:rsidRDefault="00D61DA0" w:rsidP="00311CDD">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os.</w:t>
            </w:r>
          </w:p>
        </w:tc>
        <w:tc>
          <w:tcPr>
            <w:tcW w:w="603" w:type="pct"/>
            <w:shd w:val="clear" w:color="auto" w:fill="auto"/>
            <w:vAlign w:val="center"/>
          </w:tcPr>
          <w:p w14:paraId="29D8566B" w14:textId="5324D761" w:rsidR="00311CDD" w:rsidRPr="00F62734" w:rsidRDefault="00725402" w:rsidP="00311CDD">
            <w:pPr>
              <w:jc w:val="center"/>
              <w:rPr>
                <w:rFonts w:asciiTheme="minorHAnsi" w:hAnsiTheme="minorHAnsi" w:cstheme="minorHAnsi"/>
                <w:iCs/>
                <w:noProof/>
                <w:sz w:val="18"/>
                <w:szCs w:val="16"/>
              </w:rPr>
            </w:pPr>
            <w:r w:rsidRPr="00F62734">
              <w:rPr>
                <w:rFonts w:asciiTheme="minorHAnsi" w:hAnsiTheme="minorHAnsi" w:cstheme="minorHAnsi"/>
                <w:iCs/>
                <w:noProof/>
                <w:sz w:val="18"/>
                <w:szCs w:val="16"/>
              </w:rPr>
              <w:t>35</w:t>
            </w:r>
          </w:p>
        </w:tc>
        <w:tc>
          <w:tcPr>
            <w:tcW w:w="648" w:type="pct"/>
            <w:shd w:val="clear" w:color="auto" w:fill="auto"/>
            <w:vAlign w:val="center"/>
          </w:tcPr>
          <w:p w14:paraId="6B781A7D" w14:textId="1D877CAC" w:rsidR="00311CDD" w:rsidRPr="00F62734" w:rsidRDefault="00350CCA" w:rsidP="00311CDD">
            <w:pPr>
              <w:jc w:val="center"/>
              <w:rPr>
                <w:rFonts w:asciiTheme="minorHAnsi" w:hAnsiTheme="minorHAnsi" w:cstheme="minorHAnsi"/>
                <w:iCs/>
                <w:noProof/>
                <w:sz w:val="18"/>
                <w:szCs w:val="16"/>
              </w:rPr>
            </w:pPr>
            <w:r w:rsidRPr="00F62734">
              <w:rPr>
                <w:rFonts w:asciiTheme="minorHAnsi" w:hAnsiTheme="minorHAnsi" w:cstheme="minorHAnsi"/>
                <w:iCs/>
                <w:noProof/>
                <w:sz w:val="18"/>
                <w:szCs w:val="16"/>
              </w:rPr>
              <w:t>29</w:t>
            </w:r>
            <w:r w:rsidR="0039174F">
              <w:rPr>
                <w:rFonts w:asciiTheme="minorHAnsi" w:hAnsiTheme="minorHAnsi" w:cstheme="minorHAnsi"/>
                <w:iCs/>
                <w:noProof/>
                <w:sz w:val="18"/>
                <w:szCs w:val="16"/>
              </w:rPr>
              <w:t>0</w:t>
            </w:r>
          </w:p>
        </w:tc>
      </w:tr>
      <w:tr w:rsidR="00D42ACA" w:rsidRPr="00890249" w14:paraId="257BAF13" w14:textId="77777777" w:rsidTr="0043241C">
        <w:trPr>
          <w:trHeight w:val="340"/>
        </w:trPr>
        <w:tc>
          <w:tcPr>
            <w:tcW w:w="282" w:type="pct"/>
            <w:vAlign w:val="center"/>
          </w:tcPr>
          <w:p w14:paraId="1C4244ED" w14:textId="77777777" w:rsidR="00D42ACA" w:rsidRPr="00890249" w:rsidRDefault="00D42ACA" w:rsidP="00D42ACA">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0" w:type="pct"/>
            <w:vAlign w:val="center"/>
          </w:tcPr>
          <w:p w14:paraId="355AEE46" w14:textId="77777777" w:rsidR="00D42ACA" w:rsidRPr="00890249" w:rsidRDefault="00D42ACA" w:rsidP="00D42ACA">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4.g</w:t>
            </w:r>
          </w:p>
        </w:tc>
        <w:tc>
          <w:tcPr>
            <w:tcW w:w="377" w:type="pct"/>
            <w:vAlign w:val="center"/>
          </w:tcPr>
          <w:p w14:paraId="7C73B36A" w14:textId="77777777" w:rsidR="00D42ACA" w:rsidRPr="00890249" w:rsidRDefault="00D42ACA" w:rsidP="00D42ACA">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9" w:type="pct"/>
            <w:vAlign w:val="center"/>
          </w:tcPr>
          <w:p w14:paraId="7DB6EE5A" w14:textId="77777777" w:rsidR="00D42ACA" w:rsidRPr="00890249" w:rsidRDefault="00D42ACA" w:rsidP="00D42ACA">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52" w:type="pct"/>
            <w:vAlign w:val="center"/>
          </w:tcPr>
          <w:p w14:paraId="6DE2F4D8" w14:textId="77777777" w:rsidR="00D42ACA" w:rsidRPr="00890249" w:rsidRDefault="00D42ACA" w:rsidP="00D42ACA">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EECO05</w:t>
            </w:r>
          </w:p>
        </w:tc>
        <w:tc>
          <w:tcPr>
            <w:tcW w:w="1207" w:type="pct"/>
            <w:shd w:val="clear" w:color="auto" w:fill="auto"/>
            <w:vAlign w:val="center"/>
          </w:tcPr>
          <w:p w14:paraId="36D7EFF1" w14:textId="77777777" w:rsidR="00D42ACA" w:rsidRPr="00890249" w:rsidRDefault="00D42ACA" w:rsidP="00D42ACA">
            <w:pPr>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pracujących, łącznie z prowadzącymi działalność na własny rachunek, objętych wsparciem w programie</w:t>
            </w:r>
          </w:p>
        </w:tc>
        <w:tc>
          <w:tcPr>
            <w:tcW w:w="452" w:type="pct"/>
            <w:vAlign w:val="center"/>
          </w:tcPr>
          <w:p w14:paraId="151CB291" w14:textId="66CD08E9" w:rsidR="00D42ACA" w:rsidRPr="00890249" w:rsidRDefault="00D61DA0" w:rsidP="00D42ACA">
            <w:pPr>
              <w:jc w:val="center"/>
              <w:rPr>
                <w:rFonts w:asciiTheme="minorHAnsi" w:eastAsiaTheme="minorHAnsi" w:hAnsiTheme="minorHAnsi" w:cstheme="minorHAnsi"/>
                <w:i/>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603" w:type="pct"/>
            <w:shd w:val="clear" w:color="auto" w:fill="auto"/>
            <w:vAlign w:val="center"/>
          </w:tcPr>
          <w:p w14:paraId="08FB1921" w14:textId="62DBCFC6" w:rsidR="00D42ACA" w:rsidRPr="00F62734" w:rsidRDefault="00725402" w:rsidP="00D42ACA">
            <w:pPr>
              <w:jc w:val="center"/>
              <w:rPr>
                <w:rFonts w:asciiTheme="minorHAnsi" w:hAnsiTheme="minorHAnsi" w:cstheme="minorHAnsi"/>
                <w:iCs/>
                <w:noProof/>
                <w:sz w:val="18"/>
                <w:szCs w:val="16"/>
              </w:rPr>
            </w:pPr>
            <w:r w:rsidRPr="00F62734">
              <w:rPr>
                <w:rFonts w:asciiTheme="minorHAnsi" w:hAnsiTheme="minorHAnsi" w:cstheme="minorHAnsi"/>
                <w:iCs/>
                <w:noProof/>
                <w:sz w:val="18"/>
                <w:szCs w:val="16"/>
              </w:rPr>
              <w:t>500</w:t>
            </w:r>
          </w:p>
        </w:tc>
        <w:tc>
          <w:tcPr>
            <w:tcW w:w="648" w:type="pct"/>
            <w:shd w:val="clear" w:color="auto" w:fill="auto"/>
            <w:vAlign w:val="center"/>
          </w:tcPr>
          <w:p w14:paraId="23FFC029" w14:textId="69B48D07" w:rsidR="00D42ACA" w:rsidRPr="00F62734" w:rsidRDefault="00350CCA" w:rsidP="00D42ACA">
            <w:pPr>
              <w:jc w:val="center"/>
              <w:rPr>
                <w:rFonts w:asciiTheme="minorHAnsi" w:hAnsiTheme="minorHAnsi" w:cstheme="minorHAnsi"/>
                <w:iCs/>
                <w:noProof/>
                <w:sz w:val="18"/>
                <w:szCs w:val="16"/>
              </w:rPr>
            </w:pPr>
            <w:r>
              <w:rPr>
                <w:rFonts w:asciiTheme="minorHAnsi" w:hAnsiTheme="minorHAnsi" w:cstheme="minorHAnsi"/>
                <w:iCs/>
                <w:noProof/>
                <w:sz w:val="18"/>
                <w:szCs w:val="16"/>
              </w:rPr>
              <w:t>4 3</w:t>
            </w:r>
            <w:r w:rsidR="0039174F">
              <w:rPr>
                <w:rFonts w:asciiTheme="minorHAnsi" w:hAnsiTheme="minorHAnsi" w:cstheme="minorHAnsi"/>
                <w:iCs/>
                <w:noProof/>
                <w:sz w:val="18"/>
                <w:szCs w:val="16"/>
              </w:rPr>
              <w:t>00</w:t>
            </w:r>
          </w:p>
        </w:tc>
      </w:tr>
    </w:tbl>
    <w:p w14:paraId="14F83F00" w14:textId="77777777" w:rsidR="004B46F4" w:rsidRPr="00890249" w:rsidRDefault="004B46F4" w:rsidP="00E03FED">
      <w:pPr>
        <w:spacing w:before="0" w:after="0"/>
        <w:rPr>
          <w:rFonts w:asciiTheme="minorHAnsi" w:eastAsia="Times New Roman" w:hAnsiTheme="minorHAnsi" w:cstheme="minorHAnsi"/>
          <w:b/>
          <w:iCs/>
          <w:noProof/>
          <w:szCs w:val="24"/>
        </w:rPr>
      </w:pPr>
    </w:p>
    <w:p w14:paraId="1295A756" w14:textId="77777777" w:rsidR="00311CDD" w:rsidRPr="00890249" w:rsidRDefault="00311CDD" w:rsidP="00DE5D95">
      <w:pPr>
        <w:spacing w:before="0" w:after="0"/>
        <w:rPr>
          <w:rFonts w:asciiTheme="minorHAnsi" w:eastAsia="Times New Roman" w:hAnsiTheme="minorHAnsi" w:cstheme="minorHAnsi"/>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740"/>
        <w:gridCol w:w="681"/>
        <w:gridCol w:w="991"/>
        <w:gridCol w:w="763"/>
        <w:gridCol w:w="1361"/>
        <w:gridCol w:w="817"/>
        <w:gridCol w:w="681"/>
        <w:gridCol w:w="587"/>
        <w:gridCol w:w="553"/>
        <w:gridCol w:w="594"/>
        <w:gridCol w:w="781"/>
      </w:tblGrid>
      <w:tr w:rsidR="0098169C" w:rsidRPr="00890249" w14:paraId="7048D60F" w14:textId="77777777" w:rsidTr="004D47E8">
        <w:trPr>
          <w:trHeight w:val="480"/>
        </w:trPr>
        <w:tc>
          <w:tcPr>
            <w:tcW w:w="5000" w:type="pct"/>
            <w:gridSpan w:val="12"/>
            <w:shd w:val="clear" w:color="auto" w:fill="D9D9D9" w:themeFill="background1" w:themeFillShade="D9"/>
          </w:tcPr>
          <w:p w14:paraId="12415AE6"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98169C" w:rsidRPr="00890249" w14:paraId="29130B14" w14:textId="77777777" w:rsidTr="004D47E8">
        <w:trPr>
          <w:cantSplit/>
          <w:trHeight w:val="1768"/>
        </w:trPr>
        <w:tc>
          <w:tcPr>
            <w:tcW w:w="282" w:type="pct"/>
            <w:shd w:val="clear" w:color="auto" w:fill="F2F2F2" w:themeFill="background1" w:themeFillShade="F2"/>
            <w:textDirection w:val="btLr"/>
            <w:vAlign w:val="center"/>
          </w:tcPr>
          <w:p w14:paraId="3548F99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lastRenderedPageBreak/>
              <w:t>Priorytet</w:t>
            </w:r>
          </w:p>
        </w:tc>
        <w:tc>
          <w:tcPr>
            <w:tcW w:w="408" w:type="pct"/>
            <w:shd w:val="clear" w:color="auto" w:fill="F2F2F2" w:themeFill="background1" w:themeFillShade="F2"/>
            <w:textDirection w:val="btLr"/>
            <w:vAlign w:val="center"/>
          </w:tcPr>
          <w:p w14:paraId="4B9C8866"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76" w:type="pct"/>
            <w:shd w:val="clear" w:color="auto" w:fill="F2F2F2" w:themeFill="background1" w:themeFillShade="F2"/>
            <w:textDirection w:val="btLr"/>
            <w:vAlign w:val="center"/>
          </w:tcPr>
          <w:p w14:paraId="4F2989C5"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47" w:type="pct"/>
            <w:shd w:val="clear" w:color="auto" w:fill="F2F2F2" w:themeFill="background1" w:themeFillShade="F2"/>
            <w:textDirection w:val="btLr"/>
            <w:vAlign w:val="center"/>
          </w:tcPr>
          <w:p w14:paraId="079726CF"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1" w:type="pct"/>
            <w:shd w:val="clear" w:color="auto" w:fill="F2F2F2" w:themeFill="background1" w:themeFillShade="F2"/>
            <w:textDirection w:val="btLr"/>
            <w:vAlign w:val="center"/>
          </w:tcPr>
          <w:p w14:paraId="4CB87750"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51" w:type="pct"/>
            <w:shd w:val="clear" w:color="auto" w:fill="F2F2F2" w:themeFill="background1" w:themeFillShade="F2"/>
            <w:textDirection w:val="btLr"/>
            <w:vAlign w:val="center"/>
          </w:tcPr>
          <w:p w14:paraId="5BC6270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1" w:type="pct"/>
            <w:shd w:val="clear" w:color="auto" w:fill="F2F2F2" w:themeFill="background1" w:themeFillShade="F2"/>
            <w:textDirection w:val="btLr"/>
            <w:vAlign w:val="center"/>
          </w:tcPr>
          <w:p w14:paraId="5BD4381E"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76" w:type="pct"/>
            <w:shd w:val="clear" w:color="auto" w:fill="F2F2F2" w:themeFill="background1" w:themeFillShade="F2"/>
            <w:textDirection w:val="btLr"/>
            <w:vAlign w:val="center"/>
          </w:tcPr>
          <w:p w14:paraId="7779CB69"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4" w:type="pct"/>
            <w:shd w:val="clear" w:color="auto" w:fill="F2F2F2" w:themeFill="background1" w:themeFillShade="F2"/>
            <w:textDirection w:val="btLr"/>
            <w:vAlign w:val="center"/>
          </w:tcPr>
          <w:p w14:paraId="167D664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5" w:type="pct"/>
            <w:shd w:val="clear" w:color="auto" w:fill="F2F2F2" w:themeFill="background1" w:themeFillShade="F2"/>
            <w:textDirection w:val="btLr"/>
            <w:vAlign w:val="center"/>
          </w:tcPr>
          <w:p w14:paraId="63CA1B7E"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28" w:type="pct"/>
            <w:shd w:val="clear" w:color="auto" w:fill="F2F2F2" w:themeFill="background1" w:themeFillShade="F2"/>
            <w:textDirection w:val="btLr"/>
            <w:vAlign w:val="center"/>
          </w:tcPr>
          <w:p w14:paraId="5B8D9F37"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431" w:type="pct"/>
            <w:shd w:val="clear" w:color="auto" w:fill="F2F2F2" w:themeFill="background1" w:themeFillShade="F2"/>
            <w:textDirection w:val="btLr"/>
            <w:vAlign w:val="center"/>
          </w:tcPr>
          <w:p w14:paraId="6321F724"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4C3250" w:rsidRPr="00890249" w14:paraId="0A1D619A" w14:textId="77777777" w:rsidTr="004D47E8">
        <w:trPr>
          <w:trHeight w:val="434"/>
        </w:trPr>
        <w:tc>
          <w:tcPr>
            <w:tcW w:w="282" w:type="pct"/>
            <w:vAlign w:val="center"/>
          </w:tcPr>
          <w:p w14:paraId="5A9CC06D" w14:textId="77777777" w:rsidR="004C3250" w:rsidRPr="00890249" w:rsidRDefault="00E76BD1" w:rsidP="0098169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08" w:type="pct"/>
            <w:vAlign w:val="center"/>
          </w:tcPr>
          <w:p w14:paraId="4A8EFE59" w14:textId="77777777" w:rsidR="004C3250" w:rsidRPr="00890249" w:rsidRDefault="004C3250" w:rsidP="004C325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g</w:t>
            </w:r>
          </w:p>
        </w:tc>
        <w:tc>
          <w:tcPr>
            <w:tcW w:w="376" w:type="pct"/>
            <w:vAlign w:val="center"/>
          </w:tcPr>
          <w:p w14:paraId="6AC0739F" w14:textId="77777777" w:rsidR="004C3250" w:rsidRPr="00890249" w:rsidRDefault="004C3250" w:rsidP="004C325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47" w:type="pct"/>
            <w:vAlign w:val="center"/>
          </w:tcPr>
          <w:p w14:paraId="74208C0D" w14:textId="77777777" w:rsidR="004C3250" w:rsidRPr="00890249" w:rsidRDefault="00E76BD1" w:rsidP="004C3250">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1" w:type="pct"/>
            <w:vAlign w:val="center"/>
          </w:tcPr>
          <w:p w14:paraId="1FA9C124" w14:textId="4E932706" w:rsidR="004C3250" w:rsidRPr="00890249" w:rsidRDefault="00EC2804" w:rsidP="004C3250">
            <w:pPr>
              <w:jc w:val="center"/>
              <w:rPr>
                <w:rFonts w:asciiTheme="minorHAnsi" w:hAnsiTheme="minorHAnsi" w:cstheme="minorHAnsi"/>
                <w:i/>
                <w:noProof/>
                <w:sz w:val="18"/>
                <w:szCs w:val="16"/>
                <w:lang w:eastAsia="en-US" w:bidi="ar-SA"/>
              </w:rPr>
            </w:pPr>
            <w:r>
              <w:rPr>
                <w:rFonts w:asciiTheme="minorHAnsi" w:hAnsiTheme="minorHAnsi" w:cstheme="minorHAnsi"/>
                <w:i/>
                <w:noProof/>
                <w:sz w:val="18"/>
                <w:szCs w:val="16"/>
                <w:lang w:eastAsia="en-US" w:bidi="ar-SA"/>
              </w:rPr>
              <w:t>EECR03</w:t>
            </w:r>
          </w:p>
        </w:tc>
        <w:tc>
          <w:tcPr>
            <w:tcW w:w="751" w:type="pct"/>
            <w:shd w:val="clear" w:color="auto" w:fill="auto"/>
            <w:vAlign w:val="center"/>
          </w:tcPr>
          <w:p w14:paraId="4E6343A4" w14:textId="77777777" w:rsidR="004C3250" w:rsidRPr="00890249" w:rsidRDefault="00CE360C" w:rsidP="004C3250">
            <w:pPr>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Liczba osób, które uzyskały kwalifikacje po opuszczeniu programu</w:t>
            </w:r>
          </w:p>
        </w:tc>
        <w:tc>
          <w:tcPr>
            <w:tcW w:w="451" w:type="pct"/>
            <w:vAlign w:val="center"/>
          </w:tcPr>
          <w:p w14:paraId="5126C1F2" w14:textId="6ED40986" w:rsidR="004C3250" w:rsidRPr="00890249" w:rsidRDefault="00D65A14" w:rsidP="0098169C">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sz w:val="16"/>
                <w:szCs w:val="16"/>
                <w:lang w:eastAsia="en-US" w:bidi="ar-SA"/>
              </w:rPr>
              <w:t>osoby</w:t>
            </w:r>
          </w:p>
        </w:tc>
        <w:tc>
          <w:tcPr>
            <w:tcW w:w="376" w:type="pct"/>
            <w:vAlign w:val="center"/>
          </w:tcPr>
          <w:p w14:paraId="56EB32CF" w14:textId="577E42BA" w:rsidR="004C3250" w:rsidRPr="00890249" w:rsidRDefault="00D65A14" w:rsidP="0098169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11 431</w:t>
            </w:r>
          </w:p>
        </w:tc>
        <w:tc>
          <w:tcPr>
            <w:tcW w:w="324" w:type="pct"/>
            <w:vAlign w:val="center"/>
          </w:tcPr>
          <w:p w14:paraId="18091D7F" w14:textId="77777777" w:rsidR="004C3250" w:rsidRPr="00890249" w:rsidRDefault="006E088D" w:rsidP="0098169C">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05" w:type="pct"/>
            <w:shd w:val="clear" w:color="auto" w:fill="auto"/>
            <w:vAlign w:val="center"/>
          </w:tcPr>
          <w:p w14:paraId="30BD5300" w14:textId="7E4CF714" w:rsidR="004C3250" w:rsidRPr="00890249" w:rsidRDefault="00350CCA" w:rsidP="0098169C">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 xml:space="preserve"> 5 4</w:t>
            </w:r>
            <w:r w:rsidR="0039174F">
              <w:rPr>
                <w:rFonts w:asciiTheme="minorHAnsi" w:hAnsiTheme="minorHAnsi" w:cstheme="minorHAnsi"/>
                <w:b/>
                <w:noProof/>
                <w:sz w:val="18"/>
                <w:szCs w:val="16"/>
                <w:lang w:eastAsia="en-US" w:bidi="ar-SA"/>
              </w:rPr>
              <w:t>00</w:t>
            </w:r>
          </w:p>
        </w:tc>
        <w:tc>
          <w:tcPr>
            <w:tcW w:w="328" w:type="pct"/>
            <w:shd w:val="clear" w:color="auto" w:fill="auto"/>
            <w:vAlign w:val="center"/>
          </w:tcPr>
          <w:p w14:paraId="6A25F3E0" w14:textId="77777777" w:rsidR="004C3250" w:rsidRPr="00890249" w:rsidRDefault="006E088D" w:rsidP="0098169C">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431" w:type="pct"/>
            <w:vAlign w:val="center"/>
          </w:tcPr>
          <w:p w14:paraId="4D09C026" w14:textId="2F0AE8D9" w:rsidR="004C3250" w:rsidRPr="00890249" w:rsidRDefault="00191E71" w:rsidP="0098169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 xml:space="preserve">Wskaźnik referencyjny: </w:t>
            </w:r>
            <w:r w:rsidRPr="00890249">
              <w:rPr>
                <w:rFonts w:asciiTheme="minorHAnsi" w:hAnsiTheme="minorHAnsi" w:cstheme="minorHAnsi"/>
              </w:rPr>
              <w:t xml:space="preserve"> </w:t>
            </w:r>
            <w:r w:rsidRPr="00890249">
              <w:rPr>
                <w:rFonts w:asciiTheme="minorHAnsi" w:hAnsiTheme="minorHAnsi" w:cstheme="minorHAnsi"/>
                <w:i/>
                <w:noProof/>
                <w:sz w:val="18"/>
                <w:szCs w:val="16"/>
              </w:rPr>
              <w:t>EECO02 + EECO05</w:t>
            </w:r>
          </w:p>
        </w:tc>
      </w:tr>
    </w:tbl>
    <w:p w14:paraId="243604B9" w14:textId="77777777" w:rsidR="00775731" w:rsidRPr="00890249" w:rsidRDefault="00775731" w:rsidP="00E03FED">
      <w:pPr>
        <w:spacing w:before="0" w:after="0"/>
        <w:rPr>
          <w:rFonts w:asciiTheme="minorHAnsi" w:eastAsia="Times New Roman" w:hAnsiTheme="minorHAnsi" w:cstheme="minorHAnsi"/>
          <w:b/>
          <w:iCs/>
          <w:noProof/>
          <w:szCs w:val="24"/>
        </w:rPr>
      </w:pPr>
    </w:p>
    <w:p w14:paraId="472F693C" w14:textId="485A4997" w:rsidR="006C36DF" w:rsidRPr="00890249" w:rsidRDefault="00E75B6E" w:rsidP="00E75B6E">
      <w:pPr>
        <w:pStyle w:val="Akapitzlist"/>
        <w:spacing w:before="240" w:after="240"/>
        <w:ind w:left="1110" w:hanging="1252"/>
        <w:rPr>
          <w:rFonts w:asciiTheme="minorHAnsi" w:hAnsiTheme="minorHAnsi" w:cstheme="minorHAnsi"/>
          <w:b/>
          <w:noProof/>
          <w:sz w:val="22"/>
          <w:szCs w:val="22"/>
        </w:rPr>
      </w:pPr>
      <w:r w:rsidRPr="00890249">
        <w:rPr>
          <w:rFonts w:asciiTheme="minorHAnsi" w:hAnsiTheme="minorHAnsi" w:cstheme="minorHAnsi"/>
          <w:b/>
          <w:noProof/>
          <w:sz w:val="22"/>
          <w:szCs w:val="22"/>
        </w:rPr>
        <w:t>2.</w:t>
      </w:r>
      <w:r w:rsidR="00C65A91" w:rsidRPr="00890249">
        <w:rPr>
          <w:rFonts w:asciiTheme="minorHAnsi" w:hAnsiTheme="minorHAnsi" w:cstheme="minorHAnsi"/>
          <w:b/>
          <w:noProof/>
          <w:sz w:val="22"/>
          <w:szCs w:val="22"/>
        </w:rPr>
        <w:t>1.</w:t>
      </w:r>
      <w:r w:rsidRPr="00890249">
        <w:rPr>
          <w:rFonts w:asciiTheme="minorHAnsi" w:hAnsiTheme="minorHAnsi" w:cstheme="minorHAnsi"/>
          <w:b/>
          <w:noProof/>
          <w:sz w:val="22"/>
          <w:szCs w:val="22"/>
        </w:rPr>
        <w:t>5.</w:t>
      </w:r>
      <w:r w:rsidR="00A46139" w:rsidRPr="00890249">
        <w:rPr>
          <w:rFonts w:asciiTheme="minorHAnsi" w:hAnsiTheme="minorHAnsi" w:cstheme="minorHAnsi"/>
          <w:b/>
          <w:noProof/>
          <w:sz w:val="22"/>
          <w:szCs w:val="22"/>
        </w:rPr>
        <w:t>5</w:t>
      </w:r>
      <w:r w:rsidRPr="00890249">
        <w:rPr>
          <w:rFonts w:asciiTheme="minorHAnsi" w:hAnsiTheme="minorHAnsi" w:cstheme="minorHAnsi"/>
          <w:b/>
          <w:noProof/>
          <w:sz w:val="22"/>
          <w:szCs w:val="22"/>
        </w:rPr>
        <w:t xml:space="preserve">.3 </w:t>
      </w:r>
      <w:r w:rsidR="00DA49D1" w:rsidRPr="00890249">
        <w:rPr>
          <w:rFonts w:asciiTheme="minorHAnsi" w:hAnsiTheme="minorHAnsi" w:cstheme="minorHAnsi"/>
          <w:b/>
          <w:noProof/>
          <w:sz w:val="22"/>
          <w:szCs w:val="22"/>
        </w:rPr>
        <w:t>(</w:t>
      </w:r>
      <w:r w:rsidR="006D15D3" w:rsidRPr="00890249">
        <w:rPr>
          <w:rFonts w:asciiTheme="minorHAnsi" w:hAnsiTheme="minorHAnsi" w:cstheme="minorHAnsi"/>
          <w:b/>
          <w:noProof/>
          <w:sz w:val="22"/>
          <w:szCs w:val="22"/>
        </w:rPr>
        <w:t>g</w:t>
      </w:r>
      <w:r w:rsidR="00DA49D1" w:rsidRPr="00890249">
        <w:rPr>
          <w:rFonts w:asciiTheme="minorHAnsi" w:hAnsiTheme="minorHAnsi" w:cstheme="minorHAnsi"/>
          <w:b/>
          <w:noProof/>
          <w:sz w:val="22"/>
          <w:szCs w:val="22"/>
        </w:rPr>
        <w:t>) Orientacyjny podział zasobów programu (UE) według rodzaju interwencji</w:t>
      </w:r>
    </w:p>
    <w:tbl>
      <w:tblPr>
        <w:tblStyle w:val="Tabela-Siatka"/>
        <w:tblW w:w="9322" w:type="dxa"/>
        <w:tblLook w:val="04A0" w:firstRow="1" w:lastRow="0" w:firstColumn="1" w:lastColumn="0" w:noHBand="0" w:noVBand="1"/>
      </w:tblPr>
      <w:tblGrid>
        <w:gridCol w:w="1479"/>
        <w:gridCol w:w="1273"/>
        <w:gridCol w:w="1352"/>
        <w:gridCol w:w="1681"/>
        <w:gridCol w:w="1398"/>
        <w:gridCol w:w="2139"/>
      </w:tblGrid>
      <w:tr w:rsidR="006C36DF" w:rsidRPr="00890249" w14:paraId="1D9E689E" w14:textId="77777777" w:rsidTr="003D6E86">
        <w:tc>
          <w:tcPr>
            <w:tcW w:w="9322" w:type="dxa"/>
            <w:gridSpan w:val="6"/>
            <w:shd w:val="clear" w:color="auto" w:fill="D9D9D9" w:themeFill="background1" w:themeFillShade="D9"/>
          </w:tcPr>
          <w:p w14:paraId="6A38BC58" w14:textId="77777777" w:rsidR="006C36DF" w:rsidRPr="00890249" w:rsidRDefault="006C36DF"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6C36DF" w:rsidRPr="00890249" w14:paraId="5AAD7BB7" w14:textId="77777777" w:rsidTr="00701EDC">
        <w:tc>
          <w:tcPr>
            <w:tcW w:w="1479" w:type="dxa"/>
            <w:shd w:val="clear" w:color="auto" w:fill="F2F2F2" w:themeFill="background1" w:themeFillShade="F2"/>
          </w:tcPr>
          <w:p w14:paraId="612042DF" w14:textId="77777777" w:rsidR="006C36DF" w:rsidRPr="00890249" w:rsidRDefault="006C36DF"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73" w:type="dxa"/>
            <w:shd w:val="clear" w:color="auto" w:fill="F2F2F2" w:themeFill="background1" w:themeFillShade="F2"/>
          </w:tcPr>
          <w:p w14:paraId="2DB25E2C" w14:textId="77777777" w:rsidR="006C36DF" w:rsidRPr="00890249" w:rsidRDefault="006C36DF"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52" w:type="dxa"/>
            <w:shd w:val="clear" w:color="auto" w:fill="F2F2F2" w:themeFill="background1" w:themeFillShade="F2"/>
          </w:tcPr>
          <w:p w14:paraId="2ED38CCF" w14:textId="77777777" w:rsidR="006C36DF" w:rsidRPr="00890249" w:rsidRDefault="006C36DF"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81" w:type="dxa"/>
            <w:shd w:val="clear" w:color="auto" w:fill="F2F2F2" w:themeFill="background1" w:themeFillShade="F2"/>
          </w:tcPr>
          <w:p w14:paraId="04CDBE57" w14:textId="77777777" w:rsidR="006C36DF" w:rsidRPr="00890249" w:rsidRDefault="006C36DF"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398" w:type="dxa"/>
            <w:shd w:val="clear" w:color="auto" w:fill="F2F2F2" w:themeFill="background1" w:themeFillShade="F2"/>
          </w:tcPr>
          <w:p w14:paraId="640BBA9D" w14:textId="77961351" w:rsidR="006C36DF" w:rsidRPr="00890249" w:rsidRDefault="006C36DF"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39" w:type="dxa"/>
            <w:shd w:val="clear" w:color="auto" w:fill="F2F2F2" w:themeFill="background1" w:themeFillShade="F2"/>
          </w:tcPr>
          <w:p w14:paraId="3102FCEA" w14:textId="77777777" w:rsidR="006C36DF" w:rsidRPr="00890249" w:rsidRDefault="006C36DF"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E03FED" w:rsidRPr="00890249" w14:paraId="2D8CBA83" w14:textId="77777777" w:rsidTr="00701EDC">
        <w:trPr>
          <w:trHeight w:val="978"/>
        </w:trPr>
        <w:tc>
          <w:tcPr>
            <w:tcW w:w="1479" w:type="dxa"/>
            <w:vAlign w:val="center"/>
          </w:tcPr>
          <w:p w14:paraId="4C700C19" w14:textId="77777777" w:rsidR="00E03FED" w:rsidRPr="00890249" w:rsidRDefault="00E03FED" w:rsidP="00BD5A2B">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273" w:type="dxa"/>
            <w:vAlign w:val="center"/>
          </w:tcPr>
          <w:p w14:paraId="018CF526" w14:textId="77777777" w:rsidR="00E03FED" w:rsidRPr="00890249" w:rsidRDefault="00E03FED" w:rsidP="00BD5A2B">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52" w:type="dxa"/>
            <w:vAlign w:val="center"/>
          </w:tcPr>
          <w:p w14:paraId="17A57305" w14:textId="77777777" w:rsidR="00E03FED" w:rsidRPr="00890249" w:rsidRDefault="00E03FED"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81" w:type="dxa"/>
            <w:vAlign w:val="center"/>
          </w:tcPr>
          <w:p w14:paraId="413A53D8" w14:textId="77777777" w:rsidR="00E03FED" w:rsidRPr="00890249" w:rsidRDefault="00E03FED" w:rsidP="00BD5A2B">
            <w:pPr>
              <w:jc w:val="center"/>
              <w:rPr>
                <w:rFonts w:asciiTheme="minorHAnsi" w:hAnsiTheme="minorHAnsi" w:cstheme="minorHAnsi"/>
                <w:noProof/>
                <w:sz w:val="20"/>
              </w:rPr>
            </w:pPr>
            <w:r w:rsidRPr="00890249">
              <w:rPr>
                <w:rFonts w:asciiTheme="minorHAnsi" w:hAnsiTheme="minorHAnsi" w:cstheme="minorHAnsi"/>
                <w:noProof/>
                <w:sz w:val="20"/>
              </w:rPr>
              <w:t>(g)</w:t>
            </w:r>
          </w:p>
        </w:tc>
        <w:tc>
          <w:tcPr>
            <w:tcW w:w="1398" w:type="dxa"/>
            <w:vAlign w:val="center"/>
          </w:tcPr>
          <w:p w14:paraId="75AF6051" w14:textId="77777777" w:rsidR="00E03FED" w:rsidRPr="00890249" w:rsidRDefault="00E03FED" w:rsidP="00BD5A2B">
            <w:pPr>
              <w:jc w:val="center"/>
              <w:rPr>
                <w:rFonts w:asciiTheme="minorHAnsi" w:hAnsiTheme="minorHAnsi" w:cstheme="minorHAnsi"/>
                <w:noProof/>
                <w:sz w:val="20"/>
              </w:rPr>
            </w:pPr>
            <w:r w:rsidRPr="00890249">
              <w:rPr>
                <w:rFonts w:asciiTheme="minorHAnsi" w:hAnsiTheme="minorHAnsi" w:cstheme="minorHAnsi"/>
                <w:noProof/>
                <w:sz w:val="20"/>
              </w:rPr>
              <w:t>151</w:t>
            </w:r>
            <w:r w:rsidR="00E96A7D" w:rsidRPr="00890249">
              <w:rPr>
                <w:rFonts w:asciiTheme="minorHAnsi" w:hAnsiTheme="minorHAnsi" w:cstheme="minorHAnsi"/>
                <w:noProof/>
                <w:sz w:val="20"/>
              </w:rPr>
              <w:t xml:space="preserve"> Wsparcie na rzecz kształcenia dorosłych (z wyłączeniem infrastruktury)</w:t>
            </w:r>
          </w:p>
        </w:tc>
        <w:tc>
          <w:tcPr>
            <w:tcW w:w="2139" w:type="dxa"/>
            <w:vAlign w:val="center"/>
          </w:tcPr>
          <w:p w14:paraId="640EF9A9" w14:textId="69AFBBAA" w:rsidR="00E03FED" w:rsidRPr="00890249" w:rsidRDefault="005E33B6" w:rsidP="00BD5A2B">
            <w:pPr>
              <w:jc w:val="right"/>
              <w:rPr>
                <w:rFonts w:asciiTheme="minorHAnsi" w:hAnsiTheme="minorHAnsi" w:cstheme="minorHAnsi"/>
                <w:noProof/>
                <w:sz w:val="20"/>
              </w:rPr>
            </w:pPr>
            <w:r>
              <w:rPr>
                <w:rFonts w:asciiTheme="minorHAnsi" w:hAnsiTheme="minorHAnsi" w:cstheme="minorHAnsi"/>
                <w:noProof/>
                <w:sz w:val="20"/>
              </w:rPr>
              <w:t>15 620 000</w:t>
            </w:r>
          </w:p>
        </w:tc>
      </w:tr>
    </w:tbl>
    <w:p w14:paraId="0ADBFF92" w14:textId="77777777" w:rsidR="006C36DF" w:rsidRPr="00890249" w:rsidRDefault="006C36DF" w:rsidP="006339BC">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4"/>
        <w:gridCol w:w="1351"/>
        <w:gridCol w:w="1409"/>
        <w:gridCol w:w="1617"/>
        <w:gridCol w:w="1039"/>
        <w:gridCol w:w="2081"/>
      </w:tblGrid>
      <w:tr w:rsidR="006C36DF" w:rsidRPr="00890249" w14:paraId="4CB4C878" w14:textId="77777777" w:rsidTr="00F96149">
        <w:tc>
          <w:tcPr>
            <w:tcW w:w="9288" w:type="dxa"/>
            <w:gridSpan w:val="6"/>
            <w:shd w:val="clear" w:color="auto" w:fill="D9D9D9" w:themeFill="background1" w:themeFillShade="D9"/>
          </w:tcPr>
          <w:p w14:paraId="34E83E8F" w14:textId="77777777" w:rsidR="006C36DF" w:rsidRPr="00890249" w:rsidRDefault="006C36DF"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6C36DF" w:rsidRPr="00890249" w14:paraId="6139BFA3" w14:textId="77777777" w:rsidTr="00F96149">
        <w:tc>
          <w:tcPr>
            <w:tcW w:w="1599" w:type="dxa"/>
            <w:shd w:val="clear" w:color="auto" w:fill="F2F2F2" w:themeFill="background1" w:themeFillShade="F2"/>
          </w:tcPr>
          <w:p w14:paraId="4E7B793C"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71E6E43C"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41CED226"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660DB7D"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3CD12287"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E265FE6"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6C36DF" w:rsidRPr="00890249" w14:paraId="570FF932" w14:textId="77777777" w:rsidTr="00BD5A2B">
        <w:tc>
          <w:tcPr>
            <w:tcW w:w="1599" w:type="dxa"/>
          </w:tcPr>
          <w:p w14:paraId="7F79BC2F"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7C354D75"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r w:rsidR="00133682" w:rsidRPr="00890249">
              <w:rPr>
                <w:rFonts w:asciiTheme="minorHAnsi" w:eastAsia="Times New Roman" w:hAnsiTheme="minorHAnsi" w:cstheme="minorHAnsi"/>
                <w:iCs/>
                <w:noProof/>
                <w:sz w:val="20"/>
              </w:rPr>
              <w:t>+</w:t>
            </w:r>
          </w:p>
        </w:tc>
        <w:tc>
          <w:tcPr>
            <w:tcW w:w="1433" w:type="dxa"/>
          </w:tcPr>
          <w:p w14:paraId="23E98169" w14:textId="77777777" w:rsidR="006C36DF" w:rsidRPr="00890249" w:rsidRDefault="006C36DF"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tcPr>
          <w:p w14:paraId="50164F04"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r w:rsidR="006D15D3" w:rsidRPr="00890249">
              <w:rPr>
                <w:rFonts w:asciiTheme="minorHAnsi" w:eastAsia="Times New Roman" w:hAnsiTheme="minorHAnsi" w:cstheme="minorHAnsi"/>
                <w:iCs/>
                <w:noProof/>
                <w:sz w:val="20"/>
              </w:rPr>
              <w:t>g</w:t>
            </w:r>
            <w:r w:rsidRPr="00890249">
              <w:rPr>
                <w:rFonts w:asciiTheme="minorHAnsi" w:eastAsia="Times New Roman" w:hAnsiTheme="minorHAnsi" w:cstheme="minorHAnsi"/>
                <w:iCs/>
                <w:noProof/>
                <w:sz w:val="20"/>
              </w:rPr>
              <w:t>)</w:t>
            </w:r>
          </w:p>
        </w:tc>
        <w:tc>
          <w:tcPr>
            <w:tcW w:w="1053" w:type="dxa"/>
          </w:tcPr>
          <w:p w14:paraId="02E23D4D" w14:textId="77777777" w:rsidR="006C36DF" w:rsidRPr="00890249" w:rsidRDefault="0088418A"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E96A7D" w:rsidRPr="00890249">
              <w:rPr>
                <w:rFonts w:asciiTheme="minorHAnsi" w:eastAsia="Times New Roman" w:hAnsiTheme="minorHAnsi" w:cstheme="minorHAnsi"/>
                <w:iCs/>
                <w:noProof/>
                <w:sz w:val="20"/>
              </w:rPr>
              <w:t xml:space="preserve"> Dotacja</w:t>
            </w:r>
          </w:p>
        </w:tc>
        <w:tc>
          <w:tcPr>
            <w:tcW w:w="2175" w:type="dxa"/>
          </w:tcPr>
          <w:p w14:paraId="3C565537" w14:textId="696A0B36" w:rsidR="006C36DF" w:rsidRPr="00890249" w:rsidRDefault="005E33B6" w:rsidP="00BD5A2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15 620 000</w:t>
            </w:r>
          </w:p>
        </w:tc>
      </w:tr>
    </w:tbl>
    <w:p w14:paraId="1AD7D852" w14:textId="77777777" w:rsidR="006C36DF" w:rsidRPr="00890249" w:rsidRDefault="006C36DF" w:rsidP="00DE5D95">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93"/>
        <w:gridCol w:w="1288"/>
        <w:gridCol w:w="1319"/>
        <w:gridCol w:w="1610"/>
        <w:gridCol w:w="1520"/>
        <w:gridCol w:w="1831"/>
      </w:tblGrid>
      <w:tr w:rsidR="006C36DF" w:rsidRPr="00890249" w14:paraId="3FE5B526" w14:textId="77777777" w:rsidTr="00F96149">
        <w:tc>
          <w:tcPr>
            <w:tcW w:w="9288" w:type="dxa"/>
            <w:gridSpan w:val="6"/>
            <w:shd w:val="clear" w:color="auto" w:fill="D9D9D9" w:themeFill="background1" w:themeFillShade="D9"/>
          </w:tcPr>
          <w:p w14:paraId="65927D81" w14:textId="77777777" w:rsidR="006C36DF" w:rsidRPr="00890249" w:rsidRDefault="006C36DF"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6: Wymiar 3 – terytorialny mechanizm realizacji i ukierunkowanie terytorialne</w:t>
            </w:r>
          </w:p>
        </w:tc>
      </w:tr>
      <w:tr w:rsidR="006C36DF" w:rsidRPr="00890249" w14:paraId="4C395C0B" w14:textId="77777777" w:rsidTr="00F96149">
        <w:trPr>
          <w:trHeight w:val="364"/>
        </w:trPr>
        <w:tc>
          <w:tcPr>
            <w:tcW w:w="1599" w:type="dxa"/>
            <w:shd w:val="clear" w:color="auto" w:fill="F2F2F2" w:themeFill="background1" w:themeFillShade="F2"/>
          </w:tcPr>
          <w:p w14:paraId="6A63533C"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7F7D1C3B"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7DB0F1CD"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083934BF"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15A92CD3"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16295F4A"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6C36DF" w:rsidRPr="00890249" w14:paraId="2B890EA0" w14:textId="77777777" w:rsidTr="00BD5A2B">
        <w:tc>
          <w:tcPr>
            <w:tcW w:w="1599" w:type="dxa"/>
            <w:vAlign w:val="center"/>
          </w:tcPr>
          <w:p w14:paraId="4F8CFABF"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6E7C48AD"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r w:rsidR="00133682" w:rsidRPr="00890249">
              <w:rPr>
                <w:rFonts w:asciiTheme="minorHAnsi" w:hAnsiTheme="minorHAnsi" w:cstheme="minorHAnsi"/>
                <w:noProof/>
                <w:sz w:val="20"/>
              </w:rPr>
              <w:t>+</w:t>
            </w:r>
          </w:p>
        </w:tc>
        <w:tc>
          <w:tcPr>
            <w:tcW w:w="1378" w:type="dxa"/>
            <w:vAlign w:val="center"/>
          </w:tcPr>
          <w:p w14:paraId="30FD0624"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75E15F21" w14:textId="11B4D897" w:rsidR="006C36DF" w:rsidRPr="00890249" w:rsidRDefault="00194924" w:rsidP="00BD5A2B">
            <w:pPr>
              <w:jc w:val="center"/>
              <w:rPr>
                <w:rFonts w:asciiTheme="minorHAnsi" w:hAnsiTheme="minorHAnsi" w:cstheme="minorHAnsi"/>
                <w:noProof/>
                <w:sz w:val="20"/>
              </w:rPr>
            </w:pPr>
            <w:r w:rsidRPr="00890249">
              <w:rPr>
                <w:rFonts w:asciiTheme="minorHAnsi" w:hAnsiTheme="minorHAnsi" w:cstheme="minorHAnsi"/>
                <w:noProof/>
                <w:sz w:val="20"/>
              </w:rPr>
              <w:t>(g)</w:t>
            </w:r>
          </w:p>
        </w:tc>
        <w:tc>
          <w:tcPr>
            <w:tcW w:w="1136" w:type="dxa"/>
            <w:vAlign w:val="center"/>
          </w:tcPr>
          <w:p w14:paraId="620B5CD6" w14:textId="61E5C224" w:rsidR="006C36DF" w:rsidRPr="00890249" w:rsidRDefault="00194924"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D231FC" w:rsidRPr="00890249">
              <w:rPr>
                <w:rFonts w:asciiTheme="minorHAnsi" w:eastAsia="Times New Roman" w:hAnsiTheme="minorHAnsi" w:cstheme="minorHAnsi"/>
                <w:iCs/>
                <w:noProof/>
                <w:sz w:val="20"/>
              </w:rPr>
              <w:t xml:space="preserve"> </w:t>
            </w:r>
            <w:r w:rsidR="00E96A7D" w:rsidRPr="00890249">
              <w:rPr>
                <w:rFonts w:asciiTheme="minorHAnsi" w:eastAsia="Times New Roman" w:hAnsiTheme="minorHAnsi" w:cstheme="minorHAnsi"/>
                <w:iCs/>
                <w:noProof/>
                <w:sz w:val="20"/>
              </w:rPr>
              <w:t>Brak ukierunkowania terytorialnego</w:t>
            </w:r>
          </w:p>
        </w:tc>
        <w:tc>
          <w:tcPr>
            <w:tcW w:w="2092" w:type="dxa"/>
            <w:vAlign w:val="center"/>
          </w:tcPr>
          <w:p w14:paraId="68F574A7" w14:textId="552B98C6" w:rsidR="00B72154" w:rsidRPr="00890249" w:rsidRDefault="005E33B6" w:rsidP="00890249">
            <w:pPr>
              <w:jc w:val="right"/>
              <w:rPr>
                <w:rFonts w:asciiTheme="minorHAnsi" w:hAnsiTheme="minorHAnsi" w:cstheme="minorHAnsi"/>
                <w:b/>
                <w:noProof/>
                <w:color w:val="003399"/>
                <w:sz w:val="20"/>
              </w:rPr>
            </w:pPr>
            <w:r>
              <w:rPr>
                <w:rFonts w:asciiTheme="minorHAnsi" w:hAnsiTheme="minorHAnsi" w:cstheme="minorHAnsi"/>
                <w:noProof/>
                <w:sz w:val="20"/>
              </w:rPr>
              <w:t>15 620 000</w:t>
            </w:r>
          </w:p>
        </w:tc>
      </w:tr>
    </w:tbl>
    <w:p w14:paraId="4402CF71" w14:textId="77777777" w:rsidR="006C36DF" w:rsidRPr="00890249" w:rsidRDefault="006C36DF" w:rsidP="006C36DF">
      <w:pPr>
        <w:spacing w:after="0"/>
        <w:rPr>
          <w:rFonts w:asciiTheme="minorHAnsi" w:eastAsia="Times New Roman" w:hAnsiTheme="minorHAnsi" w:cstheme="minorHAnsi"/>
          <w:b/>
          <w:iCs/>
          <w:noProof/>
          <w:szCs w:val="24"/>
        </w:rPr>
      </w:pPr>
    </w:p>
    <w:tbl>
      <w:tblPr>
        <w:tblStyle w:val="Tabela-Siatka"/>
        <w:tblW w:w="9322" w:type="dxa"/>
        <w:jc w:val="center"/>
        <w:tblLook w:val="04A0" w:firstRow="1" w:lastRow="0" w:firstColumn="1" w:lastColumn="0" w:noHBand="0" w:noVBand="1"/>
      </w:tblPr>
      <w:tblGrid>
        <w:gridCol w:w="1461"/>
        <w:gridCol w:w="1258"/>
        <w:gridCol w:w="1341"/>
        <w:gridCol w:w="1542"/>
        <w:gridCol w:w="1651"/>
        <w:gridCol w:w="2069"/>
      </w:tblGrid>
      <w:tr w:rsidR="006C36DF" w:rsidRPr="00890249" w14:paraId="47C42D83" w14:textId="77777777" w:rsidTr="00890249">
        <w:trPr>
          <w:jc w:val="center"/>
        </w:trPr>
        <w:tc>
          <w:tcPr>
            <w:tcW w:w="9322" w:type="dxa"/>
            <w:gridSpan w:val="6"/>
            <w:shd w:val="clear" w:color="auto" w:fill="D9D9D9" w:themeFill="background1" w:themeFillShade="D9"/>
          </w:tcPr>
          <w:p w14:paraId="3ADCE82F" w14:textId="77777777" w:rsidR="006C36DF" w:rsidRPr="00890249" w:rsidRDefault="006C36DF" w:rsidP="00E014DF">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E014DF" w:rsidRPr="00890249">
              <w:rPr>
                <w:rFonts w:asciiTheme="minorHAnsi" w:hAnsiTheme="minorHAnsi" w:cstheme="minorHAnsi"/>
                <w:b/>
                <w:noProof/>
                <w:sz w:val="20"/>
              </w:rPr>
              <w:t xml:space="preserve">uzupeniające obszary </w:t>
            </w:r>
            <w:r w:rsidRPr="00890249">
              <w:rPr>
                <w:rFonts w:asciiTheme="minorHAnsi" w:hAnsiTheme="minorHAnsi" w:cstheme="minorHAnsi"/>
                <w:b/>
                <w:noProof/>
                <w:sz w:val="20"/>
              </w:rPr>
              <w:t>tematy</w:t>
            </w:r>
            <w:r w:rsidR="00E014DF" w:rsidRPr="00890249">
              <w:rPr>
                <w:rFonts w:asciiTheme="minorHAnsi" w:hAnsiTheme="minorHAnsi" w:cstheme="minorHAnsi"/>
                <w:b/>
                <w:noProof/>
                <w:sz w:val="20"/>
              </w:rPr>
              <w:t>czne</w:t>
            </w:r>
            <w:r w:rsidRPr="00890249">
              <w:rPr>
                <w:rFonts w:asciiTheme="minorHAnsi" w:hAnsiTheme="minorHAnsi" w:cstheme="minorHAnsi"/>
                <w:b/>
                <w:noProof/>
                <w:sz w:val="20"/>
              </w:rPr>
              <w:t xml:space="preserve"> EFS+</w:t>
            </w:r>
          </w:p>
        </w:tc>
      </w:tr>
      <w:tr w:rsidR="006C36DF" w:rsidRPr="00890249" w14:paraId="0E6179FD" w14:textId="77777777" w:rsidTr="00890249">
        <w:trPr>
          <w:jc w:val="center"/>
        </w:trPr>
        <w:tc>
          <w:tcPr>
            <w:tcW w:w="1461" w:type="dxa"/>
            <w:shd w:val="clear" w:color="auto" w:fill="F2F2F2" w:themeFill="background1" w:themeFillShade="F2"/>
          </w:tcPr>
          <w:p w14:paraId="4C12DDA5"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Nr priorytetu</w:t>
            </w:r>
          </w:p>
        </w:tc>
        <w:tc>
          <w:tcPr>
            <w:tcW w:w="1258" w:type="dxa"/>
            <w:shd w:val="clear" w:color="auto" w:fill="F2F2F2" w:themeFill="background1" w:themeFillShade="F2"/>
          </w:tcPr>
          <w:p w14:paraId="0ACDE1BB"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41" w:type="dxa"/>
            <w:shd w:val="clear" w:color="auto" w:fill="F2F2F2" w:themeFill="background1" w:themeFillShade="F2"/>
          </w:tcPr>
          <w:p w14:paraId="17596DCC"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2" w:type="dxa"/>
            <w:shd w:val="clear" w:color="auto" w:fill="F2F2F2" w:themeFill="background1" w:themeFillShade="F2"/>
          </w:tcPr>
          <w:p w14:paraId="5CD5DAB0"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133378E4"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69" w:type="dxa"/>
            <w:shd w:val="clear" w:color="auto" w:fill="F2F2F2" w:themeFill="background1" w:themeFillShade="F2"/>
          </w:tcPr>
          <w:p w14:paraId="38B18C55"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94245" w:rsidRPr="00890249" w14:paraId="5F45E40A" w14:textId="77777777" w:rsidTr="00890249">
        <w:trPr>
          <w:jc w:val="center"/>
        </w:trPr>
        <w:tc>
          <w:tcPr>
            <w:tcW w:w="1461" w:type="dxa"/>
            <w:vMerge w:val="restart"/>
            <w:vAlign w:val="center"/>
          </w:tcPr>
          <w:p w14:paraId="4C91A1F8"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258" w:type="dxa"/>
            <w:vMerge w:val="restart"/>
            <w:vAlign w:val="center"/>
          </w:tcPr>
          <w:p w14:paraId="09FF96BE"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EFS+</w:t>
            </w:r>
          </w:p>
        </w:tc>
        <w:tc>
          <w:tcPr>
            <w:tcW w:w="1341" w:type="dxa"/>
            <w:vMerge w:val="restart"/>
            <w:vAlign w:val="center"/>
          </w:tcPr>
          <w:p w14:paraId="2D469CDD"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542" w:type="dxa"/>
            <w:vMerge w:val="restart"/>
            <w:shd w:val="clear" w:color="auto" w:fill="auto"/>
            <w:vAlign w:val="center"/>
          </w:tcPr>
          <w:p w14:paraId="08FC99B6"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szCs w:val="22"/>
                <w:lang w:eastAsia="en-US" w:bidi="ar-SA"/>
              </w:rPr>
              <w:t>(g)</w:t>
            </w:r>
          </w:p>
        </w:tc>
        <w:tc>
          <w:tcPr>
            <w:tcW w:w="1651" w:type="dxa"/>
            <w:shd w:val="clear" w:color="auto" w:fill="auto"/>
          </w:tcPr>
          <w:p w14:paraId="5DA1A346" w14:textId="77777777" w:rsidR="00B94245" w:rsidRPr="00890249" w:rsidRDefault="00B94245" w:rsidP="00B9424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E96A7D" w:rsidRPr="00890249">
              <w:rPr>
                <w:rFonts w:asciiTheme="minorHAnsi" w:eastAsia="Times New Roman" w:hAnsiTheme="minorHAnsi" w:cstheme="minorHAnsi"/>
                <w:iCs/>
                <w:noProof/>
                <w:sz w:val="20"/>
              </w:rPr>
              <w:t xml:space="preserve"> Przyczynianie się do ekologicznych umiejętności i zielonych miejsc oraz zielonej gospodarki</w:t>
            </w:r>
          </w:p>
        </w:tc>
        <w:tc>
          <w:tcPr>
            <w:tcW w:w="2069" w:type="dxa"/>
            <w:shd w:val="clear" w:color="auto" w:fill="auto"/>
          </w:tcPr>
          <w:p w14:paraId="1D018B33" w14:textId="0490BBF9" w:rsidR="00B94245" w:rsidRPr="00890249" w:rsidRDefault="00FB69D2" w:rsidP="00B94245">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  </w:t>
            </w:r>
            <w:r w:rsidR="005E33B6">
              <w:rPr>
                <w:rFonts w:asciiTheme="minorHAnsi" w:eastAsia="Times New Roman" w:hAnsiTheme="minorHAnsi" w:cstheme="minorHAnsi"/>
                <w:iCs/>
                <w:noProof/>
                <w:sz w:val="20"/>
              </w:rPr>
              <w:t>1 462 000</w:t>
            </w:r>
            <w:r w:rsidR="009A433F" w:rsidRPr="00890249">
              <w:rPr>
                <w:rFonts w:asciiTheme="minorHAnsi" w:eastAsia="Times New Roman" w:hAnsiTheme="minorHAnsi" w:cstheme="minorHAnsi"/>
                <w:iCs/>
                <w:noProof/>
                <w:sz w:val="20"/>
              </w:rPr>
              <w:t xml:space="preserve"> </w:t>
            </w:r>
          </w:p>
        </w:tc>
      </w:tr>
      <w:tr w:rsidR="00B94245" w:rsidRPr="00890249" w14:paraId="662BA82E" w14:textId="77777777" w:rsidTr="00890249">
        <w:trPr>
          <w:jc w:val="center"/>
        </w:trPr>
        <w:tc>
          <w:tcPr>
            <w:tcW w:w="1461" w:type="dxa"/>
            <w:vMerge/>
            <w:vAlign w:val="center"/>
          </w:tcPr>
          <w:p w14:paraId="174A3C89" w14:textId="77777777" w:rsidR="00B94245" w:rsidRPr="00890249" w:rsidRDefault="00B94245" w:rsidP="00B94245">
            <w:pPr>
              <w:jc w:val="center"/>
              <w:rPr>
                <w:rFonts w:asciiTheme="minorHAnsi" w:eastAsia="Times New Roman" w:hAnsiTheme="minorHAnsi" w:cstheme="minorHAnsi"/>
                <w:iCs/>
                <w:noProof/>
                <w:sz w:val="20"/>
              </w:rPr>
            </w:pPr>
          </w:p>
        </w:tc>
        <w:tc>
          <w:tcPr>
            <w:tcW w:w="1258" w:type="dxa"/>
            <w:vMerge/>
            <w:vAlign w:val="center"/>
          </w:tcPr>
          <w:p w14:paraId="160112A3" w14:textId="77777777" w:rsidR="00B94245" w:rsidRPr="00890249" w:rsidRDefault="00B94245" w:rsidP="00B94245">
            <w:pPr>
              <w:jc w:val="center"/>
              <w:rPr>
                <w:rFonts w:asciiTheme="minorHAnsi" w:hAnsiTheme="minorHAnsi" w:cstheme="minorHAnsi"/>
                <w:noProof/>
                <w:sz w:val="20"/>
              </w:rPr>
            </w:pPr>
          </w:p>
        </w:tc>
        <w:tc>
          <w:tcPr>
            <w:tcW w:w="1341" w:type="dxa"/>
            <w:vMerge/>
            <w:vAlign w:val="center"/>
          </w:tcPr>
          <w:p w14:paraId="4234B9E7" w14:textId="77777777" w:rsidR="00B94245" w:rsidRPr="00890249" w:rsidRDefault="00B94245" w:rsidP="00B94245">
            <w:pPr>
              <w:jc w:val="center"/>
              <w:rPr>
                <w:rFonts w:asciiTheme="minorHAnsi" w:hAnsiTheme="minorHAnsi" w:cstheme="minorHAnsi"/>
                <w:noProof/>
                <w:sz w:val="20"/>
              </w:rPr>
            </w:pPr>
          </w:p>
        </w:tc>
        <w:tc>
          <w:tcPr>
            <w:tcW w:w="1542" w:type="dxa"/>
            <w:vMerge/>
            <w:shd w:val="clear" w:color="auto" w:fill="auto"/>
          </w:tcPr>
          <w:p w14:paraId="7BCC9FB7" w14:textId="77777777" w:rsidR="00B94245" w:rsidRPr="00890249" w:rsidRDefault="00B94245" w:rsidP="00B94245">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741836A6" w14:textId="77777777" w:rsidR="00B94245" w:rsidRPr="00890249" w:rsidRDefault="00B94245" w:rsidP="00B9424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02</w:t>
            </w:r>
            <w:r w:rsidR="00E96A7D" w:rsidRPr="00890249">
              <w:rPr>
                <w:rFonts w:asciiTheme="minorHAnsi" w:eastAsia="Times New Roman" w:hAnsiTheme="minorHAnsi" w:cstheme="minorHAnsi"/>
                <w:iCs/>
                <w:noProof/>
                <w:sz w:val="20"/>
              </w:rPr>
              <w:t xml:space="preserve"> Rozwój kompetencji cyfrowych i tworzenie miejsc pracy w sektorze cyfrowym</w:t>
            </w:r>
          </w:p>
        </w:tc>
        <w:tc>
          <w:tcPr>
            <w:tcW w:w="2069" w:type="dxa"/>
            <w:shd w:val="clear" w:color="auto" w:fill="auto"/>
          </w:tcPr>
          <w:p w14:paraId="5FF57238" w14:textId="3F880358" w:rsidR="00B94245" w:rsidRPr="00890249" w:rsidRDefault="005E33B6"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2 924 000</w:t>
            </w:r>
          </w:p>
        </w:tc>
      </w:tr>
      <w:tr w:rsidR="00B94245" w:rsidRPr="00890249" w14:paraId="52EB7A43" w14:textId="77777777" w:rsidTr="00890249">
        <w:trPr>
          <w:jc w:val="center"/>
        </w:trPr>
        <w:tc>
          <w:tcPr>
            <w:tcW w:w="1461" w:type="dxa"/>
            <w:vMerge/>
            <w:vAlign w:val="center"/>
          </w:tcPr>
          <w:p w14:paraId="33DFE4BF" w14:textId="77777777" w:rsidR="00B94245" w:rsidRPr="00890249" w:rsidRDefault="00B94245" w:rsidP="00B94245">
            <w:pPr>
              <w:jc w:val="center"/>
              <w:rPr>
                <w:rFonts w:asciiTheme="minorHAnsi" w:eastAsia="Times New Roman" w:hAnsiTheme="minorHAnsi" w:cstheme="minorHAnsi"/>
                <w:iCs/>
                <w:noProof/>
                <w:sz w:val="20"/>
              </w:rPr>
            </w:pPr>
          </w:p>
        </w:tc>
        <w:tc>
          <w:tcPr>
            <w:tcW w:w="1258" w:type="dxa"/>
            <w:vMerge/>
            <w:vAlign w:val="center"/>
          </w:tcPr>
          <w:p w14:paraId="2F574CC7" w14:textId="77777777" w:rsidR="00B94245" w:rsidRPr="00890249" w:rsidRDefault="00B94245" w:rsidP="00B94245">
            <w:pPr>
              <w:jc w:val="center"/>
              <w:rPr>
                <w:rFonts w:asciiTheme="minorHAnsi" w:hAnsiTheme="minorHAnsi" w:cstheme="minorHAnsi"/>
                <w:noProof/>
                <w:sz w:val="20"/>
              </w:rPr>
            </w:pPr>
          </w:p>
        </w:tc>
        <w:tc>
          <w:tcPr>
            <w:tcW w:w="1341" w:type="dxa"/>
            <w:vMerge/>
            <w:vAlign w:val="center"/>
          </w:tcPr>
          <w:p w14:paraId="43293C85" w14:textId="77777777" w:rsidR="00B94245" w:rsidRPr="00890249" w:rsidRDefault="00B94245" w:rsidP="00B94245">
            <w:pPr>
              <w:jc w:val="center"/>
              <w:rPr>
                <w:rFonts w:asciiTheme="minorHAnsi" w:hAnsiTheme="minorHAnsi" w:cstheme="minorHAnsi"/>
                <w:noProof/>
                <w:sz w:val="20"/>
              </w:rPr>
            </w:pPr>
          </w:p>
        </w:tc>
        <w:tc>
          <w:tcPr>
            <w:tcW w:w="1542" w:type="dxa"/>
            <w:vMerge/>
            <w:shd w:val="clear" w:color="auto" w:fill="auto"/>
          </w:tcPr>
          <w:p w14:paraId="20038612" w14:textId="77777777" w:rsidR="00B94245" w:rsidRPr="00890249" w:rsidRDefault="00B94245" w:rsidP="00B94245">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423B2C84" w14:textId="77777777" w:rsidR="00B94245" w:rsidRPr="00890249" w:rsidRDefault="00B94245" w:rsidP="00B9424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w:t>
            </w:r>
            <w:r w:rsidR="00E96A7D" w:rsidRPr="00890249">
              <w:rPr>
                <w:rFonts w:asciiTheme="minorHAnsi" w:eastAsia="Times New Roman" w:hAnsiTheme="minorHAnsi" w:cstheme="minorHAnsi"/>
                <w:iCs/>
                <w:noProof/>
                <w:sz w:val="20"/>
              </w:rPr>
              <w:t xml:space="preserve"> Niedyskryminacja</w:t>
            </w:r>
          </w:p>
        </w:tc>
        <w:tc>
          <w:tcPr>
            <w:tcW w:w="2069" w:type="dxa"/>
            <w:shd w:val="clear" w:color="auto" w:fill="auto"/>
          </w:tcPr>
          <w:p w14:paraId="7327A4D5" w14:textId="5FF5102C" w:rsidR="00B94245" w:rsidRPr="00890249" w:rsidRDefault="005E33B6"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1 712 000</w:t>
            </w:r>
          </w:p>
        </w:tc>
      </w:tr>
      <w:tr w:rsidR="00E96A7D" w:rsidRPr="00890249" w14:paraId="29CA89F6" w14:textId="77777777" w:rsidTr="00890249">
        <w:trPr>
          <w:jc w:val="center"/>
        </w:trPr>
        <w:tc>
          <w:tcPr>
            <w:tcW w:w="1461" w:type="dxa"/>
            <w:vMerge/>
            <w:vAlign w:val="center"/>
          </w:tcPr>
          <w:p w14:paraId="2EBE31FC" w14:textId="77777777" w:rsidR="00E96A7D" w:rsidRPr="00890249" w:rsidRDefault="00E96A7D" w:rsidP="00E96A7D">
            <w:pPr>
              <w:jc w:val="center"/>
              <w:rPr>
                <w:rFonts w:asciiTheme="minorHAnsi" w:eastAsia="Times New Roman" w:hAnsiTheme="minorHAnsi" w:cstheme="minorHAnsi"/>
                <w:iCs/>
                <w:noProof/>
                <w:sz w:val="20"/>
              </w:rPr>
            </w:pPr>
          </w:p>
        </w:tc>
        <w:tc>
          <w:tcPr>
            <w:tcW w:w="1258" w:type="dxa"/>
            <w:vMerge/>
            <w:vAlign w:val="center"/>
          </w:tcPr>
          <w:p w14:paraId="51905BA0" w14:textId="77777777" w:rsidR="00E96A7D" w:rsidRPr="00890249" w:rsidRDefault="00E96A7D" w:rsidP="00E96A7D">
            <w:pPr>
              <w:jc w:val="center"/>
              <w:rPr>
                <w:rFonts w:asciiTheme="minorHAnsi" w:hAnsiTheme="minorHAnsi" w:cstheme="minorHAnsi"/>
                <w:noProof/>
                <w:sz w:val="20"/>
              </w:rPr>
            </w:pPr>
          </w:p>
        </w:tc>
        <w:tc>
          <w:tcPr>
            <w:tcW w:w="1341" w:type="dxa"/>
            <w:vMerge/>
            <w:vAlign w:val="center"/>
          </w:tcPr>
          <w:p w14:paraId="2A17E31E" w14:textId="77777777" w:rsidR="00E96A7D" w:rsidRPr="00890249" w:rsidRDefault="00E96A7D" w:rsidP="00E96A7D">
            <w:pPr>
              <w:jc w:val="center"/>
              <w:rPr>
                <w:rFonts w:asciiTheme="minorHAnsi" w:hAnsiTheme="minorHAnsi" w:cstheme="minorHAnsi"/>
                <w:noProof/>
                <w:sz w:val="20"/>
              </w:rPr>
            </w:pPr>
          </w:p>
        </w:tc>
        <w:tc>
          <w:tcPr>
            <w:tcW w:w="1542" w:type="dxa"/>
            <w:vMerge/>
            <w:shd w:val="clear" w:color="auto" w:fill="auto"/>
          </w:tcPr>
          <w:p w14:paraId="7170AF24" w14:textId="77777777" w:rsidR="00E96A7D" w:rsidRPr="00890249" w:rsidRDefault="00E96A7D" w:rsidP="00E96A7D">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0AFBEF98" w14:textId="77777777" w:rsidR="00E96A7D" w:rsidRPr="00890249" w:rsidRDefault="00E96A7D" w:rsidP="00E96A7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 Budowanie zdolności organizacji społeczeństwa obywatelskiego</w:t>
            </w:r>
          </w:p>
        </w:tc>
        <w:tc>
          <w:tcPr>
            <w:tcW w:w="2069" w:type="dxa"/>
            <w:shd w:val="clear" w:color="auto" w:fill="auto"/>
          </w:tcPr>
          <w:p w14:paraId="7E2342E7" w14:textId="577A5395" w:rsidR="00E96A7D" w:rsidRPr="00890249" w:rsidRDefault="005E33B6" w:rsidP="009A433F">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1 712 000</w:t>
            </w:r>
          </w:p>
        </w:tc>
      </w:tr>
      <w:tr w:rsidR="00E96A7D" w:rsidRPr="00890249" w14:paraId="5E970ECA" w14:textId="77777777" w:rsidTr="00890249">
        <w:trPr>
          <w:jc w:val="center"/>
        </w:trPr>
        <w:tc>
          <w:tcPr>
            <w:tcW w:w="1461" w:type="dxa"/>
            <w:vMerge/>
            <w:vAlign w:val="center"/>
          </w:tcPr>
          <w:p w14:paraId="5A1B6786" w14:textId="77777777" w:rsidR="00E96A7D" w:rsidRPr="00890249" w:rsidRDefault="00E96A7D" w:rsidP="00E96A7D">
            <w:pPr>
              <w:jc w:val="center"/>
              <w:rPr>
                <w:rFonts w:asciiTheme="minorHAnsi" w:eastAsia="Times New Roman" w:hAnsiTheme="minorHAnsi" w:cstheme="minorHAnsi"/>
                <w:iCs/>
                <w:noProof/>
                <w:sz w:val="20"/>
              </w:rPr>
            </w:pPr>
          </w:p>
        </w:tc>
        <w:tc>
          <w:tcPr>
            <w:tcW w:w="1258" w:type="dxa"/>
            <w:vMerge/>
            <w:vAlign w:val="center"/>
          </w:tcPr>
          <w:p w14:paraId="685F729E" w14:textId="77777777" w:rsidR="00E96A7D" w:rsidRPr="00890249" w:rsidRDefault="00E96A7D" w:rsidP="00E96A7D">
            <w:pPr>
              <w:jc w:val="center"/>
              <w:rPr>
                <w:rFonts w:asciiTheme="minorHAnsi" w:hAnsiTheme="minorHAnsi" w:cstheme="minorHAnsi"/>
                <w:noProof/>
                <w:sz w:val="20"/>
              </w:rPr>
            </w:pPr>
          </w:p>
        </w:tc>
        <w:tc>
          <w:tcPr>
            <w:tcW w:w="1341" w:type="dxa"/>
            <w:vMerge/>
            <w:vAlign w:val="center"/>
          </w:tcPr>
          <w:p w14:paraId="30BD09AA" w14:textId="77777777" w:rsidR="00E96A7D" w:rsidRPr="00890249" w:rsidRDefault="00E96A7D" w:rsidP="00E96A7D">
            <w:pPr>
              <w:jc w:val="center"/>
              <w:rPr>
                <w:rFonts w:asciiTheme="minorHAnsi" w:hAnsiTheme="minorHAnsi" w:cstheme="minorHAnsi"/>
                <w:noProof/>
                <w:sz w:val="20"/>
              </w:rPr>
            </w:pPr>
          </w:p>
        </w:tc>
        <w:tc>
          <w:tcPr>
            <w:tcW w:w="1542" w:type="dxa"/>
            <w:vMerge/>
            <w:shd w:val="clear" w:color="auto" w:fill="auto"/>
          </w:tcPr>
          <w:p w14:paraId="5F2898AC" w14:textId="77777777" w:rsidR="00E96A7D" w:rsidRPr="00890249" w:rsidRDefault="00E96A7D" w:rsidP="00E96A7D">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3375D720" w14:textId="77777777" w:rsidR="00E96A7D" w:rsidRPr="00890249" w:rsidRDefault="00E96A7D" w:rsidP="00E96A7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069" w:type="dxa"/>
            <w:shd w:val="clear" w:color="auto" w:fill="auto"/>
          </w:tcPr>
          <w:p w14:paraId="4ACABBE5" w14:textId="0AE54EAD" w:rsidR="00E96A7D" w:rsidRPr="00890249" w:rsidRDefault="005E33B6" w:rsidP="00E96A7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3 174 000</w:t>
            </w:r>
          </w:p>
        </w:tc>
      </w:tr>
      <w:tr w:rsidR="00E96A7D" w:rsidRPr="00890249" w14:paraId="0E2E759A" w14:textId="77777777" w:rsidTr="00890249">
        <w:trPr>
          <w:jc w:val="center"/>
        </w:trPr>
        <w:tc>
          <w:tcPr>
            <w:tcW w:w="1461" w:type="dxa"/>
            <w:vMerge/>
            <w:vAlign w:val="center"/>
          </w:tcPr>
          <w:p w14:paraId="641F49FA" w14:textId="77777777" w:rsidR="00E96A7D" w:rsidRPr="00890249" w:rsidRDefault="00E96A7D" w:rsidP="00E96A7D">
            <w:pPr>
              <w:jc w:val="center"/>
              <w:rPr>
                <w:rFonts w:asciiTheme="minorHAnsi" w:eastAsia="Times New Roman" w:hAnsiTheme="minorHAnsi" w:cstheme="minorHAnsi"/>
                <w:iCs/>
                <w:noProof/>
                <w:sz w:val="20"/>
              </w:rPr>
            </w:pPr>
          </w:p>
        </w:tc>
        <w:tc>
          <w:tcPr>
            <w:tcW w:w="1258" w:type="dxa"/>
            <w:vMerge/>
            <w:vAlign w:val="center"/>
          </w:tcPr>
          <w:p w14:paraId="1F65D98F" w14:textId="77777777" w:rsidR="00E96A7D" w:rsidRPr="00890249" w:rsidRDefault="00E96A7D" w:rsidP="00E96A7D">
            <w:pPr>
              <w:jc w:val="center"/>
              <w:rPr>
                <w:rFonts w:asciiTheme="minorHAnsi" w:hAnsiTheme="minorHAnsi" w:cstheme="minorHAnsi"/>
                <w:noProof/>
                <w:sz w:val="20"/>
              </w:rPr>
            </w:pPr>
          </w:p>
        </w:tc>
        <w:tc>
          <w:tcPr>
            <w:tcW w:w="1341" w:type="dxa"/>
            <w:vMerge/>
            <w:vAlign w:val="center"/>
          </w:tcPr>
          <w:p w14:paraId="2157FF58" w14:textId="77777777" w:rsidR="00E96A7D" w:rsidRPr="00890249" w:rsidRDefault="00E96A7D" w:rsidP="00E96A7D">
            <w:pPr>
              <w:jc w:val="center"/>
              <w:rPr>
                <w:rFonts w:asciiTheme="minorHAnsi" w:hAnsiTheme="minorHAnsi" w:cstheme="minorHAnsi"/>
                <w:noProof/>
                <w:sz w:val="20"/>
              </w:rPr>
            </w:pPr>
          </w:p>
        </w:tc>
        <w:tc>
          <w:tcPr>
            <w:tcW w:w="1542" w:type="dxa"/>
            <w:vMerge/>
            <w:shd w:val="clear" w:color="auto" w:fill="auto"/>
          </w:tcPr>
          <w:p w14:paraId="47EB95E1" w14:textId="77777777" w:rsidR="00E96A7D" w:rsidRPr="00890249" w:rsidRDefault="00E96A7D" w:rsidP="00E96A7D">
            <w:pPr>
              <w:jc w:val="center"/>
              <w:rPr>
                <w:rFonts w:asciiTheme="minorHAnsi" w:eastAsia="Times New Roman" w:hAnsiTheme="minorHAnsi" w:cstheme="minorHAnsi"/>
                <w:iCs/>
                <w:noProof/>
                <w:sz w:val="20"/>
                <w:szCs w:val="22"/>
                <w:lang w:eastAsia="en-US" w:bidi="ar-SA"/>
              </w:rPr>
            </w:pPr>
          </w:p>
        </w:tc>
        <w:tc>
          <w:tcPr>
            <w:tcW w:w="1651" w:type="dxa"/>
            <w:shd w:val="clear" w:color="auto" w:fill="auto"/>
          </w:tcPr>
          <w:p w14:paraId="33E1BA72" w14:textId="77777777" w:rsidR="00E96A7D" w:rsidRPr="00890249" w:rsidRDefault="00E96A7D" w:rsidP="00E96A7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Działania podejmowane w odpowiedzi na wyzwania wskazane w ramach semestru europejskiego</w:t>
            </w:r>
          </w:p>
        </w:tc>
        <w:tc>
          <w:tcPr>
            <w:tcW w:w="2069" w:type="dxa"/>
            <w:shd w:val="clear" w:color="auto" w:fill="auto"/>
          </w:tcPr>
          <w:p w14:paraId="75BA7BDB" w14:textId="1A080AA2" w:rsidR="00E96A7D" w:rsidRPr="00890249" w:rsidRDefault="005E33B6" w:rsidP="00E96A7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4 636 000</w:t>
            </w:r>
          </w:p>
        </w:tc>
      </w:tr>
    </w:tbl>
    <w:p w14:paraId="27623DEF" w14:textId="77777777" w:rsidR="00775731" w:rsidRPr="00890249" w:rsidRDefault="00775731" w:rsidP="00730256">
      <w:pPr>
        <w:spacing w:before="0" w:after="240"/>
        <w:rPr>
          <w:rFonts w:asciiTheme="minorHAnsi" w:hAnsiTheme="minorHAnsi" w:cstheme="minorHAnsi"/>
          <w:b/>
          <w:noProof/>
          <w:color w:val="FF0000"/>
          <w:sz w:val="22"/>
          <w:szCs w:val="22"/>
        </w:rPr>
      </w:pPr>
    </w:p>
    <w:p w14:paraId="7EEEBB02" w14:textId="5A48E12E" w:rsidR="005F3F05" w:rsidRPr="00890249" w:rsidRDefault="005F3F05" w:rsidP="00775731">
      <w:pPr>
        <w:spacing w:before="0" w:after="160" w:line="259" w:lineRule="auto"/>
        <w:jc w:val="left"/>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613A79" w:rsidRPr="00890249" w14:paraId="56F52965" w14:textId="77777777" w:rsidTr="003D6E86">
        <w:tc>
          <w:tcPr>
            <w:tcW w:w="9322" w:type="dxa"/>
            <w:gridSpan w:val="6"/>
            <w:shd w:val="clear" w:color="auto" w:fill="D9D9D9" w:themeFill="background1" w:themeFillShade="D9"/>
          </w:tcPr>
          <w:p w14:paraId="27893CFB" w14:textId="77777777" w:rsidR="00613A79" w:rsidRPr="00890249" w:rsidRDefault="00613A79" w:rsidP="00E014DF">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 xml:space="preserve">Tabela 8: Wymiar 7 – wymiar </w:t>
            </w:r>
            <w:r w:rsidR="00E014DF" w:rsidRPr="00890249">
              <w:rPr>
                <w:rFonts w:asciiTheme="minorHAnsi" w:eastAsiaTheme="minorHAnsi" w:hAnsiTheme="minorHAnsi" w:cstheme="minorHAnsi"/>
                <w:b/>
                <w:sz w:val="20"/>
                <w:szCs w:val="22"/>
                <w:lang w:eastAsia="en-US" w:bidi="ar-SA"/>
              </w:rPr>
              <w:t>”Równouprawnienie płci” w ramach EFS+, EFRR, Fundusz Spójności i FST</w:t>
            </w:r>
          </w:p>
        </w:tc>
      </w:tr>
      <w:tr w:rsidR="00613A79" w:rsidRPr="00890249" w14:paraId="6465239A" w14:textId="77777777" w:rsidTr="003D6E86">
        <w:tc>
          <w:tcPr>
            <w:tcW w:w="1570" w:type="dxa"/>
            <w:shd w:val="clear" w:color="auto" w:fill="F2F2F2" w:themeFill="background1" w:themeFillShade="F2"/>
          </w:tcPr>
          <w:p w14:paraId="1641FB15"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7C4A23FA"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4353155F"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6567B88C" w14:textId="77777777" w:rsidR="00613A79" w:rsidRPr="00890249" w:rsidRDefault="00613A79" w:rsidP="0088418A">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571FC74C" w14:textId="77777777" w:rsidR="00613A79" w:rsidRPr="00890249" w:rsidRDefault="00613A79" w:rsidP="0088418A">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792D92C9"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304F40" w:rsidRPr="00890249" w14:paraId="114FF526" w14:textId="77777777" w:rsidTr="003D6E86">
        <w:tc>
          <w:tcPr>
            <w:tcW w:w="1570" w:type="dxa"/>
            <w:shd w:val="clear" w:color="auto" w:fill="auto"/>
            <w:vAlign w:val="center"/>
          </w:tcPr>
          <w:p w14:paraId="1713AB15" w14:textId="77777777" w:rsidR="00304F40" w:rsidRPr="00890249" w:rsidRDefault="006D15D3" w:rsidP="00E014DF">
            <w:pPr>
              <w:spacing w:before="0" w:after="160" w:line="259" w:lineRule="auto"/>
              <w:jc w:val="center"/>
              <w:rPr>
                <w:rFonts w:asciiTheme="minorHAnsi" w:eastAsia="Times New Roman" w:hAnsiTheme="minorHAnsi" w:cstheme="minorHAnsi"/>
                <w:b/>
                <w:iCs/>
                <w:noProof/>
                <w:sz w:val="18"/>
                <w:szCs w:val="22"/>
                <w:highlight w:val="green"/>
                <w:lang w:eastAsia="en-US" w:bidi="ar-SA"/>
              </w:rPr>
            </w:pPr>
            <w:r w:rsidRPr="00890249">
              <w:rPr>
                <w:rFonts w:asciiTheme="minorHAnsi" w:eastAsia="Times New Roman" w:hAnsiTheme="minorHAnsi" w:cstheme="minorHAnsi"/>
                <w:iCs/>
                <w:noProof/>
                <w:sz w:val="18"/>
              </w:rPr>
              <w:t xml:space="preserve">CP </w:t>
            </w:r>
            <w:r w:rsidR="0009010C" w:rsidRPr="00890249">
              <w:rPr>
                <w:rFonts w:asciiTheme="minorHAnsi" w:eastAsia="Times New Roman" w:hAnsiTheme="minorHAnsi" w:cstheme="minorHAnsi"/>
                <w:iCs/>
                <w:noProof/>
                <w:sz w:val="18"/>
              </w:rPr>
              <w:t>4</w:t>
            </w:r>
          </w:p>
        </w:tc>
        <w:tc>
          <w:tcPr>
            <w:tcW w:w="1360" w:type="dxa"/>
            <w:shd w:val="clear" w:color="auto" w:fill="auto"/>
            <w:vAlign w:val="center"/>
          </w:tcPr>
          <w:p w14:paraId="6896F9D3" w14:textId="77777777" w:rsidR="00304F40" w:rsidRPr="00890249" w:rsidRDefault="00304F40" w:rsidP="00E014DF">
            <w:pPr>
              <w:spacing w:before="0" w:after="160" w:line="259" w:lineRule="auto"/>
              <w:jc w:val="center"/>
              <w:rPr>
                <w:rFonts w:asciiTheme="minorHAnsi" w:eastAsia="Times New Roman" w:hAnsiTheme="minorHAnsi" w:cstheme="minorHAnsi"/>
                <w:b/>
                <w:iCs/>
                <w:noProof/>
                <w:sz w:val="18"/>
                <w:szCs w:val="22"/>
                <w:highlight w:val="green"/>
                <w:lang w:eastAsia="en-US" w:bidi="ar-SA"/>
              </w:rPr>
            </w:pPr>
            <w:r w:rsidRPr="00890249">
              <w:rPr>
                <w:rFonts w:asciiTheme="minorHAnsi" w:hAnsiTheme="minorHAnsi" w:cstheme="minorHAnsi"/>
                <w:noProof/>
                <w:sz w:val="18"/>
              </w:rPr>
              <w:t>EFS+</w:t>
            </w:r>
          </w:p>
        </w:tc>
        <w:tc>
          <w:tcPr>
            <w:tcW w:w="1415" w:type="dxa"/>
            <w:shd w:val="clear" w:color="auto" w:fill="auto"/>
            <w:vAlign w:val="center"/>
          </w:tcPr>
          <w:p w14:paraId="02FB1283" w14:textId="77777777" w:rsidR="00304F40" w:rsidRPr="00890249" w:rsidRDefault="00304F40" w:rsidP="00E014DF">
            <w:pPr>
              <w:spacing w:before="0" w:after="160" w:line="259" w:lineRule="auto"/>
              <w:jc w:val="center"/>
              <w:rPr>
                <w:rFonts w:asciiTheme="minorHAnsi" w:eastAsia="Times New Roman" w:hAnsiTheme="minorHAnsi" w:cstheme="minorHAnsi"/>
                <w:b/>
                <w:iCs/>
                <w:noProof/>
                <w:sz w:val="18"/>
                <w:szCs w:val="22"/>
                <w:highlight w:val="green"/>
                <w:lang w:eastAsia="en-US" w:bidi="ar-SA"/>
              </w:rPr>
            </w:pPr>
            <w:r w:rsidRPr="00890249">
              <w:rPr>
                <w:rFonts w:asciiTheme="minorHAnsi" w:hAnsiTheme="minorHAnsi" w:cstheme="minorHAnsi"/>
                <w:noProof/>
                <w:sz w:val="18"/>
              </w:rPr>
              <w:t>słabiej rozwinięte</w:t>
            </w:r>
          </w:p>
        </w:tc>
        <w:tc>
          <w:tcPr>
            <w:tcW w:w="1628" w:type="dxa"/>
            <w:shd w:val="clear" w:color="auto" w:fill="auto"/>
            <w:vAlign w:val="center"/>
          </w:tcPr>
          <w:p w14:paraId="7501CC8E" w14:textId="77777777" w:rsidR="00304F40" w:rsidRPr="00890249" w:rsidRDefault="0088418A" w:rsidP="0088418A">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(g)</w:t>
            </w:r>
          </w:p>
        </w:tc>
        <w:tc>
          <w:tcPr>
            <w:tcW w:w="1026" w:type="dxa"/>
            <w:shd w:val="clear" w:color="auto" w:fill="auto"/>
            <w:vAlign w:val="center"/>
          </w:tcPr>
          <w:p w14:paraId="611160CB" w14:textId="77777777" w:rsidR="00304F40" w:rsidRPr="00890249" w:rsidRDefault="0088418A" w:rsidP="0088418A">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E96A7D"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2323" w:type="dxa"/>
            <w:shd w:val="clear" w:color="auto" w:fill="auto"/>
            <w:vAlign w:val="center"/>
          </w:tcPr>
          <w:p w14:paraId="72BB2A3A" w14:textId="4A675369" w:rsidR="00304F40" w:rsidRPr="00890249" w:rsidRDefault="005E33B6" w:rsidP="006D50FE">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15 620 000</w:t>
            </w:r>
          </w:p>
        </w:tc>
      </w:tr>
    </w:tbl>
    <w:p w14:paraId="437C72DE" w14:textId="77777777" w:rsidR="006C36DF" w:rsidRPr="00890249" w:rsidRDefault="005F3F05" w:rsidP="00AB4962">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184F941B" w14:textId="77777777" w:rsidR="004163B1" w:rsidRPr="00890249" w:rsidRDefault="004163B1" w:rsidP="00AC1BD0">
      <w:pPr>
        <w:pStyle w:val="Nagwek3"/>
        <w:rPr>
          <w:rFonts w:eastAsia="Calibri"/>
        </w:rPr>
      </w:pPr>
      <w:bookmarkStart w:id="18" w:name="_Toc188266913"/>
      <w:r w:rsidRPr="00890249">
        <w:rPr>
          <w:rFonts w:eastAsia="Calibri"/>
        </w:rPr>
        <w:lastRenderedPageBreak/>
        <w:t>2.</w:t>
      </w:r>
      <w:r w:rsidR="00C65A91" w:rsidRPr="00890249">
        <w:rPr>
          <w:rFonts w:eastAsia="Calibri"/>
        </w:rPr>
        <w:t>1.</w:t>
      </w:r>
      <w:r w:rsidRPr="00890249">
        <w:rPr>
          <w:rFonts w:eastAsia="Calibri"/>
        </w:rPr>
        <w:t>6 FUNDUSZE EUROPEJSKIE WSPIERAJĄCE WŁĄCZENIE SPOŁECZNE W OPOLSKIM</w:t>
      </w:r>
      <w:bookmarkEnd w:id="18"/>
    </w:p>
    <w:tbl>
      <w:tblPr>
        <w:tblW w:w="9322" w:type="dxa"/>
        <w:tblLook w:val="04A0" w:firstRow="1" w:lastRow="0" w:firstColumn="1" w:lastColumn="0" w:noHBand="0" w:noVBand="1"/>
      </w:tblPr>
      <w:tblGrid>
        <w:gridCol w:w="9322"/>
      </w:tblGrid>
      <w:tr w:rsidR="004163B1" w:rsidRPr="00890249" w14:paraId="2EF01D13" w14:textId="77777777" w:rsidTr="004163B1">
        <w:tc>
          <w:tcPr>
            <w:tcW w:w="9322" w:type="dxa"/>
          </w:tcPr>
          <w:p w14:paraId="3FF18109" w14:textId="77777777" w:rsidR="004163B1" w:rsidRPr="00890249" w:rsidRDefault="00875C92" w:rsidP="004163B1">
            <w:pPr>
              <w:pStyle w:val="Text3"/>
              <w:spacing w:before="0" w:after="0"/>
              <w:ind w:left="0"/>
              <w:jc w:val="left"/>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
                  <w:enabled/>
                  <w:calcOnExit w:val="0"/>
                  <w:checkBox>
                    <w:sizeAuto/>
                    <w:default w:val="1"/>
                  </w:checkBox>
                </w:ffData>
              </w:fldChar>
            </w:r>
            <w:r w:rsidR="004163B1"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4163B1" w:rsidRPr="00890249">
              <w:rPr>
                <w:rFonts w:asciiTheme="minorHAnsi" w:hAnsiTheme="minorHAnsi" w:cstheme="minorHAnsi"/>
                <w:noProof/>
                <w:sz w:val="20"/>
              </w:rPr>
              <w:t xml:space="preserve"> Ten priorytet dotyczy zatrudnienia ludzi młodych</w:t>
            </w:r>
          </w:p>
        </w:tc>
      </w:tr>
      <w:tr w:rsidR="004163B1" w:rsidRPr="00890249" w14:paraId="02AF6DF2" w14:textId="77777777" w:rsidTr="004163B1">
        <w:tc>
          <w:tcPr>
            <w:tcW w:w="9322" w:type="dxa"/>
          </w:tcPr>
          <w:p w14:paraId="4C981D78" w14:textId="77777777" w:rsidR="004163B1" w:rsidRPr="00890249" w:rsidRDefault="00875C92" w:rsidP="004163B1">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4163B1"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4163B1" w:rsidRPr="00890249">
              <w:rPr>
                <w:rFonts w:asciiTheme="minorHAnsi" w:hAnsiTheme="minorHAnsi" w:cstheme="minorHAnsi"/>
                <w:noProof/>
                <w:sz w:val="20"/>
              </w:rPr>
              <w:t xml:space="preserve"> Ten priorytet dotyczy inowacyjnych działań społecznych</w:t>
            </w:r>
          </w:p>
        </w:tc>
      </w:tr>
      <w:tr w:rsidR="004163B1" w:rsidRPr="00890249" w14:paraId="34FE4466" w14:textId="77777777" w:rsidTr="004163B1">
        <w:tc>
          <w:tcPr>
            <w:tcW w:w="9322" w:type="dxa"/>
          </w:tcPr>
          <w:p w14:paraId="1F199F3A" w14:textId="77777777" w:rsidR="004163B1" w:rsidRPr="00890249" w:rsidRDefault="00875C92" w:rsidP="004163B1">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4163B1"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4163B1" w:rsidRPr="00890249">
              <w:rPr>
                <w:rFonts w:asciiTheme="minorHAnsi" w:hAnsiTheme="minorHAnsi" w:cstheme="minorHAnsi"/>
                <w:noProof/>
                <w:sz w:val="20"/>
              </w:rPr>
              <w:t xml:space="preserve"> Ten priorytet dotyczy wsparcia dla osób najbardziej potrzebujacych w ramach celu szczegółowego określonego w art. 4 ust. 1 lit. m) rozporządzenia w sprawie EFS+</w:t>
            </w:r>
          </w:p>
        </w:tc>
      </w:tr>
      <w:tr w:rsidR="004163B1" w:rsidRPr="00890249" w14:paraId="69A3FF4E" w14:textId="77777777" w:rsidTr="004163B1">
        <w:tc>
          <w:tcPr>
            <w:tcW w:w="9322" w:type="dxa"/>
          </w:tcPr>
          <w:p w14:paraId="1992BCBF" w14:textId="77777777" w:rsidR="004163B1" w:rsidRPr="00890249" w:rsidRDefault="00875C92" w:rsidP="004163B1">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4163B1"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4163B1"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2D5FAE00" w14:textId="77777777" w:rsidR="004163B1" w:rsidRPr="00890249" w:rsidRDefault="00875C92" w:rsidP="004163B1">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4163B1"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4163B1"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4AA2FBD5" w14:textId="77777777" w:rsidR="004163B1" w:rsidRPr="00890249" w:rsidRDefault="00875C92" w:rsidP="004163B1">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4163B1"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4163B1"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799A5B8D" w14:textId="77777777" w:rsidR="00D42DA4" w:rsidRPr="00890249" w:rsidRDefault="00D42DA4" w:rsidP="00D42DA4">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t>2.1.6.1 (h) Cel szczegółowy</w:t>
      </w:r>
    </w:p>
    <w:p w14:paraId="31B72B2E" w14:textId="77777777" w:rsidR="00D42DA4" w:rsidRPr="00890249" w:rsidRDefault="00D42DA4" w:rsidP="00D42DA4">
      <w:pPr>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 xml:space="preserve">(h) Wspieranie aktywnego włączenia społecznego, w celu promowania równości szans, niedyskryminacji i aktywnego uczestnictwa, oraz zwiększanie zdolności do zatrudnienia, w szczególności grup w niekorzystnej sytuacji </w:t>
      </w:r>
    </w:p>
    <w:p w14:paraId="5B006065" w14:textId="77777777" w:rsidR="00D42DA4" w:rsidRPr="00890249" w:rsidRDefault="00D42DA4" w:rsidP="00D42DA4">
      <w:pPr>
        <w:spacing w:before="240" w:after="240"/>
        <w:rPr>
          <w:rFonts w:asciiTheme="minorHAnsi" w:hAnsiTheme="minorHAnsi" w:cstheme="minorHAnsi"/>
          <w:b/>
          <w:noProof/>
          <w:sz w:val="22"/>
        </w:rPr>
      </w:pPr>
      <w:r w:rsidRPr="00890249">
        <w:rPr>
          <w:rFonts w:asciiTheme="minorHAnsi" w:hAnsiTheme="minorHAnsi" w:cstheme="minorHAnsi"/>
          <w:b/>
          <w:noProof/>
          <w:sz w:val="22"/>
        </w:rPr>
        <w:t>2.1.6.1.1 (h) Interwencje w ramach funduszy</w:t>
      </w:r>
    </w:p>
    <w:p w14:paraId="387EF6FB" w14:textId="77777777" w:rsidR="00D42DA4" w:rsidRPr="00890249" w:rsidRDefault="00D42DA4" w:rsidP="00D42DA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697B72A5" w14:textId="2574EFB5" w:rsidR="0093433C" w:rsidRPr="00890249" w:rsidRDefault="3025D15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Pandemia </w:t>
      </w:r>
      <w:r w:rsidR="00392DDC" w:rsidRPr="00890249">
        <w:rPr>
          <w:rFonts w:asciiTheme="minorHAnsi" w:hAnsiTheme="minorHAnsi" w:cstheme="minorHAnsi"/>
          <w:sz w:val="22"/>
          <w:szCs w:val="22"/>
          <w:lang w:eastAsia="en-US" w:bidi="ar-SA"/>
        </w:rPr>
        <w:t xml:space="preserve">COVID-19 </w:t>
      </w:r>
      <w:r w:rsidR="0AD9CB38" w:rsidRPr="00890249">
        <w:rPr>
          <w:rFonts w:asciiTheme="minorHAnsi" w:hAnsiTheme="minorHAnsi" w:cstheme="minorHAnsi"/>
          <w:sz w:val="22"/>
          <w:szCs w:val="22"/>
          <w:lang w:eastAsia="en-US" w:bidi="ar-SA"/>
        </w:rPr>
        <w:t>wpły</w:t>
      </w:r>
      <w:r w:rsidRPr="00890249">
        <w:rPr>
          <w:rFonts w:asciiTheme="minorHAnsi" w:hAnsiTheme="minorHAnsi" w:cstheme="minorHAnsi"/>
          <w:sz w:val="22"/>
          <w:szCs w:val="22"/>
          <w:lang w:eastAsia="en-US" w:bidi="ar-SA"/>
        </w:rPr>
        <w:t>wa</w:t>
      </w:r>
      <w:r w:rsidR="0AD9CB38" w:rsidRPr="00890249">
        <w:rPr>
          <w:rFonts w:asciiTheme="minorHAnsi" w:hAnsiTheme="minorHAnsi" w:cstheme="minorHAnsi"/>
          <w:sz w:val="22"/>
          <w:szCs w:val="22"/>
          <w:lang w:eastAsia="en-US" w:bidi="ar-SA"/>
        </w:rPr>
        <w:t xml:space="preserve"> na zmianę sytuacji ekonomicznej</w:t>
      </w:r>
      <w:r w:rsidRPr="00890249">
        <w:rPr>
          <w:rFonts w:asciiTheme="minorHAnsi" w:hAnsiTheme="minorHAnsi" w:cstheme="minorHAnsi"/>
          <w:sz w:val="22"/>
          <w:szCs w:val="22"/>
          <w:lang w:eastAsia="en-US" w:bidi="ar-SA"/>
        </w:rPr>
        <w:t xml:space="preserve"> w regionie, która z kolei może przełożyć się na pogłębienie </w:t>
      </w:r>
      <w:r w:rsidR="0AD9CB38" w:rsidRPr="00890249">
        <w:rPr>
          <w:rFonts w:asciiTheme="minorHAnsi" w:hAnsiTheme="minorHAnsi" w:cstheme="minorHAnsi"/>
          <w:sz w:val="22"/>
          <w:szCs w:val="22"/>
          <w:lang w:eastAsia="en-US" w:bidi="ar-SA"/>
        </w:rPr>
        <w:t>dysproporcj</w:t>
      </w:r>
      <w:r w:rsidR="2165D7B8" w:rsidRPr="00890249">
        <w:rPr>
          <w:rFonts w:asciiTheme="minorHAnsi" w:hAnsiTheme="minorHAnsi" w:cstheme="minorHAnsi"/>
          <w:sz w:val="22"/>
          <w:szCs w:val="22"/>
          <w:lang w:eastAsia="en-US" w:bidi="ar-SA"/>
        </w:rPr>
        <w:t>i</w:t>
      </w:r>
      <w:r w:rsidR="0AD9CB38" w:rsidRPr="00890249">
        <w:rPr>
          <w:rFonts w:asciiTheme="minorHAnsi" w:hAnsiTheme="minorHAnsi" w:cstheme="minorHAnsi"/>
          <w:sz w:val="22"/>
          <w:szCs w:val="22"/>
          <w:lang w:eastAsia="en-US" w:bidi="ar-SA"/>
        </w:rPr>
        <w:t xml:space="preserve"> w poziomie życia p</w:t>
      </w:r>
      <w:r w:rsidR="00AF78BC">
        <w:rPr>
          <w:rFonts w:asciiTheme="minorHAnsi" w:hAnsiTheme="minorHAnsi" w:cstheme="minorHAnsi"/>
          <w:sz w:val="22"/>
          <w:szCs w:val="22"/>
          <w:lang w:eastAsia="en-US" w:bidi="ar-SA"/>
        </w:rPr>
        <w:t xml:space="preserve">oszczególnych grup społecznych. </w:t>
      </w:r>
      <w:r w:rsidR="0AD9CB38" w:rsidRPr="00890249">
        <w:rPr>
          <w:rFonts w:asciiTheme="minorHAnsi" w:hAnsiTheme="minorHAnsi" w:cstheme="minorHAnsi"/>
          <w:sz w:val="22"/>
          <w:szCs w:val="22"/>
          <w:lang w:eastAsia="en-US" w:bidi="ar-SA"/>
        </w:rPr>
        <w:t xml:space="preserve">87% osób uważa, że różnice dochodowe w Polsce są zbyt duże, a jako preferowane formy pomocy skierowanej do osób </w:t>
      </w:r>
      <w:r w:rsidR="48D68ACE" w:rsidRPr="00890249">
        <w:rPr>
          <w:rFonts w:asciiTheme="minorHAnsi" w:hAnsiTheme="minorHAnsi" w:cstheme="minorHAnsi"/>
          <w:sz w:val="22"/>
          <w:szCs w:val="22"/>
          <w:lang w:eastAsia="en-US" w:bidi="ar-SA"/>
        </w:rPr>
        <w:t>ubogich wskazuje m.in.: pomoc w </w:t>
      </w:r>
      <w:r w:rsidR="0AD9CB38" w:rsidRPr="00890249">
        <w:rPr>
          <w:rFonts w:asciiTheme="minorHAnsi" w:hAnsiTheme="minorHAnsi" w:cstheme="minorHAnsi"/>
          <w:sz w:val="22"/>
          <w:szCs w:val="22"/>
          <w:lang w:eastAsia="en-US" w:bidi="ar-SA"/>
        </w:rPr>
        <w:t>znalezieniu pracy</w:t>
      </w:r>
      <w:r w:rsidR="0072457F" w:rsidRPr="00890249">
        <w:rPr>
          <w:rStyle w:val="Odwoanieprzypisudolnego"/>
          <w:rFonts w:asciiTheme="minorHAnsi" w:hAnsiTheme="minorHAnsi" w:cstheme="minorHAnsi"/>
          <w:sz w:val="22"/>
          <w:szCs w:val="22"/>
          <w:lang w:eastAsia="en-US" w:bidi="ar-SA"/>
        </w:rPr>
        <w:footnoteReference w:id="182"/>
      </w:r>
      <w:r w:rsidR="0AD9CB38" w:rsidRPr="00890249">
        <w:rPr>
          <w:rFonts w:asciiTheme="minorHAnsi" w:hAnsiTheme="minorHAnsi" w:cstheme="minorHAnsi"/>
          <w:sz w:val="22"/>
          <w:szCs w:val="22"/>
          <w:lang w:eastAsia="en-US" w:bidi="ar-SA"/>
        </w:rPr>
        <w:t xml:space="preserve">. Przyczyn dyskryminacji doświadczają </w:t>
      </w:r>
      <w:r w:rsidR="48D68ACE" w:rsidRPr="00890249">
        <w:rPr>
          <w:rFonts w:asciiTheme="minorHAnsi" w:hAnsiTheme="minorHAnsi" w:cstheme="minorHAnsi"/>
          <w:sz w:val="22"/>
          <w:szCs w:val="22"/>
          <w:lang w:eastAsia="en-US" w:bidi="ar-SA"/>
        </w:rPr>
        <w:t>przede wszystkim osoby chore, z </w:t>
      </w:r>
      <w:r w:rsidR="0AD9CB38" w:rsidRPr="00890249">
        <w:rPr>
          <w:rFonts w:asciiTheme="minorHAnsi" w:hAnsiTheme="minorHAnsi" w:cstheme="minorHAnsi"/>
          <w:sz w:val="22"/>
          <w:szCs w:val="22"/>
          <w:lang w:eastAsia="en-US" w:bidi="ar-SA"/>
        </w:rPr>
        <w:t>niepełnosprawnościami, mieszkańcy obszarów charakteryzujących się najgorszymi wskaźnikami rozwoju społeczno-gospodarczego i związanymi z</w:t>
      </w:r>
      <w:r w:rsidR="13208E1E" w:rsidRPr="00890249">
        <w:rPr>
          <w:rFonts w:asciiTheme="minorHAnsi" w:hAnsiTheme="minorHAnsi" w:cstheme="minorHAnsi"/>
          <w:sz w:val="22"/>
          <w:szCs w:val="22"/>
          <w:lang w:eastAsia="en-US" w:bidi="ar-SA"/>
        </w:rPr>
        <w:t> </w:t>
      </w:r>
      <w:r w:rsidR="0AD9CB38" w:rsidRPr="00890249">
        <w:rPr>
          <w:rFonts w:asciiTheme="minorHAnsi" w:hAnsiTheme="minorHAnsi" w:cstheme="minorHAnsi"/>
          <w:sz w:val="22"/>
          <w:szCs w:val="22"/>
          <w:lang w:eastAsia="en-US" w:bidi="ar-SA"/>
        </w:rPr>
        <w:t>tym bezrobociem i ubóstwem. Niekorzystne uwarunkowania określonych obszarów województwa potwierdza wskaźnik deprywacji lokalnej, który w przypadku niektórych powiatów / gmin spada bardzo powoli</w:t>
      </w:r>
      <w:r w:rsidR="2E98501B" w:rsidRPr="00890249">
        <w:rPr>
          <w:rFonts w:asciiTheme="minorHAnsi" w:hAnsiTheme="minorHAnsi" w:cstheme="minorHAnsi"/>
          <w:sz w:val="22"/>
          <w:szCs w:val="22"/>
          <w:lang w:eastAsia="en-US" w:bidi="ar-SA"/>
        </w:rPr>
        <w:t xml:space="preserve">, a </w:t>
      </w:r>
      <w:r w:rsidR="467963B2" w:rsidRPr="00890249">
        <w:rPr>
          <w:rFonts w:asciiTheme="minorHAnsi" w:hAnsiTheme="minorHAnsi" w:cstheme="minorHAnsi"/>
          <w:sz w:val="22"/>
          <w:szCs w:val="22"/>
          <w:lang w:eastAsia="en-US" w:bidi="ar-SA"/>
        </w:rPr>
        <w:t xml:space="preserve">trend ten może zahamować </w:t>
      </w:r>
      <w:r w:rsidR="2E98501B" w:rsidRPr="00890249">
        <w:rPr>
          <w:rFonts w:asciiTheme="minorHAnsi" w:hAnsiTheme="minorHAnsi" w:cstheme="minorHAnsi"/>
          <w:sz w:val="22"/>
          <w:szCs w:val="22"/>
          <w:lang w:eastAsia="en-US" w:bidi="ar-SA"/>
        </w:rPr>
        <w:t xml:space="preserve">dodatkowo </w:t>
      </w:r>
      <w:r w:rsidR="467963B2" w:rsidRPr="00890249">
        <w:rPr>
          <w:rFonts w:asciiTheme="minorHAnsi" w:hAnsiTheme="minorHAnsi" w:cstheme="minorHAnsi"/>
          <w:sz w:val="22"/>
          <w:szCs w:val="22"/>
          <w:lang w:eastAsia="en-US" w:bidi="ar-SA"/>
        </w:rPr>
        <w:t xml:space="preserve">pandemia </w:t>
      </w:r>
      <w:r w:rsidR="00392DDC" w:rsidRPr="00890249">
        <w:rPr>
          <w:rFonts w:asciiTheme="minorHAnsi" w:hAnsiTheme="minorHAnsi" w:cstheme="minorHAnsi"/>
          <w:sz w:val="22"/>
          <w:szCs w:val="22"/>
          <w:lang w:eastAsia="en-US" w:bidi="ar-SA"/>
        </w:rPr>
        <w:t>COVID-19</w:t>
      </w:r>
      <w:r w:rsidR="467963B2" w:rsidRPr="00890249">
        <w:rPr>
          <w:rFonts w:asciiTheme="minorHAnsi" w:hAnsiTheme="minorHAnsi" w:cstheme="minorHAnsi"/>
          <w:sz w:val="22"/>
          <w:szCs w:val="22"/>
          <w:lang w:eastAsia="en-US" w:bidi="ar-SA"/>
        </w:rPr>
        <w:t xml:space="preserve">. </w:t>
      </w:r>
      <w:r w:rsidR="00AF78BC">
        <w:rPr>
          <w:rFonts w:asciiTheme="minorHAnsi" w:hAnsiTheme="minorHAnsi" w:cstheme="minorHAnsi"/>
          <w:sz w:val="22"/>
          <w:szCs w:val="22"/>
          <w:lang w:eastAsia="en-US" w:bidi="ar-SA"/>
        </w:rPr>
        <w:t xml:space="preserve"> </w:t>
      </w:r>
      <w:r w:rsidR="0AD9CB38" w:rsidRPr="00890249">
        <w:rPr>
          <w:rFonts w:asciiTheme="minorHAnsi" w:hAnsiTheme="minorHAnsi" w:cstheme="minorHAnsi"/>
          <w:sz w:val="22"/>
          <w:szCs w:val="22"/>
          <w:lang w:eastAsia="en-US" w:bidi="ar-SA"/>
        </w:rPr>
        <w:t>Jednocześnie w</w:t>
      </w:r>
      <w:r w:rsidR="13208E1E" w:rsidRPr="00890249">
        <w:rPr>
          <w:rFonts w:asciiTheme="minorHAnsi" w:hAnsiTheme="minorHAnsi" w:cstheme="minorHAnsi"/>
          <w:sz w:val="22"/>
          <w:szCs w:val="22"/>
          <w:lang w:eastAsia="en-US" w:bidi="ar-SA"/>
        </w:rPr>
        <w:t> </w:t>
      </w:r>
      <w:r w:rsidR="0AD9CB38" w:rsidRPr="00890249">
        <w:rPr>
          <w:rFonts w:asciiTheme="minorHAnsi" w:hAnsiTheme="minorHAnsi" w:cstheme="minorHAnsi"/>
          <w:sz w:val="22"/>
          <w:szCs w:val="22"/>
          <w:lang w:eastAsia="en-US" w:bidi="ar-SA"/>
        </w:rPr>
        <w:t>201</w:t>
      </w:r>
      <w:r w:rsidR="0F843697" w:rsidRPr="00890249">
        <w:rPr>
          <w:rFonts w:asciiTheme="minorHAnsi" w:hAnsiTheme="minorHAnsi" w:cstheme="minorHAnsi"/>
          <w:sz w:val="22"/>
          <w:szCs w:val="22"/>
          <w:lang w:eastAsia="en-US" w:bidi="ar-SA"/>
        </w:rPr>
        <w:t>9</w:t>
      </w:r>
      <w:r w:rsidR="0AD9CB38" w:rsidRPr="00890249">
        <w:rPr>
          <w:rFonts w:asciiTheme="minorHAnsi" w:hAnsiTheme="minorHAnsi" w:cstheme="minorHAnsi"/>
          <w:sz w:val="22"/>
          <w:szCs w:val="22"/>
          <w:lang w:eastAsia="en-US" w:bidi="ar-SA"/>
        </w:rPr>
        <w:t xml:space="preserve">r. najważniejszymi powodami udzielania pomocy społecznej były: </w:t>
      </w:r>
      <w:r w:rsidR="4F9031DF" w:rsidRPr="00890249">
        <w:rPr>
          <w:rFonts w:asciiTheme="minorHAnsi" w:hAnsiTheme="minorHAnsi" w:cstheme="minorHAnsi"/>
          <w:sz w:val="22"/>
          <w:szCs w:val="22"/>
          <w:lang w:eastAsia="en-US" w:bidi="ar-SA"/>
        </w:rPr>
        <w:t>ubóstwo,</w:t>
      </w:r>
      <w:r w:rsidR="113C62A7" w:rsidRPr="00890249">
        <w:rPr>
          <w:rFonts w:asciiTheme="minorHAnsi" w:hAnsiTheme="minorHAnsi" w:cstheme="minorHAnsi"/>
          <w:sz w:val="22"/>
          <w:szCs w:val="22"/>
          <w:lang w:eastAsia="en-US" w:bidi="ar-SA"/>
        </w:rPr>
        <w:t xml:space="preserve"> </w:t>
      </w:r>
      <w:r w:rsidR="0AD9CB38" w:rsidRPr="00890249">
        <w:rPr>
          <w:rFonts w:asciiTheme="minorHAnsi" w:hAnsiTheme="minorHAnsi" w:cstheme="minorHAnsi"/>
          <w:sz w:val="22"/>
          <w:szCs w:val="22"/>
          <w:lang w:eastAsia="en-US" w:bidi="ar-SA"/>
        </w:rPr>
        <w:t xml:space="preserve">bezrobocie, </w:t>
      </w:r>
      <w:r w:rsidR="4F9031DF" w:rsidRPr="00890249">
        <w:rPr>
          <w:rFonts w:asciiTheme="minorHAnsi" w:hAnsiTheme="minorHAnsi" w:cstheme="minorHAnsi"/>
          <w:sz w:val="22"/>
          <w:szCs w:val="22"/>
          <w:lang w:eastAsia="en-US" w:bidi="ar-SA"/>
        </w:rPr>
        <w:t>niepełnosprawność</w:t>
      </w:r>
      <w:r w:rsidR="113C62A7" w:rsidRPr="00890249">
        <w:rPr>
          <w:rFonts w:asciiTheme="minorHAnsi" w:hAnsiTheme="minorHAnsi" w:cstheme="minorHAnsi"/>
          <w:sz w:val="22"/>
          <w:szCs w:val="22"/>
          <w:lang w:eastAsia="en-US" w:bidi="ar-SA"/>
        </w:rPr>
        <w:t xml:space="preserve"> </w:t>
      </w:r>
      <w:r w:rsidR="4F9031DF" w:rsidRPr="00890249">
        <w:rPr>
          <w:rFonts w:asciiTheme="minorHAnsi" w:hAnsiTheme="minorHAnsi" w:cstheme="minorHAnsi"/>
          <w:sz w:val="22"/>
          <w:szCs w:val="22"/>
          <w:lang w:eastAsia="en-US" w:bidi="ar-SA"/>
        </w:rPr>
        <w:t xml:space="preserve">oraz </w:t>
      </w:r>
      <w:r w:rsidR="0AD9CB38" w:rsidRPr="00890249">
        <w:rPr>
          <w:rFonts w:asciiTheme="minorHAnsi" w:hAnsiTheme="minorHAnsi" w:cstheme="minorHAnsi"/>
          <w:sz w:val="22"/>
          <w:szCs w:val="22"/>
          <w:lang w:eastAsia="en-US" w:bidi="ar-SA"/>
        </w:rPr>
        <w:t>długotrwała</w:t>
      </w:r>
      <w:r w:rsidR="4F9031DF" w:rsidRPr="00890249">
        <w:rPr>
          <w:rFonts w:asciiTheme="minorHAnsi" w:hAnsiTheme="minorHAnsi" w:cstheme="minorHAnsi"/>
          <w:sz w:val="22"/>
          <w:szCs w:val="22"/>
          <w:lang w:eastAsia="en-US" w:bidi="ar-SA"/>
        </w:rPr>
        <w:t xml:space="preserve"> choroba. </w:t>
      </w:r>
      <w:r w:rsidR="0AD9CB38" w:rsidRPr="00890249">
        <w:rPr>
          <w:rFonts w:asciiTheme="minorHAnsi" w:hAnsiTheme="minorHAnsi" w:cstheme="minorHAnsi"/>
          <w:sz w:val="22"/>
          <w:szCs w:val="22"/>
          <w:lang w:eastAsia="en-US" w:bidi="ar-SA"/>
        </w:rPr>
        <w:t>W 201</w:t>
      </w:r>
      <w:r w:rsidR="183CEE17" w:rsidRPr="00890249">
        <w:rPr>
          <w:rFonts w:asciiTheme="minorHAnsi" w:hAnsiTheme="minorHAnsi" w:cstheme="minorHAnsi"/>
          <w:sz w:val="22"/>
          <w:szCs w:val="22"/>
          <w:lang w:eastAsia="en-US" w:bidi="ar-SA"/>
        </w:rPr>
        <w:t>9</w:t>
      </w:r>
      <w:r w:rsidR="0AD9CB38" w:rsidRPr="00890249">
        <w:rPr>
          <w:rFonts w:asciiTheme="minorHAnsi" w:hAnsiTheme="minorHAnsi" w:cstheme="minorHAnsi"/>
          <w:sz w:val="22"/>
          <w:szCs w:val="22"/>
          <w:lang w:eastAsia="en-US" w:bidi="ar-SA"/>
        </w:rPr>
        <w:t xml:space="preserve"> r., podobnie jak rok wcześniej, długotrwale korzystający ze świadczeń pomocy społecznej stanowili prawie 2/3 ogółu klientów (</w:t>
      </w:r>
      <w:r w:rsidR="467963B2" w:rsidRPr="00890249">
        <w:rPr>
          <w:rFonts w:asciiTheme="minorHAnsi" w:hAnsiTheme="minorHAnsi" w:cstheme="minorHAnsi"/>
          <w:sz w:val="22"/>
          <w:szCs w:val="22"/>
          <w:lang w:eastAsia="en-US" w:bidi="ar-SA"/>
        </w:rPr>
        <w:t>57,9</w:t>
      </w:r>
      <w:r w:rsidR="0AD9CB38" w:rsidRPr="00890249">
        <w:rPr>
          <w:rFonts w:asciiTheme="minorHAnsi" w:hAnsiTheme="minorHAnsi" w:cstheme="minorHAnsi"/>
          <w:sz w:val="22"/>
          <w:szCs w:val="22"/>
          <w:lang w:eastAsia="en-US" w:bidi="ar-SA"/>
        </w:rPr>
        <w:t>%)</w:t>
      </w:r>
      <w:r w:rsidR="00776A19" w:rsidRPr="00890249">
        <w:rPr>
          <w:rStyle w:val="Odwoanieprzypisudolnego"/>
          <w:rFonts w:asciiTheme="minorHAnsi" w:hAnsiTheme="minorHAnsi" w:cstheme="minorHAnsi"/>
          <w:sz w:val="22"/>
          <w:szCs w:val="22"/>
          <w:lang w:eastAsia="en-US" w:bidi="ar-SA"/>
        </w:rPr>
        <w:footnoteReference w:id="183"/>
      </w:r>
      <w:r w:rsidR="0AD9CB38" w:rsidRPr="00890249">
        <w:rPr>
          <w:rFonts w:asciiTheme="minorHAnsi" w:hAnsiTheme="minorHAnsi" w:cstheme="minorHAnsi"/>
          <w:sz w:val="22"/>
          <w:szCs w:val="22"/>
          <w:lang w:eastAsia="en-US" w:bidi="ar-SA"/>
        </w:rPr>
        <w:t xml:space="preserve">. </w:t>
      </w:r>
    </w:p>
    <w:p w14:paraId="12C484C6" w14:textId="12C6226A" w:rsidR="0093433C" w:rsidRPr="00890249" w:rsidRDefault="00D6488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N</w:t>
      </w:r>
      <w:r w:rsidR="001B1466" w:rsidRPr="00890249">
        <w:rPr>
          <w:rFonts w:asciiTheme="minorHAnsi" w:hAnsiTheme="minorHAnsi" w:cstheme="minorHAnsi"/>
          <w:sz w:val="22"/>
          <w:szCs w:val="22"/>
          <w:lang w:eastAsia="en-US" w:bidi="ar-SA"/>
        </w:rPr>
        <w:t xml:space="preserve">ieodzowne staje się </w:t>
      </w:r>
      <w:r w:rsidRPr="00890249">
        <w:rPr>
          <w:rFonts w:asciiTheme="minorHAnsi" w:hAnsiTheme="minorHAnsi" w:cstheme="minorHAnsi"/>
          <w:sz w:val="22"/>
          <w:szCs w:val="22"/>
          <w:lang w:eastAsia="en-US" w:bidi="ar-SA"/>
        </w:rPr>
        <w:t xml:space="preserve">więc </w:t>
      </w:r>
      <w:r w:rsidR="001B1466" w:rsidRPr="00890249">
        <w:rPr>
          <w:rFonts w:asciiTheme="minorHAnsi" w:hAnsiTheme="minorHAnsi" w:cstheme="minorHAnsi"/>
          <w:sz w:val="22"/>
          <w:szCs w:val="22"/>
          <w:lang w:eastAsia="en-US" w:bidi="ar-SA"/>
        </w:rPr>
        <w:t>zintensyfikowanie działań o charakterze aktywizacji społeczno</w:t>
      </w:r>
      <w:r w:rsidR="00AF78BC">
        <w:rPr>
          <w:rFonts w:asciiTheme="minorHAnsi" w:hAnsiTheme="minorHAnsi" w:cstheme="minorHAnsi"/>
          <w:sz w:val="22"/>
          <w:szCs w:val="22"/>
          <w:lang w:eastAsia="en-US" w:bidi="ar-SA"/>
        </w:rPr>
        <w:t>-</w:t>
      </w:r>
      <w:r w:rsidR="001B1466" w:rsidRPr="00890249">
        <w:rPr>
          <w:rFonts w:asciiTheme="minorHAnsi" w:hAnsiTheme="minorHAnsi" w:cstheme="minorHAnsi"/>
          <w:sz w:val="22"/>
          <w:szCs w:val="22"/>
          <w:lang w:eastAsia="en-US" w:bidi="ar-SA"/>
        </w:rPr>
        <w:t xml:space="preserve">zawodowej skierowanych </w:t>
      </w:r>
      <w:r w:rsidR="00291AB6" w:rsidRPr="00890249">
        <w:rPr>
          <w:rFonts w:asciiTheme="minorHAnsi" w:hAnsiTheme="minorHAnsi" w:cstheme="minorHAnsi"/>
          <w:sz w:val="22"/>
          <w:szCs w:val="22"/>
          <w:lang w:eastAsia="en-US" w:bidi="ar-SA"/>
        </w:rPr>
        <w:t>zarówno do osób biernych zawodowo</w:t>
      </w:r>
      <w:r w:rsidR="000A6061" w:rsidRPr="00890249">
        <w:rPr>
          <w:rFonts w:asciiTheme="minorHAnsi" w:hAnsiTheme="minorHAnsi" w:cstheme="minorHAnsi"/>
          <w:sz w:val="22"/>
          <w:szCs w:val="22"/>
          <w:lang w:eastAsia="en-US" w:bidi="ar-SA"/>
        </w:rPr>
        <w:t>,</w:t>
      </w:r>
      <w:r w:rsidR="00291AB6" w:rsidRPr="00890249">
        <w:rPr>
          <w:rFonts w:asciiTheme="minorHAnsi" w:hAnsiTheme="minorHAnsi" w:cstheme="minorHAnsi"/>
          <w:sz w:val="22"/>
          <w:szCs w:val="22"/>
          <w:lang w:eastAsia="en-US" w:bidi="ar-SA"/>
        </w:rPr>
        <w:t xml:space="preserve"> jak i </w:t>
      </w:r>
      <w:r w:rsidR="001B1466" w:rsidRPr="00890249">
        <w:rPr>
          <w:rFonts w:asciiTheme="minorHAnsi" w:hAnsiTheme="minorHAnsi" w:cstheme="minorHAnsi"/>
          <w:sz w:val="22"/>
          <w:szCs w:val="22"/>
          <w:lang w:eastAsia="en-US" w:bidi="ar-SA"/>
        </w:rPr>
        <w:t>osób dotkniętych wykluczeniem społecznym</w:t>
      </w:r>
      <w:r w:rsidR="00B56914" w:rsidRPr="00890249">
        <w:rPr>
          <w:rFonts w:asciiTheme="minorHAnsi" w:hAnsiTheme="minorHAnsi" w:cstheme="minorHAnsi"/>
          <w:sz w:val="22"/>
          <w:szCs w:val="22"/>
          <w:lang w:eastAsia="en-US" w:bidi="ar-SA"/>
        </w:rPr>
        <w:t>, zwłaszcza</w:t>
      </w:r>
      <w:r w:rsidR="00291AB6" w:rsidRPr="00890249">
        <w:rPr>
          <w:rFonts w:asciiTheme="minorHAnsi" w:hAnsiTheme="minorHAnsi" w:cstheme="minorHAnsi"/>
          <w:sz w:val="22"/>
          <w:szCs w:val="22"/>
          <w:lang w:eastAsia="en-US" w:bidi="ar-SA"/>
        </w:rPr>
        <w:t xml:space="preserve">, że te dwie grupy są </w:t>
      </w:r>
      <w:r w:rsidR="00B56914" w:rsidRPr="00890249">
        <w:rPr>
          <w:rFonts w:asciiTheme="minorHAnsi" w:hAnsiTheme="minorHAnsi" w:cstheme="minorHAnsi"/>
          <w:sz w:val="22"/>
          <w:szCs w:val="22"/>
          <w:lang w:eastAsia="en-US" w:bidi="ar-SA"/>
        </w:rPr>
        <w:t xml:space="preserve">często </w:t>
      </w:r>
      <w:r w:rsidR="00291AB6" w:rsidRPr="00890249">
        <w:rPr>
          <w:rFonts w:asciiTheme="minorHAnsi" w:hAnsiTheme="minorHAnsi" w:cstheme="minorHAnsi"/>
          <w:sz w:val="22"/>
          <w:szCs w:val="22"/>
          <w:lang w:eastAsia="en-US" w:bidi="ar-SA"/>
        </w:rPr>
        <w:t>tożsame</w:t>
      </w:r>
      <w:r w:rsidR="001B1466" w:rsidRPr="00890249">
        <w:rPr>
          <w:rFonts w:asciiTheme="minorHAnsi" w:hAnsiTheme="minorHAnsi" w:cstheme="minorHAnsi"/>
          <w:sz w:val="22"/>
          <w:szCs w:val="22"/>
          <w:lang w:eastAsia="en-US" w:bidi="ar-SA"/>
        </w:rPr>
        <w:t xml:space="preserve">. </w:t>
      </w:r>
    </w:p>
    <w:p w14:paraId="132C3981" w14:textId="7DD44D2A" w:rsidR="0093433C" w:rsidRPr="00890249" w:rsidRDefault="5DD8FDE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przypadku </w:t>
      </w:r>
      <w:r w:rsidR="2E98501B" w:rsidRPr="00890249">
        <w:rPr>
          <w:rFonts w:asciiTheme="minorHAnsi" w:hAnsiTheme="minorHAnsi" w:cstheme="minorHAnsi"/>
          <w:sz w:val="22"/>
          <w:szCs w:val="22"/>
          <w:lang w:eastAsia="en-US" w:bidi="ar-SA"/>
        </w:rPr>
        <w:t xml:space="preserve">osób </w:t>
      </w:r>
      <w:r w:rsidRPr="00890249">
        <w:rPr>
          <w:rFonts w:asciiTheme="minorHAnsi" w:hAnsiTheme="minorHAnsi" w:cstheme="minorHAnsi"/>
          <w:sz w:val="22"/>
          <w:szCs w:val="22"/>
          <w:lang w:eastAsia="en-US" w:bidi="ar-SA"/>
        </w:rPr>
        <w:t xml:space="preserve">biernych zawodowo działania powinny się koncentrować zwłaszcza na kobietach, których </w:t>
      </w:r>
      <w:r w:rsidR="5C997F02" w:rsidRPr="00890249">
        <w:rPr>
          <w:rFonts w:asciiTheme="minorHAnsi" w:hAnsiTheme="minorHAnsi" w:cstheme="minorHAnsi"/>
          <w:sz w:val="22"/>
          <w:szCs w:val="22"/>
          <w:lang w:eastAsia="en-US" w:bidi="ar-SA"/>
        </w:rPr>
        <w:t>udział w strukturze osób biernych</w:t>
      </w:r>
      <w:r w:rsidRPr="00890249">
        <w:rPr>
          <w:rFonts w:asciiTheme="minorHAnsi" w:hAnsiTheme="minorHAnsi" w:cstheme="minorHAnsi"/>
          <w:sz w:val="22"/>
          <w:szCs w:val="22"/>
          <w:lang w:eastAsia="en-US" w:bidi="ar-SA"/>
        </w:rPr>
        <w:t xml:space="preserve"> w woj. opolskim w </w:t>
      </w:r>
      <w:r w:rsidR="78755966" w:rsidRPr="00890249">
        <w:rPr>
          <w:rFonts w:asciiTheme="minorHAnsi" w:hAnsiTheme="minorHAnsi" w:cstheme="minorHAnsi"/>
          <w:sz w:val="22"/>
          <w:szCs w:val="22"/>
          <w:lang w:eastAsia="en-US" w:bidi="ar-SA"/>
        </w:rPr>
        <w:t>II</w:t>
      </w:r>
      <w:r w:rsidR="5C997F02" w:rsidRPr="00890249">
        <w:rPr>
          <w:rFonts w:asciiTheme="minorHAnsi" w:hAnsiTheme="minorHAnsi" w:cstheme="minorHAnsi"/>
          <w:sz w:val="22"/>
          <w:szCs w:val="22"/>
          <w:lang w:eastAsia="en-US" w:bidi="ar-SA"/>
        </w:rPr>
        <w:t xml:space="preserve"> kwartale </w:t>
      </w:r>
      <w:r w:rsidR="0F843697" w:rsidRPr="00890249">
        <w:rPr>
          <w:rFonts w:asciiTheme="minorHAnsi" w:hAnsiTheme="minorHAnsi" w:cstheme="minorHAnsi"/>
          <w:sz w:val="22"/>
          <w:szCs w:val="22"/>
          <w:lang w:eastAsia="en-US" w:bidi="ar-SA"/>
        </w:rPr>
        <w:t>2020</w:t>
      </w:r>
      <w:r w:rsidRPr="00890249">
        <w:rPr>
          <w:rFonts w:asciiTheme="minorHAnsi" w:hAnsiTheme="minorHAnsi" w:cstheme="minorHAnsi"/>
          <w:sz w:val="22"/>
          <w:szCs w:val="22"/>
          <w:lang w:eastAsia="en-US" w:bidi="ar-SA"/>
        </w:rPr>
        <w:t xml:space="preserve"> r. </w:t>
      </w:r>
      <w:r w:rsidR="5C997F02" w:rsidRPr="00890249">
        <w:rPr>
          <w:rFonts w:asciiTheme="minorHAnsi" w:hAnsiTheme="minorHAnsi" w:cstheme="minorHAnsi"/>
          <w:sz w:val="22"/>
          <w:szCs w:val="22"/>
          <w:lang w:eastAsia="en-US" w:bidi="ar-SA"/>
        </w:rPr>
        <w:t>wynosił 63</w:t>
      </w:r>
      <w:r w:rsidR="78755966" w:rsidRPr="00890249">
        <w:rPr>
          <w:rFonts w:asciiTheme="minorHAnsi" w:hAnsiTheme="minorHAnsi" w:cstheme="minorHAnsi"/>
          <w:sz w:val="22"/>
          <w:szCs w:val="22"/>
          <w:lang w:eastAsia="en-US" w:bidi="ar-SA"/>
        </w:rPr>
        <w:t>,</w:t>
      </w:r>
      <w:r w:rsidR="5C997F02" w:rsidRPr="00890249">
        <w:rPr>
          <w:rFonts w:asciiTheme="minorHAnsi" w:hAnsiTheme="minorHAnsi" w:cstheme="minorHAnsi"/>
          <w:sz w:val="22"/>
          <w:szCs w:val="22"/>
          <w:lang w:eastAsia="en-US" w:bidi="ar-SA"/>
        </w:rPr>
        <w:t>%</w:t>
      </w:r>
      <w:r w:rsidR="00540342" w:rsidRPr="00890249">
        <w:rPr>
          <w:rStyle w:val="Odwoanieprzypisudolnego"/>
          <w:rFonts w:asciiTheme="minorHAnsi" w:hAnsiTheme="minorHAnsi" w:cstheme="minorHAnsi"/>
          <w:sz w:val="22"/>
          <w:szCs w:val="22"/>
          <w:lang w:eastAsia="en-US" w:bidi="ar-SA"/>
        </w:rPr>
        <w:footnoteReference w:id="184"/>
      </w:r>
      <w:r w:rsidR="2E98501B" w:rsidRPr="00890249">
        <w:rPr>
          <w:rFonts w:asciiTheme="minorHAnsi" w:hAnsiTheme="minorHAnsi" w:cstheme="minorHAnsi"/>
          <w:sz w:val="22"/>
          <w:szCs w:val="22"/>
          <w:lang w:eastAsia="en-US" w:bidi="ar-SA"/>
        </w:rPr>
        <w:t>, a</w:t>
      </w:r>
      <w:r w:rsidR="4A53021B" w:rsidRPr="00890249">
        <w:rPr>
          <w:rFonts w:asciiTheme="minorHAnsi" w:hAnsiTheme="minorHAnsi" w:cstheme="minorHAnsi"/>
          <w:sz w:val="22"/>
          <w:szCs w:val="22"/>
          <w:lang w:eastAsia="en-US" w:bidi="ar-SA"/>
        </w:rPr>
        <w:t> </w:t>
      </w:r>
      <w:r w:rsidR="2E98501B" w:rsidRPr="00890249">
        <w:rPr>
          <w:rFonts w:asciiTheme="minorHAnsi" w:hAnsiTheme="minorHAnsi" w:cstheme="minorHAnsi"/>
          <w:sz w:val="22"/>
          <w:szCs w:val="22"/>
          <w:lang w:eastAsia="en-US" w:bidi="ar-SA"/>
        </w:rPr>
        <w:t xml:space="preserve">więc </w:t>
      </w:r>
      <w:r w:rsidR="78755966" w:rsidRPr="00890249">
        <w:rPr>
          <w:rFonts w:asciiTheme="minorHAnsi" w:hAnsiTheme="minorHAnsi" w:cstheme="minorHAnsi"/>
          <w:sz w:val="22"/>
          <w:szCs w:val="22"/>
          <w:lang w:eastAsia="en-US" w:bidi="ar-SA"/>
        </w:rPr>
        <w:t>na podobnym poziomie jak w poprzednich latach.</w:t>
      </w:r>
      <w:r w:rsidR="113C62A7"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Kobiety napotykają bariery w postaci nieelastycznego czasu pracy, nieatrakcyjnych finansowo i fizycznie miejsc pracy, obciążenia obow</w:t>
      </w:r>
      <w:r w:rsidR="0BE2CFD0" w:rsidRPr="00890249">
        <w:rPr>
          <w:rFonts w:asciiTheme="minorHAnsi" w:hAnsiTheme="minorHAnsi" w:cstheme="minorHAnsi"/>
          <w:sz w:val="22"/>
          <w:szCs w:val="22"/>
          <w:lang w:eastAsia="en-US" w:bidi="ar-SA"/>
        </w:rPr>
        <w:t>iązkami domowymi i opiekuńczymi</w:t>
      </w:r>
      <w:r w:rsidRPr="00890249">
        <w:rPr>
          <w:rFonts w:asciiTheme="minorHAnsi" w:hAnsiTheme="minorHAnsi" w:cstheme="minorHAnsi"/>
          <w:sz w:val="22"/>
          <w:szCs w:val="22"/>
          <w:lang w:eastAsia="en-US" w:bidi="ar-SA"/>
        </w:rPr>
        <w:t xml:space="preserve">. </w:t>
      </w:r>
      <w:r w:rsidR="00D6488A" w:rsidRPr="00890249">
        <w:rPr>
          <w:rFonts w:asciiTheme="minorHAnsi" w:hAnsiTheme="minorHAnsi" w:cstheme="minorHAnsi"/>
          <w:sz w:val="22"/>
          <w:szCs w:val="22"/>
          <w:lang w:eastAsia="en-US" w:bidi="ar-SA"/>
        </w:rPr>
        <w:t>Ponadto</w:t>
      </w:r>
      <w:r w:rsidRPr="00890249">
        <w:rPr>
          <w:rFonts w:asciiTheme="minorHAnsi" w:hAnsiTheme="minorHAnsi" w:cstheme="minorHAnsi"/>
          <w:sz w:val="22"/>
          <w:szCs w:val="22"/>
          <w:lang w:eastAsia="en-US" w:bidi="ar-SA"/>
        </w:rPr>
        <w:t xml:space="preserve"> kobiety bardziej narażone są na społeczno-gospodarcze skutki kryzysu wywołanego </w:t>
      </w:r>
      <w:r w:rsidR="00392DDC" w:rsidRPr="00890249">
        <w:rPr>
          <w:rFonts w:asciiTheme="minorHAnsi" w:hAnsiTheme="minorHAnsi" w:cstheme="minorHAnsi"/>
          <w:sz w:val="22"/>
          <w:szCs w:val="22"/>
          <w:lang w:eastAsia="en-US" w:bidi="ar-SA"/>
        </w:rPr>
        <w:t>COVID-19</w:t>
      </w:r>
      <w:r w:rsidRPr="00890249">
        <w:rPr>
          <w:rFonts w:asciiTheme="minorHAnsi" w:hAnsiTheme="minorHAnsi" w:cstheme="minorHAnsi"/>
          <w:sz w:val="22"/>
          <w:szCs w:val="22"/>
          <w:lang w:eastAsia="en-US" w:bidi="ar-SA"/>
        </w:rPr>
        <w:t xml:space="preserve"> ponieważ pracują najczęściej w branżach najbardziej dotkniętych ograniczeniami wywołanymi pandemią (turystyka, hotelarstwo, gastronomia, handel).</w:t>
      </w:r>
    </w:p>
    <w:p w14:paraId="7518DD7A" w14:textId="560337CE" w:rsidR="0093433C" w:rsidRPr="00890249" w:rsidRDefault="0093433C" w:rsidP="00890249">
      <w:pPr>
        <w:pStyle w:val="Tekstpodstawowy"/>
        <w:rPr>
          <w:rFonts w:asciiTheme="minorHAnsi" w:hAnsiTheme="minorHAnsi" w:cstheme="minorHAnsi"/>
          <w:sz w:val="22"/>
          <w:szCs w:val="22"/>
          <w:lang w:eastAsia="en-US" w:bidi="ar-SA"/>
        </w:rPr>
      </w:pPr>
    </w:p>
    <w:p w14:paraId="477DE334" w14:textId="76CB6E67" w:rsidR="0093433C" w:rsidRPr="00890249" w:rsidRDefault="00D9133F"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Interwencje w cs (</w:t>
      </w:r>
      <w:r w:rsidR="006D15D3" w:rsidRPr="00890249">
        <w:rPr>
          <w:rFonts w:asciiTheme="minorHAnsi" w:hAnsiTheme="minorHAnsi" w:cstheme="minorHAnsi"/>
          <w:sz w:val="22"/>
          <w:szCs w:val="22"/>
          <w:lang w:eastAsia="en-US" w:bidi="ar-SA"/>
        </w:rPr>
        <w:t>h</w:t>
      </w:r>
      <w:r w:rsidRPr="00890249">
        <w:rPr>
          <w:rFonts w:asciiTheme="minorHAnsi" w:hAnsiTheme="minorHAnsi" w:cstheme="minorHAnsi"/>
          <w:sz w:val="22"/>
          <w:szCs w:val="22"/>
          <w:lang w:eastAsia="en-US" w:bidi="ar-SA"/>
        </w:rPr>
        <w:t>)</w:t>
      </w:r>
      <w:r w:rsidR="00BE7856" w:rsidRPr="00890249">
        <w:rPr>
          <w:rFonts w:asciiTheme="minorHAnsi" w:hAnsiTheme="minorHAnsi" w:cstheme="minorHAnsi"/>
          <w:sz w:val="22"/>
          <w:szCs w:val="22"/>
          <w:lang w:eastAsia="en-US" w:bidi="ar-SA"/>
        </w:rPr>
        <w:t xml:space="preserve"> będą </w:t>
      </w:r>
      <w:r w:rsidR="00540342" w:rsidRPr="00890249">
        <w:rPr>
          <w:rFonts w:asciiTheme="minorHAnsi" w:hAnsiTheme="minorHAnsi" w:cstheme="minorHAnsi"/>
          <w:sz w:val="22"/>
          <w:szCs w:val="22"/>
          <w:lang w:eastAsia="en-US" w:bidi="ar-SA"/>
        </w:rPr>
        <w:t>realizowane</w:t>
      </w:r>
      <w:r w:rsidR="00BE7856" w:rsidRPr="00890249">
        <w:rPr>
          <w:rFonts w:asciiTheme="minorHAnsi" w:hAnsiTheme="minorHAnsi" w:cstheme="minorHAnsi"/>
          <w:sz w:val="22"/>
          <w:szCs w:val="22"/>
          <w:lang w:eastAsia="en-US" w:bidi="ar-SA"/>
        </w:rPr>
        <w:t xml:space="preserve"> również z wykorzystaniem możliwości</w:t>
      </w:r>
      <w:r w:rsidR="000A6061" w:rsidRPr="00890249">
        <w:rPr>
          <w:rFonts w:asciiTheme="minorHAnsi" w:hAnsiTheme="minorHAnsi" w:cstheme="minorHAnsi"/>
          <w:sz w:val="22"/>
          <w:szCs w:val="22"/>
          <w:lang w:eastAsia="en-US" w:bidi="ar-SA"/>
        </w:rPr>
        <w:t>,</w:t>
      </w:r>
      <w:r w:rsidR="00F55B41"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jakie daje ekonomia społeczna. </w:t>
      </w:r>
      <w:r w:rsidR="00343515" w:rsidRPr="00890249">
        <w:rPr>
          <w:rFonts w:asciiTheme="minorHAnsi" w:hAnsiTheme="minorHAnsi" w:cstheme="minorHAnsi"/>
          <w:sz w:val="22"/>
          <w:szCs w:val="22"/>
          <w:lang w:eastAsia="en-US" w:bidi="ar-SA"/>
        </w:rPr>
        <w:t>Wsparcie finansowe</w:t>
      </w:r>
      <w:r w:rsidR="00291AB6" w:rsidRPr="00890249">
        <w:rPr>
          <w:rFonts w:asciiTheme="minorHAnsi" w:hAnsiTheme="minorHAnsi" w:cstheme="minorHAnsi"/>
          <w:sz w:val="22"/>
          <w:szCs w:val="22"/>
          <w:lang w:eastAsia="en-US" w:bidi="ar-SA"/>
        </w:rPr>
        <w:t>,</w:t>
      </w:r>
      <w:r w:rsidR="00343515" w:rsidRPr="00890249">
        <w:rPr>
          <w:rFonts w:asciiTheme="minorHAnsi" w:hAnsiTheme="minorHAnsi" w:cstheme="minorHAnsi"/>
          <w:sz w:val="22"/>
          <w:szCs w:val="22"/>
          <w:lang w:eastAsia="en-US" w:bidi="ar-SA"/>
        </w:rPr>
        <w:t xml:space="preserve"> powiązane z wyposażeniem w odpowiednie ko</w:t>
      </w:r>
      <w:r w:rsidR="00BE7856" w:rsidRPr="00890249">
        <w:rPr>
          <w:rFonts w:asciiTheme="minorHAnsi" w:hAnsiTheme="minorHAnsi" w:cstheme="minorHAnsi"/>
          <w:sz w:val="22"/>
          <w:szCs w:val="22"/>
          <w:lang w:eastAsia="en-US" w:bidi="ar-SA"/>
        </w:rPr>
        <w:t>mpetencje i</w:t>
      </w:r>
      <w:r w:rsidR="000A6061" w:rsidRPr="00890249">
        <w:rPr>
          <w:rFonts w:asciiTheme="minorHAnsi" w:hAnsiTheme="minorHAnsi" w:cstheme="minorHAnsi"/>
          <w:sz w:val="22"/>
          <w:szCs w:val="22"/>
          <w:lang w:eastAsia="en-US" w:bidi="ar-SA"/>
        </w:rPr>
        <w:t> </w:t>
      </w:r>
      <w:r w:rsidR="00BE7856" w:rsidRPr="00890249">
        <w:rPr>
          <w:rFonts w:asciiTheme="minorHAnsi" w:hAnsiTheme="minorHAnsi" w:cstheme="minorHAnsi"/>
          <w:sz w:val="22"/>
          <w:szCs w:val="22"/>
          <w:lang w:eastAsia="en-US" w:bidi="ar-SA"/>
        </w:rPr>
        <w:t>kwalifikacje</w:t>
      </w:r>
      <w:r w:rsidR="00291AB6" w:rsidRPr="00890249">
        <w:rPr>
          <w:rFonts w:asciiTheme="minorHAnsi" w:hAnsiTheme="minorHAnsi" w:cstheme="minorHAnsi"/>
          <w:sz w:val="22"/>
          <w:szCs w:val="22"/>
          <w:lang w:eastAsia="en-US" w:bidi="ar-SA"/>
        </w:rPr>
        <w:t>,</w:t>
      </w:r>
      <w:r w:rsidR="00BE7856" w:rsidRPr="00890249">
        <w:rPr>
          <w:rFonts w:asciiTheme="minorHAnsi" w:hAnsiTheme="minorHAnsi" w:cstheme="minorHAnsi"/>
          <w:sz w:val="22"/>
          <w:szCs w:val="22"/>
          <w:lang w:eastAsia="en-US" w:bidi="ar-SA"/>
        </w:rPr>
        <w:t xml:space="preserve"> daje szanse osobom oddalonym </w:t>
      </w:r>
      <w:r w:rsidR="00A46493" w:rsidRPr="00890249">
        <w:rPr>
          <w:rFonts w:asciiTheme="minorHAnsi" w:hAnsiTheme="minorHAnsi" w:cstheme="minorHAnsi"/>
          <w:sz w:val="22"/>
          <w:szCs w:val="22"/>
          <w:lang w:eastAsia="en-US" w:bidi="ar-SA"/>
        </w:rPr>
        <w:t>od</w:t>
      </w:r>
      <w:r w:rsidR="00BE7856" w:rsidRPr="00890249">
        <w:rPr>
          <w:rFonts w:asciiTheme="minorHAnsi" w:hAnsiTheme="minorHAnsi" w:cstheme="minorHAnsi"/>
          <w:sz w:val="22"/>
          <w:szCs w:val="22"/>
          <w:lang w:eastAsia="en-US" w:bidi="ar-SA"/>
        </w:rPr>
        <w:t xml:space="preserve"> rynku pracy na założenie przedsiębiorstwa społecznego lub zatrudnienie w takim podmiocie</w:t>
      </w:r>
      <w:r w:rsidR="00343515" w:rsidRPr="00890249">
        <w:rPr>
          <w:rFonts w:asciiTheme="minorHAnsi" w:hAnsiTheme="minorHAnsi" w:cstheme="minorHAnsi"/>
          <w:sz w:val="22"/>
          <w:szCs w:val="22"/>
          <w:lang w:eastAsia="en-US" w:bidi="ar-SA"/>
        </w:rPr>
        <w:t>. Działania powinny zostać ukierunkowane również na wsparcie istniejących przedsiębiorstw społecznych, kt</w:t>
      </w:r>
      <w:r w:rsidR="00BE7856" w:rsidRPr="00890249">
        <w:rPr>
          <w:rFonts w:asciiTheme="minorHAnsi" w:hAnsiTheme="minorHAnsi" w:cstheme="minorHAnsi"/>
          <w:sz w:val="22"/>
          <w:szCs w:val="22"/>
          <w:lang w:eastAsia="en-US" w:bidi="ar-SA"/>
        </w:rPr>
        <w:t xml:space="preserve">óre identyfikują szereg barier </w:t>
      </w:r>
      <w:r w:rsidR="00291AB6" w:rsidRPr="00890249">
        <w:rPr>
          <w:rFonts w:asciiTheme="minorHAnsi" w:hAnsiTheme="minorHAnsi" w:cstheme="minorHAnsi"/>
          <w:sz w:val="22"/>
          <w:szCs w:val="22"/>
          <w:lang w:eastAsia="en-US" w:bidi="ar-SA"/>
        </w:rPr>
        <w:br/>
      </w:r>
      <w:r w:rsidR="00343515" w:rsidRPr="00890249">
        <w:rPr>
          <w:rFonts w:asciiTheme="minorHAnsi" w:hAnsiTheme="minorHAnsi" w:cstheme="minorHAnsi"/>
          <w:sz w:val="22"/>
          <w:szCs w:val="22"/>
          <w:lang w:eastAsia="en-US" w:bidi="ar-SA"/>
        </w:rPr>
        <w:t>w funkcjonowaniu</w:t>
      </w:r>
      <w:r w:rsidR="00D6488A" w:rsidRPr="00890249">
        <w:rPr>
          <w:rFonts w:asciiTheme="minorHAnsi" w:hAnsiTheme="minorHAnsi" w:cstheme="minorHAnsi"/>
          <w:sz w:val="22"/>
          <w:szCs w:val="22"/>
          <w:lang w:eastAsia="en-US" w:bidi="ar-SA"/>
        </w:rPr>
        <w:t>, m.in:</w:t>
      </w:r>
      <w:r w:rsidR="00343515" w:rsidRPr="00890249">
        <w:rPr>
          <w:rFonts w:asciiTheme="minorHAnsi" w:hAnsiTheme="minorHAnsi" w:cstheme="minorHAnsi"/>
          <w:sz w:val="22"/>
          <w:szCs w:val="22"/>
          <w:lang w:eastAsia="en-US" w:bidi="ar-SA"/>
        </w:rPr>
        <w:t xml:space="preserve"> niewystarczająca promocja </w:t>
      </w:r>
      <w:r w:rsidR="001E78FE" w:rsidRPr="00890249">
        <w:rPr>
          <w:rFonts w:asciiTheme="minorHAnsi" w:hAnsiTheme="minorHAnsi" w:cstheme="minorHAnsi"/>
          <w:sz w:val="22"/>
          <w:szCs w:val="22"/>
          <w:lang w:eastAsia="en-US" w:bidi="ar-SA"/>
        </w:rPr>
        <w:t xml:space="preserve">czy </w:t>
      </w:r>
      <w:r w:rsidR="00343515" w:rsidRPr="00890249">
        <w:rPr>
          <w:rFonts w:asciiTheme="minorHAnsi" w:hAnsiTheme="minorHAnsi" w:cstheme="minorHAnsi"/>
          <w:sz w:val="22"/>
          <w:szCs w:val="22"/>
          <w:lang w:eastAsia="en-US" w:bidi="ar-SA"/>
        </w:rPr>
        <w:t xml:space="preserve">problemy z płynnością finansową. Promocja przedsiębiorczości społecznej jest istotna w kontekście obniżającej się liczby ww. podmiotów skorelowanej ze spadkiem wskaźnika </w:t>
      </w:r>
      <w:r w:rsidR="00D6488A" w:rsidRPr="00890249">
        <w:rPr>
          <w:rFonts w:asciiTheme="minorHAnsi" w:hAnsiTheme="minorHAnsi" w:cstheme="minorHAnsi"/>
          <w:sz w:val="22"/>
          <w:szCs w:val="22"/>
          <w:lang w:eastAsia="en-US" w:bidi="ar-SA"/>
        </w:rPr>
        <w:t>PES</w:t>
      </w:r>
      <w:r w:rsidR="00343515" w:rsidRPr="00890249">
        <w:rPr>
          <w:rFonts w:asciiTheme="minorHAnsi" w:hAnsiTheme="minorHAnsi" w:cstheme="minorHAnsi"/>
          <w:sz w:val="22"/>
          <w:szCs w:val="22"/>
          <w:lang w:eastAsia="en-US" w:bidi="ar-SA"/>
        </w:rPr>
        <w:t xml:space="preserve"> na 100 tys. ludności, który w</w:t>
      </w:r>
      <w:r w:rsidR="000A6061" w:rsidRPr="00890249">
        <w:rPr>
          <w:rFonts w:asciiTheme="minorHAnsi" w:hAnsiTheme="minorHAnsi" w:cstheme="minorHAnsi"/>
          <w:sz w:val="22"/>
          <w:szCs w:val="22"/>
          <w:lang w:eastAsia="en-US" w:bidi="ar-SA"/>
        </w:rPr>
        <w:t> </w:t>
      </w:r>
      <w:r w:rsidR="00343515" w:rsidRPr="00890249">
        <w:rPr>
          <w:rFonts w:asciiTheme="minorHAnsi" w:hAnsiTheme="minorHAnsi" w:cstheme="minorHAnsi"/>
          <w:sz w:val="22"/>
          <w:szCs w:val="22"/>
          <w:lang w:eastAsia="en-US" w:bidi="ar-SA"/>
        </w:rPr>
        <w:t>2017 r. w porównaniu z</w:t>
      </w:r>
      <w:r w:rsidR="00C0712F" w:rsidRPr="00890249">
        <w:rPr>
          <w:rFonts w:asciiTheme="minorHAnsi" w:hAnsiTheme="minorHAnsi" w:cstheme="minorHAnsi"/>
          <w:sz w:val="22"/>
          <w:szCs w:val="22"/>
          <w:lang w:eastAsia="en-US" w:bidi="ar-SA"/>
        </w:rPr>
        <w:t> </w:t>
      </w:r>
      <w:r w:rsidR="00343515" w:rsidRPr="00890249">
        <w:rPr>
          <w:rFonts w:asciiTheme="minorHAnsi" w:hAnsiTheme="minorHAnsi" w:cstheme="minorHAnsi"/>
          <w:sz w:val="22"/>
          <w:szCs w:val="22"/>
          <w:lang w:eastAsia="en-US" w:bidi="ar-SA"/>
        </w:rPr>
        <w:t xml:space="preserve">2016 r. uległ obniżeniu o 4,1  p.p. </w:t>
      </w:r>
      <w:r w:rsidR="00A46493" w:rsidRPr="00890249">
        <w:rPr>
          <w:rFonts w:asciiTheme="minorHAnsi" w:hAnsiTheme="minorHAnsi" w:cstheme="minorHAnsi"/>
          <w:sz w:val="22"/>
          <w:szCs w:val="22"/>
          <w:lang w:eastAsia="en-US" w:bidi="ar-SA"/>
        </w:rPr>
        <w:t xml:space="preserve">Działania z zakresu ES realizowane będą przez OWES. </w:t>
      </w:r>
      <w:r w:rsidR="00994386" w:rsidRPr="00890249">
        <w:rPr>
          <w:rFonts w:asciiTheme="minorHAnsi" w:hAnsiTheme="minorHAnsi" w:cstheme="minorHAnsi"/>
          <w:sz w:val="22"/>
          <w:szCs w:val="22"/>
          <w:lang w:eastAsia="en-US" w:bidi="ar-SA"/>
        </w:rPr>
        <w:t>Wsparcie finansowe tworzenia miejsc pracy w przedsiębiorstwach s</w:t>
      </w:r>
      <w:r w:rsidR="008C67B3">
        <w:rPr>
          <w:rFonts w:asciiTheme="minorHAnsi" w:hAnsiTheme="minorHAnsi" w:cstheme="minorHAnsi"/>
          <w:sz w:val="22"/>
          <w:szCs w:val="22"/>
          <w:lang w:eastAsia="en-US" w:bidi="ar-SA"/>
        </w:rPr>
        <w:t>połecznych będzie odbywać się z </w:t>
      </w:r>
      <w:r w:rsidR="00994386" w:rsidRPr="00890249">
        <w:rPr>
          <w:rFonts w:asciiTheme="minorHAnsi" w:hAnsiTheme="minorHAnsi" w:cstheme="minorHAnsi"/>
          <w:sz w:val="22"/>
          <w:szCs w:val="22"/>
          <w:lang w:eastAsia="en-US" w:bidi="ar-SA"/>
        </w:rPr>
        <w:t>wykorzystaniem stawek jednostkowych.</w:t>
      </w:r>
      <w:r w:rsidR="00C75449" w:rsidRPr="00890249">
        <w:rPr>
          <w:rFonts w:asciiTheme="minorHAnsi" w:hAnsiTheme="minorHAnsi" w:cstheme="minorHAnsi"/>
          <w:sz w:val="22"/>
          <w:szCs w:val="22"/>
          <w:lang w:eastAsia="en-US" w:bidi="ar-SA"/>
        </w:rPr>
        <w:t xml:space="preserve"> Wsparcie będzie zgodne z ustawą z 5 sierpnia 2022 r.</w:t>
      </w:r>
      <w:r w:rsidR="008C67B3">
        <w:rPr>
          <w:rFonts w:asciiTheme="minorHAnsi" w:hAnsiTheme="minorHAnsi" w:cstheme="minorHAnsi"/>
          <w:sz w:val="22"/>
          <w:szCs w:val="22"/>
          <w:lang w:eastAsia="en-US" w:bidi="ar-SA"/>
        </w:rPr>
        <w:t xml:space="preserve"> o </w:t>
      </w:r>
      <w:r w:rsidR="009653FD" w:rsidRPr="00890249">
        <w:rPr>
          <w:rFonts w:asciiTheme="minorHAnsi" w:hAnsiTheme="minorHAnsi" w:cstheme="minorHAnsi"/>
          <w:sz w:val="22"/>
          <w:szCs w:val="22"/>
          <w:lang w:eastAsia="en-US" w:bidi="ar-SA"/>
        </w:rPr>
        <w:t>ekonomii</w:t>
      </w:r>
      <w:r w:rsidR="00C75449" w:rsidRPr="00890249">
        <w:rPr>
          <w:rFonts w:asciiTheme="minorHAnsi" w:hAnsiTheme="minorHAnsi" w:cstheme="minorHAnsi"/>
          <w:sz w:val="22"/>
          <w:szCs w:val="22"/>
          <w:lang w:eastAsia="en-US" w:bidi="ar-SA"/>
        </w:rPr>
        <w:t xml:space="preserve"> społecznej.</w:t>
      </w:r>
    </w:p>
    <w:p w14:paraId="7303F45E" w14:textId="121CCB9F" w:rsidR="0093433C" w:rsidRPr="00890249" w:rsidRDefault="6940072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Podmiotami, które zostaną zaangażowane w realizację usł</w:t>
      </w:r>
      <w:r w:rsidR="0B9395BE" w:rsidRPr="00890249">
        <w:rPr>
          <w:rFonts w:asciiTheme="minorHAnsi" w:hAnsiTheme="minorHAnsi" w:cstheme="minorHAnsi"/>
          <w:sz w:val="22"/>
          <w:szCs w:val="22"/>
          <w:lang w:eastAsia="en-US" w:bidi="ar-SA"/>
        </w:rPr>
        <w:t>ug aktywnej integracji są</w:t>
      </w:r>
      <w:r w:rsidRPr="00890249">
        <w:rPr>
          <w:rFonts w:asciiTheme="minorHAnsi" w:hAnsiTheme="minorHAnsi" w:cstheme="minorHAnsi"/>
          <w:sz w:val="22"/>
          <w:szCs w:val="22"/>
          <w:lang w:eastAsia="en-US" w:bidi="ar-SA"/>
        </w:rPr>
        <w:t xml:space="preserve"> również: </w:t>
      </w:r>
      <w:r w:rsidR="00D6488A" w:rsidRPr="00890249">
        <w:rPr>
          <w:rFonts w:asciiTheme="minorHAnsi" w:hAnsiTheme="minorHAnsi" w:cstheme="minorHAnsi"/>
          <w:sz w:val="22"/>
          <w:szCs w:val="22"/>
          <w:lang w:eastAsia="en-US" w:bidi="ar-SA"/>
        </w:rPr>
        <w:t>ZAZ</w:t>
      </w:r>
      <w:r w:rsidR="479C90FE" w:rsidRPr="00890249">
        <w:rPr>
          <w:rFonts w:asciiTheme="minorHAnsi" w:hAnsiTheme="minorHAnsi" w:cstheme="minorHAnsi"/>
          <w:sz w:val="22"/>
          <w:szCs w:val="22"/>
          <w:lang w:eastAsia="en-US" w:bidi="ar-SA"/>
        </w:rPr>
        <w:t xml:space="preserve">, </w:t>
      </w:r>
      <w:r w:rsidR="00D6488A" w:rsidRPr="00890249">
        <w:rPr>
          <w:rFonts w:asciiTheme="minorHAnsi" w:hAnsiTheme="minorHAnsi" w:cstheme="minorHAnsi"/>
          <w:sz w:val="22"/>
          <w:szCs w:val="22"/>
          <w:lang w:eastAsia="en-US" w:bidi="ar-SA"/>
        </w:rPr>
        <w:t>WTZ</w:t>
      </w:r>
      <w:r w:rsidRPr="00890249">
        <w:rPr>
          <w:rFonts w:asciiTheme="minorHAnsi" w:hAnsiTheme="minorHAnsi" w:cstheme="minorHAnsi"/>
          <w:sz w:val="22"/>
          <w:szCs w:val="22"/>
          <w:lang w:eastAsia="en-US" w:bidi="ar-SA"/>
        </w:rPr>
        <w:t xml:space="preserve">, </w:t>
      </w:r>
      <w:r w:rsidR="00D6488A" w:rsidRPr="00890249">
        <w:rPr>
          <w:rFonts w:asciiTheme="minorHAnsi" w:hAnsiTheme="minorHAnsi" w:cstheme="minorHAnsi"/>
          <w:sz w:val="22"/>
          <w:szCs w:val="22"/>
          <w:lang w:eastAsia="en-US" w:bidi="ar-SA"/>
        </w:rPr>
        <w:t>KIS i CIS</w:t>
      </w:r>
      <w:r w:rsidR="0B9395BE" w:rsidRPr="00890249">
        <w:rPr>
          <w:rFonts w:asciiTheme="minorHAnsi" w:hAnsiTheme="minorHAnsi" w:cstheme="minorHAnsi"/>
          <w:sz w:val="22"/>
          <w:szCs w:val="22"/>
          <w:lang w:eastAsia="en-US" w:bidi="ar-SA"/>
        </w:rPr>
        <w:t>.</w:t>
      </w:r>
      <w:r w:rsidR="00AF78BC">
        <w:rPr>
          <w:rFonts w:asciiTheme="minorHAnsi" w:hAnsiTheme="minorHAnsi" w:cstheme="minorHAnsi"/>
          <w:sz w:val="22"/>
          <w:szCs w:val="22"/>
          <w:lang w:eastAsia="en-US" w:bidi="ar-SA"/>
        </w:rPr>
        <w:t xml:space="preserve"> </w:t>
      </w:r>
      <w:r w:rsidR="113C62A7" w:rsidRPr="00890249">
        <w:rPr>
          <w:rFonts w:asciiTheme="minorHAnsi" w:hAnsiTheme="minorHAnsi" w:cstheme="minorHAnsi"/>
          <w:sz w:val="22"/>
          <w:szCs w:val="22"/>
          <w:lang w:eastAsia="en-US" w:bidi="ar-SA"/>
        </w:rPr>
        <w:t xml:space="preserve"> </w:t>
      </w:r>
      <w:r w:rsidR="0AD9CB38" w:rsidRPr="00890249">
        <w:rPr>
          <w:rFonts w:asciiTheme="minorHAnsi" w:hAnsiTheme="minorHAnsi" w:cstheme="minorHAnsi"/>
          <w:sz w:val="22"/>
          <w:szCs w:val="22"/>
          <w:lang w:eastAsia="en-US" w:bidi="ar-SA"/>
        </w:rPr>
        <w:t>Liczba korzystających z tych miejsc od wielu lat nie zmienia się, w minimalnym stopniu zaspokajając występujące potrzeby</w:t>
      </w:r>
      <w:r w:rsidR="479C90FE" w:rsidRPr="00890249">
        <w:rPr>
          <w:rFonts w:asciiTheme="minorHAnsi" w:hAnsiTheme="minorHAnsi" w:cstheme="minorHAnsi"/>
          <w:sz w:val="22"/>
          <w:szCs w:val="22"/>
          <w:lang w:eastAsia="en-US" w:bidi="ar-SA"/>
        </w:rPr>
        <w:t xml:space="preserve"> (w 2019 r. nieznacznie wzrosła liczba osób</w:t>
      </w:r>
      <w:r w:rsidR="00560CEC" w:rsidRPr="00890249">
        <w:rPr>
          <w:rFonts w:asciiTheme="minorHAnsi" w:hAnsiTheme="minorHAnsi" w:cstheme="minorHAnsi"/>
          <w:sz w:val="22"/>
          <w:szCs w:val="22"/>
          <w:lang w:eastAsia="en-US" w:bidi="ar-SA"/>
        </w:rPr>
        <w:t xml:space="preserve"> </w:t>
      </w:r>
      <w:r w:rsidR="479C90FE" w:rsidRPr="00890249">
        <w:rPr>
          <w:rFonts w:asciiTheme="minorHAnsi" w:hAnsiTheme="minorHAnsi" w:cstheme="minorHAnsi"/>
          <w:sz w:val="22"/>
          <w:szCs w:val="22"/>
          <w:lang w:eastAsia="en-US" w:bidi="ar-SA"/>
        </w:rPr>
        <w:t>z</w:t>
      </w:r>
      <w:r w:rsidR="4A53021B" w:rsidRPr="00890249">
        <w:rPr>
          <w:rFonts w:asciiTheme="minorHAnsi" w:hAnsiTheme="minorHAnsi" w:cstheme="minorHAnsi"/>
          <w:sz w:val="22"/>
          <w:szCs w:val="22"/>
          <w:lang w:eastAsia="en-US" w:bidi="ar-SA"/>
        </w:rPr>
        <w:t> </w:t>
      </w:r>
      <w:r w:rsidR="479C90FE" w:rsidRPr="00890249">
        <w:rPr>
          <w:rFonts w:asciiTheme="minorHAnsi" w:hAnsiTheme="minorHAnsi" w:cstheme="minorHAnsi"/>
          <w:sz w:val="22"/>
          <w:szCs w:val="22"/>
          <w:lang w:eastAsia="en-US" w:bidi="ar-SA"/>
        </w:rPr>
        <w:t xml:space="preserve">niepełnosprawnościami korzystających z usług świadczonych w </w:t>
      </w:r>
      <w:r w:rsidR="00F934ED" w:rsidRPr="00890249">
        <w:rPr>
          <w:rFonts w:asciiTheme="minorHAnsi" w:hAnsiTheme="minorHAnsi" w:cstheme="minorHAnsi"/>
          <w:sz w:val="22"/>
          <w:szCs w:val="22"/>
          <w:lang w:eastAsia="en-US" w:bidi="ar-SA"/>
        </w:rPr>
        <w:t>ZAZ</w:t>
      </w:r>
      <w:r w:rsidR="479C90FE" w:rsidRPr="00890249">
        <w:rPr>
          <w:rFonts w:asciiTheme="minorHAnsi" w:hAnsiTheme="minorHAnsi" w:cstheme="minorHAnsi"/>
          <w:sz w:val="22"/>
          <w:szCs w:val="22"/>
          <w:lang w:eastAsia="en-US" w:bidi="ar-SA"/>
        </w:rPr>
        <w:t xml:space="preserve"> i</w:t>
      </w:r>
      <w:r w:rsidR="4A53021B" w:rsidRPr="00890249">
        <w:rPr>
          <w:rFonts w:asciiTheme="minorHAnsi" w:hAnsiTheme="minorHAnsi" w:cstheme="minorHAnsi"/>
          <w:sz w:val="22"/>
          <w:szCs w:val="22"/>
          <w:lang w:eastAsia="en-US" w:bidi="ar-SA"/>
        </w:rPr>
        <w:t> </w:t>
      </w:r>
      <w:r w:rsidR="479C90FE" w:rsidRPr="00890249">
        <w:rPr>
          <w:rFonts w:asciiTheme="minorHAnsi" w:hAnsiTheme="minorHAnsi" w:cstheme="minorHAnsi"/>
          <w:sz w:val="22"/>
          <w:szCs w:val="22"/>
          <w:lang w:eastAsia="en-US" w:bidi="ar-SA"/>
        </w:rPr>
        <w:t xml:space="preserve"> </w:t>
      </w:r>
      <w:r w:rsidR="00F934ED" w:rsidRPr="00890249">
        <w:rPr>
          <w:rFonts w:asciiTheme="minorHAnsi" w:hAnsiTheme="minorHAnsi" w:cstheme="minorHAnsi"/>
          <w:sz w:val="22"/>
          <w:szCs w:val="22"/>
          <w:lang w:eastAsia="en-US" w:bidi="ar-SA"/>
        </w:rPr>
        <w:t>WTZ</w:t>
      </w:r>
      <w:r w:rsidR="479C90FE" w:rsidRPr="00890249">
        <w:rPr>
          <w:rFonts w:asciiTheme="minorHAnsi" w:hAnsiTheme="minorHAnsi" w:cstheme="minorHAnsi"/>
          <w:sz w:val="22"/>
          <w:szCs w:val="22"/>
          <w:lang w:eastAsia="en-US" w:bidi="ar-SA"/>
        </w:rPr>
        <w:t>)</w:t>
      </w:r>
      <w:r w:rsidR="001B1466" w:rsidRPr="00890249">
        <w:rPr>
          <w:rFonts w:asciiTheme="minorHAnsi" w:hAnsiTheme="minorHAnsi" w:cstheme="minorHAnsi"/>
          <w:sz w:val="22"/>
          <w:szCs w:val="22"/>
          <w:vertAlign w:val="superscript"/>
          <w:lang w:eastAsia="en-US" w:bidi="ar-SA"/>
        </w:rPr>
        <w:footnoteReference w:id="185"/>
      </w:r>
      <w:r w:rsidR="0AD9CB38" w:rsidRPr="00890249">
        <w:rPr>
          <w:rFonts w:asciiTheme="minorHAnsi" w:hAnsiTheme="minorHAnsi" w:cstheme="minorHAnsi"/>
          <w:sz w:val="22"/>
          <w:szCs w:val="22"/>
          <w:lang w:eastAsia="en-US" w:bidi="ar-SA"/>
        </w:rPr>
        <w:t>, stąd konieczne jest wsparcie tworzenia tego typu podmiotów</w:t>
      </w:r>
      <w:r w:rsidR="006B34A6">
        <w:rPr>
          <w:rFonts w:asciiTheme="minorHAnsi" w:hAnsiTheme="minorHAnsi" w:cstheme="minorHAnsi"/>
          <w:sz w:val="22"/>
          <w:szCs w:val="22"/>
          <w:lang w:eastAsia="en-US" w:bidi="ar-SA"/>
        </w:rPr>
        <w:t xml:space="preserve"> </w:t>
      </w:r>
      <w:r w:rsidR="0AD9CB38" w:rsidRPr="00890249">
        <w:rPr>
          <w:rFonts w:asciiTheme="minorHAnsi" w:hAnsiTheme="minorHAnsi" w:cstheme="minorHAnsi"/>
          <w:sz w:val="22"/>
          <w:szCs w:val="22"/>
          <w:lang w:eastAsia="en-US" w:bidi="ar-SA"/>
        </w:rPr>
        <w:t>oraz dofinansowanie prowadzonej przez nie reintegracji społeczn</w:t>
      </w:r>
      <w:r w:rsidR="04B98205" w:rsidRPr="00890249">
        <w:rPr>
          <w:rFonts w:asciiTheme="minorHAnsi" w:hAnsiTheme="minorHAnsi" w:cstheme="minorHAnsi"/>
          <w:sz w:val="22"/>
          <w:szCs w:val="22"/>
          <w:lang w:eastAsia="en-US" w:bidi="ar-SA"/>
        </w:rPr>
        <w:t>o-</w:t>
      </w:r>
      <w:r w:rsidR="0AD9CB38" w:rsidRPr="00890249">
        <w:rPr>
          <w:rFonts w:asciiTheme="minorHAnsi" w:hAnsiTheme="minorHAnsi" w:cstheme="minorHAnsi"/>
          <w:sz w:val="22"/>
          <w:szCs w:val="22"/>
          <w:lang w:eastAsia="en-US" w:bidi="ar-SA"/>
        </w:rPr>
        <w:t xml:space="preserve">zawodowej. </w:t>
      </w:r>
    </w:p>
    <w:p w14:paraId="42DB65EB" w14:textId="4C8FDA8F" w:rsidR="0093433C" w:rsidRPr="00890249" w:rsidRDefault="05C24C76" w:rsidP="007300D6">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aktywizacji zawodowej służącej wejściu na otwarty rynek pracy najwięcej t</w:t>
      </w:r>
      <w:r w:rsidR="008C67B3">
        <w:rPr>
          <w:rFonts w:asciiTheme="minorHAnsi" w:hAnsiTheme="minorHAnsi" w:cstheme="minorHAnsi"/>
          <w:sz w:val="22"/>
          <w:szCs w:val="22"/>
          <w:lang w:eastAsia="en-US" w:bidi="ar-SA"/>
        </w:rPr>
        <w:t>rudności dotyczy osób z </w:t>
      </w:r>
      <w:r w:rsidRPr="00890249">
        <w:rPr>
          <w:rFonts w:asciiTheme="minorHAnsi" w:hAnsiTheme="minorHAnsi" w:cstheme="minorHAnsi"/>
          <w:sz w:val="22"/>
          <w:szCs w:val="22"/>
          <w:lang w:eastAsia="en-US" w:bidi="ar-SA"/>
        </w:rPr>
        <w:t>umiarkowanym</w:t>
      </w:r>
      <w:r w:rsidR="009B6F07" w:rsidRPr="00890249">
        <w:rPr>
          <w:rFonts w:asciiTheme="minorHAnsi" w:hAnsiTheme="minorHAnsi" w:cstheme="minorHAnsi"/>
          <w:sz w:val="22"/>
          <w:szCs w:val="22"/>
          <w:lang w:eastAsia="en-US" w:bidi="ar-SA"/>
        </w:rPr>
        <w:t xml:space="preserve"> i znacznym</w:t>
      </w:r>
      <w:r w:rsidRPr="00890249">
        <w:rPr>
          <w:rFonts w:asciiTheme="minorHAnsi" w:hAnsiTheme="minorHAnsi" w:cstheme="minorHAnsi"/>
          <w:sz w:val="22"/>
          <w:szCs w:val="22"/>
          <w:lang w:eastAsia="en-US" w:bidi="ar-SA"/>
        </w:rPr>
        <w:t xml:space="preserve"> stopniem niepełnosprawności.</w:t>
      </w:r>
      <w:r w:rsidR="00C75449" w:rsidRPr="00890249" w:rsidDel="00C75449">
        <w:rPr>
          <w:rStyle w:val="Odwoaniedokomentarza"/>
          <w:rFonts w:asciiTheme="minorHAnsi" w:eastAsiaTheme="minorHAnsi" w:hAnsiTheme="minorHAnsi" w:cstheme="minorHAnsi"/>
          <w:sz w:val="22"/>
          <w:szCs w:val="22"/>
          <w:lang w:eastAsia="en-US" w:bidi="ar-SA"/>
        </w:rPr>
        <w:t xml:space="preserve"> </w:t>
      </w:r>
      <w:r w:rsidR="5542BBBA" w:rsidRPr="00890249">
        <w:rPr>
          <w:rFonts w:asciiTheme="minorHAnsi" w:hAnsiTheme="minorHAnsi" w:cstheme="minorHAnsi"/>
          <w:sz w:val="22"/>
          <w:szCs w:val="22"/>
          <w:lang w:eastAsia="en-US" w:bidi="ar-SA"/>
        </w:rPr>
        <w:t xml:space="preserve"> </w:t>
      </w:r>
      <w:r w:rsidR="00FD39AF" w:rsidRPr="00890249">
        <w:rPr>
          <w:rFonts w:asciiTheme="minorHAnsi" w:hAnsiTheme="minorHAnsi" w:cstheme="minorHAnsi"/>
          <w:sz w:val="22"/>
          <w:szCs w:val="22"/>
          <w:lang w:eastAsia="en-US" w:bidi="ar-SA"/>
        </w:rPr>
        <w:t xml:space="preserve">W </w:t>
      </w:r>
      <w:r w:rsidR="5542BBBA" w:rsidRPr="00890249">
        <w:rPr>
          <w:rFonts w:asciiTheme="minorHAnsi" w:hAnsiTheme="minorHAnsi" w:cstheme="minorHAnsi"/>
          <w:sz w:val="22"/>
          <w:szCs w:val="22"/>
          <w:lang w:eastAsia="en-US" w:bidi="ar-SA"/>
        </w:rPr>
        <w:t xml:space="preserve">przypadku </w:t>
      </w:r>
      <w:r w:rsidR="009B6F07" w:rsidRPr="00890249">
        <w:rPr>
          <w:rFonts w:asciiTheme="minorHAnsi" w:hAnsiTheme="minorHAnsi" w:cstheme="minorHAnsi"/>
          <w:sz w:val="22"/>
          <w:szCs w:val="22"/>
          <w:lang w:eastAsia="en-US" w:bidi="ar-SA"/>
        </w:rPr>
        <w:t>tych osób</w:t>
      </w:r>
      <w:r w:rsidR="00560CEC" w:rsidRPr="00890249">
        <w:rPr>
          <w:rFonts w:asciiTheme="minorHAnsi" w:hAnsiTheme="minorHAnsi" w:cstheme="minorHAnsi"/>
          <w:sz w:val="22"/>
          <w:szCs w:val="22"/>
          <w:lang w:eastAsia="en-US" w:bidi="ar-SA"/>
        </w:rPr>
        <w:t xml:space="preserve"> </w:t>
      </w:r>
      <w:r w:rsidR="5542BBBA" w:rsidRPr="00890249">
        <w:rPr>
          <w:rFonts w:asciiTheme="minorHAnsi" w:hAnsiTheme="minorHAnsi" w:cstheme="minorHAnsi"/>
          <w:sz w:val="22"/>
          <w:szCs w:val="22"/>
          <w:lang w:eastAsia="en-US" w:bidi="ar-SA"/>
        </w:rPr>
        <w:t>zasadnym jest wsparcie oferowane głównie przez ZAZ oraz WTZ</w:t>
      </w:r>
      <w:r w:rsidR="299A87F4" w:rsidRPr="00890249">
        <w:rPr>
          <w:rFonts w:asciiTheme="minorHAnsi" w:hAnsiTheme="minorHAnsi" w:cstheme="minorHAnsi"/>
          <w:sz w:val="22"/>
          <w:szCs w:val="22"/>
          <w:lang w:eastAsia="en-US" w:bidi="ar-SA"/>
        </w:rPr>
        <w:t>, przy czym nie będą one podstawowymi formami wsparcia</w:t>
      </w:r>
      <w:r w:rsidR="4EFCC4ED" w:rsidRPr="00890249">
        <w:rPr>
          <w:rFonts w:asciiTheme="minorHAnsi" w:hAnsiTheme="minorHAnsi" w:cstheme="minorHAnsi"/>
          <w:sz w:val="22"/>
          <w:szCs w:val="22"/>
          <w:lang w:eastAsia="en-US" w:bidi="ar-SA"/>
        </w:rPr>
        <w:t xml:space="preserve"> dla ww. grup.</w:t>
      </w:r>
      <w:r w:rsidR="5542BBBA" w:rsidRPr="00890249">
        <w:rPr>
          <w:rFonts w:asciiTheme="minorHAnsi" w:hAnsiTheme="minorHAnsi" w:cstheme="minorHAnsi"/>
          <w:sz w:val="22"/>
          <w:szCs w:val="22"/>
          <w:lang w:eastAsia="en-US" w:bidi="ar-SA"/>
        </w:rPr>
        <w:t xml:space="preserve"> Z a</w:t>
      </w:r>
      <w:r w:rsidR="6DC45AEE" w:rsidRPr="00890249">
        <w:rPr>
          <w:rFonts w:asciiTheme="minorHAnsi" w:hAnsiTheme="minorHAnsi" w:cstheme="minorHAnsi"/>
          <w:sz w:val="22"/>
          <w:szCs w:val="22"/>
          <w:lang w:eastAsia="en-US" w:bidi="ar-SA"/>
        </w:rPr>
        <w:t>nalizy</w:t>
      </w:r>
      <w:r w:rsidR="5542BBBA" w:rsidRPr="00890249">
        <w:rPr>
          <w:rFonts w:asciiTheme="minorHAnsi" w:hAnsiTheme="minorHAnsi" w:cstheme="minorHAnsi"/>
          <w:sz w:val="22"/>
          <w:szCs w:val="22"/>
          <w:lang w:eastAsia="en-US" w:bidi="ar-SA"/>
        </w:rPr>
        <w:t xml:space="preserve"> barier osób </w:t>
      </w:r>
      <w:r w:rsidR="17B63A63" w:rsidRPr="00890249">
        <w:rPr>
          <w:rFonts w:asciiTheme="minorHAnsi" w:hAnsiTheme="minorHAnsi" w:cstheme="minorHAnsi"/>
          <w:sz w:val="22"/>
          <w:szCs w:val="22"/>
          <w:lang w:eastAsia="en-US" w:bidi="ar-SA"/>
        </w:rPr>
        <w:t>z niepełnosprawnościami</w:t>
      </w:r>
      <w:r w:rsidR="5542BBBA" w:rsidRPr="00890249">
        <w:rPr>
          <w:rFonts w:asciiTheme="minorHAnsi" w:hAnsiTheme="minorHAnsi" w:cstheme="minorHAnsi"/>
          <w:sz w:val="22"/>
          <w:szCs w:val="22"/>
          <w:lang w:eastAsia="en-US" w:bidi="ar-SA"/>
        </w:rPr>
        <w:t xml:space="preserve"> w regionie wynika, że p</w:t>
      </w:r>
      <w:r w:rsidR="6DC45AEE" w:rsidRPr="00890249">
        <w:rPr>
          <w:rFonts w:asciiTheme="minorHAnsi" w:hAnsiTheme="minorHAnsi" w:cstheme="minorHAnsi"/>
          <w:sz w:val="22"/>
          <w:szCs w:val="22"/>
          <w:lang w:eastAsia="en-US" w:bidi="ar-SA"/>
        </w:rPr>
        <w:t>rzyczynami</w:t>
      </w:r>
      <w:r w:rsidR="5542BBBA" w:rsidRPr="00890249">
        <w:rPr>
          <w:rFonts w:asciiTheme="minorHAnsi" w:hAnsiTheme="minorHAnsi" w:cstheme="minorHAnsi"/>
          <w:sz w:val="22"/>
          <w:szCs w:val="22"/>
          <w:lang w:eastAsia="en-US" w:bidi="ar-SA"/>
        </w:rPr>
        <w:t xml:space="preserve"> ich niskiej aktywnoś</w:t>
      </w:r>
      <w:r w:rsidR="6DC45AEE" w:rsidRPr="00890249">
        <w:rPr>
          <w:rFonts w:asciiTheme="minorHAnsi" w:hAnsiTheme="minorHAnsi" w:cstheme="minorHAnsi"/>
          <w:sz w:val="22"/>
          <w:szCs w:val="22"/>
          <w:lang w:eastAsia="en-US" w:bidi="ar-SA"/>
        </w:rPr>
        <w:t xml:space="preserve">ci zawodowej są: </w:t>
      </w:r>
      <w:r w:rsidR="17B63A63" w:rsidRPr="00890249">
        <w:rPr>
          <w:rFonts w:asciiTheme="minorHAnsi" w:hAnsiTheme="minorHAnsi" w:cstheme="minorHAnsi"/>
          <w:sz w:val="22"/>
          <w:szCs w:val="22"/>
          <w:lang w:eastAsia="en-US" w:bidi="ar-SA"/>
        </w:rPr>
        <w:t>m.in.</w:t>
      </w:r>
      <w:r w:rsidR="5542BBBA" w:rsidRPr="00890249">
        <w:rPr>
          <w:rFonts w:asciiTheme="minorHAnsi" w:hAnsiTheme="minorHAnsi" w:cstheme="minorHAnsi"/>
          <w:sz w:val="22"/>
          <w:szCs w:val="22"/>
          <w:lang w:eastAsia="en-US" w:bidi="ar-SA"/>
        </w:rPr>
        <w:t xml:space="preserve"> stan zdrowia, uwarunkowania psychologiczne, </w:t>
      </w:r>
      <w:r w:rsidR="6DC45AEE" w:rsidRPr="00890249">
        <w:rPr>
          <w:rFonts w:asciiTheme="minorHAnsi" w:hAnsiTheme="minorHAnsi" w:cstheme="minorHAnsi"/>
          <w:sz w:val="22"/>
          <w:szCs w:val="22"/>
          <w:lang w:eastAsia="en-US" w:bidi="ar-SA"/>
        </w:rPr>
        <w:t xml:space="preserve">niższa produktywność oraz bariery bezpośrednio związane z </w:t>
      </w:r>
      <w:r w:rsidR="17B63A63" w:rsidRPr="00890249">
        <w:rPr>
          <w:rFonts w:asciiTheme="minorHAnsi" w:hAnsiTheme="minorHAnsi" w:cstheme="minorHAnsi"/>
          <w:sz w:val="22"/>
          <w:szCs w:val="22"/>
          <w:lang w:eastAsia="en-US" w:bidi="ar-SA"/>
        </w:rPr>
        <w:t>niepełnosprawnością</w:t>
      </w:r>
      <w:r w:rsidR="6DC45AEE" w:rsidRPr="00890249">
        <w:rPr>
          <w:rFonts w:asciiTheme="minorHAnsi" w:hAnsiTheme="minorHAnsi" w:cstheme="minorHAnsi"/>
          <w:sz w:val="22"/>
          <w:szCs w:val="22"/>
          <w:lang w:eastAsia="en-US" w:bidi="ar-SA"/>
        </w:rPr>
        <w:t>, bariery po stronie pracodawców,</w:t>
      </w:r>
      <w:r w:rsidR="6DC45AEE" w:rsidRPr="00890249">
        <w:rPr>
          <w:rFonts w:asciiTheme="minorHAnsi" w:hAnsiTheme="minorHAnsi" w:cstheme="minorHAnsi"/>
          <w:b/>
          <w:bCs/>
          <w:sz w:val="22"/>
          <w:szCs w:val="22"/>
          <w:lang w:eastAsia="en-US" w:bidi="ar-SA"/>
        </w:rPr>
        <w:t xml:space="preserve"> </w:t>
      </w:r>
      <w:r w:rsidR="79AF501C" w:rsidRPr="00890249">
        <w:rPr>
          <w:rFonts w:asciiTheme="minorHAnsi" w:hAnsiTheme="minorHAnsi" w:cstheme="minorHAnsi"/>
          <w:sz w:val="22"/>
          <w:szCs w:val="22"/>
          <w:lang w:eastAsia="en-US" w:bidi="ar-SA"/>
        </w:rPr>
        <w:t>b</w:t>
      </w:r>
      <w:r w:rsidR="6DC45AEE" w:rsidRPr="00890249">
        <w:rPr>
          <w:rFonts w:asciiTheme="minorHAnsi" w:hAnsiTheme="minorHAnsi" w:cstheme="minorHAnsi"/>
          <w:sz w:val="22"/>
          <w:szCs w:val="22"/>
          <w:lang w:eastAsia="en-US" w:bidi="ar-SA"/>
        </w:rPr>
        <w:t>ariery po stronie rodzin osób niepeł</w:t>
      </w:r>
      <w:r w:rsidR="21B95A22" w:rsidRPr="00890249">
        <w:rPr>
          <w:rFonts w:asciiTheme="minorHAnsi" w:hAnsiTheme="minorHAnsi" w:cstheme="minorHAnsi"/>
          <w:sz w:val="22"/>
          <w:szCs w:val="22"/>
          <w:lang w:eastAsia="en-US" w:bidi="ar-SA"/>
        </w:rPr>
        <w:t xml:space="preserve">nosprawnych oraz obawa </w:t>
      </w:r>
      <w:r w:rsidR="6DC45AEE" w:rsidRPr="00890249">
        <w:rPr>
          <w:rFonts w:asciiTheme="minorHAnsi" w:hAnsiTheme="minorHAnsi" w:cstheme="minorHAnsi"/>
          <w:sz w:val="22"/>
          <w:szCs w:val="22"/>
          <w:lang w:eastAsia="en-US" w:bidi="ar-SA"/>
        </w:rPr>
        <w:t>przed utratą świadczeń</w:t>
      </w:r>
      <w:r w:rsidR="21B95A22" w:rsidRPr="00890249">
        <w:rPr>
          <w:rFonts w:asciiTheme="minorHAnsi" w:hAnsiTheme="minorHAnsi" w:cstheme="minorHAnsi"/>
          <w:sz w:val="22"/>
          <w:szCs w:val="22"/>
          <w:lang w:eastAsia="en-US" w:bidi="ar-SA"/>
        </w:rPr>
        <w:t xml:space="preserve"> i </w:t>
      </w:r>
      <w:r w:rsidR="6DC45AEE" w:rsidRPr="00890249">
        <w:rPr>
          <w:rFonts w:asciiTheme="minorHAnsi" w:hAnsiTheme="minorHAnsi" w:cstheme="minorHAnsi"/>
          <w:sz w:val="22"/>
          <w:szCs w:val="22"/>
          <w:lang w:eastAsia="en-US" w:bidi="ar-SA"/>
        </w:rPr>
        <w:t>przed dodatkowymi obowiązkami zwią</w:t>
      </w:r>
      <w:r w:rsidR="21B95A22" w:rsidRPr="00890249">
        <w:rPr>
          <w:rFonts w:asciiTheme="minorHAnsi" w:hAnsiTheme="minorHAnsi" w:cstheme="minorHAnsi"/>
          <w:sz w:val="22"/>
          <w:szCs w:val="22"/>
          <w:lang w:eastAsia="en-US" w:bidi="ar-SA"/>
        </w:rPr>
        <w:t>zanym</w:t>
      </w:r>
      <w:r w:rsidR="00F934ED" w:rsidRPr="00890249">
        <w:rPr>
          <w:rFonts w:asciiTheme="minorHAnsi" w:hAnsiTheme="minorHAnsi" w:cstheme="minorHAnsi"/>
          <w:sz w:val="22"/>
          <w:szCs w:val="22"/>
          <w:lang w:eastAsia="en-US" w:bidi="ar-SA"/>
        </w:rPr>
        <w:t>i</w:t>
      </w:r>
      <w:r w:rsidR="21B95A22" w:rsidRPr="00890249">
        <w:rPr>
          <w:rFonts w:asciiTheme="minorHAnsi" w:hAnsiTheme="minorHAnsi" w:cstheme="minorHAnsi"/>
          <w:sz w:val="22"/>
          <w:szCs w:val="22"/>
          <w:lang w:eastAsia="en-US" w:bidi="ar-SA"/>
        </w:rPr>
        <w:t xml:space="preserve"> z pracą</w:t>
      </w:r>
      <w:r w:rsidR="6DC45AEE" w:rsidRPr="00890249">
        <w:rPr>
          <w:rFonts w:asciiTheme="minorHAnsi" w:hAnsiTheme="minorHAnsi" w:cstheme="minorHAnsi"/>
          <w:sz w:val="22"/>
          <w:szCs w:val="22"/>
          <w:lang w:eastAsia="en-US" w:bidi="ar-SA"/>
        </w:rPr>
        <w:t xml:space="preserve"> niepełnosprawnego członka</w:t>
      </w:r>
      <w:r w:rsidR="21B95A22" w:rsidRPr="00890249">
        <w:rPr>
          <w:rFonts w:asciiTheme="minorHAnsi" w:hAnsiTheme="minorHAnsi" w:cstheme="minorHAnsi"/>
          <w:b/>
          <w:bCs/>
          <w:sz w:val="22"/>
          <w:szCs w:val="22"/>
          <w:lang w:eastAsia="en-US" w:bidi="ar-SA"/>
        </w:rPr>
        <w:t xml:space="preserve"> </w:t>
      </w:r>
      <w:r w:rsidR="6DC45AEE" w:rsidRPr="00890249">
        <w:rPr>
          <w:rFonts w:asciiTheme="minorHAnsi" w:hAnsiTheme="minorHAnsi" w:cstheme="minorHAnsi"/>
          <w:sz w:val="22"/>
          <w:szCs w:val="22"/>
          <w:lang w:eastAsia="en-US" w:bidi="ar-SA"/>
        </w:rPr>
        <w:t>rodziny</w:t>
      </w:r>
      <w:r w:rsidR="79AF501C" w:rsidRPr="00890249">
        <w:rPr>
          <w:rFonts w:asciiTheme="minorHAnsi" w:hAnsiTheme="minorHAnsi" w:cstheme="minorHAnsi"/>
          <w:sz w:val="22"/>
          <w:szCs w:val="22"/>
          <w:lang w:eastAsia="en-US" w:bidi="ar-SA"/>
        </w:rPr>
        <w:t>.</w:t>
      </w:r>
      <w:r w:rsidR="00885C71" w:rsidRPr="00890249">
        <w:rPr>
          <w:rFonts w:asciiTheme="minorHAnsi" w:hAnsiTheme="minorHAnsi" w:cstheme="minorHAnsi"/>
          <w:sz w:val="22"/>
          <w:szCs w:val="22"/>
          <w:lang w:eastAsia="en-US" w:bidi="ar-SA"/>
        </w:rPr>
        <w:t xml:space="preserve"> </w:t>
      </w:r>
    </w:p>
    <w:p w14:paraId="724BB31F" w14:textId="71082C9A" w:rsidR="0093433C" w:rsidRPr="00890249" w:rsidRDefault="00885C71"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w ramach ZAZ może być udzielane przez określony czas (1-2 lata wsparcia dla uczestnika) i </w:t>
      </w:r>
      <w:r w:rsidR="003A5AA7" w:rsidRPr="00890249">
        <w:rPr>
          <w:rFonts w:asciiTheme="minorHAnsi" w:hAnsiTheme="minorHAnsi" w:cstheme="minorHAnsi"/>
          <w:iCs/>
          <w:sz w:val="22"/>
          <w:szCs w:val="22"/>
        </w:rPr>
        <w:t>z założeniem</w:t>
      </w:r>
      <w:r w:rsidRPr="00890249">
        <w:rPr>
          <w:rFonts w:asciiTheme="minorHAnsi" w:hAnsiTheme="minorHAnsi" w:cstheme="minorHAnsi"/>
          <w:sz w:val="22"/>
          <w:szCs w:val="22"/>
          <w:lang w:eastAsia="en-US" w:bidi="ar-SA"/>
        </w:rPr>
        <w:t>, że 5-10% uczestników ZAZ wejdzie na otwarty rynek pracy/zarejestruje się w PUP.</w:t>
      </w:r>
    </w:p>
    <w:p w14:paraId="4F5A09AB" w14:textId="69FBC25D" w:rsidR="0093433C" w:rsidRPr="00890249" w:rsidRDefault="3912B22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Aktywizacja społeczno-zawodowa osób z niepełnosprawnościami będzie udzielana zgodnie </w:t>
      </w:r>
      <w:r w:rsidR="0061741A" w:rsidRPr="00890249">
        <w:rPr>
          <w:rFonts w:asciiTheme="minorHAnsi" w:eastAsiaTheme="minorHAnsi" w:hAnsiTheme="minorHAnsi" w:cstheme="minorHAnsi"/>
          <w:bCs/>
          <w:sz w:val="22"/>
          <w:szCs w:val="22"/>
          <w:lang w:eastAsia="en-US" w:bidi="ar-SA"/>
        </w:rPr>
        <w:br/>
      </w:r>
      <w:r w:rsidRPr="00890249">
        <w:rPr>
          <w:rFonts w:asciiTheme="minorHAnsi" w:hAnsiTheme="minorHAnsi" w:cstheme="minorHAnsi"/>
          <w:sz w:val="22"/>
          <w:szCs w:val="22"/>
          <w:lang w:eastAsia="en-US" w:bidi="ar-SA"/>
        </w:rPr>
        <w:t xml:space="preserve">z </w:t>
      </w:r>
      <w:r w:rsidR="79AF501C" w:rsidRPr="00890249">
        <w:rPr>
          <w:rFonts w:asciiTheme="minorHAnsi" w:hAnsiTheme="minorHAnsi" w:cstheme="minorHAnsi"/>
          <w:i/>
          <w:iCs/>
          <w:sz w:val="22"/>
          <w:szCs w:val="22"/>
          <w:lang w:eastAsia="en-US" w:bidi="ar-SA"/>
        </w:rPr>
        <w:t>Konwencją ONZ o prawach osób niepełnosprawnych</w:t>
      </w:r>
      <w:r w:rsidR="00685684" w:rsidRPr="00890249">
        <w:rPr>
          <w:rStyle w:val="Odwoanieprzypisudolnego"/>
          <w:rFonts w:asciiTheme="minorHAnsi" w:eastAsiaTheme="minorEastAsia" w:hAnsiTheme="minorHAnsi" w:cstheme="minorHAnsi"/>
          <w:i/>
          <w:iCs/>
          <w:sz w:val="22"/>
          <w:szCs w:val="22"/>
          <w:lang w:eastAsia="en-US" w:bidi="ar-SA"/>
        </w:rPr>
        <w:footnoteReference w:id="186"/>
      </w:r>
      <w:r w:rsidR="05C24C76" w:rsidRPr="00890249">
        <w:rPr>
          <w:rFonts w:asciiTheme="minorHAnsi" w:hAnsiTheme="minorHAnsi" w:cstheme="minorHAnsi"/>
          <w:i/>
          <w:iCs/>
          <w:sz w:val="22"/>
          <w:szCs w:val="22"/>
          <w:lang w:eastAsia="en-US" w:bidi="ar-SA"/>
        </w:rPr>
        <w:t>,</w:t>
      </w:r>
      <w:r w:rsidR="05C24C76" w:rsidRPr="00890249">
        <w:rPr>
          <w:rFonts w:asciiTheme="minorHAnsi" w:hAnsiTheme="minorHAnsi" w:cstheme="minorHAnsi"/>
          <w:sz w:val="22"/>
          <w:szCs w:val="22"/>
          <w:lang w:eastAsia="en-US" w:bidi="ar-SA"/>
        </w:rPr>
        <w:t xml:space="preserve"> co oznacza, że działania koncentrować </w:t>
      </w:r>
      <w:r w:rsidR="001E78FE" w:rsidRPr="00890249">
        <w:rPr>
          <w:rFonts w:asciiTheme="minorHAnsi" w:hAnsiTheme="minorHAnsi" w:cstheme="minorHAnsi"/>
          <w:sz w:val="22"/>
          <w:szCs w:val="22"/>
          <w:lang w:eastAsia="en-US" w:bidi="ar-SA"/>
        </w:rPr>
        <w:t xml:space="preserve">się </w:t>
      </w:r>
      <w:r w:rsidR="05C24C76" w:rsidRPr="00890249">
        <w:rPr>
          <w:rFonts w:asciiTheme="minorHAnsi" w:hAnsiTheme="minorHAnsi" w:cstheme="minorHAnsi"/>
          <w:sz w:val="22"/>
          <w:szCs w:val="22"/>
          <w:lang w:eastAsia="en-US" w:bidi="ar-SA"/>
        </w:rPr>
        <w:t>będą na promowaniu otwartego rynku pracy dla osób z niepełnosprawnościami</w:t>
      </w:r>
      <w:r w:rsidRPr="00890249">
        <w:rPr>
          <w:rFonts w:asciiTheme="minorHAnsi" w:hAnsiTheme="minorHAnsi" w:cstheme="minorHAnsi"/>
          <w:sz w:val="22"/>
          <w:szCs w:val="22"/>
          <w:lang w:eastAsia="en-US" w:bidi="ar-SA"/>
        </w:rPr>
        <w:t>.</w:t>
      </w:r>
      <w:r w:rsidR="4E9FCDC5" w:rsidRPr="00890249">
        <w:rPr>
          <w:rFonts w:asciiTheme="minorHAnsi" w:hAnsiTheme="minorHAnsi" w:cstheme="minorHAnsi"/>
          <w:sz w:val="22"/>
          <w:szCs w:val="22"/>
          <w:lang w:eastAsia="en-US" w:bidi="ar-SA"/>
        </w:rPr>
        <w:t xml:space="preserve"> W ramach Programu nie będzie finansowane wsparcie powodujące segregację społeczną i przestrzenną osób zagrożonych ubóstwem lub wykluczeniem społecznym, w tym zwłaszcza z niepełnosprawnościami.</w:t>
      </w:r>
    </w:p>
    <w:p w14:paraId="2DC7DA66" w14:textId="77777777" w:rsidR="0093433C" w:rsidRPr="00890249" w:rsidRDefault="00E4013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w:t>
      </w:r>
      <w:r w:rsidR="00921370" w:rsidRPr="00890249">
        <w:rPr>
          <w:rFonts w:asciiTheme="minorHAnsi" w:hAnsiTheme="minorHAnsi" w:cstheme="minorHAnsi"/>
          <w:sz w:val="22"/>
          <w:szCs w:val="22"/>
          <w:lang w:eastAsia="en-US" w:bidi="ar-SA"/>
        </w:rPr>
        <w:t xml:space="preserve">lanowane jest </w:t>
      </w:r>
      <w:r w:rsidR="00850BA4" w:rsidRPr="00890249" w:rsidDel="00BB20B9">
        <w:rPr>
          <w:rFonts w:asciiTheme="minorHAnsi" w:hAnsiTheme="minorHAnsi" w:cstheme="minorHAnsi"/>
          <w:sz w:val="22"/>
          <w:szCs w:val="22"/>
          <w:lang w:eastAsia="en-US" w:bidi="ar-SA"/>
        </w:rPr>
        <w:t>w</w:t>
      </w:r>
      <w:r w:rsidR="00921370" w:rsidRPr="00890249">
        <w:rPr>
          <w:rFonts w:asciiTheme="minorHAnsi" w:hAnsiTheme="minorHAnsi" w:cstheme="minorHAnsi"/>
          <w:sz w:val="22"/>
          <w:szCs w:val="22"/>
          <w:lang w:eastAsia="en-US" w:bidi="ar-SA"/>
        </w:rPr>
        <w:t>zmocnienie</w:t>
      </w:r>
      <w:r w:rsidR="00FD52D4" w:rsidRPr="00890249">
        <w:rPr>
          <w:rFonts w:asciiTheme="minorHAnsi" w:hAnsiTheme="minorHAnsi" w:cstheme="minorHAnsi"/>
          <w:sz w:val="22"/>
          <w:szCs w:val="22"/>
          <w:lang w:eastAsia="en-US" w:bidi="ar-SA"/>
        </w:rPr>
        <w:t xml:space="preserve"> dialogu społecznego poprzez wsparcie</w:t>
      </w:r>
      <w:r w:rsidR="00850BA4" w:rsidRPr="00890249">
        <w:rPr>
          <w:rFonts w:asciiTheme="minorHAnsi" w:hAnsiTheme="minorHAnsi" w:cstheme="minorHAnsi"/>
          <w:sz w:val="22"/>
          <w:szCs w:val="22"/>
          <w:lang w:eastAsia="en-US" w:bidi="ar-SA"/>
        </w:rPr>
        <w:t xml:space="preserve"> potencja</w:t>
      </w:r>
      <w:r w:rsidR="00FD52D4" w:rsidRPr="00890249">
        <w:rPr>
          <w:rFonts w:asciiTheme="minorHAnsi" w:hAnsiTheme="minorHAnsi" w:cstheme="minorHAnsi"/>
          <w:sz w:val="22"/>
          <w:szCs w:val="22"/>
          <w:lang w:eastAsia="en-US" w:bidi="ar-SA"/>
        </w:rPr>
        <w:t xml:space="preserve">łu </w:t>
      </w:r>
      <w:r w:rsidR="004579FA" w:rsidRPr="00890249">
        <w:rPr>
          <w:rFonts w:asciiTheme="minorHAnsi" w:hAnsiTheme="minorHAnsi" w:cstheme="minorHAnsi"/>
          <w:sz w:val="22"/>
          <w:szCs w:val="22"/>
          <w:lang w:eastAsia="en-US" w:bidi="ar-SA"/>
        </w:rPr>
        <w:t xml:space="preserve">partnerów społecznych i </w:t>
      </w:r>
      <w:r w:rsidR="00FD52D4" w:rsidRPr="00890249">
        <w:rPr>
          <w:rFonts w:asciiTheme="minorHAnsi" w:hAnsiTheme="minorHAnsi" w:cstheme="minorHAnsi"/>
          <w:sz w:val="22"/>
          <w:szCs w:val="22"/>
          <w:lang w:eastAsia="en-US" w:bidi="ar-SA"/>
        </w:rPr>
        <w:t>podmiotów</w:t>
      </w:r>
      <w:r w:rsidR="00850BA4" w:rsidRPr="00890249" w:rsidDel="00BB20B9">
        <w:rPr>
          <w:rFonts w:asciiTheme="minorHAnsi" w:hAnsiTheme="minorHAnsi" w:cstheme="minorHAnsi"/>
          <w:sz w:val="22"/>
          <w:szCs w:val="22"/>
          <w:lang w:eastAsia="en-US" w:bidi="ar-SA"/>
        </w:rPr>
        <w:t xml:space="preserve"> społeczeństwa obywatelskiego</w:t>
      </w:r>
      <w:r w:rsidRPr="00890249">
        <w:rPr>
          <w:rFonts w:asciiTheme="minorHAnsi" w:hAnsiTheme="minorHAnsi" w:cstheme="minorHAnsi"/>
          <w:sz w:val="22"/>
          <w:szCs w:val="22"/>
          <w:lang w:eastAsia="en-US" w:bidi="ar-SA"/>
        </w:rPr>
        <w:t>. Zgodnie ze</w:t>
      </w:r>
      <w:r w:rsidRPr="00890249" w:rsidDel="00BB20B9">
        <w:rPr>
          <w:rFonts w:asciiTheme="minorHAnsi" w:hAnsiTheme="minorHAnsi" w:cstheme="minorHAnsi"/>
          <w:sz w:val="22"/>
          <w:szCs w:val="22"/>
          <w:lang w:eastAsia="en-US" w:bidi="ar-SA"/>
        </w:rPr>
        <w:t xml:space="preserve"> zdiagnozo</w:t>
      </w:r>
      <w:r w:rsidRPr="00890249">
        <w:rPr>
          <w:rFonts w:asciiTheme="minorHAnsi" w:hAnsiTheme="minorHAnsi" w:cstheme="minorHAnsi"/>
          <w:sz w:val="22"/>
          <w:szCs w:val="22"/>
          <w:lang w:eastAsia="en-US" w:bidi="ar-SA"/>
        </w:rPr>
        <w:t xml:space="preserve">wanymi oddolnymi problemami i potrzebami możliwe będą do realizacji działania służące poprawie funkcjonowania tych organizacji, działających w obszarach wskazanych we wszystkich celach szczegółowych niniejszego Programu.  </w:t>
      </w:r>
    </w:p>
    <w:p w14:paraId="17F37D8D" w14:textId="77777777" w:rsidR="0093433C" w:rsidRPr="00890249" w:rsidRDefault="001B1466"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typy przedsięwzięć:</w:t>
      </w:r>
    </w:p>
    <w:p w14:paraId="0BBF50DA" w14:textId="77777777" w:rsidR="001B1466" w:rsidRPr="00890249" w:rsidRDefault="001B1466" w:rsidP="009F296A">
      <w:pPr>
        <w:pStyle w:val="Akapitzlist"/>
        <w:numPr>
          <w:ilvl w:val="0"/>
          <w:numId w:val="18"/>
        </w:numPr>
        <w:ind w:left="284" w:hanging="284"/>
        <w:contextualSpacing w:val="0"/>
        <w:rPr>
          <w:rFonts w:asciiTheme="minorHAnsi" w:eastAsia="Times New Roman" w:hAnsiTheme="minorHAnsi" w:cstheme="minorHAnsi"/>
          <w:noProof/>
          <w:sz w:val="22"/>
          <w:szCs w:val="22"/>
        </w:rPr>
      </w:pPr>
      <w:r w:rsidRPr="00890249">
        <w:rPr>
          <w:rFonts w:asciiTheme="minorHAnsi" w:eastAsia="Times New Roman" w:hAnsiTheme="minorHAnsi" w:cstheme="minorHAnsi"/>
          <w:noProof/>
          <w:sz w:val="22"/>
          <w:szCs w:val="22"/>
        </w:rPr>
        <w:t>Wsparcie na rzecz minimalizowania wykluczenia społecznego realizowane  poprzez:</w:t>
      </w:r>
    </w:p>
    <w:p w14:paraId="50572E16" w14:textId="246A726F" w:rsidR="0093433C" w:rsidRPr="00890249" w:rsidRDefault="001B1466" w:rsidP="009F296A">
      <w:pPr>
        <w:pStyle w:val="Listapunktowana2"/>
        <w:numPr>
          <w:ilvl w:val="0"/>
          <w:numId w:val="19"/>
        </w:numPr>
        <w:ind w:left="567" w:hanging="283"/>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kompleksowe programy aktywizacji</w:t>
      </w:r>
      <w:r w:rsidR="00F55B41"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osób </w:t>
      </w:r>
      <w:r w:rsidR="00327413" w:rsidRPr="00890249">
        <w:rPr>
          <w:rFonts w:asciiTheme="minorHAnsi" w:hAnsiTheme="minorHAnsi" w:cstheme="minorHAnsi"/>
          <w:sz w:val="22"/>
          <w:szCs w:val="22"/>
          <w:lang w:eastAsia="en-US" w:bidi="ar-SA"/>
        </w:rPr>
        <w:t>biernych zawodowo oraz osób zagrożonych wykluczeniem społecznym i ubóstwem</w:t>
      </w:r>
      <w:r w:rsidR="00D9133F" w:rsidRPr="00890249">
        <w:rPr>
          <w:rFonts w:asciiTheme="minorHAnsi" w:hAnsiTheme="minorHAnsi" w:cstheme="minorHAnsi"/>
          <w:sz w:val="22"/>
          <w:szCs w:val="22"/>
          <w:lang w:eastAsia="en-US" w:bidi="ar-SA"/>
        </w:rPr>
        <w:t xml:space="preserve"> (aktywizacja sp</w:t>
      </w:r>
      <w:r w:rsidR="008C67B3">
        <w:rPr>
          <w:rFonts w:asciiTheme="minorHAnsi" w:hAnsiTheme="minorHAnsi" w:cstheme="minorHAnsi"/>
          <w:sz w:val="22"/>
          <w:szCs w:val="22"/>
          <w:lang w:eastAsia="en-US" w:bidi="ar-SA"/>
        </w:rPr>
        <w:t>ołeczna, zawodowa, edukacyjna i </w:t>
      </w:r>
      <w:r w:rsidR="00D9133F" w:rsidRPr="00890249">
        <w:rPr>
          <w:rFonts w:asciiTheme="minorHAnsi" w:hAnsiTheme="minorHAnsi" w:cstheme="minorHAnsi"/>
          <w:sz w:val="22"/>
          <w:szCs w:val="22"/>
          <w:lang w:eastAsia="en-US" w:bidi="ar-SA"/>
        </w:rPr>
        <w:t>zdrowotna)</w:t>
      </w:r>
      <w:r w:rsidRPr="00890249">
        <w:rPr>
          <w:rFonts w:asciiTheme="minorHAnsi" w:hAnsiTheme="minorHAnsi" w:cstheme="minorHAnsi"/>
          <w:sz w:val="22"/>
          <w:szCs w:val="22"/>
          <w:lang w:eastAsia="en-US" w:bidi="ar-SA"/>
        </w:rPr>
        <w:t>,</w:t>
      </w:r>
    </w:p>
    <w:p w14:paraId="1FFC0F35" w14:textId="16737F2F" w:rsidR="0093433C" w:rsidRPr="007C7077" w:rsidRDefault="0AD9CB38" w:rsidP="009F296A">
      <w:pPr>
        <w:pStyle w:val="Listapunktowana3"/>
        <w:numPr>
          <w:ilvl w:val="0"/>
          <w:numId w:val="19"/>
        </w:numPr>
        <w:ind w:left="567" w:hanging="283"/>
        <w:contextualSpacing w:val="0"/>
        <w:rPr>
          <w:rFonts w:asciiTheme="minorHAnsi" w:hAnsiTheme="minorHAnsi" w:cstheme="minorHAnsi"/>
          <w:sz w:val="22"/>
          <w:szCs w:val="22"/>
        </w:rPr>
      </w:pPr>
      <w:r w:rsidRPr="007C7077">
        <w:rPr>
          <w:rFonts w:asciiTheme="minorHAnsi" w:hAnsiTheme="minorHAnsi" w:cstheme="minorHAnsi"/>
          <w:sz w:val="22"/>
          <w:szCs w:val="22"/>
        </w:rPr>
        <w:lastRenderedPageBreak/>
        <w:t xml:space="preserve">usługi reintegracji społeczno-zawodowej realizowane w ramach </w:t>
      </w:r>
      <w:r w:rsidR="00FD39AF" w:rsidRPr="007C7077">
        <w:rPr>
          <w:rFonts w:asciiTheme="minorHAnsi" w:hAnsiTheme="minorHAnsi" w:cstheme="minorHAnsi"/>
          <w:sz w:val="22"/>
          <w:szCs w:val="22"/>
        </w:rPr>
        <w:t>CIS, KIS, WTZ</w:t>
      </w:r>
      <w:r w:rsidRPr="007C7077">
        <w:rPr>
          <w:rFonts w:asciiTheme="minorHAnsi" w:hAnsiTheme="minorHAnsi" w:cstheme="minorHAnsi"/>
          <w:sz w:val="22"/>
          <w:szCs w:val="22"/>
        </w:rPr>
        <w:t xml:space="preserve">, </w:t>
      </w:r>
      <w:r w:rsidR="00FD39AF" w:rsidRPr="007C7077">
        <w:rPr>
          <w:rFonts w:asciiTheme="minorHAnsi" w:hAnsiTheme="minorHAnsi" w:cstheme="minorHAnsi"/>
          <w:sz w:val="22"/>
          <w:szCs w:val="22"/>
        </w:rPr>
        <w:t>ZAZ</w:t>
      </w:r>
      <w:r w:rsidRPr="007C7077">
        <w:rPr>
          <w:rFonts w:asciiTheme="minorHAnsi" w:hAnsiTheme="minorHAnsi" w:cstheme="minorHAnsi"/>
          <w:sz w:val="22"/>
          <w:szCs w:val="22"/>
        </w:rPr>
        <w:t>,</w:t>
      </w:r>
      <w:r w:rsidR="008C67B3" w:rsidRPr="007C7077">
        <w:rPr>
          <w:rFonts w:asciiTheme="minorHAnsi" w:hAnsiTheme="minorHAnsi" w:cstheme="minorHAnsi"/>
          <w:sz w:val="22"/>
          <w:szCs w:val="22"/>
        </w:rPr>
        <w:t xml:space="preserve"> z </w:t>
      </w:r>
      <w:r w:rsidR="00320FBF" w:rsidRPr="007C7077">
        <w:rPr>
          <w:rFonts w:asciiTheme="minorHAnsi" w:hAnsiTheme="minorHAnsi" w:cstheme="minorHAnsi"/>
          <w:sz w:val="22"/>
          <w:szCs w:val="22"/>
        </w:rPr>
        <w:t>założeniem</w:t>
      </w:r>
      <w:r w:rsidR="007C7077">
        <w:rPr>
          <w:rFonts w:asciiTheme="minorHAnsi" w:hAnsiTheme="minorHAnsi" w:cstheme="minorHAnsi"/>
          <w:sz w:val="22"/>
          <w:szCs w:val="22"/>
        </w:rPr>
        <w:t xml:space="preserve"> </w:t>
      </w:r>
      <w:r w:rsidR="00994386" w:rsidRPr="007C7077">
        <w:rPr>
          <w:rFonts w:asciiTheme="minorHAnsi" w:hAnsiTheme="minorHAnsi" w:cstheme="minorHAnsi"/>
          <w:sz w:val="22"/>
          <w:szCs w:val="22"/>
        </w:rPr>
        <w:t>wsparci</w:t>
      </w:r>
      <w:r w:rsidR="00320FBF" w:rsidRPr="007C7077">
        <w:rPr>
          <w:rFonts w:asciiTheme="minorHAnsi" w:hAnsiTheme="minorHAnsi" w:cstheme="minorHAnsi"/>
          <w:sz w:val="22"/>
          <w:szCs w:val="22"/>
        </w:rPr>
        <w:t>a</w:t>
      </w:r>
      <w:r w:rsidR="00994386" w:rsidRPr="007C7077">
        <w:rPr>
          <w:rFonts w:asciiTheme="minorHAnsi" w:hAnsiTheme="minorHAnsi" w:cstheme="minorHAnsi"/>
          <w:sz w:val="22"/>
          <w:szCs w:val="22"/>
        </w:rPr>
        <w:t xml:space="preserve"> trwałego systemu aktywizacji zawodowej osób z niepełnosprawnościami, tj. ścieżki przejścia</w:t>
      </w:r>
      <w:r w:rsidR="00EA3AEF">
        <w:rPr>
          <w:rFonts w:asciiTheme="minorHAnsi" w:hAnsiTheme="minorHAnsi" w:cstheme="minorHAnsi"/>
          <w:sz w:val="22"/>
          <w:szCs w:val="22"/>
        </w:rPr>
        <w:t xml:space="preserve"> tych osób </w:t>
      </w:r>
      <w:r w:rsidR="00994386" w:rsidRPr="007C7077">
        <w:rPr>
          <w:rFonts w:asciiTheme="minorHAnsi" w:hAnsiTheme="minorHAnsi" w:cstheme="minorHAnsi"/>
          <w:sz w:val="22"/>
          <w:szCs w:val="22"/>
        </w:rPr>
        <w:t>na otwarty rynek pracy,</w:t>
      </w:r>
      <w:r w:rsidR="00EA3AEF">
        <w:rPr>
          <w:rFonts w:asciiTheme="minorHAnsi" w:hAnsiTheme="minorHAnsi" w:cstheme="minorHAnsi"/>
          <w:sz w:val="22"/>
          <w:szCs w:val="22"/>
        </w:rPr>
        <w:t xml:space="preserve"> w tym do przedsiębiorstw społecznych,</w:t>
      </w:r>
    </w:p>
    <w:p w14:paraId="66AAB639" w14:textId="77777777" w:rsidR="0093433C" w:rsidRPr="00890249" w:rsidRDefault="00A57CBE" w:rsidP="009F296A">
      <w:pPr>
        <w:pStyle w:val="Listapunktowana2"/>
        <w:numPr>
          <w:ilvl w:val="0"/>
          <w:numId w:val="19"/>
        </w:numPr>
        <w:ind w:left="567" w:hanging="283"/>
        <w:contextualSpacing w:val="0"/>
        <w:rPr>
          <w:rFonts w:asciiTheme="minorHAnsi" w:hAnsiTheme="minorHAnsi" w:cstheme="minorHAnsi"/>
          <w:sz w:val="22"/>
          <w:szCs w:val="22"/>
        </w:rPr>
      </w:pPr>
      <w:r w:rsidRPr="00890249">
        <w:rPr>
          <w:rFonts w:asciiTheme="minorHAnsi" w:hAnsiTheme="minorHAnsi" w:cstheme="minorHAnsi"/>
          <w:sz w:val="22"/>
          <w:szCs w:val="22"/>
        </w:rPr>
        <w:t>aktywizacja społeczno-zawodowa osób z niepełnosprawnościami</w:t>
      </w:r>
      <w:r w:rsidR="0050689F" w:rsidRPr="00890249">
        <w:rPr>
          <w:rFonts w:asciiTheme="minorHAnsi" w:hAnsiTheme="minorHAnsi" w:cstheme="minorHAnsi"/>
          <w:sz w:val="22"/>
          <w:szCs w:val="22"/>
        </w:rPr>
        <w:t xml:space="preserve"> (poprzedzona analizą potrzeb)</w:t>
      </w:r>
      <w:r w:rsidRPr="00890249">
        <w:rPr>
          <w:rFonts w:asciiTheme="minorHAnsi" w:hAnsiTheme="minorHAnsi" w:cstheme="minorHAnsi"/>
          <w:sz w:val="22"/>
          <w:szCs w:val="22"/>
        </w:rPr>
        <w:t xml:space="preserve"> w tym</w:t>
      </w:r>
      <w:r w:rsidR="00766619" w:rsidRPr="00890249">
        <w:rPr>
          <w:rFonts w:asciiTheme="minorHAnsi" w:hAnsiTheme="minorHAnsi" w:cstheme="minorHAnsi"/>
          <w:sz w:val="22"/>
          <w:szCs w:val="22"/>
        </w:rPr>
        <w:t xml:space="preserve"> np.</w:t>
      </w:r>
      <w:r w:rsidRPr="00890249">
        <w:rPr>
          <w:rFonts w:asciiTheme="minorHAnsi" w:hAnsiTheme="minorHAnsi" w:cstheme="minorHAnsi"/>
          <w:sz w:val="22"/>
          <w:szCs w:val="22"/>
        </w:rPr>
        <w:t xml:space="preserve">: staż, szkolenia, kursy, doradztwo zawodowe, pośrednictwo pracy, zatrudnienie wspomagane, zatrudnienie przejściowe </w:t>
      </w:r>
      <w:r w:rsidR="00766619" w:rsidRPr="00890249">
        <w:rPr>
          <w:rFonts w:asciiTheme="minorHAnsi" w:hAnsiTheme="minorHAnsi" w:cstheme="minorHAnsi"/>
          <w:sz w:val="22"/>
          <w:szCs w:val="22"/>
        </w:rPr>
        <w:t>(</w:t>
      </w:r>
      <w:r w:rsidRPr="00890249">
        <w:rPr>
          <w:rFonts w:asciiTheme="minorHAnsi" w:hAnsiTheme="minorHAnsi" w:cstheme="minorHAnsi"/>
          <w:sz w:val="22"/>
          <w:szCs w:val="22"/>
        </w:rPr>
        <w:t xml:space="preserve">dzielenie jednego etatu przez kilku pracowników </w:t>
      </w:r>
      <w:r w:rsidR="00200AAF" w:rsidRPr="00890249">
        <w:rPr>
          <w:rFonts w:asciiTheme="minorHAnsi" w:hAnsiTheme="minorHAnsi" w:cstheme="minorHAnsi"/>
          <w:sz w:val="22"/>
          <w:szCs w:val="22"/>
        </w:rPr>
        <w:t>z niepełnosprawnościami</w:t>
      </w:r>
      <w:r w:rsidRPr="00890249">
        <w:rPr>
          <w:rFonts w:asciiTheme="minorHAnsi" w:hAnsiTheme="minorHAnsi" w:cstheme="minorHAnsi"/>
          <w:sz w:val="22"/>
          <w:szCs w:val="22"/>
        </w:rPr>
        <w:t>, w zależności od ich możliwości do wykonywania czynności na stanowisku pracy</w:t>
      </w:r>
      <w:r w:rsidR="00766619" w:rsidRPr="00890249">
        <w:rPr>
          <w:rFonts w:asciiTheme="minorHAnsi" w:hAnsiTheme="minorHAnsi" w:cstheme="minorHAnsi"/>
          <w:sz w:val="22"/>
          <w:szCs w:val="22"/>
        </w:rPr>
        <w:t>)</w:t>
      </w:r>
      <w:r w:rsidRPr="00890249">
        <w:rPr>
          <w:rFonts w:asciiTheme="minorHAnsi" w:hAnsiTheme="minorHAnsi" w:cstheme="minorHAnsi"/>
          <w:sz w:val="22"/>
          <w:szCs w:val="22"/>
        </w:rPr>
        <w:t>,</w:t>
      </w:r>
    </w:p>
    <w:p w14:paraId="12E00494" w14:textId="67E2F268" w:rsidR="0093433C" w:rsidRPr="00890249" w:rsidRDefault="00D42888" w:rsidP="009F296A">
      <w:pPr>
        <w:pStyle w:val="Listapunktowana2"/>
        <w:numPr>
          <w:ilvl w:val="0"/>
          <w:numId w:val="19"/>
        </w:numPr>
        <w:ind w:left="567" w:hanging="283"/>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tworzenie mieszkań </w:t>
      </w:r>
      <w:r w:rsidR="00A452E0">
        <w:rPr>
          <w:rFonts w:asciiTheme="minorHAnsi" w:hAnsiTheme="minorHAnsi" w:cstheme="minorHAnsi"/>
          <w:sz w:val="22"/>
          <w:szCs w:val="22"/>
        </w:rPr>
        <w:t>treningowych</w:t>
      </w:r>
      <w:r w:rsidR="00A452E0" w:rsidRPr="00890249">
        <w:rPr>
          <w:rFonts w:asciiTheme="minorHAnsi" w:hAnsiTheme="minorHAnsi" w:cstheme="minorHAnsi"/>
          <w:sz w:val="22"/>
          <w:szCs w:val="22"/>
        </w:rPr>
        <w:t xml:space="preserve"> </w:t>
      </w:r>
      <w:r w:rsidRPr="00890249">
        <w:rPr>
          <w:rFonts w:asciiTheme="minorHAnsi" w:hAnsiTheme="minorHAnsi" w:cstheme="minorHAnsi"/>
          <w:sz w:val="22"/>
          <w:szCs w:val="22"/>
        </w:rPr>
        <w:t>i wspomaganych dla odbiorców usług w podmiotach reintegracyjnych,</w:t>
      </w:r>
    </w:p>
    <w:p w14:paraId="5629EFBF" w14:textId="1F0873E3" w:rsidR="0093433C" w:rsidRPr="00890249" w:rsidRDefault="00A832C7" w:rsidP="009F296A">
      <w:pPr>
        <w:pStyle w:val="Listapunktowana2"/>
        <w:numPr>
          <w:ilvl w:val="0"/>
          <w:numId w:val="19"/>
        </w:numPr>
        <w:ind w:left="567" w:hanging="283"/>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działania na rzecz zapewnienia osobom zagrożonym ubóstwem lub wykluczeniem społecznym poprawy kompetencji w za</w:t>
      </w:r>
      <w:r w:rsidR="008C67B3">
        <w:rPr>
          <w:rFonts w:asciiTheme="minorHAnsi" w:hAnsiTheme="minorHAnsi" w:cstheme="minorHAnsi"/>
          <w:noProof/>
          <w:sz w:val="22"/>
          <w:szCs w:val="22"/>
        </w:rPr>
        <w:t>kresie spędzania czasu wolnego i rekreacji oraz uczestnictwa w </w:t>
      </w:r>
      <w:r w:rsidRPr="00890249">
        <w:rPr>
          <w:rFonts w:asciiTheme="minorHAnsi" w:hAnsiTheme="minorHAnsi" w:cstheme="minorHAnsi"/>
          <w:noProof/>
          <w:sz w:val="22"/>
          <w:szCs w:val="22"/>
        </w:rPr>
        <w:t>kulturze</w:t>
      </w:r>
      <w:r w:rsidR="001E78FE"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jako instrument w celu wzmacniania więzi, realizowany jedynie jako element kompleksowego projektu dot. włączenia społecznego.</w:t>
      </w:r>
    </w:p>
    <w:p w14:paraId="799C7EE9" w14:textId="09AC113B" w:rsidR="00977DAC" w:rsidRPr="00890249" w:rsidRDefault="00872975" w:rsidP="009F296A">
      <w:pPr>
        <w:pStyle w:val="Akapitzlist"/>
        <w:numPr>
          <w:ilvl w:val="0"/>
          <w:numId w:val="18"/>
        </w:numPr>
        <w:rPr>
          <w:rFonts w:asciiTheme="minorHAnsi" w:eastAsia="Times New Roman" w:hAnsiTheme="minorHAnsi" w:cstheme="minorHAnsi"/>
          <w:noProof/>
          <w:sz w:val="22"/>
          <w:szCs w:val="22"/>
        </w:rPr>
      </w:pPr>
      <w:r w:rsidRPr="00890249">
        <w:rPr>
          <w:rFonts w:asciiTheme="minorHAnsi" w:eastAsiaTheme="minorHAnsi" w:hAnsiTheme="minorHAnsi" w:cstheme="minorHAnsi"/>
          <w:sz w:val="22"/>
          <w:szCs w:val="22"/>
        </w:rPr>
        <w:t>Wsparcie bezpośrednie przedsiębiorstw społecznych</w:t>
      </w:r>
      <w:r w:rsidR="00E341D3" w:rsidRPr="00890249">
        <w:rPr>
          <w:rFonts w:asciiTheme="minorHAnsi" w:eastAsiaTheme="minorHAnsi" w:hAnsiTheme="minorHAnsi" w:cstheme="minorHAnsi"/>
          <w:sz w:val="22"/>
          <w:szCs w:val="22"/>
        </w:rPr>
        <w:t>:</w:t>
      </w:r>
    </w:p>
    <w:p w14:paraId="0D6DEAE7" w14:textId="291DC7DF" w:rsidR="0093433C" w:rsidRPr="00890249" w:rsidRDefault="00872975" w:rsidP="009F296A">
      <w:pPr>
        <w:pStyle w:val="Listapunktowana3"/>
        <w:numPr>
          <w:ilvl w:val="0"/>
          <w:numId w:val="6"/>
        </w:numPr>
        <w:ind w:left="714" w:hanging="357"/>
        <w:contextualSpacing w:val="0"/>
        <w:rPr>
          <w:rFonts w:asciiTheme="minorHAnsi" w:hAnsiTheme="minorHAnsi" w:cstheme="minorHAnsi"/>
          <w:sz w:val="22"/>
          <w:szCs w:val="22"/>
        </w:rPr>
      </w:pPr>
      <w:r w:rsidRPr="00890249">
        <w:rPr>
          <w:rFonts w:asciiTheme="minorHAnsi" w:hAnsiTheme="minorHAnsi" w:cstheme="minorHAnsi"/>
          <w:sz w:val="22"/>
          <w:szCs w:val="22"/>
        </w:rPr>
        <w:t>świadczenie usług wsparcia dla rozwoju ekonomii społecznej dla PES i PS</w:t>
      </w:r>
      <w:r w:rsidR="00C86586" w:rsidRPr="00890249">
        <w:rPr>
          <w:rFonts w:asciiTheme="minorHAnsi" w:hAnsiTheme="minorHAnsi" w:cstheme="minorHAnsi"/>
          <w:sz w:val="22"/>
          <w:szCs w:val="22"/>
        </w:rPr>
        <w:t>,</w:t>
      </w:r>
    </w:p>
    <w:p w14:paraId="48DF95AC" w14:textId="4847289A" w:rsidR="0093433C" w:rsidRPr="00890249" w:rsidRDefault="00872975" w:rsidP="009F296A">
      <w:pPr>
        <w:pStyle w:val="Listapunktowana3"/>
        <w:numPr>
          <w:ilvl w:val="0"/>
          <w:numId w:val="6"/>
        </w:numPr>
        <w:ind w:left="714" w:hanging="357"/>
        <w:contextualSpacing w:val="0"/>
        <w:rPr>
          <w:rFonts w:asciiTheme="minorHAnsi" w:hAnsiTheme="minorHAnsi" w:cstheme="minorHAnsi"/>
          <w:i/>
          <w:sz w:val="22"/>
          <w:szCs w:val="22"/>
        </w:rPr>
      </w:pPr>
      <w:r w:rsidRPr="00890249">
        <w:rPr>
          <w:rFonts w:asciiTheme="minorHAnsi" w:hAnsiTheme="minorHAnsi" w:cstheme="minorHAnsi"/>
          <w:sz w:val="22"/>
          <w:szCs w:val="22"/>
        </w:rPr>
        <w:t xml:space="preserve">bezzwrotne wsparcie finansowe na utworzenie i </w:t>
      </w:r>
      <w:r w:rsidR="00063950" w:rsidRPr="00890249">
        <w:rPr>
          <w:rFonts w:asciiTheme="minorHAnsi" w:hAnsiTheme="minorHAnsi" w:cstheme="minorHAnsi"/>
          <w:sz w:val="22"/>
          <w:szCs w:val="22"/>
        </w:rPr>
        <w:t xml:space="preserve">początkowe </w:t>
      </w:r>
      <w:r w:rsidRPr="00890249">
        <w:rPr>
          <w:rFonts w:asciiTheme="minorHAnsi" w:hAnsiTheme="minorHAnsi" w:cstheme="minorHAnsi"/>
          <w:sz w:val="22"/>
          <w:szCs w:val="22"/>
        </w:rPr>
        <w:t xml:space="preserve">utrzymanie </w:t>
      </w:r>
      <w:r w:rsidR="00063950" w:rsidRPr="00890249">
        <w:rPr>
          <w:rFonts w:asciiTheme="minorHAnsi" w:hAnsiTheme="minorHAnsi" w:cstheme="minorHAnsi"/>
          <w:sz w:val="22"/>
          <w:szCs w:val="22"/>
        </w:rPr>
        <w:t xml:space="preserve">(12 miesięcy) </w:t>
      </w:r>
      <w:r w:rsidRPr="00890249">
        <w:rPr>
          <w:rFonts w:asciiTheme="minorHAnsi" w:hAnsiTheme="minorHAnsi" w:cstheme="minorHAnsi"/>
          <w:sz w:val="22"/>
          <w:szCs w:val="22"/>
        </w:rPr>
        <w:t xml:space="preserve">miejsc pracy w </w:t>
      </w:r>
      <w:r w:rsidR="00C86586" w:rsidRPr="00890249">
        <w:rPr>
          <w:rFonts w:asciiTheme="minorHAnsi" w:hAnsiTheme="minorHAnsi" w:cstheme="minorHAnsi"/>
          <w:sz w:val="22"/>
          <w:szCs w:val="22"/>
        </w:rPr>
        <w:t xml:space="preserve"> przedsiębiorstw</w:t>
      </w:r>
      <w:r w:rsidRPr="00890249">
        <w:rPr>
          <w:rFonts w:asciiTheme="minorHAnsi" w:hAnsiTheme="minorHAnsi" w:cstheme="minorHAnsi"/>
          <w:sz w:val="22"/>
          <w:szCs w:val="22"/>
        </w:rPr>
        <w:t>ach</w:t>
      </w:r>
      <w:r w:rsidR="00C86586" w:rsidRPr="00890249">
        <w:rPr>
          <w:rFonts w:asciiTheme="minorHAnsi" w:hAnsiTheme="minorHAnsi" w:cstheme="minorHAnsi"/>
          <w:sz w:val="22"/>
          <w:szCs w:val="22"/>
        </w:rPr>
        <w:t xml:space="preserve"> społecznych</w:t>
      </w:r>
      <w:r w:rsidR="00C86586" w:rsidRPr="00890249">
        <w:rPr>
          <w:rFonts w:asciiTheme="minorHAnsi" w:hAnsiTheme="minorHAnsi" w:cstheme="minorHAnsi"/>
          <w:i/>
          <w:sz w:val="22"/>
          <w:szCs w:val="22"/>
        </w:rPr>
        <w:t>,</w:t>
      </w:r>
    </w:p>
    <w:p w14:paraId="28EF8D7F" w14:textId="77777777" w:rsidR="0093433C" w:rsidRPr="00890249" w:rsidRDefault="00875C92" w:rsidP="009F296A">
      <w:pPr>
        <w:pStyle w:val="Listapunktowana3"/>
        <w:numPr>
          <w:ilvl w:val="0"/>
          <w:numId w:val="6"/>
        </w:numPr>
        <w:ind w:left="714" w:hanging="357"/>
        <w:contextualSpacing w:val="0"/>
        <w:rPr>
          <w:rFonts w:asciiTheme="minorHAnsi" w:hAnsiTheme="minorHAnsi" w:cstheme="minorHAnsi"/>
          <w:sz w:val="22"/>
          <w:szCs w:val="22"/>
        </w:rPr>
      </w:pPr>
      <w:r w:rsidRPr="00890249">
        <w:rPr>
          <w:rFonts w:asciiTheme="minorHAnsi" w:hAnsiTheme="minorHAnsi" w:cstheme="minorHAnsi"/>
          <w:sz w:val="22"/>
          <w:szCs w:val="22"/>
        </w:rPr>
        <w:t xml:space="preserve">usługi wspierające rozwój przedsiębiorstw społecznych realizowane w szczególności za </w:t>
      </w:r>
      <w:r w:rsidR="004579FA" w:rsidRPr="00890249">
        <w:rPr>
          <w:rFonts w:asciiTheme="minorHAnsi" w:hAnsiTheme="minorHAnsi" w:cstheme="minorHAnsi"/>
          <w:sz w:val="22"/>
          <w:szCs w:val="22"/>
        </w:rPr>
        <w:t>pośrednictwem</w:t>
      </w:r>
      <w:r w:rsidRPr="00890249">
        <w:rPr>
          <w:rFonts w:asciiTheme="minorHAnsi" w:hAnsiTheme="minorHAnsi" w:cstheme="minorHAnsi"/>
          <w:sz w:val="22"/>
          <w:szCs w:val="22"/>
        </w:rPr>
        <w:t xml:space="preserve"> BUR,</w:t>
      </w:r>
    </w:p>
    <w:p w14:paraId="7EB1E84E" w14:textId="4B2B04EE" w:rsidR="0093433C" w:rsidRPr="00452D26" w:rsidRDefault="005E1F07" w:rsidP="009F296A">
      <w:pPr>
        <w:pStyle w:val="Listapunktowana3"/>
        <w:numPr>
          <w:ilvl w:val="0"/>
          <w:numId w:val="6"/>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wsparcie realizacji indywidualnego procesu reintegracji </w:t>
      </w:r>
      <w:r w:rsidR="00872975" w:rsidRPr="00890249">
        <w:rPr>
          <w:rFonts w:asciiTheme="minorHAnsi" w:hAnsiTheme="minorHAnsi" w:cstheme="minorHAnsi"/>
          <w:noProof/>
          <w:sz w:val="22"/>
          <w:szCs w:val="22"/>
        </w:rPr>
        <w:t>w przedsi</w:t>
      </w:r>
      <w:r w:rsidR="00560CEC" w:rsidRPr="00890249">
        <w:rPr>
          <w:rFonts w:asciiTheme="minorHAnsi" w:hAnsiTheme="minorHAnsi" w:cstheme="minorHAnsi"/>
          <w:noProof/>
          <w:sz w:val="22"/>
          <w:szCs w:val="22"/>
        </w:rPr>
        <w:t>ę</w:t>
      </w:r>
      <w:r w:rsidR="00872975" w:rsidRPr="00890249">
        <w:rPr>
          <w:rFonts w:asciiTheme="minorHAnsi" w:hAnsiTheme="minorHAnsi" w:cstheme="minorHAnsi"/>
          <w:noProof/>
          <w:sz w:val="22"/>
          <w:szCs w:val="22"/>
        </w:rPr>
        <w:t>biorstwach społecznych.</w:t>
      </w:r>
    </w:p>
    <w:p w14:paraId="059E29FD" w14:textId="6CF4E166" w:rsidR="0093433C" w:rsidRPr="00890249" w:rsidRDefault="003F6A16" w:rsidP="008C67B3">
      <w:pPr>
        <w:pStyle w:val="Lista"/>
        <w:ind w:left="284" w:hanging="284"/>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3. </w:t>
      </w:r>
      <w:r w:rsidR="00875C92" w:rsidRPr="00890249">
        <w:rPr>
          <w:rFonts w:asciiTheme="minorHAnsi" w:hAnsiTheme="minorHAnsi" w:cstheme="minorHAnsi"/>
          <w:noProof/>
          <w:sz w:val="22"/>
          <w:szCs w:val="22"/>
        </w:rPr>
        <w:t>Budowanie potencjału</w:t>
      </w:r>
      <w:r w:rsidR="001D37E3" w:rsidRPr="00890249">
        <w:rPr>
          <w:rFonts w:asciiTheme="minorHAnsi" w:hAnsiTheme="minorHAnsi" w:cstheme="minorHAnsi"/>
          <w:noProof/>
          <w:sz w:val="22"/>
          <w:szCs w:val="22"/>
        </w:rPr>
        <w:t xml:space="preserve"> partnerów społecznych oraz</w:t>
      </w:r>
      <w:r w:rsidR="00875C92" w:rsidRPr="00890249">
        <w:rPr>
          <w:rFonts w:asciiTheme="minorHAnsi" w:hAnsiTheme="minorHAnsi" w:cstheme="minorHAnsi"/>
          <w:noProof/>
          <w:sz w:val="22"/>
          <w:szCs w:val="22"/>
        </w:rPr>
        <w:t xml:space="preserve"> organizacji społeczeństwa obywatelskiego</w:t>
      </w:r>
      <w:r w:rsidR="003D02C6" w:rsidRPr="00890249">
        <w:rPr>
          <w:rFonts w:asciiTheme="minorHAnsi" w:hAnsiTheme="minorHAnsi" w:cstheme="minorHAnsi"/>
          <w:noProof/>
          <w:sz w:val="22"/>
          <w:szCs w:val="22"/>
        </w:rPr>
        <w:t xml:space="preserve"> do realizacji działań w ramach wszystkich obszarów wskazanych w niniejszym Programie</w:t>
      </w:r>
      <w:r w:rsidR="00875C92" w:rsidRPr="00890249">
        <w:rPr>
          <w:rFonts w:asciiTheme="minorHAnsi" w:hAnsiTheme="minorHAnsi" w:cstheme="minorHAnsi"/>
          <w:noProof/>
          <w:sz w:val="22"/>
          <w:szCs w:val="22"/>
        </w:rPr>
        <w:t xml:space="preserve">. </w:t>
      </w:r>
    </w:p>
    <w:p w14:paraId="457373CC" w14:textId="0977FDDE" w:rsidR="0093433C" w:rsidRPr="00890249" w:rsidRDefault="003F6A16" w:rsidP="008C67B3">
      <w:pPr>
        <w:pStyle w:val="Lista"/>
        <w:ind w:left="284" w:hanging="284"/>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4. </w:t>
      </w:r>
      <w:r w:rsidR="00875C92" w:rsidRPr="00890249">
        <w:rPr>
          <w:rFonts w:asciiTheme="minorHAnsi" w:hAnsiTheme="minorHAnsi" w:cstheme="minorHAnsi"/>
          <w:noProof/>
          <w:sz w:val="22"/>
          <w:szCs w:val="22"/>
        </w:rPr>
        <w:t>Podnoszenie kwalifikacji kadr ekonomii społecznej, wynikające z regionalnych i lokalnych potrzeb.</w:t>
      </w:r>
    </w:p>
    <w:p w14:paraId="7F3CA53A" w14:textId="07B23E13" w:rsidR="0093433C" w:rsidRPr="00890249" w:rsidRDefault="00F96EE8" w:rsidP="008C67B3">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są zgodne z zasadą DNSH. Ze względu na ich charakter przyjmuje się, że nie mają negatywnego wpływu na środowisko.</w:t>
      </w:r>
      <w:r w:rsidR="00E40A19" w:rsidRPr="00890249">
        <w:rPr>
          <w:rFonts w:asciiTheme="minorHAnsi" w:hAnsiTheme="minorHAnsi" w:cstheme="minorHAnsi"/>
          <w:noProof/>
          <w:sz w:val="22"/>
          <w:szCs w:val="22"/>
        </w:rPr>
        <w:t xml:space="preserve"> </w:t>
      </w:r>
      <w:r w:rsidR="00710632" w:rsidRPr="00890249">
        <w:rPr>
          <w:rFonts w:asciiTheme="minorHAnsi" w:hAnsiTheme="minorHAnsi" w:cstheme="minorHAnsi"/>
          <w:noProof/>
          <w:sz w:val="22"/>
          <w:szCs w:val="22"/>
        </w:rPr>
        <w:t>Działania realizowane będą zgodnie z założeniami KE wynikającymi z Planu działania na rzecz gospodarki społec</w:t>
      </w:r>
      <w:r w:rsidR="00763E9D" w:rsidRPr="00890249">
        <w:rPr>
          <w:rFonts w:asciiTheme="minorHAnsi" w:hAnsiTheme="minorHAnsi" w:cstheme="minorHAnsi"/>
          <w:noProof/>
          <w:sz w:val="22"/>
          <w:szCs w:val="22"/>
        </w:rPr>
        <w:t>znej z 9 grudnia 2021 r. oraz KPRES</w:t>
      </w:r>
      <w:r w:rsidR="00560CEC" w:rsidRPr="00890249">
        <w:rPr>
          <w:rFonts w:asciiTheme="minorHAnsi" w:hAnsiTheme="minorHAnsi" w:cstheme="minorHAnsi"/>
          <w:noProof/>
          <w:sz w:val="22"/>
          <w:szCs w:val="22"/>
        </w:rPr>
        <w:t>.</w:t>
      </w:r>
    </w:p>
    <w:p w14:paraId="1C7042C7" w14:textId="77777777" w:rsidR="00D42DA4" w:rsidRPr="00890249" w:rsidRDefault="00D42DA4" w:rsidP="008C67B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0C4D845E" w14:textId="77777777" w:rsidR="00D10449" w:rsidRPr="00890249" w:rsidRDefault="00D10449" w:rsidP="009F296A">
      <w:pPr>
        <w:pStyle w:val="Akapitzlist"/>
        <w:numPr>
          <w:ilvl w:val="0"/>
          <w:numId w:val="48"/>
        </w:numPr>
        <w:ind w:left="714" w:hanging="357"/>
        <w:contextualSpacing w:val="0"/>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osoby zagrożone ubóstwem lub wykluczeniem społecznym,</w:t>
      </w:r>
    </w:p>
    <w:p w14:paraId="14DBCFD6" w14:textId="77777777" w:rsidR="00D10449" w:rsidRPr="00890249" w:rsidRDefault="00D10449" w:rsidP="009F296A">
      <w:pPr>
        <w:pStyle w:val="Akapitzlist"/>
        <w:numPr>
          <w:ilvl w:val="0"/>
          <w:numId w:val="48"/>
        </w:numPr>
        <w:ind w:left="714" w:hanging="357"/>
        <w:contextualSpacing w:val="0"/>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 xml:space="preserve">otoczenie osób zagrożonych ubóstwem lub wykluczeniem społecznym, </w:t>
      </w:r>
    </w:p>
    <w:p w14:paraId="4FC0F55F" w14:textId="77777777" w:rsidR="00D10449" w:rsidRPr="00890249" w:rsidRDefault="00D10449" w:rsidP="009F296A">
      <w:pPr>
        <w:pStyle w:val="Akapitzlist"/>
        <w:numPr>
          <w:ilvl w:val="0"/>
          <w:numId w:val="48"/>
        </w:numPr>
        <w:ind w:left="714" w:hanging="357"/>
        <w:contextualSpacing w:val="0"/>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bierni zawodowo,</w:t>
      </w:r>
    </w:p>
    <w:p w14:paraId="389212EE" w14:textId="77777777" w:rsidR="005A6889" w:rsidRPr="00890249" w:rsidRDefault="00A533A5" w:rsidP="009F296A">
      <w:pPr>
        <w:pStyle w:val="Akapitzlist"/>
        <w:numPr>
          <w:ilvl w:val="0"/>
          <w:numId w:val="48"/>
        </w:numPr>
        <w:ind w:left="714" w:hanging="357"/>
        <w:contextualSpacing w:val="0"/>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 xml:space="preserve">rodziny i </w:t>
      </w:r>
      <w:r w:rsidR="005A6889" w:rsidRPr="00890249">
        <w:rPr>
          <w:rFonts w:asciiTheme="minorHAnsi" w:eastAsiaTheme="minorHAnsi" w:hAnsiTheme="minorHAnsi" w:cstheme="minorHAnsi"/>
          <w:sz w:val="22"/>
          <w:szCs w:val="22"/>
        </w:rPr>
        <w:t>społeczności lokalne zagrożone ubóstwem lub wykluczeniem społecznym,</w:t>
      </w:r>
    </w:p>
    <w:p w14:paraId="56ED10FF" w14:textId="5C040F74" w:rsidR="00D10449" w:rsidRPr="00890249" w:rsidRDefault="00D10449" w:rsidP="009F296A">
      <w:pPr>
        <w:pStyle w:val="Akapitzlist"/>
        <w:numPr>
          <w:ilvl w:val="0"/>
          <w:numId w:val="48"/>
        </w:numPr>
        <w:ind w:left="714" w:hanging="357"/>
        <w:contextualSpacing w:val="0"/>
        <w:jc w:val="left"/>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kadry ekonomii społecznej,</w:t>
      </w:r>
    </w:p>
    <w:p w14:paraId="5FB1ECFD" w14:textId="77777777" w:rsidR="00FF0D08" w:rsidRPr="00890249" w:rsidRDefault="00D10449" w:rsidP="009F296A">
      <w:pPr>
        <w:pStyle w:val="Akapitzlist"/>
        <w:numPr>
          <w:ilvl w:val="0"/>
          <w:numId w:val="48"/>
        </w:numPr>
        <w:ind w:left="714" w:hanging="357"/>
        <w:contextualSpacing w:val="0"/>
        <w:jc w:val="left"/>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podmioty ekonomii społecznej</w:t>
      </w:r>
      <w:r w:rsidR="00A533A5" w:rsidRPr="00890249">
        <w:rPr>
          <w:rFonts w:asciiTheme="minorHAnsi" w:eastAsiaTheme="minorHAnsi" w:hAnsiTheme="minorHAnsi" w:cstheme="minorHAnsi"/>
          <w:sz w:val="22"/>
          <w:szCs w:val="22"/>
        </w:rPr>
        <w:t xml:space="preserve"> i otoczenie </w:t>
      </w:r>
      <w:r w:rsidR="009B5A56" w:rsidRPr="00890249">
        <w:rPr>
          <w:rFonts w:asciiTheme="minorHAnsi" w:eastAsiaTheme="minorHAnsi" w:hAnsiTheme="minorHAnsi" w:cstheme="minorHAnsi"/>
          <w:sz w:val="22"/>
          <w:szCs w:val="22"/>
        </w:rPr>
        <w:t xml:space="preserve">sektora </w:t>
      </w:r>
      <w:r w:rsidR="00A533A5" w:rsidRPr="00890249">
        <w:rPr>
          <w:rFonts w:asciiTheme="minorHAnsi" w:eastAsiaTheme="minorHAnsi" w:hAnsiTheme="minorHAnsi" w:cstheme="minorHAnsi"/>
          <w:sz w:val="22"/>
          <w:szCs w:val="22"/>
        </w:rPr>
        <w:t>podmiotów ekonomii społecznej</w:t>
      </w:r>
      <w:r w:rsidR="006C7FC0" w:rsidRPr="00890249">
        <w:rPr>
          <w:rFonts w:asciiTheme="minorHAnsi" w:eastAsiaTheme="minorHAnsi" w:hAnsiTheme="minorHAnsi" w:cstheme="minorHAnsi"/>
          <w:sz w:val="22"/>
          <w:szCs w:val="22"/>
        </w:rPr>
        <w:t>,</w:t>
      </w:r>
    </w:p>
    <w:p w14:paraId="321F6082" w14:textId="77777777" w:rsidR="00555F96" w:rsidRPr="00890249" w:rsidRDefault="00A533A5" w:rsidP="009F296A">
      <w:pPr>
        <w:pStyle w:val="Akapitzlist"/>
        <w:numPr>
          <w:ilvl w:val="0"/>
          <w:numId w:val="48"/>
        </w:numPr>
        <w:ind w:left="714" w:hanging="357"/>
        <w:contextualSpacing w:val="0"/>
        <w:jc w:val="left"/>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osoby prawne zamierzające założyć przedsiębiorstwo społeczne</w:t>
      </w:r>
      <w:r w:rsidR="00555F96" w:rsidRPr="00890249">
        <w:rPr>
          <w:rFonts w:asciiTheme="minorHAnsi" w:eastAsiaTheme="minorHAnsi" w:hAnsiTheme="minorHAnsi" w:cstheme="minorHAnsi"/>
          <w:sz w:val="22"/>
          <w:szCs w:val="22"/>
        </w:rPr>
        <w:t>,</w:t>
      </w:r>
    </w:p>
    <w:p w14:paraId="47DD8465" w14:textId="3F569EA8" w:rsidR="00A533A5" w:rsidRPr="00890249" w:rsidRDefault="00555F96" w:rsidP="009F296A">
      <w:pPr>
        <w:pStyle w:val="Akapitzlist"/>
        <w:numPr>
          <w:ilvl w:val="0"/>
          <w:numId w:val="48"/>
        </w:numPr>
        <w:ind w:left="714" w:hanging="357"/>
        <w:contextualSpacing w:val="0"/>
        <w:jc w:val="left"/>
        <w:rPr>
          <w:rFonts w:asciiTheme="minorHAnsi" w:eastAsiaTheme="minorHAnsi" w:hAnsiTheme="minorHAnsi" w:cstheme="minorHAnsi"/>
          <w:sz w:val="22"/>
          <w:szCs w:val="22"/>
        </w:rPr>
      </w:pPr>
      <w:r w:rsidRPr="00890249">
        <w:rPr>
          <w:rFonts w:asciiTheme="minorHAnsi" w:eastAsiaTheme="minorHAnsi" w:hAnsiTheme="minorHAnsi" w:cstheme="minorHAnsi"/>
          <w:sz w:val="22"/>
          <w:szCs w:val="22"/>
        </w:rPr>
        <w:t>partnerzy społeczni oraz organizacje społeczeństwa obywatelskiego i ich pracownicy</w:t>
      </w:r>
      <w:r w:rsidR="00A533A5" w:rsidRPr="00890249">
        <w:rPr>
          <w:rFonts w:asciiTheme="minorHAnsi" w:eastAsiaTheme="minorHAnsi" w:hAnsiTheme="minorHAnsi" w:cstheme="minorHAnsi"/>
          <w:sz w:val="22"/>
          <w:szCs w:val="22"/>
        </w:rPr>
        <w:t>.</w:t>
      </w:r>
    </w:p>
    <w:p w14:paraId="2E63586E" w14:textId="77777777" w:rsidR="00D42DA4" w:rsidRPr="00890249" w:rsidRDefault="00D42DA4" w:rsidP="00D42DA4">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0D3DAD6D" w14:textId="77777777" w:rsidR="0093433C" w:rsidRPr="00890249" w:rsidRDefault="002975B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r>
      <w:r w:rsidRPr="00890249">
        <w:rPr>
          <w:rFonts w:asciiTheme="minorHAnsi" w:hAnsiTheme="minorHAnsi" w:cstheme="minorHAnsi"/>
          <w:sz w:val="22"/>
          <w:szCs w:val="22"/>
          <w:lang w:eastAsia="en-US" w:bidi="ar-SA"/>
        </w:rPr>
        <w:lastRenderedPageBreak/>
        <w:t>tj. w zakresie równości szans kobiet i mężczyzn oraz niedyskryminacji, a także zrównoważonego rozwoju oraz Załącznika III do Rozporządzenia UE 2021/1060.</w:t>
      </w:r>
    </w:p>
    <w:p w14:paraId="4611D953" w14:textId="77777777" w:rsidR="0093433C" w:rsidRPr="00890249" w:rsidRDefault="002975B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495DB650" w14:textId="77777777" w:rsidR="0093433C" w:rsidRPr="00890249" w:rsidRDefault="002975B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3666D98A" w14:textId="77777777" w:rsidR="0093433C" w:rsidRPr="00890249" w:rsidRDefault="002975B4" w:rsidP="009F296A">
      <w:pPr>
        <w:pStyle w:val="Listapunktowana2"/>
        <w:numPr>
          <w:ilvl w:val="0"/>
          <w:numId w:val="65"/>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7BF812C8"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42D54D3D"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Pr="00890249">
        <w:rPr>
          <w:rFonts w:asciiTheme="minorHAnsi" w:hAnsiTheme="minorHAnsi" w:cstheme="minorHAnsi"/>
          <w:sz w:val="22"/>
          <w:szCs w:val="22"/>
          <w:lang w:eastAsia="en-US" w:bidi="ar-SA"/>
        </w:rPr>
        <w:br/>
        <w:t xml:space="preserve">i szkodliwych praktyk, </w:t>
      </w:r>
    </w:p>
    <w:p w14:paraId="1CC2C4A8" w14:textId="77777777" w:rsidR="0093433C" w:rsidRPr="00890249" w:rsidRDefault="00C87C07"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wykorzystujące ekspresję kulturową w celu zwalczania dyskryminacji,</w:t>
      </w:r>
    </w:p>
    <w:p w14:paraId="34A57B2C" w14:textId="752B877F"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00AE052A" w:rsidRPr="00890249">
        <w:rPr>
          <w:rFonts w:asciiTheme="minorHAnsi" w:hAnsiTheme="minorHAnsi" w:cstheme="minorHAnsi"/>
          <w:sz w:val="22"/>
          <w:szCs w:val="22"/>
          <w:lang w:eastAsia="en-US" w:bidi="ar-SA"/>
        </w:rPr>
        <w:t xml:space="preserve">beneficjenta, będącego </w:t>
      </w:r>
      <w:r w:rsidR="00AE052A"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1A6E93F3"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56A1F20B"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3A46FAF7" w14:textId="77777777" w:rsidR="0093433C" w:rsidRPr="00890249" w:rsidRDefault="002975B4" w:rsidP="009F296A">
      <w:pPr>
        <w:pStyle w:val="Listapunktowana2"/>
        <w:numPr>
          <w:ilvl w:val="0"/>
          <w:numId w:val="66"/>
        </w:numPr>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włączenie do Komitetu Monitorującego członków organizacji pozarządowych oraz reprezentantów mniejszości, w tym etnicznych, </w:t>
      </w:r>
    </w:p>
    <w:p w14:paraId="104C11DF" w14:textId="77777777" w:rsidR="0093433C" w:rsidRPr="00890249" w:rsidRDefault="002975B4"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227B750A" w14:textId="77777777" w:rsidR="00D42DA4" w:rsidRPr="00890249" w:rsidRDefault="00D42DA4" w:rsidP="00D42DA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7CFB2609" w14:textId="77777777" w:rsidR="0093433C" w:rsidRPr="00890249" w:rsidRDefault="00A55F50"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757F8D80" w14:textId="21FA0375" w:rsidR="0093433C" w:rsidRPr="00890249" w:rsidRDefault="00AC276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Istn</w:t>
      </w:r>
      <w:r w:rsidR="00A41980" w:rsidRPr="00890249">
        <w:rPr>
          <w:rFonts w:asciiTheme="minorHAnsi" w:hAnsiTheme="minorHAnsi" w:cstheme="minorHAnsi"/>
          <w:noProof/>
          <w:sz w:val="22"/>
          <w:szCs w:val="22"/>
        </w:rPr>
        <w:t>ieje możliwość preferencji dla m</w:t>
      </w:r>
      <w:r w:rsidRPr="00890249">
        <w:rPr>
          <w:rFonts w:asciiTheme="minorHAnsi" w:hAnsiTheme="minorHAnsi" w:cstheme="minorHAnsi"/>
          <w:noProof/>
          <w:sz w:val="22"/>
          <w:szCs w:val="22"/>
        </w:rPr>
        <w:t xml:space="preserve">ieszkańców obszarów strategicznej interwencji, tj. miast średnich tracących funkcje społeczno-gospodarcze oraz </w:t>
      </w:r>
      <w:r w:rsidR="00763E9D" w:rsidRPr="00890249">
        <w:rPr>
          <w:rFonts w:asciiTheme="minorHAnsi" w:hAnsiTheme="minorHAnsi" w:cstheme="minorHAnsi"/>
          <w:noProof/>
          <w:sz w:val="22"/>
          <w:szCs w:val="22"/>
        </w:rPr>
        <w:t>obszarów</w:t>
      </w:r>
      <w:r w:rsidRPr="00890249">
        <w:rPr>
          <w:rFonts w:asciiTheme="minorHAnsi" w:hAnsiTheme="minorHAnsi" w:cstheme="minorHAnsi"/>
          <w:noProof/>
          <w:sz w:val="22"/>
          <w:szCs w:val="22"/>
        </w:rPr>
        <w:t xml:space="preserve"> zagrożonych trwałą marginalizacją, zidentyfikowanych na poziomie krajowym. </w:t>
      </w:r>
    </w:p>
    <w:p w14:paraId="7D0C8B62" w14:textId="77777777" w:rsidR="00D42DA4" w:rsidRPr="00890249" w:rsidRDefault="00D42DA4" w:rsidP="00D42DA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Przedsięwzięcia międzyregionalne, transgraniczne i transnarodowe</w:t>
      </w:r>
    </w:p>
    <w:p w14:paraId="549B2190" w14:textId="0F6374B3" w:rsidR="0093433C" w:rsidRPr="00890249" w:rsidRDefault="008915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Wszystkie interwencje zaplanowane w </w:t>
      </w:r>
      <w:r w:rsidR="00763E9D" w:rsidRPr="00890249">
        <w:rPr>
          <w:rFonts w:asciiTheme="minorHAnsi" w:hAnsiTheme="minorHAnsi" w:cstheme="minorHAnsi"/>
          <w:sz w:val="22"/>
          <w:szCs w:val="22"/>
          <w:lang w:eastAsia="en-US" w:bidi="ar-SA"/>
        </w:rPr>
        <w:t>cs (h)</w:t>
      </w:r>
      <w:r w:rsidRPr="00890249">
        <w:rPr>
          <w:rFonts w:asciiTheme="minorHAnsi" w:hAnsiTheme="minorHAnsi" w:cstheme="minorHAnsi"/>
          <w:sz w:val="22"/>
          <w:szCs w:val="22"/>
          <w:lang w:eastAsia="en-US" w:bidi="ar-SA"/>
        </w:rPr>
        <w:t xml:space="preserve"> będą przyczyniać się do poprawy jakości życia, w tym zwłaszcza osób zmarginalizowanych i zagrożonych wykluczeniem społecznym, poprzez zwiększanie dostępności do usług edukacyjnych, społecznych, zdrowotnych oraz wysokiej jakości miejsc pracy.</w:t>
      </w:r>
    </w:p>
    <w:p w14:paraId="2A73C1EA" w14:textId="77777777" w:rsidR="0093433C" w:rsidRPr="00890249" w:rsidRDefault="00C80C75"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z interwencją wskazaną w programach współpracy transgranicznej Interreg Czechy-Polska 2021-2027 oraz Interreg Region Morza Bałtyckiego 2021-2027.</w:t>
      </w:r>
    </w:p>
    <w:p w14:paraId="7E5A5C95" w14:textId="77777777" w:rsidR="00D42DA4" w:rsidRPr="00890249" w:rsidRDefault="00D42DA4" w:rsidP="00D42DA4">
      <w:pPr>
        <w:pStyle w:val="Tekstpodstawowy"/>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lastRenderedPageBreak/>
        <w:t>Planowane wykorzystanie instrumentów finansowych</w:t>
      </w:r>
    </w:p>
    <w:p w14:paraId="5A175275" w14:textId="30F7EDD3" w:rsidR="0093433C" w:rsidRPr="00890249" w:rsidRDefault="00E03E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ramach </w:t>
      </w:r>
      <w:r w:rsidR="00BA1D2F" w:rsidRPr="00890249">
        <w:rPr>
          <w:rFonts w:asciiTheme="minorHAnsi" w:hAnsiTheme="minorHAnsi" w:cstheme="minorHAnsi"/>
          <w:noProof/>
          <w:sz w:val="22"/>
          <w:szCs w:val="22"/>
        </w:rPr>
        <w:t>cs</w:t>
      </w:r>
      <w:r w:rsidRPr="00890249">
        <w:rPr>
          <w:rFonts w:asciiTheme="minorHAnsi" w:hAnsiTheme="minorHAnsi" w:cstheme="minorHAnsi"/>
          <w:noProof/>
          <w:sz w:val="22"/>
          <w:szCs w:val="22"/>
        </w:rPr>
        <w:t xml:space="preserve"> (h) nie planuje się wykorzystania instrumentów finansowych.</w:t>
      </w:r>
    </w:p>
    <w:p w14:paraId="1CA539D2" w14:textId="60E2212A" w:rsidR="0093433C" w:rsidRPr="00890249" w:rsidRDefault="00E03E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przedsięwzięcia dotyczą integracji społecznej grup najbardziej oddalonych od rynku pracy, w tym m.in. osób z niepełnosprawnościami. W przypadku ekonomii społecznej odbiorcami wsparcia będą osoby zagrożone ubóstwem i wykluczeniem spo</w:t>
      </w:r>
      <w:r w:rsidR="00C46153" w:rsidRPr="00890249">
        <w:rPr>
          <w:rFonts w:asciiTheme="minorHAnsi" w:hAnsiTheme="minorHAnsi" w:cstheme="minorHAnsi"/>
          <w:noProof/>
          <w:sz w:val="22"/>
          <w:szCs w:val="22"/>
        </w:rPr>
        <w:t>ł</w:t>
      </w:r>
      <w:r w:rsidRPr="00890249">
        <w:rPr>
          <w:rFonts w:asciiTheme="minorHAnsi" w:hAnsiTheme="minorHAnsi" w:cstheme="minorHAnsi"/>
          <w:noProof/>
          <w:sz w:val="22"/>
          <w:szCs w:val="22"/>
        </w:rPr>
        <w:t xml:space="preserve">ecznym oraz przedsiębiorstwa społeczne tworzone przez te osoby. Nie są to podmioty/grupy posiadające potencjał do korzystania z instrumentów finansowych. Beneficjentami w cs (h) </w:t>
      </w:r>
      <w:r w:rsidR="00C46153" w:rsidRPr="00890249">
        <w:rPr>
          <w:rFonts w:asciiTheme="minorHAnsi" w:hAnsiTheme="minorHAnsi" w:cstheme="minorHAnsi"/>
          <w:noProof/>
          <w:sz w:val="22"/>
          <w:szCs w:val="22"/>
        </w:rPr>
        <w:t>c</w:t>
      </w:r>
      <w:r w:rsidRPr="00890249">
        <w:rPr>
          <w:rFonts w:asciiTheme="minorHAnsi" w:hAnsiTheme="minorHAnsi" w:cstheme="minorHAnsi"/>
          <w:noProof/>
          <w:sz w:val="22"/>
          <w:szCs w:val="22"/>
        </w:rPr>
        <w:t>o do zasady nie będą przedsiębiorstwa. W tym cs nie będą realizowane przedsięwzięcia prowadzone dla zysku, samofinansujące się.</w:t>
      </w:r>
    </w:p>
    <w:p w14:paraId="523828CE" w14:textId="77777777" w:rsidR="00D42DA4" w:rsidRPr="00890249" w:rsidRDefault="00D42DA4" w:rsidP="00D42DA4">
      <w:pPr>
        <w:spacing w:before="0" w:after="160" w:line="259" w:lineRule="auto"/>
        <w:rPr>
          <w:rFonts w:asciiTheme="minorHAnsi" w:hAnsiTheme="minorHAnsi" w:cstheme="minorHAnsi"/>
          <w:b/>
          <w:noProof/>
          <w:sz w:val="22"/>
          <w:szCs w:val="22"/>
        </w:rPr>
      </w:pPr>
      <w:r w:rsidRPr="00890249">
        <w:rPr>
          <w:rFonts w:asciiTheme="minorHAnsi" w:hAnsiTheme="minorHAnsi" w:cstheme="minorHAnsi"/>
          <w:b/>
          <w:noProof/>
          <w:sz w:val="22"/>
          <w:szCs w:val="22"/>
        </w:rPr>
        <w:t>2.1.6.1.2 (h)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1"/>
        <w:gridCol w:w="693"/>
        <w:gridCol w:w="1009"/>
        <w:gridCol w:w="830"/>
        <w:gridCol w:w="2213"/>
        <w:gridCol w:w="830"/>
        <w:gridCol w:w="1106"/>
        <w:gridCol w:w="1072"/>
      </w:tblGrid>
      <w:tr w:rsidR="0034642D" w:rsidRPr="00890249" w14:paraId="5CC75F02" w14:textId="77777777" w:rsidTr="00F96149">
        <w:trPr>
          <w:trHeight w:val="425"/>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E3294" w14:textId="77777777" w:rsidR="0034642D" w:rsidRPr="00890249" w:rsidRDefault="0034642D" w:rsidP="00D42DA4">
            <w:pPr>
              <w:pStyle w:val="Tekstpodstawowy"/>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30950ED3" w14:textId="77777777" w:rsidTr="00890249">
        <w:trPr>
          <w:cantSplit/>
          <w:trHeight w:val="1647"/>
        </w:trPr>
        <w:tc>
          <w:tcPr>
            <w:tcW w:w="288" w:type="pct"/>
            <w:shd w:val="clear" w:color="auto" w:fill="F2F2F2" w:themeFill="background1" w:themeFillShade="F2"/>
            <w:textDirection w:val="btLr"/>
            <w:vAlign w:val="center"/>
          </w:tcPr>
          <w:p w14:paraId="6794CAA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tcBorders>
              <w:right w:val="single" w:sz="4" w:space="0" w:color="auto"/>
            </w:tcBorders>
            <w:shd w:val="clear" w:color="auto" w:fill="F2F2F2" w:themeFill="background1" w:themeFillShade="F2"/>
            <w:textDirection w:val="btLr"/>
            <w:vAlign w:val="center"/>
          </w:tcPr>
          <w:p w14:paraId="5230782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287F906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40D34D0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53FEE2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00A0F0E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39462BA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54066550"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4698EB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DA2D22" w:rsidRPr="00890249" w14:paraId="3AB3D49C" w14:textId="77777777" w:rsidTr="00890249">
        <w:trPr>
          <w:trHeight w:val="340"/>
        </w:trPr>
        <w:tc>
          <w:tcPr>
            <w:tcW w:w="288" w:type="pct"/>
            <w:vAlign w:val="center"/>
          </w:tcPr>
          <w:p w14:paraId="6166704B" w14:textId="77777777" w:rsidR="00DA2D22" w:rsidRPr="00890249" w:rsidRDefault="00B74A0C" w:rsidP="0034642D">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tcBorders>
              <w:right w:val="single" w:sz="4" w:space="0" w:color="auto"/>
            </w:tcBorders>
            <w:vAlign w:val="center"/>
          </w:tcPr>
          <w:p w14:paraId="31EEDD91" w14:textId="77777777" w:rsidR="00DA2D22" w:rsidRPr="00890249" w:rsidRDefault="00DA2D22" w:rsidP="00DA2D22">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4.</w:t>
            </w:r>
            <w:r w:rsidR="0009010C" w:rsidRPr="00890249">
              <w:rPr>
                <w:rFonts w:asciiTheme="minorHAnsi" w:eastAsiaTheme="minorHAnsi" w:hAnsiTheme="minorHAnsi" w:cstheme="minorHAnsi"/>
                <w:i/>
                <w:noProof/>
                <w:sz w:val="18"/>
                <w:szCs w:val="18"/>
                <w:lang w:eastAsia="en-US" w:bidi="ar-SA"/>
              </w:rPr>
              <w:t>h</w:t>
            </w:r>
          </w:p>
        </w:tc>
        <w:tc>
          <w:tcPr>
            <w:tcW w:w="384" w:type="pct"/>
            <w:tcBorders>
              <w:top w:val="single" w:sz="4" w:space="0" w:color="auto"/>
              <w:left w:val="single" w:sz="4" w:space="0" w:color="auto"/>
              <w:bottom w:val="single" w:sz="4" w:space="0" w:color="auto"/>
              <w:right w:val="single" w:sz="4" w:space="0" w:color="auto"/>
            </w:tcBorders>
            <w:vAlign w:val="center"/>
          </w:tcPr>
          <w:p w14:paraId="33B6C1DE" w14:textId="77777777" w:rsidR="00DA2D22" w:rsidRPr="00890249" w:rsidRDefault="00DA2D22" w:rsidP="00DA2D22">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EFS+</w:t>
            </w:r>
          </w:p>
        </w:tc>
        <w:tc>
          <w:tcPr>
            <w:tcW w:w="559" w:type="pct"/>
            <w:tcBorders>
              <w:top w:val="single" w:sz="4" w:space="0" w:color="auto"/>
              <w:left w:val="single" w:sz="4" w:space="0" w:color="auto"/>
              <w:bottom w:val="single" w:sz="4" w:space="0" w:color="auto"/>
              <w:right w:val="single" w:sz="4" w:space="0" w:color="auto"/>
            </w:tcBorders>
            <w:vAlign w:val="center"/>
          </w:tcPr>
          <w:p w14:paraId="0538325A" w14:textId="77777777" w:rsidR="00DA2D22" w:rsidRPr="00890249" w:rsidRDefault="00E76BD1" w:rsidP="00DA2D22">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tcBorders>
              <w:top w:val="single" w:sz="4" w:space="0" w:color="auto"/>
              <w:left w:val="single" w:sz="4" w:space="0" w:color="auto"/>
              <w:bottom w:val="single" w:sz="4" w:space="0" w:color="auto"/>
              <w:right w:val="single" w:sz="4" w:space="0" w:color="auto"/>
            </w:tcBorders>
            <w:vAlign w:val="center"/>
          </w:tcPr>
          <w:p w14:paraId="57F04BDC" w14:textId="77777777" w:rsidR="00DA2D22" w:rsidRPr="00890249" w:rsidRDefault="006816A5" w:rsidP="00DA2D22">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EECO02</w:t>
            </w:r>
            <w:r w:rsidR="00191E71" w:rsidRPr="00890249">
              <w:rPr>
                <w:rFonts w:asciiTheme="minorHAnsi" w:hAnsiTheme="minorHAnsi" w:cstheme="minorHAnsi"/>
                <w:i/>
                <w:noProof/>
                <w:sz w:val="18"/>
                <w:szCs w:val="18"/>
              </w:rPr>
              <w:t xml:space="preserve"> + EECO04</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389B145C" w14:textId="6C603FC2" w:rsidR="00DA2D22" w:rsidRPr="00890249" w:rsidRDefault="00836311" w:rsidP="00191E71">
            <w:pPr>
              <w:jc w:val="left"/>
              <w:rPr>
                <w:rFonts w:asciiTheme="minorHAnsi" w:hAnsiTheme="minorHAnsi" w:cstheme="minorHAnsi"/>
                <w:i/>
                <w:noProof/>
                <w:sz w:val="18"/>
                <w:szCs w:val="18"/>
              </w:rPr>
            </w:pPr>
            <w:r w:rsidRPr="00890249">
              <w:rPr>
                <w:rFonts w:asciiTheme="minorHAnsi" w:eastAsiaTheme="minorHAnsi" w:hAnsiTheme="minorHAnsi" w:cstheme="minorHAnsi"/>
                <w:i/>
                <w:sz w:val="18"/>
                <w:szCs w:val="18"/>
                <w:lang w:eastAsia="en-US" w:bidi="ar-SA"/>
              </w:rPr>
              <w:t xml:space="preserve">Liczba osób </w:t>
            </w:r>
            <w:r w:rsidR="00191E71" w:rsidRPr="00890249">
              <w:rPr>
                <w:rFonts w:asciiTheme="minorHAnsi" w:eastAsiaTheme="minorHAnsi" w:hAnsiTheme="minorHAnsi" w:cstheme="minorHAnsi"/>
                <w:i/>
                <w:sz w:val="18"/>
                <w:szCs w:val="18"/>
                <w:lang w:eastAsia="en-US" w:bidi="ar-SA"/>
              </w:rPr>
              <w:t xml:space="preserve">niezatrudnionych </w:t>
            </w:r>
            <w:r w:rsidRPr="00890249">
              <w:rPr>
                <w:rFonts w:asciiTheme="minorHAnsi" w:eastAsiaTheme="minorHAnsi" w:hAnsiTheme="minorHAnsi" w:cstheme="minorHAnsi"/>
                <w:i/>
                <w:sz w:val="18"/>
                <w:szCs w:val="18"/>
                <w:lang w:eastAsia="en-US" w:bidi="ar-SA"/>
              </w:rPr>
              <w:t xml:space="preserve"> objętych wsparciem w programie</w:t>
            </w:r>
          </w:p>
        </w:tc>
        <w:tc>
          <w:tcPr>
            <w:tcW w:w="460" w:type="pct"/>
            <w:tcBorders>
              <w:top w:val="single" w:sz="4" w:space="0" w:color="auto"/>
              <w:left w:val="single" w:sz="4" w:space="0" w:color="auto"/>
              <w:bottom w:val="single" w:sz="4" w:space="0" w:color="auto"/>
              <w:right w:val="single" w:sz="4" w:space="0" w:color="auto"/>
            </w:tcBorders>
            <w:vAlign w:val="center"/>
          </w:tcPr>
          <w:p w14:paraId="3068D44E" w14:textId="5E5E0F79" w:rsidR="00DA2D22" w:rsidRPr="00890249" w:rsidRDefault="00D61DA0" w:rsidP="00DA2D22">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6"/>
                <w:lang w:eastAsia="en-US" w:bidi="ar-SA"/>
              </w:rPr>
              <w:t>os.</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0A587BB" w14:textId="49B7ECFA" w:rsidR="00A63705" w:rsidRPr="00890249" w:rsidRDefault="00191E71"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50</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2954F125" w14:textId="087A72CD" w:rsidR="00A63705" w:rsidRPr="00890249" w:rsidRDefault="006766E3" w:rsidP="0043241C">
            <w:pPr>
              <w:jc w:val="center"/>
              <w:rPr>
                <w:rFonts w:asciiTheme="minorHAnsi" w:hAnsiTheme="minorHAnsi" w:cstheme="minorHAnsi"/>
                <w:i/>
                <w:noProof/>
                <w:sz w:val="18"/>
                <w:szCs w:val="16"/>
              </w:rPr>
            </w:pPr>
            <w:r>
              <w:rPr>
                <w:rFonts w:asciiTheme="minorHAnsi" w:hAnsiTheme="minorHAnsi" w:cstheme="minorHAnsi"/>
                <w:i/>
                <w:noProof/>
                <w:sz w:val="18"/>
                <w:szCs w:val="16"/>
              </w:rPr>
              <w:t>460</w:t>
            </w:r>
          </w:p>
        </w:tc>
      </w:tr>
      <w:tr w:rsidR="00B74A0C" w:rsidRPr="00890249" w14:paraId="188CB08A" w14:textId="77777777" w:rsidTr="00890249">
        <w:trPr>
          <w:trHeight w:val="340"/>
        </w:trPr>
        <w:tc>
          <w:tcPr>
            <w:tcW w:w="288" w:type="pct"/>
            <w:vAlign w:val="center"/>
          </w:tcPr>
          <w:p w14:paraId="16ACA5DD" w14:textId="77777777" w:rsidR="00B74A0C" w:rsidRPr="00890249" w:rsidRDefault="00B74A0C" w:rsidP="00B74A0C">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tcBorders>
              <w:right w:val="single" w:sz="4" w:space="0" w:color="auto"/>
            </w:tcBorders>
            <w:vAlign w:val="center"/>
          </w:tcPr>
          <w:p w14:paraId="7863C90D" w14:textId="77777777" w:rsidR="00B74A0C" w:rsidRPr="00890249" w:rsidRDefault="00B74A0C" w:rsidP="00B74A0C">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4.</w:t>
            </w:r>
            <w:r w:rsidR="0009010C" w:rsidRPr="00890249">
              <w:rPr>
                <w:rFonts w:asciiTheme="minorHAnsi" w:eastAsiaTheme="minorHAnsi" w:hAnsiTheme="minorHAnsi" w:cstheme="minorHAnsi"/>
                <w:i/>
                <w:noProof/>
                <w:sz w:val="18"/>
                <w:szCs w:val="18"/>
                <w:lang w:eastAsia="en-US" w:bidi="ar-SA"/>
              </w:rPr>
              <w:t>h</w:t>
            </w:r>
          </w:p>
        </w:tc>
        <w:tc>
          <w:tcPr>
            <w:tcW w:w="384" w:type="pct"/>
            <w:tcBorders>
              <w:top w:val="single" w:sz="4" w:space="0" w:color="auto"/>
              <w:left w:val="single" w:sz="4" w:space="0" w:color="auto"/>
              <w:bottom w:val="single" w:sz="4" w:space="0" w:color="auto"/>
              <w:right w:val="single" w:sz="4" w:space="0" w:color="auto"/>
            </w:tcBorders>
            <w:vAlign w:val="center"/>
          </w:tcPr>
          <w:p w14:paraId="2724F9A6" w14:textId="77777777" w:rsidR="00B74A0C" w:rsidRPr="00890249" w:rsidRDefault="00B74A0C" w:rsidP="00B74A0C">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EFS+</w:t>
            </w:r>
          </w:p>
        </w:tc>
        <w:tc>
          <w:tcPr>
            <w:tcW w:w="559" w:type="pct"/>
            <w:tcBorders>
              <w:top w:val="single" w:sz="4" w:space="0" w:color="auto"/>
              <w:left w:val="single" w:sz="4" w:space="0" w:color="auto"/>
              <w:bottom w:val="single" w:sz="4" w:space="0" w:color="auto"/>
              <w:right w:val="single" w:sz="4" w:space="0" w:color="auto"/>
            </w:tcBorders>
            <w:vAlign w:val="center"/>
          </w:tcPr>
          <w:p w14:paraId="508A2DF2" w14:textId="77777777" w:rsidR="00B74A0C" w:rsidRPr="00890249" w:rsidRDefault="00B74A0C" w:rsidP="00B74A0C">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tcBorders>
              <w:top w:val="single" w:sz="4" w:space="0" w:color="auto"/>
              <w:left w:val="single" w:sz="4" w:space="0" w:color="auto"/>
              <w:bottom w:val="single" w:sz="4" w:space="0" w:color="auto"/>
              <w:right w:val="single" w:sz="4" w:space="0" w:color="auto"/>
            </w:tcBorders>
            <w:vAlign w:val="center"/>
          </w:tcPr>
          <w:p w14:paraId="6011722E" w14:textId="77777777" w:rsidR="00B74A0C" w:rsidRPr="00890249" w:rsidRDefault="006816A5" w:rsidP="00B74A0C">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PLHCO01</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185643AD" w14:textId="77777777" w:rsidR="00B74A0C" w:rsidRPr="00890249" w:rsidRDefault="00B74A0C" w:rsidP="00B74A0C">
            <w:pPr>
              <w:jc w:val="left"/>
              <w:rPr>
                <w:rFonts w:asciiTheme="minorHAnsi" w:eastAsiaTheme="minorHAnsi" w:hAnsiTheme="minorHAnsi" w:cstheme="minorHAnsi"/>
                <w:i/>
                <w:sz w:val="18"/>
                <w:szCs w:val="18"/>
                <w:lang w:eastAsia="en-US" w:bidi="ar-SA"/>
              </w:rPr>
            </w:pPr>
            <w:r w:rsidRPr="00890249">
              <w:rPr>
                <w:rFonts w:asciiTheme="minorHAnsi" w:eastAsiaTheme="minorHAnsi" w:hAnsiTheme="minorHAnsi" w:cstheme="minorHAnsi"/>
                <w:i/>
                <w:sz w:val="18"/>
                <w:szCs w:val="18"/>
                <w:lang w:eastAsia="en-US" w:bidi="ar-SA"/>
              </w:rPr>
              <w:t>Liczba podmiotów ekonomii społecznej objętych wsparciem</w:t>
            </w:r>
          </w:p>
        </w:tc>
        <w:tc>
          <w:tcPr>
            <w:tcW w:w="460" w:type="pct"/>
            <w:tcBorders>
              <w:top w:val="single" w:sz="4" w:space="0" w:color="auto"/>
              <w:left w:val="single" w:sz="4" w:space="0" w:color="auto"/>
              <w:bottom w:val="single" w:sz="4" w:space="0" w:color="auto"/>
              <w:right w:val="single" w:sz="4" w:space="0" w:color="auto"/>
            </w:tcBorders>
            <w:vAlign w:val="center"/>
          </w:tcPr>
          <w:p w14:paraId="406F0C14" w14:textId="77777777" w:rsidR="00B74A0C" w:rsidRPr="00890249" w:rsidRDefault="00CE360C" w:rsidP="00B74A0C">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szt.</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7F2F38FF" w14:textId="6DBA20C6" w:rsidR="00A63705" w:rsidRPr="00890249" w:rsidRDefault="00725402"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14</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14:paraId="51AA97C1" w14:textId="5C92CEFB" w:rsidR="00A63705" w:rsidRPr="00890249" w:rsidRDefault="006766E3" w:rsidP="0043241C">
            <w:pPr>
              <w:jc w:val="center"/>
              <w:rPr>
                <w:rFonts w:asciiTheme="minorHAnsi" w:hAnsiTheme="minorHAnsi" w:cstheme="minorHAnsi"/>
                <w:i/>
                <w:noProof/>
                <w:sz w:val="18"/>
                <w:szCs w:val="16"/>
              </w:rPr>
            </w:pPr>
            <w:r>
              <w:rPr>
                <w:rFonts w:asciiTheme="minorHAnsi" w:hAnsiTheme="minorHAnsi" w:cstheme="minorHAnsi"/>
                <w:i/>
                <w:noProof/>
                <w:sz w:val="18"/>
                <w:szCs w:val="16"/>
              </w:rPr>
              <w:t>164</w:t>
            </w:r>
          </w:p>
        </w:tc>
      </w:tr>
    </w:tbl>
    <w:p w14:paraId="685D6769" w14:textId="77777777" w:rsidR="00FF30E5" w:rsidRPr="00890249" w:rsidRDefault="00FF30E5" w:rsidP="00FF30E5">
      <w:pPr>
        <w:spacing w:after="0"/>
        <w:rPr>
          <w:rFonts w:asciiTheme="minorHAnsi" w:eastAsia="Times New Roman" w:hAnsiTheme="minorHAnsi" w:cstheme="minorHAnsi"/>
          <w:b/>
          <w:iCs/>
          <w:noProof/>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52"/>
        <w:gridCol w:w="692"/>
        <w:gridCol w:w="1008"/>
        <w:gridCol w:w="775"/>
        <w:gridCol w:w="1383"/>
        <w:gridCol w:w="831"/>
        <w:gridCol w:w="692"/>
        <w:gridCol w:w="596"/>
        <w:gridCol w:w="561"/>
        <w:gridCol w:w="605"/>
        <w:gridCol w:w="554"/>
      </w:tblGrid>
      <w:tr w:rsidR="0098169C" w:rsidRPr="00890249" w14:paraId="75C82A8A" w14:textId="77777777" w:rsidTr="008C67B3">
        <w:trPr>
          <w:trHeight w:val="480"/>
          <w:tblHeader/>
        </w:trPr>
        <w:tc>
          <w:tcPr>
            <w:tcW w:w="5000" w:type="pct"/>
            <w:gridSpan w:val="12"/>
            <w:shd w:val="clear" w:color="auto" w:fill="D9D9D9" w:themeFill="background1" w:themeFillShade="D9"/>
          </w:tcPr>
          <w:p w14:paraId="625519B5"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98169C" w:rsidRPr="00890249" w14:paraId="54537F57" w14:textId="77777777" w:rsidTr="008C67B3">
        <w:trPr>
          <w:cantSplit/>
          <w:trHeight w:val="1768"/>
          <w:tblHeader/>
        </w:trPr>
        <w:tc>
          <w:tcPr>
            <w:tcW w:w="290" w:type="pct"/>
            <w:shd w:val="clear" w:color="auto" w:fill="F2F2F2" w:themeFill="background1" w:themeFillShade="F2"/>
            <w:textDirection w:val="btLr"/>
            <w:vAlign w:val="center"/>
          </w:tcPr>
          <w:p w14:paraId="1B14DEA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9" w:type="pct"/>
            <w:shd w:val="clear" w:color="auto" w:fill="F2F2F2" w:themeFill="background1" w:themeFillShade="F2"/>
            <w:textDirection w:val="btLr"/>
            <w:vAlign w:val="center"/>
          </w:tcPr>
          <w:p w14:paraId="0AAE8383"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6" w:type="pct"/>
            <w:shd w:val="clear" w:color="auto" w:fill="F2F2F2" w:themeFill="background1" w:themeFillShade="F2"/>
            <w:textDirection w:val="btLr"/>
            <w:vAlign w:val="center"/>
          </w:tcPr>
          <w:p w14:paraId="63F8001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62" w:type="pct"/>
            <w:shd w:val="clear" w:color="auto" w:fill="F2F2F2" w:themeFill="background1" w:themeFillShade="F2"/>
            <w:textDirection w:val="btLr"/>
            <w:vAlign w:val="center"/>
          </w:tcPr>
          <w:p w14:paraId="3C279751"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32" w:type="pct"/>
            <w:shd w:val="clear" w:color="auto" w:fill="F2F2F2" w:themeFill="background1" w:themeFillShade="F2"/>
            <w:textDirection w:val="btLr"/>
            <w:vAlign w:val="center"/>
          </w:tcPr>
          <w:p w14:paraId="55E4E407"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71" w:type="pct"/>
            <w:shd w:val="clear" w:color="auto" w:fill="F2F2F2" w:themeFill="background1" w:themeFillShade="F2"/>
            <w:textDirection w:val="btLr"/>
            <w:vAlign w:val="center"/>
          </w:tcPr>
          <w:p w14:paraId="490CC61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63" w:type="pct"/>
            <w:shd w:val="clear" w:color="auto" w:fill="F2F2F2" w:themeFill="background1" w:themeFillShade="F2"/>
            <w:textDirection w:val="btLr"/>
            <w:vAlign w:val="center"/>
          </w:tcPr>
          <w:p w14:paraId="0A177F1A"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6" w:type="pct"/>
            <w:shd w:val="clear" w:color="auto" w:fill="F2F2F2" w:themeFill="background1" w:themeFillShade="F2"/>
            <w:textDirection w:val="btLr"/>
            <w:vAlign w:val="center"/>
          </w:tcPr>
          <w:p w14:paraId="4273C4C3"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32" w:type="pct"/>
            <w:shd w:val="clear" w:color="auto" w:fill="F2F2F2" w:themeFill="background1" w:themeFillShade="F2"/>
            <w:textDirection w:val="btLr"/>
            <w:vAlign w:val="center"/>
          </w:tcPr>
          <w:p w14:paraId="6E504F25"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3" w:type="pct"/>
            <w:shd w:val="clear" w:color="auto" w:fill="F2F2F2" w:themeFill="background1" w:themeFillShade="F2"/>
            <w:textDirection w:val="btLr"/>
            <w:vAlign w:val="center"/>
          </w:tcPr>
          <w:p w14:paraId="19F92446"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7" w:type="pct"/>
            <w:shd w:val="clear" w:color="auto" w:fill="F2F2F2" w:themeFill="background1" w:themeFillShade="F2"/>
            <w:textDirection w:val="btLr"/>
            <w:vAlign w:val="center"/>
          </w:tcPr>
          <w:p w14:paraId="05F13F37"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09" w:type="pct"/>
            <w:shd w:val="clear" w:color="auto" w:fill="F2F2F2" w:themeFill="background1" w:themeFillShade="F2"/>
            <w:textDirection w:val="btLr"/>
            <w:vAlign w:val="center"/>
          </w:tcPr>
          <w:p w14:paraId="1312D3C9"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6D15D3" w:rsidRPr="00890249" w14:paraId="36460618" w14:textId="77777777" w:rsidTr="00B74A0C">
        <w:trPr>
          <w:trHeight w:val="434"/>
        </w:trPr>
        <w:tc>
          <w:tcPr>
            <w:tcW w:w="290" w:type="pct"/>
            <w:vAlign w:val="center"/>
          </w:tcPr>
          <w:p w14:paraId="224904B9" w14:textId="77777777" w:rsidR="006D15D3" w:rsidRPr="00890249" w:rsidRDefault="006D15D3"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9" w:type="pct"/>
            <w:vAlign w:val="center"/>
          </w:tcPr>
          <w:p w14:paraId="6646F80F" w14:textId="77777777" w:rsidR="006D15D3" w:rsidRPr="00890249" w:rsidRDefault="006D15D3" w:rsidP="0009010C">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h</w:t>
            </w:r>
          </w:p>
        </w:tc>
        <w:tc>
          <w:tcPr>
            <w:tcW w:w="386" w:type="pct"/>
            <w:vAlign w:val="center"/>
          </w:tcPr>
          <w:p w14:paraId="4BA742E5" w14:textId="77777777" w:rsidR="006D15D3" w:rsidRPr="00890249" w:rsidRDefault="006D15D3" w:rsidP="006D15D3">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2" w:type="pct"/>
            <w:vAlign w:val="center"/>
          </w:tcPr>
          <w:p w14:paraId="6ABE3729" w14:textId="77777777" w:rsidR="006D15D3" w:rsidRPr="00890249" w:rsidRDefault="006D15D3"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32" w:type="pct"/>
            <w:vAlign w:val="center"/>
          </w:tcPr>
          <w:p w14:paraId="1E571649" w14:textId="77777777" w:rsidR="006D15D3" w:rsidRPr="00890249" w:rsidRDefault="006816A5"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EECR01</w:t>
            </w:r>
          </w:p>
        </w:tc>
        <w:tc>
          <w:tcPr>
            <w:tcW w:w="771" w:type="pct"/>
            <w:shd w:val="clear" w:color="auto" w:fill="auto"/>
            <w:vAlign w:val="center"/>
          </w:tcPr>
          <w:p w14:paraId="0DFEA1B3" w14:textId="77777777" w:rsidR="006D15D3" w:rsidRPr="00890249" w:rsidRDefault="006D15D3" w:rsidP="006D15D3">
            <w:pPr>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sz w:val="18"/>
                <w:szCs w:val="16"/>
                <w:lang w:eastAsia="en-US" w:bidi="ar-SA"/>
              </w:rPr>
              <w:t>Liczba osób poszukujących pracy po opuszczeniu programu</w:t>
            </w:r>
          </w:p>
        </w:tc>
        <w:tc>
          <w:tcPr>
            <w:tcW w:w="463" w:type="pct"/>
            <w:vAlign w:val="center"/>
          </w:tcPr>
          <w:p w14:paraId="7C8E05D3" w14:textId="77777777" w:rsidR="006D15D3" w:rsidRPr="00890249" w:rsidRDefault="00CE360C" w:rsidP="006D15D3">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r w:rsidR="006816A5" w:rsidRPr="00890249">
              <w:rPr>
                <w:rFonts w:asciiTheme="minorHAnsi" w:eastAsiaTheme="minorHAnsi" w:hAnsiTheme="minorHAnsi" w:cstheme="minorHAnsi"/>
                <w:i/>
                <w:noProof/>
                <w:sz w:val="18"/>
                <w:szCs w:val="16"/>
                <w:lang w:eastAsia="en-US" w:bidi="ar-SA"/>
              </w:rPr>
              <w:t>oby</w:t>
            </w:r>
          </w:p>
        </w:tc>
        <w:tc>
          <w:tcPr>
            <w:tcW w:w="386" w:type="pct"/>
            <w:vAlign w:val="center"/>
          </w:tcPr>
          <w:p w14:paraId="6F825986" w14:textId="3CC9E989" w:rsidR="006D15D3" w:rsidRPr="00890249" w:rsidRDefault="00B8394F"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420</w:t>
            </w:r>
          </w:p>
        </w:tc>
        <w:tc>
          <w:tcPr>
            <w:tcW w:w="332" w:type="pct"/>
            <w:vAlign w:val="center"/>
          </w:tcPr>
          <w:p w14:paraId="76B15CD7" w14:textId="77777777" w:rsidR="006D15D3" w:rsidRPr="00890249" w:rsidRDefault="006816A5" w:rsidP="006D15D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3" w:type="pct"/>
            <w:shd w:val="clear" w:color="auto" w:fill="auto"/>
            <w:vAlign w:val="center"/>
          </w:tcPr>
          <w:p w14:paraId="0D43AB5B" w14:textId="071B48FB" w:rsidR="006D15D3" w:rsidRPr="00890249" w:rsidRDefault="009725F9" w:rsidP="006D15D3">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37</w:t>
            </w:r>
          </w:p>
        </w:tc>
        <w:tc>
          <w:tcPr>
            <w:tcW w:w="337" w:type="pct"/>
            <w:shd w:val="clear" w:color="auto" w:fill="auto"/>
            <w:vAlign w:val="center"/>
          </w:tcPr>
          <w:p w14:paraId="78117049" w14:textId="77777777" w:rsidR="006D15D3" w:rsidRPr="00890249" w:rsidRDefault="006E088D" w:rsidP="006D15D3">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09" w:type="pct"/>
            <w:vAlign w:val="center"/>
          </w:tcPr>
          <w:p w14:paraId="500DA37E" w14:textId="0AEFDA9A" w:rsidR="006D15D3" w:rsidRPr="00890249" w:rsidRDefault="00B8394F" w:rsidP="006D15D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Wskaźniki referencyjne: EECO02 + EECO04</w:t>
            </w:r>
          </w:p>
        </w:tc>
      </w:tr>
      <w:tr w:rsidR="006D15D3" w:rsidRPr="00890249" w14:paraId="5DC3AA1A" w14:textId="77777777" w:rsidTr="00B74A0C">
        <w:trPr>
          <w:trHeight w:val="434"/>
        </w:trPr>
        <w:tc>
          <w:tcPr>
            <w:tcW w:w="290" w:type="pct"/>
            <w:vAlign w:val="center"/>
          </w:tcPr>
          <w:p w14:paraId="3764A115" w14:textId="77777777" w:rsidR="006D15D3" w:rsidRPr="00890249" w:rsidRDefault="006D15D3"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9" w:type="pct"/>
            <w:vAlign w:val="center"/>
          </w:tcPr>
          <w:p w14:paraId="2A847EB8" w14:textId="77777777" w:rsidR="006D15D3" w:rsidRPr="00890249" w:rsidRDefault="006D15D3" w:rsidP="0009010C">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w:t>
            </w:r>
            <w:r w:rsidR="0009010C" w:rsidRPr="00890249">
              <w:rPr>
                <w:rFonts w:asciiTheme="minorHAnsi" w:eastAsiaTheme="minorHAnsi" w:hAnsiTheme="minorHAnsi" w:cstheme="minorHAnsi"/>
                <w:i/>
                <w:noProof/>
                <w:sz w:val="18"/>
                <w:szCs w:val="16"/>
                <w:lang w:eastAsia="en-US" w:bidi="ar-SA"/>
              </w:rPr>
              <w:t>h</w:t>
            </w:r>
          </w:p>
        </w:tc>
        <w:tc>
          <w:tcPr>
            <w:tcW w:w="386" w:type="pct"/>
            <w:vAlign w:val="center"/>
          </w:tcPr>
          <w:p w14:paraId="37FE1563" w14:textId="77777777" w:rsidR="006D15D3" w:rsidRPr="00890249" w:rsidRDefault="006D15D3" w:rsidP="006D15D3">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2" w:type="pct"/>
            <w:vAlign w:val="center"/>
          </w:tcPr>
          <w:p w14:paraId="298747D0" w14:textId="77777777" w:rsidR="006D15D3" w:rsidRPr="00890249" w:rsidRDefault="006D15D3"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32" w:type="pct"/>
            <w:vAlign w:val="center"/>
          </w:tcPr>
          <w:p w14:paraId="45DAD007" w14:textId="77777777" w:rsidR="006D15D3" w:rsidRPr="00890249" w:rsidRDefault="006816A5"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PLHILCR01</w:t>
            </w:r>
          </w:p>
        </w:tc>
        <w:tc>
          <w:tcPr>
            <w:tcW w:w="771" w:type="pct"/>
            <w:shd w:val="clear" w:color="auto" w:fill="auto"/>
            <w:vAlign w:val="center"/>
          </w:tcPr>
          <w:p w14:paraId="766B71BC" w14:textId="77777777" w:rsidR="006D15D3" w:rsidRPr="00890249" w:rsidRDefault="006D15D3" w:rsidP="006D15D3">
            <w:pPr>
              <w:jc w:val="left"/>
              <w:rPr>
                <w:rFonts w:asciiTheme="minorHAnsi" w:eastAsiaTheme="minorHAnsi" w:hAnsiTheme="minorHAnsi" w:cstheme="minorHAnsi"/>
                <w:i/>
                <w:sz w:val="18"/>
                <w:szCs w:val="16"/>
                <w:lang w:eastAsia="en-US" w:bidi="ar-SA"/>
              </w:rPr>
            </w:pPr>
            <w:r w:rsidRPr="00890249">
              <w:rPr>
                <w:rFonts w:asciiTheme="minorHAnsi" w:eastAsiaTheme="minorHAnsi" w:hAnsiTheme="minorHAnsi" w:cstheme="minorHAnsi"/>
                <w:i/>
                <w:sz w:val="18"/>
                <w:szCs w:val="16"/>
                <w:lang w:eastAsia="en-US" w:bidi="ar-SA"/>
              </w:rPr>
              <w:t xml:space="preserve">Liczba osób, których sytuacja społeczna uległa poprawie po </w:t>
            </w:r>
            <w:r w:rsidRPr="00890249">
              <w:rPr>
                <w:rFonts w:asciiTheme="minorHAnsi" w:eastAsiaTheme="minorHAnsi" w:hAnsiTheme="minorHAnsi" w:cstheme="minorHAnsi"/>
                <w:i/>
                <w:sz w:val="18"/>
                <w:szCs w:val="16"/>
                <w:lang w:eastAsia="en-US" w:bidi="ar-SA"/>
              </w:rPr>
              <w:lastRenderedPageBreak/>
              <w:t>opuszczeniu programu</w:t>
            </w:r>
          </w:p>
        </w:tc>
        <w:tc>
          <w:tcPr>
            <w:tcW w:w="463" w:type="pct"/>
            <w:vAlign w:val="center"/>
          </w:tcPr>
          <w:p w14:paraId="12F7274B" w14:textId="15BCA37D" w:rsidR="006D15D3" w:rsidRPr="00890249" w:rsidRDefault="00586C86" w:rsidP="006D15D3">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lastRenderedPageBreak/>
              <w:t>%</w:t>
            </w:r>
          </w:p>
        </w:tc>
        <w:tc>
          <w:tcPr>
            <w:tcW w:w="386" w:type="pct"/>
            <w:vAlign w:val="center"/>
          </w:tcPr>
          <w:p w14:paraId="2EAB3499" w14:textId="77777777" w:rsidR="006D15D3" w:rsidRPr="00890249" w:rsidRDefault="006E088D" w:rsidP="006D15D3">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60%</w:t>
            </w:r>
          </w:p>
        </w:tc>
        <w:tc>
          <w:tcPr>
            <w:tcW w:w="332" w:type="pct"/>
            <w:vAlign w:val="center"/>
          </w:tcPr>
          <w:p w14:paraId="790DAEF1" w14:textId="77777777" w:rsidR="006D15D3" w:rsidRPr="00890249" w:rsidRDefault="006E088D" w:rsidP="006D15D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3" w:type="pct"/>
            <w:shd w:val="clear" w:color="auto" w:fill="auto"/>
            <w:vAlign w:val="center"/>
          </w:tcPr>
          <w:p w14:paraId="1CFD39D5" w14:textId="77777777" w:rsidR="006D15D3" w:rsidRPr="00890249" w:rsidRDefault="006816A5" w:rsidP="006D15D3">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80%</w:t>
            </w:r>
          </w:p>
        </w:tc>
        <w:tc>
          <w:tcPr>
            <w:tcW w:w="337" w:type="pct"/>
            <w:shd w:val="clear" w:color="auto" w:fill="auto"/>
            <w:vAlign w:val="center"/>
          </w:tcPr>
          <w:p w14:paraId="39A0519C" w14:textId="77777777" w:rsidR="006D15D3" w:rsidRPr="00890249" w:rsidRDefault="006E088D" w:rsidP="006D15D3">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09" w:type="pct"/>
            <w:vAlign w:val="center"/>
          </w:tcPr>
          <w:p w14:paraId="56678E1C" w14:textId="00D8B028" w:rsidR="006D15D3" w:rsidRPr="00890249" w:rsidRDefault="008F6E40" w:rsidP="006D15D3">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Wskaźniki referencyjne</w:t>
            </w:r>
            <w:r w:rsidRPr="00890249">
              <w:rPr>
                <w:rFonts w:asciiTheme="minorHAnsi" w:hAnsiTheme="minorHAnsi" w:cstheme="minorHAnsi"/>
                <w:i/>
                <w:noProof/>
                <w:sz w:val="18"/>
                <w:szCs w:val="16"/>
              </w:rPr>
              <w:lastRenderedPageBreak/>
              <w:t>: EECO02 + EECO04</w:t>
            </w:r>
          </w:p>
        </w:tc>
      </w:tr>
      <w:tr w:rsidR="006816A5" w:rsidRPr="00890249" w14:paraId="4D003941" w14:textId="77777777" w:rsidTr="00B74A0C">
        <w:trPr>
          <w:trHeight w:val="434"/>
        </w:trPr>
        <w:tc>
          <w:tcPr>
            <w:tcW w:w="290" w:type="pct"/>
            <w:vAlign w:val="center"/>
          </w:tcPr>
          <w:p w14:paraId="366190CC" w14:textId="77777777" w:rsidR="006816A5" w:rsidRPr="00890249" w:rsidRDefault="006816A5" w:rsidP="006816A5">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lastRenderedPageBreak/>
              <w:t>CP4</w:t>
            </w:r>
          </w:p>
        </w:tc>
        <w:tc>
          <w:tcPr>
            <w:tcW w:w="419" w:type="pct"/>
            <w:vAlign w:val="center"/>
          </w:tcPr>
          <w:p w14:paraId="57FCA46B" w14:textId="77777777" w:rsidR="006816A5" w:rsidRPr="00890249" w:rsidRDefault="006816A5" w:rsidP="006816A5">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4.h</w:t>
            </w:r>
          </w:p>
        </w:tc>
        <w:tc>
          <w:tcPr>
            <w:tcW w:w="386" w:type="pct"/>
            <w:vAlign w:val="center"/>
          </w:tcPr>
          <w:p w14:paraId="123C9390" w14:textId="77777777" w:rsidR="006816A5" w:rsidRPr="00890249" w:rsidRDefault="006816A5" w:rsidP="006816A5">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62" w:type="pct"/>
            <w:vAlign w:val="center"/>
          </w:tcPr>
          <w:p w14:paraId="38F5A400" w14:textId="77777777" w:rsidR="006816A5" w:rsidRPr="00890249" w:rsidRDefault="006816A5" w:rsidP="006816A5">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32" w:type="pct"/>
            <w:vAlign w:val="center"/>
          </w:tcPr>
          <w:p w14:paraId="42A15FAE" w14:textId="77777777" w:rsidR="006816A5" w:rsidRPr="00890249" w:rsidRDefault="006816A5" w:rsidP="006816A5">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PLHCR01</w:t>
            </w:r>
          </w:p>
        </w:tc>
        <w:tc>
          <w:tcPr>
            <w:tcW w:w="771" w:type="pct"/>
            <w:shd w:val="clear" w:color="auto" w:fill="auto"/>
            <w:vAlign w:val="center"/>
          </w:tcPr>
          <w:p w14:paraId="43E05B38" w14:textId="77777777" w:rsidR="006816A5" w:rsidRPr="00890249" w:rsidRDefault="006816A5" w:rsidP="006816A5">
            <w:pPr>
              <w:jc w:val="left"/>
              <w:rPr>
                <w:rFonts w:asciiTheme="minorHAnsi" w:eastAsiaTheme="minorHAnsi" w:hAnsiTheme="minorHAnsi" w:cstheme="minorHAnsi"/>
                <w:i/>
                <w:sz w:val="18"/>
                <w:szCs w:val="16"/>
                <w:lang w:eastAsia="en-US" w:bidi="ar-SA"/>
              </w:rPr>
            </w:pPr>
            <w:r w:rsidRPr="00890249">
              <w:rPr>
                <w:rFonts w:asciiTheme="minorHAnsi" w:eastAsiaTheme="minorHAnsi" w:hAnsiTheme="minorHAnsi" w:cstheme="minorHAnsi"/>
                <w:i/>
                <w:sz w:val="18"/>
                <w:szCs w:val="16"/>
                <w:lang w:eastAsia="en-US" w:bidi="ar-SA"/>
              </w:rPr>
              <w:t>Liczba miejsc pracy utworzonych w przedsiębiorstwach społecznych</w:t>
            </w:r>
          </w:p>
        </w:tc>
        <w:tc>
          <w:tcPr>
            <w:tcW w:w="463" w:type="pct"/>
            <w:vAlign w:val="center"/>
          </w:tcPr>
          <w:p w14:paraId="1118585A" w14:textId="77777777" w:rsidR="006816A5" w:rsidRPr="00890249" w:rsidRDefault="006816A5" w:rsidP="006816A5">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szt.</w:t>
            </w:r>
          </w:p>
        </w:tc>
        <w:tc>
          <w:tcPr>
            <w:tcW w:w="386" w:type="pct"/>
            <w:vAlign w:val="center"/>
          </w:tcPr>
          <w:p w14:paraId="6E022279" w14:textId="77777777" w:rsidR="006816A5" w:rsidRPr="00890249" w:rsidRDefault="006E088D" w:rsidP="006816A5">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194</w:t>
            </w:r>
          </w:p>
        </w:tc>
        <w:tc>
          <w:tcPr>
            <w:tcW w:w="332" w:type="pct"/>
            <w:vAlign w:val="center"/>
          </w:tcPr>
          <w:p w14:paraId="62F17B7C" w14:textId="77777777" w:rsidR="006816A5" w:rsidRPr="00890249" w:rsidRDefault="006E088D" w:rsidP="006816A5">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3" w:type="pct"/>
            <w:shd w:val="clear" w:color="auto" w:fill="auto"/>
            <w:vAlign w:val="center"/>
          </w:tcPr>
          <w:p w14:paraId="651B23E1" w14:textId="3CCB77D6" w:rsidR="006816A5" w:rsidRPr="00890249" w:rsidRDefault="006766E3" w:rsidP="006816A5">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199</w:t>
            </w:r>
          </w:p>
        </w:tc>
        <w:tc>
          <w:tcPr>
            <w:tcW w:w="337" w:type="pct"/>
            <w:shd w:val="clear" w:color="auto" w:fill="auto"/>
            <w:vAlign w:val="center"/>
          </w:tcPr>
          <w:p w14:paraId="5D3C54CA" w14:textId="77777777" w:rsidR="006816A5" w:rsidRPr="00890249" w:rsidRDefault="006E088D" w:rsidP="006816A5">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09" w:type="pct"/>
            <w:vAlign w:val="center"/>
          </w:tcPr>
          <w:p w14:paraId="6E8DB25B" w14:textId="77777777" w:rsidR="006816A5" w:rsidRPr="00890249" w:rsidRDefault="003F3AB0" w:rsidP="006816A5">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bl>
    <w:p w14:paraId="1CA1578B" w14:textId="77777777" w:rsidR="00A9518C" w:rsidRPr="00890249" w:rsidRDefault="00A9518C" w:rsidP="0063477E">
      <w:pPr>
        <w:spacing w:before="0" w:after="240"/>
        <w:rPr>
          <w:rFonts w:asciiTheme="minorHAnsi" w:hAnsiTheme="minorHAnsi" w:cstheme="minorHAnsi"/>
          <w:b/>
          <w:noProof/>
          <w:sz w:val="22"/>
          <w:szCs w:val="22"/>
        </w:rPr>
      </w:pPr>
    </w:p>
    <w:p w14:paraId="16BB7BAD" w14:textId="77777777" w:rsidR="00D42DA4" w:rsidRPr="00890249" w:rsidRDefault="00D42DA4" w:rsidP="00D42DA4">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2.1.6.1.3 (h) Orientacyjny podział zasobów programu (UE) według rodzaju interwencji</w:t>
      </w:r>
    </w:p>
    <w:tbl>
      <w:tblPr>
        <w:tblStyle w:val="Tabela-Siatka"/>
        <w:tblW w:w="0" w:type="auto"/>
        <w:tblLook w:val="04A0" w:firstRow="1" w:lastRow="0" w:firstColumn="1" w:lastColumn="0" w:noHBand="0" w:noVBand="1"/>
      </w:tblPr>
      <w:tblGrid>
        <w:gridCol w:w="1461"/>
        <w:gridCol w:w="1259"/>
        <w:gridCol w:w="1341"/>
        <w:gridCol w:w="1665"/>
        <w:gridCol w:w="1513"/>
        <w:gridCol w:w="1822"/>
      </w:tblGrid>
      <w:tr w:rsidR="006C36DF" w:rsidRPr="00890249" w14:paraId="6345C7F5" w14:textId="77777777" w:rsidTr="008C67B3">
        <w:trPr>
          <w:tblHeader/>
        </w:trPr>
        <w:tc>
          <w:tcPr>
            <w:tcW w:w="9288" w:type="dxa"/>
            <w:gridSpan w:val="6"/>
            <w:shd w:val="clear" w:color="auto" w:fill="D9D9D9" w:themeFill="background1" w:themeFillShade="D9"/>
          </w:tcPr>
          <w:p w14:paraId="44C8B7F3" w14:textId="77777777" w:rsidR="006C36DF" w:rsidRPr="00890249" w:rsidRDefault="006C36DF"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6C36DF" w:rsidRPr="00890249" w14:paraId="7ADCD1CA" w14:textId="77777777" w:rsidTr="008C67B3">
        <w:trPr>
          <w:tblHeader/>
        </w:trPr>
        <w:tc>
          <w:tcPr>
            <w:tcW w:w="1574" w:type="dxa"/>
            <w:shd w:val="clear" w:color="auto" w:fill="F2F2F2" w:themeFill="background1" w:themeFillShade="F2"/>
          </w:tcPr>
          <w:p w14:paraId="0714E450"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61" w:type="dxa"/>
            <w:shd w:val="clear" w:color="auto" w:fill="F2F2F2" w:themeFill="background1" w:themeFillShade="F2"/>
          </w:tcPr>
          <w:p w14:paraId="47879087"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6" w:type="dxa"/>
            <w:shd w:val="clear" w:color="auto" w:fill="F2F2F2" w:themeFill="background1" w:themeFillShade="F2"/>
          </w:tcPr>
          <w:p w14:paraId="36C05F1D"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83" w:type="dxa"/>
            <w:shd w:val="clear" w:color="auto" w:fill="F2F2F2" w:themeFill="background1" w:themeFillShade="F2"/>
          </w:tcPr>
          <w:p w14:paraId="0D0DADBC"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9" w:type="dxa"/>
            <w:shd w:val="clear" w:color="auto" w:fill="F2F2F2" w:themeFill="background1" w:themeFillShade="F2"/>
          </w:tcPr>
          <w:p w14:paraId="60CEC2BD"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25" w:type="dxa"/>
            <w:shd w:val="clear" w:color="auto" w:fill="F2F2F2" w:themeFill="background1" w:themeFillShade="F2"/>
          </w:tcPr>
          <w:p w14:paraId="7711A466"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6C36DF" w:rsidRPr="00890249" w14:paraId="2B871BCD" w14:textId="77777777" w:rsidTr="00BD5A2B">
        <w:trPr>
          <w:trHeight w:val="284"/>
        </w:trPr>
        <w:tc>
          <w:tcPr>
            <w:tcW w:w="1574" w:type="dxa"/>
            <w:vMerge w:val="restart"/>
            <w:vAlign w:val="center"/>
          </w:tcPr>
          <w:p w14:paraId="04693297" w14:textId="77777777" w:rsidR="006C36DF" w:rsidRPr="00890249" w:rsidRDefault="006C36DF" w:rsidP="006D15D3">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61" w:type="dxa"/>
            <w:vMerge w:val="restart"/>
            <w:vAlign w:val="center"/>
          </w:tcPr>
          <w:p w14:paraId="52C6763D" w14:textId="77777777" w:rsidR="006C36DF" w:rsidRPr="00890249" w:rsidRDefault="006C36DF" w:rsidP="00BD5A2B">
            <w:pPr>
              <w:jc w:val="center"/>
              <w:rPr>
                <w:rFonts w:asciiTheme="minorHAnsi" w:hAnsiTheme="minorHAnsi" w:cstheme="minorHAnsi"/>
                <w:noProof/>
                <w:sz w:val="20"/>
              </w:rPr>
            </w:pPr>
            <w:r w:rsidRPr="00890249">
              <w:rPr>
                <w:rFonts w:asciiTheme="minorHAnsi" w:hAnsiTheme="minorHAnsi" w:cstheme="minorHAnsi"/>
                <w:noProof/>
                <w:sz w:val="20"/>
              </w:rPr>
              <w:t>EFS</w:t>
            </w:r>
            <w:r w:rsidR="00133682" w:rsidRPr="00890249">
              <w:rPr>
                <w:rFonts w:asciiTheme="minorHAnsi" w:hAnsiTheme="minorHAnsi" w:cstheme="minorHAnsi"/>
                <w:noProof/>
                <w:sz w:val="20"/>
              </w:rPr>
              <w:t>+</w:t>
            </w:r>
          </w:p>
        </w:tc>
        <w:tc>
          <w:tcPr>
            <w:tcW w:w="1416" w:type="dxa"/>
            <w:vMerge w:val="restart"/>
            <w:vAlign w:val="center"/>
          </w:tcPr>
          <w:p w14:paraId="22B2E285" w14:textId="77777777" w:rsidR="006C36DF" w:rsidRPr="00890249" w:rsidRDefault="006C36DF"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783" w:type="dxa"/>
            <w:vMerge w:val="restart"/>
            <w:vAlign w:val="center"/>
          </w:tcPr>
          <w:p w14:paraId="43A8D26C" w14:textId="77777777" w:rsidR="006C36DF" w:rsidRPr="00890249" w:rsidRDefault="006C36DF" w:rsidP="00BD5A2B">
            <w:pPr>
              <w:jc w:val="center"/>
              <w:rPr>
                <w:rFonts w:asciiTheme="minorHAnsi" w:hAnsiTheme="minorHAnsi" w:cstheme="minorHAnsi"/>
                <w:noProof/>
                <w:sz w:val="20"/>
              </w:rPr>
            </w:pPr>
            <w:r w:rsidRPr="00890249">
              <w:rPr>
                <w:rFonts w:asciiTheme="minorHAnsi" w:hAnsiTheme="minorHAnsi" w:cstheme="minorHAnsi"/>
                <w:noProof/>
                <w:sz w:val="20"/>
              </w:rPr>
              <w:t>(</w:t>
            </w:r>
            <w:r w:rsidR="006D15D3" w:rsidRPr="00890249">
              <w:rPr>
                <w:rFonts w:asciiTheme="minorHAnsi" w:hAnsiTheme="minorHAnsi" w:cstheme="minorHAnsi"/>
                <w:noProof/>
                <w:sz w:val="20"/>
              </w:rPr>
              <w:t>h</w:t>
            </w:r>
            <w:r w:rsidRPr="00890249">
              <w:rPr>
                <w:rFonts w:asciiTheme="minorHAnsi" w:hAnsiTheme="minorHAnsi" w:cstheme="minorHAnsi"/>
                <w:noProof/>
                <w:sz w:val="20"/>
              </w:rPr>
              <w:t>)</w:t>
            </w:r>
          </w:p>
        </w:tc>
        <w:tc>
          <w:tcPr>
            <w:tcW w:w="1029" w:type="dxa"/>
          </w:tcPr>
          <w:p w14:paraId="3E9D455D" w14:textId="77777777" w:rsidR="006C36DF" w:rsidRPr="00890249" w:rsidRDefault="00D53D24" w:rsidP="00BD5A2B">
            <w:pPr>
              <w:jc w:val="center"/>
              <w:rPr>
                <w:rFonts w:asciiTheme="minorHAnsi" w:hAnsiTheme="minorHAnsi" w:cstheme="minorHAnsi"/>
                <w:noProof/>
                <w:sz w:val="20"/>
              </w:rPr>
            </w:pPr>
            <w:r w:rsidRPr="00890249">
              <w:rPr>
                <w:rFonts w:asciiTheme="minorHAnsi" w:hAnsiTheme="minorHAnsi" w:cstheme="minorHAnsi"/>
                <w:noProof/>
                <w:sz w:val="20"/>
              </w:rPr>
              <w:t>138</w:t>
            </w:r>
            <w:r w:rsidR="00E96A7D" w:rsidRPr="00890249">
              <w:rPr>
                <w:rFonts w:asciiTheme="minorHAnsi" w:hAnsiTheme="minorHAnsi" w:cstheme="minorHAnsi"/>
                <w:noProof/>
                <w:sz w:val="20"/>
              </w:rPr>
              <w:t xml:space="preserve"> Wsparcie na rzecz ekonomii społecznej i przedsiebiorstw społecznych</w:t>
            </w:r>
          </w:p>
        </w:tc>
        <w:tc>
          <w:tcPr>
            <w:tcW w:w="2125" w:type="dxa"/>
          </w:tcPr>
          <w:p w14:paraId="327AC93E" w14:textId="376E2CAC" w:rsidR="006C36DF" w:rsidRPr="00890249" w:rsidRDefault="002841A4" w:rsidP="00BD5A2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r>
            <w:r w:rsidR="005E33B6">
              <w:rPr>
                <w:rFonts w:asciiTheme="minorHAnsi" w:hAnsiTheme="minorHAnsi" w:cstheme="minorHAnsi"/>
                <w:noProof/>
                <w:sz w:val="20"/>
              </w:rPr>
              <w:t>4 500 000</w:t>
            </w:r>
          </w:p>
        </w:tc>
      </w:tr>
      <w:tr w:rsidR="006C36DF" w:rsidRPr="00890249" w14:paraId="61A5FE76" w14:textId="77777777" w:rsidTr="00BD5A2B">
        <w:trPr>
          <w:trHeight w:val="284"/>
        </w:trPr>
        <w:tc>
          <w:tcPr>
            <w:tcW w:w="1574" w:type="dxa"/>
            <w:vMerge/>
          </w:tcPr>
          <w:p w14:paraId="79425DDD" w14:textId="77777777" w:rsidR="006C36DF" w:rsidRPr="00890249" w:rsidRDefault="006C36DF" w:rsidP="00BD5A2B">
            <w:pPr>
              <w:jc w:val="center"/>
              <w:rPr>
                <w:rFonts w:asciiTheme="minorHAnsi" w:hAnsiTheme="minorHAnsi" w:cstheme="minorHAnsi"/>
                <w:noProof/>
                <w:sz w:val="20"/>
              </w:rPr>
            </w:pPr>
          </w:p>
        </w:tc>
        <w:tc>
          <w:tcPr>
            <w:tcW w:w="1361" w:type="dxa"/>
            <w:vMerge/>
          </w:tcPr>
          <w:p w14:paraId="0217D1B0" w14:textId="77777777" w:rsidR="006C36DF" w:rsidRPr="00890249" w:rsidRDefault="006C36DF" w:rsidP="00BD5A2B">
            <w:pPr>
              <w:jc w:val="center"/>
              <w:rPr>
                <w:rFonts w:asciiTheme="minorHAnsi" w:hAnsiTheme="minorHAnsi" w:cstheme="minorHAnsi"/>
                <w:noProof/>
                <w:sz w:val="20"/>
              </w:rPr>
            </w:pPr>
          </w:p>
        </w:tc>
        <w:tc>
          <w:tcPr>
            <w:tcW w:w="1416" w:type="dxa"/>
            <w:vMerge/>
          </w:tcPr>
          <w:p w14:paraId="66D3FDB7" w14:textId="77777777" w:rsidR="006C36DF" w:rsidRPr="00890249" w:rsidRDefault="006C36DF" w:rsidP="00BD5A2B">
            <w:pPr>
              <w:jc w:val="center"/>
              <w:rPr>
                <w:rFonts w:asciiTheme="minorHAnsi" w:hAnsiTheme="minorHAnsi" w:cstheme="minorHAnsi"/>
                <w:noProof/>
                <w:sz w:val="20"/>
              </w:rPr>
            </w:pPr>
          </w:p>
        </w:tc>
        <w:tc>
          <w:tcPr>
            <w:tcW w:w="1783" w:type="dxa"/>
            <w:vMerge/>
            <w:vAlign w:val="center"/>
          </w:tcPr>
          <w:p w14:paraId="6DB938D6" w14:textId="77777777" w:rsidR="006C36DF" w:rsidRPr="00890249" w:rsidRDefault="006C36DF" w:rsidP="00BD5A2B">
            <w:pPr>
              <w:jc w:val="center"/>
              <w:rPr>
                <w:rFonts w:asciiTheme="minorHAnsi" w:hAnsiTheme="minorHAnsi" w:cstheme="minorHAnsi"/>
                <w:noProof/>
                <w:sz w:val="20"/>
              </w:rPr>
            </w:pPr>
          </w:p>
        </w:tc>
        <w:tc>
          <w:tcPr>
            <w:tcW w:w="1029" w:type="dxa"/>
          </w:tcPr>
          <w:p w14:paraId="75C65509" w14:textId="77777777" w:rsidR="006C36DF" w:rsidRPr="00890249" w:rsidRDefault="00D53D24" w:rsidP="00BD5A2B">
            <w:pPr>
              <w:jc w:val="center"/>
              <w:rPr>
                <w:rFonts w:asciiTheme="minorHAnsi" w:hAnsiTheme="minorHAnsi" w:cstheme="minorHAnsi"/>
                <w:noProof/>
                <w:sz w:val="20"/>
              </w:rPr>
            </w:pPr>
            <w:r w:rsidRPr="00890249">
              <w:rPr>
                <w:rFonts w:asciiTheme="minorHAnsi" w:hAnsiTheme="minorHAnsi" w:cstheme="minorHAnsi"/>
                <w:noProof/>
                <w:sz w:val="20"/>
              </w:rPr>
              <w:t>163</w:t>
            </w:r>
            <w:r w:rsidR="00537A93" w:rsidRPr="00890249">
              <w:rPr>
                <w:rFonts w:asciiTheme="minorHAnsi" w:hAnsiTheme="minorHAnsi" w:cstheme="minorHAnsi"/>
                <w:noProof/>
                <w:sz w:val="20"/>
              </w:rPr>
              <w:t xml:space="preserve"> Promowanie integracji społe</w:t>
            </w:r>
            <w:r w:rsidR="00E96A7D" w:rsidRPr="00890249">
              <w:rPr>
                <w:rFonts w:asciiTheme="minorHAnsi" w:hAnsiTheme="minorHAnsi" w:cstheme="minorHAnsi"/>
                <w:noProof/>
                <w:sz w:val="20"/>
              </w:rPr>
              <w:t>cznej osób zagrożonych ubóstwem lub wykluczeniem społecznych, w tym osób najbardziej potrzebujacych i dzieci</w:t>
            </w:r>
          </w:p>
        </w:tc>
        <w:tc>
          <w:tcPr>
            <w:tcW w:w="2125" w:type="dxa"/>
          </w:tcPr>
          <w:p w14:paraId="54B93EAB" w14:textId="61CFE57D" w:rsidR="006C36DF" w:rsidRPr="00890249" w:rsidRDefault="002841A4" w:rsidP="00BD5A2B">
            <w:pPr>
              <w:jc w:val="right"/>
              <w:rPr>
                <w:rFonts w:asciiTheme="minorHAnsi" w:hAnsiTheme="minorHAnsi" w:cstheme="minorHAnsi"/>
                <w:noProof/>
                <w:sz w:val="20"/>
              </w:rPr>
            </w:pPr>
            <w:r>
              <w:rPr>
                <w:rFonts w:asciiTheme="minorHAnsi" w:hAnsiTheme="minorHAnsi" w:cstheme="minorHAnsi"/>
                <w:noProof/>
                <w:sz w:val="20"/>
              </w:rPr>
              <w:br/>
            </w:r>
            <w:r w:rsidR="005E33B6">
              <w:rPr>
                <w:rFonts w:asciiTheme="minorHAnsi" w:hAnsiTheme="minorHAnsi" w:cstheme="minorHAnsi"/>
                <w:noProof/>
                <w:sz w:val="20"/>
              </w:rPr>
              <w:t>2 250 000</w:t>
            </w:r>
          </w:p>
        </w:tc>
      </w:tr>
      <w:tr w:rsidR="006D50FE" w:rsidRPr="00890249" w14:paraId="1A519433" w14:textId="77777777" w:rsidTr="00BD5A2B">
        <w:trPr>
          <w:trHeight w:val="284"/>
        </w:trPr>
        <w:tc>
          <w:tcPr>
            <w:tcW w:w="1574" w:type="dxa"/>
          </w:tcPr>
          <w:p w14:paraId="381FD4A0" w14:textId="77777777" w:rsidR="006D50FE" w:rsidRPr="00890249" w:rsidRDefault="006D50FE" w:rsidP="00BD5A2B">
            <w:pPr>
              <w:jc w:val="center"/>
              <w:rPr>
                <w:rFonts w:asciiTheme="minorHAnsi" w:hAnsiTheme="minorHAnsi" w:cstheme="minorHAnsi"/>
                <w:noProof/>
                <w:sz w:val="20"/>
              </w:rPr>
            </w:pPr>
          </w:p>
        </w:tc>
        <w:tc>
          <w:tcPr>
            <w:tcW w:w="1361" w:type="dxa"/>
          </w:tcPr>
          <w:p w14:paraId="382CDD36" w14:textId="77777777" w:rsidR="006D50FE" w:rsidRPr="00890249" w:rsidRDefault="006D50FE" w:rsidP="00BD5A2B">
            <w:pPr>
              <w:jc w:val="center"/>
              <w:rPr>
                <w:rFonts w:asciiTheme="minorHAnsi" w:hAnsiTheme="minorHAnsi" w:cstheme="minorHAnsi"/>
                <w:noProof/>
                <w:sz w:val="20"/>
              </w:rPr>
            </w:pPr>
          </w:p>
        </w:tc>
        <w:tc>
          <w:tcPr>
            <w:tcW w:w="1416" w:type="dxa"/>
          </w:tcPr>
          <w:p w14:paraId="2C2F275A" w14:textId="77777777" w:rsidR="006D50FE" w:rsidRPr="00890249" w:rsidRDefault="006D50FE" w:rsidP="00BD5A2B">
            <w:pPr>
              <w:jc w:val="center"/>
              <w:rPr>
                <w:rFonts w:asciiTheme="minorHAnsi" w:hAnsiTheme="minorHAnsi" w:cstheme="minorHAnsi"/>
                <w:noProof/>
                <w:sz w:val="20"/>
              </w:rPr>
            </w:pPr>
          </w:p>
        </w:tc>
        <w:tc>
          <w:tcPr>
            <w:tcW w:w="1783" w:type="dxa"/>
            <w:vAlign w:val="center"/>
          </w:tcPr>
          <w:p w14:paraId="28056D28" w14:textId="77777777" w:rsidR="006D50FE" w:rsidRPr="00890249" w:rsidRDefault="006D50FE" w:rsidP="00BD5A2B">
            <w:pPr>
              <w:jc w:val="center"/>
              <w:rPr>
                <w:rFonts w:asciiTheme="minorHAnsi" w:hAnsiTheme="minorHAnsi" w:cstheme="minorHAnsi"/>
                <w:noProof/>
                <w:sz w:val="20"/>
              </w:rPr>
            </w:pPr>
          </w:p>
        </w:tc>
        <w:tc>
          <w:tcPr>
            <w:tcW w:w="1029" w:type="dxa"/>
          </w:tcPr>
          <w:p w14:paraId="7339599D" w14:textId="77777777" w:rsidR="00B72154" w:rsidRPr="00890249" w:rsidRDefault="006D50FE" w:rsidP="00890249">
            <w:pPr>
              <w:pStyle w:val="Default"/>
              <w:rPr>
                <w:rFonts w:asciiTheme="minorHAnsi" w:hAnsiTheme="minorHAnsi" w:cstheme="minorHAnsi"/>
                <w:sz w:val="20"/>
              </w:rPr>
            </w:pPr>
            <w:r w:rsidRPr="00890249">
              <w:rPr>
                <w:rFonts w:asciiTheme="minorHAnsi" w:hAnsiTheme="minorHAnsi" w:cstheme="minorHAnsi"/>
                <w:noProof/>
                <w:sz w:val="20"/>
                <w:szCs w:val="20"/>
                <w:lang w:eastAsia="en-US" w:bidi="ar-SA"/>
              </w:rPr>
              <w:t xml:space="preserve">170 </w:t>
            </w:r>
            <w:r w:rsidR="00875C92" w:rsidRPr="00890249">
              <w:rPr>
                <w:rFonts w:asciiTheme="minorHAnsi" w:hAnsiTheme="minorHAnsi" w:cstheme="minorHAnsi"/>
                <w:sz w:val="20"/>
                <w:szCs w:val="20"/>
                <w:lang w:eastAsia="en-US" w:bidi="ar-SA"/>
              </w:rPr>
              <w:t xml:space="preserve">Zwiększenie zdolności instytucji programu oraz podmiotów </w:t>
            </w:r>
            <w:r w:rsidR="00875C92" w:rsidRPr="00890249">
              <w:rPr>
                <w:rFonts w:asciiTheme="minorHAnsi" w:hAnsiTheme="minorHAnsi" w:cstheme="minorHAnsi"/>
                <w:sz w:val="20"/>
                <w:szCs w:val="20"/>
                <w:lang w:eastAsia="en-US" w:bidi="ar-SA"/>
              </w:rPr>
              <w:lastRenderedPageBreak/>
              <w:t xml:space="preserve">związanych z wdrażaniem Funduszy </w:t>
            </w:r>
          </w:p>
        </w:tc>
        <w:tc>
          <w:tcPr>
            <w:tcW w:w="2125" w:type="dxa"/>
          </w:tcPr>
          <w:p w14:paraId="7A2FE42D" w14:textId="4CB0CC1D" w:rsidR="006D50FE" w:rsidRPr="00890249" w:rsidRDefault="002841A4" w:rsidP="00BD5A2B">
            <w:pPr>
              <w:jc w:val="right"/>
              <w:rPr>
                <w:rFonts w:asciiTheme="minorHAnsi" w:hAnsiTheme="minorHAnsi" w:cstheme="minorHAnsi"/>
                <w:noProof/>
                <w:sz w:val="20"/>
              </w:rPr>
            </w:pPr>
            <w:r>
              <w:rPr>
                <w:rFonts w:asciiTheme="minorHAnsi" w:hAnsiTheme="minorHAnsi" w:cstheme="minorHAnsi"/>
                <w:noProof/>
                <w:sz w:val="20"/>
              </w:rPr>
              <w:lastRenderedPageBreak/>
              <w:t> </w:t>
            </w:r>
            <w:r>
              <w:rPr>
                <w:rFonts w:asciiTheme="minorHAnsi" w:hAnsiTheme="minorHAnsi" w:cstheme="minorHAnsi"/>
                <w:noProof/>
                <w:sz w:val="20"/>
              </w:rPr>
              <w:br/>
              <w:t>0</w:t>
            </w:r>
          </w:p>
        </w:tc>
      </w:tr>
      <w:tr w:rsidR="006D50FE" w:rsidRPr="00890249" w14:paraId="78C8526F" w14:textId="77777777" w:rsidTr="00BD5A2B">
        <w:trPr>
          <w:trHeight w:val="284"/>
        </w:trPr>
        <w:tc>
          <w:tcPr>
            <w:tcW w:w="1574" w:type="dxa"/>
          </w:tcPr>
          <w:p w14:paraId="46AF3A20" w14:textId="77777777" w:rsidR="006D50FE" w:rsidRPr="00890249" w:rsidRDefault="006D50FE" w:rsidP="00BD5A2B">
            <w:pPr>
              <w:jc w:val="center"/>
              <w:rPr>
                <w:rFonts w:asciiTheme="minorHAnsi" w:hAnsiTheme="minorHAnsi" w:cstheme="minorHAnsi"/>
                <w:noProof/>
                <w:sz w:val="20"/>
              </w:rPr>
            </w:pPr>
          </w:p>
        </w:tc>
        <w:tc>
          <w:tcPr>
            <w:tcW w:w="1361" w:type="dxa"/>
          </w:tcPr>
          <w:p w14:paraId="4B55B00C" w14:textId="77777777" w:rsidR="006D50FE" w:rsidRPr="00890249" w:rsidRDefault="006D50FE" w:rsidP="00BD5A2B">
            <w:pPr>
              <w:jc w:val="center"/>
              <w:rPr>
                <w:rFonts w:asciiTheme="minorHAnsi" w:hAnsiTheme="minorHAnsi" w:cstheme="minorHAnsi"/>
                <w:noProof/>
                <w:sz w:val="20"/>
              </w:rPr>
            </w:pPr>
          </w:p>
        </w:tc>
        <w:tc>
          <w:tcPr>
            <w:tcW w:w="1416" w:type="dxa"/>
          </w:tcPr>
          <w:p w14:paraId="314F8EB5" w14:textId="77777777" w:rsidR="006D50FE" w:rsidRPr="00890249" w:rsidRDefault="006D50FE" w:rsidP="00BD5A2B">
            <w:pPr>
              <w:jc w:val="center"/>
              <w:rPr>
                <w:rFonts w:asciiTheme="minorHAnsi" w:hAnsiTheme="minorHAnsi" w:cstheme="minorHAnsi"/>
                <w:noProof/>
                <w:sz w:val="20"/>
              </w:rPr>
            </w:pPr>
          </w:p>
        </w:tc>
        <w:tc>
          <w:tcPr>
            <w:tcW w:w="1783" w:type="dxa"/>
            <w:vAlign w:val="center"/>
          </w:tcPr>
          <w:p w14:paraId="54228122" w14:textId="77777777" w:rsidR="006D50FE" w:rsidRPr="00890249" w:rsidRDefault="006D50FE" w:rsidP="00BD5A2B">
            <w:pPr>
              <w:jc w:val="center"/>
              <w:rPr>
                <w:rFonts w:asciiTheme="minorHAnsi" w:hAnsiTheme="minorHAnsi" w:cstheme="minorHAnsi"/>
                <w:noProof/>
                <w:sz w:val="20"/>
              </w:rPr>
            </w:pPr>
          </w:p>
        </w:tc>
        <w:tc>
          <w:tcPr>
            <w:tcW w:w="1029" w:type="dxa"/>
          </w:tcPr>
          <w:p w14:paraId="4AC0C4DA" w14:textId="77777777" w:rsidR="00B72154" w:rsidRPr="00890249" w:rsidRDefault="006D50FE" w:rsidP="00890249">
            <w:pPr>
              <w:pStyle w:val="Default"/>
              <w:rPr>
                <w:rFonts w:asciiTheme="minorHAnsi" w:hAnsiTheme="minorHAnsi" w:cstheme="minorHAnsi"/>
                <w:sz w:val="20"/>
              </w:rPr>
            </w:pPr>
            <w:r w:rsidRPr="00890249">
              <w:rPr>
                <w:rFonts w:asciiTheme="minorHAnsi" w:hAnsiTheme="minorHAnsi" w:cstheme="minorHAnsi"/>
                <w:noProof/>
                <w:sz w:val="20"/>
                <w:szCs w:val="20"/>
                <w:lang w:eastAsia="en-US" w:bidi="ar-SA"/>
              </w:rPr>
              <w:t>171</w:t>
            </w:r>
            <w:r w:rsidR="00924D6E" w:rsidRPr="00890249">
              <w:rPr>
                <w:rFonts w:asciiTheme="minorHAnsi" w:hAnsiTheme="minorHAnsi" w:cstheme="minorHAnsi"/>
                <w:noProof/>
                <w:sz w:val="20"/>
                <w:szCs w:val="20"/>
                <w:lang w:eastAsia="en-US" w:bidi="ar-SA"/>
              </w:rPr>
              <w:t xml:space="preserve"> </w:t>
            </w:r>
            <w:r w:rsidR="00875C92" w:rsidRPr="00890249">
              <w:rPr>
                <w:rFonts w:asciiTheme="minorHAnsi" w:hAnsiTheme="minorHAnsi" w:cstheme="minorHAnsi"/>
                <w:sz w:val="20"/>
                <w:szCs w:val="20"/>
                <w:lang w:eastAsia="en-US" w:bidi="ar-SA"/>
              </w:rPr>
              <w:t>Poprawa współpracy z partnerami w ramach danego państwa członkowskiego i poza nim</w:t>
            </w:r>
            <w:r w:rsidR="00924D6E" w:rsidRPr="00890249">
              <w:rPr>
                <w:rFonts w:asciiTheme="minorHAnsi" w:hAnsiTheme="minorHAnsi" w:cstheme="minorHAnsi"/>
                <w:sz w:val="20"/>
                <w:szCs w:val="20"/>
                <w:lang w:eastAsia="en-US" w:bidi="ar-SA"/>
              </w:rPr>
              <w:t xml:space="preserve"> </w:t>
            </w:r>
          </w:p>
        </w:tc>
        <w:tc>
          <w:tcPr>
            <w:tcW w:w="2125" w:type="dxa"/>
          </w:tcPr>
          <w:p w14:paraId="604CAE51" w14:textId="71B0ADD5" w:rsidR="006D50FE" w:rsidRPr="00890249" w:rsidRDefault="002841A4" w:rsidP="00BD5A2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3 000 000</w:t>
            </w:r>
          </w:p>
        </w:tc>
      </w:tr>
    </w:tbl>
    <w:p w14:paraId="380F5394" w14:textId="77777777" w:rsidR="006C36DF" w:rsidRPr="00890249" w:rsidRDefault="006C36DF" w:rsidP="0063477E">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6C36DF" w:rsidRPr="00890249" w14:paraId="67377005" w14:textId="77777777" w:rsidTr="00F96149">
        <w:tc>
          <w:tcPr>
            <w:tcW w:w="9288" w:type="dxa"/>
            <w:gridSpan w:val="6"/>
            <w:shd w:val="clear" w:color="auto" w:fill="D9D9D9" w:themeFill="background1" w:themeFillShade="D9"/>
          </w:tcPr>
          <w:p w14:paraId="3F0613EE" w14:textId="77777777" w:rsidR="006C36DF" w:rsidRPr="00890249" w:rsidRDefault="006C36DF"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6C36DF" w:rsidRPr="00890249" w14:paraId="66B31460" w14:textId="77777777" w:rsidTr="00F96149">
        <w:tc>
          <w:tcPr>
            <w:tcW w:w="1599" w:type="dxa"/>
            <w:shd w:val="clear" w:color="auto" w:fill="F2F2F2" w:themeFill="background1" w:themeFillShade="F2"/>
          </w:tcPr>
          <w:p w14:paraId="54D1527F"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7D56B470"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025538E2"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A73E3E3"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6AFA2E44"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1ACDDD64"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6C36DF" w:rsidRPr="00890249" w14:paraId="538F9360" w14:textId="77777777" w:rsidTr="00890249">
        <w:tc>
          <w:tcPr>
            <w:tcW w:w="1599" w:type="dxa"/>
          </w:tcPr>
          <w:p w14:paraId="7F2198EA"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46F43461"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r w:rsidR="00133682" w:rsidRPr="00890249">
              <w:rPr>
                <w:rFonts w:asciiTheme="minorHAnsi" w:eastAsia="Times New Roman" w:hAnsiTheme="minorHAnsi" w:cstheme="minorHAnsi"/>
                <w:iCs/>
                <w:noProof/>
                <w:sz w:val="20"/>
              </w:rPr>
              <w:t>+</w:t>
            </w:r>
          </w:p>
        </w:tc>
        <w:tc>
          <w:tcPr>
            <w:tcW w:w="1433" w:type="dxa"/>
            <w:vAlign w:val="center"/>
          </w:tcPr>
          <w:p w14:paraId="218A5252" w14:textId="77777777" w:rsidR="006C36DF" w:rsidRPr="00890249" w:rsidRDefault="006C36DF"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5284C88A"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r w:rsidR="006D15D3" w:rsidRPr="00890249">
              <w:rPr>
                <w:rFonts w:asciiTheme="minorHAnsi" w:eastAsia="Times New Roman" w:hAnsiTheme="minorHAnsi" w:cstheme="minorHAnsi"/>
                <w:iCs/>
                <w:noProof/>
                <w:sz w:val="20"/>
              </w:rPr>
              <w:t>h</w:t>
            </w:r>
            <w:r w:rsidRPr="00890249">
              <w:rPr>
                <w:rFonts w:asciiTheme="minorHAnsi" w:eastAsia="Times New Roman" w:hAnsiTheme="minorHAnsi" w:cstheme="minorHAnsi"/>
                <w:iCs/>
                <w:noProof/>
                <w:sz w:val="20"/>
              </w:rPr>
              <w:t>)</w:t>
            </w:r>
          </w:p>
        </w:tc>
        <w:tc>
          <w:tcPr>
            <w:tcW w:w="1053" w:type="dxa"/>
          </w:tcPr>
          <w:p w14:paraId="4B0E2B2D"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E96A7D" w:rsidRPr="00890249">
              <w:rPr>
                <w:rFonts w:asciiTheme="minorHAnsi" w:eastAsia="Times New Roman" w:hAnsiTheme="minorHAnsi" w:cstheme="minorHAnsi"/>
                <w:iCs/>
                <w:noProof/>
                <w:sz w:val="20"/>
              </w:rPr>
              <w:t xml:space="preserve"> Dotacja</w:t>
            </w:r>
          </w:p>
        </w:tc>
        <w:tc>
          <w:tcPr>
            <w:tcW w:w="2175" w:type="dxa"/>
          </w:tcPr>
          <w:p w14:paraId="799B3D67" w14:textId="6C965090" w:rsidR="006C36DF" w:rsidRPr="00890249" w:rsidRDefault="005E33B6" w:rsidP="00BD5A2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9 750 000</w:t>
            </w:r>
          </w:p>
        </w:tc>
      </w:tr>
    </w:tbl>
    <w:p w14:paraId="4615A690" w14:textId="77777777" w:rsidR="006C36DF" w:rsidRPr="00890249" w:rsidRDefault="006C36DF" w:rsidP="0063477E">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94"/>
        <w:gridCol w:w="1289"/>
        <w:gridCol w:w="1319"/>
        <w:gridCol w:w="1610"/>
        <w:gridCol w:w="1520"/>
        <w:gridCol w:w="1829"/>
      </w:tblGrid>
      <w:tr w:rsidR="006C36DF" w:rsidRPr="00890249" w14:paraId="6DACEA66" w14:textId="77777777" w:rsidTr="00F96149">
        <w:tc>
          <w:tcPr>
            <w:tcW w:w="9288" w:type="dxa"/>
            <w:gridSpan w:val="6"/>
            <w:shd w:val="clear" w:color="auto" w:fill="D9D9D9" w:themeFill="background1" w:themeFillShade="D9"/>
          </w:tcPr>
          <w:p w14:paraId="47A3B03D" w14:textId="007E7327" w:rsidR="006C36DF" w:rsidRPr="00890249" w:rsidRDefault="006C36DF" w:rsidP="00D53D24">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6C36DF" w:rsidRPr="00890249" w14:paraId="72DEC957" w14:textId="77777777" w:rsidTr="00F96149">
        <w:trPr>
          <w:trHeight w:val="364"/>
        </w:trPr>
        <w:tc>
          <w:tcPr>
            <w:tcW w:w="1599" w:type="dxa"/>
            <w:shd w:val="clear" w:color="auto" w:fill="F2F2F2" w:themeFill="background1" w:themeFillShade="F2"/>
          </w:tcPr>
          <w:p w14:paraId="1DA94DE2"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031D9047"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2034979C"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1CA90EC6"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1CA876E8"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05E665DF"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6C36DF" w:rsidRPr="00890249" w14:paraId="35986C43" w14:textId="77777777" w:rsidTr="00BD5A2B">
        <w:tc>
          <w:tcPr>
            <w:tcW w:w="1599" w:type="dxa"/>
            <w:vAlign w:val="center"/>
          </w:tcPr>
          <w:p w14:paraId="67DF0AAF"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72A9D3FB"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r w:rsidR="00133682" w:rsidRPr="00890249">
              <w:rPr>
                <w:rFonts w:asciiTheme="minorHAnsi" w:hAnsiTheme="minorHAnsi" w:cstheme="minorHAnsi"/>
                <w:noProof/>
                <w:sz w:val="20"/>
              </w:rPr>
              <w:t>+</w:t>
            </w:r>
          </w:p>
        </w:tc>
        <w:tc>
          <w:tcPr>
            <w:tcW w:w="1378" w:type="dxa"/>
            <w:vAlign w:val="center"/>
          </w:tcPr>
          <w:p w14:paraId="78364069" w14:textId="77777777" w:rsidR="006C36DF" w:rsidRPr="00890249" w:rsidRDefault="006C36DF"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545202A4" w14:textId="3DF1C851" w:rsidR="006C36DF" w:rsidRPr="00890249" w:rsidRDefault="00194924" w:rsidP="00BD5A2B">
            <w:pPr>
              <w:jc w:val="center"/>
              <w:rPr>
                <w:rFonts w:asciiTheme="minorHAnsi" w:hAnsiTheme="minorHAnsi" w:cstheme="minorHAnsi"/>
                <w:noProof/>
                <w:sz w:val="20"/>
              </w:rPr>
            </w:pPr>
            <w:r w:rsidRPr="00890249">
              <w:rPr>
                <w:rFonts w:asciiTheme="minorHAnsi" w:hAnsiTheme="minorHAnsi" w:cstheme="minorHAnsi"/>
                <w:noProof/>
                <w:sz w:val="20"/>
              </w:rPr>
              <w:t>(h)</w:t>
            </w:r>
          </w:p>
        </w:tc>
        <w:tc>
          <w:tcPr>
            <w:tcW w:w="1136" w:type="dxa"/>
            <w:vAlign w:val="center"/>
          </w:tcPr>
          <w:p w14:paraId="693C2937" w14:textId="7F9E8FB8" w:rsidR="006C36DF" w:rsidRPr="00890249" w:rsidRDefault="00194924"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E96A7D" w:rsidRPr="00890249">
              <w:rPr>
                <w:rFonts w:asciiTheme="minorHAnsi" w:eastAsia="Times New Roman" w:hAnsiTheme="minorHAnsi" w:cstheme="minorHAnsi"/>
                <w:iCs/>
                <w:noProof/>
                <w:sz w:val="20"/>
              </w:rPr>
              <w:t xml:space="preserve"> Brak ukierunkowania terytorialnego</w:t>
            </w:r>
          </w:p>
        </w:tc>
        <w:tc>
          <w:tcPr>
            <w:tcW w:w="2092" w:type="dxa"/>
            <w:vAlign w:val="center"/>
          </w:tcPr>
          <w:p w14:paraId="44060270" w14:textId="38BE44BB" w:rsidR="00B72154" w:rsidRPr="00890249" w:rsidRDefault="005E33B6" w:rsidP="00890249">
            <w:pPr>
              <w:jc w:val="right"/>
              <w:rPr>
                <w:rFonts w:asciiTheme="minorHAnsi" w:hAnsiTheme="minorHAnsi" w:cstheme="minorHAnsi"/>
                <w:noProof/>
                <w:sz w:val="20"/>
              </w:rPr>
            </w:pPr>
            <w:r>
              <w:rPr>
                <w:rFonts w:asciiTheme="minorHAnsi" w:hAnsiTheme="minorHAnsi" w:cstheme="minorHAnsi"/>
                <w:noProof/>
                <w:sz w:val="20"/>
              </w:rPr>
              <w:t>9 750 000</w:t>
            </w:r>
          </w:p>
        </w:tc>
      </w:tr>
    </w:tbl>
    <w:p w14:paraId="337E1D8F" w14:textId="48750306" w:rsidR="008C67B3" w:rsidRDefault="008C67B3" w:rsidP="006C36DF">
      <w:pPr>
        <w:spacing w:after="0"/>
        <w:rPr>
          <w:rFonts w:asciiTheme="minorHAnsi" w:eastAsia="Times New Roman" w:hAnsiTheme="minorHAnsi" w:cstheme="minorHAnsi"/>
          <w:b/>
          <w:iCs/>
          <w:noProof/>
          <w:szCs w:val="24"/>
        </w:rPr>
      </w:pPr>
    </w:p>
    <w:p w14:paraId="20FDECE0" w14:textId="7DF328DD" w:rsidR="006C36DF" w:rsidRPr="00890249" w:rsidRDefault="008C67B3" w:rsidP="008C67B3">
      <w:pPr>
        <w:spacing w:before="0" w:after="160" w:line="259" w:lineRule="auto"/>
        <w:jc w:val="left"/>
        <w:rPr>
          <w:rFonts w:asciiTheme="minorHAnsi" w:eastAsia="Times New Roman" w:hAnsiTheme="minorHAnsi" w:cstheme="minorHAnsi"/>
          <w:b/>
          <w:iCs/>
          <w:noProof/>
          <w:szCs w:val="24"/>
        </w:rPr>
      </w:pPr>
      <w:r>
        <w:rPr>
          <w:rFonts w:asciiTheme="minorHAnsi" w:eastAsia="Times New Roman" w:hAnsiTheme="minorHAnsi" w:cstheme="minorHAnsi"/>
          <w:b/>
          <w:iCs/>
          <w:noProof/>
          <w:szCs w:val="24"/>
        </w:rPr>
        <w:br w:type="page"/>
      </w:r>
    </w:p>
    <w:tbl>
      <w:tblPr>
        <w:tblStyle w:val="Tabela-Siatka"/>
        <w:tblW w:w="9322" w:type="dxa"/>
        <w:tblLook w:val="04A0" w:firstRow="1" w:lastRow="0" w:firstColumn="1" w:lastColumn="0" w:noHBand="0" w:noVBand="1"/>
      </w:tblPr>
      <w:tblGrid>
        <w:gridCol w:w="1412"/>
        <w:gridCol w:w="1213"/>
        <w:gridCol w:w="1308"/>
        <w:gridCol w:w="1505"/>
        <w:gridCol w:w="1908"/>
        <w:gridCol w:w="1976"/>
      </w:tblGrid>
      <w:tr w:rsidR="006C36DF" w:rsidRPr="00890249" w14:paraId="364F4CD2" w14:textId="77777777" w:rsidTr="003D6E86">
        <w:tc>
          <w:tcPr>
            <w:tcW w:w="9322" w:type="dxa"/>
            <w:gridSpan w:val="6"/>
            <w:shd w:val="clear" w:color="auto" w:fill="D9D9D9" w:themeFill="background1" w:themeFillShade="D9"/>
          </w:tcPr>
          <w:p w14:paraId="0840BAEA" w14:textId="77777777" w:rsidR="006C36DF" w:rsidRPr="00890249" w:rsidRDefault="006C36DF">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 xml:space="preserve">Tabela 7: Wymiar 6 – </w:t>
            </w:r>
            <w:r w:rsidR="00431F06" w:rsidRPr="00890249">
              <w:rPr>
                <w:rFonts w:asciiTheme="minorHAnsi" w:hAnsiTheme="minorHAnsi" w:cstheme="minorHAnsi"/>
                <w:b/>
                <w:noProof/>
                <w:sz w:val="20"/>
              </w:rPr>
              <w:t>uzupełniające obszary tematyczne</w:t>
            </w:r>
            <w:r w:rsidRPr="00890249">
              <w:rPr>
                <w:rFonts w:asciiTheme="minorHAnsi" w:hAnsiTheme="minorHAnsi" w:cstheme="minorHAnsi"/>
                <w:b/>
                <w:noProof/>
                <w:sz w:val="20"/>
              </w:rPr>
              <w:t xml:space="preserve"> EFS+</w:t>
            </w:r>
          </w:p>
        </w:tc>
      </w:tr>
      <w:tr w:rsidR="006C36DF" w:rsidRPr="00890249" w14:paraId="1488B6B4" w14:textId="77777777" w:rsidTr="00890249">
        <w:tc>
          <w:tcPr>
            <w:tcW w:w="1412" w:type="dxa"/>
            <w:shd w:val="clear" w:color="auto" w:fill="F2F2F2" w:themeFill="background1" w:themeFillShade="F2"/>
          </w:tcPr>
          <w:p w14:paraId="1B42D568"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13" w:type="dxa"/>
            <w:shd w:val="clear" w:color="auto" w:fill="F2F2F2" w:themeFill="background1" w:themeFillShade="F2"/>
          </w:tcPr>
          <w:p w14:paraId="6E01A456"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08" w:type="dxa"/>
            <w:shd w:val="clear" w:color="auto" w:fill="F2F2F2" w:themeFill="background1" w:themeFillShade="F2"/>
          </w:tcPr>
          <w:p w14:paraId="500A61DD"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05" w:type="dxa"/>
            <w:shd w:val="clear" w:color="auto" w:fill="F2F2F2" w:themeFill="background1" w:themeFillShade="F2"/>
          </w:tcPr>
          <w:p w14:paraId="39594768"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908" w:type="dxa"/>
            <w:shd w:val="clear" w:color="auto" w:fill="F2F2F2" w:themeFill="background1" w:themeFillShade="F2"/>
          </w:tcPr>
          <w:p w14:paraId="31153EBE"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76" w:type="dxa"/>
            <w:shd w:val="clear" w:color="auto" w:fill="F2F2F2" w:themeFill="background1" w:themeFillShade="F2"/>
          </w:tcPr>
          <w:p w14:paraId="1714D053" w14:textId="77777777" w:rsidR="006C36DF" w:rsidRPr="00890249" w:rsidRDefault="006C36DF"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00146" w:rsidRPr="00890249" w14:paraId="57984A76" w14:textId="77777777" w:rsidTr="000573BA">
        <w:tc>
          <w:tcPr>
            <w:tcW w:w="1412" w:type="dxa"/>
            <w:vMerge w:val="restart"/>
            <w:vAlign w:val="center"/>
          </w:tcPr>
          <w:p w14:paraId="5BD5D3DB" w14:textId="77777777" w:rsidR="00B00146" w:rsidRPr="00890249" w:rsidRDefault="00B00146" w:rsidP="00B9424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213" w:type="dxa"/>
            <w:vMerge w:val="restart"/>
            <w:vAlign w:val="center"/>
          </w:tcPr>
          <w:p w14:paraId="352D68CD" w14:textId="77777777" w:rsidR="00B00146" w:rsidRPr="00890249" w:rsidRDefault="00B00146" w:rsidP="00B94245">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08" w:type="dxa"/>
            <w:vMerge w:val="restart"/>
            <w:vAlign w:val="center"/>
          </w:tcPr>
          <w:p w14:paraId="2A1A5E0F" w14:textId="77777777" w:rsidR="00B00146" w:rsidRPr="00890249" w:rsidRDefault="00B00146" w:rsidP="00B94245">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505" w:type="dxa"/>
            <w:vMerge w:val="restart"/>
            <w:shd w:val="clear" w:color="auto" w:fill="auto"/>
            <w:vAlign w:val="center"/>
          </w:tcPr>
          <w:p w14:paraId="50973A44" w14:textId="77777777" w:rsidR="00B00146" w:rsidRPr="00890249" w:rsidRDefault="00B00146" w:rsidP="00B94245">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(h)</w:t>
            </w:r>
          </w:p>
        </w:tc>
        <w:tc>
          <w:tcPr>
            <w:tcW w:w="1908" w:type="dxa"/>
            <w:shd w:val="clear" w:color="auto" w:fill="auto"/>
          </w:tcPr>
          <w:p w14:paraId="54A33438" w14:textId="77777777" w:rsidR="00B00146" w:rsidRPr="00890249" w:rsidRDefault="00B00146" w:rsidP="00B94245">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01 Przyczynianie się do ekologicznych umiejętności i zielonych miejsc pracy oraz zielonej gospodarki</w:t>
            </w:r>
          </w:p>
        </w:tc>
        <w:tc>
          <w:tcPr>
            <w:tcW w:w="1976" w:type="dxa"/>
            <w:shd w:val="clear" w:color="auto" w:fill="auto"/>
          </w:tcPr>
          <w:p w14:paraId="1417294E" w14:textId="50399405" w:rsidR="00B00146" w:rsidRPr="00890249" w:rsidRDefault="002841A4"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E33B6">
              <w:rPr>
                <w:rFonts w:asciiTheme="minorHAnsi" w:eastAsia="Times New Roman" w:hAnsiTheme="minorHAnsi" w:cstheme="minorHAnsi"/>
                <w:iCs/>
                <w:noProof/>
                <w:sz w:val="20"/>
              </w:rPr>
              <w:t>450 000</w:t>
            </w:r>
          </w:p>
        </w:tc>
      </w:tr>
      <w:tr w:rsidR="00B00146" w:rsidRPr="00890249" w14:paraId="333F32C7" w14:textId="77777777" w:rsidTr="000573BA">
        <w:tc>
          <w:tcPr>
            <w:tcW w:w="1412" w:type="dxa"/>
            <w:vMerge/>
            <w:vAlign w:val="center"/>
          </w:tcPr>
          <w:p w14:paraId="086D6265" w14:textId="77777777" w:rsidR="00B00146" w:rsidRPr="00890249" w:rsidRDefault="00B00146" w:rsidP="00B94245">
            <w:pPr>
              <w:jc w:val="center"/>
              <w:rPr>
                <w:rFonts w:asciiTheme="minorHAnsi" w:eastAsia="Times New Roman" w:hAnsiTheme="minorHAnsi" w:cstheme="minorHAnsi"/>
                <w:b/>
                <w:iCs/>
                <w:noProof/>
                <w:sz w:val="20"/>
              </w:rPr>
            </w:pPr>
          </w:p>
        </w:tc>
        <w:tc>
          <w:tcPr>
            <w:tcW w:w="1213" w:type="dxa"/>
            <w:vMerge/>
            <w:vAlign w:val="center"/>
          </w:tcPr>
          <w:p w14:paraId="676461C7" w14:textId="77777777" w:rsidR="00B00146" w:rsidRPr="00890249" w:rsidRDefault="00B00146" w:rsidP="00B94245">
            <w:pPr>
              <w:jc w:val="center"/>
              <w:rPr>
                <w:rFonts w:asciiTheme="minorHAnsi" w:eastAsia="Times New Roman" w:hAnsiTheme="minorHAnsi" w:cstheme="minorHAnsi"/>
                <w:b/>
                <w:iCs/>
                <w:noProof/>
                <w:sz w:val="20"/>
              </w:rPr>
            </w:pPr>
          </w:p>
        </w:tc>
        <w:tc>
          <w:tcPr>
            <w:tcW w:w="1308" w:type="dxa"/>
            <w:vMerge/>
            <w:vAlign w:val="center"/>
          </w:tcPr>
          <w:p w14:paraId="11080C20" w14:textId="77777777" w:rsidR="00B00146" w:rsidRPr="00890249" w:rsidRDefault="00B00146" w:rsidP="00B94245">
            <w:pPr>
              <w:jc w:val="center"/>
              <w:rPr>
                <w:rFonts w:asciiTheme="minorHAnsi" w:eastAsia="Times New Roman" w:hAnsiTheme="minorHAnsi" w:cstheme="minorHAnsi"/>
                <w:b/>
                <w:iCs/>
                <w:noProof/>
                <w:sz w:val="20"/>
              </w:rPr>
            </w:pPr>
          </w:p>
        </w:tc>
        <w:tc>
          <w:tcPr>
            <w:tcW w:w="1505" w:type="dxa"/>
            <w:vMerge/>
            <w:shd w:val="clear" w:color="auto" w:fill="auto"/>
            <w:vAlign w:val="center"/>
          </w:tcPr>
          <w:p w14:paraId="7CC5F2A0" w14:textId="77777777" w:rsidR="00B00146" w:rsidRPr="00890249" w:rsidRDefault="00B00146" w:rsidP="00B94245">
            <w:pPr>
              <w:jc w:val="center"/>
              <w:rPr>
                <w:rFonts w:asciiTheme="minorHAnsi" w:eastAsia="Times New Roman" w:hAnsiTheme="minorHAnsi" w:cstheme="minorHAnsi"/>
                <w:b/>
                <w:iCs/>
                <w:noProof/>
                <w:sz w:val="20"/>
              </w:rPr>
            </w:pPr>
          </w:p>
        </w:tc>
        <w:tc>
          <w:tcPr>
            <w:tcW w:w="1908" w:type="dxa"/>
            <w:shd w:val="clear" w:color="auto" w:fill="auto"/>
          </w:tcPr>
          <w:p w14:paraId="50F9DD82" w14:textId="77777777" w:rsidR="00B00146" w:rsidRPr="00890249" w:rsidRDefault="00B00146" w:rsidP="00B94245">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szCs w:val="22"/>
                <w:lang w:eastAsia="en-US" w:bidi="ar-SA"/>
              </w:rPr>
              <w:t>05 Niedyskryminacja</w:t>
            </w:r>
          </w:p>
        </w:tc>
        <w:tc>
          <w:tcPr>
            <w:tcW w:w="1976" w:type="dxa"/>
            <w:shd w:val="clear" w:color="auto" w:fill="auto"/>
          </w:tcPr>
          <w:p w14:paraId="1CB3A7F5" w14:textId="60511BAD" w:rsidR="00B00146" w:rsidRPr="00890249" w:rsidRDefault="005E33B6"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2 025 000</w:t>
            </w:r>
          </w:p>
        </w:tc>
      </w:tr>
      <w:tr w:rsidR="000573BA" w:rsidRPr="00890249" w14:paraId="3A6BD074" w14:textId="77777777" w:rsidTr="000573BA">
        <w:tc>
          <w:tcPr>
            <w:tcW w:w="1412" w:type="dxa"/>
            <w:vMerge/>
            <w:vAlign w:val="center"/>
          </w:tcPr>
          <w:p w14:paraId="1A8BCECB" w14:textId="77777777" w:rsidR="000573BA" w:rsidRPr="00890249" w:rsidRDefault="000573BA" w:rsidP="00B94245">
            <w:pPr>
              <w:jc w:val="center"/>
              <w:rPr>
                <w:rFonts w:asciiTheme="minorHAnsi" w:eastAsia="Times New Roman" w:hAnsiTheme="minorHAnsi" w:cstheme="minorHAnsi"/>
                <w:b/>
                <w:iCs/>
                <w:noProof/>
                <w:sz w:val="20"/>
              </w:rPr>
            </w:pPr>
          </w:p>
        </w:tc>
        <w:tc>
          <w:tcPr>
            <w:tcW w:w="1213" w:type="dxa"/>
            <w:vMerge/>
            <w:vAlign w:val="center"/>
          </w:tcPr>
          <w:p w14:paraId="0088F4B4" w14:textId="77777777" w:rsidR="000573BA" w:rsidRPr="00890249" w:rsidRDefault="000573BA" w:rsidP="00B94245">
            <w:pPr>
              <w:jc w:val="center"/>
              <w:rPr>
                <w:rFonts w:asciiTheme="minorHAnsi" w:eastAsia="Times New Roman" w:hAnsiTheme="minorHAnsi" w:cstheme="minorHAnsi"/>
                <w:b/>
                <w:iCs/>
                <w:noProof/>
                <w:sz w:val="20"/>
              </w:rPr>
            </w:pPr>
          </w:p>
        </w:tc>
        <w:tc>
          <w:tcPr>
            <w:tcW w:w="1308" w:type="dxa"/>
            <w:vMerge/>
            <w:vAlign w:val="center"/>
          </w:tcPr>
          <w:p w14:paraId="21203E49" w14:textId="77777777" w:rsidR="000573BA" w:rsidRPr="00890249" w:rsidRDefault="000573BA" w:rsidP="00B94245">
            <w:pPr>
              <w:jc w:val="center"/>
              <w:rPr>
                <w:rFonts w:asciiTheme="minorHAnsi" w:eastAsia="Times New Roman" w:hAnsiTheme="minorHAnsi" w:cstheme="minorHAnsi"/>
                <w:b/>
                <w:iCs/>
                <w:noProof/>
                <w:sz w:val="20"/>
              </w:rPr>
            </w:pPr>
          </w:p>
        </w:tc>
        <w:tc>
          <w:tcPr>
            <w:tcW w:w="1505" w:type="dxa"/>
            <w:vMerge/>
            <w:shd w:val="clear" w:color="auto" w:fill="auto"/>
            <w:vAlign w:val="center"/>
          </w:tcPr>
          <w:p w14:paraId="6D024664" w14:textId="77777777" w:rsidR="000573BA" w:rsidRPr="00890249" w:rsidRDefault="000573BA" w:rsidP="00B94245">
            <w:pPr>
              <w:jc w:val="center"/>
              <w:rPr>
                <w:rFonts w:asciiTheme="minorHAnsi" w:eastAsia="Times New Roman" w:hAnsiTheme="minorHAnsi" w:cstheme="minorHAnsi"/>
                <w:b/>
                <w:iCs/>
                <w:noProof/>
                <w:sz w:val="20"/>
              </w:rPr>
            </w:pPr>
          </w:p>
        </w:tc>
        <w:tc>
          <w:tcPr>
            <w:tcW w:w="1908" w:type="dxa"/>
            <w:shd w:val="clear" w:color="auto" w:fill="auto"/>
          </w:tcPr>
          <w:p w14:paraId="0B5367CD" w14:textId="77777777" w:rsidR="000573BA" w:rsidRPr="00890249" w:rsidRDefault="000573BA" w:rsidP="00B94245">
            <w:pPr>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07 Budowanie zdolności partnerów społecznych</w:t>
            </w:r>
          </w:p>
        </w:tc>
        <w:tc>
          <w:tcPr>
            <w:tcW w:w="1976" w:type="dxa"/>
            <w:shd w:val="clear" w:color="auto" w:fill="auto"/>
          </w:tcPr>
          <w:p w14:paraId="19C1C9EA" w14:textId="06AD9A2D" w:rsidR="000573BA" w:rsidRPr="00890249" w:rsidRDefault="002841A4" w:rsidP="002841A4">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E33B6">
              <w:rPr>
                <w:rFonts w:asciiTheme="minorHAnsi" w:eastAsia="Times New Roman" w:hAnsiTheme="minorHAnsi" w:cstheme="minorHAnsi"/>
                <w:iCs/>
                <w:noProof/>
                <w:sz w:val="20"/>
              </w:rPr>
              <w:t>337 500</w:t>
            </w:r>
            <w:r>
              <w:rPr>
                <w:rFonts w:asciiTheme="minorHAnsi" w:eastAsia="Times New Roman" w:hAnsiTheme="minorHAnsi" w:cstheme="minorHAnsi"/>
                <w:iCs/>
                <w:noProof/>
                <w:sz w:val="20"/>
              </w:rPr>
              <w:t xml:space="preserve"> </w:t>
            </w:r>
          </w:p>
        </w:tc>
      </w:tr>
      <w:tr w:rsidR="00B00146" w:rsidRPr="00890249" w14:paraId="46A6CA6D" w14:textId="77777777" w:rsidTr="000573BA">
        <w:tc>
          <w:tcPr>
            <w:tcW w:w="1412" w:type="dxa"/>
            <w:vMerge/>
            <w:vAlign w:val="center"/>
          </w:tcPr>
          <w:p w14:paraId="5528BFB1" w14:textId="77777777" w:rsidR="00B00146" w:rsidRPr="00890249" w:rsidRDefault="00B00146" w:rsidP="00BD5A2B">
            <w:pPr>
              <w:jc w:val="center"/>
              <w:rPr>
                <w:rFonts w:asciiTheme="minorHAnsi" w:eastAsia="Times New Roman" w:hAnsiTheme="minorHAnsi" w:cstheme="minorHAnsi"/>
                <w:iCs/>
                <w:noProof/>
                <w:sz w:val="20"/>
              </w:rPr>
            </w:pPr>
          </w:p>
        </w:tc>
        <w:tc>
          <w:tcPr>
            <w:tcW w:w="1213" w:type="dxa"/>
            <w:vMerge/>
            <w:vAlign w:val="center"/>
          </w:tcPr>
          <w:p w14:paraId="174EC311" w14:textId="77777777" w:rsidR="00B00146" w:rsidRPr="00890249" w:rsidRDefault="00B00146" w:rsidP="00BD5A2B">
            <w:pPr>
              <w:jc w:val="center"/>
              <w:rPr>
                <w:rFonts w:asciiTheme="minorHAnsi" w:hAnsiTheme="minorHAnsi" w:cstheme="minorHAnsi"/>
                <w:noProof/>
                <w:sz w:val="20"/>
              </w:rPr>
            </w:pPr>
          </w:p>
        </w:tc>
        <w:tc>
          <w:tcPr>
            <w:tcW w:w="1308" w:type="dxa"/>
            <w:vMerge/>
            <w:vAlign w:val="center"/>
          </w:tcPr>
          <w:p w14:paraId="439E2DE1" w14:textId="77777777" w:rsidR="00B00146" w:rsidRPr="00890249" w:rsidRDefault="00B00146" w:rsidP="00BD5A2B">
            <w:pPr>
              <w:jc w:val="center"/>
              <w:rPr>
                <w:rFonts w:asciiTheme="minorHAnsi" w:hAnsiTheme="minorHAnsi" w:cstheme="minorHAnsi"/>
                <w:noProof/>
                <w:sz w:val="20"/>
              </w:rPr>
            </w:pPr>
          </w:p>
        </w:tc>
        <w:tc>
          <w:tcPr>
            <w:tcW w:w="1505" w:type="dxa"/>
            <w:vMerge/>
            <w:vAlign w:val="center"/>
          </w:tcPr>
          <w:p w14:paraId="2652EE40" w14:textId="77777777" w:rsidR="00B00146" w:rsidRPr="00890249" w:rsidRDefault="00B00146" w:rsidP="00BD5A2B">
            <w:pPr>
              <w:jc w:val="center"/>
              <w:rPr>
                <w:rFonts w:asciiTheme="minorHAnsi" w:eastAsia="Times New Roman" w:hAnsiTheme="minorHAnsi" w:cstheme="minorHAnsi"/>
                <w:b/>
                <w:iCs/>
                <w:noProof/>
                <w:sz w:val="20"/>
              </w:rPr>
            </w:pPr>
          </w:p>
        </w:tc>
        <w:tc>
          <w:tcPr>
            <w:tcW w:w="1908" w:type="dxa"/>
            <w:vAlign w:val="center"/>
          </w:tcPr>
          <w:p w14:paraId="568ADB19" w14:textId="77777777" w:rsidR="00B00146" w:rsidRPr="00890249" w:rsidRDefault="00B00146"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 Budowanie zdolności organizacji społeczeństwa obywatelskiego</w:t>
            </w:r>
          </w:p>
        </w:tc>
        <w:tc>
          <w:tcPr>
            <w:tcW w:w="1976" w:type="dxa"/>
            <w:vAlign w:val="center"/>
          </w:tcPr>
          <w:p w14:paraId="280443B9" w14:textId="4062E647" w:rsidR="00B00146" w:rsidRPr="00890249" w:rsidRDefault="002841A4" w:rsidP="009B1B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E33B6">
              <w:rPr>
                <w:rFonts w:asciiTheme="minorHAnsi" w:eastAsia="Times New Roman" w:hAnsiTheme="minorHAnsi" w:cstheme="minorHAnsi"/>
                <w:iCs/>
                <w:noProof/>
                <w:sz w:val="20"/>
              </w:rPr>
              <w:t>3 337 500</w:t>
            </w:r>
          </w:p>
        </w:tc>
      </w:tr>
      <w:tr w:rsidR="00B00146" w:rsidRPr="00890249" w14:paraId="5E0406D7" w14:textId="77777777" w:rsidTr="000573BA">
        <w:tc>
          <w:tcPr>
            <w:tcW w:w="1412" w:type="dxa"/>
            <w:vMerge/>
            <w:vAlign w:val="center"/>
          </w:tcPr>
          <w:p w14:paraId="07B0969C" w14:textId="77777777" w:rsidR="00B00146" w:rsidRPr="00890249" w:rsidRDefault="00B00146" w:rsidP="00BD5A2B">
            <w:pPr>
              <w:jc w:val="center"/>
              <w:rPr>
                <w:rFonts w:asciiTheme="minorHAnsi" w:eastAsia="Times New Roman" w:hAnsiTheme="minorHAnsi" w:cstheme="minorHAnsi"/>
                <w:iCs/>
                <w:noProof/>
                <w:sz w:val="20"/>
              </w:rPr>
            </w:pPr>
          </w:p>
        </w:tc>
        <w:tc>
          <w:tcPr>
            <w:tcW w:w="1213" w:type="dxa"/>
            <w:vMerge/>
            <w:vAlign w:val="center"/>
          </w:tcPr>
          <w:p w14:paraId="1C8E9E70" w14:textId="77777777" w:rsidR="00B00146" w:rsidRPr="00890249" w:rsidRDefault="00B00146" w:rsidP="00BD5A2B">
            <w:pPr>
              <w:jc w:val="center"/>
              <w:rPr>
                <w:rFonts w:asciiTheme="minorHAnsi" w:hAnsiTheme="minorHAnsi" w:cstheme="minorHAnsi"/>
                <w:noProof/>
                <w:sz w:val="20"/>
              </w:rPr>
            </w:pPr>
          </w:p>
        </w:tc>
        <w:tc>
          <w:tcPr>
            <w:tcW w:w="1308" w:type="dxa"/>
            <w:vMerge/>
            <w:vAlign w:val="center"/>
          </w:tcPr>
          <w:p w14:paraId="2660F845" w14:textId="77777777" w:rsidR="00B00146" w:rsidRPr="00890249" w:rsidRDefault="00B00146" w:rsidP="00BD5A2B">
            <w:pPr>
              <w:jc w:val="center"/>
              <w:rPr>
                <w:rFonts w:asciiTheme="minorHAnsi" w:hAnsiTheme="minorHAnsi" w:cstheme="minorHAnsi"/>
                <w:noProof/>
                <w:sz w:val="20"/>
              </w:rPr>
            </w:pPr>
          </w:p>
        </w:tc>
        <w:tc>
          <w:tcPr>
            <w:tcW w:w="1505" w:type="dxa"/>
            <w:vMerge/>
            <w:vAlign w:val="center"/>
          </w:tcPr>
          <w:p w14:paraId="712130C7" w14:textId="77777777" w:rsidR="00B00146" w:rsidRPr="00890249" w:rsidRDefault="00B00146" w:rsidP="00BD5A2B">
            <w:pPr>
              <w:jc w:val="center"/>
              <w:rPr>
                <w:rFonts w:asciiTheme="minorHAnsi" w:eastAsia="Times New Roman" w:hAnsiTheme="minorHAnsi" w:cstheme="minorHAnsi"/>
                <w:b/>
                <w:iCs/>
                <w:noProof/>
                <w:sz w:val="20"/>
              </w:rPr>
            </w:pPr>
          </w:p>
        </w:tc>
        <w:tc>
          <w:tcPr>
            <w:tcW w:w="1908" w:type="dxa"/>
            <w:vAlign w:val="center"/>
          </w:tcPr>
          <w:p w14:paraId="21592799" w14:textId="77777777" w:rsidR="00B00146" w:rsidRPr="00890249" w:rsidRDefault="00B00146"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1976" w:type="dxa"/>
            <w:vAlign w:val="center"/>
          </w:tcPr>
          <w:p w14:paraId="7450E23C" w14:textId="159F1F24" w:rsidR="00B00146" w:rsidRPr="00890249" w:rsidRDefault="002841A4" w:rsidP="009B1B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E33B6">
              <w:rPr>
                <w:rFonts w:asciiTheme="minorHAnsi" w:eastAsia="Times New Roman" w:hAnsiTheme="minorHAnsi" w:cstheme="minorHAnsi"/>
                <w:iCs/>
                <w:noProof/>
                <w:sz w:val="20"/>
              </w:rPr>
              <w:t>2 250 000</w:t>
            </w:r>
          </w:p>
        </w:tc>
      </w:tr>
      <w:tr w:rsidR="00B00146" w:rsidRPr="00890249" w14:paraId="281E4688" w14:textId="77777777" w:rsidTr="000573BA">
        <w:tc>
          <w:tcPr>
            <w:tcW w:w="1412" w:type="dxa"/>
            <w:vMerge/>
            <w:vAlign w:val="center"/>
          </w:tcPr>
          <w:p w14:paraId="5B874770" w14:textId="77777777" w:rsidR="00B00146" w:rsidRPr="00890249" w:rsidRDefault="00B00146" w:rsidP="00BD5A2B">
            <w:pPr>
              <w:jc w:val="center"/>
              <w:rPr>
                <w:rFonts w:asciiTheme="minorHAnsi" w:eastAsia="Times New Roman" w:hAnsiTheme="minorHAnsi" w:cstheme="minorHAnsi"/>
                <w:iCs/>
                <w:noProof/>
                <w:sz w:val="20"/>
              </w:rPr>
            </w:pPr>
          </w:p>
        </w:tc>
        <w:tc>
          <w:tcPr>
            <w:tcW w:w="1213" w:type="dxa"/>
            <w:vMerge/>
            <w:vAlign w:val="center"/>
          </w:tcPr>
          <w:p w14:paraId="6FCC6BA7" w14:textId="77777777" w:rsidR="00B00146" w:rsidRPr="00890249" w:rsidRDefault="00B00146" w:rsidP="00BD5A2B">
            <w:pPr>
              <w:jc w:val="center"/>
              <w:rPr>
                <w:rFonts w:asciiTheme="minorHAnsi" w:hAnsiTheme="minorHAnsi" w:cstheme="minorHAnsi"/>
                <w:noProof/>
                <w:sz w:val="20"/>
              </w:rPr>
            </w:pPr>
          </w:p>
        </w:tc>
        <w:tc>
          <w:tcPr>
            <w:tcW w:w="1308" w:type="dxa"/>
            <w:vMerge/>
            <w:vAlign w:val="center"/>
          </w:tcPr>
          <w:p w14:paraId="104AC8F4" w14:textId="77777777" w:rsidR="00B00146" w:rsidRPr="00890249" w:rsidRDefault="00B00146" w:rsidP="00BD5A2B">
            <w:pPr>
              <w:jc w:val="center"/>
              <w:rPr>
                <w:rFonts w:asciiTheme="minorHAnsi" w:hAnsiTheme="minorHAnsi" w:cstheme="minorHAnsi"/>
                <w:noProof/>
                <w:sz w:val="20"/>
              </w:rPr>
            </w:pPr>
          </w:p>
        </w:tc>
        <w:tc>
          <w:tcPr>
            <w:tcW w:w="1505" w:type="dxa"/>
            <w:vMerge/>
            <w:vAlign w:val="center"/>
          </w:tcPr>
          <w:p w14:paraId="200BDFAE" w14:textId="77777777" w:rsidR="00B00146" w:rsidRPr="00890249" w:rsidRDefault="00B00146" w:rsidP="00BD5A2B">
            <w:pPr>
              <w:jc w:val="center"/>
              <w:rPr>
                <w:rFonts w:asciiTheme="minorHAnsi" w:eastAsia="Times New Roman" w:hAnsiTheme="minorHAnsi" w:cstheme="minorHAnsi"/>
                <w:b/>
                <w:iCs/>
                <w:noProof/>
                <w:sz w:val="20"/>
              </w:rPr>
            </w:pPr>
          </w:p>
        </w:tc>
        <w:tc>
          <w:tcPr>
            <w:tcW w:w="1908" w:type="dxa"/>
            <w:vAlign w:val="center"/>
          </w:tcPr>
          <w:p w14:paraId="0290E20B" w14:textId="147A6705" w:rsidR="00B00146" w:rsidRPr="00890249" w:rsidRDefault="00B00146"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Działania podejmowane w odpowiedzi na wyzwania wskazane w r</w:t>
            </w:r>
            <w:r w:rsidR="00C725C6">
              <w:rPr>
                <w:rFonts w:asciiTheme="minorHAnsi" w:eastAsia="Times New Roman" w:hAnsiTheme="minorHAnsi" w:cstheme="minorHAnsi"/>
                <w:iCs/>
                <w:noProof/>
                <w:sz w:val="20"/>
              </w:rPr>
              <w:t xml:space="preserve">amach </w:t>
            </w:r>
            <w:r w:rsidRPr="00890249">
              <w:rPr>
                <w:rFonts w:asciiTheme="minorHAnsi" w:eastAsia="Times New Roman" w:hAnsiTheme="minorHAnsi" w:cstheme="minorHAnsi"/>
                <w:iCs/>
                <w:noProof/>
                <w:sz w:val="20"/>
              </w:rPr>
              <w:t xml:space="preserve"> semestru europejskiego</w:t>
            </w:r>
          </w:p>
        </w:tc>
        <w:tc>
          <w:tcPr>
            <w:tcW w:w="1976" w:type="dxa"/>
            <w:vAlign w:val="center"/>
          </w:tcPr>
          <w:p w14:paraId="0B3C6C95" w14:textId="6ABDE465" w:rsidR="00B00146" w:rsidRPr="00890249" w:rsidRDefault="002841A4" w:rsidP="009B1B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5E33B6">
              <w:rPr>
                <w:rFonts w:asciiTheme="minorHAnsi" w:eastAsia="Times New Roman" w:hAnsiTheme="minorHAnsi" w:cstheme="minorHAnsi"/>
                <w:iCs/>
                <w:noProof/>
                <w:sz w:val="20"/>
              </w:rPr>
              <w:t>1 350 000</w:t>
            </w:r>
          </w:p>
        </w:tc>
      </w:tr>
    </w:tbl>
    <w:p w14:paraId="2C8494EF" w14:textId="77777777" w:rsidR="005F3F05" w:rsidRPr="00890249" w:rsidRDefault="005F3F05" w:rsidP="0063477E">
      <w:pPr>
        <w:spacing w:before="0" w:after="160" w:line="259" w:lineRule="auto"/>
        <w:jc w:val="left"/>
        <w:rPr>
          <w:rFonts w:asciiTheme="minorHAnsi" w:hAnsiTheme="minorHAnsi" w:cstheme="minorHAnsi"/>
          <w:b/>
          <w:noProof/>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613A79" w:rsidRPr="00890249" w14:paraId="719F68B7" w14:textId="77777777" w:rsidTr="003D6E86">
        <w:tc>
          <w:tcPr>
            <w:tcW w:w="9322" w:type="dxa"/>
            <w:gridSpan w:val="6"/>
            <w:shd w:val="clear" w:color="auto" w:fill="D9D9D9" w:themeFill="background1" w:themeFillShade="D9"/>
          </w:tcPr>
          <w:p w14:paraId="75524EA1" w14:textId="77777777" w:rsidR="00613A79" w:rsidRPr="00890249" w:rsidRDefault="00613A79">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 xml:space="preserve">Tabela 8: Wymiar 7 – wymiar </w:t>
            </w:r>
            <w:r w:rsidR="00431F06" w:rsidRPr="00890249">
              <w:rPr>
                <w:rFonts w:asciiTheme="minorHAnsi" w:eastAsiaTheme="minorHAnsi" w:hAnsiTheme="minorHAnsi" w:cstheme="minorHAnsi"/>
                <w:b/>
                <w:sz w:val="20"/>
                <w:szCs w:val="22"/>
                <w:lang w:eastAsia="en-US" w:bidi="ar-SA"/>
              </w:rPr>
              <w:t>„Równouprawnienia płci” w ramach EFS+, EFRR, Fundusz Spójności i FST</w:t>
            </w:r>
          </w:p>
        </w:tc>
      </w:tr>
      <w:tr w:rsidR="00613A79" w:rsidRPr="00890249" w14:paraId="2BD81250" w14:textId="77777777" w:rsidTr="003D6E86">
        <w:trPr>
          <w:trHeight w:val="929"/>
        </w:trPr>
        <w:tc>
          <w:tcPr>
            <w:tcW w:w="1570" w:type="dxa"/>
            <w:shd w:val="clear" w:color="auto" w:fill="F2F2F2" w:themeFill="background1" w:themeFillShade="F2"/>
          </w:tcPr>
          <w:p w14:paraId="0B811E35"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7370961E"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413BE5F3"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31F1683B"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153867D1"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2FF3823C"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304F40" w:rsidRPr="00890249" w14:paraId="3374514A" w14:textId="77777777" w:rsidTr="003D6E86">
        <w:tc>
          <w:tcPr>
            <w:tcW w:w="1570" w:type="dxa"/>
            <w:shd w:val="clear" w:color="auto" w:fill="auto"/>
            <w:vAlign w:val="center"/>
          </w:tcPr>
          <w:p w14:paraId="1B434ABA" w14:textId="77777777" w:rsidR="00304F40" w:rsidRPr="00890249" w:rsidRDefault="006D15D3" w:rsidP="00B94D07">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 xml:space="preserve">CP </w:t>
            </w:r>
            <w:r w:rsidR="0009010C" w:rsidRPr="00890249">
              <w:rPr>
                <w:rFonts w:asciiTheme="minorHAnsi" w:eastAsia="Times New Roman" w:hAnsiTheme="minorHAnsi" w:cstheme="minorHAnsi"/>
                <w:iCs/>
                <w:noProof/>
                <w:sz w:val="20"/>
              </w:rPr>
              <w:t>4</w:t>
            </w:r>
          </w:p>
        </w:tc>
        <w:tc>
          <w:tcPr>
            <w:tcW w:w="1360" w:type="dxa"/>
            <w:shd w:val="clear" w:color="auto" w:fill="auto"/>
            <w:vAlign w:val="center"/>
          </w:tcPr>
          <w:p w14:paraId="7F9675DE" w14:textId="77777777" w:rsidR="00304F40" w:rsidRPr="00890249" w:rsidRDefault="00304F40" w:rsidP="00B94D07">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EFS+</w:t>
            </w:r>
          </w:p>
        </w:tc>
        <w:tc>
          <w:tcPr>
            <w:tcW w:w="1415" w:type="dxa"/>
            <w:shd w:val="clear" w:color="auto" w:fill="auto"/>
            <w:vAlign w:val="center"/>
          </w:tcPr>
          <w:p w14:paraId="4A34BD9C" w14:textId="77777777" w:rsidR="00304F40" w:rsidRPr="00890249" w:rsidRDefault="00304F40" w:rsidP="00B94D07">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słabiej rozwinięte</w:t>
            </w:r>
          </w:p>
        </w:tc>
        <w:tc>
          <w:tcPr>
            <w:tcW w:w="1628" w:type="dxa"/>
            <w:shd w:val="clear" w:color="auto" w:fill="auto"/>
            <w:vAlign w:val="center"/>
          </w:tcPr>
          <w:p w14:paraId="645ADC2B" w14:textId="77777777" w:rsidR="00304F40" w:rsidRPr="00890249" w:rsidRDefault="00D53D24" w:rsidP="00D53D2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(h)</w:t>
            </w:r>
          </w:p>
        </w:tc>
        <w:tc>
          <w:tcPr>
            <w:tcW w:w="1026" w:type="dxa"/>
            <w:shd w:val="clear" w:color="auto" w:fill="auto"/>
            <w:vAlign w:val="center"/>
          </w:tcPr>
          <w:p w14:paraId="0CBD36F0" w14:textId="77777777" w:rsidR="00304F40" w:rsidRPr="00890249" w:rsidRDefault="00D53D24" w:rsidP="00D53D2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E96A7D"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2323" w:type="dxa"/>
            <w:shd w:val="clear" w:color="auto" w:fill="auto"/>
            <w:vAlign w:val="center"/>
          </w:tcPr>
          <w:p w14:paraId="51F15C72" w14:textId="11EFE716" w:rsidR="00304F40" w:rsidRPr="00890249" w:rsidRDefault="005E33B6" w:rsidP="00D53D24">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9 750 000</w:t>
            </w:r>
          </w:p>
        </w:tc>
      </w:tr>
    </w:tbl>
    <w:p w14:paraId="105F4F7D" w14:textId="00124B10" w:rsidR="008C67B3" w:rsidRDefault="008C67B3" w:rsidP="00AB4962">
      <w:pPr>
        <w:spacing w:before="0" w:after="160" w:line="259" w:lineRule="auto"/>
        <w:jc w:val="left"/>
        <w:rPr>
          <w:rFonts w:asciiTheme="minorHAnsi" w:hAnsiTheme="minorHAnsi" w:cstheme="minorHAnsi"/>
          <w:b/>
          <w:noProof/>
          <w:sz w:val="22"/>
          <w:szCs w:val="22"/>
        </w:rPr>
      </w:pPr>
    </w:p>
    <w:p w14:paraId="13AA1C74" w14:textId="3025D628" w:rsidR="00F47334" w:rsidRPr="00890249" w:rsidRDefault="008C67B3" w:rsidP="00AB4962">
      <w:pPr>
        <w:spacing w:before="0" w:after="160" w:line="259" w:lineRule="auto"/>
        <w:jc w:val="left"/>
        <w:rPr>
          <w:rFonts w:asciiTheme="minorHAnsi" w:hAnsiTheme="minorHAnsi" w:cstheme="minorHAnsi"/>
          <w:b/>
          <w:noProof/>
          <w:sz w:val="22"/>
          <w:szCs w:val="22"/>
        </w:rPr>
      </w:pPr>
      <w:r>
        <w:rPr>
          <w:rFonts w:asciiTheme="minorHAnsi" w:hAnsiTheme="minorHAnsi" w:cstheme="minorHAnsi"/>
          <w:b/>
          <w:noProof/>
          <w:sz w:val="22"/>
          <w:szCs w:val="22"/>
        </w:rPr>
        <w:br w:type="page"/>
      </w:r>
    </w:p>
    <w:p w14:paraId="60FC78C6" w14:textId="77777777" w:rsidR="00CB3884" w:rsidRPr="00890249" w:rsidRDefault="00CB3884" w:rsidP="00CB3884">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2.1.6.2 (i) Cel szczegółowy</w:t>
      </w:r>
    </w:p>
    <w:p w14:paraId="50B23C90" w14:textId="77777777" w:rsidR="00CB3884" w:rsidRPr="00890249" w:rsidRDefault="00CB3884" w:rsidP="00CB3884">
      <w:pPr>
        <w:spacing w:line="276" w:lineRule="auto"/>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 xml:space="preserve">(i) Wspieranie integracji społeczno-gospodarczej obywateli państw trzecich, w tym migrantów </w:t>
      </w:r>
    </w:p>
    <w:p w14:paraId="60CA4B15" w14:textId="77777777" w:rsidR="00CB3884" w:rsidRPr="00890249" w:rsidRDefault="00CB3884" w:rsidP="00CB3884">
      <w:pPr>
        <w:rPr>
          <w:rFonts w:asciiTheme="minorHAnsi" w:hAnsiTheme="minorHAnsi" w:cstheme="minorHAnsi"/>
          <w:b/>
          <w:noProof/>
          <w:sz w:val="22"/>
        </w:rPr>
      </w:pPr>
      <w:r w:rsidRPr="00890249">
        <w:rPr>
          <w:rFonts w:asciiTheme="minorHAnsi" w:hAnsiTheme="minorHAnsi" w:cstheme="minorHAnsi"/>
          <w:b/>
          <w:noProof/>
          <w:sz w:val="22"/>
        </w:rPr>
        <w:t>2.6.2.1 (i) Interwencje w ramach funduszy</w:t>
      </w:r>
    </w:p>
    <w:p w14:paraId="4BAF5E9D" w14:textId="77777777" w:rsidR="00CB3884" w:rsidRPr="00890249" w:rsidRDefault="00CB3884" w:rsidP="00CB388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23F2FDF2" w14:textId="77777777" w:rsidR="0093433C" w:rsidRPr="00890249" w:rsidRDefault="001820D1"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 uwagi na skokowy wzrost liczby cudzoziemców w regionie, który jest skorelowany </w:t>
      </w:r>
      <w:r w:rsidR="00F07ABF" w:rsidRPr="00890249">
        <w:rPr>
          <w:rFonts w:asciiTheme="minorHAnsi" w:hAnsiTheme="minorHAnsi" w:cstheme="minorHAnsi"/>
          <w:sz w:val="22"/>
          <w:szCs w:val="22"/>
          <w:lang w:eastAsia="en-US" w:bidi="ar-SA"/>
        </w:rPr>
        <w:br/>
      </w:r>
      <w:r w:rsidRPr="00890249">
        <w:rPr>
          <w:rFonts w:asciiTheme="minorHAnsi" w:hAnsiTheme="minorHAnsi" w:cstheme="minorHAnsi"/>
          <w:sz w:val="22"/>
          <w:szCs w:val="22"/>
          <w:lang w:eastAsia="en-US" w:bidi="ar-SA"/>
        </w:rPr>
        <w:t>z systematycznym rozwojem gospodarczym oraz w kontekście postępującej depopulacji, konieczna staje się realizacja działań mających na celu integrację społeczno-</w:t>
      </w:r>
      <w:r w:rsidR="00385C0E" w:rsidRPr="00890249">
        <w:rPr>
          <w:rFonts w:asciiTheme="minorHAnsi" w:hAnsiTheme="minorHAnsi" w:cstheme="minorHAnsi"/>
          <w:sz w:val="22"/>
          <w:szCs w:val="22"/>
          <w:lang w:eastAsia="en-US" w:bidi="ar-SA"/>
        </w:rPr>
        <w:t xml:space="preserve">zawodową </w:t>
      </w:r>
      <w:r w:rsidRPr="00890249">
        <w:rPr>
          <w:rFonts w:asciiTheme="minorHAnsi" w:hAnsiTheme="minorHAnsi" w:cstheme="minorHAnsi"/>
          <w:sz w:val="22"/>
          <w:szCs w:val="22"/>
          <w:lang w:eastAsia="en-US" w:bidi="ar-SA"/>
        </w:rPr>
        <w:t xml:space="preserve">obywateli państw trzecich. Na koniec marca 2019 r. w </w:t>
      </w:r>
      <w:r w:rsidR="008C48C1" w:rsidRPr="00890249">
        <w:rPr>
          <w:rFonts w:asciiTheme="minorHAnsi" w:hAnsiTheme="minorHAnsi" w:cstheme="minorHAnsi"/>
          <w:sz w:val="22"/>
          <w:szCs w:val="22"/>
          <w:lang w:eastAsia="en-US" w:bidi="ar-SA"/>
        </w:rPr>
        <w:t>woj.</w:t>
      </w:r>
      <w:r w:rsidRPr="00890249">
        <w:rPr>
          <w:rFonts w:asciiTheme="minorHAnsi" w:hAnsiTheme="minorHAnsi" w:cstheme="minorHAnsi"/>
          <w:sz w:val="22"/>
          <w:szCs w:val="22"/>
          <w:lang w:eastAsia="en-US" w:bidi="ar-SA"/>
        </w:rPr>
        <w:t xml:space="preserve"> opolskim legalnie przebywało ponad 9 tys. cudzoziemców (zwłaszcza obywateli Ukrainy, Bułgarii i Białorusi). Liczba imigrantów zameldowanych na pobyt stały w</w:t>
      </w:r>
      <w:r w:rsidR="008C48C1"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regionie wynosiła w 2019 r. 1</w:t>
      </w:r>
      <w:r w:rsidR="005F2E2C"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315 osób (wzrost o 68 osób w porównaniu z 2018 r.). Natomiast liczba imigrantów zameldowanych na pobyt czasowy w 2019 r. wyniosła 6</w:t>
      </w:r>
      <w:r w:rsidR="005F2E2C"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698 (wzrost o 655 osób w</w:t>
      </w:r>
      <w:r w:rsidR="008C48C1"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odniesieniu do</w:t>
      </w:r>
      <w:r w:rsidR="00F07ABF" w:rsidRPr="00890249">
        <w:rPr>
          <w:rFonts w:asciiTheme="minorHAnsi" w:hAnsiTheme="minorHAnsi" w:cstheme="minorHAnsi"/>
          <w:sz w:val="22"/>
          <w:szCs w:val="22"/>
          <w:lang w:eastAsia="en-US" w:bidi="ar-SA"/>
        </w:rPr>
        <w:t xml:space="preserve"> 2018 r.). </w:t>
      </w:r>
      <w:r w:rsidRPr="00890249">
        <w:rPr>
          <w:rFonts w:asciiTheme="minorHAnsi" w:hAnsiTheme="minorHAnsi" w:cstheme="minorHAnsi"/>
          <w:sz w:val="22"/>
          <w:szCs w:val="22"/>
          <w:lang w:eastAsia="en-US" w:bidi="ar-SA"/>
        </w:rPr>
        <w:t>W regionie obserwuje się stały wzrost pozwoleń na pracę dla cudzoziemców: 808 w 2013 r., 1</w:t>
      </w:r>
      <w:r w:rsidR="005F2E2C"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219 w 2015 r., 2</w:t>
      </w:r>
      <w:r w:rsidR="005F2E2C"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808 w 2016 r. oraz skok aż do 5</w:t>
      </w:r>
      <w:r w:rsidR="005F2E2C"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807 w 2017 r. </w:t>
      </w:r>
      <w:r w:rsidR="00F07ABF" w:rsidRPr="00890249">
        <w:rPr>
          <w:rFonts w:asciiTheme="minorHAnsi" w:hAnsiTheme="minorHAnsi" w:cstheme="minorHAnsi"/>
          <w:sz w:val="22"/>
          <w:szCs w:val="22"/>
          <w:lang w:eastAsia="en-US" w:bidi="ar-SA"/>
        </w:rPr>
        <w:br/>
      </w:r>
      <w:r w:rsidRPr="00890249">
        <w:rPr>
          <w:rFonts w:asciiTheme="minorHAnsi" w:hAnsiTheme="minorHAnsi" w:cstheme="minorHAnsi"/>
          <w:sz w:val="22"/>
          <w:szCs w:val="22"/>
          <w:lang w:eastAsia="en-US" w:bidi="ar-SA"/>
        </w:rPr>
        <w:t>(z zastrzeżeniem, że ta sama osoba może uzyskać więcej niż jedno pozwolenie w ciągu roku). Wśród cudzoziemców przeważają obywatele Ukrainy, którzy w regionie stanowią ok. 90% tej grupy.</w:t>
      </w:r>
    </w:p>
    <w:p w14:paraId="0B42AC24" w14:textId="163AF298" w:rsidR="0093433C" w:rsidRPr="00890249" w:rsidRDefault="00146E66"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Agresja zbrojna Federacji Rosyjskiej przeciwko Ukrainie wprowadziła w Europie sytuację wyjątkową, której rozwiązanie wymaga użycia szczególnych środków. </w:t>
      </w:r>
      <w:r w:rsidRPr="00890249">
        <w:rPr>
          <w:rFonts w:asciiTheme="minorHAnsi" w:eastAsia="Times New Roman" w:hAnsiTheme="minorHAnsi" w:cstheme="minorHAnsi"/>
          <w:sz w:val="22"/>
          <w:szCs w:val="22"/>
          <w:lang w:bidi="ar-SA"/>
        </w:rPr>
        <w:t>Ukrainę od 24 lutego 2022 r. opuściło już ponad </w:t>
      </w:r>
      <w:r w:rsidR="00C45AF8" w:rsidRPr="00890249">
        <w:rPr>
          <w:rFonts w:asciiTheme="minorHAnsi" w:eastAsia="Times New Roman" w:hAnsiTheme="minorHAnsi" w:cstheme="minorHAnsi"/>
          <w:sz w:val="22"/>
          <w:szCs w:val="22"/>
          <w:lang w:bidi="ar-SA"/>
        </w:rPr>
        <w:t>7,2</w:t>
      </w:r>
      <w:r w:rsidRPr="00890249">
        <w:rPr>
          <w:rFonts w:asciiTheme="minorHAnsi" w:eastAsia="Times New Roman" w:hAnsiTheme="minorHAnsi" w:cstheme="minorHAnsi"/>
          <w:sz w:val="22"/>
          <w:szCs w:val="22"/>
          <w:lang w:bidi="ar-SA"/>
        </w:rPr>
        <w:t xml:space="preserve"> mln</w:t>
      </w:r>
      <w:r w:rsidR="00AD61E3" w:rsidRPr="00890249">
        <w:rPr>
          <w:rFonts w:asciiTheme="minorHAnsi" w:eastAsia="Times New Roman" w:hAnsiTheme="minorHAnsi" w:cstheme="minorHAnsi"/>
          <w:sz w:val="22"/>
          <w:szCs w:val="22"/>
          <w:lang w:bidi="ar-SA"/>
        </w:rPr>
        <w:t xml:space="preserve"> osób</w:t>
      </w:r>
      <w:r w:rsidR="00AD61E3" w:rsidRPr="00890249">
        <w:rPr>
          <w:rStyle w:val="Odwoanieprzypisudolnego"/>
          <w:rFonts w:asciiTheme="minorHAnsi" w:eastAsia="Times New Roman" w:hAnsiTheme="minorHAnsi" w:cstheme="minorHAnsi"/>
          <w:sz w:val="22"/>
          <w:szCs w:val="22"/>
          <w:lang w:bidi="ar-SA"/>
        </w:rPr>
        <w:footnoteReference w:id="187"/>
      </w:r>
      <w:r w:rsidRPr="00890249">
        <w:rPr>
          <w:rFonts w:asciiTheme="minorHAnsi" w:eastAsia="Times New Roman" w:hAnsiTheme="minorHAnsi" w:cstheme="minorHAnsi"/>
          <w:sz w:val="22"/>
          <w:szCs w:val="22"/>
          <w:lang w:bidi="ar-SA"/>
        </w:rPr>
        <w:t>, z czego największa liczba</w:t>
      </w:r>
      <w:r w:rsidR="00E240AF" w:rsidRPr="00890249">
        <w:rPr>
          <w:rFonts w:asciiTheme="minorHAnsi" w:eastAsia="Times New Roman" w:hAnsiTheme="minorHAnsi" w:cstheme="minorHAnsi"/>
          <w:sz w:val="22"/>
          <w:szCs w:val="22"/>
          <w:lang w:bidi="ar-SA"/>
        </w:rPr>
        <w:t>,</w:t>
      </w:r>
      <w:r w:rsidRPr="00890249">
        <w:rPr>
          <w:rFonts w:asciiTheme="minorHAnsi" w:eastAsia="Times New Roman" w:hAnsiTheme="minorHAnsi" w:cstheme="minorHAnsi"/>
          <w:sz w:val="22"/>
          <w:szCs w:val="22"/>
          <w:lang w:bidi="ar-SA"/>
        </w:rPr>
        <w:t xml:space="preserve"> bo </w:t>
      </w:r>
      <w:r w:rsidR="00C45AF8" w:rsidRPr="00890249">
        <w:rPr>
          <w:rFonts w:asciiTheme="minorHAnsi" w:eastAsia="Times New Roman" w:hAnsiTheme="minorHAnsi" w:cstheme="minorHAnsi"/>
          <w:sz w:val="22"/>
          <w:szCs w:val="22"/>
          <w:lang w:bidi="ar-SA"/>
        </w:rPr>
        <w:t>1,4</w:t>
      </w:r>
      <w:r w:rsidRPr="00890249">
        <w:rPr>
          <w:rFonts w:asciiTheme="minorHAnsi" w:eastAsia="Times New Roman" w:hAnsiTheme="minorHAnsi" w:cstheme="minorHAnsi"/>
          <w:sz w:val="22"/>
          <w:szCs w:val="22"/>
          <w:lang w:bidi="ar-SA"/>
        </w:rPr>
        <w:t xml:space="preserve"> mln przybyła do Polski</w:t>
      </w:r>
      <w:r w:rsidRPr="00890249">
        <w:rPr>
          <w:rFonts w:asciiTheme="minorHAnsi" w:eastAsia="Times New Roman" w:hAnsiTheme="minorHAnsi" w:cstheme="minorHAnsi"/>
          <w:sz w:val="22"/>
          <w:szCs w:val="22"/>
          <w:vertAlign w:val="superscript"/>
          <w:lang w:bidi="ar-SA"/>
        </w:rPr>
        <w:footnoteReference w:id="188"/>
      </w:r>
      <w:r w:rsidRPr="00890249">
        <w:rPr>
          <w:rFonts w:asciiTheme="minorHAnsi" w:eastAsia="Times New Roman" w:hAnsiTheme="minorHAnsi" w:cstheme="minorHAnsi"/>
          <w:sz w:val="22"/>
          <w:szCs w:val="22"/>
          <w:lang w:bidi="ar-SA"/>
        </w:rPr>
        <w:t xml:space="preserve">. Część z tych osób trafiało i w dalszym ciągu trafia do województwa opolskiego. Na terenie województwa </w:t>
      </w:r>
      <w:r w:rsidR="00AD61E3" w:rsidRPr="00890249">
        <w:rPr>
          <w:rFonts w:asciiTheme="minorHAnsi" w:eastAsia="Times New Roman" w:hAnsiTheme="minorHAnsi" w:cstheme="minorHAnsi"/>
          <w:sz w:val="22"/>
          <w:szCs w:val="22"/>
          <w:lang w:bidi="ar-SA"/>
        </w:rPr>
        <w:t>opolskiego wg stanu na 29</w:t>
      </w:r>
      <w:r w:rsidRPr="00890249">
        <w:rPr>
          <w:rFonts w:asciiTheme="minorHAnsi" w:eastAsia="Times New Roman" w:hAnsiTheme="minorHAnsi" w:cstheme="minorHAnsi"/>
          <w:sz w:val="22"/>
          <w:szCs w:val="22"/>
          <w:lang w:bidi="ar-SA"/>
        </w:rPr>
        <w:t xml:space="preserve"> </w:t>
      </w:r>
      <w:r w:rsidR="00AD61E3" w:rsidRPr="00890249">
        <w:rPr>
          <w:rFonts w:asciiTheme="minorHAnsi" w:eastAsia="Times New Roman" w:hAnsiTheme="minorHAnsi" w:cstheme="minorHAnsi"/>
          <w:sz w:val="22"/>
          <w:szCs w:val="22"/>
          <w:lang w:bidi="ar-SA"/>
        </w:rPr>
        <w:t>września</w:t>
      </w:r>
      <w:r w:rsidRPr="00890249">
        <w:rPr>
          <w:rFonts w:asciiTheme="minorHAnsi" w:eastAsia="Times New Roman" w:hAnsiTheme="minorHAnsi" w:cstheme="minorHAnsi"/>
          <w:sz w:val="22"/>
          <w:szCs w:val="22"/>
          <w:lang w:bidi="ar-SA"/>
        </w:rPr>
        <w:t xml:space="preserve"> 2022 r. przebywa ok. </w:t>
      </w:r>
      <w:r w:rsidR="00AD61E3" w:rsidRPr="00890249">
        <w:rPr>
          <w:rFonts w:asciiTheme="minorHAnsi" w:eastAsia="Times New Roman" w:hAnsiTheme="minorHAnsi" w:cstheme="minorHAnsi"/>
          <w:sz w:val="22"/>
          <w:szCs w:val="22"/>
          <w:lang w:bidi="ar-SA"/>
        </w:rPr>
        <w:t>31</w:t>
      </w:r>
      <w:r w:rsidRPr="00890249">
        <w:rPr>
          <w:rFonts w:asciiTheme="minorHAnsi" w:eastAsia="Times New Roman" w:hAnsiTheme="minorHAnsi" w:cstheme="minorHAnsi"/>
          <w:sz w:val="22"/>
          <w:szCs w:val="22"/>
          <w:lang w:bidi="ar-SA"/>
        </w:rPr>
        <w:t xml:space="preserve"> tys. osób</w:t>
      </w:r>
      <w:r w:rsidR="00AD61E3" w:rsidRPr="00890249">
        <w:rPr>
          <w:rStyle w:val="Odwoanieprzypisudolnego"/>
          <w:rFonts w:asciiTheme="minorHAnsi" w:eastAsia="Times New Roman" w:hAnsiTheme="minorHAnsi" w:cstheme="minorHAnsi"/>
          <w:sz w:val="22"/>
          <w:szCs w:val="22"/>
          <w:lang w:bidi="ar-SA"/>
        </w:rPr>
        <w:footnoteReference w:id="189"/>
      </w:r>
      <w:r w:rsidRPr="00890249">
        <w:rPr>
          <w:rFonts w:asciiTheme="minorHAnsi" w:eastAsia="Times New Roman" w:hAnsiTheme="minorHAnsi" w:cstheme="minorHAnsi"/>
          <w:sz w:val="22"/>
          <w:szCs w:val="22"/>
          <w:lang w:bidi="ar-SA"/>
        </w:rPr>
        <w:t>, które opuścił</w:t>
      </w:r>
      <w:r w:rsidR="00E240AF" w:rsidRPr="00890249">
        <w:rPr>
          <w:rFonts w:asciiTheme="minorHAnsi" w:eastAsia="Times New Roman" w:hAnsiTheme="minorHAnsi" w:cstheme="minorHAnsi"/>
          <w:sz w:val="22"/>
          <w:szCs w:val="22"/>
          <w:lang w:bidi="ar-SA"/>
        </w:rPr>
        <w:t>y</w:t>
      </w:r>
      <w:r w:rsidRPr="00890249">
        <w:rPr>
          <w:rFonts w:asciiTheme="minorHAnsi" w:eastAsia="Times New Roman" w:hAnsiTheme="minorHAnsi" w:cstheme="minorHAnsi"/>
          <w:sz w:val="22"/>
          <w:szCs w:val="22"/>
          <w:lang w:bidi="ar-SA"/>
        </w:rPr>
        <w:t xml:space="preserve"> Ukr</w:t>
      </w:r>
      <w:r w:rsidR="008C67B3">
        <w:rPr>
          <w:rFonts w:asciiTheme="minorHAnsi" w:eastAsia="Times New Roman" w:hAnsiTheme="minorHAnsi" w:cstheme="minorHAnsi"/>
          <w:sz w:val="22"/>
          <w:szCs w:val="22"/>
          <w:lang w:bidi="ar-SA"/>
        </w:rPr>
        <w:t>ainę w związku z </w:t>
      </w:r>
      <w:r w:rsidR="00AD61E3" w:rsidRPr="00890249">
        <w:rPr>
          <w:rFonts w:asciiTheme="minorHAnsi" w:eastAsia="Times New Roman" w:hAnsiTheme="minorHAnsi" w:cstheme="minorHAnsi"/>
          <w:sz w:val="22"/>
          <w:szCs w:val="22"/>
          <w:lang w:bidi="ar-SA"/>
        </w:rPr>
        <w:t>wybuchem wojny</w:t>
      </w:r>
      <w:r w:rsidRPr="00890249">
        <w:rPr>
          <w:rFonts w:asciiTheme="minorHAnsi" w:eastAsia="Times New Roman" w:hAnsiTheme="minorHAnsi" w:cstheme="minorHAnsi"/>
          <w:sz w:val="22"/>
          <w:szCs w:val="22"/>
          <w:lang w:bidi="ar-SA"/>
        </w:rPr>
        <w:t xml:space="preserve">. </w:t>
      </w:r>
      <w:r w:rsidR="00652144" w:rsidRPr="00890249">
        <w:rPr>
          <w:rFonts w:asciiTheme="minorHAnsi" w:hAnsiTheme="minorHAnsi" w:cstheme="minorHAnsi"/>
          <w:sz w:val="22"/>
          <w:szCs w:val="22"/>
          <w:lang w:eastAsia="en-US" w:bidi="ar-SA"/>
        </w:rPr>
        <w:t xml:space="preserve">Samorząd Województwa Opolskiego, głównie dzięki działalności Centrum Integracji Cudzoziemców finansowanemu z Funduszu Azylu, Migracji i Integracji (FAMI), stał się liderem w realizacji wsparcia na rzecz imigrantów przebywających w regionie. </w:t>
      </w:r>
      <w:r w:rsidR="00AB6B05" w:rsidRPr="00890249">
        <w:rPr>
          <w:rFonts w:asciiTheme="minorHAnsi" w:hAnsiTheme="minorHAnsi" w:cstheme="minorHAnsi"/>
          <w:sz w:val="22"/>
          <w:szCs w:val="22"/>
          <w:lang w:eastAsia="en-US" w:bidi="ar-SA"/>
        </w:rPr>
        <w:t>Działania zaproponowane w ramach FEO 2021-2027 będą</w:t>
      </w:r>
      <w:r w:rsidR="008D4D52" w:rsidRPr="00890249">
        <w:rPr>
          <w:rFonts w:asciiTheme="minorHAnsi" w:hAnsiTheme="minorHAnsi" w:cstheme="minorHAnsi"/>
          <w:sz w:val="22"/>
          <w:szCs w:val="22"/>
          <w:lang w:eastAsia="en-US" w:bidi="ar-SA"/>
        </w:rPr>
        <w:t xml:space="preserve"> również stanowiły</w:t>
      </w:r>
      <w:r w:rsidR="009E245E" w:rsidRPr="00890249">
        <w:rPr>
          <w:rFonts w:asciiTheme="minorHAnsi" w:hAnsiTheme="minorHAnsi" w:cstheme="minorHAnsi"/>
          <w:sz w:val="22"/>
          <w:szCs w:val="22"/>
          <w:lang w:eastAsia="en-US" w:bidi="ar-SA"/>
        </w:rPr>
        <w:t xml:space="preserve"> </w:t>
      </w:r>
      <w:r w:rsidR="00AB6B05" w:rsidRPr="00890249">
        <w:rPr>
          <w:rFonts w:asciiTheme="minorHAnsi" w:hAnsiTheme="minorHAnsi" w:cstheme="minorHAnsi"/>
          <w:sz w:val="22"/>
          <w:szCs w:val="22"/>
          <w:lang w:eastAsia="en-US" w:bidi="ar-SA"/>
        </w:rPr>
        <w:t>kontynua</w:t>
      </w:r>
      <w:r w:rsidR="008D4D52" w:rsidRPr="00890249">
        <w:rPr>
          <w:rFonts w:asciiTheme="minorHAnsi" w:hAnsiTheme="minorHAnsi" w:cstheme="minorHAnsi"/>
          <w:sz w:val="22"/>
          <w:szCs w:val="22"/>
          <w:lang w:eastAsia="en-US" w:bidi="ar-SA"/>
        </w:rPr>
        <w:t>cję</w:t>
      </w:r>
      <w:r w:rsidR="00AB6B05" w:rsidRPr="00890249">
        <w:rPr>
          <w:rFonts w:asciiTheme="minorHAnsi" w:hAnsiTheme="minorHAnsi" w:cstheme="minorHAnsi"/>
          <w:sz w:val="22"/>
          <w:szCs w:val="22"/>
          <w:lang w:eastAsia="en-US" w:bidi="ar-SA"/>
        </w:rPr>
        <w:t xml:space="preserve"> projektu realizowanego w ramach FAMI.</w:t>
      </w:r>
    </w:p>
    <w:p w14:paraId="029FF406" w14:textId="19078AA8" w:rsidR="0093433C" w:rsidRPr="00890249" w:rsidRDefault="1C3B84AF"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Zgodnie z badaniem </w:t>
      </w:r>
      <w:r w:rsidR="24790DE2" w:rsidRPr="00890249">
        <w:rPr>
          <w:rFonts w:asciiTheme="minorHAnsi" w:hAnsiTheme="minorHAnsi" w:cstheme="minorHAnsi"/>
          <w:sz w:val="22"/>
          <w:szCs w:val="22"/>
          <w:lang w:eastAsia="en-US" w:bidi="ar-SA"/>
        </w:rPr>
        <w:t xml:space="preserve">pn. </w:t>
      </w:r>
      <w:r w:rsidRPr="00890249">
        <w:rPr>
          <w:rFonts w:asciiTheme="minorHAnsi" w:hAnsiTheme="minorHAnsi" w:cstheme="minorHAnsi"/>
          <w:i/>
          <w:iCs/>
          <w:sz w:val="22"/>
          <w:szCs w:val="22"/>
          <w:lang w:eastAsia="en-US" w:bidi="ar-SA"/>
        </w:rPr>
        <w:t>Skłonność cudzoziemców do podejm</w:t>
      </w:r>
      <w:r w:rsidR="6486D113" w:rsidRPr="00890249">
        <w:rPr>
          <w:rFonts w:asciiTheme="minorHAnsi" w:hAnsiTheme="minorHAnsi" w:cstheme="minorHAnsi"/>
          <w:i/>
          <w:iCs/>
          <w:sz w:val="22"/>
          <w:szCs w:val="22"/>
          <w:lang w:eastAsia="en-US" w:bidi="ar-SA"/>
        </w:rPr>
        <w:t>owania pracy i osiedlania się w </w:t>
      </w:r>
      <w:r w:rsidRPr="00890249">
        <w:rPr>
          <w:rFonts w:asciiTheme="minorHAnsi" w:hAnsiTheme="minorHAnsi" w:cstheme="minorHAnsi"/>
          <w:i/>
          <w:iCs/>
          <w:sz w:val="22"/>
          <w:szCs w:val="22"/>
          <w:lang w:eastAsia="en-US" w:bidi="ar-SA"/>
        </w:rPr>
        <w:t>województwie opolskim</w:t>
      </w:r>
      <w:r w:rsidRPr="00890249">
        <w:rPr>
          <w:rFonts w:asciiTheme="minorHAnsi" w:hAnsiTheme="minorHAnsi" w:cstheme="minorHAnsi"/>
          <w:sz w:val="22"/>
          <w:szCs w:val="22"/>
          <w:lang w:eastAsia="en-US" w:bidi="ar-SA"/>
        </w:rPr>
        <w:t xml:space="preserve"> decyzja o wyborze przez cudzoziemców O</w:t>
      </w:r>
      <w:r w:rsidR="6486D113" w:rsidRPr="00890249">
        <w:rPr>
          <w:rFonts w:asciiTheme="minorHAnsi" w:hAnsiTheme="minorHAnsi" w:cstheme="minorHAnsi"/>
          <w:sz w:val="22"/>
          <w:szCs w:val="22"/>
          <w:lang w:eastAsia="en-US" w:bidi="ar-SA"/>
        </w:rPr>
        <w:t>polszczyzny na miejsce pracy i </w:t>
      </w:r>
      <w:r w:rsidRPr="00890249">
        <w:rPr>
          <w:rFonts w:asciiTheme="minorHAnsi" w:hAnsiTheme="minorHAnsi" w:cstheme="minorHAnsi"/>
          <w:sz w:val="22"/>
          <w:szCs w:val="22"/>
          <w:lang w:eastAsia="en-US" w:bidi="ar-SA"/>
        </w:rPr>
        <w:t>zamieszkania nie jest przypadkowa. Jednym z powodów są zarobki w</w:t>
      </w:r>
      <w:r w:rsidR="332915CA" w:rsidRPr="00890249">
        <w:rPr>
          <w:rFonts w:asciiTheme="minorHAnsi" w:hAnsiTheme="minorHAnsi" w:cstheme="minorHAnsi"/>
          <w:sz w:val="22"/>
          <w:szCs w:val="22"/>
          <w:lang w:eastAsia="en-US" w:bidi="ar-SA"/>
        </w:rPr>
        <w:t>yższe w regionie</w:t>
      </w:r>
      <w:r w:rsidR="63F0D300" w:rsidRPr="00890249">
        <w:rPr>
          <w:rFonts w:asciiTheme="minorHAnsi" w:hAnsiTheme="minorHAnsi" w:cstheme="minorHAnsi"/>
          <w:sz w:val="22"/>
          <w:szCs w:val="22"/>
          <w:lang w:eastAsia="en-US" w:bidi="ar-SA"/>
        </w:rPr>
        <w:t>,</w:t>
      </w:r>
      <w:r w:rsidR="332915CA" w:rsidRPr="00890249">
        <w:rPr>
          <w:rFonts w:asciiTheme="minorHAnsi" w:hAnsiTheme="minorHAnsi" w:cstheme="minorHAnsi"/>
          <w:sz w:val="22"/>
          <w:szCs w:val="22"/>
          <w:lang w:eastAsia="en-US" w:bidi="ar-SA"/>
        </w:rPr>
        <w:t xml:space="preserve"> niż w innych częściach Polski oraz zap</w:t>
      </w:r>
      <w:r w:rsidR="710400B7" w:rsidRPr="00890249">
        <w:rPr>
          <w:rFonts w:asciiTheme="minorHAnsi" w:hAnsiTheme="minorHAnsi" w:cstheme="minorHAnsi"/>
          <w:sz w:val="22"/>
          <w:szCs w:val="22"/>
          <w:lang w:eastAsia="en-US" w:bidi="ar-SA"/>
        </w:rPr>
        <w:t>otrzebowanie na pracowników zgła</w:t>
      </w:r>
      <w:r w:rsidR="332915CA" w:rsidRPr="00890249">
        <w:rPr>
          <w:rFonts w:asciiTheme="minorHAnsi" w:hAnsiTheme="minorHAnsi" w:cstheme="minorHAnsi"/>
          <w:sz w:val="22"/>
          <w:szCs w:val="22"/>
          <w:lang w:eastAsia="en-US" w:bidi="ar-SA"/>
        </w:rPr>
        <w:t>sz</w:t>
      </w:r>
      <w:r w:rsidR="78B9992E" w:rsidRPr="00890249">
        <w:rPr>
          <w:rFonts w:asciiTheme="minorHAnsi" w:hAnsiTheme="minorHAnsi" w:cstheme="minorHAnsi"/>
          <w:sz w:val="22"/>
          <w:szCs w:val="22"/>
          <w:lang w:eastAsia="en-US" w:bidi="ar-SA"/>
        </w:rPr>
        <w:t>a</w:t>
      </w:r>
      <w:r w:rsidR="332915CA" w:rsidRPr="00890249">
        <w:rPr>
          <w:rFonts w:asciiTheme="minorHAnsi" w:hAnsiTheme="minorHAnsi" w:cstheme="minorHAnsi"/>
          <w:sz w:val="22"/>
          <w:szCs w:val="22"/>
          <w:lang w:eastAsia="en-US" w:bidi="ar-SA"/>
        </w:rPr>
        <w:t>ne przez opolskie firmy. W przypadku studentów jednym</w:t>
      </w:r>
      <w:r w:rsidR="63F0D300" w:rsidRPr="00890249">
        <w:rPr>
          <w:rFonts w:asciiTheme="minorHAnsi" w:hAnsiTheme="minorHAnsi" w:cstheme="minorHAnsi"/>
          <w:sz w:val="22"/>
          <w:szCs w:val="22"/>
          <w:lang w:eastAsia="en-US" w:bidi="ar-SA"/>
        </w:rPr>
        <w:t xml:space="preserve"> z powodu</w:t>
      </w:r>
      <w:r w:rsidR="332915CA" w:rsidRPr="00890249">
        <w:rPr>
          <w:rFonts w:asciiTheme="minorHAnsi" w:hAnsiTheme="minorHAnsi" w:cstheme="minorHAnsi"/>
          <w:sz w:val="22"/>
          <w:szCs w:val="22"/>
          <w:lang w:eastAsia="en-US" w:bidi="ar-SA"/>
        </w:rPr>
        <w:t xml:space="preserve"> podjęcia nauki w regionie są atrakcyjne warunki zaoferowane przez uczelnie</w:t>
      </w:r>
      <w:r w:rsidR="135D9075" w:rsidRPr="00890249">
        <w:rPr>
          <w:rFonts w:asciiTheme="minorHAnsi" w:hAnsiTheme="minorHAnsi" w:cstheme="minorHAnsi"/>
          <w:sz w:val="22"/>
          <w:szCs w:val="22"/>
          <w:lang w:eastAsia="en-US" w:bidi="ar-SA"/>
        </w:rPr>
        <w:t>. Jednocześnie większość respondentów badania dek</w:t>
      </w:r>
      <w:r w:rsidR="6486D113" w:rsidRPr="00890249">
        <w:rPr>
          <w:rFonts w:asciiTheme="minorHAnsi" w:hAnsiTheme="minorHAnsi" w:cstheme="minorHAnsi"/>
          <w:sz w:val="22"/>
          <w:szCs w:val="22"/>
          <w:lang w:eastAsia="en-US" w:bidi="ar-SA"/>
        </w:rPr>
        <w:t>laruje chęć kontynuacji pracy w </w:t>
      </w:r>
      <w:r w:rsidR="135D9075" w:rsidRPr="00890249">
        <w:rPr>
          <w:rFonts w:asciiTheme="minorHAnsi" w:hAnsiTheme="minorHAnsi" w:cstheme="minorHAnsi"/>
          <w:sz w:val="22"/>
          <w:szCs w:val="22"/>
          <w:lang w:eastAsia="en-US" w:bidi="ar-SA"/>
        </w:rPr>
        <w:t xml:space="preserve">województwie, a nawet osiedlenia się w Opolskiem. Niemniej należy brać pod uwagę, że wskazania dotyczące zamieszkania w </w:t>
      </w:r>
      <w:r w:rsidR="63F0D300" w:rsidRPr="00890249">
        <w:rPr>
          <w:rFonts w:asciiTheme="minorHAnsi" w:hAnsiTheme="minorHAnsi" w:cstheme="minorHAnsi"/>
          <w:sz w:val="22"/>
          <w:szCs w:val="22"/>
          <w:lang w:eastAsia="en-US" w:bidi="ar-SA"/>
        </w:rPr>
        <w:t>woj.</w:t>
      </w:r>
      <w:r w:rsidR="135D9075" w:rsidRPr="00890249">
        <w:rPr>
          <w:rFonts w:asciiTheme="minorHAnsi" w:hAnsiTheme="minorHAnsi" w:cstheme="minorHAnsi"/>
          <w:sz w:val="22"/>
          <w:szCs w:val="22"/>
          <w:lang w:eastAsia="en-US" w:bidi="ar-SA"/>
        </w:rPr>
        <w:t xml:space="preserve"> opolskim dotyczą w większej mierze rynku pierwotnego</w:t>
      </w:r>
      <w:r w:rsidR="00307AEE" w:rsidRPr="00890249">
        <w:rPr>
          <w:rStyle w:val="Odwoanieprzypisudolnego"/>
          <w:rFonts w:asciiTheme="minorHAnsi" w:hAnsiTheme="minorHAnsi" w:cstheme="minorHAnsi"/>
          <w:sz w:val="22"/>
          <w:szCs w:val="22"/>
          <w:lang w:eastAsia="en-US" w:bidi="ar-SA"/>
        </w:rPr>
        <w:footnoteReference w:id="190"/>
      </w:r>
      <w:r w:rsidR="135D9075" w:rsidRPr="00890249">
        <w:rPr>
          <w:rFonts w:asciiTheme="minorHAnsi" w:hAnsiTheme="minorHAnsi" w:cstheme="minorHAnsi"/>
          <w:sz w:val="22"/>
          <w:szCs w:val="22"/>
          <w:lang w:eastAsia="en-US" w:bidi="ar-SA"/>
        </w:rPr>
        <w:t>.</w:t>
      </w:r>
      <w:r w:rsidR="24790DE2" w:rsidRPr="00890249">
        <w:rPr>
          <w:rFonts w:asciiTheme="minorHAnsi" w:hAnsiTheme="minorHAnsi" w:cstheme="minorHAnsi"/>
          <w:sz w:val="22"/>
          <w:szCs w:val="22"/>
          <w:lang w:eastAsia="en-US" w:bidi="ar-SA"/>
        </w:rPr>
        <w:t xml:space="preserve"> Mając na uwadze powyższe, w obliczu </w:t>
      </w:r>
      <w:r w:rsidR="1212C971" w:rsidRPr="00890249">
        <w:rPr>
          <w:rFonts w:asciiTheme="minorHAnsi" w:eastAsiaTheme="minorEastAsia" w:hAnsiTheme="minorHAnsi" w:cstheme="minorHAnsi"/>
          <w:sz w:val="22"/>
          <w:szCs w:val="22"/>
          <w:lang w:eastAsia="en-US" w:bidi="ar-SA"/>
        </w:rPr>
        <w:t>problem</w:t>
      </w:r>
      <w:r w:rsidR="24790DE2" w:rsidRPr="00890249">
        <w:rPr>
          <w:rFonts w:asciiTheme="minorHAnsi" w:eastAsiaTheme="minorEastAsia" w:hAnsiTheme="minorHAnsi" w:cstheme="minorHAnsi"/>
          <w:sz w:val="22"/>
          <w:szCs w:val="22"/>
          <w:lang w:eastAsia="en-US" w:bidi="ar-SA"/>
        </w:rPr>
        <w:t>ów</w:t>
      </w:r>
      <w:r w:rsidR="1212C971" w:rsidRPr="00890249">
        <w:rPr>
          <w:rFonts w:asciiTheme="minorHAnsi" w:eastAsiaTheme="minorEastAsia" w:hAnsiTheme="minorHAnsi" w:cstheme="minorHAnsi"/>
          <w:sz w:val="22"/>
          <w:szCs w:val="22"/>
          <w:lang w:eastAsia="en-US" w:bidi="ar-SA"/>
        </w:rPr>
        <w:t xml:space="preserve"> demograficzn</w:t>
      </w:r>
      <w:r w:rsidR="24790DE2" w:rsidRPr="00890249">
        <w:rPr>
          <w:rFonts w:asciiTheme="minorHAnsi" w:eastAsiaTheme="minorEastAsia" w:hAnsiTheme="minorHAnsi" w:cstheme="minorHAnsi"/>
          <w:sz w:val="22"/>
          <w:szCs w:val="22"/>
          <w:lang w:eastAsia="en-US" w:bidi="ar-SA"/>
        </w:rPr>
        <w:t>ych i kurczących się zasobów rynku pracy Opolszczyzny niezbędne wydaje się wykorzystanie pozytywn</w:t>
      </w:r>
      <w:r w:rsidR="6486D113" w:rsidRPr="00890249">
        <w:rPr>
          <w:rFonts w:asciiTheme="minorHAnsi" w:eastAsiaTheme="minorEastAsia" w:hAnsiTheme="minorHAnsi" w:cstheme="minorHAnsi"/>
          <w:sz w:val="22"/>
          <w:szCs w:val="22"/>
          <w:lang w:eastAsia="en-US" w:bidi="ar-SA"/>
        </w:rPr>
        <w:t>ego nastawienia cudzoziemców (w </w:t>
      </w:r>
      <w:r w:rsidR="24790DE2" w:rsidRPr="00890249">
        <w:rPr>
          <w:rFonts w:asciiTheme="minorHAnsi" w:eastAsiaTheme="minorEastAsia" w:hAnsiTheme="minorHAnsi" w:cstheme="minorHAnsi"/>
          <w:sz w:val="22"/>
          <w:szCs w:val="22"/>
          <w:lang w:eastAsia="en-US" w:bidi="ar-SA"/>
        </w:rPr>
        <w:t>tym studentów) do osiedlenia się i podjęcia pracy w naszym regionie</w:t>
      </w:r>
      <w:r w:rsidR="1212C971" w:rsidRPr="00890249">
        <w:rPr>
          <w:rFonts w:asciiTheme="minorHAnsi" w:eastAsiaTheme="minorEastAsia" w:hAnsiTheme="minorHAnsi" w:cstheme="minorHAnsi"/>
          <w:sz w:val="22"/>
          <w:szCs w:val="22"/>
          <w:lang w:eastAsia="en-US" w:bidi="ar-SA"/>
        </w:rPr>
        <w:t xml:space="preserve">. Ważny w tym kontekście jest fakt, że </w:t>
      </w:r>
      <w:r w:rsidR="1212C971" w:rsidRPr="00890249">
        <w:rPr>
          <w:rFonts w:asciiTheme="minorHAnsi" w:hAnsiTheme="minorHAnsi" w:cstheme="minorHAnsi"/>
          <w:sz w:val="22"/>
          <w:szCs w:val="22"/>
          <w:lang w:eastAsia="en-US" w:bidi="ar-SA"/>
        </w:rPr>
        <w:t xml:space="preserve">30% imigrantów w </w:t>
      </w:r>
      <w:r w:rsidR="63F0D300" w:rsidRPr="00890249">
        <w:rPr>
          <w:rFonts w:asciiTheme="minorHAnsi" w:hAnsiTheme="minorHAnsi" w:cstheme="minorHAnsi"/>
          <w:sz w:val="22"/>
          <w:szCs w:val="22"/>
          <w:lang w:eastAsia="en-US" w:bidi="ar-SA"/>
        </w:rPr>
        <w:t>woj.</w:t>
      </w:r>
      <w:r w:rsidR="1212C971" w:rsidRPr="00890249">
        <w:rPr>
          <w:rFonts w:asciiTheme="minorHAnsi" w:hAnsiTheme="minorHAnsi" w:cstheme="minorHAnsi"/>
          <w:sz w:val="22"/>
          <w:szCs w:val="22"/>
          <w:lang w:eastAsia="en-US" w:bidi="ar-SA"/>
        </w:rPr>
        <w:t xml:space="preserve"> opolskim </w:t>
      </w:r>
      <w:r w:rsidR="1212C971" w:rsidRPr="00890249">
        <w:rPr>
          <w:rFonts w:asciiTheme="minorHAnsi" w:eastAsiaTheme="minorEastAsia" w:hAnsiTheme="minorHAnsi" w:cstheme="minorHAnsi"/>
          <w:color w:val="000000"/>
          <w:sz w:val="22"/>
          <w:szCs w:val="22"/>
          <w:lang w:eastAsia="en-US" w:bidi="ar-SA"/>
        </w:rPr>
        <w:t>stanowią osoby młode, w wieku 25-34 lat oraz, iż blisko 1/3 zagranicznych studentów chciałoby się osiedlić w Opolskiem pod warunkiem uzyskania atrakcyjnego zatrudnienia. Jednocześnie jako największy problem utrudniający znalezienie pracy wskazywana jest bariera językowa</w:t>
      </w:r>
      <w:r w:rsidR="001820D1" w:rsidRPr="00890249">
        <w:rPr>
          <w:rFonts w:asciiTheme="minorHAnsi" w:eastAsiaTheme="minorEastAsia" w:hAnsiTheme="minorHAnsi" w:cstheme="minorHAnsi"/>
          <w:color w:val="000000"/>
          <w:sz w:val="22"/>
          <w:szCs w:val="22"/>
          <w:vertAlign w:val="superscript"/>
          <w:lang w:eastAsia="en-US" w:bidi="ar-SA"/>
        </w:rPr>
        <w:footnoteReference w:id="191"/>
      </w:r>
      <w:r w:rsidR="1212C971" w:rsidRPr="00890249">
        <w:rPr>
          <w:rFonts w:asciiTheme="minorHAnsi" w:eastAsiaTheme="minorEastAsia" w:hAnsiTheme="minorHAnsi" w:cstheme="minorHAnsi"/>
          <w:color w:val="000000"/>
          <w:sz w:val="22"/>
          <w:szCs w:val="22"/>
          <w:lang w:eastAsia="en-US" w:bidi="ar-SA"/>
        </w:rPr>
        <w:t xml:space="preserve">. Słabością społeczności obcokrajowców jest również ich </w:t>
      </w:r>
      <w:r w:rsidR="1212C971" w:rsidRPr="00890249">
        <w:rPr>
          <w:rFonts w:asciiTheme="minorHAnsi" w:hAnsiTheme="minorHAnsi" w:cstheme="minorHAnsi"/>
          <w:sz w:val="22"/>
          <w:szCs w:val="22"/>
          <w:lang w:eastAsia="en-US" w:bidi="ar-SA"/>
        </w:rPr>
        <w:t xml:space="preserve">słabe zorganizowanie - </w:t>
      </w:r>
      <w:r w:rsidR="1212C971" w:rsidRPr="00890249">
        <w:rPr>
          <w:rFonts w:asciiTheme="minorHAnsi" w:hAnsiTheme="minorHAnsi" w:cstheme="minorHAnsi"/>
          <w:sz w:val="22"/>
          <w:szCs w:val="22"/>
          <w:lang w:eastAsia="en-US" w:bidi="ar-SA"/>
        </w:rPr>
        <w:lastRenderedPageBreak/>
        <w:t>przedstawiciele innych narodowości nie zrzeszają się w organizacjach mogących artykułować ich potrzeby i reprezentować ich interesy.</w:t>
      </w:r>
      <w:r w:rsidR="077FEF7B" w:rsidRPr="00890249">
        <w:rPr>
          <w:rFonts w:asciiTheme="minorHAnsi" w:hAnsiTheme="minorHAnsi" w:cstheme="minorHAnsi"/>
          <w:sz w:val="22"/>
          <w:szCs w:val="22"/>
          <w:lang w:eastAsia="en-US" w:bidi="ar-SA"/>
        </w:rPr>
        <w:t xml:space="preserve"> </w:t>
      </w:r>
    </w:p>
    <w:p w14:paraId="25EBEEB1" w14:textId="77777777" w:rsidR="0093433C" w:rsidRPr="00890249" w:rsidRDefault="24790DE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Ponadto problemy związane z uzyskaniem pracy i pozwolenia na pobyt nasiliły się w obliczu pandemii COVID-19. W tym kontekście należy zwrócić uwagę na jeszcze </w:t>
      </w:r>
      <w:r w:rsidR="4AA540BB" w:rsidRPr="00890249">
        <w:rPr>
          <w:rFonts w:asciiTheme="minorHAnsi" w:hAnsiTheme="minorHAnsi" w:cstheme="minorHAnsi"/>
          <w:sz w:val="22"/>
          <w:szCs w:val="22"/>
          <w:lang w:eastAsia="en-US" w:bidi="ar-SA"/>
        </w:rPr>
        <w:t xml:space="preserve">bardziej </w:t>
      </w:r>
      <w:r w:rsidRPr="00890249">
        <w:rPr>
          <w:rFonts w:asciiTheme="minorHAnsi" w:hAnsiTheme="minorHAnsi" w:cstheme="minorHAnsi"/>
          <w:sz w:val="22"/>
          <w:szCs w:val="22"/>
          <w:lang w:eastAsia="en-US" w:bidi="ar-SA"/>
        </w:rPr>
        <w:t>przedłużające się procedury wydawania zezwoleń oraz podejście pracodawców, którzy w obliczu zbliżając</w:t>
      </w:r>
      <w:r w:rsidR="6486D113" w:rsidRPr="00890249">
        <w:rPr>
          <w:rFonts w:asciiTheme="minorHAnsi" w:hAnsiTheme="minorHAnsi" w:cstheme="minorHAnsi"/>
          <w:sz w:val="22"/>
          <w:szCs w:val="22"/>
          <w:lang w:eastAsia="en-US" w:bidi="ar-SA"/>
        </w:rPr>
        <w:t>ej się recesji mogą ingerować w </w:t>
      </w:r>
      <w:r w:rsidRPr="00890249">
        <w:rPr>
          <w:rFonts w:asciiTheme="minorHAnsi" w:hAnsiTheme="minorHAnsi" w:cstheme="minorHAnsi"/>
          <w:sz w:val="22"/>
          <w:szCs w:val="22"/>
          <w:lang w:eastAsia="en-US" w:bidi="ar-SA"/>
        </w:rPr>
        <w:t xml:space="preserve">wysokość wynagrodzenia za pracę, </w:t>
      </w:r>
      <w:r w:rsidR="4AA540BB" w:rsidRPr="00890249">
        <w:rPr>
          <w:rFonts w:asciiTheme="minorHAnsi" w:hAnsiTheme="minorHAnsi" w:cstheme="minorHAnsi"/>
          <w:sz w:val="22"/>
          <w:szCs w:val="22"/>
          <w:lang w:eastAsia="en-US" w:bidi="ar-SA"/>
        </w:rPr>
        <w:t xml:space="preserve">czy też </w:t>
      </w:r>
      <w:r w:rsidRPr="00890249">
        <w:rPr>
          <w:rFonts w:asciiTheme="minorHAnsi" w:hAnsiTheme="minorHAnsi" w:cstheme="minorHAnsi"/>
          <w:sz w:val="22"/>
          <w:szCs w:val="22"/>
          <w:lang w:eastAsia="en-US" w:bidi="ar-SA"/>
        </w:rPr>
        <w:t xml:space="preserve">wprowadzać rozwiązania niekorzystne dla pracowników imigrantów. Ponadto imigranci są zatrudnieni często na mniej trwałych umowach (umowach zlecenia lub umowach o pracę na czas oznaczony), które </w:t>
      </w:r>
      <w:r w:rsidR="41812178" w:rsidRPr="00890249">
        <w:rPr>
          <w:rFonts w:asciiTheme="minorHAnsi" w:hAnsiTheme="minorHAnsi" w:cstheme="minorHAnsi"/>
          <w:sz w:val="22"/>
          <w:szCs w:val="22"/>
          <w:lang w:eastAsia="en-US" w:bidi="ar-SA"/>
        </w:rPr>
        <w:t>łatwiej jest rozwiązać. Wielu z </w:t>
      </w:r>
      <w:r w:rsidRPr="00890249">
        <w:rPr>
          <w:rFonts w:asciiTheme="minorHAnsi" w:hAnsiTheme="minorHAnsi" w:cstheme="minorHAnsi"/>
          <w:sz w:val="22"/>
          <w:szCs w:val="22"/>
          <w:lang w:eastAsia="en-US" w:bidi="ar-SA"/>
        </w:rPr>
        <w:t>nich pracuje t</w:t>
      </w:r>
      <w:r w:rsidR="716186C0" w:rsidRPr="00890249">
        <w:rPr>
          <w:rFonts w:asciiTheme="minorHAnsi" w:hAnsiTheme="minorHAnsi" w:cstheme="minorHAnsi"/>
          <w:sz w:val="22"/>
          <w:szCs w:val="22"/>
          <w:lang w:eastAsia="en-US" w:bidi="ar-SA"/>
        </w:rPr>
        <w:t>akże nadal w szarej strefie</w:t>
      </w:r>
      <w:r w:rsidR="007D5605" w:rsidRPr="00890249">
        <w:rPr>
          <w:rStyle w:val="Odwoanieprzypisudolnego"/>
          <w:rFonts w:asciiTheme="minorHAnsi" w:hAnsiTheme="minorHAnsi" w:cstheme="minorHAnsi"/>
          <w:sz w:val="22"/>
          <w:szCs w:val="22"/>
          <w:lang w:eastAsia="en-US" w:bidi="ar-SA"/>
        </w:rPr>
        <w:footnoteReference w:id="192"/>
      </w:r>
      <w:r w:rsidRPr="00890249">
        <w:rPr>
          <w:rFonts w:asciiTheme="minorHAnsi" w:hAnsiTheme="minorHAnsi" w:cstheme="minorHAnsi"/>
          <w:sz w:val="22"/>
          <w:szCs w:val="22"/>
          <w:lang w:eastAsia="en-US" w:bidi="ar-SA"/>
        </w:rPr>
        <w:t>.</w:t>
      </w:r>
    </w:p>
    <w:p w14:paraId="54103D3A" w14:textId="493E044A" w:rsidR="0093433C" w:rsidRPr="00890249" w:rsidRDefault="716186C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Zdając sobie sprawę, że bez pracowników z zagranicy</w:t>
      </w:r>
      <w:r w:rsidR="4AA540BB"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także po tzw. odmrożeniu gospodarki</w:t>
      </w:r>
      <w:r w:rsidR="4AA540BB"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polski rynek pracy nie ma szans funkcjonować sprawnie i szybko pokonać nadchodzący kryzys oraz mając na uwadze uwarunkowania demograficzne Opolszczyzny</w:t>
      </w:r>
      <w:r w:rsidR="3B2F833B"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należy </w:t>
      </w:r>
      <w:r w:rsidR="4AA540BB" w:rsidRPr="00890249">
        <w:rPr>
          <w:rFonts w:asciiTheme="minorHAnsi" w:hAnsiTheme="minorHAnsi" w:cstheme="minorHAnsi"/>
          <w:sz w:val="22"/>
          <w:szCs w:val="22"/>
          <w:lang w:eastAsia="en-US" w:bidi="ar-SA"/>
        </w:rPr>
        <w:t xml:space="preserve">jak najbardziej </w:t>
      </w:r>
      <w:r w:rsidRPr="00890249">
        <w:rPr>
          <w:rFonts w:asciiTheme="minorHAnsi" w:hAnsiTheme="minorHAnsi" w:cstheme="minorHAnsi"/>
          <w:sz w:val="22"/>
          <w:szCs w:val="22"/>
          <w:lang w:eastAsia="en-US" w:bidi="ar-SA"/>
        </w:rPr>
        <w:t>wspierać obywateli państw trzecich poprzez działania na rzecz ich</w:t>
      </w:r>
      <w:r w:rsidR="1212C971" w:rsidRPr="00890249">
        <w:rPr>
          <w:rFonts w:asciiTheme="minorHAnsi" w:hAnsiTheme="minorHAnsi" w:cstheme="minorHAnsi"/>
          <w:sz w:val="22"/>
          <w:szCs w:val="22"/>
          <w:lang w:eastAsia="en-US" w:bidi="ar-SA"/>
        </w:rPr>
        <w:t xml:space="preserve"> adaptacj</w:t>
      </w:r>
      <w:r w:rsidRPr="00890249">
        <w:rPr>
          <w:rFonts w:asciiTheme="minorHAnsi" w:hAnsiTheme="minorHAnsi" w:cstheme="minorHAnsi"/>
          <w:sz w:val="22"/>
          <w:szCs w:val="22"/>
          <w:lang w:eastAsia="en-US" w:bidi="ar-SA"/>
        </w:rPr>
        <w:t>i</w:t>
      </w:r>
      <w:r w:rsidR="1212C971" w:rsidRPr="00890249">
        <w:rPr>
          <w:rFonts w:asciiTheme="minorHAnsi" w:hAnsiTheme="minorHAnsi" w:cstheme="minorHAnsi"/>
          <w:sz w:val="22"/>
          <w:szCs w:val="22"/>
          <w:lang w:eastAsia="en-US" w:bidi="ar-SA"/>
        </w:rPr>
        <w:t xml:space="preserve"> w społeczeństwie, popraw</w:t>
      </w:r>
      <w:r w:rsidRPr="00890249">
        <w:rPr>
          <w:rFonts w:asciiTheme="minorHAnsi" w:hAnsiTheme="minorHAnsi" w:cstheme="minorHAnsi"/>
          <w:sz w:val="22"/>
          <w:szCs w:val="22"/>
          <w:lang w:eastAsia="en-US" w:bidi="ar-SA"/>
        </w:rPr>
        <w:t>y</w:t>
      </w:r>
      <w:r w:rsidR="1212C971" w:rsidRPr="00890249">
        <w:rPr>
          <w:rFonts w:asciiTheme="minorHAnsi" w:hAnsiTheme="minorHAnsi" w:cstheme="minorHAnsi"/>
          <w:sz w:val="22"/>
          <w:szCs w:val="22"/>
          <w:lang w:eastAsia="en-US" w:bidi="ar-SA"/>
        </w:rPr>
        <w:t xml:space="preserve"> warunków bytowych, aktywizacj</w:t>
      </w:r>
      <w:r w:rsidRPr="00890249">
        <w:rPr>
          <w:rFonts w:asciiTheme="minorHAnsi" w:hAnsiTheme="minorHAnsi" w:cstheme="minorHAnsi"/>
          <w:sz w:val="22"/>
          <w:szCs w:val="22"/>
          <w:lang w:eastAsia="en-US" w:bidi="ar-SA"/>
        </w:rPr>
        <w:t xml:space="preserve">i </w:t>
      </w:r>
      <w:r w:rsidR="1212C971" w:rsidRPr="00890249">
        <w:rPr>
          <w:rFonts w:asciiTheme="minorHAnsi" w:hAnsiTheme="minorHAnsi" w:cstheme="minorHAnsi"/>
          <w:sz w:val="22"/>
          <w:szCs w:val="22"/>
          <w:lang w:eastAsia="en-US" w:bidi="ar-SA"/>
        </w:rPr>
        <w:t>zawodow</w:t>
      </w:r>
      <w:r w:rsidRPr="00890249">
        <w:rPr>
          <w:rFonts w:asciiTheme="minorHAnsi" w:hAnsiTheme="minorHAnsi" w:cstheme="minorHAnsi"/>
          <w:sz w:val="22"/>
          <w:szCs w:val="22"/>
          <w:lang w:eastAsia="en-US" w:bidi="ar-SA"/>
        </w:rPr>
        <w:t>ej</w:t>
      </w:r>
      <w:r w:rsidR="1212C971" w:rsidRPr="00890249">
        <w:rPr>
          <w:rFonts w:asciiTheme="minorHAnsi" w:hAnsiTheme="minorHAnsi" w:cstheme="minorHAnsi"/>
          <w:sz w:val="22"/>
          <w:szCs w:val="22"/>
          <w:lang w:eastAsia="en-US" w:bidi="ar-SA"/>
        </w:rPr>
        <w:t xml:space="preserve">, a także </w:t>
      </w:r>
      <w:r w:rsidR="1212C971" w:rsidRPr="00890249">
        <w:rPr>
          <w:rFonts w:asciiTheme="minorHAnsi" w:eastAsiaTheme="minorEastAsia" w:hAnsiTheme="minorHAnsi" w:cstheme="minorHAnsi"/>
          <w:color w:val="000000"/>
          <w:sz w:val="22"/>
          <w:szCs w:val="22"/>
          <w:lang w:eastAsia="en-US" w:bidi="ar-SA"/>
        </w:rPr>
        <w:t>sprzyjające ich rozwojowi społeczno-kulturowemu</w:t>
      </w:r>
      <w:r w:rsidR="1212C971" w:rsidRPr="00890249">
        <w:rPr>
          <w:rFonts w:asciiTheme="minorHAnsi" w:hAnsiTheme="minorHAnsi" w:cstheme="minorHAnsi"/>
          <w:sz w:val="22"/>
          <w:szCs w:val="22"/>
          <w:lang w:eastAsia="en-US" w:bidi="ar-SA"/>
        </w:rPr>
        <w:t xml:space="preserve">. </w:t>
      </w:r>
      <w:r w:rsidR="7F98285E" w:rsidRPr="00890249">
        <w:rPr>
          <w:rFonts w:asciiTheme="minorHAnsi" w:hAnsiTheme="minorHAnsi" w:cstheme="minorHAnsi"/>
          <w:sz w:val="22"/>
          <w:szCs w:val="22"/>
          <w:lang w:eastAsia="en-US" w:bidi="ar-SA"/>
        </w:rPr>
        <w:t xml:space="preserve">Wsparcie realizowane będzie zgodne z założeniami </w:t>
      </w:r>
      <w:r w:rsidR="79AF501C" w:rsidRPr="00890249">
        <w:rPr>
          <w:rFonts w:asciiTheme="minorHAnsi" w:hAnsiTheme="minorHAnsi" w:cstheme="minorHAnsi"/>
          <w:i/>
          <w:iCs/>
          <w:sz w:val="22"/>
          <w:szCs w:val="22"/>
          <w:lang w:eastAsia="en-US" w:bidi="ar-SA"/>
        </w:rPr>
        <w:t>Planu działania UE na rzecz integracji i włączenia na lata 2021-2027</w:t>
      </w:r>
      <w:r w:rsidR="00390D74" w:rsidRPr="00890249">
        <w:rPr>
          <w:rStyle w:val="Odwoanieprzypisudolnego"/>
          <w:rFonts w:asciiTheme="minorHAnsi" w:hAnsiTheme="minorHAnsi" w:cstheme="minorHAnsi"/>
          <w:i/>
          <w:iCs/>
          <w:sz w:val="22"/>
          <w:szCs w:val="22"/>
          <w:lang w:eastAsia="en-US" w:bidi="ar-SA"/>
        </w:rPr>
        <w:footnoteReference w:id="193"/>
      </w:r>
      <w:r w:rsidR="7F98285E" w:rsidRPr="00890249">
        <w:rPr>
          <w:rFonts w:asciiTheme="minorHAnsi" w:hAnsiTheme="minorHAnsi" w:cstheme="minorHAnsi"/>
          <w:sz w:val="22"/>
          <w:szCs w:val="22"/>
          <w:lang w:eastAsia="en-US" w:bidi="ar-SA"/>
        </w:rPr>
        <w:t xml:space="preserve"> oraz z dokumentem pn. </w:t>
      </w:r>
      <w:r w:rsidR="0074351B" w:rsidRPr="00890249">
        <w:rPr>
          <w:rFonts w:asciiTheme="minorHAnsi" w:hAnsiTheme="minorHAnsi" w:cstheme="minorHAnsi"/>
          <w:i/>
          <w:iCs/>
          <w:sz w:val="22"/>
          <w:szCs w:val="22"/>
          <w:lang w:eastAsia="en-US" w:bidi="ar-SA"/>
        </w:rPr>
        <w:t>Krajowy Program Przeciwdziałania Ubóstw</w:t>
      </w:r>
      <w:r w:rsidR="008C67B3">
        <w:rPr>
          <w:rFonts w:asciiTheme="minorHAnsi" w:hAnsiTheme="minorHAnsi" w:cstheme="minorHAnsi"/>
          <w:i/>
          <w:iCs/>
          <w:sz w:val="22"/>
          <w:szCs w:val="22"/>
          <w:lang w:eastAsia="en-US" w:bidi="ar-SA"/>
        </w:rPr>
        <w:t>u i </w:t>
      </w:r>
      <w:r w:rsidR="0074351B" w:rsidRPr="00890249">
        <w:rPr>
          <w:rFonts w:asciiTheme="minorHAnsi" w:hAnsiTheme="minorHAnsi" w:cstheme="minorHAnsi"/>
          <w:i/>
          <w:iCs/>
          <w:sz w:val="22"/>
          <w:szCs w:val="22"/>
          <w:lang w:eastAsia="en-US" w:bidi="ar-SA"/>
        </w:rPr>
        <w:t>Wykluczeniu Społecznemu. Aktualizacja 2021-2027, polityka publiczna z perspektywą do roku 2030</w:t>
      </w:r>
      <w:r w:rsidR="78B9992E" w:rsidRPr="00890249">
        <w:rPr>
          <w:rFonts w:asciiTheme="minorHAnsi" w:hAnsiTheme="minorHAnsi" w:cstheme="minorHAnsi"/>
          <w:i/>
          <w:iCs/>
          <w:sz w:val="22"/>
          <w:szCs w:val="22"/>
          <w:lang w:eastAsia="en-US" w:bidi="ar-SA"/>
        </w:rPr>
        <w:t xml:space="preserve"> </w:t>
      </w:r>
      <w:r w:rsidR="79AF501C" w:rsidRPr="00890249">
        <w:rPr>
          <w:rFonts w:asciiTheme="minorHAnsi" w:hAnsiTheme="minorHAnsi" w:cstheme="minorHAnsi"/>
          <w:sz w:val="22"/>
          <w:szCs w:val="22"/>
          <w:lang w:eastAsia="en-US" w:bidi="ar-SA"/>
        </w:rPr>
        <w:t>(</w:t>
      </w:r>
      <w:r w:rsidR="0074351B" w:rsidRPr="00890249">
        <w:rPr>
          <w:rFonts w:asciiTheme="minorHAnsi" w:hAnsiTheme="minorHAnsi" w:cstheme="minorHAnsi"/>
          <w:sz w:val="22"/>
          <w:szCs w:val="22"/>
          <w:lang w:eastAsia="en-US" w:bidi="ar-SA"/>
        </w:rPr>
        <w:t>Priorytet V Integracja cudzoziemców – rozwój usług społecznych dla migrantów oraz wsparcie integracji na rynku pracy)</w:t>
      </w:r>
      <w:r w:rsidR="7F98285E" w:rsidRPr="00890249">
        <w:rPr>
          <w:rFonts w:asciiTheme="minorHAnsi" w:hAnsiTheme="minorHAnsi" w:cstheme="minorHAnsi"/>
          <w:sz w:val="22"/>
          <w:szCs w:val="22"/>
          <w:lang w:eastAsia="en-US" w:bidi="ar-SA"/>
        </w:rPr>
        <w:t>.</w:t>
      </w:r>
      <w:r w:rsidR="39B9D32C" w:rsidRPr="00890249">
        <w:rPr>
          <w:rFonts w:asciiTheme="minorHAnsi" w:hAnsiTheme="minorHAnsi" w:cstheme="minorHAnsi"/>
          <w:sz w:val="22"/>
          <w:szCs w:val="22"/>
          <w:lang w:eastAsia="en-US" w:bidi="ar-SA"/>
        </w:rPr>
        <w:t xml:space="preserve"> Zaprogramowane wsparcie realizowane będzie z uwzględnieniem indywidualnej ścieżki integracji. W zależności od potrzeb osoby obejmowanej wsparciem, działania oscylować będą wokół wsparcia na rynku pracy, włączenia społecznego czy edukacji. </w:t>
      </w:r>
      <w:r w:rsidR="4E9FCDC5" w:rsidRPr="00890249">
        <w:rPr>
          <w:rFonts w:asciiTheme="minorHAnsi" w:hAnsiTheme="minorHAnsi" w:cstheme="minorHAnsi"/>
          <w:sz w:val="22"/>
          <w:szCs w:val="22"/>
          <w:lang w:eastAsia="en-US" w:bidi="ar-SA"/>
        </w:rPr>
        <w:t xml:space="preserve"> </w:t>
      </w:r>
      <w:r w:rsidR="4405668D" w:rsidRPr="00890249">
        <w:rPr>
          <w:rFonts w:asciiTheme="minorHAnsi" w:hAnsiTheme="minorHAnsi" w:cstheme="minorHAnsi"/>
          <w:sz w:val="22"/>
          <w:szCs w:val="22"/>
          <w:lang w:eastAsia="en-US" w:bidi="ar-SA"/>
        </w:rPr>
        <w:t>W odniesieniu do tego ostatniego aspektu działania będą dotyczyć m.in. zatrudnienia asystentów edukacji, przygotowania nauczycieli i  dostosowania środowiska szkoły do pracy z dziećmi z rodzin migranckich</w:t>
      </w:r>
      <w:r w:rsidR="000D612B" w:rsidRPr="00890249">
        <w:rPr>
          <w:rStyle w:val="Odwoanieprzypisudolnego"/>
          <w:rFonts w:asciiTheme="minorHAnsi" w:hAnsiTheme="minorHAnsi" w:cstheme="minorHAnsi"/>
          <w:sz w:val="22"/>
          <w:szCs w:val="22"/>
          <w:lang w:eastAsia="en-US" w:bidi="ar-SA"/>
        </w:rPr>
        <w:footnoteReference w:id="194"/>
      </w:r>
      <w:r w:rsidR="4405668D" w:rsidRPr="00890249">
        <w:rPr>
          <w:rFonts w:asciiTheme="minorHAnsi" w:hAnsiTheme="minorHAnsi" w:cstheme="minorHAnsi"/>
          <w:sz w:val="22"/>
          <w:szCs w:val="22"/>
          <w:lang w:eastAsia="en-US" w:bidi="ar-SA"/>
        </w:rPr>
        <w:t>.</w:t>
      </w:r>
    </w:p>
    <w:p w14:paraId="28CB7AD7" w14:textId="77777777" w:rsidR="0093433C" w:rsidRPr="00890249" w:rsidRDefault="00F74288"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ramach Programu nie będzie finansowane wsparcie powodujące segregację społeczną, edukacyjną i przestrzenną osób ze środowisk migracyjnych.</w:t>
      </w:r>
    </w:p>
    <w:p w14:paraId="61EA416A" w14:textId="77777777" w:rsidR="0093433C" w:rsidRPr="00890249" w:rsidRDefault="001820D1"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typy przedsięwzięć</w:t>
      </w:r>
      <w:r w:rsidR="00390D74" w:rsidRPr="00890249">
        <w:rPr>
          <w:rFonts w:asciiTheme="minorHAnsi" w:hAnsiTheme="minorHAnsi" w:cstheme="minorHAnsi"/>
          <w:sz w:val="22"/>
          <w:szCs w:val="22"/>
          <w:lang w:eastAsia="en-US" w:bidi="ar-SA"/>
        </w:rPr>
        <w:t>:</w:t>
      </w:r>
    </w:p>
    <w:p w14:paraId="7AE9C636" w14:textId="5BE5BA44" w:rsidR="00B72154" w:rsidRPr="00890249" w:rsidRDefault="008C471E" w:rsidP="009F296A">
      <w:pPr>
        <w:pStyle w:val="Akapitzlist"/>
        <w:numPr>
          <w:ilvl w:val="0"/>
          <w:numId w:val="139"/>
        </w:numPr>
        <w:contextualSpacing w:val="0"/>
        <w:rPr>
          <w:rFonts w:asciiTheme="minorHAnsi" w:eastAsia="Times New Roman" w:hAnsiTheme="minorHAnsi" w:cstheme="minorHAnsi"/>
          <w:b/>
          <w:i/>
          <w:iCs/>
          <w:noProof/>
          <w:sz w:val="22"/>
          <w:szCs w:val="24"/>
        </w:rPr>
      </w:pPr>
      <w:r w:rsidRPr="00890249">
        <w:rPr>
          <w:rFonts w:asciiTheme="minorHAnsi" w:eastAsiaTheme="minorHAnsi" w:hAnsiTheme="minorHAnsi" w:cstheme="minorHAnsi"/>
          <w:sz w:val="22"/>
          <w:szCs w:val="24"/>
        </w:rPr>
        <w:t>W</w:t>
      </w:r>
      <w:r w:rsidR="00FB12E0" w:rsidRPr="00890249">
        <w:rPr>
          <w:rFonts w:asciiTheme="minorHAnsi" w:eastAsiaTheme="minorHAnsi" w:hAnsiTheme="minorHAnsi" w:cstheme="minorHAnsi"/>
          <w:sz w:val="22"/>
          <w:szCs w:val="24"/>
        </w:rPr>
        <w:t>sp</w:t>
      </w:r>
      <w:r w:rsidR="003C18ED" w:rsidRPr="00890249">
        <w:rPr>
          <w:rFonts w:asciiTheme="minorHAnsi" w:eastAsiaTheme="minorHAnsi" w:hAnsiTheme="minorHAnsi" w:cstheme="minorHAnsi"/>
          <w:sz w:val="22"/>
          <w:szCs w:val="24"/>
        </w:rPr>
        <w:t>arcie</w:t>
      </w:r>
      <w:r w:rsidR="00FB12E0" w:rsidRPr="00890249">
        <w:rPr>
          <w:rFonts w:asciiTheme="minorHAnsi" w:eastAsiaTheme="minorHAnsi" w:hAnsiTheme="minorHAnsi" w:cstheme="minorHAnsi"/>
          <w:sz w:val="22"/>
          <w:szCs w:val="24"/>
        </w:rPr>
        <w:t xml:space="preserve"> </w:t>
      </w:r>
      <w:r w:rsidR="00FF48F4" w:rsidRPr="00890249">
        <w:rPr>
          <w:rFonts w:asciiTheme="minorHAnsi" w:eastAsiaTheme="minorHAnsi" w:hAnsiTheme="minorHAnsi" w:cstheme="minorHAnsi"/>
          <w:sz w:val="22"/>
          <w:szCs w:val="24"/>
        </w:rPr>
        <w:t>obywateli państw trzecich</w:t>
      </w:r>
      <w:r w:rsidR="00FB12E0" w:rsidRPr="00890249">
        <w:rPr>
          <w:rFonts w:asciiTheme="minorHAnsi" w:eastAsiaTheme="minorHAnsi" w:hAnsiTheme="minorHAnsi" w:cstheme="minorHAnsi"/>
          <w:sz w:val="22"/>
          <w:szCs w:val="24"/>
        </w:rPr>
        <w:t xml:space="preserve"> oraz pracodawców w procesie integracji na rynku pracy</w:t>
      </w:r>
      <w:r w:rsidRPr="00890249">
        <w:rPr>
          <w:rFonts w:asciiTheme="minorHAnsi" w:eastAsiaTheme="minorHAnsi" w:hAnsiTheme="minorHAnsi" w:cstheme="minorHAnsi"/>
          <w:sz w:val="22"/>
          <w:szCs w:val="24"/>
        </w:rPr>
        <w:t>.</w:t>
      </w:r>
    </w:p>
    <w:p w14:paraId="7565FA5A" w14:textId="68289596" w:rsidR="00B72154" w:rsidRPr="00890249" w:rsidRDefault="008C471E" w:rsidP="009F296A">
      <w:pPr>
        <w:pStyle w:val="Akapitzlist"/>
        <w:numPr>
          <w:ilvl w:val="0"/>
          <w:numId w:val="139"/>
        </w:numPr>
        <w:contextualSpacing w:val="0"/>
        <w:rPr>
          <w:rFonts w:asciiTheme="minorHAnsi" w:eastAsia="Times New Roman" w:hAnsiTheme="minorHAnsi" w:cstheme="minorHAnsi"/>
          <w:b/>
          <w:i/>
          <w:iCs/>
          <w:noProof/>
          <w:sz w:val="22"/>
          <w:szCs w:val="24"/>
        </w:rPr>
      </w:pPr>
      <w:r w:rsidRPr="00890249">
        <w:rPr>
          <w:rFonts w:asciiTheme="minorHAnsi" w:eastAsiaTheme="minorHAnsi" w:hAnsiTheme="minorHAnsi" w:cstheme="minorHAnsi"/>
          <w:sz w:val="22"/>
          <w:szCs w:val="24"/>
        </w:rPr>
        <w:t>B</w:t>
      </w:r>
      <w:r w:rsidR="00FF48F4" w:rsidRPr="00890249">
        <w:rPr>
          <w:rFonts w:asciiTheme="minorHAnsi" w:eastAsiaTheme="minorHAnsi" w:hAnsiTheme="minorHAnsi" w:cstheme="minorHAnsi"/>
          <w:sz w:val="22"/>
          <w:szCs w:val="24"/>
        </w:rPr>
        <w:t>ezzwrotne wsparcie finansowe na założenie działalności gospodarczej przez obywateli państw trzecich</w:t>
      </w:r>
      <w:r w:rsidRPr="00890249">
        <w:rPr>
          <w:rFonts w:asciiTheme="minorHAnsi" w:eastAsiaTheme="minorHAnsi" w:hAnsiTheme="minorHAnsi" w:cstheme="minorHAnsi"/>
          <w:sz w:val="22"/>
          <w:szCs w:val="24"/>
        </w:rPr>
        <w:t>.</w:t>
      </w:r>
    </w:p>
    <w:p w14:paraId="64424EE5" w14:textId="1FB21F21" w:rsidR="00B72154" w:rsidRPr="00890249" w:rsidRDefault="008C471E" w:rsidP="009F296A">
      <w:pPr>
        <w:pStyle w:val="Akapitzlist"/>
        <w:numPr>
          <w:ilvl w:val="0"/>
          <w:numId w:val="139"/>
        </w:numPr>
        <w:contextualSpacing w:val="0"/>
        <w:rPr>
          <w:rFonts w:asciiTheme="minorHAnsi" w:eastAsia="Times New Roman" w:hAnsiTheme="minorHAnsi" w:cstheme="minorHAnsi"/>
          <w:b/>
          <w:i/>
          <w:iCs/>
          <w:noProof/>
          <w:sz w:val="22"/>
          <w:szCs w:val="24"/>
        </w:rPr>
      </w:pPr>
      <w:r w:rsidRPr="00890249">
        <w:rPr>
          <w:rFonts w:asciiTheme="minorHAnsi" w:eastAsiaTheme="minorHAnsi" w:hAnsiTheme="minorHAnsi" w:cstheme="minorHAnsi"/>
          <w:sz w:val="22"/>
          <w:szCs w:val="22"/>
          <w:lang w:eastAsia="en-US" w:bidi="ar-SA"/>
        </w:rPr>
        <w:t>W</w:t>
      </w:r>
      <w:r w:rsidR="00066B6E" w:rsidRPr="00890249">
        <w:rPr>
          <w:rFonts w:asciiTheme="minorHAnsi" w:eastAsiaTheme="minorHAnsi" w:hAnsiTheme="minorHAnsi" w:cstheme="minorHAnsi"/>
          <w:sz w:val="22"/>
          <w:szCs w:val="22"/>
          <w:lang w:eastAsia="en-US" w:bidi="ar-SA"/>
        </w:rPr>
        <w:t>sparcie adaptacyjne, w tym m.in. nauka języka polskiego</w:t>
      </w:r>
      <w:r w:rsidR="005451C1" w:rsidRPr="00890249">
        <w:rPr>
          <w:rFonts w:asciiTheme="minorHAnsi" w:eastAsiaTheme="minorHAnsi" w:hAnsiTheme="minorHAnsi" w:cstheme="minorHAnsi"/>
          <w:sz w:val="22"/>
          <w:szCs w:val="22"/>
          <w:lang w:eastAsia="en-US" w:bidi="ar-SA"/>
        </w:rPr>
        <w:t>, wsparcie psychologiczne</w:t>
      </w:r>
      <w:r w:rsidRPr="00890249">
        <w:rPr>
          <w:rFonts w:asciiTheme="minorHAnsi" w:eastAsiaTheme="minorHAnsi" w:hAnsiTheme="minorHAnsi" w:cstheme="minorHAnsi"/>
          <w:sz w:val="22"/>
          <w:szCs w:val="24"/>
        </w:rPr>
        <w:t>.</w:t>
      </w:r>
      <w:r w:rsidR="00765AF4" w:rsidRPr="00890249">
        <w:rPr>
          <w:rFonts w:asciiTheme="minorHAnsi" w:eastAsiaTheme="minorHAnsi" w:hAnsiTheme="minorHAnsi" w:cstheme="minorHAnsi"/>
          <w:sz w:val="22"/>
          <w:szCs w:val="24"/>
        </w:rPr>
        <w:t xml:space="preserve"> </w:t>
      </w:r>
    </w:p>
    <w:p w14:paraId="5ED99F4D" w14:textId="65498DD8" w:rsidR="00B72154" w:rsidRPr="00890249" w:rsidRDefault="008C471E" w:rsidP="009F296A">
      <w:pPr>
        <w:pStyle w:val="Akapitzlist"/>
        <w:numPr>
          <w:ilvl w:val="0"/>
          <w:numId w:val="139"/>
        </w:numPr>
        <w:contextualSpacing w:val="0"/>
        <w:rPr>
          <w:rFonts w:asciiTheme="minorHAnsi" w:eastAsia="Times New Roman" w:hAnsiTheme="minorHAnsi" w:cstheme="minorHAnsi"/>
          <w:iCs/>
          <w:noProof/>
          <w:sz w:val="22"/>
          <w:szCs w:val="24"/>
        </w:rPr>
      </w:pPr>
      <w:r w:rsidRPr="00890249">
        <w:rPr>
          <w:rFonts w:asciiTheme="minorHAnsi" w:eastAsia="Times New Roman" w:hAnsiTheme="minorHAnsi" w:cstheme="minorHAnsi"/>
          <w:iCs/>
          <w:noProof/>
          <w:sz w:val="22"/>
          <w:szCs w:val="24"/>
        </w:rPr>
        <w:t>W</w:t>
      </w:r>
      <w:r w:rsidR="00400F00" w:rsidRPr="00890249">
        <w:rPr>
          <w:rFonts w:asciiTheme="minorHAnsi" w:eastAsia="Times New Roman" w:hAnsiTheme="minorHAnsi" w:cstheme="minorHAnsi"/>
          <w:iCs/>
          <w:noProof/>
          <w:sz w:val="22"/>
          <w:szCs w:val="24"/>
        </w:rPr>
        <w:t>sparcie rodziny</w:t>
      </w:r>
      <w:r w:rsidR="00400F00" w:rsidRPr="00890249">
        <w:rPr>
          <w:rFonts w:asciiTheme="minorHAnsi" w:eastAsiaTheme="minorHAnsi" w:hAnsiTheme="minorHAnsi" w:cstheme="minorHAnsi"/>
          <w:sz w:val="22"/>
          <w:szCs w:val="22"/>
          <w:lang w:eastAsia="en-US" w:bidi="ar-SA"/>
        </w:rPr>
        <w:t>,</w:t>
      </w:r>
      <w:r w:rsidR="005451C1" w:rsidRPr="00890249">
        <w:rPr>
          <w:rFonts w:asciiTheme="minorHAnsi" w:eastAsiaTheme="minorHAnsi" w:hAnsiTheme="minorHAnsi" w:cstheme="minorHAnsi"/>
          <w:sz w:val="22"/>
          <w:szCs w:val="22"/>
          <w:lang w:eastAsia="en-US" w:bidi="ar-SA"/>
        </w:rPr>
        <w:t xml:space="preserve"> pomoc dla kobiet z małymi dziećmi</w:t>
      </w:r>
      <w:r w:rsidRPr="00890249">
        <w:rPr>
          <w:rFonts w:asciiTheme="minorHAnsi" w:eastAsiaTheme="minorHAnsi" w:hAnsiTheme="minorHAnsi" w:cstheme="minorHAnsi"/>
          <w:sz w:val="22"/>
          <w:szCs w:val="22"/>
          <w:lang w:eastAsia="en-US" w:bidi="ar-SA"/>
        </w:rPr>
        <w:t>.</w:t>
      </w:r>
    </w:p>
    <w:p w14:paraId="5DC12D54" w14:textId="01678966" w:rsidR="00B72154" w:rsidRPr="00890249" w:rsidRDefault="008C471E" w:rsidP="009F296A">
      <w:pPr>
        <w:pStyle w:val="Akapitzlist"/>
        <w:numPr>
          <w:ilvl w:val="0"/>
          <w:numId w:val="139"/>
        </w:numPr>
        <w:contextualSpacing w:val="0"/>
        <w:rPr>
          <w:rFonts w:asciiTheme="minorHAnsi" w:eastAsia="Times New Roman" w:hAnsiTheme="minorHAnsi" w:cstheme="minorHAnsi"/>
          <w:b/>
          <w:i/>
          <w:iCs/>
          <w:noProof/>
          <w:sz w:val="22"/>
          <w:szCs w:val="24"/>
        </w:rPr>
      </w:pPr>
      <w:r w:rsidRPr="00890249">
        <w:rPr>
          <w:rFonts w:asciiTheme="minorHAnsi" w:eastAsiaTheme="minorHAnsi" w:hAnsiTheme="minorHAnsi" w:cstheme="minorHAnsi"/>
          <w:sz w:val="22"/>
          <w:szCs w:val="24"/>
        </w:rPr>
        <w:t>E</w:t>
      </w:r>
      <w:r w:rsidR="00FB12E0" w:rsidRPr="00890249">
        <w:rPr>
          <w:rFonts w:asciiTheme="minorHAnsi" w:eastAsiaTheme="minorHAnsi" w:hAnsiTheme="minorHAnsi" w:cstheme="minorHAnsi"/>
          <w:sz w:val="22"/>
          <w:szCs w:val="24"/>
        </w:rPr>
        <w:t xml:space="preserve">dukacja </w:t>
      </w:r>
      <w:r w:rsidR="008556DC" w:rsidRPr="00890249">
        <w:rPr>
          <w:rFonts w:asciiTheme="minorHAnsi" w:eastAsiaTheme="minorHAnsi" w:hAnsiTheme="minorHAnsi" w:cstheme="minorHAnsi"/>
          <w:sz w:val="22"/>
          <w:szCs w:val="24"/>
        </w:rPr>
        <w:t>dzieci i dorosłych</w:t>
      </w:r>
      <w:r w:rsidRPr="00890249">
        <w:rPr>
          <w:rFonts w:asciiTheme="minorHAnsi" w:eastAsiaTheme="minorHAnsi" w:hAnsiTheme="minorHAnsi" w:cstheme="minorHAnsi"/>
          <w:sz w:val="22"/>
          <w:szCs w:val="24"/>
        </w:rPr>
        <w:t>.</w:t>
      </w:r>
    </w:p>
    <w:p w14:paraId="56F4DFFB" w14:textId="56D7AF41" w:rsidR="00B72154" w:rsidRPr="00890249" w:rsidRDefault="008C471E" w:rsidP="009F296A">
      <w:pPr>
        <w:pStyle w:val="Akapitzlist"/>
        <w:numPr>
          <w:ilvl w:val="0"/>
          <w:numId w:val="139"/>
        </w:numPr>
        <w:contextualSpacing w:val="0"/>
        <w:rPr>
          <w:rFonts w:asciiTheme="minorHAnsi" w:eastAsia="Times New Roman" w:hAnsiTheme="minorHAnsi" w:cstheme="minorHAnsi"/>
          <w:b/>
          <w:i/>
          <w:iCs/>
          <w:noProof/>
          <w:sz w:val="22"/>
          <w:szCs w:val="24"/>
        </w:rPr>
      </w:pPr>
      <w:r w:rsidRPr="00890249">
        <w:rPr>
          <w:rFonts w:asciiTheme="minorHAnsi" w:eastAsia="Times New Roman" w:hAnsiTheme="minorHAnsi" w:cstheme="minorHAnsi"/>
          <w:iCs/>
          <w:noProof/>
          <w:sz w:val="22"/>
          <w:szCs w:val="24"/>
        </w:rPr>
        <w:t>I</w:t>
      </w:r>
      <w:r w:rsidR="00400F00" w:rsidRPr="00890249">
        <w:rPr>
          <w:rFonts w:asciiTheme="minorHAnsi" w:eastAsia="Times New Roman" w:hAnsiTheme="minorHAnsi" w:cstheme="minorHAnsi"/>
          <w:iCs/>
          <w:noProof/>
          <w:sz w:val="22"/>
          <w:szCs w:val="24"/>
        </w:rPr>
        <w:t>nne usługi społeczne niezbędne do zwiększenia integracji grupy docelowej, w tym zwłaszcza dzieci</w:t>
      </w:r>
      <w:r w:rsidR="00452D26">
        <w:rPr>
          <w:rFonts w:asciiTheme="minorHAnsi" w:eastAsia="Times New Roman" w:hAnsiTheme="minorHAnsi" w:cstheme="minorHAnsi"/>
          <w:iCs/>
          <w:noProof/>
          <w:sz w:val="22"/>
          <w:szCs w:val="24"/>
        </w:rPr>
        <w:t>.</w:t>
      </w:r>
    </w:p>
    <w:p w14:paraId="0B4192AD" w14:textId="54CF41F5" w:rsidR="00B72154" w:rsidRPr="00890249" w:rsidRDefault="008263A0" w:rsidP="009F296A">
      <w:pPr>
        <w:pStyle w:val="Akapitzlist"/>
        <w:numPr>
          <w:ilvl w:val="0"/>
          <w:numId w:val="139"/>
        </w:numPr>
        <w:contextualSpacing w:val="0"/>
        <w:rPr>
          <w:rFonts w:asciiTheme="minorHAnsi" w:eastAsia="Times New Roman" w:hAnsiTheme="minorHAnsi" w:cstheme="minorHAnsi"/>
          <w:b/>
          <w:i/>
          <w:iCs/>
          <w:noProof/>
          <w:sz w:val="22"/>
          <w:szCs w:val="24"/>
        </w:rPr>
      </w:pPr>
      <w:r w:rsidRPr="00890249">
        <w:rPr>
          <w:rFonts w:asciiTheme="minorHAnsi" w:eastAsia="Times New Roman" w:hAnsiTheme="minorHAnsi" w:cstheme="minorHAnsi"/>
          <w:iCs/>
          <w:noProof/>
          <w:sz w:val="22"/>
          <w:szCs w:val="24"/>
        </w:rPr>
        <w:t>K</w:t>
      </w:r>
      <w:r w:rsidR="009B5A56" w:rsidRPr="00890249">
        <w:rPr>
          <w:rFonts w:asciiTheme="minorHAnsi" w:eastAsiaTheme="minorHAnsi" w:hAnsiTheme="minorHAnsi" w:cstheme="minorHAnsi"/>
          <w:sz w:val="22"/>
          <w:szCs w:val="24"/>
        </w:rPr>
        <w:t>ampanie informacyjne (wyłącznie jako element większego projektu)</w:t>
      </w:r>
      <w:r w:rsidR="008C471E" w:rsidRPr="00890249">
        <w:rPr>
          <w:rFonts w:asciiTheme="minorHAnsi" w:eastAsiaTheme="minorHAnsi" w:hAnsiTheme="minorHAnsi" w:cstheme="minorHAnsi"/>
          <w:sz w:val="22"/>
          <w:szCs w:val="24"/>
        </w:rPr>
        <w:t>.</w:t>
      </w:r>
    </w:p>
    <w:p w14:paraId="6DA4BF4D" w14:textId="711FFF4F" w:rsidR="00B72154" w:rsidRPr="00890249" w:rsidRDefault="008C471E" w:rsidP="009F296A">
      <w:pPr>
        <w:pStyle w:val="Akapitzlist"/>
        <w:numPr>
          <w:ilvl w:val="0"/>
          <w:numId w:val="139"/>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w:t>
      </w:r>
      <w:r w:rsidR="00400F00" w:rsidRPr="00890249">
        <w:rPr>
          <w:rFonts w:asciiTheme="minorHAnsi" w:eastAsiaTheme="minorHAnsi" w:hAnsiTheme="minorHAnsi" w:cstheme="minorHAnsi"/>
          <w:sz w:val="22"/>
          <w:szCs w:val="22"/>
          <w:lang w:eastAsia="en-US" w:bidi="ar-SA"/>
        </w:rPr>
        <w:t>sparcie infrastruktury społecznej, w tym mieszkaniowej</w:t>
      </w:r>
      <w:r w:rsidRPr="00890249">
        <w:rPr>
          <w:rFonts w:asciiTheme="minorHAnsi" w:eastAsiaTheme="minorHAnsi" w:hAnsiTheme="minorHAnsi" w:cstheme="minorHAnsi"/>
          <w:sz w:val="22"/>
          <w:szCs w:val="22"/>
          <w:lang w:eastAsia="en-US" w:bidi="ar-SA"/>
        </w:rPr>
        <w:t>.</w:t>
      </w:r>
    </w:p>
    <w:p w14:paraId="644BDF9C" w14:textId="5458B04E" w:rsidR="00B72154" w:rsidRPr="00890249" w:rsidRDefault="008C471E" w:rsidP="009F296A">
      <w:pPr>
        <w:pStyle w:val="Akapitzlist"/>
        <w:numPr>
          <w:ilvl w:val="0"/>
          <w:numId w:val="139"/>
        </w:numPr>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rPr>
        <w:t>D</w:t>
      </w:r>
      <w:r w:rsidR="07E7F56B" w:rsidRPr="00890249">
        <w:rPr>
          <w:rFonts w:asciiTheme="minorHAnsi" w:eastAsiaTheme="minorEastAsia" w:hAnsiTheme="minorHAnsi" w:cstheme="minorHAnsi"/>
          <w:sz w:val="22"/>
          <w:szCs w:val="22"/>
          <w:lang w:eastAsia="en-US"/>
        </w:rPr>
        <w:t xml:space="preserve">ziałania na rzecz integracji </w:t>
      </w:r>
      <w:r w:rsidR="00880584" w:rsidRPr="00890249">
        <w:rPr>
          <w:rFonts w:asciiTheme="minorHAnsi" w:eastAsiaTheme="minorEastAsia" w:hAnsiTheme="minorHAnsi" w:cstheme="minorHAnsi"/>
          <w:sz w:val="22"/>
          <w:szCs w:val="22"/>
          <w:lang w:eastAsia="en-US"/>
        </w:rPr>
        <w:t xml:space="preserve">osób uciekających przed agresją zbrojną </w:t>
      </w:r>
      <w:r w:rsidR="07E7F56B" w:rsidRPr="00890249">
        <w:rPr>
          <w:rFonts w:asciiTheme="minorHAnsi" w:eastAsiaTheme="minorEastAsia" w:hAnsiTheme="minorHAnsi" w:cstheme="minorHAnsi"/>
          <w:sz w:val="22"/>
          <w:szCs w:val="22"/>
          <w:lang w:eastAsia="en-US"/>
        </w:rPr>
        <w:t xml:space="preserve">z Ukrainy </w:t>
      </w:r>
      <w:r w:rsidR="00880584" w:rsidRPr="00890249">
        <w:rPr>
          <w:rFonts w:asciiTheme="minorHAnsi" w:eastAsiaTheme="minorEastAsia" w:hAnsiTheme="minorHAnsi" w:cstheme="minorHAnsi"/>
          <w:sz w:val="22"/>
          <w:szCs w:val="22"/>
          <w:lang w:eastAsia="en-US"/>
        </w:rPr>
        <w:t>i </w:t>
      </w:r>
      <w:r w:rsidR="07E7F56B" w:rsidRPr="00890249">
        <w:rPr>
          <w:rFonts w:asciiTheme="minorHAnsi" w:eastAsiaTheme="minorEastAsia" w:hAnsiTheme="minorHAnsi" w:cstheme="minorHAnsi"/>
          <w:sz w:val="22"/>
          <w:szCs w:val="22"/>
          <w:lang w:eastAsia="en-US"/>
        </w:rPr>
        <w:t>społeczeństwa przyjmującego</w:t>
      </w:r>
      <w:r w:rsidRPr="00890249">
        <w:rPr>
          <w:rFonts w:asciiTheme="minorHAnsi" w:eastAsiaTheme="minorEastAsia" w:hAnsiTheme="minorHAnsi" w:cstheme="minorHAnsi"/>
          <w:sz w:val="22"/>
          <w:szCs w:val="22"/>
          <w:lang w:eastAsia="en-US"/>
        </w:rPr>
        <w:t>.</w:t>
      </w:r>
    </w:p>
    <w:p w14:paraId="4DCE6094" w14:textId="2ACBF571" w:rsidR="00B72154" w:rsidRPr="00890249" w:rsidRDefault="008C471E" w:rsidP="009F296A">
      <w:pPr>
        <w:pStyle w:val="Akapitzlist"/>
        <w:numPr>
          <w:ilvl w:val="0"/>
          <w:numId w:val="139"/>
        </w:numPr>
        <w:contextualSpacing w:val="0"/>
        <w:rPr>
          <w:rFonts w:asciiTheme="minorHAnsi" w:eastAsia="Times New Roman" w:hAnsiTheme="minorHAnsi" w:cstheme="minorHAnsi"/>
          <w:iCs/>
          <w:noProof/>
          <w:sz w:val="22"/>
          <w:szCs w:val="24"/>
        </w:rPr>
      </w:pPr>
      <w:r w:rsidRPr="00890249">
        <w:rPr>
          <w:rFonts w:asciiTheme="minorHAnsi" w:eastAsiaTheme="minorEastAsia" w:hAnsiTheme="minorHAnsi" w:cstheme="minorHAnsi"/>
          <w:sz w:val="22"/>
          <w:szCs w:val="22"/>
        </w:rPr>
        <w:lastRenderedPageBreak/>
        <w:t>B</w:t>
      </w:r>
      <w:r w:rsidR="3DCD089B" w:rsidRPr="00890249">
        <w:rPr>
          <w:rFonts w:asciiTheme="minorHAnsi" w:eastAsiaTheme="minorEastAsia" w:hAnsiTheme="minorHAnsi" w:cstheme="minorHAnsi"/>
          <w:sz w:val="22"/>
          <w:szCs w:val="22"/>
        </w:rPr>
        <w:t>udowanie potencjału instytucjonalnego na rzecz integracji obywateli państw trzecich, w tym w administracji lokalnej oraz organizacji społeczeństwa obywatelskiego do realizacji działań na rzecz obywateli państw trzecich</w:t>
      </w:r>
      <w:r w:rsidRPr="00890249">
        <w:rPr>
          <w:rFonts w:asciiTheme="minorHAnsi" w:eastAsia="Times New Roman" w:hAnsiTheme="minorHAnsi" w:cstheme="minorHAnsi"/>
          <w:noProof/>
          <w:sz w:val="22"/>
          <w:szCs w:val="22"/>
        </w:rPr>
        <w:t>.</w:t>
      </w:r>
    </w:p>
    <w:p w14:paraId="015BDFBE" w14:textId="5B0AAE56" w:rsidR="00B72154" w:rsidRPr="008C67B3" w:rsidRDefault="008C471E" w:rsidP="009F296A">
      <w:pPr>
        <w:pStyle w:val="Akapitzlist"/>
        <w:numPr>
          <w:ilvl w:val="0"/>
          <w:numId w:val="139"/>
        </w:numPr>
        <w:contextualSpacing w:val="0"/>
        <w:rPr>
          <w:rFonts w:asciiTheme="minorHAnsi" w:eastAsia="Times New Roman" w:hAnsiTheme="minorHAnsi" w:cstheme="minorHAnsi"/>
          <w:iCs/>
          <w:noProof/>
          <w:sz w:val="22"/>
          <w:szCs w:val="22"/>
        </w:rPr>
      </w:pPr>
      <w:r w:rsidRPr="008C67B3">
        <w:rPr>
          <w:rFonts w:asciiTheme="minorHAnsi" w:eastAsia="Times New Roman" w:hAnsiTheme="minorHAnsi" w:cstheme="minorHAnsi"/>
          <w:noProof/>
          <w:sz w:val="22"/>
          <w:szCs w:val="22"/>
        </w:rPr>
        <w:t>W</w:t>
      </w:r>
      <w:r w:rsidR="6889405F" w:rsidRPr="008C67B3">
        <w:rPr>
          <w:rFonts w:asciiTheme="minorHAnsi" w:eastAsia="Times New Roman" w:hAnsiTheme="minorHAnsi" w:cstheme="minorHAnsi"/>
          <w:noProof/>
          <w:sz w:val="22"/>
          <w:szCs w:val="22"/>
        </w:rPr>
        <w:t>ymiana</w:t>
      </w:r>
      <w:r w:rsidR="3ADA03BE" w:rsidRPr="008C67B3">
        <w:rPr>
          <w:rFonts w:asciiTheme="minorHAnsi" w:eastAsia="Times New Roman" w:hAnsiTheme="minorHAnsi" w:cstheme="minorHAnsi"/>
          <w:noProof/>
          <w:sz w:val="22"/>
          <w:szCs w:val="22"/>
        </w:rPr>
        <w:t xml:space="preserve"> doświadczeń pomiędzy podmiotami działającymi na rzecz obywateli państw trzecich (w tym organizacjami pozarządowymi) działającymi w kraju i w Europie.</w:t>
      </w:r>
    </w:p>
    <w:p w14:paraId="0D5EDA59" w14:textId="43CEF9FA" w:rsidR="0093433C" w:rsidRPr="008C67B3" w:rsidRDefault="00F96EE8" w:rsidP="00890249">
      <w:pPr>
        <w:pStyle w:val="Tekstpodstawowy"/>
        <w:rPr>
          <w:rFonts w:asciiTheme="minorHAnsi" w:hAnsiTheme="minorHAnsi" w:cstheme="minorHAnsi"/>
          <w:noProof/>
          <w:sz w:val="22"/>
          <w:szCs w:val="22"/>
        </w:rPr>
      </w:pPr>
      <w:r w:rsidRPr="008C67B3">
        <w:rPr>
          <w:rFonts w:asciiTheme="minorHAnsi" w:hAnsiTheme="minorHAnsi" w:cstheme="minorHAnsi"/>
          <w:noProof/>
          <w:sz w:val="22"/>
          <w:szCs w:val="22"/>
        </w:rPr>
        <w:t xml:space="preserve">Realizowane  przedsięwzięcia </w:t>
      </w:r>
      <w:r w:rsidR="00083EE4" w:rsidRPr="008C67B3">
        <w:rPr>
          <w:rFonts w:asciiTheme="minorHAnsi" w:hAnsiTheme="minorHAnsi" w:cstheme="minorHAnsi"/>
          <w:noProof/>
          <w:sz w:val="22"/>
          <w:szCs w:val="22"/>
        </w:rPr>
        <w:t xml:space="preserve">są zgodne z zasadą DNSH. Ze względu na ich charakter przyjmuje się, że nie mają negatywnego wpływu na środowisko. </w:t>
      </w:r>
    </w:p>
    <w:p w14:paraId="5CA5B3AA" w14:textId="77777777" w:rsidR="00CB3884" w:rsidRPr="008C67B3" w:rsidRDefault="00CB3884" w:rsidP="00CB3884">
      <w:pPr>
        <w:rPr>
          <w:rFonts w:asciiTheme="minorHAnsi" w:hAnsiTheme="minorHAnsi" w:cstheme="minorHAnsi"/>
          <w:b/>
          <w:noProof/>
          <w:color w:val="2F5496" w:themeColor="accent5" w:themeShade="BF"/>
          <w:sz w:val="22"/>
          <w:szCs w:val="22"/>
        </w:rPr>
      </w:pPr>
      <w:r w:rsidRPr="008C67B3">
        <w:rPr>
          <w:rFonts w:asciiTheme="minorHAnsi" w:hAnsiTheme="minorHAnsi" w:cstheme="minorHAnsi"/>
          <w:b/>
          <w:noProof/>
          <w:color w:val="2F5496" w:themeColor="accent5" w:themeShade="BF"/>
          <w:sz w:val="22"/>
          <w:szCs w:val="22"/>
        </w:rPr>
        <w:t>Główne grupy docelowe</w:t>
      </w:r>
    </w:p>
    <w:p w14:paraId="785DFFCC" w14:textId="6CC7D405" w:rsidR="00D10449" w:rsidRPr="008C67B3" w:rsidRDefault="00D10449" w:rsidP="009F296A">
      <w:pPr>
        <w:pStyle w:val="Akapitzlist"/>
        <w:numPr>
          <w:ilvl w:val="0"/>
          <w:numId w:val="49"/>
        </w:numPr>
        <w:ind w:left="714" w:hanging="357"/>
        <w:contextualSpacing w:val="0"/>
        <w:jc w:val="left"/>
        <w:rPr>
          <w:rFonts w:asciiTheme="minorHAnsi" w:eastAsiaTheme="minorHAnsi" w:hAnsiTheme="minorHAnsi" w:cstheme="minorHAnsi"/>
          <w:sz w:val="22"/>
          <w:szCs w:val="22"/>
        </w:rPr>
      </w:pPr>
      <w:r w:rsidRPr="008C67B3">
        <w:rPr>
          <w:rFonts w:asciiTheme="minorHAnsi" w:eastAsiaTheme="minorHAnsi" w:hAnsiTheme="minorHAnsi" w:cstheme="minorHAnsi"/>
          <w:sz w:val="22"/>
          <w:szCs w:val="22"/>
        </w:rPr>
        <w:t>obywatele państw trzecich i ich rodziny,</w:t>
      </w:r>
      <w:r w:rsidR="005C4A22" w:rsidRPr="008C67B3">
        <w:rPr>
          <w:rFonts w:asciiTheme="minorHAnsi" w:eastAsiaTheme="minorHAnsi" w:hAnsiTheme="minorHAnsi" w:cstheme="minorHAnsi"/>
          <w:sz w:val="22"/>
          <w:szCs w:val="22"/>
        </w:rPr>
        <w:t xml:space="preserve"> w tym osoby objęte ochroną czasową,</w:t>
      </w:r>
    </w:p>
    <w:p w14:paraId="492B37B6" w14:textId="77777777" w:rsidR="00D10449" w:rsidRPr="008C67B3" w:rsidRDefault="00D10449" w:rsidP="009F296A">
      <w:pPr>
        <w:pStyle w:val="Akapitzlist"/>
        <w:numPr>
          <w:ilvl w:val="0"/>
          <w:numId w:val="49"/>
        </w:numPr>
        <w:ind w:left="714" w:hanging="357"/>
        <w:contextualSpacing w:val="0"/>
        <w:jc w:val="left"/>
        <w:rPr>
          <w:rFonts w:asciiTheme="minorHAnsi" w:eastAsiaTheme="minorHAnsi" w:hAnsiTheme="minorHAnsi" w:cstheme="minorHAnsi"/>
          <w:sz w:val="22"/>
          <w:szCs w:val="22"/>
        </w:rPr>
      </w:pPr>
      <w:r w:rsidRPr="008C67B3">
        <w:rPr>
          <w:rFonts w:asciiTheme="minorHAnsi" w:eastAsiaTheme="minorHAnsi" w:hAnsiTheme="minorHAnsi" w:cstheme="minorHAnsi"/>
          <w:sz w:val="22"/>
          <w:szCs w:val="22"/>
        </w:rPr>
        <w:t>bezpaństwowcy,</w:t>
      </w:r>
    </w:p>
    <w:p w14:paraId="1A050BAC" w14:textId="77777777" w:rsidR="00D10449" w:rsidRPr="008C67B3" w:rsidRDefault="00D10449" w:rsidP="009F296A">
      <w:pPr>
        <w:pStyle w:val="Akapitzlist"/>
        <w:numPr>
          <w:ilvl w:val="0"/>
          <w:numId w:val="49"/>
        </w:numPr>
        <w:ind w:left="714" w:hanging="357"/>
        <w:contextualSpacing w:val="0"/>
        <w:jc w:val="left"/>
        <w:rPr>
          <w:rFonts w:asciiTheme="minorHAnsi" w:eastAsiaTheme="minorHAnsi" w:hAnsiTheme="minorHAnsi" w:cstheme="minorHAnsi"/>
          <w:sz w:val="22"/>
          <w:szCs w:val="22"/>
        </w:rPr>
      </w:pPr>
      <w:r w:rsidRPr="008C67B3">
        <w:rPr>
          <w:rFonts w:asciiTheme="minorHAnsi" w:eastAsiaTheme="minorHAnsi" w:hAnsiTheme="minorHAnsi" w:cstheme="minorHAnsi"/>
          <w:sz w:val="22"/>
          <w:szCs w:val="22"/>
        </w:rPr>
        <w:t xml:space="preserve">osoby o nieokreślonym obywatelstwie, </w:t>
      </w:r>
    </w:p>
    <w:p w14:paraId="68754105" w14:textId="77777777" w:rsidR="009B5A56" w:rsidRPr="008C67B3" w:rsidRDefault="009B5A56" w:rsidP="009F296A">
      <w:pPr>
        <w:pStyle w:val="Akapitzlist"/>
        <w:numPr>
          <w:ilvl w:val="0"/>
          <w:numId w:val="49"/>
        </w:numPr>
        <w:ind w:left="714" w:hanging="357"/>
        <w:contextualSpacing w:val="0"/>
        <w:rPr>
          <w:rFonts w:asciiTheme="minorHAnsi" w:eastAsiaTheme="minorHAnsi" w:hAnsiTheme="minorHAnsi" w:cstheme="minorHAnsi"/>
          <w:sz w:val="22"/>
          <w:szCs w:val="22"/>
        </w:rPr>
      </w:pPr>
      <w:r w:rsidRPr="008C67B3">
        <w:rPr>
          <w:rFonts w:asciiTheme="minorHAnsi" w:eastAsiaTheme="minorHAnsi" w:hAnsiTheme="minorHAnsi" w:cstheme="minorHAnsi"/>
          <w:sz w:val="22"/>
          <w:szCs w:val="22"/>
        </w:rPr>
        <w:t>pracodawcy,</w:t>
      </w:r>
    </w:p>
    <w:p w14:paraId="754C4470" w14:textId="77777777" w:rsidR="00A63705" w:rsidRPr="008C67B3" w:rsidRDefault="009129B0" w:rsidP="009F296A">
      <w:pPr>
        <w:pStyle w:val="Akapitzlist"/>
        <w:numPr>
          <w:ilvl w:val="0"/>
          <w:numId w:val="49"/>
        </w:numPr>
        <w:contextualSpacing w:val="0"/>
        <w:rPr>
          <w:rFonts w:asciiTheme="minorHAnsi" w:eastAsiaTheme="minorHAnsi" w:hAnsiTheme="minorHAnsi" w:cstheme="minorHAnsi"/>
          <w:sz w:val="22"/>
          <w:szCs w:val="22"/>
        </w:rPr>
      </w:pPr>
      <w:r w:rsidRPr="008C67B3">
        <w:rPr>
          <w:rFonts w:asciiTheme="minorHAnsi" w:eastAsiaTheme="minorHAnsi" w:hAnsiTheme="minorHAnsi" w:cstheme="minorHAnsi"/>
          <w:sz w:val="22"/>
          <w:szCs w:val="22"/>
        </w:rPr>
        <w:t>społeczeństwo przyjmujące,</w:t>
      </w:r>
    </w:p>
    <w:p w14:paraId="09EA84E9" w14:textId="77777777" w:rsidR="00D10449" w:rsidRPr="008C67B3" w:rsidRDefault="00FF48F4" w:rsidP="009F296A">
      <w:pPr>
        <w:pStyle w:val="Akapitzlist"/>
        <w:numPr>
          <w:ilvl w:val="0"/>
          <w:numId w:val="49"/>
        </w:numPr>
        <w:ind w:left="714" w:hanging="357"/>
        <w:contextualSpacing w:val="0"/>
        <w:jc w:val="left"/>
        <w:rPr>
          <w:rFonts w:asciiTheme="minorHAnsi" w:eastAsiaTheme="minorHAnsi" w:hAnsiTheme="minorHAnsi" w:cstheme="minorHAnsi"/>
          <w:sz w:val="22"/>
          <w:szCs w:val="22"/>
        </w:rPr>
      </w:pPr>
      <w:r w:rsidRPr="008C67B3">
        <w:rPr>
          <w:rFonts w:asciiTheme="minorHAnsi" w:eastAsiaTheme="minorHAnsi" w:hAnsiTheme="minorHAnsi" w:cstheme="minorHAnsi"/>
          <w:sz w:val="22"/>
          <w:szCs w:val="22"/>
        </w:rPr>
        <w:t>podmioty ekonomii społecznej</w:t>
      </w:r>
      <w:r w:rsidR="00D10449" w:rsidRPr="008C67B3">
        <w:rPr>
          <w:rFonts w:asciiTheme="minorHAnsi" w:eastAsiaTheme="minorHAnsi" w:hAnsiTheme="minorHAnsi" w:cstheme="minorHAnsi"/>
          <w:sz w:val="22"/>
          <w:szCs w:val="22"/>
        </w:rPr>
        <w:t xml:space="preserve"> działające na rzecz obywateli państw trzecich.</w:t>
      </w:r>
    </w:p>
    <w:p w14:paraId="6354596A" w14:textId="77777777" w:rsidR="00CB3884" w:rsidRPr="00890249" w:rsidRDefault="00CB3884" w:rsidP="00CB3884">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4B56A5CD" w14:textId="476134F0" w:rsidR="00C87C07" w:rsidRPr="00890249" w:rsidRDefault="00C87C07" w:rsidP="00CB3884">
      <w:pPr>
        <w:pStyle w:val="Tekstpodstawowy"/>
        <w:rPr>
          <w:rFonts w:asciiTheme="minorHAnsi" w:hAnsiTheme="minorHAnsi" w:cstheme="minorHAnsi"/>
          <w:sz w:val="20"/>
          <w:szCs w:val="22"/>
          <w:lang w:eastAsia="en-US" w:bidi="ar-SA"/>
        </w:rPr>
      </w:pPr>
      <w:r w:rsidRPr="00890249">
        <w:rPr>
          <w:rFonts w:asciiTheme="minorHAnsi" w:hAnsiTheme="minorHAnsi" w:cstheme="minorHAnsi"/>
          <w:sz w:val="22"/>
          <w:lang w:eastAsia="en-US" w:bidi="ar-SA"/>
        </w:rPr>
        <w:t xml:space="preserve">Wsparcie będzie realizowane z poszanowaniem fundamentalnych praw człowieka określonych </w:t>
      </w:r>
      <w:r w:rsidRPr="00890249">
        <w:rPr>
          <w:rFonts w:asciiTheme="minorHAnsi" w:hAnsiTheme="minorHAnsi" w:cstheme="minorHAnsi"/>
          <w:sz w:val="22"/>
          <w:lang w:eastAsia="en-US" w:bidi="ar-SA"/>
        </w:rPr>
        <w:br/>
        <w:t xml:space="preserve">w Karcie Praw Podstawowych Unii Europejskiej, w tym m.in.: niedyskryminacją, równością kobiet </w:t>
      </w:r>
      <w:r w:rsidRPr="00890249">
        <w:rPr>
          <w:rFonts w:asciiTheme="minorHAnsi" w:hAnsiTheme="minorHAnsi" w:cstheme="minorHAnsi"/>
          <w:sz w:val="22"/>
          <w:lang w:eastAsia="en-US" w:bidi="ar-SA"/>
        </w:rPr>
        <w:br/>
        <w:t>i mężczyzn, integracją osób niepełnosprawnych. Ponadto będzie zgodne z zasadami transparentności i niedyskryminacji, a także z warunkami określonymi w art. 9 Roz</w:t>
      </w:r>
      <w:r w:rsidR="00CB3884" w:rsidRPr="00890249">
        <w:rPr>
          <w:rFonts w:asciiTheme="minorHAnsi" w:hAnsiTheme="minorHAnsi" w:cstheme="minorHAnsi"/>
          <w:sz w:val="22"/>
          <w:lang w:eastAsia="en-US" w:bidi="ar-SA"/>
        </w:rPr>
        <w:t>porządzenia UE 2021/1060, tj. w </w:t>
      </w:r>
      <w:r w:rsidRPr="00890249">
        <w:rPr>
          <w:rFonts w:asciiTheme="minorHAnsi" w:hAnsiTheme="minorHAnsi" w:cstheme="minorHAnsi"/>
          <w:sz w:val="22"/>
          <w:lang w:eastAsia="en-US" w:bidi="ar-SA"/>
        </w:rPr>
        <w:t>zakresie równości szans kobiet i mężczyzn oraz niedyskryminacji, a także zrównoważonego rozwoju oraz Załącznika III do Rozporządzenia UE 2021/1060.</w:t>
      </w:r>
    </w:p>
    <w:p w14:paraId="3F024259" w14:textId="77777777" w:rsidR="0093433C" w:rsidRPr="00890249" w:rsidRDefault="00C87C07"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Zasady horyzontalne będą przestrzegane na wszystkich etapach realizacji Programu.</w:t>
      </w:r>
    </w:p>
    <w:p w14:paraId="24834288" w14:textId="77777777" w:rsidR="0093433C" w:rsidRPr="00890249" w:rsidRDefault="00C87C07"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Planowane działania na rzecz zwalczania wszelkich form dyskryminacji oraz promowania równości szans:</w:t>
      </w:r>
    </w:p>
    <w:p w14:paraId="304FC1A3" w14:textId="18BAFB2F" w:rsidR="0093433C" w:rsidRPr="00890249" w:rsidRDefault="1CAC55B3" w:rsidP="009F296A">
      <w:pPr>
        <w:pStyle w:val="Listapunktowana2"/>
        <w:numPr>
          <w:ilvl w:val="0"/>
          <w:numId w:val="65"/>
        </w:numPr>
        <w:rPr>
          <w:rFonts w:asciiTheme="minorHAnsi" w:hAnsiTheme="minorHAnsi" w:cstheme="minorHAnsi"/>
          <w:sz w:val="22"/>
          <w:lang w:eastAsia="en-US" w:bidi="ar-SA"/>
        </w:rPr>
      </w:pPr>
      <w:r w:rsidRPr="00890249">
        <w:rPr>
          <w:rFonts w:asciiTheme="minorHAnsi" w:hAnsiTheme="minorHAnsi" w:cstheme="minorHAnsi"/>
          <w:sz w:val="22"/>
          <w:lang w:eastAsia="en-US" w:bidi="ar-SA"/>
        </w:rPr>
        <w:t>mające na celu zrozumienie praw i potrzeb osób zagrożonych dyskryminacją,</w:t>
      </w:r>
      <w:r w:rsidR="008C67B3">
        <w:rPr>
          <w:rFonts w:asciiTheme="minorHAnsi" w:hAnsiTheme="minorHAnsi" w:cstheme="minorHAnsi"/>
          <w:sz w:val="22"/>
          <w:lang w:eastAsia="en-US" w:bidi="ar-SA"/>
        </w:rPr>
        <w:t xml:space="preserve"> np. osób z </w:t>
      </w:r>
      <w:r w:rsidR="58D56AEA" w:rsidRPr="00890249">
        <w:rPr>
          <w:rFonts w:asciiTheme="minorHAnsi" w:hAnsiTheme="minorHAnsi" w:cstheme="minorHAnsi"/>
          <w:sz w:val="22"/>
          <w:lang w:eastAsia="en-US" w:bidi="ar-SA"/>
        </w:rPr>
        <w:t>niepełnosprawnościami, obywateli państw trzecich,  w tym osób przybywających z Ukrainy w związku z agresją Federacji Rosyjskiej na ich kraj</w:t>
      </w:r>
      <w:r w:rsidR="0C0682D9" w:rsidRPr="00890249">
        <w:rPr>
          <w:rFonts w:asciiTheme="minorHAnsi" w:hAnsiTheme="minorHAnsi" w:cstheme="minorHAnsi"/>
          <w:sz w:val="22"/>
          <w:lang w:eastAsia="en-US" w:bidi="ar-SA"/>
        </w:rPr>
        <w:t>,</w:t>
      </w:r>
      <w:r w:rsidRPr="00890249">
        <w:rPr>
          <w:rFonts w:asciiTheme="minorHAnsi" w:hAnsiTheme="minorHAnsi" w:cstheme="minorHAnsi"/>
          <w:sz w:val="22"/>
          <w:lang w:eastAsia="en-US" w:bidi="ar-SA"/>
        </w:rPr>
        <w:t xml:space="preserve"> </w:t>
      </w:r>
    </w:p>
    <w:p w14:paraId="4CAA1C81" w14:textId="53950974" w:rsidR="0093433C" w:rsidRPr="00890249" w:rsidRDefault="00D96557" w:rsidP="009F296A">
      <w:pPr>
        <w:pStyle w:val="Listapunktowana2"/>
        <w:numPr>
          <w:ilvl w:val="0"/>
          <w:numId w:val="65"/>
        </w:numPr>
        <w:rPr>
          <w:rFonts w:asciiTheme="minorHAnsi" w:hAnsiTheme="minorHAnsi" w:cstheme="minorHAnsi"/>
          <w:sz w:val="22"/>
          <w:lang w:eastAsia="en-US" w:bidi="ar-SA"/>
        </w:rPr>
      </w:pPr>
      <w:r w:rsidRPr="00890249">
        <w:rPr>
          <w:rFonts w:asciiTheme="minorHAnsi" w:hAnsiTheme="minorHAnsi" w:cstheme="minorHAnsi"/>
          <w:sz w:val="22"/>
          <w:lang w:eastAsia="en-US" w:bidi="ar-SA"/>
        </w:rPr>
        <w:t>z</w:t>
      </w:r>
      <w:r w:rsidR="00DE716B" w:rsidRPr="00890249">
        <w:rPr>
          <w:rFonts w:asciiTheme="minorHAnsi" w:hAnsiTheme="minorHAnsi" w:cstheme="minorHAnsi"/>
          <w:sz w:val="22"/>
          <w:lang w:eastAsia="en-US" w:bidi="ar-SA"/>
        </w:rPr>
        <w:t>apewniające wsparcie psychologiczno-pedagogiczne oraz pomoc prawną dla osób doświadczających przemocy,</w:t>
      </w:r>
    </w:p>
    <w:p w14:paraId="764AC17B" w14:textId="77777777"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wsparcie inicjatyw mających na celu zwalczanie przestępstw, mowy nienawiści, przemocy </w:t>
      </w:r>
      <w:r w:rsidR="00C87C07" w:rsidRPr="00890249">
        <w:rPr>
          <w:rFonts w:asciiTheme="minorHAnsi" w:hAnsiTheme="minorHAnsi" w:cstheme="minorHAnsi"/>
          <w:sz w:val="22"/>
        </w:rPr>
        <w:br/>
      </w:r>
      <w:r w:rsidRPr="00890249">
        <w:rPr>
          <w:rFonts w:asciiTheme="minorHAnsi" w:hAnsiTheme="minorHAnsi" w:cstheme="minorHAnsi"/>
          <w:sz w:val="22"/>
          <w:lang w:eastAsia="en-US" w:bidi="ar-SA"/>
        </w:rPr>
        <w:t xml:space="preserve">i szkodliwych praktyk, </w:t>
      </w:r>
    </w:p>
    <w:p w14:paraId="2FD75851" w14:textId="77777777"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wykorzystujące ekspresję kulturową w celu zwalczania dyskryminacji,</w:t>
      </w:r>
    </w:p>
    <w:p w14:paraId="5B52340F" w14:textId="179895D0"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formułowanie kryteriów wyboru projektów wskazujących na odmowę dofinansowania dla </w:t>
      </w:r>
      <w:r w:rsidR="16965D05" w:rsidRPr="00890249">
        <w:rPr>
          <w:rFonts w:asciiTheme="minorHAnsi" w:hAnsiTheme="minorHAnsi" w:cstheme="minorHAnsi"/>
          <w:sz w:val="22"/>
          <w:lang w:eastAsia="en-US" w:bidi="ar-SA"/>
        </w:rPr>
        <w:t xml:space="preserve">beneficjenta, będącego </w:t>
      </w:r>
      <w:r w:rsidR="16965D05" w:rsidRPr="00890249">
        <w:rPr>
          <w:rFonts w:asciiTheme="minorHAnsi" w:hAnsiTheme="minorHAnsi" w:cstheme="minorHAnsi"/>
          <w:sz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5C589BA4" w14:textId="77777777"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tworzenie metodologii oceny kryterium wyboru projektów zgodnych z horyzontalną zasadą niedyskryminacji, </w:t>
      </w:r>
    </w:p>
    <w:p w14:paraId="19008E3B" w14:textId="77777777"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zawarcie w umowach o dofinansowanie klauzuli zakazującej jakiejkolwiek dyskryminacji </w:t>
      </w:r>
      <w:r w:rsidR="00C87C07" w:rsidRPr="00890249">
        <w:rPr>
          <w:rFonts w:asciiTheme="minorHAnsi" w:hAnsiTheme="minorHAnsi" w:cstheme="minorHAnsi"/>
          <w:sz w:val="22"/>
        </w:rPr>
        <w:br/>
      </w:r>
      <w:r w:rsidRPr="00890249">
        <w:rPr>
          <w:rFonts w:asciiTheme="minorHAnsi" w:hAnsiTheme="minorHAnsi" w:cstheme="minorHAnsi"/>
          <w:sz w:val="22"/>
          <w:lang w:eastAsia="en-US" w:bidi="ar-SA"/>
        </w:rPr>
        <w:t>w korzystaniu ze wsparcia przez odbiorców ostatecznych,</w:t>
      </w:r>
    </w:p>
    <w:p w14:paraId="255367D0" w14:textId="77777777"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włączenie do Komitetu Monitorującego członków organizacji pozarządowych oraz reprezentantów mniejszości, w tym etnicznych, </w:t>
      </w:r>
    </w:p>
    <w:p w14:paraId="39C71A7A" w14:textId="77777777" w:rsidR="0093433C" w:rsidRPr="00890249" w:rsidRDefault="1CAC55B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szkolenia dla pracowników IZ oraz beneficjentów.</w:t>
      </w:r>
    </w:p>
    <w:p w14:paraId="4970CA2E" w14:textId="77777777" w:rsidR="00CB3884" w:rsidRPr="00890249" w:rsidRDefault="00CB3884" w:rsidP="00CB388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lastRenderedPageBreak/>
        <w:t>Wskazanie konkretnych terytoriów objętych wsparciem, z uwzględnieniem planowanego wykorzystania narzędzi terytorialnych</w:t>
      </w:r>
    </w:p>
    <w:p w14:paraId="1818064D" w14:textId="77777777" w:rsidR="0093433C" w:rsidRPr="00890249" w:rsidRDefault="00D10449"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307B0777" w14:textId="53B80AE7" w:rsidR="0093433C" w:rsidRPr="00890249" w:rsidRDefault="00AC276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Istn</w:t>
      </w:r>
      <w:r w:rsidR="00A41980" w:rsidRPr="00890249">
        <w:rPr>
          <w:rFonts w:asciiTheme="minorHAnsi" w:hAnsiTheme="minorHAnsi" w:cstheme="minorHAnsi"/>
          <w:noProof/>
          <w:sz w:val="22"/>
          <w:szCs w:val="22"/>
        </w:rPr>
        <w:t>ieje możliwość preferencji dla m</w:t>
      </w:r>
      <w:r w:rsidRPr="00890249">
        <w:rPr>
          <w:rFonts w:asciiTheme="minorHAnsi" w:hAnsiTheme="minorHAnsi" w:cstheme="minorHAnsi"/>
          <w:noProof/>
          <w:sz w:val="22"/>
          <w:szCs w:val="22"/>
        </w:rPr>
        <w:t xml:space="preserve">ieszkańców obszarów strategicznej interwencji, tj. miast średnich tracących funkcje społeczno-gospodarcze oraz </w:t>
      </w:r>
      <w:r w:rsidR="00A31553" w:rsidRPr="00890249">
        <w:rPr>
          <w:rFonts w:asciiTheme="minorHAnsi" w:hAnsiTheme="minorHAnsi" w:cstheme="minorHAnsi"/>
          <w:noProof/>
          <w:sz w:val="22"/>
          <w:szCs w:val="22"/>
        </w:rPr>
        <w:t xml:space="preserve">obszarów </w:t>
      </w:r>
      <w:r w:rsidRPr="00890249">
        <w:rPr>
          <w:rFonts w:asciiTheme="minorHAnsi" w:hAnsiTheme="minorHAnsi" w:cstheme="minorHAnsi"/>
          <w:noProof/>
          <w:sz w:val="22"/>
          <w:szCs w:val="22"/>
        </w:rPr>
        <w:t xml:space="preserve">zagrożonych trwałą marginalizacją, zidentyfikowanych na poziomie krajowym. </w:t>
      </w:r>
    </w:p>
    <w:p w14:paraId="71B2BBE2" w14:textId="77777777" w:rsidR="00CB3884" w:rsidRPr="00890249" w:rsidRDefault="00CB3884" w:rsidP="00CB388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Przedsięwzięcia międzyregionalne, transgraniczne i transnarodowe</w:t>
      </w:r>
    </w:p>
    <w:p w14:paraId="16946175" w14:textId="56871E8D" w:rsidR="0093433C" w:rsidRPr="00890249" w:rsidRDefault="008915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Wszystkie interwencje zaplanowane w </w:t>
      </w:r>
      <w:r w:rsidR="00A31553" w:rsidRPr="00890249">
        <w:rPr>
          <w:rFonts w:asciiTheme="minorHAnsi" w:hAnsiTheme="minorHAnsi" w:cstheme="minorHAnsi"/>
          <w:sz w:val="22"/>
          <w:szCs w:val="22"/>
          <w:lang w:eastAsia="en-US" w:bidi="ar-SA"/>
        </w:rPr>
        <w:t>cs (i)</w:t>
      </w:r>
      <w:r w:rsidRPr="00890249">
        <w:rPr>
          <w:rFonts w:asciiTheme="minorHAnsi" w:hAnsiTheme="minorHAnsi" w:cstheme="minorHAnsi"/>
          <w:sz w:val="22"/>
          <w:szCs w:val="22"/>
          <w:lang w:eastAsia="en-US" w:bidi="ar-SA"/>
        </w:rPr>
        <w:t xml:space="preserve"> będą przyczyniać się do poprawy jakości życia, w tym zwłaszcza osób zmarginalizowanych i zagrożonych wykluczeniem społecznym, poprzez zwiększanie dostępności do usług edukacyjnych, społecznych, zdrowotnych oraz wysokiej jakości miejsc pracy.</w:t>
      </w:r>
    </w:p>
    <w:p w14:paraId="16AB4B41" w14:textId="77777777" w:rsidR="0093433C" w:rsidRPr="00890249" w:rsidRDefault="005622F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z interwencją wskazaną w programach współpracy transgranicznej Interreg Czechy-Polska 2021-2027 oraz Interreg Region Morza Bałtyckiego 2021-2027.</w:t>
      </w:r>
    </w:p>
    <w:p w14:paraId="0289099D" w14:textId="0CC5FF9F" w:rsidR="0093433C" w:rsidRPr="00890249" w:rsidRDefault="008915F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 punktu widzenia wsparcia imigrantów działania zaplanowane w FEO 2021-2027 będą uzupełniać się</w:t>
      </w:r>
      <w:r w:rsidR="00A40EEE" w:rsidRPr="00890249">
        <w:rPr>
          <w:rFonts w:asciiTheme="minorHAnsi" w:hAnsiTheme="minorHAnsi" w:cstheme="minorHAnsi"/>
          <w:sz w:val="22"/>
          <w:szCs w:val="22"/>
          <w:lang w:eastAsia="en-US" w:bidi="ar-SA"/>
        </w:rPr>
        <w:t xml:space="preserve"> z </w:t>
      </w:r>
      <w:r w:rsidRPr="00890249">
        <w:rPr>
          <w:rFonts w:asciiTheme="minorHAnsi" w:hAnsiTheme="minorHAnsi" w:cstheme="minorHAnsi"/>
          <w:sz w:val="22"/>
          <w:szCs w:val="22"/>
          <w:lang w:eastAsia="en-US" w:bidi="ar-SA"/>
        </w:rPr>
        <w:t>interwencj</w:t>
      </w:r>
      <w:r w:rsidR="00A40EEE" w:rsidRPr="00890249">
        <w:rPr>
          <w:rFonts w:asciiTheme="minorHAnsi" w:hAnsiTheme="minorHAnsi" w:cstheme="minorHAnsi"/>
          <w:sz w:val="22"/>
          <w:szCs w:val="22"/>
          <w:lang w:eastAsia="en-US" w:bidi="ar-SA"/>
        </w:rPr>
        <w:t xml:space="preserve">ą </w:t>
      </w:r>
      <w:r w:rsidR="005622F0" w:rsidRPr="00890249">
        <w:rPr>
          <w:rFonts w:asciiTheme="minorHAnsi" w:hAnsiTheme="minorHAnsi" w:cstheme="minorHAnsi"/>
          <w:sz w:val="22"/>
          <w:szCs w:val="22"/>
          <w:lang w:eastAsia="en-US" w:bidi="ar-SA"/>
        </w:rPr>
        <w:t>wskazaną</w:t>
      </w:r>
      <w:r w:rsidRPr="00890249">
        <w:rPr>
          <w:rFonts w:asciiTheme="minorHAnsi" w:hAnsiTheme="minorHAnsi" w:cstheme="minorHAnsi"/>
          <w:sz w:val="22"/>
          <w:szCs w:val="22"/>
          <w:lang w:eastAsia="en-US" w:bidi="ar-SA"/>
        </w:rPr>
        <w:t xml:space="preserve"> w programie Erasmus+, którego celami są zwiększenie dostępności młodzieży do szeroko rozumianej edukacji.</w:t>
      </w:r>
      <w:r w:rsidR="00A40EEE" w:rsidRPr="00890249">
        <w:rPr>
          <w:rFonts w:asciiTheme="minorHAnsi" w:hAnsiTheme="minorHAnsi" w:cstheme="minorHAnsi"/>
          <w:sz w:val="22"/>
          <w:szCs w:val="22"/>
          <w:lang w:eastAsia="en-US" w:bidi="ar-SA"/>
        </w:rPr>
        <w:t xml:space="preserve"> </w:t>
      </w:r>
      <w:r w:rsidR="005622F0" w:rsidRPr="00890249">
        <w:rPr>
          <w:rFonts w:asciiTheme="minorHAnsi" w:hAnsiTheme="minorHAnsi" w:cstheme="minorHAnsi"/>
          <w:sz w:val="22"/>
          <w:szCs w:val="22"/>
          <w:lang w:eastAsia="en-US" w:bidi="ar-SA"/>
        </w:rPr>
        <w:t>T</w:t>
      </w:r>
      <w:r w:rsidR="00A40EEE" w:rsidRPr="00890249">
        <w:rPr>
          <w:rFonts w:asciiTheme="minorHAnsi" w:hAnsiTheme="minorHAnsi" w:cstheme="minorHAnsi"/>
          <w:sz w:val="22"/>
          <w:szCs w:val="22"/>
          <w:lang w:eastAsia="en-US" w:bidi="ar-SA"/>
        </w:rPr>
        <w:t>ym samym</w:t>
      </w:r>
      <w:r w:rsidR="005622F0" w:rsidRPr="00890249">
        <w:rPr>
          <w:rFonts w:asciiTheme="minorHAnsi" w:hAnsiTheme="minorHAnsi" w:cstheme="minorHAnsi"/>
          <w:sz w:val="22"/>
          <w:szCs w:val="22"/>
          <w:lang w:eastAsia="en-US" w:bidi="ar-SA"/>
        </w:rPr>
        <w:t xml:space="preserve"> spowoduje to</w:t>
      </w:r>
      <w:r w:rsidR="00A40EEE" w:rsidRPr="00890249">
        <w:rPr>
          <w:rFonts w:asciiTheme="minorHAnsi" w:hAnsiTheme="minorHAnsi" w:cstheme="minorHAnsi"/>
          <w:sz w:val="22"/>
          <w:szCs w:val="22"/>
          <w:lang w:eastAsia="en-US" w:bidi="ar-SA"/>
        </w:rPr>
        <w:t xml:space="preserve"> efekt synergii. </w:t>
      </w:r>
    </w:p>
    <w:p w14:paraId="3829301E" w14:textId="6938DA26"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lang w:eastAsia="en-US" w:bidi="ar-SA"/>
        </w:rPr>
        <w:t>Program ten, podobnie jak FEO 2021-2027 wskazuje na liczne bariery, na które napotykają młodzi ludzie, w tym różnice kulturowe, które mogą stanowić istotny problem w ogólnym uczeniu się, zwłaszcza dla osób ze środowisk migracyjnych lub uchodźczych – w szczególności  nowo przybyłych migrantów.</w:t>
      </w:r>
    </w:p>
    <w:p w14:paraId="6202D363" w14:textId="77777777" w:rsidR="00CB3884" w:rsidRPr="00890249" w:rsidRDefault="00CB3884" w:rsidP="00CB3884">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0D347A43" w14:textId="4515D3BF" w:rsidR="0093433C" w:rsidRPr="00890249" w:rsidRDefault="00E03E5F" w:rsidP="00890249">
      <w:pPr>
        <w:pStyle w:val="Nagwek7"/>
        <w:rPr>
          <w:rFonts w:asciiTheme="minorHAnsi" w:hAnsiTheme="minorHAnsi" w:cstheme="minorHAnsi"/>
          <w:noProof/>
          <w:sz w:val="22"/>
          <w:szCs w:val="22"/>
        </w:rPr>
      </w:pPr>
      <w:r w:rsidRPr="00890249">
        <w:rPr>
          <w:rFonts w:asciiTheme="minorHAnsi" w:eastAsia="Calibri" w:hAnsiTheme="minorHAnsi" w:cstheme="minorHAnsi"/>
          <w:i w:val="0"/>
          <w:iCs w:val="0"/>
          <w:noProof/>
          <w:color w:val="auto"/>
          <w:sz w:val="22"/>
          <w:szCs w:val="22"/>
        </w:rPr>
        <w:t xml:space="preserve">W ramach </w:t>
      </w:r>
      <w:r w:rsidR="00BA1D2F" w:rsidRPr="00890249">
        <w:rPr>
          <w:rFonts w:asciiTheme="minorHAnsi" w:eastAsia="Calibri" w:hAnsiTheme="minorHAnsi" w:cstheme="minorHAnsi"/>
          <w:i w:val="0"/>
          <w:iCs w:val="0"/>
          <w:noProof/>
          <w:color w:val="auto"/>
          <w:sz w:val="22"/>
          <w:szCs w:val="22"/>
        </w:rPr>
        <w:t>cs</w:t>
      </w:r>
      <w:r w:rsidRPr="00890249">
        <w:rPr>
          <w:rFonts w:asciiTheme="minorHAnsi" w:eastAsia="Calibri" w:hAnsiTheme="minorHAnsi" w:cstheme="minorHAnsi"/>
          <w:i w:val="0"/>
          <w:iCs w:val="0"/>
          <w:noProof/>
          <w:color w:val="auto"/>
          <w:sz w:val="22"/>
          <w:szCs w:val="22"/>
        </w:rPr>
        <w:t xml:space="preserve"> (i) nie planuje się wykorzystania instrumentów finansowych.</w:t>
      </w:r>
    </w:p>
    <w:p w14:paraId="77353A67" w14:textId="71692E76" w:rsidR="0093433C" w:rsidRPr="00890249" w:rsidRDefault="00E03E5F"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Planowane przedsięwzięcia dotyczą integracji społecznej obywateli państw trzecich. Beneficjentami w cs (i) </w:t>
      </w:r>
      <w:r w:rsidR="00C46153" w:rsidRPr="00890249">
        <w:rPr>
          <w:rFonts w:asciiTheme="minorHAnsi" w:hAnsiTheme="minorHAnsi" w:cstheme="minorHAnsi"/>
          <w:noProof/>
          <w:sz w:val="22"/>
          <w:szCs w:val="22"/>
        </w:rPr>
        <w:t>c</w:t>
      </w:r>
      <w:r w:rsidRPr="00890249">
        <w:rPr>
          <w:rFonts w:asciiTheme="minorHAnsi" w:hAnsiTheme="minorHAnsi" w:cstheme="minorHAnsi"/>
          <w:noProof/>
          <w:sz w:val="22"/>
          <w:szCs w:val="22"/>
        </w:rPr>
        <w:t>o do zasady nie będą przedsiębiorstwa. W tym cs nie będą realizowane przedsięwzięcia prowadzone dla zysku, samofinansujące się.</w:t>
      </w:r>
    </w:p>
    <w:p w14:paraId="730B95A3" w14:textId="6B284A2B" w:rsidR="0093433C" w:rsidRPr="00890249" w:rsidRDefault="0093433C" w:rsidP="00890249">
      <w:pPr>
        <w:pStyle w:val="Tekstpodstawowy"/>
        <w:rPr>
          <w:rFonts w:asciiTheme="minorHAnsi" w:hAnsiTheme="minorHAnsi" w:cstheme="minorHAnsi"/>
          <w:noProof/>
        </w:rPr>
      </w:pPr>
    </w:p>
    <w:p w14:paraId="7ABB8580" w14:textId="77777777" w:rsidR="00C150DE" w:rsidRPr="00890249" w:rsidRDefault="00C150DE" w:rsidP="00C150DE">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t>2.6.2.2 (i)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1"/>
        <w:gridCol w:w="693"/>
        <w:gridCol w:w="1009"/>
        <w:gridCol w:w="830"/>
        <w:gridCol w:w="2213"/>
        <w:gridCol w:w="830"/>
        <w:gridCol w:w="1106"/>
        <w:gridCol w:w="1072"/>
      </w:tblGrid>
      <w:tr w:rsidR="0034642D" w:rsidRPr="00890249" w14:paraId="7064A86F" w14:textId="77777777" w:rsidTr="00F96149">
        <w:trPr>
          <w:trHeight w:val="425"/>
        </w:trPr>
        <w:tc>
          <w:tcPr>
            <w:tcW w:w="5000" w:type="pct"/>
            <w:gridSpan w:val="9"/>
            <w:shd w:val="clear" w:color="auto" w:fill="D9D9D9" w:themeFill="background1" w:themeFillShade="D9"/>
            <w:vAlign w:val="center"/>
          </w:tcPr>
          <w:p w14:paraId="7440AE1E"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2A77FD37" w14:textId="77777777" w:rsidTr="00F96149">
        <w:trPr>
          <w:cantSplit/>
          <w:trHeight w:val="1647"/>
        </w:trPr>
        <w:tc>
          <w:tcPr>
            <w:tcW w:w="288" w:type="pct"/>
            <w:shd w:val="clear" w:color="auto" w:fill="F2F2F2" w:themeFill="background1" w:themeFillShade="F2"/>
            <w:textDirection w:val="btLr"/>
            <w:vAlign w:val="center"/>
          </w:tcPr>
          <w:p w14:paraId="609EAE1F"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428AC895"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613DD67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1C5A7BDD"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564E89D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1E0A5ADE"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0E4CA9C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2E18FFF2"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5" w:type="pct"/>
            <w:shd w:val="clear" w:color="auto" w:fill="F2F2F2" w:themeFill="background1" w:themeFillShade="F2"/>
            <w:textDirection w:val="btLr"/>
            <w:vAlign w:val="center"/>
          </w:tcPr>
          <w:p w14:paraId="101FAE8C"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F33378" w:rsidRPr="00890249" w14:paraId="7CA77A71" w14:textId="77777777" w:rsidTr="0043241C">
        <w:trPr>
          <w:trHeight w:val="340"/>
        </w:trPr>
        <w:tc>
          <w:tcPr>
            <w:tcW w:w="288" w:type="pct"/>
            <w:vAlign w:val="center"/>
          </w:tcPr>
          <w:p w14:paraId="5839DDFA" w14:textId="77777777" w:rsidR="00F33378" w:rsidRPr="00890249" w:rsidRDefault="00B74A0C" w:rsidP="006D15D3">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3F05A619" w14:textId="77777777" w:rsidR="00F33378" w:rsidRPr="00890249" w:rsidRDefault="00F33378" w:rsidP="00F33378">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4.i</w:t>
            </w:r>
          </w:p>
        </w:tc>
        <w:tc>
          <w:tcPr>
            <w:tcW w:w="384" w:type="pct"/>
            <w:vAlign w:val="center"/>
          </w:tcPr>
          <w:p w14:paraId="56C1E499" w14:textId="77777777" w:rsidR="00F33378" w:rsidRPr="00890249" w:rsidRDefault="00F33378" w:rsidP="00F33378">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676BA16A" w14:textId="77777777" w:rsidR="00F33378" w:rsidRPr="00890249" w:rsidRDefault="00B74A0C" w:rsidP="00F33378">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vAlign w:val="center"/>
          </w:tcPr>
          <w:p w14:paraId="271C4590" w14:textId="77777777" w:rsidR="00F33378" w:rsidRPr="00890249" w:rsidRDefault="00BD05BE" w:rsidP="00F33378">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EECO13</w:t>
            </w:r>
          </w:p>
        </w:tc>
        <w:tc>
          <w:tcPr>
            <w:tcW w:w="1226" w:type="pct"/>
            <w:shd w:val="clear" w:color="auto" w:fill="auto"/>
            <w:vAlign w:val="center"/>
          </w:tcPr>
          <w:p w14:paraId="02A567EE" w14:textId="77777777" w:rsidR="00F33378" w:rsidRPr="00890249" w:rsidRDefault="00F33378" w:rsidP="00F33378">
            <w:pPr>
              <w:jc w:val="left"/>
              <w:rPr>
                <w:rFonts w:asciiTheme="minorHAnsi" w:eastAsiaTheme="minorHAnsi" w:hAnsiTheme="minorHAnsi" w:cstheme="minorHAnsi"/>
                <w:i/>
                <w:sz w:val="18"/>
                <w:szCs w:val="18"/>
                <w:lang w:eastAsia="en-US" w:bidi="ar-SA"/>
              </w:rPr>
            </w:pPr>
            <w:r w:rsidRPr="00890249">
              <w:rPr>
                <w:rFonts w:asciiTheme="minorHAnsi" w:eastAsiaTheme="minorHAnsi" w:hAnsiTheme="minorHAnsi" w:cstheme="minorHAnsi"/>
                <w:i/>
                <w:sz w:val="18"/>
                <w:szCs w:val="18"/>
                <w:lang w:eastAsia="en-US" w:bidi="ar-SA"/>
              </w:rPr>
              <w:t>Liczba osób z krajów trzecich objętych wsparciem w programie</w:t>
            </w:r>
          </w:p>
        </w:tc>
        <w:tc>
          <w:tcPr>
            <w:tcW w:w="460" w:type="pct"/>
            <w:vAlign w:val="center"/>
          </w:tcPr>
          <w:p w14:paraId="1E90B4EF" w14:textId="02C1AC09" w:rsidR="00F33378" w:rsidRPr="00890249" w:rsidRDefault="00D9066C" w:rsidP="00F33378">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3079F365" w14:textId="5AF174D0" w:rsidR="00F33378" w:rsidRPr="00890249" w:rsidRDefault="00725402" w:rsidP="00F33378">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130</w:t>
            </w:r>
          </w:p>
        </w:tc>
        <w:tc>
          <w:tcPr>
            <w:tcW w:w="595" w:type="pct"/>
            <w:shd w:val="clear" w:color="auto" w:fill="auto"/>
            <w:vAlign w:val="center"/>
          </w:tcPr>
          <w:p w14:paraId="517B2782" w14:textId="3B80FC27" w:rsidR="00A63705" w:rsidRPr="00890249" w:rsidRDefault="002B2037" w:rsidP="0043241C">
            <w:pPr>
              <w:jc w:val="center"/>
              <w:rPr>
                <w:rFonts w:asciiTheme="minorHAnsi" w:hAnsiTheme="minorHAnsi" w:cstheme="minorHAnsi"/>
                <w:i/>
                <w:noProof/>
                <w:sz w:val="18"/>
                <w:szCs w:val="16"/>
              </w:rPr>
            </w:pPr>
            <w:r>
              <w:rPr>
                <w:rFonts w:asciiTheme="minorHAnsi" w:hAnsiTheme="minorHAnsi" w:cstheme="minorHAnsi"/>
                <w:i/>
                <w:noProof/>
                <w:sz w:val="18"/>
                <w:szCs w:val="16"/>
              </w:rPr>
              <w:t>1 550</w:t>
            </w:r>
          </w:p>
        </w:tc>
      </w:tr>
    </w:tbl>
    <w:p w14:paraId="4011478C" w14:textId="3F8C5B8C" w:rsidR="008C67B3" w:rsidRDefault="008C67B3" w:rsidP="00FF30E5">
      <w:pPr>
        <w:spacing w:after="0"/>
        <w:rPr>
          <w:rFonts w:asciiTheme="minorHAnsi" w:eastAsia="Times New Roman" w:hAnsiTheme="minorHAnsi" w:cstheme="minorHAnsi"/>
          <w:b/>
          <w:iCs/>
          <w:noProof/>
          <w:szCs w:val="24"/>
        </w:rPr>
      </w:pPr>
    </w:p>
    <w:p w14:paraId="1DEA4601" w14:textId="62C278ED" w:rsidR="00FF30E5" w:rsidRPr="00890249" w:rsidRDefault="008C67B3" w:rsidP="008C67B3">
      <w:pPr>
        <w:spacing w:before="0" w:after="160" w:line="259" w:lineRule="auto"/>
        <w:jc w:val="left"/>
        <w:rPr>
          <w:rFonts w:asciiTheme="minorHAnsi" w:eastAsia="Times New Roman" w:hAnsiTheme="minorHAnsi" w:cstheme="minorHAnsi"/>
          <w:b/>
          <w:iCs/>
          <w:noProof/>
          <w:szCs w:val="24"/>
        </w:rPr>
      </w:pPr>
      <w:r>
        <w:rPr>
          <w:rFonts w:asciiTheme="minorHAnsi" w:eastAsia="Times New Roman" w:hAnsiTheme="minorHAnsi" w:cstheme="minorHAnsi"/>
          <w:b/>
          <w:iCs/>
          <w:noProof/>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49"/>
        <w:gridCol w:w="690"/>
        <w:gridCol w:w="1004"/>
        <w:gridCol w:w="772"/>
        <w:gridCol w:w="1379"/>
        <w:gridCol w:w="826"/>
        <w:gridCol w:w="690"/>
        <w:gridCol w:w="593"/>
        <w:gridCol w:w="558"/>
        <w:gridCol w:w="603"/>
        <w:gridCol w:w="678"/>
      </w:tblGrid>
      <w:tr w:rsidR="0098169C" w:rsidRPr="00890249" w14:paraId="042A6499" w14:textId="77777777" w:rsidTr="003D6E86">
        <w:trPr>
          <w:trHeight w:val="480"/>
        </w:trPr>
        <w:tc>
          <w:tcPr>
            <w:tcW w:w="5000" w:type="pct"/>
            <w:gridSpan w:val="12"/>
            <w:shd w:val="clear" w:color="auto" w:fill="D9D9D9" w:themeFill="background1" w:themeFillShade="D9"/>
          </w:tcPr>
          <w:p w14:paraId="71F2A17E"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98169C" w:rsidRPr="00890249" w14:paraId="5955082F" w14:textId="77777777" w:rsidTr="003D6E86">
        <w:trPr>
          <w:cantSplit/>
          <w:trHeight w:val="1768"/>
        </w:trPr>
        <w:tc>
          <w:tcPr>
            <w:tcW w:w="286" w:type="pct"/>
            <w:shd w:val="clear" w:color="auto" w:fill="F2F2F2" w:themeFill="background1" w:themeFillShade="F2"/>
            <w:textDirection w:val="btLr"/>
            <w:vAlign w:val="center"/>
          </w:tcPr>
          <w:p w14:paraId="696204F1"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3" w:type="pct"/>
            <w:shd w:val="clear" w:color="auto" w:fill="F2F2F2" w:themeFill="background1" w:themeFillShade="F2"/>
            <w:textDirection w:val="btLr"/>
            <w:vAlign w:val="center"/>
          </w:tcPr>
          <w:p w14:paraId="706476B4"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1" w:type="pct"/>
            <w:shd w:val="clear" w:color="auto" w:fill="F2F2F2" w:themeFill="background1" w:themeFillShade="F2"/>
            <w:textDirection w:val="btLr"/>
            <w:vAlign w:val="center"/>
          </w:tcPr>
          <w:p w14:paraId="592AB97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4" w:type="pct"/>
            <w:shd w:val="clear" w:color="auto" w:fill="F2F2F2" w:themeFill="background1" w:themeFillShade="F2"/>
            <w:textDirection w:val="btLr"/>
            <w:vAlign w:val="center"/>
          </w:tcPr>
          <w:p w14:paraId="571A27F4"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6" w:type="pct"/>
            <w:shd w:val="clear" w:color="auto" w:fill="F2F2F2" w:themeFill="background1" w:themeFillShade="F2"/>
            <w:textDirection w:val="btLr"/>
            <w:vAlign w:val="center"/>
          </w:tcPr>
          <w:p w14:paraId="217BA30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1" w:type="pct"/>
            <w:shd w:val="clear" w:color="auto" w:fill="F2F2F2" w:themeFill="background1" w:themeFillShade="F2"/>
            <w:textDirection w:val="btLr"/>
            <w:vAlign w:val="center"/>
          </w:tcPr>
          <w:p w14:paraId="1F2AA9F3"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6" w:type="pct"/>
            <w:shd w:val="clear" w:color="auto" w:fill="F2F2F2" w:themeFill="background1" w:themeFillShade="F2"/>
            <w:textDirection w:val="btLr"/>
            <w:vAlign w:val="center"/>
          </w:tcPr>
          <w:p w14:paraId="42C697A9"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1" w:type="pct"/>
            <w:shd w:val="clear" w:color="auto" w:fill="F2F2F2" w:themeFill="background1" w:themeFillShade="F2"/>
            <w:textDirection w:val="btLr"/>
            <w:vAlign w:val="center"/>
          </w:tcPr>
          <w:p w14:paraId="57B4F3B4"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7" w:type="pct"/>
            <w:shd w:val="clear" w:color="auto" w:fill="F2F2F2" w:themeFill="background1" w:themeFillShade="F2"/>
            <w:textDirection w:val="btLr"/>
            <w:vAlign w:val="center"/>
          </w:tcPr>
          <w:p w14:paraId="53F61AE7"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8" w:type="pct"/>
            <w:shd w:val="clear" w:color="auto" w:fill="F2F2F2" w:themeFill="background1" w:themeFillShade="F2"/>
            <w:textDirection w:val="btLr"/>
            <w:vAlign w:val="center"/>
          </w:tcPr>
          <w:p w14:paraId="2372F9F2"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3" w:type="pct"/>
            <w:shd w:val="clear" w:color="auto" w:fill="F2F2F2" w:themeFill="background1" w:themeFillShade="F2"/>
            <w:textDirection w:val="btLr"/>
            <w:vAlign w:val="center"/>
          </w:tcPr>
          <w:p w14:paraId="0CEB6D3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74" w:type="pct"/>
            <w:shd w:val="clear" w:color="auto" w:fill="F2F2F2" w:themeFill="background1" w:themeFillShade="F2"/>
            <w:textDirection w:val="btLr"/>
            <w:vAlign w:val="center"/>
          </w:tcPr>
          <w:p w14:paraId="3EC9A894"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BD05BE" w:rsidRPr="00890249" w14:paraId="7E5923B3" w14:textId="77777777" w:rsidTr="003D6E86">
        <w:trPr>
          <w:trHeight w:val="434"/>
        </w:trPr>
        <w:tc>
          <w:tcPr>
            <w:tcW w:w="286" w:type="pct"/>
            <w:vAlign w:val="center"/>
          </w:tcPr>
          <w:p w14:paraId="2E27EBC9" w14:textId="77777777" w:rsidR="00BD05BE" w:rsidRPr="00890249" w:rsidRDefault="00BD05BE" w:rsidP="00BD05B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3" w:type="pct"/>
            <w:vAlign w:val="center"/>
          </w:tcPr>
          <w:p w14:paraId="4C8D4966" w14:textId="77777777" w:rsidR="00BD05BE" w:rsidRPr="00890249" w:rsidRDefault="00BD05BE" w:rsidP="00BD05B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4.i</w:t>
            </w:r>
          </w:p>
        </w:tc>
        <w:tc>
          <w:tcPr>
            <w:tcW w:w="381" w:type="pct"/>
            <w:vAlign w:val="center"/>
          </w:tcPr>
          <w:p w14:paraId="63459D8D" w14:textId="77777777" w:rsidR="00BD05BE" w:rsidRPr="00890249" w:rsidRDefault="00BD05BE" w:rsidP="00BD05B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EFS+</w:t>
            </w:r>
          </w:p>
        </w:tc>
        <w:tc>
          <w:tcPr>
            <w:tcW w:w="554" w:type="pct"/>
            <w:vAlign w:val="center"/>
          </w:tcPr>
          <w:p w14:paraId="00BA1FB7" w14:textId="77777777" w:rsidR="00BD05BE" w:rsidRPr="00890249" w:rsidRDefault="00BD05BE" w:rsidP="00BD05BE">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6" w:type="pct"/>
            <w:vAlign w:val="center"/>
          </w:tcPr>
          <w:p w14:paraId="7F5F5BC2" w14:textId="77777777" w:rsidR="00BD05BE" w:rsidRPr="00890249" w:rsidRDefault="00BD05BE" w:rsidP="00BD05B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EECR04</w:t>
            </w:r>
          </w:p>
        </w:tc>
        <w:tc>
          <w:tcPr>
            <w:tcW w:w="761" w:type="pct"/>
            <w:shd w:val="clear" w:color="auto" w:fill="auto"/>
            <w:vAlign w:val="center"/>
          </w:tcPr>
          <w:p w14:paraId="08502F19" w14:textId="77777777" w:rsidR="00BD05BE" w:rsidRPr="00890249" w:rsidRDefault="00BD05BE" w:rsidP="00BD05BE">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Liczba osób pracujących, łącznie z prowadzącymi działalność na własny rachunek, po opuszczeniu programu</w:t>
            </w:r>
          </w:p>
        </w:tc>
        <w:tc>
          <w:tcPr>
            <w:tcW w:w="456" w:type="pct"/>
            <w:vAlign w:val="center"/>
          </w:tcPr>
          <w:p w14:paraId="072B7647" w14:textId="3BC4FDED" w:rsidR="00BD05BE" w:rsidRPr="00890249" w:rsidRDefault="00D9066C" w:rsidP="00BD05B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381" w:type="pct"/>
            <w:vAlign w:val="center"/>
          </w:tcPr>
          <w:p w14:paraId="29652B01" w14:textId="77777777" w:rsidR="00BD05BE" w:rsidRPr="00890249" w:rsidRDefault="00BD05BE" w:rsidP="00BD05B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BD</w:t>
            </w:r>
          </w:p>
        </w:tc>
        <w:tc>
          <w:tcPr>
            <w:tcW w:w="327" w:type="pct"/>
            <w:vAlign w:val="center"/>
          </w:tcPr>
          <w:p w14:paraId="292F9B75" w14:textId="77777777" w:rsidR="00BD05BE" w:rsidRPr="00890249" w:rsidRDefault="006E088D" w:rsidP="00BD05B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08" w:type="pct"/>
            <w:shd w:val="clear" w:color="auto" w:fill="auto"/>
            <w:vAlign w:val="center"/>
          </w:tcPr>
          <w:p w14:paraId="226BA608" w14:textId="5E5630BE" w:rsidR="00BD05BE" w:rsidRPr="00890249" w:rsidRDefault="002B2037" w:rsidP="00BD05BE">
            <w:pPr>
              <w:jc w:val="center"/>
              <w:rPr>
                <w:rFonts w:asciiTheme="minorHAnsi" w:hAnsiTheme="minorHAnsi" w:cstheme="minorHAnsi"/>
                <w:b/>
                <w:noProof/>
                <w:sz w:val="18"/>
                <w:szCs w:val="16"/>
                <w:lang w:eastAsia="en-US" w:bidi="ar-SA"/>
              </w:rPr>
            </w:pPr>
            <w:r>
              <w:rPr>
                <w:rFonts w:asciiTheme="minorHAnsi" w:hAnsiTheme="minorHAnsi" w:cstheme="minorHAnsi"/>
                <w:b/>
                <w:noProof/>
                <w:sz w:val="18"/>
                <w:szCs w:val="16"/>
                <w:lang w:eastAsia="en-US" w:bidi="ar-SA"/>
              </w:rPr>
              <w:t>1</w:t>
            </w:r>
            <w:r w:rsidR="008F6E40" w:rsidRPr="00890249">
              <w:rPr>
                <w:rFonts w:asciiTheme="minorHAnsi" w:hAnsiTheme="minorHAnsi" w:cstheme="minorHAnsi"/>
                <w:b/>
                <w:noProof/>
                <w:sz w:val="18"/>
                <w:szCs w:val="16"/>
                <w:lang w:eastAsia="en-US" w:bidi="ar-SA"/>
              </w:rPr>
              <w:t>00</w:t>
            </w:r>
          </w:p>
        </w:tc>
        <w:tc>
          <w:tcPr>
            <w:tcW w:w="333" w:type="pct"/>
            <w:shd w:val="clear" w:color="auto" w:fill="auto"/>
            <w:vAlign w:val="center"/>
          </w:tcPr>
          <w:p w14:paraId="16CD422C" w14:textId="77777777" w:rsidR="00BD05BE" w:rsidRPr="00890249" w:rsidRDefault="006E088D" w:rsidP="00BD05BE">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74" w:type="pct"/>
            <w:vAlign w:val="center"/>
          </w:tcPr>
          <w:p w14:paraId="5B704D7A" w14:textId="4840BFA7" w:rsidR="00BD05BE" w:rsidRPr="00890249" w:rsidRDefault="008F6E40" w:rsidP="00BD05B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EECO13</w:t>
            </w:r>
          </w:p>
        </w:tc>
      </w:tr>
    </w:tbl>
    <w:p w14:paraId="505FB845" w14:textId="77777777" w:rsidR="008C67B3" w:rsidRPr="008C67B3" w:rsidRDefault="008C67B3" w:rsidP="00890249">
      <w:pPr>
        <w:pStyle w:val="Tekstpodstawowy"/>
        <w:rPr>
          <w:rFonts w:asciiTheme="minorHAnsi" w:hAnsiTheme="minorHAnsi" w:cstheme="minorHAnsi"/>
          <w:b/>
          <w:noProof/>
          <w:sz w:val="22"/>
        </w:rPr>
      </w:pPr>
    </w:p>
    <w:p w14:paraId="37AA7A31" w14:textId="59A60020" w:rsidR="0093433C" w:rsidRPr="008C67B3" w:rsidRDefault="00C65A91" w:rsidP="00890249">
      <w:pPr>
        <w:pStyle w:val="Tekstpodstawowy"/>
        <w:rPr>
          <w:rFonts w:asciiTheme="minorHAnsi" w:hAnsiTheme="minorHAnsi" w:cstheme="minorHAnsi"/>
          <w:b/>
          <w:noProof/>
          <w:sz w:val="22"/>
        </w:rPr>
      </w:pPr>
      <w:r w:rsidRPr="008C67B3">
        <w:rPr>
          <w:rFonts w:asciiTheme="minorHAnsi" w:hAnsiTheme="minorHAnsi" w:cstheme="minorHAnsi"/>
          <w:b/>
          <w:noProof/>
          <w:sz w:val="22"/>
        </w:rPr>
        <w:t>2.1.6.2.3</w:t>
      </w:r>
      <w:r w:rsidR="00875C92" w:rsidRPr="008C67B3">
        <w:rPr>
          <w:rFonts w:asciiTheme="minorHAnsi" w:hAnsiTheme="minorHAnsi" w:cstheme="minorHAnsi"/>
          <w:b/>
          <w:noProof/>
          <w:sz w:val="22"/>
        </w:rPr>
        <w:t>(i) Orientacyjny podział zasobów programu (UE) według rodzaju interwencji</w:t>
      </w:r>
    </w:p>
    <w:tbl>
      <w:tblPr>
        <w:tblStyle w:val="Tabela-Siatka"/>
        <w:tblW w:w="9322" w:type="dxa"/>
        <w:tblLook w:val="04A0" w:firstRow="1" w:lastRow="0" w:firstColumn="1" w:lastColumn="0" w:noHBand="0" w:noVBand="1"/>
      </w:tblPr>
      <w:tblGrid>
        <w:gridCol w:w="1516"/>
        <w:gridCol w:w="1307"/>
        <w:gridCol w:w="1376"/>
        <w:gridCol w:w="1438"/>
        <w:gridCol w:w="1701"/>
        <w:gridCol w:w="1984"/>
      </w:tblGrid>
      <w:tr w:rsidR="00BD5A2B" w:rsidRPr="00890249" w14:paraId="6239C109" w14:textId="77777777" w:rsidTr="003D6E86">
        <w:tc>
          <w:tcPr>
            <w:tcW w:w="9322" w:type="dxa"/>
            <w:gridSpan w:val="6"/>
            <w:shd w:val="clear" w:color="auto" w:fill="D9D9D9" w:themeFill="background1" w:themeFillShade="D9"/>
          </w:tcPr>
          <w:p w14:paraId="6640E262" w14:textId="77777777" w:rsidR="00BD5A2B" w:rsidRPr="00890249" w:rsidRDefault="00BD5A2B"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BD5A2B" w:rsidRPr="00890249" w14:paraId="54CD252C" w14:textId="77777777" w:rsidTr="00890249">
        <w:tc>
          <w:tcPr>
            <w:tcW w:w="1516" w:type="dxa"/>
            <w:tcBorders>
              <w:bottom w:val="single" w:sz="4" w:space="0" w:color="auto"/>
            </w:tcBorders>
            <w:shd w:val="clear" w:color="auto" w:fill="F2F2F2" w:themeFill="background1" w:themeFillShade="F2"/>
          </w:tcPr>
          <w:p w14:paraId="5CAF64A3"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07" w:type="dxa"/>
            <w:tcBorders>
              <w:bottom w:val="single" w:sz="4" w:space="0" w:color="auto"/>
            </w:tcBorders>
            <w:shd w:val="clear" w:color="auto" w:fill="F2F2F2" w:themeFill="background1" w:themeFillShade="F2"/>
          </w:tcPr>
          <w:p w14:paraId="4FB4B068"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6" w:type="dxa"/>
            <w:tcBorders>
              <w:bottom w:val="single" w:sz="4" w:space="0" w:color="auto"/>
            </w:tcBorders>
            <w:shd w:val="clear" w:color="auto" w:fill="F2F2F2" w:themeFill="background1" w:themeFillShade="F2"/>
          </w:tcPr>
          <w:p w14:paraId="61E074E6"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438" w:type="dxa"/>
            <w:tcBorders>
              <w:bottom w:val="single" w:sz="4" w:space="0" w:color="auto"/>
            </w:tcBorders>
            <w:shd w:val="clear" w:color="auto" w:fill="F2F2F2" w:themeFill="background1" w:themeFillShade="F2"/>
          </w:tcPr>
          <w:p w14:paraId="7AF183B4"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701" w:type="dxa"/>
            <w:tcBorders>
              <w:bottom w:val="single" w:sz="4" w:space="0" w:color="auto"/>
            </w:tcBorders>
            <w:shd w:val="clear" w:color="auto" w:fill="F2F2F2" w:themeFill="background1" w:themeFillShade="F2"/>
          </w:tcPr>
          <w:p w14:paraId="1E567CAA"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84" w:type="dxa"/>
            <w:tcBorders>
              <w:bottom w:val="single" w:sz="4" w:space="0" w:color="auto"/>
            </w:tcBorders>
            <w:shd w:val="clear" w:color="auto" w:fill="F2F2F2" w:themeFill="background1" w:themeFillShade="F2"/>
          </w:tcPr>
          <w:p w14:paraId="76F94B5D"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5A2B" w:rsidRPr="00890249" w14:paraId="3E0BEE70" w14:textId="77777777" w:rsidTr="00890249">
        <w:trPr>
          <w:trHeight w:val="284"/>
        </w:trPr>
        <w:tc>
          <w:tcPr>
            <w:tcW w:w="1516" w:type="dxa"/>
            <w:vMerge w:val="restart"/>
            <w:tcBorders>
              <w:top w:val="single" w:sz="4" w:space="0" w:color="auto"/>
              <w:left w:val="single" w:sz="4" w:space="0" w:color="auto"/>
              <w:bottom w:val="single" w:sz="4" w:space="0" w:color="auto"/>
              <w:right w:val="single" w:sz="4" w:space="0" w:color="auto"/>
            </w:tcBorders>
            <w:vAlign w:val="center"/>
          </w:tcPr>
          <w:p w14:paraId="5D17E286" w14:textId="77777777" w:rsidR="00BD5A2B" w:rsidRPr="00890249" w:rsidRDefault="00BD5A2B" w:rsidP="00BD5A2B">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07" w:type="dxa"/>
            <w:vMerge w:val="restart"/>
            <w:tcBorders>
              <w:top w:val="single" w:sz="4" w:space="0" w:color="auto"/>
              <w:left w:val="single" w:sz="4" w:space="0" w:color="auto"/>
              <w:bottom w:val="single" w:sz="4" w:space="0" w:color="auto"/>
              <w:right w:val="single" w:sz="4" w:space="0" w:color="auto"/>
            </w:tcBorders>
            <w:vAlign w:val="center"/>
          </w:tcPr>
          <w:p w14:paraId="785A0AD7" w14:textId="77777777" w:rsidR="00BD5A2B" w:rsidRPr="00890249" w:rsidRDefault="00BD5A2B" w:rsidP="00BD5A2B">
            <w:pPr>
              <w:jc w:val="center"/>
              <w:rPr>
                <w:rFonts w:asciiTheme="minorHAnsi" w:hAnsiTheme="minorHAnsi" w:cstheme="minorHAnsi"/>
                <w:noProof/>
                <w:sz w:val="20"/>
              </w:rPr>
            </w:pPr>
            <w:r w:rsidRPr="00890249">
              <w:rPr>
                <w:rFonts w:asciiTheme="minorHAnsi" w:hAnsiTheme="minorHAnsi" w:cstheme="minorHAnsi"/>
                <w:noProof/>
                <w:sz w:val="20"/>
              </w:rPr>
              <w:t>EFS</w:t>
            </w:r>
            <w:r w:rsidR="00133682" w:rsidRPr="00890249">
              <w:rPr>
                <w:rFonts w:asciiTheme="minorHAnsi" w:hAnsiTheme="minorHAnsi" w:cstheme="minorHAnsi"/>
                <w:noProof/>
                <w:sz w:val="20"/>
              </w:rPr>
              <w:t>+</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14:paraId="315EC3FB" w14:textId="77777777" w:rsidR="00BD5A2B" w:rsidRPr="00890249" w:rsidRDefault="00BD5A2B" w:rsidP="00BD5A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438" w:type="dxa"/>
            <w:vMerge w:val="restart"/>
            <w:tcBorders>
              <w:top w:val="single" w:sz="4" w:space="0" w:color="auto"/>
              <w:left w:val="single" w:sz="4" w:space="0" w:color="auto"/>
              <w:bottom w:val="single" w:sz="4" w:space="0" w:color="auto"/>
              <w:right w:val="single" w:sz="4" w:space="0" w:color="auto"/>
            </w:tcBorders>
            <w:vAlign w:val="center"/>
          </w:tcPr>
          <w:p w14:paraId="1B9140FD" w14:textId="77777777" w:rsidR="00BD5A2B" w:rsidRPr="00890249" w:rsidRDefault="00BD5A2B" w:rsidP="00BD5A2B">
            <w:pPr>
              <w:jc w:val="center"/>
              <w:rPr>
                <w:rFonts w:asciiTheme="minorHAnsi" w:hAnsiTheme="minorHAnsi" w:cstheme="minorHAnsi"/>
                <w:noProof/>
                <w:sz w:val="20"/>
              </w:rPr>
            </w:pPr>
            <w:r w:rsidRPr="00890249">
              <w:rPr>
                <w:rFonts w:asciiTheme="minorHAnsi" w:hAnsiTheme="minorHAnsi" w:cstheme="minorHAnsi"/>
                <w:noProof/>
                <w:sz w:val="20"/>
              </w:rPr>
              <w:t>(i)</w:t>
            </w:r>
          </w:p>
        </w:tc>
        <w:tc>
          <w:tcPr>
            <w:tcW w:w="1701" w:type="dxa"/>
            <w:tcBorders>
              <w:top w:val="single" w:sz="4" w:space="0" w:color="auto"/>
              <w:left w:val="single" w:sz="4" w:space="0" w:color="auto"/>
              <w:bottom w:val="single" w:sz="4" w:space="0" w:color="auto"/>
              <w:right w:val="single" w:sz="4" w:space="0" w:color="auto"/>
            </w:tcBorders>
          </w:tcPr>
          <w:p w14:paraId="2E76E45B" w14:textId="77777777" w:rsidR="00BD5A2B" w:rsidRPr="00890249" w:rsidRDefault="00D53D24" w:rsidP="00BD5A2B">
            <w:pPr>
              <w:jc w:val="center"/>
              <w:rPr>
                <w:rFonts w:asciiTheme="minorHAnsi" w:hAnsiTheme="minorHAnsi" w:cstheme="minorHAnsi"/>
                <w:noProof/>
                <w:sz w:val="20"/>
              </w:rPr>
            </w:pPr>
            <w:r w:rsidRPr="00890249">
              <w:rPr>
                <w:rFonts w:asciiTheme="minorHAnsi" w:hAnsiTheme="minorHAnsi" w:cstheme="minorHAnsi"/>
                <w:noProof/>
                <w:sz w:val="20"/>
              </w:rPr>
              <w:t>156</w:t>
            </w:r>
            <w:r w:rsidR="00A929A9" w:rsidRPr="00890249">
              <w:rPr>
                <w:rFonts w:asciiTheme="minorHAnsi" w:hAnsiTheme="minorHAnsi" w:cstheme="minorHAnsi"/>
                <w:noProof/>
                <w:sz w:val="20"/>
              </w:rPr>
              <w:t xml:space="preserve"> Działania szczególne na rzecz zwiększenia udziału obywateli państw trzecich w rynku pracy</w:t>
            </w:r>
          </w:p>
        </w:tc>
        <w:tc>
          <w:tcPr>
            <w:tcW w:w="1984" w:type="dxa"/>
            <w:tcBorders>
              <w:top w:val="single" w:sz="4" w:space="0" w:color="auto"/>
              <w:left w:val="single" w:sz="4" w:space="0" w:color="auto"/>
              <w:bottom w:val="single" w:sz="4" w:space="0" w:color="auto"/>
            </w:tcBorders>
          </w:tcPr>
          <w:p w14:paraId="2223449D" w14:textId="22217FCD" w:rsidR="00BD5A2B" w:rsidRPr="00890249" w:rsidRDefault="000D6A11" w:rsidP="00BD5A2B">
            <w:pPr>
              <w:jc w:val="right"/>
              <w:rPr>
                <w:rFonts w:asciiTheme="minorHAnsi" w:hAnsiTheme="minorHAnsi" w:cstheme="minorHAnsi"/>
                <w:noProof/>
                <w:sz w:val="20"/>
              </w:rPr>
            </w:pPr>
            <w:r>
              <w:rPr>
                <w:rFonts w:asciiTheme="minorHAnsi" w:hAnsiTheme="minorHAnsi" w:cstheme="minorHAnsi"/>
                <w:noProof/>
                <w:sz w:val="20"/>
              </w:rPr>
              <w:t>4 532 700</w:t>
            </w:r>
          </w:p>
        </w:tc>
      </w:tr>
      <w:tr w:rsidR="00F96149" w:rsidRPr="00890249" w14:paraId="1441CE6F" w14:textId="77777777" w:rsidTr="00890249">
        <w:trPr>
          <w:trHeight w:val="516"/>
        </w:trPr>
        <w:tc>
          <w:tcPr>
            <w:tcW w:w="1516" w:type="dxa"/>
            <w:vMerge/>
            <w:tcBorders>
              <w:top w:val="single" w:sz="4" w:space="0" w:color="auto"/>
              <w:left w:val="single" w:sz="4" w:space="0" w:color="auto"/>
              <w:bottom w:val="single" w:sz="4" w:space="0" w:color="auto"/>
              <w:right w:val="single" w:sz="4" w:space="0" w:color="auto"/>
            </w:tcBorders>
          </w:tcPr>
          <w:p w14:paraId="6AC70964" w14:textId="77777777" w:rsidR="00F96149" w:rsidRPr="00890249" w:rsidRDefault="00F96149" w:rsidP="00BD5A2B">
            <w:pPr>
              <w:jc w:val="center"/>
              <w:rPr>
                <w:rFonts w:asciiTheme="minorHAnsi" w:hAnsiTheme="minorHAnsi" w:cstheme="minorHAnsi"/>
                <w:noProof/>
                <w:sz w:val="20"/>
              </w:rPr>
            </w:pPr>
          </w:p>
        </w:tc>
        <w:tc>
          <w:tcPr>
            <w:tcW w:w="1307" w:type="dxa"/>
            <w:vMerge/>
            <w:tcBorders>
              <w:top w:val="single" w:sz="4" w:space="0" w:color="auto"/>
              <w:left w:val="single" w:sz="4" w:space="0" w:color="auto"/>
              <w:bottom w:val="single" w:sz="4" w:space="0" w:color="auto"/>
              <w:right w:val="single" w:sz="4" w:space="0" w:color="auto"/>
            </w:tcBorders>
          </w:tcPr>
          <w:p w14:paraId="70C01ED6" w14:textId="77777777" w:rsidR="00F96149" w:rsidRPr="00890249" w:rsidRDefault="00F96149" w:rsidP="00BD5A2B">
            <w:pPr>
              <w:jc w:val="center"/>
              <w:rPr>
                <w:rFonts w:asciiTheme="minorHAnsi" w:hAnsiTheme="minorHAnsi" w:cstheme="minorHAnsi"/>
                <w:noProof/>
                <w:sz w:val="20"/>
              </w:rPr>
            </w:pPr>
          </w:p>
        </w:tc>
        <w:tc>
          <w:tcPr>
            <w:tcW w:w="1376" w:type="dxa"/>
            <w:vMerge/>
            <w:tcBorders>
              <w:top w:val="single" w:sz="4" w:space="0" w:color="auto"/>
              <w:left w:val="single" w:sz="4" w:space="0" w:color="auto"/>
              <w:bottom w:val="single" w:sz="4" w:space="0" w:color="auto"/>
              <w:right w:val="single" w:sz="4" w:space="0" w:color="auto"/>
            </w:tcBorders>
          </w:tcPr>
          <w:p w14:paraId="156BEBF5" w14:textId="77777777" w:rsidR="00F96149" w:rsidRPr="00890249" w:rsidRDefault="00F96149" w:rsidP="00BD5A2B">
            <w:pPr>
              <w:jc w:val="center"/>
              <w:rPr>
                <w:rFonts w:asciiTheme="minorHAnsi" w:hAnsiTheme="minorHAnsi" w:cstheme="minorHAnsi"/>
                <w:noProof/>
                <w:sz w:val="20"/>
              </w:rPr>
            </w:pPr>
          </w:p>
        </w:tc>
        <w:tc>
          <w:tcPr>
            <w:tcW w:w="1438" w:type="dxa"/>
            <w:vMerge/>
            <w:tcBorders>
              <w:top w:val="single" w:sz="4" w:space="0" w:color="auto"/>
              <w:left w:val="single" w:sz="4" w:space="0" w:color="auto"/>
              <w:bottom w:val="single" w:sz="4" w:space="0" w:color="auto"/>
              <w:right w:val="single" w:sz="4" w:space="0" w:color="auto"/>
            </w:tcBorders>
            <w:vAlign w:val="center"/>
          </w:tcPr>
          <w:p w14:paraId="6847E55A" w14:textId="77777777" w:rsidR="00F96149" w:rsidRPr="00890249" w:rsidRDefault="00F96149" w:rsidP="00BD5A2B">
            <w:pPr>
              <w:jc w:val="center"/>
              <w:rPr>
                <w:rFonts w:asciiTheme="minorHAnsi" w:hAnsiTheme="minorHAnsi" w:cstheme="minorHAnsi"/>
                <w:noProof/>
                <w:sz w:val="20"/>
              </w:rPr>
            </w:pPr>
          </w:p>
        </w:tc>
        <w:tc>
          <w:tcPr>
            <w:tcW w:w="1701" w:type="dxa"/>
            <w:tcBorders>
              <w:top w:val="single" w:sz="4" w:space="0" w:color="auto"/>
              <w:left w:val="single" w:sz="4" w:space="0" w:color="auto"/>
              <w:right w:val="single" w:sz="4" w:space="0" w:color="auto"/>
            </w:tcBorders>
          </w:tcPr>
          <w:p w14:paraId="2936953F" w14:textId="77777777" w:rsidR="00F96149" w:rsidRPr="00890249" w:rsidRDefault="00F96149" w:rsidP="00BD5A2B">
            <w:pPr>
              <w:jc w:val="center"/>
              <w:rPr>
                <w:rFonts w:asciiTheme="minorHAnsi" w:hAnsiTheme="minorHAnsi" w:cstheme="minorHAnsi"/>
                <w:noProof/>
                <w:sz w:val="20"/>
              </w:rPr>
            </w:pPr>
            <w:r w:rsidRPr="00890249">
              <w:rPr>
                <w:rFonts w:asciiTheme="minorHAnsi" w:hAnsiTheme="minorHAnsi" w:cstheme="minorHAnsi"/>
                <w:noProof/>
                <w:sz w:val="20"/>
              </w:rPr>
              <w:t>157</w:t>
            </w:r>
            <w:r w:rsidR="00CE692C" w:rsidRPr="00890249">
              <w:rPr>
                <w:rFonts w:asciiTheme="minorHAnsi" w:hAnsiTheme="minorHAnsi" w:cstheme="minorHAnsi"/>
                <w:noProof/>
                <w:sz w:val="20"/>
              </w:rPr>
              <w:t xml:space="preserve"> Dzi</w:t>
            </w:r>
            <w:r w:rsidR="000D396E" w:rsidRPr="00890249">
              <w:rPr>
                <w:rFonts w:asciiTheme="minorHAnsi" w:hAnsiTheme="minorHAnsi" w:cstheme="minorHAnsi"/>
                <w:noProof/>
                <w:sz w:val="20"/>
              </w:rPr>
              <w:t>ałania na rzecz integracji społe</w:t>
            </w:r>
            <w:r w:rsidR="00CE692C" w:rsidRPr="00890249">
              <w:rPr>
                <w:rFonts w:asciiTheme="minorHAnsi" w:hAnsiTheme="minorHAnsi" w:cstheme="minorHAnsi"/>
                <w:noProof/>
                <w:sz w:val="20"/>
              </w:rPr>
              <w:t>cznej obywateli państw trzecich</w:t>
            </w:r>
          </w:p>
        </w:tc>
        <w:tc>
          <w:tcPr>
            <w:tcW w:w="1984" w:type="dxa"/>
            <w:tcBorders>
              <w:top w:val="single" w:sz="4" w:space="0" w:color="auto"/>
              <w:left w:val="single" w:sz="4" w:space="0" w:color="auto"/>
            </w:tcBorders>
          </w:tcPr>
          <w:p w14:paraId="2E086CC7" w14:textId="7A308DBF" w:rsidR="00F96149" w:rsidRPr="00890249" w:rsidRDefault="000D6A11" w:rsidP="00BD5A2B">
            <w:pPr>
              <w:jc w:val="right"/>
              <w:rPr>
                <w:rFonts w:asciiTheme="minorHAnsi" w:hAnsiTheme="minorHAnsi" w:cstheme="minorHAnsi"/>
                <w:noProof/>
                <w:sz w:val="20"/>
              </w:rPr>
            </w:pPr>
            <w:r>
              <w:rPr>
                <w:rFonts w:asciiTheme="minorHAnsi" w:hAnsiTheme="minorHAnsi" w:cstheme="minorHAnsi"/>
                <w:noProof/>
                <w:sz w:val="20"/>
              </w:rPr>
              <w:t>2 717 300</w:t>
            </w:r>
            <w:r w:rsidR="00312860" w:rsidRPr="00890249">
              <w:rPr>
                <w:rFonts w:asciiTheme="minorHAnsi" w:hAnsiTheme="minorHAnsi" w:cstheme="minorHAnsi"/>
                <w:noProof/>
                <w:sz w:val="20"/>
              </w:rPr>
              <w:t xml:space="preserve"> </w:t>
            </w:r>
          </w:p>
        </w:tc>
      </w:tr>
    </w:tbl>
    <w:p w14:paraId="3B993E62" w14:textId="77777777" w:rsidR="00BD5A2B" w:rsidRPr="00890249" w:rsidRDefault="00BD5A2B" w:rsidP="0063477E">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BD5A2B" w:rsidRPr="00890249" w14:paraId="3997DEB7" w14:textId="77777777" w:rsidTr="00521372">
        <w:tc>
          <w:tcPr>
            <w:tcW w:w="9288" w:type="dxa"/>
            <w:gridSpan w:val="6"/>
            <w:shd w:val="clear" w:color="auto" w:fill="D9D9D9" w:themeFill="background1" w:themeFillShade="D9"/>
          </w:tcPr>
          <w:p w14:paraId="00FB0913" w14:textId="77777777" w:rsidR="00BD5A2B" w:rsidRPr="00890249" w:rsidRDefault="00BD5A2B"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BD5A2B" w:rsidRPr="00890249" w14:paraId="0E183C9B" w14:textId="77777777" w:rsidTr="00521372">
        <w:tc>
          <w:tcPr>
            <w:tcW w:w="1599" w:type="dxa"/>
            <w:shd w:val="clear" w:color="auto" w:fill="F2F2F2" w:themeFill="background1" w:themeFillShade="F2"/>
          </w:tcPr>
          <w:p w14:paraId="1247F0E5"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6CF13B09"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7D72AACC"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30F4EEB"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6D535C1E"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201E76E"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5A2B" w:rsidRPr="00890249" w14:paraId="4DFEED9A" w14:textId="77777777" w:rsidTr="00890249">
        <w:tc>
          <w:tcPr>
            <w:tcW w:w="1599" w:type="dxa"/>
          </w:tcPr>
          <w:p w14:paraId="52D9D163" w14:textId="77777777" w:rsidR="00BD5A2B" w:rsidRPr="00890249" w:rsidRDefault="00BD5A2B" w:rsidP="0063477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09429CF5" w14:textId="77777777" w:rsidR="00BD5A2B" w:rsidRPr="00890249" w:rsidRDefault="00BD5A2B" w:rsidP="0063477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r w:rsidR="00133682" w:rsidRPr="00890249">
              <w:rPr>
                <w:rFonts w:asciiTheme="minorHAnsi" w:eastAsia="Times New Roman" w:hAnsiTheme="minorHAnsi" w:cstheme="minorHAnsi"/>
                <w:iCs/>
                <w:noProof/>
                <w:sz w:val="20"/>
              </w:rPr>
              <w:t>+</w:t>
            </w:r>
          </w:p>
        </w:tc>
        <w:tc>
          <w:tcPr>
            <w:tcW w:w="1433" w:type="dxa"/>
            <w:vAlign w:val="center"/>
          </w:tcPr>
          <w:p w14:paraId="5B8C1C3F" w14:textId="77777777" w:rsidR="00BD5A2B" w:rsidRPr="00890249" w:rsidRDefault="00BD5A2B" w:rsidP="0063477E">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29249466" w14:textId="77777777" w:rsidR="00BD5A2B" w:rsidRPr="00890249" w:rsidRDefault="00BD5A2B" w:rsidP="0063477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p>
        </w:tc>
        <w:tc>
          <w:tcPr>
            <w:tcW w:w="1053" w:type="dxa"/>
          </w:tcPr>
          <w:p w14:paraId="7B5DDC07" w14:textId="77777777" w:rsidR="00BD5A2B" w:rsidRPr="00890249" w:rsidRDefault="00BD5A2B" w:rsidP="0063477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CE692C" w:rsidRPr="00890249">
              <w:rPr>
                <w:rFonts w:asciiTheme="minorHAnsi" w:eastAsia="Times New Roman" w:hAnsiTheme="minorHAnsi" w:cstheme="minorHAnsi"/>
                <w:iCs/>
                <w:noProof/>
                <w:sz w:val="20"/>
              </w:rPr>
              <w:t xml:space="preserve"> Dotacja</w:t>
            </w:r>
          </w:p>
        </w:tc>
        <w:tc>
          <w:tcPr>
            <w:tcW w:w="2175" w:type="dxa"/>
          </w:tcPr>
          <w:p w14:paraId="5ACEE39D" w14:textId="33BAD405" w:rsidR="00BD5A2B" w:rsidRPr="00890249" w:rsidRDefault="000D6A11" w:rsidP="00AE1F7F">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7 250 000</w:t>
            </w:r>
          </w:p>
        </w:tc>
      </w:tr>
    </w:tbl>
    <w:p w14:paraId="47EE188B" w14:textId="523811D2" w:rsidR="008C67B3" w:rsidRDefault="008C67B3" w:rsidP="0063477E">
      <w:pPr>
        <w:spacing w:before="0" w:after="240"/>
        <w:rPr>
          <w:rFonts w:asciiTheme="minorHAnsi" w:hAnsiTheme="minorHAnsi" w:cstheme="minorHAnsi"/>
          <w:b/>
          <w:noProof/>
          <w:color w:val="FF0000"/>
          <w:sz w:val="22"/>
          <w:szCs w:val="22"/>
        </w:rPr>
      </w:pPr>
    </w:p>
    <w:p w14:paraId="73E924DC" w14:textId="310399FD" w:rsidR="00BD5A2B" w:rsidRPr="00890249" w:rsidRDefault="008C67B3" w:rsidP="008C67B3">
      <w:pPr>
        <w:spacing w:before="0" w:after="160" w:line="259" w:lineRule="auto"/>
        <w:jc w:val="left"/>
        <w:rPr>
          <w:rFonts w:asciiTheme="minorHAnsi" w:hAnsiTheme="minorHAnsi" w:cstheme="minorHAnsi"/>
          <w:b/>
          <w:noProof/>
          <w:color w:val="FF0000"/>
          <w:sz w:val="22"/>
          <w:szCs w:val="22"/>
        </w:rPr>
      </w:pPr>
      <w:r>
        <w:rPr>
          <w:rFonts w:asciiTheme="minorHAnsi" w:hAnsiTheme="minorHAnsi" w:cstheme="minorHAnsi"/>
          <w:b/>
          <w:noProof/>
          <w:color w:val="FF0000"/>
          <w:sz w:val="22"/>
          <w:szCs w:val="22"/>
        </w:rPr>
        <w:br w:type="page"/>
      </w:r>
    </w:p>
    <w:tbl>
      <w:tblPr>
        <w:tblStyle w:val="Tabela-Siatka"/>
        <w:tblW w:w="0" w:type="auto"/>
        <w:tblLook w:val="04A0" w:firstRow="1" w:lastRow="0" w:firstColumn="1" w:lastColumn="0" w:noHBand="0" w:noVBand="1"/>
      </w:tblPr>
      <w:tblGrid>
        <w:gridCol w:w="1494"/>
        <w:gridCol w:w="1289"/>
        <w:gridCol w:w="1319"/>
        <w:gridCol w:w="1610"/>
        <w:gridCol w:w="1520"/>
        <w:gridCol w:w="1829"/>
      </w:tblGrid>
      <w:tr w:rsidR="00BD5A2B" w:rsidRPr="00890249" w14:paraId="1EE14DC8" w14:textId="77777777" w:rsidTr="00F96149">
        <w:tc>
          <w:tcPr>
            <w:tcW w:w="9288" w:type="dxa"/>
            <w:gridSpan w:val="6"/>
            <w:shd w:val="clear" w:color="auto" w:fill="D9D9D9" w:themeFill="background1" w:themeFillShade="D9"/>
          </w:tcPr>
          <w:p w14:paraId="1430600B" w14:textId="2A579AD8" w:rsidR="00BD5A2B" w:rsidRPr="00890249" w:rsidRDefault="00BD5A2B" w:rsidP="00D53D24">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BD5A2B" w:rsidRPr="00890249" w14:paraId="52CB1D46" w14:textId="77777777" w:rsidTr="00F96149">
        <w:trPr>
          <w:trHeight w:val="364"/>
        </w:trPr>
        <w:tc>
          <w:tcPr>
            <w:tcW w:w="1599" w:type="dxa"/>
            <w:shd w:val="clear" w:color="auto" w:fill="F2F2F2" w:themeFill="background1" w:themeFillShade="F2"/>
          </w:tcPr>
          <w:p w14:paraId="4471A595"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56EA1A3F"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6DFDC9E9"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3C37E67B"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4791D9D2"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415E1EA9"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5A2B" w:rsidRPr="00890249" w14:paraId="122DC576" w14:textId="77777777" w:rsidTr="00BD5A2B">
        <w:tc>
          <w:tcPr>
            <w:tcW w:w="1599" w:type="dxa"/>
            <w:vAlign w:val="center"/>
          </w:tcPr>
          <w:p w14:paraId="552EE523" w14:textId="77777777" w:rsidR="00BD5A2B" w:rsidRPr="00890249" w:rsidRDefault="00BD5A2B"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03196056" w14:textId="77777777" w:rsidR="00BD5A2B" w:rsidRPr="00890249" w:rsidRDefault="00BD5A2B"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r w:rsidR="00133682" w:rsidRPr="00890249">
              <w:rPr>
                <w:rFonts w:asciiTheme="minorHAnsi" w:hAnsiTheme="minorHAnsi" w:cstheme="minorHAnsi"/>
                <w:noProof/>
                <w:sz w:val="20"/>
              </w:rPr>
              <w:t>+</w:t>
            </w:r>
          </w:p>
        </w:tc>
        <w:tc>
          <w:tcPr>
            <w:tcW w:w="1378" w:type="dxa"/>
            <w:vAlign w:val="center"/>
          </w:tcPr>
          <w:p w14:paraId="7F9176F0" w14:textId="77777777" w:rsidR="00BD5A2B" w:rsidRPr="00890249" w:rsidRDefault="00BD5A2B"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0A8CE222" w14:textId="70E21B8D" w:rsidR="00BD5A2B" w:rsidRPr="00890249" w:rsidRDefault="00194924" w:rsidP="00BD5A2B">
            <w:pPr>
              <w:jc w:val="center"/>
              <w:rPr>
                <w:rFonts w:asciiTheme="minorHAnsi" w:hAnsiTheme="minorHAnsi" w:cstheme="minorHAnsi"/>
                <w:noProof/>
                <w:sz w:val="20"/>
              </w:rPr>
            </w:pPr>
            <w:r w:rsidRPr="00890249">
              <w:rPr>
                <w:rFonts w:asciiTheme="minorHAnsi" w:hAnsiTheme="minorHAnsi" w:cstheme="minorHAnsi"/>
                <w:noProof/>
                <w:sz w:val="20"/>
              </w:rPr>
              <w:t>(i)</w:t>
            </w:r>
          </w:p>
        </w:tc>
        <w:tc>
          <w:tcPr>
            <w:tcW w:w="1136" w:type="dxa"/>
            <w:vAlign w:val="center"/>
          </w:tcPr>
          <w:p w14:paraId="59CBF004" w14:textId="2D47EB2E" w:rsidR="00BD5A2B" w:rsidRPr="00890249" w:rsidRDefault="00194924"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CE692C" w:rsidRPr="00890249">
              <w:rPr>
                <w:rFonts w:asciiTheme="minorHAnsi" w:eastAsia="Times New Roman" w:hAnsiTheme="minorHAnsi" w:cstheme="minorHAnsi"/>
                <w:iCs/>
                <w:noProof/>
                <w:sz w:val="20"/>
              </w:rPr>
              <w:t xml:space="preserve"> Brak ukierunkowania terytorialnego</w:t>
            </w:r>
          </w:p>
        </w:tc>
        <w:tc>
          <w:tcPr>
            <w:tcW w:w="2092" w:type="dxa"/>
            <w:vAlign w:val="center"/>
          </w:tcPr>
          <w:p w14:paraId="7FC3B618" w14:textId="7DDC25F5" w:rsidR="00B72154" w:rsidRPr="00890249" w:rsidRDefault="000D6A11" w:rsidP="00890249">
            <w:pPr>
              <w:jc w:val="right"/>
              <w:rPr>
                <w:rFonts w:asciiTheme="minorHAnsi" w:hAnsiTheme="minorHAnsi" w:cstheme="minorHAnsi"/>
                <w:noProof/>
                <w:sz w:val="20"/>
              </w:rPr>
            </w:pPr>
            <w:r>
              <w:rPr>
                <w:rFonts w:asciiTheme="minorHAnsi" w:hAnsiTheme="minorHAnsi" w:cstheme="minorHAnsi"/>
                <w:noProof/>
                <w:sz w:val="20"/>
              </w:rPr>
              <w:t>7 250 000</w:t>
            </w:r>
          </w:p>
        </w:tc>
      </w:tr>
    </w:tbl>
    <w:p w14:paraId="6A5A6B0E" w14:textId="77777777" w:rsidR="00236696" w:rsidRPr="00890249" w:rsidRDefault="00236696" w:rsidP="00BD5A2B">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70"/>
        <w:gridCol w:w="1266"/>
        <w:gridCol w:w="1347"/>
        <w:gridCol w:w="1548"/>
        <w:gridCol w:w="1651"/>
        <w:gridCol w:w="2040"/>
      </w:tblGrid>
      <w:tr w:rsidR="00BD5A2B" w:rsidRPr="00890249" w14:paraId="2A995F71" w14:textId="77777777" w:rsidTr="00521372">
        <w:tc>
          <w:tcPr>
            <w:tcW w:w="9322" w:type="dxa"/>
            <w:gridSpan w:val="6"/>
            <w:shd w:val="clear" w:color="auto" w:fill="D9D9D9" w:themeFill="background1" w:themeFillShade="D9"/>
          </w:tcPr>
          <w:p w14:paraId="033886D6" w14:textId="77777777" w:rsidR="00BD5A2B" w:rsidRPr="00890249" w:rsidRDefault="00BD5A2B">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431F06" w:rsidRPr="00890249">
              <w:rPr>
                <w:rFonts w:asciiTheme="minorHAnsi" w:hAnsiTheme="minorHAnsi" w:cstheme="minorHAnsi"/>
                <w:b/>
                <w:noProof/>
                <w:sz w:val="20"/>
              </w:rPr>
              <w:t>uzupełniające obszary tematyczne</w:t>
            </w:r>
            <w:r w:rsidRPr="00890249">
              <w:rPr>
                <w:rFonts w:asciiTheme="minorHAnsi" w:hAnsiTheme="minorHAnsi" w:cstheme="minorHAnsi"/>
                <w:b/>
                <w:noProof/>
                <w:sz w:val="20"/>
              </w:rPr>
              <w:t xml:space="preserve"> EFS+</w:t>
            </w:r>
          </w:p>
        </w:tc>
      </w:tr>
      <w:tr w:rsidR="00312860" w:rsidRPr="00890249" w14:paraId="55E9250C" w14:textId="77777777" w:rsidTr="00890249">
        <w:tc>
          <w:tcPr>
            <w:tcW w:w="1567" w:type="dxa"/>
            <w:tcBorders>
              <w:bottom w:val="single" w:sz="4" w:space="0" w:color="auto"/>
            </w:tcBorders>
            <w:shd w:val="clear" w:color="auto" w:fill="F2F2F2" w:themeFill="background1" w:themeFillShade="F2"/>
          </w:tcPr>
          <w:p w14:paraId="58EF2AA8"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54" w:type="dxa"/>
            <w:tcBorders>
              <w:bottom w:val="single" w:sz="4" w:space="0" w:color="auto"/>
            </w:tcBorders>
            <w:shd w:val="clear" w:color="auto" w:fill="F2F2F2" w:themeFill="background1" w:themeFillShade="F2"/>
          </w:tcPr>
          <w:p w14:paraId="6A444DDA"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1" w:type="dxa"/>
            <w:tcBorders>
              <w:bottom w:val="single" w:sz="4" w:space="0" w:color="auto"/>
            </w:tcBorders>
            <w:shd w:val="clear" w:color="auto" w:fill="F2F2F2" w:themeFill="background1" w:themeFillShade="F2"/>
          </w:tcPr>
          <w:p w14:paraId="596B8C0B"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tcBorders>
              <w:bottom w:val="single" w:sz="4" w:space="0" w:color="auto"/>
            </w:tcBorders>
            <w:shd w:val="clear" w:color="auto" w:fill="F2F2F2" w:themeFill="background1" w:themeFillShade="F2"/>
          </w:tcPr>
          <w:p w14:paraId="0DE878C3"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tcBorders>
              <w:bottom w:val="single" w:sz="4" w:space="0" w:color="auto"/>
            </w:tcBorders>
            <w:shd w:val="clear" w:color="auto" w:fill="F2F2F2" w:themeFill="background1" w:themeFillShade="F2"/>
          </w:tcPr>
          <w:p w14:paraId="2A6D807F"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8" w:type="dxa"/>
            <w:tcBorders>
              <w:bottom w:val="single" w:sz="4" w:space="0" w:color="auto"/>
            </w:tcBorders>
            <w:shd w:val="clear" w:color="auto" w:fill="F2F2F2" w:themeFill="background1" w:themeFillShade="F2"/>
          </w:tcPr>
          <w:p w14:paraId="45E74FB1" w14:textId="77777777" w:rsidR="00BD5A2B" w:rsidRPr="00890249" w:rsidRDefault="00BD5A2B" w:rsidP="00F96149">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312860" w:rsidRPr="00890249" w14:paraId="3C994BFB" w14:textId="77777777" w:rsidTr="00521372">
        <w:tc>
          <w:tcPr>
            <w:tcW w:w="1567" w:type="dxa"/>
            <w:vMerge w:val="restart"/>
            <w:vAlign w:val="center"/>
          </w:tcPr>
          <w:p w14:paraId="6C3F1ED7"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354" w:type="dxa"/>
            <w:vMerge w:val="restart"/>
            <w:vAlign w:val="center"/>
          </w:tcPr>
          <w:p w14:paraId="4C8F0402"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EFS+</w:t>
            </w:r>
          </w:p>
        </w:tc>
        <w:tc>
          <w:tcPr>
            <w:tcW w:w="1411" w:type="dxa"/>
            <w:vMerge w:val="restart"/>
            <w:vAlign w:val="center"/>
          </w:tcPr>
          <w:p w14:paraId="25999BC4"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620" w:type="dxa"/>
            <w:vMerge w:val="restart"/>
            <w:vAlign w:val="center"/>
          </w:tcPr>
          <w:p w14:paraId="10F97C48" w14:textId="77777777" w:rsidR="00B94245" w:rsidRPr="00890249" w:rsidRDefault="00B94245" w:rsidP="00B94245">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w:t>
            </w:r>
          </w:p>
        </w:tc>
        <w:tc>
          <w:tcPr>
            <w:tcW w:w="1022" w:type="dxa"/>
          </w:tcPr>
          <w:p w14:paraId="4E2193F9" w14:textId="77777777" w:rsidR="00B94245" w:rsidRPr="00890249" w:rsidRDefault="00B94245" w:rsidP="00B9424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w:t>
            </w:r>
            <w:r w:rsidR="00CE692C" w:rsidRPr="00890249">
              <w:rPr>
                <w:rFonts w:asciiTheme="minorHAnsi" w:eastAsia="Times New Roman" w:hAnsiTheme="minorHAnsi" w:cstheme="minorHAnsi"/>
                <w:iCs/>
                <w:noProof/>
                <w:sz w:val="20"/>
              </w:rPr>
              <w:t xml:space="preserve"> Niedyskryminacja</w:t>
            </w:r>
          </w:p>
        </w:tc>
        <w:tc>
          <w:tcPr>
            <w:tcW w:w="2348" w:type="dxa"/>
          </w:tcPr>
          <w:p w14:paraId="79368BAC" w14:textId="01A931E0" w:rsidR="00B94245" w:rsidRPr="00890249" w:rsidRDefault="000D6A11"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4 350 000</w:t>
            </w:r>
          </w:p>
        </w:tc>
      </w:tr>
      <w:tr w:rsidR="00312860" w:rsidRPr="00890249" w14:paraId="433DC98B" w14:textId="77777777" w:rsidTr="00521372">
        <w:tc>
          <w:tcPr>
            <w:tcW w:w="1567" w:type="dxa"/>
            <w:vMerge/>
            <w:vAlign w:val="center"/>
          </w:tcPr>
          <w:p w14:paraId="6004B7D2" w14:textId="77777777" w:rsidR="008A73B1" w:rsidRPr="00890249" w:rsidRDefault="008A73B1" w:rsidP="00BD5A2B">
            <w:pPr>
              <w:jc w:val="center"/>
              <w:rPr>
                <w:rFonts w:asciiTheme="minorHAnsi" w:eastAsia="Times New Roman" w:hAnsiTheme="minorHAnsi" w:cstheme="minorHAnsi"/>
                <w:iCs/>
                <w:noProof/>
                <w:sz w:val="20"/>
              </w:rPr>
            </w:pPr>
          </w:p>
        </w:tc>
        <w:tc>
          <w:tcPr>
            <w:tcW w:w="1354" w:type="dxa"/>
            <w:vMerge/>
            <w:vAlign w:val="center"/>
          </w:tcPr>
          <w:p w14:paraId="300CD2C0" w14:textId="77777777" w:rsidR="008A73B1" w:rsidRPr="00890249" w:rsidRDefault="008A73B1" w:rsidP="00BD5A2B">
            <w:pPr>
              <w:jc w:val="center"/>
              <w:rPr>
                <w:rFonts w:asciiTheme="minorHAnsi" w:hAnsiTheme="minorHAnsi" w:cstheme="minorHAnsi"/>
                <w:noProof/>
                <w:sz w:val="20"/>
              </w:rPr>
            </w:pPr>
          </w:p>
        </w:tc>
        <w:tc>
          <w:tcPr>
            <w:tcW w:w="1411" w:type="dxa"/>
            <w:vMerge/>
            <w:vAlign w:val="center"/>
          </w:tcPr>
          <w:p w14:paraId="76FDD2F5" w14:textId="77777777" w:rsidR="008A73B1" w:rsidRPr="00890249" w:rsidRDefault="008A73B1" w:rsidP="00BD5A2B">
            <w:pPr>
              <w:jc w:val="center"/>
              <w:rPr>
                <w:rFonts w:asciiTheme="minorHAnsi" w:hAnsiTheme="minorHAnsi" w:cstheme="minorHAnsi"/>
                <w:noProof/>
                <w:sz w:val="20"/>
              </w:rPr>
            </w:pPr>
          </w:p>
        </w:tc>
        <w:tc>
          <w:tcPr>
            <w:tcW w:w="1620" w:type="dxa"/>
            <w:vMerge/>
            <w:vAlign w:val="center"/>
          </w:tcPr>
          <w:p w14:paraId="0292FE96" w14:textId="77777777" w:rsidR="008A73B1" w:rsidRPr="00890249" w:rsidRDefault="008A73B1" w:rsidP="00BD5A2B">
            <w:pPr>
              <w:jc w:val="center"/>
              <w:rPr>
                <w:rFonts w:asciiTheme="minorHAnsi" w:eastAsia="Times New Roman" w:hAnsiTheme="minorHAnsi" w:cstheme="minorHAnsi"/>
                <w:b/>
                <w:iCs/>
                <w:noProof/>
                <w:sz w:val="20"/>
              </w:rPr>
            </w:pPr>
          </w:p>
        </w:tc>
        <w:tc>
          <w:tcPr>
            <w:tcW w:w="1022" w:type="dxa"/>
            <w:vAlign w:val="center"/>
          </w:tcPr>
          <w:p w14:paraId="5C3D8473" w14:textId="77777777" w:rsidR="008A73B1" w:rsidRPr="00890249" w:rsidRDefault="008A73B1"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06</w:t>
            </w:r>
            <w:r w:rsidR="00CE692C" w:rsidRPr="00890249">
              <w:rPr>
                <w:rFonts w:asciiTheme="minorHAnsi" w:eastAsia="Times New Roman" w:hAnsiTheme="minorHAnsi" w:cstheme="minorHAnsi"/>
                <w:iCs/>
                <w:noProof/>
                <w:sz w:val="20"/>
              </w:rPr>
              <w:t xml:space="preserve"> Zwalcznia ubóstwa dzieci</w:t>
            </w:r>
          </w:p>
        </w:tc>
        <w:tc>
          <w:tcPr>
            <w:tcW w:w="2348" w:type="dxa"/>
            <w:vAlign w:val="center"/>
          </w:tcPr>
          <w:p w14:paraId="3F0F2651" w14:textId="52EB1A3E" w:rsidR="008A73B1" w:rsidRPr="00890249" w:rsidRDefault="000D6A11"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725 000</w:t>
            </w:r>
          </w:p>
        </w:tc>
      </w:tr>
      <w:tr w:rsidR="00312860" w:rsidRPr="00890249" w14:paraId="37534CC1" w14:textId="77777777" w:rsidTr="00521372">
        <w:tc>
          <w:tcPr>
            <w:tcW w:w="1567" w:type="dxa"/>
            <w:vMerge/>
            <w:vAlign w:val="center"/>
          </w:tcPr>
          <w:p w14:paraId="3469A45A" w14:textId="77777777" w:rsidR="00B94245" w:rsidRPr="00890249" w:rsidRDefault="00B94245" w:rsidP="00BD5A2B">
            <w:pPr>
              <w:jc w:val="center"/>
              <w:rPr>
                <w:rFonts w:asciiTheme="minorHAnsi" w:eastAsia="Times New Roman" w:hAnsiTheme="minorHAnsi" w:cstheme="minorHAnsi"/>
                <w:iCs/>
                <w:noProof/>
                <w:sz w:val="20"/>
              </w:rPr>
            </w:pPr>
          </w:p>
        </w:tc>
        <w:tc>
          <w:tcPr>
            <w:tcW w:w="1354" w:type="dxa"/>
            <w:vMerge/>
            <w:vAlign w:val="center"/>
          </w:tcPr>
          <w:p w14:paraId="53D2D5C7" w14:textId="77777777" w:rsidR="00B94245" w:rsidRPr="00890249" w:rsidRDefault="00B94245" w:rsidP="00BD5A2B">
            <w:pPr>
              <w:jc w:val="center"/>
              <w:rPr>
                <w:rFonts w:asciiTheme="minorHAnsi" w:hAnsiTheme="minorHAnsi" w:cstheme="minorHAnsi"/>
                <w:noProof/>
                <w:sz w:val="20"/>
              </w:rPr>
            </w:pPr>
          </w:p>
        </w:tc>
        <w:tc>
          <w:tcPr>
            <w:tcW w:w="1411" w:type="dxa"/>
            <w:vMerge/>
            <w:vAlign w:val="center"/>
          </w:tcPr>
          <w:p w14:paraId="5A601F43" w14:textId="77777777" w:rsidR="00B94245" w:rsidRPr="00890249" w:rsidRDefault="00B94245" w:rsidP="00BD5A2B">
            <w:pPr>
              <w:jc w:val="center"/>
              <w:rPr>
                <w:rFonts w:asciiTheme="minorHAnsi" w:hAnsiTheme="minorHAnsi" w:cstheme="minorHAnsi"/>
                <w:noProof/>
                <w:sz w:val="20"/>
              </w:rPr>
            </w:pPr>
          </w:p>
        </w:tc>
        <w:tc>
          <w:tcPr>
            <w:tcW w:w="1620" w:type="dxa"/>
            <w:vMerge/>
            <w:vAlign w:val="center"/>
          </w:tcPr>
          <w:p w14:paraId="349C43BA" w14:textId="77777777" w:rsidR="00B94245" w:rsidRPr="00890249" w:rsidRDefault="00B94245" w:rsidP="00BD5A2B">
            <w:pPr>
              <w:jc w:val="center"/>
              <w:rPr>
                <w:rFonts w:asciiTheme="minorHAnsi" w:eastAsia="Times New Roman" w:hAnsiTheme="minorHAnsi" w:cstheme="minorHAnsi"/>
                <w:b/>
                <w:iCs/>
                <w:noProof/>
                <w:sz w:val="20"/>
              </w:rPr>
            </w:pPr>
          </w:p>
        </w:tc>
        <w:tc>
          <w:tcPr>
            <w:tcW w:w="1022" w:type="dxa"/>
            <w:vAlign w:val="center"/>
          </w:tcPr>
          <w:p w14:paraId="69DF101B" w14:textId="205A9B63" w:rsidR="00B94245" w:rsidRPr="00890249" w:rsidRDefault="00B94245"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w:t>
            </w:r>
            <w:r w:rsidR="00CE692C" w:rsidRPr="00890249">
              <w:rPr>
                <w:rFonts w:asciiTheme="minorHAnsi" w:eastAsia="Times New Roman" w:hAnsiTheme="minorHAnsi" w:cstheme="minorHAnsi"/>
                <w:iCs/>
                <w:noProof/>
                <w:sz w:val="20"/>
              </w:rPr>
              <w:t xml:space="preserve"> Budowanie zdolności organizacji społ</w:t>
            </w:r>
            <w:r w:rsidR="005E6389">
              <w:rPr>
                <w:rFonts w:asciiTheme="minorHAnsi" w:eastAsia="Times New Roman" w:hAnsiTheme="minorHAnsi" w:cstheme="minorHAnsi"/>
                <w:iCs/>
                <w:noProof/>
                <w:sz w:val="20"/>
              </w:rPr>
              <w:t>e</w:t>
            </w:r>
            <w:r w:rsidR="00CE692C" w:rsidRPr="00890249">
              <w:rPr>
                <w:rFonts w:asciiTheme="minorHAnsi" w:eastAsia="Times New Roman" w:hAnsiTheme="minorHAnsi" w:cstheme="minorHAnsi"/>
                <w:iCs/>
                <w:noProof/>
                <w:sz w:val="20"/>
              </w:rPr>
              <w:t>czeństwa obywatelskiego</w:t>
            </w:r>
          </w:p>
        </w:tc>
        <w:tc>
          <w:tcPr>
            <w:tcW w:w="2348" w:type="dxa"/>
            <w:vAlign w:val="center"/>
          </w:tcPr>
          <w:p w14:paraId="2D79DE56" w14:textId="4F07E241" w:rsidR="00B94245" w:rsidRPr="00890249" w:rsidRDefault="000D6A11"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725 000</w:t>
            </w:r>
          </w:p>
        </w:tc>
      </w:tr>
      <w:tr w:rsidR="00312860" w:rsidRPr="00890249" w14:paraId="269B7E0C" w14:textId="77777777" w:rsidTr="00890249">
        <w:tc>
          <w:tcPr>
            <w:tcW w:w="1567" w:type="dxa"/>
            <w:vMerge/>
            <w:tcBorders>
              <w:bottom w:val="single" w:sz="4" w:space="0" w:color="auto"/>
            </w:tcBorders>
            <w:vAlign w:val="center"/>
          </w:tcPr>
          <w:p w14:paraId="11B454D8" w14:textId="77777777" w:rsidR="00B94245" w:rsidRPr="00890249" w:rsidRDefault="00B94245" w:rsidP="00BD5A2B">
            <w:pPr>
              <w:jc w:val="center"/>
              <w:rPr>
                <w:rFonts w:asciiTheme="minorHAnsi" w:eastAsia="Times New Roman" w:hAnsiTheme="minorHAnsi" w:cstheme="minorHAnsi"/>
                <w:iCs/>
                <w:noProof/>
                <w:sz w:val="20"/>
              </w:rPr>
            </w:pPr>
          </w:p>
        </w:tc>
        <w:tc>
          <w:tcPr>
            <w:tcW w:w="1354" w:type="dxa"/>
            <w:vMerge/>
            <w:tcBorders>
              <w:bottom w:val="single" w:sz="4" w:space="0" w:color="auto"/>
            </w:tcBorders>
            <w:vAlign w:val="center"/>
          </w:tcPr>
          <w:p w14:paraId="4E2795F2" w14:textId="77777777" w:rsidR="00B94245" w:rsidRPr="00890249" w:rsidRDefault="00B94245" w:rsidP="00BD5A2B">
            <w:pPr>
              <w:jc w:val="center"/>
              <w:rPr>
                <w:rFonts w:asciiTheme="minorHAnsi" w:hAnsiTheme="minorHAnsi" w:cstheme="minorHAnsi"/>
                <w:noProof/>
                <w:sz w:val="20"/>
              </w:rPr>
            </w:pPr>
          </w:p>
        </w:tc>
        <w:tc>
          <w:tcPr>
            <w:tcW w:w="1411" w:type="dxa"/>
            <w:vMerge/>
            <w:tcBorders>
              <w:bottom w:val="single" w:sz="4" w:space="0" w:color="auto"/>
            </w:tcBorders>
            <w:vAlign w:val="center"/>
          </w:tcPr>
          <w:p w14:paraId="5FB03696" w14:textId="77777777" w:rsidR="00B94245" w:rsidRPr="00890249" w:rsidRDefault="00B94245" w:rsidP="00BD5A2B">
            <w:pPr>
              <w:jc w:val="center"/>
              <w:rPr>
                <w:rFonts w:asciiTheme="minorHAnsi" w:hAnsiTheme="minorHAnsi" w:cstheme="minorHAnsi"/>
                <w:noProof/>
                <w:sz w:val="20"/>
              </w:rPr>
            </w:pPr>
          </w:p>
        </w:tc>
        <w:tc>
          <w:tcPr>
            <w:tcW w:w="1620" w:type="dxa"/>
            <w:vMerge/>
            <w:tcBorders>
              <w:bottom w:val="single" w:sz="4" w:space="0" w:color="auto"/>
            </w:tcBorders>
            <w:vAlign w:val="center"/>
          </w:tcPr>
          <w:p w14:paraId="062AF1E3" w14:textId="77777777" w:rsidR="00B94245" w:rsidRPr="00890249" w:rsidRDefault="00B94245" w:rsidP="00BD5A2B">
            <w:pPr>
              <w:jc w:val="center"/>
              <w:rPr>
                <w:rFonts w:asciiTheme="minorHAnsi" w:eastAsia="Times New Roman" w:hAnsiTheme="minorHAnsi" w:cstheme="minorHAnsi"/>
                <w:b/>
                <w:iCs/>
                <w:noProof/>
                <w:sz w:val="20"/>
              </w:rPr>
            </w:pPr>
          </w:p>
        </w:tc>
        <w:tc>
          <w:tcPr>
            <w:tcW w:w="1022" w:type="dxa"/>
            <w:tcBorders>
              <w:bottom w:val="single" w:sz="4" w:space="0" w:color="auto"/>
            </w:tcBorders>
            <w:vAlign w:val="center"/>
          </w:tcPr>
          <w:p w14:paraId="388E3954" w14:textId="6F4621D5" w:rsidR="00B94245" w:rsidRPr="00890249" w:rsidRDefault="00517758"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Działania podejmowane w odpowiedzi na wyzwania wskazane w ramach semestru europejskiego</w:t>
            </w:r>
          </w:p>
        </w:tc>
        <w:tc>
          <w:tcPr>
            <w:tcW w:w="2348" w:type="dxa"/>
            <w:tcBorders>
              <w:bottom w:val="single" w:sz="4" w:space="0" w:color="auto"/>
            </w:tcBorders>
            <w:vAlign w:val="center"/>
          </w:tcPr>
          <w:p w14:paraId="433A1745" w14:textId="7C7FC7C7" w:rsidR="00B94245" w:rsidRPr="00890249" w:rsidRDefault="000D6A11" w:rsidP="00B9424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1 450 000</w:t>
            </w:r>
          </w:p>
        </w:tc>
      </w:tr>
    </w:tbl>
    <w:p w14:paraId="29C9EE53" w14:textId="77777777" w:rsidR="00236696" w:rsidRPr="00890249" w:rsidRDefault="00236696">
      <w:pPr>
        <w:spacing w:before="0" w:after="160" w:line="259" w:lineRule="auto"/>
        <w:jc w:val="left"/>
        <w:rPr>
          <w:rFonts w:asciiTheme="minorHAnsi" w:hAnsiTheme="minorHAnsi" w:cstheme="minorHAnsi"/>
          <w:b/>
          <w:noProof/>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71"/>
        <w:gridCol w:w="1350"/>
        <w:gridCol w:w="1569"/>
        <w:gridCol w:w="1761"/>
        <w:gridCol w:w="1907"/>
      </w:tblGrid>
      <w:tr w:rsidR="00613A79" w:rsidRPr="00890249" w14:paraId="6A96419E" w14:textId="77777777" w:rsidTr="00521372">
        <w:tc>
          <w:tcPr>
            <w:tcW w:w="9322" w:type="dxa"/>
            <w:gridSpan w:val="6"/>
            <w:shd w:val="clear" w:color="auto" w:fill="D9D9D9" w:themeFill="background1" w:themeFillShade="D9"/>
          </w:tcPr>
          <w:p w14:paraId="35752842" w14:textId="77777777" w:rsidR="00613A79" w:rsidRPr="00890249" w:rsidRDefault="00613A79" w:rsidP="00613A79">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 xml:space="preserve">Tabela 8: Wymiar 7 – </w:t>
            </w:r>
            <w:r w:rsidR="00431F06" w:rsidRPr="00890249">
              <w:rPr>
                <w:rFonts w:asciiTheme="minorHAnsi" w:eastAsiaTheme="minorHAnsi" w:hAnsiTheme="minorHAnsi" w:cstheme="minorHAnsi"/>
                <w:b/>
                <w:sz w:val="20"/>
                <w:szCs w:val="22"/>
                <w:lang w:eastAsia="en-US" w:bidi="ar-SA"/>
              </w:rPr>
              <w:t>wymiar „Równouprawnienia płci” w ramach EFS+, EFRR, Fundusz Spójności i FST</w:t>
            </w:r>
          </w:p>
        </w:tc>
      </w:tr>
      <w:tr w:rsidR="00613A79" w:rsidRPr="00890249" w14:paraId="5C27FCBF" w14:textId="77777777" w:rsidTr="00C150DE">
        <w:tc>
          <w:tcPr>
            <w:tcW w:w="1464" w:type="dxa"/>
            <w:shd w:val="clear" w:color="auto" w:fill="F2F2F2" w:themeFill="background1" w:themeFillShade="F2"/>
          </w:tcPr>
          <w:p w14:paraId="21603BD8"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271" w:type="dxa"/>
            <w:shd w:val="clear" w:color="auto" w:fill="F2F2F2" w:themeFill="background1" w:themeFillShade="F2"/>
          </w:tcPr>
          <w:p w14:paraId="03E48119"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350" w:type="dxa"/>
            <w:shd w:val="clear" w:color="auto" w:fill="F2F2F2" w:themeFill="background1" w:themeFillShade="F2"/>
          </w:tcPr>
          <w:p w14:paraId="70395553"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569" w:type="dxa"/>
            <w:shd w:val="clear" w:color="auto" w:fill="F2F2F2" w:themeFill="background1" w:themeFillShade="F2"/>
          </w:tcPr>
          <w:p w14:paraId="628B48A9"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761" w:type="dxa"/>
            <w:shd w:val="clear" w:color="auto" w:fill="F2F2F2" w:themeFill="background1" w:themeFillShade="F2"/>
          </w:tcPr>
          <w:p w14:paraId="146F70CF"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1907" w:type="dxa"/>
            <w:shd w:val="clear" w:color="auto" w:fill="F2F2F2" w:themeFill="background1" w:themeFillShade="F2"/>
          </w:tcPr>
          <w:p w14:paraId="124780E1"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304F40" w:rsidRPr="00890249" w14:paraId="41A081ED" w14:textId="77777777" w:rsidTr="00236696">
        <w:trPr>
          <w:trHeight w:val="1025"/>
        </w:trPr>
        <w:tc>
          <w:tcPr>
            <w:tcW w:w="1464" w:type="dxa"/>
            <w:shd w:val="clear" w:color="auto" w:fill="auto"/>
            <w:vAlign w:val="center"/>
          </w:tcPr>
          <w:p w14:paraId="05181065" w14:textId="77777777" w:rsidR="00304F40" w:rsidRPr="00890249" w:rsidRDefault="0009010C" w:rsidP="00B94D07">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eastAsia="Times New Roman" w:hAnsiTheme="minorHAnsi" w:cstheme="minorHAnsi"/>
                <w:iCs/>
                <w:noProof/>
                <w:sz w:val="20"/>
              </w:rPr>
              <w:t>CP 4</w:t>
            </w:r>
          </w:p>
        </w:tc>
        <w:tc>
          <w:tcPr>
            <w:tcW w:w="1271" w:type="dxa"/>
            <w:shd w:val="clear" w:color="auto" w:fill="auto"/>
            <w:vAlign w:val="center"/>
          </w:tcPr>
          <w:p w14:paraId="0739A07A" w14:textId="77777777" w:rsidR="00304F40" w:rsidRPr="00890249" w:rsidRDefault="00304F40" w:rsidP="00B94D07">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hAnsiTheme="minorHAnsi" w:cstheme="minorHAnsi"/>
                <w:noProof/>
                <w:sz w:val="20"/>
              </w:rPr>
              <w:t>EFS+</w:t>
            </w:r>
          </w:p>
        </w:tc>
        <w:tc>
          <w:tcPr>
            <w:tcW w:w="1350" w:type="dxa"/>
            <w:shd w:val="clear" w:color="auto" w:fill="auto"/>
            <w:vAlign w:val="center"/>
          </w:tcPr>
          <w:p w14:paraId="48CE1B1F" w14:textId="77777777" w:rsidR="00304F40" w:rsidRPr="00890249" w:rsidRDefault="00304F40" w:rsidP="00B94D07">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hAnsiTheme="minorHAnsi" w:cstheme="minorHAnsi"/>
                <w:noProof/>
                <w:sz w:val="20"/>
              </w:rPr>
              <w:t>słabiej rozwinięte</w:t>
            </w:r>
          </w:p>
        </w:tc>
        <w:tc>
          <w:tcPr>
            <w:tcW w:w="1569" w:type="dxa"/>
            <w:shd w:val="clear" w:color="auto" w:fill="auto"/>
            <w:vAlign w:val="center"/>
          </w:tcPr>
          <w:p w14:paraId="25F353F2" w14:textId="77777777" w:rsidR="00304F40" w:rsidRPr="00890249" w:rsidRDefault="00D53D24" w:rsidP="00D53D2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(i)</w:t>
            </w:r>
          </w:p>
        </w:tc>
        <w:tc>
          <w:tcPr>
            <w:tcW w:w="1761" w:type="dxa"/>
            <w:shd w:val="clear" w:color="auto" w:fill="auto"/>
            <w:vAlign w:val="center"/>
          </w:tcPr>
          <w:p w14:paraId="02E84309" w14:textId="645400E2" w:rsidR="00304F40" w:rsidRPr="00890249" w:rsidRDefault="00D53D24" w:rsidP="00D53D2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CE692C" w:rsidRPr="00890249">
              <w:rPr>
                <w:rFonts w:asciiTheme="minorHAnsi" w:eastAsia="Times New Roman" w:hAnsiTheme="minorHAnsi" w:cstheme="minorHAnsi"/>
                <w:iCs/>
                <w:noProof/>
                <w:sz w:val="20"/>
                <w:szCs w:val="22"/>
                <w:lang w:eastAsia="en-US" w:bidi="ar-SA"/>
              </w:rPr>
              <w:t xml:space="preserve"> Projekty uwzgl</w:t>
            </w:r>
            <w:r w:rsidR="00BD3219" w:rsidRPr="00890249">
              <w:rPr>
                <w:rFonts w:asciiTheme="minorHAnsi" w:eastAsia="Times New Roman" w:hAnsiTheme="minorHAnsi" w:cstheme="minorHAnsi"/>
                <w:iCs/>
                <w:noProof/>
                <w:sz w:val="20"/>
                <w:szCs w:val="22"/>
                <w:lang w:eastAsia="en-US" w:bidi="ar-SA"/>
              </w:rPr>
              <w:t>ę</w:t>
            </w:r>
            <w:r w:rsidR="00CE692C" w:rsidRPr="00890249">
              <w:rPr>
                <w:rFonts w:asciiTheme="minorHAnsi" w:eastAsia="Times New Roman" w:hAnsiTheme="minorHAnsi" w:cstheme="minorHAnsi"/>
                <w:iCs/>
                <w:noProof/>
                <w:sz w:val="20"/>
                <w:szCs w:val="22"/>
                <w:lang w:eastAsia="en-US" w:bidi="ar-SA"/>
              </w:rPr>
              <w:t>dniające kwestię równouprawnienia płci</w:t>
            </w:r>
          </w:p>
        </w:tc>
        <w:tc>
          <w:tcPr>
            <w:tcW w:w="1907" w:type="dxa"/>
            <w:shd w:val="clear" w:color="auto" w:fill="auto"/>
            <w:vAlign w:val="center"/>
          </w:tcPr>
          <w:p w14:paraId="236054C3" w14:textId="4D201A46" w:rsidR="00304F40" w:rsidRPr="00890249" w:rsidRDefault="000D6A11" w:rsidP="00D53D24">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7 250 000</w:t>
            </w:r>
          </w:p>
        </w:tc>
      </w:tr>
    </w:tbl>
    <w:p w14:paraId="1D344DDE" w14:textId="77777777" w:rsidR="00236696" w:rsidRDefault="00236696" w:rsidP="00236696">
      <w:pPr>
        <w:shd w:val="clear" w:color="auto" w:fill="FFFFFF" w:themeFill="background1"/>
        <w:spacing w:before="240" w:after="240"/>
        <w:rPr>
          <w:rFonts w:asciiTheme="minorHAnsi" w:hAnsiTheme="minorHAnsi" w:cstheme="minorHAnsi"/>
          <w:b/>
          <w:noProof/>
          <w:sz w:val="22"/>
        </w:rPr>
      </w:pPr>
    </w:p>
    <w:p w14:paraId="4B4A6CA0" w14:textId="77777777" w:rsidR="00236696" w:rsidRDefault="00236696">
      <w:pPr>
        <w:spacing w:before="0" w:after="160" w:line="259" w:lineRule="auto"/>
        <w:jc w:val="left"/>
        <w:rPr>
          <w:rFonts w:asciiTheme="minorHAnsi" w:hAnsiTheme="minorHAnsi" w:cstheme="minorHAnsi"/>
          <w:b/>
          <w:noProof/>
          <w:sz w:val="22"/>
        </w:rPr>
      </w:pPr>
      <w:r>
        <w:rPr>
          <w:rFonts w:asciiTheme="minorHAnsi" w:hAnsiTheme="minorHAnsi" w:cstheme="minorHAnsi"/>
          <w:b/>
          <w:noProof/>
          <w:sz w:val="22"/>
        </w:rPr>
        <w:br w:type="page"/>
      </w:r>
    </w:p>
    <w:p w14:paraId="5D96ACAD" w14:textId="7A9BEFC6" w:rsidR="00C150DE" w:rsidRPr="00890249" w:rsidRDefault="00C150DE" w:rsidP="00C150DE">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2.1.6.3 (j) Cel szczegółowy</w:t>
      </w:r>
    </w:p>
    <w:p w14:paraId="786B3E90" w14:textId="77777777" w:rsidR="00C150DE" w:rsidRPr="00890249" w:rsidRDefault="00C150DE" w:rsidP="00C150DE">
      <w:pPr>
        <w:spacing w:before="240" w:after="240" w:line="276" w:lineRule="auto"/>
        <w:rPr>
          <w:rFonts w:asciiTheme="minorHAnsi" w:hAnsiTheme="minorHAnsi" w:cstheme="minorHAnsi"/>
          <w:b/>
          <w:noProof/>
          <w:color w:val="1F4E79" w:themeColor="accent1" w:themeShade="80"/>
        </w:rPr>
      </w:pPr>
      <w:r w:rsidRPr="00890249">
        <w:rPr>
          <w:rFonts w:asciiTheme="minorHAnsi" w:hAnsiTheme="minorHAnsi" w:cstheme="minorHAnsi"/>
          <w:b/>
          <w:noProof/>
          <w:color w:val="2F5496" w:themeColor="accent5" w:themeShade="BF"/>
          <w:sz w:val="22"/>
        </w:rPr>
        <w:t>(</w:t>
      </w:r>
      <w:r w:rsidRPr="00890249">
        <w:rPr>
          <w:rFonts w:asciiTheme="minorHAnsi" w:hAnsiTheme="minorHAnsi" w:cstheme="minorHAnsi"/>
          <w:b/>
          <w:noProof/>
          <w:color w:val="2F5496" w:themeColor="accent5" w:themeShade="BF"/>
          <w:szCs w:val="22"/>
        </w:rPr>
        <w:t>j) Wspieranie integracji społeczno-gospodarczej społeczności marginalizowanych, takich jak Romowie</w:t>
      </w:r>
    </w:p>
    <w:p w14:paraId="454C12B9" w14:textId="77777777" w:rsidR="00C150DE" w:rsidRPr="00890249" w:rsidRDefault="00C150DE" w:rsidP="00C150DE">
      <w:pPr>
        <w:spacing w:before="240" w:after="240"/>
        <w:rPr>
          <w:rFonts w:asciiTheme="minorHAnsi" w:hAnsiTheme="minorHAnsi" w:cstheme="minorHAnsi"/>
          <w:b/>
          <w:noProof/>
          <w:sz w:val="22"/>
        </w:rPr>
      </w:pPr>
      <w:r w:rsidRPr="00890249">
        <w:rPr>
          <w:rFonts w:asciiTheme="minorHAnsi" w:hAnsiTheme="minorHAnsi" w:cstheme="minorHAnsi"/>
          <w:b/>
          <w:noProof/>
          <w:sz w:val="22"/>
        </w:rPr>
        <w:t>2.1.6.3.1 (j) Interwencje w ramach funduszy</w:t>
      </w:r>
    </w:p>
    <w:p w14:paraId="12771927" w14:textId="77777777" w:rsidR="00C150DE" w:rsidRPr="00890249" w:rsidRDefault="00C150DE" w:rsidP="00C150DE">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3A9727EC" w14:textId="77777777" w:rsidR="0093433C" w:rsidRPr="00890249" w:rsidRDefault="0AC60702" w:rsidP="00890249">
      <w:pPr>
        <w:pStyle w:val="Tekstpodstawowy"/>
        <w:rPr>
          <w:rFonts w:asciiTheme="minorHAnsi" w:eastAsiaTheme="minorEastAsia" w:hAnsiTheme="minorHAnsi" w:cstheme="minorHAnsi"/>
          <w:sz w:val="22"/>
          <w:szCs w:val="22"/>
          <w:lang w:eastAsia="en-US" w:bidi="ar-SA"/>
        </w:rPr>
      </w:pPr>
      <w:r w:rsidRPr="00890249">
        <w:rPr>
          <w:rFonts w:asciiTheme="minorHAnsi" w:hAnsiTheme="minorHAnsi" w:cstheme="minorHAnsi"/>
          <w:sz w:val="22"/>
          <w:szCs w:val="22"/>
          <w:lang w:eastAsia="en-US" w:bidi="ar-SA"/>
        </w:rPr>
        <w:t>Na Opolszczyźnie, według ostatniego spisu powszechnego z 2011 r., przynależność do romskiej mniejszości etnicznej zadeklarowało 1,1 tys. osób (choć sami Romowie podkreślają, że jest ich trzy razy więcej). Romowie należący do grup Polska Roma i Bergitka Roma oraz Kelderaszy zamieszkują głównie gminy: Brzeg, Głubczyce, Kędzierzyn-Koźle, Nys</w:t>
      </w:r>
      <w:r w:rsidR="1CDEDBBE" w:rsidRPr="00890249">
        <w:rPr>
          <w:rFonts w:asciiTheme="minorHAnsi" w:hAnsiTheme="minorHAnsi" w:cstheme="minorHAnsi"/>
          <w:sz w:val="22"/>
          <w:szCs w:val="22"/>
          <w:lang w:eastAsia="en-US" w:bidi="ar-SA"/>
        </w:rPr>
        <w:t>a</w:t>
      </w:r>
      <w:r w:rsidRPr="00890249">
        <w:rPr>
          <w:rFonts w:asciiTheme="minorHAnsi" w:hAnsiTheme="minorHAnsi" w:cstheme="minorHAnsi"/>
          <w:sz w:val="22"/>
          <w:szCs w:val="22"/>
          <w:lang w:eastAsia="en-US" w:bidi="ar-SA"/>
        </w:rPr>
        <w:t>, Opole, Paczków, Prudnik i Strzelce Opolskie. W</w:t>
      </w:r>
      <w:r w:rsidR="1CDEDBBE"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odróżnieniu od innych społeczności mniejszościowych Romowie są jedyną grupą zagrożoną wykluczeniem społecznym. W</w:t>
      </w:r>
      <w:r w:rsidRPr="00890249">
        <w:rPr>
          <w:rFonts w:asciiTheme="minorHAnsi" w:eastAsiaTheme="minorEastAsia" w:hAnsiTheme="minorHAnsi" w:cstheme="minorHAnsi"/>
          <w:sz w:val="22"/>
          <w:szCs w:val="22"/>
          <w:lang w:eastAsia="en-US" w:bidi="ar-SA"/>
        </w:rPr>
        <w:t xml:space="preserve">ynika to z szeregu czynników społecznych i kulturowych, </w:t>
      </w:r>
      <w:r w:rsidR="00AE3DD2" w:rsidRPr="00890249">
        <w:rPr>
          <w:rFonts w:asciiTheme="minorHAnsi" w:eastAsiaTheme="minorHAnsi" w:hAnsiTheme="minorHAnsi" w:cstheme="minorHAnsi"/>
          <w:sz w:val="22"/>
          <w:szCs w:val="22"/>
          <w:lang w:eastAsia="en-US" w:bidi="ar-SA"/>
        </w:rPr>
        <w:br/>
      </w:r>
      <w:r w:rsidRPr="00890249">
        <w:rPr>
          <w:rFonts w:asciiTheme="minorHAnsi" w:eastAsiaTheme="minorEastAsia" w:hAnsiTheme="minorHAnsi" w:cstheme="minorHAnsi"/>
          <w:sz w:val="22"/>
          <w:szCs w:val="22"/>
          <w:lang w:eastAsia="en-US" w:bidi="ar-SA"/>
        </w:rPr>
        <w:t xml:space="preserve">z których w pierwszej kolejności należy wymienić niski </w:t>
      </w:r>
      <w:r w:rsidR="6486D113" w:rsidRPr="00890249">
        <w:rPr>
          <w:rFonts w:asciiTheme="minorHAnsi" w:eastAsiaTheme="minorEastAsia" w:hAnsiTheme="minorHAnsi" w:cstheme="minorHAnsi"/>
          <w:sz w:val="22"/>
          <w:szCs w:val="22"/>
          <w:lang w:eastAsia="en-US" w:bidi="ar-SA"/>
        </w:rPr>
        <w:t xml:space="preserve">poziom wykształcenia tej grupy, </w:t>
      </w:r>
      <w:r w:rsidRPr="00890249">
        <w:rPr>
          <w:rFonts w:asciiTheme="minorHAnsi" w:eastAsiaTheme="minorEastAsia" w:hAnsiTheme="minorHAnsi" w:cstheme="minorHAnsi"/>
          <w:sz w:val="22"/>
          <w:szCs w:val="22"/>
          <w:lang w:eastAsia="en-US" w:bidi="ar-SA"/>
        </w:rPr>
        <w:t>co bezpośrednio wpływa na brak kwalifikacji pożądanych na rynku pracy, a tym samym na sytuację bytową i zdrowotną Romów. Nie bez znaczenia jest tu hermetyczny charakter niektórych tradycyjnych wspólnot romskich, które bronią swojej niezależności</w:t>
      </w:r>
      <w:r w:rsidR="00AE3DD2" w:rsidRPr="00890249">
        <w:rPr>
          <w:rFonts w:asciiTheme="minorHAnsi" w:eastAsiaTheme="minorEastAsia" w:hAnsiTheme="minorHAnsi" w:cstheme="minorHAnsi"/>
          <w:sz w:val="22"/>
          <w:szCs w:val="22"/>
          <w:vertAlign w:val="superscript"/>
          <w:lang w:eastAsia="en-US" w:bidi="ar-SA"/>
        </w:rPr>
        <w:footnoteReference w:id="195"/>
      </w:r>
      <w:r w:rsidRPr="00890249">
        <w:rPr>
          <w:rFonts w:asciiTheme="minorHAnsi" w:eastAsiaTheme="minorEastAsia" w:hAnsiTheme="minorHAnsi" w:cstheme="minorHAnsi"/>
          <w:sz w:val="22"/>
          <w:szCs w:val="22"/>
          <w:lang w:eastAsia="en-US" w:bidi="ar-SA"/>
        </w:rPr>
        <w:t>.</w:t>
      </w:r>
    </w:p>
    <w:p w14:paraId="5374E827" w14:textId="77777777" w:rsidR="0093433C" w:rsidRPr="00890249" w:rsidRDefault="408771A9"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ramach POWER 2014-2020 </w:t>
      </w:r>
      <w:r w:rsidR="61CBD6F0" w:rsidRPr="00890249">
        <w:rPr>
          <w:rFonts w:asciiTheme="minorHAnsi" w:hAnsiTheme="minorHAnsi" w:cstheme="minorHAnsi"/>
          <w:sz w:val="22"/>
          <w:szCs w:val="22"/>
          <w:lang w:eastAsia="en-US" w:bidi="ar-SA"/>
        </w:rPr>
        <w:t>w 8</w:t>
      </w:r>
      <w:r w:rsidR="1CDEDBBE" w:rsidRPr="00890249">
        <w:rPr>
          <w:rFonts w:asciiTheme="minorHAnsi" w:hAnsiTheme="minorHAnsi" w:cstheme="minorHAnsi"/>
          <w:sz w:val="22"/>
          <w:szCs w:val="22"/>
          <w:lang w:eastAsia="en-US" w:bidi="ar-SA"/>
        </w:rPr>
        <w:t>.</w:t>
      </w:r>
      <w:r w:rsidR="61CBD6F0" w:rsidRPr="00890249">
        <w:rPr>
          <w:rFonts w:asciiTheme="minorHAnsi" w:hAnsiTheme="minorHAnsi" w:cstheme="minorHAnsi"/>
          <w:sz w:val="22"/>
          <w:szCs w:val="22"/>
          <w:lang w:eastAsia="en-US" w:bidi="ar-SA"/>
        </w:rPr>
        <w:t xml:space="preserve"> województwach </w:t>
      </w:r>
      <w:r w:rsidRPr="00890249">
        <w:rPr>
          <w:rFonts w:asciiTheme="minorHAnsi" w:hAnsiTheme="minorHAnsi" w:cstheme="minorHAnsi"/>
          <w:sz w:val="22"/>
          <w:szCs w:val="22"/>
          <w:lang w:eastAsia="en-US" w:bidi="ar-SA"/>
        </w:rPr>
        <w:t>realizowane było wsparcie dla społeczności romskiej w Polsce, które</w:t>
      </w:r>
      <w:r w:rsidR="1CDEDBBE" w:rsidRPr="00890249">
        <w:rPr>
          <w:rFonts w:asciiTheme="minorHAnsi" w:hAnsiTheme="minorHAnsi" w:cstheme="minorHAnsi"/>
          <w:sz w:val="22"/>
          <w:szCs w:val="22"/>
          <w:lang w:eastAsia="en-US" w:bidi="ar-SA"/>
        </w:rPr>
        <w:t>go</w:t>
      </w:r>
      <w:r w:rsidRPr="00890249">
        <w:rPr>
          <w:rFonts w:asciiTheme="minorHAnsi" w:hAnsiTheme="minorHAnsi" w:cstheme="minorHAnsi"/>
          <w:sz w:val="22"/>
          <w:szCs w:val="22"/>
          <w:lang w:eastAsia="en-US" w:bidi="ar-SA"/>
        </w:rPr>
        <w:t xml:space="preserve"> </w:t>
      </w:r>
      <w:r w:rsidR="61CBD6F0" w:rsidRPr="00890249">
        <w:rPr>
          <w:rFonts w:asciiTheme="minorHAnsi" w:hAnsiTheme="minorHAnsi" w:cstheme="minorHAnsi"/>
          <w:sz w:val="22"/>
          <w:szCs w:val="22"/>
          <w:lang w:eastAsia="en-US" w:bidi="ar-SA"/>
        </w:rPr>
        <w:t>celem było przełamywanie</w:t>
      </w:r>
      <w:r w:rsidRPr="00890249">
        <w:rPr>
          <w:rFonts w:asciiTheme="minorHAnsi" w:hAnsiTheme="minorHAnsi" w:cstheme="minorHAnsi"/>
          <w:sz w:val="22"/>
          <w:szCs w:val="22"/>
          <w:lang w:eastAsia="en-US" w:bidi="ar-SA"/>
        </w:rPr>
        <w:t xml:space="preserve"> wykluczenia społecznego tej grupy</w:t>
      </w:r>
      <w:r w:rsidR="1CDEDBBE"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w:t>
      </w:r>
      <w:r w:rsidR="61CBD6F0" w:rsidRPr="00890249">
        <w:rPr>
          <w:rFonts w:asciiTheme="minorHAnsi" w:hAnsiTheme="minorHAnsi" w:cstheme="minorHAnsi"/>
          <w:sz w:val="22"/>
          <w:szCs w:val="22"/>
          <w:lang w:eastAsia="en-US" w:bidi="ar-SA"/>
        </w:rPr>
        <w:t xml:space="preserve">lecz które koncentrowało się zasadniczo na aktywizacji zawodowej uczestników. </w:t>
      </w:r>
      <w:r w:rsidR="79862843" w:rsidRPr="00890249">
        <w:rPr>
          <w:rFonts w:asciiTheme="minorHAnsi" w:hAnsiTheme="minorHAnsi" w:cstheme="minorHAnsi"/>
          <w:sz w:val="22"/>
          <w:szCs w:val="22"/>
          <w:lang w:eastAsia="en-US" w:bidi="ar-SA"/>
        </w:rPr>
        <w:t>Jednocześnie</w:t>
      </w:r>
      <w:r w:rsidR="61CBD6F0" w:rsidRPr="00890249">
        <w:rPr>
          <w:rFonts w:asciiTheme="minorHAnsi" w:hAnsiTheme="minorHAnsi" w:cstheme="minorHAnsi"/>
          <w:sz w:val="22"/>
          <w:szCs w:val="22"/>
          <w:lang w:eastAsia="en-US" w:bidi="ar-SA"/>
        </w:rPr>
        <w:t xml:space="preserve"> w kraju realizowany był Program integracji społeczności romskiej na lata 2014-2020, w którym przewidziano szeroki wachlarz form wsparcia w wielu </w:t>
      </w:r>
      <w:r w:rsidR="79862843" w:rsidRPr="00890249">
        <w:rPr>
          <w:rFonts w:asciiTheme="minorHAnsi" w:hAnsiTheme="minorHAnsi" w:cstheme="minorHAnsi"/>
          <w:sz w:val="22"/>
          <w:szCs w:val="22"/>
          <w:lang w:eastAsia="en-US" w:bidi="ar-SA"/>
        </w:rPr>
        <w:t>dziedzinach</w:t>
      </w:r>
      <w:r w:rsidR="61CBD6F0" w:rsidRPr="00890249">
        <w:rPr>
          <w:rFonts w:asciiTheme="minorHAnsi" w:hAnsiTheme="minorHAnsi" w:cstheme="minorHAnsi"/>
          <w:sz w:val="22"/>
          <w:szCs w:val="22"/>
          <w:lang w:eastAsia="en-US" w:bidi="ar-SA"/>
        </w:rPr>
        <w:t xml:space="preserve">. W obszarze edukacji było to m.in. dofinansowanie zakupu pomocy dydaktycznej, dojazdu, pomoc stypendialna, zatrudnienia asystentów edukacji romskiej, tworzenie świetlic środowiskowych, zajęcia wyrównawcze z języka polskiego, zajęcia integrujące uczniów romskich i nieromskich oraz </w:t>
      </w:r>
      <w:r w:rsidR="79862843" w:rsidRPr="00890249">
        <w:rPr>
          <w:rFonts w:asciiTheme="minorHAnsi" w:hAnsiTheme="minorHAnsi" w:cstheme="minorHAnsi"/>
          <w:sz w:val="22"/>
          <w:szCs w:val="22"/>
          <w:lang w:eastAsia="en-US" w:bidi="ar-SA"/>
        </w:rPr>
        <w:t xml:space="preserve">udział w kulturze. W zakresie przeciwdziałaniu bezrobociu w Programie uwzględniono np. aktywizację zawodową (w tym subsydiowanie zatrudnienia), szkolenia zawodowe oraz rozwój kompetencji społecznych, takich jak gospodarowanie posiadanymi środkami. </w:t>
      </w:r>
      <w:r w:rsidR="768393F4" w:rsidRPr="00890249">
        <w:rPr>
          <w:rFonts w:asciiTheme="minorHAnsi" w:hAnsiTheme="minorHAnsi" w:cstheme="minorHAnsi"/>
          <w:sz w:val="22"/>
          <w:szCs w:val="22"/>
          <w:lang w:eastAsia="en-US" w:bidi="ar-SA"/>
        </w:rPr>
        <w:t>Jednocześnie, ze względu na ogromne potrzeby społeczności romskiej,</w:t>
      </w:r>
      <w:r w:rsidR="24C64BCC" w:rsidRPr="00890249">
        <w:rPr>
          <w:rFonts w:asciiTheme="minorHAnsi" w:hAnsiTheme="minorHAnsi" w:cstheme="minorHAnsi"/>
          <w:sz w:val="22"/>
          <w:szCs w:val="22"/>
          <w:lang w:eastAsia="en-US" w:bidi="ar-SA"/>
        </w:rPr>
        <w:t xml:space="preserve"> środki jakimi dysponowali beneficjenci </w:t>
      </w:r>
      <w:r w:rsidR="768393F4" w:rsidRPr="00890249">
        <w:rPr>
          <w:rFonts w:asciiTheme="minorHAnsi" w:hAnsiTheme="minorHAnsi" w:cstheme="minorHAnsi"/>
          <w:sz w:val="22"/>
          <w:szCs w:val="22"/>
          <w:lang w:eastAsia="en-US" w:bidi="ar-SA"/>
        </w:rPr>
        <w:t xml:space="preserve"> w ramach przedmiotowego Programu były niewystarczające i istnieje konieczność wypełni</w:t>
      </w:r>
      <w:r w:rsidR="17083B52" w:rsidRPr="00890249">
        <w:rPr>
          <w:rFonts w:asciiTheme="minorHAnsi" w:hAnsiTheme="minorHAnsi" w:cstheme="minorHAnsi"/>
          <w:sz w:val="22"/>
          <w:szCs w:val="22"/>
          <w:lang w:eastAsia="en-US" w:bidi="ar-SA"/>
        </w:rPr>
        <w:t>e</w:t>
      </w:r>
      <w:r w:rsidR="768393F4" w:rsidRPr="00890249">
        <w:rPr>
          <w:rFonts w:asciiTheme="minorHAnsi" w:hAnsiTheme="minorHAnsi" w:cstheme="minorHAnsi"/>
          <w:sz w:val="22"/>
          <w:szCs w:val="22"/>
          <w:lang w:eastAsia="en-US" w:bidi="ar-SA"/>
        </w:rPr>
        <w:t>ni</w:t>
      </w:r>
      <w:r w:rsidR="17083B52" w:rsidRPr="00890249">
        <w:rPr>
          <w:rFonts w:asciiTheme="minorHAnsi" w:hAnsiTheme="minorHAnsi" w:cstheme="minorHAnsi"/>
          <w:sz w:val="22"/>
          <w:szCs w:val="22"/>
          <w:lang w:eastAsia="en-US" w:bidi="ar-SA"/>
        </w:rPr>
        <w:t>a</w:t>
      </w:r>
      <w:r w:rsidR="768393F4" w:rsidRPr="00890249">
        <w:rPr>
          <w:rFonts w:asciiTheme="minorHAnsi" w:hAnsiTheme="minorHAnsi" w:cstheme="minorHAnsi"/>
          <w:sz w:val="22"/>
          <w:szCs w:val="22"/>
          <w:lang w:eastAsia="en-US" w:bidi="ar-SA"/>
        </w:rPr>
        <w:t xml:space="preserve"> luki w tym względzie środkami unijnymi</w:t>
      </w:r>
      <w:r w:rsidR="00F5283B" w:rsidRPr="00890249">
        <w:rPr>
          <w:rStyle w:val="Odwoanieprzypisudolnego"/>
          <w:rFonts w:asciiTheme="minorHAnsi" w:hAnsiTheme="minorHAnsi" w:cstheme="minorHAnsi"/>
          <w:sz w:val="22"/>
          <w:szCs w:val="22"/>
          <w:lang w:eastAsia="en-US" w:bidi="ar-SA"/>
        </w:rPr>
        <w:footnoteReference w:id="196"/>
      </w:r>
      <w:r w:rsidR="768393F4" w:rsidRPr="00890249">
        <w:rPr>
          <w:rFonts w:asciiTheme="minorHAnsi" w:hAnsiTheme="minorHAnsi" w:cstheme="minorHAnsi"/>
          <w:sz w:val="22"/>
          <w:szCs w:val="22"/>
          <w:lang w:eastAsia="en-US" w:bidi="ar-SA"/>
        </w:rPr>
        <w:t>.</w:t>
      </w:r>
    </w:p>
    <w:p w14:paraId="2832EF6C" w14:textId="77777777" w:rsidR="0093433C" w:rsidRPr="00890249" w:rsidRDefault="79862843"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Porównując zakres wsparcia realizowany ze środków unijnych oraz w ramach programu krajowego, zgodnie z opinią zawartą w badaniu</w:t>
      </w:r>
      <w:r w:rsidR="0AC60702" w:rsidRPr="00890249">
        <w:rPr>
          <w:rFonts w:asciiTheme="minorHAnsi" w:hAnsiTheme="minorHAnsi" w:cstheme="minorHAnsi"/>
          <w:sz w:val="22"/>
          <w:szCs w:val="22"/>
          <w:lang w:eastAsia="en-US" w:bidi="ar-SA"/>
        </w:rPr>
        <w:t xml:space="preserve"> ewaluacyj</w:t>
      </w:r>
      <w:r w:rsidRPr="00890249">
        <w:rPr>
          <w:rFonts w:asciiTheme="minorHAnsi" w:hAnsiTheme="minorHAnsi" w:cstheme="minorHAnsi"/>
          <w:sz w:val="22"/>
          <w:szCs w:val="22"/>
          <w:lang w:eastAsia="en-US" w:bidi="ar-SA"/>
        </w:rPr>
        <w:t>nym</w:t>
      </w:r>
      <w:r w:rsidR="0AC60702" w:rsidRPr="00890249">
        <w:rPr>
          <w:rFonts w:asciiTheme="minorHAnsi" w:hAnsiTheme="minorHAnsi" w:cstheme="minorHAnsi"/>
          <w:sz w:val="22"/>
          <w:szCs w:val="22"/>
          <w:lang w:eastAsia="en-US" w:bidi="ar-SA"/>
        </w:rPr>
        <w:t xml:space="preserve"> dot. projektów skierowanych do społeczności romskiej</w:t>
      </w:r>
      <w:r w:rsidR="00AE3DD2" w:rsidRPr="00890249">
        <w:rPr>
          <w:rFonts w:asciiTheme="minorHAnsi" w:hAnsiTheme="minorHAnsi" w:cstheme="minorHAnsi"/>
          <w:sz w:val="22"/>
          <w:szCs w:val="22"/>
          <w:vertAlign w:val="superscript"/>
          <w:lang w:eastAsia="en-US" w:bidi="ar-SA"/>
        </w:rPr>
        <w:footnoteReference w:id="197"/>
      </w:r>
      <w:r w:rsidRPr="00890249">
        <w:rPr>
          <w:rFonts w:asciiTheme="minorHAnsi" w:hAnsiTheme="minorHAnsi" w:cstheme="minorHAnsi"/>
          <w:sz w:val="22"/>
          <w:szCs w:val="22"/>
          <w:lang w:eastAsia="en-US" w:bidi="ar-SA"/>
        </w:rPr>
        <w:t>, działania skierowane do tej grupy powinny być kompleksowe i nie koncentrować się jedynie na aspekcie zatrudnieniowym. W opinii beneficjentów POWER</w:t>
      </w:r>
      <w:r w:rsidR="6486D113" w:rsidRPr="00890249">
        <w:rPr>
          <w:rFonts w:asciiTheme="minorHAnsi" w:hAnsiTheme="minorHAnsi" w:cstheme="minorHAnsi"/>
          <w:sz w:val="22"/>
          <w:szCs w:val="22"/>
          <w:lang w:eastAsia="en-US" w:bidi="ar-SA"/>
        </w:rPr>
        <w:t xml:space="preserve"> istnieją dalej duże potrzeby w </w:t>
      </w:r>
      <w:r w:rsidRPr="00890249">
        <w:rPr>
          <w:rFonts w:asciiTheme="minorHAnsi" w:hAnsiTheme="minorHAnsi" w:cstheme="minorHAnsi"/>
          <w:sz w:val="22"/>
          <w:szCs w:val="22"/>
          <w:lang w:eastAsia="en-US" w:bidi="ar-SA"/>
        </w:rPr>
        <w:t xml:space="preserve">innych obszarach, szczególnie związanych z edukacją oraz promocją wiedzy na temat kultury romskiej wśród społeczności </w:t>
      </w:r>
      <w:r w:rsidR="6186803F" w:rsidRPr="00890249">
        <w:rPr>
          <w:rFonts w:asciiTheme="minorHAnsi" w:hAnsiTheme="minorHAnsi" w:cstheme="minorHAnsi"/>
          <w:sz w:val="22"/>
          <w:szCs w:val="22"/>
          <w:lang w:eastAsia="en-US" w:bidi="ar-SA"/>
        </w:rPr>
        <w:t>większościowej</w:t>
      </w:r>
      <w:r w:rsidR="00A125D1" w:rsidRPr="00890249">
        <w:rPr>
          <w:rStyle w:val="Odwoanieprzypisudolnego"/>
          <w:rFonts w:asciiTheme="minorHAnsi" w:hAnsiTheme="minorHAnsi" w:cstheme="minorHAnsi"/>
          <w:sz w:val="22"/>
          <w:szCs w:val="22"/>
          <w:lang w:eastAsia="en-US" w:bidi="ar-SA"/>
        </w:rPr>
        <w:footnoteReference w:id="198"/>
      </w:r>
      <w:r w:rsidR="6186803F" w:rsidRPr="00890249">
        <w:rPr>
          <w:rFonts w:asciiTheme="minorHAnsi" w:hAnsiTheme="minorHAnsi" w:cstheme="minorHAnsi"/>
          <w:sz w:val="22"/>
          <w:szCs w:val="22"/>
          <w:lang w:eastAsia="en-US" w:bidi="ar-SA"/>
        </w:rPr>
        <w:t>.</w:t>
      </w:r>
    </w:p>
    <w:p w14:paraId="3D0F9158" w14:textId="31F5D95D" w:rsidR="0093433C" w:rsidRPr="00890249" w:rsidRDefault="00EA125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Zgodnie z rekomendacjami wynikającymi z ww. badania </w:t>
      </w:r>
      <w:r w:rsidR="00AE3DD2" w:rsidRPr="00890249">
        <w:rPr>
          <w:rFonts w:asciiTheme="minorHAnsi" w:hAnsiTheme="minorHAnsi" w:cstheme="minorHAnsi"/>
          <w:sz w:val="22"/>
          <w:szCs w:val="22"/>
          <w:lang w:eastAsia="en-US" w:bidi="ar-SA"/>
        </w:rPr>
        <w:t>do najważniejszych działań, które powinny zostać podjęte w zakresie integracji tej grupy zalicza się</w:t>
      </w:r>
      <w:r w:rsidR="00344603" w:rsidRPr="00890249">
        <w:rPr>
          <w:rFonts w:asciiTheme="minorHAnsi" w:hAnsiTheme="minorHAnsi" w:cstheme="minorHAnsi"/>
          <w:sz w:val="22"/>
          <w:szCs w:val="22"/>
          <w:lang w:eastAsia="en-US" w:bidi="ar-SA"/>
        </w:rPr>
        <w:t>:</w:t>
      </w:r>
      <w:r w:rsidR="00AE3DD2" w:rsidRPr="00890249">
        <w:rPr>
          <w:rFonts w:asciiTheme="minorHAnsi" w:hAnsiTheme="minorHAnsi" w:cstheme="minorHAnsi"/>
          <w:sz w:val="22"/>
          <w:szCs w:val="22"/>
          <w:lang w:eastAsia="en-US" w:bidi="ar-SA"/>
        </w:rPr>
        <w:t xml:space="preserve"> wsparcie edukacji przedszkolnej oraz podstawowej dzieci, których pierwszym językiem nie jest polski, dos</w:t>
      </w:r>
      <w:r w:rsidR="00DE5D95" w:rsidRPr="00890249">
        <w:rPr>
          <w:rFonts w:asciiTheme="minorHAnsi" w:hAnsiTheme="minorHAnsi" w:cstheme="minorHAnsi"/>
          <w:sz w:val="22"/>
          <w:szCs w:val="22"/>
          <w:lang w:eastAsia="en-US" w:bidi="ar-SA"/>
        </w:rPr>
        <w:t>konalenie nauczycieli w pracy z </w:t>
      </w:r>
      <w:r w:rsidR="00AE3DD2" w:rsidRPr="00890249">
        <w:rPr>
          <w:rFonts w:asciiTheme="minorHAnsi" w:hAnsiTheme="minorHAnsi" w:cstheme="minorHAnsi"/>
          <w:sz w:val="22"/>
          <w:szCs w:val="22"/>
          <w:lang w:eastAsia="en-US" w:bidi="ar-SA"/>
        </w:rPr>
        <w:t>takimi dziećmi, rozwijanie kompetencji kluczowych (w szczególnoś</w:t>
      </w:r>
      <w:r w:rsidR="00A125D1" w:rsidRPr="00890249">
        <w:rPr>
          <w:rFonts w:asciiTheme="minorHAnsi" w:hAnsiTheme="minorHAnsi" w:cstheme="minorHAnsi"/>
          <w:sz w:val="22"/>
          <w:szCs w:val="22"/>
          <w:lang w:eastAsia="en-US" w:bidi="ar-SA"/>
        </w:rPr>
        <w:t>ci w zakresie posługiwania się językiem</w:t>
      </w:r>
      <w:r w:rsidR="00AE3DD2" w:rsidRPr="00890249">
        <w:rPr>
          <w:rFonts w:asciiTheme="minorHAnsi" w:hAnsiTheme="minorHAnsi" w:cstheme="minorHAnsi"/>
          <w:sz w:val="22"/>
          <w:szCs w:val="22"/>
          <w:lang w:eastAsia="en-US" w:bidi="ar-SA"/>
        </w:rPr>
        <w:t xml:space="preserve"> p</w:t>
      </w:r>
      <w:r w:rsidR="00F1438D">
        <w:rPr>
          <w:rFonts w:asciiTheme="minorHAnsi" w:hAnsiTheme="minorHAnsi" w:cstheme="minorHAnsi"/>
          <w:sz w:val="22"/>
          <w:szCs w:val="22"/>
          <w:lang w:eastAsia="en-US" w:bidi="ar-SA"/>
        </w:rPr>
        <w:t>olskim), doradztwo edukacyjno-</w:t>
      </w:r>
      <w:r w:rsidR="00AE3DD2" w:rsidRPr="00890249">
        <w:rPr>
          <w:rFonts w:asciiTheme="minorHAnsi" w:hAnsiTheme="minorHAnsi" w:cstheme="minorHAnsi"/>
          <w:sz w:val="22"/>
          <w:szCs w:val="22"/>
          <w:lang w:eastAsia="en-US" w:bidi="ar-SA"/>
        </w:rPr>
        <w:t xml:space="preserve">zawodowe, wsparcie asystenta społeczności romskich, wsparcie zakładania działalności gospodarczych. W raporcie z ww. badania podkreślano również </w:t>
      </w:r>
      <w:r w:rsidR="00AE3DD2" w:rsidRPr="00890249">
        <w:rPr>
          <w:rFonts w:asciiTheme="minorHAnsi" w:hAnsiTheme="minorHAnsi" w:cstheme="minorHAnsi"/>
          <w:sz w:val="22"/>
          <w:szCs w:val="22"/>
          <w:lang w:eastAsia="en-US" w:bidi="ar-SA"/>
        </w:rPr>
        <w:lastRenderedPageBreak/>
        <w:t>konieczność przeciwdziałania negatywnemu podejściu pracodawców do zatrudniania osób ze społeczności romskiej.</w:t>
      </w:r>
    </w:p>
    <w:p w14:paraId="708785FF" w14:textId="77777777" w:rsidR="0093433C" w:rsidRPr="00890249" w:rsidRDefault="00AE3DD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Biorąc pod uwagę powyższe, zakłada się, że wsparcie skierowane do tej grupy </w:t>
      </w:r>
      <w:r w:rsidR="00EA1257" w:rsidRPr="00890249">
        <w:rPr>
          <w:rFonts w:asciiTheme="minorHAnsi" w:hAnsiTheme="minorHAnsi" w:cstheme="minorHAnsi"/>
          <w:sz w:val="22"/>
          <w:szCs w:val="22"/>
          <w:lang w:eastAsia="en-US" w:bidi="ar-SA"/>
        </w:rPr>
        <w:t>będzie miało</w:t>
      </w:r>
      <w:r w:rsidRPr="00890249">
        <w:rPr>
          <w:rFonts w:asciiTheme="minorHAnsi" w:hAnsiTheme="minorHAnsi" w:cstheme="minorHAnsi"/>
          <w:sz w:val="22"/>
          <w:szCs w:val="22"/>
          <w:lang w:eastAsia="en-US" w:bidi="ar-SA"/>
        </w:rPr>
        <w:t xml:space="preserve"> </w:t>
      </w:r>
      <w:r w:rsidR="00927033" w:rsidRPr="00890249">
        <w:rPr>
          <w:rFonts w:asciiTheme="minorHAnsi" w:hAnsiTheme="minorHAnsi" w:cstheme="minorHAnsi"/>
          <w:sz w:val="22"/>
          <w:szCs w:val="22"/>
          <w:lang w:eastAsia="en-US" w:bidi="ar-SA"/>
        </w:rPr>
        <w:t>charakter kompleksowy, obejmujący</w:t>
      </w:r>
      <w:r w:rsidRPr="00890249">
        <w:rPr>
          <w:rFonts w:asciiTheme="minorHAnsi" w:hAnsiTheme="minorHAnsi" w:cstheme="minorHAnsi"/>
          <w:sz w:val="22"/>
          <w:szCs w:val="22"/>
          <w:lang w:eastAsia="en-US" w:bidi="ar-SA"/>
        </w:rPr>
        <w:t xml:space="preserve"> różne </w:t>
      </w:r>
      <w:r w:rsidR="00EA1257" w:rsidRPr="00890249">
        <w:rPr>
          <w:rFonts w:asciiTheme="minorHAnsi" w:hAnsiTheme="minorHAnsi" w:cstheme="minorHAnsi"/>
          <w:sz w:val="22"/>
          <w:szCs w:val="22"/>
          <w:lang w:eastAsia="en-US" w:bidi="ar-SA"/>
        </w:rPr>
        <w:t>dziedziny życia oraz przełamujący</w:t>
      </w:r>
      <w:r w:rsidRPr="00890249">
        <w:rPr>
          <w:rFonts w:asciiTheme="minorHAnsi" w:hAnsiTheme="minorHAnsi" w:cstheme="minorHAnsi"/>
          <w:sz w:val="22"/>
          <w:szCs w:val="22"/>
          <w:lang w:eastAsia="en-US" w:bidi="ar-SA"/>
        </w:rPr>
        <w:t xml:space="preserve"> stereotypy postrzegania społeczności romskiej.</w:t>
      </w:r>
      <w:r w:rsidR="00EA1257" w:rsidRPr="00890249">
        <w:rPr>
          <w:rFonts w:asciiTheme="minorHAnsi" w:hAnsiTheme="minorHAnsi" w:cstheme="minorHAnsi"/>
          <w:sz w:val="22"/>
          <w:szCs w:val="22"/>
          <w:lang w:eastAsia="en-US" w:bidi="ar-SA"/>
        </w:rPr>
        <w:t xml:space="preserve"> </w:t>
      </w:r>
    </w:p>
    <w:p w14:paraId="374A8CF6" w14:textId="77777777" w:rsidR="0093433C" w:rsidRPr="00890249" w:rsidRDefault="6186803F"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ramach planowanych przedsięwzięć szczególna uwaga zostani</w:t>
      </w:r>
      <w:r w:rsidR="24C64BCC" w:rsidRPr="00890249">
        <w:rPr>
          <w:rFonts w:asciiTheme="minorHAnsi" w:hAnsiTheme="minorHAnsi" w:cstheme="minorHAnsi"/>
          <w:sz w:val="22"/>
          <w:szCs w:val="22"/>
          <w:lang w:eastAsia="en-US" w:bidi="ar-SA"/>
        </w:rPr>
        <w:t>e poświęcona dzieciom romski</w:t>
      </w:r>
      <w:r w:rsidR="17083B52" w:rsidRPr="00890249">
        <w:rPr>
          <w:rFonts w:asciiTheme="minorHAnsi" w:hAnsiTheme="minorHAnsi" w:cstheme="minorHAnsi"/>
          <w:sz w:val="22"/>
          <w:szCs w:val="22"/>
          <w:lang w:eastAsia="en-US" w:bidi="ar-SA"/>
        </w:rPr>
        <w:t>m</w:t>
      </w:r>
      <w:r w:rsidR="24C64BCC" w:rsidRPr="00890249">
        <w:rPr>
          <w:rFonts w:asciiTheme="minorHAnsi" w:hAnsiTheme="minorHAnsi" w:cstheme="minorHAnsi"/>
          <w:sz w:val="22"/>
          <w:szCs w:val="22"/>
          <w:lang w:eastAsia="en-US" w:bidi="ar-SA"/>
        </w:rPr>
        <w:t xml:space="preserve">, które szczególnie narażone są na skutki ubóstwa i wykluczenia rodzin tej społeczności. Ich niekorzystna sytuacja w tym zakresie często uwarunkowana jest </w:t>
      </w:r>
      <w:r w:rsidR="6FA74B20" w:rsidRPr="00890249">
        <w:rPr>
          <w:rFonts w:asciiTheme="minorHAnsi" w:hAnsiTheme="minorHAnsi" w:cstheme="minorHAnsi"/>
          <w:sz w:val="22"/>
          <w:szCs w:val="22"/>
          <w:lang w:eastAsia="en-US" w:bidi="ar-SA"/>
        </w:rPr>
        <w:t>zarówno problemami całej rodziny, w tym związanymi z</w:t>
      </w:r>
      <w:r w:rsidR="24C64BCC" w:rsidRPr="00890249">
        <w:rPr>
          <w:rFonts w:asciiTheme="minorHAnsi" w:hAnsiTheme="minorHAnsi" w:cstheme="minorHAnsi"/>
          <w:sz w:val="22"/>
          <w:szCs w:val="22"/>
          <w:lang w:eastAsia="en-US" w:bidi="ar-SA"/>
        </w:rPr>
        <w:t xml:space="preserve"> </w:t>
      </w:r>
      <w:r w:rsidR="6FA74B20" w:rsidRPr="00890249">
        <w:rPr>
          <w:rFonts w:asciiTheme="minorHAnsi" w:hAnsiTheme="minorHAnsi" w:cstheme="minorHAnsi"/>
          <w:sz w:val="22"/>
          <w:szCs w:val="22"/>
          <w:lang w:eastAsia="en-US" w:bidi="ar-SA"/>
        </w:rPr>
        <w:t>dziedziczeniem bezrobocia,</w:t>
      </w:r>
      <w:r w:rsidR="24C64BCC" w:rsidRPr="00890249">
        <w:rPr>
          <w:rFonts w:asciiTheme="minorHAnsi" w:hAnsiTheme="minorHAnsi" w:cstheme="minorHAnsi"/>
          <w:sz w:val="22"/>
          <w:szCs w:val="22"/>
          <w:lang w:eastAsia="en-US" w:bidi="ar-SA"/>
        </w:rPr>
        <w:t xml:space="preserve"> uzależnieniem od pomocy społecznej</w:t>
      </w:r>
      <w:r w:rsidR="6FA74B20" w:rsidRPr="00890249">
        <w:rPr>
          <w:rFonts w:asciiTheme="minorHAnsi" w:hAnsiTheme="minorHAnsi" w:cstheme="minorHAnsi"/>
          <w:sz w:val="22"/>
          <w:szCs w:val="22"/>
          <w:lang w:eastAsia="en-US" w:bidi="ar-SA"/>
        </w:rPr>
        <w:t xml:space="preserve"> oraz</w:t>
      </w:r>
      <w:r w:rsidR="17083B52" w:rsidRPr="00890249">
        <w:rPr>
          <w:rFonts w:asciiTheme="minorHAnsi" w:hAnsiTheme="minorHAnsi" w:cstheme="minorHAnsi"/>
          <w:sz w:val="22"/>
          <w:szCs w:val="22"/>
          <w:lang w:eastAsia="en-US" w:bidi="ar-SA"/>
        </w:rPr>
        <w:t xml:space="preserve"> złą sytuacją</w:t>
      </w:r>
      <w:r w:rsidR="24C64BCC" w:rsidRPr="00890249">
        <w:rPr>
          <w:rFonts w:asciiTheme="minorHAnsi" w:hAnsiTheme="minorHAnsi" w:cstheme="minorHAnsi"/>
          <w:sz w:val="22"/>
          <w:szCs w:val="22"/>
          <w:lang w:eastAsia="en-US" w:bidi="ar-SA"/>
        </w:rPr>
        <w:t xml:space="preserve"> zdrowotną i socjalną (w tym mieszkaniową)</w:t>
      </w:r>
      <w:r w:rsidR="17083B52" w:rsidRPr="00890249">
        <w:rPr>
          <w:rFonts w:asciiTheme="minorHAnsi" w:hAnsiTheme="minorHAnsi" w:cstheme="minorHAnsi"/>
          <w:sz w:val="22"/>
          <w:szCs w:val="22"/>
          <w:lang w:eastAsia="en-US" w:bidi="ar-SA"/>
        </w:rPr>
        <w:t>,</w:t>
      </w:r>
      <w:r w:rsidR="6FA74B20" w:rsidRPr="00890249">
        <w:rPr>
          <w:rFonts w:asciiTheme="minorHAnsi" w:hAnsiTheme="minorHAnsi" w:cstheme="minorHAnsi"/>
          <w:sz w:val="22"/>
          <w:szCs w:val="22"/>
          <w:lang w:eastAsia="en-US" w:bidi="ar-SA"/>
        </w:rPr>
        <w:t xml:space="preserve"> jak i brakiem środków na naukę, kompetencji językowych i </w:t>
      </w:r>
      <w:r w:rsidR="24C64BCC" w:rsidRPr="00890249">
        <w:rPr>
          <w:rFonts w:asciiTheme="minorHAnsi" w:hAnsiTheme="minorHAnsi" w:cstheme="minorHAnsi"/>
          <w:sz w:val="22"/>
          <w:szCs w:val="22"/>
          <w:lang w:eastAsia="en-US" w:bidi="ar-SA"/>
        </w:rPr>
        <w:t>negatywnym postrzeganiem dzieci romskich w grupie rówieśniczej</w:t>
      </w:r>
      <w:r w:rsidR="00F621CE" w:rsidRPr="00890249">
        <w:rPr>
          <w:rStyle w:val="Odwoanieprzypisudolnego"/>
          <w:rFonts w:asciiTheme="minorHAnsi" w:hAnsiTheme="minorHAnsi" w:cstheme="minorHAnsi"/>
          <w:sz w:val="22"/>
          <w:szCs w:val="22"/>
          <w:lang w:eastAsia="en-US" w:bidi="ar-SA"/>
        </w:rPr>
        <w:footnoteReference w:id="199"/>
      </w:r>
      <w:r w:rsidR="270DF96A" w:rsidRPr="00890249">
        <w:rPr>
          <w:rFonts w:asciiTheme="minorHAnsi" w:hAnsiTheme="minorHAnsi" w:cstheme="minorHAnsi"/>
          <w:sz w:val="22"/>
          <w:szCs w:val="22"/>
          <w:lang w:eastAsia="en-US" w:bidi="ar-SA"/>
        </w:rPr>
        <w:t>. Ponadto dzieci te wciąż są umieszczane w szkołach specjalnych, niewiele z nich osiąga wykształcenie śre</w:t>
      </w:r>
      <w:r w:rsidR="21593054" w:rsidRPr="00890249">
        <w:rPr>
          <w:rFonts w:asciiTheme="minorHAnsi" w:hAnsiTheme="minorHAnsi" w:cstheme="minorHAnsi"/>
          <w:sz w:val="22"/>
          <w:szCs w:val="22"/>
          <w:lang w:eastAsia="en-US" w:bidi="ar-SA"/>
        </w:rPr>
        <w:t>dnie, a jeszcze mniej wyższe (udział dzieci romskich w szkołach specjalnych w 20</w:t>
      </w:r>
      <w:r w:rsidR="41812178" w:rsidRPr="00890249">
        <w:rPr>
          <w:rFonts w:asciiTheme="minorHAnsi" w:hAnsiTheme="minorHAnsi" w:cstheme="minorHAnsi"/>
          <w:sz w:val="22"/>
          <w:szCs w:val="22"/>
          <w:lang w:eastAsia="en-US" w:bidi="ar-SA"/>
        </w:rPr>
        <w:t>19 r. wynosił 18,25% i wzrósł w </w:t>
      </w:r>
      <w:r w:rsidR="21593054" w:rsidRPr="00890249">
        <w:rPr>
          <w:rFonts w:asciiTheme="minorHAnsi" w:hAnsiTheme="minorHAnsi" w:cstheme="minorHAnsi"/>
          <w:sz w:val="22"/>
          <w:szCs w:val="22"/>
          <w:lang w:eastAsia="en-US" w:bidi="ar-SA"/>
        </w:rPr>
        <w:t>stosunku do wcześniejszego okresu o ok. 8,5 p.p.)</w:t>
      </w:r>
      <w:r w:rsidR="0039797E" w:rsidRPr="00890249">
        <w:rPr>
          <w:rStyle w:val="Odwoanieprzypisudolnego"/>
          <w:rFonts w:asciiTheme="minorHAnsi" w:hAnsiTheme="minorHAnsi" w:cstheme="minorHAnsi"/>
          <w:sz w:val="22"/>
          <w:szCs w:val="22"/>
          <w:lang w:eastAsia="en-US" w:bidi="ar-SA"/>
        </w:rPr>
        <w:footnoteReference w:id="200"/>
      </w:r>
      <w:r w:rsidR="054F342B" w:rsidRPr="00890249">
        <w:rPr>
          <w:rFonts w:asciiTheme="minorHAnsi" w:hAnsiTheme="minorHAnsi" w:cstheme="minorHAnsi"/>
          <w:sz w:val="22"/>
          <w:szCs w:val="22"/>
          <w:lang w:eastAsia="en-US" w:bidi="ar-SA"/>
        </w:rPr>
        <w:t>.</w:t>
      </w:r>
    </w:p>
    <w:p w14:paraId="44A244E2" w14:textId="77777777" w:rsidR="0093433C" w:rsidRPr="00890249" w:rsidRDefault="00EA125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Najmłodsi przedstawiciele tej mniejszości wspierani będą w obszarze edukacji włączającej ale również poprzez takie działania jak tworzenie świetlic środowiskowych czy też zapewnienia asystenta </w:t>
      </w:r>
      <w:r w:rsidR="00927033" w:rsidRPr="00890249">
        <w:rPr>
          <w:rFonts w:asciiTheme="minorHAnsi" w:hAnsiTheme="minorHAnsi" w:cstheme="minorHAnsi"/>
          <w:sz w:val="22"/>
          <w:szCs w:val="22"/>
          <w:lang w:eastAsia="en-US" w:bidi="ar-SA"/>
        </w:rPr>
        <w:t xml:space="preserve"> rodziny.</w:t>
      </w:r>
      <w:r w:rsidR="00B630AC" w:rsidRPr="00890249">
        <w:rPr>
          <w:rFonts w:asciiTheme="minorHAnsi" w:hAnsiTheme="minorHAnsi" w:cstheme="minorHAnsi"/>
          <w:sz w:val="22"/>
          <w:szCs w:val="22"/>
          <w:lang w:eastAsia="en-US" w:bidi="ar-SA"/>
        </w:rPr>
        <w:t xml:space="preserve"> Wsparcie dzieci romskich będzie zgodne</w:t>
      </w:r>
      <w:r w:rsidR="00F621CE" w:rsidRPr="00890249">
        <w:rPr>
          <w:rFonts w:asciiTheme="minorHAnsi" w:hAnsiTheme="minorHAnsi" w:cstheme="minorHAnsi"/>
          <w:sz w:val="22"/>
          <w:szCs w:val="22"/>
          <w:lang w:eastAsia="en-US" w:bidi="ar-SA"/>
        </w:rPr>
        <w:t xml:space="preserve"> z Euro</w:t>
      </w:r>
      <w:r w:rsidR="00B630AC" w:rsidRPr="00890249">
        <w:rPr>
          <w:rFonts w:asciiTheme="minorHAnsi" w:hAnsiTheme="minorHAnsi" w:cstheme="minorHAnsi"/>
          <w:sz w:val="22"/>
          <w:szCs w:val="22"/>
          <w:lang w:eastAsia="en-US" w:bidi="ar-SA"/>
        </w:rPr>
        <w:t xml:space="preserve">pejskim filarem praw socjalnych, w którym wskazane jest prawo dzieci do edukacji, ochrony przed ubóstwem oraz </w:t>
      </w:r>
      <w:r w:rsidR="00F621CE" w:rsidRPr="00890249">
        <w:rPr>
          <w:rFonts w:asciiTheme="minorHAnsi" w:hAnsiTheme="minorHAnsi" w:cstheme="minorHAnsi"/>
          <w:sz w:val="22"/>
          <w:szCs w:val="22"/>
          <w:lang w:eastAsia="en-US" w:bidi="ar-SA"/>
        </w:rPr>
        <w:t>do szczególnych środków służących zwiększeniu równości szans</w:t>
      </w:r>
      <w:r w:rsidR="00B630AC" w:rsidRPr="00890249">
        <w:rPr>
          <w:rFonts w:asciiTheme="minorHAnsi" w:hAnsiTheme="minorHAnsi" w:cstheme="minorHAnsi"/>
          <w:sz w:val="22"/>
          <w:szCs w:val="22"/>
          <w:lang w:eastAsia="en-US" w:bidi="ar-SA"/>
        </w:rPr>
        <w:t>.</w:t>
      </w:r>
    </w:p>
    <w:p w14:paraId="54C6BB8B" w14:textId="36B44E4A" w:rsidR="0093433C" w:rsidRPr="00890249" w:rsidRDefault="1A8F9506"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realizowane będzie zgodne z założeniami </w:t>
      </w:r>
      <w:r w:rsidR="79AF501C" w:rsidRPr="00890249">
        <w:rPr>
          <w:rFonts w:asciiTheme="minorHAnsi" w:hAnsiTheme="minorHAnsi" w:cstheme="minorHAnsi"/>
          <w:sz w:val="22"/>
          <w:szCs w:val="22"/>
          <w:lang w:eastAsia="en-US" w:bidi="ar-SA"/>
        </w:rPr>
        <w:t>Unijnych strategicznych ram dla Romów na rzecz równości, włączenia i uczestnictwa</w:t>
      </w:r>
      <w:r w:rsidR="00390D74" w:rsidRPr="00890249">
        <w:rPr>
          <w:rStyle w:val="Odwoanieprzypisudolnego"/>
          <w:rFonts w:asciiTheme="minorHAnsi" w:hAnsiTheme="minorHAnsi" w:cstheme="minorHAnsi"/>
          <w:i/>
          <w:iCs/>
          <w:sz w:val="22"/>
          <w:szCs w:val="22"/>
          <w:lang w:eastAsia="en-US" w:bidi="ar-SA"/>
        </w:rPr>
        <w:footnoteReference w:id="201"/>
      </w:r>
      <w:r w:rsidRPr="00890249">
        <w:rPr>
          <w:rFonts w:asciiTheme="minorHAnsi" w:hAnsiTheme="minorHAnsi" w:cstheme="minorHAnsi"/>
          <w:sz w:val="22"/>
          <w:szCs w:val="22"/>
          <w:lang w:eastAsia="en-US" w:bidi="ar-SA"/>
        </w:rPr>
        <w:t xml:space="preserve"> oraz z </w:t>
      </w:r>
      <w:r w:rsidR="79AF501C" w:rsidRPr="00890249">
        <w:rPr>
          <w:rFonts w:asciiTheme="minorHAnsi" w:hAnsiTheme="minorHAnsi" w:cstheme="minorHAnsi"/>
          <w:sz w:val="22"/>
          <w:szCs w:val="22"/>
          <w:lang w:eastAsia="en-US" w:bidi="ar-SA"/>
        </w:rPr>
        <w:t xml:space="preserve">Programem na rzecz integracji społecznej i obywatelskiej Romów w Polsce </w:t>
      </w:r>
      <w:r w:rsidRPr="00890249">
        <w:rPr>
          <w:rFonts w:asciiTheme="minorHAnsi" w:hAnsiTheme="minorHAnsi" w:cstheme="minorHAnsi"/>
          <w:sz w:val="22"/>
          <w:szCs w:val="22"/>
          <w:lang w:eastAsia="en-US" w:bidi="ar-SA"/>
        </w:rPr>
        <w:t xml:space="preserve">na lata </w:t>
      </w:r>
      <w:r w:rsidR="79AF501C" w:rsidRPr="00890249">
        <w:rPr>
          <w:rFonts w:asciiTheme="minorHAnsi" w:hAnsiTheme="minorHAnsi" w:cstheme="minorHAnsi"/>
          <w:sz w:val="22"/>
          <w:szCs w:val="22"/>
          <w:lang w:eastAsia="en-US" w:bidi="ar-SA"/>
        </w:rPr>
        <w:t>2021-2030</w:t>
      </w:r>
      <w:r w:rsidR="00390D74" w:rsidRPr="00890249">
        <w:rPr>
          <w:rStyle w:val="Odwoanieprzypisudolnego"/>
          <w:rFonts w:asciiTheme="minorHAnsi" w:hAnsiTheme="minorHAnsi" w:cstheme="minorHAnsi"/>
          <w:i/>
          <w:iCs/>
          <w:sz w:val="22"/>
          <w:szCs w:val="22"/>
          <w:lang w:eastAsia="en-US" w:bidi="ar-SA"/>
        </w:rPr>
        <w:footnoteReference w:id="202"/>
      </w:r>
      <w:r w:rsidRPr="00890249">
        <w:rPr>
          <w:rFonts w:asciiTheme="minorHAnsi" w:hAnsiTheme="minorHAnsi" w:cstheme="minorHAnsi"/>
          <w:sz w:val="22"/>
          <w:szCs w:val="22"/>
          <w:lang w:eastAsia="en-US" w:bidi="ar-SA"/>
        </w:rPr>
        <w:t>.</w:t>
      </w:r>
      <w:r w:rsidR="4E9FCDC5" w:rsidRPr="00890249">
        <w:rPr>
          <w:rFonts w:asciiTheme="minorHAnsi" w:hAnsiTheme="minorHAnsi" w:cstheme="minorHAnsi"/>
          <w:sz w:val="22"/>
          <w:szCs w:val="22"/>
        </w:rPr>
        <w:t xml:space="preserve"> </w:t>
      </w:r>
      <w:r w:rsidR="00875C92" w:rsidRPr="00890249">
        <w:rPr>
          <w:rFonts w:asciiTheme="minorHAnsi" w:hAnsiTheme="minorHAnsi" w:cstheme="minorHAnsi"/>
          <w:sz w:val="22"/>
          <w:szCs w:val="22"/>
          <w:lang w:eastAsia="en-US" w:bidi="ar-SA"/>
        </w:rPr>
        <w:t>W ramach</w:t>
      </w:r>
      <w:r w:rsidR="4E9FCDC5" w:rsidRPr="00890249">
        <w:rPr>
          <w:rFonts w:asciiTheme="minorHAnsi" w:hAnsiTheme="minorHAnsi" w:cstheme="minorHAnsi"/>
          <w:sz w:val="22"/>
          <w:szCs w:val="22"/>
          <w:lang w:eastAsia="en-US" w:bidi="ar-SA"/>
        </w:rPr>
        <w:t xml:space="preserve"> Programu nie będzie finansowane</w:t>
      </w:r>
      <w:r w:rsidR="00875C92" w:rsidRPr="00890249">
        <w:rPr>
          <w:rFonts w:asciiTheme="minorHAnsi" w:hAnsiTheme="minorHAnsi" w:cstheme="minorHAnsi"/>
          <w:sz w:val="22"/>
          <w:szCs w:val="22"/>
          <w:lang w:eastAsia="en-US" w:bidi="ar-SA"/>
        </w:rPr>
        <w:t xml:space="preserve"> </w:t>
      </w:r>
      <w:r w:rsidR="4E9FCDC5" w:rsidRPr="00890249">
        <w:rPr>
          <w:rFonts w:asciiTheme="minorHAnsi" w:hAnsiTheme="minorHAnsi" w:cstheme="minorHAnsi"/>
          <w:sz w:val="22"/>
          <w:szCs w:val="22"/>
          <w:lang w:eastAsia="en-US" w:bidi="ar-SA"/>
        </w:rPr>
        <w:t xml:space="preserve">wsparcie powodujące </w:t>
      </w:r>
      <w:r w:rsidR="00875C92" w:rsidRPr="00890249">
        <w:rPr>
          <w:rFonts w:asciiTheme="minorHAnsi" w:hAnsiTheme="minorHAnsi" w:cstheme="minorHAnsi"/>
          <w:sz w:val="22"/>
          <w:szCs w:val="22"/>
          <w:lang w:eastAsia="en-US" w:bidi="ar-SA"/>
        </w:rPr>
        <w:t xml:space="preserve">segregację </w:t>
      </w:r>
      <w:r w:rsidR="4E9FCDC5" w:rsidRPr="00890249">
        <w:rPr>
          <w:rFonts w:asciiTheme="minorHAnsi" w:hAnsiTheme="minorHAnsi" w:cstheme="minorHAnsi"/>
          <w:sz w:val="22"/>
          <w:szCs w:val="22"/>
          <w:lang w:eastAsia="en-US" w:bidi="ar-SA"/>
        </w:rPr>
        <w:t>społeczną, edukacyjną i przestrzenną osób ze społeczności romskiej.</w:t>
      </w:r>
    </w:p>
    <w:p w14:paraId="438F5A6C" w14:textId="77777777" w:rsidR="0093433C" w:rsidRPr="00890249" w:rsidRDefault="00DE135D" w:rsidP="00890249">
      <w:pPr>
        <w:pStyle w:val="Tekstpodstawowy"/>
        <w:rPr>
          <w:rFonts w:asciiTheme="minorHAnsi" w:hAnsiTheme="minorHAnsi" w:cstheme="minorHAnsi"/>
          <w:noProof/>
          <w:sz w:val="22"/>
          <w:szCs w:val="22"/>
          <w:lang w:eastAsia="en-US" w:bidi="ar-SA"/>
        </w:rPr>
      </w:pPr>
      <w:r w:rsidRPr="00890249">
        <w:rPr>
          <w:rFonts w:asciiTheme="minorHAnsi" w:hAnsiTheme="minorHAnsi" w:cstheme="minorHAnsi"/>
          <w:noProof/>
          <w:sz w:val="22"/>
          <w:szCs w:val="22"/>
          <w:lang w:eastAsia="en-US" w:bidi="ar-SA"/>
        </w:rPr>
        <w:t>Planowane typy przedsięwzięć:</w:t>
      </w:r>
    </w:p>
    <w:p w14:paraId="33B860BB" w14:textId="77777777" w:rsidR="00927033" w:rsidRPr="00890249" w:rsidRDefault="00927033" w:rsidP="009F296A">
      <w:pPr>
        <w:pStyle w:val="Akapitzlist"/>
        <w:numPr>
          <w:ilvl w:val="0"/>
          <w:numId w:val="24"/>
        </w:numPr>
        <w:tabs>
          <w:tab w:val="left" w:pos="426"/>
        </w:tabs>
        <w:ind w:left="426" w:hanging="426"/>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Kompleksowe wsparcie społeczności romskiej, w tym m.in.:</w:t>
      </w:r>
    </w:p>
    <w:p w14:paraId="4363BD60" w14:textId="77777777" w:rsidR="00927033" w:rsidRPr="00890249" w:rsidRDefault="00927033" w:rsidP="009F296A">
      <w:pPr>
        <w:pStyle w:val="Akapitzlist"/>
        <w:numPr>
          <w:ilvl w:val="0"/>
          <w:numId w:val="25"/>
        </w:numPr>
        <w:tabs>
          <w:tab w:val="left" w:pos="426"/>
        </w:tabs>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 xml:space="preserve">poprawa warunków bytowych, </w:t>
      </w:r>
    </w:p>
    <w:p w14:paraId="6464E4BD" w14:textId="6A16B77D" w:rsidR="00927033" w:rsidRPr="00890249" w:rsidRDefault="00F1438D" w:rsidP="009F296A">
      <w:pPr>
        <w:pStyle w:val="Akapitzlist"/>
        <w:numPr>
          <w:ilvl w:val="0"/>
          <w:numId w:val="25"/>
        </w:numPr>
        <w:tabs>
          <w:tab w:val="left" w:pos="426"/>
        </w:tabs>
        <w:ind w:left="851" w:hanging="425"/>
        <w:contextualSpacing w:val="0"/>
        <w:rPr>
          <w:rFonts w:asciiTheme="minorHAnsi" w:eastAsia="Times New Roman" w:hAnsiTheme="minorHAnsi" w:cstheme="minorHAnsi"/>
          <w:b/>
          <w:i/>
          <w:iCs/>
          <w:noProof/>
          <w:sz w:val="22"/>
          <w:szCs w:val="22"/>
        </w:rPr>
      </w:pPr>
      <w:r>
        <w:rPr>
          <w:rFonts w:asciiTheme="minorHAnsi" w:eastAsiaTheme="minorHAnsi" w:hAnsiTheme="minorHAnsi" w:cstheme="minorHAnsi"/>
          <w:sz w:val="22"/>
          <w:szCs w:val="22"/>
        </w:rPr>
        <w:t>aktywizacja społeczno-</w:t>
      </w:r>
      <w:r w:rsidR="00927033" w:rsidRPr="00890249">
        <w:rPr>
          <w:rFonts w:asciiTheme="minorHAnsi" w:eastAsiaTheme="minorHAnsi" w:hAnsiTheme="minorHAnsi" w:cstheme="minorHAnsi"/>
          <w:sz w:val="22"/>
          <w:szCs w:val="22"/>
        </w:rPr>
        <w:t>zawodowa,</w:t>
      </w:r>
    </w:p>
    <w:p w14:paraId="0DA810D6" w14:textId="77777777" w:rsidR="00927033" w:rsidRPr="00890249" w:rsidRDefault="00927033" w:rsidP="009F296A">
      <w:pPr>
        <w:pStyle w:val="Akapitzlist"/>
        <w:numPr>
          <w:ilvl w:val="0"/>
          <w:numId w:val="25"/>
        </w:numPr>
        <w:tabs>
          <w:tab w:val="left" w:pos="426"/>
        </w:tabs>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kampanie świadomościowe</w:t>
      </w:r>
      <w:r w:rsidR="00956BDC" w:rsidRPr="00890249">
        <w:rPr>
          <w:rFonts w:asciiTheme="minorHAnsi" w:eastAsiaTheme="minorHAnsi" w:hAnsiTheme="minorHAnsi" w:cstheme="minorHAnsi"/>
          <w:sz w:val="22"/>
          <w:szCs w:val="22"/>
        </w:rPr>
        <w:t>, w tym</w:t>
      </w:r>
      <w:r w:rsidRPr="00890249">
        <w:rPr>
          <w:rFonts w:asciiTheme="minorHAnsi" w:eastAsiaTheme="minorHAnsi" w:hAnsiTheme="minorHAnsi" w:cstheme="minorHAnsi"/>
          <w:sz w:val="22"/>
          <w:szCs w:val="22"/>
        </w:rPr>
        <w:t xml:space="preserve"> w zakresie przełamywania stereotypów, </w:t>
      </w:r>
    </w:p>
    <w:p w14:paraId="039AA3FC" w14:textId="77777777" w:rsidR="00956BDC" w:rsidRPr="00890249" w:rsidRDefault="00927033" w:rsidP="009F296A">
      <w:pPr>
        <w:pStyle w:val="Akapitzlist"/>
        <w:numPr>
          <w:ilvl w:val="0"/>
          <w:numId w:val="25"/>
        </w:numPr>
        <w:tabs>
          <w:tab w:val="left" w:pos="426"/>
        </w:tabs>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ochrona i zachowanie tożsamości kulturowej</w:t>
      </w:r>
      <w:r w:rsidR="00956BDC" w:rsidRPr="00890249">
        <w:rPr>
          <w:rFonts w:asciiTheme="minorHAnsi" w:eastAsiaTheme="minorHAnsi" w:hAnsiTheme="minorHAnsi" w:cstheme="minorHAnsi"/>
          <w:sz w:val="22"/>
          <w:szCs w:val="22"/>
        </w:rPr>
        <w:t>,</w:t>
      </w:r>
    </w:p>
    <w:p w14:paraId="5E919D89" w14:textId="77777777" w:rsidR="00927033" w:rsidRPr="00890249" w:rsidRDefault="00956BDC" w:rsidP="009F296A">
      <w:pPr>
        <w:pStyle w:val="Akapitzlist"/>
        <w:numPr>
          <w:ilvl w:val="0"/>
          <w:numId w:val="25"/>
        </w:numPr>
        <w:tabs>
          <w:tab w:val="left" w:pos="426"/>
        </w:tabs>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profilaktyka ochrony zdrowia.</w:t>
      </w:r>
    </w:p>
    <w:p w14:paraId="13558A4E" w14:textId="77777777" w:rsidR="00927033" w:rsidRPr="00890249" w:rsidRDefault="00927033" w:rsidP="009F296A">
      <w:pPr>
        <w:pStyle w:val="Akapitzlist"/>
        <w:numPr>
          <w:ilvl w:val="0"/>
          <w:numId w:val="24"/>
        </w:numPr>
        <w:ind w:left="426" w:hanging="426"/>
        <w:contextualSpacing w:val="0"/>
        <w:rPr>
          <w:rFonts w:asciiTheme="minorHAnsi" w:eastAsia="Times New Roman" w:hAnsiTheme="minorHAnsi" w:cstheme="minorHAnsi"/>
          <w:b/>
          <w:i/>
          <w:iCs/>
          <w:noProof/>
          <w:sz w:val="22"/>
          <w:szCs w:val="22"/>
        </w:rPr>
      </w:pPr>
      <w:r w:rsidRPr="00890249">
        <w:rPr>
          <w:rFonts w:asciiTheme="minorHAnsi" w:eastAsia="Times New Roman" w:hAnsiTheme="minorHAnsi" w:cstheme="minorHAnsi"/>
          <w:iCs/>
          <w:noProof/>
          <w:sz w:val="22"/>
          <w:szCs w:val="22"/>
        </w:rPr>
        <w:t>Działania na rzecz dzieci romskich, w tym m.in.:</w:t>
      </w:r>
    </w:p>
    <w:p w14:paraId="53A79DA3" w14:textId="77777777" w:rsidR="00927033" w:rsidRPr="00890249" w:rsidRDefault="00927033" w:rsidP="009F296A">
      <w:pPr>
        <w:pStyle w:val="Akapitzlist"/>
        <w:numPr>
          <w:ilvl w:val="0"/>
          <w:numId w:val="26"/>
        </w:numPr>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wsparcie edukacji przedszkolnej i szkolnej (edukacja włączająca),</w:t>
      </w:r>
    </w:p>
    <w:p w14:paraId="6057651B" w14:textId="77777777" w:rsidR="00927033" w:rsidRPr="00890249" w:rsidRDefault="00927033" w:rsidP="009F296A">
      <w:pPr>
        <w:pStyle w:val="Akapitzlist"/>
        <w:numPr>
          <w:ilvl w:val="0"/>
          <w:numId w:val="26"/>
        </w:numPr>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 xml:space="preserve">tworzenie świetlic środowiskowych, </w:t>
      </w:r>
    </w:p>
    <w:p w14:paraId="13CEB66C" w14:textId="77777777" w:rsidR="00927033" w:rsidRPr="00890249" w:rsidRDefault="00927033" w:rsidP="009F296A">
      <w:pPr>
        <w:pStyle w:val="Akapitzlist"/>
        <w:numPr>
          <w:ilvl w:val="0"/>
          <w:numId w:val="26"/>
        </w:numPr>
        <w:ind w:left="851" w:hanging="425"/>
        <w:contextualSpacing w:val="0"/>
        <w:rPr>
          <w:rFonts w:asciiTheme="minorHAnsi" w:eastAsia="Times New Roman" w:hAnsiTheme="minorHAnsi" w:cstheme="minorHAnsi"/>
          <w:b/>
          <w:i/>
          <w:iCs/>
          <w:noProof/>
          <w:sz w:val="22"/>
          <w:szCs w:val="22"/>
        </w:rPr>
      </w:pPr>
      <w:r w:rsidRPr="00890249">
        <w:rPr>
          <w:rFonts w:asciiTheme="minorHAnsi" w:eastAsiaTheme="minorHAnsi" w:hAnsiTheme="minorHAnsi" w:cstheme="minorHAnsi"/>
          <w:sz w:val="22"/>
          <w:szCs w:val="22"/>
        </w:rPr>
        <w:t>asystent rodziny.</w:t>
      </w:r>
    </w:p>
    <w:p w14:paraId="7C38F924" w14:textId="77777777" w:rsidR="00A63705" w:rsidRPr="00890249" w:rsidRDefault="00D42888" w:rsidP="009F296A">
      <w:pPr>
        <w:pStyle w:val="Akapitzlist"/>
        <w:numPr>
          <w:ilvl w:val="0"/>
          <w:numId w:val="24"/>
        </w:numPr>
        <w:ind w:left="426" w:hanging="426"/>
        <w:contextualSpacing w:val="0"/>
        <w:rPr>
          <w:rFonts w:asciiTheme="minorHAnsi" w:eastAsia="Times New Roman" w:hAnsiTheme="minorHAnsi" w:cstheme="minorHAnsi"/>
          <w:b/>
          <w:i/>
          <w:iCs/>
          <w:noProof/>
          <w:sz w:val="22"/>
          <w:szCs w:val="24"/>
        </w:rPr>
      </w:pPr>
      <w:r w:rsidRPr="00890249">
        <w:rPr>
          <w:rFonts w:asciiTheme="minorHAnsi" w:eastAsiaTheme="minorHAnsi" w:hAnsiTheme="minorHAnsi" w:cstheme="minorHAnsi"/>
          <w:sz w:val="22"/>
          <w:szCs w:val="24"/>
        </w:rPr>
        <w:t>Budowanie</w:t>
      </w:r>
      <w:r w:rsidR="00AE3DD2" w:rsidRPr="00890249">
        <w:rPr>
          <w:rFonts w:asciiTheme="minorHAnsi" w:eastAsiaTheme="minorHAnsi" w:hAnsiTheme="minorHAnsi" w:cstheme="minorHAnsi"/>
          <w:sz w:val="22"/>
          <w:szCs w:val="24"/>
        </w:rPr>
        <w:t xml:space="preserve"> potencjału </w:t>
      </w:r>
      <w:r w:rsidR="00BF51BA" w:rsidRPr="00890249">
        <w:rPr>
          <w:rFonts w:asciiTheme="minorHAnsi" w:eastAsiaTheme="minorHAnsi" w:hAnsiTheme="minorHAnsi" w:cstheme="minorHAnsi"/>
          <w:sz w:val="22"/>
          <w:szCs w:val="24"/>
        </w:rPr>
        <w:t>organizacji społeczeństwa obywatelskiego do realizacji działań</w:t>
      </w:r>
      <w:r w:rsidR="00236D72" w:rsidRPr="00890249">
        <w:rPr>
          <w:rFonts w:asciiTheme="minorHAnsi" w:eastAsiaTheme="minorHAnsi" w:hAnsiTheme="minorHAnsi" w:cstheme="minorHAnsi"/>
          <w:sz w:val="22"/>
          <w:szCs w:val="24"/>
        </w:rPr>
        <w:t xml:space="preserve"> na rzecz</w:t>
      </w:r>
      <w:r w:rsidR="00AE3DD2" w:rsidRPr="00890249">
        <w:rPr>
          <w:rFonts w:asciiTheme="minorHAnsi" w:eastAsiaTheme="minorHAnsi" w:hAnsiTheme="minorHAnsi" w:cstheme="minorHAnsi"/>
          <w:sz w:val="22"/>
          <w:szCs w:val="24"/>
        </w:rPr>
        <w:t xml:space="preserve"> społeczności </w:t>
      </w:r>
      <w:r w:rsidR="00F227DE" w:rsidRPr="00890249">
        <w:rPr>
          <w:rFonts w:asciiTheme="minorHAnsi" w:eastAsiaTheme="minorHAnsi" w:hAnsiTheme="minorHAnsi" w:cstheme="minorHAnsi"/>
          <w:sz w:val="22"/>
          <w:szCs w:val="24"/>
        </w:rPr>
        <w:t>romskiej</w:t>
      </w:r>
      <w:r w:rsidR="00927033" w:rsidRPr="00890249">
        <w:rPr>
          <w:rFonts w:asciiTheme="minorHAnsi" w:eastAsiaTheme="minorHAnsi" w:hAnsiTheme="minorHAnsi" w:cstheme="minorHAnsi"/>
          <w:sz w:val="22"/>
          <w:szCs w:val="24"/>
        </w:rPr>
        <w:t>.</w:t>
      </w:r>
    </w:p>
    <w:p w14:paraId="30BAC4DA" w14:textId="77777777" w:rsidR="00A63705" w:rsidRPr="00890249" w:rsidRDefault="008374CE" w:rsidP="009F296A">
      <w:pPr>
        <w:pStyle w:val="Akapitzlist"/>
        <w:numPr>
          <w:ilvl w:val="0"/>
          <w:numId w:val="24"/>
        </w:numPr>
        <w:ind w:left="426" w:hanging="426"/>
        <w:contextualSpacing w:val="0"/>
        <w:rPr>
          <w:rFonts w:asciiTheme="minorHAnsi" w:eastAsia="Times New Roman" w:hAnsiTheme="minorHAnsi" w:cstheme="minorHAnsi"/>
          <w:iCs/>
          <w:noProof/>
          <w:sz w:val="22"/>
          <w:szCs w:val="22"/>
        </w:rPr>
      </w:pPr>
      <w:r w:rsidRPr="00890249">
        <w:rPr>
          <w:rFonts w:asciiTheme="minorHAnsi" w:eastAsia="Times New Roman" w:hAnsiTheme="minorHAnsi" w:cstheme="minorHAnsi"/>
          <w:iCs/>
          <w:noProof/>
          <w:sz w:val="22"/>
          <w:szCs w:val="24"/>
        </w:rPr>
        <w:lastRenderedPageBreak/>
        <w:t xml:space="preserve">Wymiana doświadczeń pomiędzy podmiotami </w:t>
      </w:r>
      <w:r w:rsidRPr="00890249">
        <w:rPr>
          <w:rFonts w:asciiTheme="minorHAnsi" w:eastAsia="Times New Roman" w:hAnsiTheme="minorHAnsi" w:cstheme="minorHAnsi"/>
          <w:iCs/>
          <w:noProof/>
          <w:sz w:val="22"/>
          <w:szCs w:val="22"/>
        </w:rPr>
        <w:t xml:space="preserve">działającymi na rzecz społeczności romskiej </w:t>
      </w:r>
      <w:r w:rsidR="00961FF3" w:rsidRPr="00890249">
        <w:rPr>
          <w:rFonts w:asciiTheme="minorHAnsi" w:eastAsia="Times New Roman" w:hAnsiTheme="minorHAnsi" w:cstheme="minorHAnsi"/>
          <w:iCs/>
          <w:noProof/>
          <w:sz w:val="22"/>
          <w:szCs w:val="22"/>
        </w:rPr>
        <w:br/>
      </w:r>
      <w:r w:rsidRPr="00890249">
        <w:rPr>
          <w:rFonts w:asciiTheme="minorHAnsi" w:eastAsia="Times New Roman" w:hAnsiTheme="minorHAnsi" w:cstheme="minorHAnsi"/>
          <w:iCs/>
          <w:noProof/>
          <w:sz w:val="22"/>
          <w:szCs w:val="22"/>
        </w:rPr>
        <w:t>(w tym organizacjami pozarządowymi) działającymi w kraju i w Europie.</w:t>
      </w:r>
    </w:p>
    <w:p w14:paraId="4B72F3C1" w14:textId="3E2C3E7B"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7B614884" w14:textId="77777777" w:rsidR="00C150DE" w:rsidRPr="00890249" w:rsidRDefault="00C150DE" w:rsidP="00C150DE">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4CB88EE8" w14:textId="77777777" w:rsidR="00D10449" w:rsidRPr="00890249" w:rsidRDefault="00D10449" w:rsidP="009F296A">
      <w:pPr>
        <w:pStyle w:val="Akapitzlist"/>
        <w:numPr>
          <w:ilvl w:val="0"/>
          <w:numId w:val="50"/>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osoby ze społeczności romskiej</w:t>
      </w:r>
      <w:r w:rsidR="009B5A56" w:rsidRPr="00890249">
        <w:rPr>
          <w:rFonts w:asciiTheme="minorHAnsi" w:hAnsiTheme="minorHAnsi" w:cstheme="minorHAnsi"/>
          <w:noProof/>
          <w:sz w:val="22"/>
          <w:szCs w:val="22"/>
        </w:rPr>
        <w:t xml:space="preserve"> i osoby z jej otoczenia</w:t>
      </w:r>
      <w:r w:rsidRPr="00890249">
        <w:rPr>
          <w:rFonts w:asciiTheme="minorHAnsi" w:hAnsiTheme="minorHAnsi" w:cstheme="minorHAnsi"/>
          <w:noProof/>
          <w:sz w:val="22"/>
          <w:szCs w:val="22"/>
        </w:rPr>
        <w:t>,</w:t>
      </w:r>
    </w:p>
    <w:p w14:paraId="5F4F3026" w14:textId="77777777" w:rsidR="00D10449" w:rsidRPr="00890249" w:rsidRDefault="009D1272" w:rsidP="009F296A">
      <w:pPr>
        <w:pStyle w:val="Akapitzlist"/>
        <w:numPr>
          <w:ilvl w:val="0"/>
          <w:numId w:val="50"/>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podmioty ekonomii społecznej</w:t>
      </w:r>
      <w:r w:rsidR="00D10449" w:rsidRPr="00890249">
        <w:rPr>
          <w:rFonts w:asciiTheme="minorHAnsi" w:hAnsiTheme="minorHAnsi" w:cstheme="minorHAnsi"/>
          <w:noProof/>
          <w:sz w:val="22"/>
          <w:szCs w:val="22"/>
        </w:rPr>
        <w:t xml:space="preserve"> działające na rzecz społeczności romskiej.</w:t>
      </w:r>
    </w:p>
    <w:p w14:paraId="0225A151" w14:textId="77777777" w:rsidR="00C150DE" w:rsidRPr="00890249" w:rsidRDefault="00C150DE" w:rsidP="00C150DE">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6A09BE73" w14:textId="4265C71B" w:rsidR="0052144C" w:rsidRPr="00890249" w:rsidRDefault="0052144C" w:rsidP="008F0A28">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zrównoważonego rozwoju oraz Załącznika III do Rozporządzenia UE 2021/1060.</w:t>
      </w:r>
    </w:p>
    <w:p w14:paraId="17076DDA" w14:textId="77777777" w:rsidR="0093433C" w:rsidRPr="00890249" w:rsidRDefault="0052144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36BCDBF6" w14:textId="77777777" w:rsidR="0093433C" w:rsidRPr="00890249" w:rsidRDefault="0052144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28D2619C" w14:textId="55942927" w:rsidR="0093433C" w:rsidRPr="00890249" w:rsidRDefault="0052144C" w:rsidP="009F296A">
      <w:pPr>
        <w:pStyle w:val="Listapunktowana2"/>
        <w:numPr>
          <w:ilvl w:val="0"/>
          <w:numId w:val="65"/>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r>
      <w:r w:rsidR="007B437F" w:rsidRPr="00890249">
        <w:rPr>
          <w:rFonts w:asciiTheme="minorHAnsi" w:hAnsiTheme="minorHAnsi" w:cstheme="minorHAnsi"/>
          <w:sz w:val="22"/>
          <w:szCs w:val="22"/>
          <w:lang w:eastAsia="en-US" w:bidi="ar-SA"/>
        </w:rPr>
        <w:t>ze społeczności romskiej</w:t>
      </w:r>
      <w:r w:rsidRPr="00890249">
        <w:rPr>
          <w:rFonts w:asciiTheme="minorHAnsi" w:hAnsiTheme="minorHAnsi" w:cstheme="minorHAnsi"/>
          <w:sz w:val="22"/>
          <w:szCs w:val="22"/>
          <w:lang w:eastAsia="en-US" w:bidi="ar-SA"/>
        </w:rPr>
        <w:t>,</w:t>
      </w:r>
    </w:p>
    <w:p w14:paraId="14CD987B"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1DCD2925"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Pr="00890249">
        <w:rPr>
          <w:rFonts w:asciiTheme="minorHAnsi" w:hAnsiTheme="minorHAnsi" w:cstheme="minorHAnsi"/>
          <w:sz w:val="22"/>
          <w:szCs w:val="22"/>
          <w:lang w:eastAsia="en-US" w:bidi="ar-SA"/>
        </w:rPr>
        <w:br/>
        <w:t xml:space="preserve">i szkodliwych praktyk, </w:t>
      </w:r>
    </w:p>
    <w:p w14:paraId="19B527AD"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wykorzystujące ekspresję kulturową w celu zwalczania dyskryminacji,</w:t>
      </w:r>
    </w:p>
    <w:p w14:paraId="3BC80B3A" w14:textId="2FFBAEE9"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00AE052A" w:rsidRPr="00890249">
        <w:rPr>
          <w:rFonts w:asciiTheme="minorHAnsi" w:hAnsiTheme="minorHAnsi" w:cstheme="minorHAnsi"/>
          <w:sz w:val="22"/>
          <w:szCs w:val="22"/>
          <w:lang w:eastAsia="en-US" w:bidi="ar-SA"/>
        </w:rPr>
        <w:t xml:space="preserve">beneficjenta, będącego </w:t>
      </w:r>
      <w:r w:rsidR="00AE052A"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79F65E14"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195BCA5F"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5AB3FA06"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włączenie do Komitetu Monitorującego członków organizacji pozarządowych oraz reprezentantów mniejszości, w tym etnicznych, </w:t>
      </w:r>
    </w:p>
    <w:p w14:paraId="18450648"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02555803"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24B6AC5E" w14:textId="77777777" w:rsidR="0093433C" w:rsidRPr="00890249" w:rsidRDefault="00D10449" w:rsidP="00890249">
      <w:pPr>
        <w:pStyle w:val="Tekstpodstawowy"/>
        <w:rPr>
          <w:rFonts w:asciiTheme="minorHAnsi" w:hAnsiTheme="minorHAnsi" w:cstheme="minorHAnsi"/>
          <w:sz w:val="22"/>
        </w:rPr>
      </w:pPr>
      <w:r w:rsidRPr="00890249">
        <w:rPr>
          <w:rFonts w:asciiTheme="minorHAnsi" w:hAnsiTheme="minorHAnsi" w:cstheme="minorHAnsi"/>
          <w:sz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7443E418" w14:textId="6571F024" w:rsidR="0093433C" w:rsidRPr="00890249" w:rsidRDefault="00AC276D" w:rsidP="00890249">
      <w:pPr>
        <w:pStyle w:val="Tekstpodstawowy"/>
        <w:rPr>
          <w:rFonts w:asciiTheme="minorHAnsi" w:hAnsiTheme="minorHAnsi" w:cstheme="minorHAnsi"/>
          <w:noProof/>
          <w:sz w:val="22"/>
        </w:rPr>
      </w:pPr>
      <w:r w:rsidRPr="00890249">
        <w:rPr>
          <w:rFonts w:asciiTheme="minorHAnsi" w:hAnsiTheme="minorHAnsi" w:cstheme="minorHAnsi"/>
          <w:noProof/>
          <w:sz w:val="22"/>
        </w:rPr>
        <w:t>Istn</w:t>
      </w:r>
      <w:r w:rsidR="00A41980" w:rsidRPr="00890249">
        <w:rPr>
          <w:rFonts w:asciiTheme="minorHAnsi" w:hAnsiTheme="minorHAnsi" w:cstheme="minorHAnsi"/>
          <w:noProof/>
          <w:sz w:val="22"/>
        </w:rPr>
        <w:t>ieje możliwość preferencji dla m</w:t>
      </w:r>
      <w:r w:rsidRPr="00890249">
        <w:rPr>
          <w:rFonts w:asciiTheme="minorHAnsi" w:hAnsiTheme="minorHAnsi" w:cstheme="minorHAnsi"/>
          <w:noProof/>
          <w:sz w:val="22"/>
        </w:rPr>
        <w:t xml:space="preserve">ieszkańców obszarów strategicznej interwencji, tj. miast średnich tracących funkcje społeczno-gospodarcze oraz </w:t>
      </w:r>
      <w:r w:rsidR="00A31553" w:rsidRPr="00890249">
        <w:rPr>
          <w:rFonts w:asciiTheme="minorHAnsi" w:hAnsiTheme="minorHAnsi" w:cstheme="minorHAnsi"/>
          <w:noProof/>
          <w:sz w:val="22"/>
        </w:rPr>
        <w:t xml:space="preserve">obszarów </w:t>
      </w:r>
      <w:r w:rsidRPr="00890249">
        <w:rPr>
          <w:rFonts w:asciiTheme="minorHAnsi" w:hAnsiTheme="minorHAnsi" w:cstheme="minorHAnsi"/>
          <w:noProof/>
          <w:sz w:val="22"/>
        </w:rPr>
        <w:t xml:space="preserve">zagrożonych trwałą marginalizacją, zidentyfikowanych na poziomie krajowym. </w:t>
      </w:r>
    </w:p>
    <w:p w14:paraId="685E6E74" w14:textId="24DF9368" w:rsidR="0093433C" w:rsidRPr="00890249" w:rsidRDefault="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lastRenderedPageBreak/>
        <w:t>Przedsięwzięcia międzyregionalne, transgraniczne i transnarodowe</w:t>
      </w:r>
    </w:p>
    <w:p w14:paraId="2DDFB522" w14:textId="5F168A90" w:rsidR="0093433C" w:rsidRPr="00890249" w:rsidRDefault="008915F3"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Wszystkie interwencje zaplanowane w </w:t>
      </w:r>
      <w:r w:rsidR="00A31553" w:rsidRPr="00890249">
        <w:rPr>
          <w:rFonts w:asciiTheme="minorHAnsi" w:hAnsiTheme="minorHAnsi" w:cstheme="minorHAnsi"/>
          <w:noProof/>
          <w:sz w:val="22"/>
        </w:rPr>
        <w:t>cs (j)</w:t>
      </w:r>
      <w:r w:rsidRPr="00890249">
        <w:rPr>
          <w:rFonts w:asciiTheme="minorHAnsi" w:hAnsiTheme="minorHAnsi" w:cstheme="minorHAnsi"/>
          <w:noProof/>
          <w:sz w:val="22"/>
        </w:rPr>
        <w:t xml:space="preserve"> będą przyczyniać się do poprawy jakości życia, w tym zwłaszcza osób zmarginalizowanych i zagrożonych wykluczeniem społecznym, poprzez zwiększanie dostępności do usług edukacyjnych, społecznych, zdrowotnych oraz wysokiej jakości miejsc pracy.</w:t>
      </w:r>
    </w:p>
    <w:p w14:paraId="4F5B980C" w14:textId="77777777" w:rsidR="0093433C" w:rsidRPr="00890249" w:rsidRDefault="005622F0" w:rsidP="00890249">
      <w:pPr>
        <w:pStyle w:val="Tekstpodstawowy"/>
        <w:rPr>
          <w:rFonts w:asciiTheme="minorHAnsi" w:hAnsiTheme="minorHAnsi" w:cstheme="minorHAnsi"/>
          <w:noProof/>
          <w:sz w:val="22"/>
        </w:rPr>
      </w:pPr>
      <w:r w:rsidRPr="00890249">
        <w:rPr>
          <w:rFonts w:asciiTheme="minorHAnsi" w:hAnsiTheme="minorHAnsi" w:cstheme="minorHAnsi"/>
          <w:noProof/>
          <w:sz w:val="22"/>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z interwencją wskazaną w programach współpracy transgranicznej Interreg Czechy-Polska 2021-2027 oraz Interreg Region Morza Bałtyckiego 2021-2027.</w:t>
      </w:r>
    </w:p>
    <w:p w14:paraId="715E2582" w14:textId="6A5BBB0B" w:rsidR="0093433C" w:rsidRPr="00890249" w:rsidRDefault="008915F3"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Z punktu widzenia wsparcia </w:t>
      </w:r>
      <w:r w:rsidR="005622F0" w:rsidRPr="00890249">
        <w:rPr>
          <w:rFonts w:asciiTheme="minorHAnsi" w:hAnsiTheme="minorHAnsi" w:cstheme="minorHAnsi"/>
          <w:noProof/>
          <w:sz w:val="22"/>
        </w:rPr>
        <w:t>społeczności romskiej</w:t>
      </w:r>
      <w:r w:rsidRPr="00890249">
        <w:rPr>
          <w:rFonts w:asciiTheme="minorHAnsi" w:hAnsiTheme="minorHAnsi" w:cstheme="minorHAnsi"/>
          <w:noProof/>
          <w:sz w:val="22"/>
        </w:rPr>
        <w:t xml:space="preserve"> działania zaplanowane w FEO 2021-2027 będą uzupełniać się, </w:t>
      </w:r>
      <w:r w:rsidR="00A40EEE" w:rsidRPr="00890249">
        <w:rPr>
          <w:rFonts w:asciiTheme="minorHAnsi" w:hAnsiTheme="minorHAnsi" w:cstheme="minorHAnsi"/>
          <w:noProof/>
          <w:sz w:val="22"/>
        </w:rPr>
        <w:t>z i</w:t>
      </w:r>
      <w:r w:rsidRPr="00890249">
        <w:rPr>
          <w:rFonts w:asciiTheme="minorHAnsi" w:hAnsiTheme="minorHAnsi" w:cstheme="minorHAnsi"/>
          <w:noProof/>
          <w:sz w:val="22"/>
        </w:rPr>
        <w:t>nterwencj</w:t>
      </w:r>
      <w:r w:rsidR="00A40EEE" w:rsidRPr="00890249">
        <w:rPr>
          <w:rFonts w:asciiTheme="minorHAnsi" w:hAnsiTheme="minorHAnsi" w:cstheme="minorHAnsi"/>
          <w:noProof/>
          <w:sz w:val="22"/>
        </w:rPr>
        <w:t xml:space="preserve">ą </w:t>
      </w:r>
      <w:r w:rsidRPr="00890249">
        <w:rPr>
          <w:rFonts w:asciiTheme="minorHAnsi" w:hAnsiTheme="minorHAnsi" w:cstheme="minorHAnsi"/>
          <w:noProof/>
          <w:sz w:val="22"/>
        </w:rPr>
        <w:t>wskazan</w:t>
      </w:r>
      <w:r w:rsidR="00A40EEE" w:rsidRPr="00890249">
        <w:rPr>
          <w:rFonts w:asciiTheme="minorHAnsi" w:hAnsiTheme="minorHAnsi" w:cstheme="minorHAnsi"/>
          <w:noProof/>
          <w:sz w:val="22"/>
        </w:rPr>
        <w:t>ą</w:t>
      </w:r>
      <w:r w:rsidR="005622F0" w:rsidRPr="00890249">
        <w:rPr>
          <w:rFonts w:asciiTheme="minorHAnsi" w:hAnsiTheme="minorHAnsi" w:cstheme="minorHAnsi"/>
          <w:noProof/>
          <w:sz w:val="22"/>
        </w:rPr>
        <w:t xml:space="preserve"> </w:t>
      </w:r>
      <w:r w:rsidRPr="00890249">
        <w:rPr>
          <w:rFonts w:asciiTheme="minorHAnsi" w:hAnsiTheme="minorHAnsi" w:cstheme="minorHAnsi"/>
          <w:noProof/>
          <w:sz w:val="22"/>
        </w:rPr>
        <w:t>w programie Erasmus+, którego celami są zwiększenie dostępności młodzieży do szeroko rozumianej edukacji.</w:t>
      </w:r>
      <w:r w:rsidR="00A40EEE" w:rsidRPr="00890249">
        <w:rPr>
          <w:rFonts w:asciiTheme="minorHAnsi" w:hAnsiTheme="minorHAnsi" w:cstheme="minorHAnsi"/>
          <w:noProof/>
          <w:sz w:val="22"/>
        </w:rPr>
        <w:t xml:space="preserve"> </w:t>
      </w:r>
      <w:r w:rsidR="005622F0" w:rsidRPr="00890249">
        <w:rPr>
          <w:rFonts w:asciiTheme="minorHAnsi" w:hAnsiTheme="minorHAnsi" w:cstheme="minorHAnsi"/>
          <w:noProof/>
          <w:sz w:val="22"/>
        </w:rPr>
        <w:t>T</w:t>
      </w:r>
      <w:r w:rsidR="00A40EEE" w:rsidRPr="00890249">
        <w:rPr>
          <w:rFonts w:asciiTheme="minorHAnsi" w:hAnsiTheme="minorHAnsi" w:cstheme="minorHAnsi"/>
          <w:noProof/>
          <w:sz w:val="22"/>
        </w:rPr>
        <w:t xml:space="preserve">ym samym </w:t>
      </w:r>
      <w:r w:rsidR="005622F0" w:rsidRPr="00890249">
        <w:rPr>
          <w:rFonts w:asciiTheme="minorHAnsi" w:hAnsiTheme="minorHAnsi" w:cstheme="minorHAnsi"/>
          <w:noProof/>
          <w:sz w:val="22"/>
        </w:rPr>
        <w:t xml:space="preserve">spowoduje  to </w:t>
      </w:r>
      <w:r w:rsidR="00A40EEE" w:rsidRPr="00890249">
        <w:rPr>
          <w:rFonts w:asciiTheme="minorHAnsi" w:hAnsiTheme="minorHAnsi" w:cstheme="minorHAnsi"/>
          <w:noProof/>
          <w:sz w:val="22"/>
        </w:rPr>
        <w:t>efekt synergii.</w:t>
      </w:r>
    </w:p>
    <w:p w14:paraId="4A98B6D9" w14:textId="5B425829" w:rsidR="0093433C" w:rsidRPr="00890249" w:rsidRDefault="008915F3" w:rsidP="00890249">
      <w:pPr>
        <w:pStyle w:val="Tekstpodstawowy"/>
        <w:rPr>
          <w:rFonts w:asciiTheme="minorHAnsi" w:hAnsiTheme="minorHAnsi" w:cstheme="minorHAnsi"/>
          <w:noProof/>
        </w:rPr>
      </w:pPr>
      <w:r w:rsidRPr="00890249">
        <w:rPr>
          <w:rFonts w:asciiTheme="minorHAnsi" w:hAnsiTheme="minorHAnsi" w:cstheme="minorHAnsi"/>
          <w:noProof/>
          <w:sz w:val="22"/>
        </w:rPr>
        <w:t>Program ten, podobnie jak FEO 2021-2027 wskazuje na liczne bariery, na które napotykają młodzi ludzie, w tym różnice kulturowe, które mogą stanowić istotny problem dla osób należących do mniejszości narodowych lub etnicznych.</w:t>
      </w:r>
    </w:p>
    <w:p w14:paraId="19F4E725"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62CDA9B4" w14:textId="1B3CF7A3" w:rsidR="0093433C" w:rsidRPr="00890249" w:rsidRDefault="00E03E5F"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 ramach </w:t>
      </w:r>
      <w:r w:rsidR="00BA1D2F" w:rsidRPr="00890249">
        <w:rPr>
          <w:rFonts w:asciiTheme="minorHAnsi" w:hAnsiTheme="minorHAnsi" w:cstheme="minorHAnsi"/>
          <w:noProof/>
          <w:sz w:val="22"/>
        </w:rPr>
        <w:t>cs</w:t>
      </w:r>
      <w:r w:rsidRPr="00890249">
        <w:rPr>
          <w:rFonts w:asciiTheme="minorHAnsi" w:hAnsiTheme="minorHAnsi" w:cstheme="minorHAnsi"/>
          <w:noProof/>
          <w:sz w:val="22"/>
        </w:rPr>
        <w:t xml:space="preserve"> (j) nie planuje się wykorzystania instrumentów finansowych.</w:t>
      </w:r>
    </w:p>
    <w:p w14:paraId="6611D395" w14:textId="0CF4DA6C" w:rsidR="0093433C" w:rsidRPr="00890249" w:rsidRDefault="00E03E5F"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Planowane przedsięwzięcia dotyczą integracji społecznej osób ze społeczności romskiej. Beneficjentami w cs (j) </w:t>
      </w:r>
      <w:r w:rsidR="00C46153" w:rsidRPr="00890249">
        <w:rPr>
          <w:rFonts w:asciiTheme="minorHAnsi" w:hAnsiTheme="minorHAnsi" w:cstheme="minorHAnsi"/>
          <w:noProof/>
          <w:sz w:val="22"/>
        </w:rPr>
        <w:t>c</w:t>
      </w:r>
      <w:r w:rsidRPr="00890249">
        <w:rPr>
          <w:rFonts w:asciiTheme="minorHAnsi" w:hAnsiTheme="minorHAnsi" w:cstheme="minorHAnsi"/>
          <w:noProof/>
          <w:sz w:val="22"/>
        </w:rPr>
        <w:t>o do zasady nie będą przedsiębiorstwa. W tym cs nie będą realizowane przedsięwzięcia prowadzone dla zysku, samofinansujące się.</w:t>
      </w:r>
    </w:p>
    <w:p w14:paraId="537D8ACA" w14:textId="5234A05C" w:rsidR="008F0A28" w:rsidRPr="00890249" w:rsidRDefault="008F0A28">
      <w:pPr>
        <w:spacing w:before="0" w:after="160" w:line="259" w:lineRule="auto"/>
        <w:jc w:val="left"/>
        <w:rPr>
          <w:rFonts w:asciiTheme="minorHAnsi" w:eastAsiaTheme="majorEastAsia" w:hAnsiTheme="minorHAnsi" w:cstheme="minorHAnsi"/>
          <w:noProof/>
          <w:color w:val="272727" w:themeColor="text1" w:themeTint="D8"/>
          <w:sz w:val="22"/>
          <w:szCs w:val="22"/>
        </w:rPr>
      </w:pPr>
      <w:r w:rsidRPr="00890249">
        <w:rPr>
          <w:rFonts w:asciiTheme="minorHAnsi" w:hAnsiTheme="minorHAnsi" w:cstheme="minorHAnsi"/>
          <w:noProof/>
          <w:sz w:val="22"/>
          <w:szCs w:val="22"/>
        </w:rPr>
        <w:br w:type="page"/>
      </w:r>
    </w:p>
    <w:p w14:paraId="6A6FB420" w14:textId="286C092C" w:rsidR="0093433C" w:rsidRPr="00890249" w:rsidRDefault="0093433C" w:rsidP="00890249">
      <w:pPr>
        <w:pStyle w:val="Nagwek8"/>
        <w:rPr>
          <w:rFonts w:asciiTheme="minorHAnsi" w:hAnsiTheme="minorHAnsi" w:cstheme="minorHAnsi"/>
          <w:noProof/>
        </w:rPr>
      </w:pPr>
    </w:p>
    <w:p w14:paraId="31AAB221" w14:textId="77777777" w:rsidR="008F0A28" w:rsidRPr="00890249" w:rsidRDefault="008F0A28" w:rsidP="008F0A2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2.1.6.3.2 (j)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691"/>
        <w:gridCol w:w="616"/>
        <w:gridCol w:w="1009"/>
        <w:gridCol w:w="830"/>
        <w:gridCol w:w="2213"/>
        <w:gridCol w:w="830"/>
        <w:gridCol w:w="1106"/>
        <w:gridCol w:w="1069"/>
      </w:tblGrid>
      <w:tr w:rsidR="00DE135D" w:rsidRPr="00890249" w14:paraId="09FBCC26" w14:textId="77777777" w:rsidTr="0075042B">
        <w:trPr>
          <w:trHeight w:val="425"/>
        </w:trPr>
        <w:tc>
          <w:tcPr>
            <w:tcW w:w="5000" w:type="pct"/>
            <w:gridSpan w:val="9"/>
            <w:shd w:val="clear" w:color="auto" w:fill="D9D9D9" w:themeFill="background1" w:themeFillShade="D9"/>
          </w:tcPr>
          <w:p w14:paraId="07D4CE52" w14:textId="77777777" w:rsidR="00DE135D" w:rsidRPr="00890249" w:rsidRDefault="00DE135D" w:rsidP="006739E5">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DE135D" w:rsidRPr="00890249" w14:paraId="7EC87624" w14:textId="77777777" w:rsidTr="0075042B">
        <w:trPr>
          <w:cantSplit/>
          <w:trHeight w:val="1647"/>
        </w:trPr>
        <w:tc>
          <w:tcPr>
            <w:tcW w:w="366" w:type="pct"/>
            <w:shd w:val="clear" w:color="auto" w:fill="F2F2F2" w:themeFill="background1" w:themeFillShade="F2"/>
            <w:textDirection w:val="btLr"/>
            <w:vAlign w:val="center"/>
          </w:tcPr>
          <w:p w14:paraId="1BD395AA"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383" w:type="pct"/>
            <w:shd w:val="clear" w:color="auto" w:fill="F2F2F2" w:themeFill="background1" w:themeFillShade="F2"/>
            <w:textDirection w:val="btLr"/>
            <w:vAlign w:val="center"/>
          </w:tcPr>
          <w:p w14:paraId="1F2155A7"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41" w:type="pct"/>
            <w:shd w:val="clear" w:color="auto" w:fill="F2F2F2" w:themeFill="background1" w:themeFillShade="F2"/>
            <w:textDirection w:val="btLr"/>
            <w:vAlign w:val="center"/>
          </w:tcPr>
          <w:p w14:paraId="5CDFB8AA"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0DBC392A"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08E9A6D9"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06B29B37"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0CF9524B"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53D6BB65"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3" w:type="pct"/>
            <w:shd w:val="clear" w:color="auto" w:fill="F2F2F2" w:themeFill="background1" w:themeFillShade="F2"/>
            <w:textDirection w:val="btLr"/>
            <w:vAlign w:val="center"/>
          </w:tcPr>
          <w:p w14:paraId="6FDFFBB6" w14:textId="77777777" w:rsidR="00DE135D" w:rsidRPr="00890249" w:rsidRDefault="00DE135D" w:rsidP="006739E5">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DE135D" w:rsidRPr="00890249" w14:paraId="560DC418" w14:textId="77777777" w:rsidTr="0043241C">
        <w:trPr>
          <w:trHeight w:val="340"/>
        </w:trPr>
        <w:tc>
          <w:tcPr>
            <w:tcW w:w="366" w:type="pct"/>
            <w:vAlign w:val="center"/>
          </w:tcPr>
          <w:p w14:paraId="6B693B30" w14:textId="77777777" w:rsidR="00A63705" w:rsidRPr="00890249" w:rsidRDefault="00DE135D"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w:t>
            </w:r>
            <w:r w:rsidR="0009010C" w:rsidRPr="00890249">
              <w:rPr>
                <w:rFonts w:asciiTheme="minorHAnsi" w:hAnsiTheme="minorHAnsi" w:cstheme="minorHAnsi"/>
                <w:i/>
                <w:noProof/>
                <w:sz w:val="18"/>
                <w:szCs w:val="16"/>
              </w:rPr>
              <w:t>4</w:t>
            </w:r>
          </w:p>
        </w:tc>
        <w:tc>
          <w:tcPr>
            <w:tcW w:w="383" w:type="pct"/>
            <w:vAlign w:val="center"/>
          </w:tcPr>
          <w:p w14:paraId="3F1080DF" w14:textId="77777777" w:rsidR="00DE135D" w:rsidRPr="00890249" w:rsidRDefault="0009010C" w:rsidP="006739E5">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w:t>
            </w:r>
            <w:r w:rsidR="00441F4C" w:rsidRPr="00890249">
              <w:rPr>
                <w:rFonts w:asciiTheme="minorHAnsi" w:eastAsiaTheme="minorHAnsi" w:hAnsiTheme="minorHAnsi" w:cstheme="minorHAnsi"/>
                <w:i/>
                <w:noProof/>
                <w:sz w:val="18"/>
                <w:szCs w:val="16"/>
                <w:lang w:eastAsia="en-US" w:bidi="ar-SA"/>
              </w:rPr>
              <w:t>.j</w:t>
            </w:r>
          </w:p>
        </w:tc>
        <w:tc>
          <w:tcPr>
            <w:tcW w:w="341" w:type="pct"/>
            <w:vAlign w:val="center"/>
          </w:tcPr>
          <w:p w14:paraId="772CBC28" w14:textId="77777777" w:rsidR="00DE135D" w:rsidRPr="00890249" w:rsidRDefault="00DE135D" w:rsidP="006739E5">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EFS+</w:t>
            </w:r>
          </w:p>
        </w:tc>
        <w:tc>
          <w:tcPr>
            <w:tcW w:w="559" w:type="pct"/>
            <w:vAlign w:val="center"/>
          </w:tcPr>
          <w:p w14:paraId="0A3B3FDF" w14:textId="77777777" w:rsidR="00DE135D" w:rsidRPr="00890249" w:rsidRDefault="00DE135D" w:rsidP="006739E5">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60" w:type="pct"/>
            <w:vAlign w:val="center"/>
          </w:tcPr>
          <w:p w14:paraId="1E0E12E0" w14:textId="77777777" w:rsidR="00DE135D" w:rsidRPr="00890249" w:rsidRDefault="006D239E" w:rsidP="006739E5">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EECO15</w:t>
            </w:r>
          </w:p>
        </w:tc>
        <w:tc>
          <w:tcPr>
            <w:tcW w:w="1226" w:type="pct"/>
            <w:shd w:val="clear" w:color="auto" w:fill="auto"/>
            <w:vAlign w:val="center"/>
          </w:tcPr>
          <w:p w14:paraId="1CF6CC15" w14:textId="77777777" w:rsidR="00DE135D" w:rsidRPr="00890249" w:rsidRDefault="00C54003" w:rsidP="006739E5">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osób należących do mniejszości, w tym społeczności marginalizowanych takich jak Romowie, objętych wsparciem w programie</w:t>
            </w:r>
          </w:p>
        </w:tc>
        <w:tc>
          <w:tcPr>
            <w:tcW w:w="460" w:type="pct"/>
            <w:vAlign w:val="center"/>
          </w:tcPr>
          <w:p w14:paraId="42FFF7A7" w14:textId="09697A9D" w:rsidR="00DE135D" w:rsidRPr="00890249" w:rsidRDefault="00D9066C" w:rsidP="006739E5">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os.</w:t>
            </w:r>
          </w:p>
        </w:tc>
        <w:tc>
          <w:tcPr>
            <w:tcW w:w="613" w:type="pct"/>
            <w:shd w:val="clear" w:color="auto" w:fill="auto"/>
            <w:vAlign w:val="center"/>
          </w:tcPr>
          <w:p w14:paraId="70CC9A15" w14:textId="77777777" w:rsidR="00A63705" w:rsidRPr="00890249" w:rsidRDefault="006D239E"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30</w:t>
            </w:r>
          </w:p>
        </w:tc>
        <w:tc>
          <w:tcPr>
            <w:tcW w:w="593" w:type="pct"/>
            <w:shd w:val="clear" w:color="auto" w:fill="auto"/>
            <w:vAlign w:val="center"/>
          </w:tcPr>
          <w:p w14:paraId="743FFE5A" w14:textId="77777777" w:rsidR="00A63705" w:rsidRPr="00890249" w:rsidRDefault="006D239E" w:rsidP="0043241C">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150</w:t>
            </w:r>
          </w:p>
        </w:tc>
      </w:tr>
    </w:tbl>
    <w:p w14:paraId="6928C13B" w14:textId="77777777" w:rsidR="00DE135D" w:rsidRPr="00890249" w:rsidRDefault="00DE135D" w:rsidP="00DE135D">
      <w:pPr>
        <w:spacing w:after="0"/>
        <w:rPr>
          <w:rFonts w:asciiTheme="minorHAnsi" w:eastAsia="Times New Roman" w:hAnsiTheme="minorHAnsi" w:cstheme="minorHAnsi"/>
          <w:b/>
          <w:iCs/>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611"/>
        <w:gridCol w:w="690"/>
        <w:gridCol w:w="1004"/>
        <w:gridCol w:w="772"/>
        <w:gridCol w:w="1379"/>
        <w:gridCol w:w="826"/>
        <w:gridCol w:w="690"/>
        <w:gridCol w:w="593"/>
        <w:gridCol w:w="558"/>
        <w:gridCol w:w="603"/>
        <w:gridCol w:w="678"/>
      </w:tblGrid>
      <w:tr w:rsidR="00DE135D" w:rsidRPr="00890249" w14:paraId="5353273A" w14:textId="77777777" w:rsidTr="00F47334">
        <w:trPr>
          <w:trHeight w:val="480"/>
        </w:trPr>
        <w:tc>
          <w:tcPr>
            <w:tcW w:w="5000" w:type="pct"/>
            <w:gridSpan w:val="12"/>
            <w:shd w:val="clear" w:color="auto" w:fill="D9D9D9" w:themeFill="background1" w:themeFillShade="D9"/>
          </w:tcPr>
          <w:p w14:paraId="5B89DF94" w14:textId="77777777" w:rsidR="00DE135D" w:rsidRPr="00890249" w:rsidRDefault="00DE135D" w:rsidP="006739E5">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DE135D" w:rsidRPr="00890249" w14:paraId="1B2E7753" w14:textId="77777777" w:rsidTr="00F47334">
        <w:trPr>
          <w:cantSplit/>
          <w:trHeight w:val="1623"/>
        </w:trPr>
        <w:tc>
          <w:tcPr>
            <w:tcW w:w="362" w:type="pct"/>
            <w:shd w:val="clear" w:color="auto" w:fill="F2F2F2" w:themeFill="background1" w:themeFillShade="F2"/>
            <w:textDirection w:val="btLr"/>
            <w:vAlign w:val="center"/>
          </w:tcPr>
          <w:p w14:paraId="3814BC94"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337" w:type="pct"/>
            <w:shd w:val="clear" w:color="auto" w:fill="F2F2F2" w:themeFill="background1" w:themeFillShade="F2"/>
            <w:textDirection w:val="btLr"/>
            <w:vAlign w:val="center"/>
          </w:tcPr>
          <w:p w14:paraId="0E9351CF"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1" w:type="pct"/>
            <w:shd w:val="clear" w:color="auto" w:fill="F2F2F2" w:themeFill="background1" w:themeFillShade="F2"/>
            <w:textDirection w:val="btLr"/>
            <w:vAlign w:val="center"/>
          </w:tcPr>
          <w:p w14:paraId="44B63616"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4" w:type="pct"/>
            <w:shd w:val="clear" w:color="auto" w:fill="F2F2F2" w:themeFill="background1" w:themeFillShade="F2"/>
            <w:textDirection w:val="btLr"/>
            <w:vAlign w:val="center"/>
          </w:tcPr>
          <w:p w14:paraId="1D45B333"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6" w:type="pct"/>
            <w:shd w:val="clear" w:color="auto" w:fill="F2F2F2" w:themeFill="background1" w:themeFillShade="F2"/>
            <w:textDirection w:val="btLr"/>
            <w:vAlign w:val="center"/>
          </w:tcPr>
          <w:p w14:paraId="15F870C4"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1" w:type="pct"/>
            <w:shd w:val="clear" w:color="auto" w:fill="F2F2F2" w:themeFill="background1" w:themeFillShade="F2"/>
            <w:textDirection w:val="btLr"/>
            <w:vAlign w:val="center"/>
          </w:tcPr>
          <w:p w14:paraId="770ABC62"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6" w:type="pct"/>
            <w:shd w:val="clear" w:color="auto" w:fill="F2F2F2" w:themeFill="background1" w:themeFillShade="F2"/>
            <w:textDirection w:val="btLr"/>
            <w:vAlign w:val="center"/>
          </w:tcPr>
          <w:p w14:paraId="71E9E9BE"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1" w:type="pct"/>
            <w:shd w:val="clear" w:color="auto" w:fill="F2F2F2" w:themeFill="background1" w:themeFillShade="F2"/>
            <w:textDirection w:val="btLr"/>
            <w:vAlign w:val="center"/>
          </w:tcPr>
          <w:p w14:paraId="35B91ED3"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7" w:type="pct"/>
            <w:shd w:val="clear" w:color="auto" w:fill="F2F2F2" w:themeFill="background1" w:themeFillShade="F2"/>
            <w:textDirection w:val="btLr"/>
            <w:vAlign w:val="center"/>
          </w:tcPr>
          <w:p w14:paraId="19E067C9"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8" w:type="pct"/>
            <w:shd w:val="clear" w:color="auto" w:fill="F2F2F2" w:themeFill="background1" w:themeFillShade="F2"/>
            <w:textDirection w:val="btLr"/>
            <w:vAlign w:val="center"/>
          </w:tcPr>
          <w:p w14:paraId="50FA4968"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3" w:type="pct"/>
            <w:shd w:val="clear" w:color="auto" w:fill="F2F2F2" w:themeFill="background1" w:themeFillShade="F2"/>
            <w:textDirection w:val="btLr"/>
            <w:vAlign w:val="center"/>
          </w:tcPr>
          <w:p w14:paraId="2CDF0E3F" w14:textId="77777777" w:rsidR="00DE135D" w:rsidRPr="00890249" w:rsidRDefault="00DE135D" w:rsidP="006739E5">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74" w:type="pct"/>
            <w:shd w:val="clear" w:color="auto" w:fill="F2F2F2" w:themeFill="background1" w:themeFillShade="F2"/>
            <w:textDirection w:val="btLr"/>
            <w:vAlign w:val="center"/>
          </w:tcPr>
          <w:p w14:paraId="04325D35" w14:textId="77777777" w:rsidR="00DE135D" w:rsidRPr="00890249" w:rsidRDefault="00DE135D" w:rsidP="006739E5">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6D239E" w:rsidRPr="00890249" w14:paraId="437647AA" w14:textId="77777777" w:rsidTr="00F47334">
        <w:trPr>
          <w:trHeight w:val="434"/>
        </w:trPr>
        <w:tc>
          <w:tcPr>
            <w:tcW w:w="362" w:type="pct"/>
            <w:vAlign w:val="center"/>
          </w:tcPr>
          <w:p w14:paraId="60A4600D" w14:textId="77777777" w:rsidR="006D239E" w:rsidRPr="00890249" w:rsidRDefault="006D239E" w:rsidP="006D239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337" w:type="pct"/>
            <w:vAlign w:val="center"/>
          </w:tcPr>
          <w:p w14:paraId="1D05B5B5" w14:textId="77777777" w:rsidR="006D239E" w:rsidRPr="00890249" w:rsidRDefault="006D239E" w:rsidP="006D239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4.j</w:t>
            </w:r>
          </w:p>
        </w:tc>
        <w:tc>
          <w:tcPr>
            <w:tcW w:w="381" w:type="pct"/>
            <w:vAlign w:val="center"/>
          </w:tcPr>
          <w:p w14:paraId="7F189234" w14:textId="77777777" w:rsidR="006D239E" w:rsidRPr="00890249" w:rsidRDefault="006D239E" w:rsidP="006D239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4" w:type="pct"/>
            <w:vAlign w:val="center"/>
          </w:tcPr>
          <w:p w14:paraId="6CADD098" w14:textId="77777777" w:rsidR="006D239E" w:rsidRPr="00890249" w:rsidRDefault="006D239E" w:rsidP="006D239E">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6" w:type="pct"/>
            <w:vAlign w:val="center"/>
          </w:tcPr>
          <w:p w14:paraId="63285339" w14:textId="77777777" w:rsidR="006D239E" w:rsidRPr="00890249" w:rsidRDefault="006D239E" w:rsidP="006D239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EECR04</w:t>
            </w:r>
          </w:p>
        </w:tc>
        <w:tc>
          <w:tcPr>
            <w:tcW w:w="761" w:type="pct"/>
            <w:shd w:val="clear" w:color="auto" w:fill="auto"/>
            <w:vAlign w:val="center"/>
          </w:tcPr>
          <w:p w14:paraId="1D0DA33A" w14:textId="77777777" w:rsidR="006D239E" w:rsidRPr="00890249" w:rsidRDefault="006D239E" w:rsidP="006D239E">
            <w:pPr>
              <w:spacing w:before="60"/>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Liczba osób pracujących, łącznie z prowadzącymi działalność na własny rachunek, po opuszczeniu programu</w:t>
            </w:r>
          </w:p>
        </w:tc>
        <w:tc>
          <w:tcPr>
            <w:tcW w:w="456" w:type="pct"/>
            <w:vAlign w:val="center"/>
          </w:tcPr>
          <w:p w14:paraId="2F3BA2AA" w14:textId="2E9193EE" w:rsidR="006D239E" w:rsidRPr="00890249" w:rsidRDefault="00D9066C" w:rsidP="006D239E">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w:t>
            </w:r>
          </w:p>
        </w:tc>
        <w:tc>
          <w:tcPr>
            <w:tcW w:w="381" w:type="pct"/>
            <w:vAlign w:val="center"/>
          </w:tcPr>
          <w:p w14:paraId="1DDC2F3F" w14:textId="77777777" w:rsidR="006D239E" w:rsidRPr="00890249" w:rsidRDefault="006D239E" w:rsidP="006D239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BD</w:t>
            </w:r>
          </w:p>
        </w:tc>
        <w:tc>
          <w:tcPr>
            <w:tcW w:w="327" w:type="pct"/>
            <w:vAlign w:val="center"/>
          </w:tcPr>
          <w:p w14:paraId="230D5569" w14:textId="77777777" w:rsidR="006D239E" w:rsidRPr="00890249" w:rsidRDefault="006E088D" w:rsidP="006D239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08" w:type="pct"/>
            <w:shd w:val="clear" w:color="auto" w:fill="auto"/>
            <w:vAlign w:val="center"/>
          </w:tcPr>
          <w:p w14:paraId="51926899" w14:textId="21E4E276" w:rsidR="006D239E" w:rsidRPr="00890249" w:rsidRDefault="008F6E40" w:rsidP="006D239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25</w:t>
            </w:r>
          </w:p>
        </w:tc>
        <w:tc>
          <w:tcPr>
            <w:tcW w:w="333" w:type="pct"/>
            <w:shd w:val="clear" w:color="auto" w:fill="auto"/>
            <w:vAlign w:val="center"/>
          </w:tcPr>
          <w:p w14:paraId="78C38C0C" w14:textId="77777777" w:rsidR="006D239E" w:rsidRPr="00890249" w:rsidRDefault="006E088D" w:rsidP="006D239E">
            <w:pPr>
              <w:spacing w:line="480" w:lineRule="auto"/>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74" w:type="pct"/>
            <w:vAlign w:val="center"/>
          </w:tcPr>
          <w:p w14:paraId="00E099BB" w14:textId="64D089E7" w:rsidR="006D239E" w:rsidRPr="00890249" w:rsidRDefault="008F6E40" w:rsidP="006D239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 EECO015</w:t>
            </w:r>
          </w:p>
        </w:tc>
      </w:tr>
    </w:tbl>
    <w:p w14:paraId="6E31739E" w14:textId="2F47563C" w:rsidR="0063477E" w:rsidRPr="00890249" w:rsidRDefault="0063477E" w:rsidP="00813E35">
      <w:pPr>
        <w:spacing w:before="0" w:after="160" w:line="259" w:lineRule="auto"/>
        <w:jc w:val="left"/>
        <w:rPr>
          <w:rFonts w:asciiTheme="minorHAnsi" w:hAnsiTheme="minorHAnsi" w:cstheme="minorHAnsi"/>
          <w:b/>
          <w:noProof/>
          <w:color w:val="FF0000"/>
          <w:sz w:val="22"/>
          <w:szCs w:val="22"/>
        </w:rPr>
      </w:pPr>
    </w:p>
    <w:p w14:paraId="635B240B" w14:textId="77777777" w:rsidR="008F0A28" w:rsidRPr="00890249" w:rsidRDefault="008F0A28" w:rsidP="008F0A28">
      <w:pPr>
        <w:spacing w:before="240" w:after="240"/>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2.1.6.3.3 (j) Orientacyjny podział zasobów programu (UE) według rodzaju interwencji</w:t>
      </w:r>
    </w:p>
    <w:tbl>
      <w:tblPr>
        <w:tblStyle w:val="Tabela-Siatka"/>
        <w:tblW w:w="9322" w:type="dxa"/>
        <w:tblLook w:val="04A0" w:firstRow="1" w:lastRow="0" w:firstColumn="1" w:lastColumn="0" w:noHBand="0" w:noVBand="1"/>
      </w:tblPr>
      <w:tblGrid>
        <w:gridCol w:w="1418"/>
        <w:gridCol w:w="1218"/>
        <w:gridCol w:w="1309"/>
        <w:gridCol w:w="1618"/>
        <w:gridCol w:w="1833"/>
        <w:gridCol w:w="1926"/>
      </w:tblGrid>
      <w:tr w:rsidR="00DE135D" w:rsidRPr="00890249" w14:paraId="2C80F19A" w14:textId="77777777" w:rsidTr="008647C2">
        <w:trPr>
          <w:tblHeader/>
        </w:trPr>
        <w:tc>
          <w:tcPr>
            <w:tcW w:w="9322" w:type="dxa"/>
            <w:gridSpan w:val="6"/>
            <w:shd w:val="clear" w:color="auto" w:fill="D9D9D9" w:themeFill="background1" w:themeFillShade="D9"/>
          </w:tcPr>
          <w:p w14:paraId="3AA0238F" w14:textId="77777777" w:rsidR="00DE135D" w:rsidRPr="00890249" w:rsidRDefault="00DE135D" w:rsidP="006739E5">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DE135D" w:rsidRPr="00890249" w14:paraId="73644753" w14:textId="77777777" w:rsidTr="008647C2">
        <w:trPr>
          <w:tblHeader/>
        </w:trPr>
        <w:tc>
          <w:tcPr>
            <w:tcW w:w="1543" w:type="dxa"/>
            <w:shd w:val="clear" w:color="auto" w:fill="F2F2F2" w:themeFill="background1" w:themeFillShade="F2"/>
          </w:tcPr>
          <w:p w14:paraId="69C173D0"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33" w:type="dxa"/>
            <w:shd w:val="clear" w:color="auto" w:fill="F2F2F2" w:themeFill="background1" w:themeFillShade="F2"/>
          </w:tcPr>
          <w:p w14:paraId="3D84EEB8"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92" w:type="dxa"/>
            <w:shd w:val="clear" w:color="auto" w:fill="F2F2F2" w:themeFill="background1" w:themeFillShade="F2"/>
          </w:tcPr>
          <w:p w14:paraId="2FC6E1DC"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51" w:type="dxa"/>
            <w:shd w:val="clear" w:color="auto" w:fill="F2F2F2" w:themeFill="background1" w:themeFillShade="F2"/>
          </w:tcPr>
          <w:p w14:paraId="7BD386AA"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00" w:type="dxa"/>
            <w:shd w:val="clear" w:color="auto" w:fill="F2F2F2" w:themeFill="background1" w:themeFillShade="F2"/>
          </w:tcPr>
          <w:p w14:paraId="7CE22E7A"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03" w:type="dxa"/>
            <w:shd w:val="clear" w:color="auto" w:fill="F2F2F2" w:themeFill="background1" w:themeFillShade="F2"/>
          </w:tcPr>
          <w:p w14:paraId="0C1DEEF1"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53D24" w:rsidRPr="00890249" w14:paraId="22A0637D" w14:textId="77777777" w:rsidTr="00890249">
        <w:trPr>
          <w:trHeight w:val="284"/>
        </w:trPr>
        <w:tc>
          <w:tcPr>
            <w:tcW w:w="1543" w:type="dxa"/>
            <w:vMerge w:val="restart"/>
            <w:vAlign w:val="center"/>
          </w:tcPr>
          <w:p w14:paraId="691128B2" w14:textId="77777777" w:rsidR="00D53D24" w:rsidRPr="00890249" w:rsidRDefault="00D53D24" w:rsidP="00D53D24">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33" w:type="dxa"/>
            <w:vMerge w:val="restart"/>
            <w:vAlign w:val="center"/>
          </w:tcPr>
          <w:p w14:paraId="52532415" w14:textId="77777777" w:rsidR="00D53D24" w:rsidRPr="00890249" w:rsidRDefault="00D53D24" w:rsidP="00D53D24">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92" w:type="dxa"/>
            <w:vMerge w:val="restart"/>
            <w:vAlign w:val="center"/>
          </w:tcPr>
          <w:p w14:paraId="5A9C174A" w14:textId="77777777" w:rsidR="00D53D24" w:rsidRPr="00890249" w:rsidRDefault="00D53D24" w:rsidP="00D53D24">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751" w:type="dxa"/>
            <w:vMerge w:val="restart"/>
            <w:vAlign w:val="center"/>
          </w:tcPr>
          <w:p w14:paraId="31364DAC" w14:textId="77777777" w:rsidR="00D53D24" w:rsidRPr="00890249" w:rsidRDefault="00D53D24" w:rsidP="00D53D24">
            <w:pPr>
              <w:jc w:val="center"/>
              <w:rPr>
                <w:rFonts w:asciiTheme="minorHAnsi" w:hAnsiTheme="minorHAnsi" w:cstheme="minorHAnsi"/>
                <w:noProof/>
                <w:sz w:val="20"/>
              </w:rPr>
            </w:pPr>
            <w:r w:rsidRPr="00890249">
              <w:rPr>
                <w:rFonts w:asciiTheme="minorHAnsi" w:eastAsia="Times New Roman" w:hAnsiTheme="minorHAnsi" w:cstheme="minorHAnsi"/>
                <w:iCs/>
                <w:noProof/>
                <w:sz w:val="20"/>
              </w:rPr>
              <w:t>(j)</w:t>
            </w:r>
          </w:p>
        </w:tc>
        <w:tc>
          <w:tcPr>
            <w:tcW w:w="1000" w:type="dxa"/>
          </w:tcPr>
          <w:p w14:paraId="0B4E8685" w14:textId="77777777" w:rsidR="00D53D24" w:rsidRPr="00890249" w:rsidRDefault="00D53D24" w:rsidP="00D53D24">
            <w:pPr>
              <w:jc w:val="center"/>
              <w:rPr>
                <w:rFonts w:asciiTheme="minorHAnsi" w:hAnsiTheme="minorHAnsi" w:cstheme="minorHAnsi"/>
                <w:noProof/>
                <w:sz w:val="20"/>
              </w:rPr>
            </w:pPr>
            <w:r w:rsidRPr="00890249">
              <w:rPr>
                <w:rFonts w:asciiTheme="minorHAnsi" w:hAnsiTheme="minorHAnsi" w:cstheme="minorHAnsi"/>
                <w:noProof/>
                <w:sz w:val="20"/>
              </w:rPr>
              <w:t>154</w:t>
            </w:r>
            <w:r w:rsidR="00C134D0" w:rsidRPr="00890249">
              <w:rPr>
                <w:rFonts w:asciiTheme="minorHAnsi" w:hAnsiTheme="minorHAnsi" w:cstheme="minorHAnsi"/>
                <w:noProof/>
                <w:sz w:val="20"/>
              </w:rPr>
              <w:t xml:space="preserve"> Działania na rzecz poprawy dostępu grup marginalizowanych, takich jak Romowie, do edukacji, zatrudnienia, a </w:t>
            </w:r>
            <w:r w:rsidR="00C134D0" w:rsidRPr="00890249">
              <w:rPr>
                <w:rFonts w:asciiTheme="minorHAnsi" w:hAnsiTheme="minorHAnsi" w:cstheme="minorHAnsi"/>
                <w:noProof/>
                <w:sz w:val="20"/>
              </w:rPr>
              <w:lastRenderedPageBreak/>
              <w:t>także na rzecz wspierania ich włączenia społecznego</w:t>
            </w:r>
          </w:p>
        </w:tc>
        <w:tc>
          <w:tcPr>
            <w:tcW w:w="2303" w:type="dxa"/>
          </w:tcPr>
          <w:p w14:paraId="5E8B5749" w14:textId="77777777" w:rsidR="00D53D24" w:rsidRPr="00890249" w:rsidRDefault="0089635D" w:rsidP="00D53D24">
            <w:pPr>
              <w:jc w:val="right"/>
              <w:rPr>
                <w:rFonts w:asciiTheme="minorHAnsi" w:hAnsiTheme="minorHAnsi" w:cstheme="minorHAnsi"/>
                <w:noProof/>
                <w:sz w:val="20"/>
              </w:rPr>
            </w:pPr>
            <w:r w:rsidRPr="00890249">
              <w:rPr>
                <w:rFonts w:asciiTheme="minorHAnsi" w:hAnsiTheme="minorHAnsi" w:cstheme="minorHAnsi"/>
                <w:noProof/>
                <w:sz w:val="20"/>
              </w:rPr>
              <w:lastRenderedPageBreak/>
              <w:t xml:space="preserve">500 000 </w:t>
            </w:r>
          </w:p>
        </w:tc>
      </w:tr>
      <w:tr w:rsidR="0075042B" w:rsidRPr="00890249" w14:paraId="45D7FEE0" w14:textId="77777777" w:rsidTr="00B13A97">
        <w:trPr>
          <w:trHeight w:val="317"/>
        </w:trPr>
        <w:tc>
          <w:tcPr>
            <w:tcW w:w="1543" w:type="dxa"/>
            <w:vMerge/>
          </w:tcPr>
          <w:p w14:paraId="7E156F53" w14:textId="77777777" w:rsidR="0075042B" w:rsidRPr="00890249" w:rsidRDefault="0075042B" w:rsidP="00D53D24">
            <w:pPr>
              <w:jc w:val="center"/>
              <w:rPr>
                <w:rFonts w:asciiTheme="minorHAnsi" w:hAnsiTheme="minorHAnsi" w:cstheme="minorHAnsi"/>
                <w:noProof/>
                <w:sz w:val="20"/>
              </w:rPr>
            </w:pPr>
          </w:p>
        </w:tc>
        <w:tc>
          <w:tcPr>
            <w:tcW w:w="1333" w:type="dxa"/>
            <w:vMerge/>
          </w:tcPr>
          <w:p w14:paraId="175CB6D8" w14:textId="77777777" w:rsidR="0075042B" w:rsidRPr="00890249" w:rsidRDefault="0075042B" w:rsidP="00D53D24">
            <w:pPr>
              <w:jc w:val="center"/>
              <w:rPr>
                <w:rFonts w:asciiTheme="minorHAnsi" w:hAnsiTheme="minorHAnsi" w:cstheme="minorHAnsi"/>
                <w:noProof/>
                <w:sz w:val="20"/>
              </w:rPr>
            </w:pPr>
          </w:p>
        </w:tc>
        <w:tc>
          <w:tcPr>
            <w:tcW w:w="1392" w:type="dxa"/>
            <w:vMerge/>
          </w:tcPr>
          <w:p w14:paraId="5ADF4154" w14:textId="77777777" w:rsidR="0075042B" w:rsidRPr="00890249" w:rsidRDefault="0075042B" w:rsidP="00D53D24">
            <w:pPr>
              <w:jc w:val="center"/>
              <w:rPr>
                <w:rFonts w:asciiTheme="minorHAnsi" w:hAnsiTheme="minorHAnsi" w:cstheme="minorHAnsi"/>
                <w:noProof/>
                <w:sz w:val="20"/>
              </w:rPr>
            </w:pPr>
          </w:p>
        </w:tc>
        <w:tc>
          <w:tcPr>
            <w:tcW w:w="1751" w:type="dxa"/>
            <w:vMerge/>
            <w:vAlign w:val="center"/>
          </w:tcPr>
          <w:p w14:paraId="41DA0A95" w14:textId="77777777" w:rsidR="0075042B" w:rsidRPr="00890249" w:rsidRDefault="0075042B" w:rsidP="00D53D24">
            <w:pPr>
              <w:jc w:val="center"/>
              <w:rPr>
                <w:rFonts w:asciiTheme="minorHAnsi" w:hAnsiTheme="minorHAnsi" w:cstheme="minorHAnsi"/>
                <w:noProof/>
                <w:sz w:val="20"/>
              </w:rPr>
            </w:pPr>
          </w:p>
        </w:tc>
        <w:tc>
          <w:tcPr>
            <w:tcW w:w="1000" w:type="dxa"/>
          </w:tcPr>
          <w:p w14:paraId="64D4D283" w14:textId="77777777" w:rsidR="0075042B" w:rsidRPr="00890249" w:rsidDel="00CA473D" w:rsidRDefault="0075042B" w:rsidP="00D53D24">
            <w:pPr>
              <w:jc w:val="center"/>
              <w:rPr>
                <w:rFonts w:asciiTheme="minorHAnsi" w:hAnsiTheme="minorHAnsi" w:cstheme="minorHAnsi"/>
                <w:noProof/>
                <w:sz w:val="20"/>
              </w:rPr>
            </w:pPr>
            <w:r w:rsidRPr="00890249">
              <w:rPr>
                <w:rFonts w:asciiTheme="minorHAnsi" w:hAnsiTheme="minorHAnsi" w:cstheme="minorHAnsi"/>
                <w:noProof/>
                <w:sz w:val="20"/>
              </w:rPr>
              <w:t>155</w:t>
            </w:r>
            <w:r w:rsidR="00C134D0" w:rsidRPr="00890249">
              <w:rPr>
                <w:rFonts w:asciiTheme="minorHAnsi" w:hAnsiTheme="minorHAnsi" w:cstheme="minorHAnsi"/>
                <w:noProof/>
                <w:sz w:val="20"/>
              </w:rPr>
              <w:t xml:space="preserve"> Wsparcie na rzecz organizacji społeczeństwa obyw</w:t>
            </w:r>
            <w:r w:rsidR="00FF4164" w:rsidRPr="00890249">
              <w:rPr>
                <w:rFonts w:asciiTheme="minorHAnsi" w:hAnsiTheme="minorHAnsi" w:cstheme="minorHAnsi"/>
                <w:noProof/>
                <w:sz w:val="20"/>
              </w:rPr>
              <w:t>atelskiego zajmujacych się społe</w:t>
            </w:r>
            <w:r w:rsidR="00C134D0" w:rsidRPr="00890249">
              <w:rPr>
                <w:rFonts w:asciiTheme="minorHAnsi" w:hAnsiTheme="minorHAnsi" w:cstheme="minorHAnsi"/>
                <w:noProof/>
                <w:sz w:val="20"/>
              </w:rPr>
              <w:t>cznościami marginalizwanymi, takimi jak Romowie</w:t>
            </w:r>
          </w:p>
        </w:tc>
        <w:tc>
          <w:tcPr>
            <w:tcW w:w="2303" w:type="dxa"/>
          </w:tcPr>
          <w:p w14:paraId="539CEA5E" w14:textId="77777777" w:rsidR="0075042B" w:rsidRPr="00890249" w:rsidRDefault="0089635D" w:rsidP="00D53D24">
            <w:pPr>
              <w:jc w:val="right"/>
              <w:rPr>
                <w:rFonts w:asciiTheme="minorHAnsi" w:hAnsiTheme="minorHAnsi" w:cstheme="minorHAnsi"/>
                <w:noProof/>
                <w:sz w:val="20"/>
              </w:rPr>
            </w:pPr>
            <w:r w:rsidRPr="00890249">
              <w:rPr>
                <w:rFonts w:asciiTheme="minorHAnsi" w:hAnsiTheme="minorHAnsi" w:cstheme="minorHAnsi"/>
                <w:noProof/>
                <w:sz w:val="20"/>
              </w:rPr>
              <w:t xml:space="preserve">500 000 </w:t>
            </w:r>
          </w:p>
        </w:tc>
      </w:tr>
    </w:tbl>
    <w:p w14:paraId="0A59B257" w14:textId="77777777" w:rsidR="00DE135D" w:rsidRPr="00890249" w:rsidRDefault="00DE135D" w:rsidP="0063477E">
      <w:pPr>
        <w:spacing w:before="0" w:after="240"/>
        <w:rPr>
          <w:rFonts w:asciiTheme="minorHAnsi" w:hAnsiTheme="minorHAnsi" w:cstheme="minorHAnsi"/>
          <w:b/>
          <w:noProof/>
          <w:sz w:val="22"/>
          <w:szCs w:val="22"/>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DE135D" w:rsidRPr="00890249" w14:paraId="6F3F806A" w14:textId="77777777" w:rsidTr="0075042B">
        <w:tc>
          <w:tcPr>
            <w:tcW w:w="9288" w:type="dxa"/>
            <w:gridSpan w:val="6"/>
            <w:shd w:val="clear" w:color="auto" w:fill="D9D9D9" w:themeFill="background1" w:themeFillShade="D9"/>
          </w:tcPr>
          <w:p w14:paraId="2E1B7AB7" w14:textId="77777777" w:rsidR="00DE135D" w:rsidRPr="00890249" w:rsidRDefault="00DE135D" w:rsidP="006739E5">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DE135D" w:rsidRPr="00890249" w14:paraId="1D3A5409" w14:textId="77777777" w:rsidTr="00890249">
        <w:tc>
          <w:tcPr>
            <w:tcW w:w="1599" w:type="dxa"/>
            <w:tcBorders>
              <w:bottom w:val="single" w:sz="4" w:space="0" w:color="auto"/>
            </w:tcBorders>
            <w:shd w:val="clear" w:color="auto" w:fill="F2F2F2" w:themeFill="background1" w:themeFillShade="F2"/>
          </w:tcPr>
          <w:p w14:paraId="722E5CB7"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tcBorders>
              <w:bottom w:val="single" w:sz="4" w:space="0" w:color="auto"/>
            </w:tcBorders>
            <w:shd w:val="clear" w:color="auto" w:fill="F2F2F2" w:themeFill="background1" w:themeFillShade="F2"/>
          </w:tcPr>
          <w:p w14:paraId="77A7BC35"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tcBorders>
              <w:bottom w:val="single" w:sz="4" w:space="0" w:color="auto"/>
            </w:tcBorders>
            <w:shd w:val="clear" w:color="auto" w:fill="F2F2F2" w:themeFill="background1" w:themeFillShade="F2"/>
          </w:tcPr>
          <w:p w14:paraId="78EC3476"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tcBorders>
              <w:bottom w:val="single" w:sz="4" w:space="0" w:color="auto"/>
            </w:tcBorders>
            <w:shd w:val="clear" w:color="auto" w:fill="F2F2F2" w:themeFill="background1" w:themeFillShade="F2"/>
          </w:tcPr>
          <w:p w14:paraId="18A592C6"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tcBorders>
              <w:bottom w:val="single" w:sz="4" w:space="0" w:color="auto"/>
            </w:tcBorders>
            <w:shd w:val="clear" w:color="auto" w:fill="F2F2F2" w:themeFill="background1" w:themeFillShade="F2"/>
          </w:tcPr>
          <w:p w14:paraId="22FC6BCE"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tcBorders>
              <w:bottom w:val="single" w:sz="4" w:space="0" w:color="auto"/>
            </w:tcBorders>
            <w:shd w:val="clear" w:color="auto" w:fill="F2F2F2" w:themeFill="background1" w:themeFillShade="F2"/>
          </w:tcPr>
          <w:p w14:paraId="48C08850"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E135D" w:rsidRPr="00890249" w14:paraId="5AE51BAB" w14:textId="77777777" w:rsidTr="00890249">
        <w:tc>
          <w:tcPr>
            <w:tcW w:w="1599" w:type="dxa"/>
            <w:tcBorders>
              <w:bottom w:val="single" w:sz="4" w:space="0" w:color="auto"/>
            </w:tcBorders>
            <w:vAlign w:val="center"/>
          </w:tcPr>
          <w:p w14:paraId="61B6911E" w14:textId="77777777" w:rsidR="00DE135D" w:rsidRPr="00890249" w:rsidRDefault="00DE135D" w:rsidP="0009010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CP </w:t>
            </w:r>
            <w:r w:rsidR="0009010C" w:rsidRPr="00890249">
              <w:rPr>
                <w:rFonts w:asciiTheme="minorHAnsi" w:eastAsia="Times New Roman" w:hAnsiTheme="minorHAnsi" w:cstheme="minorHAnsi"/>
                <w:iCs/>
                <w:noProof/>
                <w:sz w:val="20"/>
              </w:rPr>
              <w:t>4</w:t>
            </w:r>
          </w:p>
        </w:tc>
        <w:tc>
          <w:tcPr>
            <w:tcW w:w="1384" w:type="dxa"/>
            <w:tcBorders>
              <w:bottom w:val="single" w:sz="4" w:space="0" w:color="auto"/>
            </w:tcBorders>
            <w:vAlign w:val="center"/>
          </w:tcPr>
          <w:p w14:paraId="33EA206A" w14:textId="77777777" w:rsidR="00DE135D" w:rsidRPr="00890249" w:rsidRDefault="00DE135D" w:rsidP="006739E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r w:rsidR="00133682" w:rsidRPr="00890249">
              <w:rPr>
                <w:rFonts w:asciiTheme="minorHAnsi" w:eastAsia="Times New Roman" w:hAnsiTheme="minorHAnsi" w:cstheme="minorHAnsi"/>
                <w:iCs/>
                <w:noProof/>
                <w:sz w:val="20"/>
              </w:rPr>
              <w:t>+</w:t>
            </w:r>
          </w:p>
        </w:tc>
        <w:tc>
          <w:tcPr>
            <w:tcW w:w="1433" w:type="dxa"/>
            <w:tcBorders>
              <w:bottom w:val="single" w:sz="4" w:space="0" w:color="auto"/>
            </w:tcBorders>
          </w:tcPr>
          <w:p w14:paraId="37EA474B" w14:textId="77777777" w:rsidR="00DE135D" w:rsidRPr="00890249" w:rsidRDefault="00DE135D" w:rsidP="006739E5">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tcBorders>
              <w:bottom w:val="single" w:sz="4" w:space="0" w:color="auto"/>
            </w:tcBorders>
            <w:vAlign w:val="center"/>
          </w:tcPr>
          <w:p w14:paraId="31BDD858" w14:textId="77777777" w:rsidR="00DE135D" w:rsidRPr="00890249" w:rsidRDefault="00DE135D" w:rsidP="00441F4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r w:rsidR="00441F4C" w:rsidRPr="00890249">
              <w:rPr>
                <w:rFonts w:asciiTheme="minorHAnsi" w:eastAsia="Times New Roman" w:hAnsiTheme="minorHAnsi" w:cstheme="minorHAnsi"/>
                <w:iCs/>
                <w:noProof/>
                <w:sz w:val="20"/>
              </w:rPr>
              <w:t>j</w:t>
            </w:r>
            <w:r w:rsidRPr="00890249">
              <w:rPr>
                <w:rFonts w:asciiTheme="minorHAnsi" w:eastAsia="Times New Roman" w:hAnsiTheme="minorHAnsi" w:cstheme="minorHAnsi"/>
                <w:iCs/>
                <w:noProof/>
                <w:sz w:val="20"/>
              </w:rPr>
              <w:t>)</w:t>
            </w:r>
          </w:p>
        </w:tc>
        <w:tc>
          <w:tcPr>
            <w:tcW w:w="1053" w:type="dxa"/>
            <w:tcBorders>
              <w:bottom w:val="single" w:sz="4" w:space="0" w:color="auto"/>
            </w:tcBorders>
          </w:tcPr>
          <w:p w14:paraId="5B21887A" w14:textId="77777777" w:rsidR="00DE135D" w:rsidRPr="00890249" w:rsidRDefault="007961C4" w:rsidP="006739E5">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AD23B3" w:rsidRPr="00890249">
              <w:rPr>
                <w:rFonts w:asciiTheme="minorHAnsi" w:eastAsia="Times New Roman" w:hAnsiTheme="minorHAnsi" w:cstheme="minorHAnsi"/>
                <w:iCs/>
                <w:noProof/>
                <w:sz w:val="20"/>
              </w:rPr>
              <w:t xml:space="preserve"> Dotacja</w:t>
            </w:r>
          </w:p>
        </w:tc>
        <w:tc>
          <w:tcPr>
            <w:tcW w:w="2175" w:type="dxa"/>
            <w:tcBorders>
              <w:bottom w:val="single" w:sz="4" w:space="0" w:color="auto"/>
            </w:tcBorders>
          </w:tcPr>
          <w:p w14:paraId="307D885D" w14:textId="77777777" w:rsidR="00DE135D" w:rsidRPr="00890249" w:rsidRDefault="007961C4" w:rsidP="006739E5">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1 000 000</w:t>
            </w:r>
          </w:p>
        </w:tc>
      </w:tr>
    </w:tbl>
    <w:p w14:paraId="22635EB1" w14:textId="77777777" w:rsidR="00DE135D" w:rsidRPr="00890249" w:rsidRDefault="00DE135D" w:rsidP="0063477E">
      <w:pPr>
        <w:spacing w:before="0" w:after="240"/>
        <w:rPr>
          <w:rFonts w:asciiTheme="minorHAnsi" w:hAnsiTheme="minorHAnsi" w:cstheme="minorHAnsi"/>
          <w:b/>
          <w:noProof/>
          <w:sz w:val="22"/>
          <w:szCs w:val="22"/>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DE135D" w:rsidRPr="00890249" w14:paraId="4BF46850" w14:textId="77777777" w:rsidTr="0075042B">
        <w:tc>
          <w:tcPr>
            <w:tcW w:w="9288" w:type="dxa"/>
            <w:gridSpan w:val="6"/>
            <w:shd w:val="clear" w:color="auto" w:fill="D9D9D9" w:themeFill="background1" w:themeFillShade="D9"/>
          </w:tcPr>
          <w:p w14:paraId="59347189" w14:textId="10BFAF4B" w:rsidR="00DE135D" w:rsidRPr="00890249" w:rsidRDefault="00DE135D" w:rsidP="007961C4">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terytorialny mechanizm realizacji i ukierunkowanie terytorialne</w:t>
            </w:r>
          </w:p>
        </w:tc>
      </w:tr>
      <w:tr w:rsidR="00DE135D" w:rsidRPr="00890249" w14:paraId="329B7E08" w14:textId="77777777" w:rsidTr="0075042B">
        <w:tc>
          <w:tcPr>
            <w:tcW w:w="1599" w:type="dxa"/>
            <w:shd w:val="clear" w:color="auto" w:fill="F2F2F2" w:themeFill="background1" w:themeFillShade="F2"/>
          </w:tcPr>
          <w:p w14:paraId="7A52B334"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51B1D28B"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2DE6F3B1"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01F94EF"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26A1612E"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1819D8B6"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236B4B" w:rsidRPr="00890249" w14:paraId="48E8881C" w14:textId="77777777" w:rsidTr="00F62734">
        <w:tc>
          <w:tcPr>
            <w:tcW w:w="1599" w:type="dxa"/>
            <w:shd w:val="clear" w:color="auto" w:fill="auto"/>
            <w:vAlign w:val="center"/>
          </w:tcPr>
          <w:p w14:paraId="123ED06D" w14:textId="77777777" w:rsidR="00236B4B" w:rsidRPr="00890249" w:rsidRDefault="00875C92" w:rsidP="0075042B">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384" w:type="dxa"/>
            <w:shd w:val="clear" w:color="auto" w:fill="auto"/>
            <w:vAlign w:val="center"/>
          </w:tcPr>
          <w:p w14:paraId="0ECE9F12" w14:textId="77777777" w:rsidR="00236B4B" w:rsidRPr="00890249" w:rsidRDefault="00875C92" w:rsidP="0075042B">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433" w:type="dxa"/>
            <w:shd w:val="clear" w:color="auto" w:fill="auto"/>
            <w:vAlign w:val="center"/>
          </w:tcPr>
          <w:p w14:paraId="27B9353B" w14:textId="77777777" w:rsidR="00236B4B" w:rsidRPr="00890249" w:rsidRDefault="00875C92" w:rsidP="0075042B">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shd w:val="clear" w:color="auto" w:fill="auto"/>
            <w:vAlign w:val="center"/>
          </w:tcPr>
          <w:p w14:paraId="073BDB0C" w14:textId="77777777" w:rsidR="00236B4B" w:rsidRPr="00890249" w:rsidRDefault="00875C92" w:rsidP="0075042B">
            <w:pPr>
              <w:jc w:val="center"/>
              <w:rPr>
                <w:rFonts w:asciiTheme="minorHAnsi" w:hAnsiTheme="minorHAnsi" w:cstheme="minorHAnsi"/>
                <w:noProof/>
                <w:sz w:val="20"/>
              </w:rPr>
            </w:pPr>
            <w:r w:rsidRPr="00890249">
              <w:rPr>
                <w:rFonts w:asciiTheme="minorHAnsi" w:hAnsiTheme="minorHAnsi" w:cstheme="minorHAnsi"/>
                <w:noProof/>
                <w:sz w:val="20"/>
              </w:rPr>
              <w:t>(j)</w:t>
            </w:r>
          </w:p>
        </w:tc>
        <w:tc>
          <w:tcPr>
            <w:tcW w:w="1053" w:type="dxa"/>
            <w:shd w:val="clear" w:color="auto" w:fill="auto"/>
          </w:tcPr>
          <w:p w14:paraId="1E4F2132" w14:textId="77777777" w:rsidR="00236B4B" w:rsidRPr="00890249" w:rsidRDefault="00875C92" w:rsidP="0075042B">
            <w:pPr>
              <w:jc w:val="center"/>
              <w:rPr>
                <w:rFonts w:asciiTheme="minorHAnsi" w:hAnsiTheme="minorHAnsi" w:cstheme="minorHAnsi"/>
                <w:noProof/>
                <w:sz w:val="20"/>
              </w:rPr>
            </w:pPr>
            <w:r w:rsidRPr="00890249">
              <w:rPr>
                <w:rFonts w:asciiTheme="minorHAnsi" w:hAnsiTheme="minorHAnsi" w:cstheme="minorHAnsi"/>
                <w:noProof/>
                <w:sz w:val="20"/>
              </w:rPr>
              <w:t>33</w:t>
            </w:r>
            <w:r w:rsidR="00AD23B3" w:rsidRPr="00890249">
              <w:rPr>
                <w:rFonts w:asciiTheme="minorHAnsi" w:hAnsiTheme="minorHAnsi" w:cstheme="minorHAnsi"/>
                <w:noProof/>
                <w:sz w:val="20"/>
              </w:rPr>
              <w:t xml:space="preserve"> Brak ukierunkowania terytorialnego</w:t>
            </w:r>
          </w:p>
        </w:tc>
        <w:tc>
          <w:tcPr>
            <w:tcW w:w="2175" w:type="dxa"/>
            <w:shd w:val="clear" w:color="auto" w:fill="auto"/>
          </w:tcPr>
          <w:p w14:paraId="5CB939BA" w14:textId="77777777" w:rsidR="00B72154" w:rsidRPr="00890249" w:rsidRDefault="00236B4B" w:rsidP="00890249">
            <w:pPr>
              <w:jc w:val="right"/>
              <w:rPr>
                <w:rFonts w:asciiTheme="minorHAnsi" w:hAnsiTheme="minorHAnsi" w:cstheme="minorHAnsi"/>
                <w:noProof/>
                <w:sz w:val="20"/>
              </w:rPr>
            </w:pPr>
            <w:r w:rsidRPr="00890249">
              <w:rPr>
                <w:rFonts w:asciiTheme="minorHAnsi" w:hAnsiTheme="minorHAnsi" w:cstheme="minorHAnsi"/>
                <w:noProof/>
                <w:sz w:val="20"/>
              </w:rPr>
              <w:t>1 000 000</w:t>
            </w:r>
          </w:p>
        </w:tc>
      </w:tr>
    </w:tbl>
    <w:p w14:paraId="1BBA7776" w14:textId="77777777" w:rsidR="00DE135D" w:rsidRPr="00890249" w:rsidRDefault="00DE135D" w:rsidP="00DE135D">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67"/>
        <w:gridCol w:w="1263"/>
        <w:gridCol w:w="1344"/>
        <w:gridCol w:w="1545"/>
        <w:gridCol w:w="1651"/>
        <w:gridCol w:w="2052"/>
      </w:tblGrid>
      <w:tr w:rsidR="00DE135D" w:rsidRPr="00890249" w14:paraId="30C3E133" w14:textId="77777777" w:rsidTr="008647C2">
        <w:trPr>
          <w:tblHeader/>
        </w:trPr>
        <w:tc>
          <w:tcPr>
            <w:tcW w:w="9322" w:type="dxa"/>
            <w:gridSpan w:val="6"/>
            <w:shd w:val="clear" w:color="auto" w:fill="D9D9D9" w:themeFill="background1" w:themeFillShade="D9"/>
          </w:tcPr>
          <w:p w14:paraId="5B85A2D0" w14:textId="77777777" w:rsidR="00DE135D" w:rsidRPr="00890249" w:rsidRDefault="00DE135D">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431F06" w:rsidRPr="00890249">
              <w:rPr>
                <w:rFonts w:asciiTheme="minorHAnsi" w:hAnsiTheme="minorHAnsi" w:cstheme="minorHAnsi"/>
                <w:b/>
                <w:noProof/>
                <w:sz w:val="20"/>
              </w:rPr>
              <w:t>uzupełniające obszary tematyczne</w:t>
            </w:r>
            <w:r w:rsidRPr="00890249">
              <w:rPr>
                <w:rFonts w:asciiTheme="minorHAnsi" w:hAnsiTheme="minorHAnsi" w:cstheme="minorHAnsi"/>
                <w:b/>
                <w:noProof/>
                <w:sz w:val="20"/>
              </w:rPr>
              <w:t xml:space="preserve"> EFS+</w:t>
            </w:r>
          </w:p>
        </w:tc>
      </w:tr>
      <w:tr w:rsidR="00DE135D" w:rsidRPr="00890249" w14:paraId="07EA8003" w14:textId="77777777" w:rsidTr="008647C2">
        <w:trPr>
          <w:tblHeader/>
        </w:trPr>
        <w:tc>
          <w:tcPr>
            <w:tcW w:w="1467" w:type="dxa"/>
            <w:shd w:val="clear" w:color="auto" w:fill="F2F2F2" w:themeFill="background1" w:themeFillShade="F2"/>
          </w:tcPr>
          <w:p w14:paraId="65A340FC"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63" w:type="dxa"/>
            <w:shd w:val="clear" w:color="auto" w:fill="F2F2F2" w:themeFill="background1" w:themeFillShade="F2"/>
          </w:tcPr>
          <w:p w14:paraId="4300ED1F"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44" w:type="dxa"/>
            <w:shd w:val="clear" w:color="auto" w:fill="F2F2F2" w:themeFill="background1" w:themeFillShade="F2"/>
          </w:tcPr>
          <w:p w14:paraId="1595957B"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5" w:type="dxa"/>
            <w:shd w:val="clear" w:color="auto" w:fill="F2F2F2" w:themeFill="background1" w:themeFillShade="F2"/>
          </w:tcPr>
          <w:p w14:paraId="269453A5"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2359B11E"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52" w:type="dxa"/>
            <w:shd w:val="clear" w:color="auto" w:fill="F2F2F2" w:themeFill="background1" w:themeFillShade="F2"/>
          </w:tcPr>
          <w:p w14:paraId="42EC8D03" w14:textId="77777777" w:rsidR="00DE135D" w:rsidRPr="00890249" w:rsidRDefault="00DE135D"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17758" w:rsidRPr="00890249" w14:paraId="4AAE1EE0" w14:textId="77777777" w:rsidTr="00517758">
        <w:tc>
          <w:tcPr>
            <w:tcW w:w="1467" w:type="dxa"/>
            <w:vMerge w:val="restart"/>
            <w:vAlign w:val="center"/>
          </w:tcPr>
          <w:p w14:paraId="4A3DB759" w14:textId="77777777" w:rsidR="00517758" w:rsidRPr="00890249" w:rsidRDefault="00517758" w:rsidP="00EB0C7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263" w:type="dxa"/>
            <w:vMerge w:val="restart"/>
            <w:vAlign w:val="center"/>
          </w:tcPr>
          <w:p w14:paraId="3CAFBD61" w14:textId="77777777" w:rsidR="00517758" w:rsidRPr="00890249" w:rsidRDefault="00517758" w:rsidP="00EB0C77">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EFS+</w:t>
            </w:r>
          </w:p>
        </w:tc>
        <w:tc>
          <w:tcPr>
            <w:tcW w:w="1344" w:type="dxa"/>
            <w:vMerge w:val="restart"/>
            <w:vAlign w:val="center"/>
          </w:tcPr>
          <w:p w14:paraId="3D01093B" w14:textId="77777777" w:rsidR="00517758" w:rsidRPr="00890249" w:rsidRDefault="00517758" w:rsidP="00EB0C77">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545" w:type="dxa"/>
            <w:vMerge w:val="restart"/>
            <w:shd w:val="clear" w:color="auto" w:fill="auto"/>
            <w:vAlign w:val="center"/>
          </w:tcPr>
          <w:p w14:paraId="6BCBF1D9" w14:textId="77777777" w:rsidR="00517758" w:rsidRPr="00890249" w:rsidRDefault="00517758" w:rsidP="00EB0C77">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szCs w:val="22"/>
                <w:lang w:eastAsia="en-US" w:bidi="ar-SA"/>
              </w:rPr>
              <w:t>(j)</w:t>
            </w:r>
          </w:p>
        </w:tc>
        <w:tc>
          <w:tcPr>
            <w:tcW w:w="1651" w:type="dxa"/>
            <w:shd w:val="clear" w:color="auto" w:fill="auto"/>
          </w:tcPr>
          <w:p w14:paraId="0A0A14BC" w14:textId="77777777" w:rsidR="00517758" w:rsidRPr="00890249" w:rsidRDefault="00517758" w:rsidP="00EB0C7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 Niedyskryminacja</w:t>
            </w:r>
          </w:p>
        </w:tc>
        <w:tc>
          <w:tcPr>
            <w:tcW w:w="2052" w:type="dxa"/>
            <w:shd w:val="clear" w:color="auto" w:fill="auto"/>
          </w:tcPr>
          <w:p w14:paraId="3FCA305C" w14:textId="5EC4042D" w:rsidR="00517758" w:rsidRPr="00890249" w:rsidRDefault="00312860" w:rsidP="00EB0C7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500 000 </w:t>
            </w:r>
          </w:p>
        </w:tc>
      </w:tr>
      <w:tr w:rsidR="00517758" w:rsidRPr="00890249" w14:paraId="047931EE" w14:textId="77777777" w:rsidTr="00517758">
        <w:tc>
          <w:tcPr>
            <w:tcW w:w="1467" w:type="dxa"/>
            <w:vMerge/>
            <w:vAlign w:val="center"/>
          </w:tcPr>
          <w:p w14:paraId="14E34EF8" w14:textId="77777777" w:rsidR="00517758" w:rsidRPr="00890249" w:rsidRDefault="00517758" w:rsidP="00EB0C77">
            <w:pPr>
              <w:jc w:val="center"/>
              <w:rPr>
                <w:rFonts w:asciiTheme="minorHAnsi" w:eastAsia="Times New Roman" w:hAnsiTheme="minorHAnsi" w:cstheme="minorHAnsi"/>
                <w:iCs/>
                <w:noProof/>
                <w:sz w:val="20"/>
              </w:rPr>
            </w:pPr>
          </w:p>
        </w:tc>
        <w:tc>
          <w:tcPr>
            <w:tcW w:w="1263" w:type="dxa"/>
            <w:vMerge/>
            <w:vAlign w:val="center"/>
          </w:tcPr>
          <w:p w14:paraId="6F594088" w14:textId="77777777" w:rsidR="00517758" w:rsidRPr="00890249" w:rsidRDefault="00517758" w:rsidP="00EB0C77">
            <w:pPr>
              <w:jc w:val="center"/>
              <w:rPr>
                <w:rFonts w:asciiTheme="minorHAnsi" w:hAnsiTheme="minorHAnsi" w:cstheme="minorHAnsi"/>
                <w:noProof/>
                <w:sz w:val="20"/>
              </w:rPr>
            </w:pPr>
          </w:p>
        </w:tc>
        <w:tc>
          <w:tcPr>
            <w:tcW w:w="1344" w:type="dxa"/>
            <w:vMerge/>
            <w:vAlign w:val="center"/>
          </w:tcPr>
          <w:p w14:paraId="4E0D8356" w14:textId="77777777" w:rsidR="00517758" w:rsidRPr="00890249" w:rsidRDefault="00517758" w:rsidP="00EB0C77">
            <w:pPr>
              <w:jc w:val="center"/>
              <w:rPr>
                <w:rFonts w:asciiTheme="minorHAnsi" w:hAnsiTheme="minorHAnsi" w:cstheme="minorHAnsi"/>
                <w:noProof/>
                <w:sz w:val="20"/>
              </w:rPr>
            </w:pPr>
          </w:p>
        </w:tc>
        <w:tc>
          <w:tcPr>
            <w:tcW w:w="1545" w:type="dxa"/>
            <w:vMerge/>
            <w:vAlign w:val="center"/>
          </w:tcPr>
          <w:p w14:paraId="777463AA" w14:textId="77777777" w:rsidR="00517758" w:rsidRPr="00890249" w:rsidRDefault="00517758" w:rsidP="00EB0C77">
            <w:pPr>
              <w:jc w:val="center"/>
              <w:rPr>
                <w:rFonts w:asciiTheme="minorHAnsi" w:eastAsia="Times New Roman" w:hAnsiTheme="minorHAnsi" w:cstheme="minorHAnsi"/>
                <w:b/>
                <w:iCs/>
                <w:noProof/>
                <w:sz w:val="20"/>
              </w:rPr>
            </w:pPr>
          </w:p>
        </w:tc>
        <w:tc>
          <w:tcPr>
            <w:tcW w:w="1651" w:type="dxa"/>
            <w:vAlign w:val="center"/>
          </w:tcPr>
          <w:p w14:paraId="47206067" w14:textId="77777777" w:rsidR="00517758" w:rsidRPr="00890249" w:rsidRDefault="00517758" w:rsidP="00EB0C7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06 Zwalczanie ubóstwa dzieci</w:t>
            </w:r>
          </w:p>
        </w:tc>
        <w:tc>
          <w:tcPr>
            <w:tcW w:w="2052" w:type="dxa"/>
            <w:vAlign w:val="center"/>
          </w:tcPr>
          <w:p w14:paraId="401F1BC5" w14:textId="77777777" w:rsidR="00517758" w:rsidRPr="00890249" w:rsidRDefault="00517758" w:rsidP="00EB0C7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100 000</w:t>
            </w:r>
          </w:p>
        </w:tc>
      </w:tr>
      <w:tr w:rsidR="00517758" w:rsidRPr="00890249" w14:paraId="4113DECA" w14:textId="77777777" w:rsidTr="00517758">
        <w:tc>
          <w:tcPr>
            <w:tcW w:w="1467" w:type="dxa"/>
            <w:vMerge/>
            <w:vAlign w:val="center"/>
          </w:tcPr>
          <w:p w14:paraId="387D3760" w14:textId="77777777" w:rsidR="00517758" w:rsidRPr="00890249" w:rsidRDefault="00517758" w:rsidP="00EB0C77">
            <w:pPr>
              <w:jc w:val="center"/>
              <w:rPr>
                <w:rFonts w:asciiTheme="minorHAnsi" w:eastAsia="Times New Roman" w:hAnsiTheme="minorHAnsi" w:cstheme="minorHAnsi"/>
                <w:iCs/>
                <w:noProof/>
                <w:sz w:val="20"/>
              </w:rPr>
            </w:pPr>
          </w:p>
        </w:tc>
        <w:tc>
          <w:tcPr>
            <w:tcW w:w="1263" w:type="dxa"/>
            <w:vMerge/>
            <w:vAlign w:val="center"/>
          </w:tcPr>
          <w:p w14:paraId="36C23564" w14:textId="77777777" w:rsidR="00517758" w:rsidRPr="00890249" w:rsidRDefault="00517758" w:rsidP="00EB0C77">
            <w:pPr>
              <w:jc w:val="center"/>
              <w:rPr>
                <w:rFonts w:asciiTheme="minorHAnsi" w:hAnsiTheme="minorHAnsi" w:cstheme="minorHAnsi"/>
                <w:noProof/>
                <w:sz w:val="20"/>
              </w:rPr>
            </w:pPr>
          </w:p>
        </w:tc>
        <w:tc>
          <w:tcPr>
            <w:tcW w:w="1344" w:type="dxa"/>
            <w:vMerge/>
            <w:vAlign w:val="center"/>
          </w:tcPr>
          <w:p w14:paraId="53871D29" w14:textId="77777777" w:rsidR="00517758" w:rsidRPr="00890249" w:rsidRDefault="00517758" w:rsidP="00EB0C77">
            <w:pPr>
              <w:jc w:val="center"/>
              <w:rPr>
                <w:rFonts w:asciiTheme="minorHAnsi" w:hAnsiTheme="minorHAnsi" w:cstheme="minorHAnsi"/>
                <w:noProof/>
                <w:sz w:val="20"/>
              </w:rPr>
            </w:pPr>
          </w:p>
        </w:tc>
        <w:tc>
          <w:tcPr>
            <w:tcW w:w="1545" w:type="dxa"/>
            <w:vMerge/>
            <w:vAlign w:val="center"/>
          </w:tcPr>
          <w:p w14:paraId="017693F3" w14:textId="77777777" w:rsidR="00517758" w:rsidRPr="00890249" w:rsidRDefault="00517758" w:rsidP="00EB0C77">
            <w:pPr>
              <w:jc w:val="center"/>
              <w:rPr>
                <w:rFonts w:asciiTheme="minorHAnsi" w:eastAsia="Times New Roman" w:hAnsiTheme="minorHAnsi" w:cstheme="minorHAnsi"/>
                <w:b/>
                <w:iCs/>
                <w:noProof/>
                <w:sz w:val="20"/>
              </w:rPr>
            </w:pPr>
          </w:p>
        </w:tc>
        <w:tc>
          <w:tcPr>
            <w:tcW w:w="1651" w:type="dxa"/>
            <w:vAlign w:val="center"/>
          </w:tcPr>
          <w:p w14:paraId="3D1693E4" w14:textId="24B48E5D" w:rsidR="00517758" w:rsidRPr="00890249" w:rsidRDefault="00517758" w:rsidP="00EB0C7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08 Budowanie zdolności organizacji </w:t>
            </w:r>
            <w:r w:rsidRPr="00890249">
              <w:rPr>
                <w:rFonts w:asciiTheme="minorHAnsi" w:eastAsia="Times New Roman" w:hAnsiTheme="minorHAnsi" w:cstheme="minorHAnsi"/>
                <w:iCs/>
                <w:noProof/>
                <w:sz w:val="20"/>
              </w:rPr>
              <w:lastRenderedPageBreak/>
              <w:t>społ</w:t>
            </w:r>
            <w:r w:rsidR="005E6389">
              <w:rPr>
                <w:rFonts w:asciiTheme="minorHAnsi" w:eastAsia="Times New Roman" w:hAnsiTheme="minorHAnsi" w:cstheme="minorHAnsi"/>
                <w:iCs/>
                <w:noProof/>
                <w:sz w:val="20"/>
              </w:rPr>
              <w:t>e</w:t>
            </w:r>
            <w:r w:rsidRPr="00890249">
              <w:rPr>
                <w:rFonts w:asciiTheme="minorHAnsi" w:eastAsia="Times New Roman" w:hAnsiTheme="minorHAnsi" w:cstheme="minorHAnsi"/>
                <w:iCs/>
                <w:noProof/>
                <w:sz w:val="20"/>
              </w:rPr>
              <w:t>czeństwa obywatelskiego</w:t>
            </w:r>
          </w:p>
        </w:tc>
        <w:tc>
          <w:tcPr>
            <w:tcW w:w="2052" w:type="dxa"/>
            <w:vAlign w:val="center"/>
          </w:tcPr>
          <w:p w14:paraId="263457AA" w14:textId="77777777" w:rsidR="00517758" w:rsidRPr="00890249" w:rsidRDefault="00517758" w:rsidP="00EB0C7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 xml:space="preserve">100 000 </w:t>
            </w:r>
          </w:p>
        </w:tc>
      </w:tr>
      <w:tr w:rsidR="00517758" w:rsidRPr="00890249" w14:paraId="46C8702F" w14:textId="77777777" w:rsidTr="00517758">
        <w:tc>
          <w:tcPr>
            <w:tcW w:w="1467" w:type="dxa"/>
            <w:vMerge/>
            <w:vAlign w:val="center"/>
          </w:tcPr>
          <w:p w14:paraId="3256B08B" w14:textId="77777777" w:rsidR="00517758" w:rsidRPr="00890249" w:rsidRDefault="00517758" w:rsidP="00EB0C77">
            <w:pPr>
              <w:jc w:val="center"/>
              <w:rPr>
                <w:rFonts w:asciiTheme="minorHAnsi" w:eastAsia="Times New Roman" w:hAnsiTheme="minorHAnsi" w:cstheme="minorHAnsi"/>
                <w:iCs/>
                <w:noProof/>
                <w:sz w:val="20"/>
              </w:rPr>
            </w:pPr>
          </w:p>
        </w:tc>
        <w:tc>
          <w:tcPr>
            <w:tcW w:w="1263" w:type="dxa"/>
            <w:vMerge/>
            <w:vAlign w:val="center"/>
          </w:tcPr>
          <w:p w14:paraId="42BF9113" w14:textId="77777777" w:rsidR="00517758" w:rsidRPr="00890249" w:rsidRDefault="00517758" w:rsidP="00EB0C77">
            <w:pPr>
              <w:jc w:val="center"/>
              <w:rPr>
                <w:rFonts w:asciiTheme="minorHAnsi" w:hAnsiTheme="minorHAnsi" w:cstheme="minorHAnsi"/>
                <w:noProof/>
                <w:sz w:val="20"/>
              </w:rPr>
            </w:pPr>
          </w:p>
        </w:tc>
        <w:tc>
          <w:tcPr>
            <w:tcW w:w="1344" w:type="dxa"/>
            <w:vMerge/>
            <w:vAlign w:val="center"/>
          </w:tcPr>
          <w:p w14:paraId="4A2D51CE" w14:textId="77777777" w:rsidR="00517758" w:rsidRPr="00890249" w:rsidRDefault="00517758" w:rsidP="00EB0C77">
            <w:pPr>
              <w:jc w:val="center"/>
              <w:rPr>
                <w:rFonts w:asciiTheme="minorHAnsi" w:hAnsiTheme="minorHAnsi" w:cstheme="minorHAnsi"/>
                <w:noProof/>
                <w:sz w:val="20"/>
              </w:rPr>
            </w:pPr>
          </w:p>
        </w:tc>
        <w:tc>
          <w:tcPr>
            <w:tcW w:w="1545" w:type="dxa"/>
            <w:vMerge/>
            <w:vAlign w:val="center"/>
          </w:tcPr>
          <w:p w14:paraId="47A825C0" w14:textId="77777777" w:rsidR="00517758" w:rsidRPr="00890249" w:rsidRDefault="00517758" w:rsidP="00EB0C77">
            <w:pPr>
              <w:jc w:val="center"/>
              <w:rPr>
                <w:rFonts w:asciiTheme="minorHAnsi" w:eastAsia="Times New Roman" w:hAnsiTheme="minorHAnsi" w:cstheme="minorHAnsi"/>
                <w:b/>
                <w:iCs/>
                <w:noProof/>
                <w:sz w:val="20"/>
              </w:rPr>
            </w:pPr>
          </w:p>
        </w:tc>
        <w:tc>
          <w:tcPr>
            <w:tcW w:w="1651" w:type="dxa"/>
            <w:vAlign w:val="center"/>
          </w:tcPr>
          <w:p w14:paraId="18BD0F65" w14:textId="77777777" w:rsidR="00517758" w:rsidRPr="00890249" w:rsidRDefault="00517758" w:rsidP="00EB0C7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052" w:type="dxa"/>
            <w:vAlign w:val="center"/>
          </w:tcPr>
          <w:p w14:paraId="28044499" w14:textId="77777777" w:rsidR="00517758" w:rsidRPr="00890249" w:rsidRDefault="00517758" w:rsidP="00EB0C7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100 000</w:t>
            </w:r>
          </w:p>
        </w:tc>
      </w:tr>
      <w:tr w:rsidR="00517758" w:rsidRPr="00890249" w14:paraId="2C833CF5" w14:textId="77777777" w:rsidTr="00517758">
        <w:tc>
          <w:tcPr>
            <w:tcW w:w="1467" w:type="dxa"/>
            <w:vMerge/>
            <w:vAlign w:val="center"/>
          </w:tcPr>
          <w:p w14:paraId="1284834F" w14:textId="77777777" w:rsidR="00517758" w:rsidRPr="00890249" w:rsidRDefault="00517758" w:rsidP="00EB0C77">
            <w:pPr>
              <w:jc w:val="center"/>
              <w:rPr>
                <w:rFonts w:asciiTheme="minorHAnsi" w:eastAsia="Times New Roman" w:hAnsiTheme="minorHAnsi" w:cstheme="minorHAnsi"/>
                <w:iCs/>
                <w:noProof/>
                <w:sz w:val="20"/>
              </w:rPr>
            </w:pPr>
          </w:p>
        </w:tc>
        <w:tc>
          <w:tcPr>
            <w:tcW w:w="1263" w:type="dxa"/>
            <w:vMerge/>
            <w:vAlign w:val="center"/>
          </w:tcPr>
          <w:p w14:paraId="00AE2513" w14:textId="77777777" w:rsidR="00517758" w:rsidRPr="00890249" w:rsidRDefault="00517758" w:rsidP="00EB0C77">
            <w:pPr>
              <w:jc w:val="center"/>
              <w:rPr>
                <w:rFonts w:asciiTheme="minorHAnsi" w:hAnsiTheme="minorHAnsi" w:cstheme="minorHAnsi"/>
                <w:noProof/>
                <w:sz w:val="20"/>
              </w:rPr>
            </w:pPr>
          </w:p>
        </w:tc>
        <w:tc>
          <w:tcPr>
            <w:tcW w:w="1344" w:type="dxa"/>
            <w:vMerge/>
            <w:vAlign w:val="center"/>
          </w:tcPr>
          <w:p w14:paraId="33D1064C" w14:textId="77777777" w:rsidR="00517758" w:rsidRPr="00890249" w:rsidRDefault="00517758" w:rsidP="00EB0C77">
            <w:pPr>
              <w:jc w:val="center"/>
              <w:rPr>
                <w:rFonts w:asciiTheme="minorHAnsi" w:hAnsiTheme="minorHAnsi" w:cstheme="minorHAnsi"/>
                <w:noProof/>
                <w:sz w:val="20"/>
              </w:rPr>
            </w:pPr>
          </w:p>
        </w:tc>
        <w:tc>
          <w:tcPr>
            <w:tcW w:w="1545" w:type="dxa"/>
            <w:vMerge/>
            <w:vAlign w:val="center"/>
          </w:tcPr>
          <w:p w14:paraId="74EB5485" w14:textId="77777777" w:rsidR="00517758" w:rsidRPr="00890249" w:rsidRDefault="00517758" w:rsidP="00EB0C77">
            <w:pPr>
              <w:jc w:val="center"/>
              <w:rPr>
                <w:rFonts w:asciiTheme="minorHAnsi" w:eastAsia="Times New Roman" w:hAnsiTheme="minorHAnsi" w:cstheme="minorHAnsi"/>
                <w:b/>
                <w:iCs/>
                <w:noProof/>
                <w:sz w:val="20"/>
              </w:rPr>
            </w:pPr>
          </w:p>
        </w:tc>
        <w:tc>
          <w:tcPr>
            <w:tcW w:w="1651" w:type="dxa"/>
            <w:vAlign w:val="center"/>
          </w:tcPr>
          <w:p w14:paraId="03165F87" w14:textId="77777777" w:rsidR="00517758" w:rsidRPr="00890249" w:rsidRDefault="00517758" w:rsidP="00EB0C7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10 Działania podejmowane w odpowiedzi na wyzwania wskazane w ramach semestru europejskiego</w:t>
            </w:r>
          </w:p>
        </w:tc>
        <w:tc>
          <w:tcPr>
            <w:tcW w:w="2052" w:type="dxa"/>
            <w:vAlign w:val="center"/>
          </w:tcPr>
          <w:p w14:paraId="0C5B7AD0" w14:textId="77777777" w:rsidR="00517758" w:rsidRPr="00890249" w:rsidRDefault="00312860" w:rsidP="00EB0C77">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200 000</w:t>
            </w:r>
          </w:p>
        </w:tc>
      </w:tr>
    </w:tbl>
    <w:p w14:paraId="41C640BC" w14:textId="77777777" w:rsidR="00DE135D" w:rsidRPr="00890249" w:rsidRDefault="00DE135D">
      <w:pPr>
        <w:spacing w:before="0" w:after="160" w:line="259" w:lineRule="auto"/>
        <w:jc w:val="left"/>
        <w:rPr>
          <w:rFonts w:asciiTheme="minorHAnsi" w:hAnsiTheme="minorHAnsi" w:cstheme="minorHAnsi"/>
          <w:b/>
          <w:noProof/>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613A79" w:rsidRPr="00890249" w14:paraId="53595C2E" w14:textId="77777777" w:rsidTr="00B13A97">
        <w:tc>
          <w:tcPr>
            <w:tcW w:w="9322" w:type="dxa"/>
            <w:gridSpan w:val="6"/>
            <w:shd w:val="clear" w:color="auto" w:fill="D9D9D9" w:themeFill="background1" w:themeFillShade="D9"/>
          </w:tcPr>
          <w:p w14:paraId="6DAE50A9" w14:textId="77777777" w:rsidR="00613A79" w:rsidRPr="00890249" w:rsidRDefault="00613A79" w:rsidP="00613A79">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 xml:space="preserve">Tabela 8: Wymiar 7 – </w:t>
            </w:r>
            <w:r w:rsidR="00431F06" w:rsidRPr="00890249">
              <w:rPr>
                <w:rFonts w:asciiTheme="minorHAnsi" w:eastAsiaTheme="minorHAnsi" w:hAnsiTheme="minorHAnsi" w:cstheme="minorHAnsi"/>
                <w:b/>
                <w:sz w:val="20"/>
                <w:szCs w:val="22"/>
                <w:lang w:eastAsia="en-US" w:bidi="ar-SA"/>
              </w:rPr>
              <w:t>wymiar „Równouprawnienia płci” w ramach EFS+, EFRR, Fundusz Spójności i FST</w:t>
            </w:r>
          </w:p>
        </w:tc>
      </w:tr>
      <w:tr w:rsidR="00613A79" w:rsidRPr="00890249" w14:paraId="0FBE00C7" w14:textId="77777777" w:rsidTr="009E245E">
        <w:tc>
          <w:tcPr>
            <w:tcW w:w="1475" w:type="dxa"/>
            <w:shd w:val="clear" w:color="auto" w:fill="F2F2F2" w:themeFill="background1" w:themeFillShade="F2"/>
          </w:tcPr>
          <w:p w14:paraId="2632230F"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281" w:type="dxa"/>
            <w:shd w:val="clear" w:color="auto" w:fill="F2F2F2" w:themeFill="background1" w:themeFillShade="F2"/>
          </w:tcPr>
          <w:p w14:paraId="6C77C1D3"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357" w:type="dxa"/>
            <w:shd w:val="clear" w:color="auto" w:fill="F2F2F2" w:themeFill="background1" w:themeFillShade="F2"/>
          </w:tcPr>
          <w:p w14:paraId="4953B184"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576" w:type="dxa"/>
            <w:shd w:val="clear" w:color="auto" w:fill="F2F2F2" w:themeFill="background1" w:themeFillShade="F2"/>
          </w:tcPr>
          <w:p w14:paraId="2ACDE427"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761" w:type="dxa"/>
            <w:shd w:val="clear" w:color="auto" w:fill="F2F2F2" w:themeFill="background1" w:themeFillShade="F2"/>
          </w:tcPr>
          <w:p w14:paraId="37B685C8"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1872" w:type="dxa"/>
            <w:shd w:val="clear" w:color="auto" w:fill="F2F2F2" w:themeFill="background1" w:themeFillShade="F2"/>
          </w:tcPr>
          <w:p w14:paraId="70372CC9" w14:textId="77777777" w:rsidR="00613A79" w:rsidRPr="00890249" w:rsidRDefault="00613A79" w:rsidP="00613A79">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304F40" w:rsidRPr="00890249" w14:paraId="01FB0E8A" w14:textId="77777777" w:rsidTr="009E245E">
        <w:tc>
          <w:tcPr>
            <w:tcW w:w="1475" w:type="dxa"/>
            <w:shd w:val="clear" w:color="auto" w:fill="auto"/>
            <w:vAlign w:val="center"/>
          </w:tcPr>
          <w:p w14:paraId="0730792F" w14:textId="77777777" w:rsidR="00304F40" w:rsidRPr="00890249" w:rsidRDefault="00441F4C" w:rsidP="00B94D07">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 xml:space="preserve">CP </w:t>
            </w:r>
            <w:r w:rsidR="0009010C" w:rsidRPr="00890249">
              <w:rPr>
                <w:rFonts w:asciiTheme="minorHAnsi" w:eastAsia="Times New Roman" w:hAnsiTheme="minorHAnsi" w:cstheme="minorHAnsi"/>
                <w:iCs/>
                <w:noProof/>
                <w:sz w:val="20"/>
              </w:rPr>
              <w:t>4</w:t>
            </w:r>
          </w:p>
        </w:tc>
        <w:tc>
          <w:tcPr>
            <w:tcW w:w="1281" w:type="dxa"/>
            <w:shd w:val="clear" w:color="auto" w:fill="auto"/>
            <w:vAlign w:val="center"/>
          </w:tcPr>
          <w:p w14:paraId="69A5BDF6" w14:textId="77777777" w:rsidR="00304F40" w:rsidRPr="00890249" w:rsidRDefault="00304F40" w:rsidP="00B94D07">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EFS+</w:t>
            </w:r>
          </w:p>
        </w:tc>
        <w:tc>
          <w:tcPr>
            <w:tcW w:w="1357" w:type="dxa"/>
            <w:shd w:val="clear" w:color="auto" w:fill="auto"/>
            <w:vAlign w:val="center"/>
          </w:tcPr>
          <w:p w14:paraId="167587EC" w14:textId="77777777" w:rsidR="00304F40" w:rsidRPr="00890249" w:rsidRDefault="00304F40" w:rsidP="00B94D07">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słabiej rozwinięte</w:t>
            </w:r>
          </w:p>
        </w:tc>
        <w:tc>
          <w:tcPr>
            <w:tcW w:w="1576" w:type="dxa"/>
            <w:shd w:val="clear" w:color="auto" w:fill="auto"/>
            <w:vAlign w:val="center"/>
          </w:tcPr>
          <w:p w14:paraId="35EC1E62" w14:textId="77777777" w:rsidR="00304F40" w:rsidRPr="00890249" w:rsidRDefault="007961C4" w:rsidP="007961C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(j)</w:t>
            </w:r>
          </w:p>
        </w:tc>
        <w:tc>
          <w:tcPr>
            <w:tcW w:w="1761" w:type="dxa"/>
            <w:shd w:val="clear" w:color="auto" w:fill="auto"/>
            <w:vAlign w:val="center"/>
          </w:tcPr>
          <w:p w14:paraId="3E56718A" w14:textId="77777777" w:rsidR="00304F40" w:rsidRPr="00890249" w:rsidRDefault="007961C4" w:rsidP="007961C4">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AD23B3"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1872" w:type="dxa"/>
            <w:shd w:val="clear" w:color="auto" w:fill="auto"/>
            <w:vAlign w:val="center"/>
          </w:tcPr>
          <w:p w14:paraId="154E901B" w14:textId="1358FD27" w:rsidR="00304F40" w:rsidRPr="00890249" w:rsidRDefault="008D0BF8" w:rsidP="007961C4">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1 000 000</w:t>
            </w:r>
          </w:p>
        </w:tc>
      </w:tr>
    </w:tbl>
    <w:p w14:paraId="601E0571" w14:textId="77777777" w:rsidR="008647C2" w:rsidRDefault="008647C2" w:rsidP="008647C2">
      <w:pPr>
        <w:shd w:val="clear" w:color="auto" w:fill="FFFFFF" w:themeFill="background1"/>
        <w:spacing w:before="360" w:after="360"/>
        <w:rPr>
          <w:rFonts w:asciiTheme="minorHAnsi" w:hAnsiTheme="minorHAnsi" w:cstheme="minorHAnsi"/>
          <w:b/>
          <w:noProof/>
          <w:sz w:val="22"/>
        </w:rPr>
      </w:pPr>
    </w:p>
    <w:p w14:paraId="3FE4AF9E" w14:textId="77777777" w:rsidR="008647C2" w:rsidRDefault="008647C2">
      <w:pPr>
        <w:spacing w:before="0" w:after="160" w:line="259" w:lineRule="auto"/>
        <w:jc w:val="left"/>
        <w:rPr>
          <w:rFonts w:asciiTheme="minorHAnsi" w:hAnsiTheme="minorHAnsi" w:cstheme="minorHAnsi"/>
          <w:b/>
          <w:noProof/>
          <w:sz w:val="22"/>
        </w:rPr>
      </w:pPr>
      <w:r>
        <w:rPr>
          <w:rFonts w:asciiTheme="minorHAnsi" w:hAnsiTheme="minorHAnsi" w:cstheme="minorHAnsi"/>
          <w:b/>
          <w:noProof/>
          <w:sz w:val="22"/>
        </w:rPr>
        <w:br w:type="page"/>
      </w:r>
    </w:p>
    <w:p w14:paraId="26B08CFA" w14:textId="7AC3AD85" w:rsidR="008F0A28" w:rsidRPr="00890249" w:rsidRDefault="008F0A28" w:rsidP="008F0A28">
      <w:pPr>
        <w:shd w:val="clear" w:color="auto" w:fill="D0CECE" w:themeFill="background2" w:themeFillShade="E6"/>
        <w:spacing w:before="360" w:after="360"/>
        <w:rPr>
          <w:rFonts w:asciiTheme="minorHAnsi" w:hAnsiTheme="minorHAnsi" w:cstheme="minorHAnsi"/>
          <w:b/>
          <w:noProof/>
          <w:sz w:val="22"/>
        </w:rPr>
      </w:pPr>
      <w:r w:rsidRPr="00890249">
        <w:rPr>
          <w:rFonts w:asciiTheme="minorHAnsi" w:hAnsiTheme="minorHAnsi" w:cstheme="minorHAnsi"/>
          <w:b/>
          <w:noProof/>
          <w:sz w:val="22"/>
        </w:rPr>
        <w:lastRenderedPageBreak/>
        <w:t>2.1.6.4 (l) Cel szczegółowy</w:t>
      </w:r>
    </w:p>
    <w:p w14:paraId="5E1D2CE2" w14:textId="77777777" w:rsidR="008F0A28" w:rsidRPr="00890249" w:rsidRDefault="008F0A28" w:rsidP="008F0A28">
      <w:pPr>
        <w:spacing w:before="240" w:after="240"/>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 xml:space="preserve">(l) Wspieranie integracji społecznej osób zagrożonych ubóstwem lub wykluczeniem społecznym, w tym osób najbardziej potrzebujących i dzieci </w:t>
      </w:r>
    </w:p>
    <w:p w14:paraId="204FC0AE" w14:textId="77777777" w:rsidR="008F0A28" w:rsidRPr="00890249" w:rsidRDefault="008F0A28" w:rsidP="008F0A28">
      <w:pPr>
        <w:spacing w:before="240" w:after="240"/>
        <w:rPr>
          <w:rFonts w:asciiTheme="minorHAnsi" w:hAnsiTheme="minorHAnsi" w:cstheme="minorHAnsi"/>
          <w:b/>
          <w:noProof/>
          <w:sz w:val="22"/>
        </w:rPr>
      </w:pPr>
      <w:r w:rsidRPr="00890249">
        <w:rPr>
          <w:rFonts w:asciiTheme="minorHAnsi" w:hAnsiTheme="minorHAnsi" w:cstheme="minorHAnsi"/>
          <w:b/>
          <w:noProof/>
          <w:sz w:val="22"/>
        </w:rPr>
        <w:t>2.1.6.4.1 (l) Interwencje w ramach funduszy</w:t>
      </w:r>
    </w:p>
    <w:p w14:paraId="2E9FA03D"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4B4219FB" w14:textId="640C1883" w:rsidR="0093433C" w:rsidRPr="008647C2" w:rsidRDefault="009E245E" w:rsidP="00890249">
      <w:pPr>
        <w:pStyle w:val="Tekstpodstawowy"/>
        <w:rPr>
          <w:rFonts w:asciiTheme="minorHAnsi" w:hAnsiTheme="minorHAnsi" w:cstheme="minorHAnsi"/>
          <w:sz w:val="22"/>
          <w:szCs w:val="22"/>
          <w:lang w:eastAsia="en-US" w:bidi="ar-SA"/>
        </w:rPr>
      </w:pPr>
      <w:r w:rsidRPr="008647C2">
        <w:rPr>
          <w:rFonts w:asciiTheme="minorHAnsi" w:hAnsiTheme="minorHAnsi" w:cstheme="minorHAnsi"/>
          <w:sz w:val="22"/>
          <w:szCs w:val="22"/>
          <w:lang w:eastAsia="en-US" w:bidi="ar-SA"/>
        </w:rPr>
        <w:t xml:space="preserve">Wykluczenie społeczne jest zjawiskiem wielowymiarowym i w praktyce oznacza niemożność uczestnictwa w życiu gospodarczym, politycznym jak i kulturowym, w wyniku braku dostępu do zasobów, dóbr i instytucji, ograniczenia praw społecznych oraz deprywacji potrzeb. Grupami społecznymi podatnymi na wykluczenie społeczne są m.in.: dzieci i młodzież </w:t>
      </w:r>
      <w:r w:rsidR="000A7CA3" w:rsidRPr="008647C2">
        <w:rPr>
          <w:rFonts w:asciiTheme="minorHAnsi" w:hAnsiTheme="minorHAnsi" w:cstheme="minorHAnsi"/>
          <w:sz w:val="22"/>
          <w:szCs w:val="22"/>
          <w:lang w:eastAsia="en-US" w:bidi="ar-SA"/>
        </w:rPr>
        <w:t>będące w trudnej sytuacji społeczno-ekonomicznej</w:t>
      </w:r>
      <w:r w:rsidRPr="008647C2">
        <w:rPr>
          <w:rFonts w:asciiTheme="minorHAnsi" w:hAnsiTheme="minorHAnsi" w:cstheme="minorHAnsi"/>
          <w:sz w:val="22"/>
          <w:szCs w:val="22"/>
          <w:lang w:eastAsia="en-US" w:bidi="ar-SA"/>
        </w:rPr>
        <w:t>, dzieci wychowujące się poza rodziną, kobiety samotnie wychowujące dzieci, osoby uzależnione od subs</w:t>
      </w:r>
      <w:r w:rsidR="008647C2" w:rsidRPr="008647C2">
        <w:rPr>
          <w:rFonts w:asciiTheme="minorHAnsi" w:hAnsiTheme="minorHAnsi" w:cstheme="minorHAnsi"/>
          <w:sz w:val="22"/>
          <w:szCs w:val="22"/>
          <w:lang w:eastAsia="en-US" w:bidi="ar-SA"/>
        </w:rPr>
        <w:t>tancji psychoaktywnych, osoby z </w:t>
      </w:r>
      <w:r w:rsidRPr="008647C2">
        <w:rPr>
          <w:rFonts w:asciiTheme="minorHAnsi" w:hAnsiTheme="minorHAnsi" w:cstheme="minorHAnsi"/>
          <w:sz w:val="22"/>
          <w:szCs w:val="22"/>
          <w:lang w:eastAsia="en-US" w:bidi="ar-SA"/>
        </w:rPr>
        <w:t xml:space="preserve">niepełnosprawnościami i </w:t>
      </w:r>
      <w:r w:rsidR="000A7CA3" w:rsidRPr="008647C2">
        <w:rPr>
          <w:rFonts w:asciiTheme="minorHAnsi" w:hAnsiTheme="minorHAnsi" w:cstheme="minorHAnsi"/>
          <w:sz w:val="22"/>
          <w:szCs w:val="22"/>
          <w:lang w:eastAsia="en-US" w:bidi="ar-SA"/>
        </w:rPr>
        <w:t>osoby w kryzysie bezdomności</w:t>
      </w:r>
      <w:r w:rsidRPr="008647C2">
        <w:rPr>
          <w:rFonts w:asciiTheme="minorHAnsi" w:hAnsiTheme="minorHAnsi" w:cstheme="minorHAnsi"/>
          <w:sz w:val="22"/>
          <w:szCs w:val="22"/>
          <w:lang w:eastAsia="en-US" w:bidi="ar-SA"/>
        </w:rPr>
        <w:t>.</w:t>
      </w:r>
    </w:p>
    <w:p w14:paraId="03989D2B" w14:textId="77777777" w:rsidR="0093433C" w:rsidRPr="008647C2" w:rsidRDefault="009E245E" w:rsidP="00890249">
      <w:pPr>
        <w:pStyle w:val="Tekstpodstawowy"/>
        <w:rPr>
          <w:rFonts w:asciiTheme="minorHAnsi" w:hAnsiTheme="minorHAnsi" w:cstheme="minorHAnsi"/>
          <w:sz w:val="22"/>
          <w:szCs w:val="22"/>
          <w:lang w:eastAsia="en-US" w:bidi="ar-SA"/>
        </w:rPr>
      </w:pPr>
      <w:r w:rsidRPr="008647C2">
        <w:rPr>
          <w:rFonts w:asciiTheme="minorHAnsi" w:hAnsiTheme="minorHAnsi" w:cstheme="minorHAnsi"/>
          <w:sz w:val="22"/>
          <w:szCs w:val="22"/>
          <w:lang w:eastAsia="en-US" w:bidi="ar-SA"/>
        </w:rPr>
        <w:t xml:space="preserve">Przyczyn wykluczenia społecznego można dopatrywać najczęściej w braku pracy, nałogach, ubóstwie, zaburzeniach psychicznych, braku akceptacji społecznej i podstawowych dóbr materialnych, w tym zwłaszcza mieszkania. Większość powodów wykluczenia społecznego ma swoje podłoże w środowisku rodzinnym. Rodzina może być fundamentem, podporą oraz źródłem pomocy. </w:t>
      </w:r>
      <w:r w:rsidRPr="008647C2">
        <w:rPr>
          <w:rFonts w:asciiTheme="minorHAnsi" w:hAnsiTheme="minorHAnsi" w:cstheme="minorHAnsi"/>
          <w:sz w:val="22"/>
          <w:szCs w:val="22"/>
        </w:rPr>
        <w:t xml:space="preserve">Tym samym, posiada ogromny </w:t>
      </w:r>
      <w:hyperlink r:id="rId13" w:tooltip="Potencjał" w:history="1">
        <w:r w:rsidRPr="008647C2">
          <w:rPr>
            <w:rStyle w:val="Hipercze"/>
            <w:rFonts w:asciiTheme="minorHAnsi" w:hAnsiTheme="minorHAnsi" w:cstheme="minorHAnsi"/>
            <w:color w:val="auto"/>
            <w:sz w:val="22"/>
            <w:szCs w:val="22"/>
            <w:u w:val="none"/>
          </w:rPr>
          <w:t>potencjał</w:t>
        </w:r>
      </w:hyperlink>
      <w:r w:rsidRPr="008647C2">
        <w:rPr>
          <w:rFonts w:asciiTheme="minorHAnsi" w:hAnsiTheme="minorHAnsi" w:cstheme="minorHAnsi"/>
          <w:sz w:val="22"/>
          <w:szCs w:val="22"/>
        </w:rPr>
        <w:t xml:space="preserve"> w kwestii wspierania człowieka między innymi w walce z przyczynami wykluczenia społecznego. Jednak niejednokrotnie mając do</w:t>
      </w:r>
      <w:r w:rsidRPr="008647C2">
        <w:rPr>
          <w:rFonts w:asciiTheme="minorHAnsi" w:hAnsiTheme="minorHAnsi" w:cstheme="minorHAnsi"/>
          <w:sz w:val="22"/>
          <w:szCs w:val="22"/>
          <w:lang w:eastAsia="en-US" w:bidi="ar-SA"/>
        </w:rPr>
        <w:t xml:space="preserve"> czynienia z rodzinami dysfunkcyjnymi, patologicznymi, trudno jest przezwyciężyć pewne schematy, w tym np. problem dziedziczenia biedy i brak akceptacji społecznej.</w:t>
      </w:r>
    </w:p>
    <w:p w14:paraId="68A7191E" w14:textId="77777777" w:rsidR="0093433C" w:rsidRPr="008647C2" w:rsidRDefault="077FEF7B" w:rsidP="00890249">
      <w:pPr>
        <w:pStyle w:val="Tekstpodstawowy"/>
        <w:rPr>
          <w:rFonts w:asciiTheme="minorHAnsi" w:hAnsiTheme="minorHAnsi" w:cstheme="minorHAnsi"/>
          <w:sz w:val="22"/>
          <w:szCs w:val="22"/>
          <w:lang w:eastAsia="en-US"/>
        </w:rPr>
      </w:pPr>
      <w:r w:rsidRPr="008647C2">
        <w:rPr>
          <w:rFonts w:asciiTheme="minorHAnsi" w:hAnsiTheme="minorHAnsi" w:cstheme="minorHAnsi"/>
          <w:sz w:val="22"/>
          <w:szCs w:val="22"/>
          <w:lang w:eastAsia="en-US" w:bidi="ar-SA"/>
        </w:rPr>
        <w:t>Z uwagi na powyższe realizowane będą działania w zakresie usług społecznych skierowanych m.in. do rodzin przeżywających problemy opiekuńczo – wychowawcze oraz wsparcie pieczy zastępczej. W celu zapewnienia najlepszej formy opieki dla dzieci umieszczonych w tym systemie i urzeczywistnienia zasady deinstytucjonalizacji usług należy stworzyć nowe rodzinne domy dziecka</w:t>
      </w:r>
      <w:r w:rsidR="000A7CA3" w:rsidRPr="008647C2">
        <w:rPr>
          <w:rFonts w:asciiTheme="minorHAnsi" w:hAnsiTheme="minorHAnsi" w:cstheme="minorHAnsi"/>
          <w:sz w:val="22"/>
          <w:szCs w:val="22"/>
          <w:lang w:eastAsia="en-US" w:bidi="ar-SA"/>
        </w:rPr>
        <w:t xml:space="preserve"> i inne rodzinne formy pieczy zastępczej</w:t>
      </w:r>
      <w:r w:rsidRPr="008647C2">
        <w:rPr>
          <w:rFonts w:asciiTheme="minorHAnsi" w:hAnsiTheme="minorHAnsi" w:cstheme="minorHAnsi"/>
          <w:sz w:val="22"/>
          <w:szCs w:val="22"/>
          <w:lang w:eastAsia="en-US" w:bidi="ar-SA"/>
        </w:rPr>
        <w:t xml:space="preserve">. </w:t>
      </w:r>
      <w:r w:rsidRPr="008647C2">
        <w:rPr>
          <w:rFonts w:asciiTheme="minorHAnsi" w:hAnsiTheme="minorHAnsi" w:cstheme="minorHAnsi"/>
          <w:sz w:val="22"/>
          <w:szCs w:val="22"/>
        </w:rPr>
        <w:t>Istotne są także działania promujące i rozwijające rodzinną pieczę zastępczą, skutkujące wzrostem liczby rodzin chcących pełnić funkcję rodziny zastępczej, w tym tworzenie warunków do pozyskiwania tych rodzin oraz prowadzenie szkoleń na kandydatów do pełnienia funkcji rodziny zastępczej i prowadzenia rodzinnych domów dziecka</w:t>
      </w:r>
      <w:r w:rsidRPr="008647C2">
        <w:rPr>
          <w:rFonts w:asciiTheme="minorHAnsi" w:hAnsiTheme="minorHAnsi" w:cstheme="minorHAnsi"/>
          <w:sz w:val="22"/>
          <w:szCs w:val="22"/>
          <w:lang w:eastAsia="en-US" w:bidi="ar-SA"/>
        </w:rPr>
        <w:t xml:space="preserve">. Wszelkie działania dotyczące rodzin przeżywających problemy opiekuńczo – wychowawcze oraz dzieci pozbawionych opieki rodzicielskiej są zgodne z </w:t>
      </w:r>
      <w:r w:rsidRPr="008647C2">
        <w:rPr>
          <w:rFonts w:asciiTheme="minorHAnsi" w:hAnsiTheme="minorHAnsi" w:cstheme="minorHAnsi"/>
          <w:i/>
          <w:iCs/>
          <w:sz w:val="22"/>
          <w:szCs w:val="22"/>
          <w:lang w:eastAsia="en-US"/>
        </w:rPr>
        <w:t>Europejskim filarem praw socjalnych</w:t>
      </w:r>
      <w:r w:rsidRPr="008647C2">
        <w:rPr>
          <w:rFonts w:asciiTheme="minorHAnsi" w:hAnsiTheme="minorHAnsi" w:cstheme="minorHAnsi"/>
          <w:sz w:val="22"/>
          <w:szCs w:val="22"/>
          <w:lang w:eastAsia="en-US"/>
        </w:rPr>
        <w:t>, który podkreśla prawo dzieci do ochrony przed ubóstwem oraz do szczególnych środków służących zwiększeniu szans</w:t>
      </w:r>
      <w:r w:rsidR="009E245E" w:rsidRPr="008647C2">
        <w:rPr>
          <w:rStyle w:val="Odwoanieprzypisudolnego"/>
          <w:rFonts w:asciiTheme="minorHAnsi" w:hAnsiTheme="minorHAnsi" w:cstheme="minorHAnsi"/>
          <w:sz w:val="22"/>
          <w:szCs w:val="22"/>
          <w:lang w:eastAsia="en-US"/>
        </w:rPr>
        <w:footnoteReference w:id="203"/>
      </w:r>
      <w:r w:rsidRPr="008647C2">
        <w:rPr>
          <w:rFonts w:asciiTheme="minorHAnsi" w:hAnsiTheme="minorHAnsi" w:cstheme="minorHAnsi"/>
          <w:sz w:val="22"/>
          <w:szCs w:val="22"/>
          <w:lang w:eastAsia="en-US"/>
        </w:rPr>
        <w:t>.</w:t>
      </w:r>
    </w:p>
    <w:p w14:paraId="34922D4C" w14:textId="77777777" w:rsidR="0093433C" w:rsidRPr="008647C2" w:rsidRDefault="009E245E" w:rsidP="00890249">
      <w:pPr>
        <w:pStyle w:val="Tekstpodstawowy"/>
        <w:rPr>
          <w:rFonts w:asciiTheme="minorHAnsi" w:hAnsiTheme="minorHAnsi" w:cstheme="minorHAnsi"/>
          <w:sz w:val="22"/>
          <w:szCs w:val="22"/>
          <w:lang w:eastAsia="en-US" w:bidi="ar-SA"/>
        </w:rPr>
      </w:pPr>
      <w:r w:rsidRPr="008647C2">
        <w:rPr>
          <w:rFonts w:asciiTheme="minorHAnsi" w:hAnsiTheme="minorHAnsi" w:cstheme="minorHAnsi"/>
          <w:sz w:val="22"/>
          <w:szCs w:val="22"/>
          <w:lang w:eastAsia="en-US" w:bidi="ar-SA"/>
        </w:rPr>
        <w:t>Ponadto należy zwrócić uwagę na problemy związane z ryzykownym zachowaniem dzieci i młodzieży, w tym zażywaniem alkoholu, tytoniu, środków odurzających, substancji psychotropowych, nowych substancji psychoaktywnych, środków zastępczych. Zagrożenia niosą również: przemoc rówieśnicza, ryzykowne lub wczesne zachowania seksualne, zachowania autodestrukcyjne, uzależnienia behawioralne. W tym zakresie wspierana będzie zwłaszcza młodzież przebywająca w młodzieżowych ośrodkach wychowawczych, młodzieżowych ośrodkach socjoterapii i specjalnych ośrodkach szkolno-wychowawczych.</w:t>
      </w:r>
      <w:r w:rsidRPr="008647C2" w:rsidDel="004076ED">
        <w:rPr>
          <w:rFonts w:asciiTheme="minorHAnsi" w:hAnsiTheme="minorHAnsi" w:cstheme="minorHAnsi"/>
          <w:sz w:val="22"/>
          <w:szCs w:val="22"/>
          <w:lang w:eastAsia="en-US" w:bidi="ar-SA"/>
        </w:rPr>
        <w:t xml:space="preserve"> </w:t>
      </w:r>
    </w:p>
    <w:p w14:paraId="4F15A12D" w14:textId="7ECA8CD9" w:rsidR="0093433C" w:rsidRPr="00890249" w:rsidRDefault="077FEF7B" w:rsidP="00890249">
      <w:pPr>
        <w:pStyle w:val="Tekstpodstawowy"/>
        <w:rPr>
          <w:rFonts w:asciiTheme="minorHAnsi" w:hAnsiTheme="minorHAnsi" w:cstheme="minorHAnsi"/>
          <w:sz w:val="22"/>
          <w:szCs w:val="22"/>
          <w:lang w:eastAsia="en-US" w:bidi="ar-SA"/>
        </w:rPr>
      </w:pPr>
      <w:r w:rsidRPr="008647C2">
        <w:rPr>
          <w:rFonts w:asciiTheme="minorHAnsi" w:hAnsiTheme="minorHAnsi" w:cstheme="minorHAnsi"/>
          <w:sz w:val="22"/>
          <w:szCs w:val="22"/>
          <w:lang w:eastAsia="en-US" w:bidi="ar-SA"/>
        </w:rPr>
        <w:t>Opierając się na badaniach dotyczących osób bezdomnych można stwierdzić, że na przestrzeni ostatnich lat ich liczba nieznacznie spada zarówno na poziomie kraju jak i poszczególnych regionów (w woj. opolskim spis bezdomnych z 2015 r. zidentyfikował 1 080 osób, w 2017 r. - 900, podczas gdy w 2019 - 849). W przypadku tej grupy wciąż jednak nie stosuje się skutecznych działań pozwalających przywrócić te osoby do społeczeństwa, tak aby były w stanie funkcjonować bez pomocy osób trzecich, a docelowo mogły znaleźć i utrzymać zatrudnienie. Równie trudną do zdefiniowania</w:t>
      </w:r>
      <w:r w:rsidRPr="00890249">
        <w:rPr>
          <w:rFonts w:asciiTheme="minorHAnsi" w:hAnsiTheme="minorHAnsi" w:cstheme="minorHAnsi"/>
          <w:sz w:val="22"/>
          <w:szCs w:val="22"/>
          <w:lang w:eastAsia="en-US" w:bidi="ar-SA"/>
        </w:rPr>
        <w:t xml:space="preserve"> i zdiagnozowania </w:t>
      </w:r>
      <w:r w:rsidRPr="00890249">
        <w:rPr>
          <w:rFonts w:asciiTheme="minorHAnsi" w:hAnsiTheme="minorHAnsi" w:cstheme="minorHAnsi"/>
          <w:sz w:val="22"/>
          <w:szCs w:val="22"/>
          <w:lang w:eastAsia="en-US" w:bidi="ar-SA"/>
        </w:rPr>
        <w:lastRenderedPageBreak/>
        <w:t>potrzeb grupą są osoby zagrożone bezdomnością, w tym np. osoby zagrożone przemocą, opuszczające pieczę zastępczą lub zakłady karne. Osoby będące w kryzysie bezdomności to grupa, która doświadcza jednej z najbardziej skrajnych i brutalnych form wykluczenia społecznego stąd ważne jest, aby wsparcie jej oferowane było kompleksowe i zindywidualizowane. Zakłada się, że będzie ono dotykać szeregu sfer, począwszy od społecznej, psycholog</w:t>
      </w:r>
      <w:r w:rsidR="008647C2">
        <w:rPr>
          <w:rFonts w:asciiTheme="minorHAnsi" w:hAnsiTheme="minorHAnsi" w:cstheme="minorHAnsi"/>
          <w:sz w:val="22"/>
          <w:szCs w:val="22"/>
          <w:lang w:eastAsia="en-US" w:bidi="ar-SA"/>
        </w:rPr>
        <w:t>icznej i zawodowej a </w:t>
      </w:r>
      <w:r w:rsidRPr="00890249">
        <w:rPr>
          <w:rFonts w:asciiTheme="minorHAnsi" w:hAnsiTheme="minorHAnsi" w:cstheme="minorHAnsi"/>
          <w:sz w:val="22"/>
          <w:szCs w:val="22"/>
          <w:lang w:eastAsia="en-US" w:bidi="ar-SA"/>
        </w:rPr>
        <w:t>skończywszy na zdrowotnej, socjalno-bytowej i mieszkaniowej</w:t>
      </w:r>
      <w:r w:rsidR="009E245E" w:rsidRPr="00890249">
        <w:rPr>
          <w:rStyle w:val="Odwoanieprzypisudolnego"/>
          <w:rFonts w:asciiTheme="minorHAnsi" w:eastAsiaTheme="minorEastAsia" w:hAnsiTheme="minorHAnsi" w:cstheme="minorHAnsi"/>
          <w:sz w:val="22"/>
          <w:szCs w:val="22"/>
          <w:lang w:eastAsia="en-US" w:bidi="ar-SA"/>
        </w:rPr>
        <w:footnoteReference w:id="204"/>
      </w:r>
      <w:r w:rsidRPr="00890249">
        <w:rPr>
          <w:rFonts w:asciiTheme="minorHAnsi" w:hAnsiTheme="minorHAnsi" w:cstheme="minorHAnsi"/>
          <w:sz w:val="22"/>
          <w:szCs w:val="22"/>
          <w:lang w:eastAsia="en-US" w:bidi="ar-SA"/>
        </w:rPr>
        <w:t xml:space="preserve"> oraz angażować szerokie grono interesariuszy, w tym jednostki samorządu terytorialnego, podmioty ekonomii społecznej, przedsiębiorców oraz </w:t>
      </w:r>
      <w:r w:rsidR="00923FF5" w:rsidRPr="00890249">
        <w:rPr>
          <w:rFonts w:asciiTheme="minorHAnsi" w:hAnsiTheme="minorHAnsi" w:cstheme="minorHAnsi"/>
          <w:sz w:val="22"/>
          <w:szCs w:val="22"/>
          <w:lang w:eastAsia="en-US" w:bidi="ar-SA"/>
        </w:rPr>
        <w:t>same osoby w kryzysie bezdomności</w:t>
      </w:r>
      <w:r w:rsidRPr="00890249">
        <w:rPr>
          <w:rFonts w:asciiTheme="minorHAnsi" w:hAnsiTheme="minorHAnsi" w:cstheme="minorHAnsi"/>
          <w:sz w:val="22"/>
          <w:szCs w:val="22"/>
          <w:lang w:eastAsia="en-US" w:bidi="ar-SA"/>
        </w:rPr>
        <w:t xml:space="preserve"> i osoby, które już osiągnęły samodzielność życiową. </w:t>
      </w:r>
    </w:p>
    <w:p w14:paraId="08CE61C9" w14:textId="77777777" w:rsidR="0093433C" w:rsidRPr="00890249" w:rsidRDefault="077FEF7B"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 xml:space="preserve">Działania dotyczące osób będących w kryzysie bezdomności stanowią jeden z pryncypiów </w:t>
      </w:r>
      <w:r w:rsidRPr="00890249">
        <w:rPr>
          <w:rFonts w:asciiTheme="minorHAnsi" w:hAnsiTheme="minorHAnsi" w:cstheme="minorHAnsi"/>
          <w:i/>
          <w:iCs/>
          <w:sz w:val="22"/>
          <w:szCs w:val="22"/>
          <w:lang w:eastAsia="en-US"/>
        </w:rPr>
        <w:t>Europejskiego filaru praw socjalnych</w:t>
      </w:r>
      <w:r w:rsidRPr="00890249">
        <w:rPr>
          <w:rFonts w:asciiTheme="minorHAnsi" w:hAnsiTheme="minorHAnsi" w:cstheme="minorHAnsi"/>
          <w:sz w:val="22"/>
          <w:szCs w:val="22"/>
          <w:lang w:eastAsia="en-US"/>
        </w:rPr>
        <w:t>, zwłaszcza w kontekście zapewnienia tej grupie dostępu do pomocy mieszkaniowej dobrej jakości oraz integracji społecznej</w:t>
      </w:r>
      <w:r w:rsidR="009E245E" w:rsidRPr="00890249">
        <w:rPr>
          <w:rStyle w:val="Odwoanieprzypisudolnego"/>
          <w:rFonts w:asciiTheme="minorHAnsi" w:hAnsiTheme="minorHAnsi" w:cstheme="minorHAnsi"/>
          <w:sz w:val="22"/>
          <w:szCs w:val="22"/>
          <w:lang w:eastAsia="en-US"/>
        </w:rPr>
        <w:footnoteReference w:id="205"/>
      </w:r>
      <w:r w:rsidRPr="00890249">
        <w:rPr>
          <w:rFonts w:asciiTheme="minorHAnsi" w:hAnsiTheme="minorHAnsi" w:cstheme="minorHAnsi"/>
          <w:sz w:val="22"/>
          <w:szCs w:val="22"/>
          <w:lang w:eastAsia="en-US"/>
        </w:rPr>
        <w:t xml:space="preserve">. </w:t>
      </w:r>
    </w:p>
    <w:p w14:paraId="7BD1C92F" w14:textId="3DC64F84" w:rsidR="0093433C" w:rsidRPr="00890249" w:rsidRDefault="009E245E"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Szczegóły interwencji w ramach celu szczegółowego (l) są doprecyzowane w Regionalnym Planie Rozwoju Usług Społecznych</w:t>
      </w:r>
      <w:r w:rsidR="001E6548">
        <w:rPr>
          <w:rFonts w:asciiTheme="minorHAnsi" w:hAnsiTheme="minorHAnsi" w:cstheme="minorHAnsi"/>
          <w:sz w:val="22"/>
          <w:szCs w:val="22"/>
          <w:lang w:eastAsia="en-US"/>
        </w:rPr>
        <w:t xml:space="preserve"> i</w:t>
      </w:r>
      <w:r w:rsidRPr="00890249">
        <w:rPr>
          <w:rFonts w:asciiTheme="minorHAnsi" w:hAnsiTheme="minorHAnsi" w:cstheme="minorHAnsi"/>
          <w:sz w:val="22"/>
          <w:szCs w:val="22"/>
          <w:lang w:eastAsia="en-US"/>
        </w:rPr>
        <w:t xml:space="preserve"> Deinstytucjonalizacji</w:t>
      </w:r>
      <w:r w:rsidR="001E6548">
        <w:rPr>
          <w:rFonts w:asciiTheme="minorHAnsi" w:hAnsiTheme="minorHAnsi" w:cstheme="minorHAnsi"/>
          <w:sz w:val="22"/>
          <w:szCs w:val="22"/>
          <w:lang w:eastAsia="en-US"/>
        </w:rPr>
        <w:t xml:space="preserve"> (RPDI</w:t>
      </w:r>
      <w:r w:rsidRPr="00890249">
        <w:rPr>
          <w:rFonts w:asciiTheme="minorHAnsi" w:hAnsiTheme="minorHAnsi" w:cstheme="minorHAnsi"/>
          <w:sz w:val="22"/>
          <w:szCs w:val="22"/>
          <w:lang w:eastAsia="en-US"/>
        </w:rPr>
        <w:t>).</w:t>
      </w:r>
    </w:p>
    <w:p w14:paraId="7B064692" w14:textId="2449EF9C" w:rsidR="0093433C" w:rsidRPr="00890249" w:rsidRDefault="00F74288"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W ramach Programu nie będzie finansowane wsparcie powodujące seg</w:t>
      </w:r>
      <w:r w:rsidR="008647C2">
        <w:rPr>
          <w:rFonts w:asciiTheme="minorHAnsi" w:hAnsiTheme="minorHAnsi" w:cstheme="minorHAnsi"/>
          <w:sz w:val="22"/>
          <w:szCs w:val="22"/>
          <w:lang w:eastAsia="en-US"/>
        </w:rPr>
        <w:t>regację społeczną i </w:t>
      </w:r>
      <w:r w:rsidRPr="00890249">
        <w:rPr>
          <w:rFonts w:asciiTheme="minorHAnsi" w:hAnsiTheme="minorHAnsi" w:cstheme="minorHAnsi"/>
          <w:sz w:val="22"/>
          <w:szCs w:val="22"/>
          <w:lang w:eastAsia="en-US"/>
        </w:rPr>
        <w:t>przestrzenną osób zagrożonych ubóstwem lub wykluczeniem społecznym.</w:t>
      </w:r>
    </w:p>
    <w:p w14:paraId="17EDED68" w14:textId="77777777" w:rsidR="0093433C" w:rsidRPr="00890249" w:rsidRDefault="009E245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typy przedsięwzięć:</w:t>
      </w:r>
    </w:p>
    <w:p w14:paraId="703CBEA2" w14:textId="77777777" w:rsidR="0093433C" w:rsidRPr="00890249" w:rsidRDefault="009E245E" w:rsidP="009F296A">
      <w:pPr>
        <w:pStyle w:val="Lista2"/>
        <w:numPr>
          <w:ilvl w:val="0"/>
          <w:numId w:val="53"/>
        </w:numPr>
        <w:ind w:left="284" w:hanging="142"/>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Działania w zakresie wsparcia rodziny i pieczy zastępczej, w tym m.in.:</w:t>
      </w:r>
    </w:p>
    <w:p w14:paraId="35F073BD" w14:textId="77777777" w:rsidR="0093433C" w:rsidRPr="00890249" w:rsidRDefault="009E245E" w:rsidP="009F296A">
      <w:pPr>
        <w:pStyle w:val="Listapunktowana3"/>
        <w:numPr>
          <w:ilvl w:val="0"/>
          <w:numId w:val="8"/>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rodzin przeżywających problemy opiekuńczo – wychowawcze,</w:t>
      </w:r>
    </w:p>
    <w:p w14:paraId="406571A6" w14:textId="77777777" w:rsidR="0093433C" w:rsidRPr="00890249" w:rsidRDefault="009E245E" w:rsidP="009F296A">
      <w:pPr>
        <w:pStyle w:val="Listapunktowana3"/>
        <w:numPr>
          <w:ilvl w:val="0"/>
          <w:numId w:val="8"/>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preadopcyjne i postadopcyjne,</w:t>
      </w:r>
    </w:p>
    <w:p w14:paraId="52AC9CAD" w14:textId="77777777" w:rsidR="0093433C" w:rsidRPr="00890249" w:rsidRDefault="009E245E" w:rsidP="009F296A">
      <w:pPr>
        <w:pStyle w:val="Listapunktowana3"/>
        <w:numPr>
          <w:ilvl w:val="0"/>
          <w:numId w:val="8"/>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wsparcie pieczy zastępczej, w tym wsparcie procesu deinstytucjonalizacji poprzez tworzenie jej rodzinnych form,</w:t>
      </w:r>
    </w:p>
    <w:p w14:paraId="76B83714" w14:textId="7BE54A99" w:rsidR="0093433C" w:rsidRPr="00890249" w:rsidRDefault="009E245E" w:rsidP="009F296A">
      <w:pPr>
        <w:pStyle w:val="Listapunktowana3"/>
        <w:numPr>
          <w:ilvl w:val="0"/>
          <w:numId w:val="8"/>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poprawa dostępu do mieszkań o charakterze wspomaganym/</w:t>
      </w:r>
      <w:r w:rsidR="001E6548">
        <w:rPr>
          <w:rFonts w:asciiTheme="minorHAnsi" w:hAnsiTheme="minorHAnsi" w:cstheme="minorHAnsi"/>
          <w:sz w:val="22"/>
          <w:szCs w:val="22"/>
          <w:lang w:eastAsia="en-US" w:bidi="ar-SA"/>
        </w:rPr>
        <w:t>treningowym</w:t>
      </w:r>
      <w:r w:rsidR="001E6548"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dla osób opuszczających pieczę zastępczą.</w:t>
      </w:r>
    </w:p>
    <w:p w14:paraId="3FF095BD" w14:textId="77777777" w:rsidR="009E245E" w:rsidRPr="00890249" w:rsidRDefault="009E245E" w:rsidP="009F296A">
      <w:pPr>
        <w:pStyle w:val="Akapitzlist"/>
        <w:numPr>
          <w:ilvl w:val="0"/>
          <w:numId w:val="53"/>
        </w:numPr>
        <w:spacing w:line="276" w:lineRule="auto"/>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Usługi dla dzieci i młodzieży wymagających wsparcia, przebywających w rodzinach oraz w różnego rodzaju instytucjach całodobowych (z zastrzeżeniem braku finansowania dla </w:t>
      </w:r>
      <w:r w:rsidR="00FE205B" w:rsidRPr="00890249">
        <w:rPr>
          <w:rFonts w:asciiTheme="minorHAnsi" w:eastAsiaTheme="minorHAnsi" w:hAnsiTheme="minorHAnsi" w:cstheme="minorHAnsi"/>
          <w:sz w:val="22"/>
          <w:szCs w:val="22"/>
          <w:lang w:eastAsia="en-US" w:bidi="ar-SA"/>
        </w:rPr>
        <w:t xml:space="preserve">samych </w:t>
      </w:r>
      <w:r w:rsidRPr="00890249">
        <w:rPr>
          <w:rFonts w:asciiTheme="minorHAnsi" w:eastAsiaTheme="minorHAnsi" w:hAnsiTheme="minorHAnsi" w:cstheme="minorHAnsi"/>
          <w:sz w:val="22"/>
          <w:szCs w:val="22"/>
          <w:lang w:eastAsia="en-US" w:bidi="ar-SA"/>
        </w:rPr>
        <w:t>placówek świadczących opiekę instytucjonalną).</w:t>
      </w:r>
    </w:p>
    <w:p w14:paraId="0BAD5CCA" w14:textId="77777777" w:rsidR="009E245E" w:rsidRPr="00890249" w:rsidRDefault="009E245E" w:rsidP="009F296A">
      <w:pPr>
        <w:pStyle w:val="Akapitzlist"/>
        <w:numPr>
          <w:ilvl w:val="0"/>
          <w:numId w:val="53"/>
        </w:numPr>
        <w:spacing w:before="0" w:after="0"/>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Usługi interwencji kryzysowej oraz </w:t>
      </w:r>
      <w:r w:rsidRPr="00890249">
        <w:rPr>
          <w:rFonts w:asciiTheme="minorHAnsi" w:hAnsiTheme="minorHAnsi" w:cstheme="minorHAnsi"/>
          <w:sz w:val="22"/>
          <w:szCs w:val="22"/>
        </w:rPr>
        <w:t>w zakresie przeciwdziałania przemocy, w tym przemocy w rodzinie.</w:t>
      </w:r>
    </w:p>
    <w:p w14:paraId="14CD5ECB" w14:textId="266BD302" w:rsidR="009E245E" w:rsidRPr="00890249" w:rsidRDefault="009E245E"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Działania na rzecz osób będących w kryzysie bezdomności i/lub innych osób doświadczających wykluczenia społecznego, (np. osób uzależnionych od substancji psychoaktywnych), w tym m.in.: terapia uzależnień, usługi środowiskowe, streetworking, praca socjalna, usługi zdrowotne, mieszkania wspomagane/</w:t>
      </w:r>
      <w:r w:rsidR="001E6548">
        <w:rPr>
          <w:rFonts w:asciiTheme="minorHAnsi" w:eastAsiaTheme="minorHAnsi" w:hAnsiTheme="minorHAnsi" w:cstheme="minorHAnsi"/>
          <w:sz w:val="22"/>
          <w:szCs w:val="22"/>
          <w:lang w:eastAsia="en-US" w:bidi="ar-SA"/>
        </w:rPr>
        <w:t>treningowe</w:t>
      </w:r>
      <w:r w:rsidRPr="00890249">
        <w:rPr>
          <w:rFonts w:asciiTheme="minorHAnsi" w:eastAsiaTheme="minorHAnsi" w:hAnsiTheme="minorHAnsi" w:cstheme="minorHAnsi"/>
          <w:sz w:val="22"/>
          <w:szCs w:val="22"/>
          <w:lang w:eastAsia="en-US" w:bidi="ar-SA"/>
        </w:rPr>
        <w:t>, program Najpierw Mieszkanie.</w:t>
      </w:r>
    </w:p>
    <w:p w14:paraId="25BA4812" w14:textId="78D28051" w:rsidR="009E245E" w:rsidRPr="00890249" w:rsidRDefault="009E245E"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Profilaktyka zachowań </w:t>
      </w:r>
      <w:r w:rsidR="00972CDD" w:rsidRPr="00890249">
        <w:rPr>
          <w:rFonts w:asciiTheme="minorHAnsi" w:eastAsiaTheme="minorHAnsi" w:hAnsiTheme="minorHAnsi" w:cstheme="minorHAnsi"/>
          <w:sz w:val="22"/>
          <w:szCs w:val="22"/>
          <w:lang w:eastAsia="en-US" w:bidi="ar-SA"/>
        </w:rPr>
        <w:t>społecznych</w:t>
      </w:r>
      <w:r w:rsidRPr="00890249">
        <w:rPr>
          <w:rFonts w:asciiTheme="minorHAnsi" w:eastAsiaTheme="minorHAnsi" w:hAnsiTheme="minorHAnsi" w:cstheme="minorHAnsi"/>
          <w:sz w:val="22"/>
          <w:szCs w:val="22"/>
          <w:lang w:eastAsia="en-US" w:bidi="ar-SA"/>
        </w:rPr>
        <w:t xml:space="preserve"> dzieci i młodzieży</w:t>
      </w:r>
      <w:r w:rsidR="00972CDD" w:rsidRPr="00890249">
        <w:rPr>
          <w:rFonts w:asciiTheme="minorHAnsi" w:eastAsiaTheme="minorHAnsi" w:hAnsiTheme="minorHAnsi" w:cstheme="minorHAnsi"/>
          <w:sz w:val="22"/>
          <w:szCs w:val="22"/>
          <w:lang w:eastAsia="en-US" w:bidi="ar-SA"/>
        </w:rPr>
        <w:t xml:space="preserve"> zagrożonych wykluczeniem społecznym</w:t>
      </w:r>
      <w:r w:rsidR="008647C2">
        <w:rPr>
          <w:rFonts w:asciiTheme="minorHAnsi" w:eastAsiaTheme="minorHAnsi" w:hAnsiTheme="minorHAnsi" w:cstheme="minorHAnsi"/>
          <w:sz w:val="22"/>
          <w:szCs w:val="22"/>
          <w:lang w:eastAsia="en-US" w:bidi="ar-SA"/>
        </w:rPr>
        <w:t>, w </w:t>
      </w:r>
      <w:r w:rsidR="00636B94" w:rsidRPr="00890249">
        <w:rPr>
          <w:rFonts w:asciiTheme="minorHAnsi" w:eastAsiaTheme="minorHAnsi" w:hAnsiTheme="minorHAnsi" w:cstheme="minorHAnsi"/>
          <w:sz w:val="22"/>
          <w:szCs w:val="22"/>
          <w:lang w:eastAsia="en-US" w:bidi="ar-SA"/>
        </w:rPr>
        <w:t xml:space="preserve">związku z </w:t>
      </w:r>
      <w:r w:rsidRPr="00890249">
        <w:rPr>
          <w:rFonts w:asciiTheme="minorHAnsi" w:eastAsiaTheme="minorHAnsi" w:hAnsiTheme="minorHAnsi" w:cstheme="minorHAnsi"/>
          <w:sz w:val="22"/>
          <w:szCs w:val="22"/>
          <w:lang w:eastAsia="en-US" w:bidi="ar-SA"/>
        </w:rPr>
        <w:t>uzależnie</w:t>
      </w:r>
      <w:r w:rsidR="00636B94" w:rsidRPr="00890249">
        <w:rPr>
          <w:rFonts w:asciiTheme="minorHAnsi" w:eastAsiaTheme="minorHAnsi" w:hAnsiTheme="minorHAnsi" w:cstheme="minorHAnsi"/>
          <w:sz w:val="22"/>
          <w:szCs w:val="22"/>
          <w:lang w:eastAsia="en-US" w:bidi="ar-SA"/>
        </w:rPr>
        <w:t>niami</w:t>
      </w:r>
      <w:r w:rsidRPr="00890249">
        <w:rPr>
          <w:rFonts w:asciiTheme="minorHAnsi" w:eastAsiaTheme="minorHAnsi" w:hAnsiTheme="minorHAnsi" w:cstheme="minorHAnsi"/>
          <w:sz w:val="22"/>
          <w:szCs w:val="22"/>
          <w:lang w:eastAsia="en-US" w:bidi="ar-SA"/>
        </w:rPr>
        <w:t>, przemoc</w:t>
      </w:r>
      <w:r w:rsidR="00636B94" w:rsidRPr="00890249">
        <w:rPr>
          <w:rFonts w:asciiTheme="minorHAnsi" w:eastAsiaTheme="minorHAnsi" w:hAnsiTheme="minorHAnsi" w:cstheme="minorHAnsi"/>
          <w:sz w:val="22"/>
          <w:szCs w:val="22"/>
          <w:lang w:eastAsia="en-US" w:bidi="ar-SA"/>
        </w:rPr>
        <w:t>ą</w:t>
      </w:r>
      <w:r w:rsidRPr="00890249">
        <w:rPr>
          <w:rFonts w:asciiTheme="minorHAnsi" w:eastAsiaTheme="minorHAnsi" w:hAnsiTheme="minorHAnsi" w:cstheme="minorHAnsi"/>
          <w:sz w:val="22"/>
          <w:szCs w:val="22"/>
          <w:lang w:eastAsia="en-US" w:bidi="ar-SA"/>
        </w:rPr>
        <w:t xml:space="preserve"> w rodzinie, negatywny</w:t>
      </w:r>
      <w:r w:rsidR="00636B94" w:rsidRPr="00890249">
        <w:rPr>
          <w:rFonts w:asciiTheme="minorHAnsi" w:eastAsiaTheme="minorHAnsi" w:hAnsiTheme="minorHAnsi" w:cstheme="minorHAnsi"/>
          <w:sz w:val="22"/>
          <w:szCs w:val="22"/>
          <w:lang w:eastAsia="en-US" w:bidi="ar-SA"/>
        </w:rPr>
        <w:t>mi</w:t>
      </w:r>
      <w:r w:rsidRPr="00890249">
        <w:rPr>
          <w:rFonts w:asciiTheme="minorHAnsi" w:eastAsiaTheme="minorHAnsi" w:hAnsiTheme="minorHAnsi" w:cstheme="minorHAnsi"/>
          <w:sz w:val="22"/>
          <w:szCs w:val="22"/>
          <w:lang w:eastAsia="en-US" w:bidi="ar-SA"/>
        </w:rPr>
        <w:t xml:space="preserve"> skutk</w:t>
      </w:r>
      <w:r w:rsidR="00636B94" w:rsidRPr="00890249">
        <w:rPr>
          <w:rFonts w:asciiTheme="minorHAnsi" w:eastAsiaTheme="minorHAnsi" w:hAnsiTheme="minorHAnsi" w:cstheme="minorHAnsi"/>
          <w:sz w:val="22"/>
          <w:szCs w:val="22"/>
          <w:lang w:eastAsia="en-US" w:bidi="ar-SA"/>
        </w:rPr>
        <w:t>ami</w:t>
      </w:r>
      <w:r w:rsidRPr="00890249">
        <w:rPr>
          <w:rFonts w:asciiTheme="minorHAnsi" w:eastAsiaTheme="minorHAnsi" w:hAnsiTheme="minorHAnsi" w:cstheme="minorHAnsi"/>
          <w:sz w:val="22"/>
          <w:szCs w:val="22"/>
          <w:lang w:eastAsia="en-US" w:bidi="ar-SA"/>
        </w:rPr>
        <w:t xml:space="preserve"> izolacji społecznej</w:t>
      </w:r>
      <w:r w:rsidR="00203585" w:rsidRPr="00890249">
        <w:rPr>
          <w:rFonts w:asciiTheme="minorHAnsi" w:eastAsiaTheme="minorHAnsi" w:hAnsiTheme="minorHAnsi" w:cstheme="minorHAnsi"/>
          <w:sz w:val="22"/>
          <w:szCs w:val="22"/>
          <w:lang w:eastAsia="en-US" w:bidi="ar-SA"/>
        </w:rPr>
        <w:t>,</w:t>
      </w:r>
      <w:r w:rsidRPr="00890249">
        <w:rPr>
          <w:rFonts w:asciiTheme="minorHAnsi" w:eastAsiaTheme="minorHAnsi" w:hAnsiTheme="minorHAnsi" w:cstheme="minorHAnsi"/>
          <w:sz w:val="22"/>
          <w:szCs w:val="22"/>
          <w:lang w:eastAsia="en-US" w:bidi="ar-SA"/>
        </w:rPr>
        <w:t xml:space="preserve"> itp.</w:t>
      </w:r>
    </w:p>
    <w:p w14:paraId="766BA876" w14:textId="77777777" w:rsidR="00972CDD" w:rsidRPr="00890249" w:rsidRDefault="009E245E"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Wsparcie psychologiczno-pedagogiczne dla dzieci, młodzieży i rodziców</w:t>
      </w:r>
      <w:r w:rsidR="00972CDD" w:rsidRPr="00890249">
        <w:rPr>
          <w:rFonts w:asciiTheme="minorHAnsi" w:eastAsiaTheme="minorHAnsi" w:hAnsiTheme="minorHAnsi" w:cstheme="minorHAnsi"/>
          <w:sz w:val="22"/>
          <w:szCs w:val="22"/>
          <w:lang w:eastAsia="en-US" w:bidi="ar-SA"/>
        </w:rPr>
        <w:t xml:space="preserve"> zagrożonych wykluczeniem społecznym</w:t>
      </w:r>
      <w:r w:rsidR="003D54FB" w:rsidRPr="00890249">
        <w:rPr>
          <w:rFonts w:asciiTheme="minorHAnsi" w:eastAsiaTheme="minorHAnsi" w:hAnsiTheme="minorHAnsi" w:cstheme="minorHAnsi"/>
          <w:sz w:val="22"/>
          <w:szCs w:val="22"/>
          <w:lang w:eastAsia="en-US" w:bidi="ar-SA"/>
        </w:rPr>
        <w:t>, w tym grupy wsparcia, wsparcie rówieśnicze</w:t>
      </w:r>
      <w:r w:rsidR="00972CDD" w:rsidRPr="00890249">
        <w:rPr>
          <w:rFonts w:asciiTheme="minorHAnsi" w:eastAsiaTheme="minorHAnsi" w:hAnsiTheme="minorHAnsi" w:cstheme="minorHAnsi"/>
          <w:sz w:val="22"/>
          <w:szCs w:val="22"/>
          <w:lang w:eastAsia="en-US" w:bidi="ar-SA"/>
        </w:rPr>
        <w:t>.</w:t>
      </w:r>
    </w:p>
    <w:p w14:paraId="1B2AB37A" w14:textId="6EE82014" w:rsidR="009E245E" w:rsidRPr="00890249" w:rsidRDefault="3FE1143A"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P</w:t>
      </w:r>
      <w:r w:rsidR="72A6B893" w:rsidRPr="00890249">
        <w:rPr>
          <w:rFonts w:asciiTheme="minorHAnsi" w:eastAsiaTheme="minorEastAsia" w:hAnsiTheme="minorHAnsi" w:cstheme="minorHAnsi"/>
          <w:sz w:val="22"/>
          <w:szCs w:val="22"/>
          <w:lang w:eastAsia="en-US" w:bidi="ar-SA"/>
        </w:rPr>
        <w:t xml:space="preserve">odnoszenie kwalifikacji </w:t>
      </w:r>
      <w:r w:rsidRPr="00890249">
        <w:rPr>
          <w:rFonts w:asciiTheme="minorHAnsi" w:eastAsiaTheme="minorEastAsia" w:hAnsiTheme="minorHAnsi" w:cstheme="minorHAnsi"/>
          <w:sz w:val="22"/>
          <w:szCs w:val="22"/>
          <w:lang w:eastAsia="en-US" w:bidi="ar-SA"/>
        </w:rPr>
        <w:t xml:space="preserve">i kompetencji </w:t>
      </w:r>
      <w:r w:rsidR="4310FA28" w:rsidRPr="00890249">
        <w:rPr>
          <w:rFonts w:asciiTheme="minorHAnsi" w:eastAsiaTheme="minorEastAsia" w:hAnsiTheme="minorHAnsi" w:cstheme="minorHAnsi"/>
          <w:sz w:val="22"/>
          <w:szCs w:val="22"/>
          <w:lang w:eastAsia="en-US" w:bidi="ar-SA"/>
        </w:rPr>
        <w:t>kadry poradni</w:t>
      </w:r>
      <w:r w:rsidRPr="00890249">
        <w:rPr>
          <w:rFonts w:asciiTheme="minorHAnsi" w:eastAsiaTheme="minorEastAsia" w:hAnsiTheme="minorHAnsi" w:cstheme="minorHAnsi"/>
          <w:sz w:val="22"/>
          <w:szCs w:val="22"/>
          <w:lang w:eastAsia="en-US" w:bidi="ar-SA"/>
        </w:rPr>
        <w:t xml:space="preserve"> psychologiczno-p</w:t>
      </w:r>
      <w:r w:rsidR="4310FA28" w:rsidRPr="00890249">
        <w:rPr>
          <w:rFonts w:asciiTheme="minorHAnsi" w:eastAsiaTheme="minorEastAsia" w:hAnsiTheme="minorHAnsi" w:cstheme="minorHAnsi"/>
          <w:sz w:val="22"/>
          <w:szCs w:val="22"/>
          <w:lang w:eastAsia="en-US" w:bidi="ar-SA"/>
        </w:rPr>
        <w:t>edagogicznych oraz</w:t>
      </w:r>
      <w:r w:rsidRPr="00890249">
        <w:rPr>
          <w:rFonts w:asciiTheme="minorHAnsi" w:eastAsiaTheme="minorEastAsia" w:hAnsiTheme="minorHAnsi" w:cstheme="minorHAnsi"/>
          <w:sz w:val="22"/>
          <w:szCs w:val="22"/>
          <w:lang w:eastAsia="en-US" w:bidi="ar-SA"/>
        </w:rPr>
        <w:t xml:space="preserve"> młodzieżowych ośrodków wychowawczych, młodzieżowych ośrodków socjoterapii, specjalnych ośrodków szkolno-wychowawczych.</w:t>
      </w:r>
      <w:r w:rsidR="72A6B893" w:rsidRPr="00890249">
        <w:rPr>
          <w:rFonts w:asciiTheme="minorHAnsi" w:eastAsiaTheme="minorEastAsia" w:hAnsiTheme="minorHAnsi" w:cstheme="minorHAnsi"/>
          <w:sz w:val="22"/>
          <w:szCs w:val="22"/>
          <w:lang w:eastAsia="en-US" w:bidi="ar-SA"/>
        </w:rPr>
        <w:t xml:space="preserve"> </w:t>
      </w:r>
    </w:p>
    <w:p w14:paraId="5034057E" w14:textId="21454BF7" w:rsidR="009E245E" w:rsidRPr="00890249" w:rsidRDefault="72A6B893"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Wsparcie infrastruktury poradni/gabinetów psychologiczno-pedagogicznych, w tym mobilnych sal do integracji sensorycznej.</w:t>
      </w:r>
    </w:p>
    <w:p w14:paraId="76C3991F" w14:textId="77777777" w:rsidR="00B72154" w:rsidRPr="00890249" w:rsidRDefault="72A6B893"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lastRenderedPageBreak/>
        <w:t>Kompleksowa integracja dzieci i młodzieży wymagającej resocjalizacji i reintegracji, w tym przebywającej w młodzieżowych ośrodkach wychowawczych, młodzieżowych ośrodkach socjoterapii i specjalnych ośrodkach szkolno-wychowawczych.</w:t>
      </w:r>
    </w:p>
    <w:p w14:paraId="48D63F1C" w14:textId="77777777" w:rsidR="00B72154" w:rsidRPr="00890249" w:rsidRDefault="00875C92"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 realizowany jedynie jako element kompleksowego projektu dot. włączenia społecznego.</w:t>
      </w:r>
    </w:p>
    <w:p w14:paraId="5E3FF0F5" w14:textId="7A58368C" w:rsidR="009E245E" w:rsidRPr="00890249" w:rsidRDefault="72A6B893"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 xml:space="preserve">Podnoszenie kwalifikacji i kompetencji </w:t>
      </w:r>
      <w:r w:rsidR="00105B0B" w:rsidRPr="00890249">
        <w:rPr>
          <w:rFonts w:asciiTheme="minorHAnsi" w:eastAsiaTheme="minorHAnsi" w:hAnsiTheme="minorHAnsi" w:cstheme="minorHAnsi"/>
          <w:sz w:val="22"/>
          <w:szCs w:val="22"/>
          <w:lang w:eastAsia="en-US" w:bidi="ar-SA"/>
        </w:rPr>
        <w:t>kadr na potrzeby świadczenia usług społecznych</w:t>
      </w:r>
      <w:r w:rsidRPr="00890249">
        <w:rPr>
          <w:rFonts w:asciiTheme="minorHAnsi" w:eastAsiaTheme="minorEastAsia" w:hAnsiTheme="minorHAnsi" w:cstheme="minorHAnsi"/>
          <w:sz w:val="22"/>
          <w:szCs w:val="22"/>
          <w:lang w:eastAsia="en-US" w:bidi="ar-SA"/>
        </w:rPr>
        <w:t>.</w:t>
      </w:r>
    </w:p>
    <w:p w14:paraId="560BD466" w14:textId="77777777" w:rsidR="009E245E" w:rsidRPr="00890249" w:rsidRDefault="72A6B893"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imes New Roman" w:hAnsiTheme="minorHAnsi" w:cstheme="minorHAnsi"/>
          <w:noProof/>
          <w:sz w:val="22"/>
          <w:szCs w:val="22"/>
        </w:rPr>
        <w:t xml:space="preserve">Budowanie potencjału organizacji społeczeństwa obywatelskiego </w:t>
      </w:r>
      <w:r w:rsidRPr="00890249">
        <w:rPr>
          <w:rFonts w:asciiTheme="minorHAnsi" w:eastAsiaTheme="minorEastAsia" w:hAnsiTheme="minorHAnsi" w:cstheme="minorHAnsi"/>
          <w:sz w:val="22"/>
          <w:szCs w:val="22"/>
          <w:lang w:eastAsia="en-US" w:bidi="ar-SA"/>
        </w:rPr>
        <w:t>działających na rzecz osób zagrożonych ubóstwem lub wykluczeniem społecznym.</w:t>
      </w:r>
    </w:p>
    <w:p w14:paraId="1EE02E64" w14:textId="77777777" w:rsidR="009E245E" w:rsidRPr="00890249" w:rsidRDefault="72A6B893"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Wymiana doświadczeń pomiędzy podmiotami działającymi na rzecz osób w kryzysie bezdomności (w tym organizacjami pozarządowymi) działającymi w kraju i w Europie.</w:t>
      </w:r>
    </w:p>
    <w:p w14:paraId="196063EF" w14:textId="77777777" w:rsidR="009E245E" w:rsidRPr="00890249" w:rsidRDefault="72A6B893" w:rsidP="009F296A">
      <w:pPr>
        <w:pStyle w:val="Akapitzlist"/>
        <w:numPr>
          <w:ilvl w:val="0"/>
          <w:numId w:val="53"/>
        </w:numPr>
        <w:ind w:left="284" w:hanging="284"/>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Przeciwdziałanie ubóstwu energetycznemu poprzez wzmacnianie świadomości w zakresie konieczności oszczędnego korzystania z energii.</w:t>
      </w:r>
    </w:p>
    <w:p w14:paraId="1156F023" w14:textId="25319AA3" w:rsidR="0093433C" w:rsidRPr="00890249" w:rsidRDefault="00F96EE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9E245E"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02EA241B"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62EE538D" w14:textId="279F1F41" w:rsidR="009E245E" w:rsidRPr="00890249" w:rsidRDefault="006911DD"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os </w:t>
      </w:r>
      <w:r w:rsidR="009E245E" w:rsidRPr="00890249">
        <w:rPr>
          <w:rFonts w:asciiTheme="minorHAnsi" w:eastAsiaTheme="minorHAnsi" w:hAnsiTheme="minorHAnsi" w:cstheme="minorHAnsi"/>
          <w:sz w:val="22"/>
          <w:szCs w:val="22"/>
          <w:lang w:eastAsia="en-US" w:bidi="ar-SA"/>
        </w:rPr>
        <w:t>zagrożone ubóstwem i wykluczeniem społecznym (nie określone w innych cs) np. uzależnione od substancji psychoaktywnych,</w:t>
      </w:r>
    </w:p>
    <w:p w14:paraId="6C0845A6" w14:textId="1E7EB9C9" w:rsidR="009E245E" w:rsidRPr="00890249" w:rsidRDefault="009E245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rPr>
        <w:t xml:space="preserve">otoczenie </w:t>
      </w:r>
      <w:r w:rsidR="006911DD" w:rsidRPr="00890249">
        <w:rPr>
          <w:rFonts w:asciiTheme="minorHAnsi" w:eastAsiaTheme="minorHAnsi" w:hAnsiTheme="minorHAnsi" w:cstheme="minorHAnsi"/>
          <w:sz w:val="22"/>
          <w:szCs w:val="22"/>
        </w:rPr>
        <w:t xml:space="preserve">os. </w:t>
      </w:r>
      <w:r w:rsidRPr="00890249">
        <w:rPr>
          <w:rFonts w:asciiTheme="minorHAnsi" w:eastAsiaTheme="minorHAnsi" w:hAnsiTheme="minorHAnsi" w:cstheme="minorHAnsi"/>
          <w:sz w:val="22"/>
          <w:szCs w:val="22"/>
        </w:rPr>
        <w:t>zagrożonych ubóstwem lub wykluczeniem społecznym,</w:t>
      </w:r>
    </w:p>
    <w:p w14:paraId="1464F40F" w14:textId="7EAA1E32" w:rsidR="009E245E" w:rsidRPr="00890249" w:rsidRDefault="006911DD"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os. </w:t>
      </w:r>
      <w:r w:rsidR="009E245E" w:rsidRPr="00890249">
        <w:rPr>
          <w:rFonts w:asciiTheme="minorHAnsi" w:eastAsiaTheme="minorHAnsi" w:hAnsiTheme="minorHAnsi" w:cstheme="minorHAnsi"/>
          <w:sz w:val="22"/>
          <w:szCs w:val="22"/>
          <w:lang w:eastAsia="en-US" w:bidi="ar-SA"/>
        </w:rPr>
        <w:t>sprawujące pieczę zastępczą, kandydaci do pełnienia funkcji rodziny zastępczej lub prowadzenia rodzinnego domu dziecka,</w:t>
      </w:r>
    </w:p>
    <w:p w14:paraId="7FF39593" w14:textId="5F555D9F" w:rsidR="009E245E" w:rsidRPr="00890249" w:rsidRDefault="009E245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dzieci, młodzież i młodzi dorośli przebywający w pieczy zastępczej i innych placówkach całodobowych o charakterze długoterminowym</w:t>
      </w:r>
      <w:r w:rsidR="001B17DD" w:rsidRPr="00890249">
        <w:rPr>
          <w:rFonts w:asciiTheme="minorHAnsi" w:eastAsiaTheme="minorHAnsi" w:hAnsiTheme="minorHAnsi" w:cstheme="minorHAnsi"/>
          <w:sz w:val="22"/>
          <w:szCs w:val="22"/>
          <w:lang w:eastAsia="en-US" w:bidi="ar-SA"/>
        </w:rPr>
        <w:t xml:space="preserve"> oraz młodzież opuszczająca te placówki</w:t>
      </w:r>
      <w:r w:rsidRPr="00890249">
        <w:rPr>
          <w:rFonts w:asciiTheme="minorHAnsi" w:eastAsiaTheme="minorHAnsi" w:hAnsiTheme="minorHAnsi" w:cstheme="minorHAnsi"/>
          <w:sz w:val="22"/>
          <w:szCs w:val="22"/>
          <w:lang w:eastAsia="en-US" w:bidi="ar-SA"/>
        </w:rPr>
        <w:t>,</w:t>
      </w:r>
    </w:p>
    <w:p w14:paraId="1D6293ED" w14:textId="502DD914" w:rsidR="009E245E" w:rsidRPr="00890249" w:rsidRDefault="009E245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rodziny wychowujące dzieci, przeżywające problemy opiekuńczo–wychowawcze,</w:t>
      </w:r>
    </w:p>
    <w:p w14:paraId="69D1B294" w14:textId="09EDAA70" w:rsidR="009E245E" w:rsidRPr="00890249" w:rsidRDefault="006911DD"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os. </w:t>
      </w:r>
      <w:r w:rsidR="009E245E" w:rsidRPr="00890249">
        <w:rPr>
          <w:rFonts w:asciiTheme="minorHAnsi" w:eastAsiaTheme="minorHAnsi" w:hAnsiTheme="minorHAnsi" w:cstheme="minorHAnsi"/>
          <w:sz w:val="22"/>
          <w:szCs w:val="22"/>
          <w:lang w:eastAsia="en-US" w:bidi="ar-SA"/>
        </w:rPr>
        <w:t>potrzebujące interwencji kryzysowej i ich otoczenie,</w:t>
      </w:r>
    </w:p>
    <w:p w14:paraId="2CBCBC8C" w14:textId="77777777" w:rsidR="009E245E" w:rsidRPr="00890249" w:rsidRDefault="009E245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ofiary przemocy, w tym przemocy w rodzinie i ich otoczenie,</w:t>
      </w:r>
    </w:p>
    <w:p w14:paraId="5F9A0619" w14:textId="7DB039D0" w:rsidR="009E245E" w:rsidRPr="00890249" w:rsidRDefault="006911DD"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os. </w:t>
      </w:r>
      <w:r w:rsidR="009E245E" w:rsidRPr="00890249">
        <w:rPr>
          <w:rFonts w:asciiTheme="minorHAnsi" w:eastAsiaTheme="minorHAnsi" w:hAnsiTheme="minorHAnsi" w:cstheme="minorHAnsi"/>
          <w:sz w:val="22"/>
          <w:szCs w:val="22"/>
          <w:lang w:eastAsia="en-US" w:bidi="ar-SA"/>
        </w:rPr>
        <w:t>w kryzysie bezdomności i zagrożone wykluczeniem mieszkaniowym i ich otoczenie,</w:t>
      </w:r>
    </w:p>
    <w:p w14:paraId="32E8D29C" w14:textId="700C0974" w:rsidR="009E245E" w:rsidRPr="00890249" w:rsidRDefault="009E245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kadry świadczące usługi </w:t>
      </w:r>
      <w:r w:rsidR="00436FB2" w:rsidRPr="00890249">
        <w:rPr>
          <w:rFonts w:asciiTheme="minorHAnsi" w:eastAsiaTheme="minorHAnsi" w:hAnsiTheme="minorHAnsi" w:cstheme="minorHAnsi"/>
          <w:sz w:val="22"/>
          <w:szCs w:val="22"/>
          <w:lang w:eastAsia="en-US" w:bidi="ar-SA"/>
        </w:rPr>
        <w:t>społeczne,</w:t>
      </w:r>
    </w:p>
    <w:p w14:paraId="28E4893C" w14:textId="1137B3E7" w:rsidR="009E245E" w:rsidRPr="00890249" w:rsidRDefault="007E7FCE" w:rsidP="009F296A">
      <w:pPr>
        <w:pStyle w:val="Akapitzlist"/>
        <w:numPr>
          <w:ilvl w:val="0"/>
          <w:numId w:val="51"/>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kadra </w:t>
      </w:r>
      <w:r w:rsidR="009E245E" w:rsidRPr="00890249">
        <w:rPr>
          <w:rFonts w:asciiTheme="minorHAnsi" w:eastAsiaTheme="minorHAnsi" w:hAnsiTheme="minorHAnsi" w:cstheme="minorHAnsi"/>
          <w:sz w:val="22"/>
          <w:szCs w:val="22"/>
          <w:lang w:eastAsia="en-US" w:bidi="ar-SA"/>
        </w:rPr>
        <w:t xml:space="preserve">poradni psychologiczno-pedagogicznych oraz  m.in. </w:t>
      </w:r>
      <w:r w:rsidR="00C51668" w:rsidRPr="00890249">
        <w:rPr>
          <w:rFonts w:asciiTheme="minorHAnsi" w:eastAsiaTheme="minorHAnsi" w:hAnsiTheme="minorHAnsi" w:cstheme="minorHAnsi"/>
          <w:sz w:val="22"/>
          <w:szCs w:val="22"/>
          <w:lang w:eastAsia="en-US" w:bidi="ar-SA"/>
        </w:rPr>
        <w:t>MOW</w:t>
      </w:r>
      <w:r w:rsidR="009E245E" w:rsidRPr="00890249">
        <w:rPr>
          <w:rFonts w:asciiTheme="minorHAnsi" w:eastAsiaTheme="minorHAnsi" w:hAnsiTheme="minorHAnsi" w:cstheme="minorHAnsi"/>
          <w:sz w:val="22"/>
          <w:szCs w:val="22"/>
          <w:lang w:eastAsia="en-US" w:bidi="ar-SA"/>
        </w:rPr>
        <w:t xml:space="preserve">, </w:t>
      </w:r>
      <w:r w:rsidR="00C51668" w:rsidRPr="00890249">
        <w:rPr>
          <w:rFonts w:asciiTheme="minorHAnsi" w:eastAsiaTheme="minorHAnsi" w:hAnsiTheme="minorHAnsi" w:cstheme="minorHAnsi"/>
          <w:sz w:val="22"/>
          <w:szCs w:val="22"/>
          <w:lang w:eastAsia="en-US" w:bidi="ar-SA"/>
        </w:rPr>
        <w:t>MOS</w:t>
      </w:r>
      <w:r w:rsidR="009E245E" w:rsidRPr="00890249">
        <w:rPr>
          <w:rFonts w:asciiTheme="minorHAnsi" w:eastAsiaTheme="minorHAnsi" w:hAnsiTheme="minorHAnsi" w:cstheme="minorHAnsi"/>
          <w:sz w:val="22"/>
          <w:szCs w:val="22"/>
          <w:lang w:eastAsia="en-US" w:bidi="ar-SA"/>
        </w:rPr>
        <w:t xml:space="preserve">, </w:t>
      </w:r>
      <w:r w:rsidR="00C51668" w:rsidRPr="00890249">
        <w:rPr>
          <w:rFonts w:asciiTheme="minorHAnsi" w:eastAsiaTheme="minorHAnsi" w:hAnsiTheme="minorHAnsi" w:cstheme="minorHAnsi"/>
          <w:sz w:val="22"/>
          <w:szCs w:val="22"/>
          <w:lang w:eastAsia="en-US" w:bidi="ar-SA"/>
        </w:rPr>
        <w:t>SOWS</w:t>
      </w:r>
      <w:r w:rsidRPr="00890249">
        <w:rPr>
          <w:rFonts w:asciiTheme="minorHAnsi" w:eastAsiaTheme="minorHAnsi" w:hAnsiTheme="minorHAnsi" w:cstheme="minorHAnsi"/>
          <w:sz w:val="22"/>
          <w:szCs w:val="22"/>
          <w:lang w:eastAsia="en-US" w:bidi="ar-SA"/>
        </w:rPr>
        <w:t>,</w:t>
      </w:r>
    </w:p>
    <w:p w14:paraId="62717F1D" w14:textId="77777777" w:rsidR="009E245E" w:rsidRPr="00890249" w:rsidRDefault="009E245E" w:rsidP="009F296A">
      <w:pPr>
        <w:pStyle w:val="Akapitzlist"/>
        <w:numPr>
          <w:ilvl w:val="0"/>
          <w:numId w:val="51"/>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podmioty ekonomii społecznej działające na rzecz osób zagrożonych ubóstwem lub wykluczeniem społecznym.</w:t>
      </w:r>
    </w:p>
    <w:p w14:paraId="7B82C940" w14:textId="266A004F" w:rsidR="0093433C" w:rsidRPr="00890249" w:rsidRDefault="008F0A28">
      <w:pPr>
        <w:rPr>
          <w:rFonts w:asciiTheme="minorHAnsi" w:hAnsiTheme="minorHAnsi" w:cstheme="minorHAnsi"/>
          <w:lang w:eastAsia="en-US" w:bidi="ar-SA"/>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2F6F4D64" w14:textId="4B9A98EF" w:rsidR="009E245E" w:rsidRPr="00890249" w:rsidRDefault="009E245E" w:rsidP="008F0A28">
      <w:pPr>
        <w:pStyle w:val="Tekstpodstawowy"/>
        <w:rPr>
          <w:rFonts w:asciiTheme="minorHAnsi" w:hAnsiTheme="minorHAnsi" w:cstheme="minorHAnsi"/>
          <w:sz w:val="20"/>
          <w:szCs w:val="22"/>
          <w:lang w:eastAsia="en-US" w:bidi="ar-SA"/>
        </w:rPr>
      </w:pPr>
      <w:r w:rsidRPr="00890249">
        <w:rPr>
          <w:rFonts w:asciiTheme="minorHAnsi" w:hAnsiTheme="minorHAnsi" w:cstheme="minorHAnsi"/>
          <w:sz w:val="22"/>
          <w:lang w:eastAsia="en-US" w:bidi="ar-SA"/>
        </w:rPr>
        <w:t xml:space="preserve">Wsparcie będzie realizowane z poszanowaniem fundamentalnych praw człowieka określonych </w:t>
      </w:r>
      <w:r w:rsidRPr="00890249">
        <w:rPr>
          <w:rFonts w:asciiTheme="minorHAnsi" w:hAnsiTheme="minorHAnsi" w:cstheme="minorHAnsi"/>
          <w:sz w:val="22"/>
          <w:lang w:eastAsia="en-US" w:bidi="ar-SA"/>
        </w:rPr>
        <w:br/>
        <w:t xml:space="preserve">w Karcie Praw Podstawowych Unii Europejskiej, w tym m.in.: niedyskryminacją, równością kobiet </w:t>
      </w:r>
      <w:r w:rsidRPr="00890249">
        <w:rPr>
          <w:rFonts w:asciiTheme="minorHAnsi" w:hAnsiTheme="minorHAnsi" w:cstheme="minorHAnsi"/>
          <w:sz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lang w:eastAsia="en-US" w:bidi="ar-SA"/>
        </w:rPr>
        <w:br/>
        <w:t>tj. w zakresie równości szans kobiet i mężczyzn oraz niedyskryminacji, a także zrównoważonego rozwoju oraz Załącznika III do Rozporządzenia UE 2021/1060.</w:t>
      </w:r>
    </w:p>
    <w:p w14:paraId="352D92E9" w14:textId="77777777" w:rsidR="0093433C" w:rsidRPr="00890249" w:rsidRDefault="009E245E"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Zasady horyzontalne będą przestrzegane na wszystkich etapach realizacji Programu.</w:t>
      </w:r>
    </w:p>
    <w:p w14:paraId="2E603976" w14:textId="77777777" w:rsidR="0093433C" w:rsidRPr="00890249" w:rsidRDefault="009E245E"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lastRenderedPageBreak/>
        <w:t>Planowane działania na rzecz zwalczania wszelkich form dyskryminacji oraz promowania równości szans:</w:t>
      </w:r>
    </w:p>
    <w:p w14:paraId="73D84B0D" w14:textId="77777777" w:rsidR="0093433C" w:rsidRPr="00890249" w:rsidRDefault="72A6B893" w:rsidP="009F296A">
      <w:pPr>
        <w:pStyle w:val="Listapunktowana2"/>
        <w:numPr>
          <w:ilvl w:val="0"/>
          <w:numId w:val="65"/>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mające na celu zrozumienie praw i potrzeb osób zagrożonych dyskryminacją, np. osób </w:t>
      </w:r>
      <w:r w:rsidR="009E245E" w:rsidRPr="00890249">
        <w:rPr>
          <w:rFonts w:asciiTheme="minorHAnsi" w:hAnsiTheme="minorHAnsi" w:cstheme="minorHAnsi"/>
          <w:sz w:val="22"/>
        </w:rPr>
        <w:br/>
      </w:r>
      <w:r w:rsidRPr="00890249">
        <w:rPr>
          <w:rFonts w:asciiTheme="minorHAnsi" w:hAnsiTheme="minorHAnsi" w:cstheme="minorHAnsi"/>
          <w:sz w:val="22"/>
          <w:lang w:eastAsia="en-US" w:bidi="ar-SA"/>
        </w:rPr>
        <w:t>z niepełnosprawnościami,</w:t>
      </w:r>
    </w:p>
    <w:p w14:paraId="3D2A0BF8" w14:textId="77777777"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zapewniające wsparcie psychologiczno-pedagogiczne oraz pomoc prawną dla osób doświadczających przemocy,</w:t>
      </w:r>
    </w:p>
    <w:p w14:paraId="2FD526A4" w14:textId="77777777"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wsparcie inicjatyw mających na celu zwalczanie przestępstw, mowy nienawiści, przemocy </w:t>
      </w:r>
      <w:r w:rsidR="009E245E" w:rsidRPr="00890249">
        <w:rPr>
          <w:rFonts w:asciiTheme="minorHAnsi" w:hAnsiTheme="minorHAnsi" w:cstheme="minorHAnsi"/>
          <w:sz w:val="22"/>
        </w:rPr>
        <w:br/>
      </w:r>
      <w:r w:rsidRPr="00890249">
        <w:rPr>
          <w:rFonts w:asciiTheme="minorHAnsi" w:hAnsiTheme="minorHAnsi" w:cstheme="minorHAnsi"/>
          <w:sz w:val="22"/>
          <w:lang w:eastAsia="en-US" w:bidi="ar-SA"/>
        </w:rPr>
        <w:t xml:space="preserve">i szkodliwych praktyk, </w:t>
      </w:r>
    </w:p>
    <w:p w14:paraId="4A57F489" w14:textId="04E9F88C"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formułowanie kryteriów wyboru projektów wskazujących na odmowę dofinansowania dla </w:t>
      </w:r>
      <w:r w:rsidR="16965D05" w:rsidRPr="00890249">
        <w:rPr>
          <w:rFonts w:asciiTheme="minorHAnsi" w:hAnsiTheme="minorHAnsi" w:cstheme="minorHAnsi"/>
          <w:sz w:val="22"/>
          <w:lang w:eastAsia="en-US" w:bidi="ar-SA"/>
        </w:rPr>
        <w:t xml:space="preserve">beneficjenta, będącego </w:t>
      </w:r>
      <w:r w:rsidR="16965D05" w:rsidRPr="00890249">
        <w:rPr>
          <w:rFonts w:asciiTheme="minorHAnsi" w:hAnsiTheme="minorHAnsi" w:cstheme="minorHAnsi"/>
          <w:sz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458C5B74" w14:textId="77777777"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tworzenie metodologii oceny kryterium wyboru projektów zgodnych z horyzontalną zasadą niedyskryminacji, </w:t>
      </w:r>
    </w:p>
    <w:p w14:paraId="13D35405" w14:textId="77777777"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zawarcie w umowach o dofinansowanie klauzuli zakazującej jakiejkolwiek dyskryminacji </w:t>
      </w:r>
      <w:r w:rsidR="009E245E" w:rsidRPr="00890249">
        <w:rPr>
          <w:rFonts w:asciiTheme="minorHAnsi" w:hAnsiTheme="minorHAnsi" w:cstheme="minorHAnsi"/>
          <w:sz w:val="22"/>
        </w:rPr>
        <w:br/>
      </w:r>
      <w:r w:rsidRPr="00890249">
        <w:rPr>
          <w:rFonts w:asciiTheme="minorHAnsi" w:hAnsiTheme="minorHAnsi" w:cstheme="minorHAnsi"/>
          <w:sz w:val="22"/>
          <w:lang w:eastAsia="en-US" w:bidi="ar-SA"/>
        </w:rPr>
        <w:t>w korzystaniu ze wsparcia przez odbiorców ostatecznych,</w:t>
      </w:r>
    </w:p>
    <w:p w14:paraId="302EA7B8" w14:textId="77777777"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włączenie do Komitetu Monitorującego członków organizacji pozarządowych oraz reprezentantów mniejszości, w tym etnicznych, </w:t>
      </w:r>
    </w:p>
    <w:p w14:paraId="58B8FB83" w14:textId="77777777" w:rsidR="0093433C" w:rsidRPr="00890249" w:rsidRDefault="72A6B893" w:rsidP="009F296A">
      <w:pPr>
        <w:pStyle w:val="Listapunktowana2"/>
        <w:numPr>
          <w:ilvl w:val="0"/>
          <w:numId w:val="66"/>
        </w:numPr>
        <w:rPr>
          <w:rFonts w:asciiTheme="minorHAnsi" w:hAnsiTheme="minorHAnsi" w:cstheme="minorHAnsi"/>
          <w:sz w:val="22"/>
          <w:lang w:eastAsia="en-US" w:bidi="ar-SA"/>
        </w:rPr>
      </w:pPr>
      <w:r w:rsidRPr="00890249">
        <w:rPr>
          <w:rFonts w:asciiTheme="minorHAnsi" w:hAnsiTheme="minorHAnsi" w:cstheme="minorHAnsi"/>
          <w:sz w:val="22"/>
          <w:lang w:eastAsia="en-US" w:bidi="ar-SA"/>
        </w:rPr>
        <w:t>szkolenia dla pracowników IZ oraz beneficjentów.</w:t>
      </w:r>
    </w:p>
    <w:p w14:paraId="5562B120"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planownego wykorzystania narzędzi terytorialnych</w:t>
      </w:r>
    </w:p>
    <w:p w14:paraId="57F11740" w14:textId="34FCF421" w:rsidR="0093433C" w:rsidRPr="00890249" w:rsidRDefault="009E245E" w:rsidP="00890249">
      <w:pPr>
        <w:pStyle w:val="Tekstpodstawowy"/>
        <w:rPr>
          <w:rFonts w:asciiTheme="minorHAnsi" w:hAnsiTheme="minorHAnsi" w:cstheme="minorHAnsi"/>
          <w:noProof/>
          <w:sz w:val="22"/>
          <w:lang w:eastAsia="en-US" w:bidi="ar-SA"/>
        </w:rPr>
      </w:pPr>
      <w:r w:rsidRPr="00890249">
        <w:rPr>
          <w:rFonts w:asciiTheme="minorHAnsi" w:hAnsiTheme="minorHAnsi" w:cstheme="minorHAnsi"/>
          <w:noProof/>
          <w:sz w:val="22"/>
          <w:lang w:eastAsia="en-US" w:bidi="ar-SA"/>
        </w:rPr>
        <w:t xml:space="preserve">Strategia Opolskie 2030 szczególne znaczenie przypisuje obszarom strategicznej interwencji (OSI), tj. tym obszarom funkcjonalnym, które wymagają ukierunkowanej interwencji publicznej lub rozwiązań regulacyjnych, stąd w regionie wyodrębniono 5 OSI: Subregion Aglomeracja Opolska, Subregion Brzeski, Subregion Kędzierzyńsko-Strzelecki, </w:t>
      </w:r>
      <w:r w:rsidR="00203585" w:rsidRPr="00890249">
        <w:rPr>
          <w:rFonts w:asciiTheme="minorHAnsi" w:hAnsiTheme="minorHAnsi" w:cstheme="minorHAnsi"/>
          <w:noProof/>
          <w:sz w:val="22"/>
          <w:lang w:eastAsia="en-US" w:bidi="ar-SA"/>
        </w:rPr>
        <w:t xml:space="preserve">Subregion Południowy, </w:t>
      </w:r>
      <w:r w:rsidRPr="00890249">
        <w:rPr>
          <w:rFonts w:asciiTheme="minorHAnsi" w:hAnsiTheme="minorHAnsi" w:cstheme="minorHAnsi"/>
          <w:noProof/>
          <w:sz w:val="22"/>
          <w:lang w:eastAsia="en-US" w:bidi="ar-SA"/>
        </w:rPr>
        <w:t xml:space="preserve">Subregion Północny. </w:t>
      </w:r>
    </w:p>
    <w:p w14:paraId="7BA2103F" w14:textId="672E693B" w:rsidR="0093433C" w:rsidRPr="00890249" w:rsidRDefault="009E245E"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Istnieje możliwość preferencji dla mieszkańców obszarów strategicznej interwencji, tj. miast średnich tracących funkcje społeczno-gospodarcze oraz </w:t>
      </w:r>
      <w:r w:rsidR="00C51668" w:rsidRPr="00890249">
        <w:rPr>
          <w:rFonts w:asciiTheme="minorHAnsi" w:hAnsiTheme="minorHAnsi" w:cstheme="minorHAnsi"/>
          <w:noProof/>
          <w:sz w:val="22"/>
        </w:rPr>
        <w:t xml:space="preserve">obszarów </w:t>
      </w:r>
      <w:r w:rsidRPr="00890249">
        <w:rPr>
          <w:rFonts w:asciiTheme="minorHAnsi" w:hAnsiTheme="minorHAnsi" w:cstheme="minorHAnsi"/>
          <w:noProof/>
          <w:sz w:val="22"/>
        </w:rPr>
        <w:t xml:space="preserve">zagrożonych trwałą marginalizacją, zidentyfikowanych na poziomie krajowym. </w:t>
      </w:r>
    </w:p>
    <w:p w14:paraId="6E5F68DC" w14:textId="77777777" w:rsidR="0093433C" w:rsidRPr="00890249" w:rsidRDefault="009E245E" w:rsidP="00890249">
      <w:pPr>
        <w:pStyle w:val="Tekstpodstawowy"/>
        <w:rPr>
          <w:rFonts w:asciiTheme="minorHAnsi" w:hAnsiTheme="minorHAnsi" w:cstheme="minorHAnsi"/>
          <w:sz w:val="22"/>
          <w:lang w:eastAsia="en-US" w:bidi="ar-SA"/>
        </w:rPr>
      </w:pPr>
      <w:r w:rsidRPr="00890249">
        <w:rPr>
          <w:rFonts w:asciiTheme="minorHAnsi" w:hAnsiTheme="minorHAnsi" w:cstheme="minorHAnsi"/>
          <w:noProof/>
          <w:sz w:val="22"/>
          <w:lang w:eastAsia="en-US" w:bidi="ar-SA"/>
        </w:rPr>
        <w:t xml:space="preserve">Ponadto wsparcie zostanie ukierunkowane na inne tereny </w:t>
      </w:r>
      <w:r w:rsidRPr="00890249">
        <w:rPr>
          <w:rFonts w:asciiTheme="minorHAnsi" w:hAnsiTheme="minorHAnsi" w:cstheme="minorHAnsi"/>
          <w:sz w:val="22"/>
          <w:lang w:eastAsia="en-US" w:bidi="ar-SA"/>
        </w:rPr>
        <w:t>o słabym dostępie do usług publicznych takie jak obszary wiejskie, dzięki czemu nastąpi wyrównanie szans osób zamieszkujących tego typu terytoria.</w:t>
      </w:r>
    </w:p>
    <w:p w14:paraId="6A7FDBB3"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1BDB1837" w14:textId="7A87F511"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Wszystkie interwencje zaplanowane w </w:t>
      </w:r>
      <w:r w:rsidR="00C51668" w:rsidRPr="00890249">
        <w:rPr>
          <w:rFonts w:asciiTheme="minorHAnsi" w:hAnsiTheme="minorHAnsi" w:cstheme="minorHAnsi"/>
          <w:noProof/>
          <w:sz w:val="22"/>
          <w:szCs w:val="22"/>
        </w:rPr>
        <w:t>cs (l)</w:t>
      </w:r>
      <w:r w:rsidRPr="00890249">
        <w:rPr>
          <w:rFonts w:asciiTheme="minorHAnsi" w:hAnsiTheme="minorHAnsi" w:cstheme="minorHAnsi"/>
          <w:noProof/>
          <w:sz w:val="22"/>
          <w:szCs w:val="22"/>
        </w:rPr>
        <w:t xml:space="preserve"> będą przyczyniać się do poprawy jakości życia, w tym zwłaszcza osób zmarginalizowanych i zagrożonych wykluczeniem społecznym, poprzez zwiększanie dostępności do usług edukacyjnych, społecznych, zdrowotnych oraz wysokiej jakości miejsc pracy.</w:t>
      </w:r>
    </w:p>
    <w:p w14:paraId="15D05895" w14:textId="1AF378FA"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w:t>
      </w:r>
      <w:r w:rsidR="00A40EEE" w:rsidRPr="00890249">
        <w:rPr>
          <w:rFonts w:asciiTheme="minorHAnsi" w:hAnsiTheme="minorHAnsi" w:cstheme="minorHAnsi"/>
          <w:noProof/>
          <w:sz w:val="22"/>
          <w:szCs w:val="22"/>
        </w:rPr>
        <w:t xml:space="preserve"> z</w:t>
      </w:r>
      <w:r w:rsidRPr="00890249">
        <w:rPr>
          <w:rFonts w:asciiTheme="minorHAnsi" w:hAnsiTheme="minorHAnsi" w:cstheme="minorHAnsi"/>
          <w:noProof/>
          <w:sz w:val="22"/>
          <w:szCs w:val="22"/>
        </w:rPr>
        <w:t xml:space="preserve"> interwencj</w:t>
      </w:r>
      <w:r w:rsidR="00A40EEE"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wskazan</w:t>
      </w:r>
      <w:r w:rsidR="00A40EEE"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 programach współpracy transgranicznej Interreg Czechy-Polska 2021-2027 oraz Interreg Region Morza Bałtyckiego 2021-2027.</w:t>
      </w:r>
    </w:p>
    <w:p w14:paraId="4662ED3A" w14:textId="3786768F"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 punktu widzenia wsparcia dzieci i młodzieży działania zaplanowane w FEO 2021-2027 będą uzupełniać się</w:t>
      </w:r>
      <w:r w:rsidR="00A40EEE" w:rsidRPr="00890249">
        <w:rPr>
          <w:rFonts w:asciiTheme="minorHAnsi" w:hAnsiTheme="minorHAnsi" w:cstheme="minorHAnsi"/>
          <w:noProof/>
          <w:sz w:val="22"/>
          <w:szCs w:val="22"/>
        </w:rPr>
        <w:t xml:space="preserve"> z </w:t>
      </w:r>
      <w:r w:rsidRPr="00890249">
        <w:rPr>
          <w:rFonts w:asciiTheme="minorHAnsi" w:hAnsiTheme="minorHAnsi" w:cstheme="minorHAnsi"/>
          <w:noProof/>
          <w:sz w:val="22"/>
          <w:szCs w:val="22"/>
        </w:rPr>
        <w:t>interwenc</w:t>
      </w:r>
      <w:r w:rsidR="00A40EEE" w:rsidRPr="00890249">
        <w:rPr>
          <w:rFonts w:asciiTheme="minorHAnsi" w:hAnsiTheme="minorHAnsi" w:cstheme="minorHAnsi"/>
          <w:noProof/>
          <w:sz w:val="22"/>
          <w:szCs w:val="22"/>
        </w:rPr>
        <w:t xml:space="preserve">ją </w:t>
      </w:r>
      <w:r w:rsidRPr="00890249">
        <w:rPr>
          <w:rFonts w:asciiTheme="minorHAnsi" w:hAnsiTheme="minorHAnsi" w:cstheme="minorHAnsi"/>
          <w:noProof/>
          <w:sz w:val="22"/>
          <w:szCs w:val="22"/>
        </w:rPr>
        <w:t>wskazan</w:t>
      </w:r>
      <w:r w:rsidR="00A40EEE"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 programie Erasmus+, którego celami są m.in.:</w:t>
      </w:r>
    </w:p>
    <w:p w14:paraId="43DEF66C" w14:textId="534F9AD3" w:rsidR="0093433C" w:rsidRPr="00890249" w:rsidRDefault="008915F3" w:rsidP="00890249">
      <w:pPr>
        <w:pStyle w:val="Tekstpodstawowyzwciciem2"/>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lastRenderedPageBreak/>
        <w:t>−</w:t>
      </w:r>
      <w:r w:rsidRPr="00890249">
        <w:rPr>
          <w:rFonts w:asciiTheme="minorHAnsi" w:hAnsiTheme="minorHAnsi" w:cstheme="minorHAnsi"/>
          <w:noProof/>
          <w:sz w:val="22"/>
          <w:szCs w:val="22"/>
        </w:rPr>
        <w:tab/>
        <w:t>promowanie mobilności edukacyjnej osób i grup, jak również wspó</w:t>
      </w:r>
      <w:r w:rsidR="008647C2">
        <w:rPr>
          <w:rFonts w:asciiTheme="minorHAnsi" w:hAnsiTheme="minorHAnsi" w:cstheme="minorHAnsi"/>
          <w:noProof/>
          <w:sz w:val="22"/>
          <w:szCs w:val="22"/>
        </w:rPr>
        <w:t>łpracy, włączenia społecznego i </w:t>
      </w:r>
      <w:r w:rsidRPr="00890249">
        <w:rPr>
          <w:rFonts w:asciiTheme="minorHAnsi" w:hAnsiTheme="minorHAnsi" w:cstheme="minorHAnsi"/>
          <w:noProof/>
          <w:sz w:val="22"/>
          <w:szCs w:val="22"/>
        </w:rPr>
        <w:t>równego dostępu, doskonałości, kreatywności i innowacji na sz</w:t>
      </w:r>
      <w:r w:rsidR="008647C2">
        <w:rPr>
          <w:rFonts w:asciiTheme="minorHAnsi" w:hAnsiTheme="minorHAnsi" w:cstheme="minorHAnsi"/>
          <w:noProof/>
          <w:sz w:val="22"/>
          <w:szCs w:val="22"/>
        </w:rPr>
        <w:t>czeblu organizacji i polityki w </w:t>
      </w:r>
      <w:r w:rsidRPr="00890249">
        <w:rPr>
          <w:rFonts w:asciiTheme="minorHAnsi" w:hAnsiTheme="minorHAnsi" w:cstheme="minorHAnsi"/>
          <w:noProof/>
          <w:sz w:val="22"/>
          <w:szCs w:val="22"/>
        </w:rPr>
        <w:t xml:space="preserve">dziedzinie kształcenia i szkolenia; </w:t>
      </w:r>
    </w:p>
    <w:p w14:paraId="49CF7A93" w14:textId="75C53D72" w:rsidR="008915F3" w:rsidRPr="00890249" w:rsidRDefault="00875C92" w:rsidP="009F296A">
      <w:pPr>
        <w:pStyle w:val="Akapitzlist"/>
        <w:numPr>
          <w:ilvl w:val="0"/>
          <w:numId w:val="119"/>
        </w:num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promowanie pozaformalnej i nieformalnej mobilności edukacyjnej i aktywnego uczestnictwa wśród osób młodych, jak również współpracy, jakości, włączenia, kreatywności i innowacji na szczeblu organizacji i polityki w dziedzinie młodzieży</w:t>
      </w:r>
      <w:r w:rsidR="00D76A1B" w:rsidRPr="00890249">
        <w:rPr>
          <w:rFonts w:asciiTheme="minorHAnsi" w:hAnsiTheme="minorHAnsi" w:cstheme="minorHAnsi"/>
          <w:noProof/>
          <w:sz w:val="22"/>
          <w:szCs w:val="22"/>
        </w:rPr>
        <w:t xml:space="preserve"> </w:t>
      </w:r>
      <w:r w:rsidR="00A40EEE" w:rsidRPr="00890249">
        <w:rPr>
          <w:rFonts w:asciiTheme="minorHAnsi" w:hAnsiTheme="minorHAnsi" w:cstheme="minorHAnsi"/>
          <w:noProof/>
          <w:sz w:val="22"/>
          <w:szCs w:val="22"/>
        </w:rPr>
        <w:t>tworząc tym samym efekt synerii.</w:t>
      </w:r>
    </w:p>
    <w:p w14:paraId="3120F249" w14:textId="77777777"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Program ten, podobnie jak FEO 2021-2027 wskazuje na liczne bariery dzieci i młodzieży w dostępie do edukacji i innych aktywności w tym takie jak:</w:t>
      </w:r>
    </w:p>
    <w:p w14:paraId="4B0F63F9" w14:textId="77777777" w:rsidR="008915F3" w:rsidRPr="00890249" w:rsidRDefault="008915F3" w:rsidP="008915F3">
      <w:p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 xml:space="preserve">ograniczone kompetencje społeczne, </w:t>
      </w:r>
    </w:p>
    <w:p w14:paraId="287B1336" w14:textId="77777777" w:rsidR="008915F3" w:rsidRPr="00890249" w:rsidRDefault="008915F3" w:rsidP="008915F3">
      <w:p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 xml:space="preserve">zachowania antyspołeczne lub wysokiego ryzyka, </w:t>
      </w:r>
    </w:p>
    <w:p w14:paraId="149CCA99" w14:textId="77777777" w:rsidR="008915F3" w:rsidRPr="00890249" w:rsidRDefault="008915F3" w:rsidP="008915F3">
      <w:p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nadużywanie środków odurzających lub alkoholu,</w:t>
      </w:r>
    </w:p>
    <w:p w14:paraId="5E150A19" w14:textId="77777777" w:rsidR="008915F3" w:rsidRPr="00890249" w:rsidRDefault="008915F3" w:rsidP="008915F3">
      <w:p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marginalizacja społeczna,</w:t>
      </w:r>
    </w:p>
    <w:p w14:paraId="68315BF6" w14:textId="77777777" w:rsidR="008915F3" w:rsidRPr="00890249" w:rsidRDefault="008915F3" w:rsidP="008915F3">
      <w:pPr>
        <w:ind w:left="284" w:hanging="284"/>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sieroctwo lub przebywanie w przeszłości / obecnie w placówce opiekuńczej.</w:t>
      </w:r>
    </w:p>
    <w:p w14:paraId="12695491" w14:textId="77777777" w:rsidR="008F0A28" w:rsidRPr="00890249" w:rsidRDefault="008F0A28" w:rsidP="008F0A28">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15C95071" w14:textId="77777777" w:rsidR="0093433C" w:rsidRPr="00890249" w:rsidRDefault="00E03E5F" w:rsidP="00890249">
      <w:pPr>
        <w:pStyle w:val="Nagwek7"/>
        <w:rPr>
          <w:rFonts w:asciiTheme="minorHAnsi" w:hAnsiTheme="minorHAnsi" w:cstheme="minorHAnsi"/>
          <w:noProof/>
        </w:rPr>
      </w:pPr>
      <w:r w:rsidRPr="00890249">
        <w:rPr>
          <w:rFonts w:asciiTheme="minorHAnsi" w:eastAsia="Calibri" w:hAnsiTheme="minorHAnsi" w:cstheme="minorHAnsi"/>
          <w:i w:val="0"/>
          <w:iCs w:val="0"/>
          <w:color w:val="auto"/>
          <w:sz w:val="22"/>
          <w:szCs w:val="22"/>
        </w:rPr>
        <w:t>W ramach celu szczegółowego (l) nie planuje się wykorzystania instrumentów finansowych</w:t>
      </w:r>
      <w:r w:rsidRPr="00890249">
        <w:rPr>
          <w:rFonts w:asciiTheme="minorHAnsi" w:hAnsiTheme="minorHAnsi" w:cstheme="minorHAnsi"/>
          <w:noProof/>
        </w:rPr>
        <w:t>.</w:t>
      </w:r>
    </w:p>
    <w:p w14:paraId="1106C6FD" w14:textId="048A1DE4" w:rsidR="0093433C" w:rsidRDefault="00875C92"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rPr>
        <w:t xml:space="preserve">Planowane przedsięwzięcia dotyczą usług społecznych dla osób zagrożonych ubóstwem lub wykluczeniem społecznym, w tym m.in. dzieci w pieczy zastępczej i osób bezdomnych. Beneficjentami w tym przypadku będą przede wszystkim JST i organizacje pozarządowe. </w:t>
      </w:r>
      <w:r w:rsidR="00E03E5F" w:rsidRPr="00890249">
        <w:rPr>
          <w:rFonts w:asciiTheme="minorHAnsi" w:hAnsiTheme="minorHAnsi" w:cstheme="minorHAnsi"/>
          <w:noProof/>
          <w:sz w:val="22"/>
          <w:szCs w:val="22"/>
        </w:rPr>
        <w:t>W tym cs nie będą realizowane przedsięwzięcia prowadzone dla zysku, samofinansujące się.</w:t>
      </w:r>
    </w:p>
    <w:p w14:paraId="116C32AA" w14:textId="77777777" w:rsidR="00F1438D" w:rsidRPr="00F1438D" w:rsidRDefault="00F1438D" w:rsidP="00890249">
      <w:pPr>
        <w:pStyle w:val="Tekstpodstawowy"/>
        <w:rPr>
          <w:rFonts w:asciiTheme="minorHAnsi" w:hAnsiTheme="minorHAnsi" w:cstheme="minorHAnsi"/>
          <w:noProof/>
          <w:sz w:val="22"/>
          <w:szCs w:val="22"/>
        </w:rPr>
      </w:pPr>
    </w:p>
    <w:p w14:paraId="24C79199" w14:textId="77777777" w:rsidR="008F0A28" w:rsidRPr="00890249" w:rsidRDefault="008F0A28" w:rsidP="008F0A2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2.1.6.4.2 (l)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754"/>
        <w:gridCol w:w="693"/>
        <w:gridCol w:w="1009"/>
        <w:gridCol w:w="830"/>
        <w:gridCol w:w="2213"/>
        <w:gridCol w:w="830"/>
        <w:gridCol w:w="1106"/>
        <w:gridCol w:w="1067"/>
      </w:tblGrid>
      <w:tr w:rsidR="009E245E" w:rsidRPr="00890249" w14:paraId="06CBCFB1" w14:textId="77777777" w:rsidTr="009E245E">
        <w:trPr>
          <w:trHeight w:val="425"/>
        </w:trPr>
        <w:tc>
          <w:tcPr>
            <w:tcW w:w="5000" w:type="pct"/>
            <w:gridSpan w:val="9"/>
            <w:shd w:val="clear" w:color="auto" w:fill="D9D9D9" w:themeFill="background1" w:themeFillShade="D9"/>
            <w:vAlign w:val="center"/>
          </w:tcPr>
          <w:p w14:paraId="2729B9DB" w14:textId="77777777" w:rsidR="009E245E" w:rsidRPr="00890249" w:rsidRDefault="009E245E" w:rsidP="009E245E">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9E245E" w:rsidRPr="00890249" w14:paraId="2D189E4E" w14:textId="77777777" w:rsidTr="008647C2">
        <w:trPr>
          <w:cantSplit/>
          <w:trHeight w:val="1647"/>
        </w:trPr>
        <w:tc>
          <w:tcPr>
            <w:tcW w:w="289" w:type="pct"/>
            <w:shd w:val="clear" w:color="auto" w:fill="F2F2F2" w:themeFill="background1" w:themeFillShade="F2"/>
            <w:textDirection w:val="btLr"/>
            <w:vAlign w:val="center"/>
          </w:tcPr>
          <w:p w14:paraId="53EB7791"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8" w:type="pct"/>
            <w:shd w:val="clear" w:color="auto" w:fill="F2F2F2" w:themeFill="background1" w:themeFillShade="F2"/>
            <w:textDirection w:val="btLr"/>
            <w:vAlign w:val="center"/>
          </w:tcPr>
          <w:p w14:paraId="0B56CD58"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1C107061"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3DB3F0B0"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3B25534C"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21F96FC4"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79416DEB"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5E22C7A8"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2" w:type="pct"/>
            <w:shd w:val="clear" w:color="auto" w:fill="F2F2F2" w:themeFill="background1" w:themeFillShade="F2"/>
            <w:textDirection w:val="btLr"/>
            <w:vAlign w:val="center"/>
          </w:tcPr>
          <w:p w14:paraId="77525876" w14:textId="77777777" w:rsidR="009E245E" w:rsidRPr="00890249" w:rsidRDefault="009E245E" w:rsidP="009E245E">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9E245E" w:rsidRPr="00890249" w14:paraId="36E6A9D2" w14:textId="77777777" w:rsidTr="008647C2">
        <w:trPr>
          <w:trHeight w:val="332"/>
        </w:trPr>
        <w:tc>
          <w:tcPr>
            <w:tcW w:w="289" w:type="pct"/>
            <w:vAlign w:val="center"/>
          </w:tcPr>
          <w:p w14:paraId="247DDE7E" w14:textId="77777777" w:rsidR="009E245E" w:rsidRPr="00890249" w:rsidRDefault="009E245E" w:rsidP="009E245E">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8" w:type="pct"/>
            <w:vAlign w:val="center"/>
          </w:tcPr>
          <w:p w14:paraId="0BCD5E8B" w14:textId="77777777" w:rsidR="009E245E" w:rsidRPr="00890249" w:rsidRDefault="009E245E" w:rsidP="009E24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4.l</w:t>
            </w:r>
          </w:p>
        </w:tc>
        <w:tc>
          <w:tcPr>
            <w:tcW w:w="384" w:type="pct"/>
            <w:vAlign w:val="center"/>
          </w:tcPr>
          <w:p w14:paraId="60B0BB02" w14:textId="77777777" w:rsidR="009E245E" w:rsidRPr="00890249" w:rsidRDefault="009E245E" w:rsidP="009E24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770324A0" w14:textId="77777777" w:rsidR="009E245E" w:rsidRPr="00890249" w:rsidRDefault="009E245E" w:rsidP="009E245E">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vAlign w:val="center"/>
          </w:tcPr>
          <w:p w14:paraId="4EA0F35A" w14:textId="77777777" w:rsidR="009E245E" w:rsidRPr="00890249" w:rsidRDefault="009E245E" w:rsidP="009E245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EECO01</w:t>
            </w:r>
          </w:p>
        </w:tc>
        <w:tc>
          <w:tcPr>
            <w:tcW w:w="1226" w:type="pct"/>
            <w:shd w:val="clear" w:color="auto" w:fill="auto"/>
            <w:vAlign w:val="center"/>
          </w:tcPr>
          <w:p w14:paraId="0FA4ACD3" w14:textId="77777777" w:rsidR="009E245E" w:rsidRPr="00890249" w:rsidRDefault="009E245E" w:rsidP="009E245E">
            <w:pPr>
              <w:jc w:val="left"/>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 xml:space="preserve">Całkowita liczba osób objętych wsparciem </w:t>
            </w:r>
          </w:p>
        </w:tc>
        <w:tc>
          <w:tcPr>
            <w:tcW w:w="460" w:type="pct"/>
            <w:vAlign w:val="center"/>
          </w:tcPr>
          <w:p w14:paraId="3B86C80F" w14:textId="77777777" w:rsidR="009E245E" w:rsidRPr="00890249" w:rsidRDefault="009E245E" w:rsidP="009E24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os.</w:t>
            </w:r>
          </w:p>
        </w:tc>
        <w:tc>
          <w:tcPr>
            <w:tcW w:w="613" w:type="pct"/>
            <w:shd w:val="clear" w:color="auto" w:fill="auto"/>
            <w:vAlign w:val="center"/>
          </w:tcPr>
          <w:p w14:paraId="3CB5C423" w14:textId="5A1E4ABD" w:rsidR="009E245E" w:rsidRPr="00890249" w:rsidRDefault="00570968" w:rsidP="009E245E">
            <w:pPr>
              <w:jc w:val="center"/>
              <w:rPr>
                <w:rFonts w:asciiTheme="minorHAnsi" w:hAnsiTheme="minorHAnsi" w:cstheme="minorHAnsi"/>
                <w:noProof/>
                <w:sz w:val="18"/>
                <w:szCs w:val="16"/>
              </w:rPr>
            </w:pPr>
            <w:r w:rsidRPr="00890249">
              <w:rPr>
                <w:rFonts w:asciiTheme="minorHAnsi" w:hAnsiTheme="minorHAnsi" w:cstheme="minorHAnsi"/>
                <w:noProof/>
                <w:sz w:val="18"/>
                <w:szCs w:val="16"/>
              </w:rPr>
              <w:t>268</w:t>
            </w:r>
          </w:p>
        </w:tc>
        <w:tc>
          <w:tcPr>
            <w:tcW w:w="592" w:type="pct"/>
            <w:shd w:val="clear" w:color="auto" w:fill="auto"/>
            <w:vAlign w:val="center"/>
          </w:tcPr>
          <w:p w14:paraId="243240A4" w14:textId="118ABE49" w:rsidR="009E245E" w:rsidRPr="00890249" w:rsidRDefault="002B2037" w:rsidP="009E245E">
            <w:pPr>
              <w:jc w:val="center"/>
              <w:rPr>
                <w:rFonts w:asciiTheme="minorHAnsi" w:hAnsiTheme="minorHAnsi" w:cstheme="minorHAnsi"/>
                <w:noProof/>
                <w:sz w:val="18"/>
                <w:szCs w:val="16"/>
              </w:rPr>
            </w:pPr>
            <w:r>
              <w:rPr>
                <w:rFonts w:asciiTheme="minorHAnsi" w:hAnsiTheme="minorHAnsi" w:cstheme="minorHAnsi"/>
                <w:noProof/>
                <w:sz w:val="18"/>
                <w:szCs w:val="16"/>
              </w:rPr>
              <w:t>5 933</w:t>
            </w:r>
          </w:p>
        </w:tc>
      </w:tr>
      <w:tr w:rsidR="009E245E" w:rsidRPr="00890249" w14:paraId="41CB66B4" w14:textId="77777777" w:rsidTr="008647C2">
        <w:trPr>
          <w:trHeight w:val="332"/>
        </w:trPr>
        <w:tc>
          <w:tcPr>
            <w:tcW w:w="289" w:type="pct"/>
            <w:vAlign w:val="center"/>
          </w:tcPr>
          <w:p w14:paraId="4A0DB9C0" w14:textId="77777777" w:rsidR="009E245E" w:rsidRPr="00890249" w:rsidRDefault="009E245E" w:rsidP="009E245E">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8" w:type="pct"/>
            <w:vAlign w:val="center"/>
          </w:tcPr>
          <w:p w14:paraId="0B9BDA23" w14:textId="77777777" w:rsidR="009E245E" w:rsidRPr="00890249" w:rsidRDefault="009E245E" w:rsidP="009E24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4.l</w:t>
            </w:r>
          </w:p>
        </w:tc>
        <w:tc>
          <w:tcPr>
            <w:tcW w:w="384" w:type="pct"/>
            <w:vAlign w:val="center"/>
          </w:tcPr>
          <w:p w14:paraId="750C2CF4" w14:textId="77777777" w:rsidR="009E245E" w:rsidRPr="00890249" w:rsidRDefault="009E245E" w:rsidP="009E24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6F258E57" w14:textId="77777777" w:rsidR="009E245E" w:rsidRPr="00890249" w:rsidRDefault="009E245E" w:rsidP="009E245E">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60" w:type="pct"/>
            <w:vAlign w:val="center"/>
          </w:tcPr>
          <w:p w14:paraId="0ED289A2" w14:textId="77777777" w:rsidR="009E245E" w:rsidRPr="00890249" w:rsidRDefault="009E245E" w:rsidP="009E245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PLLCO01</w:t>
            </w:r>
          </w:p>
        </w:tc>
        <w:tc>
          <w:tcPr>
            <w:tcW w:w="1226" w:type="pct"/>
            <w:shd w:val="clear" w:color="auto" w:fill="auto"/>
            <w:vAlign w:val="center"/>
          </w:tcPr>
          <w:p w14:paraId="3DF6C03A" w14:textId="77777777" w:rsidR="009E245E" w:rsidRPr="00890249" w:rsidRDefault="009E245E" w:rsidP="009E245E">
            <w:pPr>
              <w:jc w:val="left"/>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Liczba osób objętych usługami w zakresie wspierania rodziny i pieczy zastępczej</w:t>
            </w:r>
          </w:p>
        </w:tc>
        <w:tc>
          <w:tcPr>
            <w:tcW w:w="460" w:type="pct"/>
            <w:vAlign w:val="center"/>
          </w:tcPr>
          <w:p w14:paraId="3E3949A3" w14:textId="77777777" w:rsidR="009E245E" w:rsidRPr="00890249" w:rsidRDefault="009E245E" w:rsidP="009E24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os.</w:t>
            </w:r>
          </w:p>
        </w:tc>
        <w:tc>
          <w:tcPr>
            <w:tcW w:w="613" w:type="pct"/>
            <w:shd w:val="clear" w:color="auto" w:fill="auto"/>
            <w:vAlign w:val="center"/>
          </w:tcPr>
          <w:p w14:paraId="36CAC084" w14:textId="77777777" w:rsidR="009E245E" w:rsidRPr="00890249" w:rsidRDefault="009E245E" w:rsidP="009E245E">
            <w:pPr>
              <w:jc w:val="center"/>
              <w:rPr>
                <w:rFonts w:asciiTheme="minorHAnsi" w:hAnsiTheme="minorHAnsi" w:cstheme="minorHAnsi"/>
                <w:noProof/>
                <w:sz w:val="18"/>
                <w:szCs w:val="16"/>
              </w:rPr>
            </w:pPr>
            <w:r w:rsidRPr="00890249">
              <w:rPr>
                <w:rFonts w:asciiTheme="minorHAnsi" w:hAnsiTheme="minorHAnsi" w:cstheme="minorHAnsi"/>
                <w:noProof/>
                <w:sz w:val="18"/>
                <w:szCs w:val="16"/>
              </w:rPr>
              <w:t>180</w:t>
            </w:r>
          </w:p>
        </w:tc>
        <w:tc>
          <w:tcPr>
            <w:tcW w:w="592" w:type="pct"/>
            <w:shd w:val="clear" w:color="auto" w:fill="auto"/>
            <w:vAlign w:val="center"/>
          </w:tcPr>
          <w:p w14:paraId="1B485AAD" w14:textId="77777777" w:rsidR="009E245E" w:rsidRPr="00890249" w:rsidRDefault="009E245E" w:rsidP="009E245E">
            <w:pPr>
              <w:jc w:val="center"/>
              <w:rPr>
                <w:rFonts w:asciiTheme="minorHAnsi" w:hAnsiTheme="minorHAnsi" w:cstheme="minorHAnsi"/>
                <w:noProof/>
                <w:sz w:val="18"/>
                <w:szCs w:val="16"/>
              </w:rPr>
            </w:pPr>
            <w:r w:rsidRPr="00890249">
              <w:rPr>
                <w:rFonts w:asciiTheme="minorHAnsi" w:hAnsiTheme="minorHAnsi" w:cstheme="minorHAnsi"/>
                <w:noProof/>
                <w:sz w:val="18"/>
                <w:szCs w:val="16"/>
              </w:rPr>
              <w:t>5 320</w:t>
            </w:r>
          </w:p>
        </w:tc>
      </w:tr>
    </w:tbl>
    <w:p w14:paraId="332FE8A6" w14:textId="6CEEEDF8" w:rsidR="008647C2" w:rsidRDefault="008647C2" w:rsidP="009E245E">
      <w:pPr>
        <w:spacing w:before="0" w:after="0"/>
        <w:rPr>
          <w:rFonts w:asciiTheme="minorHAnsi" w:hAnsiTheme="minorHAnsi" w:cstheme="minorHAnsi"/>
          <w:b/>
          <w:noProof/>
          <w:sz w:val="22"/>
          <w:szCs w:val="22"/>
        </w:rPr>
      </w:pPr>
    </w:p>
    <w:p w14:paraId="3114257D" w14:textId="7EE05BE0" w:rsidR="009E245E" w:rsidRPr="00890249" w:rsidRDefault="008647C2" w:rsidP="00F1438D">
      <w:pPr>
        <w:spacing w:before="0" w:after="160" w:line="259" w:lineRule="auto"/>
        <w:jc w:val="left"/>
        <w:rPr>
          <w:rFonts w:asciiTheme="minorHAnsi" w:hAnsiTheme="minorHAnsi" w:cstheme="minorHAnsi"/>
          <w:b/>
          <w:noProof/>
          <w:sz w:val="22"/>
          <w:szCs w:val="22"/>
        </w:rPr>
      </w:pPr>
      <w:r>
        <w:rPr>
          <w:rFonts w:asciiTheme="minorHAnsi" w:hAnsiTheme="minorHAnsi" w:cstheme="minorHAnsi"/>
          <w:b/>
          <w:noProof/>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692"/>
        <w:gridCol w:w="756"/>
        <w:gridCol w:w="1008"/>
        <w:gridCol w:w="774"/>
        <w:gridCol w:w="1383"/>
        <w:gridCol w:w="830"/>
        <w:gridCol w:w="692"/>
        <w:gridCol w:w="596"/>
        <w:gridCol w:w="562"/>
        <w:gridCol w:w="605"/>
        <w:gridCol w:w="643"/>
      </w:tblGrid>
      <w:tr w:rsidR="009E245E" w:rsidRPr="00890249" w14:paraId="36F4E660" w14:textId="77777777" w:rsidTr="009E245E">
        <w:trPr>
          <w:trHeight w:val="480"/>
        </w:trPr>
        <w:tc>
          <w:tcPr>
            <w:tcW w:w="5000" w:type="pct"/>
            <w:gridSpan w:val="12"/>
            <w:shd w:val="clear" w:color="auto" w:fill="D9D9D9" w:themeFill="background1" w:themeFillShade="D9"/>
          </w:tcPr>
          <w:p w14:paraId="4FFCF94D" w14:textId="77777777" w:rsidR="009E245E" w:rsidRPr="00890249" w:rsidRDefault="009E245E" w:rsidP="009E245E">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E30F29" w:rsidRPr="00890249" w14:paraId="15DDBBC9" w14:textId="77777777" w:rsidTr="004B24C6">
        <w:trPr>
          <w:cantSplit/>
          <w:trHeight w:val="1768"/>
        </w:trPr>
        <w:tc>
          <w:tcPr>
            <w:tcW w:w="287" w:type="pct"/>
            <w:shd w:val="clear" w:color="auto" w:fill="F2F2F2" w:themeFill="background1" w:themeFillShade="F2"/>
            <w:textDirection w:val="btLr"/>
            <w:vAlign w:val="center"/>
          </w:tcPr>
          <w:p w14:paraId="6C36BDD3"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382" w:type="pct"/>
            <w:shd w:val="clear" w:color="auto" w:fill="F2F2F2" w:themeFill="background1" w:themeFillShade="F2"/>
            <w:textDirection w:val="btLr"/>
            <w:vAlign w:val="center"/>
          </w:tcPr>
          <w:p w14:paraId="0B1D3666"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416" w:type="pct"/>
            <w:shd w:val="clear" w:color="auto" w:fill="F2F2F2" w:themeFill="background1" w:themeFillShade="F2"/>
            <w:textDirection w:val="btLr"/>
            <w:vAlign w:val="center"/>
          </w:tcPr>
          <w:p w14:paraId="7ABCAC83"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6" w:type="pct"/>
            <w:shd w:val="clear" w:color="auto" w:fill="F2F2F2" w:themeFill="background1" w:themeFillShade="F2"/>
            <w:textDirection w:val="btLr"/>
            <w:vAlign w:val="center"/>
          </w:tcPr>
          <w:p w14:paraId="3333060A"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7" w:type="pct"/>
            <w:shd w:val="clear" w:color="auto" w:fill="F2F2F2" w:themeFill="background1" w:themeFillShade="F2"/>
            <w:textDirection w:val="btLr"/>
            <w:vAlign w:val="center"/>
          </w:tcPr>
          <w:p w14:paraId="477B8F90"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3" w:type="pct"/>
            <w:shd w:val="clear" w:color="auto" w:fill="F2F2F2" w:themeFill="background1" w:themeFillShade="F2"/>
            <w:textDirection w:val="btLr"/>
            <w:vAlign w:val="center"/>
          </w:tcPr>
          <w:p w14:paraId="6A3F70A9"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8" w:type="pct"/>
            <w:shd w:val="clear" w:color="auto" w:fill="F2F2F2" w:themeFill="background1" w:themeFillShade="F2"/>
            <w:textDirection w:val="btLr"/>
            <w:vAlign w:val="center"/>
          </w:tcPr>
          <w:p w14:paraId="1ED1EC12"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765A3EDC"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9" w:type="pct"/>
            <w:shd w:val="clear" w:color="auto" w:fill="F2F2F2" w:themeFill="background1" w:themeFillShade="F2"/>
            <w:textDirection w:val="btLr"/>
            <w:vAlign w:val="center"/>
          </w:tcPr>
          <w:p w14:paraId="7F2A7355"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0" w:type="pct"/>
            <w:shd w:val="clear" w:color="auto" w:fill="F2F2F2" w:themeFill="background1" w:themeFillShade="F2"/>
            <w:textDirection w:val="btLr"/>
            <w:vAlign w:val="center"/>
          </w:tcPr>
          <w:p w14:paraId="1A9775FF"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3F9683B0" w14:textId="77777777" w:rsidR="009E245E" w:rsidRPr="00890249" w:rsidRDefault="009E245E" w:rsidP="009E245E">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56" w:type="pct"/>
            <w:shd w:val="clear" w:color="auto" w:fill="F2F2F2" w:themeFill="background1" w:themeFillShade="F2"/>
            <w:textDirection w:val="btLr"/>
            <w:vAlign w:val="center"/>
          </w:tcPr>
          <w:p w14:paraId="0C46DECB" w14:textId="77777777" w:rsidR="009E245E" w:rsidRPr="00890249" w:rsidRDefault="009E245E" w:rsidP="009E245E">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9E245E" w:rsidRPr="00890249" w14:paraId="33A038C7" w14:textId="77777777" w:rsidTr="00890249">
        <w:trPr>
          <w:trHeight w:val="434"/>
        </w:trPr>
        <w:tc>
          <w:tcPr>
            <w:tcW w:w="287" w:type="pct"/>
            <w:vAlign w:val="center"/>
          </w:tcPr>
          <w:p w14:paraId="7679BDAC" w14:textId="77777777" w:rsidR="009E245E" w:rsidRPr="00890249" w:rsidRDefault="009E245E" w:rsidP="009E24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381" w:type="pct"/>
            <w:vAlign w:val="center"/>
          </w:tcPr>
          <w:p w14:paraId="376E5D68" w14:textId="77777777" w:rsidR="009E245E" w:rsidRPr="00890249" w:rsidRDefault="009E245E" w:rsidP="009E24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4.l</w:t>
            </w:r>
          </w:p>
        </w:tc>
        <w:tc>
          <w:tcPr>
            <w:tcW w:w="417" w:type="pct"/>
            <w:vAlign w:val="center"/>
          </w:tcPr>
          <w:p w14:paraId="2002243E" w14:textId="77777777" w:rsidR="009E245E" w:rsidRPr="00890249" w:rsidRDefault="009E245E" w:rsidP="009E24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6" w:type="pct"/>
            <w:vAlign w:val="center"/>
          </w:tcPr>
          <w:p w14:paraId="0D35209D" w14:textId="77777777" w:rsidR="009E245E" w:rsidRPr="00890249" w:rsidRDefault="009E245E" w:rsidP="009E245E">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7" w:type="pct"/>
            <w:vAlign w:val="center"/>
          </w:tcPr>
          <w:p w14:paraId="4A30E274" w14:textId="77777777" w:rsidR="009E245E" w:rsidRPr="00890249" w:rsidRDefault="009E245E" w:rsidP="009E24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PLHILCR01</w:t>
            </w:r>
          </w:p>
        </w:tc>
        <w:tc>
          <w:tcPr>
            <w:tcW w:w="763" w:type="pct"/>
            <w:shd w:val="clear" w:color="auto" w:fill="auto"/>
            <w:vAlign w:val="center"/>
          </w:tcPr>
          <w:p w14:paraId="506C578D" w14:textId="77777777" w:rsidR="009E245E" w:rsidRPr="00890249" w:rsidRDefault="009E245E" w:rsidP="009E245E">
            <w:pPr>
              <w:spacing w:before="60"/>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Liczba osób, których sytuacja społeczna uległa poprawie po opuszczeniu programu</w:t>
            </w:r>
          </w:p>
        </w:tc>
        <w:tc>
          <w:tcPr>
            <w:tcW w:w="458" w:type="pct"/>
            <w:vAlign w:val="center"/>
          </w:tcPr>
          <w:p w14:paraId="6767AD23" w14:textId="6CD5B5D7" w:rsidR="009E245E" w:rsidRPr="00890249" w:rsidRDefault="0009187B" w:rsidP="009E24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osoby</w:t>
            </w:r>
          </w:p>
        </w:tc>
        <w:tc>
          <w:tcPr>
            <w:tcW w:w="382" w:type="pct"/>
            <w:vAlign w:val="center"/>
          </w:tcPr>
          <w:p w14:paraId="0F6A0DA8" w14:textId="5DADD80A" w:rsidR="009E245E" w:rsidRPr="002E6B49" w:rsidRDefault="00F102EC" w:rsidP="009E245E">
            <w:pPr>
              <w:jc w:val="center"/>
              <w:rPr>
                <w:rFonts w:asciiTheme="minorHAnsi" w:hAnsiTheme="minorHAnsi" w:cstheme="minorHAnsi"/>
                <w:i/>
                <w:noProof/>
                <w:sz w:val="18"/>
                <w:szCs w:val="16"/>
                <w:lang w:eastAsia="en-US" w:bidi="ar-SA"/>
              </w:rPr>
            </w:pPr>
            <w:r w:rsidRPr="002E6B49">
              <w:rPr>
                <w:rFonts w:asciiTheme="minorHAnsi" w:hAnsiTheme="minorHAnsi" w:cstheme="minorHAnsi"/>
                <w:i/>
                <w:noProof/>
                <w:sz w:val="18"/>
                <w:szCs w:val="16"/>
                <w:lang w:eastAsia="en-US" w:bidi="ar-SA"/>
              </w:rPr>
              <w:t>2 070</w:t>
            </w:r>
          </w:p>
        </w:tc>
        <w:tc>
          <w:tcPr>
            <w:tcW w:w="329" w:type="pct"/>
            <w:vAlign w:val="center"/>
          </w:tcPr>
          <w:p w14:paraId="729A95C2" w14:textId="77777777" w:rsidR="009E245E" w:rsidRPr="00890249" w:rsidRDefault="009E245E" w:rsidP="009E245E">
            <w:pPr>
              <w:jc w:val="center"/>
              <w:rPr>
                <w:rFonts w:asciiTheme="minorHAnsi" w:hAnsiTheme="minorHAnsi" w:cstheme="minorHAnsi"/>
                <w:b/>
                <w:noProof/>
                <w:sz w:val="18"/>
                <w:szCs w:val="16"/>
                <w:lang w:eastAsia="en-US" w:bidi="ar-SA"/>
              </w:rPr>
            </w:pPr>
            <w:r w:rsidRPr="00890249">
              <w:rPr>
                <w:rFonts w:asciiTheme="minorHAnsi" w:hAnsiTheme="minorHAnsi" w:cstheme="minorHAnsi"/>
                <w:noProof/>
                <w:sz w:val="18"/>
                <w:szCs w:val="16"/>
                <w:lang w:eastAsia="en-US" w:bidi="ar-SA"/>
              </w:rPr>
              <w:t>2021</w:t>
            </w:r>
          </w:p>
        </w:tc>
        <w:tc>
          <w:tcPr>
            <w:tcW w:w="310" w:type="pct"/>
            <w:shd w:val="clear" w:color="auto" w:fill="auto"/>
            <w:vAlign w:val="center"/>
          </w:tcPr>
          <w:p w14:paraId="2F70285E" w14:textId="7145D6DD" w:rsidR="009E245E" w:rsidRPr="00890249" w:rsidRDefault="0009187B" w:rsidP="009E245E">
            <w:pPr>
              <w:jc w:val="center"/>
              <w:rPr>
                <w:rFonts w:asciiTheme="minorHAnsi" w:hAnsiTheme="minorHAnsi" w:cstheme="minorHAnsi"/>
                <w:b/>
                <w:noProof/>
                <w:sz w:val="18"/>
                <w:szCs w:val="16"/>
                <w:lang w:eastAsia="en-US" w:bidi="ar-SA"/>
              </w:rPr>
            </w:pPr>
            <w:r w:rsidRPr="00890249">
              <w:rPr>
                <w:rFonts w:asciiTheme="minorHAnsi" w:hAnsiTheme="minorHAnsi" w:cstheme="minorHAnsi"/>
                <w:noProof/>
                <w:sz w:val="18"/>
                <w:szCs w:val="16"/>
                <w:lang w:eastAsia="en-US" w:bidi="ar-SA"/>
              </w:rPr>
              <w:t>3 600</w:t>
            </w:r>
          </w:p>
        </w:tc>
        <w:tc>
          <w:tcPr>
            <w:tcW w:w="334" w:type="pct"/>
            <w:shd w:val="clear" w:color="auto" w:fill="auto"/>
            <w:vAlign w:val="center"/>
          </w:tcPr>
          <w:p w14:paraId="7CC95F68" w14:textId="77777777" w:rsidR="009E245E" w:rsidRPr="00890249" w:rsidRDefault="009E245E" w:rsidP="009E245E">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56" w:type="pct"/>
            <w:vAlign w:val="center"/>
          </w:tcPr>
          <w:p w14:paraId="545E2100" w14:textId="1F50D752" w:rsidR="009E245E" w:rsidRPr="00890249" w:rsidRDefault="00875C92" w:rsidP="009E245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Wskaźnik referencyjny:</w:t>
            </w:r>
          </w:p>
          <w:p w14:paraId="3A24DF88" w14:textId="77777777" w:rsidR="0009187B" w:rsidRPr="00890249" w:rsidRDefault="00875C92" w:rsidP="009E245E">
            <w:pPr>
              <w:jc w:val="center"/>
              <w:rPr>
                <w:rFonts w:asciiTheme="minorHAnsi" w:hAnsiTheme="minorHAnsi" w:cstheme="minorHAnsi"/>
                <w:i/>
                <w:noProof/>
                <w:sz w:val="18"/>
                <w:szCs w:val="16"/>
              </w:rPr>
            </w:pPr>
            <w:r w:rsidRPr="00890249">
              <w:rPr>
                <w:rFonts w:asciiTheme="minorHAnsi" w:hAnsiTheme="minorHAnsi" w:cstheme="minorHAnsi"/>
                <w:sz w:val="18"/>
                <w:szCs w:val="18"/>
              </w:rPr>
              <w:t>EECO01</w:t>
            </w:r>
          </w:p>
        </w:tc>
      </w:tr>
      <w:tr w:rsidR="009E245E" w:rsidRPr="00890249" w14:paraId="2EBE9407" w14:textId="77777777" w:rsidTr="00890249">
        <w:trPr>
          <w:trHeight w:val="434"/>
        </w:trPr>
        <w:tc>
          <w:tcPr>
            <w:tcW w:w="287" w:type="pct"/>
            <w:vAlign w:val="center"/>
          </w:tcPr>
          <w:p w14:paraId="24AEF200" w14:textId="77777777" w:rsidR="009E245E" w:rsidRPr="00890249" w:rsidRDefault="009E245E" w:rsidP="009E245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381" w:type="pct"/>
            <w:vAlign w:val="center"/>
          </w:tcPr>
          <w:p w14:paraId="6686BD51" w14:textId="77777777" w:rsidR="009E245E" w:rsidRPr="00890249" w:rsidRDefault="009E245E" w:rsidP="009E24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4.l</w:t>
            </w:r>
          </w:p>
        </w:tc>
        <w:tc>
          <w:tcPr>
            <w:tcW w:w="417" w:type="pct"/>
            <w:vAlign w:val="center"/>
          </w:tcPr>
          <w:p w14:paraId="5A19CC07" w14:textId="77777777" w:rsidR="009E245E" w:rsidRPr="00890249" w:rsidRDefault="009E245E" w:rsidP="009E24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6" w:type="pct"/>
            <w:vAlign w:val="center"/>
          </w:tcPr>
          <w:p w14:paraId="2AB50F32" w14:textId="77777777" w:rsidR="009E245E" w:rsidRPr="00890249" w:rsidRDefault="009E245E" w:rsidP="009E245E">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27" w:type="pct"/>
            <w:vAlign w:val="center"/>
          </w:tcPr>
          <w:p w14:paraId="7F14C528" w14:textId="77777777" w:rsidR="009E245E" w:rsidRPr="00890249" w:rsidRDefault="009E245E" w:rsidP="009E24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PLLCR02</w:t>
            </w:r>
          </w:p>
        </w:tc>
        <w:tc>
          <w:tcPr>
            <w:tcW w:w="763" w:type="pct"/>
            <w:shd w:val="clear" w:color="auto" w:fill="auto"/>
            <w:vAlign w:val="center"/>
          </w:tcPr>
          <w:p w14:paraId="5ADC811F" w14:textId="77777777" w:rsidR="009E245E" w:rsidRPr="00890249" w:rsidRDefault="009E245E" w:rsidP="009E245E">
            <w:pPr>
              <w:spacing w:before="60"/>
              <w:jc w:val="left"/>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Liczba utworzonych w programie miejsc świadczenia usług wspierania rodziny i pieczy zastępczej istniejących po zakończeniu projektu</w:t>
            </w:r>
          </w:p>
        </w:tc>
        <w:tc>
          <w:tcPr>
            <w:tcW w:w="458" w:type="pct"/>
            <w:vAlign w:val="center"/>
          </w:tcPr>
          <w:p w14:paraId="58526A30" w14:textId="77777777" w:rsidR="009E245E" w:rsidRPr="00890249" w:rsidRDefault="009E245E" w:rsidP="009E24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szt.</w:t>
            </w:r>
          </w:p>
        </w:tc>
        <w:tc>
          <w:tcPr>
            <w:tcW w:w="382" w:type="pct"/>
            <w:vAlign w:val="center"/>
          </w:tcPr>
          <w:p w14:paraId="6CC08ACD" w14:textId="77777777" w:rsidR="009E245E" w:rsidRPr="00890249" w:rsidRDefault="009E245E" w:rsidP="009E24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628</w:t>
            </w:r>
          </w:p>
        </w:tc>
        <w:tc>
          <w:tcPr>
            <w:tcW w:w="329" w:type="pct"/>
            <w:vAlign w:val="center"/>
          </w:tcPr>
          <w:p w14:paraId="3199D2BC" w14:textId="77777777" w:rsidR="009E245E" w:rsidRPr="00890249" w:rsidRDefault="009E245E" w:rsidP="009E245E">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2021</w:t>
            </w:r>
          </w:p>
        </w:tc>
        <w:tc>
          <w:tcPr>
            <w:tcW w:w="310" w:type="pct"/>
            <w:shd w:val="clear" w:color="auto" w:fill="auto"/>
            <w:vAlign w:val="center"/>
          </w:tcPr>
          <w:p w14:paraId="75363E4D" w14:textId="77777777" w:rsidR="009E245E" w:rsidRPr="00890249" w:rsidRDefault="009E245E" w:rsidP="009E245E">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380</w:t>
            </w:r>
          </w:p>
        </w:tc>
        <w:tc>
          <w:tcPr>
            <w:tcW w:w="334" w:type="pct"/>
            <w:shd w:val="clear" w:color="auto" w:fill="auto"/>
            <w:vAlign w:val="center"/>
          </w:tcPr>
          <w:p w14:paraId="3D00FF2B" w14:textId="77777777" w:rsidR="009E245E" w:rsidRPr="00890249" w:rsidRDefault="009E245E" w:rsidP="009E24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6" w:type="pct"/>
            <w:vAlign w:val="center"/>
          </w:tcPr>
          <w:p w14:paraId="6A49DD60" w14:textId="77777777" w:rsidR="009E245E" w:rsidRPr="00890249" w:rsidRDefault="009E245E" w:rsidP="009E245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bl>
    <w:p w14:paraId="14AFB7A2" w14:textId="77777777" w:rsidR="00E26858" w:rsidRPr="00890249" w:rsidRDefault="00E26858" w:rsidP="009E245E">
      <w:pPr>
        <w:spacing w:before="240" w:after="240"/>
        <w:rPr>
          <w:rFonts w:asciiTheme="minorHAnsi" w:hAnsiTheme="minorHAnsi" w:cstheme="minorHAnsi"/>
          <w:b/>
          <w:noProof/>
          <w:sz w:val="22"/>
          <w:szCs w:val="22"/>
        </w:rPr>
      </w:pPr>
    </w:p>
    <w:p w14:paraId="26BB6617" w14:textId="77777777" w:rsidR="008F0A28" w:rsidRPr="00890249" w:rsidRDefault="008F0A28" w:rsidP="008F0A2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2.1.6.4.3 (l) Orientacyjny podział zasobów programu (UE) według rodzaju interwencji</w:t>
      </w:r>
    </w:p>
    <w:tbl>
      <w:tblPr>
        <w:tblStyle w:val="Tabela-Siatka"/>
        <w:tblW w:w="0" w:type="auto"/>
        <w:tblLook w:val="04A0" w:firstRow="1" w:lastRow="0" w:firstColumn="1" w:lastColumn="0" w:noHBand="0" w:noVBand="1"/>
      </w:tblPr>
      <w:tblGrid>
        <w:gridCol w:w="1455"/>
        <w:gridCol w:w="1253"/>
        <w:gridCol w:w="1343"/>
        <w:gridCol w:w="1659"/>
        <w:gridCol w:w="1461"/>
        <w:gridCol w:w="1890"/>
      </w:tblGrid>
      <w:tr w:rsidR="009E245E" w:rsidRPr="00890249" w14:paraId="5821A6E7" w14:textId="77777777" w:rsidTr="008647C2">
        <w:trPr>
          <w:tblHeader/>
        </w:trPr>
        <w:tc>
          <w:tcPr>
            <w:tcW w:w="9288" w:type="dxa"/>
            <w:gridSpan w:val="6"/>
            <w:shd w:val="clear" w:color="auto" w:fill="D9D9D9" w:themeFill="background1" w:themeFillShade="D9"/>
          </w:tcPr>
          <w:p w14:paraId="4F35A5AC" w14:textId="77777777" w:rsidR="009E245E" w:rsidRPr="00890249" w:rsidRDefault="009E245E" w:rsidP="009E245E">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9E245E" w:rsidRPr="00890249" w14:paraId="56AC4011" w14:textId="77777777" w:rsidTr="008647C2">
        <w:trPr>
          <w:tblHeader/>
        </w:trPr>
        <w:tc>
          <w:tcPr>
            <w:tcW w:w="1495" w:type="dxa"/>
            <w:shd w:val="clear" w:color="auto" w:fill="F2F2F2" w:themeFill="background1" w:themeFillShade="F2"/>
          </w:tcPr>
          <w:p w14:paraId="1E0CC995"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90" w:type="dxa"/>
            <w:shd w:val="clear" w:color="auto" w:fill="F2F2F2" w:themeFill="background1" w:themeFillShade="F2"/>
          </w:tcPr>
          <w:p w14:paraId="6B9E0E8D"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0" w:type="dxa"/>
            <w:shd w:val="clear" w:color="auto" w:fill="F2F2F2" w:themeFill="background1" w:themeFillShade="F2"/>
          </w:tcPr>
          <w:p w14:paraId="29A1249F"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02" w:type="dxa"/>
            <w:shd w:val="clear" w:color="auto" w:fill="F2F2F2" w:themeFill="background1" w:themeFillShade="F2"/>
          </w:tcPr>
          <w:p w14:paraId="2606A2BB"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461" w:type="dxa"/>
            <w:shd w:val="clear" w:color="auto" w:fill="F2F2F2" w:themeFill="background1" w:themeFillShade="F2"/>
          </w:tcPr>
          <w:p w14:paraId="679DB7E6"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70" w:type="dxa"/>
            <w:shd w:val="clear" w:color="auto" w:fill="F2F2F2" w:themeFill="background1" w:themeFillShade="F2"/>
          </w:tcPr>
          <w:p w14:paraId="28A4D5D6"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245E" w:rsidRPr="00890249" w14:paraId="51FAA278" w14:textId="77777777" w:rsidTr="00890249">
        <w:trPr>
          <w:trHeight w:val="284"/>
        </w:trPr>
        <w:tc>
          <w:tcPr>
            <w:tcW w:w="1495" w:type="dxa"/>
            <w:vMerge w:val="restart"/>
            <w:vAlign w:val="center"/>
          </w:tcPr>
          <w:p w14:paraId="2922B766"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290" w:type="dxa"/>
            <w:vMerge w:val="restart"/>
            <w:vAlign w:val="center"/>
          </w:tcPr>
          <w:p w14:paraId="33E29B1F"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70" w:type="dxa"/>
            <w:vMerge w:val="restart"/>
            <w:vAlign w:val="center"/>
          </w:tcPr>
          <w:p w14:paraId="1765D0A7"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702" w:type="dxa"/>
            <w:vMerge w:val="restart"/>
            <w:vAlign w:val="center"/>
          </w:tcPr>
          <w:p w14:paraId="380248B9"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(l)</w:t>
            </w:r>
          </w:p>
        </w:tc>
        <w:tc>
          <w:tcPr>
            <w:tcW w:w="1461" w:type="dxa"/>
          </w:tcPr>
          <w:p w14:paraId="4AACA192"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159 Działania na rzecz poprawy świadczenia usług w zakresie opieki rodzinnej i środowiskowej</w:t>
            </w:r>
          </w:p>
        </w:tc>
        <w:tc>
          <w:tcPr>
            <w:tcW w:w="1970" w:type="dxa"/>
          </w:tcPr>
          <w:p w14:paraId="5BBF3900" w14:textId="12B29FBC" w:rsidR="009E245E" w:rsidRPr="00890249" w:rsidRDefault="005E33B6" w:rsidP="009E245E">
            <w:pPr>
              <w:jc w:val="right"/>
              <w:rPr>
                <w:rFonts w:asciiTheme="minorHAnsi" w:hAnsiTheme="minorHAnsi" w:cstheme="minorHAnsi"/>
                <w:noProof/>
                <w:sz w:val="20"/>
              </w:rPr>
            </w:pPr>
            <w:r>
              <w:rPr>
                <w:rFonts w:asciiTheme="minorHAnsi" w:hAnsiTheme="minorHAnsi" w:cstheme="minorHAnsi"/>
                <w:noProof/>
                <w:sz w:val="20"/>
              </w:rPr>
              <w:t>8 200 000</w:t>
            </w:r>
          </w:p>
        </w:tc>
      </w:tr>
      <w:tr w:rsidR="009E245E" w:rsidRPr="00890249" w14:paraId="121D37E6" w14:textId="77777777" w:rsidTr="00890249">
        <w:trPr>
          <w:trHeight w:val="284"/>
        </w:trPr>
        <w:tc>
          <w:tcPr>
            <w:tcW w:w="1495" w:type="dxa"/>
            <w:vMerge/>
          </w:tcPr>
          <w:p w14:paraId="1737BDE6" w14:textId="77777777" w:rsidR="009E245E" w:rsidRPr="00890249" w:rsidRDefault="009E245E" w:rsidP="009E245E">
            <w:pPr>
              <w:jc w:val="center"/>
              <w:rPr>
                <w:rFonts w:asciiTheme="minorHAnsi" w:hAnsiTheme="minorHAnsi" w:cstheme="minorHAnsi"/>
                <w:noProof/>
                <w:sz w:val="20"/>
              </w:rPr>
            </w:pPr>
          </w:p>
        </w:tc>
        <w:tc>
          <w:tcPr>
            <w:tcW w:w="1290" w:type="dxa"/>
            <w:vMerge/>
          </w:tcPr>
          <w:p w14:paraId="507CCE09" w14:textId="77777777" w:rsidR="009E245E" w:rsidRPr="00890249" w:rsidRDefault="009E245E" w:rsidP="009E245E">
            <w:pPr>
              <w:jc w:val="center"/>
              <w:rPr>
                <w:rFonts w:asciiTheme="minorHAnsi" w:hAnsiTheme="minorHAnsi" w:cstheme="minorHAnsi"/>
                <w:noProof/>
                <w:sz w:val="20"/>
              </w:rPr>
            </w:pPr>
          </w:p>
        </w:tc>
        <w:tc>
          <w:tcPr>
            <w:tcW w:w="1370" w:type="dxa"/>
            <w:vMerge/>
          </w:tcPr>
          <w:p w14:paraId="5EF912EC" w14:textId="77777777" w:rsidR="009E245E" w:rsidRPr="00890249" w:rsidRDefault="009E245E" w:rsidP="009E245E">
            <w:pPr>
              <w:jc w:val="center"/>
              <w:rPr>
                <w:rFonts w:asciiTheme="minorHAnsi" w:hAnsiTheme="minorHAnsi" w:cstheme="minorHAnsi"/>
                <w:noProof/>
                <w:sz w:val="20"/>
              </w:rPr>
            </w:pPr>
          </w:p>
        </w:tc>
        <w:tc>
          <w:tcPr>
            <w:tcW w:w="1702" w:type="dxa"/>
            <w:vMerge/>
            <w:vAlign w:val="center"/>
          </w:tcPr>
          <w:p w14:paraId="1457D7E8" w14:textId="77777777" w:rsidR="009E245E" w:rsidRPr="00890249" w:rsidRDefault="009E245E" w:rsidP="009E245E">
            <w:pPr>
              <w:jc w:val="center"/>
              <w:rPr>
                <w:rFonts w:asciiTheme="minorHAnsi" w:hAnsiTheme="minorHAnsi" w:cstheme="minorHAnsi"/>
                <w:noProof/>
                <w:sz w:val="20"/>
              </w:rPr>
            </w:pPr>
          </w:p>
        </w:tc>
        <w:tc>
          <w:tcPr>
            <w:tcW w:w="1461" w:type="dxa"/>
          </w:tcPr>
          <w:p w14:paraId="09028F8A"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 xml:space="preserve">163 Promowanie integracji społecznej osób zagrożonych ubóstwem lub wykluczeniem </w:t>
            </w:r>
            <w:r w:rsidRPr="00890249">
              <w:rPr>
                <w:rFonts w:asciiTheme="minorHAnsi" w:hAnsiTheme="minorHAnsi" w:cstheme="minorHAnsi"/>
                <w:noProof/>
                <w:sz w:val="20"/>
              </w:rPr>
              <w:lastRenderedPageBreak/>
              <w:t>społecznym, w tym osób najbardziej potzrebujących i dzieci</w:t>
            </w:r>
          </w:p>
        </w:tc>
        <w:tc>
          <w:tcPr>
            <w:tcW w:w="1970" w:type="dxa"/>
          </w:tcPr>
          <w:p w14:paraId="424953B6" w14:textId="77777777" w:rsidR="009E245E" w:rsidRPr="00890249" w:rsidRDefault="009E245E" w:rsidP="009E245E">
            <w:pPr>
              <w:jc w:val="right"/>
              <w:rPr>
                <w:rFonts w:asciiTheme="minorHAnsi" w:hAnsiTheme="minorHAnsi" w:cstheme="minorHAnsi"/>
                <w:noProof/>
                <w:sz w:val="20"/>
              </w:rPr>
            </w:pPr>
            <w:r w:rsidRPr="00890249">
              <w:rPr>
                <w:rFonts w:asciiTheme="minorHAnsi" w:hAnsiTheme="minorHAnsi" w:cstheme="minorHAnsi"/>
                <w:noProof/>
                <w:sz w:val="20"/>
              </w:rPr>
              <w:lastRenderedPageBreak/>
              <w:t xml:space="preserve">14 800 000 </w:t>
            </w:r>
          </w:p>
        </w:tc>
      </w:tr>
    </w:tbl>
    <w:p w14:paraId="10AB9F01" w14:textId="77777777" w:rsidR="00C05C91" w:rsidRPr="00890249" w:rsidRDefault="00C05C91" w:rsidP="009E245E">
      <w:pPr>
        <w:spacing w:before="24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4"/>
        <w:gridCol w:w="1351"/>
        <w:gridCol w:w="1409"/>
        <w:gridCol w:w="1617"/>
        <w:gridCol w:w="1039"/>
        <w:gridCol w:w="2081"/>
      </w:tblGrid>
      <w:tr w:rsidR="00C05C91" w:rsidRPr="00890249" w14:paraId="45C0184A" w14:textId="77777777" w:rsidTr="00362BCB">
        <w:tc>
          <w:tcPr>
            <w:tcW w:w="9288" w:type="dxa"/>
            <w:gridSpan w:val="6"/>
            <w:shd w:val="clear" w:color="auto" w:fill="D9D9D9" w:themeFill="background1" w:themeFillShade="D9"/>
          </w:tcPr>
          <w:p w14:paraId="22FFADED" w14:textId="77777777" w:rsidR="00C05C91" w:rsidRPr="00890249" w:rsidRDefault="00C05C91" w:rsidP="00362BC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C05C91" w:rsidRPr="00890249" w14:paraId="7ED5F7C2" w14:textId="77777777" w:rsidTr="00362BCB">
        <w:tc>
          <w:tcPr>
            <w:tcW w:w="1599" w:type="dxa"/>
            <w:shd w:val="clear" w:color="auto" w:fill="F2F2F2" w:themeFill="background1" w:themeFillShade="F2"/>
          </w:tcPr>
          <w:p w14:paraId="7570BBC0"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00DFB209"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20BDAB5C"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2763A2B8"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346637F6"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507DA2A8"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C05C91" w:rsidRPr="00890249" w14:paraId="108D09F8" w14:textId="77777777" w:rsidTr="00362BCB">
        <w:tc>
          <w:tcPr>
            <w:tcW w:w="1599" w:type="dxa"/>
          </w:tcPr>
          <w:p w14:paraId="718EC536"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0D308CA6"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p>
        </w:tc>
        <w:tc>
          <w:tcPr>
            <w:tcW w:w="1433" w:type="dxa"/>
          </w:tcPr>
          <w:p w14:paraId="1A9082AA" w14:textId="77777777" w:rsidR="00C05C91" w:rsidRPr="00890249" w:rsidRDefault="00C05C91" w:rsidP="00C05C9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tcPr>
          <w:p w14:paraId="34F17CBD"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(l)</w:t>
            </w:r>
          </w:p>
        </w:tc>
        <w:tc>
          <w:tcPr>
            <w:tcW w:w="1053" w:type="dxa"/>
          </w:tcPr>
          <w:p w14:paraId="2F4B355B"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Dotacja</w:t>
            </w:r>
          </w:p>
        </w:tc>
        <w:tc>
          <w:tcPr>
            <w:tcW w:w="2175" w:type="dxa"/>
          </w:tcPr>
          <w:p w14:paraId="734A9D9A" w14:textId="69A69F06" w:rsidR="00C05C91" w:rsidRPr="00890249" w:rsidRDefault="003F4386" w:rsidP="00C05C9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23 000 000</w:t>
            </w:r>
          </w:p>
        </w:tc>
      </w:tr>
    </w:tbl>
    <w:p w14:paraId="0DC42DAA" w14:textId="77777777" w:rsidR="00C05C91" w:rsidRPr="00890249" w:rsidRDefault="00C05C91" w:rsidP="009E245E">
      <w:pPr>
        <w:spacing w:before="24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93"/>
        <w:gridCol w:w="1288"/>
        <w:gridCol w:w="1319"/>
        <w:gridCol w:w="1610"/>
        <w:gridCol w:w="1520"/>
        <w:gridCol w:w="1831"/>
      </w:tblGrid>
      <w:tr w:rsidR="009E245E" w:rsidRPr="00890249" w14:paraId="57FCB353" w14:textId="77777777" w:rsidTr="009E245E">
        <w:tc>
          <w:tcPr>
            <w:tcW w:w="9288" w:type="dxa"/>
            <w:gridSpan w:val="6"/>
            <w:shd w:val="clear" w:color="auto" w:fill="D9D9D9" w:themeFill="background1" w:themeFillShade="D9"/>
          </w:tcPr>
          <w:p w14:paraId="3A187992" w14:textId="15CFD9CE" w:rsidR="009E245E" w:rsidRPr="00890249" w:rsidRDefault="009E245E" w:rsidP="009E245E">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9E245E" w:rsidRPr="00890249" w14:paraId="02421C54" w14:textId="77777777" w:rsidTr="009E245E">
        <w:trPr>
          <w:trHeight w:val="364"/>
        </w:trPr>
        <w:tc>
          <w:tcPr>
            <w:tcW w:w="1599" w:type="dxa"/>
            <w:shd w:val="clear" w:color="auto" w:fill="F2F2F2" w:themeFill="background1" w:themeFillShade="F2"/>
          </w:tcPr>
          <w:p w14:paraId="14785677"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6799C881"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11ADDC53"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55EA1F5D"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11C20A01"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2" w:type="dxa"/>
            <w:shd w:val="clear" w:color="auto" w:fill="F2F2F2" w:themeFill="background1" w:themeFillShade="F2"/>
          </w:tcPr>
          <w:p w14:paraId="5C068C52"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E245E" w:rsidRPr="00890249" w14:paraId="4012D072" w14:textId="77777777" w:rsidTr="009E245E">
        <w:tc>
          <w:tcPr>
            <w:tcW w:w="1599" w:type="dxa"/>
            <w:vAlign w:val="center"/>
          </w:tcPr>
          <w:p w14:paraId="3D4583A1" w14:textId="77777777" w:rsidR="009E245E" w:rsidRPr="00890249" w:rsidRDefault="009E245E"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2ED78B69" w14:textId="77777777" w:rsidR="009E245E" w:rsidRPr="00890249" w:rsidRDefault="009E245E" w:rsidP="009E245E">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p>
        </w:tc>
        <w:tc>
          <w:tcPr>
            <w:tcW w:w="1378" w:type="dxa"/>
            <w:vAlign w:val="center"/>
          </w:tcPr>
          <w:p w14:paraId="1E0C1669" w14:textId="77777777" w:rsidR="009E245E" w:rsidRPr="00890249" w:rsidRDefault="009E245E" w:rsidP="009E245E">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50C476C3" w14:textId="77777777" w:rsidR="009E245E" w:rsidRPr="00890249" w:rsidRDefault="009E245E" w:rsidP="009E245E">
            <w:pPr>
              <w:jc w:val="center"/>
              <w:rPr>
                <w:rFonts w:asciiTheme="minorHAnsi" w:hAnsiTheme="minorHAnsi" w:cstheme="minorHAnsi"/>
                <w:noProof/>
                <w:sz w:val="20"/>
              </w:rPr>
            </w:pPr>
            <w:r w:rsidRPr="00890249">
              <w:rPr>
                <w:rFonts w:asciiTheme="minorHAnsi" w:hAnsiTheme="minorHAnsi" w:cstheme="minorHAnsi"/>
                <w:noProof/>
                <w:sz w:val="20"/>
              </w:rPr>
              <w:t>(l)</w:t>
            </w:r>
          </w:p>
        </w:tc>
        <w:tc>
          <w:tcPr>
            <w:tcW w:w="1136" w:type="dxa"/>
            <w:vAlign w:val="center"/>
          </w:tcPr>
          <w:p w14:paraId="1C0CEEA9" w14:textId="77777777" w:rsidR="009E245E" w:rsidRPr="00890249" w:rsidRDefault="009E245E"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092" w:type="dxa"/>
            <w:vAlign w:val="center"/>
          </w:tcPr>
          <w:p w14:paraId="372C7860" w14:textId="61E36F54" w:rsidR="009E245E" w:rsidRPr="00890249" w:rsidRDefault="003F4386" w:rsidP="009E245E">
            <w:pPr>
              <w:jc w:val="right"/>
              <w:rPr>
                <w:rFonts w:asciiTheme="minorHAnsi" w:hAnsiTheme="minorHAnsi" w:cstheme="minorHAnsi"/>
                <w:noProof/>
                <w:sz w:val="20"/>
              </w:rPr>
            </w:pPr>
            <w:r>
              <w:rPr>
                <w:rFonts w:asciiTheme="minorHAnsi" w:hAnsiTheme="minorHAnsi" w:cstheme="minorHAnsi"/>
                <w:noProof/>
                <w:sz w:val="20"/>
              </w:rPr>
              <w:t>23 000 000</w:t>
            </w:r>
          </w:p>
        </w:tc>
      </w:tr>
    </w:tbl>
    <w:p w14:paraId="458417CA" w14:textId="77777777" w:rsidR="004B24C6" w:rsidRPr="00890249" w:rsidRDefault="004B24C6" w:rsidP="009E245E">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57"/>
        <w:gridCol w:w="1255"/>
        <w:gridCol w:w="1339"/>
        <w:gridCol w:w="1539"/>
        <w:gridCol w:w="1651"/>
        <w:gridCol w:w="2081"/>
      </w:tblGrid>
      <w:tr w:rsidR="009E245E" w:rsidRPr="00890249" w14:paraId="23D9A512" w14:textId="77777777" w:rsidTr="008647C2">
        <w:trPr>
          <w:tblHeader/>
        </w:trPr>
        <w:tc>
          <w:tcPr>
            <w:tcW w:w="9322" w:type="dxa"/>
            <w:gridSpan w:val="6"/>
            <w:shd w:val="clear" w:color="auto" w:fill="D9D9D9" w:themeFill="background1" w:themeFillShade="D9"/>
          </w:tcPr>
          <w:p w14:paraId="77917F9D" w14:textId="77777777" w:rsidR="009E245E" w:rsidRPr="00890249" w:rsidRDefault="009E245E" w:rsidP="009E245E">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uzupełniające obszary tematyczne EFS+</w:t>
            </w:r>
          </w:p>
        </w:tc>
      </w:tr>
      <w:tr w:rsidR="009E245E" w:rsidRPr="00890249" w14:paraId="22058AC4" w14:textId="77777777" w:rsidTr="008647C2">
        <w:trPr>
          <w:tblHeader/>
        </w:trPr>
        <w:tc>
          <w:tcPr>
            <w:tcW w:w="1457" w:type="dxa"/>
            <w:shd w:val="clear" w:color="auto" w:fill="F2F2F2" w:themeFill="background1" w:themeFillShade="F2"/>
          </w:tcPr>
          <w:p w14:paraId="6F9E60E7"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55" w:type="dxa"/>
            <w:shd w:val="clear" w:color="auto" w:fill="F2F2F2" w:themeFill="background1" w:themeFillShade="F2"/>
          </w:tcPr>
          <w:p w14:paraId="29F8750E"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39" w:type="dxa"/>
            <w:shd w:val="clear" w:color="auto" w:fill="F2F2F2" w:themeFill="background1" w:themeFillShade="F2"/>
          </w:tcPr>
          <w:p w14:paraId="3BAF6CBC"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39" w:type="dxa"/>
            <w:shd w:val="clear" w:color="auto" w:fill="F2F2F2" w:themeFill="background1" w:themeFillShade="F2"/>
          </w:tcPr>
          <w:p w14:paraId="53EB292F"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7F97D573"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81" w:type="dxa"/>
            <w:shd w:val="clear" w:color="auto" w:fill="F2F2F2" w:themeFill="background1" w:themeFillShade="F2"/>
          </w:tcPr>
          <w:p w14:paraId="7EE493C3" w14:textId="77777777" w:rsidR="009E245E" w:rsidRPr="00890249" w:rsidRDefault="009E245E" w:rsidP="009E245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DB38F1" w:rsidRPr="00890249" w14:paraId="6246ED81" w14:textId="77777777" w:rsidTr="00DB38F1">
        <w:tc>
          <w:tcPr>
            <w:tcW w:w="1457" w:type="dxa"/>
            <w:vMerge w:val="restart"/>
            <w:vAlign w:val="center"/>
          </w:tcPr>
          <w:p w14:paraId="49A93C79" w14:textId="77777777" w:rsidR="00DB38F1" w:rsidRPr="00890249" w:rsidRDefault="00DB38F1"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255" w:type="dxa"/>
            <w:vMerge w:val="restart"/>
            <w:vAlign w:val="center"/>
          </w:tcPr>
          <w:p w14:paraId="7C81BB6E" w14:textId="77777777" w:rsidR="00DB38F1" w:rsidRPr="00890249" w:rsidRDefault="00DB38F1" w:rsidP="009E245E">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39" w:type="dxa"/>
            <w:vMerge w:val="restart"/>
            <w:vAlign w:val="center"/>
          </w:tcPr>
          <w:p w14:paraId="1800641F" w14:textId="77777777" w:rsidR="00DB38F1" w:rsidRPr="00890249" w:rsidRDefault="00DB38F1" w:rsidP="009E245E">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539" w:type="dxa"/>
            <w:vMerge w:val="restart"/>
            <w:shd w:val="clear" w:color="auto" w:fill="auto"/>
            <w:vAlign w:val="center"/>
          </w:tcPr>
          <w:p w14:paraId="620DC829" w14:textId="77777777" w:rsidR="00DB38F1" w:rsidRPr="00890249" w:rsidRDefault="00DB38F1" w:rsidP="009E245E">
            <w:pPr>
              <w:jc w:val="center"/>
              <w:rPr>
                <w:rFonts w:asciiTheme="minorHAnsi" w:hAnsiTheme="minorHAnsi" w:cstheme="minorHAnsi"/>
                <w:noProof/>
                <w:sz w:val="20"/>
              </w:rPr>
            </w:pPr>
            <w:r w:rsidRPr="00890249">
              <w:rPr>
                <w:rFonts w:asciiTheme="minorHAnsi" w:hAnsiTheme="minorHAnsi" w:cstheme="minorHAnsi"/>
                <w:noProof/>
                <w:sz w:val="20"/>
              </w:rPr>
              <w:t>(l)</w:t>
            </w:r>
          </w:p>
        </w:tc>
        <w:tc>
          <w:tcPr>
            <w:tcW w:w="1651" w:type="dxa"/>
            <w:shd w:val="clear" w:color="auto" w:fill="auto"/>
            <w:vAlign w:val="center"/>
          </w:tcPr>
          <w:p w14:paraId="45C4B100" w14:textId="77777777" w:rsidR="00DB38F1" w:rsidRPr="00890249" w:rsidRDefault="00DB38F1" w:rsidP="004D352C">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Przyczynianie się do ekologicznych umiejętności i zielonych miejsc pracy oraz zielonej gospodarki</w:t>
            </w:r>
          </w:p>
        </w:tc>
        <w:tc>
          <w:tcPr>
            <w:tcW w:w="2081" w:type="dxa"/>
            <w:shd w:val="clear" w:color="auto" w:fill="auto"/>
            <w:vAlign w:val="center"/>
          </w:tcPr>
          <w:p w14:paraId="25C71A41" w14:textId="6D32CBE5" w:rsidR="00DB38F1" w:rsidRPr="00890249" w:rsidRDefault="003F4386" w:rsidP="004D352C">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1 150 000</w:t>
            </w:r>
          </w:p>
        </w:tc>
      </w:tr>
      <w:tr w:rsidR="00DB38F1" w:rsidRPr="00890249" w14:paraId="45D7CB9B" w14:textId="77777777" w:rsidTr="004D352C">
        <w:tc>
          <w:tcPr>
            <w:tcW w:w="1457" w:type="dxa"/>
            <w:vMerge/>
            <w:vAlign w:val="center"/>
          </w:tcPr>
          <w:p w14:paraId="5612490D" w14:textId="77777777" w:rsidR="00DB38F1" w:rsidRPr="00890249" w:rsidRDefault="00DB38F1" w:rsidP="009E245E">
            <w:pPr>
              <w:jc w:val="center"/>
              <w:rPr>
                <w:rFonts w:asciiTheme="minorHAnsi" w:eastAsia="Times New Roman" w:hAnsiTheme="minorHAnsi" w:cstheme="minorHAnsi"/>
                <w:b/>
                <w:iCs/>
                <w:noProof/>
                <w:sz w:val="20"/>
              </w:rPr>
            </w:pPr>
          </w:p>
        </w:tc>
        <w:tc>
          <w:tcPr>
            <w:tcW w:w="1255" w:type="dxa"/>
            <w:vMerge/>
            <w:vAlign w:val="center"/>
          </w:tcPr>
          <w:p w14:paraId="168953BD" w14:textId="77777777" w:rsidR="00DB38F1" w:rsidRPr="00890249" w:rsidRDefault="00DB38F1" w:rsidP="009E245E">
            <w:pPr>
              <w:jc w:val="center"/>
              <w:rPr>
                <w:rFonts w:asciiTheme="minorHAnsi" w:eastAsia="Times New Roman" w:hAnsiTheme="minorHAnsi" w:cstheme="minorHAnsi"/>
                <w:b/>
                <w:iCs/>
                <w:noProof/>
                <w:sz w:val="20"/>
              </w:rPr>
            </w:pPr>
          </w:p>
        </w:tc>
        <w:tc>
          <w:tcPr>
            <w:tcW w:w="1339" w:type="dxa"/>
            <w:vMerge/>
            <w:vAlign w:val="center"/>
          </w:tcPr>
          <w:p w14:paraId="2D5E2F3C" w14:textId="77777777" w:rsidR="00DB38F1" w:rsidRPr="00890249" w:rsidRDefault="00DB38F1" w:rsidP="009E245E">
            <w:pPr>
              <w:jc w:val="center"/>
              <w:rPr>
                <w:rFonts w:asciiTheme="minorHAnsi" w:eastAsia="Times New Roman" w:hAnsiTheme="minorHAnsi" w:cstheme="minorHAnsi"/>
                <w:b/>
                <w:iCs/>
                <w:noProof/>
                <w:sz w:val="20"/>
              </w:rPr>
            </w:pPr>
          </w:p>
        </w:tc>
        <w:tc>
          <w:tcPr>
            <w:tcW w:w="1539" w:type="dxa"/>
            <w:vMerge/>
            <w:shd w:val="clear" w:color="auto" w:fill="auto"/>
            <w:vAlign w:val="center"/>
          </w:tcPr>
          <w:p w14:paraId="1146E5C5" w14:textId="77777777" w:rsidR="00DB38F1" w:rsidRPr="00890249" w:rsidRDefault="00DB38F1" w:rsidP="009E245E">
            <w:pPr>
              <w:jc w:val="center"/>
              <w:rPr>
                <w:rFonts w:asciiTheme="minorHAnsi" w:eastAsia="Times New Roman" w:hAnsiTheme="minorHAnsi" w:cstheme="minorHAnsi"/>
                <w:b/>
                <w:iCs/>
                <w:noProof/>
                <w:sz w:val="20"/>
              </w:rPr>
            </w:pPr>
          </w:p>
        </w:tc>
        <w:tc>
          <w:tcPr>
            <w:tcW w:w="1651" w:type="dxa"/>
            <w:shd w:val="clear" w:color="auto" w:fill="auto"/>
            <w:vAlign w:val="center"/>
          </w:tcPr>
          <w:p w14:paraId="67E9694A" w14:textId="77777777" w:rsidR="00DB38F1" w:rsidRPr="00890249" w:rsidRDefault="00DB38F1"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 Niedyskrymiancja</w:t>
            </w:r>
          </w:p>
        </w:tc>
        <w:tc>
          <w:tcPr>
            <w:tcW w:w="2081" w:type="dxa"/>
            <w:shd w:val="clear" w:color="auto" w:fill="auto"/>
            <w:vAlign w:val="center"/>
          </w:tcPr>
          <w:p w14:paraId="00793AF7" w14:textId="50C4FCFD" w:rsidR="00DB38F1" w:rsidRPr="00890249" w:rsidRDefault="003F4386" w:rsidP="009E245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2 300 000</w:t>
            </w:r>
          </w:p>
        </w:tc>
      </w:tr>
      <w:tr w:rsidR="00DB38F1" w:rsidRPr="00890249" w14:paraId="5ED891F8" w14:textId="77777777" w:rsidTr="004D352C">
        <w:tc>
          <w:tcPr>
            <w:tcW w:w="1457" w:type="dxa"/>
            <w:vMerge/>
            <w:vAlign w:val="center"/>
          </w:tcPr>
          <w:p w14:paraId="02AAC3CB" w14:textId="77777777" w:rsidR="00DB38F1" w:rsidRPr="00890249" w:rsidRDefault="00DB38F1" w:rsidP="009E245E">
            <w:pPr>
              <w:jc w:val="center"/>
              <w:rPr>
                <w:rFonts w:asciiTheme="minorHAnsi" w:eastAsia="Times New Roman" w:hAnsiTheme="minorHAnsi" w:cstheme="minorHAnsi"/>
                <w:iCs/>
                <w:noProof/>
                <w:sz w:val="20"/>
              </w:rPr>
            </w:pPr>
          </w:p>
        </w:tc>
        <w:tc>
          <w:tcPr>
            <w:tcW w:w="1255" w:type="dxa"/>
            <w:vMerge/>
            <w:vAlign w:val="center"/>
          </w:tcPr>
          <w:p w14:paraId="6C25F073" w14:textId="77777777" w:rsidR="00DB38F1" w:rsidRPr="00890249" w:rsidRDefault="00DB38F1" w:rsidP="009E245E">
            <w:pPr>
              <w:jc w:val="center"/>
              <w:rPr>
                <w:rFonts w:asciiTheme="minorHAnsi" w:hAnsiTheme="minorHAnsi" w:cstheme="minorHAnsi"/>
                <w:noProof/>
                <w:sz w:val="20"/>
              </w:rPr>
            </w:pPr>
          </w:p>
        </w:tc>
        <w:tc>
          <w:tcPr>
            <w:tcW w:w="1339" w:type="dxa"/>
            <w:vMerge/>
            <w:vAlign w:val="center"/>
          </w:tcPr>
          <w:p w14:paraId="06866458" w14:textId="77777777" w:rsidR="00DB38F1" w:rsidRPr="00890249" w:rsidRDefault="00DB38F1" w:rsidP="009E245E">
            <w:pPr>
              <w:jc w:val="center"/>
              <w:rPr>
                <w:rFonts w:asciiTheme="minorHAnsi" w:hAnsiTheme="minorHAnsi" w:cstheme="minorHAnsi"/>
                <w:noProof/>
                <w:sz w:val="20"/>
              </w:rPr>
            </w:pPr>
          </w:p>
        </w:tc>
        <w:tc>
          <w:tcPr>
            <w:tcW w:w="1539" w:type="dxa"/>
            <w:vMerge/>
            <w:vAlign w:val="center"/>
          </w:tcPr>
          <w:p w14:paraId="6CC4320C" w14:textId="77777777" w:rsidR="00DB38F1" w:rsidRPr="00890249" w:rsidRDefault="00DB38F1" w:rsidP="009E245E">
            <w:pPr>
              <w:jc w:val="center"/>
              <w:rPr>
                <w:rFonts w:asciiTheme="minorHAnsi" w:eastAsia="Times New Roman" w:hAnsiTheme="minorHAnsi" w:cstheme="minorHAnsi"/>
                <w:b/>
                <w:iCs/>
                <w:noProof/>
                <w:sz w:val="20"/>
              </w:rPr>
            </w:pPr>
          </w:p>
        </w:tc>
        <w:tc>
          <w:tcPr>
            <w:tcW w:w="1651" w:type="dxa"/>
            <w:vAlign w:val="center"/>
          </w:tcPr>
          <w:p w14:paraId="3DC0EB66" w14:textId="77777777" w:rsidR="00DB38F1" w:rsidRPr="00890249" w:rsidRDefault="00DB38F1"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06 Zwalczanie ubóstwa dzieci</w:t>
            </w:r>
          </w:p>
        </w:tc>
        <w:tc>
          <w:tcPr>
            <w:tcW w:w="2081" w:type="dxa"/>
            <w:vAlign w:val="center"/>
          </w:tcPr>
          <w:p w14:paraId="2D137768" w14:textId="302A45DC" w:rsidR="00DB38F1" w:rsidRPr="00890249" w:rsidRDefault="003F4386" w:rsidP="009E245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17 250 000</w:t>
            </w:r>
          </w:p>
        </w:tc>
      </w:tr>
      <w:tr w:rsidR="00DB38F1" w:rsidRPr="00890249" w14:paraId="510451F3" w14:textId="77777777" w:rsidTr="004D352C">
        <w:tc>
          <w:tcPr>
            <w:tcW w:w="1457" w:type="dxa"/>
            <w:vMerge/>
            <w:vAlign w:val="center"/>
          </w:tcPr>
          <w:p w14:paraId="3564B1FC" w14:textId="77777777" w:rsidR="00DB38F1" w:rsidRPr="00890249" w:rsidRDefault="00DB38F1" w:rsidP="009E245E">
            <w:pPr>
              <w:jc w:val="center"/>
              <w:rPr>
                <w:rFonts w:asciiTheme="minorHAnsi" w:eastAsia="Times New Roman" w:hAnsiTheme="minorHAnsi" w:cstheme="minorHAnsi"/>
                <w:iCs/>
                <w:noProof/>
                <w:sz w:val="20"/>
              </w:rPr>
            </w:pPr>
          </w:p>
        </w:tc>
        <w:tc>
          <w:tcPr>
            <w:tcW w:w="1255" w:type="dxa"/>
            <w:vMerge/>
            <w:vAlign w:val="center"/>
          </w:tcPr>
          <w:p w14:paraId="730CD0AF" w14:textId="77777777" w:rsidR="00DB38F1" w:rsidRPr="00890249" w:rsidRDefault="00DB38F1" w:rsidP="009E245E">
            <w:pPr>
              <w:jc w:val="center"/>
              <w:rPr>
                <w:rFonts w:asciiTheme="minorHAnsi" w:hAnsiTheme="minorHAnsi" w:cstheme="minorHAnsi"/>
                <w:noProof/>
                <w:sz w:val="20"/>
              </w:rPr>
            </w:pPr>
          </w:p>
        </w:tc>
        <w:tc>
          <w:tcPr>
            <w:tcW w:w="1339" w:type="dxa"/>
            <w:vMerge/>
            <w:vAlign w:val="center"/>
          </w:tcPr>
          <w:p w14:paraId="4DAEB5FF" w14:textId="77777777" w:rsidR="00DB38F1" w:rsidRPr="00890249" w:rsidRDefault="00DB38F1" w:rsidP="009E245E">
            <w:pPr>
              <w:jc w:val="center"/>
              <w:rPr>
                <w:rFonts w:asciiTheme="minorHAnsi" w:hAnsiTheme="minorHAnsi" w:cstheme="minorHAnsi"/>
                <w:noProof/>
                <w:sz w:val="20"/>
              </w:rPr>
            </w:pPr>
          </w:p>
        </w:tc>
        <w:tc>
          <w:tcPr>
            <w:tcW w:w="1539" w:type="dxa"/>
            <w:vMerge/>
            <w:vAlign w:val="center"/>
          </w:tcPr>
          <w:p w14:paraId="4288CB2F" w14:textId="77777777" w:rsidR="00DB38F1" w:rsidRPr="00890249" w:rsidRDefault="00DB38F1" w:rsidP="009E245E">
            <w:pPr>
              <w:jc w:val="center"/>
              <w:rPr>
                <w:rFonts w:asciiTheme="minorHAnsi" w:eastAsia="Times New Roman" w:hAnsiTheme="minorHAnsi" w:cstheme="minorHAnsi"/>
                <w:b/>
                <w:iCs/>
                <w:noProof/>
                <w:sz w:val="20"/>
              </w:rPr>
            </w:pPr>
          </w:p>
        </w:tc>
        <w:tc>
          <w:tcPr>
            <w:tcW w:w="1651" w:type="dxa"/>
            <w:vAlign w:val="center"/>
          </w:tcPr>
          <w:p w14:paraId="14E791DC" w14:textId="77777777" w:rsidR="00DB38F1" w:rsidRPr="00890249" w:rsidRDefault="00DB38F1"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 Budowanie zdolności organizacji społeczeństwa obywatelskiego</w:t>
            </w:r>
          </w:p>
        </w:tc>
        <w:tc>
          <w:tcPr>
            <w:tcW w:w="2081" w:type="dxa"/>
            <w:vAlign w:val="center"/>
          </w:tcPr>
          <w:p w14:paraId="12D358DA" w14:textId="60C6DB7E" w:rsidR="00DB38F1" w:rsidRPr="00890249" w:rsidRDefault="003F4386" w:rsidP="009E245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1 150 000</w:t>
            </w:r>
          </w:p>
        </w:tc>
      </w:tr>
      <w:tr w:rsidR="00DB38F1" w:rsidRPr="00890249" w14:paraId="3F2ECF5C" w14:textId="77777777" w:rsidTr="004D352C">
        <w:tc>
          <w:tcPr>
            <w:tcW w:w="1457" w:type="dxa"/>
            <w:vMerge/>
            <w:vAlign w:val="center"/>
          </w:tcPr>
          <w:p w14:paraId="2DC8BE4E" w14:textId="77777777" w:rsidR="00DB38F1" w:rsidRPr="00890249" w:rsidRDefault="00DB38F1" w:rsidP="009E245E">
            <w:pPr>
              <w:jc w:val="center"/>
              <w:rPr>
                <w:rFonts w:asciiTheme="minorHAnsi" w:eastAsia="Times New Roman" w:hAnsiTheme="minorHAnsi" w:cstheme="minorHAnsi"/>
                <w:iCs/>
                <w:noProof/>
                <w:sz w:val="20"/>
              </w:rPr>
            </w:pPr>
          </w:p>
        </w:tc>
        <w:tc>
          <w:tcPr>
            <w:tcW w:w="1255" w:type="dxa"/>
            <w:vMerge/>
            <w:vAlign w:val="center"/>
          </w:tcPr>
          <w:p w14:paraId="093986D0" w14:textId="77777777" w:rsidR="00DB38F1" w:rsidRPr="00890249" w:rsidRDefault="00DB38F1" w:rsidP="009E245E">
            <w:pPr>
              <w:jc w:val="center"/>
              <w:rPr>
                <w:rFonts w:asciiTheme="minorHAnsi" w:hAnsiTheme="minorHAnsi" w:cstheme="minorHAnsi"/>
                <w:noProof/>
                <w:sz w:val="20"/>
              </w:rPr>
            </w:pPr>
          </w:p>
        </w:tc>
        <w:tc>
          <w:tcPr>
            <w:tcW w:w="1339" w:type="dxa"/>
            <w:vMerge/>
            <w:vAlign w:val="center"/>
          </w:tcPr>
          <w:p w14:paraId="7EF5902F" w14:textId="77777777" w:rsidR="00DB38F1" w:rsidRPr="00890249" w:rsidRDefault="00DB38F1" w:rsidP="009E245E">
            <w:pPr>
              <w:jc w:val="center"/>
              <w:rPr>
                <w:rFonts w:asciiTheme="minorHAnsi" w:hAnsiTheme="minorHAnsi" w:cstheme="minorHAnsi"/>
                <w:noProof/>
                <w:sz w:val="20"/>
              </w:rPr>
            </w:pPr>
          </w:p>
        </w:tc>
        <w:tc>
          <w:tcPr>
            <w:tcW w:w="1539" w:type="dxa"/>
            <w:vMerge/>
            <w:vAlign w:val="center"/>
          </w:tcPr>
          <w:p w14:paraId="2DA944E0" w14:textId="77777777" w:rsidR="00DB38F1" w:rsidRPr="00890249" w:rsidRDefault="00DB38F1" w:rsidP="009E245E">
            <w:pPr>
              <w:jc w:val="center"/>
              <w:rPr>
                <w:rFonts w:asciiTheme="minorHAnsi" w:eastAsia="Times New Roman" w:hAnsiTheme="minorHAnsi" w:cstheme="minorHAnsi"/>
                <w:b/>
                <w:iCs/>
                <w:noProof/>
                <w:sz w:val="20"/>
              </w:rPr>
            </w:pPr>
          </w:p>
        </w:tc>
        <w:tc>
          <w:tcPr>
            <w:tcW w:w="1651" w:type="dxa"/>
            <w:vAlign w:val="center"/>
          </w:tcPr>
          <w:p w14:paraId="51C40B22" w14:textId="77777777" w:rsidR="00DB38F1" w:rsidRPr="00890249" w:rsidRDefault="00DB38F1" w:rsidP="009E24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081" w:type="dxa"/>
            <w:vAlign w:val="center"/>
          </w:tcPr>
          <w:p w14:paraId="68EBF54F" w14:textId="47DF510E" w:rsidR="00DB38F1" w:rsidRPr="00890249" w:rsidRDefault="003F4386" w:rsidP="009E245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1 150 000</w:t>
            </w:r>
            <w:r w:rsidR="00DB38F1" w:rsidRPr="00890249">
              <w:rPr>
                <w:rFonts w:asciiTheme="minorHAnsi" w:eastAsia="Times New Roman" w:hAnsiTheme="minorHAnsi" w:cstheme="minorHAnsi"/>
                <w:iCs/>
                <w:noProof/>
                <w:sz w:val="20"/>
              </w:rPr>
              <w:t xml:space="preserve"> </w:t>
            </w:r>
          </w:p>
        </w:tc>
      </w:tr>
    </w:tbl>
    <w:p w14:paraId="01D5D956" w14:textId="77777777" w:rsidR="009E245E" w:rsidRPr="00890249" w:rsidRDefault="009E245E" w:rsidP="009E245E">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4604C0" w:rsidRPr="00890249" w14:paraId="7A2D33FF" w14:textId="77777777" w:rsidTr="00C159E2">
        <w:tc>
          <w:tcPr>
            <w:tcW w:w="9322" w:type="dxa"/>
            <w:gridSpan w:val="6"/>
            <w:shd w:val="clear" w:color="auto" w:fill="D9D9D9" w:themeFill="background1" w:themeFillShade="D9"/>
          </w:tcPr>
          <w:p w14:paraId="03FF74B7" w14:textId="77777777" w:rsidR="004604C0" w:rsidRPr="00890249" w:rsidRDefault="004604C0" w:rsidP="00C159E2">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 EFS+, EFRR, Fundusz Spójności i FST</w:t>
            </w:r>
          </w:p>
        </w:tc>
      </w:tr>
      <w:tr w:rsidR="004604C0" w:rsidRPr="00890249" w14:paraId="7B3A7F00" w14:textId="77777777" w:rsidTr="00890249">
        <w:tc>
          <w:tcPr>
            <w:tcW w:w="1570" w:type="dxa"/>
            <w:tcBorders>
              <w:bottom w:val="single" w:sz="4" w:space="0" w:color="auto"/>
            </w:tcBorders>
            <w:shd w:val="clear" w:color="auto" w:fill="F2F2F2" w:themeFill="background1" w:themeFillShade="F2"/>
          </w:tcPr>
          <w:p w14:paraId="3330B238" w14:textId="77777777" w:rsidR="004604C0" w:rsidRPr="00890249" w:rsidRDefault="004604C0" w:rsidP="00C159E2">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tcBorders>
              <w:bottom w:val="single" w:sz="4" w:space="0" w:color="auto"/>
            </w:tcBorders>
            <w:shd w:val="clear" w:color="auto" w:fill="F2F2F2" w:themeFill="background1" w:themeFillShade="F2"/>
          </w:tcPr>
          <w:p w14:paraId="6E31CAF5" w14:textId="77777777" w:rsidR="004604C0" w:rsidRPr="00890249" w:rsidRDefault="004604C0" w:rsidP="00C159E2">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tcBorders>
              <w:bottom w:val="single" w:sz="4" w:space="0" w:color="auto"/>
            </w:tcBorders>
            <w:shd w:val="clear" w:color="auto" w:fill="F2F2F2" w:themeFill="background1" w:themeFillShade="F2"/>
          </w:tcPr>
          <w:p w14:paraId="07441730" w14:textId="77777777" w:rsidR="004604C0" w:rsidRPr="00890249" w:rsidRDefault="004604C0" w:rsidP="00C159E2">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tcBorders>
              <w:bottom w:val="single" w:sz="4" w:space="0" w:color="auto"/>
            </w:tcBorders>
            <w:shd w:val="clear" w:color="auto" w:fill="F2F2F2" w:themeFill="background1" w:themeFillShade="F2"/>
          </w:tcPr>
          <w:p w14:paraId="5A3A3B6B" w14:textId="77777777" w:rsidR="004604C0" w:rsidRPr="00890249" w:rsidRDefault="004604C0" w:rsidP="00C159E2">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tcBorders>
              <w:bottom w:val="single" w:sz="4" w:space="0" w:color="auto"/>
            </w:tcBorders>
            <w:shd w:val="clear" w:color="auto" w:fill="F2F2F2" w:themeFill="background1" w:themeFillShade="F2"/>
          </w:tcPr>
          <w:p w14:paraId="07064D71" w14:textId="77777777" w:rsidR="004604C0" w:rsidRPr="00890249" w:rsidRDefault="004604C0" w:rsidP="00C159E2">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tcBorders>
              <w:bottom w:val="single" w:sz="4" w:space="0" w:color="auto"/>
            </w:tcBorders>
            <w:shd w:val="clear" w:color="auto" w:fill="F2F2F2" w:themeFill="background1" w:themeFillShade="F2"/>
          </w:tcPr>
          <w:p w14:paraId="17D5AC2A" w14:textId="77777777" w:rsidR="004604C0" w:rsidRPr="00890249" w:rsidRDefault="004604C0" w:rsidP="00C159E2">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4604C0" w:rsidRPr="00890249" w14:paraId="7A8013FC" w14:textId="77777777" w:rsidTr="00890249">
        <w:tc>
          <w:tcPr>
            <w:tcW w:w="1570" w:type="dxa"/>
            <w:tcBorders>
              <w:bottom w:val="single" w:sz="4" w:space="0" w:color="auto"/>
            </w:tcBorders>
            <w:shd w:val="clear" w:color="auto" w:fill="auto"/>
            <w:vAlign w:val="center"/>
          </w:tcPr>
          <w:p w14:paraId="0E27289A" w14:textId="77777777" w:rsidR="004604C0" w:rsidRPr="00890249" w:rsidRDefault="004604C0" w:rsidP="00C159E2">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eastAsia="Times New Roman" w:hAnsiTheme="minorHAnsi" w:cstheme="minorHAnsi"/>
                <w:iCs/>
                <w:noProof/>
                <w:sz w:val="20"/>
              </w:rPr>
              <w:t>CP 4</w:t>
            </w:r>
          </w:p>
        </w:tc>
        <w:tc>
          <w:tcPr>
            <w:tcW w:w="1360" w:type="dxa"/>
            <w:tcBorders>
              <w:bottom w:val="single" w:sz="4" w:space="0" w:color="auto"/>
            </w:tcBorders>
            <w:shd w:val="clear" w:color="auto" w:fill="auto"/>
            <w:vAlign w:val="center"/>
          </w:tcPr>
          <w:p w14:paraId="0F4D4A54" w14:textId="77777777" w:rsidR="004604C0" w:rsidRPr="00890249" w:rsidRDefault="004604C0" w:rsidP="00C159E2">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hAnsiTheme="minorHAnsi" w:cstheme="minorHAnsi"/>
                <w:noProof/>
                <w:sz w:val="20"/>
              </w:rPr>
              <w:t>EFS+</w:t>
            </w:r>
          </w:p>
        </w:tc>
        <w:tc>
          <w:tcPr>
            <w:tcW w:w="1415" w:type="dxa"/>
            <w:tcBorders>
              <w:bottom w:val="single" w:sz="4" w:space="0" w:color="auto"/>
            </w:tcBorders>
            <w:shd w:val="clear" w:color="auto" w:fill="auto"/>
            <w:vAlign w:val="center"/>
          </w:tcPr>
          <w:p w14:paraId="23293CB4" w14:textId="77777777" w:rsidR="004604C0" w:rsidRPr="00890249" w:rsidRDefault="004604C0" w:rsidP="00C159E2">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hAnsiTheme="minorHAnsi" w:cstheme="minorHAnsi"/>
                <w:noProof/>
                <w:sz w:val="20"/>
              </w:rPr>
              <w:t>słabiej rozwinięte</w:t>
            </w:r>
          </w:p>
        </w:tc>
        <w:tc>
          <w:tcPr>
            <w:tcW w:w="1628" w:type="dxa"/>
            <w:tcBorders>
              <w:bottom w:val="single" w:sz="4" w:space="0" w:color="auto"/>
            </w:tcBorders>
            <w:shd w:val="clear" w:color="auto" w:fill="auto"/>
            <w:vAlign w:val="center"/>
          </w:tcPr>
          <w:p w14:paraId="000A841C" w14:textId="77777777" w:rsidR="004604C0" w:rsidRPr="00890249" w:rsidRDefault="004604C0" w:rsidP="00C159E2">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hAnsiTheme="minorHAnsi" w:cstheme="minorHAnsi"/>
                <w:noProof/>
                <w:sz w:val="20"/>
              </w:rPr>
              <w:t>(l)</w:t>
            </w:r>
          </w:p>
        </w:tc>
        <w:tc>
          <w:tcPr>
            <w:tcW w:w="1026" w:type="dxa"/>
            <w:tcBorders>
              <w:bottom w:val="single" w:sz="4" w:space="0" w:color="auto"/>
            </w:tcBorders>
            <w:shd w:val="clear" w:color="auto" w:fill="auto"/>
            <w:vAlign w:val="center"/>
          </w:tcPr>
          <w:p w14:paraId="2E7ADAEC" w14:textId="77777777" w:rsidR="004604C0" w:rsidRPr="00890249" w:rsidRDefault="004604C0" w:rsidP="00C159E2">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 Projekty uwzględniające kwestię równouprawnienia płci</w:t>
            </w:r>
          </w:p>
        </w:tc>
        <w:tc>
          <w:tcPr>
            <w:tcW w:w="2323" w:type="dxa"/>
            <w:tcBorders>
              <w:bottom w:val="single" w:sz="4" w:space="0" w:color="auto"/>
            </w:tcBorders>
            <w:shd w:val="clear" w:color="auto" w:fill="auto"/>
            <w:vAlign w:val="center"/>
          </w:tcPr>
          <w:p w14:paraId="3A2D64C8" w14:textId="5D356F95" w:rsidR="004604C0" w:rsidRPr="00890249" w:rsidRDefault="003F4386" w:rsidP="00C159E2">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23 000 000</w:t>
            </w:r>
          </w:p>
        </w:tc>
      </w:tr>
    </w:tbl>
    <w:p w14:paraId="1E8BA7C1" w14:textId="77777777" w:rsidR="009E245E" w:rsidRPr="00890249" w:rsidRDefault="009E245E">
      <w:pPr>
        <w:spacing w:before="0" w:after="160" w:line="259" w:lineRule="auto"/>
        <w:jc w:val="left"/>
        <w:rPr>
          <w:rFonts w:asciiTheme="minorHAnsi" w:hAnsiTheme="minorHAnsi" w:cstheme="minorHAnsi"/>
        </w:rPr>
      </w:pPr>
      <w:r w:rsidRPr="00890249">
        <w:rPr>
          <w:rFonts w:asciiTheme="minorHAnsi" w:hAnsiTheme="minorHAnsi" w:cstheme="minorHAnsi"/>
        </w:rPr>
        <w:br w:type="page"/>
      </w:r>
    </w:p>
    <w:p w14:paraId="6EAF5EAB" w14:textId="77777777" w:rsidR="009E245E" w:rsidRPr="00890249" w:rsidRDefault="009E245E" w:rsidP="00AC1BD0">
      <w:pPr>
        <w:pStyle w:val="Nagwek3"/>
        <w:ind w:left="709" w:hanging="709"/>
        <w:rPr>
          <w:rFonts w:eastAsia="Calibri"/>
        </w:rPr>
      </w:pPr>
      <w:bookmarkStart w:id="19" w:name="_Toc188266914"/>
      <w:r w:rsidRPr="00890249">
        <w:rPr>
          <w:rFonts w:eastAsia="Calibri"/>
        </w:rPr>
        <w:lastRenderedPageBreak/>
        <w:t>2.</w:t>
      </w:r>
      <w:r w:rsidR="00C65A91" w:rsidRPr="00890249">
        <w:rPr>
          <w:rFonts w:eastAsia="Calibri"/>
        </w:rPr>
        <w:t>1.</w:t>
      </w:r>
      <w:r w:rsidRPr="00890249">
        <w:rPr>
          <w:rFonts w:eastAsia="Calibri"/>
        </w:rPr>
        <w:t xml:space="preserve">7 FUNDUSZE EUROPEJSKIE WSPIERAJĄCE USŁUGI SPOŁECZNE I ZDROWOTNE </w:t>
      </w:r>
      <w:r w:rsidRPr="00890249">
        <w:rPr>
          <w:rFonts w:eastAsia="Calibri"/>
        </w:rPr>
        <w:br/>
        <w:t>W OPOLSKIM</w:t>
      </w:r>
      <w:bookmarkEnd w:id="19"/>
    </w:p>
    <w:tbl>
      <w:tblPr>
        <w:tblW w:w="9322" w:type="dxa"/>
        <w:tblLook w:val="04A0" w:firstRow="1" w:lastRow="0" w:firstColumn="1" w:lastColumn="0" w:noHBand="0" w:noVBand="1"/>
      </w:tblPr>
      <w:tblGrid>
        <w:gridCol w:w="9322"/>
      </w:tblGrid>
      <w:tr w:rsidR="009E245E" w:rsidRPr="00890249" w14:paraId="32E77348" w14:textId="77777777" w:rsidTr="009E245E">
        <w:tc>
          <w:tcPr>
            <w:tcW w:w="9322" w:type="dxa"/>
          </w:tcPr>
          <w:p w14:paraId="58CFB1DE" w14:textId="77777777" w:rsidR="009E245E" w:rsidRPr="00890249" w:rsidRDefault="00875C92" w:rsidP="009E245E">
            <w:pPr>
              <w:pStyle w:val="Text3"/>
              <w:spacing w:before="0" w:after="0"/>
              <w:ind w:left="0"/>
              <w:jc w:val="left"/>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
                  <w:enabled w:val="0"/>
                  <w:calcOnExit w:val="0"/>
                  <w:checkBox>
                    <w:sizeAuto/>
                    <w:default w:val="0"/>
                  </w:checkBox>
                </w:ffData>
              </w:fldChar>
            </w:r>
            <w:r w:rsidR="00F726B5"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E245E" w:rsidRPr="00890249">
              <w:rPr>
                <w:rFonts w:asciiTheme="minorHAnsi" w:hAnsiTheme="minorHAnsi" w:cstheme="minorHAnsi"/>
                <w:noProof/>
                <w:sz w:val="20"/>
              </w:rPr>
              <w:t xml:space="preserve"> Ten priorytet dotyczy zatrudnienia ludzi młodych</w:t>
            </w:r>
          </w:p>
        </w:tc>
      </w:tr>
      <w:tr w:rsidR="009E245E" w:rsidRPr="00890249" w14:paraId="17C13FA6" w14:textId="77777777" w:rsidTr="009E245E">
        <w:tc>
          <w:tcPr>
            <w:tcW w:w="9322" w:type="dxa"/>
          </w:tcPr>
          <w:p w14:paraId="743E5EA1" w14:textId="77777777" w:rsidR="009E245E" w:rsidRPr="00890249" w:rsidRDefault="00875C92" w:rsidP="009E245E">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009E245E"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E245E" w:rsidRPr="00890249">
              <w:rPr>
                <w:rFonts w:asciiTheme="minorHAnsi" w:hAnsiTheme="minorHAnsi" w:cstheme="minorHAnsi"/>
                <w:noProof/>
                <w:sz w:val="20"/>
              </w:rPr>
              <w:t xml:space="preserve"> Ten priorytet dotyczy inowacyjnych działań społecznych</w:t>
            </w:r>
          </w:p>
        </w:tc>
      </w:tr>
      <w:tr w:rsidR="009E245E" w:rsidRPr="00890249" w14:paraId="62FCB8FE" w14:textId="77777777" w:rsidTr="009E245E">
        <w:tc>
          <w:tcPr>
            <w:tcW w:w="9322" w:type="dxa"/>
          </w:tcPr>
          <w:p w14:paraId="6BB39234" w14:textId="77777777" w:rsidR="009E245E" w:rsidRPr="00890249" w:rsidRDefault="00875C92" w:rsidP="009E245E">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E245E"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E245E" w:rsidRPr="00890249">
              <w:rPr>
                <w:rFonts w:asciiTheme="minorHAnsi" w:hAnsiTheme="minorHAnsi" w:cstheme="minorHAnsi"/>
                <w:noProof/>
                <w:sz w:val="20"/>
              </w:rPr>
              <w:t xml:space="preserve"> Ten priorytet dotyczy wsparcia dla osób najbardziej potrzebujacych w ramach celu szczegółowego określonego w art. 4 ust. 1 lit. m) rozporządzenia w sprawie EFS+</w:t>
            </w:r>
          </w:p>
        </w:tc>
      </w:tr>
      <w:tr w:rsidR="009E245E" w:rsidRPr="00890249" w14:paraId="63DF73EB" w14:textId="77777777" w:rsidTr="009E245E">
        <w:tc>
          <w:tcPr>
            <w:tcW w:w="9322" w:type="dxa"/>
          </w:tcPr>
          <w:p w14:paraId="1451DBE4" w14:textId="77777777" w:rsidR="009E245E" w:rsidRPr="00890249" w:rsidRDefault="00875C92" w:rsidP="009E245E">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E245E"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E245E"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236D77B9" w14:textId="77777777" w:rsidR="009E245E" w:rsidRPr="00890249" w:rsidRDefault="00875C92" w:rsidP="009E245E">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E245E"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E245E"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3996A908" w14:textId="77777777" w:rsidR="009E245E" w:rsidRPr="00890249" w:rsidRDefault="00875C92" w:rsidP="009E245E">
            <w:pPr>
              <w:pStyle w:val="Text3"/>
              <w:spacing w:before="0" w:after="0"/>
              <w:ind w:left="0"/>
              <w:rPr>
                <w:rFonts w:asciiTheme="minorHAnsi" w:hAnsiTheme="minorHAnsi" w:cstheme="minorHAnsi"/>
                <w:noProof/>
                <w:sz w:val="20"/>
                <w:szCs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009E245E"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009E245E"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71BF4726" w14:textId="34154F4B" w:rsidR="00DB444F" w:rsidRPr="00890249" w:rsidRDefault="00DB444F" w:rsidP="00DB444F">
      <w:pPr>
        <w:shd w:val="clear" w:color="auto" w:fill="D0CECE" w:themeFill="background2" w:themeFillShade="E6"/>
        <w:spacing w:before="360" w:after="360"/>
        <w:rPr>
          <w:rFonts w:asciiTheme="minorHAnsi" w:hAnsiTheme="minorHAnsi" w:cstheme="minorHAnsi"/>
          <w:b/>
          <w:noProof/>
          <w:sz w:val="22"/>
        </w:rPr>
      </w:pPr>
      <w:r w:rsidRPr="00890249">
        <w:rPr>
          <w:rFonts w:asciiTheme="minorHAnsi" w:hAnsiTheme="minorHAnsi" w:cstheme="minorHAnsi"/>
          <w:b/>
          <w:noProof/>
          <w:sz w:val="22"/>
        </w:rPr>
        <w:t xml:space="preserve"> 2.1.7.1 (k) Cel szczegółowy</w:t>
      </w:r>
    </w:p>
    <w:p w14:paraId="52196AA6" w14:textId="2A7A5C7D" w:rsidR="00DB444F" w:rsidRPr="00890249" w:rsidRDefault="00DB444F" w:rsidP="00DB444F">
      <w:pPr>
        <w:spacing w:before="240" w:after="240"/>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w:t>
      </w:r>
      <w:r w:rsidR="00F823E7">
        <w:rPr>
          <w:rFonts w:asciiTheme="minorHAnsi" w:hAnsiTheme="minorHAnsi" w:cstheme="minorHAnsi"/>
          <w:b/>
          <w:noProof/>
          <w:color w:val="2F5496" w:themeColor="accent5" w:themeShade="BF"/>
          <w:szCs w:val="22"/>
        </w:rPr>
        <w:t>ości systemów ochrony zdrowia i </w:t>
      </w:r>
      <w:r w:rsidRPr="00890249">
        <w:rPr>
          <w:rFonts w:asciiTheme="minorHAnsi" w:hAnsiTheme="minorHAnsi" w:cstheme="minorHAnsi"/>
          <w:b/>
          <w:noProof/>
          <w:color w:val="2F5496" w:themeColor="accent5" w:themeShade="BF"/>
          <w:szCs w:val="22"/>
        </w:rPr>
        <w:t>usług opieki długoterminowej</w:t>
      </w:r>
    </w:p>
    <w:p w14:paraId="341D473C" w14:textId="77777777" w:rsidR="00DB444F" w:rsidRPr="00890249" w:rsidRDefault="00DB444F" w:rsidP="00DB444F">
      <w:pPr>
        <w:spacing w:before="240" w:after="240"/>
        <w:rPr>
          <w:rFonts w:asciiTheme="minorHAnsi" w:hAnsiTheme="minorHAnsi" w:cstheme="minorHAnsi"/>
          <w:b/>
          <w:noProof/>
          <w:sz w:val="22"/>
        </w:rPr>
      </w:pPr>
      <w:r w:rsidRPr="00890249">
        <w:rPr>
          <w:rFonts w:asciiTheme="minorHAnsi" w:hAnsiTheme="minorHAnsi" w:cstheme="minorHAnsi"/>
          <w:b/>
          <w:noProof/>
          <w:sz w:val="22"/>
        </w:rPr>
        <w:t>2.1.7.1.1 (k) Interwencje w ramach funduszy</w:t>
      </w:r>
    </w:p>
    <w:p w14:paraId="624295F9" w14:textId="77777777" w:rsidR="00DB444F" w:rsidRPr="00890249" w:rsidRDefault="00DB444F" w:rsidP="00DB444F">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26B9D996" w14:textId="77777777" w:rsidR="0093433C" w:rsidRPr="00890249" w:rsidRDefault="00ED1829"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Zgodnie z</w:t>
      </w:r>
      <w:r w:rsidR="00D43828" w:rsidRPr="00890249">
        <w:rPr>
          <w:rFonts w:asciiTheme="minorHAnsi" w:hAnsiTheme="minorHAnsi" w:cstheme="minorHAnsi"/>
          <w:noProof/>
          <w:sz w:val="22"/>
          <w:szCs w:val="22"/>
        </w:rPr>
        <w:t xml:space="preserve"> priorytetami</w:t>
      </w:r>
      <w:r w:rsidRPr="00890249">
        <w:rPr>
          <w:rFonts w:asciiTheme="minorHAnsi" w:hAnsiTheme="minorHAnsi" w:cstheme="minorHAnsi"/>
          <w:noProof/>
          <w:sz w:val="22"/>
          <w:szCs w:val="22"/>
        </w:rPr>
        <w:t xml:space="preserve"> KE, które zostały przełożone na regionalną </w:t>
      </w:r>
      <w:r w:rsidR="0057406C" w:rsidRPr="00890249">
        <w:rPr>
          <w:rFonts w:asciiTheme="minorHAnsi" w:hAnsiTheme="minorHAnsi" w:cstheme="minorHAnsi"/>
          <w:noProof/>
          <w:sz w:val="22"/>
          <w:szCs w:val="22"/>
        </w:rPr>
        <w:t>koncepcję realizacji wsparcia w </w:t>
      </w:r>
      <w:r w:rsidRPr="00890249">
        <w:rPr>
          <w:rFonts w:asciiTheme="minorHAnsi" w:hAnsiTheme="minorHAnsi" w:cstheme="minorHAnsi"/>
          <w:noProof/>
          <w:sz w:val="22"/>
          <w:szCs w:val="22"/>
        </w:rPr>
        <w:t>obszarze zdrowia, głównym</w:t>
      </w:r>
      <w:r w:rsidR="00A91920" w:rsidRPr="00890249">
        <w:rPr>
          <w:rFonts w:asciiTheme="minorHAnsi" w:hAnsiTheme="minorHAnsi" w:cstheme="minorHAnsi"/>
          <w:noProof/>
          <w:sz w:val="22"/>
          <w:szCs w:val="22"/>
        </w:rPr>
        <w:t>i</w:t>
      </w:r>
      <w:r w:rsidRPr="00890249">
        <w:rPr>
          <w:rFonts w:asciiTheme="minorHAnsi" w:hAnsiTheme="minorHAnsi" w:cstheme="minorHAnsi"/>
          <w:noProof/>
          <w:sz w:val="22"/>
          <w:szCs w:val="22"/>
        </w:rPr>
        <w:t xml:space="preserve"> ce</w:t>
      </w:r>
      <w:r w:rsidR="00A91920" w:rsidRPr="00890249">
        <w:rPr>
          <w:rFonts w:asciiTheme="minorHAnsi" w:hAnsiTheme="minorHAnsi" w:cstheme="minorHAnsi"/>
          <w:noProof/>
          <w:sz w:val="22"/>
          <w:szCs w:val="22"/>
        </w:rPr>
        <w:t>la</w:t>
      </w:r>
      <w:r w:rsidRPr="00890249">
        <w:rPr>
          <w:rFonts w:asciiTheme="minorHAnsi" w:hAnsiTheme="minorHAnsi" w:cstheme="minorHAnsi"/>
          <w:noProof/>
          <w:sz w:val="22"/>
          <w:szCs w:val="22"/>
        </w:rPr>
        <w:t>m</w:t>
      </w:r>
      <w:r w:rsidR="00A91920" w:rsidRPr="00890249">
        <w:rPr>
          <w:rFonts w:asciiTheme="minorHAnsi" w:hAnsiTheme="minorHAnsi" w:cstheme="minorHAnsi"/>
          <w:noProof/>
          <w:sz w:val="22"/>
          <w:szCs w:val="22"/>
        </w:rPr>
        <w:t>i</w:t>
      </w:r>
      <w:r w:rsidRPr="00890249">
        <w:rPr>
          <w:rFonts w:asciiTheme="minorHAnsi" w:hAnsiTheme="minorHAnsi" w:cstheme="minorHAnsi"/>
          <w:noProof/>
          <w:sz w:val="22"/>
          <w:szCs w:val="22"/>
        </w:rPr>
        <w:t xml:space="preserve"> interwencji w tym </w:t>
      </w:r>
      <w:r w:rsidR="00A91920" w:rsidRPr="00890249">
        <w:rPr>
          <w:rFonts w:asciiTheme="minorHAnsi" w:hAnsiTheme="minorHAnsi" w:cstheme="minorHAnsi"/>
          <w:noProof/>
          <w:sz w:val="22"/>
          <w:szCs w:val="22"/>
        </w:rPr>
        <w:t>obszarze</w:t>
      </w:r>
      <w:r w:rsidRPr="00890249">
        <w:rPr>
          <w:rFonts w:asciiTheme="minorHAnsi" w:hAnsiTheme="minorHAnsi" w:cstheme="minorHAnsi"/>
          <w:noProof/>
          <w:sz w:val="22"/>
          <w:szCs w:val="22"/>
        </w:rPr>
        <w:t xml:space="preserve"> będ</w:t>
      </w:r>
      <w:r w:rsidR="00A91920" w:rsidRPr="00890249">
        <w:rPr>
          <w:rFonts w:asciiTheme="minorHAnsi" w:hAnsiTheme="minorHAnsi" w:cstheme="minorHAnsi"/>
          <w:noProof/>
          <w:sz w:val="22"/>
          <w:szCs w:val="22"/>
        </w:rPr>
        <w:t>ą</w:t>
      </w:r>
      <w:r w:rsidR="00D43828" w:rsidRPr="00890249">
        <w:rPr>
          <w:rFonts w:asciiTheme="minorHAnsi" w:hAnsiTheme="minorHAnsi" w:cstheme="minorHAnsi"/>
          <w:noProof/>
          <w:sz w:val="22"/>
          <w:szCs w:val="22"/>
        </w:rPr>
        <w:t xml:space="preserve"> m.in.: </w:t>
      </w:r>
      <w:r w:rsidRPr="00890249">
        <w:rPr>
          <w:rFonts w:asciiTheme="minorHAnsi" w:hAnsiTheme="minorHAnsi" w:cstheme="minorHAnsi"/>
          <w:noProof/>
          <w:sz w:val="22"/>
          <w:szCs w:val="22"/>
        </w:rPr>
        <w:t>skrócenie okresu hospitalizacji, opieka jednodniowa</w:t>
      </w:r>
      <w:r w:rsidR="00A91920" w:rsidRPr="00890249">
        <w:rPr>
          <w:rFonts w:asciiTheme="minorHAnsi" w:hAnsiTheme="minorHAnsi" w:cstheme="minorHAnsi"/>
          <w:noProof/>
          <w:sz w:val="22"/>
          <w:szCs w:val="22"/>
        </w:rPr>
        <w:t xml:space="preserve">, </w:t>
      </w:r>
      <w:r w:rsidR="00C826B1" w:rsidRPr="00890249">
        <w:rPr>
          <w:rFonts w:asciiTheme="minorHAnsi" w:hAnsiTheme="minorHAnsi" w:cstheme="minorHAnsi"/>
          <w:noProof/>
          <w:sz w:val="22"/>
          <w:szCs w:val="22"/>
        </w:rPr>
        <w:t xml:space="preserve">czy też </w:t>
      </w:r>
      <w:r w:rsidR="00A91920" w:rsidRPr="00890249">
        <w:rPr>
          <w:rFonts w:asciiTheme="minorHAnsi" w:hAnsiTheme="minorHAnsi" w:cstheme="minorHAnsi"/>
          <w:noProof/>
          <w:sz w:val="22"/>
          <w:szCs w:val="22"/>
        </w:rPr>
        <w:t xml:space="preserve">rozwój opieki koordynowanej </w:t>
      </w:r>
      <w:r w:rsidR="0057406C" w:rsidRPr="00890249">
        <w:rPr>
          <w:rFonts w:asciiTheme="minorHAnsi" w:hAnsiTheme="minorHAnsi" w:cstheme="minorHAnsi"/>
          <w:noProof/>
          <w:sz w:val="22"/>
          <w:szCs w:val="22"/>
        </w:rPr>
        <w:t>(z uwzględnieniem roli POZ i </w:t>
      </w:r>
      <w:r w:rsidR="00A91920" w:rsidRPr="00890249">
        <w:rPr>
          <w:rFonts w:asciiTheme="minorHAnsi" w:hAnsiTheme="minorHAnsi" w:cstheme="minorHAnsi"/>
          <w:noProof/>
          <w:sz w:val="22"/>
          <w:szCs w:val="22"/>
        </w:rPr>
        <w:t xml:space="preserve">AOS). </w:t>
      </w:r>
      <w:r w:rsidR="008374CE" w:rsidRPr="00890249">
        <w:rPr>
          <w:rFonts w:asciiTheme="minorHAnsi" w:hAnsiTheme="minorHAnsi" w:cstheme="minorHAnsi"/>
          <w:noProof/>
          <w:sz w:val="22"/>
          <w:szCs w:val="22"/>
        </w:rPr>
        <w:t xml:space="preserve">Dzięki koncepcyjnemu podejściu do obszaru zdrowia interwencje </w:t>
      </w:r>
      <w:r w:rsidR="0057406C" w:rsidRPr="00890249">
        <w:rPr>
          <w:rFonts w:asciiTheme="minorHAnsi" w:hAnsiTheme="minorHAnsi" w:cstheme="minorHAnsi"/>
          <w:noProof/>
          <w:sz w:val="22"/>
          <w:szCs w:val="22"/>
        </w:rPr>
        <w:t>realizowane w ramach EFS+ i </w:t>
      </w:r>
      <w:r w:rsidR="00EA0D51" w:rsidRPr="00890249">
        <w:rPr>
          <w:rFonts w:asciiTheme="minorHAnsi" w:hAnsiTheme="minorHAnsi" w:cstheme="minorHAnsi"/>
          <w:noProof/>
          <w:sz w:val="22"/>
          <w:szCs w:val="22"/>
        </w:rPr>
        <w:t>EFRR</w:t>
      </w:r>
      <w:r w:rsidR="008374CE" w:rsidRPr="00890249">
        <w:rPr>
          <w:rFonts w:asciiTheme="minorHAnsi" w:hAnsiTheme="minorHAnsi" w:cstheme="minorHAnsi"/>
          <w:noProof/>
          <w:sz w:val="22"/>
          <w:szCs w:val="22"/>
        </w:rPr>
        <w:t xml:space="preserve"> będą komplementarnie wpisywały się w priorytety w tym obszarze</w:t>
      </w:r>
      <w:r w:rsidR="00A91920" w:rsidRPr="00890249">
        <w:rPr>
          <w:rFonts w:asciiTheme="minorHAnsi" w:hAnsiTheme="minorHAnsi" w:cstheme="minorHAnsi"/>
          <w:noProof/>
          <w:sz w:val="22"/>
          <w:szCs w:val="22"/>
        </w:rPr>
        <w:t>.</w:t>
      </w:r>
      <w:r w:rsidR="00276C6D" w:rsidRPr="00890249">
        <w:rPr>
          <w:rFonts w:asciiTheme="minorHAnsi" w:hAnsiTheme="minorHAnsi" w:cstheme="minorHAnsi"/>
          <w:noProof/>
          <w:sz w:val="22"/>
          <w:szCs w:val="22"/>
        </w:rPr>
        <w:t xml:space="preserve"> </w:t>
      </w:r>
    </w:p>
    <w:p w14:paraId="3884BF31" w14:textId="6563B06B" w:rsidR="0093433C" w:rsidRPr="00890249" w:rsidRDefault="68813068"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Zasadniczym problemem w obszarze zdrowia jest zapewnienie wszystkim obywatelom dostępn</w:t>
      </w:r>
      <w:r w:rsidR="0A9D7AFF"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świadczeń w ilości i czasie adekwatnym do uzasadnionych potrzeb zdrowotnych. Podkreśla to również </w:t>
      </w:r>
      <w:r w:rsidR="79AF501C" w:rsidRPr="00890249">
        <w:rPr>
          <w:rFonts w:asciiTheme="minorHAnsi" w:hAnsiTheme="minorHAnsi" w:cstheme="minorHAnsi"/>
          <w:i/>
          <w:iCs/>
          <w:sz w:val="22"/>
          <w:szCs w:val="22"/>
          <w:lang w:eastAsia="en-US" w:bidi="ar-SA"/>
        </w:rPr>
        <w:t>Europejski filar praw socjalnych</w:t>
      </w:r>
      <w:r w:rsidRPr="00890249">
        <w:rPr>
          <w:rFonts w:asciiTheme="minorHAnsi" w:hAnsiTheme="minorHAnsi" w:cstheme="minorHAnsi"/>
          <w:sz w:val="22"/>
          <w:szCs w:val="22"/>
          <w:lang w:eastAsia="en-US" w:bidi="ar-SA"/>
        </w:rPr>
        <w:t xml:space="preserve">, zgodnie z którym każdy ma prawo do szybkiego dostępu do przystępnej cenowo, prewencyjnej i objawowej opieki zdrowotnej dobrej jakości. W tym kontekście zarówno na poziomie kraju i regionu są grupy, których dostęp do świadczeń jest znacznie utrudniony. W </w:t>
      </w:r>
      <w:r w:rsidR="0A9D7AFF" w:rsidRPr="00890249">
        <w:rPr>
          <w:rFonts w:asciiTheme="minorHAnsi" w:hAnsiTheme="minorHAnsi" w:cstheme="minorHAnsi"/>
          <w:sz w:val="22"/>
          <w:szCs w:val="22"/>
          <w:lang w:eastAsia="en-US" w:bidi="ar-SA"/>
        </w:rPr>
        <w:t xml:space="preserve">woj. </w:t>
      </w:r>
      <w:r w:rsidRPr="00890249">
        <w:rPr>
          <w:rFonts w:asciiTheme="minorHAnsi" w:hAnsiTheme="minorHAnsi" w:cstheme="minorHAnsi"/>
          <w:sz w:val="22"/>
          <w:szCs w:val="22"/>
          <w:lang w:eastAsia="en-US" w:bidi="ar-SA"/>
        </w:rPr>
        <w:t>opolskim do takich grup należą zwłaszcza: osoby o niż</w:t>
      </w:r>
      <w:r w:rsidR="30F42881" w:rsidRPr="00890249">
        <w:rPr>
          <w:rFonts w:asciiTheme="minorHAnsi" w:hAnsiTheme="minorHAnsi" w:cstheme="minorHAnsi"/>
          <w:sz w:val="22"/>
          <w:szCs w:val="22"/>
          <w:lang w:eastAsia="en-US" w:bidi="ar-SA"/>
        </w:rPr>
        <w:t>szych dochodach oraz</w:t>
      </w:r>
      <w:r w:rsidRPr="00890249">
        <w:rPr>
          <w:rFonts w:asciiTheme="minorHAnsi" w:hAnsiTheme="minorHAnsi" w:cstheme="minorHAnsi"/>
          <w:sz w:val="22"/>
          <w:szCs w:val="22"/>
          <w:lang w:eastAsia="en-US" w:bidi="ar-SA"/>
        </w:rPr>
        <w:t xml:space="preserve"> osoby </w:t>
      </w:r>
      <w:r w:rsidR="00F823E7">
        <w:rPr>
          <w:rFonts w:asciiTheme="minorHAnsi" w:hAnsiTheme="minorHAnsi" w:cstheme="minorHAnsi"/>
          <w:sz w:val="22"/>
          <w:szCs w:val="22"/>
          <w:lang w:eastAsia="en-US" w:bidi="ar-SA"/>
        </w:rPr>
        <w:t>o </w:t>
      </w:r>
      <w:r w:rsidRPr="00890249">
        <w:rPr>
          <w:rFonts w:asciiTheme="minorHAnsi" w:hAnsiTheme="minorHAnsi" w:cstheme="minorHAnsi"/>
          <w:sz w:val="22"/>
          <w:szCs w:val="22"/>
          <w:lang w:eastAsia="en-US" w:bidi="ar-SA"/>
        </w:rPr>
        <w:t>ograniczonej mobilności</w:t>
      </w:r>
      <w:r w:rsidR="30F42881" w:rsidRPr="00890249">
        <w:rPr>
          <w:rFonts w:asciiTheme="minorHAnsi" w:hAnsiTheme="minorHAnsi" w:cstheme="minorHAnsi"/>
          <w:sz w:val="22"/>
          <w:szCs w:val="22"/>
          <w:lang w:eastAsia="en-US" w:bidi="ar-SA"/>
        </w:rPr>
        <w:t xml:space="preserve"> (starsze i z niepełnosprawnościami)</w:t>
      </w:r>
      <w:r w:rsidRPr="00890249">
        <w:rPr>
          <w:rFonts w:asciiTheme="minorHAnsi" w:hAnsiTheme="minorHAnsi" w:cstheme="minorHAnsi"/>
          <w:sz w:val="22"/>
          <w:szCs w:val="22"/>
          <w:lang w:eastAsia="en-US" w:bidi="ar-SA"/>
        </w:rPr>
        <w:t>.</w:t>
      </w:r>
      <w:r w:rsidR="30F42881" w:rsidRPr="00890249">
        <w:rPr>
          <w:rFonts w:asciiTheme="minorHAnsi" w:hAnsiTheme="minorHAnsi" w:cstheme="minorHAnsi"/>
          <w:sz w:val="22"/>
          <w:szCs w:val="22"/>
          <w:lang w:eastAsia="en-US" w:bidi="ar-SA"/>
        </w:rPr>
        <w:t xml:space="preserve"> Ponadto, zgodnie z </w:t>
      </w:r>
      <w:r w:rsidR="79AF501C" w:rsidRPr="00890249">
        <w:rPr>
          <w:rFonts w:asciiTheme="minorHAnsi" w:hAnsiTheme="minorHAnsi" w:cstheme="minorHAnsi"/>
          <w:i/>
          <w:iCs/>
          <w:sz w:val="22"/>
          <w:szCs w:val="22"/>
          <w:lang w:eastAsia="en-US" w:bidi="ar-SA"/>
        </w:rPr>
        <w:t>Zaleceniami Rady</w:t>
      </w:r>
      <w:r w:rsidR="30F42881" w:rsidRPr="00890249">
        <w:rPr>
          <w:rFonts w:asciiTheme="minorHAnsi" w:hAnsiTheme="minorHAnsi" w:cstheme="minorHAnsi"/>
          <w:sz w:val="22"/>
          <w:szCs w:val="22"/>
          <w:lang w:eastAsia="en-US" w:bidi="ar-SA"/>
        </w:rPr>
        <w:t xml:space="preserve"> </w:t>
      </w:r>
      <w:r w:rsidR="79AF501C" w:rsidRPr="00890249">
        <w:rPr>
          <w:rFonts w:asciiTheme="minorHAnsi" w:hAnsiTheme="minorHAnsi" w:cstheme="minorHAnsi"/>
          <w:i/>
          <w:iCs/>
          <w:sz w:val="22"/>
          <w:szCs w:val="22"/>
          <w:lang w:eastAsia="en-US" w:bidi="ar-SA"/>
        </w:rPr>
        <w:t>(UE)</w:t>
      </w:r>
      <w:r w:rsidR="30F42881" w:rsidRPr="00890249">
        <w:rPr>
          <w:rFonts w:asciiTheme="minorHAnsi" w:hAnsiTheme="minorHAnsi" w:cstheme="minorHAnsi"/>
          <w:sz w:val="22"/>
          <w:szCs w:val="22"/>
          <w:lang w:eastAsia="en-US" w:bidi="ar-SA"/>
        </w:rPr>
        <w:t xml:space="preserve"> </w:t>
      </w:r>
      <w:r w:rsidR="79AF501C" w:rsidRPr="00890249">
        <w:rPr>
          <w:rFonts w:asciiTheme="minorHAnsi" w:hAnsiTheme="minorHAnsi" w:cstheme="minorHAnsi"/>
          <w:i/>
          <w:iCs/>
          <w:sz w:val="22"/>
          <w:szCs w:val="22"/>
          <w:lang w:eastAsia="en-US" w:bidi="ar-SA"/>
        </w:rPr>
        <w:t>w sprawie ustanowienia europejskiej gwarancji dla dzieci</w:t>
      </w:r>
      <w:r w:rsidR="00C826B1" w:rsidRPr="00890249">
        <w:rPr>
          <w:rStyle w:val="Odwoanieprzypisudolnego"/>
          <w:rFonts w:asciiTheme="minorHAnsi" w:eastAsiaTheme="minorEastAsia" w:hAnsiTheme="minorHAnsi" w:cstheme="minorHAnsi"/>
          <w:i/>
          <w:iCs/>
          <w:sz w:val="22"/>
          <w:szCs w:val="22"/>
          <w:lang w:eastAsia="en-US" w:bidi="ar-SA"/>
        </w:rPr>
        <w:footnoteReference w:id="206"/>
      </w:r>
      <w:r w:rsidR="30F42881" w:rsidRPr="00890249">
        <w:rPr>
          <w:rFonts w:asciiTheme="minorHAnsi" w:hAnsiTheme="minorHAnsi" w:cstheme="minorHAnsi"/>
          <w:sz w:val="22"/>
          <w:szCs w:val="22"/>
          <w:lang w:eastAsia="en-US" w:bidi="ar-SA"/>
        </w:rPr>
        <w:t>, usł</w:t>
      </w:r>
      <w:r w:rsidR="68A2C5DD" w:rsidRPr="00890249">
        <w:rPr>
          <w:rFonts w:asciiTheme="minorHAnsi" w:hAnsiTheme="minorHAnsi" w:cstheme="minorHAnsi"/>
          <w:sz w:val="22"/>
          <w:szCs w:val="22"/>
          <w:lang w:eastAsia="en-US" w:bidi="ar-SA"/>
        </w:rPr>
        <w:t>ugami</w:t>
      </w:r>
      <w:r w:rsidR="30F42881" w:rsidRPr="00890249">
        <w:rPr>
          <w:rFonts w:asciiTheme="minorHAnsi" w:hAnsiTheme="minorHAnsi" w:cstheme="minorHAnsi"/>
          <w:sz w:val="22"/>
          <w:szCs w:val="22"/>
          <w:lang w:eastAsia="en-US" w:bidi="ar-SA"/>
        </w:rPr>
        <w:t xml:space="preserve"> zdrowotnymi objęte zostaną </w:t>
      </w:r>
      <w:r w:rsidR="1542F1C1" w:rsidRPr="00890249">
        <w:rPr>
          <w:rFonts w:asciiTheme="minorHAnsi" w:hAnsiTheme="minorHAnsi" w:cstheme="minorHAnsi"/>
          <w:sz w:val="22"/>
          <w:szCs w:val="22"/>
          <w:lang w:eastAsia="en-US" w:bidi="ar-SA"/>
        </w:rPr>
        <w:t xml:space="preserve">w pierwszej kolejności </w:t>
      </w:r>
      <w:r w:rsidR="30F42881" w:rsidRPr="00890249">
        <w:rPr>
          <w:rFonts w:asciiTheme="minorHAnsi" w:hAnsiTheme="minorHAnsi" w:cstheme="minorHAnsi"/>
          <w:sz w:val="22"/>
          <w:szCs w:val="22"/>
          <w:lang w:eastAsia="en-US" w:bidi="ar-SA"/>
        </w:rPr>
        <w:t>dzieci</w:t>
      </w:r>
      <w:r w:rsidR="1542F1C1" w:rsidRPr="00890249">
        <w:rPr>
          <w:rFonts w:asciiTheme="minorHAnsi" w:hAnsiTheme="minorHAnsi" w:cstheme="minorHAnsi"/>
          <w:sz w:val="22"/>
          <w:szCs w:val="22"/>
          <w:lang w:eastAsia="en-US" w:bidi="ar-SA"/>
        </w:rPr>
        <w:t xml:space="preserve"> z rodzin wielodzietnych</w:t>
      </w:r>
      <w:r w:rsidR="29BEF461" w:rsidRPr="00890249">
        <w:rPr>
          <w:rFonts w:asciiTheme="minorHAnsi" w:hAnsiTheme="minorHAnsi" w:cstheme="minorHAnsi"/>
          <w:sz w:val="22"/>
          <w:szCs w:val="22"/>
          <w:lang w:eastAsia="en-US" w:bidi="ar-SA"/>
        </w:rPr>
        <w:t>,</w:t>
      </w:r>
      <w:r w:rsidR="1542F1C1" w:rsidRPr="00890249">
        <w:rPr>
          <w:rFonts w:asciiTheme="minorHAnsi" w:hAnsiTheme="minorHAnsi" w:cstheme="minorHAnsi"/>
          <w:sz w:val="22"/>
          <w:szCs w:val="22"/>
          <w:lang w:eastAsia="en-US" w:bidi="ar-SA"/>
        </w:rPr>
        <w:t xml:space="preserve"> </w:t>
      </w:r>
      <w:r w:rsidR="29BEF461" w:rsidRPr="00890249">
        <w:rPr>
          <w:rFonts w:asciiTheme="minorHAnsi" w:hAnsiTheme="minorHAnsi" w:cstheme="minorHAnsi"/>
          <w:sz w:val="22"/>
          <w:szCs w:val="22"/>
          <w:lang w:eastAsia="en-US" w:bidi="ar-SA"/>
        </w:rPr>
        <w:t xml:space="preserve">dysfunkcyjnych, </w:t>
      </w:r>
      <w:r w:rsidR="00F823E7">
        <w:rPr>
          <w:rFonts w:asciiTheme="minorHAnsi" w:hAnsiTheme="minorHAnsi" w:cstheme="minorHAnsi"/>
          <w:sz w:val="22"/>
          <w:szCs w:val="22"/>
          <w:lang w:eastAsia="en-US" w:bidi="ar-SA"/>
        </w:rPr>
        <w:t>utrzymujących się z </w:t>
      </w:r>
      <w:r w:rsidR="1542F1C1" w:rsidRPr="00890249">
        <w:rPr>
          <w:rFonts w:asciiTheme="minorHAnsi" w:hAnsiTheme="minorHAnsi" w:cstheme="minorHAnsi"/>
          <w:sz w:val="22"/>
          <w:szCs w:val="22"/>
          <w:lang w:eastAsia="en-US" w:bidi="ar-SA"/>
        </w:rPr>
        <w:t>niezarobkowych źródeł</w:t>
      </w:r>
      <w:r w:rsidR="00FA2B91" w:rsidRPr="00890249">
        <w:rPr>
          <w:rStyle w:val="Odwoanieprzypisudolnego"/>
          <w:rFonts w:asciiTheme="minorHAnsi" w:eastAsiaTheme="minorHAnsi" w:hAnsiTheme="minorHAnsi" w:cstheme="minorHAnsi"/>
          <w:sz w:val="22"/>
          <w:szCs w:val="22"/>
          <w:lang w:eastAsia="en-US" w:bidi="ar-SA"/>
        </w:rPr>
        <w:footnoteReference w:id="207"/>
      </w:r>
      <w:r w:rsidR="1542F1C1" w:rsidRPr="00890249">
        <w:rPr>
          <w:rFonts w:asciiTheme="minorHAnsi" w:hAnsiTheme="minorHAnsi" w:cstheme="minorHAnsi"/>
          <w:sz w:val="22"/>
          <w:szCs w:val="22"/>
          <w:lang w:eastAsia="en-US" w:bidi="ar-SA"/>
        </w:rPr>
        <w:t xml:space="preserve"> </w:t>
      </w:r>
      <w:r w:rsidR="29BEF461" w:rsidRPr="00890249">
        <w:rPr>
          <w:rFonts w:asciiTheme="minorHAnsi" w:hAnsiTheme="minorHAnsi" w:cstheme="minorHAnsi"/>
          <w:sz w:val="22"/>
          <w:szCs w:val="22"/>
          <w:lang w:eastAsia="en-US" w:bidi="ar-SA"/>
        </w:rPr>
        <w:t>oraz</w:t>
      </w:r>
      <w:r w:rsidR="30F42881" w:rsidRPr="00890249">
        <w:rPr>
          <w:rFonts w:asciiTheme="minorHAnsi" w:hAnsiTheme="minorHAnsi" w:cstheme="minorHAnsi"/>
          <w:sz w:val="22"/>
          <w:szCs w:val="22"/>
          <w:lang w:eastAsia="en-US" w:bidi="ar-SA"/>
        </w:rPr>
        <w:t xml:space="preserve"> z niepełnosprawnościami, pochodzące ze środowisk migracyjnych</w:t>
      </w:r>
      <w:r w:rsidR="29BEF461" w:rsidRPr="00890249">
        <w:rPr>
          <w:rFonts w:asciiTheme="minorHAnsi" w:hAnsiTheme="minorHAnsi" w:cstheme="minorHAnsi"/>
          <w:sz w:val="22"/>
          <w:szCs w:val="22"/>
          <w:lang w:eastAsia="en-US" w:bidi="ar-SA"/>
        </w:rPr>
        <w:t xml:space="preserve">, </w:t>
      </w:r>
      <w:r w:rsidR="30F42881" w:rsidRPr="00890249">
        <w:rPr>
          <w:rFonts w:asciiTheme="minorHAnsi" w:hAnsiTheme="minorHAnsi" w:cstheme="minorHAnsi"/>
          <w:sz w:val="22"/>
          <w:szCs w:val="22"/>
          <w:lang w:eastAsia="en-US" w:bidi="ar-SA"/>
        </w:rPr>
        <w:t>z</w:t>
      </w:r>
      <w:r w:rsidR="68A2C5DD" w:rsidRPr="00890249">
        <w:rPr>
          <w:rFonts w:asciiTheme="minorHAnsi" w:hAnsiTheme="minorHAnsi" w:cstheme="minorHAnsi"/>
          <w:sz w:val="22"/>
          <w:szCs w:val="22"/>
          <w:lang w:eastAsia="en-US" w:bidi="ar-SA"/>
        </w:rPr>
        <w:t>e społeczności romskiej</w:t>
      </w:r>
      <w:r w:rsidR="29BEF461" w:rsidRPr="00890249">
        <w:rPr>
          <w:rFonts w:asciiTheme="minorHAnsi" w:hAnsiTheme="minorHAnsi" w:cstheme="minorHAnsi"/>
          <w:sz w:val="22"/>
          <w:szCs w:val="22"/>
          <w:lang w:eastAsia="en-US" w:bidi="ar-SA"/>
        </w:rPr>
        <w:t xml:space="preserve"> </w:t>
      </w:r>
      <w:r w:rsidR="30F42881" w:rsidRPr="00890249">
        <w:rPr>
          <w:rFonts w:asciiTheme="minorHAnsi" w:hAnsiTheme="minorHAnsi" w:cstheme="minorHAnsi"/>
          <w:sz w:val="22"/>
          <w:szCs w:val="22"/>
          <w:lang w:eastAsia="en-US" w:bidi="ar-SA"/>
        </w:rPr>
        <w:t>lub pozbawione opieki rodzicielskiej.</w:t>
      </w:r>
    </w:p>
    <w:p w14:paraId="51044003" w14:textId="0F6A9B0D" w:rsidR="0093433C" w:rsidRPr="00890249" w:rsidRDefault="007269F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W związku z powyższym przewiduje się podjęcie szeregu działań zmierzających do poprawy dostępn</w:t>
      </w:r>
      <w:r w:rsidR="007E744A"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usług zdrowotnych, w tym z zakresu deinstytucjonalizacji</w:t>
      </w:r>
      <w:r w:rsidR="0057406C" w:rsidRPr="00890249">
        <w:rPr>
          <w:rFonts w:asciiTheme="minorHAnsi" w:hAnsiTheme="minorHAnsi" w:cstheme="minorHAnsi"/>
          <w:sz w:val="22"/>
          <w:szCs w:val="22"/>
          <w:lang w:eastAsia="en-US" w:bidi="ar-SA"/>
        </w:rPr>
        <w:t xml:space="preserve"> </w:t>
      </w:r>
      <w:r w:rsidR="00B5548E" w:rsidRPr="00890249">
        <w:rPr>
          <w:rFonts w:asciiTheme="minorHAnsi" w:hAnsiTheme="minorHAnsi" w:cstheme="minorHAnsi"/>
          <w:sz w:val="22"/>
          <w:szCs w:val="22"/>
          <w:lang w:eastAsia="en-US" w:bidi="ar-SA"/>
        </w:rPr>
        <w:t xml:space="preserve">(DI) </w:t>
      </w:r>
      <w:r w:rsidR="0057406C" w:rsidRPr="00890249">
        <w:rPr>
          <w:rFonts w:asciiTheme="minorHAnsi" w:hAnsiTheme="minorHAnsi" w:cstheme="minorHAnsi"/>
          <w:sz w:val="22"/>
          <w:szCs w:val="22"/>
          <w:lang w:eastAsia="en-US" w:bidi="ar-SA"/>
        </w:rPr>
        <w:t>opieki, zwiększenia roli POZ i </w:t>
      </w:r>
      <w:r w:rsidRPr="00890249">
        <w:rPr>
          <w:rFonts w:asciiTheme="minorHAnsi" w:hAnsiTheme="minorHAnsi" w:cstheme="minorHAnsi"/>
          <w:sz w:val="22"/>
          <w:szCs w:val="22"/>
          <w:lang w:eastAsia="en-US" w:bidi="ar-SA"/>
        </w:rPr>
        <w:t xml:space="preserve">AOS oraz </w:t>
      </w:r>
      <w:r w:rsidR="00550060" w:rsidRPr="00890249">
        <w:rPr>
          <w:rFonts w:asciiTheme="minorHAnsi" w:hAnsiTheme="minorHAnsi" w:cstheme="minorHAnsi"/>
          <w:sz w:val="22"/>
          <w:szCs w:val="22"/>
          <w:lang w:eastAsia="en-US" w:bidi="ar-SA"/>
        </w:rPr>
        <w:t xml:space="preserve"> zasob</w:t>
      </w:r>
      <w:r w:rsidR="00636B94" w:rsidRPr="00890249">
        <w:rPr>
          <w:rFonts w:asciiTheme="minorHAnsi" w:hAnsiTheme="minorHAnsi" w:cstheme="minorHAnsi"/>
          <w:sz w:val="22"/>
          <w:szCs w:val="22"/>
          <w:lang w:eastAsia="en-US" w:bidi="ar-SA"/>
        </w:rPr>
        <w:t>ów</w:t>
      </w:r>
      <w:r w:rsidR="00550060"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kadry medycznej. </w:t>
      </w:r>
    </w:p>
    <w:p w14:paraId="67481F1D" w14:textId="138151BD" w:rsidR="0093433C" w:rsidRPr="00890249" w:rsidRDefault="0FCE44F8" w:rsidP="00890249">
      <w:pPr>
        <w:pStyle w:val="Tekstpodstawowy"/>
        <w:rPr>
          <w:rFonts w:asciiTheme="minorHAnsi" w:hAnsiTheme="minorHAnsi" w:cstheme="minorHAnsi"/>
          <w:sz w:val="22"/>
          <w:szCs w:val="22"/>
        </w:rPr>
      </w:pPr>
      <w:r w:rsidRPr="00890249">
        <w:rPr>
          <w:rFonts w:asciiTheme="minorHAnsi" w:eastAsiaTheme="minorEastAsia" w:hAnsiTheme="minorHAnsi" w:cstheme="minorHAnsi"/>
          <w:sz w:val="22"/>
          <w:szCs w:val="22"/>
          <w:lang w:eastAsia="en-US" w:bidi="ar-SA"/>
        </w:rPr>
        <w:t xml:space="preserve">Działania skierowane do POZ i AOS powinny zostać ukierunkowane na </w:t>
      </w:r>
      <w:r w:rsidR="79AF501C" w:rsidRPr="00890249">
        <w:rPr>
          <w:rFonts w:asciiTheme="minorHAnsi" w:hAnsiTheme="minorHAnsi" w:cstheme="minorHAnsi"/>
          <w:sz w:val="22"/>
          <w:szCs w:val="22"/>
        </w:rPr>
        <w:t xml:space="preserve">zwiększenie zakresu </w:t>
      </w:r>
      <w:r w:rsidR="29BEF461" w:rsidRPr="00890249">
        <w:rPr>
          <w:rFonts w:asciiTheme="minorHAnsi" w:hAnsiTheme="minorHAnsi" w:cstheme="minorHAnsi"/>
          <w:sz w:val="22"/>
          <w:szCs w:val="22"/>
        </w:rPr>
        <w:t xml:space="preserve">i jakości </w:t>
      </w:r>
      <w:r w:rsidR="79AF501C" w:rsidRPr="00890249">
        <w:rPr>
          <w:rFonts w:asciiTheme="minorHAnsi" w:hAnsiTheme="minorHAnsi" w:cstheme="minorHAnsi"/>
          <w:sz w:val="22"/>
          <w:szCs w:val="22"/>
        </w:rPr>
        <w:t>realizowanych usług</w:t>
      </w:r>
      <w:r w:rsidR="68A2C5DD" w:rsidRPr="00890249">
        <w:rPr>
          <w:rFonts w:asciiTheme="minorHAnsi" w:hAnsiTheme="minorHAnsi" w:cstheme="minorHAnsi"/>
          <w:sz w:val="22"/>
          <w:szCs w:val="22"/>
        </w:rPr>
        <w:t xml:space="preserve">. </w:t>
      </w:r>
      <w:r w:rsidR="79AF501C" w:rsidRPr="00890249">
        <w:rPr>
          <w:rFonts w:asciiTheme="minorHAnsi" w:hAnsiTheme="minorHAnsi" w:cstheme="minorHAnsi"/>
          <w:sz w:val="22"/>
          <w:szCs w:val="22"/>
        </w:rPr>
        <w:t xml:space="preserve">Wg danych GUS z 2017 r. placówki świadczące ambulatoryjną opiekę zdrowotną (w tym POZ) nie są wystarczająco </w:t>
      </w:r>
      <w:r w:rsidR="63EC5186" w:rsidRPr="00890249">
        <w:rPr>
          <w:rFonts w:asciiTheme="minorHAnsi" w:hAnsiTheme="minorHAnsi" w:cstheme="minorHAnsi"/>
          <w:sz w:val="22"/>
          <w:szCs w:val="22"/>
        </w:rPr>
        <w:t>przystosowane</w:t>
      </w:r>
      <w:r w:rsidR="79AF501C" w:rsidRPr="00890249">
        <w:rPr>
          <w:rFonts w:asciiTheme="minorHAnsi" w:hAnsiTheme="minorHAnsi" w:cstheme="minorHAnsi"/>
          <w:sz w:val="22"/>
          <w:szCs w:val="22"/>
        </w:rPr>
        <w:t xml:space="preserve"> do potrzeb osób z niepełnospr</w:t>
      </w:r>
      <w:r w:rsidR="386C0F95" w:rsidRPr="00890249">
        <w:rPr>
          <w:rFonts w:asciiTheme="minorHAnsi" w:hAnsiTheme="minorHAnsi" w:cstheme="minorHAnsi"/>
          <w:sz w:val="22"/>
          <w:szCs w:val="22"/>
        </w:rPr>
        <w:t>.</w:t>
      </w:r>
      <w:r w:rsidR="00A91920" w:rsidRPr="00890249">
        <w:rPr>
          <w:rStyle w:val="Odwoanieprzypisudolnego"/>
          <w:rFonts w:asciiTheme="minorHAnsi" w:eastAsiaTheme="minorEastAsia" w:hAnsiTheme="minorHAnsi" w:cstheme="minorHAnsi"/>
          <w:sz w:val="22"/>
          <w:szCs w:val="22"/>
          <w:lang w:eastAsia="en-US" w:bidi="ar-SA"/>
        </w:rPr>
        <w:footnoteReference w:id="208"/>
      </w:r>
      <w:r w:rsidRPr="00890249">
        <w:rPr>
          <w:rFonts w:asciiTheme="minorHAnsi" w:eastAsiaTheme="minorEastAsia" w:hAnsiTheme="minorHAnsi" w:cstheme="minorHAnsi"/>
          <w:sz w:val="22"/>
          <w:szCs w:val="22"/>
          <w:lang w:eastAsia="en-US" w:bidi="ar-SA"/>
        </w:rPr>
        <w:t>.</w:t>
      </w:r>
      <w:r w:rsidR="79AF501C" w:rsidRPr="00890249">
        <w:rPr>
          <w:rFonts w:asciiTheme="minorHAnsi" w:hAnsiTheme="minorHAnsi" w:cstheme="minorHAnsi"/>
          <w:sz w:val="22"/>
          <w:szCs w:val="22"/>
        </w:rPr>
        <w:t xml:space="preserve"> </w:t>
      </w:r>
    </w:p>
    <w:p w14:paraId="79D3014C" w14:textId="415BF1D6" w:rsidR="0093433C" w:rsidRPr="00890249" w:rsidRDefault="003C25D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przypadku osób</w:t>
      </w:r>
      <w:r w:rsidR="008374CE" w:rsidRPr="00890249">
        <w:rPr>
          <w:rFonts w:asciiTheme="minorHAnsi" w:hAnsiTheme="minorHAnsi" w:cstheme="minorHAnsi"/>
          <w:sz w:val="22"/>
          <w:szCs w:val="22"/>
        </w:rPr>
        <w:t xml:space="preserve"> starszych i z niepełnospr</w:t>
      </w:r>
      <w:r w:rsidR="00FB5786" w:rsidRPr="00890249">
        <w:rPr>
          <w:rFonts w:asciiTheme="minorHAnsi" w:hAnsiTheme="minorHAnsi" w:cstheme="minorHAnsi"/>
          <w:sz w:val="22"/>
          <w:szCs w:val="22"/>
        </w:rPr>
        <w:t>.</w:t>
      </w:r>
      <w:r w:rsidR="008374CE" w:rsidRPr="00890249">
        <w:rPr>
          <w:rFonts w:asciiTheme="minorHAnsi" w:hAnsiTheme="minorHAnsi" w:cstheme="minorHAnsi"/>
          <w:sz w:val="22"/>
          <w:szCs w:val="22"/>
        </w:rPr>
        <w:t xml:space="preserve">, w tym zamieszkujących tereny wiejskie, </w:t>
      </w:r>
      <w:r w:rsidRPr="00890249">
        <w:rPr>
          <w:rFonts w:asciiTheme="minorHAnsi" w:hAnsiTheme="minorHAnsi" w:cstheme="minorHAnsi"/>
          <w:sz w:val="22"/>
          <w:szCs w:val="22"/>
        </w:rPr>
        <w:t xml:space="preserve">zwiększenie dostępu do usług zdrowotnych </w:t>
      </w:r>
      <w:r w:rsidR="008374CE" w:rsidRPr="00890249">
        <w:rPr>
          <w:rFonts w:asciiTheme="minorHAnsi" w:hAnsiTheme="minorHAnsi" w:cstheme="minorHAnsi"/>
          <w:sz w:val="22"/>
          <w:szCs w:val="22"/>
        </w:rPr>
        <w:t xml:space="preserve">możliwe </w:t>
      </w:r>
      <w:r w:rsidRPr="00890249">
        <w:rPr>
          <w:rFonts w:asciiTheme="minorHAnsi" w:hAnsiTheme="minorHAnsi" w:cstheme="minorHAnsi"/>
          <w:sz w:val="22"/>
          <w:szCs w:val="22"/>
        </w:rPr>
        <w:t xml:space="preserve">będzie </w:t>
      </w:r>
      <w:r w:rsidR="008374CE" w:rsidRPr="00890249">
        <w:rPr>
          <w:rFonts w:asciiTheme="minorHAnsi" w:hAnsiTheme="minorHAnsi" w:cstheme="minorHAnsi"/>
          <w:sz w:val="22"/>
          <w:szCs w:val="22"/>
        </w:rPr>
        <w:t xml:space="preserve">dzięki rozwojowi m.in. usług świadczonych drogą elektroniczną </w:t>
      </w:r>
      <w:r w:rsidRPr="00890249">
        <w:rPr>
          <w:rFonts w:asciiTheme="minorHAnsi" w:hAnsiTheme="minorHAnsi" w:cstheme="minorHAnsi"/>
          <w:sz w:val="22"/>
          <w:szCs w:val="22"/>
        </w:rPr>
        <w:t xml:space="preserve">oraz komplementarnych usług społecznych takich jak </w:t>
      </w:r>
      <w:r w:rsidR="008374CE" w:rsidRPr="00890249">
        <w:rPr>
          <w:rFonts w:asciiTheme="minorHAnsi" w:hAnsiTheme="minorHAnsi" w:cstheme="minorHAnsi"/>
          <w:sz w:val="22"/>
          <w:szCs w:val="22"/>
        </w:rPr>
        <w:t>usług</w:t>
      </w:r>
      <w:r w:rsidRPr="00890249">
        <w:rPr>
          <w:rFonts w:asciiTheme="minorHAnsi" w:hAnsiTheme="minorHAnsi" w:cstheme="minorHAnsi"/>
          <w:sz w:val="22"/>
          <w:szCs w:val="22"/>
        </w:rPr>
        <w:t>i</w:t>
      </w:r>
      <w:r w:rsidR="008374CE" w:rsidRPr="00890249">
        <w:rPr>
          <w:rFonts w:asciiTheme="minorHAnsi" w:hAnsiTheme="minorHAnsi" w:cstheme="minorHAnsi"/>
          <w:sz w:val="22"/>
          <w:szCs w:val="22"/>
        </w:rPr>
        <w:t xml:space="preserve"> dowozu</w:t>
      </w:r>
      <w:r w:rsidR="00C826B1" w:rsidRPr="00890249">
        <w:rPr>
          <w:rFonts w:asciiTheme="minorHAnsi" w:hAnsiTheme="minorHAnsi" w:cstheme="minorHAnsi"/>
          <w:sz w:val="22"/>
          <w:szCs w:val="22"/>
        </w:rPr>
        <w:t xml:space="preserve"> w celu zapewnienia podst</w:t>
      </w:r>
      <w:r w:rsidR="00636B94" w:rsidRPr="00890249">
        <w:rPr>
          <w:rFonts w:asciiTheme="minorHAnsi" w:hAnsiTheme="minorHAnsi" w:cstheme="minorHAnsi"/>
          <w:sz w:val="22"/>
          <w:szCs w:val="22"/>
        </w:rPr>
        <w:t>awowych</w:t>
      </w:r>
      <w:r w:rsidR="00C826B1" w:rsidRPr="00890249">
        <w:rPr>
          <w:rFonts w:asciiTheme="minorHAnsi" w:hAnsiTheme="minorHAnsi" w:cstheme="minorHAnsi"/>
          <w:sz w:val="22"/>
          <w:szCs w:val="22"/>
        </w:rPr>
        <w:t xml:space="preserve"> potrzeb życiowych</w:t>
      </w:r>
      <w:r w:rsidR="008374CE" w:rsidRPr="00890249">
        <w:rPr>
          <w:rFonts w:asciiTheme="minorHAnsi" w:hAnsiTheme="minorHAnsi" w:cstheme="minorHAnsi"/>
          <w:sz w:val="22"/>
          <w:szCs w:val="22"/>
        </w:rPr>
        <w:t>.</w:t>
      </w:r>
    </w:p>
    <w:p w14:paraId="09DD10BA" w14:textId="5018727C" w:rsidR="006C3877" w:rsidRPr="00890249" w:rsidRDefault="00A9192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rPr>
        <w:t xml:space="preserve">Aby zniwelować </w:t>
      </w:r>
      <w:r w:rsidR="007C1167" w:rsidRPr="00890249">
        <w:rPr>
          <w:rFonts w:asciiTheme="minorHAnsi" w:hAnsiTheme="minorHAnsi" w:cstheme="minorHAnsi"/>
          <w:sz w:val="22"/>
          <w:szCs w:val="22"/>
        </w:rPr>
        <w:t>problem</w:t>
      </w:r>
      <w:r w:rsidR="00EA0D51" w:rsidRPr="00890249">
        <w:rPr>
          <w:rFonts w:asciiTheme="minorHAnsi" w:hAnsiTheme="minorHAnsi" w:cstheme="minorHAnsi"/>
          <w:sz w:val="22"/>
          <w:szCs w:val="22"/>
        </w:rPr>
        <w:t xml:space="preserve"> </w:t>
      </w:r>
      <w:r w:rsidR="007269FA" w:rsidRPr="00890249">
        <w:rPr>
          <w:rFonts w:asciiTheme="minorHAnsi" w:hAnsiTheme="minorHAnsi" w:cstheme="minorHAnsi"/>
          <w:sz w:val="22"/>
          <w:szCs w:val="22"/>
        </w:rPr>
        <w:t xml:space="preserve">niedoboru kadry medycznej </w:t>
      </w:r>
      <w:r w:rsidR="00EA0D51" w:rsidRPr="00890249">
        <w:rPr>
          <w:rFonts w:asciiTheme="minorHAnsi" w:hAnsiTheme="minorHAnsi" w:cstheme="minorHAnsi"/>
          <w:sz w:val="22"/>
          <w:szCs w:val="22"/>
        </w:rPr>
        <w:t xml:space="preserve">realizowane </w:t>
      </w:r>
      <w:r w:rsidRPr="00890249">
        <w:rPr>
          <w:rFonts w:asciiTheme="minorHAnsi" w:hAnsiTheme="minorHAnsi" w:cstheme="minorHAnsi"/>
          <w:sz w:val="22"/>
          <w:szCs w:val="22"/>
        </w:rPr>
        <w:t>będą działania ukierunkowane na zatrzymanie w regionie/pozyskanie pracowników spoza regionu w postaci tzw. systemu zachęt</w:t>
      </w:r>
      <w:r w:rsidR="00EA0D51" w:rsidRPr="00890249">
        <w:rPr>
          <w:rFonts w:asciiTheme="minorHAnsi" w:hAnsiTheme="minorHAnsi" w:cstheme="minorHAnsi"/>
          <w:sz w:val="22"/>
          <w:szCs w:val="22"/>
        </w:rPr>
        <w:t xml:space="preserve"> obejmującego </w:t>
      </w:r>
      <w:r w:rsidRPr="00890249">
        <w:rPr>
          <w:rFonts w:asciiTheme="minorHAnsi" w:hAnsiTheme="minorHAnsi" w:cstheme="minorHAnsi"/>
          <w:sz w:val="22"/>
          <w:szCs w:val="22"/>
        </w:rPr>
        <w:t xml:space="preserve">m.in.: dodatek </w:t>
      </w:r>
      <w:r w:rsidR="00EA0D51" w:rsidRPr="00890249">
        <w:rPr>
          <w:rFonts w:asciiTheme="minorHAnsi" w:hAnsiTheme="minorHAnsi" w:cstheme="minorHAnsi"/>
          <w:sz w:val="22"/>
          <w:szCs w:val="22"/>
        </w:rPr>
        <w:t xml:space="preserve">mieszkaniowy, </w:t>
      </w:r>
      <w:r w:rsidRPr="00890249">
        <w:rPr>
          <w:rFonts w:asciiTheme="minorHAnsi" w:hAnsiTheme="minorHAnsi" w:cstheme="minorHAnsi"/>
          <w:sz w:val="22"/>
          <w:szCs w:val="22"/>
        </w:rPr>
        <w:t>refundację k</w:t>
      </w:r>
      <w:r w:rsidR="0057406C" w:rsidRPr="00890249">
        <w:rPr>
          <w:rFonts w:asciiTheme="minorHAnsi" w:hAnsiTheme="minorHAnsi" w:cstheme="minorHAnsi"/>
          <w:sz w:val="22"/>
          <w:szCs w:val="22"/>
        </w:rPr>
        <w:t>osztów przeprowadzki, udziału w </w:t>
      </w:r>
      <w:r w:rsidRPr="00890249">
        <w:rPr>
          <w:rFonts w:asciiTheme="minorHAnsi" w:hAnsiTheme="minorHAnsi" w:cstheme="minorHAnsi"/>
          <w:sz w:val="22"/>
          <w:szCs w:val="22"/>
        </w:rPr>
        <w:t>konferencjach, staże</w:t>
      </w:r>
      <w:r w:rsidR="00807725" w:rsidRPr="00890249">
        <w:rPr>
          <w:rFonts w:asciiTheme="minorHAnsi" w:hAnsiTheme="minorHAnsi" w:cstheme="minorHAnsi"/>
          <w:sz w:val="22"/>
          <w:szCs w:val="22"/>
        </w:rPr>
        <w:t xml:space="preserve"> </w:t>
      </w:r>
      <w:r w:rsidRPr="00890249">
        <w:rPr>
          <w:rFonts w:asciiTheme="minorHAnsi" w:hAnsiTheme="minorHAnsi" w:cstheme="minorHAnsi"/>
          <w:sz w:val="22"/>
          <w:szCs w:val="22"/>
        </w:rPr>
        <w:t>itp.</w:t>
      </w:r>
      <w:r w:rsidR="00D17AEC" w:rsidRPr="00890249">
        <w:rPr>
          <w:rFonts w:asciiTheme="minorHAnsi" w:hAnsiTheme="minorHAnsi" w:cstheme="minorHAnsi"/>
          <w:sz w:val="22"/>
          <w:szCs w:val="22"/>
        </w:rPr>
        <w:t xml:space="preserve"> W pierwszej kolejności </w:t>
      </w:r>
      <w:r w:rsidR="00807725" w:rsidRPr="00890249">
        <w:rPr>
          <w:rFonts w:asciiTheme="minorHAnsi" w:hAnsiTheme="minorHAnsi" w:cstheme="minorHAnsi"/>
          <w:sz w:val="22"/>
          <w:szCs w:val="22"/>
        </w:rPr>
        <w:t>wspierane będzie zwiększani</w:t>
      </w:r>
      <w:r w:rsidR="00260A5D" w:rsidRPr="00890249">
        <w:rPr>
          <w:rFonts w:asciiTheme="minorHAnsi" w:hAnsiTheme="minorHAnsi" w:cstheme="minorHAnsi"/>
          <w:sz w:val="22"/>
          <w:szCs w:val="22"/>
        </w:rPr>
        <w:t>e</w:t>
      </w:r>
      <w:r w:rsidR="00807725" w:rsidRPr="00890249">
        <w:rPr>
          <w:rFonts w:asciiTheme="minorHAnsi" w:hAnsiTheme="minorHAnsi" w:cstheme="minorHAnsi"/>
          <w:sz w:val="22"/>
          <w:szCs w:val="22"/>
        </w:rPr>
        <w:t xml:space="preserve"> zasobów kadrowych na obszarach z największymi deficytami</w:t>
      </w:r>
      <w:r w:rsidR="00D17AEC" w:rsidRPr="00890249">
        <w:rPr>
          <w:rFonts w:asciiTheme="minorHAnsi" w:hAnsiTheme="minorHAnsi" w:cstheme="minorHAnsi"/>
          <w:sz w:val="22"/>
          <w:szCs w:val="22"/>
        </w:rPr>
        <w:t>.</w:t>
      </w:r>
      <w:r w:rsidR="006C3877" w:rsidRPr="00890249">
        <w:rPr>
          <w:rFonts w:asciiTheme="minorHAnsi" w:hAnsiTheme="minorHAnsi" w:cstheme="minorHAnsi"/>
          <w:sz w:val="22"/>
          <w:szCs w:val="22"/>
          <w:lang w:eastAsia="en-US" w:bidi="ar-SA"/>
        </w:rPr>
        <w:t xml:space="preserve"> </w:t>
      </w:r>
    </w:p>
    <w:p w14:paraId="56FEBDEC" w14:textId="055C0CCE" w:rsidR="006C3877" w:rsidRPr="00890249" w:rsidRDefault="006C3877" w:rsidP="006C3877">
      <w:pPr>
        <w:pStyle w:val="Tekstpodstawowy"/>
        <w:rPr>
          <w:rFonts w:asciiTheme="minorHAnsi" w:hAnsiTheme="minorHAnsi" w:cstheme="minorHAnsi"/>
          <w:sz w:val="22"/>
          <w:szCs w:val="22"/>
        </w:rPr>
      </w:pPr>
      <w:r w:rsidRPr="00890249">
        <w:rPr>
          <w:rFonts w:asciiTheme="minorHAnsi" w:hAnsiTheme="minorHAnsi" w:cstheme="minorHAnsi"/>
          <w:sz w:val="22"/>
          <w:szCs w:val="22"/>
          <w:lang w:eastAsia="en-US" w:bidi="ar-SA"/>
        </w:rPr>
        <w:t xml:space="preserve">Szybkie tempo życia i związany z nim stres powodują problemy ze zdrowiem psychicznym, którego efektami są depresje, zaburzenia lękowe, uzależnienia itp. </w:t>
      </w:r>
      <w:r w:rsidRPr="00890249">
        <w:rPr>
          <w:rFonts w:asciiTheme="minorHAnsi" w:hAnsiTheme="minorHAnsi" w:cstheme="minorHAnsi"/>
          <w:sz w:val="22"/>
          <w:szCs w:val="22"/>
        </w:rPr>
        <w:t xml:space="preserve">Mając na uwadze zasadę DI, wsparcie skierowane zostanie m.in. na rozwój usług dla osób dorosłych w Centrach Zdrowia Psychicznego (CZP).  </w:t>
      </w:r>
    </w:p>
    <w:p w14:paraId="01C62A96" w14:textId="25246392" w:rsidR="0093433C" w:rsidRPr="00890249" w:rsidRDefault="00067BF3" w:rsidP="00890249">
      <w:pPr>
        <w:pStyle w:val="Tekstpodstawowy"/>
        <w:rPr>
          <w:rFonts w:asciiTheme="minorHAnsi" w:eastAsiaTheme="minorHAnsi" w:hAnsiTheme="minorHAnsi" w:cstheme="minorHAnsi"/>
          <w:sz w:val="22"/>
          <w:szCs w:val="22"/>
          <w:lang w:eastAsia="en-US" w:bidi="ar-SA"/>
        </w:rPr>
      </w:pPr>
      <w:r w:rsidRPr="00890249">
        <w:rPr>
          <w:rFonts w:asciiTheme="minorHAnsi" w:hAnsiTheme="minorHAnsi" w:cstheme="minorHAnsi"/>
          <w:sz w:val="22"/>
          <w:szCs w:val="22"/>
        </w:rPr>
        <w:t>Na podstawie m.in. Map Potrzeb Zdrowotnych zostanie dokonana analiza w zakresie chorób będących największym problemem w regionie, uwzględniająca główne przyczyny zgonów. Programy profilaktyczne i inne usługi zdrowotne</w:t>
      </w:r>
      <w:r w:rsidR="006C3877" w:rsidRPr="00890249">
        <w:rPr>
          <w:rFonts w:asciiTheme="minorHAnsi" w:hAnsiTheme="minorHAnsi" w:cstheme="minorHAnsi"/>
          <w:sz w:val="22"/>
          <w:szCs w:val="22"/>
        </w:rPr>
        <w:t>, w tym świadczone w CZP,</w:t>
      </w:r>
      <w:r w:rsidRPr="00890249">
        <w:rPr>
          <w:rFonts w:asciiTheme="minorHAnsi" w:hAnsiTheme="minorHAnsi" w:cstheme="minorHAnsi"/>
          <w:sz w:val="22"/>
          <w:szCs w:val="22"/>
        </w:rPr>
        <w:t xml:space="preserve"> będą wdrażane przy zapewnieniu m.in.: dostępności i udziału dla osób w szczególnie trudnej sytuacji, adr</w:t>
      </w:r>
      <w:r w:rsidR="00F823E7">
        <w:rPr>
          <w:rFonts w:asciiTheme="minorHAnsi" w:hAnsiTheme="minorHAnsi" w:cstheme="minorHAnsi"/>
          <w:sz w:val="22"/>
          <w:szCs w:val="22"/>
        </w:rPr>
        <w:t>esowania „białych plam” w </w:t>
      </w:r>
      <w:r w:rsidRPr="00890249">
        <w:rPr>
          <w:rFonts w:asciiTheme="minorHAnsi" w:hAnsiTheme="minorHAnsi" w:cstheme="minorHAnsi"/>
          <w:sz w:val="22"/>
          <w:szCs w:val="22"/>
        </w:rPr>
        <w:t>dostępie do usług, promowania koordynacji opieki zdrowotnej, integracji działań z inwestycjami EFRR, a także koordynacji usług zdrowotnych i społecznych. Programy profilaktyczne i usługi zdrowotne co do zasady nie będą obejmować leczenia i zabiegów medycznych innych</w:t>
      </w:r>
      <w:r w:rsidR="00260A5D" w:rsidRPr="00890249">
        <w:rPr>
          <w:rFonts w:asciiTheme="minorHAnsi" w:hAnsiTheme="minorHAnsi" w:cstheme="minorHAnsi"/>
          <w:sz w:val="22"/>
          <w:szCs w:val="22"/>
        </w:rPr>
        <w:t>,</w:t>
      </w:r>
      <w:r w:rsidRPr="00890249">
        <w:rPr>
          <w:rFonts w:asciiTheme="minorHAnsi" w:hAnsiTheme="minorHAnsi" w:cstheme="minorHAnsi"/>
          <w:sz w:val="22"/>
          <w:szCs w:val="22"/>
        </w:rPr>
        <w:t xml:space="preserve"> niż na potrzeby diagnostyki, gdyż leczenie powinno być finansowane ze środków krajowych.</w:t>
      </w:r>
      <w:r w:rsidR="001F774D">
        <w:rPr>
          <w:rFonts w:asciiTheme="minorHAnsi" w:hAnsiTheme="minorHAnsi" w:cstheme="minorHAnsi"/>
          <w:sz w:val="22"/>
          <w:szCs w:val="22"/>
        </w:rPr>
        <w:t xml:space="preserve"> Wyjątek stanowi opieka długoterminowa</w:t>
      </w:r>
      <w:r w:rsidR="00A90A75">
        <w:rPr>
          <w:rFonts w:asciiTheme="minorHAnsi" w:hAnsiTheme="minorHAnsi" w:cstheme="minorHAnsi"/>
          <w:sz w:val="22"/>
          <w:szCs w:val="22"/>
        </w:rPr>
        <w:t xml:space="preserve"> </w:t>
      </w:r>
      <w:r w:rsidR="001F774D">
        <w:rPr>
          <w:rFonts w:asciiTheme="minorHAnsi" w:hAnsiTheme="minorHAnsi" w:cstheme="minorHAnsi"/>
          <w:sz w:val="22"/>
          <w:szCs w:val="22"/>
        </w:rPr>
        <w:t>w ramach której jako wsparcie uzupełniające możliwe jest finansowanie leczenia</w:t>
      </w:r>
      <w:r w:rsidR="001F774D" w:rsidRPr="00890249">
        <w:rPr>
          <w:rFonts w:asciiTheme="minorHAnsi" w:hAnsiTheme="minorHAnsi" w:cstheme="minorHAnsi"/>
          <w:sz w:val="22"/>
          <w:szCs w:val="22"/>
        </w:rPr>
        <w:t>.</w:t>
      </w:r>
    </w:p>
    <w:p w14:paraId="6886ECB3" w14:textId="25F4948C" w:rsidR="0093433C" w:rsidRPr="00890249" w:rsidRDefault="0020191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A</w:t>
      </w:r>
      <w:r w:rsidR="008430FD" w:rsidRPr="00890249">
        <w:rPr>
          <w:rFonts w:asciiTheme="minorHAnsi" w:hAnsiTheme="minorHAnsi" w:cstheme="minorHAnsi"/>
          <w:sz w:val="22"/>
          <w:szCs w:val="22"/>
          <w:lang w:eastAsia="en-US" w:bidi="ar-SA"/>
        </w:rPr>
        <w:t>by przeciwdziałać wykluczeniu społ</w:t>
      </w:r>
      <w:r w:rsidR="0022016E" w:rsidRPr="00890249">
        <w:rPr>
          <w:rFonts w:asciiTheme="minorHAnsi" w:hAnsiTheme="minorHAnsi" w:cstheme="minorHAnsi"/>
          <w:sz w:val="22"/>
          <w:szCs w:val="22"/>
          <w:lang w:eastAsia="en-US" w:bidi="ar-SA"/>
        </w:rPr>
        <w:t xml:space="preserve">. </w:t>
      </w:r>
      <w:r w:rsidR="008430FD" w:rsidRPr="00890249">
        <w:rPr>
          <w:rFonts w:asciiTheme="minorHAnsi" w:hAnsiTheme="minorHAnsi" w:cstheme="minorHAnsi"/>
          <w:sz w:val="22"/>
          <w:szCs w:val="22"/>
          <w:lang w:eastAsia="en-US" w:bidi="ar-SA"/>
        </w:rPr>
        <w:t>istotna jest poprawa dostępu do usług społecznych</w:t>
      </w:r>
      <w:r w:rsidR="00F823E7">
        <w:rPr>
          <w:rFonts w:asciiTheme="minorHAnsi" w:hAnsiTheme="minorHAnsi" w:cstheme="minorHAnsi"/>
          <w:sz w:val="22"/>
          <w:szCs w:val="22"/>
          <w:lang w:eastAsia="en-US" w:bidi="ar-SA"/>
        </w:rPr>
        <w:t xml:space="preserve"> i </w:t>
      </w:r>
      <w:r w:rsidR="008A46EE" w:rsidRPr="00890249">
        <w:rPr>
          <w:rFonts w:asciiTheme="minorHAnsi" w:hAnsiTheme="minorHAnsi" w:cstheme="minorHAnsi"/>
          <w:sz w:val="22"/>
          <w:szCs w:val="22"/>
          <w:lang w:eastAsia="en-US" w:bidi="ar-SA"/>
        </w:rPr>
        <w:t>zdrowotnych</w:t>
      </w:r>
      <w:r w:rsidR="008430FD" w:rsidRPr="00890249">
        <w:rPr>
          <w:rFonts w:asciiTheme="minorHAnsi" w:hAnsiTheme="minorHAnsi" w:cstheme="minorHAnsi"/>
          <w:sz w:val="22"/>
          <w:szCs w:val="22"/>
          <w:lang w:eastAsia="en-US" w:bidi="ar-SA"/>
        </w:rPr>
        <w:t xml:space="preserve">. </w:t>
      </w:r>
      <w:r w:rsidR="002C7B1D" w:rsidRPr="00890249">
        <w:rPr>
          <w:rFonts w:asciiTheme="minorHAnsi" w:hAnsiTheme="minorHAnsi" w:cstheme="minorHAnsi"/>
          <w:sz w:val="22"/>
          <w:szCs w:val="22"/>
          <w:lang w:eastAsia="en-US" w:bidi="ar-SA"/>
        </w:rPr>
        <w:t>S</w:t>
      </w:r>
      <w:r w:rsidR="008430FD" w:rsidRPr="00890249">
        <w:rPr>
          <w:rFonts w:asciiTheme="minorHAnsi" w:hAnsiTheme="minorHAnsi" w:cstheme="minorHAnsi"/>
          <w:sz w:val="22"/>
          <w:szCs w:val="22"/>
          <w:lang w:eastAsia="en-US" w:bidi="ar-SA"/>
        </w:rPr>
        <w:t>tarzejące się społ</w:t>
      </w:r>
      <w:r w:rsidR="0022016E" w:rsidRPr="00890249">
        <w:rPr>
          <w:rFonts w:asciiTheme="minorHAnsi" w:hAnsiTheme="minorHAnsi" w:cstheme="minorHAnsi"/>
          <w:sz w:val="22"/>
          <w:szCs w:val="22"/>
          <w:lang w:eastAsia="en-US" w:bidi="ar-SA"/>
        </w:rPr>
        <w:t>.</w:t>
      </w:r>
      <w:r w:rsidR="008430FD" w:rsidRPr="00890249">
        <w:rPr>
          <w:rFonts w:asciiTheme="minorHAnsi" w:hAnsiTheme="minorHAnsi" w:cstheme="minorHAnsi"/>
          <w:sz w:val="22"/>
          <w:szCs w:val="22"/>
          <w:lang w:eastAsia="en-US" w:bidi="ar-SA"/>
        </w:rPr>
        <w:t xml:space="preserve"> </w:t>
      </w:r>
      <w:r w:rsidR="002C7B1D" w:rsidRPr="00890249">
        <w:rPr>
          <w:rFonts w:asciiTheme="minorHAnsi" w:hAnsiTheme="minorHAnsi" w:cstheme="minorHAnsi"/>
          <w:sz w:val="22"/>
          <w:szCs w:val="22"/>
          <w:lang w:eastAsia="en-US" w:bidi="ar-SA"/>
        </w:rPr>
        <w:t>powoduje</w:t>
      </w:r>
      <w:r w:rsidR="008430FD" w:rsidRPr="00890249">
        <w:rPr>
          <w:rFonts w:asciiTheme="minorHAnsi" w:hAnsiTheme="minorHAnsi" w:cstheme="minorHAnsi"/>
          <w:sz w:val="22"/>
          <w:szCs w:val="22"/>
          <w:lang w:eastAsia="en-US" w:bidi="ar-SA"/>
        </w:rPr>
        <w:t xml:space="preserve"> zwiększeni</w:t>
      </w:r>
      <w:r w:rsidR="002C7B1D" w:rsidRPr="00890249">
        <w:rPr>
          <w:rFonts w:asciiTheme="minorHAnsi" w:hAnsiTheme="minorHAnsi" w:cstheme="minorHAnsi"/>
          <w:sz w:val="22"/>
          <w:szCs w:val="22"/>
          <w:lang w:eastAsia="en-US" w:bidi="ar-SA"/>
        </w:rPr>
        <w:t>e</w:t>
      </w:r>
      <w:r w:rsidR="008430FD" w:rsidRPr="00890249">
        <w:rPr>
          <w:rFonts w:asciiTheme="minorHAnsi" w:hAnsiTheme="minorHAnsi" w:cstheme="minorHAnsi"/>
          <w:sz w:val="22"/>
          <w:szCs w:val="22"/>
          <w:lang w:eastAsia="en-US" w:bidi="ar-SA"/>
        </w:rPr>
        <w:t xml:space="preserve"> z</w:t>
      </w:r>
      <w:r w:rsidR="0057406C" w:rsidRPr="00890249">
        <w:rPr>
          <w:rFonts w:asciiTheme="minorHAnsi" w:hAnsiTheme="minorHAnsi" w:cstheme="minorHAnsi"/>
          <w:sz w:val="22"/>
          <w:szCs w:val="22"/>
          <w:lang w:eastAsia="en-US" w:bidi="ar-SA"/>
        </w:rPr>
        <w:t>apotrz</w:t>
      </w:r>
      <w:r w:rsidR="00720ADE" w:rsidRPr="00890249">
        <w:rPr>
          <w:rFonts w:asciiTheme="minorHAnsi" w:hAnsiTheme="minorHAnsi" w:cstheme="minorHAnsi"/>
          <w:sz w:val="22"/>
          <w:szCs w:val="22"/>
          <w:lang w:eastAsia="en-US" w:bidi="ar-SA"/>
        </w:rPr>
        <w:t>ebowania</w:t>
      </w:r>
      <w:r w:rsidR="0057406C" w:rsidRPr="00890249">
        <w:rPr>
          <w:rFonts w:asciiTheme="minorHAnsi" w:hAnsiTheme="minorHAnsi" w:cstheme="minorHAnsi"/>
          <w:sz w:val="22"/>
          <w:szCs w:val="22"/>
          <w:lang w:eastAsia="en-US" w:bidi="ar-SA"/>
        </w:rPr>
        <w:t xml:space="preserve"> na świadczenia w </w:t>
      </w:r>
      <w:r w:rsidR="008430FD" w:rsidRPr="00890249">
        <w:rPr>
          <w:rFonts w:asciiTheme="minorHAnsi" w:hAnsiTheme="minorHAnsi" w:cstheme="minorHAnsi"/>
          <w:sz w:val="22"/>
          <w:szCs w:val="22"/>
          <w:lang w:eastAsia="en-US" w:bidi="ar-SA"/>
        </w:rPr>
        <w:t xml:space="preserve">zakresie opieki nad osobami potrzebującymi wsparcia w codziennym funkcjonowaniu. Wsparcie </w:t>
      </w:r>
      <w:r w:rsidR="005622F0" w:rsidRPr="00890249">
        <w:rPr>
          <w:rFonts w:asciiTheme="minorHAnsi" w:hAnsiTheme="minorHAnsi" w:cstheme="minorHAnsi"/>
          <w:sz w:val="22"/>
          <w:szCs w:val="22"/>
          <w:lang w:eastAsia="en-US" w:bidi="ar-SA"/>
        </w:rPr>
        <w:t>to</w:t>
      </w:r>
      <w:r w:rsidR="008430FD" w:rsidRPr="00890249">
        <w:rPr>
          <w:rFonts w:asciiTheme="minorHAnsi" w:hAnsiTheme="minorHAnsi" w:cstheme="minorHAnsi"/>
          <w:sz w:val="22"/>
          <w:szCs w:val="22"/>
          <w:lang w:eastAsia="en-US" w:bidi="ar-SA"/>
        </w:rPr>
        <w:t xml:space="preserve"> nastąpi poprzez rozwój form opieki w najbliż</w:t>
      </w:r>
      <w:r w:rsidR="00F07ABF" w:rsidRPr="00890249">
        <w:rPr>
          <w:rFonts w:asciiTheme="minorHAnsi" w:hAnsiTheme="minorHAnsi" w:cstheme="minorHAnsi"/>
          <w:sz w:val="22"/>
          <w:szCs w:val="22"/>
          <w:lang w:eastAsia="en-US" w:bidi="ar-SA"/>
        </w:rPr>
        <w:t>szym otoczeniu osób starszych i </w:t>
      </w:r>
      <w:r w:rsidR="008430FD" w:rsidRPr="00890249">
        <w:rPr>
          <w:rFonts w:asciiTheme="minorHAnsi" w:hAnsiTheme="minorHAnsi" w:cstheme="minorHAnsi"/>
          <w:sz w:val="22"/>
          <w:szCs w:val="22"/>
          <w:lang w:eastAsia="en-US" w:bidi="ar-SA"/>
        </w:rPr>
        <w:t>zostanie ukierunkowane na rozwój działań zwiększ</w:t>
      </w:r>
      <w:r w:rsidR="00720ADE" w:rsidRPr="00890249">
        <w:rPr>
          <w:rFonts w:asciiTheme="minorHAnsi" w:hAnsiTheme="minorHAnsi" w:cstheme="minorHAnsi"/>
          <w:sz w:val="22"/>
          <w:szCs w:val="22"/>
          <w:lang w:eastAsia="en-US" w:bidi="ar-SA"/>
        </w:rPr>
        <w:t>ających</w:t>
      </w:r>
      <w:r w:rsidR="008430FD" w:rsidRPr="00890249">
        <w:rPr>
          <w:rFonts w:asciiTheme="minorHAnsi" w:hAnsiTheme="minorHAnsi" w:cstheme="minorHAnsi"/>
          <w:sz w:val="22"/>
          <w:szCs w:val="22"/>
          <w:lang w:eastAsia="en-US" w:bidi="ar-SA"/>
        </w:rPr>
        <w:t xml:space="preserve"> dostępność do opieki środowisko</w:t>
      </w:r>
      <w:r w:rsidR="00F07ABF" w:rsidRPr="00890249">
        <w:rPr>
          <w:rFonts w:asciiTheme="minorHAnsi" w:hAnsiTheme="minorHAnsi" w:cstheme="minorHAnsi"/>
          <w:sz w:val="22"/>
          <w:szCs w:val="22"/>
          <w:lang w:eastAsia="en-US" w:bidi="ar-SA"/>
        </w:rPr>
        <w:t>wej w </w:t>
      </w:r>
      <w:r w:rsidR="00F823E7">
        <w:rPr>
          <w:rFonts w:asciiTheme="minorHAnsi" w:hAnsiTheme="minorHAnsi" w:cstheme="minorHAnsi"/>
          <w:sz w:val="22"/>
          <w:szCs w:val="22"/>
          <w:lang w:eastAsia="en-US" w:bidi="ar-SA"/>
        </w:rPr>
        <w:t>miejscu zamieszkania. W </w:t>
      </w:r>
      <w:r w:rsidR="008430FD" w:rsidRPr="00890249">
        <w:rPr>
          <w:rFonts w:asciiTheme="minorHAnsi" w:hAnsiTheme="minorHAnsi" w:cstheme="minorHAnsi"/>
          <w:sz w:val="22"/>
          <w:szCs w:val="22"/>
          <w:lang w:eastAsia="en-US" w:bidi="ar-SA"/>
        </w:rPr>
        <w:t>przypadku konieczności wynikającej ze stanu zdrowia możliwe będzie wspieranie opieki długoterm</w:t>
      </w:r>
      <w:r w:rsidR="0022016E" w:rsidRPr="00890249">
        <w:rPr>
          <w:rFonts w:asciiTheme="minorHAnsi" w:hAnsiTheme="minorHAnsi" w:cstheme="minorHAnsi"/>
          <w:sz w:val="22"/>
          <w:szCs w:val="22"/>
          <w:lang w:eastAsia="en-US" w:bidi="ar-SA"/>
        </w:rPr>
        <w:t>.</w:t>
      </w:r>
      <w:r w:rsidR="00D140AC" w:rsidRPr="00890249">
        <w:rPr>
          <w:rFonts w:asciiTheme="minorHAnsi" w:hAnsiTheme="minorHAnsi" w:cstheme="minorHAnsi"/>
          <w:sz w:val="22"/>
          <w:szCs w:val="22"/>
          <w:lang w:eastAsia="en-US" w:bidi="ar-SA"/>
        </w:rPr>
        <w:t xml:space="preserve">, paliatywnej oraz </w:t>
      </w:r>
      <w:r w:rsidR="008430FD" w:rsidRPr="00890249">
        <w:rPr>
          <w:rFonts w:asciiTheme="minorHAnsi" w:hAnsiTheme="minorHAnsi" w:cstheme="minorHAnsi"/>
          <w:sz w:val="22"/>
          <w:szCs w:val="22"/>
          <w:lang w:eastAsia="en-US" w:bidi="ar-SA"/>
        </w:rPr>
        <w:t>hospicyjnej</w:t>
      </w:r>
      <w:r w:rsidR="000F6580" w:rsidRPr="00890249">
        <w:rPr>
          <w:rFonts w:asciiTheme="minorHAnsi" w:hAnsiTheme="minorHAnsi" w:cstheme="minorHAnsi"/>
          <w:sz w:val="22"/>
          <w:szCs w:val="22"/>
          <w:lang w:eastAsia="en-US" w:bidi="ar-SA"/>
        </w:rPr>
        <w:t xml:space="preserve"> zgodnie z </w:t>
      </w:r>
      <w:r w:rsidR="003E516C" w:rsidRPr="00890249">
        <w:rPr>
          <w:rFonts w:asciiTheme="minorHAnsi" w:hAnsiTheme="minorHAnsi" w:cstheme="minorHAnsi"/>
          <w:sz w:val="22"/>
          <w:szCs w:val="22"/>
          <w:lang w:eastAsia="en-US" w:bidi="ar-SA"/>
        </w:rPr>
        <w:t xml:space="preserve">zasadą </w:t>
      </w:r>
      <w:r w:rsidR="00B5548E" w:rsidRPr="00890249">
        <w:rPr>
          <w:rFonts w:asciiTheme="minorHAnsi" w:hAnsiTheme="minorHAnsi" w:cstheme="minorHAnsi"/>
          <w:sz w:val="22"/>
          <w:szCs w:val="22"/>
          <w:lang w:eastAsia="en-US" w:bidi="ar-SA"/>
        </w:rPr>
        <w:t>DI</w:t>
      </w:r>
      <w:r w:rsidR="008430FD" w:rsidRPr="00890249">
        <w:rPr>
          <w:rFonts w:asciiTheme="minorHAnsi" w:hAnsiTheme="minorHAnsi" w:cstheme="minorHAnsi"/>
          <w:sz w:val="22"/>
          <w:szCs w:val="22"/>
          <w:lang w:eastAsia="en-US" w:bidi="ar-SA"/>
        </w:rPr>
        <w:t>. Podejmowane działania</w:t>
      </w:r>
      <w:r w:rsidR="00263C5E" w:rsidRPr="00890249">
        <w:rPr>
          <w:rFonts w:asciiTheme="minorHAnsi" w:hAnsiTheme="minorHAnsi" w:cstheme="minorHAnsi"/>
          <w:sz w:val="22"/>
          <w:szCs w:val="22"/>
          <w:lang w:eastAsia="en-US" w:bidi="ar-SA"/>
        </w:rPr>
        <w:t xml:space="preserve"> wpisują się </w:t>
      </w:r>
      <w:r w:rsidR="00F823E7">
        <w:rPr>
          <w:rFonts w:asciiTheme="minorHAnsi" w:hAnsiTheme="minorHAnsi" w:cstheme="minorHAnsi"/>
          <w:sz w:val="22"/>
          <w:szCs w:val="22"/>
          <w:lang w:eastAsia="en-US" w:bidi="ar-SA"/>
        </w:rPr>
        <w:t>w </w:t>
      </w:r>
      <w:r w:rsidR="00A536C8" w:rsidRPr="00890249">
        <w:rPr>
          <w:rFonts w:asciiTheme="minorHAnsi" w:hAnsiTheme="minorHAnsi" w:cstheme="minorHAnsi"/>
          <w:sz w:val="22"/>
          <w:szCs w:val="22"/>
          <w:lang w:eastAsia="en-US" w:bidi="ar-SA"/>
        </w:rPr>
        <w:t xml:space="preserve">założenia </w:t>
      </w:r>
      <w:r w:rsidR="00A536C8" w:rsidRPr="00890249">
        <w:rPr>
          <w:rFonts w:asciiTheme="minorHAnsi" w:hAnsiTheme="minorHAnsi" w:cstheme="minorHAnsi"/>
          <w:i/>
          <w:sz w:val="22"/>
          <w:szCs w:val="22"/>
          <w:lang w:eastAsia="en-US" w:bidi="ar-SA"/>
        </w:rPr>
        <w:t>Europejskiego filaru praw socjalnych</w:t>
      </w:r>
      <w:r w:rsidR="00A536C8" w:rsidRPr="00890249">
        <w:rPr>
          <w:rFonts w:asciiTheme="minorHAnsi" w:hAnsiTheme="minorHAnsi" w:cstheme="minorHAnsi"/>
          <w:sz w:val="22"/>
          <w:szCs w:val="22"/>
          <w:lang w:eastAsia="en-US" w:bidi="ar-SA"/>
        </w:rPr>
        <w:t>: każdy ma prawo do przystępnych cenowo i dobrej jakości usług opieki długoterm</w:t>
      </w:r>
      <w:r w:rsidR="00B5548E" w:rsidRPr="00890249">
        <w:rPr>
          <w:rFonts w:asciiTheme="minorHAnsi" w:hAnsiTheme="minorHAnsi" w:cstheme="minorHAnsi"/>
          <w:sz w:val="22"/>
          <w:szCs w:val="22"/>
          <w:lang w:eastAsia="en-US" w:bidi="ar-SA"/>
        </w:rPr>
        <w:t>.</w:t>
      </w:r>
      <w:r w:rsidR="00A536C8" w:rsidRPr="00890249">
        <w:rPr>
          <w:rFonts w:asciiTheme="minorHAnsi" w:hAnsiTheme="minorHAnsi" w:cstheme="minorHAnsi"/>
          <w:sz w:val="22"/>
          <w:szCs w:val="22"/>
          <w:lang w:eastAsia="en-US" w:bidi="ar-SA"/>
        </w:rPr>
        <w:t>, w szczególności opieki w domu i usług środowiskowych</w:t>
      </w:r>
      <w:r w:rsidR="008430FD" w:rsidRPr="00890249">
        <w:rPr>
          <w:rFonts w:asciiTheme="minorHAnsi" w:hAnsiTheme="minorHAnsi" w:cstheme="minorHAnsi"/>
          <w:sz w:val="22"/>
          <w:szCs w:val="22"/>
          <w:lang w:eastAsia="en-US" w:bidi="ar-SA"/>
        </w:rPr>
        <w:t xml:space="preserve">. </w:t>
      </w:r>
    </w:p>
    <w:p w14:paraId="1EEEB6F3" w14:textId="475512AF" w:rsidR="0093433C" w:rsidRPr="00890249" w:rsidRDefault="5D080350"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regionie wspierane będzie również </w:t>
      </w:r>
      <w:r w:rsidR="1704A73D" w:rsidRPr="00890249">
        <w:rPr>
          <w:rFonts w:asciiTheme="minorHAnsi" w:hAnsiTheme="minorHAnsi" w:cstheme="minorHAnsi"/>
          <w:sz w:val="22"/>
          <w:szCs w:val="22"/>
          <w:lang w:eastAsia="en-US" w:bidi="ar-SA"/>
        </w:rPr>
        <w:t>tworzenie</w:t>
      </w:r>
      <w:r w:rsidRPr="00890249">
        <w:rPr>
          <w:rFonts w:asciiTheme="minorHAnsi" w:hAnsiTheme="minorHAnsi" w:cstheme="minorHAnsi"/>
          <w:sz w:val="22"/>
          <w:szCs w:val="22"/>
          <w:lang w:eastAsia="en-US" w:bidi="ar-SA"/>
        </w:rPr>
        <w:t xml:space="preserve"> Centrów Usług Społecznych</w:t>
      </w:r>
      <w:r w:rsidR="1704A73D" w:rsidRPr="00890249">
        <w:rPr>
          <w:rFonts w:asciiTheme="minorHAnsi" w:hAnsiTheme="minorHAnsi" w:cstheme="minorHAnsi"/>
          <w:sz w:val="22"/>
          <w:szCs w:val="22"/>
          <w:lang w:eastAsia="en-US" w:bidi="ar-SA"/>
        </w:rPr>
        <w:t xml:space="preserve"> (CUS)</w:t>
      </w:r>
      <w:r w:rsidR="003D03C2" w:rsidRPr="00890249">
        <w:rPr>
          <w:rStyle w:val="Odwoanieprzypisudolnego"/>
          <w:rFonts w:asciiTheme="minorHAnsi" w:eastAsiaTheme="minorHAnsi" w:hAnsiTheme="minorHAnsi" w:cstheme="minorHAnsi"/>
          <w:sz w:val="22"/>
          <w:szCs w:val="22"/>
          <w:lang w:eastAsia="en-US" w:bidi="ar-SA"/>
        </w:rPr>
        <w:footnoteReference w:id="209"/>
      </w:r>
      <w:r w:rsidR="1704A73D" w:rsidRPr="00890249">
        <w:rPr>
          <w:rFonts w:asciiTheme="minorHAnsi" w:hAnsiTheme="minorHAnsi" w:cstheme="minorHAnsi"/>
          <w:sz w:val="22"/>
          <w:szCs w:val="22"/>
          <w:lang w:eastAsia="en-US" w:bidi="ar-SA"/>
        </w:rPr>
        <w:t xml:space="preserve"> oraz rozwój dostarczanych przez nie usług. </w:t>
      </w:r>
      <w:r w:rsidRPr="00890249">
        <w:rPr>
          <w:rFonts w:asciiTheme="minorHAnsi" w:hAnsiTheme="minorHAnsi" w:cstheme="minorHAnsi"/>
          <w:sz w:val="22"/>
          <w:szCs w:val="22"/>
          <w:lang w:eastAsia="en-US" w:bidi="ar-SA"/>
        </w:rPr>
        <w:t xml:space="preserve">W ramach </w:t>
      </w:r>
      <w:r w:rsidR="436619C4" w:rsidRPr="00890249">
        <w:rPr>
          <w:rFonts w:asciiTheme="minorHAnsi" w:hAnsiTheme="minorHAnsi" w:cstheme="minorHAnsi"/>
          <w:sz w:val="22"/>
          <w:szCs w:val="22"/>
          <w:lang w:eastAsia="en-US" w:bidi="ar-SA"/>
        </w:rPr>
        <w:t>CUS</w:t>
      </w:r>
      <w:r w:rsidRPr="00890249">
        <w:rPr>
          <w:rFonts w:asciiTheme="minorHAnsi" w:hAnsiTheme="minorHAnsi" w:cstheme="minorHAnsi"/>
          <w:sz w:val="22"/>
          <w:szCs w:val="22"/>
          <w:lang w:eastAsia="en-US" w:bidi="ar-SA"/>
        </w:rPr>
        <w:t xml:space="preserve"> realizowane będą działania mające na celu zaspokajanie potrzeb wspólnoty samorządowej, które świadczone będą w formie niematerialnej bezpośrednio na rzecz osób, rodzin</w:t>
      </w:r>
      <w:r w:rsidR="63EC5186" w:rsidRPr="00890249">
        <w:rPr>
          <w:rFonts w:asciiTheme="minorHAnsi" w:hAnsiTheme="minorHAnsi" w:cstheme="minorHAnsi"/>
          <w:sz w:val="22"/>
          <w:szCs w:val="22"/>
          <w:lang w:eastAsia="en-US" w:bidi="ar-SA"/>
        </w:rPr>
        <w:t xml:space="preserve"> oraz </w:t>
      </w:r>
      <w:r w:rsidR="41812178" w:rsidRPr="00890249">
        <w:rPr>
          <w:rFonts w:asciiTheme="minorHAnsi" w:hAnsiTheme="minorHAnsi" w:cstheme="minorHAnsi"/>
          <w:sz w:val="22"/>
          <w:szCs w:val="22"/>
          <w:lang w:eastAsia="en-US" w:bidi="ar-SA"/>
        </w:rPr>
        <w:t>grup mieszkańców o </w:t>
      </w:r>
      <w:r w:rsidRPr="00890249">
        <w:rPr>
          <w:rFonts w:asciiTheme="minorHAnsi" w:hAnsiTheme="minorHAnsi" w:cstheme="minorHAnsi"/>
          <w:sz w:val="22"/>
          <w:szCs w:val="22"/>
          <w:lang w:eastAsia="en-US" w:bidi="ar-SA"/>
        </w:rPr>
        <w:t>określonych potrzebach lub ogółu mieszkańców.</w:t>
      </w:r>
    </w:p>
    <w:p w14:paraId="2601CA3C" w14:textId="66069DBD" w:rsidR="0093433C" w:rsidRPr="00890249" w:rsidRDefault="000026FB" w:rsidP="00890249">
      <w:pPr>
        <w:pStyle w:val="Tekstpodstawowy"/>
        <w:rPr>
          <w:rFonts w:asciiTheme="minorHAnsi" w:hAnsiTheme="minorHAnsi" w:cstheme="minorHAnsi"/>
          <w:i/>
          <w:iCs/>
          <w:sz w:val="22"/>
          <w:szCs w:val="22"/>
          <w:lang w:eastAsia="en-US"/>
        </w:rPr>
      </w:pPr>
      <w:r w:rsidRPr="00890249">
        <w:rPr>
          <w:rFonts w:asciiTheme="minorHAnsi" w:hAnsiTheme="minorHAnsi" w:cstheme="minorHAnsi"/>
          <w:sz w:val="22"/>
          <w:szCs w:val="22"/>
          <w:lang w:eastAsia="en-US"/>
        </w:rPr>
        <w:t xml:space="preserve">Szczegóły interwencji w ramach celu szczegółowego (k) </w:t>
      </w:r>
      <w:r w:rsidR="006C7FC0" w:rsidRPr="00890249">
        <w:rPr>
          <w:rFonts w:asciiTheme="minorHAnsi" w:hAnsiTheme="minorHAnsi" w:cstheme="minorHAnsi"/>
          <w:sz w:val="22"/>
          <w:szCs w:val="22"/>
          <w:lang w:eastAsia="en-US"/>
        </w:rPr>
        <w:t>są</w:t>
      </w:r>
      <w:r w:rsidRPr="00890249">
        <w:rPr>
          <w:rFonts w:asciiTheme="minorHAnsi" w:hAnsiTheme="minorHAnsi" w:cstheme="minorHAnsi"/>
          <w:sz w:val="22"/>
          <w:szCs w:val="22"/>
          <w:lang w:eastAsia="en-US"/>
        </w:rPr>
        <w:t xml:space="preserve"> </w:t>
      </w:r>
      <w:r w:rsidR="006C7FC0" w:rsidRPr="00890249">
        <w:rPr>
          <w:rFonts w:asciiTheme="minorHAnsi" w:hAnsiTheme="minorHAnsi" w:cstheme="minorHAnsi"/>
          <w:sz w:val="22"/>
          <w:szCs w:val="22"/>
          <w:lang w:eastAsia="en-US"/>
        </w:rPr>
        <w:t>do</w:t>
      </w:r>
      <w:r w:rsidRPr="00890249">
        <w:rPr>
          <w:rFonts w:asciiTheme="minorHAnsi" w:hAnsiTheme="minorHAnsi" w:cstheme="minorHAnsi"/>
          <w:sz w:val="22"/>
          <w:szCs w:val="22"/>
          <w:lang w:eastAsia="en-US"/>
        </w:rPr>
        <w:t xml:space="preserve">precyzowane w Regionalnym Planie Rozwoju Usług Społecznych </w:t>
      </w:r>
      <w:r w:rsidR="00F92A9A">
        <w:rPr>
          <w:rFonts w:asciiTheme="minorHAnsi" w:hAnsiTheme="minorHAnsi" w:cstheme="minorHAnsi"/>
          <w:sz w:val="22"/>
          <w:szCs w:val="22"/>
          <w:lang w:eastAsia="en-US"/>
        </w:rPr>
        <w:t>i</w:t>
      </w:r>
      <w:r w:rsidRPr="00890249">
        <w:rPr>
          <w:rFonts w:asciiTheme="minorHAnsi" w:hAnsiTheme="minorHAnsi" w:cstheme="minorHAnsi"/>
          <w:sz w:val="22"/>
          <w:szCs w:val="22"/>
          <w:lang w:eastAsia="en-US"/>
        </w:rPr>
        <w:t xml:space="preserve"> Deinstytucjonalizacji</w:t>
      </w:r>
      <w:r w:rsidR="00F92A9A">
        <w:rPr>
          <w:rFonts w:asciiTheme="minorHAnsi" w:hAnsiTheme="minorHAnsi" w:cstheme="minorHAnsi"/>
          <w:sz w:val="22"/>
          <w:szCs w:val="22"/>
          <w:lang w:eastAsia="en-US"/>
        </w:rPr>
        <w:t xml:space="preserve"> (RPDI</w:t>
      </w:r>
      <w:r w:rsidRPr="00890249">
        <w:rPr>
          <w:rFonts w:asciiTheme="minorHAnsi" w:hAnsiTheme="minorHAnsi" w:cstheme="minorHAnsi"/>
          <w:sz w:val="22"/>
          <w:szCs w:val="22"/>
          <w:lang w:eastAsia="en-US"/>
        </w:rPr>
        <w:t>).</w:t>
      </w:r>
    </w:p>
    <w:p w14:paraId="0E76E02D" w14:textId="588589D4" w:rsidR="0093433C" w:rsidRPr="00890249" w:rsidRDefault="592ACBFE" w:rsidP="00890249">
      <w:pPr>
        <w:pStyle w:val="Tekstpodstawowy"/>
        <w:rPr>
          <w:rFonts w:asciiTheme="minorHAnsi" w:hAnsiTheme="minorHAnsi" w:cstheme="minorHAnsi"/>
          <w:i/>
          <w:iCs/>
          <w:sz w:val="22"/>
          <w:szCs w:val="22"/>
          <w:lang w:eastAsia="en-US" w:bidi="ar-SA"/>
        </w:rPr>
      </w:pPr>
      <w:r w:rsidRPr="00890249">
        <w:rPr>
          <w:rFonts w:asciiTheme="minorHAnsi" w:hAnsiTheme="minorHAnsi" w:cstheme="minorHAnsi"/>
          <w:sz w:val="22"/>
          <w:szCs w:val="22"/>
          <w:lang w:eastAsia="en-US" w:bidi="ar-SA"/>
        </w:rPr>
        <w:lastRenderedPageBreak/>
        <w:t xml:space="preserve">Wsparcie dotyczące usług zdrowotnych w regionie będzie realizowane na zasadach i w zakresie zgodnym z dokumentem pn. </w:t>
      </w:r>
      <w:r w:rsidRPr="00890249">
        <w:rPr>
          <w:rFonts w:asciiTheme="minorHAnsi" w:hAnsiTheme="minorHAnsi" w:cstheme="minorHAnsi"/>
          <w:i/>
          <w:iCs/>
          <w:sz w:val="22"/>
          <w:szCs w:val="22"/>
          <w:lang w:eastAsia="en-US" w:bidi="ar-SA"/>
        </w:rPr>
        <w:t xml:space="preserve">Zdrowa przyszłość. Ramy strategiczne rozwoju systemu ochrony zdrowia na lata 2021-2027 z perspektywą do 2030 </w:t>
      </w:r>
      <w:r w:rsidRPr="00890249">
        <w:rPr>
          <w:rFonts w:asciiTheme="minorHAnsi" w:hAnsiTheme="minorHAnsi" w:cstheme="minorHAnsi"/>
          <w:sz w:val="22"/>
          <w:szCs w:val="22"/>
          <w:lang w:eastAsia="en-US" w:bidi="ar-SA"/>
        </w:rPr>
        <w:t>wraz z załącznikami dotyczącymi deinstytu</w:t>
      </w:r>
      <w:r w:rsidR="542524F9" w:rsidRPr="00890249">
        <w:rPr>
          <w:rFonts w:asciiTheme="minorHAnsi" w:hAnsiTheme="minorHAnsi" w:cstheme="minorHAnsi"/>
          <w:sz w:val="22"/>
          <w:szCs w:val="22"/>
          <w:lang w:eastAsia="en-US" w:bidi="ar-SA"/>
        </w:rPr>
        <w:t>c</w:t>
      </w:r>
      <w:r w:rsidRPr="00890249">
        <w:rPr>
          <w:rFonts w:asciiTheme="minorHAnsi" w:hAnsiTheme="minorHAnsi" w:cstheme="minorHAnsi"/>
          <w:sz w:val="22"/>
          <w:szCs w:val="22"/>
          <w:lang w:eastAsia="en-US" w:bidi="ar-SA"/>
        </w:rPr>
        <w:t>jonalizacji opieki długoterminowej i opieki psychiatrycznej</w:t>
      </w:r>
      <w:r w:rsidR="00604EA9" w:rsidRPr="00890249">
        <w:rPr>
          <w:rStyle w:val="Odwoanieprzypisudolnego"/>
          <w:rFonts w:asciiTheme="minorHAnsi" w:eastAsia="Times New Roman" w:hAnsiTheme="minorHAnsi" w:cstheme="minorHAnsi"/>
          <w:sz w:val="22"/>
          <w:szCs w:val="22"/>
          <w:lang w:eastAsia="en-US" w:bidi="ar-SA"/>
        </w:rPr>
        <w:footnoteReference w:id="210"/>
      </w:r>
      <w:r w:rsidRPr="00890249">
        <w:rPr>
          <w:rFonts w:asciiTheme="minorHAnsi" w:hAnsiTheme="minorHAnsi" w:cstheme="minorHAnsi"/>
          <w:sz w:val="22"/>
          <w:szCs w:val="22"/>
          <w:lang w:eastAsia="en-US" w:bidi="ar-SA"/>
        </w:rPr>
        <w:t>, a także Mapami Potrzeb oraz Wojewódzkim Planem Transformacji</w:t>
      </w:r>
      <w:r w:rsidR="002B56AC" w:rsidRPr="00890249">
        <w:rPr>
          <w:rFonts w:asciiTheme="minorHAnsi" w:hAnsiTheme="minorHAnsi" w:cstheme="minorHAnsi"/>
          <w:sz w:val="22"/>
          <w:szCs w:val="22"/>
          <w:vertAlign w:val="superscript"/>
          <w:lang w:eastAsia="en-US" w:bidi="ar-SA"/>
        </w:rPr>
        <w:footnoteReference w:id="211"/>
      </w:r>
      <w:r w:rsidRPr="00890249">
        <w:rPr>
          <w:rFonts w:asciiTheme="minorHAnsi" w:hAnsiTheme="minorHAnsi" w:cstheme="minorHAnsi"/>
          <w:i/>
          <w:iCs/>
          <w:sz w:val="22"/>
          <w:szCs w:val="22"/>
          <w:lang w:eastAsia="en-US" w:bidi="ar-SA"/>
        </w:rPr>
        <w:t>.</w:t>
      </w:r>
    </w:p>
    <w:p w14:paraId="13D4F086" w14:textId="77777777" w:rsidR="0093433C" w:rsidRPr="00890249" w:rsidRDefault="008430F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typy przedsięwzięć:</w:t>
      </w:r>
    </w:p>
    <w:p w14:paraId="6454A79E" w14:textId="271195F8" w:rsidR="00B72154" w:rsidRPr="00890249" w:rsidRDefault="00233CAE" w:rsidP="009F296A">
      <w:pPr>
        <w:pStyle w:val="Akapitzlist"/>
        <w:numPr>
          <w:ilvl w:val="0"/>
          <w:numId w:val="101"/>
        </w:numPr>
        <w:contextualSpacing w:val="0"/>
        <w:rPr>
          <w:rFonts w:asciiTheme="minorHAnsi" w:hAnsiTheme="minorHAnsi" w:cstheme="minorHAnsi"/>
          <w:b/>
          <w:sz w:val="22"/>
          <w:szCs w:val="22"/>
          <w:u w:val="single"/>
          <w:lang w:eastAsia="en-US" w:bidi="ar-SA"/>
        </w:rPr>
      </w:pPr>
      <w:r w:rsidRPr="00890249">
        <w:rPr>
          <w:rFonts w:asciiTheme="minorHAnsi" w:hAnsiTheme="minorHAnsi" w:cstheme="minorHAnsi"/>
          <w:sz w:val="22"/>
          <w:szCs w:val="22"/>
          <w:lang w:eastAsia="en-US" w:bidi="ar-SA"/>
        </w:rPr>
        <w:t>R</w:t>
      </w:r>
      <w:r w:rsidR="00875C92" w:rsidRPr="00890249">
        <w:rPr>
          <w:rFonts w:asciiTheme="minorHAnsi" w:hAnsiTheme="minorHAnsi" w:cstheme="minorHAnsi"/>
          <w:sz w:val="22"/>
          <w:szCs w:val="22"/>
          <w:lang w:eastAsia="en-US" w:bidi="ar-SA"/>
        </w:rPr>
        <w:t xml:space="preserve">ealizacja </w:t>
      </w:r>
      <w:r w:rsidR="00CC3DCC" w:rsidRPr="00890249">
        <w:rPr>
          <w:rFonts w:asciiTheme="minorHAnsi" w:hAnsiTheme="minorHAnsi" w:cstheme="minorHAnsi"/>
          <w:sz w:val="22"/>
          <w:szCs w:val="22"/>
          <w:lang w:eastAsia="en-US" w:bidi="ar-SA"/>
        </w:rPr>
        <w:t>profilaktyki i zabiegów medycznych na potrzeby diagnostyki w ramach regionalnych programów zdrowotnych</w:t>
      </w:r>
      <w:r w:rsidR="0074473A"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lang w:eastAsia="en-US" w:bidi="ar-SA"/>
        </w:rPr>
        <w:t xml:space="preserve">w zakresie </w:t>
      </w:r>
      <w:r w:rsidR="00D17AEC" w:rsidRPr="00890249">
        <w:rPr>
          <w:rFonts w:asciiTheme="minorHAnsi" w:hAnsiTheme="minorHAnsi" w:cstheme="minorHAnsi"/>
          <w:sz w:val="22"/>
          <w:szCs w:val="22"/>
          <w:lang w:eastAsia="en-US" w:bidi="ar-SA"/>
        </w:rPr>
        <w:t>chorób będących istotnym problemem zdrowotnym regionu.</w:t>
      </w:r>
    </w:p>
    <w:p w14:paraId="2D143C4C" w14:textId="05C014EF" w:rsidR="0093433C" w:rsidRPr="00890249" w:rsidRDefault="00233CAE" w:rsidP="009F296A">
      <w:pPr>
        <w:pStyle w:val="Lista3"/>
        <w:numPr>
          <w:ilvl w:val="0"/>
          <w:numId w:val="101"/>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R</w:t>
      </w:r>
      <w:r w:rsidR="00F726B5" w:rsidRPr="00890249">
        <w:rPr>
          <w:rFonts w:asciiTheme="minorHAnsi" w:hAnsiTheme="minorHAnsi" w:cstheme="minorHAnsi"/>
          <w:sz w:val="22"/>
          <w:szCs w:val="22"/>
          <w:lang w:eastAsia="en-US" w:bidi="ar-SA"/>
        </w:rPr>
        <w:t xml:space="preserve">ozwój usług środowiskowych w </w:t>
      </w:r>
      <w:r w:rsidR="00F629C5" w:rsidRPr="00890249">
        <w:rPr>
          <w:rFonts w:asciiTheme="minorHAnsi" w:hAnsiTheme="minorHAnsi" w:cstheme="minorHAnsi"/>
          <w:sz w:val="22"/>
          <w:szCs w:val="22"/>
          <w:lang w:eastAsia="en-US" w:bidi="ar-SA"/>
        </w:rPr>
        <w:t>CZP</w:t>
      </w:r>
      <w:r w:rsidR="00F726B5" w:rsidRPr="00890249">
        <w:rPr>
          <w:rFonts w:asciiTheme="minorHAnsi" w:hAnsiTheme="minorHAnsi" w:cstheme="minorHAnsi"/>
          <w:sz w:val="22"/>
          <w:szCs w:val="22"/>
          <w:lang w:eastAsia="en-US" w:bidi="ar-SA"/>
        </w:rPr>
        <w:t xml:space="preserve"> i innych formach środowiskowego wsparcia </w:t>
      </w:r>
      <w:r w:rsidR="00284A14" w:rsidRPr="00890249">
        <w:rPr>
          <w:rFonts w:asciiTheme="minorHAnsi" w:hAnsiTheme="minorHAnsi" w:cstheme="minorHAnsi"/>
          <w:sz w:val="22"/>
          <w:szCs w:val="22"/>
          <w:lang w:eastAsia="en-US" w:bidi="ar-SA"/>
        </w:rPr>
        <w:t>psychicznego</w:t>
      </w:r>
      <w:r w:rsidR="0044222D" w:rsidRPr="00890249">
        <w:rPr>
          <w:rFonts w:asciiTheme="minorHAnsi" w:hAnsiTheme="minorHAnsi" w:cstheme="minorHAnsi"/>
          <w:sz w:val="22"/>
          <w:szCs w:val="22"/>
          <w:lang w:eastAsia="en-US" w:bidi="ar-SA"/>
        </w:rPr>
        <w:t xml:space="preserve"> </w:t>
      </w:r>
      <w:r w:rsidR="00C01973">
        <w:rPr>
          <w:rFonts w:asciiTheme="minorHAnsi" w:hAnsiTheme="minorHAnsi" w:cstheme="minorHAnsi"/>
          <w:sz w:val="22"/>
          <w:szCs w:val="22"/>
          <w:lang w:eastAsia="en-US" w:bidi="ar-SA"/>
        </w:rPr>
        <w:t>dla dorosłych.</w:t>
      </w:r>
    </w:p>
    <w:p w14:paraId="19620DE0" w14:textId="248852DF" w:rsidR="00B72154" w:rsidRPr="00890249" w:rsidRDefault="008A46EE" w:rsidP="009F296A">
      <w:pPr>
        <w:pStyle w:val="Akapitzlist"/>
        <w:numPr>
          <w:ilvl w:val="0"/>
          <w:numId w:val="101"/>
        </w:numPr>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O</w:t>
      </w:r>
      <w:r w:rsidR="00875C92" w:rsidRPr="00890249">
        <w:rPr>
          <w:rFonts w:asciiTheme="minorHAnsi" w:eastAsiaTheme="minorHAnsi" w:hAnsiTheme="minorHAnsi" w:cstheme="minorHAnsi"/>
          <w:sz w:val="22"/>
          <w:szCs w:val="22"/>
          <w:lang w:eastAsia="en-US" w:bidi="ar-SA"/>
        </w:rPr>
        <w:t>piek</w:t>
      </w:r>
      <w:r w:rsidRPr="00890249">
        <w:rPr>
          <w:rFonts w:asciiTheme="minorHAnsi" w:eastAsiaTheme="minorHAnsi" w:hAnsiTheme="minorHAnsi" w:cstheme="minorHAnsi"/>
          <w:sz w:val="22"/>
          <w:szCs w:val="22"/>
          <w:lang w:eastAsia="en-US" w:bidi="ar-SA"/>
        </w:rPr>
        <w:t>a</w:t>
      </w:r>
      <w:r w:rsidR="00875C92" w:rsidRPr="00890249">
        <w:rPr>
          <w:rFonts w:asciiTheme="minorHAnsi" w:eastAsiaTheme="minorHAnsi" w:hAnsiTheme="minorHAnsi" w:cstheme="minorHAnsi"/>
          <w:sz w:val="22"/>
          <w:szCs w:val="22"/>
          <w:lang w:eastAsia="en-US" w:bidi="ar-SA"/>
        </w:rPr>
        <w:t xml:space="preserve"> długoterminow</w:t>
      </w:r>
      <w:r w:rsidRPr="00890249">
        <w:rPr>
          <w:rFonts w:asciiTheme="minorHAnsi" w:eastAsiaTheme="minorHAnsi" w:hAnsiTheme="minorHAnsi" w:cstheme="minorHAnsi"/>
          <w:sz w:val="22"/>
          <w:szCs w:val="22"/>
          <w:lang w:eastAsia="en-US" w:bidi="ar-SA"/>
        </w:rPr>
        <w:t xml:space="preserve">a oraz paliatywna i hospicyjna </w:t>
      </w:r>
      <w:r w:rsidR="00875C92" w:rsidRPr="00890249">
        <w:rPr>
          <w:rFonts w:asciiTheme="minorHAnsi" w:eastAsiaTheme="minorHAnsi" w:hAnsiTheme="minorHAnsi" w:cstheme="minorHAnsi"/>
          <w:sz w:val="22"/>
          <w:szCs w:val="22"/>
          <w:lang w:eastAsia="en-US" w:bidi="ar-SA"/>
        </w:rPr>
        <w:t>osób starszych i z niepełnosprawnościami w formie zdeinstytucjonalizowanej, w tym m.in.:</w:t>
      </w:r>
    </w:p>
    <w:p w14:paraId="5CB7F0BB" w14:textId="1CDFEF3C" w:rsidR="00B72154" w:rsidRPr="00890249" w:rsidRDefault="008A46EE" w:rsidP="009F296A">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sidRPr="00890249">
        <w:rPr>
          <w:rFonts w:asciiTheme="minorHAnsi" w:eastAsiaTheme="minorEastAsia" w:hAnsiTheme="minorHAnsi" w:cstheme="minorHAnsi"/>
          <w:sz w:val="22"/>
          <w:szCs w:val="22"/>
          <w:lang w:eastAsia="en-US" w:bidi="ar-SA"/>
        </w:rPr>
        <w:t>rehabilitacja medyczna</w:t>
      </w:r>
      <w:r w:rsidRPr="00890249">
        <w:rPr>
          <w:rStyle w:val="Odwoanieprzypisudolnego"/>
          <w:rFonts w:asciiTheme="minorHAnsi" w:eastAsiaTheme="minorHAnsi" w:hAnsiTheme="minorHAnsi" w:cstheme="minorHAnsi"/>
          <w:sz w:val="22"/>
          <w:szCs w:val="22"/>
          <w:lang w:eastAsia="en-US" w:bidi="ar-SA"/>
        </w:rPr>
        <w:footnoteReference w:id="212"/>
      </w:r>
    </w:p>
    <w:p w14:paraId="179B103A" w14:textId="77777777" w:rsidR="00B72154" w:rsidRPr="00890249" w:rsidRDefault="00875C92" w:rsidP="009F296A">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usługi </w:t>
      </w:r>
      <w:r w:rsidR="008A46EE" w:rsidRPr="00890249">
        <w:rPr>
          <w:rFonts w:asciiTheme="minorHAnsi" w:eastAsiaTheme="minorHAnsi" w:hAnsiTheme="minorHAnsi" w:cstheme="minorHAnsi"/>
          <w:sz w:val="22"/>
          <w:szCs w:val="22"/>
          <w:lang w:eastAsia="en-US" w:bidi="ar-SA"/>
        </w:rPr>
        <w:t xml:space="preserve">społeczne (np. usługi </w:t>
      </w:r>
      <w:r w:rsidRPr="00890249">
        <w:rPr>
          <w:rFonts w:asciiTheme="minorHAnsi" w:eastAsiaTheme="minorHAnsi" w:hAnsiTheme="minorHAnsi" w:cstheme="minorHAnsi"/>
          <w:sz w:val="22"/>
          <w:szCs w:val="22"/>
          <w:lang w:eastAsia="en-US" w:bidi="ar-SA"/>
        </w:rPr>
        <w:t>opiekuńcze i asystenckie</w:t>
      </w:r>
      <w:r w:rsidR="008A46EE" w:rsidRPr="00890249">
        <w:rPr>
          <w:rFonts w:asciiTheme="minorHAnsi" w:eastAsiaTheme="minorHAnsi" w:hAnsiTheme="minorHAnsi" w:cstheme="minorHAnsi"/>
          <w:sz w:val="22"/>
          <w:szCs w:val="22"/>
          <w:lang w:eastAsia="en-US" w:bidi="ar-SA"/>
        </w:rPr>
        <w:t>)</w:t>
      </w:r>
    </w:p>
    <w:p w14:paraId="3C148B7D" w14:textId="77777777" w:rsidR="001F774D" w:rsidRDefault="00875C92" w:rsidP="009F296A">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 xml:space="preserve">wsparcie psychologiczne i wytchnieniowe dla </w:t>
      </w:r>
      <w:r w:rsidR="008263A0" w:rsidRPr="00890249">
        <w:rPr>
          <w:rFonts w:asciiTheme="minorHAnsi" w:eastAsiaTheme="minorHAnsi" w:hAnsiTheme="minorHAnsi" w:cstheme="minorHAnsi"/>
          <w:sz w:val="22"/>
          <w:szCs w:val="22"/>
          <w:lang w:eastAsia="en-US" w:bidi="ar-SA"/>
        </w:rPr>
        <w:t>opiekunów</w:t>
      </w:r>
    </w:p>
    <w:p w14:paraId="394EF7E3" w14:textId="77777777" w:rsidR="001F774D" w:rsidRDefault="001F774D" w:rsidP="001F774D">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świadczenia terapeutyczne</w:t>
      </w:r>
    </w:p>
    <w:p w14:paraId="25889EB3" w14:textId="77777777" w:rsidR="001F774D" w:rsidRDefault="001F774D" w:rsidP="001F774D">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kontynuacja leczenia farmakologicznego i dietetycznego</w:t>
      </w:r>
    </w:p>
    <w:p w14:paraId="053D0DB3" w14:textId="77777777" w:rsidR="001F774D" w:rsidRDefault="001F774D" w:rsidP="001F774D">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długotrwała opieka pielęgniarska</w:t>
      </w:r>
    </w:p>
    <w:p w14:paraId="4C831BAF" w14:textId="1243493F" w:rsidR="00B72154" w:rsidRPr="00890249" w:rsidRDefault="001F774D" w:rsidP="001F774D">
      <w:pPr>
        <w:pStyle w:val="Akapitzlist"/>
        <w:numPr>
          <w:ilvl w:val="0"/>
          <w:numId w:val="136"/>
        </w:numPr>
        <w:ind w:left="1134" w:hanging="425"/>
        <w:contextualSpacing w:val="0"/>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usługi zdrowotne świadczone w Dziennych Domach Opieki Medycznej</w:t>
      </w:r>
      <w:r w:rsidR="008263A0" w:rsidRPr="00890249">
        <w:rPr>
          <w:rFonts w:asciiTheme="minorHAnsi" w:eastAsiaTheme="minorHAnsi" w:hAnsiTheme="minorHAnsi" w:cstheme="minorHAnsi"/>
          <w:sz w:val="22"/>
          <w:szCs w:val="22"/>
          <w:lang w:eastAsia="en-US" w:bidi="ar-SA"/>
        </w:rPr>
        <w:t>.</w:t>
      </w:r>
    </w:p>
    <w:p w14:paraId="7D55A56B" w14:textId="1C5231A1" w:rsidR="0093433C" w:rsidRPr="00890249" w:rsidRDefault="00233CAE" w:rsidP="009F296A">
      <w:pPr>
        <w:pStyle w:val="Lista2"/>
        <w:numPr>
          <w:ilvl w:val="0"/>
          <w:numId w:val="101"/>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w:t>
      </w:r>
      <w:r w:rsidR="00015417" w:rsidRPr="00890249">
        <w:rPr>
          <w:rFonts w:asciiTheme="minorHAnsi" w:hAnsiTheme="minorHAnsi" w:cstheme="minorHAnsi"/>
          <w:sz w:val="22"/>
          <w:szCs w:val="22"/>
          <w:lang w:eastAsia="en-US" w:bidi="ar-SA"/>
        </w:rPr>
        <w:t>opraw</w:t>
      </w:r>
      <w:r w:rsidR="0027460B" w:rsidRPr="00890249">
        <w:rPr>
          <w:rFonts w:asciiTheme="minorHAnsi" w:hAnsiTheme="minorHAnsi" w:cstheme="minorHAnsi"/>
          <w:sz w:val="22"/>
          <w:szCs w:val="22"/>
          <w:lang w:eastAsia="en-US" w:bidi="ar-SA"/>
        </w:rPr>
        <w:t>a</w:t>
      </w:r>
      <w:r w:rsidR="00015417" w:rsidRPr="00890249">
        <w:rPr>
          <w:rFonts w:asciiTheme="minorHAnsi" w:hAnsiTheme="minorHAnsi" w:cstheme="minorHAnsi"/>
          <w:sz w:val="22"/>
          <w:szCs w:val="22"/>
          <w:lang w:eastAsia="en-US" w:bidi="ar-SA"/>
        </w:rPr>
        <w:t xml:space="preserve"> ogólnej wydajności usług medycznych </w:t>
      </w:r>
      <w:r w:rsidR="00E52313" w:rsidRPr="00890249">
        <w:rPr>
          <w:rFonts w:asciiTheme="minorHAnsi" w:hAnsiTheme="minorHAnsi" w:cstheme="minorHAnsi"/>
          <w:sz w:val="22"/>
          <w:szCs w:val="22"/>
          <w:lang w:eastAsia="en-US" w:bidi="ar-SA"/>
        </w:rPr>
        <w:t xml:space="preserve">świadczonych w </w:t>
      </w:r>
      <w:r w:rsidR="00C826B1" w:rsidRPr="00890249">
        <w:rPr>
          <w:rFonts w:asciiTheme="minorHAnsi" w:hAnsiTheme="minorHAnsi" w:cstheme="minorHAnsi"/>
          <w:sz w:val="22"/>
          <w:szCs w:val="22"/>
          <w:lang w:eastAsia="en-US" w:bidi="ar-SA"/>
        </w:rPr>
        <w:t xml:space="preserve">placówkach ochrony zdrowia, w tym w </w:t>
      </w:r>
      <w:r w:rsidR="0027460B" w:rsidRPr="00890249">
        <w:rPr>
          <w:rFonts w:asciiTheme="minorHAnsi" w:hAnsiTheme="minorHAnsi" w:cstheme="minorHAnsi"/>
          <w:sz w:val="22"/>
          <w:szCs w:val="22"/>
          <w:lang w:eastAsia="en-US" w:bidi="ar-SA"/>
        </w:rPr>
        <w:t>POZ/AOS</w:t>
      </w:r>
      <w:r w:rsidR="00015417" w:rsidRPr="00890249">
        <w:rPr>
          <w:rFonts w:asciiTheme="minorHAnsi" w:hAnsiTheme="minorHAnsi" w:cstheme="minorHAnsi"/>
          <w:sz w:val="22"/>
          <w:szCs w:val="22"/>
          <w:lang w:eastAsia="en-US" w:bidi="ar-SA"/>
        </w:rPr>
        <w:t xml:space="preserve"> (m.in. </w:t>
      </w:r>
      <w:r w:rsidR="00875C92" w:rsidRPr="00890249">
        <w:rPr>
          <w:rFonts w:asciiTheme="minorHAnsi" w:hAnsiTheme="minorHAnsi" w:cstheme="minorHAnsi"/>
          <w:sz w:val="22"/>
          <w:szCs w:val="22"/>
          <w:lang w:eastAsia="en-US" w:bidi="ar-SA"/>
        </w:rPr>
        <w:t>w zakresie wdrażania standardów dostępności dla osób z niepełnosprawnościami</w:t>
      </w:r>
      <w:r w:rsidR="009720CF" w:rsidRPr="00890249">
        <w:rPr>
          <w:rFonts w:asciiTheme="minorHAnsi" w:hAnsiTheme="minorHAnsi" w:cstheme="minorHAnsi"/>
          <w:sz w:val="22"/>
          <w:szCs w:val="22"/>
          <w:lang w:eastAsia="en-US" w:bidi="ar-SA"/>
        </w:rPr>
        <w:t>,</w:t>
      </w:r>
      <w:r w:rsidR="0027460B" w:rsidRPr="00890249">
        <w:rPr>
          <w:rFonts w:asciiTheme="minorHAnsi" w:hAnsiTheme="minorHAnsi" w:cstheme="minorHAnsi"/>
          <w:sz w:val="22"/>
          <w:szCs w:val="22"/>
          <w:lang w:eastAsia="en-US" w:bidi="ar-SA"/>
        </w:rPr>
        <w:t xml:space="preserve"> </w:t>
      </w:r>
      <w:r w:rsidR="000560BA" w:rsidRPr="00890249">
        <w:rPr>
          <w:rFonts w:asciiTheme="minorHAnsi" w:hAnsiTheme="minorHAnsi" w:cstheme="minorHAnsi"/>
          <w:sz w:val="22"/>
          <w:szCs w:val="22"/>
          <w:lang w:eastAsia="en-US" w:bidi="ar-SA"/>
        </w:rPr>
        <w:t>zatrudnienie koordynatora zdrowia</w:t>
      </w:r>
      <w:r w:rsidR="00015417" w:rsidRPr="00890249">
        <w:rPr>
          <w:rFonts w:asciiTheme="minorHAnsi" w:hAnsiTheme="minorHAnsi" w:cstheme="minorHAnsi"/>
          <w:sz w:val="22"/>
          <w:szCs w:val="22"/>
          <w:lang w:eastAsia="en-US" w:bidi="ar-SA"/>
        </w:rPr>
        <w:t>)</w:t>
      </w:r>
      <w:r w:rsidR="00720ADE" w:rsidRPr="00890249">
        <w:rPr>
          <w:rFonts w:asciiTheme="minorHAnsi" w:hAnsiTheme="minorHAnsi" w:cstheme="minorHAnsi"/>
          <w:sz w:val="22"/>
          <w:szCs w:val="22"/>
          <w:lang w:eastAsia="en-US" w:bidi="ar-SA"/>
        </w:rPr>
        <w:t>.</w:t>
      </w:r>
    </w:p>
    <w:p w14:paraId="0018D2A4" w14:textId="6926CF10" w:rsidR="0093433C" w:rsidRPr="00890249" w:rsidRDefault="00233CAE" w:rsidP="009F296A">
      <w:pPr>
        <w:pStyle w:val="Lista3"/>
        <w:numPr>
          <w:ilvl w:val="0"/>
          <w:numId w:val="101"/>
        </w:numPr>
        <w:contextualSpacing w:val="0"/>
        <w:rPr>
          <w:rFonts w:asciiTheme="minorHAnsi" w:eastAsiaTheme="minorHAnsi" w:hAnsiTheme="minorHAnsi" w:cstheme="minorHAnsi"/>
          <w:b/>
          <w:sz w:val="22"/>
          <w:szCs w:val="22"/>
          <w:u w:val="single"/>
          <w:lang w:eastAsia="en-US" w:bidi="ar-SA"/>
        </w:rPr>
      </w:pPr>
      <w:r w:rsidRPr="00890249">
        <w:rPr>
          <w:rFonts w:asciiTheme="minorHAnsi" w:hAnsiTheme="minorHAnsi" w:cstheme="minorHAnsi"/>
          <w:sz w:val="22"/>
          <w:szCs w:val="22"/>
        </w:rPr>
        <w:t>W</w:t>
      </w:r>
      <w:r w:rsidR="00544B3C" w:rsidRPr="00890249">
        <w:rPr>
          <w:rFonts w:asciiTheme="minorHAnsi" w:hAnsiTheme="minorHAnsi" w:cstheme="minorHAnsi"/>
          <w:sz w:val="22"/>
          <w:szCs w:val="22"/>
        </w:rPr>
        <w:t>sparcie personelu/kadr systemu ochrony zdrowia poprzez m.in. system zachęt</w:t>
      </w:r>
      <w:r w:rsidR="00720ADE" w:rsidRPr="00890249">
        <w:rPr>
          <w:rFonts w:asciiTheme="minorHAnsi" w:hAnsiTheme="minorHAnsi" w:cstheme="minorHAnsi"/>
          <w:sz w:val="22"/>
          <w:szCs w:val="22"/>
        </w:rPr>
        <w:t>.</w:t>
      </w:r>
      <w:r w:rsidR="00544B3C" w:rsidRPr="00890249">
        <w:rPr>
          <w:rFonts w:asciiTheme="minorHAnsi" w:hAnsiTheme="minorHAnsi" w:cstheme="minorHAnsi"/>
          <w:sz w:val="22"/>
          <w:szCs w:val="22"/>
        </w:rPr>
        <w:t xml:space="preserve"> </w:t>
      </w:r>
      <w:r w:rsidR="00544B3C" w:rsidRPr="00890249">
        <w:rPr>
          <w:rFonts w:asciiTheme="minorHAnsi" w:eastAsiaTheme="minorHAnsi" w:hAnsiTheme="minorHAnsi" w:cstheme="minorHAnsi"/>
          <w:b/>
          <w:sz w:val="22"/>
          <w:szCs w:val="22"/>
          <w:u w:val="single"/>
          <w:lang w:eastAsia="en-US" w:bidi="ar-SA"/>
        </w:rPr>
        <w:t xml:space="preserve"> </w:t>
      </w:r>
    </w:p>
    <w:p w14:paraId="11661D65" w14:textId="4EDA2EFE" w:rsidR="0093433C" w:rsidRPr="00890249" w:rsidRDefault="004E4D13" w:rsidP="009F296A">
      <w:pPr>
        <w:pStyle w:val="Lista4"/>
        <w:numPr>
          <w:ilvl w:val="0"/>
          <w:numId w:val="101"/>
        </w:numPr>
        <w:contextualSpacing w:val="0"/>
        <w:rPr>
          <w:rFonts w:asciiTheme="minorHAnsi" w:hAnsiTheme="minorHAnsi" w:cstheme="minorHAnsi"/>
          <w:sz w:val="22"/>
          <w:szCs w:val="22"/>
          <w:lang w:eastAsia="en-US" w:bidi="ar-SA"/>
        </w:rPr>
      </w:pPr>
      <w:r w:rsidRPr="004E4D13">
        <w:rPr>
          <w:rFonts w:asciiTheme="minorHAnsi" w:hAnsiTheme="minorHAnsi" w:cstheme="minorHAnsi"/>
          <w:sz w:val="22"/>
        </w:rPr>
        <w:t>Poprawa dostępu do usług społecznych i z</w:t>
      </w:r>
      <w:r w:rsidR="003504DD">
        <w:rPr>
          <w:rFonts w:asciiTheme="minorHAnsi" w:hAnsiTheme="minorHAnsi" w:cstheme="minorHAnsi"/>
          <w:sz w:val="22"/>
        </w:rPr>
        <w:t>drowotnych dla osób starszych i </w:t>
      </w:r>
      <w:r w:rsidRPr="004E4D13">
        <w:rPr>
          <w:rFonts w:asciiTheme="minorHAnsi" w:hAnsiTheme="minorHAnsi" w:cstheme="minorHAnsi"/>
          <w:sz w:val="22"/>
        </w:rPr>
        <w:t>niepełnosprawnych poprzez wdrożenie usług teleopieki/telemedycyny</w:t>
      </w:r>
      <w:r w:rsidR="00425530" w:rsidRPr="00890249">
        <w:rPr>
          <w:rFonts w:asciiTheme="minorHAnsi" w:hAnsiTheme="minorHAnsi" w:cstheme="minorHAnsi"/>
          <w:sz w:val="22"/>
          <w:szCs w:val="22"/>
          <w:lang w:eastAsia="en-US" w:bidi="ar-SA"/>
        </w:rPr>
        <w:t>.</w:t>
      </w:r>
    </w:p>
    <w:p w14:paraId="6EB84A60" w14:textId="6F283856" w:rsidR="0093433C" w:rsidRPr="00890249" w:rsidRDefault="00233CAE" w:rsidP="009F296A">
      <w:pPr>
        <w:pStyle w:val="Lista5"/>
        <w:numPr>
          <w:ilvl w:val="0"/>
          <w:numId w:val="101"/>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U</w:t>
      </w:r>
      <w:r w:rsidR="00BD2C9A" w:rsidRPr="00890249">
        <w:rPr>
          <w:rFonts w:asciiTheme="minorHAnsi" w:hAnsiTheme="minorHAnsi" w:cstheme="minorHAnsi"/>
          <w:sz w:val="22"/>
          <w:szCs w:val="22"/>
          <w:lang w:eastAsia="en-US" w:bidi="ar-SA"/>
        </w:rPr>
        <w:t xml:space="preserve">sługi dowozu </w:t>
      </w:r>
      <w:r w:rsidR="00260A5D" w:rsidRPr="00890249">
        <w:rPr>
          <w:rFonts w:asciiTheme="minorHAnsi" w:hAnsiTheme="minorHAnsi" w:cstheme="minorHAnsi"/>
          <w:sz w:val="22"/>
          <w:szCs w:val="22"/>
          <w:lang w:eastAsia="en-US" w:bidi="ar-SA"/>
        </w:rPr>
        <w:t xml:space="preserve">dla </w:t>
      </w:r>
      <w:r w:rsidR="00BD2C9A" w:rsidRPr="00890249">
        <w:rPr>
          <w:rFonts w:asciiTheme="minorHAnsi" w:hAnsiTheme="minorHAnsi" w:cstheme="minorHAnsi"/>
          <w:sz w:val="22"/>
          <w:szCs w:val="22"/>
          <w:lang w:eastAsia="en-US" w:bidi="ar-SA"/>
        </w:rPr>
        <w:t xml:space="preserve">osób </w:t>
      </w:r>
      <w:r w:rsidR="00284A14" w:rsidRPr="00890249">
        <w:rPr>
          <w:rFonts w:asciiTheme="minorHAnsi" w:hAnsiTheme="minorHAnsi" w:cstheme="minorHAnsi"/>
          <w:sz w:val="22"/>
          <w:szCs w:val="22"/>
          <w:lang w:eastAsia="en-US" w:bidi="ar-SA"/>
        </w:rPr>
        <w:t xml:space="preserve">o </w:t>
      </w:r>
      <w:r w:rsidR="006A7664" w:rsidRPr="00890249">
        <w:rPr>
          <w:rFonts w:asciiTheme="minorHAnsi" w:hAnsiTheme="minorHAnsi" w:cstheme="minorHAnsi"/>
          <w:sz w:val="22"/>
          <w:szCs w:val="22"/>
          <w:lang w:eastAsia="en-US" w:bidi="ar-SA"/>
        </w:rPr>
        <w:t>ograniczonej</w:t>
      </w:r>
      <w:r w:rsidR="00284A14" w:rsidRPr="00890249">
        <w:rPr>
          <w:rFonts w:asciiTheme="minorHAnsi" w:hAnsiTheme="minorHAnsi" w:cstheme="minorHAnsi"/>
          <w:sz w:val="22"/>
          <w:szCs w:val="22"/>
          <w:lang w:eastAsia="en-US" w:bidi="ar-SA"/>
        </w:rPr>
        <w:t xml:space="preserve"> mobilności</w:t>
      </w:r>
      <w:r w:rsidR="00BD2C9A" w:rsidRPr="00890249">
        <w:rPr>
          <w:rFonts w:asciiTheme="minorHAnsi" w:hAnsiTheme="minorHAnsi" w:cstheme="minorHAnsi"/>
          <w:sz w:val="22"/>
          <w:szCs w:val="22"/>
          <w:lang w:eastAsia="en-US" w:bidi="ar-SA"/>
        </w:rPr>
        <w:t xml:space="preserve"> m.in. w celu zapewnienia podstawowych potrzeb życiowych</w:t>
      </w:r>
      <w:r w:rsidR="00AC5C5E" w:rsidRPr="00890249">
        <w:rPr>
          <w:rFonts w:asciiTheme="minorHAnsi" w:hAnsiTheme="minorHAnsi" w:cstheme="minorHAnsi"/>
          <w:sz w:val="22"/>
          <w:szCs w:val="22"/>
          <w:lang w:eastAsia="en-US" w:bidi="ar-SA"/>
        </w:rPr>
        <w:t xml:space="preserve"> (door to door)</w:t>
      </w:r>
      <w:r w:rsidR="00260A5D" w:rsidRPr="00890249">
        <w:rPr>
          <w:rFonts w:asciiTheme="minorHAnsi" w:hAnsiTheme="minorHAnsi" w:cstheme="minorHAnsi"/>
          <w:sz w:val="22"/>
          <w:szCs w:val="22"/>
          <w:lang w:eastAsia="en-US" w:bidi="ar-SA"/>
        </w:rPr>
        <w:t>,</w:t>
      </w:r>
      <w:r w:rsidR="0074473A" w:rsidRPr="00890249">
        <w:rPr>
          <w:rFonts w:asciiTheme="minorHAnsi" w:hAnsiTheme="minorHAnsi" w:cstheme="minorHAnsi"/>
          <w:sz w:val="22"/>
          <w:szCs w:val="22"/>
          <w:lang w:eastAsia="en-US" w:bidi="ar-SA"/>
        </w:rPr>
        <w:t xml:space="preserve"> </w:t>
      </w:r>
      <w:r w:rsidR="0074473A" w:rsidRPr="00890249">
        <w:rPr>
          <w:rFonts w:asciiTheme="minorHAnsi" w:hAnsiTheme="minorHAnsi" w:cstheme="minorHAnsi"/>
          <w:sz w:val="22"/>
          <w:szCs w:val="22"/>
        </w:rPr>
        <w:t xml:space="preserve">jako element działań na rzecz rozwoju usług społecznych </w:t>
      </w:r>
      <w:r w:rsidR="00564C35" w:rsidRPr="00890249">
        <w:rPr>
          <w:rFonts w:asciiTheme="minorHAnsi" w:hAnsiTheme="minorHAnsi" w:cstheme="minorHAnsi"/>
          <w:sz w:val="22"/>
          <w:szCs w:val="22"/>
        </w:rPr>
        <w:t>lub</w:t>
      </w:r>
      <w:r w:rsidR="0074473A" w:rsidRPr="00890249">
        <w:rPr>
          <w:rFonts w:asciiTheme="minorHAnsi" w:hAnsiTheme="minorHAnsi" w:cstheme="minorHAnsi"/>
          <w:sz w:val="22"/>
          <w:szCs w:val="22"/>
        </w:rPr>
        <w:t xml:space="preserve"> zdrowotnych</w:t>
      </w:r>
      <w:r w:rsidR="00720ADE" w:rsidRPr="00890249">
        <w:rPr>
          <w:rFonts w:asciiTheme="minorHAnsi" w:hAnsiTheme="minorHAnsi" w:cstheme="minorHAnsi"/>
          <w:sz w:val="22"/>
          <w:szCs w:val="22"/>
          <w:lang w:eastAsia="en-US" w:bidi="ar-SA"/>
        </w:rPr>
        <w:t>.</w:t>
      </w:r>
    </w:p>
    <w:p w14:paraId="3587DEC7" w14:textId="26DE4A1B" w:rsidR="0093433C" w:rsidRPr="00890249" w:rsidRDefault="00233CAE" w:rsidP="009F296A">
      <w:pPr>
        <w:pStyle w:val="Lista5"/>
        <w:numPr>
          <w:ilvl w:val="0"/>
          <w:numId w:val="101"/>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w:t>
      </w:r>
      <w:r w:rsidR="008430FD" w:rsidRPr="00890249">
        <w:rPr>
          <w:rFonts w:asciiTheme="minorHAnsi" w:hAnsiTheme="minorHAnsi" w:cstheme="minorHAnsi"/>
          <w:sz w:val="22"/>
          <w:szCs w:val="22"/>
          <w:lang w:eastAsia="en-US" w:bidi="ar-SA"/>
        </w:rPr>
        <w:t>oprawa dostępu do mieszkań o charakterze wspomaganym/</w:t>
      </w:r>
      <w:r w:rsidR="00F92A9A">
        <w:rPr>
          <w:rFonts w:asciiTheme="minorHAnsi" w:hAnsiTheme="minorHAnsi" w:cstheme="minorHAnsi"/>
          <w:sz w:val="22"/>
          <w:szCs w:val="22"/>
          <w:lang w:eastAsia="en-US" w:bidi="ar-SA"/>
        </w:rPr>
        <w:t>treningowym, mieszkań z usługami/ ze wsparciem</w:t>
      </w:r>
      <w:r w:rsidR="00F92A9A" w:rsidRPr="00890249">
        <w:rPr>
          <w:rFonts w:asciiTheme="minorHAnsi" w:hAnsiTheme="minorHAnsi" w:cstheme="minorHAnsi"/>
          <w:sz w:val="22"/>
          <w:szCs w:val="22"/>
          <w:lang w:eastAsia="en-US" w:bidi="ar-SA"/>
        </w:rPr>
        <w:t xml:space="preserve"> </w:t>
      </w:r>
      <w:r w:rsidR="008430FD" w:rsidRPr="00890249">
        <w:rPr>
          <w:rFonts w:asciiTheme="minorHAnsi" w:hAnsiTheme="minorHAnsi" w:cstheme="minorHAnsi"/>
          <w:sz w:val="22"/>
          <w:szCs w:val="22"/>
          <w:lang w:eastAsia="en-US" w:bidi="ar-SA"/>
        </w:rPr>
        <w:t>dla osób potrzebujących wsparcia w codziennym funkcjonowaniu</w:t>
      </w:r>
      <w:r w:rsidR="00720ADE" w:rsidRPr="00890249">
        <w:rPr>
          <w:rFonts w:asciiTheme="minorHAnsi" w:hAnsiTheme="minorHAnsi" w:cstheme="minorHAnsi"/>
          <w:sz w:val="22"/>
          <w:szCs w:val="22"/>
          <w:lang w:eastAsia="en-US" w:bidi="ar-SA"/>
        </w:rPr>
        <w:t>.</w:t>
      </w:r>
    </w:p>
    <w:p w14:paraId="475A57C6" w14:textId="09A70250" w:rsidR="0093433C" w:rsidRPr="00890249" w:rsidRDefault="0040243A" w:rsidP="009F296A">
      <w:pPr>
        <w:pStyle w:val="Lista5"/>
        <w:numPr>
          <w:ilvl w:val="0"/>
          <w:numId w:val="101"/>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Podnoszenie kwalifikacji i kompetencji </w:t>
      </w:r>
      <w:r w:rsidR="00465D6D" w:rsidRPr="00890249">
        <w:rPr>
          <w:rFonts w:asciiTheme="minorHAnsi" w:hAnsiTheme="minorHAnsi" w:cstheme="minorHAnsi"/>
          <w:sz w:val="22"/>
          <w:szCs w:val="22"/>
          <w:lang w:eastAsia="en-US" w:bidi="ar-SA"/>
        </w:rPr>
        <w:t xml:space="preserve">kadr </w:t>
      </w:r>
      <w:r w:rsidR="0079301C" w:rsidRPr="00890249">
        <w:rPr>
          <w:rFonts w:asciiTheme="minorHAnsi" w:hAnsiTheme="minorHAnsi" w:cstheme="minorHAnsi"/>
          <w:sz w:val="22"/>
          <w:szCs w:val="22"/>
          <w:lang w:eastAsia="en-US" w:bidi="ar-SA"/>
        </w:rPr>
        <w:t xml:space="preserve">na potrzeby świadczenia usług </w:t>
      </w:r>
      <w:r w:rsidRPr="00890249">
        <w:rPr>
          <w:rFonts w:asciiTheme="minorHAnsi" w:hAnsiTheme="minorHAnsi" w:cstheme="minorHAnsi"/>
          <w:sz w:val="22"/>
          <w:szCs w:val="22"/>
          <w:lang w:eastAsia="en-US" w:bidi="ar-SA"/>
        </w:rPr>
        <w:t xml:space="preserve">społecznych </w:t>
      </w:r>
      <w:r w:rsidR="00F823E7">
        <w:rPr>
          <w:rFonts w:asciiTheme="minorHAnsi" w:hAnsiTheme="minorHAnsi" w:cstheme="minorHAnsi"/>
          <w:sz w:val="22"/>
          <w:szCs w:val="22"/>
          <w:lang w:eastAsia="en-US" w:bidi="ar-SA"/>
        </w:rPr>
        <w:t>w </w:t>
      </w:r>
      <w:r w:rsidR="0079301C" w:rsidRPr="00890249">
        <w:rPr>
          <w:rFonts w:asciiTheme="minorHAnsi" w:hAnsiTheme="minorHAnsi" w:cstheme="minorHAnsi"/>
          <w:sz w:val="22"/>
          <w:szCs w:val="22"/>
          <w:lang w:eastAsia="en-US" w:bidi="ar-SA"/>
        </w:rPr>
        <w:t>społeczności lokalnej</w:t>
      </w:r>
      <w:r w:rsidR="002B56AC" w:rsidRPr="00890249">
        <w:rPr>
          <w:rFonts w:asciiTheme="minorHAnsi" w:hAnsiTheme="minorHAnsi" w:cstheme="minorHAnsi"/>
          <w:sz w:val="22"/>
          <w:szCs w:val="22"/>
          <w:lang w:eastAsia="en-US" w:bidi="ar-SA"/>
        </w:rPr>
        <w:t>, w tym w szczególności dla pracowników opieki długoterminowej</w:t>
      </w:r>
      <w:r w:rsidR="00465D6D" w:rsidRPr="00890249">
        <w:rPr>
          <w:rFonts w:asciiTheme="minorHAnsi" w:hAnsiTheme="minorHAnsi" w:cstheme="minorHAnsi"/>
          <w:sz w:val="22"/>
          <w:szCs w:val="22"/>
          <w:lang w:eastAsia="en-US" w:bidi="ar-SA"/>
        </w:rPr>
        <w:t>.</w:t>
      </w:r>
    </w:p>
    <w:p w14:paraId="3C744224" w14:textId="721409A0" w:rsidR="0093433C" w:rsidRPr="00890249" w:rsidRDefault="00875C92" w:rsidP="009F296A">
      <w:pPr>
        <w:pStyle w:val="Lista5"/>
        <w:numPr>
          <w:ilvl w:val="0"/>
          <w:numId w:val="101"/>
        </w:numPr>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procesu </w:t>
      </w:r>
      <w:r w:rsidR="00B5548E" w:rsidRPr="00890249">
        <w:rPr>
          <w:rFonts w:asciiTheme="minorHAnsi" w:hAnsiTheme="minorHAnsi" w:cstheme="minorHAnsi"/>
          <w:sz w:val="22"/>
          <w:szCs w:val="22"/>
          <w:lang w:eastAsia="en-US" w:bidi="ar-SA"/>
        </w:rPr>
        <w:t>DI</w:t>
      </w:r>
      <w:r w:rsidRPr="00890249">
        <w:rPr>
          <w:rFonts w:asciiTheme="minorHAnsi" w:hAnsiTheme="minorHAnsi" w:cstheme="minorHAnsi"/>
          <w:sz w:val="22"/>
          <w:szCs w:val="22"/>
          <w:lang w:eastAsia="en-US" w:bidi="ar-SA"/>
        </w:rPr>
        <w:t xml:space="preserve"> placówek całodobowych, polegają</w:t>
      </w:r>
      <w:r w:rsidR="00F823E7">
        <w:rPr>
          <w:rFonts w:asciiTheme="minorHAnsi" w:hAnsiTheme="minorHAnsi" w:cstheme="minorHAnsi"/>
          <w:sz w:val="22"/>
          <w:szCs w:val="22"/>
          <w:lang w:eastAsia="en-US" w:bidi="ar-SA"/>
        </w:rPr>
        <w:t>ce na realizowaniu (w oparciu o </w:t>
      </w:r>
      <w:r w:rsidRPr="00890249">
        <w:rPr>
          <w:rFonts w:asciiTheme="minorHAnsi" w:hAnsiTheme="minorHAnsi" w:cstheme="minorHAnsi"/>
          <w:sz w:val="22"/>
          <w:szCs w:val="22"/>
          <w:lang w:eastAsia="en-US" w:bidi="ar-SA"/>
        </w:rPr>
        <w:t>posiadane zasoby) działań poza dotychczasowymi zadaniami, w tym m.in.: form wsparcia dziennego, środowiskowego, mieszkalnictwa wspomaganego oraz uzyskanie i zmiana kompetencji pracowników.</w:t>
      </w:r>
    </w:p>
    <w:p w14:paraId="54B38FC4" w14:textId="1BEBCFF5" w:rsidR="0093433C" w:rsidRPr="00890249" w:rsidRDefault="00875C92" w:rsidP="009F296A">
      <w:pPr>
        <w:pStyle w:val="Lista5"/>
        <w:numPr>
          <w:ilvl w:val="0"/>
          <w:numId w:val="101"/>
        </w:numPr>
        <w:contextualSpacing w:val="0"/>
        <w:rPr>
          <w:rFonts w:asciiTheme="minorHAnsi" w:hAnsiTheme="minorHAnsi" w:cstheme="minorHAnsi"/>
          <w:sz w:val="22"/>
          <w:szCs w:val="22"/>
        </w:rPr>
      </w:pPr>
      <w:r w:rsidRPr="00890249">
        <w:rPr>
          <w:rFonts w:asciiTheme="minorHAnsi" w:hAnsiTheme="minorHAnsi" w:cstheme="minorHAnsi"/>
          <w:sz w:val="22"/>
          <w:szCs w:val="22"/>
        </w:rPr>
        <w:t>Tworzenie i rozwijanie Centrów Usług Społecznych (CUS)</w:t>
      </w:r>
      <w:r w:rsidR="00260A5D" w:rsidRPr="00890249">
        <w:rPr>
          <w:rFonts w:asciiTheme="minorHAnsi" w:hAnsiTheme="minorHAnsi" w:cstheme="minorHAnsi"/>
          <w:sz w:val="22"/>
          <w:szCs w:val="22"/>
        </w:rPr>
        <w:t>,</w:t>
      </w:r>
      <w:r w:rsidRPr="00890249">
        <w:rPr>
          <w:rFonts w:asciiTheme="minorHAnsi" w:hAnsiTheme="minorHAnsi" w:cstheme="minorHAnsi"/>
          <w:sz w:val="22"/>
          <w:szCs w:val="22"/>
        </w:rPr>
        <w:t xml:space="preserve"> jako element działań na rzecz rozwoju usług społecznych i zdrowotnych. </w:t>
      </w:r>
    </w:p>
    <w:p w14:paraId="1B31A6EA" w14:textId="4CE755D5" w:rsidR="0093433C" w:rsidRPr="00890249" w:rsidRDefault="00875C92" w:rsidP="009F296A">
      <w:pPr>
        <w:pStyle w:val="Lista5"/>
        <w:numPr>
          <w:ilvl w:val="0"/>
          <w:numId w:val="101"/>
        </w:numPr>
        <w:contextualSpacing w:val="0"/>
        <w:rPr>
          <w:rFonts w:asciiTheme="minorHAnsi" w:hAnsiTheme="minorHAnsi" w:cstheme="minorHAnsi"/>
          <w:sz w:val="22"/>
          <w:szCs w:val="22"/>
        </w:rPr>
      </w:pPr>
      <w:r w:rsidRPr="00890249">
        <w:rPr>
          <w:rFonts w:asciiTheme="minorHAnsi" w:hAnsiTheme="minorHAnsi" w:cstheme="minorHAnsi"/>
          <w:sz w:val="22"/>
          <w:szCs w:val="22"/>
        </w:rPr>
        <w:lastRenderedPageBreak/>
        <w:t>Budowanie potencjału organizacji społeczeństwa obywatelskiego do świadczenia usług społ</w:t>
      </w:r>
      <w:r w:rsidR="008D3422" w:rsidRPr="00890249">
        <w:rPr>
          <w:rFonts w:asciiTheme="minorHAnsi" w:hAnsiTheme="minorHAnsi" w:cstheme="minorHAnsi"/>
          <w:sz w:val="22"/>
          <w:szCs w:val="22"/>
        </w:rPr>
        <w:t>.</w:t>
      </w:r>
      <w:r w:rsidR="00F823E7">
        <w:rPr>
          <w:rFonts w:asciiTheme="minorHAnsi" w:hAnsiTheme="minorHAnsi" w:cstheme="minorHAnsi"/>
          <w:sz w:val="22"/>
          <w:szCs w:val="22"/>
        </w:rPr>
        <w:t xml:space="preserve"> I </w:t>
      </w:r>
      <w:r w:rsidRPr="00890249">
        <w:rPr>
          <w:rFonts w:asciiTheme="minorHAnsi" w:hAnsiTheme="minorHAnsi" w:cstheme="minorHAnsi"/>
          <w:sz w:val="22"/>
          <w:szCs w:val="22"/>
        </w:rPr>
        <w:t>zdrow</w:t>
      </w:r>
      <w:r w:rsidR="00720ADE" w:rsidRPr="00890249">
        <w:rPr>
          <w:rFonts w:asciiTheme="minorHAnsi" w:hAnsiTheme="minorHAnsi" w:cstheme="minorHAnsi"/>
          <w:sz w:val="22"/>
          <w:szCs w:val="22"/>
        </w:rPr>
        <w:t>otnych.</w:t>
      </w:r>
    </w:p>
    <w:p w14:paraId="236F631F" w14:textId="45512903" w:rsidR="0093433C" w:rsidRDefault="00875C92" w:rsidP="009F296A">
      <w:pPr>
        <w:pStyle w:val="Lista5"/>
        <w:numPr>
          <w:ilvl w:val="0"/>
          <w:numId w:val="101"/>
        </w:numPr>
        <w:contextualSpacing w:val="0"/>
        <w:rPr>
          <w:rFonts w:asciiTheme="minorHAnsi" w:hAnsiTheme="minorHAnsi" w:cstheme="minorHAnsi"/>
          <w:sz w:val="22"/>
          <w:szCs w:val="22"/>
        </w:rPr>
      </w:pPr>
      <w:r w:rsidRPr="00890249">
        <w:rPr>
          <w:rFonts w:asciiTheme="minorHAnsi" w:hAnsiTheme="minorHAnsi" w:cstheme="minorHAnsi"/>
          <w:sz w:val="22"/>
          <w:szCs w:val="22"/>
        </w:rPr>
        <w:t>Przeciwdziałanie ubóstwu energet</w:t>
      </w:r>
      <w:r w:rsidR="00720ADE" w:rsidRPr="00890249">
        <w:rPr>
          <w:rFonts w:asciiTheme="minorHAnsi" w:hAnsiTheme="minorHAnsi" w:cstheme="minorHAnsi"/>
          <w:sz w:val="22"/>
          <w:szCs w:val="22"/>
        </w:rPr>
        <w:t>ycznemu</w:t>
      </w:r>
      <w:r w:rsidRPr="00890249">
        <w:rPr>
          <w:rFonts w:asciiTheme="minorHAnsi" w:hAnsiTheme="minorHAnsi" w:cstheme="minorHAnsi"/>
          <w:sz w:val="22"/>
          <w:szCs w:val="22"/>
        </w:rPr>
        <w:t xml:space="preserve"> poprzez wzmacnianie świadomości w zakresie konieczności oszczędnego korzystania z energii.</w:t>
      </w:r>
    </w:p>
    <w:p w14:paraId="18D36625" w14:textId="18F30ABF" w:rsidR="001E6548" w:rsidRPr="00890249" w:rsidRDefault="001E6548" w:rsidP="009F296A">
      <w:pPr>
        <w:pStyle w:val="Lista5"/>
        <w:numPr>
          <w:ilvl w:val="0"/>
          <w:numId w:val="101"/>
        </w:numPr>
        <w:contextualSpacing w:val="0"/>
        <w:rPr>
          <w:rFonts w:asciiTheme="minorHAnsi" w:hAnsiTheme="minorHAnsi" w:cstheme="minorHAnsi"/>
          <w:sz w:val="22"/>
          <w:szCs w:val="22"/>
        </w:rPr>
      </w:pPr>
      <w:r>
        <w:rPr>
          <w:rFonts w:asciiTheme="minorHAnsi" w:hAnsiTheme="minorHAnsi" w:cstheme="minorHAnsi"/>
          <w:sz w:val="22"/>
          <w:szCs w:val="22"/>
        </w:rPr>
        <w:t>Działania wspierające aktywność edukacyjną, społeczną i kulturalną umożliwiające pozostanie w społeczności lokalnej.</w:t>
      </w:r>
    </w:p>
    <w:p w14:paraId="73F71EF1" w14:textId="559F2ABC" w:rsidR="0093433C" w:rsidRPr="00890249" w:rsidRDefault="00697128"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Realizowane  przedsięwzięcia </w:t>
      </w:r>
      <w:r w:rsidR="00083EE4" w:rsidRPr="00890249">
        <w:rPr>
          <w:rFonts w:asciiTheme="minorHAnsi" w:hAnsiTheme="minorHAnsi" w:cstheme="minorHAnsi"/>
          <w:noProof/>
          <w:sz w:val="22"/>
        </w:rPr>
        <w:t xml:space="preserve">są zgodne z zasadą DNSH. Ze względu na ich charakter przyjmuje się, że nie mają negatywnego wpływu na środowisko. </w:t>
      </w:r>
    </w:p>
    <w:p w14:paraId="1A1953D7" w14:textId="77777777" w:rsidR="009F312A" w:rsidRPr="00890249" w:rsidRDefault="009F312A" w:rsidP="009F312A">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Główne grupy docelowe</w:t>
      </w:r>
    </w:p>
    <w:p w14:paraId="58714CDD" w14:textId="73D711C8" w:rsidR="00720ADE" w:rsidRPr="00890249" w:rsidRDefault="00720AD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mieszkańcy regionu</w:t>
      </w:r>
      <w:r w:rsidR="00260A5D" w:rsidRPr="00890249">
        <w:rPr>
          <w:rFonts w:asciiTheme="minorHAnsi" w:eastAsiaTheme="minorHAnsi" w:hAnsiTheme="minorHAnsi" w:cstheme="minorHAnsi"/>
          <w:sz w:val="22"/>
          <w:szCs w:val="22"/>
          <w:lang w:eastAsia="en-US" w:bidi="ar-SA"/>
        </w:rPr>
        <w:t>,</w:t>
      </w:r>
      <w:r w:rsidRPr="00890249">
        <w:rPr>
          <w:rFonts w:asciiTheme="minorHAnsi" w:eastAsiaTheme="minorHAnsi" w:hAnsiTheme="minorHAnsi" w:cstheme="minorHAnsi"/>
          <w:sz w:val="22"/>
          <w:szCs w:val="22"/>
          <w:lang w:eastAsia="en-US" w:bidi="ar-SA"/>
        </w:rPr>
        <w:t xml:space="preserve"> w tym w </w:t>
      </w:r>
      <w:r w:rsidR="00C15BE8" w:rsidRPr="00890249">
        <w:rPr>
          <w:rFonts w:asciiTheme="minorHAnsi" w:eastAsiaTheme="minorHAnsi" w:hAnsiTheme="minorHAnsi" w:cstheme="minorHAnsi"/>
          <w:sz w:val="22"/>
          <w:szCs w:val="22"/>
          <w:lang w:eastAsia="en-US" w:bidi="ar-SA"/>
        </w:rPr>
        <w:t>pierwszej kolejności</w:t>
      </w:r>
      <w:r w:rsidRPr="00890249">
        <w:rPr>
          <w:rFonts w:asciiTheme="minorHAnsi" w:eastAsiaTheme="minorHAnsi" w:hAnsiTheme="minorHAnsi" w:cstheme="minorHAnsi"/>
          <w:sz w:val="22"/>
          <w:szCs w:val="22"/>
          <w:lang w:eastAsia="en-US" w:bidi="ar-SA"/>
        </w:rPr>
        <w:t xml:space="preserve"> z  opisanyc</w:t>
      </w:r>
      <w:r w:rsidR="005622F0" w:rsidRPr="00890249">
        <w:rPr>
          <w:rFonts w:asciiTheme="minorHAnsi" w:eastAsiaTheme="minorHAnsi" w:hAnsiTheme="minorHAnsi" w:cstheme="minorHAnsi"/>
          <w:sz w:val="22"/>
          <w:szCs w:val="22"/>
          <w:lang w:eastAsia="en-US" w:bidi="ar-SA"/>
        </w:rPr>
        <w:t xml:space="preserve">h powyżej grup defaworyzowanych </w:t>
      </w:r>
      <w:r w:rsidR="00C15BE8" w:rsidRPr="00890249">
        <w:rPr>
          <w:rFonts w:asciiTheme="minorHAnsi" w:eastAsiaTheme="minorHAnsi" w:hAnsiTheme="minorHAnsi" w:cstheme="minorHAnsi"/>
          <w:sz w:val="22"/>
          <w:szCs w:val="22"/>
          <w:lang w:eastAsia="en-US" w:bidi="ar-SA"/>
        </w:rPr>
        <w:t xml:space="preserve">oraz mieszkańcy obszarów </w:t>
      </w:r>
      <w:r w:rsidR="005622F0" w:rsidRPr="00890249">
        <w:rPr>
          <w:rFonts w:asciiTheme="minorHAnsi" w:eastAsiaTheme="minorHAnsi" w:hAnsiTheme="minorHAnsi" w:cstheme="minorHAnsi"/>
          <w:sz w:val="22"/>
          <w:szCs w:val="22"/>
          <w:lang w:eastAsia="en-US" w:bidi="ar-SA"/>
        </w:rPr>
        <w:t>zmarginalizowanych</w:t>
      </w:r>
      <w:r w:rsidR="00807725" w:rsidRPr="00890249">
        <w:rPr>
          <w:rFonts w:asciiTheme="minorHAnsi" w:eastAsiaTheme="minorHAnsi" w:hAnsiTheme="minorHAnsi" w:cstheme="minorHAnsi"/>
          <w:sz w:val="22"/>
          <w:szCs w:val="22"/>
          <w:lang w:eastAsia="en-US" w:bidi="ar-SA"/>
        </w:rPr>
        <w:t xml:space="preserve"> tzw. „białych plam”,</w:t>
      </w:r>
    </w:p>
    <w:p w14:paraId="0D9EA85C" w14:textId="77777777" w:rsidR="00720ADE" w:rsidRPr="00890249" w:rsidRDefault="00720AD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personel / kadry systemu ochrony zdrowia,</w:t>
      </w:r>
    </w:p>
    <w:p w14:paraId="1AAD7E62" w14:textId="701A37E3" w:rsidR="00720ADE" w:rsidRPr="00890249" w:rsidRDefault="004E4D13"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 xml:space="preserve">pracownicy/ przedstawiciele podmiotów </w:t>
      </w:r>
      <w:r w:rsidR="00A01BCA">
        <w:rPr>
          <w:rFonts w:asciiTheme="minorHAnsi" w:eastAsiaTheme="minorHAnsi" w:hAnsiTheme="minorHAnsi" w:cstheme="minorHAnsi"/>
          <w:sz w:val="22"/>
          <w:szCs w:val="22"/>
          <w:lang w:eastAsia="en-US" w:bidi="ar-SA"/>
        </w:rPr>
        <w:t>ekonomii</w:t>
      </w:r>
      <w:r>
        <w:rPr>
          <w:rFonts w:asciiTheme="minorHAnsi" w:eastAsiaTheme="minorHAnsi" w:hAnsiTheme="minorHAnsi" w:cstheme="minorHAnsi"/>
          <w:sz w:val="22"/>
          <w:szCs w:val="22"/>
          <w:lang w:eastAsia="en-US" w:bidi="ar-SA"/>
        </w:rPr>
        <w:t xml:space="preserve"> </w:t>
      </w:r>
      <w:r w:rsidR="00720ADE" w:rsidRPr="00890249">
        <w:rPr>
          <w:rFonts w:asciiTheme="minorHAnsi" w:eastAsiaTheme="minorHAnsi" w:hAnsiTheme="minorHAnsi" w:cstheme="minorHAnsi"/>
          <w:sz w:val="22"/>
          <w:szCs w:val="22"/>
          <w:lang w:eastAsia="en-US" w:bidi="ar-SA"/>
        </w:rPr>
        <w:t>społecznej,</w:t>
      </w:r>
    </w:p>
    <w:p w14:paraId="0CD6287B" w14:textId="77777777" w:rsidR="00720ADE" w:rsidRPr="00890249" w:rsidRDefault="00720AD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t>osoby zagrożone ubóstwem i wykluczeniem społecznym, w tym osoby potrzebujące wsparcia w codziennym funkcjonowaniu,</w:t>
      </w:r>
    </w:p>
    <w:p w14:paraId="0EDBB6FA" w14:textId="77777777" w:rsidR="00720ADE" w:rsidRPr="00890249" w:rsidRDefault="00720ADE" w:rsidP="009F296A">
      <w:pPr>
        <w:pStyle w:val="Akapitzlist"/>
        <w:numPr>
          <w:ilvl w:val="0"/>
          <w:numId w:val="51"/>
        </w:numPr>
        <w:ind w:left="714" w:hanging="357"/>
        <w:contextualSpacing w:val="0"/>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rPr>
        <w:t>otoczenie osób zagrożonych ubóstwem lub wykluczeniem społecznym,</w:t>
      </w:r>
    </w:p>
    <w:p w14:paraId="0968D3AB" w14:textId="59325FD3" w:rsidR="0093433C" w:rsidRPr="00890249" w:rsidRDefault="00720ADE" w:rsidP="00890249">
      <w:pPr>
        <w:pStyle w:val="Akapitzlist"/>
        <w:rPr>
          <w:rFonts w:asciiTheme="minorHAnsi" w:hAnsiTheme="minorHAnsi" w:cstheme="minorHAnsi"/>
          <w:lang w:eastAsia="en-US" w:bidi="ar-SA"/>
        </w:rPr>
      </w:pPr>
      <w:r w:rsidRPr="00890249">
        <w:rPr>
          <w:rFonts w:asciiTheme="minorHAnsi" w:eastAsiaTheme="minorHAnsi" w:hAnsiTheme="minorHAnsi" w:cstheme="minorHAnsi"/>
          <w:sz w:val="22"/>
          <w:szCs w:val="22"/>
          <w:lang w:eastAsia="en-US" w:bidi="ar-SA"/>
        </w:rPr>
        <w:t>personel / kadry świadczące usługi społeczne, w tym przede wszystkim opiekę długoterminową.</w:t>
      </w:r>
    </w:p>
    <w:p w14:paraId="4950F322" w14:textId="502DF60D" w:rsidR="0093433C" w:rsidRPr="00890249" w:rsidRDefault="00974503">
      <w:pPr>
        <w:rPr>
          <w:rFonts w:asciiTheme="minorHAnsi" w:hAnsiTheme="minorHAnsi" w:cstheme="minorHAnsi"/>
          <w:lang w:eastAsia="en-US" w:bidi="ar-SA"/>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50DD6A98" w14:textId="0E453521" w:rsidR="0052144C" w:rsidRPr="00890249" w:rsidRDefault="0052144C" w:rsidP="00974503">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będzie realizowane z poszanowaniem fundamentalnych praw człowieka określonych </w:t>
      </w:r>
      <w:r w:rsidRPr="0089024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Pr>
          <w:rFonts w:asciiTheme="minorHAnsi" w:hAnsiTheme="minorHAnsi" w:cstheme="minorHAnsi"/>
          <w:sz w:val="22"/>
          <w:szCs w:val="22"/>
          <w:lang w:eastAsia="en-US" w:bidi="ar-SA"/>
        </w:rPr>
        <w:br/>
        <w:t>tj. w zakresie równości szans kobiet i mężczyzn oraz niedyskryminacji, a także zrównoważonego rozwoju oraz Załącznika III do Rozporządzenia UE 2021/1060.</w:t>
      </w:r>
    </w:p>
    <w:p w14:paraId="2C8512F6" w14:textId="77777777" w:rsidR="0093433C" w:rsidRPr="00890249" w:rsidRDefault="0052144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Zasady horyzontalne będą przestrzegane na wszystkich etapach realizacji Programu.</w:t>
      </w:r>
    </w:p>
    <w:p w14:paraId="259B62E9" w14:textId="77777777" w:rsidR="0093433C" w:rsidRPr="00890249" w:rsidRDefault="0052144C"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działania na rzecz zwalczania wszelkich form dyskryminacji oraz promowania równości szans:</w:t>
      </w:r>
    </w:p>
    <w:p w14:paraId="6E6752AA" w14:textId="77777777" w:rsidR="0093433C" w:rsidRPr="00890249" w:rsidRDefault="0052144C" w:rsidP="009F296A">
      <w:pPr>
        <w:pStyle w:val="Listapunktowana2"/>
        <w:numPr>
          <w:ilvl w:val="0"/>
          <w:numId w:val="65"/>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52638AC5"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66DAE1FE"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Pr="00890249">
        <w:rPr>
          <w:rFonts w:asciiTheme="minorHAnsi" w:hAnsiTheme="minorHAnsi" w:cstheme="minorHAnsi"/>
          <w:sz w:val="22"/>
          <w:szCs w:val="22"/>
          <w:lang w:eastAsia="en-US" w:bidi="ar-SA"/>
        </w:rPr>
        <w:br/>
        <w:t xml:space="preserve">i szkodliwych praktyk, </w:t>
      </w:r>
    </w:p>
    <w:p w14:paraId="49B5F67C" w14:textId="1013F5C1"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00AE052A" w:rsidRPr="00890249">
        <w:rPr>
          <w:rFonts w:asciiTheme="minorHAnsi" w:hAnsiTheme="minorHAnsi" w:cstheme="minorHAnsi"/>
          <w:sz w:val="22"/>
          <w:szCs w:val="22"/>
          <w:lang w:eastAsia="en-US" w:bidi="ar-SA"/>
        </w:rPr>
        <w:t xml:space="preserve">beneficjenta, będącego </w:t>
      </w:r>
      <w:r w:rsidR="00AE052A"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5FC8F961"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605B08AD"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Pr="00890249">
        <w:rPr>
          <w:rFonts w:asciiTheme="minorHAnsi" w:hAnsiTheme="minorHAnsi" w:cstheme="minorHAnsi"/>
          <w:sz w:val="22"/>
          <w:szCs w:val="22"/>
          <w:lang w:eastAsia="en-US" w:bidi="ar-SA"/>
        </w:rPr>
        <w:br/>
        <w:t>w korzystaniu ze wsparcia przez odbiorców ostatecznych,</w:t>
      </w:r>
    </w:p>
    <w:p w14:paraId="1274B466"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 xml:space="preserve">włączenie do Komitetu Monitorującego członków organizacji pozarządowych oraz reprezentantów mniejszości, w tym etnicznych, </w:t>
      </w:r>
    </w:p>
    <w:p w14:paraId="10CE3556" w14:textId="77777777" w:rsidR="0093433C" w:rsidRPr="00890249" w:rsidRDefault="0052144C" w:rsidP="009F296A">
      <w:pPr>
        <w:pStyle w:val="Listapunktowana2"/>
        <w:numPr>
          <w:ilvl w:val="0"/>
          <w:numId w:val="66"/>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3EF89B25" w14:textId="77777777" w:rsidR="00974503" w:rsidRPr="00890249" w:rsidRDefault="00974503" w:rsidP="0097450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planownego wykorzystania narzędzi terytorialnych</w:t>
      </w:r>
    </w:p>
    <w:p w14:paraId="5FAE4F64" w14:textId="3CD8F620" w:rsidR="0093433C" w:rsidRPr="00890249" w:rsidRDefault="00766619"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Strategia Opolskie 2030 </w:t>
      </w:r>
      <w:r w:rsidR="000F088B" w:rsidRPr="00890249">
        <w:rPr>
          <w:rFonts w:asciiTheme="minorHAnsi" w:hAnsiTheme="minorHAnsi" w:cstheme="minorHAnsi"/>
          <w:noProof/>
          <w:sz w:val="22"/>
        </w:rPr>
        <w:t>szczególne znaczenie przypisuje obszarom strategicznej interwencji (OSI), tj. tym obszarom funkcjonalnym, które wymagają ukierunkowanej interwencji publicznej lub rozwiązań regulacyjnych,</w:t>
      </w:r>
      <w:r w:rsidR="00501A25" w:rsidRPr="00890249">
        <w:rPr>
          <w:rFonts w:asciiTheme="minorHAnsi" w:hAnsiTheme="minorHAnsi" w:cstheme="minorHAnsi"/>
          <w:noProof/>
          <w:sz w:val="22"/>
        </w:rPr>
        <w:t xml:space="preserve"> stąd w regionie wyodrębniono 5 </w:t>
      </w:r>
      <w:r w:rsidR="000F088B" w:rsidRPr="00890249">
        <w:rPr>
          <w:rFonts w:asciiTheme="minorHAnsi" w:hAnsiTheme="minorHAnsi" w:cstheme="minorHAnsi"/>
          <w:noProof/>
          <w:sz w:val="22"/>
        </w:rPr>
        <w:t xml:space="preserve">OSI: Subregion Aglomeracja Opolska, Subregion Brzeski, Subregion Kędzierzyńsko-Strzelecki, </w:t>
      </w:r>
      <w:r w:rsidR="00260A5D" w:rsidRPr="00890249">
        <w:rPr>
          <w:rFonts w:asciiTheme="minorHAnsi" w:hAnsiTheme="minorHAnsi" w:cstheme="minorHAnsi"/>
          <w:noProof/>
          <w:sz w:val="22"/>
        </w:rPr>
        <w:t xml:space="preserve">Subregion Południowy, </w:t>
      </w:r>
      <w:r w:rsidR="000F088B" w:rsidRPr="00890249">
        <w:rPr>
          <w:rFonts w:asciiTheme="minorHAnsi" w:hAnsiTheme="minorHAnsi" w:cstheme="minorHAnsi"/>
          <w:noProof/>
          <w:sz w:val="22"/>
        </w:rPr>
        <w:t>Subregion Północny</w:t>
      </w:r>
      <w:r w:rsidR="00260A5D" w:rsidRPr="00890249">
        <w:rPr>
          <w:rFonts w:asciiTheme="minorHAnsi" w:hAnsiTheme="minorHAnsi" w:cstheme="minorHAnsi"/>
          <w:noProof/>
          <w:sz w:val="22"/>
        </w:rPr>
        <w:t>.</w:t>
      </w:r>
    </w:p>
    <w:p w14:paraId="59846CE0" w14:textId="6A670616" w:rsidR="0093433C" w:rsidRPr="00890249" w:rsidRDefault="00AC276D" w:rsidP="00890249">
      <w:pPr>
        <w:pStyle w:val="Tekstpodstawowy"/>
        <w:rPr>
          <w:rFonts w:asciiTheme="minorHAnsi" w:hAnsiTheme="minorHAnsi" w:cstheme="minorHAnsi"/>
          <w:noProof/>
          <w:sz w:val="22"/>
        </w:rPr>
      </w:pPr>
      <w:r w:rsidRPr="00890249">
        <w:rPr>
          <w:rFonts w:asciiTheme="minorHAnsi" w:hAnsiTheme="minorHAnsi" w:cstheme="minorHAnsi"/>
          <w:noProof/>
          <w:sz w:val="22"/>
        </w:rPr>
        <w:t>Istn</w:t>
      </w:r>
      <w:r w:rsidR="00A41980" w:rsidRPr="00890249">
        <w:rPr>
          <w:rFonts w:asciiTheme="minorHAnsi" w:hAnsiTheme="minorHAnsi" w:cstheme="minorHAnsi"/>
          <w:noProof/>
          <w:sz w:val="22"/>
        </w:rPr>
        <w:t>ieje możliwość preferencji dla m</w:t>
      </w:r>
      <w:r w:rsidRPr="00890249">
        <w:rPr>
          <w:rFonts w:asciiTheme="minorHAnsi" w:hAnsiTheme="minorHAnsi" w:cstheme="minorHAnsi"/>
          <w:noProof/>
          <w:sz w:val="22"/>
        </w:rPr>
        <w:t xml:space="preserve">ieszkańców obszarów strategicznej interwencji, tj. miast średnich tracących funkcje społeczno-gospodarcze oraz </w:t>
      </w:r>
      <w:r w:rsidR="00326871" w:rsidRPr="00890249">
        <w:rPr>
          <w:rFonts w:asciiTheme="minorHAnsi" w:hAnsiTheme="minorHAnsi" w:cstheme="minorHAnsi"/>
          <w:noProof/>
          <w:sz w:val="22"/>
        </w:rPr>
        <w:t xml:space="preserve">obszarów </w:t>
      </w:r>
      <w:r w:rsidRPr="00890249">
        <w:rPr>
          <w:rFonts w:asciiTheme="minorHAnsi" w:hAnsiTheme="minorHAnsi" w:cstheme="minorHAnsi"/>
          <w:noProof/>
          <w:sz w:val="22"/>
        </w:rPr>
        <w:t xml:space="preserve">zagrożonych trwałą marginalizacją, zidentyfikowanych na poziomie krajowym. </w:t>
      </w:r>
    </w:p>
    <w:p w14:paraId="00C4EC6E" w14:textId="77777777" w:rsidR="0093433C" w:rsidRPr="00890249" w:rsidRDefault="000F088B" w:rsidP="00890249">
      <w:pPr>
        <w:pStyle w:val="Tekstpodstawowy"/>
        <w:rPr>
          <w:rFonts w:asciiTheme="minorHAnsi" w:hAnsiTheme="minorHAnsi" w:cstheme="minorHAnsi"/>
          <w:sz w:val="22"/>
        </w:rPr>
      </w:pPr>
      <w:r w:rsidRPr="00890249">
        <w:rPr>
          <w:rFonts w:asciiTheme="minorHAnsi" w:hAnsiTheme="minorHAnsi" w:cstheme="minorHAnsi"/>
          <w:sz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14C2A7A5" w14:textId="77777777" w:rsidR="00974503" w:rsidRPr="00890249" w:rsidRDefault="00974503" w:rsidP="0097450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03CC22D2" w14:textId="6AAE9A7A" w:rsidR="0093433C" w:rsidRPr="00890249" w:rsidRDefault="008915F3"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Wszystkie interwencje zaplanowane w </w:t>
      </w:r>
      <w:r w:rsidR="00326871" w:rsidRPr="00890249">
        <w:rPr>
          <w:rFonts w:asciiTheme="minorHAnsi" w:hAnsiTheme="minorHAnsi" w:cstheme="minorHAnsi"/>
          <w:noProof/>
          <w:sz w:val="22"/>
        </w:rPr>
        <w:t>cs (k)</w:t>
      </w:r>
      <w:r w:rsidRPr="00890249">
        <w:rPr>
          <w:rFonts w:asciiTheme="minorHAnsi" w:hAnsiTheme="minorHAnsi" w:cstheme="minorHAnsi"/>
          <w:noProof/>
          <w:sz w:val="22"/>
        </w:rPr>
        <w:t xml:space="preserve"> będą przyczyniać się do poprawy jakości życia, w tym zwłaszcza osób zmarginalizowanych i zagrożonych wykluczeniem społecznym, poprzez zwiększanie dostępności do usług edukacyjnych, społecznych, zdrowotnych oraz wysokiej jakości miejsc pracy. </w:t>
      </w:r>
      <w:r w:rsidR="005622F0" w:rsidRPr="00890249">
        <w:rPr>
          <w:rFonts w:asciiTheme="minorHAnsi" w:hAnsiTheme="minorHAnsi" w:cstheme="minorHAnsi"/>
          <w:noProof/>
          <w:sz w:val="22"/>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z interwencją wskazaną w programach współpracy transgranicznej Interreg Czechy-Polska 2021-2027 oraz Interreg Region Morza Bałtyckiego 2021-2027.</w:t>
      </w:r>
    </w:p>
    <w:p w14:paraId="17DE7788" w14:textId="5E87825B" w:rsidR="0093433C" w:rsidRPr="00890249" w:rsidRDefault="008915F3" w:rsidP="00890249">
      <w:pPr>
        <w:pStyle w:val="Tekstpodstawowy"/>
        <w:rPr>
          <w:rFonts w:asciiTheme="minorHAnsi" w:hAnsiTheme="minorHAnsi" w:cstheme="minorHAnsi"/>
          <w:noProof/>
          <w:sz w:val="22"/>
        </w:rPr>
      </w:pPr>
      <w:r w:rsidRPr="00890249">
        <w:rPr>
          <w:rFonts w:asciiTheme="minorHAnsi" w:hAnsiTheme="minorHAnsi" w:cstheme="minorHAnsi"/>
          <w:noProof/>
          <w:sz w:val="22"/>
        </w:rPr>
        <w:t>Z punktu widzenia ochrony zdrowia wsparcie zaplanowane w FEO 2021-2027 będzie uzupełniać się</w:t>
      </w:r>
      <w:r w:rsidR="00F823E7">
        <w:rPr>
          <w:rFonts w:asciiTheme="minorHAnsi" w:hAnsiTheme="minorHAnsi" w:cstheme="minorHAnsi"/>
          <w:noProof/>
          <w:sz w:val="22"/>
        </w:rPr>
        <w:t xml:space="preserve"> z </w:t>
      </w:r>
      <w:r w:rsidRPr="00890249">
        <w:rPr>
          <w:rFonts w:asciiTheme="minorHAnsi" w:hAnsiTheme="minorHAnsi" w:cstheme="minorHAnsi"/>
          <w:noProof/>
          <w:sz w:val="22"/>
        </w:rPr>
        <w:t>interwencj</w:t>
      </w:r>
      <w:r w:rsidR="00BB20C0" w:rsidRPr="00890249">
        <w:rPr>
          <w:rFonts w:asciiTheme="minorHAnsi" w:hAnsiTheme="minorHAnsi" w:cstheme="minorHAnsi"/>
          <w:noProof/>
          <w:sz w:val="22"/>
        </w:rPr>
        <w:t xml:space="preserve">ą </w:t>
      </w:r>
      <w:r w:rsidRPr="00890249">
        <w:rPr>
          <w:rFonts w:asciiTheme="minorHAnsi" w:hAnsiTheme="minorHAnsi" w:cstheme="minorHAnsi"/>
          <w:noProof/>
          <w:sz w:val="22"/>
        </w:rPr>
        <w:t>wskazan</w:t>
      </w:r>
      <w:r w:rsidR="00BB20C0" w:rsidRPr="00890249">
        <w:rPr>
          <w:rFonts w:asciiTheme="minorHAnsi" w:hAnsiTheme="minorHAnsi" w:cstheme="minorHAnsi"/>
          <w:noProof/>
          <w:sz w:val="22"/>
        </w:rPr>
        <w:t>ą</w:t>
      </w:r>
      <w:r w:rsidRPr="00890249">
        <w:rPr>
          <w:rFonts w:asciiTheme="minorHAnsi" w:hAnsiTheme="minorHAnsi" w:cstheme="minorHAnsi"/>
          <w:noProof/>
          <w:sz w:val="22"/>
        </w:rPr>
        <w:t xml:space="preserve"> w programie współpracy transgranicznej Interreg Region Morza Bałtyckiego 2021-2027, w ramach którego zaplanowano opracowanie wspólnych standardów i ustanowienie zrównoważonych, integracyjnych i godnych zaufania cyfrowych usług publicznych w regionie Morza Bałtyckiego, w tym poprzez pilotaż interoperacyjnych usłu</w:t>
      </w:r>
      <w:r w:rsidR="00F823E7">
        <w:rPr>
          <w:rFonts w:asciiTheme="minorHAnsi" w:hAnsiTheme="minorHAnsi" w:cstheme="minorHAnsi"/>
          <w:noProof/>
          <w:sz w:val="22"/>
        </w:rPr>
        <w:t>g publicznych, np. testowanie i </w:t>
      </w:r>
      <w:r w:rsidRPr="00890249">
        <w:rPr>
          <w:rFonts w:asciiTheme="minorHAnsi" w:hAnsiTheme="minorHAnsi" w:cstheme="minorHAnsi"/>
          <w:noProof/>
          <w:sz w:val="22"/>
        </w:rPr>
        <w:t>opracowywanie nowych modeli opieki zdrowotnej opartych na danych, umożliwiających bardziej partycypacyjne i zindywidualizowane podejście.</w:t>
      </w:r>
      <w:r w:rsidR="00BB20C0" w:rsidRPr="00890249">
        <w:rPr>
          <w:rFonts w:asciiTheme="minorHAnsi" w:hAnsiTheme="minorHAnsi" w:cstheme="minorHAnsi"/>
          <w:noProof/>
          <w:sz w:val="22"/>
        </w:rPr>
        <w:t xml:space="preserve"> Wzajemne oddziaływanie interwencji wzmocni jej skuteczność i pozwoli na osiągnięcie efektu synergii. </w:t>
      </w:r>
    </w:p>
    <w:p w14:paraId="7D20A3F8" w14:textId="6C19D379" w:rsidR="0093433C" w:rsidRPr="00890249" w:rsidRDefault="008915F3" w:rsidP="00890249">
      <w:pPr>
        <w:pStyle w:val="Tekstpodstawowy"/>
        <w:rPr>
          <w:rFonts w:asciiTheme="minorHAnsi" w:hAnsiTheme="minorHAnsi" w:cstheme="minorHAnsi"/>
          <w:noProof/>
        </w:rPr>
      </w:pPr>
      <w:r w:rsidRPr="00890249">
        <w:rPr>
          <w:rFonts w:asciiTheme="minorHAnsi" w:hAnsiTheme="minorHAnsi" w:cstheme="minorHAnsi"/>
          <w:noProof/>
          <w:sz w:val="22"/>
        </w:rPr>
        <w:t>Działania podejmowane w cs (k) wpisują się również w Obszar Tematyczny Zdrowie Strategii UE dla regionu Morza Bałtyckiego.</w:t>
      </w:r>
    </w:p>
    <w:p w14:paraId="4412772B" w14:textId="77777777" w:rsidR="00974503" w:rsidRPr="00890249" w:rsidRDefault="00974503" w:rsidP="0097450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2B0E554E" w14:textId="35D2C530" w:rsidR="0093433C" w:rsidRPr="00890249" w:rsidRDefault="005B4910" w:rsidP="00890249">
      <w:pPr>
        <w:pStyle w:val="Nagwek7"/>
        <w:rPr>
          <w:rFonts w:asciiTheme="minorHAnsi" w:hAnsiTheme="minorHAnsi" w:cstheme="minorHAnsi"/>
          <w:sz w:val="22"/>
          <w:szCs w:val="22"/>
        </w:rPr>
      </w:pPr>
      <w:r w:rsidRPr="00890249">
        <w:rPr>
          <w:rFonts w:asciiTheme="minorHAnsi" w:eastAsia="Calibri" w:hAnsiTheme="minorHAnsi" w:cstheme="minorHAnsi"/>
          <w:i w:val="0"/>
          <w:iCs w:val="0"/>
          <w:color w:val="auto"/>
          <w:sz w:val="22"/>
          <w:szCs w:val="22"/>
        </w:rPr>
        <w:t xml:space="preserve">W ramach </w:t>
      </w:r>
      <w:r w:rsidR="00BD3219" w:rsidRPr="00890249">
        <w:rPr>
          <w:rFonts w:asciiTheme="minorHAnsi" w:eastAsia="Calibri" w:hAnsiTheme="minorHAnsi" w:cstheme="minorHAnsi"/>
          <w:i w:val="0"/>
          <w:iCs w:val="0"/>
          <w:color w:val="auto"/>
          <w:sz w:val="22"/>
          <w:szCs w:val="22"/>
        </w:rPr>
        <w:t>cs</w:t>
      </w:r>
      <w:r w:rsidRPr="00890249">
        <w:rPr>
          <w:rFonts w:asciiTheme="minorHAnsi" w:eastAsia="Calibri" w:hAnsiTheme="minorHAnsi" w:cstheme="minorHAnsi"/>
          <w:i w:val="0"/>
          <w:iCs w:val="0"/>
          <w:color w:val="auto"/>
          <w:sz w:val="22"/>
          <w:szCs w:val="22"/>
        </w:rPr>
        <w:t xml:space="preserve"> (k) nie planuje się wykorzystania instrumentów finansowych.</w:t>
      </w:r>
    </w:p>
    <w:p w14:paraId="6225B56D" w14:textId="71E3A291" w:rsidR="0093433C" w:rsidRPr="00890249" w:rsidRDefault="005B4910"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rPr>
        <w:t>Planowane przedsięwzięcia dotyczą usług społecznych dla osób zagrożonych ubóstwem lub wykluczeniem społecznym, w tym m.in. osób starszych i z niepełnosprawnościami oraz usług zdrowotnych. W tym przypadku beneficjentami będą podmioty lecznicze udzielające świadczenia opieki zdrowotnej finansowane ze środków publicznych. Wsparcie mieszkańców regionu w zakresie usług medycznych świadczonych w ramach publicznego systemu ochrony zdrowia udzielane jest przez ww. podmioty na podstawie kontraktów z Narodowym Funduszem Zdrowia, co przemawia za racjonalno</w:t>
      </w:r>
      <w:r w:rsidR="0095551D" w:rsidRPr="00890249">
        <w:rPr>
          <w:rFonts w:asciiTheme="minorHAnsi" w:hAnsiTheme="minorHAnsi" w:cstheme="minorHAnsi"/>
          <w:sz w:val="22"/>
          <w:szCs w:val="22"/>
        </w:rPr>
        <w:t>ś</w:t>
      </w:r>
      <w:r w:rsidRPr="00890249">
        <w:rPr>
          <w:rFonts w:asciiTheme="minorHAnsi" w:hAnsiTheme="minorHAnsi" w:cstheme="minorHAnsi"/>
          <w:sz w:val="22"/>
          <w:szCs w:val="22"/>
        </w:rPr>
        <w:t xml:space="preserve">cią dotacyjnego wsparcia beneficjentów (świadczenie usług medycznych opłacanych przez NFZ jest bezpłatne i nie generuje przychodów). </w:t>
      </w:r>
      <w:r w:rsidRPr="00890249">
        <w:rPr>
          <w:rFonts w:asciiTheme="minorHAnsi" w:hAnsiTheme="minorHAnsi" w:cstheme="minorHAnsi"/>
          <w:noProof/>
          <w:sz w:val="22"/>
          <w:szCs w:val="22"/>
        </w:rPr>
        <w:t>W tym cs nie będą realizowane przedsięwzięcia prowadzone dla zysku, samofinansujące się.</w:t>
      </w:r>
    </w:p>
    <w:p w14:paraId="072EF67C" w14:textId="77777777" w:rsidR="00E26858" w:rsidRPr="00890249" w:rsidRDefault="00E26858">
      <w:pPr>
        <w:spacing w:before="0" w:after="160" w:line="259" w:lineRule="auto"/>
        <w:jc w:val="left"/>
        <w:rPr>
          <w:rFonts w:asciiTheme="minorHAnsi" w:hAnsiTheme="minorHAnsi" w:cstheme="minorHAnsi"/>
          <w:noProof/>
          <w:sz w:val="22"/>
        </w:rPr>
      </w:pPr>
      <w:r w:rsidRPr="00890249">
        <w:rPr>
          <w:rFonts w:asciiTheme="minorHAnsi" w:hAnsiTheme="minorHAnsi" w:cstheme="minorHAnsi"/>
          <w:noProof/>
          <w:sz w:val="22"/>
        </w:rPr>
        <w:lastRenderedPageBreak/>
        <w:br w:type="page"/>
      </w:r>
    </w:p>
    <w:p w14:paraId="243E2C94" w14:textId="77777777" w:rsidR="00974503" w:rsidRPr="00890249" w:rsidRDefault="00974503" w:rsidP="00974503">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2.1.7.1.2 (k)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1"/>
        <w:gridCol w:w="693"/>
        <w:gridCol w:w="1009"/>
        <w:gridCol w:w="830"/>
        <w:gridCol w:w="2213"/>
        <w:gridCol w:w="830"/>
        <w:gridCol w:w="1106"/>
        <w:gridCol w:w="1072"/>
      </w:tblGrid>
      <w:tr w:rsidR="0034642D" w:rsidRPr="00890249" w14:paraId="400DA1D4" w14:textId="77777777" w:rsidTr="0075042B">
        <w:trPr>
          <w:trHeight w:val="425"/>
        </w:trPr>
        <w:tc>
          <w:tcPr>
            <w:tcW w:w="5000" w:type="pct"/>
            <w:gridSpan w:val="9"/>
            <w:shd w:val="clear" w:color="auto" w:fill="D9D9D9" w:themeFill="background1" w:themeFillShade="D9"/>
            <w:vAlign w:val="center"/>
          </w:tcPr>
          <w:p w14:paraId="27E9667D" w14:textId="77777777" w:rsidR="0034642D" w:rsidRPr="00890249" w:rsidRDefault="0034642D" w:rsidP="0034642D">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34642D" w:rsidRPr="00890249" w14:paraId="25DAF2D9" w14:textId="77777777" w:rsidTr="0008605E">
        <w:trPr>
          <w:cantSplit/>
          <w:trHeight w:val="1647"/>
        </w:trPr>
        <w:tc>
          <w:tcPr>
            <w:tcW w:w="288" w:type="pct"/>
            <w:shd w:val="clear" w:color="auto" w:fill="F2F2F2" w:themeFill="background1" w:themeFillShade="F2"/>
            <w:textDirection w:val="btLr"/>
            <w:vAlign w:val="center"/>
          </w:tcPr>
          <w:p w14:paraId="66060DE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114F5A64"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2C4B6627"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639AA601"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3EDF6B46"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1C23406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60" w:type="pct"/>
            <w:shd w:val="clear" w:color="auto" w:fill="F2F2F2" w:themeFill="background1" w:themeFillShade="F2"/>
            <w:textDirection w:val="btLr"/>
            <w:vAlign w:val="center"/>
          </w:tcPr>
          <w:p w14:paraId="0F69D548"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613" w:type="pct"/>
            <w:shd w:val="clear" w:color="auto" w:fill="F2F2F2" w:themeFill="background1" w:themeFillShade="F2"/>
            <w:textDirection w:val="btLr"/>
            <w:vAlign w:val="center"/>
          </w:tcPr>
          <w:p w14:paraId="6A27F149"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5" w:type="pct"/>
            <w:shd w:val="clear" w:color="auto" w:fill="F2F2F2" w:themeFill="background1" w:themeFillShade="F2"/>
            <w:textDirection w:val="btLr"/>
            <w:vAlign w:val="center"/>
          </w:tcPr>
          <w:p w14:paraId="19607E53" w14:textId="77777777" w:rsidR="0034642D" w:rsidRPr="00890249" w:rsidRDefault="0034642D" w:rsidP="0034642D">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08605E" w:rsidRPr="00890249" w14:paraId="5374B4A0" w14:textId="77777777" w:rsidTr="0008605E">
        <w:trPr>
          <w:trHeight w:val="340"/>
        </w:trPr>
        <w:tc>
          <w:tcPr>
            <w:tcW w:w="288" w:type="pct"/>
            <w:vAlign w:val="center"/>
          </w:tcPr>
          <w:p w14:paraId="5BA32740" w14:textId="77777777" w:rsidR="0008605E" w:rsidRPr="00890249" w:rsidRDefault="0008605E" w:rsidP="0008605E">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1D25B9D7"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4.k</w:t>
            </w:r>
          </w:p>
        </w:tc>
        <w:tc>
          <w:tcPr>
            <w:tcW w:w="384" w:type="pct"/>
            <w:vAlign w:val="center"/>
          </w:tcPr>
          <w:p w14:paraId="4B571CAF"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67F44C86"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vAlign w:val="center"/>
          </w:tcPr>
          <w:p w14:paraId="2228A08D" w14:textId="47EFCE4E"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i/>
                <w:sz w:val="18"/>
                <w:szCs w:val="18"/>
              </w:rPr>
              <w:t>PL</w:t>
            </w:r>
            <w:r w:rsidR="00001C8C">
              <w:rPr>
                <w:rFonts w:asciiTheme="minorHAnsi" w:hAnsiTheme="minorHAnsi" w:cstheme="minorHAnsi"/>
                <w:i/>
                <w:sz w:val="18"/>
                <w:szCs w:val="18"/>
              </w:rPr>
              <w:t>KC</w:t>
            </w:r>
            <w:r w:rsidRPr="00890249">
              <w:rPr>
                <w:rFonts w:asciiTheme="minorHAnsi" w:hAnsiTheme="minorHAnsi" w:cstheme="minorHAnsi"/>
                <w:i/>
                <w:sz w:val="18"/>
                <w:szCs w:val="18"/>
              </w:rPr>
              <w:t>O0</w:t>
            </w:r>
            <w:r w:rsidR="00001C8C">
              <w:rPr>
                <w:rFonts w:asciiTheme="minorHAnsi" w:hAnsiTheme="minorHAnsi" w:cstheme="minorHAnsi"/>
                <w:i/>
                <w:sz w:val="18"/>
                <w:szCs w:val="18"/>
              </w:rPr>
              <w:t>2</w:t>
            </w:r>
          </w:p>
        </w:tc>
        <w:tc>
          <w:tcPr>
            <w:tcW w:w="1226" w:type="pct"/>
            <w:shd w:val="clear" w:color="auto" w:fill="auto"/>
            <w:vAlign w:val="center"/>
          </w:tcPr>
          <w:p w14:paraId="0BA3FBF8" w14:textId="77777777" w:rsidR="0008605E" w:rsidRPr="00890249" w:rsidRDefault="0008605E" w:rsidP="0008605E">
            <w:pPr>
              <w:jc w:val="left"/>
              <w:rPr>
                <w:rFonts w:asciiTheme="minorHAnsi" w:hAnsiTheme="minorHAnsi" w:cstheme="minorHAnsi"/>
                <w:i/>
                <w:noProof/>
                <w:sz w:val="18"/>
                <w:szCs w:val="18"/>
              </w:rPr>
            </w:pPr>
            <w:r w:rsidRPr="00890249">
              <w:rPr>
                <w:rFonts w:asciiTheme="minorHAnsi" w:eastAsia="Times New Roman" w:hAnsiTheme="minorHAnsi" w:cstheme="minorHAnsi"/>
                <w:i/>
                <w:sz w:val="18"/>
                <w:szCs w:val="18"/>
              </w:rPr>
              <w:t>Liczba osób objętych programem polityki zdrowotnej</w:t>
            </w:r>
          </w:p>
        </w:tc>
        <w:tc>
          <w:tcPr>
            <w:tcW w:w="460" w:type="pct"/>
            <w:vAlign w:val="center"/>
          </w:tcPr>
          <w:p w14:paraId="2D061C28"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os.</w:t>
            </w:r>
          </w:p>
        </w:tc>
        <w:tc>
          <w:tcPr>
            <w:tcW w:w="613" w:type="pct"/>
            <w:shd w:val="clear" w:color="auto" w:fill="auto"/>
            <w:vAlign w:val="center"/>
          </w:tcPr>
          <w:p w14:paraId="5E72F3CF" w14:textId="76FE6A95" w:rsidR="0008605E" w:rsidRPr="00890249" w:rsidRDefault="00F102EC" w:rsidP="00F102EC">
            <w:pPr>
              <w:jc w:val="center"/>
              <w:rPr>
                <w:rFonts w:asciiTheme="minorHAnsi" w:hAnsiTheme="minorHAnsi" w:cstheme="minorHAnsi"/>
                <w:i/>
                <w:noProof/>
                <w:sz w:val="18"/>
                <w:szCs w:val="16"/>
              </w:rPr>
            </w:pPr>
            <w:r w:rsidRPr="00890249">
              <w:rPr>
                <w:rFonts w:asciiTheme="minorHAnsi" w:hAnsiTheme="minorHAnsi" w:cstheme="minorHAnsi"/>
                <w:noProof/>
                <w:sz w:val="18"/>
                <w:szCs w:val="16"/>
              </w:rPr>
              <w:t>180</w:t>
            </w:r>
          </w:p>
        </w:tc>
        <w:tc>
          <w:tcPr>
            <w:tcW w:w="595" w:type="pct"/>
            <w:shd w:val="clear" w:color="auto" w:fill="auto"/>
            <w:vAlign w:val="center"/>
          </w:tcPr>
          <w:p w14:paraId="7B003EC3" w14:textId="55CA6EDC" w:rsidR="0008605E" w:rsidRPr="00890249" w:rsidRDefault="00001C8C" w:rsidP="006A3348">
            <w:pPr>
              <w:jc w:val="center"/>
              <w:rPr>
                <w:rFonts w:asciiTheme="minorHAnsi" w:hAnsiTheme="minorHAnsi" w:cstheme="minorHAnsi"/>
                <w:i/>
                <w:noProof/>
                <w:sz w:val="18"/>
                <w:szCs w:val="16"/>
              </w:rPr>
            </w:pPr>
            <w:r>
              <w:rPr>
                <w:rFonts w:asciiTheme="minorHAnsi" w:hAnsiTheme="minorHAnsi" w:cstheme="minorHAnsi"/>
                <w:noProof/>
                <w:sz w:val="18"/>
                <w:szCs w:val="16"/>
              </w:rPr>
              <w:t>45 000</w:t>
            </w:r>
          </w:p>
        </w:tc>
      </w:tr>
      <w:tr w:rsidR="0008605E" w:rsidRPr="00890249" w14:paraId="669883A6" w14:textId="77777777" w:rsidTr="0008605E">
        <w:trPr>
          <w:trHeight w:val="340"/>
        </w:trPr>
        <w:tc>
          <w:tcPr>
            <w:tcW w:w="288" w:type="pct"/>
            <w:vAlign w:val="center"/>
          </w:tcPr>
          <w:p w14:paraId="3F424CA5" w14:textId="77777777" w:rsidR="0008605E" w:rsidRPr="00890249" w:rsidRDefault="0008605E" w:rsidP="0008605E">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6D832CB5" w14:textId="77777777" w:rsidR="0008605E" w:rsidRPr="00890249" w:rsidRDefault="0008605E" w:rsidP="000860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4.k</w:t>
            </w:r>
          </w:p>
        </w:tc>
        <w:tc>
          <w:tcPr>
            <w:tcW w:w="384" w:type="pct"/>
            <w:vAlign w:val="center"/>
          </w:tcPr>
          <w:p w14:paraId="5C5702A1" w14:textId="77777777" w:rsidR="0008605E" w:rsidRPr="00890249" w:rsidRDefault="0008605E" w:rsidP="000860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110CC377"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vAlign w:val="center"/>
          </w:tcPr>
          <w:p w14:paraId="31B37211"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PLKCO01</w:t>
            </w:r>
          </w:p>
        </w:tc>
        <w:tc>
          <w:tcPr>
            <w:tcW w:w="1226" w:type="pct"/>
            <w:shd w:val="clear" w:color="auto" w:fill="auto"/>
            <w:vAlign w:val="center"/>
          </w:tcPr>
          <w:p w14:paraId="4C2BB4BE" w14:textId="77777777" w:rsidR="0008605E" w:rsidRPr="00890249" w:rsidRDefault="0008605E" w:rsidP="0008605E">
            <w:pPr>
              <w:jc w:val="left"/>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Liczba podmiotów wykonujących działalność leczniczą objętych w projekcie wsparciem w zakresie poprawy dostępności zgodnie ze standardem dostepności</w:t>
            </w:r>
          </w:p>
        </w:tc>
        <w:tc>
          <w:tcPr>
            <w:tcW w:w="460" w:type="pct"/>
            <w:vAlign w:val="center"/>
          </w:tcPr>
          <w:p w14:paraId="43C1AA33" w14:textId="77777777" w:rsidR="0008605E" w:rsidRPr="00890249" w:rsidRDefault="0008605E" w:rsidP="000860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podmioty</w:t>
            </w:r>
          </w:p>
        </w:tc>
        <w:tc>
          <w:tcPr>
            <w:tcW w:w="613" w:type="pct"/>
            <w:shd w:val="clear" w:color="auto" w:fill="auto"/>
            <w:vAlign w:val="center"/>
          </w:tcPr>
          <w:p w14:paraId="77AB43CF" w14:textId="4B878AAC" w:rsidR="0008605E" w:rsidRPr="00890249" w:rsidRDefault="00F102EC">
            <w:pPr>
              <w:jc w:val="center"/>
              <w:rPr>
                <w:rFonts w:asciiTheme="minorHAnsi" w:hAnsiTheme="minorHAnsi" w:cstheme="minorHAnsi"/>
                <w:i/>
                <w:noProof/>
                <w:sz w:val="18"/>
                <w:szCs w:val="16"/>
              </w:rPr>
            </w:pPr>
            <w:r w:rsidRPr="00890249">
              <w:rPr>
                <w:rFonts w:asciiTheme="minorHAnsi" w:hAnsiTheme="minorHAnsi" w:cstheme="minorHAnsi"/>
                <w:noProof/>
                <w:sz w:val="18"/>
                <w:szCs w:val="16"/>
              </w:rPr>
              <w:t>15</w:t>
            </w:r>
          </w:p>
        </w:tc>
        <w:tc>
          <w:tcPr>
            <w:tcW w:w="595" w:type="pct"/>
            <w:shd w:val="clear" w:color="auto" w:fill="auto"/>
            <w:vAlign w:val="center"/>
          </w:tcPr>
          <w:p w14:paraId="005561E0" w14:textId="29DFCC11" w:rsidR="0008605E" w:rsidRPr="00890249" w:rsidRDefault="0009187B" w:rsidP="0043241C">
            <w:pPr>
              <w:jc w:val="center"/>
              <w:rPr>
                <w:rFonts w:asciiTheme="minorHAnsi" w:hAnsiTheme="minorHAnsi" w:cstheme="minorHAnsi"/>
                <w:i/>
                <w:noProof/>
                <w:sz w:val="18"/>
                <w:szCs w:val="16"/>
              </w:rPr>
            </w:pPr>
            <w:r w:rsidRPr="00890249">
              <w:rPr>
                <w:rFonts w:asciiTheme="minorHAnsi" w:hAnsiTheme="minorHAnsi" w:cstheme="minorHAnsi"/>
                <w:noProof/>
                <w:sz w:val="18"/>
                <w:szCs w:val="16"/>
              </w:rPr>
              <w:t>97</w:t>
            </w:r>
          </w:p>
        </w:tc>
      </w:tr>
      <w:tr w:rsidR="0008605E" w:rsidRPr="00890249" w14:paraId="165F4396" w14:textId="77777777" w:rsidTr="0008605E">
        <w:trPr>
          <w:trHeight w:val="340"/>
        </w:trPr>
        <w:tc>
          <w:tcPr>
            <w:tcW w:w="288" w:type="pct"/>
            <w:vAlign w:val="center"/>
          </w:tcPr>
          <w:p w14:paraId="03FF56C5" w14:textId="77777777" w:rsidR="0008605E" w:rsidRPr="00890249" w:rsidRDefault="0008605E" w:rsidP="0008605E">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75B06ECC" w14:textId="77777777" w:rsidR="0008605E" w:rsidRPr="00890249" w:rsidRDefault="0008605E" w:rsidP="000860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4.k</w:t>
            </w:r>
          </w:p>
        </w:tc>
        <w:tc>
          <w:tcPr>
            <w:tcW w:w="384" w:type="pct"/>
            <w:vAlign w:val="center"/>
          </w:tcPr>
          <w:p w14:paraId="0C9780E6" w14:textId="77777777" w:rsidR="0008605E" w:rsidRPr="00890249" w:rsidRDefault="0008605E" w:rsidP="000860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2B38A38A"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vAlign w:val="center"/>
          </w:tcPr>
          <w:p w14:paraId="36E6B083" w14:textId="7CADF7E9"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PLK</w:t>
            </w:r>
            <w:r w:rsidR="00001C8C">
              <w:rPr>
                <w:rFonts w:asciiTheme="minorHAnsi" w:hAnsiTheme="minorHAnsi" w:cstheme="minorHAnsi"/>
                <w:i/>
                <w:noProof/>
                <w:sz w:val="18"/>
                <w:szCs w:val="18"/>
              </w:rPr>
              <w:t>L</w:t>
            </w:r>
            <w:r w:rsidRPr="00890249">
              <w:rPr>
                <w:rFonts w:asciiTheme="minorHAnsi" w:hAnsiTheme="minorHAnsi" w:cstheme="minorHAnsi"/>
                <w:i/>
                <w:noProof/>
                <w:sz w:val="18"/>
                <w:szCs w:val="18"/>
              </w:rPr>
              <w:t>CO02</w:t>
            </w:r>
          </w:p>
        </w:tc>
        <w:tc>
          <w:tcPr>
            <w:tcW w:w="1226" w:type="pct"/>
            <w:shd w:val="clear" w:color="auto" w:fill="auto"/>
            <w:vAlign w:val="center"/>
          </w:tcPr>
          <w:p w14:paraId="4B0E6117" w14:textId="77777777" w:rsidR="0008605E" w:rsidRPr="00890249" w:rsidRDefault="0008605E" w:rsidP="0008605E">
            <w:pPr>
              <w:jc w:val="left"/>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Liczba osób objętych usługami świadczonymi w społeczności lokalnej w programie</w:t>
            </w:r>
          </w:p>
        </w:tc>
        <w:tc>
          <w:tcPr>
            <w:tcW w:w="460" w:type="pct"/>
            <w:vAlign w:val="center"/>
          </w:tcPr>
          <w:p w14:paraId="01AF7E7C" w14:textId="77777777" w:rsidR="0008605E" w:rsidRPr="00890249" w:rsidRDefault="0008605E" w:rsidP="0008605E">
            <w:pPr>
              <w:jc w:val="center"/>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os.</w:t>
            </w:r>
          </w:p>
        </w:tc>
        <w:tc>
          <w:tcPr>
            <w:tcW w:w="613" w:type="pct"/>
            <w:shd w:val="clear" w:color="auto" w:fill="auto"/>
            <w:vAlign w:val="center"/>
          </w:tcPr>
          <w:p w14:paraId="44940754" w14:textId="09A46B04" w:rsidR="0008605E" w:rsidRPr="00890249" w:rsidRDefault="00F102EC" w:rsidP="00FB1A9E">
            <w:pPr>
              <w:jc w:val="center"/>
              <w:rPr>
                <w:rFonts w:asciiTheme="minorHAnsi" w:hAnsiTheme="minorHAnsi" w:cstheme="minorHAnsi"/>
                <w:i/>
                <w:noProof/>
                <w:sz w:val="18"/>
                <w:szCs w:val="16"/>
              </w:rPr>
            </w:pPr>
            <w:r w:rsidRPr="00890249">
              <w:rPr>
                <w:rFonts w:asciiTheme="minorHAnsi" w:hAnsiTheme="minorHAnsi" w:cstheme="minorHAnsi"/>
                <w:noProof/>
                <w:sz w:val="18"/>
                <w:szCs w:val="16"/>
              </w:rPr>
              <w:t>1 100</w:t>
            </w:r>
          </w:p>
        </w:tc>
        <w:tc>
          <w:tcPr>
            <w:tcW w:w="595" w:type="pct"/>
            <w:shd w:val="clear" w:color="auto" w:fill="auto"/>
            <w:vAlign w:val="center"/>
          </w:tcPr>
          <w:p w14:paraId="7DEA08C4" w14:textId="32869995" w:rsidR="0008605E" w:rsidRPr="00890249" w:rsidRDefault="0009187B" w:rsidP="006A3348">
            <w:pPr>
              <w:jc w:val="center"/>
              <w:rPr>
                <w:rFonts w:asciiTheme="minorHAnsi" w:hAnsiTheme="minorHAnsi" w:cstheme="minorHAnsi"/>
                <w:i/>
                <w:noProof/>
                <w:sz w:val="18"/>
                <w:szCs w:val="16"/>
              </w:rPr>
            </w:pPr>
            <w:r w:rsidRPr="00890249">
              <w:rPr>
                <w:rFonts w:asciiTheme="minorHAnsi" w:hAnsiTheme="minorHAnsi" w:cstheme="minorHAnsi"/>
                <w:noProof/>
                <w:sz w:val="18"/>
                <w:szCs w:val="16"/>
              </w:rPr>
              <w:t xml:space="preserve">11 </w:t>
            </w:r>
            <w:r w:rsidR="00846AB7" w:rsidRPr="00890249">
              <w:rPr>
                <w:rFonts w:asciiTheme="minorHAnsi" w:hAnsiTheme="minorHAnsi" w:cstheme="minorHAnsi"/>
                <w:noProof/>
                <w:sz w:val="18"/>
                <w:szCs w:val="16"/>
              </w:rPr>
              <w:t>380</w:t>
            </w:r>
          </w:p>
        </w:tc>
      </w:tr>
      <w:tr w:rsidR="0008605E" w:rsidRPr="00890249" w14:paraId="69049141" w14:textId="77777777" w:rsidTr="0008605E">
        <w:trPr>
          <w:trHeight w:val="332"/>
        </w:trPr>
        <w:tc>
          <w:tcPr>
            <w:tcW w:w="288" w:type="pct"/>
            <w:vAlign w:val="center"/>
          </w:tcPr>
          <w:p w14:paraId="5FB0990C" w14:textId="77777777" w:rsidR="0008605E" w:rsidRPr="00890249" w:rsidRDefault="0008605E" w:rsidP="0008605E">
            <w:pP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14EC4D1C"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4.k</w:t>
            </w:r>
          </w:p>
        </w:tc>
        <w:tc>
          <w:tcPr>
            <w:tcW w:w="384" w:type="pct"/>
            <w:vAlign w:val="center"/>
          </w:tcPr>
          <w:p w14:paraId="4856E64A"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EFS+</w:t>
            </w:r>
          </w:p>
        </w:tc>
        <w:tc>
          <w:tcPr>
            <w:tcW w:w="559" w:type="pct"/>
            <w:vAlign w:val="center"/>
          </w:tcPr>
          <w:p w14:paraId="48CD8AC9"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noProof/>
                <w:sz w:val="18"/>
              </w:rPr>
              <w:t>słabiej rozwinięte</w:t>
            </w:r>
          </w:p>
        </w:tc>
        <w:tc>
          <w:tcPr>
            <w:tcW w:w="460" w:type="pct"/>
            <w:vAlign w:val="center"/>
          </w:tcPr>
          <w:p w14:paraId="10521C10" w14:textId="520BD6AC" w:rsidR="0008605E" w:rsidRPr="00890249" w:rsidRDefault="0008605E" w:rsidP="0008605E">
            <w:pPr>
              <w:jc w:val="center"/>
              <w:rPr>
                <w:rFonts w:asciiTheme="minorHAnsi" w:hAnsiTheme="minorHAnsi" w:cstheme="minorHAnsi"/>
                <w:i/>
                <w:noProof/>
                <w:sz w:val="18"/>
                <w:szCs w:val="18"/>
              </w:rPr>
            </w:pPr>
            <w:r w:rsidRPr="00890249">
              <w:rPr>
                <w:rFonts w:asciiTheme="minorHAnsi" w:hAnsiTheme="minorHAnsi" w:cstheme="minorHAnsi"/>
                <w:i/>
                <w:noProof/>
                <w:sz w:val="18"/>
                <w:szCs w:val="18"/>
              </w:rPr>
              <w:t>PLDKCO0</w:t>
            </w:r>
            <w:r w:rsidR="00001C8C">
              <w:rPr>
                <w:rFonts w:asciiTheme="minorHAnsi" w:hAnsiTheme="minorHAnsi" w:cstheme="minorHAnsi"/>
                <w:i/>
                <w:noProof/>
                <w:sz w:val="18"/>
                <w:szCs w:val="18"/>
              </w:rPr>
              <w:t>1</w:t>
            </w:r>
          </w:p>
        </w:tc>
        <w:tc>
          <w:tcPr>
            <w:tcW w:w="1226" w:type="pct"/>
            <w:shd w:val="clear" w:color="auto" w:fill="auto"/>
            <w:vAlign w:val="center"/>
          </w:tcPr>
          <w:p w14:paraId="390B3986" w14:textId="77777777" w:rsidR="0008605E" w:rsidRPr="00890249" w:rsidRDefault="0008605E" w:rsidP="0008605E">
            <w:pPr>
              <w:jc w:val="left"/>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Liczba wdrożonych programów polityki zdrowotnej</w:t>
            </w:r>
          </w:p>
        </w:tc>
        <w:tc>
          <w:tcPr>
            <w:tcW w:w="460" w:type="pct"/>
            <w:vAlign w:val="center"/>
          </w:tcPr>
          <w:p w14:paraId="7EAAADDB" w14:textId="77777777" w:rsidR="0008605E" w:rsidRPr="00890249" w:rsidRDefault="0008605E" w:rsidP="0008605E">
            <w:pPr>
              <w:jc w:val="center"/>
              <w:rPr>
                <w:rFonts w:asciiTheme="minorHAnsi" w:hAnsiTheme="minorHAnsi" w:cstheme="minorHAnsi"/>
                <w:i/>
                <w:noProof/>
                <w:sz w:val="18"/>
                <w:szCs w:val="18"/>
              </w:rPr>
            </w:pPr>
            <w:r w:rsidRPr="00890249">
              <w:rPr>
                <w:rFonts w:asciiTheme="minorHAnsi" w:eastAsiaTheme="minorHAnsi" w:hAnsiTheme="minorHAnsi" w:cstheme="minorHAnsi"/>
                <w:i/>
                <w:noProof/>
                <w:sz w:val="18"/>
                <w:szCs w:val="18"/>
                <w:lang w:eastAsia="en-US" w:bidi="ar-SA"/>
              </w:rPr>
              <w:t>szt.</w:t>
            </w:r>
          </w:p>
        </w:tc>
        <w:tc>
          <w:tcPr>
            <w:tcW w:w="613" w:type="pct"/>
            <w:shd w:val="clear" w:color="auto" w:fill="auto"/>
            <w:vAlign w:val="center"/>
          </w:tcPr>
          <w:p w14:paraId="74DCA523" w14:textId="70BEB76D" w:rsidR="0008605E" w:rsidRPr="00890249" w:rsidRDefault="00FB1A9E">
            <w:pPr>
              <w:jc w:val="center"/>
              <w:rPr>
                <w:rFonts w:asciiTheme="minorHAnsi" w:hAnsiTheme="minorHAnsi" w:cstheme="minorHAnsi"/>
                <w:noProof/>
                <w:sz w:val="18"/>
                <w:szCs w:val="16"/>
              </w:rPr>
            </w:pPr>
            <w:r w:rsidRPr="00890249">
              <w:rPr>
                <w:rFonts w:asciiTheme="minorHAnsi" w:hAnsiTheme="minorHAnsi" w:cstheme="minorHAnsi"/>
                <w:noProof/>
                <w:sz w:val="18"/>
                <w:szCs w:val="16"/>
              </w:rPr>
              <w:t>3</w:t>
            </w:r>
          </w:p>
        </w:tc>
        <w:tc>
          <w:tcPr>
            <w:tcW w:w="595" w:type="pct"/>
            <w:shd w:val="clear" w:color="auto" w:fill="auto"/>
            <w:vAlign w:val="center"/>
          </w:tcPr>
          <w:p w14:paraId="4FB83636" w14:textId="5F8FC9AE" w:rsidR="0008605E" w:rsidRPr="00890249" w:rsidRDefault="00FB1A9E" w:rsidP="0043241C">
            <w:pPr>
              <w:jc w:val="center"/>
              <w:rPr>
                <w:rFonts w:asciiTheme="minorHAnsi" w:hAnsiTheme="minorHAnsi" w:cstheme="minorHAnsi"/>
                <w:noProof/>
                <w:sz w:val="18"/>
                <w:szCs w:val="16"/>
              </w:rPr>
            </w:pPr>
            <w:r w:rsidRPr="00890249">
              <w:rPr>
                <w:rFonts w:asciiTheme="minorHAnsi" w:hAnsiTheme="minorHAnsi" w:cstheme="minorHAnsi"/>
                <w:noProof/>
                <w:sz w:val="18"/>
                <w:szCs w:val="16"/>
              </w:rPr>
              <w:t>3</w:t>
            </w:r>
          </w:p>
        </w:tc>
      </w:tr>
    </w:tbl>
    <w:p w14:paraId="6F454A12" w14:textId="77777777" w:rsidR="0034642D" w:rsidRPr="00890249" w:rsidRDefault="0034642D" w:rsidP="004B46F4">
      <w:pPr>
        <w:spacing w:before="0" w:after="0"/>
        <w:rPr>
          <w:rFonts w:asciiTheme="minorHAnsi" w:hAnsiTheme="minorHAnsi" w:cstheme="minorHAnsi"/>
          <w:b/>
          <w:noProof/>
          <w:sz w:val="22"/>
          <w:szCs w:val="22"/>
        </w:rPr>
      </w:pPr>
    </w:p>
    <w:p w14:paraId="50377E1D" w14:textId="77777777" w:rsidR="0057406C" w:rsidRPr="00890249" w:rsidRDefault="0057406C" w:rsidP="004B46F4">
      <w:pPr>
        <w:spacing w:before="0" w:after="0"/>
        <w:rPr>
          <w:rFonts w:asciiTheme="minorHAnsi" w:hAnsiTheme="minorHAnsi" w:cstheme="minorHAnsi"/>
          <w:b/>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52"/>
        <w:gridCol w:w="692"/>
        <w:gridCol w:w="1008"/>
        <w:gridCol w:w="774"/>
        <w:gridCol w:w="1383"/>
        <w:gridCol w:w="830"/>
        <w:gridCol w:w="692"/>
        <w:gridCol w:w="596"/>
        <w:gridCol w:w="562"/>
        <w:gridCol w:w="605"/>
        <w:gridCol w:w="647"/>
      </w:tblGrid>
      <w:tr w:rsidR="0098169C" w:rsidRPr="00890249" w14:paraId="72DB6EA7" w14:textId="77777777" w:rsidTr="00F823E7">
        <w:trPr>
          <w:trHeight w:val="480"/>
          <w:tblHeader/>
        </w:trPr>
        <w:tc>
          <w:tcPr>
            <w:tcW w:w="5000" w:type="pct"/>
            <w:gridSpan w:val="12"/>
            <w:shd w:val="clear" w:color="auto" w:fill="D9D9D9" w:themeFill="background1" w:themeFillShade="D9"/>
          </w:tcPr>
          <w:p w14:paraId="5E515FF7" w14:textId="77777777" w:rsidR="0098169C" w:rsidRPr="00890249" w:rsidRDefault="0098169C" w:rsidP="0098169C">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98169C" w:rsidRPr="00890249" w14:paraId="44FDDE87" w14:textId="77777777" w:rsidTr="00F823E7">
        <w:trPr>
          <w:cantSplit/>
          <w:trHeight w:val="1768"/>
          <w:tblHeader/>
        </w:trPr>
        <w:tc>
          <w:tcPr>
            <w:tcW w:w="287" w:type="pct"/>
            <w:shd w:val="clear" w:color="auto" w:fill="F2F2F2" w:themeFill="background1" w:themeFillShade="F2"/>
            <w:textDirection w:val="btLr"/>
            <w:vAlign w:val="center"/>
          </w:tcPr>
          <w:p w14:paraId="6730FA65"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5" w:type="pct"/>
            <w:shd w:val="clear" w:color="auto" w:fill="F2F2F2" w:themeFill="background1" w:themeFillShade="F2"/>
            <w:textDirection w:val="btLr"/>
            <w:vAlign w:val="center"/>
          </w:tcPr>
          <w:p w14:paraId="5D02ED1A"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2" w:type="pct"/>
            <w:shd w:val="clear" w:color="auto" w:fill="F2F2F2" w:themeFill="background1" w:themeFillShade="F2"/>
            <w:textDirection w:val="btLr"/>
            <w:vAlign w:val="center"/>
          </w:tcPr>
          <w:p w14:paraId="544ED450"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6" w:type="pct"/>
            <w:shd w:val="clear" w:color="auto" w:fill="F2F2F2" w:themeFill="background1" w:themeFillShade="F2"/>
            <w:textDirection w:val="btLr"/>
            <w:vAlign w:val="center"/>
          </w:tcPr>
          <w:p w14:paraId="6F33E10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7" w:type="pct"/>
            <w:shd w:val="clear" w:color="auto" w:fill="F2F2F2" w:themeFill="background1" w:themeFillShade="F2"/>
            <w:textDirection w:val="btLr"/>
            <w:vAlign w:val="center"/>
          </w:tcPr>
          <w:p w14:paraId="344D56FC"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3" w:type="pct"/>
            <w:shd w:val="clear" w:color="auto" w:fill="F2F2F2" w:themeFill="background1" w:themeFillShade="F2"/>
            <w:textDirection w:val="btLr"/>
            <w:vAlign w:val="center"/>
          </w:tcPr>
          <w:p w14:paraId="160EE24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8" w:type="pct"/>
            <w:shd w:val="clear" w:color="auto" w:fill="F2F2F2" w:themeFill="background1" w:themeFillShade="F2"/>
            <w:textDirection w:val="btLr"/>
            <w:vAlign w:val="center"/>
          </w:tcPr>
          <w:p w14:paraId="540BAABD"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5EA1F28B"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9" w:type="pct"/>
            <w:shd w:val="clear" w:color="auto" w:fill="F2F2F2" w:themeFill="background1" w:themeFillShade="F2"/>
            <w:textDirection w:val="btLr"/>
            <w:vAlign w:val="center"/>
          </w:tcPr>
          <w:p w14:paraId="05E2AF31"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0" w:type="pct"/>
            <w:shd w:val="clear" w:color="auto" w:fill="F2F2F2" w:themeFill="background1" w:themeFillShade="F2"/>
            <w:textDirection w:val="btLr"/>
            <w:vAlign w:val="center"/>
          </w:tcPr>
          <w:p w14:paraId="6467A578"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7743CF0C" w14:textId="77777777" w:rsidR="0098169C" w:rsidRPr="00890249" w:rsidRDefault="0098169C" w:rsidP="0098169C">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57" w:type="pct"/>
            <w:shd w:val="clear" w:color="auto" w:fill="F2F2F2" w:themeFill="background1" w:themeFillShade="F2"/>
            <w:textDirection w:val="btLr"/>
            <w:vAlign w:val="center"/>
          </w:tcPr>
          <w:p w14:paraId="7F6AF31F" w14:textId="77777777" w:rsidR="0098169C" w:rsidRPr="00890249" w:rsidRDefault="0098169C" w:rsidP="0098169C">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08605E" w:rsidRPr="00F823E7" w14:paraId="0849EEA2" w14:textId="77777777" w:rsidTr="0008605E">
        <w:trPr>
          <w:trHeight w:val="434"/>
        </w:trPr>
        <w:tc>
          <w:tcPr>
            <w:tcW w:w="287" w:type="pct"/>
            <w:vAlign w:val="center"/>
          </w:tcPr>
          <w:p w14:paraId="5A4EBB08" w14:textId="77777777" w:rsidR="0008605E" w:rsidRPr="00890249" w:rsidRDefault="0008605E" w:rsidP="000860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5" w:type="pct"/>
            <w:vAlign w:val="center"/>
          </w:tcPr>
          <w:p w14:paraId="196A0184" w14:textId="77777777" w:rsidR="0008605E" w:rsidRPr="00890249" w:rsidRDefault="0008605E" w:rsidP="000860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4.k</w:t>
            </w:r>
          </w:p>
        </w:tc>
        <w:tc>
          <w:tcPr>
            <w:tcW w:w="382" w:type="pct"/>
            <w:vAlign w:val="center"/>
          </w:tcPr>
          <w:p w14:paraId="12C8F61B" w14:textId="77777777" w:rsidR="0008605E" w:rsidRPr="00890249" w:rsidRDefault="0008605E" w:rsidP="000860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6" w:type="pct"/>
            <w:vAlign w:val="center"/>
          </w:tcPr>
          <w:p w14:paraId="4296126B" w14:textId="77777777" w:rsidR="0008605E" w:rsidRPr="00890249" w:rsidRDefault="0008605E" w:rsidP="0008605E">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7" w:type="pct"/>
            <w:vAlign w:val="center"/>
          </w:tcPr>
          <w:p w14:paraId="124D7DF2" w14:textId="77777777" w:rsidR="0008605E" w:rsidRPr="00890249" w:rsidRDefault="0008605E" w:rsidP="000860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PLKCR01</w:t>
            </w:r>
          </w:p>
        </w:tc>
        <w:tc>
          <w:tcPr>
            <w:tcW w:w="763" w:type="pct"/>
            <w:shd w:val="clear" w:color="auto" w:fill="auto"/>
            <w:vAlign w:val="center"/>
          </w:tcPr>
          <w:p w14:paraId="41E5760B" w14:textId="77777777" w:rsidR="0008605E" w:rsidRPr="00890249" w:rsidRDefault="0008605E" w:rsidP="0008605E">
            <w:pPr>
              <w:spacing w:before="60"/>
              <w:jc w:val="left"/>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8"/>
                <w:lang w:eastAsia="en-US" w:bidi="ar-SA"/>
              </w:rPr>
              <w:t>Liczba podmiotów wykonujących działalność leczniczą, które poprawiły dostępność zgodnie ze standardem dostępności</w:t>
            </w:r>
          </w:p>
        </w:tc>
        <w:tc>
          <w:tcPr>
            <w:tcW w:w="458" w:type="pct"/>
            <w:vAlign w:val="center"/>
          </w:tcPr>
          <w:p w14:paraId="1AEE68A1" w14:textId="68B88B37" w:rsidR="0008605E" w:rsidRPr="00890249" w:rsidRDefault="00F63F77" w:rsidP="000860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podmioty</w:t>
            </w:r>
          </w:p>
        </w:tc>
        <w:tc>
          <w:tcPr>
            <w:tcW w:w="382" w:type="pct"/>
            <w:vAlign w:val="center"/>
          </w:tcPr>
          <w:p w14:paraId="473099CA" w14:textId="77777777" w:rsidR="0008605E" w:rsidRPr="00890249" w:rsidRDefault="00F102EC" w:rsidP="00F102E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bd</w:t>
            </w:r>
          </w:p>
        </w:tc>
        <w:tc>
          <w:tcPr>
            <w:tcW w:w="329" w:type="pct"/>
            <w:vAlign w:val="center"/>
          </w:tcPr>
          <w:p w14:paraId="2E88C827" w14:textId="77777777" w:rsidR="0008605E" w:rsidRPr="00890249" w:rsidRDefault="0008605E" w:rsidP="0008605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nd</w:t>
            </w:r>
          </w:p>
        </w:tc>
        <w:tc>
          <w:tcPr>
            <w:tcW w:w="310" w:type="pct"/>
            <w:shd w:val="clear" w:color="auto" w:fill="auto"/>
            <w:vAlign w:val="center"/>
          </w:tcPr>
          <w:p w14:paraId="50735DFA" w14:textId="0AC1B458" w:rsidR="0008605E" w:rsidRPr="00890249" w:rsidRDefault="00F63F77" w:rsidP="0008605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92</w:t>
            </w:r>
          </w:p>
        </w:tc>
        <w:tc>
          <w:tcPr>
            <w:tcW w:w="334" w:type="pct"/>
            <w:shd w:val="clear" w:color="auto" w:fill="auto"/>
            <w:vAlign w:val="center"/>
          </w:tcPr>
          <w:p w14:paraId="74E9298B" w14:textId="77777777" w:rsidR="0008605E" w:rsidRPr="00890249" w:rsidRDefault="0008605E" w:rsidP="0043241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7" w:type="pct"/>
            <w:vAlign w:val="center"/>
          </w:tcPr>
          <w:p w14:paraId="2FEB9EA7" w14:textId="44305502" w:rsidR="0008605E" w:rsidRPr="00F823E7" w:rsidRDefault="00875C92" w:rsidP="0008605E">
            <w:pPr>
              <w:jc w:val="center"/>
              <w:rPr>
                <w:rFonts w:asciiTheme="minorHAnsi" w:hAnsiTheme="minorHAnsi" w:cstheme="minorHAnsi"/>
                <w:i/>
                <w:noProof/>
                <w:sz w:val="18"/>
                <w:szCs w:val="18"/>
              </w:rPr>
            </w:pPr>
            <w:r w:rsidRPr="00F823E7">
              <w:rPr>
                <w:rFonts w:asciiTheme="minorHAnsi" w:hAnsiTheme="minorHAnsi" w:cstheme="minorHAnsi"/>
                <w:i/>
                <w:noProof/>
                <w:sz w:val="18"/>
                <w:szCs w:val="18"/>
              </w:rPr>
              <w:t>Wskaźnik referencyjny:</w:t>
            </w:r>
          </w:p>
          <w:p w14:paraId="7D322888" w14:textId="77777777" w:rsidR="00F63F77" w:rsidRPr="00F823E7" w:rsidRDefault="00875C92" w:rsidP="0008605E">
            <w:pPr>
              <w:jc w:val="center"/>
              <w:rPr>
                <w:rFonts w:asciiTheme="minorHAnsi" w:hAnsiTheme="minorHAnsi" w:cstheme="minorHAnsi"/>
                <w:i/>
                <w:noProof/>
                <w:sz w:val="18"/>
                <w:szCs w:val="16"/>
              </w:rPr>
            </w:pPr>
            <w:r w:rsidRPr="00F823E7">
              <w:rPr>
                <w:rFonts w:asciiTheme="minorHAnsi" w:hAnsiTheme="minorHAnsi" w:cstheme="minorHAnsi"/>
                <w:i/>
                <w:sz w:val="18"/>
                <w:szCs w:val="18"/>
              </w:rPr>
              <w:t>PLKCO01</w:t>
            </w:r>
          </w:p>
        </w:tc>
      </w:tr>
      <w:tr w:rsidR="0008605E" w:rsidRPr="00890249" w14:paraId="6FB702F9" w14:textId="77777777" w:rsidTr="0008605E">
        <w:trPr>
          <w:trHeight w:val="434"/>
        </w:trPr>
        <w:tc>
          <w:tcPr>
            <w:tcW w:w="287" w:type="pct"/>
            <w:vAlign w:val="center"/>
          </w:tcPr>
          <w:p w14:paraId="17546ED5" w14:textId="77777777" w:rsidR="0008605E" w:rsidRPr="00890249" w:rsidRDefault="0008605E" w:rsidP="0008605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5" w:type="pct"/>
            <w:vAlign w:val="center"/>
          </w:tcPr>
          <w:p w14:paraId="1D2C9AC7" w14:textId="77777777" w:rsidR="0008605E" w:rsidRPr="00890249" w:rsidRDefault="0008605E" w:rsidP="000860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4.k</w:t>
            </w:r>
          </w:p>
        </w:tc>
        <w:tc>
          <w:tcPr>
            <w:tcW w:w="382" w:type="pct"/>
            <w:vAlign w:val="center"/>
          </w:tcPr>
          <w:p w14:paraId="533A7D03" w14:textId="77777777" w:rsidR="0008605E" w:rsidRPr="00890249" w:rsidRDefault="0008605E" w:rsidP="000860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EFS+</w:t>
            </w:r>
          </w:p>
        </w:tc>
        <w:tc>
          <w:tcPr>
            <w:tcW w:w="556" w:type="pct"/>
            <w:vAlign w:val="center"/>
          </w:tcPr>
          <w:p w14:paraId="05DAC930" w14:textId="77777777" w:rsidR="0008605E" w:rsidRPr="00890249" w:rsidRDefault="0008605E" w:rsidP="0008605E">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27" w:type="pct"/>
            <w:vAlign w:val="center"/>
          </w:tcPr>
          <w:p w14:paraId="3564FBE6" w14:textId="77777777" w:rsidR="0008605E" w:rsidRPr="00890249" w:rsidRDefault="0008605E" w:rsidP="000860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PLKCR02</w:t>
            </w:r>
          </w:p>
        </w:tc>
        <w:tc>
          <w:tcPr>
            <w:tcW w:w="763" w:type="pct"/>
            <w:shd w:val="clear" w:color="auto" w:fill="auto"/>
            <w:vAlign w:val="center"/>
          </w:tcPr>
          <w:p w14:paraId="7E2068A3" w14:textId="77777777" w:rsidR="0008605E" w:rsidRPr="00890249" w:rsidRDefault="0008605E" w:rsidP="0008605E">
            <w:pPr>
              <w:spacing w:before="60"/>
              <w:jc w:val="left"/>
              <w:rPr>
                <w:rFonts w:asciiTheme="minorHAnsi" w:eastAsiaTheme="minorHAnsi" w:hAnsiTheme="minorHAnsi" w:cstheme="minorHAnsi"/>
                <w:i/>
                <w:noProof/>
                <w:sz w:val="18"/>
                <w:szCs w:val="18"/>
                <w:lang w:eastAsia="en-US" w:bidi="ar-SA"/>
              </w:rPr>
            </w:pPr>
            <w:r w:rsidRPr="00890249">
              <w:rPr>
                <w:rFonts w:asciiTheme="minorHAnsi" w:eastAsiaTheme="minorHAnsi" w:hAnsiTheme="minorHAnsi" w:cstheme="minorHAnsi"/>
                <w:i/>
                <w:noProof/>
                <w:sz w:val="18"/>
                <w:szCs w:val="18"/>
                <w:lang w:eastAsia="en-US" w:bidi="ar-SA"/>
              </w:rPr>
              <w:t xml:space="preserve">Liczba utworzonych miejsc świadczenia usług w </w:t>
            </w:r>
            <w:r w:rsidRPr="00890249">
              <w:rPr>
                <w:rFonts w:asciiTheme="minorHAnsi" w:eastAsiaTheme="minorHAnsi" w:hAnsiTheme="minorHAnsi" w:cstheme="minorHAnsi"/>
                <w:i/>
                <w:noProof/>
                <w:sz w:val="18"/>
                <w:szCs w:val="18"/>
                <w:lang w:eastAsia="en-US" w:bidi="ar-SA"/>
              </w:rPr>
              <w:lastRenderedPageBreak/>
              <w:t xml:space="preserve">społeczności lokalnej </w:t>
            </w:r>
          </w:p>
        </w:tc>
        <w:tc>
          <w:tcPr>
            <w:tcW w:w="458" w:type="pct"/>
            <w:vAlign w:val="center"/>
          </w:tcPr>
          <w:p w14:paraId="3C5B3D5C" w14:textId="77777777" w:rsidR="0008605E" w:rsidRPr="00890249" w:rsidRDefault="0008605E" w:rsidP="0008605E">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lastRenderedPageBreak/>
              <w:t>szt.</w:t>
            </w:r>
          </w:p>
        </w:tc>
        <w:tc>
          <w:tcPr>
            <w:tcW w:w="382" w:type="pct"/>
            <w:vAlign w:val="center"/>
          </w:tcPr>
          <w:p w14:paraId="134DCDEA" w14:textId="77777777" w:rsidR="0008605E" w:rsidRPr="00890249" w:rsidRDefault="0008605E" w:rsidP="0008605E">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1 550</w:t>
            </w:r>
          </w:p>
        </w:tc>
        <w:tc>
          <w:tcPr>
            <w:tcW w:w="329" w:type="pct"/>
            <w:vAlign w:val="center"/>
          </w:tcPr>
          <w:p w14:paraId="2AE1352B" w14:textId="77777777" w:rsidR="0008605E" w:rsidRPr="00890249" w:rsidRDefault="0008605E" w:rsidP="0008605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0" w:type="pct"/>
            <w:shd w:val="clear" w:color="auto" w:fill="auto"/>
            <w:vAlign w:val="center"/>
          </w:tcPr>
          <w:p w14:paraId="1CC17E14" w14:textId="0D39FAAE" w:rsidR="0008605E" w:rsidRPr="00890249" w:rsidRDefault="00F63F77" w:rsidP="0008605E">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170</w:t>
            </w:r>
          </w:p>
        </w:tc>
        <w:tc>
          <w:tcPr>
            <w:tcW w:w="334" w:type="pct"/>
            <w:shd w:val="clear" w:color="auto" w:fill="auto"/>
            <w:vAlign w:val="center"/>
          </w:tcPr>
          <w:p w14:paraId="460E755F" w14:textId="77777777" w:rsidR="0008605E" w:rsidRPr="00890249" w:rsidRDefault="0008605E" w:rsidP="0043241C">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7" w:type="pct"/>
            <w:vAlign w:val="center"/>
          </w:tcPr>
          <w:p w14:paraId="33B98884" w14:textId="77777777" w:rsidR="0008605E" w:rsidRPr="00890249" w:rsidRDefault="0008605E" w:rsidP="0008605E">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bl>
    <w:p w14:paraId="4B65CB76" w14:textId="77777777" w:rsidR="00974503" w:rsidRPr="00890249" w:rsidRDefault="00974503" w:rsidP="00974503">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2.1.7.1.3 (k) Orientacyjny podział zasobów programu (UE) według rodzaju interwencji</w:t>
      </w:r>
    </w:p>
    <w:tbl>
      <w:tblPr>
        <w:tblStyle w:val="Tabela-Siatka"/>
        <w:tblW w:w="0" w:type="auto"/>
        <w:tblLook w:val="04A0" w:firstRow="1" w:lastRow="0" w:firstColumn="1" w:lastColumn="0" w:noHBand="0" w:noVBand="1"/>
      </w:tblPr>
      <w:tblGrid>
        <w:gridCol w:w="1432"/>
        <w:gridCol w:w="1231"/>
        <w:gridCol w:w="1330"/>
        <w:gridCol w:w="1635"/>
        <w:gridCol w:w="1619"/>
        <w:gridCol w:w="1814"/>
      </w:tblGrid>
      <w:tr w:rsidR="00BD5A2B" w:rsidRPr="00890249" w14:paraId="33ADD5BE" w14:textId="77777777" w:rsidTr="00A96B31">
        <w:tc>
          <w:tcPr>
            <w:tcW w:w="9287" w:type="dxa"/>
            <w:gridSpan w:val="6"/>
            <w:shd w:val="clear" w:color="auto" w:fill="D9D9D9" w:themeFill="background1" w:themeFillShade="D9"/>
          </w:tcPr>
          <w:p w14:paraId="6E9A61FB" w14:textId="77777777" w:rsidR="00BD5A2B" w:rsidRPr="00890249" w:rsidRDefault="00BD5A2B"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291BD6" w:rsidRPr="00890249" w14:paraId="08F61D7E" w14:textId="77777777" w:rsidTr="00890249">
        <w:tc>
          <w:tcPr>
            <w:tcW w:w="1466" w:type="dxa"/>
            <w:shd w:val="clear" w:color="auto" w:fill="F2F2F2" w:themeFill="background1" w:themeFillShade="F2"/>
          </w:tcPr>
          <w:p w14:paraId="2EEDA1BB"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63" w:type="dxa"/>
            <w:shd w:val="clear" w:color="auto" w:fill="F2F2F2" w:themeFill="background1" w:themeFillShade="F2"/>
          </w:tcPr>
          <w:p w14:paraId="6D625640"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54" w:type="dxa"/>
            <w:shd w:val="clear" w:color="auto" w:fill="F2F2F2" w:themeFill="background1" w:themeFillShade="F2"/>
          </w:tcPr>
          <w:p w14:paraId="7093D4DA"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72" w:type="dxa"/>
            <w:shd w:val="clear" w:color="auto" w:fill="F2F2F2" w:themeFill="background1" w:themeFillShade="F2"/>
          </w:tcPr>
          <w:p w14:paraId="725995EB"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19" w:type="dxa"/>
            <w:shd w:val="clear" w:color="auto" w:fill="F2F2F2" w:themeFill="background1" w:themeFillShade="F2"/>
          </w:tcPr>
          <w:p w14:paraId="71D959C5"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13" w:type="dxa"/>
            <w:shd w:val="clear" w:color="auto" w:fill="F2F2F2" w:themeFill="background1" w:themeFillShade="F2"/>
          </w:tcPr>
          <w:p w14:paraId="3A55CF15"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96B31" w:rsidRPr="00890249" w14:paraId="58D6A0AC" w14:textId="77777777" w:rsidTr="00890249">
        <w:trPr>
          <w:trHeight w:val="284"/>
        </w:trPr>
        <w:tc>
          <w:tcPr>
            <w:tcW w:w="1466" w:type="dxa"/>
            <w:vMerge w:val="restart"/>
            <w:vAlign w:val="center"/>
          </w:tcPr>
          <w:p w14:paraId="64D61B7A"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263" w:type="dxa"/>
            <w:vMerge w:val="restart"/>
            <w:vAlign w:val="center"/>
          </w:tcPr>
          <w:p w14:paraId="04E8F3B6"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54" w:type="dxa"/>
            <w:vMerge w:val="restart"/>
            <w:vAlign w:val="center"/>
          </w:tcPr>
          <w:p w14:paraId="77DA3F2B"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72" w:type="dxa"/>
            <w:vMerge w:val="restart"/>
            <w:vAlign w:val="center"/>
          </w:tcPr>
          <w:p w14:paraId="0AB63B5A"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(k)</w:t>
            </w:r>
          </w:p>
        </w:tc>
        <w:tc>
          <w:tcPr>
            <w:tcW w:w="1619" w:type="dxa"/>
          </w:tcPr>
          <w:p w14:paraId="0C0FA060"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158 Działania w celu zwiększenia równego i szybkiego dostępu do dobrej jakości trwałych i przystępnych cenowo usług</w:t>
            </w:r>
          </w:p>
        </w:tc>
        <w:tc>
          <w:tcPr>
            <w:tcW w:w="1913" w:type="dxa"/>
          </w:tcPr>
          <w:p w14:paraId="4E882A96" w14:textId="2B375BC7" w:rsidR="00A96B31" w:rsidRPr="00890249" w:rsidRDefault="000D6A11" w:rsidP="00A96B31">
            <w:pPr>
              <w:jc w:val="right"/>
              <w:rPr>
                <w:rFonts w:asciiTheme="minorHAnsi" w:hAnsiTheme="minorHAnsi" w:cstheme="minorHAnsi"/>
                <w:noProof/>
                <w:sz w:val="20"/>
              </w:rPr>
            </w:pPr>
            <w:r>
              <w:rPr>
                <w:rFonts w:asciiTheme="minorHAnsi" w:hAnsiTheme="minorHAnsi" w:cstheme="minorHAnsi"/>
                <w:noProof/>
                <w:sz w:val="20"/>
              </w:rPr>
              <w:t>22 887 094</w:t>
            </w:r>
          </w:p>
        </w:tc>
      </w:tr>
      <w:tr w:rsidR="00A96B31" w:rsidRPr="00890249" w14:paraId="19E1F4D8" w14:textId="77777777" w:rsidTr="00890249">
        <w:trPr>
          <w:trHeight w:val="284"/>
        </w:trPr>
        <w:tc>
          <w:tcPr>
            <w:tcW w:w="1466" w:type="dxa"/>
            <w:vMerge/>
          </w:tcPr>
          <w:p w14:paraId="3CDEBAB4" w14:textId="77777777" w:rsidR="00A96B31" w:rsidRPr="00890249" w:rsidRDefault="00A96B31" w:rsidP="00A96B31">
            <w:pPr>
              <w:jc w:val="center"/>
              <w:rPr>
                <w:rFonts w:asciiTheme="minorHAnsi" w:hAnsiTheme="minorHAnsi" w:cstheme="minorHAnsi"/>
                <w:noProof/>
                <w:sz w:val="20"/>
              </w:rPr>
            </w:pPr>
          </w:p>
        </w:tc>
        <w:tc>
          <w:tcPr>
            <w:tcW w:w="1263" w:type="dxa"/>
            <w:vMerge/>
          </w:tcPr>
          <w:p w14:paraId="47AD6B86" w14:textId="77777777" w:rsidR="00A96B31" w:rsidRPr="00890249" w:rsidRDefault="00A96B31" w:rsidP="00A96B31">
            <w:pPr>
              <w:jc w:val="center"/>
              <w:rPr>
                <w:rFonts w:asciiTheme="minorHAnsi" w:hAnsiTheme="minorHAnsi" w:cstheme="minorHAnsi"/>
                <w:noProof/>
                <w:sz w:val="20"/>
              </w:rPr>
            </w:pPr>
          </w:p>
        </w:tc>
        <w:tc>
          <w:tcPr>
            <w:tcW w:w="1354" w:type="dxa"/>
            <w:vMerge/>
          </w:tcPr>
          <w:p w14:paraId="6302CF3E" w14:textId="77777777" w:rsidR="00A96B31" w:rsidRPr="00890249" w:rsidRDefault="00A96B31" w:rsidP="00A96B31">
            <w:pPr>
              <w:jc w:val="center"/>
              <w:rPr>
                <w:rFonts w:asciiTheme="minorHAnsi" w:hAnsiTheme="minorHAnsi" w:cstheme="minorHAnsi"/>
                <w:noProof/>
                <w:sz w:val="20"/>
              </w:rPr>
            </w:pPr>
          </w:p>
        </w:tc>
        <w:tc>
          <w:tcPr>
            <w:tcW w:w="1672" w:type="dxa"/>
            <w:vMerge/>
            <w:vAlign w:val="center"/>
          </w:tcPr>
          <w:p w14:paraId="7DD55603" w14:textId="77777777" w:rsidR="00A96B31" w:rsidRPr="00890249" w:rsidRDefault="00A96B31" w:rsidP="00A96B31">
            <w:pPr>
              <w:jc w:val="center"/>
              <w:rPr>
                <w:rFonts w:asciiTheme="minorHAnsi" w:hAnsiTheme="minorHAnsi" w:cstheme="minorHAnsi"/>
                <w:noProof/>
                <w:sz w:val="20"/>
              </w:rPr>
            </w:pPr>
          </w:p>
        </w:tc>
        <w:tc>
          <w:tcPr>
            <w:tcW w:w="1619" w:type="dxa"/>
          </w:tcPr>
          <w:p w14:paraId="7C519EC8"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159 Działania na rzecz poprawy świadczenia usług w zakresie opieki rodzinnej i środowiskowej</w:t>
            </w:r>
          </w:p>
        </w:tc>
        <w:tc>
          <w:tcPr>
            <w:tcW w:w="1913" w:type="dxa"/>
          </w:tcPr>
          <w:p w14:paraId="62455BDC" w14:textId="05C8AC3A" w:rsidR="00A96B31" w:rsidRPr="00890249" w:rsidRDefault="000D6A11" w:rsidP="00A96B31">
            <w:pPr>
              <w:jc w:val="right"/>
              <w:rPr>
                <w:rFonts w:asciiTheme="minorHAnsi" w:hAnsiTheme="minorHAnsi" w:cstheme="minorHAnsi"/>
                <w:noProof/>
                <w:sz w:val="20"/>
              </w:rPr>
            </w:pPr>
            <w:r>
              <w:rPr>
                <w:rFonts w:asciiTheme="minorHAnsi" w:hAnsiTheme="minorHAnsi" w:cstheme="minorHAnsi"/>
                <w:noProof/>
                <w:sz w:val="20"/>
              </w:rPr>
              <w:t>8 582 660</w:t>
            </w:r>
          </w:p>
        </w:tc>
      </w:tr>
      <w:tr w:rsidR="00A96B31" w:rsidRPr="00890249" w14:paraId="5EBCD1CB" w14:textId="77777777" w:rsidTr="00890249">
        <w:trPr>
          <w:trHeight w:val="284"/>
        </w:trPr>
        <w:tc>
          <w:tcPr>
            <w:tcW w:w="1466" w:type="dxa"/>
            <w:vMerge/>
          </w:tcPr>
          <w:p w14:paraId="0C7AC7DB" w14:textId="77777777" w:rsidR="00A96B31" w:rsidRPr="00890249" w:rsidRDefault="00A96B31" w:rsidP="00A96B31">
            <w:pPr>
              <w:jc w:val="center"/>
              <w:rPr>
                <w:rFonts w:asciiTheme="minorHAnsi" w:hAnsiTheme="minorHAnsi" w:cstheme="minorHAnsi"/>
                <w:noProof/>
                <w:sz w:val="20"/>
              </w:rPr>
            </w:pPr>
          </w:p>
        </w:tc>
        <w:tc>
          <w:tcPr>
            <w:tcW w:w="1263" w:type="dxa"/>
            <w:vMerge/>
          </w:tcPr>
          <w:p w14:paraId="5D51D7AD" w14:textId="77777777" w:rsidR="00A96B31" w:rsidRPr="00890249" w:rsidRDefault="00A96B31" w:rsidP="00A96B31">
            <w:pPr>
              <w:jc w:val="center"/>
              <w:rPr>
                <w:rFonts w:asciiTheme="minorHAnsi" w:hAnsiTheme="minorHAnsi" w:cstheme="minorHAnsi"/>
                <w:noProof/>
                <w:sz w:val="20"/>
              </w:rPr>
            </w:pPr>
          </w:p>
        </w:tc>
        <w:tc>
          <w:tcPr>
            <w:tcW w:w="1354" w:type="dxa"/>
            <w:vMerge/>
          </w:tcPr>
          <w:p w14:paraId="27CBEDC0" w14:textId="77777777" w:rsidR="00A96B31" w:rsidRPr="00890249" w:rsidRDefault="00A96B31" w:rsidP="00A96B31">
            <w:pPr>
              <w:jc w:val="center"/>
              <w:rPr>
                <w:rFonts w:asciiTheme="minorHAnsi" w:hAnsiTheme="minorHAnsi" w:cstheme="minorHAnsi"/>
                <w:noProof/>
                <w:sz w:val="20"/>
              </w:rPr>
            </w:pPr>
          </w:p>
        </w:tc>
        <w:tc>
          <w:tcPr>
            <w:tcW w:w="1672" w:type="dxa"/>
            <w:vMerge/>
            <w:vAlign w:val="center"/>
          </w:tcPr>
          <w:p w14:paraId="556CB9C9" w14:textId="77777777" w:rsidR="00A96B31" w:rsidRPr="00890249" w:rsidRDefault="00A96B31" w:rsidP="00A96B31">
            <w:pPr>
              <w:jc w:val="center"/>
              <w:rPr>
                <w:rFonts w:asciiTheme="minorHAnsi" w:hAnsiTheme="minorHAnsi" w:cstheme="minorHAnsi"/>
                <w:noProof/>
                <w:sz w:val="20"/>
              </w:rPr>
            </w:pPr>
          </w:p>
        </w:tc>
        <w:tc>
          <w:tcPr>
            <w:tcW w:w="1619" w:type="dxa"/>
          </w:tcPr>
          <w:p w14:paraId="47204875"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161 Działania na rzecz poprawy dostępu do opieki długoterminowej (z wyłączeniem infrasturktury)</w:t>
            </w:r>
          </w:p>
        </w:tc>
        <w:tc>
          <w:tcPr>
            <w:tcW w:w="1913" w:type="dxa"/>
          </w:tcPr>
          <w:p w14:paraId="3C8894AF" w14:textId="22394454" w:rsidR="00A96B31" w:rsidRPr="00890249" w:rsidRDefault="00F65715" w:rsidP="00A96B31">
            <w:pPr>
              <w:jc w:val="right"/>
              <w:rPr>
                <w:rFonts w:asciiTheme="minorHAnsi" w:hAnsiTheme="minorHAnsi" w:cstheme="minorHAnsi"/>
                <w:noProof/>
                <w:sz w:val="20"/>
              </w:rPr>
            </w:pPr>
            <w:r>
              <w:rPr>
                <w:rFonts w:asciiTheme="minorHAnsi" w:hAnsiTheme="minorHAnsi" w:cstheme="minorHAnsi"/>
                <w:noProof/>
                <w:sz w:val="20"/>
              </w:rPr>
              <w:br/>
            </w:r>
            <w:r w:rsidR="000D6A11">
              <w:rPr>
                <w:rFonts w:asciiTheme="minorHAnsi" w:hAnsiTheme="minorHAnsi" w:cstheme="minorHAnsi"/>
                <w:noProof/>
                <w:sz w:val="20"/>
              </w:rPr>
              <w:t>25 747 980</w:t>
            </w:r>
          </w:p>
        </w:tc>
      </w:tr>
    </w:tbl>
    <w:p w14:paraId="79F1306D" w14:textId="77777777" w:rsidR="00B72154" w:rsidRPr="00890249" w:rsidRDefault="00B72154" w:rsidP="00890249">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4"/>
        <w:gridCol w:w="1351"/>
        <w:gridCol w:w="1409"/>
        <w:gridCol w:w="1617"/>
        <w:gridCol w:w="1039"/>
        <w:gridCol w:w="2081"/>
      </w:tblGrid>
      <w:tr w:rsidR="00C05C91" w:rsidRPr="00890249" w14:paraId="6BB39880" w14:textId="77777777" w:rsidTr="00362BCB">
        <w:tc>
          <w:tcPr>
            <w:tcW w:w="9288" w:type="dxa"/>
            <w:gridSpan w:val="6"/>
            <w:shd w:val="clear" w:color="auto" w:fill="D9D9D9" w:themeFill="background1" w:themeFillShade="D9"/>
          </w:tcPr>
          <w:p w14:paraId="34DBB4CB" w14:textId="77777777" w:rsidR="00C05C91" w:rsidRPr="00890249" w:rsidRDefault="00C05C91" w:rsidP="00362BC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C05C91" w:rsidRPr="00890249" w14:paraId="28D8E40F" w14:textId="77777777" w:rsidTr="00362BCB">
        <w:tc>
          <w:tcPr>
            <w:tcW w:w="1599" w:type="dxa"/>
            <w:shd w:val="clear" w:color="auto" w:fill="F2F2F2" w:themeFill="background1" w:themeFillShade="F2"/>
          </w:tcPr>
          <w:p w14:paraId="63EE4EA6"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484C22BA"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2BDD0D0B"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5A4A1FCF"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68B3269B"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BDD036B" w14:textId="77777777" w:rsidR="00C05C91" w:rsidRPr="00890249" w:rsidRDefault="00C05C91" w:rsidP="00362BC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C05C91" w:rsidRPr="00890249" w14:paraId="706BAC80" w14:textId="77777777" w:rsidTr="00890249">
        <w:tc>
          <w:tcPr>
            <w:tcW w:w="1599" w:type="dxa"/>
            <w:vAlign w:val="center"/>
          </w:tcPr>
          <w:p w14:paraId="23B1D22B"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77D8705E"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EFS+</w:t>
            </w:r>
          </w:p>
        </w:tc>
        <w:tc>
          <w:tcPr>
            <w:tcW w:w="1433" w:type="dxa"/>
            <w:vAlign w:val="center"/>
          </w:tcPr>
          <w:p w14:paraId="455BC18E" w14:textId="77777777" w:rsidR="00C05C91" w:rsidRPr="00890249" w:rsidRDefault="00C05C91" w:rsidP="00C05C9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6C1D44B7"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(k)</w:t>
            </w:r>
          </w:p>
        </w:tc>
        <w:tc>
          <w:tcPr>
            <w:tcW w:w="1053" w:type="dxa"/>
          </w:tcPr>
          <w:p w14:paraId="39E22268" w14:textId="77777777" w:rsidR="00C05C91" w:rsidRPr="00890249" w:rsidRDefault="00C05C91" w:rsidP="00C05C9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Dotacja</w:t>
            </w:r>
          </w:p>
        </w:tc>
        <w:tc>
          <w:tcPr>
            <w:tcW w:w="2175" w:type="dxa"/>
          </w:tcPr>
          <w:p w14:paraId="334EC86C" w14:textId="7C39483B" w:rsidR="00C05C91" w:rsidRPr="00890249" w:rsidRDefault="00F6571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0D6A11">
              <w:rPr>
                <w:rFonts w:asciiTheme="minorHAnsi" w:eastAsia="Times New Roman" w:hAnsiTheme="minorHAnsi" w:cstheme="minorHAnsi"/>
                <w:iCs/>
                <w:noProof/>
                <w:sz w:val="20"/>
              </w:rPr>
              <w:t>57 217 734</w:t>
            </w:r>
          </w:p>
        </w:tc>
      </w:tr>
    </w:tbl>
    <w:p w14:paraId="51836089" w14:textId="77777777" w:rsidR="00B72154" w:rsidRPr="00890249" w:rsidRDefault="00B72154" w:rsidP="00890249">
      <w:pPr>
        <w:spacing w:before="0" w:after="160" w:line="259" w:lineRule="auto"/>
        <w:jc w:val="left"/>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31"/>
        <w:gridCol w:w="1322"/>
        <w:gridCol w:w="1340"/>
        <w:gridCol w:w="1641"/>
        <w:gridCol w:w="1520"/>
        <w:gridCol w:w="1707"/>
      </w:tblGrid>
      <w:tr w:rsidR="00BD5A2B" w:rsidRPr="00890249" w14:paraId="0A547C77" w14:textId="77777777" w:rsidTr="005914AE">
        <w:tc>
          <w:tcPr>
            <w:tcW w:w="9039" w:type="dxa"/>
            <w:gridSpan w:val="6"/>
            <w:shd w:val="clear" w:color="auto" w:fill="D9D9D9" w:themeFill="background1" w:themeFillShade="D9"/>
          </w:tcPr>
          <w:p w14:paraId="381B4C8D" w14:textId="3C8451ED" w:rsidR="00BD5A2B" w:rsidRPr="00890249" w:rsidRDefault="00986374" w:rsidP="00BD5A2B">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 xml:space="preserve">Tabela </w:t>
            </w:r>
            <w:r w:rsidR="00002576">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00BD5A2B" w:rsidRPr="00890249">
              <w:rPr>
                <w:rFonts w:asciiTheme="minorHAnsi" w:hAnsiTheme="minorHAnsi" w:cstheme="minorHAnsi"/>
                <w:b/>
                <w:noProof/>
                <w:sz w:val="20"/>
              </w:rPr>
              <w:t xml:space="preserve"> – terytorialny mechanizm realizacji i ukierunkowanie terytorialne</w:t>
            </w:r>
          </w:p>
        </w:tc>
      </w:tr>
      <w:tr w:rsidR="00BD5A2B" w:rsidRPr="00890249" w14:paraId="520E0638" w14:textId="77777777" w:rsidTr="005914AE">
        <w:trPr>
          <w:trHeight w:val="364"/>
        </w:trPr>
        <w:tc>
          <w:tcPr>
            <w:tcW w:w="1599" w:type="dxa"/>
            <w:shd w:val="clear" w:color="auto" w:fill="F2F2F2" w:themeFill="background1" w:themeFillShade="F2"/>
          </w:tcPr>
          <w:p w14:paraId="6637A065"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7F11213F"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78" w:type="dxa"/>
            <w:shd w:val="clear" w:color="auto" w:fill="F2F2F2" w:themeFill="background1" w:themeFillShade="F2"/>
          </w:tcPr>
          <w:p w14:paraId="4F3576EE"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99" w:type="dxa"/>
            <w:shd w:val="clear" w:color="auto" w:fill="F2F2F2" w:themeFill="background1" w:themeFillShade="F2"/>
          </w:tcPr>
          <w:p w14:paraId="51206AD7"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136" w:type="dxa"/>
            <w:shd w:val="clear" w:color="auto" w:fill="F2F2F2" w:themeFill="background1" w:themeFillShade="F2"/>
          </w:tcPr>
          <w:p w14:paraId="63AFA6E6"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43" w:type="dxa"/>
            <w:shd w:val="clear" w:color="auto" w:fill="F2F2F2" w:themeFill="background1" w:themeFillShade="F2"/>
          </w:tcPr>
          <w:p w14:paraId="64A2BBDD"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5A2B" w:rsidRPr="00890249" w14:paraId="3DD0561F" w14:textId="77777777" w:rsidTr="005914AE">
        <w:tc>
          <w:tcPr>
            <w:tcW w:w="1599" w:type="dxa"/>
            <w:vAlign w:val="center"/>
          </w:tcPr>
          <w:p w14:paraId="7F1172A0" w14:textId="77777777" w:rsidR="00BD5A2B" w:rsidRPr="00890249" w:rsidRDefault="00BD5A2B"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5B674D9F" w14:textId="77777777" w:rsidR="00BD5A2B" w:rsidRPr="00890249" w:rsidRDefault="00BD5A2B"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EFS</w:t>
            </w:r>
            <w:r w:rsidR="00304F40" w:rsidRPr="00890249">
              <w:rPr>
                <w:rFonts w:asciiTheme="minorHAnsi" w:hAnsiTheme="minorHAnsi" w:cstheme="minorHAnsi"/>
                <w:noProof/>
                <w:sz w:val="20"/>
              </w:rPr>
              <w:t>+</w:t>
            </w:r>
          </w:p>
        </w:tc>
        <w:tc>
          <w:tcPr>
            <w:tcW w:w="1378" w:type="dxa"/>
            <w:vAlign w:val="center"/>
          </w:tcPr>
          <w:p w14:paraId="2519C360" w14:textId="77777777" w:rsidR="00BD5A2B" w:rsidRPr="00890249" w:rsidRDefault="00BD5A2B" w:rsidP="00BD5A2B">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99" w:type="dxa"/>
            <w:vAlign w:val="center"/>
          </w:tcPr>
          <w:p w14:paraId="686901F4" w14:textId="77777777" w:rsidR="00BD5A2B" w:rsidRPr="00890249" w:rsidRDefault="00BD5A2B" w:rsidP="00DF7F5F">
            <w:pPr>
              <w:jc w:val="center"/>
              <w:rPr>
                <w:rFonts w:asciiTheme="minorHAnsi" w:hAnsiTheme="minorHAnsi" w:cstheme="minorHAnsi"/>
                <w:noProof/>
                <w:sz w:val="20"/>
              </w:rPr>
            </w:pPr>
            <w:r w:rsidRPr="00890249">
              <w:rPr>
                <w:rFonts w:asciiTheme="minorHAnsi" w:hAnsiTheme="minorHAnsi" w:cstheme="minorHAnsi"/>
                <w:noProof/>
                <w:sz w:val="20"/>
              </w:rPr>
              <w:t>(</w:t>
            </w:r>
            <w:r w:rsidR="00DF7F5F" w:rsidRPr="00890249">
              <w:rPr>
                <w:rFonts w:asciiTheme="minorHAnsi" w:hAnsiTheme="minorHAnsi" w:cstheme="minorHAnsi"/>
                <w:noProof/>
                <w:sz w:val="20"/>
              </w:rPr>
              <w:t>k</w:t>
            </w:r>
            <w:r w:rsidRPr="00890249">
              <w:rPr>
                <w:rFonts w:asciiTheme="minorHAnsi" w:hAnsiTheme="minorHAnsi" w:cstheme="minorHAnsi"/>
                <w:noProof/>
                <w:sz w:val="20"/>
              </w:rPr>
              <w:t>)</w:t>
            </w:r>
          </w:p>
        </w:tc>
        <w:tc>
          <w:tcPr>
            <w:tcW w:w="1136" w:type="dxa"/>
            <w:vAlign w:val="center"/>
          </w:tcPr>
          <w:p w14:paraId="1F7CE3CE" w14:textId="2D3A1B20" w:rsidR="00BD5A2B" w:rsidRPr="00890249" w:rsidRDefault="00236B4B" w:rsidP="00BD5A2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CB1A92" w:rsidRPr="00890249">
              <w:rPr>
                <w:rFonts w:asciiTheme="minorHAnsi" w:eastAsia="Times New Roman" w:hAnsiTheme="minorHAnsi" w:cstheme="minorHAnsi"/>
                <w:iCs/>
                <w:noProof/>
                <w:sz w:val="20"/>
              </w:rPr>
              <w:t xml:space="preserve"> Brak ukierunkowania terytorialnego</w:t>
            </w:r>
          </w:p>
        </w:tc>
        <w:tc>
          <w:tcPr>
            <w:tcW w:w="1843" w:type="dxa"/>
            <w:vAlign w:val="center"/>
          </w:tcPr>
          <w:p w14:paraId="153C1A79" w14:textId="1AFB92AD" w:rsidR="00BD5A2B" w:rsidRPr="00890249" w:rsidRDefault="00F65715">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r>
            <w:r w:rsidR="000D6A11">
              <w:rPr>
                <w:rFonts w:asciiTheme="minorHAnsi" w:hAnsiTheme="minorHAnsi" w:cstheme="minorHAnsi"/>
                <w:noProof/>
                <w:sz w:val="20"/>
              </w:rPr>
              <w:t>57 217 734</w:t>
            </w:r>
          </w:p>
        </w:tc>
      </w:tr>
    </w:tbl>
    <w:p w14:paraId="5DF7C095" w14:textId="77777777" w:rsidR="008B081F" w:rsidRPr="00890249" w:rsidRDefault="008B081F" w:rsidP="00BD5A2B">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45"/>
        <w:gridCol w:w="1242"/>
        <w:gridCol w:w="1329"/>
        <w:gridCol w:w="1528"/>
        <w:gridCol w:w="1658"/>
        <w:gridCol w:w="2120"/>
      </w:tblGrid>
      <w:tr w:rsidR="00BD5A2B" w:rsidRPr="00890249" w14:paraId="24A73E52" w14:textId="77777777" w:rsidTr="00890249">
        <w:tc>
          <w:tcPr>
            <w:tcW w:w="9322" w:type="dxa"/>
            <w:gridSpan w:val="6"/>
            <w:shd w:val="clear" w:color="auto" w:fill="D9D9D9" w:themeFill="background1" w:themeFillShade="D9"/>
          </w:tcPr>
          <w:p w14:paraId="04A40D84" w14:textId="77777777" w:rsidR="00BD5A2B" w:rsidRPr="00890249" w:rsidRDefault="00BD5A2B" w:rsidP="006035F0">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6035F0" w:rsidRPr="00890249">
              <w:rPr>
                <w:rFonts w:asciiTheme="minorHAnsi" w:hAnsiTheme="minorHAnsi" w:cstheme="minorHAnsi"/>
                <w:b/>
                <w:noProof/>
                <w:sz w:val="20"/>
              </w:rPr>
              <w:t>uzupełniające obszary tematyczne</w:t>
            </w:r>
            <w:r w:rsidRPr="00890249">
              <w:rPr>
                <w:rFonts w:asciiTheme="minorHAnsi" w:hAnsiTheme="minorHAnsi" w:cstheme="minorHAnsi"/>
                <w:b/>
                <w:noProof/>
                <w:sz w:val="20"/>
              </w:rPr>
              <w:t xml:space="preserve"> EFS+</w:t>
            </w:r>
          </w:p>
        </w:tc>
      </w:tr>
      <w:tr w:rsidR="00BD5A2B" w:rsidRPr="00890249" w14:paraId="7DEA965A" w14:textId="77777777" w:rsidTr="00890249">
        <w:tc>
          <w:tcPr>
            <w:tcW w:w="1445" w:type="dxa"/>
            <w:shd w:val="clear" w:color="auto" w:fill="F2F2F2" w:themeFill="background1" w:themeFillShade="F2"/>
          </w:tcPr>
          <w:p w14:paraId="3F0EA090"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42" w:type="dxa"/>
            <w:shd w:val="clear" w:color="auto" w:fill="F2F2F2" w:themeFill="background1" w:themeFillShade="F2"/>
          </w:tcPr>
          <w:p w14:paraId="2F3286CF"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29" w:type="dxa"/>
            <w:shd w:val="clear" w:color="auto" w:fill="F2F2F2" w:themeFill="background1" w:themeFillShade="F2"/>
          </w:tcPr>
          <w:p w14:paraId="406A8C84"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28" w:type="dxa"/>
            <w:shd w:val="clear" w:color="auto" w:fill="F2F2F2" w:themeFill="background1" w:themeFillShade="F2"/>
          </w:tcPr>
          <w:p w14:paraId="529D6B36"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8" w:type="dxa"/>
            <w:shd w:val="clear" w:color="auto" w:fill="F2F2F2" w:themeFill="background1" w:themeFillShade="F2"/>
          </w:tcPr>
          <w:p w14:paraId="7C26C67D"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20" w:type="dxa"/>
            <w:shd w:val="clear" w:color="auto" w:fill="F2F2F2" w:themeFill="background1" w:themeFillShade="F2"/>
          </w:tcPr>
          <w:p w14:paraId="76999B60" w14:textId="77777777" w:rsidR="00BD5A2B" w:rsidRPr="00890249" w:rsidRDefault="00BD5A2B" w:rsidP="0075042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A96B31" w:rsidRPr="00890249" w14:paraId="1FF80A90" w14:textId="77777777" w:rsidTr="00890249">
        <w:tc>
          <w:tcPr>
            <w:tcW w:w="1445" w:type="dxa"/>
            <w:vMerge w:val="restart"/>
            <w:vAlign w:val="center"/>
          </w:tcPr>
          <w:p w14:paraId="2B96EADD" w14:textId="77777777" w:rsidR="00A96B31" w:rsidRPr="00890249" w:rsidRDefault="00A96B31" w:rsidP="00A96B3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242" w:type="dxa"/>
            <w:vMerge w:val="restart"/>
            <w:vAlign w:val="center"/>
          </w:tcPr>
          <w:p w14:paraId="57BCF6FA"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EFS+</w:t>
            </w:r>
          </w:p>
        </w:tc>
        <w:tc>
          <w:tcPr>
            <w:tcW w:w="1329" w:type="dxa"/>
            <w:vMerge w:val="restart"/>
            <w:vAlign w:val="center"/>
          </w:tcPr>
          <w:p w14:paraId="075BB4BB"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528" w:type="dxa"/>
            <w:vMerge w:val="restart"/>
            <w:shd w:val="clear" w:color="auto" w:fill="auto"/>
            <w:vAlign w:val="center"/>
          </w:tcPr>
          <w:p w14:paraId="64313097" w14:textId="77777777" w:rsidR="00A96B31" w:rsidRPr="00890249" w:rsidRDefault="00A96B31" w:rsidP="00A96B31">
            <w:pPr>
              <w:jc w:val="center"/>
              <w:rPr>
                <w:rFonts w:asciiTheme="minorHAnsi" w:hAnsiTheme="minorHAnsi" w:cstheme="minorHAnsi"/>
                <w:noProof/>
                <w:sz w:val="20"/>
              </w:rPr>
            </w:pPr>
            <w:r w:rsidRPr="00890249">
              <w:rPr>
                <w:rFonts w:asciiTheme="minorHAnsi" w:hAnsiTheme="minorHAnsi" w:cstheme="minorHAnsi"/>
                <w:noProof/>
                <w:sz w:val="20"/>
              </w:rPr>
              <w:t>(k)</w:t>
            </w:r>
          </w:p>
        </w:tc>
        <w:tc>
          <w:tcPr>
            <w:tcW w:w="1658" w:type="dxa"/>
            <w:shd w:val="clear" w:color="auto" w:fill="auto"/>
            <w:vAlign w:val="center"/>
          </w:tcPr>
          <w:p w14:paraId="4E21F5B5" w14:textId="77777777" w:rsidR="00A96B31" w:rsidRPr="00890249" w:rsidRDefault="00A96B31" w:rsidP="00A96B3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 Przyczynianie się do ekologicznych umiejętności i zielonych miejsc pracy oraz zielonej gospodarki</w:t>
            </w:r>
          </w:p>
        </w:tc>
        <w:tc>
          <w:tcPr>
            <w:tcW w:w="2120" w:type="dxa"/>
            <w:shd w:val="clear" w:color="auto" w:fill="auto"/>
            <w:vAlign w:val="center"/>
          </w:tcPr>
          <w:p w14:paraId="07DC0D54" w14:textId="77777777" w:rsidR="00A96B31" w:rsidRPr="00890249" w:rsidRDefault="00A96B31" w:rsidP="00A96B31">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1 930 000</w:t>
            </w:r>
          </w:p>
        </w:tc>
      </w:tr>
      <w:tr w:rsidR="00A96B31" w:rsidRPr="00890249" w14:paraId="4C64077A" w14:textId="77777777" w:rsidTr="00890249">
        <w:tc>
          <w:tcPr>
            <w:tcW w:w="1445" w:type="dxa"/>
            <w:vMerge/>
            <w:vAlign w:val="center"/>
          </w:tcPr>
          <w:p w14:paraId="09B9EEE3" w14:textId="77777777" w:rsidR="00A96B31" w:rsidRPr="00890249" w:rsidRDefault="00A96B31" w:rsidP="00A96B31">
            <w:pPr>
              <w:jc w:val="center"/>
              <w:rPr>
                <w:rFonts w:asciiTheme="minorHAnsi" w:eastAsia="Times New Roman" w:hAnsiTheme="minorHAnsi" w:cstheme="minorHAnsi"/>
                <w:b/>
                <w:iCs/>
                <w:noProof/>
                <w:sz w:val="20"/>
              </w:rPr>
            </w:pPr>
          </w:p>
        </w:tc>
        <w:tc>
          <w:tcPr>
            <w:tcW w:w="1242" w:type="dxa"/>
            <w:vMerge/>
            <w:vAlign w:val="center"/>
          </w:tcPr>
          <w:p w14:paraId="3D0E3343" w14:textId="77777777" w:rsidR="00A96B31" w:rsidRPr="00890249" w:rsidRDefault="00A96B31" w:rsidP="00A96B31">
            <w:pPr>
              <w:jc w:val="center"/>
              <w:rPr>
                <w:rFonts w:asciiTheme="minorHAnsi" w:eastAsia="Times New Roman" w:hAnsiTheme="minorHAnsi" w:cstheme="minorHAnsi"/>
                <w:b/>
                <w:iCs/>
                <w:noProof/>
                <w:sz w:val="20"/>
              </w:rPr>
            </w:pPr>
          </w:p>
        </w:tc>
        <w:tc>
          <w:tcPr>
            <w:tcW w:w="1329" w:type="dxa"/>
            <w:vMerge/>
            <w:vAlign w:val="center"/>
          </w:tcPr>
          <w:p w14:paraId="64D15F0A" w14:textId="77777777" w:rsidR="00A96B31" w:rsidRPr="00890249" w:rsidRDefault="00A96B31" w:rsidP="00A96B31">
            <w:pPr>
              <w:jc w:val="center"/>
              <w:rPr>
                <w:rFonts w:asciiTheme="minorHAnsi" w:eastAsia="Times New Roman" w:hAnsiTheme="minorHAnsi" w:cstheme="minorHAnsi"/>
                <w:b/>
                <w:iCs/>
                <w:noProof/>
                <w:sz w:val="20"/>
              </w:rPr>
            </w:pPr>
          </w:p>
        </w:tc>
        <w:tc>
          <w:tcPr>
            <w:tcW w:w="1528" w:type="dxa"/>
            <w:vMerge/>
            <w:shd w:val="clear" w:color="auto" w:fill="auto"/>
            <w:vAlign w:val="center"/>
          </w:tcPr>
          <w:p w14:paraId="4F37EA55" w14:textId="77777777" w:rsidR="00A96B31" w:rsidRPr="00890249" w:rsidRDefault="00A96B31" w:rsidP="00A96B31">
            <w:pPr>
              <w:jc w:val="center"/>
              <w:rPr>
                <w:rFonts w:asciiTheme="minorHAnsi" w:eastAsia="Times New Roman" w:hAnsiTheme="minorHAnsi" w:cstheme="minorHAnsi"/>
                <w:b/>
                <w:iCs/>
                <w:noProof/>
                <w:sz w:val="20"/>
              </w:rPr>
            </w:pPr>
          </w:p>
        </w:tc>
        <w:tc>
          <w:tcPr>
            <w:tcW w:w="1658" w:type="dxa"/>
            <w:shd w:val="clear" w:color="auto" w:fill="auto"/>
            <w:vAlign w:val="center"/>
          </w:tcPr>
          <w:p w14:paraId="2F25A7B4" w14:textId="77777777" w:rsidR="00A96B31" w:rsidRPr="00890249" w:rsidRDefault="00A96B31" w:rsidP="00A96B3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05 Niedyskryminacja</w:t>
            </w:r>
          </w:p>
        </w:tc>
        <w:tc>
          <w:tcPr>
            <w:tcW w:w="2120" w:type="dxa"/>
            <w:shd w:val="clear" w:color="auto" w:fill="auto"/>
            <w:vAlign w:val="center"/>
          </w:tcPr>
          <w:p w14:paraId="529F82A6" w14:textId="742B0DC9" w:rsidR="00A96B31" w:rsidRPr="00890249" w:rsidRDefault="00F65715" w:rsidP="00A96B3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r>
            <w:r w:rsidR="000D6A11">
              <w:rPr>
                <w:rFonts w:asciiTheme="minorHAnsi" w:eastAsia="Times New Roman" w:hAnsiTheme="minorHAnsi" w:cstheme="minorHAnsi"/>
                <w:iCs/>
                <w:noProof/>
                <w:sz w:val="20"/>
              </w:rPr>
              <w:t>8 784 693</w:t>
            </w:r>
          </w:p>
        </w:tc>
      </w:tr>
      <w:tr w:rsidR="00A96B31" w:rsidRPr="00890249" w14:paraId="1BC6E59B" w14:textId="77777777" w:rsidTr="00890249">
        <w:tc>
          <w:tcPr>
            <w:tcW w:w="1445" w:type="dxa"/>
            <w:vMerge/>
            <w:vAlign w:val="center"/>
          </w:tcPr>
          <w:p w14:paraId="347F9FC0" w14:textId="77777777" w:rsidR="00A96B31" w:rsidRPr="00890249" w:rsidRDefault="00A96B31" w:rsidP="00A96B31">
            <w:pPr>
              <w:jc w:val="center"/>
              <w:rPr>
                <w:rFonts w:asciiTheme="minorHAnsi" w:eastAsia="Times New Roman" w:hAnsiTheme="minorHAnsi" w:cstheme="minorHAnsi"/>
                <w:iCs/>
                <w:noProof/>
                <w:sz w:val="20"/>
              </w:rPr>
            </w:pPr>
          </w:p>
        </w:tc>
        <w:tc>
          <w:tcPr>
            <w:tcW w:w="1242" w:type="dxa"/>
            <w:vMerge/>
            <w:vAlign w:val="center"/>
          </w:tcPr>
          <w:p w14:paraId="1F2046B8" w14:textId="77777777" w:rsidR="00A96B31" w:rsidRPr="00890249" w:rsidRDefault="00A96B31" w:rsidP="00A96B31">
            <w:pPr>
              <w:jc w:val="center"/>
              <w:rPr>
                <w:rFonts w:asciiTheme="minorHAnsi" w:hAnsiTheme="minorHAnsi" w:cstheme="minorHAnsi"/>
                <w:noProof/>
                <w:sz w:val="20"/>
              </w:rPr>
            </w:pPr>
          </w:p>
        </w:tc>
        <w:tc>
          <w:tcPr>
            <w:tcW w:w="1329" w:type="dxa"/>
            <w:vMerge/>
            <w:vAlign w:val="center"/>
          </w:tcPr>
          <w:p w14:paraId="3445BCA3" w14:textId="77777777" w:rsidR="00A96B31" w:rsidRPr="00890249" w:rsidRDefault="00A96B31" w:rsidP="00A96B31">
            <w:pPr>
              <w:jc w:val="center"/>
              <w:rPr>
                <w:rFonts w:asciiTheme="minorHAnsi" w:hAnsiTheme="minorHAnsi" w:cstheme="minorHAnsi"/>
                <w:noProof/>
                <w:sz w:val="20"/>
              </w:rPr>
            </w:pPr>
          </w:p>
        </w:tc>
        <w:tc>
          <w:tcPr>
            <w:tcW w:w="1528" w:type="dxa"/>
            <w:vMerge/>
            <w:vAlign w:val="center"/>
          </w:tcPr>
          <w:p w14:paraId="7262911A" w14:textId="77777777" w:rsidR="00A96B31" w:rsidRPr="00890249" w:rsidRDefault="00A96B31" w:rsidP="00A96B31">
            <w:pPr>
              <w:jc w:val="center"/>
              <w:rPr>
                <w:rFonts w:asciiTheme="minorHAnsi" w:eastAsia="Times New Roman" w:hAnsiTheme="minorHAnsi" w:cstheme="minorHAnsi"/>
                <w:b/>
                <w:iCs/>
                <w:noProof/>
                <w:sz w:val="20"/>
              </w:rPr>
            </w:pPr>
          </w:p>
        </w:tc>
        <w:tc>
          <w:tcPr>
            <w:tcW w:w="1658" w:type="dxa"/>
            <w:vAlign w:val="center"/>
          </w:tcPr>
          <w:p w14:paraId="4A65951F" w14:textId="77777777" w:rsidR="00A96B31" w:rsidRPr="00890249" w:rsidRDefault="00A96B31" w:rsidP="00A96B3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06 Zwalczanie ubóstwa dzieci</w:t>
            </w:r>
          </w:p>
        </w:tc>
        <w:tc>
          <w:tcPr>
            <w:tcW w:w="2120" w:type="dxa"/>
            <w:vAlign w:val="center"/>
          </w:tcPr>
          <w:p w14:paraId="361697B6" w14:textId="63DC7948" w:rsidR="00A96B31" w:rsidRPr="00890249" w:rsidRDefault="004B73D0" w:rsidP="00A96B31">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4 1</w:t>
            </w:r>
            <w:r w:rsidR="00A96B31" w:rsidRPr="00890249">
              <w:rPr>
                <w:rFonts w:asciiTheme="minorHAnsi" w:eastAsia="Times New Roman" w:hAnsiTheme="minorHAnsi" w:cstheme="minorHAnsi"/>
                <w:iCs/>
                <w:noProof/>
                <w:sz w:val="20"/>
              </w:rPr>
              <w:t>77 293</w:t>
            </w:r>
          </w:p>
        </w:tc>
      </w:tr>
      <w:tr w:rsidR="00A96B31" w:rsidRPr="00890249" w14:paraId="0C4DAF34" w14:textId="77777777" w:rsidTr="00890249">
        <w:tc>
          <w:tcPr>
            <w:tcW w:w="1445" w:type="dxa"/>
            <w:vMerge/>
            <w:vAlign w:val="center"/>
          </w:tcPr>
          <w:p w14:paraId="38631F89" w14:textId="77777777" w:rsidR="00A96B31" w:rsidRPr="00890249" w:rsidRDefault="00A96B31" w:rsidP="00A96B31">
            <w:pPr>
              <w:jc w:val="center"/>
              <w:rPr>
                <w:rFonts w:asciiTheme="minorHAnsi" w:eastAsia="Times New Roman" w:hAnsiTheme="minorHAnsi" w:cstheme="minorHAnsi"/>
                <w:iCs/>
                <w:noProof/>
                <w:sz w:val="20"/>
              </w:rPr>
            </w:pPr>
          </w:p>
        </w:tc>
        <w:tc>
          <w:tcPr>
            <w:tcW w:w="1242" w:type="dxa"/>
            <w:vMerge/>
            <w:vAlign w:val="center"/>
          </w:tcPr>
          <w:p w14:paraId="4DBD9566" w14:textId="77777777" w:rsidR="00A96B31" w:rsidRPr="00890249" w:rsidRDefault="00A96B31" w:rsidP="00A96B31">
            <w:pPr>
              <w:jc w:val="center"/>
              <w:rPr>
                <w:rFonts w:asciiTheme="minorHAnsi" w:hAnsiTheme="minorHAnsi" w:cstheme="minorHAnsi"/>
                <w:noProof/>
                <w:sz w:val="20"/>
              </w:rPr>
            </w:pPr>
          </w:p>
        </w:tc>
        <w:tc>
          <w:tcPr>
            <w:tcW w:w="1329" w:type="dxa"/>
            <w:vMerge/>
            <w:vAlign w:val="center"/>
          </w:tcPr>
          <w:p w14:paraId="7D194098" w14:textId="77777777" w:rsidR="00A96B31" w:rsidRPr="00890249" w:rsidRDefault="00A96B31" w:rsidP="00A96B31">
            <w:pPr>
              <w:jc w:val="center"/>
              <w:rPr>
                <w:rFonts w:asciiTheme="minorHAnsi" w:hAnsiTheme="minorHAnsi" w:cstheme="minorHAnsi"/>
                <w:noProof/>
                <w:sz w:val="20"/>
              </w:rPr>
            </w:pPr>
          </w:p>
        </w:tc>
        <w:tc>
          <w:tcPr>
            <w:tcW w:w="1528" w:type="dxa"/>
            <w:vMerge/>
            <w:vAlign w:val="center"/>
          </w:tcPr>
          <w:p w14:paraId="4CCFFF8E" w14:textId="77777777" w:rsidR="00A96B31" w:rsidRPr="00890249" w:rsidRDefault="00A96B31" w:rsidP="00A96B31">
            <w:pPr>
              <w:jc w:val="center"/>
              <w:rPr>
                <w:rFonts w:asciiTheme="minorHAnsi" w:eastAsia="Times New Roman" w:hAnsiTheme="minorHAnsi" w:cstheme="minorHAnsi"/>
                <w:b/>
                <w:iCs/>
                <w:noProof/>
                <w:sz w:val="20"/>
              </w:rPr>
            </w:pPr>
          </w:p>
        </w:tc>
        <w:tc>
          <w:tcPr>
            <w:tcW w:w="1658" w:type="dxa"/>
            <w:vAlign w:val="center"/>
          </w:tcPr>
          <w:p w14:paraId="628BB9A2" w14:textId="32BCE004" w:rsidR="00A96B31" w:rsidRPr="00890249" w:rsidRDefault="00A96B31" w:rsidP="008A2402">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08 Budowanie zdolności </w:t>
            </w:r>
            <w:r w:rsidR="008A2402">
              <w:rPr>
                <w:rFonts w:asciiTheme="minorHAnsi" w:eastAsia="Times New Roman" w:hAnsiTheme="minorHAnsi" w:cstheme="minorHAnsi"/>
                <w:iCs/>
                <w:noProof/>
                <w:sz w:val="20"/>
              </w:rPr>
              <w:t xml:space="preserve"> organizacji społeczeństwa obywatelskiego </w:t>
            </w:r>
          </w:p>
        </w:tc>
        <w:tc>
          <w:tcPr>
            <w:tcW w:w="2120" w:type="dxa"/>
            <w:vAlign w:val="center"/>
          </w:tcPr>
          <w:p w14:paraId="255D6DE5" w14:textId="53E14B20" w:rsidR="00A96B31" w:rsidRPr="00890249" w:rsidRDefault="00F65715" w:rsidP="00A96B31">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2 405 000</w:t>
            </w:r>
            <w:r w:rsidR="00A96B31" w:rsidRPr="00890249">
              <w:rPr>
                <w:rFonts w:asciiTheme="minorHAnsi" w:eastAsia="Times New Roman" w:hAnsiTheme="minorHAnsi" w:cstheme="minorHAnsi"/>
                <w:iCs/>
                <w:noProof/>
                <w:sz w:val="20"/>
              </w:rPr>
              <w:t xml:space="preserve"> </w:t>
            </w:r>
          </w:p>
        </w:tc>
      </w:tr>
      <w:tr w:rsidR="00A96B31" w:rsidRPr="00890249" w14:paraId="24C9F171" w14:textId="77777777" w:rsidTr="00890249">
        <w:tc>
          <w:tcPr>
            <w:tcW w:w="1445" w:type="dxa"/>
            <w:vMerge/>
            <w:vAlign w:val="center"/>
          </w:tcPr>
          <w:p w14:paraId="1B471C89" w14:textId="77777777" w:rsidR="00A96B31" w:rsidRPr="00890249" w:rsidRDefault="00A96B31" w:rsidP="00A96B31">
            <w:pPr>
              <w:jc w:val="center"/>
              <w:rPr>
                <w:rFonts w:asciiTheme="minorHAnsi" w:eastAsia="Times New Roman" w:hAnsiTheme="minorHAnsi" w:cstheme="minorHAnsi"/>
                <w:iCs/>
                <w:noProof/>
                <w:sz w:val="20"/>
              </w:rPr>
            </w:pPr>
          </w:p>
        </w:tc>
        <w:tc>
          <w:tcPr>
            <w:tcW w:w="1242" w:type="dxa"/>
            <w:vMerge/>
            <w:vAlign w:val="center"/>
          </w:tcPr>
          <w:p w14:paraId="121E618E" w14:textId="77777777" w:rsidR="00A96B31" w:rsidRPr="00890249" w:rsidRDefault="00A96B31" w:rsidP="00A96B31">
            <w:pPr>
              <w:jc w:val="center"/>
              <w:rPr>
                <w:rFonts w:asciiTheme="minorHAnsi" w:hAnsiTheme="minorHAnsi" w:cstheme="minorHAnsi"/>
                <w:noProof/>
                <w:sz w:val="20"/>
              </w:rPr>
            </w:pPr>
          </w:p>
        </w:tc>
        <w:tc>
          <w:tcPr>
            <w:tcW w:w="1329" w:type="dxa"/>
            <w:vMerge/>
            <w:vAlign w:val="center"/>
          </w:tcPr>
          <w:p w14:paraId="32913763" w14:textId="77777777" w:rsidR="00A96B31" w:rsidRPr="00890249" w:rsidRDefault="00A96B31" w:rsidP="00A96B31">
            <w:pPr>
              <w:jc w:val="center"/>
              <w:rPr>
                <w:rFonts w:asciiTheme="minorHAnsi" w:hAnsiTheme="minorHAnsi" w:cstheme="minorHAnsi"/>
                <w:noProof/>
                <w:sz w:val="20"/>
              </w:rPr>
            </w:pPr>
          </w:p>
        </w:tc>
        <w:tc>
          <w:tcPr>
            <w:tcW w:w="1528" w:type="dxa"/>
            <w:vMerge/>
            <w:vAlign w:val="center"/>
          </w:tcPr>
          <w:p w14:paraId="0806B0A7" w14:textId="77777777" w:rsidR="00A96B31" w:rsidRPr="00890249" w:rsidRDefault="00A96B31" w:rsidP="00A96B31">
            <w:pPr>
              <w:jc w:val="center"/>
              <w:rPr>
                <w:rFonts w:asciiTheme="minorHAnsi" w:eastAsia="Times New Roman" w:hAnsiTheme="minorHAnsi" w:cstheme="minorHAnsi"/>
                <w:b/>
                <w:iCs/>
                <w:noProof/>
                <w:sz w:val="20"/>
              </w:rPr>
            </w:pPr>
          </w:p>
        </w:tc>
        <w:tc>
          <w:tcPr>
            <w:tcW w:w="1658" w:type="dxa"/>
            <w:vAlign w:val="center"/>
          </w:tcPr>
          <w:p w14:paraId="03B3A86D" w14:textId="77777777" w:rsidR="00A96B31" w:rsidRPr="00890249" w:rsidRDefault="00A96B31" w:rsidP="00A96B31">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09 Nie dotyczy</w:t>
            </w:r>
          </w:p>
        </w:tc>
        <w:tc>
          <w:tcPr>
            <w:tcW w:w="2120" w:type="dxa"/>
            <w:vAlign w:val="center"/>
          </w:tcPr>
          <w:p w14:paraId="1E510217" w14:textId="70DCE02B" w:rsidR="00F65715" w:rsidRPr="00890249" w:rsidRDefault="00F65715" w:rsidP="00F65715">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r>
            <w:r w:rsidR="000D6A11">
              <w:rPr>
                <w:rFonts w:asciiTheme="minorHAnsi" w:eastAsia="Times New Roman" w:hAnsiTheme="minorHAnsi" w:cstheme="minorHAnsi"/>
                <w:iCs/>
                <w:noProof/>
                <w:sz w:val="20"/>
              </w:rPr>
              <w:t>39 920 748</w:t>
            </w:r>
          </w:p>
        </w:tc>
      </w:tr>
    </w:tbl>
    <w:p w14:paraId="724041A8" w14:textId="77777777" w:rsidR="00BD5A2B" w:rsidRPr="00890249" w:rsidRDefault="00BD5A2B" w:rsidP="00E771E1">
      <w:pPr>
        <w:spacing w:before="0" w:after="24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63"/>
        <w:gridCol w:w="1344"/>
        <w:gridCol w:w="1564"/>
        <w:gridCol w:w="1761"/>
        <w:gridCol w:w="1934"/>
      </w:tblGrid>
      <w:tr w:rsidR="00613A79" w:rsidRPr="00890249" w14:paraId="4499A269" w14:textId="77777777" w:rsidTr="00890249">
        <w:tc>
          <w:tcPr>
            <w:tcW w:w="9322" w:type="dxa"/>
            <w:gridSpan w:val="6"/>
            <w:shd w:val="clear" w:color="auto" w:fill="D9D9D9" w:themeFill="background1" w:themeFillShade="D9"/>
          </w:tcPr>
          <w:p w14:paraId="2623C06B" w14:textId="77777777" w:rsidR="00613A79" w:rsidRPr="00890249" w:rsidRDefault="006035F0" w:rsidP="00BE778E">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 xml:space="preserve">Tabela 8: Wymiar 7 – wymiar „Równouprawnienie </w:t>
            </w:r>
            <w:r w:rsidR="00613A79" w:rsidRPr="00890249">
              <w:rPr>
                <w:rFonts w:asciiTheme="minorHAnsi" w:eastAsiaTheme="minorHAnsi" w:hAnsiTheme="minorHAnsi" w:cstheme="minorHAnsi"/>
                <w:b/>
                <w:sz w:val="20"/>
                <w:szCs w:val="22"/>
                <w:lang w:eastAsia="en-US" w:bidi="ar-SA"/>
              </w:rPr>
              <w:t>płci</w:t>
            </w:r>
            <w:r w:rsidRPr="00890249">
              <w:rPr>
                <w:rFonts w:asciiTheme="minorHAnsi" w:eastAsiaTheme="minorHAnsi" w:hAnsiTheme="minorHAnsi" w:cstheme="minorHAnsi"/>
                <w:b/>
                <w:sz w:val="20"/>
                <w:szCs w:val="22"/>
                <w:lang w:eastAsia="en-US" w:bidi="ar-SA"/>
              </w:rPr>
              <w:t>” w ramach EFS+, EFRR, Fundusz Spójności i FST</w:t>
            </w:r>
          </w:p>
        </w:tc>
      </w:tr>
      <w:tr w:rsidR="00613A79" w:rsidRPr="00890249" w14:paraId="3881FCA5" w14:textId="77777777" w:rsidTr="00890249">
        <w:tc>
          <w:tcPr>
            <w:tcW w:w="1456" w:type="dxa"/>
            <w:shd w:val="clear" w:color="auto" w:fill="F2F2F2" w:themeFill="background1" w:themeFillShade="F2"/>
          </w:tcPr>
          <w:p w14:paraId="54F8724E"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263" w:type="dxa"/>
            <w:shd w:val="clear" w:color="auto" w:fill="F2F2F2" w:themeFill="background1" w:themeFillShade="F2"/>
          </w:tcPr>
          <w:p w14:paraId="5A460435"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344" w:type="dxa"/>
            <w:shd w:val="clear" w:color="auto" w:fill="F2F2F2" w:themeFill="background1" w:themeFillShade="F2"/>
          </w:tcPr>
          <w:p w14:paraId="4B1C5858"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564" w:type="dxa"/>
            <w:shd w:val="clear" w:color="auto" w:fill="F2F2F2" w:themeFill="background1" w:themeFillShade="F2"/>
          </w:tcPr>
          <w:p w14:paraId="197601CF"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761" w:type="dxa"/>
            <w:shd w:val="clear" w:color="auto" w:fill="F2F2F2" w:themeFill="background1" w:themeFillShade="F2"/>
          </w:tcPr>
          <w:p w14:paraId="5F3033DF"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1934" w:type="dxa"/>
            <w:shd w:val="clear" w:color="auto" w:fill="F2F2F2" w:themeFill="background1" w:themeFillShade="F2"/>
          </w:tcPr>
          <w:p w14:paraId="5742CB66" w14:textId="77777777" w:rsidR="00613A79" w:rsidRPr="00890249" w:rsidRDefault="00613A79" w:rsidP="00BE778E">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304F40" w:rsidRPr="00890249" w14:paraId="47780842" w14:textId="77777777" w:rsidTr="00890249">
        <w:tc>
          <w:tcPr>
            <w:tcW w:w="1456" w:type="dxa"/>
            <w:shd w:val="clear" w:color="auto" w:fill="auto"/>
            <w:vAlign w:val="center"/>
          </w:tcPr>
          <w:p w14:paraId="6DC611B1" w14:textId="77777777" w:rsidR="00304F40" w:rsidRPr="00890249" w:rsidRDefault="00304F40" w:rsidP="002575FF">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eastAsia="Times New Roman" w:hAnsiTheme="minorHAnsi" w:cstheme="minorHAnsi"/>
                <w:iCs/>
                <w:noProof/>
                <w:sz w:val="20"/>
              </w:rPr>
              <w:t xml:space="preserve">CP </w:t>
            </w:r>
            <w:r w:rsidR="00CC4296" w:rsidRPr="00890249">
              <w:rPr>
                <w:rFonts w:asciiTheme="minorHAnsi" w:eastAsia="Times New Roman" w:hAnsiTheme="minorHAnsi" w:cstheme="minorHAnsi"/>
                <w:iCs/>
                <w:noProof/>
                <w:sz w:val="20"/>
              </w:rPr>
              <w:t>4</w:t>
            </w:r>
          </w:p>
        </w:tc>
        <w:tc>
          <w:tcPr>
            <w:tcW w:w="1263" w:type="dxa"/>
            <w:shd w:val="clear" w:color="auto" w:fill="auto"/>
            <w:vAlign w:val="center"/>
          </w:tcPr>
          <w:p w14:paraId="62A1A5A4" w14:textId="77777777" w:rsidR="00304F40" w:rsidRPr="00890249" w:rsidRDefault="00304F40" w:rsidP="002575FF">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hAnsiTheme="minorHAnsi" w:cstheme="minorHAnsi"/>
                <w:noProof/>
                <w:sz w:val="20"/>
              </w:rPr>
              <w:t>EFS+</w:t>
            </w:r>
          </w:p>
        </w:tc>
        <w:tc>
          <w:tcPr>
            <w:tcW w:w="1344" w:type="dxa"/>
            <w:shd w:val="clear" w:color="auto" w:fill="auto"/>
            <w:vAlign w:val="center"/>
          </w:tcPr>
          <w:p w14:paraId="6E5C659C" w14:textId="77777777" w:rsidR="00304F40" w:rsidRPr="00890249" w:rsidRDefault="00304F40" w:rsidP="002575FF">
            <w:pPr>
              <w:spacing w:before="0" w:after="160" w:line="259" w:lineRule="auto"/>
              <w:jc w:val="center"/>
              <w:rPr>
                <w:rFonts w:asciiTheme="minorHAnsi" w:eastAsia="Times New Roman" w:hAnsiTheme="minorHAnsi" w:cstheme="minorHAnsi"/>
                <w:b/>
                <w:iCs/>
                <w:noProof/>
                <w:sz w:val="20"/>
                <w:szCs w:val="22"/>
                <w:highlight w:val="green"/>
                <w:lang w:eastAsia="en-US" w:bidi="ar-SA"/>
              </w:rPr>
            </w:pPr>
            <w:r w:rsidRPr="00890249">
              <w:rPr>
                <w:rFonts w:asciiTheme="minorHAnsi" w:hAnsiTheme="minorHAnsi" w:cstheme="minorHAnsi"/>
                <w:noProof/>
                <w:sz w:val="20"/>
              </w:rPr>
              <w:t>słabiej rozwinięte</w:t>
            </w:r>
          </w:p>
        </w:tc>
        <w:tc>
          <w:tcPr>
            <w:tcW w:w="1564" w:type="dxa"/>
            <w:shd w:val="clear" w:color="auto" w:fill="auto"/>
            <w:vAlign w:val="center"/>
          </w:tcPr>
          <w:p w14:paraId="69B2F420" w14:textId="77777777" w:rsidR="00304F40" w:rsidRPr="00890249" w:rsidRDefault="00986374" w:rsidP="002575FF">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hAnsiTheme="minorHAnsi" w:cstheme="minorHAnsi"/>
                <w:noProof/>
                <w:sz w:val="20"/>
              </w:rPr>
              <w:t>(k)</w:t>
            </w:r>
          </w:p>
        </w:tc>
        <w:tc>
          <w:tcPr>
            <w:tcW w:w="1761" w:type="dxa"/>
            <w:shd w:val="clear" w:color="auto" w:fill="auto"/>
            <w:vAlign w:val="center"/>
          </w:tcPr>
          <w:p w14:paraId="114C638B" w14:textId="77777777" w:rsidR="00304F40" w:rsidRPr="00890249" w:rsidRDefault="00986374" w:rsidP="002575FF">
            <w:pPr>
              <w:spacing w:before="0" w:after="160" w:line="259" w:lineRule="auto"/>
              <w:jc w:val="center"/>
              <w:rPr>
                <w:rFonts w:asciiTheme="minorHAnsi" w:eastAsia="Times New Roman" w:hAnsiTheme="minorHAnsi" w:cstheme="minorHAnsi"/>
                <w:iCs/>
                <w:noProof/>
                <w:sz w:val="20"/>
                <w:szCs w:val="22"/>
                <w:lang w:eastAsia="en-US" w:bidi="ar-SA"/>
              </w:rPr>
            </w:pPr>
            <w:r w:rsidRPr="00890249">
              <w:rPr>
                <w:rFonts w:asciiTheme="minorHAnsi" w:eastAsia="Times New Roman" w:hAnsiTheme="minorHAnsi" w:cstheme="minorHAnsi"/>
                <w:iCs/>
                <w:noProof/>
                <w:sz w:val="20"/>
                <w:szCs w:val="22"/>
                <w:lang w:eastAsia="en-US" w:bidi="ar-SA"/>
              </w:rPr>
              <w:t>02</w:t>
            </w:r>
            <w:r w:rsidR="00CB1A92" w:rsidRPr="00890249">
              <w:rPr>
                <w:rFonts w:asciiTheme="minorHAnsi" w:eastAsia="Times New Roman" w:hAnsiTheme="minorHAnsi" w:cstheme="minorHAnsi"/>
                <w:iCs/>
                <w:noProof/>
                <w:sz w:val="20"/>
                <w:szCs w:val="22"/>
                <w:lang w:eastAsia="en-US" w:bidi="ar-SA"/>
              </w:rPr>
              <w:t xml:space="preserve"> Projekty uwzględniające kwestię równouprawnienia płci</w:t>
            </w:r>
          </w:p>
        </w:tc>
        <w:tc>
          <w:tcPr>
            <w:tcW w:w="1934" w:type="dxa"/>
            <w:shd w:val="clear" w:color="auto" w:fill="auto"/>
            <w:vAlign w:val="center"/>
          </w:tcPr>
          <w:p w14:paraId="3A937EE6" w14:textId="7BE4AC8B" w:rsidR="00304F40" w:rsidRPr="00890249" w:rsidRDefault="0052724E">
            <w:pPr>
              <w:spacing w:before="0" w:after="160" w:line="259" w:lineRule="auto"/>
              <w:jc w:val="right"/>
              <w:rPr>
                <w:rFonts w:asciiTheme="minorHAnsi" w:eastAsia="Times New Roman" w:hAnsiTheme="minorHAnsi" w:cstheme="minorHAnsi"/>
                <w:iCs/>
                <w:noProof/>
                <w:sz w:val="20"/>
                <w:szCs w:val="22"/>
                <w:lang w:eastAsia="en-US" w:bidi="ar-SA"/>
              </w:rPr>
            </w:pPr>
            <w:r>
              <w:rPr>
                <w:rFonts w:asciiTheme="minorHAnsi" w:eastAsia="Times New Roman" w:hAnsiTheme="minorHAnsi" w:cstheme="minorHAnsi"/>
                <w:iCs/>
                <w:noProof/>
                <w:sz w:val="20"/>
                <w:szCs w:val="22"/>
                <w:lang w:eastAsia="en-US" w:bidi="ar-SA"/>
              </w:rPr>
              <w:t> </w:t>
            </w:r>
            <w:r>
              <w:rPr>
                <w:rFonts w:asciiTheme="minorHAnsi" w:eastAsia="Times New Roman" w:hAnsiTheme="minorHAnsi" w:cstheme="minorHAnsi"/>
                <w:iCs/>
                <w:noProof/>
                <w:sz w:val="20"/>
                <w:szCs w:val="22"/>
                <w:lang w:eastAsia="en-US" w:bidi="ar-SA"/>
              </w:rPr>
              <w:br/>
            </w:r>
            <w:r w:rsidR="000D6A11">
              <w:rPr>
                <w:rFonts w:asciiTheme="minorHAnsi" w:eastAsia="Times New Roman" w:hAnsiTheme="minorHAnsi" w:cstheme="minorHAnsi"/>
                <w:iCs/>
                <w:noProof/>
                <w:sz w:val="20"/>
                <w:szCs w:val="22"/>
                <w:lang w:eastAsia="en-US" w:bidi="ar-SA"/>
              </w:rPr>
              <w:t>57 217 734</w:t>
            </w:r>
          </w:p>
        </w:tc>
      </w:tr>
    </w:tbl>
    <w:p w14:paraId="5AA9EEDE" w14:textId="77777777" w:rsidR="00F823E7" w:rsidRDefault="00F823E7" w:rsidP="00890249">
      <w:pPr>
        <w:tabs>
          <w:tab w:val="center" w:pos="4536"/>
        </w:tabs>
        <w:rPr>
          <w:rFonts w:asciiTheme="minorHAnsi" w:hAnsiTheme="minorHAnsi" w:cstheme="minorHAnsi"/>
        </w:rPr>
      </w:pPr>
    </w:p>
    <w:p w14:paraId="0BA9B7BD" w14:textId="77777777" w:rsidR="00F823E7" w:rsidRDefault="00F823E7">
      <w:pPr>
        <w:spacing w:before="0" w:after="160" w:line="259" w:lineRule="auto"/>
        <w:jc w:val="left"/>
        <w:rPr>
          <w:rFonts w:asciiTheme="minorHAnsi" w:hAnsiTheme="minorHAnsi" w:cstheme="minorHAnsi"/>
        </w:rPr>
      </w:pPr>
      <w:r>
        <w:rPr>
          <w:rFonts w:asciiTheme="minorHAnsi" w:hAnsiTheme="minorHAnsi" w:cstheme="minorHAnsi"/>
        </w:rPr>
        <w:br w:type="page"/>
      </w:r>
    </w:p>
    <w:p w14:paraId="181F4EF4" w14:textId="2777FF99" w:rsidR="00DF520E" w:rsidRPr="00890249" w:rsidRDefault="00875C92" w:rsidP="00AC1BD0">
      <w:pPr>
        <w:pStyle w:val="Nagwek3"/>
        <w:rPr>
          <w:rFonts w:eastAsia="Calibri"/>
        </w:rPr>
      </w:pPr>
      <w:bookmarkStart w:id="20" w:name="_Toc188266915"/>
      <w:r w:rsidRPr="00890249">
        <w:rPr>
          <w:rFonts w:eastAsia="Calibri"/>
        </w:rPr>
        <w:lastRenderedPageBreak/>
        <w:t>2.</w:t>
      </w:r>
      <w:r w:rsidR="006C4D2A" w:rsidRPr="00890249">
        <w:rPr>
          <w:rFonts w:eastAsia="Calibri"/>
        </w:rPr>
        <w:t>1.</w:t>
      </w:r>
      <w:r w:rsidRPr="00890249">
        <w:rPr>
          <w:rFonts w:eastAsia="Calibri"/>
        </w:rPr>
        <w:t xml:space="preserve">8 </w:t>
      </w:r>
      <w:r w:rsidR="00186BBB" w:rsidRPr="00890249">
        <w:rPr>
          <w:rFonts w:eastAsia="Calibri"/>
        </w:rPr>
        <w:t>EUROPEJSKI BUDŻET DLA SPOŁECZEŃSTWA OPOLSKIEGO</w:t>
      </w:r>
      <w:bookmarkEnd w:id="20"/>
    </w:p>
    <w:tbl>
      <w:tblPr>
        <w:tblW w:w="9322" w:type="dxa"/>
        <w:tblLook w:val="04A0" w:firstRow="1" w:lastRow="0" w:firstColumn="1" w:lastColumn="0" w:noHBand="0" w:noVBand="1"/>
      </w:tblPr>
      <w:tblGrid>
        <w:gridCol w:w="9322"/>
      </w:tblGrid>
      <w:tr w:rsidR="00DF520E" w:rsidRPr="00890249" w14:paraId="0A33AE58" w14:textId="77777777" w:rsidTr="00DF520E">
        <w:tc>
          <w:tcPr>
            <w:tcW w:w="9322" w:type="dxa"/>
          </w:tcPr>
          <w:p w14:paraId="0424934D" w14:textId="77777777" w:rsidR="00DF520E" w:rsidRPr="00890249" w:rsidRDefault="00875C92" w:rsidP="00DF520E">
            <w:pPr>
              <w:spacing w:before="0" w:after="0" w:line="259" w:lineRule="auto"/>
              <w:jc w:val="left"/>
              <w:rPr>
                <w:rFonts w:asciiTheme="minorHAnsi" w:eastAsiaTheme="minorHAnsi" w:hAnsiTheme="minorHAnsi" w:cstheme="minorHAnsi"/>
                <w:sz w:val="20"/>
                <w:lang w:eastAsia="en-US"/>
              </w:rPr>
            </w:pPr>
            <w:r w:rsidRPr="00890249">
              <w:rPr>
                <w:rFonts w:asciiTheme="minorHAnsi" w:eastAsiaTheme="minorHAnsi" w:hAnsiTheme="minorHAnsi" w:cstheme="minorHAnsi"/>
                <w:sz w:val="20"/>
                <w:lang w:eastAsia="en-US"/>
              </w:rPr>
              <w:fldChar w:fldCharType="begin">
                <w:ffData>
                  <w:name w:val=""/>
                  <w:enabled/>
                  <w:calcOnExit w:val="0"/>
                  <w:checkBox>
                    <w:sizeAuto/>
                    <w:default w:val="0"/>
                  </w:checkBox>
                </w:ffData>
              </w:fldChar>
            </w:r>
            <w:r w:rsidR="00DF520E" w:rsidRPr="00890249">
              <w:rPr>
                <w:rFonts w:asciiTheme="minorHAnsi" w:eastAsiaTheme="minorHAnsi" w:hAnsiTheme="minorHAnsi" w:cstheme="minorHAnsi"/>
                <w:sz w:val="20"/>
                <w:lang w:eastAsia="en-US"/>
              </w:rPr>
              <w:instrText xml:space="preserve"> FORMCHECKBOX </w:instrText>
            </w:r>
            <w:r w:rsidRPr="00890249">
              <w:rPr>
                <w:rFonts w:asciiTheme="minorHAnsi" w:eastAsiaTheme="minorHAnsi" w:hAnsiTheme="minorHAnsi" w:cstheme="minorHAnsi"/>
                <w:sz w:val="20"/>
                <w:lang w:eastAsia="en-US"/>
              </w:rPr>
            </w:r>
            <w:r w:rsidRPr="00890249">
              <w:rPr>
                <w:rFonts w:asciiTheme="minorHAnsi" w:eastAsiaTheme="minorHAnsi" w:hAnsiTheme="minorHAnsi" w:cstheme="minorHAnsi"/>
                <w:sz w:val="20"/>
                <w:lang w:eastAsia="en-US"/>
              </w:rPr>
              <w:fldChar w:fldCharType="separate"/>
            </w:r>
            <w:r w:rsidRPr="00890249">
              <w:rPr>
                <w:rFonts w:asciiTheme="minorHAnsi" w:eastAsiaTheme="minorHAnsi" w:hAnsiTheme="minorHAnsi" w:cstheme="minorHAnsi"/>
                <w:sz w:val="20"/>
                <w:lang w:eastAsia="en-US" w:bidi="ar-SA"/>
              </w:rPr>
              <w:fldChar w:fldCharType="end"/>
            </w:r>
            <w:r w:rsidR="00DF520E" w:rsidRPr="00890249">
              <w:rPr>
                <w:rFonts w:asciiTheme="minorHAnsi" w:eastAsiaTheme="minorHAnsi" w:hAnsiTheme="minorHAnsi" w:cstheme="minorHAnsi"/>
                <w:sz w:val="20"/>
                <w:lang w:eastAsia="en-US"/>
              </w:rPr>
              <w:t xml:space="preserve"> Ten priorytet dotyczy zatrudnienia ludzi młodych</w:t>
            </w:r>
          </w:p>
        </w:tc>
      </w:tr>
      <w:tr w:rsidR="00DF520E" w:rsidRPr="00890249" w14:paraId="45E52BBC" w14:textId="77777777" w:rsidTr="00DF520E">
        <w:tc>
          <w:tcPr>
            <w:tcW w:w="9322" w:type="dxa"/>
          </w:tcPr>
          <w:p w14:paraId="7BB41060" w14:textId="77777777" w:rsidR="00DF520E" w:rsidRPr="00890249" w:rsidRDefault="00875C92" w:rsidP="00DF520E">
            <w:pPr>
              <w:spacing w:before="0" w:after="0" w:line="259" w:lineRule="auto"/>
              <w:jc w:val="left"/>
              <w:rPr>
                <w:rFonts w:asciiTheme="minorHAnsi" w:eastAsiaTheme="minorHAnsi" w:hAnsiTheme="minorHAnsi" w:cstheme="minorHAnsi"/>
                <w:sz w:val="20"/>
                <w:lang w:eastAsia="en-US"/>
              </w:rPr>
            </w:pPr>
            <w:r w:rsidRPr="00890249">
              <w:rPr>
                <w:rFonts w:asciiTheme="minorHAnsi" w:eastAsiaTheme="minorHAnsi" w:hAnsiTheme="minorHAnsi" w:cstheme="minorHAnsi"/>
                <w:sz w:val="20"/>
                <w:lang w:eastAsia="en-US"/>
              </w:rPr>
              <w:fldChar w:fldCharType="begin">
                <w:ffData>
                  <w:name w:val="Check2"/>
                  <w:enabled/>
                  <w:calcOnExit w:val="0"/>
                  <w:checkBox>
                    <w:sizeAuto/>
                    <w:default w:val="0"/>
                  </w:checkBox>
                </w:ffData>
              </w:fldChar>
            </w:r>
            <w:r w:rsidR="00DF520E" w:rsidRPr="00890249">
              <w:rPr>
                <w:rFonts w:asciiTheme="minorHAnsi" w:eastAsiaTheme="minorHAnsi" w:hAnsiTheme="minorHAnsi" w:cstheme="minorHAnsi"/>
                <w:sz w:val="20"/>
                <w:lang w:eastAsia="en-US"/>
              </w:rPr>
              <w:instrText xml:space="preserve"> FORMCHECKBOX </w:instrText>
            </w:r>
            <w:r w:rsidRPr="00890249">
              <w:rPr>
                <w:rFonts w:asciiTheme="minorHAnsi" w:eastAsiaTheme="minorHAnsi" w:hAnsiTheme="minorHAnsi" w:cstheme="minorHAnsi"/>
                <w:sz w:val="20"/>
                <w:lang w:eastAsia="en-US"/>
              </w:rPr>
            </w:r>
            <w:r w:rsidRPr="00890249">
              <w:rPr>
                <w:rFonts w:asciiTheme="minorHAnsi" w:eastAsiaTheme="minorHAnsi" w:hAnsiTheme="minorHAnsi" w:cstheme="minorHAnsi"/>
                <w:sz w:val="20"/>
                <w:lang w:eastAsia="en-US"/>
              </w:rPr>
              <w:fldChar w:fldCharType="separate"/>
            </w:r>
            <w:r w:rsidRPr="00890249">
              <w:rPr>
                <w:rFonts w:asciiTheme="minorHAnsi" w:eastAsiaTheme="minorHAnsi" w:hAnsiTheme="minorHAnsi" w:cstheme="minorHAnsi"/>
                <w:sz w:val="20"/>
                <w:lang w:eastAsia="en-US" w:bidi="ar-SA"/>
              </w:rPr>
              <w:fldChar w:fldCharType="end"/>
            </w:r>
            <w:r w:rsidR="00DF520E" w:rsidRPr="00890249">
              <w:rPr>
                <w:rFonts w:asciiTheme="minorHAnsi" w:eastAsiaTheme="minorHAnsi" w:hAnsiTheme="minorHAnsi" w:cstheme="minorHAnsi"/>
                <w:sz w:val="20"/>
                <w:lang w:eastAsia="en-US"/>
              </w:rPr>
              <w:t xml:space="preserve"> Ten priorytet dotyczy innowacyjnych działań społecznych</w:t>
            </w:r>
          </w:p>
        </w:tc>
      </w:tr>
      <w:tr w:rsidR="00DF520E" w:rsidRPr="00890249" w14:paraId="3679C22A" w14:textId="77777777" w:rsidTr="00DF520E">
        <w:tc>
          <w:tcPr>
            <w:tcW w:w="9322" w:type="dxa"/>
          </w:tcPr>
          <w:p w14:paraId="03CBA4B1" w14:textId="77777777" w:rsidR="00DF520E" w:rsidRPr="00890249" w:rsidRDefault="00875C92" w:rsidP="00DF520E">
            <w:pPr>
              <w:spacing w:before="0" w:after="0" w:line="259" w:lineRule="auto"/>
              <w:rPr>
                <w:rFonts w:asciiTheme="minorHAnsi" w:eastAsiaTheme="minorHAnsi" w:hAnsiTheme="minorHAnsi" w:cstheme="minorHAnsi"/>
                <w:sz w:val="20"/>
                <w:lang w:eastAsia="en-US"/>
              </w:rPr>
            </w:pPr>
            <w:r w:rsidRPr="00890249">
              <w:rPr>
                <w:rFonts w:asciiTheme="minorHAnsi" w:eastAsiaTheme="minorHAnsi" w:hAnsiTheme="minorHAnsi" w:cstheme="minorHAnsi"/>
                <w:sz w:val="20"/>
                <w:lang w:eastAsia="en-US"/>
              </w:rPr>
              <w:fldChar w:fldCharType="begin">
                <w:ffData>
                  <w:name w:val="Check2"/>
                  <w:enabled/>
                  <w:calcOnExit w:val="0"/>
                  <w:checkBox>
                    <w:sizeAuto/>
                    <w:default w:val="0"/>
                  </w:checkBox>
                </w:ffData>
              </w:fldChar>
            </w:r>
            <w:r w:rsidR="00DF520E" w:rsidRPr="00890249">
              <w:rPr>
                <w:rFonts w:asciiTheme="minorHAnsi" w:eastAsiaTheme="minorHAnsi" w:hAnsiTheme="minorHAnsi" w:cstheme="minorHAnsi"/>
                <w:sz w:val="20"/>
                <w:lang w:eastAsia="en-US"/>
              </w:rPr>
              <w:instrText xml:space="preserve"> FORMCHECKBOX </w:instrText>
            </w:r>
            <w:r w:rsidRPr="00890249">
              <w:rPr>
                <w:rFonts w:asciiTheme="minorHAnsi" w:eastAsiaTheme="minorHAnsi" w:hAnsiTheme="minorHAnsi" w:cstheme="minorHAnsi"/>
                <w:sz w:val="20"/>
                <w:lang w:eastAsia="en-US"/>
              </w:rPr>
            </w:r>
            <w:r w:rsidRPr="00890249">
              <w:rPr>
                <w:rFonts w:asciiTheme="minorHAnsi" w:eastAsiaTheme="minorHAnsi" w:hAnsiTheme="minorHAnsi" w:cstheme="minorHAnsi"/>
                <w:sz w:val="20"/>
                <w:lang w:eastAsia="en-US"/>
              </w:rPr>
              <w:fldChar w:fldCharType="separate"/>
            </w:r>
            <w:r w:rsidRPr="00890249">
              <w:rPr>
                <w:rFonts w:asciiTheme="minorHAnsi" w:eastAsiaTheme="minorHAnsi" w:hAnsiTheme="minorHAnsi" w:cstheme="minorHAnsi"/>
                <w:sz w:val="20"/>
                <w:lang w:eastAsia="en-US" w:bidi="ar-SA"/>
              </w:rPr>
              <w:fldChar w:fldCharType="end"/>
            </w:r>
            <w:r w:rsidR="00DF520E" w:rsidRPr="00890249">
              <w:rPr>
                <w:rFonts w:asciiTheme="minorHAnsi" w:eastAsiaTheme="minorHAnsi" w:hAnsiTheme="minorHAnsi" w:cstheme="minorHAnsi"/>
                <w:sz w:val="20"/>
                <w:lang w:eastAsia="en-US"/>
              </w:rPr>
              <w:t xml:space="preserve"> Ten priorytet dotyczy wsparcia dla osób najbardziej potrzebujących w ramach celu szczegółowego określonego w art. 4 ust. 1 lit. m) rozporządzenia w sprawie EFS+</w:t>
            </w:r>
          </w:p>
        </w:tc>
      </w:tr>
      <w:tr w:rsidR="00974503" w:rsidRPr="00890249" w14:paraId="3BF43033" w14:textId="77777777" w:rsidTr="007747A3">
        <w:tc>
          <w:tcPr>
            <w:tcW w:w="9322" w:type="dxa"/>
          </w:tcPr>
          <w:p w14:paraId="47A48EA8" w14:textId="77777777" w:rsidR="00974503" w:rsidRPr="00890249" w:rsidRDefault="00974503" w:rsidP="007747A3">
            <w:pPr>
              <w:spacing w:before="0" w:after="0" w:line="259" w:lineRule="auto"/>
              <w:rPr>
                <w:rFonts w:asciiTheme="minorHAnsi" w:eastAsiaTheme="minorHAnsi" w:hAnsiTheme="minorHAnsi" w:cstheme="minorHAnsi"/>
                <w:sz w:val="20"/>
                <w:lang w:eastAsia="en-US"/>
              </w:rPr>
            </w:pPr>
            <w:r w:rsidRPr="00890249">
              <w:rPr>
                <w:rFonts w:asciiTheme="minorHAnsi" w:eastAsiaTheme="minorHAnsi" w:hAnsiTheme="minorHAnsi" w:cstheme="minorHAnsi"/>
                <w:sz w:val="20"/>
                <w:lang w:eastAsia="en-US"/>
              </w:rPr>
              <w:fldChar w:fldCharType="begin">
                <w:ffData>
                  <w:name w:val="Check2"/>
                  <w:enabled/>
                  <w:calcOnExit w:val="0"/>
                  <w:checkBox>
                    <w:sizeAuto/>
                    <w:default w:val="0"/>
                  </w:checkBox>
                </w:ffData>
              </w:fldChar>
            </w:r>
            <w:r w:rsidRPr="00890249">
              <w:rPr>
                <w:rFonts w:asciiTheme="minorHAnsi" w:eastAsiaTheme="minorHAnsi" w:hAnsiTheme="minorHAnsi" w:cstheme="minorHAnsi"/>
                <w:sz w:val="20"/>
                <w:lang w:eastAsia="en-US"/>
              </w:rPr>
              <w:instrText xml:space="preserve"> FORMCHECKBOX </w:instrText>
            </w:r>
            <w:r w:rsidRPr="00890249">
              <w:rPr>
                <w:rFonts w:asciiTheme="minorHAnsi" w:eastAsiaTheme="minorHAnsi" w:hAnsiTheme="minorHAnsi" w:cstheme="minorHAnsi"/>
                <w:sz w:val="20"/>
                <w:lang w:eastAsia="en-US"/>
              </w:rPr>
            </w:r>
            <w:r w:rsidRPr="00890249">
              <w:rPr>
                <w:rFonts w:asciiTheme="minorHAnsi" w:eastAsiaTheme="minorHAnsi" w:hAnsiTheme="minorHAnsi" w:cstheme="minorHAnsi"/>
                <w:sz w:val="20"/>
                <w:lang w:eastAsia="en-US"/>
              </w:rPr>
              <w:fldChar w:fldCharType="separate"/>
            </w:r>
            <w:r w:rsidRPr="00890249">
              <w:rPr>
                <w:rFonts w:asciiTheme="minorHAnsi" w:eastAsiaTheme="minorHAnsi" w:hAnsiTheme="minorHAnsi" w:cstheme="minorHAnsi"/>
                <w:sz w:val="20"/>
                <w:lang w:eastAsia="en-US" w:bidi="ar-SA"/>
              </w:rPr>
              <w:fldChar w:fldCharType="end"/>
            </w:r>
            <w:r w:rsidRPr="00890249">
              <w:rPr>
                <w:rFonts w:asciiTheme="minorHAnsi" w:eastAsiaTheme="minorHAnsi" w:hAnsiTheme="minorHAnsi" w:cstheme="minorHAnsi"/>
                <w:sz w:val="20"/>
                <w:lang w:eastAsia="en-US"/>
              </w:rPr>
              <w:t xml:space="preserve"> Ten priorytet dotyczy wsparcia dla osób najbardziej potrzebujących w ramach celu szczegółowego określonego w art. 4 ust. 1 lit. l) rozporządzenia w sprawie EFS+</w:t>
            </w:r>
          </w:p>
          <w:p w14:paraId="0F01A6B0" w14:textId="77777777" w:rsidR="00974503" w:rsidRPr="00890249" w:rsidRDefault="00974503" w:rsidP="007747A3">
            <w:pPr>
              <w:spacing w:before="0" w:after="0" w:line="259" w:lineRule="auto"/>
              <w:rPr>
                <w:rFonts w:asciiTheme="minorHAnsi" w:eastAsiaTheme="minorHAnsi" w:hAnsiTheme="minorHAnsi" w:cstheme="minorHAnsi"/>
                <w:sz w:val="20"/>
                <w:lang w:eastAsia="en-US"/>
              </w:rPr>
            </w:pPr>
            <w:r w:rsidRPr="00890249">
              <w:rPr>
                <w:rFonts w:asciiTheme="minorHAnsi" w:eastAsiaTheme="minorHAnsi" w:hAnsiTheme="minorHAnsi" w:cstheme="minorHAnsi"/>
                <w:sz w:val="20"/>
                <w:lang w:eastAsia="en-US"/>
              </w:rPr>
              <w:fldChar w:fldCharType="begin">
                <w:ffData>
                  <w:name w:val="Check2"/>
                  <w:enabled/>
                  <w:calcOnExit w:val="0"/>
                  <w:checkBox>
                    <w:sizeAuto/>
                    <w:default w:val="0"/>
                  </w:checkBox>
                </w:ffData>
              </w:fldChar>
            </w:r>
            <w:r w:rsidRPr="00890249">
              <w:rPr>
                <w:rFonts w:asciiTheme="minorHAnsi" w:eastAsiaTheme="minorHAnsi" w:hAnsiTheme="minorHAnsi" w:cstheme="minorHAnsi"/>
                <w:sz w:val="20"/>
                <w:lang w:eastAsia="en-US"/>
              </w:rPr>
              <w:instrText xml:space="preserve"> FORMCHECKBOX </w:instrText>
            </w:r>
            <w:r w:rsidRPr="00890249">
              <w:rPr>
                <w:rFonts w:asciiTheme="minorHAnsi" w:eastAsiaTheme="minorHAnsi" w:hAnsiTheme="minorHAnsi" w:cstheme="minorHAnsi"/>
                <w:sz w:val="20"/>
                <w:lang w:eastAsia="en-US"/>
              </w:rPr>
            </w:r>
            <w:r w:rsidRPr="00890249">
              <w:rPr>
                <w:rFonts w:asciiTheme="minorHAnsi" w:eastAsiaTheme="minorHAnsi" w:hAnsiTheme="minorHAnsi" w:cstheme="minorHAnsi"/>
                <w:sz w:val="20"/>
                <w:lang w:eastAsia="en-US"/>
              </w:rPr>
              <w:fldChar w:fldCharType="separate"/>
            </w:r>
            <w:r w:rsidRPr="00890249">
              <w:rPr>
                <w:rFonts w:asciiTheme="minorHAnsi" w:eastAsiaTheme="minorHAnsi" w:hAnsiTheme="minorHAnsi" w:cstheme="minorHAnsi"/>
                <w:sz w:val="20"/>
                <w:lang w:eastAsia="en-US" w:bidi="ar-SA"/>
              </w:rPr>
              <w:fldChar w:fldCharType="end"/>
            </w:r>
            <w:r w:rsidRPr="00890249">
              <w:rPr>
                <w:rFonts w:asciiTheme="minorHAnsi" w:eastAsiaTheme="minorHAnsi" w:hAnsiTheme="minorHAnsi" w:cstheme="minorHAnsi"/>
                <w:sz w:val="20"/>
                <w:lang w:eastAsia="en-US"/>
              </w:rPr>
              <w:t xml:space="preserve"> Ten priorytet dotyczy celu szczegółowego w zakresie mobilności miejskiej określonego w art. 3 ust. 1 lit. b) ppkt (viii) rozporządzenia w sprawie EFRR i Funduszu Spójności</w:t>
            </w:r>
          </w:p>
          <w:p w14:paraId="4D6477BE" w14:textId="77777777" w:rsidR="00974503" w:rsidRPr="00890249" w:rsidRDefault="00974503" w:rsidP="007747A3">
            <w:pPr>
              <w:spacing w:before="0" w:after="0" w:line="259" w:lineRule="auto"/>
              <w:rPr>
                <w:rFonts w:asciiTheme="minorHAnsi" w:eastAsiaTheme="minorHAnsi" w:hAnsiTheme="minorHAnsi" w:cstheme="minorHAnsi"/>
                <w:sz w:val="20"/>
                <w:lang w:eastAsia="en-US"/>
              </w:rPr>
            </w:pPr>
            <w:r w:rsidRPr="00890249">
              <w:rPr>
                <w:rFonts w:asciiTheme="minorHAnsi" w:eastAsiaTheme="minorHAnsi" w:hAnsiTheme="minorHAnsi" w:cstheme="minorHAnsi"/>
                <w:sz w:val="20"/>
                <w:lang w:eastAsia="en-US"/>
              </w:rPr>
              <w:fldChar w:fldCharType="begin">
                <w:ffData>
                  <w:name w:val="Check2"/>
                  <w:enabled/>
                  <w:calcOnExit w:val="0"/>
                  <w:checkBox>
                    <w:sizeAuto/>
                    <w:default w:val="0"/>
                  </w:checkBox>
                </w:ffData>
              </w:fldChar>
            </w:r>
            <w:r w:rsidRPr="00890249">
              <w:rPr>
                <w:rFonts w:asciiTheme="minorHAnsi" w:eastAsiaTheme="minorHAnsi" w:hAnsiTheme="minorHAnsi" w:cstheme="minorHAnsi"/>
                <w:sz w:val="20"/>
                <w:lang w:eastAsia="en-US"/>
              </w:rPr>
              <w:instrText xml:space="preserve"> FORMCHECKBOX </w:instrText>
            </w:r>
            <w:r w:rsidRPr="00890249">
              <w:rPr>
                <w:rFonts w:asciiTheme="minorHAnsi" w:eastAsiaTheme="minorHAnsi" w:hAnsiTheme="minorHAnsi" w:cstheme="minorHAnsi"/>
                <w:sz w:val="20"/>
                <w:lang w:eastAsia="en-US"/>
              </w:rPr>
            </w:r>
            <w:r w:rsidRPr="00890249">
              <w:rPr>
                <w:rFonts w:asciiTheme="minorHAnsi" w:eastAsiaTheme="minorHAnsi" w:hAnsiTheme="minorHAnsi" w:cstheme="minorHAnsi"/>
                <w:sz w:val="20"/>
                <w:lang w:eastAsia="en-US"/>
              </w:rPr>
              <w:fldChar w:fldCharType="separate"/>
            </w:r>
            <w:r w:rsidRPr="00890249">
              <w:rPr>
                <w:rFonts w:asciiTheme="minorHAnsi" w:eastAsiaTheme="minorHAnsi" w:hAnsiTheme="minorHAnsi" w:cstheme="minorHAnsi"/>
                <w:sz w:val="20"/>
                <w:lang w:eastAsia="en-US" w:bidi="ar-SA"/>
              </w:rPr>
              <w:fldChar w:fldCharType="end"/>
            </w:r>
            <w:r w:rsidRPr="00890249">
              <w:rPr>
                <w:rFonts w:asciiTheme="minorHAnsi" w:eastAsiaTheme="minorHAnsi" w:hAnsiTheme="minorHAnsi" w:cstheme="minorHAnsi"/>
                <w:sz w:val="20"/>
                <w:lang w:eastAsia="en-US"/>
              </w:rPr>
              <w:t xml:space="preserve"> Ten priorytet dotyczy celu szczegółowego w zakresie łączności cyfrowej określonej w art. 3 ust. 1 lit. a) ppkt (v) rozporządzenia w sprawie EFRR i Funduszu Spójności</w:t>
            </w:r>
          </w:p>
          <w:p w14:paraId="539D8E84" w14:textId="77777777" w:rsidR="00974503" w:rsidRPr="00890249" w:rsidRDefault="00974503" w:rsidP="007747A3">
            <w:pPr>
              <w:spacing w:before="0" w:after="0" w:line="259" w:lineRule="auto"/>
              <w:rPr>
                <w:rFonts w:asciiTheme="minorHAnsi" w:eastAsiaTheme="minorHAnsi" w:hAnsiTheme="minorHAnsi" w:cstheme="minorHAnsi"/>
                <w:sz w:val="20"/>
                <w:lang w:eastAsia="en-US"/>
              </w:rPr>
            </w:pPr>
          </w:p>
          <w:p w14:paraId="5E714F18" w14:textId="77777777" w:rsidR="00974503" w:rsidRPr="00890249" w:rsidRDefault="00974503" w:rsidP="007747A3">
            <w:pPr>
              <w:shd w:val="clear" w:color="auto" w:fill="D0CECE" w:themeFill="background2" w:themeFillShade="E6"/>
              <w:spacing w:before="240" w:after="240"/>
              <w:rPr>
                <w:rFonts w:asciiTheme="minorHAnsi" w:hAnsiTheme="minorHAnsi" w:cstheme="minorHAnsi"/>
                <w:b/>
                <w:noProof/>
              </w:rPr>
            </w:pPr>
            <w:r w:rsidRPr="00890249">
              <w:rPr>
                <w:rFonts w:asciiTheme="minorHAnsi" w:hAnsiTheme="minorHAnsi" w:cstheme="minorHAnsi"/>
                <w:b/>
                <w:noProof/>
              </w:rPr>
              <w:t>2.1.8.1 (…) Cel szczegółowy</w:t>
            </w:r>
          </w:p>
        </w:tc>
      </w:tr>
    </w:tbl>
    <w:p w14:paraId="21E9DE42" w14:textId="3BAC029A" w:rsidR="00974503" w:rsidRPr="00890249" w:rsidRDefault="00974503" w:rsidP="009F296A">
      <w:pPr>
        <w:pStyle w:val="Akapitzlist"/>
        <w:numPr>
          <w:ilvl w:val="0"/>
          <w:numId w:val="170"/>
        </w:numPr>
        <w:ind w:left="0" w:firstLine="0"/>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rPr>
        <w:t>Poprawa dostępu do zatrudnienia i działań aktywizujących dla wszystkich osób poszukujących pracy, w szczególności osób młodych, zwłaszcza poprzez wdrażanie gwarancji dla młodzieży, długotrwale bezrobotny</w:t>
      </w:r>
      <w:r w:rsidR="009D5BAA">
        <w:rPr>
          <w:rFonts w:asciiTheme="minorHAnsi" w:hAnsiTheme="minorHAnsi" w:cstheme="minorHAnsi"/>
          <w:b/>
          <w:noProof/>
          <w:color w:val="2F5496" w:themeColor="accent5" w:themeShade="BF"/>
        </w:rPr>
        <w:t>ch oraz grup znajdujących się w </w:t>
      </w:r>
      <w:r w:rsidRPr="00890249">
        <w:rPr>
          <w:rFonts w:asciiTheme="minorHAnsi" w:hAnsiTheme="minorHAnsi" w:cstheme="minorHAnsi"/>
          <w:b/>
          <w:noProof/>
          <w:color w:val="2F5496" w:themeColor="accent5" w:themeShade="BF"/>
        </w:rPr>
        <w:t>niekorzystnej sytuacji na rynku pracy, jak również</w:t>
      </w:r>
      <w:r w:rsidR="009D5BAA">
        <w:rPr>
          <w:rFonts w:asciiTheme="minorHAnsi" w:hAnsiTheme="minorHAnsi" w:cstheme="minorHAnsi"/>
          <w:b/>
          <w:noProof/>
          <w:color w:val="2F5496" w:themeColor="accent5" w:themeShade="BF"/>
        </w:rPr>
        <w:t xml:space="preserve">  dla osób biernych zawodowo, a </w:t>
      </w:r>
      <w:r w:rsidRPr="00890249">
        <w:rPr>
          <w:rFonts w:asciiTheme="minorHAnsi" w:hAnsiTheme="minorHAnsi" w:cstheme="minorHAnsi"/>
          <w:b/>
          <w:noProof/>
          <w:color w:val="2F5496" w:themeColor="accent5" w:themeShade="BF"/>
        </w:rPr>
        <w:t>także poprzez promowanie samozatrudnienia i ekonomii społecznej</w:t>
      </w:r>
    </w:p>
    <w:p w14:paraId="2C4BBC5B" w14:textId="258329F6" w:rsidR="0079381F" w:rsidRPr="00890249" w:rsidRDefault="0079381F" w:rsidP="0079381F">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rPr>
        <w:t>(c)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240059A1" w14:textId="77777777" w:rsidR="00974503" w:rsidRPr="00890249" w:rsidDel="00BB20B9" w:rsidRDefault="00974503" w:rsidP="00974503">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rPr>
        <w:t xml:space="preserve">(f)  </w:t>
      </w:r>
      <w:r w:rsidRPr="00890249" w:rsidDel="00BB20B9">
        <w:rPr>
          <w:rFonts w:asciiTheme="minorHAnsi" w:hAnsiTheme="minorHAnsi" w:cstheme="minorHAnsi"/>
          <w:b/>
          <w:noProof/>
          <w:color w:val="2F5496" w:themeColor="accent5" w:themeShade="BF"/>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C7B2C30" w14:textId="77777777" w:rsidR="00974503" w:rsidRPr="00890249" w:rsidDel="00BB20B9" w:rsidRDefault="00974503" w:rsidP="00974503">
      <w:pPr>
        <w:rPr>
          <w:rFonts w:asciiTheme="minorHAnsi" w:hAnsiTheme="minorHAnsi" w:cstheme="minorHAnsi"/>
          <w:b/>
          <w:noProof/>
          <w:color w:val="2F5496" w:themeColor="accent5" w:themeShade="BF"/>
        </w:rPr>
      </w:pPr>
      <w:r w:rsidRPr="00890249" w:rsidDel="00BB20B9">
        <w:rPr>
          <w:rFonts w:asciiTheme="minorHAnsi" w:hAnsiTheme="minorHAnsi" w:cstheme="minorHAnsi"/>
          <w:b/>
          <w:noProof/>
          <w:color w:val="2F5496" w:themeColor="accent5" w:themeShade="BF"/>
        </w:rPr>
        <w:t xml:space="preserve">(g)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zawodoweji wspieranie mobilności zawodowej </w:t>
      </w:r>
    </w:p>
    <w:p w14:paraId="5C5AF7D7" w14:textId="77777777" w:rsidR="00974503" w:rsidRPr="00890249" w:rsidRDefault="00974503" w:rsidP="00974503">
      <w:pPr>
        <w:rPr>
          <w:rFonts w:asciiTheme="minorHAnsi" w:hAnsiTheme="minorHAnsi" w:cstheme="minorHAnsi"/>
          <w:b/>
          <w:noProof/>
          <w:color w:val="2F5496" w:themeColor="accent5" w:themeShade="BF"/>
        </w:rPr>
      </w:pPr>
      <w:r w:rsidRPr="00890249" w:rsidDel="00BB20B9">
        <w:rPr>
          <w:rFonts w:asciiTheme="minorHAnsi" w:hAnsiTheme="minorHAnsi" w:cstheme="minorHAnsi"/>
          <w:b/>
          <w:noProof/>
          <w:color w:val="2F5496" w:themeColor="accent5" w:themeShade="BF"/>
        </w:rPr>
        <w:t>(h) Wspieranie aktywnego włączenia społecznego w celu promowania równości szans, niedyskryminacji i aktywnego uczestnictwa, oraz zwiększanie zdolności do zatrudnienia, w szczególności grup w niekorzystnej sytuacji</w:t>
      </w:r>
    </w:p>
    <w:p w14:paraId="28E2DB1C" w14:textId="77777777" w:rsidR="00974503" w:rsidRPr="00890249" w:rsidDel="00BB20B9" w:rsidRDefault="00974503" w:rsidP="00974503">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rPr>
        <w:t>(i) Wspieranie integracji społeczno-gospodarczej obywateli państw trzecich, w tym migrantów</w:t>
      </w:r>
    </w:p>
    <w:p w14:paraId="21FC7925" w14:textId="77777777" w:rsidR="00974503" w:rsidRPr="00890249" w:rsidDel="00BB20B9" w:rsidRDefault="00974503" w:rsidP="00974503">
      <w:pPr>
        <w:rPr>
          <w:rFonts w:asciiTheme="minorHAnsi" w:hAnsiTheme="minorHAnsi" w:cstheme="minorHAnsi"/>
          <w:b/>
          <w:noProof/>
          <w:color w:val="2F5496" w:themeColor="accent5" w:themeShade="BF"/>
        </w:rPr>
      </w:pPr>
      <w:r w:rsidRPr="00890249" w:rsidDel="00BB20B9">
        <w:rPr>
          <w:rFonts w:asciiTheme="minorHAnsi" w:hAnsiTheme="minorHAnsi" w:cstheme="minorHAnsi"/>
          <w:b/>
          <w:noProof/>
          <w:color w:val="2F5496" w:themeColor="accent5" w:themeShade="BF"/>
        </w:rPr>
        <w:t xml:space="preserve">(k)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szczególnych uwzględnieniem dzieci i grup w niekorzystnej sytuacji; poprawa dostępności, w tym dla osób </w:t>
      </w:r>
      <w:r w:rsidRPr="00890249" w:rsidDel="00BB20B9">
        <w:rPr>
          <w:rFonts w:asciiTheme="minorHAnsi" w:hAnsiTheme="minorHAnsi" w:cstheme="minorHAnsi"/>
          <w:b/>
          <w:noProof/>
          <w:color w:val="2F5496" w:themeColor="accent5" w:themeShade="BF"/>
        </w:rPr>
        <w:lastRenderedPageBreak/>
        <w:t>z niepełnosprawnościami, skuteczności i odporności systemów ochrony zdrowia i usług opieki długoterminowej</w:t>
      </w:r>
    </w:p>
    <w:p w14:paraId="6DC04E37" w14:textId="77777777" w:rsidR="00974503" w:rsidRPr="00890249" w:rsidDel="00BB20B9" w:rsidRDefault="00974503" w:rsidP="00974503">
      <w:pPr>
        <w:rPr>
          <w:rFonts w:asciiTheme="minorHAnsi" w:hAnsiTheme="minorHAnsi" w:cstheme="minorHAnsi"/>
          <w:b/>
          <w:noProof/>
          <w:color w:val="2F5496" w:themeColor="accent5" w:themeShade="BF"/>
          <w:szCs w:val="22"/>
        </w:rPr>
      </w:pPr>
      <w:r w:rsidRPr="00890249" w:rsidDel="00BB20B9">
        <w:rPr>
          <w:rFonts w:asciiTheme="minorHAnsi" w:hAnsiTheme="minorHAnsi" w:cstheme="minorHAnsi"/>
          <w:b/>
          <w:noProof/>
          <w:color w:val="2F5496" w:themeColor="accent5" w:themeShade="BF"/>
          <w:szCs w:val="22"/>
        </w:rPr>
        <w:t xml:space="preserve">(l) Wspieranie integracji społecznej osób zagrożonych ubóstwem lub wykluczeniem społecznym, w tym osób najbardziej potrzebujących i dzieci </w:t>
      </w:r>
    </w:p>
    <w:p w14:paraId="058582A7" w14:textId="77777777" w:rsidR="00974503" w:rsidRPr="00890249" w:rsidDel="00BB20B9" w:rsidRDefault="00974503" w:rsidP="00974503">
      <w:pPr>
        <w:rPr>
          <w:rFonts w:asciiTheme="minorHAnsi" w:hAnsiTheme="minorHAnsi" w:cstheme="minorHAnsi"/>
          <w:b/>
          <w:noProof/>
          <w:sz w:val="22"/>
        </w:rPr>
      </w:pPr>
      <w:r w:rsidRPr="00890249" w:rsidDel="00BB20B9">
        <w:rPr>
          <w:rFonts w:asciiTheme="minorHAnsi" w:hAnsiTheme="minorHAnsi" w:cstheme="minorHAnsi"/>
          <w:b/>
          <w:noProof/>
          <w:sz w:val="22"/>
        </w:rPr>
        <w:t>2.</w:t>
      </w:r>
      <w:r w:rsidRPr="00890249">
        <w:rPr>
          <w:rFonts w:asciiTheme="minorHAnsi" w:hAnsiTheme="minorHAnsi" w:cstheme="minorHAnsi"/>
          <w:b/>
          <w:noProof/>
          <w:sz w:val="22"/>
        </w:rPr>
        <w:t>1.8</w:t>
      </w:r>
      <w:r w:rsidRPr="00890249" w:rsidDel="00BB20B9">
        <w:rPr>
          <w:rFonts w:asciiTheme="minorHAnsi" w:hAnsiTheme="minorHAnsi" w:cstheme="minorHAnsi"/>
          <w:b/>
          <w:noProof/>
          <w:sz w:val="22"/>
        </w:rPr>
        <w:t>.1.1 (…) Interwencje w ramach funduszy</w:t>
      </w:r>
    </w:p>
    <w:p w14:paraId="6DF1FF15" w14:textId="77777777" w:rsidR="00974503" w:rsidRPr="00890249" w:rsidDel="00BB20B9" w:rsidRDefault="00974503" w:rsidP="00974503">
      <w:pPr>
        <w:rPr>
          <w:rFonts w:asciiTheme="minorHAnsi" w:hAnsiTheme="minorHAnsi" w:cstheme="minorHAnsi"/>
          <w:b/>
          <w:noProof/>
          <w:color w:val="2F5496" w:themeColor="accent5" w:themeShade="BF"/>
          <w:sz w:val="22"/>
        </w:rPr>
      </w:pPr>
      <w:r w:rsidRPr="00890249" w:rsidDel="00BB20B9">
        <w:rPr>
          <w:rFonts w:asciiTheme="minorHAnsi" w:hAnsiTheme="minorHAnsi" w:cstheme="minorHAnsi"/>
          <w:b/>
          <w:noProof/>
          <w:color w:val="2F5496" w:themeColor="accent5" w:themeShade="BF"/>
          <w:sz w:val="22"/>
        </w:rPr>
        <w:t>Powiązane rodzaje działań</w:t>
      </w:r>
    </w:p>
    <w:p w14:paraId="67120E79" w14:textId="77777777" w:rsidR="0093433C" w:rsidRPr="00890249" w:rsidRDefault="006635EB"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 xml:space="preserve">Refleksja nad osiągniętymi rezultatami w ramach perspektywy finansowej 2014-2020 daje impuls do kontynuacji podejmowanych </w:t>
      </w:r>
      <w:r w:rsidR="00761516" w:rsidRPr="00890249" w:rsidDel="00BB20B9">
        <w:rPr>
          <w:rFonts w:asciiTheme="minorHAnsi" w:hAnsiTheme="minorHAnsi" w:cstheme="minorHAnsi"/>
          <w:sz w:val="22"/>
          <w:szCs w:val="22"/>
          <w:lang w:eastAsia="en-US" w:bidi="ar-SA"/>
        </w:rPr>
        <w:t xml:space="preserve">dotychczas </w:t>
      </w:r>
      <w:r w:rsidRPr="00890249" w:rsidDel="00BB20B9">
        <w:rPr>
          <w:rFonts w:asciiTheme="minorHAnsi" w:hAnsiTheme="minorHAnsi" w:cstheme="minorHAnsi"/>
          <w:sz w:val="22"/>
          <w:szCs w:val="22"/>
          <w:lang w:eastAsia="en-US" w:bidi="ar-SA"/>
        </w:rPr>
        <w:t xml:space="preserve">w regionie rozwiązań dopasowanych do jego uwarunkowań rozwojowych. Przez ostatnie lata w </w:t>
      </w:r>
      <w:r w:rsidR="00BB123B" w:rsidRPr="00890249" w:rsidDel="00BB20B9">
        <w:rPr>
          <w:rFonts w:asciiTheme="minorHAnsi" w:hAnsiTheme="minorHAnsi" w:cstheme="minorHAnsi"/>
          <w:sz w:val="22"/>
          <w:szCs w:val="22"/>
          <w:lang w:eastAsia="en-US" w:bidi="ar-SA"/>
        </w:rPr>
        <w:t>woj.</w:t>
      </w:r>
      <w:r w:rsidRPr="00890249" w:rsidDel="00BB20B9">
        <w:rPr>
          <w:rFonts w:asciiTheme="minorHAnsi" w:hAnsiTheme="minorHAnsi" w:cstheme="minorHAnsi"/>
          <w:sz w:val="22"/>
          <w:szCs w:val="22"/>
          <w:lang w:eastAsia="en-US" w:bidi="ar-SA"/>
        </w:rPr>
        <w:t xml:space="preserve"> opolskim skutecznie inwestowano w</w:t>
      </w:r>
      <w:r w:rsidR="008E69ED" w:rsidRPr="00890249" w:rsidDel="00BB20B9">
        <w:rPr>
          <w:rFonts w:asciiTheme="minorHAnsi" w:hAnsiTheme="minorHAnsi" w:cstheme="minorHAnsi"/>
          <w:sz w:val="22"/>
          <w:szCs w:val="22"/>
          <w:lang w:eastAsia="en-US" w:bidi="ar-SA"/>
        </w:rPr>
        <w:t> </w:t>
      </w:r>
      <w:r w:rsidRPr="00890249" w:rsidDel="00BB20B9">
        <w:rPr>
          <w:rFonts w:asciiTheme="minorHAnsi" w:hAnsiTheme="minorHAnsi" w:cstheme="minorHAnsi"/>
          <w:sz w:val="22"/>
          <w:szCs w:val="22"/>
          <w:lang w:eastAsia="en-US" w:bidi="ar-SA"/>
        </w:rPr>
        <w:t xml:space="preserve">mieszkańców regionu, kapitał ludzki stanowi bowiem niezbędną i najważniejszą wartość przyczyniającą się do zrównoważonego wzrostu gospodarczego. Dlatego też Samorząd Województwa Opolskiego w ramach RPO WO 2014-2020 podjął decyzję o realizacji projektu pilotażowego pn. Europejski Budżet Obywatelski (EBO). Wówczas działania podejmowane w ramach </w:t>
      </w:r>
      <w:r w:rsidR="00BB123B" w:rsidRPr="00890249" w:rsidDel="00BB20B9">
        <w:rPr>
          <w:rFonts w:asciiTheme="minorHAnsi" w:hAnsiTheme="minorHAnsi" w:cstheme="minorHAnsi"/>
          <w:sz w:val="22"/>
          <w:szCs w:val="22"/>
          <w:lang w:eastAsia="en-US" w:bidi="ar-SA"/>
        </w:rPr>
        <w:t xml:space="preserve">tego projektu </w:t>
      </w:r>
      <w:r w:rsidRPr="00890249" w:rsidDel="00BB20B9">
        <w:rPr>
          <w:rFonts w:asciiTheme="minorHAnsi" w:hAnsiTheme="minorHAnsi" w:cstheme="minorHAnsi"/>
          <w:sz w:val="22"/>
          <w:szCs w:val="22"/>
          <w:lang w:eastAsia="en-US" w:bidi="ar-SA"/>
        </w:rPr>
        <w:t>skupiały się wyłącznie na wsparciu kształcenia ustawicznego. Pogłębion</w:t>
      </w:r>
      <w:r w:rsidR="002F4394" w:rsidRPr="00890249" w:rsidDel="00BB20B9">
        <w:rPr>
          <w:rFonts w:asciiTheme="minorHAnsi" w:hAnsiTheme="minorHAnsi" w:cstheme="minorHAnsi"/>
          <w:sz w:val="22"/>
          <w:szCs w:val="22"/>
          <w:lang w:eastAsia="en-US" w:bidi="ar-SA"/>
        </w:rPr>
        <w:t>a</w:t>
      </w:r>
      <w:r w:rsidRPr="00890249" w:rsidDel="00BB20B9">
        <w:rPr>
          <w:rFonts w:asciiTheme="minorHAnsi" w:hAnsiTheme="minorHAnsi" w:cstheme="minorHAnsi"/>
          <w:sz w:val="22"/>
          <w:szCs w:val="22"/>
          <w:lang w:eastAsia="en-US" w:bidi="ar-SA"/>
        </w:rPr>
        <w:t xml:space="preserve"> </w:t>
      </w:r>
      <w:r w:rsidR="002F4394" w:rsidRPr="00890249" w:rsidDel="00BB20B9">
        <w:rPr>
          <w:rFonts w:asciiTheme="minorHAnsi" w:hAnsiTheme="minorHAnsi" w:cstheme="minorHAnsi"/>
          <w:sz w:val="22"/>
          <w:szCs w:val="22"/>
          <w:lang w:eastAsia="en-US" w:bidi="ar-SA"/>
        </w:rPr>
        <w:t>analiza efektów projektu</w:t>
      </w:r>
      <w:r w:rsidRPr="00890249" w:rsidDel="00BB20B9">
        <w:rPr>
          <w:rFonts w:asciiTheme="minorHAnsi" w:hAnsiTheme="minorHAnsi" w:cstheme="minorHAnsi"/>
          <w:sz w:val="22"/>
          <w:szCs w:val="22"/>
          <w:lang w:eastAsia="en-US" w:bidi="ar-SA"/>
        </w:rPr>
        <w:t xml:space="preserve"> dał</w:t>
      </w:r>
      <w:r w:rsidR="002F4394" w:rsidRPr="00890249" w:rsidDel="00BB20B9">
        <w:rPr>
          <w:rFonts w:asciiTheme="minorHAnsi" w:hAnsiTheme="minorHAnsi" w:cstheme="minorHAnsi"/>
          <w:sz w:val="22"/>
          <w:szCs w:val="22"/>
          <w:lang w:eastAsia="en-US" w:bidi="ar-SA"/>
        </w:rPr>
        <w:t>a</w:t>
      </w:r>
      <w:r w:rsidRPr="00890249" w:rsidDel="00BB20B9">
        <w:rPr>
          <w:rFonts w:asciiTheme="minorHAnsi" w:hAnsiTheme="minorHAnsi" w:cstheme="minorHAnsi"/>
          <w:sz w:val="22"/>
          <w:szCs w:val="22"/>
          <w:lang w:eastAsia="en-US" w:bidi="ar-SA"/>
        </w:rPr>
        <w:t xml:space="preserve"> podstawę sądzić, że należy </w:t>
      </w:r>
      <w:r w:rsidR="00761516" w:rsidRPr="00890249" w:rsidDel="00BB20B9">
        <w:rPr>
          <w:rFonts w:asciiTheme="minorHAnsi" w:hAnsiTheme="minorHAnsi" w:cstheme="minorHAnsi"/>
          <w:sz w:val="22"/>
          <w:szCs w:val="22"/>
          <w:lang w:eastAsia="en-US" w:bidi="ar-SA"/>
        </w:rPr>
        <w:t xml:space="preserve">nie tylko </w:t>
      </w:r>
      <w:r w:rsidRPr="00890249" w:rsidDel="00BB20B9">
        <w:rPr>
          <w:rFonts w:asciiTheme="minorHAnsi" w:hAnsiTheme="minorHAnsi" w:cstheme="minorHAnsi"/>
          <w:sz w:val="22"/>
          <w:szCs w:val="22"/>
          <w:lang w:eastAsia="en-US" w:bidi="ar-SA"/>
        </w:rPr>
        <w:t>kontynuować wsparcie</w:t>
      </w:r>
      <w:r w:rsidR="00BB123B" w:rsidRPr="00890249" w:rsidDel="00BB20B9">
        <w:rPr>
          <w:rFonts w:asciiTheme="minorHAnsi" w:hAnsiTheme="minorHAnsi" w:cstheme="minorHAnsi"/>
          <w:sz w:val="22"/>
          <w:szCs w:val="22"/>
          <w:lang w:eastAsia="en-US" w:bidi="ar-SA"/>
        </w:rPr>
        <w:t>,</w:t>
      </w:r>
      <w:r w:rsidRPr="00890249" w:rsidDel="00BB20B9">
        <w:rPr>
          <w:rFonts w:asciiTheme="minorHAnsi" w:hAnsiTheme="minorHAnsi" w:cstheme="minorHAnsi"/>
          <w:sz w:val="22"/>
          <w:szCs w:val="22"/>
          <w:lang w:eastAsia="en-US" w:bidi="ar-SA"/>
        </w:rPr>
        <w:t xml:space="preserve"> </w:t>
      </w:r>
      <w:r w:rsidR="002F4394" w:rsidRPr="00890249" w:rsidDel="00BB20B9">
        <w:rPr>
          <w:rFonts w:asciiTheme="minorHAnsi" w:hAnsiTheme="minorHAnsi" w:cstheme="minorHAnsi"/>
          <w:sz w:val="22"/>
          <w:szCs w:val="22"/>
          <w:lang w:eastAsia="en-US" w:bidi="ar-SA"/>
        </w:rPr>
        <w:t>ale co więcej</w:t>
      </w:r>
      <w:r w:rsidR="009E0F30" w:rsidRPr="00890249" w:rsidDel="00BB20B9">
        <w:rPr>
          <w:rFonts w:asciiTheme="minorHAnsi" w:hAnsiTheme="minorHAnsi" w:cstheme="minorHAnsi"/>
          <w:sz w:val="22"/>
          <w:szCs w:val="22"/>
          <w:lang w:eastAsia="en-US" w:bidi="ar-SA"/>
        </w:rPr>
        <w:t>,</w:t>
      </w:r>
      <w:r w:rsidR="002F4394" w:rsidRPr="00890249" w:rsidDel="00BB20B9">
        <w:rPr>
          <w:rFonts w:asciiTheme="minorHAnsi" w:hAnsiTheme="minorHAnsi" w:cstheme="minorHAnsi"/>
          <w:sz w:val="22"/>
          <w:szCs w:val="22"/>
          <w:lang w:eastAsia="en-US" w:bidi="ar-SA"/>
        </w:rPr>
        <w:t xml:space="preserve"> </w:t>
      </w:r>
      <w:r w:rsidRPr="00890249" w:rsidDel="00BB20B9">
        <w:rPr>
          <w:rFonts w:asciiTheme="minorHAnsi" w:hAnsiTheme="minorHAnsi" w:cstheme="minorHAnsi"/>
          <w:sz w:val="22"/>
          <w:szCs w:val="22"/>
          <w:lang w:eastAsia="en-US" w:bidi="ar-SA"/>
        </w:rPr>
        <w:t>rozszerz</w:t>
      </w:r>
      <w:r w:rsidR="00761516" w:rsidRPr="00890249" w:rsidDel="00BB20B9">
        <w:rPr>
          <w:rFonts w:asciiTheme="minorHAnsi" w:hAnsiTheme="minorHAnsi" w:cstheme="minorHAnsi"/>
          <w:sz w:val="22"/>
          <w:szCs w:val="22"/>
          <w:lang w:eastAsia="en-US" w:bidi="ar-SA"/>
        </w:rPr>
        <w:t>yć</w:t>
      </w:r>
      <w:r w:rsidRPr="00890249" w:rsidDel="00BB20B9">
        <w:rPr>
          <w:rFonts w:asciiTheme="minorHAnsi" w:hAnsiTheme="minorHAnsi" w:cstheme="minorHAnsi"/>
          <w:sz w:val="22"/>
          <w:szCs w:val="22"/>
          <w:lang w:eastAsia="en-US" w:bidi="ar-SA"/>
        </w:rPr>
        <w:t xml:space="preserve"> je na </w:t>
      </w:r>
      <w:r w:rsidR="002F4394" w:rsidRPr="00890249" w:rsidDel="00BB20B9">
        <w:rPr>
          <w:rFonts w:asciiTheme="minorHAnsi" w:hAnsiTheme="minorHAnsi" w:cstheme="minorHAnsi"/>
          <w:sz w:val="22"/>
          <w:szCs w:val="22"/>
          <w:lang w:eastAsia="en-US" w:bidi="ar-SA"/>
        </w:rPr>
        <w:t xml:space="preserve">inne </w:t>
      </w:r>
      <w:r w:rsidRPr="00890249" w:rsidDel="00BB20B9">
        <w:rPr>
          <w:rFonts w:asciiTheme="minorHAnsi" w:hAnsiTheme="minorHAnsi" w:cstheme="minorHAnsi"/>
          <w:sz w:val="22"/>
          <w:szCs w:val="22"/>
          <w:lang w:eastAsia="en-US" w:bidi="ar-SA"/>
        </w:rPr>
        <w:t xml:space="preserve">sfery życia mieszkańców regionu. </w:t>
      </w:r>
    </w:p>
    <w:p w14:paraId="45EBE5D8" w14:textId="77777777" w:rsidR="0093433C" w:rsidRPr="00890249" w:rsidRDefault="005F25D4"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 xml:space="preserve">Pandemia COVID-19 mocno doświadczyła zwłaszcza </w:t>
      </w:r>
      <w:r w:rsidR="006A4B7D" w:rsidRPr="00890249" w:rsidDel="00BB20B9">
        <w:rPr>
          <w:rFonts w:asciiTheme="minorHAnsi" w:hAnsiTheme="minorHAnsi" w:cstheme="minorHAnsi"/>
          <w:sz w:val="22"/>
          <w:szCs w:val="22"/>
          <w:lang w:eastAsia="en-US" w:bidi="ar-SA"/>
        </w:rPr>
        <w:t>osoby młode</w:t>
      </w:r>
      <w:r w:rsidRPr="00890249" w:rsidDel="00BB20B9">
        <w:rPr>
          <w:rFonts w:asciiTheme="minorHAnsi" w:hAnsiTheme="minorHAnsi" w:cstheme="minorHAnsi"/>
          <w:sz w:val="22"/>
          <w:szCs w:val="22"/>
          <w:lang w:eastAsia="en-US" w:bidi="ar-SA"/>
        </w:rPr>
        <w:t xml:space="preserve">, stąd </w:t>
      </w:r>
      <w:r w:rsidR="007F66D6" w:rsidRPr="00890249" w:rsidDel="00BB20B9">
        <w:rPr>
          <w:rFonts w:asciiTheme="minorHAnsi" w:hAnsiTheme="minorHAnsi" w:cstheme="minorHAnsi"/>
          <w:sz w:val="22"/>
          <w:szCs w:val="22"/>
          <w:lang w:eastAsia="en-US" w:bidi="ar-SA"/>
        </w:rPr>
        <w:t xml:space="preserve">KE ogłosiła rok 2022 Europejskim Rokiem Młodzieży. </w:t>
      </w:r>
      <w:r w:rsidR="00FA5D23" w:rsidRPr="00890249" w:rsidDel="00BB20B9">
        <w:rPr>
          <w:rFonts w:asciiTheme="minorHAnsi" w:hAnsiTheme="minorHAnsi" w:cstheme="minorHAnsi"/>
          <w:sz w:val="22"/>
          <w:szCs w:val="22"/>
          <w:lang w:eastAsia="en-US" w:bidi="ar-SA"/>
        </w:rPr>
        <w:t xml:space="preserve">Mając </w:t>
      </w:r>
      <w:r w:rsidRPr="00890249" w:rsidDel="00BB20B9">
        <w:rPr>
          <w:rFonts w:asciiTheme="minorHAnsi" w:hAnsiTheme="minorHAnsi" w:cstheme="minorHAnsi"/>
          <w:sz w:val="22"/>
          <w:szCs w:val="22"/>
          <w:lang w:eastAsia="en-US" w:bidi="ar-SA"/>
        </w:rPr>
        <w:t xml:space="preserve">na uwadze </w:t>
      </w:r>
      <w:r w:rsidR="00FA5D23" w:rsidRPr="00890249" w:rsidDel="00BB20B9">
        <w:rPr>
          <w:rFonts w:asciiTheme="minorHAnsi" w:hAnsiTheme="minorHAnsi" w:cstheme="minorHAnsi"/>
          <w:sz w:val="22"/>
          <w:szCs w:val="22"/>
          <w:lang w:eastAsia="en-US" w:bidi="ar-SA"/>
        </w:rPr>
        <w:t xml:space="preserve">powyższe </w:t>
      </w:r>
      <w:r w:rsidRPr="00890249" w:rsidDel="00BB20B9">
        <w:rPr>
          <w:rFonts w:asciiTheme="minorHAnsi" w:hAnsiTheme="minorHAnsi" w:cstheme="minorHAnsi"/>
          <w:sz w:val="22"/>
          <w:szCs w:val="22"/>
          <w:lang w:eastAsia="en-US" w:bidi="ar-SA"/>
        </w:rPr>
        <w:t xml:space="preserve">oraz aby wesprzeć i zaangażować młodych ludzi w regionie </w:t>
      </w:r>
      <w:r w:rsidR="000C560F" w:rsidRPr="00890249" w:rsidDel="00BB20B9">
        <w:rPr>
          <w:rFonts w:asciiTheme="minorHAnsi" w:hAnsiTheme="minorHAnsi" w:cstheme="minorHAnsi"/>
          <w:sz w:val="22"/>
          <w:szCs w:val="22"/>
          <w:lang w:eastAsia="en-US" w:bidi="ar-SA"/>
        </w:rPr>
        <w:t xml:space="preserve">podjęto decyzję o realizacji </w:t>
      </w:r>
      <w:r w:rsidR="00FA5D23" w:rsidRPr="00890249" w:rsidDel="00BB20B9">
        <w:rPr>
          <w:rFonts w:asciiTheme="minorHAnsi" w:hAnsiTheme="minorHAnsi" w:cstheme="minorHAnsi"/>
          <w:sz w:val="22"/>
          <w:szCs w:val="22"/>
          <w:lang w:eastAsia="en-US" w:bidi="ar-SA"/>
        </w:rPr>
        <w:t xml:space="preserve">inicjatywy dedykowanej tej grupie tj. </w:t>
      </w:r>
      <w:r w:rsidR="000C560F" w:rsidRPr="00890249" w:rsidDel="00BB20B9">
        <w:rPr>
          <w:rFonts w:asciiTheme="minorHAnsi" w:hAnsiTheme="minorHAnsi" w:cstheme="minorHAnsi"/>
          <w:sz w:val="22"/>
          <w:szCs w:val="22"/>
          <w:lang w:eastAsia="en-US" w:bidi="ar-SA"/>
        </w:rPr>
        <w:t xml:space="preserve">Europejskiego </w:t>
      </w:r>
      <w:r w:rsidR="00DC55BC" w:rsidRPr="00890249" w:rsidDel="00BB20B9">
        <w:rPr>
          <w:rFonts w:asciiTheme="minorHAnsi" w:hAnsiTheme="minorHAnsi" w:cstheme="minorHAnsi"/>
          <w:sz w:val="22"/>
          <w:szCs w:val="22"/>
          <w:lang w:eastAsia="en-US" w:bidi="ar-SA"/>
        </w:rPr>
        <w:t xml:space="preserve">Młodzieżowego </w:t>
      </w:r>
      <w:r w:rsidR="000C560F" w:rsidRPr="00890249" w:rsidDel="00BB20B9">
        <w:rPr>
          <w:rFonts w:asciiTheme="minorHAnsi" w:hAnsiTheme="minorHAnsi" w:cstheme="minorHAnsi"/>
          <w:sz w:val="22"/>
          <w:szCs w:val="22"/>
          <w:lang w:eastAsia="en-US" w:bidi="ar-SA"/>
        </w:rPr>
        <w:t xml:space="preserve">Budżetu Obywatelskiego (EMBO). </w:t>
      </w:r>
      <w:r w:rsidR="00120ACB" w:rsidRPr="00890249" w:rsidDel="00BB20B9">
        <w:rPr>
          <w:rFonts w:asciiTheme="minorHAnsi" w:hAnsiTheme="minorHAnsi" w:cstheme="minorHAnsi"/>
          <w:sz w:val="22"/>
          <w:szCs w:val="22"/>
          <w:lang w:eastAsia="en-US" w:bidi="ar-SA"/>
        </w:rPr>
        <w:t>Młodzi ludzie są inicjatorami przemian, stąd przyjmuje się, że uwzględnianie ich priorytetów w procesie kształtowania polityki oraz organizowanie działań skierowanych wyłącznie do nich przyniesie pozytywną zmianę w regionie.</w:t>
      </w:r>
    </w:p>
    <w:p w14:paraId="1BFAF7E8" w14:textId="77777777" w:rsidR="0093433C" w:rsidRPr="00890249" w:rsidRDefault="000C560F"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 xml:space="preserve">Celem </w:t>
      </w:r>
      <w:r w:rsidR="00C714FA" w:rsidRPr="00890249" w:rsidDel="00BB20B9">
        <w:rPr>
          <w:rFonts w:asciiTheme="minorHAnsi" w:hAnsiTheme="minorHAnsi" w:cstheme="minorHAnsi"/>
          <w:sz w:val="22"/>
          <w:szCs w:val="22"/>
          <w:lang w:eastAsia="en-US" w:bidi="ar-SA"/>
        </w:rPr>
        <w:t>EMBO</w:t>
      </w:r>
      <w:r w:rsidRPr="00890249" w:rsidDel="00BB20B9">
        <w:rPr>
          <w:rFonts w:asciiTheme="minorHAnsi" w:hAnsiTheme="minorHAnsi" w:cstheme="minorHAnsi"/>
          <w:sz w:val="22"/>
          <w:szCs w:val="22"/>
          <w:lang w:eastAsia="en-US" w:bidi="ar-SA"/>
        </w:rPr>
        <w:t xml:space="preserve"> jest </w:t>
      </w:r>
      <w:r w:rsidR="00D84DD4" w:rsidRPr="00890249" w:rsidDel="00BB20B9">
        <w:rPr>
          <w:rFonts w:asciiTheme="minorHAnsi" w:hAnsiTheme="minorHAnsi" w:cstheme="minorHAnsi"/>
          <w:sz w:val="22"/>
          <w:szCs w:val="22"/>
          <w:lang w:eastAsia="en-US" w:bidi="ar-SA"/>
        </w:rPr>
        <w:t xml:space="preserve">więc </w:t>
      </w:r>
      <w:r w:rsidRPr="00890249" w:rsidDel="00BB20B9">
        <w:rPr>
          <w:rFonts w:asciiTheme="minorHAnsi" w:hAnsiTheme="minorHAnsi" w:cstheme="minorHAnsi"/>
          <w:sz w:val="22"/>
          <w:szCs w:val="22"/>
          <w:lang w:eastAsia="en-US" w:bidi="ar-SA"/>
        </w:rPr>
        <w:t>wzmocnienie głosu młodych ludzi w województwie opolskim</w:t>
      </w:r>
      <w:r w:rsidR="005B4564" w:rsidRPr="00890249" w:rsidDel="00BB20B9">
        <w:rPr>
          <w:rFonts w:asciiTheme="minorHAnsi" w:hAnsiTheme="minorHAnsi" w:cstheme="minorHAnsi"/>
          <w:sz w:val="22"/>
          <w:szCs w:val="22"/>
          <w:lang w:eastAsia="en-US" w:bidi="ar-SA"/>
        </w:rPr>
        <w:t>. I</w:t>
      </w:r>
      <w:r w:rsidR="006A4B7D" w:rsidRPr="00890249" w:rsidDel="00BB20B9">
        <w:rPr>
          <w:rFonts w:asciiTheme="minorHAnsi" w:hAnsiTheme="minorHAnsi" w:cstheme="minorHAnsi"/>
          <w:sz w:val="22"/>
          <w:szCs w:val="22"/>
          <w:lang w:eastAsia="en-US" w:bidi="ar-SA"/>
        </w:rPr>
        <w:t xml:space="preserve">nicjatywa </w:t>
      </w:r>
      <w:r w:rsidR="00FE3E08" w:rsidRPr="00890249" w:rsidDel="00BB20B9">
        <w:rPr>
          <w:rFonts w:asciiTheme="minorHAnsi" w:hAnsiTheme="minorHAnsi" w:cstheme="minorHAnsi"/>
          <w:sz w:val="22"/>
          <w:szCs w:val="22"/>
          <w:lang w:eastAsia="en-US" w:bidi="ar-SA"/>
        </w:rPr>
        <w:t xml:space="preserve">ta </w:t>
      </w:r>
      <w:r w:rsidR="006A4B7D" w:rsidRPr="00890249" w:rsidDel="00BB20B9">
        <w:rPr>
          <w:rFonts w:asciiTheme="minorHAnsi" w:hAnsiTheme="minorHAnsi" w:cstheme="minorHAnsi"/>
          <w:sz w:val="22"/>
          <w:szCs w:val="22"/>
          <w:lang w:eastAsia="en-US" w:bidi="ar-SA"/>
        </w:rPr>
        <w:t>stanowi</w:t>
      </w:r>
      <w:r w:rsidR="00FE3E08" w:rsidRPr="00890249" w:rsidDel="00BB20B9">
        <w:rPr>
          <w:rFonts w:asciiTheme="minorHAnsi" w:hAnsiTheme="minorHAnsi" w:cstheme="minorHAnsi"/>
          <w:sz w:val="22"/>
          <w:szCs w:val="22"/>
          <w:lang w:eastAsia="en-US" w:bidi="ar-SA"/>
        </w:rPr>
        <w:t xml:space="preserve"> doskonałą</w:t>
      </w:r>
      <w:r w:rsidR="006A4B7D" w:rsidRPr="00890249" w:rsidDel="00BB20B9">
        <w:rPr>
          <w:rFonts w:asciiTheme="minorHAnsi" w:hAnsiTheme="minorHAnsi" w:cstheme="minorHAnsi"/>
          <w:sz w:val="22"/>
          <w:szCs w:val="22"/>
          <w:lang w:eastAsia="en-US" w:bidi="ar-SA"/>
        </w:rPr>
        <w:t xml:space="preserve"> okazję do wyeksponowania ich potrzeb</w:t>
      </w:r>
      <w:r w:rsidR="005B4564" w:rsidRPr="00890249" w:rsidDel="00BB20B9">
        <w:rPr>
          <w:rFonts w:asciiTheme="minorHAnsi" w:hAnsiTheme="minorHAnsi" w:cstheme="minorHAnsi"/>
          <w:sz w:val="22"/>
          <w:szCs w:val="22"/>
          <w:lang w:eastAsia="en-US" w:bidi="ar-SA"/>
        </w:rPr>
        <w:t xml:space="preserve"> i </w:t>
      </w:r>
      <w:r w:rsidR="006A4B7D" w:rsidRPr="00890249" w:rsidDel="00BB20B9">
        <w:rPr>
          <w:rFonts w:asciiTheme="minorHAnsi" w:hAnsiTheme="minorHAnsi" w:cstheme="minorHAnsi"/>
          <w:sz w:val="22"/>
          <w:szCs w:val="22"/>
          <w:lang w:eastAsia="en-US" w:bidi="ar-SA"/>
        </w:rPr>
        <w:t>obaw</w:t>
      </w:r>
      <w:r w:rsidR="005B4564" w:rsidRPr="00890249" w:rsidDel="00BB20B9">
        <w:rPr>
          <w:rFonts w:asciiTheme="minorHAnsi" w:hAnsiTheme="minorHAnsi" w:cstheme="minorHAnsi"/>
          <w:sz w:val="22"/>
          <w:szCs w:val="22"/>
          <w:lang w:eastAsia="en-US" w:bidi="ar-SA"/>
        </w:rPr>
        <w:t>, a także wpisuje się w ideę Gwarancji dla Młodzieży, zwłaszcza w kontekście kształcenia ustawicznego</w:t>
      </w:r>
      <w:r w:rsidR="006A4B7D" w:rsidRPr="00890249" w:rsidDel="00BB20B9">
        <w:rPr>
          <w:rFonts w:asciiTheme="minorHAnsi" w:hAnsiTheme="minorHAnsi" w:cstheme="minorHAnsi"/>
          <w:sz w:val="22"/>
          <w:szCs w:val="22"/>
          <w:lang w:eastAsia="en-US" w:bidi="ar-SA"/>
        </w:rPr>
        <w:t>.</w:t>
      </w:r>
      <w:r w:rsidR="00F9737A" w:rsidRPr="00890249" w:rsidDel="00BB20B9">
        <w:rPr>
          <w:rFonts w:asciiTheme="minorHAnsi" w:hAnsiTheme="minorHAnsi" w:cstheme="minorHAnsi"/>
          <w:sz w:val="22"/>
          <w:szCs w:val="22"/>
          <w:lang w:eastAsia="en-US" w:bidi="ar-SA"/>
        </w:rPr>
        <w:t xml:space="preserve"> </w:t>
      </w:r>
    </w:p>
    <w:p w14:paraId="115F03CE" w14:textId="4B69ABAE" w:rsidR="0093433C" w:rsidRPr="00890249" w:rsidRDefault="00C714FA"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Bazując na wypracowanym w</w:t>
      </w:r>
      <w:r w:rsidR="006635EB" w:rsidRPr="00890249" w:rsidDel="00BB20B9">
        <w:rPr>
          <w:rFonts w:asciiTheme="minorHAnsi" w:hAnsiTheme="minorHAnsi" w:cstheme="minorHAnsi"/>
          <w:sz w:val="22"/>
          <w:szCs w:val="22"/>
          <w:lang w:eastAsia="en-US" w:bidi="ar-SA"/>
        </w:rPr>
        <w:t xml:space="preserve"> pespektywie finansowej 2014-2020 </w:t>
      </w:r>
      <w:r w:rsidRPr="00890249" w:rsidDel="00BB20B9">
        <w:rPr>
          <w:rFonts w:asciiTheme="minorHAnsi" w:hAnsiTheme="minorHAnsi" w:cstheme="minorHAnsi"/>
          <w:sz w:val="22"/>
          <w:szCs w:val="22"/>
          <w:lang w:eastAsia="en-US" w:bidi="ar-SA"/>
        </w:rPr>
        <w:t>modelu wsparcia</w:t>
      </w:r>
      <w:r w:rsidR="00B57678">
        <w:rPr>
          <w:rFonts w:asciiTheme="minorHAnsi" w:hAnsiTheme="minorHAnsi" w:cstheme="minorHAnsi"/>
          <w:sz w:val="22"/>
          <w:szCs w:val="22"/>
          <w:lang w:eastAsia="en-US" w:bidi="ar-SA"/>
        </w:rPr>
        <w:t xml:space="preserve"> </w:t>
      </w:r>
      <w:r w:rsidR="00457676" w:rsidRPr="00890249" w:rsidDel="00BB20B9">
        <w:rPr>
          <w:rFonts w:asciiTheme="minorHAnsi" w:hAnsiTheme="minorHAnsi" w:cstheme="minorHAnsi"/>
          <w:sz w:val="22"/>
          <w:szCs w:val="22"/>
          <w:lang w:eastAsia="en-US" w:bidi="ar-SA"/>
        </w:rPr>
        <w:t>EBO realizowan</w:t>
      </w:r>
      <w:r w:rsidR="00B57678">
        <w:rPr>
          <w:rFonts w:asciiTheme="minorHAnsi" w:hAnsiTheme="minorHAnsi" w:cstheme="minorHAnsi"/>
          <w:sz w:val="22"/>
          <w:szCs w:val="22"/>
          <w:lang w:eastAsia="en-US" w:bidi="ar-SA"/>
        </w:rPr>
        <w:t>y</w:t>
      </w:r>
      <w:r w:rsidRPr="00890249" w:rsidDel="00BB20B9">
        <w:rPr>
          <w:rFonts w:asciiTheme="minorHAnsi" w:hAnsiTheme="minorHAnsi" w:cstheme="minorHAnsi"/>
          <w:sz w:val="22"/>
          <w:szCs w:val="22"/>
          <w:lang w:eastAsia="en-US" w:bidi="ar-SA"/>
        </w:rPr>
        <w:t xml:space="preserve"> będ</w:t>
      </w:r>
      <w:r w:rsidR="00B57678">
        <w:rPr>
          <w:rFonts w:asciiTheme="minorHAnsi" w:hAnsiTheme="minorHAnsi" w:cstheme="minorHAnsi"/>
          <w:sz w:val="22"/>
          <w:szCs w:val="22"/>
          <w:lang w:eastAsia="en-US" w:bidi="ar-SA"/>
        </w:rPr>
        <w:t>zie</w:t>
      </w:r>
      <w:r w:rsidR="00457676" w:rsidRPr="00890249" w:rsidDel="00BB20B9">
        <w:rPr>
          <w:rFonts w:asciiTheme="minorHAnsi" w:hAnsiTheme="minorHAnsi" w:cstheme="minorHAnsi"/>
          <w:sz w:val="22"/>
          <w:szCs w:val="22"/>
          <w:lang w:eastAsia="en-US" w:bidi="ar-SA"/>
        </w:rPr>
        <w:t xml:space="preserve"> w </w:t>
      </w:r>
      <w:r w:rsidR="00B57678">
        <w:rPr>
          <w:rFonts w:asciiTheme="minorHAnsi" w:hAnsiTheme="minorHAnsi" w:cstheme="minorHAnsi"/>
          <w:sz w:val="22"/>
          <w:szCs w:val="22"/>
          <w:lang w:eastAsia="en-US" w:bidi="ar-SA"/>
        </w:rPr>
        <w:t>procedurze</w:t>
      </w:r>
      <w:r w:rsidR="006635EB" w:rsidRPr="00890249" w:rsidDel="00BB20B9">
        <w:rPr>
          <w:rFonts w:asciiTheme="minorHAnsi" w:hAnsiTheme="minorHAnsi" w:cstheme="minorHAnsi"/>
          <w:sz w:val="22"/>
          <w:szCs w:val="22"/>
          <w:lang w:eastAsia="en-US" w:bidi="ar-SA"/>
        </w:rPr>
        <w:t xml:space="preserve"> </w:t>
      </w:r>
      <w:r w:rsidRPr="00890249" w:rsidDel="00BB20B9">
        <w:rPr>
          <w:rFonts w:asciiTheme="minorHAnsi" w:hAnsiTheme="minorHAnsi" w:cstheme="minorHAnsi"/>
          <w:sz w:val="22"/>
          <w:szCs w:val="22"/>
          <w:lang w:eastAsia="en-US" w:bidi="ar-SA"/>
        </w:rPr>
        <w:t>niekonkurencyjn</w:t>
      </w:r>
      <w:r w:rsidR="00B57678">
        <w:rPr>
          <w:rFonts w:asciiTheme="minorHAnsi" w:hAnsiTheme="minorHAnsi" w:cstheme="minorHAnsi"/>
          <w:sz w:val="22"/>
          <w:szCs w:val="22"/>
          <w:lang w:eastAsia="en-US" w:bidi="ar-SA"/>
        </w:rPr>
        <w:t>ej</w:t>
      </w:r>
      <w:r w:rsidR="006635EB" w:rsidRPr="00890249" w:rsidDel="00BB20B9">
        <w:rPr>
          <w:rFonts w:asciiTheme="minorHAnsi" w:hAnsiTheme="minorHAnsi" w:cstheme="minorHAnsi"/>
          <w:sz w:val="22"/>
          <w:szCs w:val="22"/>
          <w:lang w:eastAsia="en-US" w:bidi="ar-SA"/>
        </w:rPr>
        <w:t xml:space="preserve">. </w:t>
      </w:r>
      <w:r w:rsidR="00B57678">
        <w:rPr>
          <w:rFonts w:asciiTheme="minorHAnsi" w:hAnsiTheme="minorHAnsi" w:cstheme="minorHAnsi"/>
          <w:sz w:val="22"/>
          <w:szCs w:val="22"/>
          <w:lang w:eastAsia="en-US" w:bidi="ar-SA"/>
        </w:rPr>
        <w:t>Będzie on miał</w:t>
      </w:r>
      <w:r w:rsidR="006635EB" w:rsidRPr="00890249" w:rsidDel="00BB20B9">
        <w:rPr>
          <w:rFonts w:asciiTheme="minorHAnsi" w:hAnsiTheme="minorHAnsi" w:cstheme="minorHAnsi"/>
          <w:sz w:val="22"/>
          <w:szCs w:val="22"/>
          <w:lang w:eastAsia="en-US" w:bidi="ar-SA"/>
        </w:rPr>
        <w:t xml:space="preserve"> charakter inicjatywy oddolnej, </w:t>
      </w:r>
      <w:r w:rsidR="007118D3" w:rsidRPr="00890249" w:rsidDel="00BB20B9">
        <w:rPr>
          <w:rFonts w:asciiTheme="minorHAnsi" w:hAnsiTheme="minorHAnsi" w:cstheme="minorHAnsi"/>
          <w:sz w:val="22"/>
          <w:szCs w:val="22"/>
          <w:lang w:eastAsia="en-US" w:bidi="ar-SA"/>
        </w:rPr>
        <w:t xml:space="preserve">służącej wzmocnieniu dialogu społecznego, </w:t>
      </w:r>
      <w:r w:rsidR="006635EB" w:rsidRPr="00890249" w:rsidDel="00BB20B9">
        <w:rPr>
          <w:rFonts w:asciiTheme="minorHAnsi" w:hAnsiTheme="minorHAnsi" w:cstheme="minorHAnsi"/>
          <w:sz w:val="22"/>
          <w:szCs w:val="22"/>
          <w:lang w:eastAsia="en-US" w:bidi="ar-SA"/>
        </w:rPr>
        <w:t xml:space="preserve">ze znaczącym zaangażowaniem zarówno </w:t>
      </w:r>
      <w:r w:rsidR="007118D3" w:rsidRPr="00890249" w:rsidDel="00BB20B9">
        <w:rPr>
          <w:rFonts w:asciiTheme="minorHAnsi" w:hAnsiTheme="minorHAnsi" w:cstheme="minorHAnsi"/>
          <w:sz w:val="22"/>
          <w:szCs w:val="22"/>
          <w:lang w:eastAsia="en-US" w:bidi="ar-SA"/>
        </w:rPr>
        <w:t>organizacji społeczeństwa obywatelskiego</w:t>
      </w:r>
      <w:r w:rsidR="002F4394" w:rsidRPr="00890249" w:rsidDel="00BB20B9">
        <w:rPr>
          <w:rFonts w:asciiTheme="minorHAnsi" w:hAnsiTheme="minorHAnsi" w:cstheme="minorHAnsi"/>
          <w:sz w:val="22"/>
          <w:szCs w:val="22"/>
          <w:lang w:eastAsia="en-US" w:bidi="ar-SA"/>
        </w:rPr>
        <w:t xml:space="preserve"> jak i</w:t>
      </w:r>
      <w:r w:rsidR="00FE3E08" w:rsidRPr="00890249" w:rsidDel="00BB20B9">
        <w:rPr>
          <w:rFonts w:asciiTheme="minorHAnsi" w:hAnsiTheme="minorHAnsi" w:cstheme="minorHAnsi"/>
          <w:sz w:val="22"/>
          <w:szCs w:val="22"/>
          <w:lang w:eastAsia="en-US" w:bidi="ar-SA"/>
        </w:rPr>
        <w:t xml:space="preserve"> </w:t>
      </w:r>
      <w:r w:rsidR="006635EB" w:rsidRPr="00890249" w:rsidDel="00BB20B9">
        <w:rPr>
          <w:rFonts w:asciiTheme="minorHAnsi" w:hAnsiTheme="minorHAnsi" w:cstheme="minorHAnsi"/>
          <w:sz w:val="22"/>
          <w:szCs w:val="22"/>
          <w:lang w:eastAsia="en-US" w:bidi="ar-SA"/>
        </w:rPr>
        <w:t xml:space="preserve">samych mieszkańców województwa opolskiego. Realizacja </w:t>
      </w:r>
      <w:r w:rsidR="00E300FB" w:rsidRPr="00890249" w:rsidDel="00BB20B9">
        <w:rPr>
          <w:rFonts w:asciiTheme="minorHAnsi" w:hAnsiTheme="minorHAnsi" w:cstheme="minorHAnsi"/>
          <w:sz w:val="22"/>
          <w:szCs w:val="22"/>
          <w:lang w:eastAsia="en-US" w:bidi="ar-SA"/>
        </w:rPr>
        <w:t>projekt</w:t>
      </w:r>
      <w:r w:rsidR="00B57678">
        <w:rPr>
          <w:rFonts w:asciiTheme="minorHAnsi" w:hAnsiTheme="minorHAnsi" w:cstheme="minorHAnsi"/>
          <w:sz w:val="22"/>
          <w:szCs w:val="22"/>
          <w:lang w:eastAsia="en-US" w:bidi="ar-SA"/>
        </w:rPr>
        <w:t>u</w:t>
      </w:r>
      <w:r w:rsidR="00E300FB" w:rsidRPr="00890249" w:rsidDel="00BB20B9">
        <w:rPr>
          <w:rFonts w:asciiTheme="minorHAnsi" w:hAnsiTheme="minorHAnsi" w:cstheme="minorHAnsi"/>
          <w:sz w:val="22"/>
          <w:szCs w:val="22"/>
          <w:lang w:eastAsia="en-US" w:bidi="ar-SA"/>
        </w:rPr>
        <w:t xml:space="preserve"> stanowić będzie odpowiedź na zdiagnozowane oddolnie problemy i wpływać na poprawę jakości życia w regionie. Wpłynie również </w:t>
      </w:r>
      <w:r w:rsidR="006635EB" w:rsidRPr="00890249" w:rsidDel="00BB20B9">
        <w:rPr>
          <w:rFonts w:asciiTheme="minorHAnsi" w:hAnsiTheme="minorHAnsi" w:cstheme="minorHAnsi"/>
          <w:sz w:val="22"/>
          <w:szCs w:val="22"/>
          <w:lang w:eastAsia="en-US" w:bidi="ar-SA"/>
        </w:rPr>
        <w:t>na zwiększenie zaangażowania obywateli</w:t>
      </w:r>
      <w:r w:rsidR="002F4394" w:rsidRPr="00890249" w:rsidDel="00BB20B9">
        <w:rPr>
          <w:rFonts w:asciiTheme="minorHAnsi" w:hAnsiTheme="minorHAnsi" w:cstheme="minorHAnsi"/>
          <w:sz w:val="22"/>
          <w:szCs w:val="22"/>
          <w:lang w:eastAsia="en-US" w:bidi="ar-SA"/>
        </w:rPr>
        <w:t xml:space="preserve"> - </w:t>
      </w:r>
      <w:r w:rsidR="00120ACB" w:rsidRPr="00890249" w:rsidDel="00BB20B9">
        <w:rPr>
          <w:rFonts w:asciiTheme="minorHAnsi" w:hAnsiTheme="minorHAnsi" w:cstheme="minorHAnsi"/>
          <w:sz w:val="22"/>
          <w:szCs w:val="22"/>
          <w:lang w:eastAsia="en-US" w:bidi="ar-SA"/>
        </w:rPr>
        <w:t xml:space="preserve">dzięki uwzględnieniu głosowania mieszkańców w procesie wyboru przedsięwzięć, </w:t>
      </w:r>
      <w:r w:rsidRPr="00890249" w:rsidDel="00BB20B9">
        <w:rPr>
          <w:rFonts w:asciiTheme="minorHAnsi" w:hAnsiTheme="minorHAnsi" w:cstheme="minorHAnsi"/>
          <w:sz w:val="22"/>
          <w:szCs w:val="22"/>
          <w:lang w:eastAsia="en-US" w:bidi="ar-SA"/>
        </w:rPr>
        <w:t>inicjatyw</w:t>
      </w:r>
      <w:r w:rsidR="00B57678">
        <w:rPr>
          <w:rFonts w:asciiTheme="minorHAnsi" w:hAnsiTheme="minorHAnsi" w:cstheme="minorHAnsi"/>
          <w:sz w:val="22"/>
          <w:szCs w:val="22"/>
          <w:lang w:eastAsia="en-US" w:bidi="ar-SA"/>
        </w:rPr>
        <w:t>a</w:t>
      </w:r>
      <w:r w:rsidRPr="00890249" w:rsidDel="00BB20B9">
        <w:rPr>
          <w:rFonts w:asciiTheme="minorHAnsi" w:hAnsiTheme="minorHAnsi" w:cstheme="minorHAnsi"/>
          <w:sz w:val="22"/>
          <w:szCs w:val="22"/>
          <w:lang w:eastAsia="en-US" w:bidi="ar-SA"/>
        </w:rPr>
        <w:t xml:space="preserve"> t</w:t>
      </w:r>
      <w:r w:rsidR="00B57678">
        <w:rPr>
          <w:rFonts w:asciiTheme="minorHAnsi" w:hAnsiTheme="minorHAnsi" w:cstheme="minorHAnsi"/>
          <w:sz w:val="22"/>
          <w:szCs w:val="22"/>
          <w:lang w:eastAsia="en-US" w:bidi="ar-SA"/>
        </w:rPr>
        <w:t>a</w:t>
      </w:r>
      <w:r w:rsidRPr="00890249" w:rsidDel="00BB20B9">
        <w:rPr>
          <w:rFonts w:asciiTheme="minorHAnsi" w:hAnsiTheme="minorHAnsi" w:cstheme="minorHAnsi"/>
          <w:sz w:val="22"/>
          <w:szCs w:val="22"/>
          <w:lang w:eastAsia="en-US" w:bidi="ar-SA"/>
        </w:rPr>
        <w:t xml:space="preserve"> </w:t>
      </w:r>
      <w:r w:rsidR="006635EB" w:rsidRPr="00890249" w:rsidDel="00BB20B9">
        <w:rPr>
          <w:rFonts w:asciiTheme="minorHAnsi" w:hAnsiTheme="minorHAnsi" w:cstheme="minorHAnsi"/>
          <w:sz w:val="22"/>
          <w:szCs w:val="22"/>
          <w:lang w:eastAsia="en-US" w:bidi="ar-SA"/>
        </w:rPr>
        <w:t>b</w:t>
      </w:r>
      <w:r w:rsidR="00B57678">
        <w:rPr>
          <w:rFonts w:asciiTheme="minorHAnsi" w:hAnsiTheme="minorHAnsi" w:cstheme="minorHAnsi"/>
          <w:sz w:val="22"/>
          <w:szCs w:val="22"/>
          <w:lang w:eastAsia="en-US" w:bidi="ar-SA"/>
        </w:rPr>
        <w:t>ędzie</w:t>
      </w:r>
      <w:r w:rsidR="006635EB" w:rsidRPr="00890249" w:rsidDel="00BB20B9">
        <w:rPr>
          <w:rFonts w:asciiTheme="minorHAnsi" w:hAnsiTheme="minorHAnsi" w:cstheme="minorHAnsi"/>
          <w:sz w:val="22"/>
          <w:szCs w:val="22"/>
          <w:lang w:eastAsia="en-US" w:bidi="ar-SA"/>
        </w:rPr>
        <w:t xml:space="preserve"> narzędziem o natężeniu silnie partycypacyjny</w:t>
      </w:r>
      <w:r w:rsidR="00120ACB" w:rsidRPr="00890249" w:rsidDel="00BB20B9">
        <w:rPr>
          <w:rFonts w:asciiTheme="minorHAnsi" w:hAnsiTheme="minorHAnsi" w:cstheme="minorHAnsi"/>
          <w:sz w:val="22"/>
          <w:szCs w:val="22"/>
          <w:lang w:eastAsia="en-US" w:bidi="ar-SA"/>
        </w:rPr>
        <w:t>m</w:t>
      </w:r>
      <w:r w:rsidR="006635EB" w:rsidRPr="00890249" w:rsidDel="00BB20B9">
        <w:rPr>
          <w:rFonts w:asciiTheme="minorHAnsi" w:hAnsiTheme="minorHAnsi" w:cstheme="minorHAnsi"/>
          <w:sz w:val="22"/>
          <w:szCs w:val="22"/>
          <w:lang w:eastAsia="en-US" w:bidi="ar-SA"/>
        </w:rPr>
        <w:t xml:space="preserve">. Partycypacja mieszkańców Opolszczyzny w </w:t>
      </w:r>
      <w:r w:rsidR="00E300FB" w:rsidRPr="00890249" w:rsidDel="00BB20B9">
        <w:rPr>
          <w:rFonts w:asciiTheme="minorHAnsi" w:hAnsiTheme="minorHAnsi" w:cstheme="minorHAnsi"/>
          <w:sz w:val="22"/>
          <w:szCs w:val="22"/>
          <w:lang w:eastAsia="en-US" w:bidi="ar-SA"/>
        </w:rPr>
        <w:t xml:space="preserve">realizację </w:t>
      </w:r>
      <w:r w:rsidRPr="00890249" w:rsidDel="00BB20B9">
        <w:rPr>
          <w:rFonts w:asciiTheme="minorHAnsi" w:hAnsiTheme="minorHAnsi" w:cstheme="minorHAnsi"/>
          <w:sz w:val="22"/>
          <w:szCs w:val="22"/>
          <w:lang w:eastAsia="en-US" w:bidi="ar-SA"/>
        </w:rPr>
        <w:t xml:space="preserve">projektów </w:t>
      </w:r>
      <w:r w:rsidR="006635EB" w:rsidRPr="00890249" w:rsidDel="00BB20B9">
        <w:rPr>
          <w:rFonts w:asciiTheme="minorHAnsi" w:hAnsiTheme="minorHAnsi" w:cstheme="minorHAnsi"/>
          <w:sz w:val="22"/>
          <w:szCs w:val="22"/>
          <w:lang w:eastAsia="en-US" w:bidi="ar-SA"/>
        </w:rPr>
        <w:t>wpłynie zarówno na wzrost zainteresowania funduszami europejskimi, ich widoczność i transparentność, jak również na zwiększenie wiedzy w zakresie korzyści z uczestnictwa w projektach współfinansowanych z funduszy strukturalnych.</w:t>
      </w:r>
      <w:r w:rsidR="00E300FB" w:rsidRPr="00890249" w:rsidDel="00BB20B9">
        <w:rPr>
          <w:rFonts w:asciiTheme="minorHAnsi" w:hAnsiTheme="minorHAnsi" w:cstheme="minorHAnsi"/>
          <w:sz w:val="22"/>
          <w:szCs w:val="22"/>
          <w:lang w:eastAsia="en-US" w:bidi="ar-SA"/>
        </w:rPr>
        <w:t xml:space="preserve"> </w:t>
      </w:r>
    </w:p>
    <w:p w14:paraId="79ADD99B" w14:textId="03640EF4" w:rsidR="0093433C" w:rsidRPr="00890249" w:rsidRDefault="006635EB" w:rsidP="00F62734">
      <w:pPr>
        <w:pStyle w:val="Tekstpodstawowy"/>
        <w:rPr>
          <w:rFonts w:asciiTheme="minorHAnsi" w:hAnsiTheme="minorHAnsi" w:cstheme="minorHAnsi"/>
          <w:noProof/>
          <w:sz w:val="22"/>
          <w:szCs w:val="22"/>
        </w:rPr>
      </w:pPr>
      <w:r w:rsidRPr="00890249" w:rsidDel="00BB20B9">
        <w:rPr>
          <w:rFonts w:asciiTheme="minorHAnsi" w:hAnsiTheme="minorHAnsi" w:cstheme="minorHAnsi"/>
          <w:sz w:val="22"/>
          <w:szCs w:val="22"/>
          <w:lang w:bidi="ar-SA"/>
        </w:rPr>
        <w:t>EBO</w:t>
      </w:r>
      <w:r w:rsidR="00C714FA" w:rsidRPr="00890249" w:rsidDel="00BB20B9">
        <w:rPr>
          <w:rFonts w:asciiTheme="minorHAnsi" w:hAnsiTheme="minorHAnsi" w:cstheme="minorHAnsi"/>
          <w:sz w:val="22"/>
          <w:szCs w:val="22"/>
          <w:lang w:bidi="ar-SA"/>
        </w:rPr>
        <w:t xml:space="preserve"> </w:t>
      </w:r>
      <w:r w:rsidRPr="00890249" w:rsidDel="00BB20B9">
        <w:rPr>
          <w:rFonts w:asciiTheme="minorHAnsi" w:hAnsiTheme="minorHAnsi" w:cstheme="minorHAnsi"/>
          <w:sz w:val="22"/>
          <w:szCs w:val="22"/>
          <w:lang w:bidi="ar-SA"/>
        </w:rPr>
        <w:t>wdrażan</w:t>
      </w:r>
      <w:r w:rsidR="00C714FA" w:rsidRPr="00890249" w:rsidDel="00BB20B9">
        <w:rPr>
          <w:rFonts w:asciiTheme="minorHAnsi" w:hAnsiTheme="minorHAnsi" w:cstheme="minorHAnsi"/>
          <w:sz w:val="22"/>
          <w:szCs w:val="22"/>
          <w:lang w:bidi="ar-SA"/>
        </w:rPr>
        <w:t>e</w:t>
      </w:r>
      <w:r w:rsidRPr="00890249" w:rsidDel="00BB20B9">
        <w:rPr>
          <w:rFonts w:asciiTheme="minorHAnsi" w:hAnsiTheme="minorHAnsi" w:cstheme="minorHAnsi"/>
          <w:sz w:val="22"/>
          <w:szCs w:val="22"/>
          <w:lang w:bidi="ar-SA"/>
        </w:rPr>
        <w:t xml:space="preserve"> </w:t>
      </w:r>
      <w:r w:rsidR="00B57678" w:rsidRPr="00890249" w:rsidDel="00BB20B9">
        <w:rPr>
          <w:rFonts w:asciiTheme="minorHAnsi" w:hAnsiTheme="minorHAnsi" w:cstheme="minorHAnsi"/>
          <w:sz w:val="22"/>
          <w:szCs w:val="22"/>
          <w:lang w:bidi="ar-SA"/>
        </w:rPr>
        <w:t>będ</w:t>
      </w:r>
      <w:r w:rsidR="00B57678">
        <w:rPr>
          <w:rFonts w:asciiTheme="minorHAnsi" w:hAnsiTheme="minorHAnsi" w:cstheme="minorHAnsi"/>
          <w:sz w:val="22"/>
          <w:szCs w:val="22"/>
          <w:lang w:bidi="ar-SA"/>
        </w:rPr>
        <w:t>zie</w:t>
      </w:r>
      <w:r w:rsidR="00B57678" w:rsidRPr="00890249" w:rsidDel="00BB20B9">
        <w:rPr>
          <w:rFonts w:asciiTheme="minorHAnsi" w:hAnsiTheme="minorHAnsi" w:cstheme="minorHAnsi"/>
          <w:sz w:val="22"/>
          <w:szCs w:val="22"/>
          <w:lang w:bidi="ar-SA"/>
        </w:rPr>
        <w:t xml:space="preserve"> </w:t>
      </w:r>
      <w:r w:rsidRPr="00890249" w:rsidDel="00BB20B9">
        <w:rPr>
          <w:rFonts w:asciiTheme="minorHAnsi" w:hAnsiTheme="minorHAnsi" w:cstheme="minorHAnsi"/>
          <w:sz w:val="22"/>
          <w:szCs w:val="22"/>
          <w:lang w:bidi="ar-SA"/>
        </w:rPr>
        <w:t>zgodnie z zasadami horyzontalnymi przyjętymi w ramach polityki spójności</w:t>
      </w:r>
      <w:r w:rsidR="00B57678">
        <w:rPr>
          <w:rFonts w:asciiTheme="minorHAnsi" w:hAnsiTheme="minorHAnsi" w:cstheme="minorHAnsi"/>
          <w:sz w:val="22"/>
          <w:szCs w:val="22"/>
          <w:lang w:bidi="ar-SA"/>
        </w:rPr>
        <w:t xml:space="preserve"> </w:t>
      </w:r>
      <w:r w:rsidRPr="00890249" w:rsidDel="00BB20B9">
        <w:rPr>
          <w:rFonts w:asciiTheme="minorHAnsi" w:hAnsiTheme="minorHAnsi" w:cstheme="minorHAnsi"/>
          <w:sz w:val="22"/>
          <w:szCs w:val="22"/>
          <w:lang w:bidi="ar-SA"/>
        </w:rPr>
        <w:t xml:space="preserve">ze znaczącym udziałem Komitetu Monitorującego, który będzie zatwierdzać zarówno kryteria wyboru projektu </w:t>
      </w:r>
      <w:r w:rsidR="00C714FA" w:rsidRPr="00890249" w:rsidDel="00BB20B9">
        <w:rPr>
          <w:rFonts w:asciiTheme="minorHAnsi" w:hAnsiTheme="minorHAnsi" w:cstheme="minorHAnsi"/>
          <w:sz w:val="22"/>
          <w:szCs w:val="22"/>
          <w:lang w:bidi="ar-SA"/>
        </w:rPr>
        <w:t>niekonkurencyjnego</w:t>
      </w:r>
      <w:r w:rsidR="00BB123B" w:rsidRPr="00890249" w:rsidDel="00BB20B9">
        <w:rPr>
          <w:rFonts w:asciiTheme="minorHAnsi" w:hAnsiTheme="minorHAnsi" w:cstheme="minorHAnsi"/>
          <w:sz w:val="22"/>
          <w:szCs w:val="22"/>
          <w:lang w:bidi="ar-SA"/>
        </w:rPr>
        <w:t>,</w:t>
      </w:r>
      <w:r w:rsidRPr="00890249" w:rsidDel="00BB20B9">
        <w:rPr>
          <w:rFonts w:asciiTheme="minorHAnsi" w:hAnsiTheme="minorHAnsi" w:cstheme="minorHAnsi"/>
          <w:sz w:val="22"/>
          <w:szCs w:val="22"/>
          <w:lang w:bidi="ar-SA"/>
        </w:rPr>
        <w:t xml:space="preserve"> jak i kryteria wyboru zadań</w:t>
      </w:r>
      <w:r w:rsidR="00DB5A9E" w:rsidRPr="00890249" w:rsidDel="00BB20B9">
        <w:rPr>
          <w:rFonts w:asciiTheme="minorHAnsi" w:hAnsiTheme="minorHAnsi" w:cstheme="minorHAnsi"/>
          <w:sz w:val="22"/>
          <w:szCs w:val="22"/>
          <w:lang w:bidi="ar-SA"/>
        </w:rPr>
        <w:t xml:space="preserve"> wybranych do realizacji</w:t>
      </w:r>
      <w:r w:rsidRPr="00890249" w:rsidDel="00BB20B9">
        <w:rPr>
          <w:rFonts w:asciiTheme="minorHAnsi" w:hAnsiTheme="minorHAnsi" w:cstheme="minorHAnsi"/>
          <w:sz w:val="22"/>
          <w:szCs w:val="22"/>
          <w:lang w:bidi="ar-SA"/>
        </w:rPr>
        <w:t>.</w:t>
      </w:r>
      <w:r w:rsidR="00DB5A9E" w:rsidRPr="00890249" w:rsidDel="00BB20B9">
        <w:rPr>
          <w:rFonts w:asciiTheme="minorHAnsi" w:hAnsiTheme="minorHAnsi" w:cstheme="minorHAnsi"/>
          <w:noProof/>
          <w:sz w:val="22"/>
          <w:szCs w:val="22"/>
        </w:rPr>
        <w:t xml:space="preserve"> </w:t>
      </w:r>
      <w:r w:rsidR="00F9737A" w:rsidRPr="00890249" w:rsidDel="00BB20B9">
        <w:rPr>
          <w:rFonts w:asciiTheme="minorHAnsi" w:eastAsiaTheme="minorHAnsi" w:hAnsiTheme="minorHAnsi" w:cstheme="minorHAnsi"/>
          <w:sz w:val="22"/>
          <w:szCs w:val="22"/>
          <w:lang w:eastAsia="en-US" w:bidi="ar-SA"/>
        </w:rPr>
        <w:t>Inicjatyw</w:t>
      </w:r>
      <w:r w:rsidR="00B57678">
        <w:rPr>
          <w:rFonts w:asciiTheme="minorHAnsi" w:eastAsiaTheme="minorHAnsi" w:hAnsiTheme="minorHAnsi" w:cstheme="minorHAnsi"/>
          <w:sz w:val="22"/>
          <w:szCs w:val="22"/>
          <w:lang w:eastAsia="en-US" w:bidi="ar-SA"/>
        </w:rPr>
        <w:t xml:space="preserve">a </w:t>
      </w:r>
      <w:r w:rsidR="00F9737A" w:rsidRPr="00890249" w:rsidDel="00BB20B9">
        <w:rPr>
          <w:rFonts w:asciiTheme="minorHAnsi" w:eastAsiaTheme="minorHAnsi" w:hAnsiTheme="minorHAnsi" w:cstheme="minorHAnsi"/>
          <w:sz w:val="22"/>
          <w:szCs w:val="22"/>
          <w:lang w:eastAsia="en-US" w:bidi="ar-SA"/>
        </w:rPr>
        <w:t>t</w:t>
      </w:r>
      <w:r w:rsidR="00B57678">
        <w:rPr>
          <w:rFonts w:asciiTheme="minorHAnsi" w:eastAsiaTheme="minorHAnsi" w:hAnsiTheme="minorHAnsi" w:cstheme="minorHAnsi"/>
          <w:sz w:val="22"/>
          <w:szCs w:val="22"/>
          <w:lang w:eastAsia="en-US" w:bidi="ar-SA"/>
        </w:rPr>
        <w:t>a</w:t>
      </w:r>
      <w:r w:rsidR="00C714FA" w:rsidRPr="00890249" w:rsidDel="00BB20B9">
        <w:rPr>
          <w:rFonts w:asciiTheme="minorHAnsi" w:eastAsiaTheme="minorHAnsi" w:hAnsiTheme="minorHAnsi" w:cstheme="minorHAnsi"/>
          <w:sz w:val="22"/>
          <w:szCs w:val="22"/>
          <w:lang w:eastAsia="en-US" w:bidi="ar-SA"/>
        </w:rPr>
        <w:t xml:space="preserve"> będ</w:t>
      </w:r>
      <w:r w:rsidR="00B57678">
        <w:rPr>
          <w:rFonts w:asciiTheme="minorHAnsi" w:eastAsiaTheme="minorHAnsi" w:hAnsiTheme="minorHAnsi" w:cstheme="minorHAnsi"/>
          <w:sz w:val="22"/>
          <w:szCs w:val="22"/>
          <w:lang w:eastAsia="en-US" w:bidi="ar-SA"/>
        </w:rPr>
        <w:t>zie</w:t>
      </w:r>
      <w:r w:rsidR="00C714FA" w:rsidRPr="00890249" w:rsidDel="00BB20B9">
        <w:rPr>
          <w:rFonts w:asciiTheme="minorHAnsi" w:eastAsiaTheme="minorHAnsi" w:hAnsiTheme="minorHAnsi" w:cstheme="minorHAnsi"/>
          <w:sz w:val="22"/>
          <w:szCs w:val="22"/>
          <w:lang w:eastAsia="en-US" w:bidi="ar-SA"/>
        </w:rPr>
        <w:t xml:space="preserve"> </w:t>
      </w:r>
      <w:r w:rsidRPr="00890249" w:rsidDel="00BB20B9">
        <w:rPr>
          <w:rFonts w:asciiTheme="minorHAnsi" w:eastAsiaTheme="minorHAnsi" w:hAnsiTheme="minorHAnsi" w:cstheme="minorHAnsi"/>
          <w:sz w:val="22"/>
          <w:szCs w:val="22"/>
          <w:lang w:eastAsia="en-US" w:bidi="ar-SA"/>
        </w:rPr>
        <w:t xml:space="preserve">obejmować szeroki wachlarz działań możliwych do realizacji, co stanowi odpowiedź na wyzwania związane z globalizacją, rozwojem ekonomicznym czy też zjawiskami demograficznymi zachodzącymi w rejonie. </w:t>
      </w:r>
      <w:r w:rsidR="00DB5A9E" w:rsidRPr="00890249" w:rsidDel="00BB20B9">
        <w:rPr>
          <w:rFonts w:asciiTheme="minorHAnsi" w:eastAsiaTheme="minorHAnsi" w:hAnsiTheme="minorHAnsi" w:cstheme="minorHAnsi"/>
          <w:sz w:val="22"/>
          <w:szCs w:val="22"/>
          <w:lang w:eastAsia="en-US" w:bidi="ar-SA"/>
        </w:rPr>
        <w:t xml:space="preserve">Ponadto </w:t>
      </w:r>
      <w:r w:rsidR="00DB5A9E" w:rsidRPr="00890249" w:rsidDel="00BB20B9">
        <w:rPr>
          <w:rFonts w:asciiTheme="minorHAnsi" w:hAnsiTheme="minorHAnsi" w:cstheme="minorHAnsi"/>
          <w:noProof/>
          <w:sz w:val="22"/>
          <w:szCs w:val="22"/>
        </w:rPr>
        <w:t>działania te będą mieć charakter wdrożeniowy, a nie koncepcyjny polegający na opracowaniu i testowaniu innowacyjnego rozwiązania.</w:t>
      </w:r>
    </w:p>
    <w:p w14:paraId="23435333" w14:textId="77777777" w:rsidR="0093433C" w:rsidRPr="00890249" w:rsidRDefault="00083EE4"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Planowane typy przedsięwzięć</w:t>
      </w:r>
      <w:r w:rsidR="00C166EE" w:rsidRPr="00890249" w:rsidDel="00BB20B9">
        <w:rPr>
          <w:rFonts w:asciiTheme="minorHAnsi" w:hAnsiTheme="minorHAnsi" w:cstheme="minorHAnsi"/>
          <w:sz w:val="22"/>
          <w:szCs w:val="22"/>
          <w:lang w:eastAsia="en-US" w:bidi="ar-SA"/>
        </w:rPr>
        <w:t>:</w:t>
      </w:r>
    </w:p>
    <w:p w14:paraId="570CECDE" w14:textId="3B89E7B0" w:rsidR="00B72154" w:rsidRPr="00F6748A" w:rsidRDefault="000D2448" w:rsidP="009F296A">
      <w:pPr>
        <w:pStyle w:val="Akapitzlist"/>
        <w:numPr>
          <w:ilvl w:val="0"/>
          <w:numId w:val="96"/>
        </w:numPr>
        <w:ind w:left="425" w:hanging="425"/>
        <w:contextualSpacing w:val="0"/>
        <w:rPr>
          <w:rFonts w:asciiTheme="minorHAnsi" w:eastAsiaTheme="minorHAnsi" w:hAnsiTheme="minorHAnsi" w:cstheme="minorHAnsi"/>
          <w:color w:val="000000"/>
          <w:sz w:val="22"/>
          <w:szCs w:val="22"/>
          <w:shd w:val="clear" w:color="auto" w:fill="FFFFFF"/>
          <w:lang w:eastAsia="en-US" w:bidi="ar-SA"/>
        </w:rPr>
      </w:pPr>
      <w:r w:rsidRPr="00890249" w:rsidDel="00BB20B9">
        <w:rPr>
          <w:rFonts w:asciiTheme="minorHAnsi" w:eastAsiaTheme="minorHAnsi" w:hAnsiTheme="minorHAnsi" w:cstheme="minorHAnsi"/>
          <w:sz w:val="22"/>
          <w:szCs w:val="22"/>
          <w:lang w:eastAsia="en-US" w:bidi="ar-SA"/>
        </w:rPr>
        <w:t>W ramach</w:t>
      </w:r>
      <w:r w:rsidR="00C166EE" w:rsidRPr="00890249" w:rsidDel="00BB20B9">
        <w:rPr>
          <w:rFonts w:asciiTheme="minorHAnsi" w:eastAsiaTheme="minorHAnsi" w:hAnsiTheme="minorHAnsi" w:cstheme="minorHAnsi"/>
          <w:sz w:val="22"/>
          <w:szCs w:val="22"/>
          <w:lang w:eastAsia="en-US" w:bidi="ar-SA"/>
        </w:rPr>
        <w:t xml:space="preserve"> EBO </w:t>
      </w:r>
      <w:r w:rsidR="00C76711" w:rsidRPr="00890249" w:rsidDel="00BB20B9">
        <w:rPr>
          <w:rFonts w:asciiTheme="minorHAnsi" w:eastAsiaTheme="minorHAnsi" w:hAnsiTheme="minorHAnsi" w:cstheme="minorHAnsi"/>
          <w:sz w:val="22"/>
          <w:szCs w:val="22"/>
          <w:lang w:eastAsia="en-US" w:bidi="ar-SA"/>
        </w:rPr>
        <w:t xml:space="preserve">wdrażane </w:t>
      </w:r>
      <w:r w:rsidRPr="00890249" w:rsidDel="00BB20B9">
        <w:rPr>
          <w:rFonts w:asciiTheme="minorHAnsi" w:eastAsiaTheme="minorHAnsi" w:hAnsiTheme="minorHAnsi" w:cstheme="minorHAnsi"/>
          <w:sz w:val="22"/>
          <w:szCs w:val="22"/>
          <w:lang w:eastAsia="en-US" w:bidi="ar-SA"/>
        </w:rPr>
        <w:t xml:space="preserve">będą inicjatywy </w:t>
      </w:r>
      <w:r w:rsidR="00F6748A">
        <w:rPr>
          <w:rFonts w:asciiTheme="minorHAnsi" w:eastAsiaTheme="minorHAnsi" w:hAnsiTheme="minorHAnsi" w:cstheme="minorHAnsi"/>
          <w:sz w:val="22"/>
          <w:szCs w:val="22"/>
          <w:lang w:eastAsia="en-US" w:bidi="ar-SA"/>
        </w:rPr>
        <w:t xml:space="preserve">przede wszystkim </w:t>
      </w:r>
      <w:r w:rsidRPr="00890249" w:rsidDel="00BB20B9">
        <w:rPr>
          <w:rFonts w:asciiTheme="minorHAnsi" w:eastAsiaTheme="minorHAnsi" w:hAnsiTheme="minorHAnsi" w:cstheme="minorHAnsi"/>
          <w:sz w:val="22"/>
          <w:szCs w:val="22"/>
          <w:lang w:eastAsia="en-US" w:bidi="ar-SA"/>
        </w:rPr>
        <w:t>z zakresu</w:t>
      </w:r>
      <w:r w:rsidR="00AA3C86" w:rsidRPr="00890249">
        <w:rPr>
          <w:rFonts w:asciiTheme="minorHAnsi" w:eastAsiaTheme="minorHAnsi" w:hAnsiTheme="minorHAnsi" w:cstheme="minorHAnsi"/>
          <w:sz w:val="22"/>
          <w:szCs w:val="22"/>
          <w:lang w:eastAsia="en-US" w:bidi="ar-SA"/>
        </w:rPr>
        <w:t xml:space="preserve"> merytorycznego </w:t>
      </w:r>
      <w:r w:rsidR="00F6748A">
        <w:rPr>
          <w:rFonts w:asciiTheme="minorHAnsi" w:eastAsiaTheme="minorHAnsi" w:hAnsiTheme="minorHAnsi" w:cstheme="minorHAnsi"/>
          <w:sz w:val="22"/>
          <w:szCs w:val="22"/>
          <w:lang w:eastAsia="en-US" w:bidi="ar-SA"/>
        </w:rPr>
        <w:t xml:space="preserve">celu szczegółowego (g). Możliwa również będzie realizacja wsparcia z zakresu </w:t>
      </w:r>
      <w:r w:rsidR="00AA3C86" w:rsidRPr="00890249">
        <w:rPr>
          <w:rFonts w:asciiTheme="minorHAnsi" w:eastAsiaTheme="minorHAnsi" w:hAnsiTheme="minorHAnsi" w:cstheme="minorHAnsi"/>
          <w:sz w:val="22"/>
          <w:szCs w:val="22"/>
          <w:lang w:eastAsia="en-US" w:bidi="ar-SA"/>
        </w:rPr>
        <w:t>celów szczegółowych</w:t>
      </w:r>
      <w:r w:rsidR="006635EB" w:rsidRPr="00890249" w:rsidDel="00BB20B9">
        <w:rPr>
          <w:rFonts w:asciiTheme="minorHAnsi" w:eastAsiaTheme="minorHAnsi" w:hAnsiTheme="minorHAnsi" w:cstheme="minorHAnsi"/>
          <w:sz w:val="22"/>
          <w:szCs w:val="22"/>
          <w:lang w:eastAsia="en-US" w:bidi="ar-SA"/>
        </w:rPr>
        <w:t>:</w:t>
      </w:r>
      <w:r w:rsidR="00AA3C86" w:rsidRPr="00890249">
        <w:rPr>
          <w:rFonts w:asciiTheme="minorHAnsi" w:eastAsiaTheme="minorHAnsi" w:hAnsiTheme="minorHAnsi" w:cstheme="minorHAnsi"/>
          <w:sz w:val="22"/>
          <w:szCs w:val="22"/>
          <w:lang w:eastAsia="en-US" w:bidi="ar-SA"/>
        </w:rPr>
        <w:t xml:space="preserve"> (a), </w:t>
      </w:r>
      <w:r w:rsidR="0079381F" w:rsidRPr="00890249">
        <w:rPr>
          <w:rFonts w:asciiTheme="minorHAnsi" w:eastAsiaTheme="minorHAnsi" w:hAnsiTheme="minorHAnsi" w:cstheme="minorHAnsi"/>
          <w:sz w:val="22"/>
          <w:szCs w:val="22"/>
          <w:lang w:eastAsia="en-US" w:bidi="ar-SA"/>
        </w:rPr>
        <w:t xml:space="preserve">(c), </w:t>
      </w:r>
      <w:r w:rsidR="00AA3C86" w:rsidRPr="00890249">
        <w:rPr>
          <w:rFonts w:asciiTheme="minorHAnsi" w:eastAsiaTheme="minorHAnsi" w:hAnsiTheme="minorHAnsi" w:cstheme="minorHAnsi"/>
          <w:sz w:val="22"/>
          <w:szCs w:val="22"/>
          <w:lang w:eastAsia="en-US" w:bidi="ar-SA"/>
        </w:rPr>
        <w:t>(f), (h), (i), (k), (l).</w:t>
      </w:r>
    </w:p>
    <w:p w14:paraId="13377AB3" w14:textId="5FDEA9D3" w:rsidR="00F6748A" w:rsidRPr="00F6748A" w:rsidRDefault="00F6748A" w:rsidP="00F6748A">
      <w:pPr>
        <w:ind w:left="426"/>
        <w:rPr>
          <w:rFonts w:asciiTheme="minorHAnsi" w:eastAsiaTheme="minorHAnsi" w:hAnsiTheme="minorHAnsi" w:cstheme="minorHAnsi"/>
          <w:color w:val="000000"/>
          <w:sz w:val="22"/>
          <w:szCs w:val="22"/>
          <w:shd w:val="clear" w:color="auto" w:fill="FFFFFF"/>
          <w:lang w:eastAsia="en-US" w:bidi="ar-SA"/>
        </w:rPr>
      </w:pPr>
      <w:r w:rsidRPr="00F6748A">
        <w:rPr>
          <w:rFonts w:asciiTheme="minorHAnsi" w:eastAsiaTheme="minorHAnsi" w:hAnsiTheme="minorHAnsi" w:cstheme="minorHAnsi"/>
          <w:color w:val="000000"/>
          <w:sz w:val="22"/>
          <w:szCs w:val="22"/>
          <w:shd w:val="clear" w:color="auto" w:fill="FFFFFF"/>
          <w:lang w:eastAsia="en-US" w:bidi="ar-SA"/>
        </w:rPr>
        <w:lastRenderedPageBreak/>
        <w:t xml:space="preserve">Ewentualne szczegółowe warunki realizacji wsparcia opisane w ramach </w:t>
      </w:r>
      <w:r w:rsidR="007F6256">
        <w:rPr>
          <w:rFonts w:asciiTheme="minorHAnsi" w:eastAsiaTheme="minorHAnsi" w:hAnsiTheme="minorHAnsi" w:cstheme="minorHAnsi"/>
          <w:color w:val="000000"/>
          <w:sz w:val="22"/>
          <w:szCs w:val="22"/>
          <w:shd w:val="clear" w:color="auto" w:fill="FFFFFF"/>
          <w:lang w:eastAsia="en-US" w:bidi="ar-SA"/>
        </w:rPr>
        <w:t>ww. celów szczegółowych</w:t>
      </w:r>
      <w:r w:rsidRPr="00F6748A">
        <w:rPr>
          <w:rFonts w:asciiTheme="minorHAnsi" w:eastAsiaTheme="minorHAnsi" w:hAnsiTheme="minorHAnsi" w:cstheme="minorHAnsi"/>
          <w:color w:val="000000"/>
          <w:sz w:val="22"/>
          <w:szCs w:val="22"/>
          <w:shd w:val="clear" w:color="auto" w:fill="FFFFFF"/>
          <w:lang w:eastAsia="en-US" w:bidi="ar-SA"/>
        </w:rPr>
        <w:t xml:space="preserve"> w Programie oraz w Wytycznych krajowych dot. realizacji projektów w ramach EFS+, jeśli znajdą swoje zastosowanie, zostaną przełożone na kryteria wyboru zadań, przyjmowane przez KM FEO 2021-2027.</w:t>
      </w:r>
    </w:p>
    <w:p w14:paraId="4A13566D" w14:textId="44A701E0" w:rsidR="00B72154" w:rsidRPr="00890249" w:rsidRDefault="00875C92" w:rsidP="009F296A">
      <w:pPr>
        <w:pStyle w:val="Akapitzlist"/>
        <w:numPr>
          <w:ilvl w:val="0"/>
          <w:numId w:val="96"/>
        </w:numPr>
        <w:ind w:left="425" w:hanging="425"/>
        <w:contextualSpacing w:val="0"/>
        <w:rPr>
          <w:rFonts w:asciiTheme="minorHAnsi" w:eastAsiaTheme="minorHAnsi" w:hAnsiTheme="minorHAnsi" w:cstheme="minorHAnsi"/>
          <w:color w:val="000000"/>
          <w:sz w:val="22"/>
          <w:szCs w:val="22"/>
          <w:shd w:val="clear" w:color="auto" w:fill="FFFFFF"/>
          <w:lang w:eastAsia="en-US" w:bidi="ar-SA"/>
        </w:rPr>
      </w:pPr>
      <w:r w:rsidRPr="00890249">
        <w:rPr>
          <w:rFonts w:asciiTheme="minorHAnsi" w:eastAsiaTheme="minorHAnsi" w:hAnsiTheme="minorHAnsi" w:cstheme="minorHAnsi"/>
          <w:sz w:val="22"/>
          <w:szCs w:val="22"/>
          <w:lang w:eastAsia="en-US" w:bidi="ar-SA"/>
        </w:rPr>
        <w:t xml:space="preserve">W ramach EMBO </w:t>
      </w:r>
      <w:r w:rsidR="003D3E6F" w:rsidRPr="00F6748A">
        <w:rPr>
          <w:rFonts w:asciiTheme="minorHAnsi" w:eastAsiaTheme="minorHAnsi" w:hAnsiTheme="minorHAnsi" w:cstheme="minorHAnsi"/>
          <w:sz w:val="22"/>
          <w:szCs w:val="22"/>
          <w:lang w:eastAsia="en-US" w:bidi="ar-SA"/>
        </w:rPr>
        <w:t>w celu promocji i wsparcia aktywności obywatelskiej, w tym wsparcia grup nieformalnych</w:t>
      </w:r>
      <w:r w:rsidR="003D3E6F" w:rsidRPr="00890249" w:rsidDel="00F6748A">
        <w:rPr>
          <w:rFonts w:asciiTheme="minorHAnsi" w:eastAsiaTheme="minorHAnsi" w:hAnsiTheme="minorHAnsi" w:cstheme="minorHAnsi"/>
          <w:sz w:val="22"/>
          <w:szCs w:val="22"/>
          <w:lang w:eastAsia="en-US" w:bidi="ar-SA"/>
        </w:rPr>
        <w:t xml:space="preserve"> </w:t>
      </w:r>
      <w:r w:rsidR="00F6748A" w:rsidRPr="00F6748A">
        <w:rPr>
          <w:rFonts w:asciiTheme="minorHAnsi" w:eastAsiaTheme="minorHAnsi" w:hAnsiTheme="minorHAnsi" w:cstheme="minorHAnsi"/>
          <w:sz w:val="22"/>
          <w:szCs w:val="22"/>
          <w:lang w:eastAsia="en-US" w:bidi="ar-SA"/>
        </w:rPr>
        <w:t xml:space="preserve">regionalne organizacje pozarządowe </w:t>
      </w:r>
      <w:r w:rsidR="00F6748A">
        <w:rPr>
          <w:rFonts w:asciiTheme="minorHAnsi" w:eastAsiaTheme="minorHAnsi" w:hAnsiTheme="minorHAnsi" w:cstheme="minorHAnsi"/>
          <w:sz w:val="22"/>
          <w:szCs w:val="22"/>
          <w:lang w:eastAsia="en-US" w:bidi="ar-SA"/>
        </w:rPr>
        <w:t xml:space="preserve">wdrażać będą autorskie </w:t>
      </w:r>
      <w:r w:rsidR="00F6748A" w:rsidRPr="00890249">
        <w:rPr>
          <w:rFonts w:asciiTheme="minorHAnsi" w:eastAsiaTheme="minorHAnsi" w:hAnsiTheme="minorHAnsi" w:cstheme="minorHAnsi"/>
          <w:sz w:val="22"/>
          <w:szCs w:val="22"/>
          <w:lang w:eastAsia="en-US" w:bidi="ar-SA"/>
        </w:rPr>
        <w:t xml:space="preserve">inicjatywy </w:t>
      </w:r>
      <w:r w:rsidR="00F6748A">
        <w:rPr>
          <w:rFonts w:asciiTheme="minorHAnsi" w:eastAsiaTheme="minorHAnsi" w:hAnsiTheme="minorHAnsi" w:cstheme="minorHAnsi"/>
          <w:sz w:val="22"/>
          <w:szCs w:val="22"/>
          <w:lang w:eastAsia="en-US" w:bidi="ar-SA"/>
        </w:rPr>
        <w:t>młodzieży</w:t>
      </w:r>
      <w:r w:rsidR="003D3E6F">
        <w:rPr>
          <w:rFonts w:asciiTheme="minorHAnsi" w:eastAsiaTheme="minorHAnsi" w:hAnsiTheme="minorHAnsi" w:cstheme="minorHAnsi"/>
          <w:sz w:val="22"/>
          <w:szCs w:val="22"/>
          <w:lang w:eastAsia="en-US" w:bidi="ar-SA"/>
        </w:rPr>
        <w:t>,</w:t>
      </w:r>
      <w:r w:rsidR="00F6748A">
        <w:rPr>
          <w:rFonts w:asciiTheme="minorHAnsi" w:eastAsiaTheme="minorHAnsi" w:hAnsiTheme="minorHAnsi" w:cstheme="minorHAnsi"/>
          <w:sz w:val="22"/>
          <w:szCs w:val="22"/>
          <w:lang w:eastAsia="en-US" w:bidi="ar-SA"/>
        </w:rPr>
        <w:t xml:space="preserve"> </w:t>
      </w:r>
      <w:r w:rsidR="00F6748A" w:rsidRPr="00F6748A">
        <w:rPr>
          <w:rFonts w:asciiTheme="minorHAnsi" w:eastAsiaTheme="minorHAnsi" w:hAnsiTheme="minorHAnsi" w:cstheme="minorHAnsi"/>
          <w:sz w:val="22"/>
          <w:szCs w:val="22"/>
          <w:lang w:eastAsia="en-US" w:bidi="ar-SA"/>
        </w:rPr>
        <w:t>w</w:t>
      </w:r>
      <w:r w:rsidR="00F6748A">
        <w:rPr>
          <w:rFonts w:asciiTheme="minorHAnsi" w:eastAsiaTheme="minorHAnsi" w:hAnsiTheme="minorHAnsi" w:cstheme="minorHAnsi"/>
          <w:sz w:val="22"/>
          <w:szCs w:val="22"/>
          <w:lang w:eastAsia="en-US" w:bidi="ar-SA"/>
        </w:rPr>
        <w:t xml:space="preserve"> szczególności w</w:t>
      </w:r>
      <w:r w:rsidR="00F6748A" w:rsidRPr="00F6748A">
        <w:rPr>
          <w:rFonts w:asciiTheme="minorHAnsi" w:eastAsiaTheme="minorHAnsi" w:hAnsiTheme="minorHAnsi" w:cstheme="minorHAnsi"/>
          <w:sz w:val="22"/>
          <w:szCs w:val="22"/>
          <w:lang w:eastAsia="en-US" w:bidi="ar-SA"/>
        </w:rPr>
        <w:t xml:space="preserve"> ramach cs (h). </w:t>
      </w:r>
    </w:p>
    <w:p w14:paraId="5DE98076" w14:textId="7C65D59A" w:rsidR="0093433C" w:rsidRPr="00890249" w:rsidRDefault="0069712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sidDel="00BB20B9">
        <w:rPr>
          <w:rFonts w:asciiTheme="minorHAnsi" w:hAnsiTheme="minorHAnsi" w:cstheme="minorHAnsi"/>
          <w:noProof/>
          <w:sz w:val="22"/>
          <w:szCs w:val="22"/>
        </w:rPr>
        <w:t xml:space="preserve">są zgodne z zasadą DNSH. Ze względu na ich charakter przyjmuje się, że nie mają negatywnego wpływu na środowisko. </w:t>
      </w:r>
    </w:p>
    <w:p w14:paraId="7BB16E2A" w14:textId="77777777" w:rsidR="00C92719" w:rsidRPr="00890249" w:rsidDel="00BB20B9" w:rsidRDefault="00C92719" w:rsidP="00C92719">
      <w:pPr>
        <w:rPr>
          <w:rFonts w:asciiTheme="minorHAnsi" w:hAnsiTheme="minorHAnsi" w:cstheme="minorHAnsi"/>
          <w:b/>
          <w:noProof/>
          <w:color w:val="2F5496" w:themeColor="accent5" w:themeShade="BF"/>
          <w:sz w:val="22"/>
          <w:szCs w:val="22"/>
        </w:rPr>
      </w:pPr>
      <w:r w:rsidRPr="00890249" w:rsidDel="00BB20B9">
        <w:rPr>
          <w:rFonts w:asciiTheme="minorHAnsi" w:hAnsiTheme="minorHAnsi" w:cstheme="minorHAnsi"/>
          <w:b/>
          <w:noProof/>
          <w:color w:val="2F5496" w:themeColor="accent5" w:themeShade="BF"/>
          <w:sz w:val="22"/>
          <w:szCs w:val="22"/>
        </w:rPr>
        <w:t>Główne grupy docelowe</w:t>
      </w:r>
    </w:p>
    <w:p w14:paraId="5C3C94D0" w14:textId="77777777" w:rsidR="0093433C" w:rsidRPr="00890249" w:rsidRDefault="005E1ADE" w:rsidP="00890249">
      <w:pPr>
        <w:pStyle w:val="Tekstpodstawowy"/>
        <w:rPr>
          <w:rFonts w:asciiTheme="minorHAnsi" w:hAnsiTheme="minorHAnsi" w:cstheme="minorHAnsi"/>
          <w:noProof/>
          <w:sz w:val="22"/>
          <w:szCs w:val="22"/>
        </w:rPr>
      </w:pPr>
      <w:r w:rsidRPr="00890249" w:rsidDel="00BB20B9">
        <w:rPr>
          <w:rFonts w:asciiTheme="minorHAnsi" w:hAnsiTheme="minorHAnsi" w:cstheme="minorHAnsi"/>
          <w:noProof/>
          <w:sz w:val="22"/>
          <w:szCs w:val="22"/>
        </w:rPr>
        <w:t xml:space="preserve">Mieszkańcy województwa opolskiego. </w:t>
      </w:r>
    </w:p>
    <w:p w14:paraId="0AEEE723" w14:textId="77777777" w:rsidR="00C92719" w:rsidRPr="00890249" w:rsidDel="00BB20B9" w:rsidRDefault="00C92719" w:rsidP="00C92719">
      <w:pPr>
        <w:rPr>
          <w:rFonts w:asciiTheme="minorHAnsi" w:hAnsiTheme="minorHAnsi" w:cstheme="minorHAnsi"/>
          <w:b/>
          <w:noProof/>
          <w:color w:val="2F5496" w:themeColor="accent5" w:themeShade="BF"/>
          <w:sz w:val="22"/>
          <w:szCs w:val="22"/>
        </w:rPr>
      </w:pPr>
      <w:r w:rsidRPr="00890249" w:rsidDel="00BB20B9">
        <w:rPr>
          <w:rFonts w:asciiTheme="minorHAnsi" w:hAnsiTheme="minorHAnsi" w:cstheme="minorHAnsi"/>
          <w:b/>
          <w:noProof/>
          <w:color w:val="2F5496" w:themeColor="accent5" w:themeShade="BF"/>
          <w:sz w:val="22"/>
          <w:szCs w:val="22"/>
        </w:rPr>
        <w:t>Działania na rzecz zapewnienia równości, włączenia społecznego i niedyskryminacji</w:t>
      </w:r>
    </w:p>
    <w:p w14:paraId="57096A5D" w14:textId="77777777" w:rsidR="0093433C" w:rsidRPr="00890249" w:rsidRDefault="00A25AA6"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 xml:space="preserve">Wsparcie będzie realizowane z poszanowaniem fundamentalnych praw człowieka określonych </w:t>
      </w:r>
      <w:r w:rsidRPr="00890249" w:rsidDel="00BB20B9">
        <w:rPr>
          <w:rFonts w:asciiTheme="minorHAnsi" w:hAnsiTheme="minorHAnsi" w:cstheme="minorHAnsi"/>
          <w:sz w:val="22"/>
          <w:szCs w:val="22"/>
          <w:lang w:eastAsia="en-US" w:bidi="ar-SA"/>
        </w:rPr>
        <w:br/>
        <w:t xml:space="preserve">w Karcie Praw Podstawowych Unii Europejskiej, w tym m.in.: niedyskryminacją, równością kobiet </w:t>
      </w:r>
      <w:r w:rsidRPr="00890249" w:rsidDel="00BB20B9">
        <w:rPr>
          <w:rFonts w:asciiTheme="minorHAnsi" w:hAnsiTheme="minorHAnsi" w:cstheme="minorHAnsi"/>
          <w:sz w:val="22"/>
          <w:szCs w:val="22"/>
          <w:lang w:eastAsia="en-US" w:bidi="ar-SA"/>
        </w:rPr>
        <w:br/>
        <w:t xml:space="preserve">i mężczyzn, integracją osób niepełnosprawnych. Ponadto będzie zgodne z zasadami transparentności i niedyskryminacji, a także z warunkami określonymi w art. 9 Rozporządzenia UE 2021/1060, </w:t>
      </w:r>
      <w:r w:rsidRPr="00890249" w:rsidDel="00BB20B9">
        <w:rPr>
          <w:rFonts w:asciiTheme="minorHAnsi" w:hAnsiTheme="minorHAnsi" w:cstheme="minorHAnsi"/>
          <w:sz w:val="22"/>
          <w:szCs w:val="22"/>
          <w:lang w:eastAsia="en-US" w:bidi="ar-SA"/>
        </w:rPr>
        <w:br/>
        <w:t>tj. w zakresie równości szans kobiet i mężczyzn oraz niedyskryminacji, a także zrównoważonego rozwoju oraz Załącznika III do Rozporządzenia UE 2021/1060.</w:t>
      </w:r>
    </w:p>
    <w:p w14:paraId="51A61965" w14:textId="77777777" w:rsidR="0093433C" w:rsidRPr="00890249" w:rsidRDefault="00A25AA6"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Zasady horyzontalne będą przestrzegane na wszystkich etapach realizacji Programu.</w:t>
      </w:r>
    </w:p>
    <w:p w14:paraId="79E2CB6D" w14:textId="77777777" w:rsidR="0093433C" w:rsidRPr="00890249" w:rsidRDefault="00A25AA6" w:rsidP="00890249">
      <w:pPr>
        <w:pStyle w:val="Tekstpodstawowy"/>
        <w:rPr>
          <w:rFonts w:asciiTheme="minorHAnsi" w:hAnsiTheme="minorHAnsi" w:cstheme="minorHAnsi"/>
          <w:sz w:val="22"/>
          <w:szCs w:val="22"/>
          <w:lang w:eastAsia="en-US" w:bidi="ar-SA"/>
        </w:rPr>
      </w:pPr>
      <w:r w:rsidRPr="00890249" w:rsidDel="00BB20B9">
        <w:rPr>
          <w:rFonts w:asciiTheme="minorHAnsi" w:hAnsiTheme="minorHAnsi" w:cstheme="minorHAnsi"/>
          <w:sz w:val="22"/>
          <w:szCs w:val="22"/>
          <w:lang w:eastAsia="en-US" w:bidi="ar-SA"/>
        </w:rPr>
        <w:t>Planowane działania na rzecz zwalczania wszelkich form dyskryminacji oraz promowania równości szans:</w:t>
      </w:r>
    </w:p>
    <w:p w14:paraId="759824B3" w14:textId="77777777"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mające na celu zrozumienie praw i potrzeb osób zagrożonych dyskryminacją, np. osób </w:t>
      </w:r>
      <w:r w:rsidRPr="00890249">
        <w:rPr>
          <w:rFonts w:asciiTheme="minorHAnsi" w:hAnsiTheme="minorHAnsi" w:cstheme="minorHAnsi"/>
          <w:sz w:val="22"/>
          <w:szCs w:val="22"/>
          <w:lang w:eastAsia="en-US" w:bidi="ar-SA"/>
        </w:rPr>
        <w:br/>
        <w:t>z niepełnosprawnościami,</w:t>
      </w:r>
    </w:p>
    <w:p w14:paraId="55EA480E" w14:textId="154A27E4"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mające na celu zwalczanie wszelkich form dyskryminacji oraz eliminowanie barier mentalnych i stereotypów dotyczących dzieci z niepełnosprawnościami,</w:t>
      </w:r>
      <w:r w:rsidR="7984D6F4"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zapewniające wsparcie psychologiczno-pedagogiczne oraz pomoc prawną dla osób doświadczających przemocy,</w:t>
      </w:r>
    </w:p>
    <w:p w14:paraId="45F5A40C" w14:textId="68F00041"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wsparcie inicjatyw mających na celu zwalczanie przestępstw, mowy nienawiści, przemocy </w:t>
      </w:r>
      <w:r w:rsidR="00372E01" w:rsidRPr="00890249">
        <w:rPr>
          <w:rFonts w:asciiTheme="minorHAnsi" w:hAnsiTheme="minorHAnsi" w:cstheme="minorHAnsi"/>
          <w:sz w:val="22"/>
          <w:szCs w:val="22"/>
        </w:rPr>
        <w:br/>
      </w:r>
      <w:r w:rsidRPr="00890249">
        <w:rPr>
          <w:rFonts w:asciiTheme="minorHAnsi" w:hAnsiTheme="minorHAnsi" w:cstheme="minorHAnsi"/>
          <w:sz w:val="22"/>
          <w:szCs w:val="22"/>
          <w:lang w:eastAsia="en-US" w:bidi="ar-SA"/>
        </w:rPr>
        <w:t>i szkodliwych praktyk,</w:t>
      </w:r>
      <w:r w:rsidR="7984D6F4"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wykorzystujące ekspresję kulturową w celu zwalczania dyskryminacji, </w:t>
      </w:r>
    </w:p>
    <w:p w14:paraId="417DB6DF" w14:textId="62917EC6"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formułowanie kryteriów wyboru projektów wskazujących na odmowę dofinansowania dla </w:t>
      </w:r>
      <w:r w:rsidR="16965D05" w:rsidRPr="00890249">
        <w:rPr>
          <w:rFonts w:asciiTheme="minorHAnsi" w:hAnsiTheme="minorHAnsi" w:cstheme="minorHAnsi"/>
          <w:sz w:val="22"/>
          <w:szCs w:val="22"/>
          <w:lang w:eastAsia="en-US" w:bidi="ar-SA"/>
        </w:rPr>
        <w:t xml:space="preserve">beneficjenta, będącego </w:t>
      </w:r>
      <w:r w:rsidR="16965D05" w:rsidRPr="00890249">
        <w:rPr>
          <w:rFonts w:asciiTheme="minorHAnsi" w:hAnsiTheme="minorHAnsi" w:cstheme="minorHAnsi"/>
          <w:sz w:val="22"/>
          <w:szCs w:val="22"/>
          <w:lang w:eastAsia="en-US"/>
        </w:rPr>
        <w:t>jednostką samorządu terytorialnego (lub podmiotem przez nią kontrolowanym lub od niej zależnym), która podjęła jakiekolwiek działania dyskryminujące, sprzeczne z zasadami, o których mowa w art. 9 ust. 3 rozporządzenia nr 2021/1060, np. podjęła uchwałę budzącą obawy co do jej zgodności z podstawowymi wartościami określonymi w art. 2 Traktatu o Unii Europejskiej lub Karcie Praw Podstawowych Unii Europejskiej,</w:t>
      </w:r>
    </w:p>
    <w:p w14:paraId="5BD031C4" w14:textId="02B96566"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tworzenie metodologii oceny kryterium wyboru projektów zgodnych z horyzontalną zasadą niedyskryminacji, </w:t>
      </w:r>
    </w:p>
    <w:p w14:paraId="19674FAF" w14:textId="1D73AA03"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zawarcie w umowach o dofinansowanie klauzuli zakazującej jakiejkolwiek dyskryminacji </w:t>
      </w:r>
      <w:r w:rsidR="00372E01" w:rsidRPr="00890249">
        <w:rPr>
          <w:rFonts w:asciiTheme="minorHAnsi" w:hAnsiTheme="minorHAnsi" w:cstheme="minorHAnsi"/>
          <w:sz w:val="22"/>
          <w:szCs w:val="22"/>
        </w:rPr>
        <w:br/>
      </w:r>
      <w:r w:rsidRPr="00890249">
        <w:rPr>
          <w:rFonts w:asciiTheme="minorHAnsi" w:hAnsiTheme="minorHAnsi" w:cstheme="minorHAnsi"/>
          <w:sz w:val="22"/>
          <w:szCs w:val="22"/>
          <w:lang w:eastAsia="en-US" w:bidi="ar-SA"/>
        </w:rPr>
        <w:t>w korzystaniu ze wsparcia przez odbiorców ostatecznych,</w:t>
      </w:r>
    </w:p>
    <w:p w14:paraId="6BFE3448" w14:textId="794DF228"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włączenie do Komitetu Monitorującego członków organizacji pozarządowych oraz reprezentantów mniejszości, w tym etnicznych, </w:t>
      </w:r>
    </w:p>
    <w:p w14:paraId="1228AF69" w14:textId="77777777" w:rsidR="00B72154" w:rsidRPr="00890249" w:rsidRDefault="00875C92" w:rsidP="009F296A">
      <w:pPr>
        <w:pStyle w:val="Akapitzlist"/>
        <w:numPr>
          <w:ilvl w:val="0"/>
          <w:numId w:val="110"/>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szkolenia dla pracowników IZ oraz beneficjentów.</w:t>
      </w:r>
    </w:p>
    <w:p w14:paraId="4DA285DB" w14:textId="77777777" w:rsidR="00C92719" w:rsidRPr="00890249" w:rsidDel="00BB20B9" w:rsidRDefault="00C92719" w:rsidP="00C92719">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0C6BD596" w14:textId="18899E1A" w:rsidR="0093433C" w:rsidRPr="00890249" w:rsidRDefault="003E3F15">
      <w:pPr>
        <w:rPr>
          <w:rFonts w:asciiTheme="minorHAnsi" w:hAnsiTheme="minorHAnsi" w:cstheme="minorHAnsi"/>
        </w:rPr>
      </w:pPr>
      <w:r w:rsidRPr="00890249">
        <w:rPr>
          <w:rFonts w:asciiTheme="minorHAnsi" w:hAnsiTheme="minorHAnsi" w:cstheme="minorHAnsi"/>
          <w:noProof/>
          <w:sz w:val="22"/>
        </w:rPr>
        <w:t xml:space="preserve">Wsparciem zostanie objęty cały obszar województa opolskiego. </w:t>
      </w:r>
    </w:p>
    <w:p w14:paraId="76FFF85C" w14:textId="4D9A6391" w:rsidR="0093433C" w:rsidRPr="00890249" w:rsidRDefault="00C92719" w:rsidP="00890249">
      <w:pPr>
        <w:pStyle w:val="Nagwek7"/>
        <w:rPr>
          <w:rFonts w:asciiTheme="minorHAnsi" w:hAnsiTheme="minorHAnsi" w:cstheme="minorHAnsi"/>
          <w:noProof/>
        </w:rPr>
      </w:pPr>
      <w:r w:rsidRPr="00890249" w:rsidDel="00BB20B9">
        <w:rPr>
          <w:rFonts w:asciiTheme="minorHAnsi" w:hAnsiTheme="minorHAnsi" w:cstheme="minorHAnsi"/>
          <w:b/>
          <w:i w:val="0"/>
          <w:noProof/>
          <w:color w:val="2F5496" w:themeColor="accent5" w:themeShade="BF"/>
          <w:sz w:val="22"/>
          <w:szCs w:val="22"/>
        </w:rPr>
        <w:lastRenderedPageBreak/>
        <w:t>Przedsięwzięcia międzyregionalne, transgraniczne i transnarodowe</w:t>
      </w:r>
    </w:p>
    <w:p w14:paraId="5BB6CC40" w14:textId="728304B0"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Wszystkie interwencje zaplanowane w</w:t>
      </w:r>
      <w:r w:rsidR="00326871" w:rsidRPr="00890249">
        <w:rPr>
          <w:rFonts w:asciiTheme="minorHAnsi" w:hAnsiTheme="minorHAnsi" w:cstheme="minorHAnsi"/>
          <w:noProof/>
          <w:sz w:val="22"/>
          <w:szCs w:val="22"/>
        </w:rPr>
        <w:t xml:space="preserve"> ramach Osi Priorytetowej 2.8 </w:t>
      </w:r>
      <w:r w:rsidRPr="00890249">
        <w:rPr>
          <w:rFonts w:asciiTheme="minorHAnsi" w:hAnsiTheme="minorHAnsi" w:cstheme="minorHAnsi"/>
          <w:noProof/>
          <w:sz w:val="22"/>
          <w:szCs w:val="22"/>
        </w:rPr>
        <w:t>będą przyczyniać się do poprawy jakości życia, w tym zwłaszcza osób zmarginalizowanych i zagrożonych wykluczeniem społecznym, poprzez zwiększanie dostępności do usług edukacyjnych, społecznych, zdrowotnych oraz wysokiej jakości miejsc pracy.</w:t>
      </w:r>
    </w:p>
    <w:p w14:paraId="4E833D9C" w14:textId="05425489" w:rsidR="0093433C" w:rsidRPr="00890249" w:rsidRDefault="008915F3" w:rsidP="00890249">
      <w:pPr>
        <w:pStyle w:val="Tekstpodstawowy"/>
        <w:rPr>
          <w:rFonts w:asciiTheme="minorHAnsi" w:hAnsiTheme="minorHAnsi" w:cstheme="minorHAnsi"/>
          <w:noProof/>
        </w:rPr>
      </w:pPr>
      <w:r w:rsidRPr="00890249">
        <w:rPr>
          <w:rFonts w:asciiTheme="minorHAnsi" w:hAnsiTheme="minorHAnsi" w:cstheme="minorHAnsi"/>
          <w:noProof/>
          <w:sz w:val="22"/>
          <w:szCs w:val="22"/>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w:t>
      </w:r>
      <w:r w:rsidR="00BB20C0" w:rsidRPr="00890249">
        <w:rPr>
          <w:rFonts w:asciiTheme="minorHAnsi" w:hAnsiTheme="minorHAnsi" w:cstheme="minorHAnsi"/>
          <w:noProof/>
          <w:sz w:val="22"/>
          <w:szCs w:val="22"/>
        </w:rPr>
        <w:t xml:space="preserve"> z </w:t>
      </w:r>
      <w:r w:rsidRPr="00890249">
        <w:rPr>
          <w:rFonts w:asciiTheme="minorHAnsi" w:hAnsiTheme="minorHAnsi" w:cstheme="minorHAnsi"/>
          <w:noProof/>
          <w:sz w:val="22"/>
          <w:szCs w:val="22"/>
        </w:rPr>
        <w:t>interwencj</w:t>
      </w:r>
      <w:r w:rsidR="00BB20C0" w:rsidRPr="00890249">
        <w:rPr>
          <w:rFonts w:asciiTheme="minorHAnsi" w:hAnsiTheme="minorHAnsi" w:cstheme="minorHAnsi"/>
          <w:noProof/>
          <w:sz w:val="22"/>
          <w:szCs w:val="22"/>
        </w:rPr>
        <w:t xml:space="preserve">ą </w:t>
      </w:r>
      <w:r w:rsidRPr="00890249">
        <w:rPr>
          <w:rFonts w:asciiTheme="minorHAnsi" w:hAnsiTheme="minorHAnsi" w:cstheme="minorHAnsi"/>
          <w:noProof/>
          <w:sz w:val="22"/>
          <w:szCs w:val="22"/>
        </w:rPr>
        <w:t>wskazan</w:t>
      </w:r>
      <w:r w:rsidR="00BB20C0" w:rsidRPr="00890249">
        <w:rPr>
          <w:rFonts w:asciiTheme="minorHAnsi" w:hAnsiTheme="minorHAnsi" w:cstheme="minorHAnsi"/>
          <w:noProof/>
          <w:sz w:val="22"/>
          <w:szCs w:val="22"/>
        </w:rPr>
        <w:t xml:space="preserve">ą </w:t>
      </w:r>
      <w:r w:rsidRPr="00890249">
        <w:rPr>
          <w:rFonts w:asciiTheme="minorHAnsi" w:hAnsiTheme="minorHAnsi" w:cstheme="minorHAnsi"/>
          <w:noProof/>
          <w:sz w:val="22"/>
          <w:szCs w:val="22"/>
        </w:rPr>
        <w:t>w programach współpracy transgranicznej Interreg Czechy-Polska 2021-2027 oraz Interreg Region Morza Bałtyckiego 2021-2027, w tym w zakresie: wzmacniania konkurencyjności MŚP, zwiększenia odporności i przystosowania do zmian klimatu, rozw</w:t>
      </w:r>
      <w:r w:rsidR="00BB20C0" w:rsidRPr="00890249">
        <w:rPr>
          <w:rFonts w:asciiTheme="minorHAnsi" w:hAnsiTheme="minorHAnsi" w:cstheme="minorHAnsi"/>
          <w:noProof/>
          <w:sz w:val="22"/>
          <w:szCs w:val="22"/>
        </w:rPr>
        <w:t xml:space="preserve">oju </w:t>
      </w:r>
      <w:r w:rsidRPr="00890249">
        <w:rPr>
          <w:rFonts w:asciiTheme="minorHAnsi" w:hAnsiTheme="minorHAnsi" w:cstheme="minorHAnsi"/>
          <w:noProof/>
          <w:sz w:val="22"/>
          <w:szCs w:val="22"/>
        </w:rPr>
        <w:t xml:space="preserve"> bioróżnorodności, a także transgranicznej infrastruktury transportowej oraz zrównoważonej turystyki. </w:t>
      </w:r>
      <w:r w:rsidR="00BB20C0" w:rsidRPr="00890249">
        <w:rPr>
          <w:rFonts w:asciiTheme="minorHAnsi" w:hAnsiTheme="minorHAnsi" w:cstheme="minorHAnsi"/>
          <w:noProof/>
          <w:sz w:val="22"/>
          <w:szCs w:val="22"/>
        </w:rPr>
        <w:t>Wzajemne oddziaływanie interwencji wzmocni jej skuteczność i pozwoli na osiągnięcie efektu synergii.</w:t>
      </w:r>
    </w:p>
    <w:p w14:paraId="27E53EC0" w14:textId="77777777" w:rsidR="00C92719" w:rsidRPr="00890249" w:rsidDel="00BB20B9" w:rsidRDefault="00C92719" w:rsidP="00C92719">
      <w:pPr>
        <w:rPr>
          <w:rFonts w:asciiTheme="minorHAnsi" w:hAnsiTheme="minorHAnsi" w:cstheme="minorHAnsi"/>
          <w:b/>
          <w:noProof/>
          <w:color w:val="2F5496" w:themeColor="accent5" w:themeShade="BF"/>
          <w:sz w:val="22"/>
          <w:szCs w:val="22"/>
        </w:rPr>
      </w:pPr>
      <w:r w:rsidRPr="00890249" w:rsidDel="00BB20B9">
        <w:rPr>
          <w:rFonts w:asciiTheme="minorHAnsi" w:hAnsiTheme="minorHAnsi" w:cstheme="minorHAnsi"/>
          <w:b/>
          <w:noProof/>
          <w:color w:val="2F5496" w:themeColor="accent5" w:themeShade="BF"/>
          <w:sz w:val="22"/>
          <w:szCs w:val="22"/>
        </w:rPr>
        <w:t>Planowane wykorzystanie instrumentów finansowych</w:t>
      </w:r>
    </w:p>
    <w:p w14:paraId="1A2675C5" w14:textId="77777777" w:rsidR="0093433C" w:rsidRPr="00890249" w:rsidRDefault="005B4910" w:rsidP="00890249">
      <w:pPr>
        <w:pStyle w:val="Nagwek7"/>
        <w:rPr>
          <w:rFonts w:asciiTheme="minorHAnsi" w:hAnsiTheme="minorHAnsi" w:cstheme="minorHAnsi"/>
          <w:sz w:val="22"/>
          <w:szCs w:val="22"/>
        </w:rPr>
      </w:pPr>
      <w:r w:rsidRPr="00890249">
        <w:rPr>
          <w:rFonts w:asciiTheme="minorHAnsi" w:eastAsia="Calibri" w:hAnsiTheme="minorHAnsi" w:cstheme="minorHAnsi"/>
          <w:i w:val="0"/>
          <w:iCs w:val="0"/>
          <w:color w:val="auto"/>
          <w:sz w:val="22"/>
          <w:szCs w:val="22"/>
        </w:rPr>
        <w:t>W ramach Osi Priorytetowej 2.8 nie planuje się wykorzystania instrumentów finansowych.</w:t>
      </w:r>
    </w:p>
    <w:p w14:paraId="777C1200" w14:textId="77777777" w:rsidR="0093433C" w:rsidRPr="00890249" w:rsidRDefault="00875C92"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rPr>
        <w:t>Planowane przedsięwzięcia dotyczą zadań publicznych</w:t>
      </w:r>
      <w:r w:rsidR="0009628F" w:rsidRPr="00890249">
        <w:rPr>
          <w:rFonts w:asciiTheme="minorHAnsi" w:hAnsiTheme="minorHAnsi" w:cstheme="minorHAnsi"/>
          <w:sz w:val="22"/>
          <w:szCs w:val="22"/>
        </w:rPr>
        <w:t xml:space="preserve"> realizowanych w obszarze</w:t>
      </w:r>
      <w:r w:rsidRPr="00890249">
        <w:rPr>
          <w:rFonts w:asciiTheme="minorHAnsi" w:hAnsiTheme="minorHAnsi" w:cstheme="minorHAnsi"/>
          <w:sz w:val="22"/>
          <w:szCs w:val="22"/>
        </w:rPr>
        <w:t xml:space="preserve"> </w:t>
      </w:r>
      <w:r w:rsidRPr="00890249">
        <w:rPr>
          <w:rFonts w:asciiTheme="minorHAnsi" w:eastAsia="Times New Roman" w:hAnsiTheme="minorHAnsi" w:cstheme="minorHAnsi"/>
          <w:noProof/>
          <w:sz w:val="22"/>
          <w:szCs w:val="22"/>
        </w:rPr>
        <w:t>edukacji,</w:t>
      </w:r>
      <w:r w:rsidR="0009628F" w:rsidRPr="00890249">
        <w:rPr>
          <w:rFonts w:asciiTheme="minorHAnsi" w:hAnsiTheme="minorHAnsi" w:cstheme="minorHAnsi"/>
          <w:noProof/>
          <w:sz w:val="22"/>
          <w:szCs w:val="22"/>
        </w:rPr>
        <w:t xml:space="preserve"> </w:t>
      </w:r>
      <w:r w:rsidR="0009628F" w:rsidRPr="00890249" w:rsidDel="00BB20B9">
        <w:rPr>
          <w:rFonts w:asciiTheme="minorHAnsi" w:eastAsia="Times New Roman" w:hAnsiTheme="minorHAnsi" w:cstheme="minorHAnsi"/>
          <w:noProof/>
          <w:sz w:val="22"/>
          <w:szCs w:val="22"/>
        </w:rPr>
        <w:t xml:space="preserve">włączenia </w:t>
      </w:r>
      <w:r w:rsidR="0009628F" w:rsidRPr="00890249">
        <w:rPr>
          <w:rFonts w:asciiTheme="minorHAnsi" w:eastAsia="Times New Roman" w:hAnsiTheme="minorHAnsi" w:cstheme="minorHAnsi"/>
          <w:noProof/>
          <w:sz w:val="22"/>
          <w:szCs w:val="22"/>
        </w:rPr>
        <w:t xml:space="preserve">społecznego oraz </w:t>
      </w:r>
      <w:r w:rsidR="0009628F" w:rsidRPr="00890249" w:rsidDel="00BB20B9">
        <w:rPr>
          <w:rFonts w:asciiTheme="minorHAnsi" w:hAnsiTheme="minorHAnsi" w:cstheme="minorHAnsi"/>
          <w:noProof/>
          <w:sz w:val="22"/>
          <w:szCs w:val="22"/>
        </w:rPr>
        <w:t>usług społecznych i zdrowotnych</w:t>
      </w:r>
      <w:r w:rsidR="005B4910" w:rsidRPr="00890249">
        <w:rPr>
          <w:rFonts w:asciiTheme="minorHAnsi" w:hAnsiTheme="minorHAnsi" w:cstheme="minorHAnsi"/>
          <w:sz w:val="22"/>
          <w:szCs w:val="22"/>
        </w:rPr>
        <w:t xml:space="preserve"> </w:t>
      </w:r>
      <w:r w:rsidR="0009628F" w:rsidRPr="00890249">
        <w:rPr>
          <w:rFonts w:asciiTheme="minorHAnsi" w:hAnsiTheme="minorHAnsi" w:cstheme="minorHAnsi"/>
          <w:sz w:val="22"/>
          <w:szCs w:val="22"/>
        </w:rPr>
        <w:t xml:space="preserve">przez </w:t>
      </w:r>
      <w:r w:rsidR="005B4910" w:rsidRPr="00890249">
        <w:rPr>
          <w:rFonts w:asciiTheme="minorHAnsi" w:hAnsiTheme="minorHAnsi" w:cstheme="minorHAnsi"/>
          <w:sz w:val="22"/>
          <w:szCs w:val="22"/>
        </w:rPr>
        <w:t>organizacje pozarządowe</w:t>
      </w:r>
      <w:r w:rsidR="0009628F" w:rsidRPr="00890249">
        <w:rPr>
          <w:rFonts w:asciiTheme="minorHAnsi" w:hAnsiTheme="minorHAnsi" w:cstheme="minorHAnsi"/>
          <w:sz w:val="22"/>
          <w:szCs w:val="22"/>
        </w:rPr>
        <w:t>, które nie mają potencjału do korzystania z instrumentów finansowych</w:t>
      </w:r>
      <w:r w:rsidR="005B4910" w:rsidRPr="00890249">
        <w:rPr>
          <w:rFonts w:asciiTheme="minorHAnsi" w:hAnsiTheme="minorHAnsi" w:cstheme="minorHAnsi"/>
          <w:sz w:val="22"/>
          <w:szCs w:val="22"/>
        </w:rPr>
        <w:t xml:space="preserve">. </w:t>
      </w:r>
      <w:r w:rsidR="005B4910" w:rsidRPr="00890249">
        <w:rPr>
          <w:rFonts w:asciiTheme="minorHAnsi" w:hAnsiTheme="minorHAnsi" w:cstheme="minorHAnsi"/>
          <w:noProof/>
          <w:sz w:val="22"/>
          <w:szCs w:val="22"/>
        </w:rPr>
        <w:t>W</w:t>
      </w:r>
      <w:r w:rsidR="0009628F" w:rsidRPr="00890249">
        <w:rPr>
          <w:rFonts w:asciiTheme="minorHAnsi" w:hAnsiTheme="minorHAnsi" w:cstheme="minorHAnsi"/>
          <w:noProof/>
          <w:sz w:val="22"/>
          <w:szCs w:val="22"/>
        </w:rPr>
        <w:t xml:space="preserve"> tej Osi </w:t>
      </w:r>
      <w:r w:rsidR="005B4910" w:rsidRPr="00890249">
        <w:rPr>
          <w:rFonts w:asciiTheme="minorHAnsi" w:hAnsiTheme="minorHAnsi" w:cstheme="minorHAnsi"/>
          <w:noProof/>
          <w:sz w:val="22"/>
          <w:szCs w:val="22"/>
        </w:rPr>
        <w:t>nie będą realizowane przedsięwzięcia prowadzone dla zysku, samofinansujące się.</w:t>
      </w:r>
    </w:p>
    <w:p w14:paraId="30A7CAEC" w14:textId="5CB1BB93" w:rsidR="0093433C" w:rsidRPr="00890249" w:rsidRDefault="0093433C" w:rsidP="00890249">
      <w:pPr>
        <w:pStyle w:val="Tekstpodstawowy"/>
        <w:rPr>
          <w:rFonts w:asciiTheme="minorHAnsi" w:hAnsiTheme="minorHAnsi" w:cstheme="minorHAnsi"/>
          <w:noProof/>
        </w:rPr>
      </w:pPr>
    </w:p>
    <w:p w14:paraId="21E9C284" w14:textId="7BFA910C" w:rsidR="0093433C" w:rsidRPr="00890249" w:rsidRDefault="003A375A">
      <w:pPr>
        <w:rPr>
          <w:rFonts w:asciiTheme="minorHAnsi" w:hAnsiTheme="minorHAnsi" w:cstheme="minorHAnsi"/>
          <w:b/>
          <w:noProof/>
          <w:sz w:val="22"/>
          <w:szCs w:val="22"/>
        </w:rPr>
      </w:pPr>
      <w:r w:rsidRPr="00890249" w:rsidDel="00BB20B9">
        <w:rPr>
          <w:rFonts w:asciiTheme="minorHAnsi" w:hAnsiTheme="minorHAnsi" w:cstheme="minorHAnsi"/>
          <w:b/>
          <w:noProof/>
          <w:sz w:val="22"/>
          <w:szCs w:val="22"/>
        </w:rPr>
        <w:t>2.</w:t>
      </w:r>
      <w:r w:rsidR="006C4D2A" w:rsidRPr="00890249">
        <w:rPr>
          <w:rFonts w:asciiTheme="minorHAnsi" w:hAnsiTheme="minorHAnsi" w:cstheme="minorHAnsi"/>
          <w:b/>
          <w:noProof/>
          <w:sz w:val="22"/>
          <w:szCs w:val="22"/>
        </w:rPr>
        <w:t>1.</w:t>
      </w:r>
      <w:r w:rsidR="008B081F" w:rsidRPr="00890249">
        <w:rPr>
          <w:rFonts w:asciiTheme="minorHAnsi" w:hAnsiTheme="minorHAnsi" w:cstheme="minorHAnsi"/>
          <w:b/>
          <w:noProof/>
          <w:sz w:val="22"/>
          <w:szCs w:val="22"/>
        </w:rPr>
        <w:t>8</w:t>
      </w:r>
      <w:r w:rsidR="001820D1" w:rsidRPr="00890249" w:rsidDel="00BB20B9">
        <w:rPr>
          <w:rFonts w:asciiTheme="minorHAnsi" w:hAnsiTheme="minorHAnsi" w:cstheme="minorHAnsi"/>
          <w:b/>
          <w:noProof/>
          <w:sz w:val="22"/>
          <w:szCs w:val="22"/>
        </w:rPr>
        <w:t>.</w:t>
      </w:r>
      <w:r w:rsidR="00AD6491" w:rsidRPr="00890249" w:rsidDel="00BB20B9">
        <w:rPr>
          <w:rFonts w:asciiTheme="minorHAnsi" w:hAnsiTheme="minorHAnsi" w:cstheme="minorHAnsi"/>
          <w:b/>
          <w:noProof/>
          <w:sz w:val="22"/>
          <w:szCs w:val="22"/>
        </w:rPr>
        <w:t>1</w:t>
      </w:r>
      <w:r w:rsidRPr="00890249" w:rsidDel="00BB20B9">
        <w:rPr>
          <w:rFonts w:asciiTheme="minorHAnsi" w:hAnsiTheme="minorHAnsi" w:cstheme="minorHAnsi"/>
          <w:b/>
          <w:noProof/>
          <w:sz w:val="22"/>
          <w:szCs w:val="22"/>
        </w:rPr>
        <w:t>.2</w:t>
      </w:r>
      <w:r w:rsidR="0093433C" w:rsidRPr="00890249">
        <w:rPr>
          <w:rFonts w:asciiTheme="minorHAnsi" w:hAnsiTheme="minorHAnsi" w:cstheme="minorHAnsi"/>
          <w:b/>
          <w:noProof/>
          <w:sz w:val="22"/>
          <w:szCs w:val="22"/>
        </w:rPr>
        <w:tab/>
      </w:r>
      <w:r w:rsidR="0074153B" w:rsidRPr="00890249" w:rsidDel="00BB20B9">
        <w:rPr>
          <w:rFonts w:asciiTheme="minorHAnsi" w:hAnsiTheme="minorHAnsi" w:cstheme="minorHAnsi"/>
          <w:b/>
          <w:noProof/>
          <w:sz w:val="22"/>
          <w:szCs w:val="22"/>
        </w:rPr>
        <w:t>(…</w:t>
      </w:r>
      <w:r w:rsidRPr="00890249" w:rsidDel="00BB20B9">
        <w:rPr>
          <w:rFonts w:asciiTheme="minorHAnsi" w:hAnsiTheme="minorHAnsi" w:cstheme="minorHAnsi"/>
          <w:b/>
          <w:noProof/>
          <w:sz w:val="22"/>
          <w:szCs w:val="22"/>
        </w:rPr>
        <w:t>)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828"/>
        <w:gridCol w:w="616"/>
        <w:gridCol w:w="1009"/>
        <w:gridCol w:w="830"/>
        <w:gridCol w:w="2213"/>
        <w:gridCol w:w="969"/>
        <w:gridCol w:w="969"/>
        <w:gridCol w:w="1069"/>
      </w:tblGrid>
      <w:tr w:rsidR="00C611AB" w:rsidRPr="00890249" w:rsidDel="00BB20B9" w14:paraId="48CB5B17" w14:textId="77777777" w:rsidTr="00D15D64">
        <w:trPr>
          <w:trHeight w:val="425"/>
        </w:trPr>
        <w:tc>
          <w:tcPr>
            <w:tcW w:w="5000" w:type="pct"/>
            <w:gridSpan w:val="9"/>
            <w:shd w:val="clear" w:color="auto" w:fill="D9D9D9" w:themeFill="background1" w:themeFillShade="D9"/>
          </w:tcPr>
          <w:p w14:paraId="26AFFEB6" w14:textId="77777777" w:rsidR="00C611AB" w:rsidRPr="00890249" w:rsidDel="00BB20B9" w:rsidRDefault="00C611AB" w:rsidP="00BB20B9">
            <w:pPr>
              <w:rPr>
                <w:rFonts w:asciiTheme="minorHAnsi" w:hAnsiTheme="minorHAnsi" w:cstheme="minorHAnsi"/>
                <w:b/>
                <w:noProof/>
                <w:sz w:val="20"/>
              </w:rPr>
            </w:pPr>
            <w:r w:rsidRPr="00890249" w:rsidDel="00BB20B9">
              <w:rPr>
                <w:rFonts w:asciiTheme="minorHAnsi" w:hAnsiTheme="minorHAnsi" w:cstheme="minorHAnsi"/>
                <w:b/>
                <w:noProof/>
                <w:sz w:val="20"/>
              </w:rPr>
              <w:t>Tabela 2: Wskaźniki produktu</w:t>
            </w:r>
          </w:p>
        </w:tc>
      </w:tr>
      <w:tr w:rsidR="00C611AB" w:rsidRPr="00890249" w:rsidDel="00BB20B9" w14:paraId="423A416F" w14:textId="77777777" w:rsidTr="00890249">
        <w:trPr>
          <w:cantSplit/>
          <w:trHeight w:val="1647"/>
        </w:trPr>
        <w:tc>
          <w:tcPr>
            <w:tcW w:w="289" w:type="pct"/>
            <w:shd w:val="clear" w:color="auto" w:fill="F2F2F2" w:themeFill="background1" w:themeFillShade="F2"/>
            <w:textDirection w:val="btLr"/>
            <w:vAlign w:val="center"/>
          </w:tcPr>
          <w:p w14:paraId="3C726C6E"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Priorytet</w:t>
            </w:r>
          </w:p>
        </w:tc>
        <w:tc>
          <w:tcPr>
            <w:tcW w:w="459" w:type="pct"/>
            <w:shd w:val="clear" w:color="auto" w:fill="F2F2F2" w:themeFill="background1" w:themeFillShade="F2"/>
            <w:textDirection w:val="btLr"/>
            <w:vAlign w:val="center"/>
          </w:tcPr>
          <w:p w14:paraId="0CB68118"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Cel szczegółowy (cel „Zatrudnienie i wzrost”) lub obszar wsparcia (EFMR)</w:t>
            </w:r>
          </w:p>
        </w:tc>
        <w:tc>
          <w:tcPr>
            <w:tcW w:w="341" w:type="pct"/>
            <w:shd w:val="clear" w:color="auto" w:fill="F2F2F2" w:themeFill="background1" w:themeFillShade="F2"/>
            <w:textDirection w:val="btLr"/>
            <w:vAlign w:val="center"/>
          </w:tcPr>
          <w:p w14:paraId="508333FC"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546E2236"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20235F64"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080F36C7"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Wskaźnik [255]</w:t>
            </w:r>
          </w:p>
        </w:tc>
        <w:tc>
          <w:tcPr>
            <w:tcW w:w="537" w:type="pct"/>
            <w:shd w:val="clear" w:color="auto" w:fill="F2F2F2" w:themeFill="background1" w:themeFillShade="F2"/>
            <w:textDirection w:val="btLr"/>
            <w:vAlign w:val="center"/>
          </w:tcPr>
          <w:p w14:paraId="4AB533A7"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Jednostka miary</w:t>
            </w:r>
          </w:p>
        </w:tc>
        <w:tc>
          <w:tcPr>
            <w:tcW w:w="537" w:type="pct"/>
            <w:shd w:val="clear" w:color="auto" w:fill="F2F2F2" w:themeFill="background1" w:themeFillShade="F2"/>
            <w:textDirection w:val="btLr"/>
            <w:vAlign w:val="center"/>
          </w:tcPr>
          <w:p w14:paraId="248B72D3"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Cel pośredni (2024)</w:t>
            </w:r>
          </w:p>
        </w:tc>
        <w:tc>
          <w:tcPr>
            <w:tcW w:w="593" w:type="pct"/>
            <w:shd w:val="clear" w:color="auto" w:fill="F2F2F2" w:themeFill="background1" w:themeFillShade="F2"/>
            <w:textDirection w:val="btLr"/>
            <w:vAlign w:val="center"/>
          </w:tcPr>
          <w:p w14:paraId="14C0C460" w14:textId="77777777" w:rsidR="00C611AB" w:rsidRPr="00890249" w:rsidDel="00BB20B9" w:rsidRDefault="00C611AB" w:rsidP="00BB20B9">
            <w:pPr>
              <w:rPr>
                <w:rFonts w:asciiTheme="minorHAnsi" w:hAnsiTheme="minorHAnsi" w:cstheme="minorHAnsi"/>
                <w:noProof/>
                <w:sz w:val="18"/>
                <w:szCs w:val="16"/>
              </w:rPr>
            </w:pPr>
            <w:r w:rsidRPr="00890249" w:rsidDel="00BB20B9">
              <w:rPr>
                <w:rFonts w:asciiTheme="minorHAnsi" w:hAnsiTheme="minorHAnsi" w:cstheme="minorHAnsi"/>
                <w:noProof/>
                <w:sz w:val="18"/>
                <w:szCs w:val="16"/>
              </w:rPr>
              <w:t>Cel (2029)</w:t>
            </w:r>
          </w:p>
        </w:tc>
      </w:tr>
      <w:tr w:rsidR="00C611AB" w:rsidRPr="00890249" w:rsidDel="00BB20B9" w14:paraId="6EE29CF2" w14:textId="77777777" w:rsidTr="00890249">
        <w:trPr>
          <w:trHeight w:val="340"/>
        </w:trPr>
        <w:tc>
          <w:tcPr>
            <w:tcW w:w="289" w:type="pct"/>
            <w:vAlign w:val="center"/>
          </w:tcPr>
          <w:p w14:paraId="4FED1FC2"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CP4</w:t>
            </w:r>
          </w:p>
        </w:tc>
        <w:tc>
          <w:tcPr>
            <w:tcW w:w="459" w:type="pct"/>
            <w:vAlign w:val="center"/>
          </w:tcPr>
          <w:p w14:paraId="231BB73B" w14:textId="77777777" w:rsidR="00B72154" w:rsidRPr="00890249" w:rsidRDefault="008619AA" w:rsidP="00890249">
            <w:pPr>
              <w:spacing w:before="0" w:after="0"/>
              <w:jc w:val="center"/>
              <w:rPr>
                <w:rFonts w:asciiTheme="minorHAnsi" w:hAnsiTheme="minorHAnsi" w:cstheme="minorHAnsi"/>
                <w:i/>
                <w:noProof/>
                <w:sz w:val="18"/>
                <w:szCs w:val="16"/>
              </w:rPr>
            </w:pPr>
            <w:r w:rsidRPr="00890249">
              <w:rPr>
                <w:rFonts w:asciiTheme="minorHAnsi" w:hAnsiTheme="minorHAnsi" w:cstheme="minorHAnsi"/>
                <w:i/>
                <w:noProof/>
                <w:sz w:val="18"/>
                <w:szCs w:val="16"/>
              </w:rPr>
              <w:t>4.g</w:t>
            </w:r>
          </w:p>
          <w:p w14:paraId="78638ACF" w14:textId="4679BF15" w:rsidR="00B72154" w:rsidRPr="00890249" w:rsidRDefault="00B72154" w:rsidP="00890249">
            <w:pPr>
              <w:spacing w:before="0" w:after="0"/>
              <w:jc w:val="center"/>
              <w:rPr>
                <w:rFonts w:asciiTheme="minorHAnsi" w:hAnsiTheme="minorHAnsi" w:cstheme="minorHAnsi"/>
                <w:i/>
                <w:noProof/>
                <w:sz w:val="18"/>
                <w:szCs w:val="16"/>
              </w:rPr>
            </w:pPr>
          </w:p>
        </w:tc>
        <w:tc>
          <w:tcPr>
            <w:tcW w:w="341" w:type="pct"/>
            <w:vAlign w:val="center"/>
          </w:tcPr>
          <w:p w14:paraId="1DD10EFA"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EFS</w:t>
            </w:r>
            <w:r w:rsidR="00BA106D" w:rsidRPr="00890249" w:rsidDel="00BB20B9">
              <w:rPr>
                <w:rFonts w:asciiTheme="minorHAnsi" w:hAnsiTheme="minorHAnsi" w:cstheme="minorHAnsi"/>
                <w:i/>
                <w:noProof/>
                <w:sz w:val="18"/>
                <w:szCs w:val="16"/>
              </w:rPr>
              <w:t>+</w:t>
            </w:r>
          </w:p>
        </w:tc>
        <w:tc>
          <w:tcPr>
            <w:tcW w:w="559" w:type="pct"/>
            <w:vAlign w:val="center"/>
          </w:tcPr>
          <w:p w14:paraId="78385652" w14:textId="77777777" w:rsidR="00C611AB" w:rsidRPr="00890249" w:rsidDel="00BB20B9" w:rsidRDefault="00B74A0C" w:rsidP="00BB20B9">
            <w:pPr>
              <w:rPr>
                <w:rFonts w:asciiTheme="minorHAnsi" w:hAnsiTheme="minorHAnsi" w:cstheme="minorHAnsi"/>
                <w:i/>
                <w:noProof/>
                <w:sz w:val="18"/>
                <w:szCs w:val="16"/>
              </w:rPr>
            </w:pPr>
            <w:r w:rsidRPr="00890249" w:rsidDel="00BB20B9">
              <w:rPr>
                <w:rFonts w:asciiTheme="minorHAnsi" w:hAnsiTheme="minorHAnsi" w:cstheme="minorHAnsi"/>
                <w:noProof/>
                <w:sz w:val="18"/>
              </w:rPr>
              <w:t>słabiej rozwinięte</w:t>
            </w:r>
          </w:p>
        </w:tc>
        <w:tc>
          <w:tcPr>
            <w:tcW w:w="460" w:type="pct"/>
            <w:vAlign w:val="center"/>
          </w:tcPr>
          <w:p w14:paraId="24548F43" w14:textId="77777777" w:rsidR="00C611AB" w:rsidRPr="00890249" w:rsidDel="00BB20B9" w:rsidRDefault="001B1259" w:rsidP="00BB20B9">
            <w:pPr>
              <w:rPr>
                <w:rFonts w:asciiTheme="minorHAnsi" w:hAnsiTheme="minorHAnsi" w:cstheme="minorHAnsi"/>
                <w:i/>
                <w:noProof/>
                <w:sz w:val="18"/>
                <w:szCs w:val="16"/>
              </w:rPr>
            </w:pPr>
            <w:r w:rsidRPr="00890249">
              <w:rPr>
                <w:rFonts w:asciiTheme="minorHAnsi" w:hAnsiTheme="minorHAnsi" w:cstheme="minorHAnsi"/>
                <w:i/>
                <w:noProof/>
                <w:sz w:val="18"/>
                <w:szCs w:val="16"/>
              </w:rPr>
              <w:t>FEOP81</w:t>
            </w:r>
          </w:p>
        </w:tc>
        <w:tc>
          <w:tcPr>
            <w:tcW w:w="1226" w:type="pct"/>
            <w:shd w:val="clear" w:color="auto" w:fill="auto"/>
            <w:vAlign w:val="center"/>
          </w:tcPr>
          <w:p w14:paraId="5B08C066"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Liczba osób objętych wsparciem w programie w ramach Europejskiego</w:t>
            </w:r>
            <w:r w:rsidR="002C3C8E" w:rsidRPr="00890249" w:rsidDel="00BB20B9">
              <w:rPr>
                <w:rFonts w:asciiTheme="minorHAnsi" w:hAnsiTheme="minorHAnsi" w:cstheme="minorHAnsi"/>
                <w:i/>
                <w:noProof/>
                <w:sz w:val="18"/>
                <w:szCs w:val="16"/>
              </w:rPr>
              <w:t xml:space="preserve"> </w:t>
            </w:r>
            <w:r w:rsidRPr="00890249" w:rsidDel="00BB20B9">
              <w:rPr>
                <w:rFonts w:asciiTheme="minorHAnsi" w:hAnsiTheme="minorHAnsi" w:cstheme="minorHAnsi"/>
                <w:i/>
                <w:noProof/>
                <w:sz w:val="18"/>
                <w:szCs w:val="16"/>
              </w:rPr>
              <w:t>Budżetu</w:t>
            </w:r>
            <w:r w:rsidR="002C3C8E" w:rsidRPr="00890249" w:rsidDel="00BB20B9">
              <w:rPr>
                <w:rFonts w:asciiTheme="minorHAnsi" w:hAnsiTheme="minorHAnsi" w:cstheme="minorHAnsi"/>
                <w:i/>
                <w:noProof/>
                <w:sz w:val="18"/>
                <w:szCs w:val="16"/>
              </w:rPr>
              <w:t xml:space="preserve"> </w:t>
            </w:r>
            <w:r w:rsidRPr="00890249" w:rsidDel="00BB20B9">
              <w:rPr>
                <w:rFonts w:asciiTheme="minorHAnsi" w:hAnsiTheme="minorHAnsi" w:cstheme="minorHAnsi"/>
                <w:i/>
                <w:noProof/>
                <w:sz w:val="18"/>
                <w:szCs w:val="16"/>
              </w:rPr>
              <w:t>Obywatelskeigo</w:t>
            </w:r>
          </w:p>
        </w:tc>
        <w:tc>
          <w:tcPr>
            <w:tcW w:w="537" w:type="pct"/>
            <w:vAlign w:val="center"/>
          </w:tcPr>
          <w:p w14:paraId="79C9F8B2" w14:textId="77777777" w:rsidR="00C611AB" w:rsidRPr="00890249" w:rsidDel="00BB20B9" w:rsidRDefault="002C3C8E"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o</w:t>
            </w:r>
            <w:r w:rsidR="00C611AB" w:rsidRPr="00890249" w:rsidDel="00BB20B9">
              <w:rPr>
                <w:rFonts w:asciiTheme="minorHAnsi" w:hAnsiTheme="minorHAnsi" w:cstheme="minorHAnsi"/>
                <w:i/>
                <w:noProof/>
                <w:sz w:val="18"/>
                <w:szCs w:val="16"/>
              </w:rPr>
              <w:t>s</w:t>
            </w:r>
            <w:r w:rsidRPr="00890249" w:rsidDel="00BB20B9">
              <w:rPr>
                <w:rFonts w:asciiTheme="minorHAnsi" w:hAnsiTheme="minorHAnsi" w:cstheme="minorHAnsi"/>
                <w:i/>
                <w:noProof/>
                <w:sz w:val="18"/>
                <w:szCs w:val="16"/>
              </w:rPr>
              <w:t>.</w:t>
            </w:r>
          </w:p>
        </w:tc>
        <w:tc>
          <w:tcPr>
            <w:tcW w:w="537" w:type="pct"/>
            <w:shd w:val="clear" w:color="auto" w:fill="auto"/>
            <w:vAlign w:val="center"/>
          </w:tcPr>
          <w:p w14:paraId="5456B73A" w14:textId="569B7810" w:rsidR="00C611AB" w:rsidRPr="00F62734" w:rsidDel="00BB20B9" w:rsidRDefault="00570968" w:rsidP="00BB20B9">
            <w:pPr>
              <w:rPr>
                <w:rFonts w:asciiTheme="minorHAnsi" w:hAnsiTheme="minorHAnsi" w:cstheme="minorHAnsi"/>
                <w:iCs/>
                <w:noProof/>
                <w:sz w:val="18"/>
                <w:szCs w:val="16"/>
              </w:rPr>
            </w:pPr>
            <w:r w:rsidRPr="00F62734">
              <w:rPr>
                <w:rFonts w:asciiTheme="minorHAnsi" w:hAnsiTheme="minorHAnsi" w:cstheme="minorHAnsi"/>
                <w:iCs/>
                <w:noProof/>
                <w:sz w:val="18"/>
                <w:szCs w:val="16"/>
              </w:rPr>
              <w:t>410</w:t>
            </w:r>
          </w:p>
        </w:tc>
        <w:tc>
          <w:tcPr>
            <w:tcW w:w="593" w:type="pct"/>
            <w:shd w:val="clear" w:color="auto" w:fill="auto"/>
            <w:vAlign w:val="center"/>
          </w:tcPr>
          <w:p w14:paraId="1DC021EF" w14:textId="083A2914" w:rsidR="00C611AB" w:rsidRPr="00F62734" w:rsidDel="00BB20B9" w:rsidRDefault="00EF113E" w:rsidP="00AB29E7">
            <w:pPr>
              <w:rPr>
                <w:rFonts w:asciiTheme="minorHAnsi" w:hAnsiTheme="minorHAnsi" w:cstheme="minorHAnsi"/>
                <w:iCs/>
                <w:noProof/>
                <w:sz w:val="18"/>
                <w:szCs w:val="16"/>
              </w:rPr>
            </w:pPr>
            <w:r w:rsidRPr="00F62734">
              <w:rPr>
                <w:rFonts w:asciiTheme="minorHAnsi" w:hAnsiTheme="minorHAnsi" w:cstheme="minorHAnsi"/>
                <w:iCs/>
                <w:noProof/>
                <w:sz w:val="18"/>
                <w:szCs w:val="16"/>
              </w:rPr>
              <w:t>1 500</w:t>
            </w:r>
          </w:p>
        </w:tc>
      </w:tr>
      <w:tr w:rsidR="00C611AB" w:rsidRPr="00890249" w:rsidDel="00BB20B9" w14:paraId="01EE37A3" w14:textId="77777777" w:rsidTr="00890249">
        <w:trPr>
          <w:trHeight w:val="340"/>
        </w:trPr>
        <w:tc>
          <w:tcPr>
            <w:tcW w:w="289" w:type="pct"/>
            <w:vAlign w:val="center"/>
          </w:tcPr>
          <w:p w14:paraId="06ABE8ED"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CP4</w:t>
            </w:r>
          </w:p>
        </w:tc>
        <w:tc>
          <w:tcPr>
            <w:tcW w:w="459" w:type="pct"/>
            <w:vAlign w:val="center"/>
          </w:tcPr>
          <w:p w14:paraId="651764CB" w14:textId="77777777" w:rsidR="00B72154" w:rsidRPr="00890249" w:rsidRDefault="00F2218B" w:rsidP="00890249">
            <w:pPr>
              <w:spacing w:before="0" w:after="0"/>
              <w:jc w:val="center"/>
              <w:rPr>
                <w:rFonts w:asciiTheme="minorHAnsi" w:hAnsiTheme="minorHAnsi" w:cstheme="minorHAnsi"/>
                <w:i/>
                <w:noProof/>
                <w:sz w:val="18"/>
                <w:szCs w:val="16"/>
              </w:rPr>
            </w:pPr>
            <w:r w:rsidRPr="00890249">
              <w:rPr>
                <w:rFonts w:asciiTheme="minorHAnsi" w:hAnsiTheme="minorHAnsi" w:cstheme="minorHAnsi"/>
                <w:i/>
                <w:noProof/>
                <w:sz w:val="18"/>
                <w:szCs w:val="16"/>
              </w:rPr>
              <w:t>4.g</w:t>
            </w:r>
          </w:p>
          <w:p w14:paraId="4DEA0F41" w14:textId="77777777" w:rsidR="00B72154" w:rsidRPr="00890249" w:rsidRDefault="00D0134A" w:rsidP="00890249">
            <w:pPr>
              <w:spacing w:before="0" w:after="0"/>
              <w:jc w:val="center"/>
              <w:rPr>
                <w:rFonts w:asciiTheme="minorHAnsi" w:hAnsiTheme="minorHAnsi" w:cstheme="minorHAnsi"/>
                <w:i/>
                <w:noProof/>
                <w:sz w:val="18"/>
                <w:szCs w:val="16"/>
              </w:rPr>
            </w:pPr>
            <w:r w:rsidRPr="00890249">
              <w:rPr>
                <w:rFonts w:asciiTheme="minorHAnsi" w:hAnsiTheme="minorHAnsi" w:cstheme="minorHAnsi"/>
                <w:i/>
                <w:noProof/>
                <w:sz w:val="18"/>
                <w:szCs w:val="16"/>
              </w:rPr>
              <w:t>4.i</w:t>
            </w:r>
          </w:p>
        </w:tc>
        <w:tc>
          <w:tcPr>
            <w:tcW w:w="341" w:type="pct"/>
            <w:vAlign w:val="center"/>
          </w:tcPr>
          <w:p w14:paraId="27580968"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EFS</w:t>
            </w:r>
            <w:r w:rsidR="00BA106D" w:rsidRPr="00890249" w:rsidDel="00BB20B9">
              <w:rPr>
                <w:rFonts w:asciiTheme="minorHAnsi" w:hAnsiTheme="minorHAnsi" w:cstheme="minorHAnsi"/>
                <w:i/>
                <w:noProof/>
                <w:sz w:val="18"/>
                <w:szCs w:val="16"/>
              </w:rPr>
              <w:t>+</w:t>
            </w:r>
          </w:p>
        </w:tc>
        <w:tc>
          <w:tcPr>
            <w:tcW w:w="559" w:type="pct"/>
            <w:vAlign w:val="center"/>
          </w:tcPr>
          <w:p w14:paraId="776DA316" w14:textId="77777777" w:rsidR="00C611AB" w:rsidRPr="00890249" w:rsidDel="00BB20B9" w:rsidRDefault="00B74A0C" w:rsidP="00BB20B9">
            <w:pPr>
              <w:rPr>
                <w:rFonts w:asciiTheme="minorHAnsi" w:hAnsiTheme="minorHAnsi" w:cstheme="minorHAnsi"/>
                <w:i/>
                <w:noProof/>
                <w:sz w:val="18"/>
                <w:szCs w:val="16"/>
              </w:rPr>
            </w:pPr>
            <w:r w:rsidRPr="00890249" w:rsidDel="00BB20B9">
              <w:rPr>
                <w:rFonts w:asciiTheme="minorHAnsi" w:hAnsiTheme="minorHAnsi" w:cstheme="minorHAnsi"/>
                <w:noProof/>
                <w:sz w:val="18"/>
              </w:rPr>
              <w:t>słabiej rozwinięte</w:t>
            </w:r>
          </w:p>
        </w:tc>
        <w:tc>
          <w:tcPr>
            <w:tcW w:w="460" w:type="pct"/>
            <w:vAlign w:val="center"/>
          </w:tcPr>
          <w:p w14:paraId="441667B2" w14:textId="77777777" w:rsidR="00C611AB" w:rsidRPr="00890249" w:rsidDel="00BB20B9" w:rsidRDefault="001B1259" w:rsidP="00BB20B9">
            <w:pPr>
              <w:rPr>
                <w:rFonts w:asciiTheme="minorHAnsi" w:hAnsiTheme="minorHAnsi" w:cstheme="minorHAnsi"/>
                <w:i/>
                <w:noProof/>
                <w:sz w:val="18"/>
                <w:szCs w:val="16"/>
              </w:rPr>
            </w:pPr>
            <w:r w:rsidRPr="00890249">
              <w:rPr>
                <w:rFonts w:asciiTheme="minorHAnsi" w:hAnsiTheme="minorHAnsi" w:cstheme="minorHAnsi"/>
                <w:i/>
                <w:noProof/>
                <w:sz w:val="18"/>
                <w:szCs w:val="16"/>
              </w:rPr>
              <w:t>FEOP82</w:t>
            </w:r>
          </w:p>
        </w:tc>
        <w:tc>
          <w:tcPr>
            <w:tcW w:w="1226" w:type="pct"/>
            <w:shd w:val="clear" w:color="auto" w:fill="auto"/>
            <w:vAlign w:val="center"/>
          </w:tcPr>
          <w:p w14:paraId="2A94F64D"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 xml:space="preserve">Liczba </w:t>
            </w:r>
            <w:r w:rsidR="005642E6" w:rsidRPr="00890249" w:rsidDel="00BB20B9">
              <w:rPr>
                <w:rFonts w:asciiTheme="minorHAnsi" w:hAnsiTheme="minorHAnsi" w:cstheme="minorHAnsi"/>
                <w:i/>
                <w:noProof/>
                <w:sz w:val="18"/>
                <w:szCs w:val="16"/>
              </w:rPr>
              <w:t xml:space="preserve">inicjatyw </w:t>
            </w:r>
            <w:r w:rsidRPr="00890249" w:rsidDel="00BB20B9">
              <w:rPr>
                <w:rFonts w:asciiTheme="minorHAnsi" w:hAnsiTheme="minorHAnsi" w:cstheme="minorHAnsi"/>
                <w:i/>
                <w:noProof/>
                <w:sz w:val="18"/>
                <w:szCs w:val="16"/>
              </w:rPr>
              <w:t>realizowanych w ramach</w:t>
            </w:r>
            <w:r w:rsidR="005642E6" w:rsidRPr="00890249" w:rsidDel="00BB20B9">
              <w:rPr>
                <w:rFonts w:asciiTheme="minorHAnsi" w:hAnsiTheme="minorHAnsi" w:cstheme="minorHAnsi"/>
                <w:i/>
                <w:noProof/>
                <w:sz w:val="18"/>
                <w:szCs w:val="16"/>
              </w:rPr>
              <w:t xml:space="preserve"> </w:t>
            </w:r>
            <w:r w:rsidRPr="00890249" w:rsidDel="00BB20B9">
              <w:rPr>
                <w:rFonts w:asciiTheme="minorHAnsi" w:hAnsiTheme="minorHAnsi" w:cstheme="minorHAnsi"/>
                <w:i/>
                <w:noProof/>
                <w:sz w:val="18"/>
                <w:szCs w:val="16"/>
              </w:rPr>
              <w:t>Europejskiego Budżetu Obywatelskiego</w:t>
            </w:r>
          </w:p>
        </w:tc>
        <w:tc>
          <w:tcPr>
            <w:tcW w:w="537" w:type="pct"/>
            <w:vAlign w:val="center"/>
          </w:tcPr>
          <w:p w14:paraId="2FB9AB42" w14:textId="77777777" w:rsidR="00C611AB" w:rsidRPr="00890249" w:rsidDel="00BB20B9" w:rsidRDefault="00C611AB" w:rsidP="00BB20B9">
            <w:pPr>
              <w:rPr>
                <w:rFonts w:asciiTheme="minorHAnsi" w:hAnsiTheme="minorHAnsi" w:cstheme="minorHAnsi"/>
                <w:i/>
                <w:noProof/>
                <w:sz w:val="18"/>
                <w:szCs w:val="16"/>
              </w:rPr>
            </w:pPr>
            <w:r w:rsidRPr="00890249" w:rsidDel="00BB20B9">
              <w:rPr>
                <w:rFonts w:asciiTheme="minorHAnsi" w:hAnsiTheme="minorHAnsi" w:cstheme="minorHAnsi"/>
                <w:i/>
                <w:noProof/>
                <w:sz w:val="18"/>
                <w:szCs w:val="16"/>
              </w:rPr>
              <w:t>szt</w:t>
            </w:r>
            <w:r w:rsidR="002C3C8E" w:rsidRPr="00890249" w:rsidDel="00BB20B9">
              <w:rPr>
                <w:rFonts w:asciiTheme="minorHAnsi" w:hAnsiTheme="minorHAnsi" w:cstheme="minorHAnsi"/>
                <w:i/>
                <w:noProof/>
                <w:sz w:val="18"/>
                <w:szCs w:val="16"/>
              </w:rPr>
              <w:t>.</w:t>
            </w:r>
          </w:p>
        </w:tc>
        <w:tc>
          <w:tcPr>
            <w:tcW w:w="537" w:type="pct"/>
            <w:shd w:val="clear" w:color="auto" w:fill="auto"/>
            <w:vAlign w:val="center"/>
          </w:tcPr>
          <w:p w14:paraId="00EBE12A" w14:textId="0398E8FF" w:rsidR="00C611AB" w:rsidRPr="00F62734" w:rsidDel="00BB20B9" w:rsidRDefault="00570968" w:rsidP="00BB20B9">
            <w:pPr>
              <w:rPr>
                <w:rFonts w:asciiTheme="minorHAnsi" w:hAnsiTheme="minorHAnsi" w:cstheme="minorHAnsi"/>
                <w:iCs/>
                <w:noProof/>
                <w:sz w:val="18"/>
                <w:szCs w:val="16"/>
              </w:rPr>
            </w:pPr>
            <w:r w:rsidRPr="00F62734">
              <w:rPr>
                <w:rFonts w:asciiTheme="minorHAnsi" w:hAnsiTheme="minorHAnsi" w:cstheme="minorHAnsi"/>
                <w:iCs/>
                <w:noProof/>
                <w:sz w:val="18"/>
                <w:szCs w:val="16"/>
              </w:rPr>
              <w:t>16</w:t>
            </w:r>
          </w:p>
        </w:tc>
        <w:tc>
          <w:tcPr>
            <w:tcW w:w="593" w:type="pct"/>
            <w:shd w:val="clear" w:color="auto" w:fill="auto"/>
            <w:vAlign w:val="center"/>
          </w:tcPr>
          <w:p w14:paraId="7429C818" w14:textId="4DF3D453" w:rsidR="00C611AB" w:rsidRPr="00F62734" w:rsidDel="00BB20B9" w:rsidRDefault="00EF113E" w:rsidP="00BB20B9">
            <w:pPr>
              <w:rPr>
                <w:rFonts w:asciiTheme="minorHAnsi" w:hAnsiTheme="minorHAnsi" w:cstheme="minorHAnsi"/>
                <w:iCs/>
                <w:noProof/>
                <w:sz w:val="18"/>
                <w:szCs w:val="16"/>
              </w:rPr>
            </w:pPr>
            <w:r w:rsidRPr="00F62734">
              <w:rPr>
                <w:rFonts w:asciiTheme="minorHAnsi" w:hAnsiTheme="minorHAnsi" w:cstheme="minorHAnsi"/>
                <w:iCs/>
                <w:noProof/>
                <w:sz w:val="18"/>
                <w:szCs w:val="16"/>
              </w:rPr>
              <w:t>20</w:t>
            </w:r>
          </w:p>
        </w:tc>
      </w:tr>
    </w:tbl>
    <w:p w14:paraId="2AD90B0F" w14:textId="490B05CE" w:rsidR="009D5BAA" w:rsidRDefault="009D5BAA" w:rsidP="00BB20B9">
      <w:pPr>
        <w:rPr>
          <w:rFonts w:asciiTheme="minorHAnsi" w:eastAsia="Times New Roman" w:hAnsiTheme="minorHAnsi" w:cstheme="minorHAnsi"/>
          <w:b/>
          <w:iCs/>
          <w:noProof/>
          <w:sz w:val="22"/>
          <w:szCs w:val="22"/>
        </w:rPr>
      </w:pPr>
    </w:p>
    <w:p w14:paraId="0BA4B6F1" w14:textId="2EB92322" w:rsidR="00C611AB" w:rsidRPr="00890249" w:rsidDel="00BB20B9" w:rsidRDefault="009D5BAA" w:rsidP="009D5BAA">
      <w:pPr>
        <w:spacing w:before="0" w:after="160" w:line="259" w:lineRule="auto"/>
        <w:jc w:val="left"/>
        <w:rPr>
          <w:rFonts w:asciiTheme="minorHAnsi" w:eastAsia="Times New Roman" w:hAnsiTheme="minorHAnsi" w:cstheme="minorHAnsi"/>
          <w:b/>
          <w:iCs/>
          <w:noProof/>
          <w:sz w:val="22"/>
          <w:szCs w:val="22"/>
        </w:rPr>
      </w:pPr>
      <w:r>
        <w:rPr>
          <w:rFonts w:asciiTheme="minorHAnsi" w:eastAsia="Times New Roman" w:hAnsiTheme="minorHAnsi" w:cstheme="minorHAnsi"/>
          <w:b/>
          <w:iCs/>
          <w:noProof/>
          <w:sz w:val="22"/>
          <w:szCs w:val="22"/>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52"/>
        <w:gridCol w:w="693"/>
        <w:gridCol w:w="1008"/>
        <w:gridCol w:w="774"/>
        <w:gridCol w:w="1383"/>
        <w:gridCol w:w="830"/>
        <w:gridCol w:w="693"/>
        <w:gridCol w:w="597"/>
        <w:gridCol w:w="562"/>
        <w:gridCol w:w="606"/>
        <w:gridCol w:w="647"/>
      </w:tblGrid>
      <w:tr w:rsidR="00C611AB" w:rsidRPr="00890249" w:rsidDel="00BB20B9" w14:paraId="40BC3B1F" w14:textId="77777777" w:rsidTr="00501A25">
        <w:trPr>
          <w:trHeight w:val="480"/>
        </w:trPr>
        <w:tc>
          <w:tcPr>
            <w:tcW w:w="5000" w:type="pct"/>
            <w:gridSpan w:val="12"/>
            <w:shd w:val="clear" w:color="auto" w:fill="D9D9D9" w:themeFill="background1" w:themeFillShade="D9"/>
          </w:tcPr>
          <w:p w14:paraId="638A03AF" w14:textId="77777777" w:rsidR="00C611AB" w:rsidRPr="00890249" w:rsidDel="00BB20B9" w:rsidRDefault="00C611AB" w:rsidP="00BB20B9">
            <w:pPr>
              <w:rPr>
                <w:rFonts w:asciiTheme="minorHAnsi" w:hAnsiTheme="minorHAnsi" w:cstheme="minorHAnsi"/>
                <w:b/>
                <w:noProof/>
                <w:sz w:val="16"/>
                <w:szCs w:val="16"/>
                <w:lang w:eastAsia="en-US" w:bidi="ar-SA"/>
              </w:rPr>
            </w:pPr>
            <w:r w:rsidRPr="00890249" w:rsidDel="00BB20B9">
              <w:rPr>
                <w:rFonts w:asciiTheme="minorHAnsi" w:hAnsiTheme="minorHAnsi" w:cstheme="minorHAnsi"/>
                <w:b/>
                <w:noProof/>
                <w:sz w:val="20"/>
                <w:szCs w:val="22"/>
                <w:lang w:eastAsia="en-US" w:bidi="ar-SA"/>
              </w:rPr>
              <w:lastRenderedPageBreak/>
              <w:t>Tabela 3: Wskaźniki rezultatów</w:t>
            </w:r>
          </w:p>
        </w:tc>
      </w:tr>
      <w:tr w:rsidR="00C611AB" w:rsidRPr="00890249" w:rsidDel="00BB20B9" w14:paraId="32D19839" w14:textId="77777777" w:rsidTr="00BA106D">
        <w:trPr>
          <w:cantSplit/>
          <w:trHeight w:val="1768"/>
        </w:trPr>
        <w:tc>
          <w:tcPr>
            <w:tcW w:w="287" w:type="pct"/>
            <w:shd w:val="clear" w:color="auto" w:fill="F2F2F2" w:themeFill="background1" w:themeFillShade="F2"/>
            <w:textDirection w:val="btLr"/>
            <w:vAlign w:val="center"/>
          </w:tcPr>
          <w:p w14:paraId="1034F958"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Priorytet</w:t>
            </w:r>
          </w:p>
        </w:tc>
        <w:tc>
          <w:tcPr>
            <w:tcW w:w="415" w:type="pct"/>
            <w:shd w:val="clear" w:color="auto" w:fill="F2F2F2" w:themeFill="background1" w:themeFillShade="F2"/>
            <w:textDirection w:val="btLr"/>
            <w:vAlign w:val="center"/>
          </w:tcPr>
          <w:p w14:paraId="5B4E59B8"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Cel szczegółowy (cel „Zatrudnienie i wzrost”) lub obszar wsparcia (EFMR)</w:t>
            </w:r>
          </w:p>
        </w:tc>
        <w:tc>
          <w:tcPr>
            <w:tcW w:w="382" w:type="pct"/>
            <w:shd w:val="clear" w:color="auto" w:fill="F2F2F2" w:themeFill="background1" w:themeFillShade="F2"/>
            <w:textDirection w:val="btLr"/>
            <w:vAlign w:val="center"/>
          </w:tcPr>
          <w:p w14:paraId="67D4BCE3"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Fundusz</w:t>
            </w:r>
          </w:p>
        </w:tc>
        <w:tc>
          <w:tcPr>
            <w:tcW w:w="556" w:type="pct"/>
            <w:shd w:val="clear" w:color="auto" w:fill="F2F2F2" w:themeFill="background1" w:themeFillShade="F2"/>
            <w:textDirection w:val="btLr"/>
            <w:vAlign w:val="center"/>
          </w:tcPr>
          <w:p w14:paraId="675F3085"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Kategoria regionu</w:t>
            </w:r>
          </w:p>
        </w:tc>
        <w:tc>
          <w:tcPr>
            <w:tcW w:w="427" w:type="pct"/>
            <w:shd w:val="clear" w:color="auto" w:fill="F2F2F2" w:themeFill="background1" w:themeFillShade="F2"/>
            <w:textDirection w:val="btLr"/>
            <w:vAlign w:val="center"/>
          </w:tcPr>
          <w:p w14:paraId="49D55946"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Nr identyfikacyjny [5]</w:t>
            </w:r>
          </w:p>
        </w:tc>
        <w:tc>
          <w:tcPr>
            <w:tcW w:w="763" w:type="pct"/>
            <w:shd w:val="clear" w:color="auto" w:fill="F2F2F2" w:themeFill="background1" w:themeFillShade="F2"/>
            <w:textDirection w:val="btLr"/>
            <w:vAlign w:val="center"/>
          </w:tcPr>
          <w:p w14:paraId="18CEAF0B"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Wskaźnik [255]</w:t>
            </w:r>
          </w:p>
        </w:tc>
        <w:tc>
          <w:tcPr>
            <w:tcW w:w="458" w:type="pct"/>
            <w:shd w:val="clear" w:color="auto" w:fill="F2F2F2" w:themeFill="background1" w:themeFillShade="F2"/>
            <w:textDirection w:val="btLr"/>
            <w:vAlign w:val="center"/>
          </w:tcPr>
          <w:p w14:paraId="4C1DFFF4"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35F10E01"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Wartość bazowa lub wartość odniesienia</w:t>
            </w:r>
          </w:p>
        </w:tc>
        <w:tc>
          <w:tcPr>
            <w:tcW w:w="329" w:type="pct"/>
            <w:shd w:val="clear" w:color="auto" w:fill="F2F2F2" w:themeFill="background1" w:themeFillShade="F2"/>
            <w:textDirection w:val="btLr"/>
            <w:vAlign w:val="center"/>
          </w:tcPr>
          <w:p w14:paraId="7BB31872"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Rok referencyjny</w:t>
            </w:r>
          </w:p>
        </w:tc>
        <w:tc>
          <w:tcPr>
            <w:tcW w:w="310" w:type="pct"/>
            <w:shd w:val="clear" w:color="auto" w:fill="F2F2F2" w:themeFill="background1" w:themeFillShade="F2"/>
            <w:textDirection w:val="btLr"/>
            <w:vAlign w:val="center"/>
          </w:tcPr>
          <w:p w14:paraId="20BDD6AF"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2DE1C86C"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Źródło danych [200]</w:t>
            </w:r>
          </w:p>
        </w:tc>
        <w:tc>
          <w:tcPr>
            <w:tcW w:w="357" w:type="pct"/>
            <w:shd w:val="clear" w:color="auto" w:fill="F2F2F2" w:themeFill="background1" w:themeFillShade="F2"/>
            <w:textDirection w:val="btLr"/>
            <w:vAlign w:val="center"/>
          </w:tcPr>
          <w:p w14:paraId="49D2B0B3" w14:textId="77777777" w:rsidR="00C611AB" w:rsidRPr="00890249" w:rsidDel="00BB20B9" w:rsidRDefault="00C611AB" w:rsidP="00BB20B9">
            <w:pPr>
              <w:rPr>
                <w:rFonts w:asciiTheme="minorHAnsi" w:hAnsiTheme="minorHAnsi" w:cstheme="minorHAnsi"/>
                <w:noProof/>
                <w:sz w:val="18"/>
                <w:szCs w:val="16"/>
                <w:lang w:eastAsia="en-US" w:bidi="ar-SA"/>
              </w:rPr>
            </w:pPr>
            <w:r w:rsidRPr="00890249" w:rsidDel="00BB20B9">
              <w:rPr>
                <w:rFonts w:asciiTheme="minorHAnsi" w:hAnsiTheme="minorHAnsi" w:cstheme="minorHAnsi"/>
                <w:noProof/>
                <w:sz w:val="18"/>
                <w:szCs w:val="22"/>
                <w:lang w:eastAsia="en-US" w:bidi="ar-SA"/>
              </w:rPr>
              <w:t>Uwagi [200]</w:t>
            </w:r>
          </w:p>
        </w:tc>
      </w:tr>
      <w:tr w:rsidR="001E0167" w:rsidRPr="00890249" w:rsidDel="00BB20B9" w14:paraId="7AEEBEA1" w14:textId="77777777" w:rsidTr="00BA106D">
        <w:trPr>
          <w:trHeight w:val="434"/>
        </w:trPr>
        <w:tc>
          <w:tcPr>
            <w:tcW w:w="287" w:type="pct"/>
            <w:vAlign w:val="center"/>
          </w:tcPr>
          <w:p w14:paraId="40BBF720" w14:textId="763DB3D1" w:rsidR="001E0167" w:rsidRPr="00890249" w:rsidRDefault="001E0167" w:rsidP="001E0167">
            <w:pPr>
              <w:rPr>
                <w:rFonts w:asciiTheme="minorHAnsi" w:hAnsiTheme="minorHAnsi" w:cstheme="minorHAnsi"/>
                <w:i/>
                <w:noProof/>
                <w:sz w:val="18"/>
                <w:szCs w:val="16"/>
                <w:lang w:eastAsia="en-US" w:bidi="ar-SA"/>
              </w:rPr>
            </w:pPr>
            <w:r w:rsidRPr="00890249" w:rsidDel="00BB20B9">
              <w:rPr>
                <w:rFonts w:asciiTheme="minorHAnsi" w:hAnsiTheme="minorHAnsi" w:cstheme="minorHAnsi"/>
                <w:i/>
                <w:noProof/>
                <w:sz w:val="18"/>
                <w:szCs w:val="16"/>
              </w:rPr>
              <w:t>CP4</w:t>
            </w:r>
          </w:p>
        </w:tc>
        <w:tc>
          <w:tcPr>
            <w:tcW w:w="415" w:type="pct"/>
            <w:vAlign w:val="center"/>
          </w:tcPr>
          <w:p w14:paraId="06045441" w14:textId="5D55A737" w:rsidR="001E0167" w:rsidRPr="00890249" w:rsidRDefault="001E0167" w:rsidP="001E0167">
            <w:pPr>
              <w:spacing w:before="0" w:after="0"/>
              <w:jc w:val="center"/>
              <w:rPr>
                <w:rFonts w:asciiTheme="minorHAnsi" w:hAnsiTheme="minorHAnsi" w:cstheme="minorHAnsi"/>
                <w:i/>
                <w:noProof/>
                <w:sz w:val="18"/>
                <w:szCs w:val="16"/>
              </w:rPr>
            </w:pPr>
            <w:r w:rsidRPr="00890249">
              <w:rPr>
                <w:rFonts w:asciiTheme="minorHAnsi" w:hAnsiTheme="minorHAnsi" w:cstheme="minorHAnsi"/>
                <w:i/>
                <w:noProof/>
                <w:sz w:val="18"/>
                <w:szCs w:val="16"/>
              </w:rPr>
              <w:t>4.g</w:t>
            </w:r>
          </w:p>
        </w:tc>
        <w:tc>
          <w:tcPr>
            <w:tcW w:w="382" w:type="pct"/>
            <w:vAlign w:val="center"/>
          </w:tcPr>
          <w:p w14:paraId="6F20FBFB" w14:textId="500BF7D8" w:rsidR="001E0167" w:rsidRPr="00890249" w:rsidDel="00BB20B9" w:rsidRDefault="001E0167" w:rsidP="001E0167">
            <w:pPr>
              <w:rPr>
                <w:rFonts w:asciiTheme="minorHAnsi" w:hAnsiTheme="minorHAnsi" w:cstheme="minorHAnsi"/>
                <w:i/>
                <w:noProof/>
                <w:sz w:val="18"/>
                <w:szCs w:val="16"/>
                <w:lang w:eastAsia="en-US" w:bidi="ar-SA"/>
              </w:rPr>
            </w:pPr>
            <w:r w:rsidRPr="00890249" w:rsidDel="00BB20B9">
              <w:rPr>
                <w:rFonts w:asciiTheme="minorHAnsi" w:hAnsiTheme="minorHAnsi" w:cstheme="minorHAnsi"/>
                <w:i/>
                <w:noProof/>
                <w:sz w:val="18"/>
                <w:szCs w:val="16"/>
              </w:rPr>
              <w:t>EFS+</w:t>
            </w:r>
          </w:p>
        </w:tc>
        <w:tc>
          <w:tcPr>
            <w:tcW w:w="556" w:type="pct"/>
            <w:vAlign w:val="center"/>
          </w:tcPr>
          <w:p w14:paraId="5F6FB921" w14:textId="762FF434" w:rsidR="001E0167" w:rsidRPr="00890249" w:rsidDel="00BB20B9" w:rsidRDefault="001E0167" w:rsidP="001E0167">
            <w:pPr>
              <w:rPr>
                <w:rFonts w:asciiTheme="minorHAnsi" w:hAnsiTheme="minorHAnsi" w:cstheme="minorHAnsi"/>
                <w:noProof/>
                <w:sz w:val="18"/>
              </w:rPr>
            </w:pPr>
            <w:r w:rsidRPr="00890249" w:rsidDel="00BB20B9">
              <w:rPr>
                <w:rFonts w:asciiTheme="minorHAnsi" w:hAnsiTheme="minorHAnsi" w:cstheme="minorHAnsi"/>
                <w:noProof/>
                <w:sz w:val="18"/>
              </w:rPr>
              <w:t>słabiej rozwinięte</w:t>
            </w:r>
          </w:p>
        </w:tc>
        <w:tc>
          <w:tcPr>
            <w:tcW w:w="427" w:type="pct"/>
            <w:vAlign w:val="center"/>
          </w:tcPr>
          <w:p w14:paraId="5C1E0506" w14:textId="5A75C095" w:rsidR="001E0167" w:rsidRPr="00890249" w:rsidDel="00BB20B9" w:rsidRDefault="00360ECE" w:rsidP="001E0167">
            <w:pPr>
              <w:rPr>
                <w:rFonts w:asciiTheme="minorHAnsi" w:hAnsiTheme="minorHAnsi" w:cstheme="minorHAnsi"/>
                <w:i/>
                <w:noProof/>
                <w:sz w:val="18"/>
                <w:szCs w:val="16"/>
                <w:lang w:eastAsia="en-US" w:bidi="ar-SA"/>
              </w:rPr>
            </w:pPr>
            <w:r>
              <w:rPr>
                <w:rFonts w:asciiTheme="minorHAnsi" w:hAnsiTheme="minorHAnsi" w:cstheme="minorHAnsi"/>
                <w:i/>
                <w:noProof/>
                <w:sz w:val="18"/>
                <w:szCs w:val="16"/>
                <w:lang w:eastAsia="en-US" w:bidi="ar-SA"/>
              </w:rPr>
              <w:t>EECR03</w:t>
            </w:r>
          </w:p>
        </w:tc>
        <w:tc>
          <w:tcPr>
            <w:tcW w:w="763" w:type="pct"/>
            <w:shd w:val="clear" w:color="auto" w:fill="auto"/>
            <w:vAlign w:val="center"/>
          </w:tcPr>
          <w:p w14:paraId="06B38F73" w14:textId="2A41F16E" w:rsidR="001E0167" w:rsidRPr="00F62734" w:rsidDel="00BB20B9" w:rsidRDefault="001E0167" w:rsidP="00F62734">
            <w:pPr>
              <w:spacing w:after="60"/>
              <w:rPr>
                <w:rFonts w:asciiTheme="minorHAnsi" w:hAnsiTheme="minorHAnsi" w:cstheme="minorHAnsi"/>
                <w:bCs/>
                <w:i/>
                <w:iCs/>
                <w:color w:val="000099"/>
                <w:sz w:val="16"/>
                <w:szCs w:val="16"/>
              </w:rPr>
            </w:pPr>
            <w:r w:rsidRPr="00F62734">
              <w:rPr>
                <w:rFonts w:asciiTheme="minorHAnsi" w:hAnsiTheme="minorHAnsi" w:cstheme="minorHAnsi"/>
                <w:bCs/>
                <w:i/>
                <w:iCs/>
                <w:color w:val="000099"/>
                <w:sz w:val="16"/>
                <w:szCs w:val="16"/>
              </w:rPr>
              <w:t>Liczba osób, które uzyskały</w:t>
            </w:r>
            <w:r>
              <w:rPr>
                <w:rFonts w:asciiTheme="minorHAnsi" w:hAnsiTheme="minorHAnsi" w:cstheme="minorHAnsi"/>
                <w:bCs/>
                <w:i/>
                <w:iCs/>
                <w:color w:val="000099"/>
                <w:sz w:val="16"/>
                <w:szCs w:val="16"/>
              </w:rPr>
              <w:t xml:space="preserve"> </w:t>
            </w:r>
            <w:r w:rsidRPr="00F62734">
              <w:rPr>
                <w:rFonts w:asciiTheme="minorHAnsi" w:hAnsiTheme="minorHAnsi" w:cstheme="minorHAnsi"/>
                <w:bCs/>
                <w:i/>
                <w:iCs/>
                <w:color w:val="000099"/>
                <w:sz w:val="16"/>
                <w:szCs w:val="16"/>
              </w:rPr>
              <w:t>kwalifikacje</w:t>
            </w:r>
            <w:r>
              <w:rPr>
                <w:rFonts w:asciiTheme="minorHAnsi" w:hAnsiTheme="minorHAnsi" w:cstheme="minorHAnsi"/>
                <w:bCs/>
                <w:i/>
                <w:iCs/>
                <w:color w:val="000099"/>
                <w:sz w:val="16"/>
                <w:szCs w:val="16"/>
              </w:rPr>
              <w:t xml:space="preserve"> </w:t>
            </w:r>
            <w:r w:rsidRPr="00F62734">
              <w:rPr>
                <w:rFonts w:asciiTheme="minorHAnsi" w:hAnsiTheme="minorHAnsi" w:cstheme="minorHAnsi"/>
                <w:bCs/>
                <w:i/>
                <w:iCs/>
                <w:color w:val="000099"/>
                <w:sz w:val="16"/>
                <w:szCs w:val="16"/>
              </w:rPr>
              <w:t>po opuszczeniu</w:t>
            </w:r>
            <w:r>
              <w:rPr>
                <w:rFonts w:asciiTheme="minorHAnsi" w:hAnsiTheme="minorHAnsi" w:cstheme="minorHAnsi"/>
                <w:bCs/>
                <w:i/>
                <w:iCs/>
                <w:color w:val="000099"/>
                <w:sz w:val="16"/>
                <w:szCs w:val="16"/>
              </w:rPr>
              <w:t xml:space="preserve"> </w:t>
            </w:r>
            <w:r w:rsidRPr="00F62734">
              <w:rPr>
                <w:rFonts w:asciiTheme="minorHAnsi" w:hAnsiTheme="minorHAnsi" w:cstheme="minorHAnsi"/>
                <w:bCs/>
                <w:i/>
                <w:iCs/>
                <w:color w:val="000099"/>
                <w:sz w:val="16"/>
                <w:szCs w:val="16"/>
              </w:rPr>
              <w:t>programu</w:t>
            </w:r>
          </w:p>
        </w:tc>
        <w:tc>
          <w:tcPr>
            <w:tcW w:w="458" w:type="pct"/>
            <w:vAlign w:val="center"/>
          </w:tcPr>
          <w:p w14:paraId="3192E135" w14:textId="372F646C" w:rsidR="001E0167" w:rsidRPr="00890249" w:rsidRDefault="001E0167" w:rsidP="001E0167">
            <w:pPr>
              <w:rPr>
                <w:rFonts w:asciiTheme="minorHAnsi" w:hAnsiTheme="minorHAnsi" w:cstheme="minorHAnsi"/>
                <w:i/>
                <w:noProof/>
                <w:sz w:val="18"/>
                <w:szCs w:val="16"/>
                <w:lang w:eastAsia="en-US" w:bidi="ar-SA"/>
              </w:rPr>
            </w:pPr>
            <w:r>
              <w:rPr>
                <w:rFonts w:asciiTheme="minorHAnsi" w:hAnsiTheme="minorHAnsi" w:cstheme="minorHAnsi"/>
                <w:i/>
                <w:noProof/>
                <w:sz w:val="18"/>
                <w:szCs w:val="16"/>
                <w:lang w:eastAsia="en-US" w:bidi="ar-SA"/>
              </w:rPr>
              <w:t>osoby</w:t>
            </w:r>
          </w:p>
        </w:tc>
        <w:tc>
          <w:tcPr>
            <w:tcW w:w="382" w:type="pct"/>
            <w:vAlign w:val="center"/>
          </w:tcPr>
          <w:p w14:paraId="6AD66B18" w14:textId="13FD3BAE" w:rsidR="001E0167" w:rsidRPr="00890249" w:rsidRDefault="001E0167" w:rsidP="001E0167">
            <w:pPr>
              <w:rPr>
                <w:rFonts w:asciiTheme="minorHAnsi" w:hAnsiTheme="minorHAnsi" w:cstheme="minorHAnsi"/>
                <w:i/>
                <w:noProof/>
                <w:sz w:val="18"/>
                <w:szCs w:val="16"/>
                <w:lang w:eastAsia="en-US" w:bidi="ar-SA"/>
              </w:rPr>
            </w:pPr>
            <w:r>
              <w:rPr>
                <w:rFonts w:asciiTheme="minorHAnsi" w:hAnsiTheme="minorHAnsi" w:cstheme="minorHAnsi"/>
                <w:i/>
                <w:noProof/>
                <w:sz w:val="18"/>
                <w:szCs w:val="16"/>
                <w:lang w:eastAsia="en-US" w:bidi="ar-SA"/>
              </w:rPr>
              <w:t>nd</w:t>
            </w:r>
          </w:p>
        </w:tc>
        <w:tc>
          <w:tcPr>
            <w:tcW w:w="329" w:type="pct"/>
            <w:vAlign w:val="center"/>
          </w:tcPr>
          <w:p w14:paraId="3ED76471" w14:textId="02FA6BA7" w:rsidR="001E0167" w:rsidRPr="00890249" w:rsidDel="00BB20B9" w:rsidRDefault="001E0167" w:rsidP="001E0167">
            <w:pP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nd</w:t>
            </w:r>
          </w:p>
        </w:tc>
        <w:tc>
          <w:tcPr>
            <w:tcW w:w="310" w:type="pct"/>
            <w:shd w:val="clear" w:color="auto" w:fill="auto"/>
            <w:vAlign w:val="center"/>
          </w:tcPr>
          <w:p w14:paraId="68350C1B" w14:textId="525B8234" w:rsidR="001E0167" w:rsidRPr="00890249" w:rsidRDefault="001E0167" w:rsidP="001E0167">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900</w:t>
            </w:r>
          </w:p>
        </w:tc>
        <w:tc>
          <w:tcPr>
            <w:tcW w:w="334" w:type="pct"/>
            <w:shd w:val="clear" w:color="auto" w:fill="auto"/>
            <w:vAlign w:val="center"/>
          </w:tcPr>
          <w:p w14:paraId="561E4578" w14:textId="5C9BBF65" w:rsidR="001E0167" w:rsidRPr="00890249" w:rsidDel="00BB20B9" w:rsidRDefault="001E0167" w:rsidP="001E0167">
            <w:pPr>
              <w:rPr>
                <w:rFonts w:asciiTheme="minorHAnsi" w:hAnsiTheme="minorHAnsi" w:cstheme="minorHAnsi"/>
                <w:i/>
                <w:noProof/>
                <w:sz w:val="18"/>
                <w:szCs w:val="16"/>
                <w:lang w:eastAsia="en-US" w:bidi="ar-SA"/>
              </w:rPr>
            </w:pPr>
            <w:r>
              <w:rPr>
                <w:rFonts w:asciiTheme="minorHAnsi" w:hAnsiTheme="minorHAnsi" w:cstheme="minorHAnsi"/>
                <w:i/>
                <w:noProof/>
                <w:sz w:val="18"/>
                <w:szCs w:val="16"/>
                <w:lang w:eastAsia="en-US" w:bidi="ar-SA"/>
              </w:rPr>
              <w:t>IZ</w:t>
            </w:r>
          </w:p>
        </w:tc>
        <w:tc>
          <w:tcPr>
            <w:tcW w:w="357" w:type="pct"/>
            <w:vAlign w:val="center"/>
          </w:tcPr>
          <w:p w14:paraId="343E02A8" w14:textId="77777777" w:rsidR="00360ECE" w:rsidRPr="00890249" w:rsidRDefault="00360ECE" w:rsidP="00360ECE">
            <w:pPr>
              <w:rPr>
                <w:rFonts w:asciiTheme="minorHAnsi" w:hAnsiTheme="minorHAnsi" w:cstheme="minorHAnsi"/>
                <w:i/>
                <w:noProof/>
                <w:sz w:val="18"/>
                <w:szCs w:val="16"/>
              </w:rPr>
            </w:pPr>
            <w:r w:rsidRPr="00890249">
              <w:rPr>
                <w:rFonts w:asciiTheme="minorHAnsi" w:hAnsiTheme="minorHAnsi" w:cstheme="minorHAnsi"/>
                <w:i/>
                <w:noProof/>
                <w:sz w:val="18"/>
                <w:szCs w:val="16"/>
              </w:rPr>
              <w:t>Wskaźnik referencyjny:</w:t>
            </w:r>
          </w:p>
          <w:p w14:paraId="625BE861" w14:textId="49F8C1EB" w:rsidR="001E0167" w:rsidRPr="00890249" w:rsidRDefault="00360ECE" w:rsidP="00360ECE">
            <w:pPr>
              <w:rPr>
                <w:rFonts w:asciiTheme="minorHAnsi" w:hAnsiTheme="minorHAnsi" w:cstheme="minorHAnsi"/>
                <w:i/>
                <w:noProof/>
                <w:sz w:val="18"/>
                <w:szCs w:val="16"/>
              </w:rPr>
            </w:pPr>
            <w:r w:rsidRPr="00890249">
              <w:rPr>
                <w:rFonts w:asciiTheme="minorHAnsi" w:hAnsiTheme="minorHAnsi" w:cstheme="minorHAnsi"/>
                <w:i/>
                <w:noProof/>
                <w:sz w:val="18"/>
                <w:szCs w:val="16"/>
              </w:rPr>
              <w:t>FEOP81</w:t>
            </w:r>
          </w:p>
        </w:tc>
      </w:tr>
    </w:tbl>
    <w:p w14:paraId="03CFC5B9" w14:textId="77777777" w:rsidR="00BA4536" w:rsidRPr="00890249" w:rsidRDefault="00BA4536" w:rsidP="00BB20B9">
      <w:pPr>
        <w:rPr>
          <w:rFonts w:asciiTheme="minorHAnsi" w:hAnsiTheme="minorHAnsi" w:cstheme="minorHAnsi"/>
          <w:b/>
          <w:noProof/>
          <w:sz w:val="22"/>
          <w:szCs w:val="22"/>
        </w:rPr>
      </w:pPr>
    </w:p>
    <w:p w14:paraId="55F279EF" w14:textId="650FD3E9" w:rsidR="00F95F69" w:rsidRDefault="00C92719" w:rsidP="00BB20B9">
      <w:pPr>
        <w:rPr>
          <w:rFonts w:asciiTheme="minorHAnsi" w:hAnsiTheme="minorHAnsi" w:cstheme="minorHAnsi"/>
          <w:b/>
          <w:noProof/>
          <w:sz w:val="22"/>
          <w:szCs w:val="22"/>
        </w:rPr>
      </w:pPr>
      <w:r w:rsidRPr="00890249" w:rsidDel="00BB20B9">
        <w:rPr>
          <w:rFonts w:asciiTheme="minorHAnsi" w:hAnsiTheme="minorHAnsi" w:cstheme="minorHAnsi"/>
          <w:b/>
          <w:noProof/>
          <w:sz w:val="22"/>
          <w:szCs w:val="22"/>
        </w:rPr>
        <w:t>2.</w:t>
      </w:r>
      <w:r w:rsidRPr="00890249">
        <w:rPr>
          <w:rFonts w:asciiTheme="minorHAnsi" w:hAnsiTheme="minorHAnsi" w:cstheme="minorHAnsi"/>
          <w:b/>
          <w:noProof/>
          <w:sz w:val="22"/>
          <w:szCs w:val="22"/>
        </w:rPr>
        <w:t>1.8</w:t>
      </w:r>
      <w:r w:rsidRPr="00890249" w:rsidDel="00BB20B9">
        <w:rPr>
          <w:rFonts w:asciiTheme="minorHAnsi" w:hAnsiTheme="minorHAnsi" w:cstheme="minorHAnsi"/>
          <w:b/>
          <w:noProof/>
          <w:sz w:val="22"/>
          <w:szCs w:val="22"/>
        </w:rPr>
        <w:t>.1.3 (…) Orientacyjny podział zasobów programu (UE) według rodzaju interwencji</w:t>
      </w: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5A3E5B" w:rsidRPr="00890249" w:rsidDel="00BB20B9" w14:paraId="55AC43E7" w14:textId="77777777" w:rsidTr="00AD1277">
        <w:trPr>
          <w:tblHeader/>
        </w:trPr>
        <w:tc>
          <w:tcPr>
            <w:tcW w:w="9322" w:type="dxa"/>
            <w:gridSpan w:val="6"/>
            <w:shd w:val="clear" w:color="auto" w:fill="D9D9D9" w:themeFill="background1" w:themeFillShade="D9"/>
          </w:tcPr>
          <w:p w14:paraId="280EAA69" w14:textId="77777777" w:rsidR="005A3E5B" w:rsidRPr="00890249" w:rsidDel="00BB20B9" w:rsidRDefault="005A3E5B" w:rsidP="00AD1277">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4: Wymiar 1 – zakres interwencji</w:t>
            </w:r>
          </w:p>
        </w:tc>
      </w:tr>
      <w:tr w:rsidR="005A3E5B" w:rsidRPr="00890249" w:rsidDel="00BB20B9" w14:paraId="55D121AF" w14:textId="77777777" w:rsidTr="00AD1277">
        <w:trPr>
          <w:tblHeader/>
        </w:trPr>
        <w:tc>
          <w:tcPr>
            <w:tcW w:w="1489" w:type="dxa"/>
            <w:shd w:val="clear" w:color="auto" w:fill="F2F2F2" w:themeFill="background1" w:themeFillShade="F2"/>
          </w:tcPr>
          <w:p w14:paraId="4CB5D2E1"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7667D308"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0817DD2F"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168D108B"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3CC06E60"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3D573676"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5A3E5B" w:rsidRPr="00890249" w:rsidDel="00BB20B9" w14:paraId="216FF368" w14:textId="77777777" w:rsidTr="00AD1277">
        <w:trPr>
          <w:trHeight w:val="329"/>
        </w:trPr>
        <w:tc>
          <w:tcPr>
            <w:tcW w:w="1489" w:type="dxa"/>
            <w:vMerge w:val="restart"/>
            <w:vAlign w:val="center"/>
          </w:tcPr>
          <w:p w14:paraId="53062817" w14:textId="77777777" w:rsidR="005A3E5B" w:rsidRPr="00890249" w:rsidDel="00BB20B9" w:rsidRDefault="005A3E5B" w:rsidP="005A3E5B">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Merge w:val="restart"/>
            <w:vAlign w:val="center"/>
          </w:tcPr>
          <w:p w14:paraId="2E3CDB50" w14:textId="77777777" w:rsidR="005A3E5B" w:rsidRPr="00890249" w:rsidDel="00BB20B9" w:rsidRDefault="005A3E5B" w:rsidP="005A3E5B">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Merge w:val="restart"/>
            <w:vAlign w:val="center"/>
          </w:tcPr>
          <w:p w14:paraId="6FB6678C" w14:textId="77777777" w:rsidR="005A3E5B" w:rsidRPr="00890249" w:rsidDel="00BB20B9" w:rsidRDefault="005A3E5B" w:rsidP="005A3E5B">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Merge w:val="restart"/>
            <w:vAlign w:val="center"/>
          </w:tcPr>
          <w:p w14:paraId="43AF5DBF" w14:textId="382BB6E2" w:rsidR="005A3E5B" w:rsidRPr="005A3E5B" w:rsidDel="00BB20B9" w:rsidRDefault="005A3E5B" w:rsidP="005A3E5B">
            <w:pPr>
              <w:jc w:val="center"/>
              <w:rPr>
                <w:rFonts w:asciiTheme="minorHAnsi" w:hAnsiTheme="minorHAnsi" w:cstheme="minorHAnsi"/>
                <w:noProof/>
                <w:sz w:val="20"/>
              </w:rPr>
            </w:pPr>
            <w:r>
              <w:rPr>
                <w:rFonts w:asciiTheme="minorHAnsi" w:hAnsiTheme="minorHAnsi" w:cstheme="minorHAnsi"/>
                <w:noProof/>
                <w:sz w:val="20"/>
              </w:rPr>
              <w:t>(a)</w:t>
            </w:r>
          </w:p>
        </w:tc>
        <w:tc>
          <w:tcPr>
            <w:tcW w:w="1958" w:type="dxa"/>
          </w:tcPr>
          <w:p w14:paraId="39AC33D7" w14:textId="0AC7E31D" w:rsidR="005A3E5B" w:rsidRPr="00890249" w:rsidDel="00BB20B9" w:rsidRDefault="005A3E5B" w:rsidP="005A3E5B">
            <w:pPr>
              <w:jc w:val="center"/>
              <w:rPr>
                <w:rFonts w:asciiTheme="minorHAnsi" w:hAnsiTheme="minorHAnsi" w:cstheme="minorHAnsi"/>
                <w:noProof/>
                <w:sz w:val="20"/>
              </w:rPr>
            </w:pPr>
            <w:r w:rsidRPr="00890249">
              <w:rPr>
                <w:rFonts w:asciiTheme="minorHAnsi" w:hAnsiTheme="minorHAnsi" w:cstheme="minorHAnsi"/>
                <w:noProof/>
                <w:sz w:val="20"/>
              </w:rPr>
              <w:t>136 Wsparcie szczególne na rzecz zatrudnienia ludzi młodych i integracji społeczno-gospodarczej ludzi młodych</w:t>
            </w:r>
          </w:p>
        </w:tc>
        <w:tc>
          <w:tcPr>
            <w:tcW w:w="2153" w:type="dxa"/>
          </w:tcPr>
          <w:p w14:paraId="1E4D9593" w14:textId="1AFC7A9E" w:rsidR="005A3E5B" w:rsidRPr="00890249" w:rsidRDefault="0052724E" w:rsidP="005A3E5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r w:rsidR="005A3E5B" w:rsidRPr="00890249" w:rsidDel="00BB20B9" w14:paraId="27B1BFB8" w14:textId="77777777" w:rsidTr="00AD1277">
        <w:trPr>
          <w:trHeight w:val="329"/>
        </w:trPr>
        <w:tc>
          <w:tcPr>
            <w:tcW w:w="1489" w:type="dxa"/>
            <w:vMerge/>
            <w:vAlign w:val="center"/>
          </w:tcPr>
          <w:p w14:paraId="5ED9AFCD" w14:textId="77777777" w:rsidR="005A3E5B" w:rsidRPr="00890249" w:rsidRDefault="005A3E5B" w:rsidP="005A3E5B">
            <w:pPr>
              <w:jc w:val="center"/>
              <w:rPr>
                <w:rFonts w:asciiTheme="minorHAnsi" w:hAnsiTheme="minorHAnsi" w:cstheme="minorHAnsi"/>
                <w:noProof/>
                <w:sz w:val="20"/>
              </w:rPr>
            </w:pPr>
          </w:p>
        </w:tc>
        <w:tc>
          <w:tcPr>
            <w:tcW w:w="1029" w:type="dxa"/>
            <w:vMerge/>
            <w:vAlign w:val="center"/>
          </w:tcPr>
          <w:p w14:paraId="603A2F33" w14:textId="77777777" w:rsidR="005A3E5B" w:rsidRPr="00890249" w:rsidRDefault="005A3E5B" w:rsidP="005A3E5B">
            <w:pPr>
              <w:jc w:val="center"/>
              <w:rPr>
                <w:rFonts w:asciiTheme="minorHAnsi" w:hAnsiTheme="minorHAnsi" w:cstheme="minorHAnsi"/>
                <w:noProof/>
                <w:sz w:val="20"/>
              </w:rPr>
            </w:pPr>
          </w:p>
        </w:tc>
        <w:tc>
          <w:tcPr>
            <w:tcW w:w="1134" w:type="dxa"/>
            <w:vMerge/>
            <w:vAlign w:val="center"/>
          </w:tcPr>
          <w:p w14:paraId="3331AEAA" w14:textId="77777777" w:rsidR="005A3E5B" w:rsidRPr="00890249" w:rsidRDefault="005A3E5B" w:rsidP="005A3E5B">
            <w:pPr>
              <w:jc w:val="center"/>
              <w:rPr>
                <w:rFonts w:asciiTheme="minorHAnsi" w:hAnsiTheme="minorHAnsi" w:cstheme="minorHAnsi"/>
                <w:noProof/>
                <w:sz w:val="20"/>
              </w:rPr>
            </w:pPr>
          </w:p>
        </w:tc>
        <w:tc>
          <w:tcPr>
            <w:tcW w:w="1559" w:type="dxa"/>
            <w:vMerge/>
            <w:vAlign w:val="center"/>
          </w:tcPr>
          <w:p w14:paraId="14068242" w14:textId="77777777" w:rsidR="005A3E5B" w:rsidRPr="00890249" w:rsidRDefault="005A3E5B" w:rsidP="009F296A">
            <w:pPr>
              <w:pStyle w:val="Akapitzlist"/>
              <w:numPr>
                <w:ilvl w:val="0"/>
                <w:numId w:val="127"/>
              </w:numPr>
              <w:ind w:left="317"/>
              <w:jc w:val="left"/>
              <w:rPr>
                <w:rFonts w:asciiTheme="minorHAnsi" w:hAnsiTheme="minorHAnsi" w:cstheme="minorHAnsi"/>
                <w:noProof/>
                <w:sz w:val="20"/>
              </w:rPr>
            </w:pPr>
          </w:p>
        </w:tc>
        <w:tc>
          <w:tcPr>
            <w:tcW w:w="1958" w:type="dxa"/>
          </w:tcPr>
          <w:p w14:paraId="58BFD0ED" w14:textId="333332A8" w:rsidR="005A3E5B" w:rsidRPr="00890249" w:rsidRDefault="005A3E5B" w:rsidP="005A3E5B">
            <w:pPr>
              <w:jc w:val="center"/>
              <w:rPr>
                <w:rFonts w:asciiTheme="minorHAnsi" w:hAnsiTheme="minorHAnsi" w:cstheme="minorHAnsi"/>
                <w:noProof/>
                <w:sz w:val="20"/>
              </w:rPr>
            </w:pPr>
            <w:r w:rsidRPr="00890249" w:rsidDel="00BB20B9">
              <w:rPr>
                <w:rFonts w:asciiTheme="minorHAnsi" w:hAnsiTheme="minorHAnsi" w:cstheme="minorHAnsi"/>
                <w:noProof/>
                <w:sz w:val="20"/>
              </w:rPr>
              <w:t>140</w:t>
            </w:r>
            <w:r w:rsidRPr="00890249">
              <w:rPr>
                <w:rFonts w:asciiTheme="minorHAnsi" w:hAnsiTheme="minorHAnsi" w:cstheme="minorHAnsi"/>
                <w:noProof/>
                <w:sz w:val="20"/>
              </w:rPr>
              <w:t xml:space="preserve"> Wsparcie na rzecz dostosowania umiejetności i kwalifikacji zawodowych do potrzeb rynku pracy oraz na rzecz przepływów na rynku pracy</w:t>
            </w:r>
          </w:p>
        </w:tc>
        <w:tc>
          <w:tcPr>
            <w:tcW w:w="2153" w:type="dxa"/>
          </w:tcPr>
          <w:p w14:paraId="51BF01B8" w14:textId="7AB68440" w:rsidR="005A3E5B" w:rsidRPr="00890249" w:rsidRDefault="0052724E" w:rsidP="005A3E5B">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5680F102" w14:textId="77777777" w:rsidR="005A3E5B" w:rsidRDefault="005A3E5B" w:rsidP="00BB20B9">
      <w:pPr>
        <w:rPr>
          <w:rFonts w:asciiTheme="minorHAnsi" w:hAnsiTheme="minorHAnsi" w:cstheme="minorHAnsi"/>
          <w:b/>
          <w:noProof/>
          <w:sz w:val="22"/>
          <w:szCs w:val="22"/>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5A3E5B" w:rsidRPr="00890249" w:rsidDel="00BB20B9" w14:paraId="02087814" w14:textId="77777777" w:rsidTr="00AD1277">
        <w:tc>
          <w:tcPr>
            <w:tcW w:w="9288" w:type="dxa"/>
            <w:gridSpan w:val="6"/>
            <w:shd w:val="clear" w:color="auto" w:fill="D9D9D9" w:themeFill="background1" w:themeFillShade="D9"/>
          </w:tcPr>
          <w:p w14:paraId="099DB3D4" w14:textId="77777777" w:rsidR="005A3E5B" w:rsidRPr="00890249" w:rsidDel="00BB20B9" w:rsidRDefault="005A3E5B" w:rsidP="00AD1277">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5A3E5B" w:rsidRPr="00890249" w:rsidDel="00BB20B9" w14:paraId="7CCCEBA2" w14:textId="77777777" w:rsidTr="00AD1277">
        <w:tc>
          <w:tcPr>
            <w:tcW w:w="1599" w:type="dxa"/>
            <w:shd w:val="clear" w:color="auto" w:fill="F2F2F2" w:themeFill="background1" w:themeFillShade="F2"/>
          </w:tcPr>
          <w:p w14:paraId="19F34340"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2467B9A2"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3A493BFE"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268F4555"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6163A159"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4631BA82" w14:textId="77777777" w:rsidR="005A3E5B" w:rsidRPr="00890249" w:rsidDel="00BB20B9" w:rsidRDefault="005A3E5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5A3E5B" w:rsidRPr="00890249" w:rsidDel="00BB20B9" w14:paraId="3EAFD805" w14:textId="77777777" w:rsidTr="00AD1277">
        <w:tc>
          <w:tcPr>
            <w:tcW w:w="1599" w:type="dxa"/>
            <w:vAlign w:val="center"/>
          </w:tcPr>
          <w:p w14:paraId="5C78A0F5" w14:textId="77777777" w:rsidR="005A3E5B" w:rsidRPr="00890249" w:rsidRDefault="005A3E5B"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1AC3C1A1" w14:textId="77777777" w:rsidR="005A3E5B" w:rsidRPr="00890249" w:rsidRDefault="005A3E5B"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62E8032B" w14:textId="77777777" w:rsidR="005A3E5B" w:rsidRPr="00890249" w:rsidRDefault="005A3E5B" w:rsidP="00AD1277">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79CE85F9" w14:textId="57D00059" w:rsidR="005A3E5B" w:rsidRPr="00890249" w:rsidRDefault="005A3E5B" w:rsidP="004B6B66">
            <w:pPr>
              <w:pStyle w:val="Akapitzlist"/>
              <w:ind w:left="263"/>
              <w:jc w:val="center"/>
              <w:rPr>
                <w:rFonts w:asciiTheme="minorHAnsi" w:eastAsia="Times New Roman" w:hAnsiTheme="minorHAnsi" w:cstheme="minorHAnsi"/>
                <w:iCs/>
                <w:noProof/>
                <w:sz w:val="20"/>
              </w:rPr>
            </w:pPr>
            <w:r>
              <w:rPr>
                <w:rFonts w:asciiTheme="minorHAnsi" w:hAnsiTheme="minorHAnsi" w:cstheme="minorHAnsi"/>
                <w:noProof/>
                <w:sz w:val="20"/>
              </w:rPr>
              <w:t>(a)</w:t>
            </w:r>
          </w:p>
        </w:tc>
        <w:tc>
          <w:tcPr>
            <w:tcW w:w="1053" w:type="dxa"/>
          </w:tcPr>
          <w:p w14:paraId="02F69D3E" w14:textId="77777777" w:rsidR="005A3E5B" w:rsidRPr="00890249" w:rsidRDefault="005A3E5B"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49FB09B2" w14:textId="0C128C8A" w:rsidR="005A3E5B" w:rsidRPr="00890249" w:rsidRDefault="0052724E" w:rsidP="00AD127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5310014C" w14:textId="77777777" w:rsidR="005A3E5B" w:rsidRDefault="005A3E5B"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AD1277" w:rsidRPr="00890249" w:rsidDel="00BB20B9" w14:paraId="47755E6C" w14:textId="77777777" w:rsidTr="00AD1277">
        <w:tc>
          <w:tcPr>
            <w:tcW w:w="9288" w:type="dxa"/>
            <w:gridSpan w:val="6"/>
            <w:shd w:val="clear" w:color="auto" w:fill="D9D9D9" w:themeFill="background1" w:themeFillShade="D9"/>
          </w:tcPr>
          <w:p w14:paraId="34F57424" w14:textId="0AA1DAD4" w:rsidR="00AD1277" w:rsidRPr="00890249" w:rsidDel="00BB20B9" w:rsidRDefault="00AD1277" w:rsidP="00AD1277">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lastRenderedPageBreak/>
              <w:t xml:space="preserve">Tabela </w:t>
            </w:r>
            <w:r w:rsidR="00002576">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AD1277" w:rsidRPr="00890249" w:rsidDel="00BB20B9" w14:paraId="778EFF89" w14:textId="77777777" w:rsidTr="00AD1277">
        <w:tc>
          <w:tcPr>
            <w:tcW w:w="1599" w:type="dxa"/>
            <w:shd w:val="clear" w:color="auto" w:fill="F2F2F2" w:themeFill="background1" w:themeFillShade="F2"/>
          </w:tcPr>
          <w:p w14:paraId="7CB42ACD"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26DAE4F3"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368DF61A"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7F270348"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16B5D812"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592EE834"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AD1277" w:rsidRPr="00890249" w:rsidDel="00BB20B9" w14:paraId="6342863D" w14:textId="77777777" w:rsidTr="00AD1277">
        <w:tc>
          <w:tcPr>
            <w:tcW w:w="1599" w:type="dxa"/>
            <w:vAlign w:val="center"/>
          </w:tcPr>
          <w:p w14:paraId="43EE1325" w14:textId="77777777" w:rsidR="00AD1277" w:rsidRPr="00890249" w:rsidRDefault="00AD1277"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1F614D55" w14:textId="77777777" w:rsidR="00AD1277" w:rsidRPr="00890249" w:rsidRDefault="00AD1277" w:rsidP="00AD1277">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72E07604" w14:textId="77777777" w:rsidR="00AD1277" w:rsidRPr="00890249" w:rsidRDefault="00AD1277" w:rsidP="00AD1277">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281C63E0" w14:textId="3C1D42A5" w:rsidR="00AD1277" w:rsidRPr="00890249" w:rsidRDefault="00AD1277" w:rsidP="004B6B66">
            <w:pPr>
              <w:pStyle w:val="Akapitzlist"/>
              <w:ind w:left="341"/>
              <w:jc w:val="center"/>
              <w:rPr>
                <w:rFonts w:asciiTheme="minorHAnsi" w:hAnsiTheme="minorHAnsi" w:cstheme="minorHAnsi"/>
                <w:noProof/>
                <w:sz w:val="20"/>
              </w:rPr>
            </w:pPr>
            <w:r>
              <w:rPr>
                <w:rFonts w:asciiTheme="minorHAnsi" w:hAnsiTheme="minorHAnsi" w:cstheme="minorHAnsi"/>
                <w:noProof/>
                <w:sz w:val="20"/>
              </w:rPr>
              <w:t>(a)</w:t>
            </w:r>
          </w:p>
        </w:tc>
        <w:tc>
          <w:tcPr>
            <w:tcW w:w="1053" w:type="dxa"/>
          </w:tcPr>
          <w:p w14:paraId="64305BEB" w14:textId="77777777" w:rsidR="00AD1277" w:rsidRPr="00890249" w:rsidRDefault="00AD1277" w:rsidP="00AD1277">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2E433484" w14:textId="64D9BC88" w:rsidR="00AD1277" w:rsidRPr="00890249" w:rsidRDefault="0052724E" w:rsidP="00AD1277">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4BC33AF3" w14:textId="77777777" w:rsidR="00AD1277" w:rsidRDefault="00AD1277"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AD1277" w:rsidRPr="00890249" w:rsidDel="00BB20B9" w14:paraId="788AAE14" w14:textId="77777777" w:rsidTr="00AD1277">
        <w:tc>
          <w:tcPr>
            <w:tcW w:w="9322" w:type="dxa"/>
            <w:gridSpan w:val="6"/>
            <w:shd w:val="clear" w:color="auto" w:fill="D9D9D9" w:themeFill="background1" w:themeFillShade="D9"/>
          </w:tcPr>
          <w:p w14:paraId="0B9BF174" w14:textId="77777777" w:rsidR="00AD1277" w:rsidRPr="00890249" w:rsidDel="00BB20B9" w:rsidRDefault="00AD1277" w:rsidP="00AD1277">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AD1277" w:rsidRPr="00890249" w:rsidDel="00BB20B9" w14:paraId="4DE3B9E0" w14:textId="77777777" w:rsidTr="00AD1277">
        <w:tc>
          <w:tcPr>
            <w:tcW w:w="1461" w:type="dxa"/>
            <w:shd w:val="clear" w:color="auto" w:fill="F2F2F2" w:themeFill="background1" w:themeFillShade="F2"/>
          </w:tcPr>
          <w:p w14:paraId="7B452548"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26B42A47"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68C6A7A7"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281AA4E9"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2135400F"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12E748E2" w14:textId="77777777" w:rsidR="00AD1277" w:rsidRPr="00890249" w:rsidDel="00BB20B9" w:rsidRDefault="00AD1277"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C11B1" w:rsidRPr="00890249" w:rsidDel="00BB20B9" w14:paraId="2E21C63E" w14:textId="77777777" w:rsidTr="00AD1277">
        <w:tc>
          <w:tcPr>
            <w:tcW w:w="1461" w:type="dxa"/>
            <w:vMerge w:val="restart"/>
            <w:vAlign w:val="center"/>
          </w:tcPr>
          <w:p w14:paraId="345EB3EC" w14:textId="77777777" w:rsidR="006C11B1" w:rsidRPr="00890249" w:rsidRDefault="006C11B1" w:rsidP="00AD1277">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30292DA4" w14:textId="77777777" w:rsidR="006C11B1" w:rsidRPr="00890249" w:rsidRDefault="006C11B1" w:rsidP="00AD1277">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36C8BC4D" w14:textId="77777777" w:rsidR="006C11B1" w:rsidRPr="00890249" w:rsidRDefault="006C11B1" w:rsidP="00AD1277">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4DECBA00" w14:textId="43C19EAB" w:rsidR="006C11B1" w:rsidRPr="00890249" w:rsidRDefault="006C11B1" w:rsidP="009F296A">
            <w:pPr>
              <w:pStyle w:val="Akapitzlist"/>
              <w:numPr>
                <w:ilvl w:val="0"/>
                <w:numId w:val="128"/>
              </w:numPr>
              <w:ind w:left="304" w:hanging="284"/>
              <w:jc w:val="center"/>
              <w:rPr>
                <w:rFonts w:asciiTheme="minorHAnsi" w:eastAsia="Times New Roman" w:hAnsiTheme="minorHAnsi" w:cstheme="minorHAnsi"/>
                <w:b/>
                <w:iCs/>
                <w:noProof/>
                <w:sz w:val="20"/>
              </w:rPr>
            </w:pPr>
          </w:p>
        </w:tc>
        <w:tc>
          <w:tcPr>
            <w:tcW w:w="1651" w:type="dxa"/>
            <w:vAlign w:val="center"/>
          </w:tcPr>
          <w:p w14:paraId="0DA87EA6" w14:textId="77777777" w:rsidR="006C11B1" w:rsidRPr="00890249" w:rsidRDefault="006C11B1"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140F6852" w14:textId="1A7CCD1A" w:rsidR="006C11B1" w:rsidRPr="00890249" w:rsidRDefault="0052724E" w:rsidP="00AD127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6C11B1" w:rsidRPr="00890249" w:rsidDel="00BB20B9" w14:paraId="64611FFB" w14:textId="77777777" w:rsidTr="00AD1277">
        <w:tc>
          <w:tcPr>
            <w:tcW w:w="1461" w:type="dxa"/>
            <w:vMerge/>
            <w:vAlign w:val="center"/>
          </w:tcPr>
          <w:p w14:paraId="60BEF1B1" w14:textId="77777777" w:rsidR="006C11B1" w:rsidRPr="00890249" w:rsidRDefault="006C11B1" w:rsidP="00AD1277">
            <w:pPr>
              <w:rPr>
                <w:rFonts w:asciiTheme="minorHAnsi" w:eastAsia="Times New Roman" w:hAnsiTheme="minorHAnsi" w:cstheme="minorHAnsi"/>
                <w:iCs/>
                <w:noProof/>
                <w:sz w:val="20"/>
              </w:rPr>
            </w:pPr>
          </w:p>
        </w:tc>
        <w:tc>
          <w:tcPr>
            <w:tcW w:w="1258" w:type="dxa"/>
            <w:vMerge/>
            <w:vAlign w:val="center"/>
          </w:tcPr>
          <w:p w14:paraId="184B03D9" w14:textId="77777777" w:rsidR="006C11B1" w:rsidRPr="00890249" w:rsidRDefault="006C11B1" w:rsidP="00AD1277">
            <w:pPr>
              <w:rPr>
                <w:rFonts w:asciiTheme="minorHAnsi" w:hAnsiTheme="minorHAnsi" w:cstheme="minorHAnsi"/>
                <w:noProof/>
                <w:sz w:val="20"/>
              </w:rPr>
            </w:pPr>
          </w:p>
        </w:tc>
        <w:tc>
          <w:tcPr>
            <w:tcW w:w="1341" w:type="dxa"/>
            <w:vMerge/>
            <w:vAlign w:val="center"/>
          </w:tcPr>
          <w:p w14:paraId="10DF4891" w14:textId="77777777" w:rsidR="006C11B1" w:rsidRPr="00890249" w:rsidRDefault="006C11B1" w:rsidP="00AD1277">
            <w:pPr>
              <w:rPr>
                <w:rFonts w:asciiTheme="minorHAnsi" w:hAnsiTheme="minorHAnsi" w:cstheme="minorHAnsi"/>
                <w:noProof/>
                <w:sz w:val="20"/>
              </w:rPr>
            </w:pPr>
          </w:p>
        </w:tc>
        <w:tc>
          <w:tcPr>
            <w:tcW w:w="1542" w:type="dxa"/>
            <w:vMerge/>
            <w:vAlign w:val="center"/>
          </w:tcPr>
          <w:p w14:paraId="60EFA702" w14:textId="77777777" w:rsidR="006C11B1" w:rsidRPr="00890249" w:rsidRDefault="006C11B1" w:rsidP="00AD1277">
            <w:pPr>
              <w:rPr>
                <w:rFonts w:asciiTheme="minorHAnsi" w:eastAsia="Times New Roman" w:hAnsiTheme="minorHAnsi" w:cstheme="minorHAnsi"/>
                <w:b/>
                <w:iCs/>
                <w:noProof/>
                <w:sz w:val="20"/>
              </w:rPr>
            </w:pPr>
          </w:p>
        </w:tc>
        <w:tc>
          <w:tcPr>
            <w:tcW w:w="1651" w:type="dxa"/>
            <w:vAlign w:val="center"/>
          </w:tcPr>
          <w:p w14:paraId="64E6EABD" w14:textId="77777777" w:rsidR="006C11B1" w:rsidRPr="00890249" w:rsidDel="00BB20B9" w:rsidRDefault="006C11B1"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09C84DE6" w14:textId="4942BABA" w:rsidR="006C11B1" w:rsidRPr="00890249" w:rsidDel="00BB20B9" w:rsidRDefault="0052724E" w:rsidP="00AD127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6C11B1" w:rsidRPr="00890249" w:rsidDel="00BB20B9" w14:paraId="0D58F796" w14:textId="77777777" w:rsidTr="00AD1277">
        <w:tc>
          <w:tcPr>
            <w:tcW w:w="1461" w:type="dxa"/>
            <w:vMerge/>
            <w:vAlign w:val="center"/>
          </w:tcPr>
          <w:p w14:paraId="7D14DF8F" w14:textId="77777777" w:rsidR="006C11B1" w:rsidRPr="00890249" w:rsidRDefault="006C11B1" w:rsidP="00AD1277">
            <w:pPr>
              <w:rPr>
                <w:rFonts w:asciiTheme="minorHAnsi" w:eastAsia="Times New Roman" w:hAnsiTheme="minorHAnsi" w:cstheme="minorHAnsi"/>
                <w:iCs/>
                <w:noProof/>
                <w:sz w:val="20"/>
              </w:rPr>
            </w:pPr>
          </w:p>
        </w:tc>
        <w:tc>
          <w:tcPr>
            <w:tcW w:w="1258" w:type="dxa"/>
            <w:vMerge/>
            <w:vAlign w:val="center"/>
          </w:tcPr>
          <w:p w14:paraId="24D16910" w14:textId="77777777" w:rsidR="006C11B1" w:rsidRPr="00890249" w:rsidRDefault="006C11B1" w:rsidP="00AD1277">
            <w:pPr>
              <w:rPr>
                <w:rFonts w:asciiTheme="minorHAnsi" w:hAnsiTheme="minorHAnsi" w:cstheme="minorHAnsi"/>
                <w:noProof/>
                <w:sz w:val="20"/>
              </w:rPr>
            </w:pPr>
          </w:p>
        </w:tc>
        <w:tc>
          <w:tcPr>
            <w:tcW w:w="1341" w:type="dxa"/>
            <w:vMerge/>
            <w:vAlign w:val="center"/>
          </w:tcPr>
          <w:p w14:paraId="10B844E3" w14:textId="77777777" w:rsidR="006C11B1" w:rsidRPr="00890249" w:rsidRDefault="006C11B1" w:rsidP="00AD1277">
            <w:pPr>
              <w:rPr>
                <w:rFonts w:asciiTheme="minorHAnsi" w:hAnsiTheme="minorHAnsi" w:cstheme="minorHAnsi"/>
                <w:noProof/>
                <w:sz w:val="20"/>
              </w:rPr>
            </w:pPr>
          </w:p>
        </w:tc>
        <w:tc>
          <w:tcPr>
            <w:tcW w:w="1542" w:type="dxa"/>
            <w:vMerge/>
            <w:vAlign w:val="center"/>
          </w:tcPr>
          <w:p w14:paraId="0837632D" w14:textId="77777777" w:rsidR="006C11B1" w:rsidRPr="00890249" w:rsidRDefault="006C11B1" w:rsidP="00AD1277">
            <w:pPr>
              <w:rPr>
                <w:rFonts w:asciiTheme="minorHAnsi" w:eastAsia="Times New Roman" w:hAnsiTheme="minorHAnsi" w:cstheme="minorHAnsi"/>
                <w:b/>
                <w:iCs/>
                <w:noProof/>
                <w:sz w:val="20"/>
              </w:rPr>
            </w:pPr>
          </w:p>
        </w:tc>
        <w:tc>
          <w:tcPr>
            <w:tcW w:w="1651" w:type="dxa"/>
            <w:vAlign w:val="center"/>
          </w:tcPr>
          <w:p w14:paraId="4FE47D5A" w14:textId="77777777" w:rsidR="006C11B1" w:rsidRPr="00890249" w:rsidDel="00BB20B9" w:rsidRDefault="006C11B1" w:rsidP="00AD1277">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0BA9D4E4" w14:textId="10BB07D9" w:rsidR="006C11B1" w:rsidRPr="00890249" w:rsidDel="00BB20B9" w:rsidRDefault="0052724E" w:rsidP="00AD127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0</w:t>
            </w:r>
          </w:p>
        </w:tc>
      </w:tr>
      <w:tr w:rsidR="006C11B1" w:rsidRPr="00890249" w:rsidDel="00BB20B9" w14:paraId="25EA8515" w14:textId="77777777" w:rsidTr="00AD1277">
        <w:tc>
          <w:tcPr>
            <w:tcW w:w="1461" w:type="dxa"/>
            <w:vMerge/>
            <w:vAlign w:val="center"/>
          </w:tcPr>
          <w:p w14:paraId="3F3F7926" w14:textId="77777777" w:rsidR="006C11B1" w:rsidRPr="00890249" w:rsidRDefault="006C11B1" w:rsidP="00AD1277">
            <w:pPr>
              <w:rPr>
                <w:rFonts w:asciiTheme="minorHAnsi" w:eastAsia="Times New Roman" w:hAnsiTheme="minorHAnsi" w:cstheme="minorHAnsi"/>
                <w:iCs/>
                <w:noProof/>
                <w:sz w:val="20"/>
              </w:rPr>
            </w:pPr>
          </w:p>
        </w:tc>
        <w:tc>
          <w:tcPr>
            <w:tcW w:w="1258" w:type="dxa"/>
            <w:vMerge/>
            <w:vAlign w:val="center"/>
          </w:tcPr>
          <w:p w14:paraId="01178871" w14:textId="77777777" w:rsidR="006C11B1" w:rsidRPr="00890249" w:rsidRDefault="006C11B1" w:rsidP="00AD1277">
            <w:pPr>
              <w:rPr>
                <w:rFonts w:asciiTheme="minorHAnsi" w:hAnsiTheme="minorHAnsi" w:cstheme="minorHAnsi"/>
                <w:noProof/>
                <w:sz w:val="20"/>
              </w:rPr>
            </w:pPr>
          </w:p>
        </w:tc>
        <w:tc>
          <w:tcPr>
            <w:tcW w:w="1341" w:type="dxa"/>
            <w:vMerge/>
            <w:vAlign w:val="center"/>
          </w:tcPr>
          <w:p w14:paraId="7ED9FE29" w14:textId="77777777" w:rsidR="006C11B1" w:rsidRPr="00890249" w:rsidRDefault="006C11B1" w:rsidP="00AD1277">
            <w:pPr>
              <w:rPr>
                <w:rFonts w:asciiTheme="minorHAnsi" w:hAnsiTheme="minorHAnsi" w:cstheme="minorHAnsi"/>
                <w:noProof/>
                <w:sz w:val="20"/>
              </w:rPr>
            </w:pPr>
          </w:p>
        </w:tc>
        <w:tc>
          <w:tcPr>
            <w:tcW w:w="1542" w:type="dxa"/>
            <w:vMerge/>
            <w:vAlign w:val="center"/>
          </w:tcPr>
          <w:p w14:paraId="0BF8640F" w14:textId="77777777" w:rsidR="006C11B1" w:rsidRPr="00890249" w:rsidRDefault="006C11B1" w:rsidP="00AD1277">
            <w:pPr>
              <w:rPr>
                <w:rFonts w:asciiTheme="minorHAnsi" w:eastAsia="Times New Roman" w:hAnsiTheme="minorHAnsi" w:cstheme="minorHAnsi"/>
                <w:b/>
                <w:iCs/>
                <w:noProof/>
                <w:sz w:val="20"/>
              </w:rPr>
            </w:pPr>
          </w:p>
        </w:tc>
        <w:tc>
          <w:tcPr>
            <w:tcW w:w="1651" w:type="dxa"/>
            <w:vAlign w:val="center"/>
          </w:tcPr>
          <w:p w14:paraId="53234786" w14:textId="7BF049B6" w:rsidR="006C11B1" w:rsidRPr="00890249" w:rsidDel="00BB20B9" w:rsidRDefault="006C11B1" w:rsidP="00AD1277">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0B7BC2BD" w14:textId="23604246" w:rsidR="006C11B1" w:rsidRPr="00890249" w:rsidRDefault="0052724E" w:rsidP="00AD1277">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1BB95FB6" w14:textId="77777777" w:rsidR="00AD1277" w:rsidRDefault="00AD1277" w:rsidP="00BB20B9">
      <w:pPr>
        <w:rPr>
          <w:rFonts w:asciiTheme="minorHAnsi" w:eastAsiaTheme="minorHAnsi" w:hAnsiTheme="minorHAnsi" w:cstheme="minorHAnsi"/>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251"/>
        <w:gridCol w:w="1336"/>
        <w:gridCol w:w="1535"/>
        <w:gridCol w:w="1761"/>
        <w:gridCol w:w="1987"/>
      </w:tblGrid>
      <w:tr w:rsidR="006C11B1" w:rsidRPr="00890249" w:rsidDel="00BB20B9" w14:paraId="0E1BFBC9" w14:textId="77777777" w:rsidTr="001D2ABD">
        <w:tc>
          <w:tcPr>
            <w:tcW w:w="9322" w:type="dxa"/>
            <w:gridSpan w:val="6"/>
            <w:shd w:val="clear" w:color="auto" w:fill="D9D9D9" w:themeFill="background1" w:themeFillShade="D9"/>
          </w:tcPr>
          <w:p w14:paraId="72E31EA8" w14:textId="77777777" w:rsidR="006C11B1" w:rsidRPr="00890249" w:rsidDel="00BB20B9" w:rsidRDefault="006C11B1"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6C11B1" w:rsidRPr="00890249" w:rsidDel="00BB20B9" w14:paraId="162C6FB6" w14:textId="77777777" w:rsidTr="001D2ABD">
        <w:tc>
          <w:tcPr>
            <w:tcW w:w="1566" w:type="dxa"/>
            <w:shd w:val="clear" w:color="auto" w:fill="F2F2F2" w:themeFill="background1" w:themeFillShade="F2"/>
            <w:vAlign w:val="center"/>
          </w:tcPr>
          <w:p w14:paraId="6296FF19" w14:textId="77777777" w:rsidR="006C11B1" w:rsidRPr="00F62734" w:rsidDel="00BB20B9" w:rsidRDefault="006C11B1"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55C53AF2" w14:textId="77777777" w:rsidR="006C11B1" w:rsidRPr="00F62734" w:rsidDel="00BB20B9" w:rsidRDefault="006C11B1"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0A734017" w14:textId="77777777" w:rsidR="006C11B1" w:rsidRPr="00890249" w:rsidDel="00BB20B9" w:rsidRDefault="006C11B1" w:rsidP="00F62734">
            <w:pPr>
              <w:jc w:val="center"/>
              <w:rPr>
                <w:rFonts w:asciiTheme="minorHAnsi" w:hAnsiTheme="minorHAnsi" w:cstheme="minorHAnsi"/>
                <w:b/>
                <w:iCs/>
                <w:sz w:val="20"/>
              </w:rPr>
            </w:pPr>
            <w:r w:rsidRPr="00890249"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026E7499" w14:textId="77777777" w:rsidR="006C11B1" w:rsidRPr="00890249" w:rsidDel="00BB20B9" w:rsidRDefault="006C11B1" w:rsidP="00F62734">
            <w:pPr>
              <w:jc w:val="center"/>
              <w:rPr>
                <w:rFonts w:asciiTheme="minorHAnsi" w:hAnsiTheme="minorHAnsi" w:cstheme="minorHAnsi"/>
                <w:b/>
                <w:iCs/>
                <w:sz w:val="20"/>
              </w:rPr>
            </w:pPr>
            <w:r w:rsidRPr="00890249"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627BB492" w14:textId="77777777" w:rsidR="006C11B1" w:rsidRPr="00890249" w:rsidDel="00BB20B9" w:rsidRDefault="006C11B1" w:rsidP="00F62734">
            <w:pPr>
              <w:jc w:val="center"/>
              <w:rPr>
                <w:rFonts w:asciiTheme="minorHAnsi" w:hAnsiTheme="minorHAnsi" w:cstheme="minorHAnsi"/>
                <w:b/>
                <w:iCs/>
                <w:sz w:val="20"/>
              </w:rPr>
            </w:pPr>
            <w:r w:rsidRPr="00890249" w:rsidDel="00BB20B9">
              <w:rPr>
                <w:rFonts w:asciiTheme="minorHAnsi" w:hAnsiTheme="minorHAnsi" w:cstheme="minorHAnsi"/>
                <w:b/>
                <w:sz w:val="20"/>
              </w:rPr>
              <w:t>Kod</w:t>
            </w:r>
          </w:p>
        </w:tc>
        <w:tc>
          <w:tcPr>
            <w:tcW w:w="2349" w:type="dxa"/>
            <w:shd w:val="clear" w:color="auto" w:fill="F2F2F2" w:themeFill="background1" w:themeFillShade="F2"/>
            <w:vAlign w:val="center"/>
          </w:tcPr>
          <w:p w14:paraId="3ECB3E93" w14:textId="77777777" w:rsidR="006C11B1" w:rsidRPr="00890249" w:rsidDel="00BB20B9" w:rsidRDefault="006C11B1" w:rsidP="00F62734">
            <w:pPr>
              <w:jc w:val="center"/>
              <w:rPr>
                <w:rFonts w:asciiTheme="minorHAnsi" w:hAnsiTheme="minorHAnsi" w:cstheme="minorHAnsi"/>
                <w:b/>
                <w:iCs/>
                <w:sz w:val="20"/>
              </w:rPr>
            </w:pPr>
            <w:r w:rsidRPr="00890249" w:rsidDel="00BB20B9">
              <w:rPr>
                <w:rFonts w:asciiTheme="minorHAnsi" w:hAnsiTheme="minorHAnsi" w:cstheme="minorHAnsi"/>
                <w:b/>
                <w:sz w:val="20"/>
              </w:rPr>
              <w:t>Kwota (w EUR)</w:t>
            </w:r>
          </w:p>
        </w:tc>
      </w:tr>
      <w:tr w:rsidR="006C11B1" w:rsidRPr="00890249" w:rsidDel="00BB20B9" w14:paraId="11A86C02" w14:textId="77777777" w:rsidTr="001D2ABD">
        <w:tc>
          <w:tcPr>
            <w:tcW w:w="1566" w:type="dxa"/>
            <w:shd w:val="clear" w:color="auto" w:fill="auto"/>
            <w:vAlign w:val="center"/>
          </w:tcPr>
          <w:p w14:paraId="41C65895" w14:textId="77777777" w:rsidR="006C11B1" w:rsidRPr="00890249" w:rsidRDefault="006C11B1"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71412032" w14:textId="77777777" w:rsidR="006C11B1" w:rsidRPr="00890249" w:rsidRDefault="006C11B1"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6A7D16B9" w14:textId="77777777" w:rsidR="006C11B1" w:rsidRPr="00890249" w:rsidRDefault="006C11B1"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5BDD9B16" w14:textId="0CFE663F" w:rsidR="006C11B1" w:rsidRPr="00890249" w:rsidRDefault="006C11B1" w:rsidP="004B6B66">
            <w:pPr>
              <w:pStyle w:val="Akapitzlist"/>
              <w:ind w:left="398"/>
              <w:jc w:val="center"/>
              <w:rPr>
                <w:rFonts w:asciiTheme="minorHAnsi" w:hAnsiTheme="minorHAnsi" w:cstheme="minorHAnsi"/>
                <w:iCs/>
                <w:sz w:val="20"/>
              </w:rPr>
            </w:pPr>
            <w:r>
              <w:rPr>
                <w:rFonts w:asciiTheme="minorHAnsi" w:hAnsiTheme="minorHAnsi" w:cstheme="minorHAnsi"/>
                <w:noProof/>
                <w:sz w:val="20"/>
              </w:rPr>
              <w:t>(a)</w:t>
            </w:r>
          </w:p>
        </w:tc>
        <w:tc>
          <w:tcPr>
            <w:tcW w:w="1022" w:type="dxa"/>
            <w:vAlign w:val="center"/>
          </w:tcPr>
          <w:p w14:paraId="5F9379B3" w14:textId="77777777" w:rsidR="006C11B1" w:rsidRPr="00890249" w:rsidRDefault="006C11B1" w:rsidP="001D2ABD">
            <w:pPr>
              <w:jc w:val="center"/>
              <w:rPr>
                <w:rFonts w:asciiTheme="minorHAnsi" w:hAnsiTheme="minorHAnsi" w:cstheme="minorHAnsi"/>
                <w:iCs/>
                <w:sz w:val="20"/>
              </w:rPr>
            </w:pPr>
            <w:r w:rsidRPr="00890249" w:rsidDel="00BB20B9">
              <w:rPr>
                <w:rFonts w:asciiTheme="minorHAnsi" w:eastAsia="Times New Roman" w:hAnsiTheme="minorHAnsi" w:cstheme="minorHAnsi"/>
                <w:iCs/>
                <w:noProof/>
                <w:sz w:val="20"/>
              </w:rPr>
              <w:t>02</w:t>
            </w:r>
            <w:r w:rsidRPr="00890249">
              <w:rPr>
                <w:rFonts w:asciiTheme="minorHAnsi" w:eastAsia="Times New Roman" w:hAnsiTheme="minorHAnsi" w:cstheme="minorHAnsi"/>
                <w:iCs/>
                <w:noProof/>
                <w:sz w:val="20"/>
              </w:rPr>
              <w:t xml:space="preserve"> Projekty uwzględniajace kwestię równouprawnienia płci</w:t>
            </w:r>
          </w:p>
        </w:tc>
        <w:tc>
          <w:tcPr>
            <w:tcW w:w="2349" w:type="dxa"/>
            <w:vAlign w:val="center"/>
          </w:tcPr>
          <w:p w14:paraId="37B0B8A5" w14:textId="7DC121A2" w:rsidR="006C11B1" w:rsidRPr="00890249" w:rsidRDefault="0052724E" w:rsidP="001D2ABD">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31997E05" w14:textId="77777777" w:rsidR="00AD1277" w:rsidRDefault="00AD1277" w:rsidP="00BB20B9">
      <w:pPr>
        <w:rPr>
          <w:rFonts w:asciiTheme="minorHAnsi" w:eastAsiaTheme="minorHAnsi" w:hAnsiTheme="minorHAnsi" w:cstheme="minorHAnsi"/>
          <w:szCs w:val="24"/>
          <w:lang w:bidi="ar-SA"/>
        </w:rPr>
      </w:pPr>
    </w:p>
    <w:p w14:paraId="75F0D04C" w14:textId="77777777" w:rsidR="00AD1277" w:rsidRDefault="00AD1277" w:rsidP="00BB20B9">
      <w:pPr>
        <w:rPr>
          <w:rFonts w:asciiTheme="minorHAnsi" w:eastAsiaTheme="minorHAnsi" w:hAnsiTheme="minorHAnsi" w:cstheme="minorHAnsi"/>
          <w:szCs w:val="24"/>
          <w:lang w:bidi="ar-SA"/>
        </w:rPr>
      </w:pPr>
    </w:p>
    <w:p w14:paraId="3273F889" w14:textId="77777777" w:rsidR="00AD1277" w:rsidRDefault="00AD1277" w:rsidP="00BB20B9">
      <w:pPr>
        <w:rPr>
          <w:rFonts w:asciiTheme="minorHAnsi" w:eastAsiaTheme="minorHAnsi" w:hAnsiTheme="minorHAnsi" w:cstheme="minorHAnsi"/>
          <w:szCs w:val="24"/>
          <w:lang w:bidi="ar-SA"/>
        </w:rPr>
      </w:pPr>
    </w:p>
    <w:p w14:paraId="5A5802FC" w14:textId="77777777" w:rsidR="00606838" w:rsidRDefault="00606838"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606838" w:rsidRPr="00890249" w:rsidDel="00BB20B9" w14:paraId="62BCB672" w14:textId="77777777" w:rsidTr="001D2ABD">
        <w:trPr>
          <w:tblHeader/>
        </w:trPr>
        <w:tc>
          <w:tcPr>
            <w:tcW w:w="9322" w:type="dxa"/>
            <w:gridSpan w:val="6"/>
            <w:shd w:val="clear" w:color="auto" w:fill="D9D9D9" w:themeFill="background1" w:themeFillShade="D9"/>
          </w:tcPr>
          <w:p w14:paraId="297AAFF3" w14:textId="77777777" w:rsidR="00606838" w:rsidRPr="00890249" w:rsidDel="00BB20B9" w:rsidRDefault="00606838"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lastRenderedPageBreak/>
              <w:t>Tabela 4: Wymiar 1 – zakres interwencji</w:t>
            </w:r>
          </w:p>
        </w:tc>
      </w:tr>
      <w:tr w:rsidR="00606838" w:rsidRPr="00890249" w:rsidDel="00BB20B9" w14:paraId="46BE69C3" w14:textId="77777777" w:rsidTr="001D2ABD">
        <w:trPr>
          <w:tblHeader/>
        </w:trPr>
        <w:tc>
          <w:tcPr>
            <w:tcW w:w="1489" w:type="dxa"/>
            <w:shd w:val="clear" w:color="auto" w:fill="F2F2F2" w:themeFill="background1" w:themeFillShade="F2"/>
          </w:tcPr>
          <w:p w14:paraId="7CB023F4"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0C60411A"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63AE46DA"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2FE1132E"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68A99A75"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4D977709"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06838" w:rsidRPr="00890249" w:rsidDel="00BB20B9" w14:paraId="73FCAC29" w14:textId="77777777" w:rsidTr="001D2ABD">
        <w:trPr>
          <w:trHeight w:val="329"/>
        </w:trPr>
        <w:tc>
          <w:tcPr>
            <w:tcW w:w="1489" w:type="dxa"/>
            <w:vAlign w:val="center"/>
          </w:tcPr>
          <w:p w14:paraId="11EC4159" w14:textId="77777777" w:rsidR="00606838" w:rsidRPr="00890249" w:rsidDel="00BB20B9" w:rsidRDefault="00606838"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Align w:val="center"/>
          </w:tcPr>
          <w:p w14:paraId="2F93AF33" w14:textId="77777777" w:rsidR="00606838" w:rsidRPr="00890249" w:rsidDel="00BB20B9" w:rsidRDefault="00606838"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Align w:val="center"/>
          </w:tcPr>
          <w:p w14:paraId="4FB51663" w14:textId="77777777" w:rsidR="00606838" w:rsidRPr="00890249" w:rsidDel="00BB20B9" w:rsidRDefault="00606838"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Align w:val="center"/>
          </w:tcPr>
          <w:p w14:paraId="7128AC27" w14:textId="15490BE8" w:rsidR="00606838" w:rsidRPr="005A3E5B" w:rsidDel="00BB20B9" w:rsidRDefault="00606838" w:rsidP="001D2ABD">
            <w:pPr>
              <w:jc w:val="center"/>
              <w:rPr>
                <w:rFonts w:asciiTheme="minorHAnsi" w:hAnsiTheme="minorHAnsi" w:cstheme="minorHAnsi"/>
                <w:noProof/>
                <w:sz w:val="20"/>
              </w:rPr>
            </w:pPr>
            <w:r>
              <w:rPr>
                <w:rFonts w:asciiTheme="minorHAnsi" w:hAnsiTheme="minorHAnsi" w:cstheme="minorHAnsi"/>
                <w:noProof/>
                <w:sz w:val="20"/>
              </w:rPr>
              <w:t>(c)</w:t>
            </w:r>
          </w:p>
        </w:tc>
        <w:tc>
          <w:tcPr>
            <w:tcW w:w="1958" w:type="dxa"/>
          </w:tcPr>
          <w:p w14:paraId="40614C5A" w14:textId="3B0AD654" w:rsidR="00606838" w:rsidRPr="00890249" w:rsidDel="00BB20B9" w:rsidRDefault="00606838" w:rsidP="001D2ABD">
            <w:pPr>
              <w:jc w:val="center"/>
              <w:rPr>
                <w:rFonts w:asciiTheme="minorHAnsi" w:hAnsiTheme="minorHAnsi" w:cstheme="minorHAnsi"/>
                <w:noProof/>
                <w:sz w:val="20"/>
              </w:rPr>
            </w:pPr>
            <w:r w:rsidRPr="00890249">
              <w:rPr>
                <w:rFonts w:asciiTheme="minorHAnsi" w:hAnsiTheme="minorHAnsi" w:cstheme="minorHAnsi"/>
                <w:noProof/>
                <w:sz w:val="20"/>
              </w:rPr>
              <w:t>142 Działania na rzecz promowania aktywności zawodowej kobiet oraz zmniejszenia segregacji na rynku pracy ze względu na płeć</w:t>
            </w:r>
          </w:p>
        </w:tc>
        <w:tc>
          <w:tcPr>
            <w:tcW w:w="2153" w:type="dxa"/>
          </w:tcPr>
          <w:p w14:paraId="6FBB0005" w14:textId="7065E75E" w:rsidR="00606838" w:rsidRPr="00890249" w:rsidRDefault="0052724E"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7D775AAE" w14:textId="77777777" w:rsidR="00606838" w:rsidRDefault="00606838"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606838" w:rsidRPr="00890249" w:rsidDel="00BB20B9" w14:paraId="3CEB8644" w14:textId="77777777" w:rsidTr="001D2ABD">
        <w:tc>
          <w:tcPr>
            <w:tcW w:w="9288" w:type="dxa"/>
            <w:gridSpan w:val="6"/>
            <w:shd w:val="clear" w:color="auto" w:fill="D9D9D9" w:themeFill="background1" w:themeFillShade="D9"/>
          </w:tcPr>
          <w:p w14:paraId="0AA6D2A4" w14:textId="77777777" w:rsidR="00606838" w:rsidRPr="00890249" w:rsidDel="00BB20B9" w:rsidRDefault="00606838"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606838" w:rsidRPr="00890249" w:rsidDel="00BB20B9" w14:paraId="057B8A86" w14:textId="77777777" w:rsidTr="001D2ABD">
        <w:tc>
          <w:tcPr>
            <w:tcW w:w="1599" w:type="dxa"/>
            <w:shd w:val="clear" w:color="auto" w:fill="F2F2F2" w:themeFill="background1" w:themeFillShade="F2"/>
          </w:tcPr>
          <w:p w14:paraId="328AAA62"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0CB7369D"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6BB6E3AC"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624937FE"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2DF5E484"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4D4C5C3E"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06838" w:rsidRPr="00890249" w:rsidDel="00BB20B9" w14:paraId="29F9DF67" w14:textId="77777777" w:rsidTr="001D2ABD">
        <w:tc>
          <w:tcPr>
            <w:tcW w:w="1599" w:type="dxa"/>
            <w:vAlign w:val="center"/>
          </w:tcPr>
          <w:p w14:paraId="6F7DDB8B"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4A5C4B6C"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51C645AD" w14:textId="77777777" w:rsidR="00606838" w:rsidRPr="00890249" w:rsidRDefault="00606838"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3E6BD6B7" w14:textId="61AA28E7" w:rsidR="00606838" w:rsidRPr="00890249" w:rsidRDefault="00606838" w:rsidP="004B6B66">
            <w:pPr>
              <w:pStyle w:val="Akapitzlist"/>
              <w:ind w:left="263"/>
              <w:jc w:val="center"/>
              <w:rPr>
                <w:rFonts w:asciiTheme="minorHAnsi" w:eastAsia="Times New Roman" w:hAnsiTheme="minorHAnsi" w:cstheme="minorHAnsi"/>
                <w:iCs/>
                <w:noProof/>
                <w:sz w:val="20"/>
              </w:rPr>
            </w:pPr>
            <w:r>
              <w:rPr>
                <w:rFonts w:asciiTheme="minorHAnsi" w:hAnsiTheme="minorHAnsi" w:cstheme="minorHAnsi"/>
                <w:noProof/>
                <w:sz w:val="20"/>
              </w:rPr>
              <w:t>(c)</w:t>
            </w:r>
          </w:p>
        </w:tc>
        <w:tc>
          <w:tcPr>
            <w:tcW w:w="1053" w:type="dxa"/>
          </w:tcPr>
          <w:p w14:paraId="4A18EE4A"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397A757C" w14:textId="49841C54" w:rsidR="00606838"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66DEBCF2" w14:textId="77777777" w:rsidR="00606838" w:rsidRDefault="00606838"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606838" w:rsidRPr="00890249" w:rsidDel="00BB20B9" w14:paraId="161D8C0E" w14:textId="77777777" w:rsidTr="001D2ABD">
        <w:tc>
          <w:tcPr>
            <w:tcW w:w="9288" w:type="dxa"/>
            <w:gridSpan w:val="6"/>
            <w:shd w:val="clear" w:color="auto" w:fill="D9D9D9" w:themeFill="background1" w:themeFillShade="D9"/>
          </w:tcPr>
          <w:p w14:paraId="6EDC57B4" w14:textId="5E138F9A" w:rsidR="00606838" w:rsidRPr="00890249" w:rsidDel="00BB20B9" w:rsidRDefault="00606838"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606838" w:rsidRPr="00890249" w:rsidDel="00BB20B9" w14:paraId="59DED8BA" w14:textId="77777777" w:rsidTr="001D2ABD">
        <w:tc>
          <w:tcPr>
            <w:tcW w:w="1599" w:type="dxa"/>
            <w:shd w:val="clear" w:color="auto" w:fill="F2F2F2" w:themeFill="background1" w:themeFillShade="F2"/>
          </w:tcPr>
          <w:p w14:paraId="0692ABB6"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43D2288E"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706A9557"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43F02EEE"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704531E8"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29987C21"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06838" w:rsidRPr="00890249" w:rsidDel="00BB20B9" w14:paraId="608E68DF" w14:textId="77777777" w:rsidTr="001D2ABD">
        <w:tc>
          <w:tcPr>
            <w:tcW w:w="1599" w:type="dxa"/>
            <w:vAlign w:val="center"/>
          </w:tcPr>
          <w:p w14:paraId="552D3022"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419C7D04"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2B74D52D"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3C22E734" w14:textId="677D2CE5" w:rsidR="00606838" w:rsidRPr="00890249" w:rsidRDefault="00606838" w:rsidP="004B6B66">
            <w:pPr>
              <w:pStyle w:val="Akapitzlist"/>
              <w:ind w:left="341"/>
              <w:jc w:val="center"/>
              <w:rPr>
                <w:rFonts w:asciiTheme="minorHAnsi" w:hAnsiTheme="minorHAnsi" w:cstheme="minorHAnsi"/>
                <w:noProof/>
                <w:sz w:val="20"/>
              </w:rPr>
            </w:pPr>
            <w:r>
              <w:rPr>
                <w:rFonts w:asciiTheme="minorHAnsi" w:hAnsiTheme="minorHAnsi" w:cstheme="minorHAnsi"/>
                <w:noProof/>
                <w:sz w:val="20"/>
              </w:rPr>
              <w:t>(c)</w:t>
            </w:r>
          </w:p>
        </w:tc>
        <w:tc>
          <w:tcPr>
            <w:tcW w:w="1053" w:type="dxa"/>
          </w:tcPr>
          <w:p w14:paraId="220C9726" w14:textId="77777777" w:rsidR="00606838" w:rsidRPr="00890249" w:rsidRDefault="00606838" w:rsidP="001D2AB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580F5DCD" w14:textId="4D113C72" w:rsidR="00606838" w:rsidRPr="00890249" w:rsidRDefault="0052724E"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0A0373F2" w14:textId="77777777" w:rsidR="00606838" w:rsidRDefault="00606838" w:rsidP="00BB20B9">
      <w:pPr>
        <w:rPr>
          <w:rFonts w:asciiTheme="minorHAnsi" w:eastAsiaTheme="minorHAnsi" w:hAnsiTheme="minorHAnsi" w:cstheme="minorHAnsi"/>
          <w:szCs w:val="24"/>
          <w:lang w:bidi="ar-SA"/>
        </w:rPr>
      </w:pPr>
    </w:p>
    <w:p w14:paraId="03B13437" w14:textId="77777777" w:rsidR="00EF2E2A" w:rsidRDefault="00EF2E2A" w:rsidP="00BB20B9">
      <w:pPr>
        <w:rPr>
          <w:rFonts w:asciiTheme="minorHAnsi" w:eastAsiaTheme="minorHAnsi" w:hAnsiTheme="minorHAnsi" w:cstheme="minorHAnsi"/>
          <w:szCs w:val="24"/>
          <w:lang w:bidi="ar-SA"/>
        </w:rPr>
      </w:pPr>
    </w:p>
    <w:p w14:paraId="402CCC77" w14:textId="77777777" w:rsidR="00EF2E2A" w:rsidRDefault="00EF2E2A" w:rsidP="00BB20B9">
      <w:pPr>
        <w:rPr>
          <w:rFonts w:asciiTheme="minorHAnsi" w:eastAsiaTheme="minorHAnsi" w:hAnsiTheme="minorHAnsi" w:cstheme="minorHAnsi"/>
          <w:szCs w:val="24"/>
          <w:lang w:bidi="ar-SA"/>
        </w:rPr>
      </w:pPr>
    </w:p>
    <w:p w14:paraId="11ACCAB3" w14:textId="77777777" w:rsidR="00EF2E2A" w:rsidRDefault="00EF2E2A" w:rsidP="00BB20B9">
      <w:pPr>
        <w:rPr>
          <w:rFonts w:asciiTheme="minorHAnsi" w:eastAsiaTheme="minorHAnsi" w:hAnsiTheme="minorHAnsi" w:cstheme="minorHAnsi"/>
          <w:szCs w:val="24"/>
          <w:lang w:bidi="ar-SA"/>
        </w:rPr>
      </w:pPr>
    </w:p>
    <w:p w14:paraId="2CE8E3DC" w14:textId="77777777" w:rsidR="00EF2E2A" w:rsidRDefault="00EF2E2A" w:rsidP="00BB20B9">
      <w:pPr>
        <w:rPr>
          <w:rFonts w:asciiTheme="minorHAnsi" w:eastAsiaTheme="minorHAnsi" w:hAnsiTheme="minorHAnsi" w:cstheme="minorHAnsi"/>
          <w:szCs w:val="24"/>
          <w:lang w:bidi="ar-SA"/>
        </w:rPr>
      </w:pPr>
    </w:p>
    <w:p w14:paraId="7D7A368D" w14:textId="77777777" w:rsidR="00EF2E2A" w:rsidRDefault="00EF2E2A" w:rsidP="00BB20B9">
      <w:pPr>
        <w:rPr>
          <w:rFonts w:asciiTheme="minorHAnsi" w:eastAsiaTheme="minorHAnsi" w:hAnsiTheme="minorHAnsi" w:cstheme="minorHAnsi"/>
          <w:szCs w:val="24"/>
          <w:lang w:bidi="ar-SA"/>
        </w:rPr>
      </w:pPr>
    </w:p>
    <w:p w14:paraId="548BB1F0" w14:textId="77777777" w:rsidR="00EF2E2A" w:rsidRDefault="00EF2E2A" w:rsidP="00BB20B9">
      <w:pPr>
        <w:rPr>
          <w:rFonts w:asciiTheme="minorHAnsi" w:eastAsiaTheme="minorHAnsi" w:hAnsiTheme="minorHAnsi" w:cstheme="minorHAnsi"/>
          <w:szCs w:val="24"/>
          <w:lang w:bidi="ar-SA"/>
        </w:rPr>
      </w:pPr>
    </w:p>
    <w:p w14:paraId="0E3621A0" w14:textId="77777777" w:rsidR="00EF2E2A" w:rsidRDefault="00EF2E2A" w:rsidP="00BB20B9">
      <w:pPr>
        <w:rPr>
          <w:rFonts w:asciiTheme="minorHAnsi" w:eastAsiaTheme="minorHAnsi" w:hAnsiTheme="minorHAnsi" w:cstheme="minorHAnsi"/>
          <w:szCs w:val="24"/>
          <w:lang w:bidi="ar-SA"/>
        </w:rPr>
      </w:pPr>
    </w:p>
    <w:p w14:paraId="4DB4BE02" w14:textId="77777777" w:rsidR="00EF2E2A" w:rsidRDefault="00EF2E2A" w:rsidP="00BB20B9">
      <w:pPr>
        <w:rPr>
          <w:rFonts w:asciiTheme="minorHAnsi" w:eastAsiaTheme="minorHAnsi" w:hAnsiTheme="minorHAnsi" w:cstheme="minorHAnsi"/>
          <w:szCs w:val="24"/>
          <w:lang w:bidi="ar-SA"/>
        </w:rPr>
      </w:pPr>
    </w:p>
    <w:p w14:paraId="29EA2620" w14:textId="77777777" w:rsidR="00EF2E2A" w:rsidRDefault="00EF2E2A" w:rsidP="00BB20B9">
      <w:pPr>
        <w:rPr>
          <w:rFonts w:asciiTheme="minorHAnsi" w:eastAsiaTheme="minorHAnsi" w:hAnsiTheme="minorHAnsi" w:cstheme="minorHAnsi"/>
          <w:szCs w:val="24"/>
          <w:lang w:bidi="ar-SA"/>
        </w:rPr>
      </w:pPr>
    </w:p>
    <w:p w14:paraId="16C55379" w14:textId="77777777" w:rsidR="00EF2E2A" w:rsidRDefault="00EF2E2A" w:rsidP="00BB20B9">
      <w:pPr>
        <w:rPr>
          <w:rFonts w:asciiTheme="minorHAnsi" w:eastAsiaTheme="minorHAnsi" w:hAnsiTheme="minorHAnsi" w:cstheme="minorHAnsi"/>
          <w:szCs w:val="24"/>
          <w:lang w:bidi="ar-SA"/>
        </w:rPr>
      </w:pPr>
    </w:p>
    <w:p w14:paraId="2B200520" w14:textId="77777777" w:rsidR="00EF2E2A" w:rsidRDefault="00EF2E2A"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B40272" w:rsidRPr="00890249" w:rsidDel="00BB20B9" w14:paraId="042ECEFF" w14:textId="77777777" w:rsidTr="001D2ABD">
        <w:tc>
          <w:tcPr>
            <w:tcW w:w="9322" w:type="dxa"/>
            <w:gridSpan w:val="6"/>
            <w:shd w:val="clear" w:color="auto" w:fill="D9D9D9" w:themeFill="background1" w:themeFillShade="D9"/>
          </w:tcPr>
          <w:p w14:paraId="32E7DDA5" w14:textId="77777777" w:rsidR="00B40272" w:rsidRPr="00890249" w:rsidDel="00BB20B9" w:rsidRDefault="00B40272"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lastRenderedPageBreak/>
              <w:t>Tabela 7: Wymiar 6 – dodatkowe tematy EFS+</w:t>
            </w:r>
          </w:p>
        </w:tc>
      </w:tr>
      <w:tr w:rsidR="00B40272" w:rsidRPr="00890249" w:rsidDel="00BB20B9" w14:paraId="225D8454" w14:textId="77777777" w:rsidTr="00EF2E2A">
        <w:trPr>
          <w:trHeight w:val="489"/>
        </w:trPr>
        <w:tc>
          <w:tcPr>
            <w:tcW w:w="1461" w:type="dxa"/>
            <w:shd w:val="clear" w:color="auto" w:fill="F2F2F2" w:themeFill="background1" w:themeFillShade="F2"/>
          </w:tcPr>
          <w:p w14:paraId="12C7CE21" w14:textId="77777777" w:rsidR="00B40272" w:rsidRPr="00890249" w:rsidDel="00BB20B9" w:rsidRDefault="00B40272"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163B7207" w14:textId="77777777" w:rsidR="00B40272" w:rsidRPr="00890249" w:rsidDel="00BB20B9" w:rsidRDefault="00B40272"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01922634" w14:textId="77777777" w:rsidR="00B40272" w:rsidRPr="00890249" w:rsidDel="00BB20B9" w:rsidRDefault="00B40272"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5ED03A15" w14:textId="77777777" w:rsidR="00B40272" w:rsidRPr="00890249" w:rsidDel="00BB20B9" w:rsidRDefault="00B40272"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75512360" w14:textId="77777777" w:rsidR="00B40272" w:rsidRPr="00890249" w:rsidDel="00BB20B9" w:rsidRDefault="00B40272"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44C706D2" w14:textId="77777777" w:rsidR="00B40272" w:rsidRPr="00890249" w:rsidDel="00BB20B9" w:rsidRDefault="00B40272"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B40272" w:rsidRPr="00890249" w:rsidDel="00BB20B9" w14:paraId="51B76A0C" w14:textId="77777777" w:rsidTr="001D2ABD">
        <w:tc>
          <w:tcPr>
            <w:tcW w:w="1461" w:type="dxa"/>
            <w:vMerge w:val="restart"/>
            <w:vAlign w:val="center"/>
          </w:tcPr>
          <w:p w14:paraId="78AA3C6A" w14:textId="77777777" w:rsidR="00B40272" w:rsidRPr="00890249" w:rsidRDefault="00B40272" w:rsidP="001D2ABD">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35DCADA9" w14:textId="77777777" w:rsidR="00B40272" w:rsidRPr="00890249" w:rsidRDefault="00B40272"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6DFF0FAC" w14:textId="77777777" w:rsidR="00B40272" w:rsidRPr="00890249" w:rsidRDefault="00B40272"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6D092D2C" w14:textId="78F7C218" w:rsidR="00B40272" w:rsidRPr="009215F2" w:rsidRDefault="00B40272" w:rsidP="004B6B66">
            <w:pPr>
              <w:ind w:left="360"/>
              <w:jc w:val="center"/>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w:t>
            </w:r>
            <w:r>
              <w:rPr>
                <w:rFonts w:asciiTheme="minorHAnsi" w:eastAsia="Times New Roman" w:hAnsiTheme="minorHAnsi" w:cstheme="minorHAnsi"/>
                <w:iCs/>
                <w:noProof/>
                <w:sz w:val="20"/>
              </w:rPr>
              <w:t>c</w:t>
            </w:r>
            <w:r w:rsidRPr="009215F2">
              <w:rPr>
                <w:rFonts w:asciiTheme="minorHAnsi" w:eastAsia="Times New Roman" w:hAnsiTheme="minorHAnsi" w:cstheme="minorHAnsi"/>
                <w:iCs/>
                <w:noProof/>
                <w:sz w:val="20"/>
              </w:rPr>
              <w:t>)</w:t>
            </w:r>
          </w:p>
        </w:tc>
        <w:tc>
          <w:tcPr>
            <w:tcW w:w="1651" w:type="dxa"/>
            <w:vAlign w:val="center"/>
          </w:tcPr>
          <w:p w14:paraId="1416DC36" w14:textId="77777777" w:rsidR="00B40272" w:rsidRPr="00890249" w:rsidRDefault="00B40272"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5BA5E281" w14:textId="68A8C2BD" w:rsidR="00B40272"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p>
          <w:p w14:paraId="4C0AB465" w14:textId="4B62896B" w:rsidR="0052724E"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0</w:t>
            </w:r>
          </w:p>
        </w:tc>
      </w:tr>
      <w:tr w:rsidR="00B40272" w:rsidRPr="00890249" w:rsidDel="00BB20B9" w14:paraId="6D8EB9AA" w14:textId="77777777" w:rsidTr="001D2ABD">
        <w:tc>
          <w:tcPr>
            <w:tcW w:w="1461" w:type="dxa"/>
            <w:vMerge/>
            <w:vAlign w:val="center"/>
          </w:tcPr>
          <w:p w14:paraId="046C22A8" w14:textId="77777777" w:rsidR="00B40272" w:rsidRPr="00890249" w:rsidRDefault="00B40272" w:rsidP="001D2ABD">
            <w:pPr>
              <w:rPr>
                <w:rFonts w:asciiTheme="minorHAnsi" w:eastAsia="Times New Roman" w:hAnsiTheme="minorHAnsi" w:cstheme="minorHAnsi"/>
                <w:iCs/>
                <w:noProof/>
                <w:sz w:val="20"/>
              </w:rPr>
            </w:pPr>
          </w:p>
        </w:tc>
        <w:tc>
          <w:tcPr>
            <w:tcW w:w="1258" w:type="dxa"/>
            <w:vMerge/>
            <w:vAlign w:val="center"/>
          </w:tcPr>
          <w:p w14:paraId="437A47C5" w14:textId="77777777" w:rsidR="00B40272" w:rsidRPr="00890249" w:rsidRDefault="00B40272" w:rsidP="001D2ABD">
            <w:pPr>
              <w:rPr>
                <w:rFonts w:asciiTheme="minorHAnsi" w:hAnsiTheme="minorHAnsi" w:cstheme="minorHAnsi"/>
                <w:noProof/>
                <w:sz w:val="20"/>
              </w:rPr>
            </w:pPr>
          </w:p>
        </w:tc>
        <w:tc>
          <w:tcPr>
            <w:tcW w:w="1341" w:type="dxa"/>
            <w:vMerge/>
            <w:vAlign w:val="center"/>
          </w:tcPr>
          <w:p w14:paraId="45202802" w14:textId="77777777" w:rsidR="00B40272" w:rsidRPr="00890249" w:rsidRDefault="00B40272" w:rsidP="001D2ABD">
            <w:pPr>
              <w:rPr>
                <w:rFonts w:asciiTheme="minorHAnsi" w:hAnsiTheme="minorHAnsi" w:cstheme="minorHAnsi"/>
                <w:noProof/>
                <w:sz w:val="20"/>
              </w:rPr>
            </w:pPr>
          </w:p>
        </w:tc>
        <w:tc>
          <w:tcPr>
            <w:tcW w:w="1542" w:type="dxa"/>
            <w:vMerge/>
            <w:vAlign w:val="center"/>
          </w:tcPr>
          <w:p w14:paraId="7DABAD97" w14:textId="77777777" w:rsidR="00B40272" w:rsidRPr="00890249" w:rsidRDefault="00B40272" w:rsidP="001D2ABD">
            <w:pPr>
              <w:rPr>
                <w:rFonts w:asciiTheme="minorHAnsi" w:eastAsia="Times New Roman" w:hAnsiTheme="minorHAnsi" w:cstheme="minorHAnsi"/>
                <w:b/>
                <w:iCs/>
                <w:noProof/>
                <w:sz w:val="20"/>
              </w:rPr>
            </w:pPr>
          </w:p>
        </w:tc>
        <w:tc>
          <w:tcPr>
            <w:tcW w:w="1651" w:type="dxa"/>
            <w:vAlign w:val="center"/>
          </w:tcPr>
          <w:p w14:paraId="3E2F6408" w14:textId="77777777" w:rsidR="00B40272" w:rsidRPr="00890249" w:rsidDel="00BB20B9" w:rsidRDefault="00B40272"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3B1D4938" w14:textId="17F56710" w:rsidR="00B40272" w:rsidRPr="00890249" w:rsidDel="00BB20B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B40272" w:rsidRPr="00890249" w:rsidDel="00BB20B9" w14:paraId="7D4794D2" w14:textId="77777777" w:rsidTr="001D2ABD">
        <w:tc>
          <w:tcPr>
            <w:tcW w:w="1461" w:type="dxa"/>
            <w:vMerge/>
            <w:vAlign w:val="center"/>
          </w:tcPr>
          <w:p w14:paraId="1775A42C" w14:textId="77777777" w:rsidR="00B40272" w:rsidRPr="00890249" w:rsidRDefault="00B40272" w:rsidP="001D2ABD">
            <w:pPr>
              <w:rPr>
                <w:rFonts w:asciiTheme="minorHAnsi" w:eastAsia="Times New Roman" w:hAnsiTheme="minorHAnsi" w:cstheme="minorHAnsi"/>
                <w:iCs/>
                <w:noProof/>
                <w:sz w:val="20"/>
              </w:rPr>
            </w:pPr>
          </w:p>
        </w:tc>
        <w:tc>
          <w:tcPr>
            <w:tcW w:w="1258" w:type="dxa"/>
            <w:vMerge/>
            <w:vAlign w:val="center"/>
          </w:tcPr>
          <w:p w14:paraId="1727F7BD" w14:textId="77777777" w:rsidR="00B40272" w:rsidRPr="00890249" w:rsidRDefault="00B40272" w:rsidP="001D2ABD">
            <w:pPr>
              <w:rPr>
                <w:rFonts w:asciiTheme="minorHAnsi" w:hAnsiTheme="minorHAnsi" w:cstheme="minorHAnsi"/>
                <w:noProof/>
                <w:sz w:val="20"/>
              </w:rPr>
            </w:pPr>
          </w:p>
        </w:tc>
        <w:tc>
          <w:tcPr>
            <w:tcW w:w="1341" w:type="dxa"/>
            <w:vMerge/>
            <w:vAlign w:val="center"/>
          </w:tcPr>
          <w:p w14:paraId="7357D9A2" w14:textId="77777777" w:rsidR="00B40272" w:rsidRPr="00890249" w:rsidRDefault="00B40272" w:rsidP="001D2ABD">
            <w:pPr>
              <w:rPr>
                <w:rFonts w:asciiTheme="minorHAnsi" w:hAnsiTheme="minorHAnsi" w:cstheme="minorHAnsi"/>
                <w:noProof/>
                <w:sz w:val="20"/>
              </w:rPr>
            </w:pPr>
          </w:p>
        </w:tc>
        <w:tc>
          <w:tcPr>
            <w:tcW w:w="1542" w:type="dxa"/>
            <w:vMerge/>
            <w:vAlign w:val="center"/>
          </w:tcPr>
          <w:p w14:paraId="0C45231A" w14:textId="77777777" w:rsidR="00B40272" w:rsidRPr="00890249" w:rsidRDefault="00B40272" w:rsidP="001D2ABD">
            <w:pPr>
              <w:rPr>
                <w:rFonts w:asciiTheme="minorHAnsi" w:eastAsia="Times New Roman" w:hAnsiTheme="minorHAnsi" w:cstheme="minorHAnsi"/>
                <w:b/>
                <w:iCs/>
                <w:noProof/>
                <w:sz w:val="20"/>
              </w:rPr>
            </w:pPr>
          </w:p>
        </w:tc>
        <w:tc>
          <w:tcPr>
            <w:tcW w:w="1651" w:type="dxa"/>
            <w:vAlign w:val="center"/>
          </w:tcPr>
          <w:p w14:paraId="53604AAD" w14:textId="77777777" w:rsidR="00B40272" w:rsidRPr="00890249" w:rsidDel="00BB20B9" w:rsidRDefault="00B40272"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301DAB76" w14:textId="0378B742" w:rsidR="00B40272" w:rsidRPr="00890249" w:rsidDel="00BB20B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0</w:t>
            </w:r>
          </w:p>
        </w:tc>
      </w:tr>
      <w:tr w:rsidR="00B40272" w:rsidRPr="00890249" w:rsidDel="00BB20B9" w14:paraId="42701772" w14:textId="77777777" w:rsidTr="001D2ABD">
        <w:tc>
          <w:tcPr>
            <w:tcW w:w="1461" w:type="dxa"/>
            <w:vMerge/>
            <w:vAlign w:val="center"/>
          </w:tcPr>
          <w:p w14:paraId="3E253D04" w14:textId="77777777" w:rsidR="00B40272" w:rsidRPr="00890249" w:rsidRDefault="00B40272" w:rsidP="001D2ABD">
            <w:pPr>
              <w:rPr>
                <w:rFonts w:asciiTheme="minorHAnsi" w:eastAsia="Times New Roman" w:hAnsiTheme="minorHAnsi" w:cstheme="minorHAnsi"/>
                <w:iCs/>
                <w:noProof/>
                <w:sz w:val="20"/>
              </w:rPr>
            </w:pPr>
          </w:p>
        </w:tc>
        <w:tc>
          <w:tcPr>
            <w:tcW w:w="1258" w:type="dxa"/>
            <w:vMerge/>
            <w:vAlign w:val="center"/>
          </w:tcPr>
          <w:p w14:paraId="35A29EB1" w14:textId="77777777" w:rsidR="00B40272" w:rsidRPr="00890249" w:rsidRDefault="00B40272" w:rsidP="001D2ABD">
            <w:pPr>
              <w:rPr>
                <w:rFonts w:asciiTheme="minorHAnsi" w:hAnsiTheme="minorHAnsi" w:cstheme="minorHAnsi"/>
                <w:noProof/>
                <w:sz w:val="20"/>
              </w:rPr>
            </w:pPr>
          </w:p>
        </w:tc>
        <w:tc>
          <w:tcPr>
            <w:tcW w:w="1341" w:type="dxa"/>
            <w:vMerge/>
            <w:vAlign w:val="center"/>
          </w:tcPr>
          <w:p w14:paraId="3AAEB6C8" w14:textId="77777777" w:rsidR="00B40272" w:rsidRPr="00890249" w:rsidRDefault="00B40272" w:rsidP="001D2ABD">
            <w:pPr>
              <w:rPr>
                <w:rFonts w:asciiTheme="minorHAnsi" w:hAnsiTheme="minorHAnsi" w:cstheme="minorHAnsi"/>
                <w:noProof/>
                <w:sz w:val="20"/>
              </w:rPr>
            </w:pPr>
          </w:p>
        </w:tc>
        <w:tc>
          <w:tcPr>
            <w:tcW w:w="1542" w:type="dxa"/>
            <w:vMerge/>
            <w:vAlign w:val="center"/>
          </w:tcPr>
          <w:p w14:paraId="5BA6DF43" w14:textId="77777777" w:rsidR="00B40272" w:rsidRPr="00890249" w:rsidRDefault="00B40272" w:rsidP="001D2ABD">
            <w:pPr>
              <w:rPr>
                <w:rFonts w:asciiTheme="minorHAnsi" w:eastAsia="Times New Roman" w:hAnsiTheme="minorHAnsi" w:cstheme="minorHAnsi"/>
                <w:b/>
                <w:iCs/>
                <w:noProof/>
                <w:sz w:val="20"/>
              </w:rPr>
            </w:pPr>
          </w:p>
        </w:tc>
        <w:tc>
          <w:tcPr>
            <w:tcW w:w="1651" w:type="dxa"/>
            <w:vAlign w:val="center"/>
          </w:tcPr>
          <w:p w14:paraId="2BCFE78E" w14:textId="77777777" w:rsidR="00B40272" w:rsidRPr="00890249" w:rsidDel="00BB20B9" w:rsidRDefault="00B40272" w:rsidP="001D2ABD">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61F300BC" w14:textId="2C3B795C" w:rsidR="00B40272"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75540244" w14:textId="77777777" w:rsidR="00B40272" w:rsidRDefault="00B40272" w:rsidP="00BB20B9">
      <w:pPr>
        <w:rPr>
          <w:rFonts w:asciiTheme="minorHAnsi" w:eastAsiaTheme="minorHAnsi" w:hAnsiTheme="minorHAnsi" w:cstheme="minorHAnsi"/>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251"/>
        <w:gridCol w:w="1336"/>
        <w:gridCol w:w="1535"/>
        <w:gridCol w:w="1761"/>
        <w:gridCol w:w="1987"/>
      </w:tblGrid>
      <w:tr w:rsidR="00606838" w:rsidRPr="00890249" w:rsidDel="00BB20B9" w14:paraId="068CD41E" w14:textId="77777777" w:rsidTr="001D2ABD">
        <w:tc>
          <w:tcPr>
            <w:tcW w:w="9322" w:type="dxa"/>
            <w:gridSpan w:val="6"/>
            <w:shd w:val="clear" w:color="auto" w:fill="D9D9D9" w:themeFill="background1" w:themeFillShade="D9"/>
          </w:tcPr>
          <w:p w14:paraId="4144C6D6" w14:textId="77777777" w:rsidR="00606838" w:rsidRPr="00890249" w:rsidDel="00BB20B9" w:rsidRDefault="00606838"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606838" w:rsidRPr="00890249" w:rsidDel="00BB20B9" w14:paraId="1AAAB23F" w14:textId="77777777" w:rsidTr="001D2ABD">
        <w:tc>
          <w:tcPr>
            <w:tcW w:w="1566" w:type="dxa"/>
            <w:shd w:val="clear" w:color="auto" w:fill="F2F2F2" w:themeFill="background1" w:themeFillShade="F2"/>
            <w:vAlign w:val="center"/>
          </w:tcPr>
          <w:p w14:paraId="63B2243D" w14:textId="77777777" w:rsidR="00606838" w:rsidRPr="00F62734" w:rsidDel="00BB20B9" w:rsidRDefault="00606838"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442531D8" w14:textId="77777777" w:rsidR="00606838" w:rsidRPr="00F62734" w:rsidDel="00BB20B9" w:rsidRDefault="00606838"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61F604B5" w14:textId="77777777" w:rsidR="00606838" w:rsidRPr="00890249" w:rsidDel="00BB20B9" w:rsidRDefault="00606838" w:rsidP="00F62734">
            <w:pPr>
              <w:jc w:val="center"/>
              <w:rPr>
                <w:rFonts w:asciiTheme="minorHAnsi" w:hAnsiTheme="minorHAnsi" w:cstheme="minorHAnsi"/>
                <w:b/>
                <w:iCs/>
                <w:sz w:val="20"/>
              </w:rPr>
            </w:pPr>
            <w:r w:rsidRPr="00890249"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361F7A68" w14:textId="77777777" w:rsidR="00606838" w:rsidRPr="00890249" w:rsidDel="00BB20B9" w:rsidRDefault="00606838" w:rsidP="00F62734">
            <w:pPr>
              <w:jc w:val="center"/>
              <w:rPr>
                <w:rFonts w:asciiTheme="minorHAnsi" w:hAnsiTheme="minorHAnsi" w:cstheme="minorHAnsi"/>
                <w:b/>
                <w:iCs/>
                <w:sz w:val="20"/>
              </w:rPr>
            </w:pPr>
            <w:r w:rsidRPr="00890249"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70A7BBC6" w14:textId="77777777" w:rsidR="00606838" w:rsidRPr="00890249" w:rsidDel="00BB20B9" w:rsidRDefault="00606838" w:rsidP="00F62734">
            <w:pPr>
              <w:jc w:val="center"/>
              <w:rPr>
                <w:rFonts w:asciiTheme="minorHAnsi" w:hAnsiTheme="minorHAnsi" w:cstheme="minorHAnsi"/>
                <w:b/>
                <w:iCs/>
                <w:sz w:val="20"/>
              </w:rPr>
            </w:pPr>
            <w:r w:rsidRPr="00890249" w:rsidDel="00BB20B9">
              <w:rPr>
                <w:rFonts w:asciiTheme="minorHAnsi" w:hAnsiTheme="minorHAnsi" w:cstheme="minorHAnsi"/>
                <w:b/>
                <w:sz w:val="20"/>
              </w:rPr>
              <w:t>Kod</w:t>
            </w:r>
          </w:p>
        </w:tc>
        <w:tc>
          <w:tcPr>
            <w:tcW w:w="2349" w:type="dxa"/>
            <w:shd w:val="clear" w:color="auto" w:fill="F2F2F2" w:themeFill="background1" w:themeFillShade="F2"/>
            <w:vAlign w:val="center"/>
          </w:tcPr>
          <w:p w14:paraId="6DDB8C85" w14:textId="77777777" w:rsidR="00606838" w:rsidRPr="00890249" w:rsidDel="00BB20B9" w:rsidRDefault="00606838" w:rsidP="00F62734">
            <w:pPr>
              <w:jc w:val="center"/>
              <w:rPr>
                <w:rFonts w:asciiTheme="minorHAnsi" w:hAnsiTheme="minorHAnsi" w:cstheme="minorHAnsi"/>
                <w:b/>
                <w:iCs/>
                <w:sz w:val="20"/>
              </w:rPr>
            </w:pPr>
            <w:r w:rsidRPr="00890249" w:rsidDel="00BB20B9">
              <w:rPr>
                <w:rFonts w:asciiTheme="minorHAnsi" w:hAnsiTheme="minorHAnsi" w:cstheme="minorHAnsi"/>
                <w:b/>
                <w:sz w:val="20"/>
              </w:rPr>
              <w:t>Kwota (w EUR)</w:t>
            </w:r>
          </w:p>
        </w:tc>
      </w:tr>
      <w:tr w:rsidR="00606838" w:rsidRPr="00890249" w:rsidDel="00BB20B9" w14:paraId="4C7C0A96" w14:textId="77777777" w:rsidTr="001D2ABD">
        <w:tc>
          <w:tcPr>
            <w:tcW w:w="1566" w:type="dxa"/>
            <w:shd w:val="clear" w:color="auto" w:fill="auto"/>
            <w:vAlign w:val="center"/>
          </w:tcPr>
          <w:p w14:paraId="2184CBF8" w14:textId="77777777" w:rsidR="00606838" w:rsidRPr="00890249" w:rsidRDefault="00606838"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7E919B98" w14:textId="77777777" w:rsidR="00606838" w:rsidRPr="00890249" w:rsidRDefault="00606838"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330B0065" w14:textId="77777777" w:rsidR="00606838" w:rsidRPr="00890249" w:rsidRDefault="00606838"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481AE501" w14:textId="572DA768" w:rsidR="00606838" w:rsidRPr="00890249" w:rsidRDefault="00606838" w:rsidP="001D2ABD">
            <w:pPr>
              <w:pStyle w:val="Akapitzlist"/>
              <w:ind w:left="398"/>
              <w:rPr>
                <w:rFonts w:asciiTheme="minorHAnsi" w:hAnsiTheme="minorHAnsi" w:cstheme="minorHAnsi"/>
                <w:iCs/>
                <w:sz w:val="20"/>
              </w:rPr>
            </w:pPr>
            <w:r>
              <w:rPr>
                <w:rFonts w:asciiTheme="minorHAnsi" w:hAnsiTheme="minorHAnsi" w:cstheme="minorHAnsi"/>
                <w:noProof/>
                <w:sz w:val="20"/>
              </w:rPr>
              <w:t>(c)</w:t>
            </w:r>
          </w:p>
        </w:tc>
        <w:tc>
          <w:tcPr>
            <w:tcW w:w="1022" w:type="dxa"/>
            <w:vAlign w:val="center"/>
          </w:tcPr>
          <w:p w14:paraId="4AD027B0" w14:textId="5EF00D0A" w:rsidR="00606838" w:rsidRPr="00890249" w:rsidRDefault="00606838" w:rsidP="00606838">
            <w:pPr>
              <w:jc w:val="center"/>
              <w:rPr>
                <w:rFonts w:asciiTheme="minorHAnsi" w:hAnsiTheme="minorHAnsi" w:cstheme="minorHAnsi"/>
                <w:iCs/>
                <w:sz w:val="20"/>
              </w:rPr>
            </w:pPr>
            <w:r>
              <w:rPr>
                <w:rFonts w:asciiTheme="minorHAnsi" w:eastAsia="Times New Roman" w:hAnsiTheme="minorHAnsi" w:cstheme="minorHAnsi"/>
                <w:iCs/>
                <w:noProof/>
                <w:sz w:val="20"/>
              </w:rPr>
              <w:t>01 Projekty ukierunkowane na kwestię równouprawnienia płci</w:t>
            </w:r>
          </w:p>
        </w:tc>
        <w:tc>
          <w:tcPr>
            <w:tcW w:w="2349" w:type="dxa"/>
            <w:vAlign w:val="center"/>
          </w:tcPr>
          <w:p w14:paraId="2E8F59FD" w14:textId="513C7CAD" w:rsidR="00606838" w:rsidRPr="00890249" w:rsidRDefault="0052724E" w:rsidP="001D2ABD">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44A934C0" w14:textId="77777777" w:rsidR="00606838" w:rsidRDefault="00606838" w:rsidP="00BB20B9">
      <w:pPr>
        <w:rPr>
          <w:rFonts w:asciiTheme="minorHAnsi" w:eastAsiaTheme="minorHAnsi" w:hAnsiTheme="minorHAnsi" w:cstheme="minorHAnsi"/>
          <w:szCs w:val="24"/>
          <w:lang w:bidi="ar-SA"/>
        </w:rPr>
      </w:pPr>
    </w:p>
    <w:p w14:paraId="27892728" w14:textId="77777777" w:rsidR="00EF2E2A" w:rsidRDefault="00EF2E2A" w:rsidP="00BB20B9">
      <w:pPr>
        <w:rPr>
          <w:rFonts w:asciiTheme="minorHAnsi" w:eastAsiaTheme="minorHAnsi" w:hAnsiTheme="minorHAnsi" w:cstheme="minorHAnsi"/>
          <w:szCs w:val="24"/>
          <w:lang w:bidi="ar-SA"/>
        </w:rPr>
      </w:pPr>
    </w:p>
    <w:p w14:paraId="53AFE7A5" w14:textId="77777777" w:rsidR="00EF2E2A" w:rsidRDefault="00EF2E2A" w:rsidP="00BB20B9">
      <w:pPr>
        <w:rPr>
          <w:rFonts w:asciiTheme="minorHAnsi" w:eastAsiaTheme="minorHAnsi" w:hAnsiTheme="minorHAnsi" w:cstheme="minorHAnsi"/>
          <w:szCs w:val="24"/>
          <w:lang w:bidi="ar-SA"/>
        </w:rPr>
      </w:pPr>
    </w:p>
    <w:p w14:paraId="1E569509" w14:textId="77777777" w:rsidR="00EF2E2A" w:rsidRDefault="00EF2E2A" w:rsidP="00BB20B9">
      <w:pPr>
        <w:rPr>
          <w:rFonts w:asciiTheme="minorHAnsi" w:eastAsiaTheme="minorHAnsi" w:hAnsiTheme="minorHAnsi" w:cstheme="minorHAnsi"/>
          <w:szCs w:val="24"/>
          <w:lang w:bidi="ar-SA"/>
        </w:rPr>
      </w:pPr>
    </w:p>
    <w:p w14:paraId="7AA049EA" w14:textId="77777777" w:rsidR="00EF2E2A" w:rsidRDefault="00EF2E2A" w:rsidP="00BB20B9">
      <w:pPr>
        <w:rPr>
          <w:rFonts w:asciiTheme="minorHAnsi" w:eastAsiaTheme="minorHAnsi" w:hAnsiTheme="minorHAnsi" w:cstheme="minorHAnsi"/>
          <w:szCs w:val="24"/>
          <w:lang w:bidi="ar-SA"/>
        </w:rPr>
      </w:pPr>
    </w:p>
    <w:p w14:paraId="7240996E" w14:textId="77777777" w:rsidR="00EF2E2A" w:rsidRDefault="00EF2E2A" w:rsidP="00BB20B9">
      <w:pPr>
        <w:rPr>
          <w:rFonts w:asciiTheme="minorHAnsi" w:eastAsiaTheme="minorHAnsi" w:hAnsiTheme="minorHAnsi" w:cstheme="minorHAnsi"/>
          <w:szCs w:val="24"/>
          <w:lang w:bidi="ar-SA"/>
        </w:rPr>
      </w:pPr>
    </w:p>
    <w:p w14:paraId="334B01E1" w14:textId="77777777" w:rsidR="00EF2E2A" w:rsidRDefault="00EF2E2A" w:rsidP="00BB20B9">
      <w:pPr>
        <w:rPr>
          <w:rFonts w:asciiTheme="minorHAnsi" w:eastAsiaTheme="minorHAnsi" w:hAnsiTheme="minorHAnsi" w:cstheme="minorHAnsi"/>
          <w:szCs w:val="24"/>
          <w:lang w:bidi="ar-SA"/>
        </w:rPr>
      </w:pPr>
    </w:p>
    <w:p w14:paraId="5F93E463" w14:textId="77777777" w:rsidR="00EF2E2A" w:rsidRDefault="00EF2E2A" w:rsidP="00BB20B9">
      <w:pPr>
        <w:rPr>
          <w:rFonts w:asciiTheme="minorHAnsi" w:eastAsiaTheme="minorHAnsi" w:hAnsiTheme="minorHAnsi" w:cstheme="minorHAnsi"/>
          <w:szCs w:val="24"/>
          <w:lang w:bidi="ar-SA"/>
        </w:rPr>
      </w:pPr>
    </w:p>
    <w:p w14:paraId="47AD8707" w14:textId="77777777" w:rsidR="00EF2E2A" w:rsidRDefault="00EF2E2A" w:rsidP="00BB20B9">
      <w:pPr>
        <w:rPr>
          <w:rFonts w:asciiTheme="minorHAnsi" w:eastAsiaTheme="minorHAnsi" w:hAnsiTheme="minorHAnsi" w:cstheme="minorHAnsi"/>
          <w:szCs w:val="24"/>
          <w:lang w:bidi="ar-SA"/>
        </w:rPr>
      </w:pPr>
    </w:p>
    <w:p w14:paraId="6721E1F2" w14:textId="77777777" w:rsidR="00EF2E2A" w:rsidRDefault="00EF2E2A" w:rsidP="00BB20B9">
      <w:pPr>
        <w:rPr>
          <w:rFonts w:asciiTheme="minorHAnsi" w:eastAsiaTheme="minorHAnsi" w:hAnsiTheme="minorHAnsi" w:cstheme="minorHAnsi"/>
          <w:szCs w:val="24"/>
          <w:lang w:bidi="ar-SA"/>
        </w:rPr>
      </w:pPr>
    </w:p>
    <w:p w14:paraId="19E5E8EB" w14:textId="77777777" w:rsidR="00EF2E2A" w:rsidRDefault="00EF2E2A"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606838" w:rsidRPr="00890249" w:rsidDel="00BB20B9" w14:paraId="0D2AEF13" w14:textId="77777777" w:rsidTr="001D2ABD">
        <w:trPr>
          <w:tblHeader/>
        </w:trPr>
        <w:tc>
          <w:tcPr>
            <w:tcW w:w="9322" w:type="dxa"/>
            <w:gridSpan w:val="6"/>
            <w:shd w:val="clear" w:color="auto" w:fill="D9D9D9" w:themeFill="background1" w:themeFillShade="D9"/>
          </w:tcPr>
          <w:p w14:paraId="055AF30D" w14:textId="77777777" w:rsidR="00606838" w:rsidRPr="00890249" w:rsidDel="00BB20B9" w:rsidRDefault="00606838"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4: Wymiar 1 – zakres interwencji</w:t>
            </w:r>
          </w:p>
        </w:tc>
      </w:tr>
      <w:tr w:rsidR="00606838" w:rsidRPr="00890249" w:rsidDel="00BB20B9" w14:paraId="46B042AB" w14:textId="77777777" w:rsidTr="00EF2E2A">
        <w:trPr>
          <w:trHeight w:val="584"/>
          <w:tblHeader/>
        </w:trPr>
        <w:tc>
          <w:tcPr>
            <w:tcW w:w="1489" w:type="dxa"/>
            <w:shd w:val="clear" w:color="auto" w:fill="F2F2F2" w:themeFill="background1" w:themeFillShade="F2"/>
          </w:tcPr>
          <w:p w14:paraId="43226BF7"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1A94C830"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58D08AAA"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5364828F"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51F189E1"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3A436617"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06838" w:rsidRPr="00890249" w:rsidDel="00BB20B9" w14:paraId="22A3BF06" w14:textId="77777777" w:rsidTr="001D2ABD">
        <w:trPr>
          <w:trHeight w:val="329"/>
        </w:trPr>
        <w:tc>
          <w:tcPr>
            <w:tcW w:w="1489" w:type="dxa"/>
            <w:vMerge w:val="restart"/>
            <w:vAlign w:val="center"/>
          </w:tcPr>
          <w:p w14:paraId="72FA6A71" w14:textId="77777777" w:rsidR="00606838" w:rsidRPr="00890249" w:rsidDel="00BB20B9" w:rsidRDefault="00606838" w:rsidP="00606838">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Merge w:val="restart"/>
            <w:vAlign w:val="center"/>
          </w:tcPr>
          <w:p w14:paraId="0BD26678" w14:textId="77777777" w:rsidR="00606838" w:rsidRPr="00890249" w:rsidDel="00BB20B9" w:rsidRDefault="00606838" w:rsidP="00606838">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Merge w:val="restart"/>
            <w:vAlign w:val="center"/>
          </w:tcPr>
          <w:p w14:paraId="21B1AEFC" w14:textId="77777777" w:rsidR="00606838" w:rsidRPr="00890249" w:rsidDel="00BB20B9" w:rsidRDefault="00606838" w:rsidP="00606838">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Merge w:val="restart"/>
            <w:vAlign w:val="center"/>
          </w:tcPr>
          <w:p w14:paraId="3892C586" w14:textId="0EEA01F8" w:rsidR="00606838" w:rsidRPr="005A3E5B" w:rsidDel="00BB20B9" w:rsidRDefault="00606838" w:rsidP="00606838">
            <w:pPr>
              <w:jc w:val="center"/>
              <w:rPr>
                <w:rFonts w:asciiTheme="minorHAnsi" w:hAnsiTheme="minorHAnsi" w:cstheme="minorHAnsi"/>
                <w:noProof/>
                <w:sz w:val="20"/>
              </w:rPr>
            </w:pPr>
            <w:r>
              <w:rPr>
                <w:rFonts w:asciiTheme="minorHAnsi" w:hAnsiTheme="minorHAnsi" w:cstheme="minorHAnsi"/>
                <w:noProof/>
                <w:sz w:val="20"/>
              </w:rPr>
              <w:t>(f)</w:t>
            </w:r>
          </w:p>
        </w:tc>
        <w:tc>
          <w:tcPr>
            <w:tcW w:w="1958" w:type="dxa"/>
          </w:tcPr>
          <w:p w14:paraId="71B0868F" w14:textId="1248B2DB" w:rsidR="00606838" w:rsidRPr="00890249" w:rsidDel="00BB20B9" w:rsidRDefault="00606838" w:rsidP="00606838">
            <w:pPr>
              <w:jc w:val="center"/>
              <w:rPr>
                <w:rFonts w:asciiTheme="minorHAnsi" w:hAnsiTheme="minorHAnsi" w:cstheme="minorHAnsi"/>
                <w:noProof/>
                <w:sz w:val="20"/>
              </w:rPr>
            </w:pPr>
            <w:r w:rsidRPr="00890249" w:rsidDel="00BB20B9">
              <w:rPr>
                <w:rFonts w:asciiTheme="minorHAnsi" w:hAnsiTheme="minorHAnsi" w:cstheme="minorHAnsi"/>
                <w:noProof/>
                <w:sz w:val="20"/>
              </w:rPr>
              <w:t>148</w:t>
            </w:r>
            <w:r w:rsidRPr="00890249">
              <w:rPr>
                <w:rFonts w:asciiTheme="minorHAnsi" w:hAnsiTheme="minorHAnsi" w:cstheme="minorHAnsi"/>
                <w:noProof/>
                <w:sz w:val="20"/>
              </w:rPr>
              <w:t xml:space="preserve"> Wsparcie na rzecz wczesnej edukacji i opieki nad dzieckiem (z wyłączeniem infrastruktury)</w:t>
            </w:r>
          </w:p>
        </w:tc>
        <w:tc>
          <w:tcPr>
            <w:tcW w:w="2153" w:type="dxa"/>
          </w:tcPr>
          <w:p w14:paraId="1C2716D6" w14:textId="2EBB9ACA" w:rsidR="00606838" w:rsidRPr="00890249" w:rsidRDefault="0052724E" w:rsidP="00606838">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r w:rsidR="00606838" w:rsidRPr="00890249" w:rsidDel="00BB20B9" w14:paraId="038D8BD4" w14:textId="77777777" w:rsidTr="00606838">
        <w:trPr>
          <w:trHeight w:val="90"/>
        </w:trPr>
        <w:tc>
          <w:tcPr>
            <w:tcW w:w="1489" w:type="dxa"/>
            <w:vMerge/>
            <w:vAlign w:val="center"/>
          </w:tcPr>
          <w:p w14:paraId="3C65EC8D" w14:textId="77777777" w:rsidR="00606838" w:rsidRPr="00890249" w:rsidDel="00BB20B9" w:rsidRDefault="00606838" w:rsidP="00606838">
            <w:pPr>
              <w:jc w:val="center"/>
              <w:rPr>
                <w:rFonts w:asciiTheme="minorHAnsi" w:hAnsiTheme="minorHAnsi" w:cstheme="minorHAnsi"/>
                <w:noProof/>
                <w:sz w:val="20"/>
              </w:rPr>
            </w:pPr>
          </w:p>
        </w:tc>
        <w:tc>
          <w:tcPr>
            <w:tcW w:w="1029" w:type="dxa"/>
            <w:vMerge/>
            <w:vAlign w:val="center"/>
          </w:tcPr>
          <w:p w14:paraId="2D30B976" w14:textId="77777777" w:rsidR="00606838" w:rsidRPr="00890249" w:rsidDel="00BB20B9" w:rsidRDefault="00606838" w:rsidP="00606838">
            <w:pPr>
              <w:jc w:val="center"/>
              <w:rPr>
                <w:rFonts w:asciiTheme="minorHAnsi" w:hAnsiTheme="minorHAnsi" w:cstheme="minorHAnsi"/>
                <w:noProof/>
                <w:sz w:val="20"/>
              </w:rPr>
            </w:pPr>
          </w:p>
        </w:tc>
        <w:tc>
          <w:tcPr>
            <w:tcW w:w="1134" w:type="dxa"/>
            <w:vMerge/>
            <w:vAlign w:val="center"/>
          </w:tcPr>
          <w:p w14:paraId="4147AE59" w14:textId="77777777" w:rsidR="00606838" w:rsidRPr="00890249" w:rsidDel="00BB20B9" w:rsidRDefault="00606838" w:rsidP="00606838">
            <w:pPr>
              <w:jc w:val="center"/>
              <w:rPr>
                <w:rFonts w:asciiTheme="minorHAnsi" w:hAnsiTheme="minorHAnsi" w:cstheme="minorHAnsi"/>
                <w:noProof/>
                <w:sz w:val="20"/>
              </w:rPr>
            </w:pPr>
          </w:p>
        </w:tc>
        <w:tc>
          <w:tcPr>
            <w:tcW w:w="1559" w:type="dxa"/>
            <w:vMerge/>
            <w:vAlign w:val="center"/>
          </w:tcPr>
          <w:p w14:paraId="75F854EF" w14:textId="77777777" w:rsidR="00606838" w:rsidRDefault="00606838" w:rsidP="00606838">
            <w:pPr>
              <w:jc w:val="center"/>
              <w:rPr>
                <w:rFonts w:asciiTheme="minorHAnsi" w:hAnsiTheme="minorHAnsi" w:cstheme="minorHAnsi"/>
                <w:noProof/>
                <w:sz w:val="20"/>
              </w:rPr>
            </w:pPr>
          </w:p>
        </w:tc>
        <w:tc>
          <w:tcPr>
            <w:tcW w:w="1958" w:type="dxa"/>
          </w:tcPr>
          <w:p w14:paraId="52DF5566" w14:textId="0A02399A" w:rsidR="00606838" w:rsidRPr="00890249" w:rsidRDefault="00606838" w:rsidP="00606838">
            <w:pPr>
              <w:jc w:val="center"/>
              <w:rPr>
                <w:rFonts w:asciiTheme="minorHAnsi" w:hAnsiTheme="minorHAnsi" w:cstheme="minorHAnsi"/>
                <w:noProof/>
                <w:sz w:val="20"/>
              </w:rPr>
            </w:pPr>
            <w:r w:rsidRPr="00890249" w:rsidDel="00BB20B9">
              <w:rPr>
                <w:rFonts w:asciiTheme="minorHAnsi" w:hAnsiTheme="minorHAnsi" w:cstheme="minorHAnsi"/>
                <w:noProof/>
                <w:sz w:val="20"/>
              </w:rPr>
              <w:t>149</w:t>
            </w:r>
            <w:r w:rsidRPr="00890249">
              <w:rPr>
                <w:rFonts w:asciiTheme="minorHAnsi" w:hAnsiTheme="minorHAnsi" w:cstheme="minorHAnsi"/>
                <w:noProof/>
                <w:sz w:val="20"/>
              </w:rPr>
              <w:t xml:space="preserve"> Wsparcie na rzecz szkolnictwa podstawowego i średniego (z wyłączeniem infrastruktury)</w:t>
            </w:r>
          </w:p>
        </w:tc>
        <w:tc>
          <w:tcPr>
            <w:tcW w:w="2153" w:type="dxa"/>
          </w:tcPr>
          <w:p w14:paraId="5CDC1E91" w14:textId="75E4E592" w:rsidR="00606838" w:rsidRDefault="0052724E" w:rsidP="00606838">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2A597D26" w14:textId="77777777" w:rsidR="00606838" w:rsidRDefault="00606838"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606838" w:rsidRPr="00890249" w:rsidDel="00BB20B9" w14:paraId="4702FD48" w14:textId="77777777" w:rsidTr="001D2ABD">
        <w:tc>
          <w:tcPr>
            <w:tcW w:w="9288" w:type="dxa"/>
            <w:gridSpan w:val="6"/>
            <w:shd w:val="clear" w:color="auto" w:fill="D9D9D9" w:themeFill="background1" w:themeFillShade="D9"/>
          </w:tcPr>
          <w:p w14:paraId="2BB7D8C0" w14:textId="77777777" w:rsidR="00606838" w:rsidRPr="00890249" w:rsidDel="00BB20B9" w:rsidRDefault="00606838"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606838" w:rsidRPr="00890249" w:rsidDel="00BB20B9" w14:paraId="63481EBB" w14:textId="77777777" w:rsidTr="001D2ABD">
        <w:tc>
          <w:tcPr>
            <w:tcW w:w="1599" w:type="dxa"/>
            <w:shd w:val="clear" w:color="auto" w:fill="F2F2F2" w:themeFill="background1" w:themeFillShade="F2"/>
          </w:tcPr>
          <w:p w14:paraId="58BB7EF2"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2C01EC85"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60DB85A7"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60A3419D"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72191E17"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48A45470"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06838" w:rsidRPr="00890249" w:rsidDel="00BB20B9" w14:paraId="26E0BF7B" w14:textId="77777777" w:rsidTr="001D2ABD">
        <w:tc>
          <w:tcPr>
            <w:tcW w:w="1599" w:type="dxa"/>
            <w:vAlign w:val="center"/>
          </w:tcPr>
          <w:p w14:paraId="60CFE82A"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230A733E"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62F3DF26" w14:textId="77777777" w:rsidR="00606838" w:rsidRPr="00890249" w:rsidRDefault="00606838"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40C4958A" w14:textId="09FB3B28" w:rsidR="00606838" w:rsidRPr="00890249" w:rsidRDefault="00606838" w:rsidP="001D2ABD">
            <w:pPr>
              <w:pStyle w:val="Akapitzlist"/>
              <w:ind w:left="263"/>
              <w:rPr>
                <w:rFonts w:asciiTheme="minorHAnsi" w:eastAsia="Times New Roman" w:hAnsiTheme="minorHAnsi" w:cstheme="minorHAnsi"/>
                <w:iCs/>
                <w:noProof/>
                <w:sz w:val="20"/>
              </w:rPr>
            </w:pPr>
            <w:r>
              <w:rPr>
                <w:rFonts w:asciiTheme="minorHAnsi" w:hAnsiTheme="minorHAnsi" w:cstheme="minorHAnsi"/>
                <w:noProof/>
                <w:sz w:val="20"/>
              </w:rPr>
              <w:t xml:space="preserve">(f) </w:t>
            </w:r>
          </w:p>
        </w:tc>
        <w:tc>
          <w:tcPr>
            <w:tcW w:w="1053" w:type="dxa"/>
          </w:tcPr>
          <w:p w14:paraId="50A995B7"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14E16B5E" w14:textId="0986CD97" w:rsidR="00606838"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45EBDEFC" w14:textId="77777777" w:rsidR="00234CE4" w:rsidRDefault="00234CE4"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606838" w:rsidRPr="00890249" w:rsidDel="00BB20B9" w14:paraId="05D17E27" w14:textId="77777777" w:rsidTr="001D2ABD">
        <w:tc>
          <w:tcPr>
            <w:tcW w:w="9288" w:type="dxa"/>
            <w:gridSpan w:val="6"/>
            <w:shd w:val="clear" w:color="auto" w:fill="D9D9D9" w:themeFill="background1" w:themeFillShade="D9"/>
          </w:tcPr>
          <w:p w14:paraId="043524CD" w14:textId="27973310" w:rsidR="00606838" w:rsidRPr="00890249" w:rsidDel="00BB20B9" w:rsidRDefault="00606838"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606838" w:rsidRPr="00890249" w:rsidDel="00BB20B9" w14:paraId="55A37342" w14:textId="77777777" w:rsidTr="001D2ABD">
        <w:tc>
          <w:tcPr>
            <w:tcW w:w="1599" w:type="dxa"/>
            <w:shd w:val="clear" w:color="auto" w:fill="F2F2F2" w:themeFill="background1" w:themeFillShade="F2"/>
          </w:tcPr>
          <w:p w14:paraId="50E1620D"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717B7C4A"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295C0E7B"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4BA4583A"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7AD99736"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088AF346" w14:textId="77777777" w:rsidR="00606838" w:rsidRPr="00890249" w:rsidDel="00BB20B9" w:rsidRDefault="00606838"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06838" w:rsidRPr="00890249" w:rsidDel="00BB20B9" w14:paraId="472E9193" w14:textId="77777777" w:rsidTr="001D2ABD">
        <w:tc>
          <w:tcPr>
            <w:tcW w:w="1599" w:type="dxa"/>
            <w:vAlign w:val="center"/>
          </w:tcPr>
          <w:p w14:paraId="7A8998F8"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0BBE54D0"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1FC866A3" w14:textId="77777777" w:rsidR="00606838" w:rsidRPr="00890249" w:rsidRDefault="00606838"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66164218" w14:textId="6599E104" w:rsidR="00606838" w:rsidRPr="00890249" w:rsidRDefault="00606838" w:rsidP="004B6B66">
            <w:pPr>
              <w:pStyle w:val="Akapitzlist"/>
              <w:ind w:left="341"/>
              <w:jc w:val="center"/>
              <w:rPr>
                <w:rFonts w:asciiTheme="minorHAnsi" w:hAnsiTheme="minorHAnsi" w:cstheme="minorHAnsi"/>
                <w:noProof/>
                <w:sz w:val="20"/>
              </w:rPr>
            </w:pPr>
            <w:r>
              <w:rPr>
                <w:rFonts w:asciiTheme="minorHAnsi" w:hAnsiTheme="minorHAnsi" w:cstheme="minorHAnsi"/>
                <w:noProof/>
                <w:sz w:val="20"/>
              </w:rPr>
              <w:t>(f)</w:t>
            </w:r>
          </w:p>
        </w:tc>
        <w:tc>
          <w:tcPr>
            <w:tcW w:w="1053" w:type="dxa"/>
          </w:tcPr>
          <w:p w14:paraId="7EF28C79" w14:textId="77777777" w:rsidR="00606838" w:rsidRPr="00890249" w:rsidRDefault="00606838" w:rsidP="001D2AB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3A040487" w14:textId="73CFC436" w:rsidR="00606838" w:rsidRPr="00890249" w:rsidRDefault="0052724E"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6DF36D79" w14:textId="77777777" w:rsidR="00606838" w:rsidRDefault="00606838" w:rsidP="00BB20B9">
      <w:pPr>
        <w:rPr>
          <w:rFonts w:asciiTheme="minorHAnsi" w:eastAsiaTheme="minorHAnsi" w:hAnsiTheme="minorHAnsi" w:cstheme="minorHAnsi"/>
          <w:szCs w:val="24"/>
          <w:lang w:bidi="ar-SA"/>
        </w:rPr>
      </w:pPr>
    </w:p>
    <w:p w14:paraId="24253758" w14:textId="77777777" w:rsidR="00EF2E2A" w:rsidRDefault="00EF2E2A" w:rsidP="00BB20B9">
      <w:pPr>
        <w:rPr>
          <w:rFonts w:asciiTheme="minorHAnsi" w:eastAsiaTheme="minorHAnsi" w:hAnsiTheme="minorHAnsi" w:cstheme="minorHAnsi"/>
          <w:szCs w:val="24"/>
          <w:lang w:bidi="ar-SA"/>
        </w:rPr>
      </w:pPr>
    </w:p>
    <w:p w14:paraId="42C8F8BF" w14:textId="77777777" w:rsidR="00EF2E2A" w:rsidRDefault="00EF2E2A" w:rsidP="00BB20B9">
      <w:pPr>
        <w:rPr>
          <w:rFonts w:asciiTheme="minorHAnsi" w:eastAsiaTheme="minorHAnsi" w:hAnsiTheme="minorHAnsi" w:cstheme="minorHAnsi"/>
          <w:szCs w:val="24"/>
          <w:lang w:bidi="ar-SA"/>
        </w:rPr>
      </w:pPr>
    </w:p>
    <w:p w14:paraId="32FB7FB2" w14:textId="77777777" w:rsidR="00EF2E2A" w:rsidRDefault="00EF2E2A" w:rsidP="00BB20B9">
      <w:pPr>
        <w:rPr>
          <w:rFonts w:asciiTheme="minorHAnsi" w:eastAsiaTheme="minorHAnsi" w:hAnsiTheme="minorHAnsi" w:cstheme="minorHAnsi"/>
          <w:szCs w:val="24"/>
          <w:lang w:bidi="ar-SA"/>
        </w:rPr>
      </w:pPr>
    </w:p>
    <w:p w14:paraId="755E8E00" w14:textId="77777777" w:rsidR="00EF2E2A" w:rsidRDefault="00EF2E2A" w:rsidP="00BB20B9">
      <w:pPr>
        <w:rPr>
          <w:rFonts w:asciiTheme="minorHAnsi" w:eastAsiaTheme="minorHAnsi" w:hAnsiTheme="minorHAnsi" w:cstheme="minorHAnsi"/>
          <w:szCs w:val="24"/>
          <w:lang w:bidi="ar-SA"/>
        </w:rPr>
      </w:pPr>
    </w:p>
    <w:p w14:paraId="477A9AFF" w14:textId="77777777" w:rsidR="00EF2E2A" w:rsidRDefault="00EF2E2A" w:rsidP="00BB20B9">
      <w:pPr>
        <w:rPr>
          <w:rFonts w:asciiTheme="minorHAnsi" w:eastAsiaTheme="minorHAnsi" w:hAnsiTheme="minorHAnsi" w:cstheme="minorHAnsi"/>
          <w:szCs w:val="24"/>
          <w:lang w:bidi="ar-SA"/>
        </w:rPr>
      </w:pPr>
    </w:p>
    <w:p w14:paraId="4599125C" w14:textId="77777777" w:rsidR="00EF2E2A" w:rsidRDefault="00EF2E2A" w:rsidP="00BB20B9">
      <w:pPr>
        <w:rPr>
          <w:rFonts w:asciiTheme="minorHAnsi" w:eastAsiaTheme="minorHAnsi" w:hAnsiTheme="minorHAnsi" w:cstheme="minorHAnsi"/>
          <w:szCs w:val="24"/>
          <w:lang w:bidi="ar-SA"/>
        </w:rPr>
      </w:pPr>
    </w:p>
    <w:p w14:paraId="1C623894" w14:textId="77777777" w:rsidR="00EF2E2A" w:rsidRDefault="00EF2E2A" w:rsidP="00BB20B9">
      <w:pPr>
        <w:rPr>
          <w:rFonts w:asciiTheme="minorHAnsi" w:eastAsiaTheme="minorHAnsi" w:hAnsiTheme="minorHAnsi" w:cstheme="minorHAnsi"/>
          <w:szCs w:val="24"/>
          <w:lang w:bidi="ar-SA"/>
        </w:rPr>
      </w:pPr>
    </w:p>
    <w:p w14:paraId="7F21417B" w14:textId="77777777" w:rsidR="00EF2E2A" w:rsidRDefault="00EF2E2A"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6F1EAD" w:rsidRPr="00890249" w:rsidDel="00BB20B9" w14:paraId="546029B2" w14:textId="77777777" w:rsidTr="001D2ABD">
        <w:tc>
          <w:tcPr>
            <w:tcW w:w="9322" w:type="dxa"/>
            <w:gridSpan w:val="6"/>
            <w:shd w:val="clear" w:color="auto" w:fill="D9D9D9" w:themeFill="background1" w:themeFillShade="D9"/>
          </w:tcPr>
          <w:p w14:paraId="27571F80" w14:textId="77777777" w:rsidR="006F1EAD" w:rsidRPr="00890249" w:rsidDel="00BB20B9" w:rsidRDefault="006F1EAD"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6F1EAD" w:rsidRPr="00890249" w:rsidDel="00BB20B9" w14:paraId="7117EA12" w14:textId="77777777" w:rsidTr="001D2ABD">
        <w:tc>
          <w:tcPr>
            <w:tcW w:w="1461" w:type="dxa"/>
            <w:shd w:val="clear" w:color="auto" w:fill="F2F2F2" w:themeFill="background1" w:themeFillShade="F2"/>
          </w:tcPr>
          <w:p w14:paraId="082C7459"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2C783647"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1AC70143"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5F88150B"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029C3F8F"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3F3F0E64"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F1EAD" w:rsidRPr="00890249" w:rsidDel="00BB20B9" w14:paraId="27D99A6A" w14:textId="77777777" w:rsidTr="001D2ABD">
        <w:tc>
          <w:tcPr>
            <w:tcW w:w="1461" w:type="dxa"/>
            <w:vMerge w:val="restart"/>
            <w:vAlign w:val="center"/>
          </w:tcPr>
          <w:p w14:paraId="3D7B99EB" w14:textId="77777777" w:rsidR="006F1EAD" w:rsidRPr="00890249" w:rsidRDefault="006F1EAD" w:rsidP="001D2ABD">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49CC9D12" w14:textId="77777777" w:rsidR="006F1EAD" w:rsidRPr="00890249" w:rsidRDefault="006F1EAD"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49B28711" w14:textId="77777777" w:rsidR="006F1EAD" w:rsidRPr="00890249" w:rsidRDefault="006F1EAD"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60F4749C" w14:textId="77777777" w:rsidR="006F1EAD" w:rsidRPr="009215F2" w:rsidRDefault="006F1EAD" w:rsidP="004B6B66">
            <w:pPr>
              <w:ind w:left="360"/>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(f)</w:t>
            </w:r>
          </w:p>
        </w:tc>
        <w:tc>
          <w:tcPr>
            <w:tcW w:w="1651" w:type="dxa"/>
            <w:vAlign w:val="center"/>
          </w:tcPr>
          <w:p w14:paraId="1D2A71EB"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006117C5" w14:textId="1FF515F8" w:rsidR="006F1EAD"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6F1EAD" w:rsidRPr="00890249" w:rsidDel="00BB20B9" w14:paraId="44DF4FF5" w14:textId="77777777" w:rsidTr="001D2ABD">
        <w:tc>
          <w:tcPr>
            <w:tcW w:w="1461" w:type="dxa"/>
            <w:vMerge/>
            <w:vAlign w:val="center"/>
          </w:tcPr>
          <w:p w14:paraId="620590AD" w14:textId="77777777" w:rsidR="006F1EAD" w:rsidRPr="00890249" w:rsidRDefault="006F1EAD" w:rsidP="001D2ABD">
            <w:pPr>
              <w:rPr>
                <w:rFonts w:asciiTheme="minorHAnsi" w:eastAsia="Times New Roman" w:hAnsiTheme="minorHAnsi" w:cstheme="minorHAnsi"/>
                <w:iCs/>
                <w:noProof/>
                <w:sz w:val="20"/>
              </w:rPr>
            </w:pPr>
          </w:p>
        </w:tc>
        <w:tc>
          <w:tcPr>
            <w:tcW w:w="1258" w:type="dxa"/>
            <w:vMerge/>
            <w:vAlign w:val="center"/>
          </w:tcPr>
          <w:p w14:paraId="0A8C1F9B" w14:textId="77777777" w:rsidR="006F1EAD" w:rsidRPr="00890249" w:rsidRDefault="006F1EAD" w:rsidP="001D2ABD">
            <w:pPr>
              <w:rPr>
                <w:rFonts w:asciiTheme="minorHAnsi" w:hAnsiTheme="minorHAnsi" w:cstheme="minorHAnsi"/>
                <w:noProof/>
                <w:sz w:val="20"/>
              </w:rPr>
            </w:pPr>
          </w:p>
        </w:tc>
        <w:tc>
          <w:tcPr>
            <w:tcW w:w="1341" w:type="dxa"/>
            <w:vMerge/>
            <w:vAlign w:val="center"/>
          </w:tcPr>
          <w:p w14:paraId="3CA54038" w14:textId="77777777" w:rsidR="006F1EAD" w:rsidRPr="00890249" w:rsidRDefault="006F1EAD" w:rsidP="001D2ABD">
            <w:pPr>
              <w:rPr>
                <w:rFonts w:asciiTheme="minorHAnsi" w:hAnsiTheme="minorHAnsi" w:cstheme="minorHAnsi"/>
                <w:noProof/>
                <w:sz w:val="20"/>
              </w:rPr>
            </w:pPr>
          </w:p>
        </w:tc>
        <w:tc>
          <w:tcPr>
            <w:tcW w:w="1542" w:type="dxa"/>
            <w:vMerge/>
            <w:vAlign w:val="center"/>
          </w:tcPr>
          <w:p w14:paraId="2A9D860D" w14:textId="77777777" w:rsidR="006F1EAD" w:rsidRPr="00890249" w:rsidRDefault="006F1EAD" w:rsidP="001D2ABD">
            <w:pPr>
              <w:rPr>
                <w:rFonts w:asciiTheme="minorHAnsi" w:eastAsia="Times New Roman" w:hAnsiTheme="minorHAnsi" w:cstheme="minorHAnsi"/>
                <w:b/>
                <w:iCs/>
                <w:noProof/>
                <w:sz w:val="20"/>
              </w:rPr>
            </w:pPr>
          </w:p>
        </w:tc>
        <w:tc>
          <w:tcPr>
            <w:tcW w:w="1651" w:type="dxa"/>
            <w:vAlign w:val="center"/>
          </w:tcPr>
          <w:p w14:paraId="782C752A" w14:textId="77777777" w:rsidR="006F1EAD" w:rsidRPr="00890249" w:rsidDel="00BB20B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5C97C14B" w14:textId="1B3ADC51" w:rsidR="006F1EAD" w:rsidRPr="00890249" w:rsidDel="00BB20B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6F1EAD" w:rsidRPr="00890249" w:rsidDel="00BB20B9" w14:paraId="0519849C" w14:textId="77777777" w:rsidTr="001D2ABD">
        <w:tc>
          <w:tcPr>
            <w:tcW w:w="1461" w:type="dxa"/>
            <w:vMerge/>
            <w:vAlign w:val="center"/>
          </w:tcPr>
          <w:p w14:paraId="460B518E" w14:textId="77777777" w:rsidR="006F1EAD" w:rsidRPr="00890249" w:rsidRDefault="006F1EAD" w:rsidP="001D2ABD">
            <w:pPr>
              <w:rPr>
                <w:rFonts w:asciiTheme="minorHAnsi" w:eastAsia="Times New Roman" w:hAnsiTheme="minorHAnsi" w:cstheme="minorHAnsi"/>
                <w:iCs/>
                <w:noProof/>
                <w:sz w:val="20"/>
              </w:rPr>
            </w:pPr>
          </w:p>
        </w:tc>
        <w:tc>
          <w:tcPr>
            <w:tcW w:w="1258" w:type="dxa"/>
            <w:vMerge/>
            <w:vAlign w:val="center"/>
          </w:tcPr>
          <w:p w14:paraId="3B448F79" w14:textId="77777777" w:rsidR="006F1EAD" w:rsidRPr="00890249" w:rsidRDefault="006F1EAD" w:rsidP="001D2ABD">
            <w:pPr>
              <w:rPr>
                <w:rFonts w:asciiTheme="minorHAnsi" w:hAnsiTheme="minorHAnsi" w:cstheme="minorHAnsi"/>
                <w:noProof/>
                <w:sz w:val="20"/>
              </w:rPr>
            </w:pPr>
          </w:p>
        </w:tc>
        <w:tc>
          <w:tcPr>
            <w:tcW w:w="1341" w:type="dxa"/>
            <w:vMerge/>
            <w:vAlign w:val="center"/>
          </w:tcPr>
          <w:p w14:paraId="5040FB75" w14:textId="77777777" w:rsidR="006F1EAD" w:rsidRPr="00890249" w:rsidRDefault="006F1EAD" w:rsidP="001D2ABD">
            <w:pPr>
              <w:rPr>
                <w:rFonts w:asciiTheme="minorHAnsi" w:hAnsiTheme="minorHAnsi" w:cstheme="minorHAnsi"/>
                <w:noProof/>
                <w:sz w:val="20"/>
              </w:rPr>
            </w:pPr>
          </w:p>
        </w:tc>
        <w:tc>
          <w:tcPr>
            <w:tcW w:w="1542" w:type="dxa"/>
            <w:vMerge/>
            <w:vAlign w:val="center"/>
          </w:tcPr>
          <w:p w14:paraId="67FBA3EC" w14:textId="77777777" w:rsidR="006F1EAD" w:rsidRPr="00890249" w:rsidRDefault="006F1EAD" w:rsidP="001D2ABD">
            <w:pPr>
              <w:rPr>
                <w:rFonts w:asciiTheme="minorHAnsi" w:eastAsia="Times New Roman" w:hAnsiTheme="minorHAnsi" w:cstheme="minorHAnsi"/>
                <w:b/>
                <w:iCs/>
                <w:noProof/>
                <w:sz w:val="20"/>
              </w:rPr>
            </w:pPr>
          </w:p>
        </w:tc>
        <w:tc>
          <w:tcPr>
            <w:tcW w:w="1651" w:type="dxa"/>
            <w:vAlign w:val="center"/>
          </w:tcPr>
          <w:p w14:paraId="3BCC8E91" w14:textId="77777777" w:rsidR="006F1EAD" w:rsidRPr="00890249" w:rsidDel="00BB20B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318637DA" w14:textId="21561325" w:rsidR="006F1EAD" w:rsidRPr="00890249" w:rsidDel="00BB20B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0</w:t>
            </w:r>
          </w:p>
        </w:tc>
      </w:tr>
      <w:tr w:rsidR="006F1EAD" w:rsidRPr="00890249" w:rsidDel="00BB20B9" w14:paraId="7BC98952" w14:textId="77777777" w:rsidTr="001D2ABD">
        <w:tc>
          <w:tcPr>
            <w:tcW w:w="1461" w:type="dxa"/>
            <w:vMerge/>
            <w:vAlign w:val="center"/>
          </w:tcPr>
          <w:p w14:paraId="3F01030E" w14:textId="77777777" w:rsidR="006F1EAD" w:rsidRPr="00890249" w:rsidRDefault="006F1EAD" w:rsidP="001D2ABD">
            <w:pPr>
              <w:rPr>
                <w:rFonts w:asciiTheme="minorHAnsi" w:eastAsia="Times New Roman" w:hAnsiTheme="minorHAnsi" w:cstheme="minorHAnsi"/>
                <w:iCs/>
                <w:noProof/>
                <w:sz w:val="20"/>
              </w:rPr>
            </w:pPr>
          </w:p>
        </w:tc>
        <w:tc>
          <w:tcPr>
            <w:tcW w:w="1258" w:type="dxa"/>
            <w:vMerge/>
            <w:vAlign w:val="center"/>
          </w:tcPr>
          <w:p w14:paraId="24DEF446" w14:textId="77777777" w:rsidR="006F1EAD" w:rsidRPr="00890249" w:rsidRDefault="006F1EAD" w:rsidP="001D2ABD">
            <w:pPr>
              <w:rPr>
                <w:rFonts w:asciiTheme="minorHAnsi" w:hAnsiTheme="minorHAnsi" w:cstheme="minorHAnsi"/>
                <w:noProof/>
                <w:sz w:val="20"/>
              </w:rPr>
            </w:pPr>
          </w:p>
        </w:tc>
        <w:tc>
          <w:tcPr>
            <w:tcW w:w="1341" w:type="dxa"/>
            <w:vMerge/>
            <w:vAlign w:val="center"/>
          </w:tcPr>
          <w:p w14:paraId="184DE026" w14:textId="77777777" w:rsidR="006F1EAD" w:rsidRPr="00890249" w:rsidRDefault="006F1EAD" w:rsidP="001D2ABD">
            <w:pPr>
              <w:rPr>
                <w:rFonts w:asciiTheme="minorHAnsi" w:hAnsiTheme="minorHAnsi" w:cstheme="minorHAnsi"/>
                <w:noProof/>
                <w:sz w:val="20"/>
              </w:rPr>
            </w:pPr>
          </w:p>
        </w:tc>
        <w:tc>
          <w:tcPr>
            <w:tcW w:w="1542" w:type="dxa"/>
            <w:vMerge/>
            <w:vAlign w:val="center"/>
          </w:tcPr>
          <w:p w14:paraId="7E9CC68D" w14:textId="77777777" w:rsidR="006F1EAD" w:rsidRPr="00890249" w:rsidRDefault="006F1EAD" w:rsidP="001D2ABD">
            <w:pPr>
              <w:rPr>
                <w:rFonts w:asciiTheme="minorHAnsi" w:eastAsia="Times New Roman" w:hAnsiTheme="minorHAnsi" w:cstheme="minorHAnsi"/>
                <w:b/>
                <w:iCs/>
                <w:noProof/>
                <w:sz w:val="20"/>
              </w:rPr>
            </w:pPr>
          </w:p>
        </w:tc>
        <w:tc>
          <w:tcPr>
            <w:tcW w:w="1651" w:type="dxa"/>
            <w:vAlign w:val="center"/>
          </w:tcPr>
          <w:p w14:paraId="5F7A0AA1" w14:textId="77777777" w:rsidR="006F1EAD" w:rsidRPr="00890249" w:rsidDel="00BB20B9" w:rsidRDefault="006F1EAD" w:rsidP="001D2ABD">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67F6A29F" w14:textId="1004677B" w:rsidR="006F1EAD"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 </w:t>
            </w:r>
            <w:r>
              <w:rPr>
                <w:rFonts w:asciiTheme="minorHAnsi" w:eastAsia="Times New Roman" w:hAnsiTheme="minorHAnsi" w:cstheme="minorHAnsi"/>
                <w:iCs/>
                <w:noProof/>
                <w:sz w:val="20"/>
              </w:rPr>
              <w:br/>
              <w:t>0</w:t>
            </w:r>
          </w:p>
        </w:tc>
      </w:tr>
    </w:tbl>
    <w:p w14:paraId="033ACE44" w14:textId="77777777" w:rsidR="006F1EAD" w:rsidRDefault="006F1EAD" w:rsidP="00BB20B9">
      <w:pPr>
        <w:rPr>
          <w:rFonts w:asciiTheme="minorHAnsi" w:eastAsiaTheme="minorHAnsi" w:hAnsiTheme="minorHAnsi" w:cstheme="minorHAnsi"/>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251"/>
        <w:gridCol w:w="1337"/>
        <w:gridCol w:w="1535"/>
        <w:gridCol w:w="1757"/>
        <w:gridCol w:w="1989"/>
      </w:tblGrid>
      <w:tr w:rsidR="006F1EAD" w:rsidRPr="00890249" w:rsidDel="00BB20B9" w14:paraId="11DD830D" w14:textId="77777777" w:rsidTr="001D2ABD">
        <w:tc>
          <w:tcPr>
            <w:tcW w:w="9322" w:type="dxa"/>
            <w:gridSpan w:val="6"/>
            <w:shd w:val="clear" w:color="auto" w:fill="D9D9D9" w:themeFill="background1" w:themeFillShade="D9"/>
          </w:tcPr>
          <w:p w14:paraId="008538B7" w14:textId="77777777" w:rsidR="006F1EAD" w:rsidRPr="00890249" w:rsidDel="00BB20B9" w:rsidRDefault="006F1EAD"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6F1EAD" w:rsidRPr="00890249" w:rsidDel="00BB20B9" w14:paraId="680A879E" w14:textId="77777777" w:rsidTr="001D2ABD">
        <w:tc>
          <w:tcPr>
            <w:tcW w:w="1566" w:type="dxa"/>
            <w:shd w:val="clear" w:color="auto" w:fill="F2F2F2" w:themeFill="background1" w:themeFillShade="F2"/>
            <w:vAlign w:val="center"/>
          </w:tcPr>
          <w:p w14:paraId="79F94788" w14:textId="77777777" w:rsidR="006F1EAD" w:rsidRPr="00F62734" w:rsidDel="00BB20B9" w:rsidRDefault="006F1EAD"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6B3A13DC" w14:textId="77777777" w:rsidR="006F1EAD" w:rsidRPr="00F62734" w:rsidDel="00BB20B9" w:rsidRDefault="006F1EAD"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2E18E113" w14:textId="77777777" w:rsidR="006F1EAD" w:rsidRPr="00890249" w:rsidDel="00BB20B9" w:rsidRDefault="006F1EAD" w:rsidP="00F62734">
            <w:pPr>
              <w:jc w:val="center"/>
              <w:rPr>
                <w:rFonts w:asciiTheme="minorHAnsi" w:hAnsiTheme="minorHAnsi" w:cstheme="minorHAnsi"/>
                <w:b/>
                <w:iCs/>
                <w:sz w:val="20"/>
              </w:rPr>
            </w:pPr>
            <w:r w:rsidRPr="00890249"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0B7F5D03" w14:textId="77777777" w:rsidR="006F1EAD" w:rsidRPr="00890249" w:rsidDel="00BB20B9" w:rsidRDefault="006F1EAD" w:rsidP="00F62734">
            <w:pPr>
              <w:jc w:val="center"/>
              <w:rPr>
                <w:rFonts w:asciiTheme="minorHAnsi" w:hAnsiTheme="minorHAnsi" w:cstheme="minorHAnsi"/>
                <w:b/>
                <w:iCs/>
                <w:sz w:val="20"/>
              </w:rPr>
            </w:pPr>
            <w:r w:rsidRPr="00890249"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301FFE07" w14:textId="77777777" w:rsidR="006F1EAD" w:rsidRPr="00890249" w:rsidDel="00BB20B9" w:rsidRDefault="006F1EAD" w:rsidP="00F62734">
            <w:pPr>
              <w:jc w:val="center"/>
              <w:rPr>
                <w:rFonts w:asciiTheme="minorHAnsi" w:hAnsiTheme="minorHAnsi" w:cstheme="minorHAnsi"/>
                <w:b/>
                <w:iCs/>
                <w:sz w:val="20"/>
              </w:rPr>
            </w:pPr>
            <w:r w:rsidRPr="00890249" w:rsidDel="00BB20B9">
              <w:rPr>
                <w:rFonts w:asciiTheme="minorHAnsi" w:hAnsiTheme="minorHAnsi" w:cstheme="minorHAnsi"/>
                <w:b/>
                <w:sz w:val="20"/>
              </w:rPr>
              <w:t>Kod</w:t>
            </w:r>
          </w:p>
        </w:tc>
        <w:tc>
          <w:tcPr>
            <w:tcW w:w="2349" w:type="dxa"/>
            <w:shd w:val="clear" w:color="auto" w:fill="F2F2F2" w:themeFill="background1" w:themeFillShade="F2"/>
            <w:vAlign w:val="center"/>
          </w:tcPr>
          <w:p w14:paraId="56612663" w14:textId="77777777" w:rsidR="006F1EAD" w:rsidRPr="00890249" w:rsidDel="00BB20B9" w:rsidRDefault="006F1EAD" w:rsidP="00F62734">
            <w:pPr>
              <w:jc w:val="center"/>
              <w:rPr>
                <w:rFonts w:asciiTheme="minorHAnsi" w:hAnsiTheme="minorHAnsi" w:cstheme="minorHAnsi"/>
                <w:b/>
                <w:iCs/>
                <w:sz w:val="20"/>
              </w:rPr>
            </w:pPr>
            <w:r w:rsidRPr="00890249" w:rsidDel="00BB20B9">
              <w:rPr>
                <w:rFonts w:asciiTheme="minorHAnsi" w:hAnsiTheme="minorHAnsi" w:cstheme="minorHAnsi"/>
                <w:b/>
                <w:sz w:val="20"/>
              </w:rPr>
              <w:t>Kwota (w EUR)</w:t>
            </w:r>
          </w:p>
        </w:tc>
      </w:tr>
      <w:tr w:rsidR="006F1EAD" w:rsidRPr="00890249" w:rsidDel="00BB20B9" w14:paraId="6DA48E3A" w14:textId="77777777" w:rsidTr="001D2ABD">
        <w:tc>
          <w:tcPr>
            <w:tcW w:w="1566" w:type="dxa"/>
            <w:shd w:val="clear" w:color="auto" w:fill="auto"/>
            <w:vAlign w:val="center"/>
          </w:tcPr>
          <w:p w14:paraId="7701A890" w14:textId="77777777" w:rsidR="006F1EAD" w:rsidRPr="00890249" w:rsidRDefault="006F1EAD"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15AC994C" w14:textId="77777777" w:rsidR="006F1EAD" w:rsidRPr="00890249" w:rsidRDefault="006F1EAD"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1981AB30" w14:textId="77777777" w:rsidR="006F1EAD" w:rsidRPr="00890249" w:rsidRDefault="006F1EAD"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1E911B38" w14:textId="77777777" w:rsidR="006F1EAD" w:rsidRPr="00890249" w:rsidRDefault="006F1EAD" w:rsidP="001D2ABD">
            <w:pPr>
              <w:pStyle w:val="Akapitzlist"/>
              <w:ind w:left="398"/>
              <w:rPr>
                <w:rFonts w:asciiTheme="minorHAnsi" w:hAnsiTheme="minorHAnsi" w:cstheme="minorHAnsi"/>
                <w:iCs/>
                <w:sz w:val="20"/>
              </w:rPr>
            </w:pPr>
            <w:r>
              <w:rPr>
                <w:rFonts w:asciiTheme="minorHAnsi" w:hAnsiTheme="minorHAnsi" w:cstheme="minorHAnsi"/>
                <w:noProof/>
                <w:sz w:val="20"/>
              </w:rPr>
              <w:t>(f)</w:t>
            </w:r>
          </w:p>
        </w:tc>
        <w:tc>
          <w:tcPr>
            <w:tcW w:w="1022" w:type="dxa"/>
            <w:vAlign w:val="center"/>
          </w:tcPr>
          <w:p w14:paraId="3FCDF176" w14:textId="77777777" w:rsidR="006F1EAD" w:rsidRPr="00890249" w:rsidRDefault="006F1EAD" w:rsidP="001D2ABD">
            <w:pPr>
              <w:jc w:val="center"/>
              <w:rPr>
                <w:rFonts w:asciiTheme="minorHAnsi" w:hAnsiTheme="minorHAnsi" w:cstheme="minorHAnsi"/>
                <w:iCs/>
                <w:sz w:val="20"/>
              </w:rPr>
            </w:pPr>
            <w:r>
              <w:rPr>
                <w:rFonts w:asciiTheme="minorHAnsi" w:eastAsia="Times New Roman" w:hAnsiTheme="minorHAnsi" w:cstheme="minorHAnsi"/>
                <w:iCs/>
                <w:noProof/>
                <w:sz w:val="20"/>
              </w:rPr>
              <w:t>02 Projekty uwzględniające kwestię równouprawniania płci</w:t>
            </w:r>
          </w:p>
        </w:tc>
        <w:tc>
          <w:tcPr>
            <w:tcW w:w="2349" w:type="dxa"/>
            <w:vAlign w:val="center"/>
          </w:tcPr>
          <w:p w14:paraId="5AB50598" w14:textId="40DCF058" w:rsidR="006F1EAD" w:rsidRPr="00890249" w:rsidRDefault="0052724E" w:rsidP="001D2ABD">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064A4BEF" w14:textId="77777777" w:rsidR="00B40272" w:rsidRDefault="00B40272"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73349B" w:rsidRPr="00890249" w:rsidDel="00BB20B9" w14:paraId="64398041" w14:textId="77777777" w:rsidTr="001D2ABD">
        <w:trPr>
          <w:tblHeader/>
        </w:trPr>
        <w:tc>
          <w:tcPr>
            <w:tcW w:w="9322" w:type="dxa"/>
            <w:gridSpan w:val="6"/>
            <w:shd w:val="clear" w:color="auto" w:fill="D9D9D9" w:themeFill="background1" w:themeFillShade="D9"/>
          </w:tcPr>
          <w:p w14:paraId="1DC68719" w14:textId="77777777" w:rsidR="0073349B" w:rsidRPr="00890249" w:rsidDel="00BB20B9" w:rsidRDefault="0073349B"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4: Wymiar 1 – zakres interwencji</w:t>
            </w:r>
          </w:p>
        </w:tc>
      </w:tr>
      <w:tr w:rsidR="0073349B" w:rsidRPr="00890249" w:rsidDel="00BB20B9" w14:paraId="0D1AEC5F" w14:textId="77777777" w:rsidTr="001D2ABD">
        <w:trPr>
          <w:tblHeader/>
        </w:trPr>
        <w:tc>
          <w:tcPr>
            <w:tcW w:w="1489" w:type="dxa"/>
            <w:shd w:val="clear" w:color="auto" w:fill="F2F2F2" w:themeFill="background1" w:themeFillShade="F2"/>
          </w:tcPr>
          <w:p w14:paraId="0CFA23F8"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73429936"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5CFCAEB1"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64C6A2BA"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335D9F06"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29AA80C6"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73349B" w:rsidRPr="00890249" w:rsidDel="00BB20B9" w14:paraId="4DB05481" w14:textId="77777777" w:rsidTr="001D2ABD">
        <w:trPr>
          <w:trHeight w:val="329"/>
        </w:trPr>
        <w:tc>
          <w:tcPr>
            <w:tcW w:w="1489" w:type="dxa"/>
            <w:vAlign w:val="center"/>
          </w:tcPr>
          <w:p w14:paraId="5CEAB414" w14:textId="77777777" w:rsidR="0073349B" w:rsidRPr="00890249" w:rsidDel="00BB20B9" w:rsidRDefault="0073349B"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Align w:val="center"/>
          </w:tcPr>
          <w:p w14:paraId="330B4C9E" w14:textId="77777777" w:rsidR="0073349B" w:rsidRPr="00890249" w:rsidDel="00BB20B9" w:rsidRDefault="0073349B"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Align w:val="center"/>
          </w:tcPr>
          <w:p w14:paraId="53870BB6" w14:textId="77777777" w:rsidR="0073349B" w:rsidRPr="00890249" w:rsidDel="00BB20B9" w:rsidRDefault="0073349B"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Align w:val="center"/>
          </w:tcPr>
          <w:p w14:paraId="7ED91570" w14:textId="77777777" w:rsidR="0073349B" w:rsidRPr="005A3E5B" w:rsidDel="00BB20B9" w:rsidRDefault="0073349B" w:rsidP="001D2ABD">
            <w:pPr>
              <w:jc w:val="center"/>
              <w:rPr>
                <w:rFonts w:asciiTheme="minorHAnsi" w:hAnsiTheme="minorHAnsi" w:cstheme="minorHAnsi"/>
                <w:noProof/>
                <w:sz w:val="20"/>
              </w:rPr>
            </w:pPr>
            <w:r>
              <w:rPr>
                <w:rFonts w:asciiTheme="minorHAnsi" w:hAnsiTheme="minorHAnsi" w:cstheme="minorHAnsi"/>
                <w:noProof/>
                <w:sz w:val="20"/>
              </w:rPr>
              <w:t>(g)</w:t>
            </w:r>
          </w:p>
        </w:tc>
        <w:tc>
          <w:tcPr>
            <w:tcW w:w="1958" w:type="dxa"/>
          </w:tcPr>
          <w:p w14:paraId="69185F19" w14:textId="77777777" w:rsidR="0073349B" w:rsidRPr="00890249" w:rsidDel="00BB20B9" w:rsidRDefault="0073349B"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151</w:t>
            </w:r>
            <w:r w:rsidRPr="00890249">
              <w:rPr>
                <w:rFonts w:asciiTheme="minorHAnsi" w:hAnsiTheme="minorHAnsi" w:cstheme="minorHAnsi"/>
                <w:noProof/>
                <w:sz w:val="20"/>
              </w:rPr>
              <w:t xml:space="preserve"> Wsparcie na rzecz kształcenia dorosłych (z wyłączeniem infrastruktury)</w:t>
            </w:r>
          </w:p>
        </w:tc>
        <w:tc>
          <w:tcPr>
            <w:tcW w:w="2153" w:type="dxa"/>
          </w:tcPr>
          <w:p w14:paraId="67053432" w14:textId="6983242F" w:rsidR="0073349B" w:rsidRPr="00890249" w:rsidRDefault="0052724E"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2 000 000</w:t>
            </w:r>
          </w:p>
        </w:tc>
      </w:tr>
    </w:tbl>
    <w:p w14:paraId="78B2F037" w14:textId="77777777" w:rsidR="00B40272" w:rsidRDefault="00B40272" w:rsidP="00BB20B9">
      <w:pPr>
        <w:rPr>
          <w:rFonts w:asciiTheme="minorHAnsi" w:eastAsiaTheme="minorHAnsi" w:hAnsiTheme="minorHAnsi" w:cstheme="minorHAnsi"/>
          <w:szCs w:val="24"/>
          <w:lang w:bidi="ar-SA"/>
        </w:rPr>
      </w:pPr>
    </w:p>
    <w:p w14:paraId="39DA02F8" w14:textId="77777777" w:rsidR="00EF2E2A" w:rsidRDefault="00EF2E2A" w:rsidP="00BB20B9">
      <w:pPr>
        <w:rPr>
          <w:rFonts w:asciiTheme="minorHAnsi" w:eastAsiaTheme="minorHAnsi" w:hAnsiTheme="minorHAnsi" w:cstheme="minorHAnsi"/>
          <w:szCs w:val="24"/>
          <w:lang w:bidi="ar-SA"/>
        </w:rPr>
      </w:pPr>
    </w:p>
    <w:p w14:paraId="7BB0C486" w14:textId="77777777" w:rsidR="00EF2E2A" w:rsidRDefault="00EF2E2A"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6F1EAD" w:rsidRPr="00890249" w:rsidDel="00BB20B9" w14:paraId="0947D0C2" w14:textId="77777777" w:rsidTr="001D2ABD">
        <w:tc>
          <w:tcPr>
            <w:tcW w:w="9288" w:type="dxa"/>
            <w:gridSpan w:val="6"/>
            <w:shd w:val="clear" w:color="auto" w:fill="D9D9D9" w:themeFill="background1" w:themeFillShade="D9"/>
          </w:tcPr>
          <w:p w14:paraId="07E2223A" w14:textId="77777777" w:rsidR="006F1EAD" w:rsidRPr="00890249" w:rsidDel="00BB20B9" w:rsidRDefault="006F1EAD"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6F1EAD" w:rsidRPr="00890249" w:rsidDel="00BB20B9" w14:paraId="32812735" w14:textId="77777777" w:rsidTr="001D2ABD">
        <w:tc>
          <w:tcPr>
            <w:tcW w:w="1599" w:type="dxa"/>
            <w:shd w:val="clear" w:color="auto" w:fill="F2F2F2" w:themeFill="background1" w:themeFillShade="F2"/>
          </w:tcPr>
          <w:p w14:paraId="2320531B"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2A21083A"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5045759B"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13BDA1AA"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6CEFAEE0"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4214C973"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F1EAD" w:rsidRPr="00890249" w:rsidDel="00BB20B9" w14:paraId="35079973" w14:textId="77777777" w:rsidTr="001D2ABD">
        <w:tc>
          <w:tcPr>
            <w:tcW w:w="1599" w:type="dxa"/>
            <w:vAlign w:val="center"/>
          </w:tcPr>
          <w:p w14:paraId="1FC9DB59"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1DF09690"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31CCD2C1" w14:textId="77777777" w:rsidR="006F1EAD" w:rsidRPr="00890249" w:rsidRDefault="006F1EAD"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19BDF1AF" w14:textId="387C28CB" w:rsidR="006F1EAD" w:rsidRPr="00890249" w:rsidRDefault="006F1EAD" w:rsidP="00EF2E2A">
            <w:pPr>
              <w:pStyle w:val="Akapitzlist"/>
              <w:ind w:left="263"/>
              <w:jc w:val="center"/>
              <w:rPr>
                <w:rFonts w:asciiTheme="minorHAnsi" w:eastAsia="Times New Roman" w:hAnsiTheme="minorHAnsi" w:cstheme="minorHAnsi"/>
                <w:iCs/>
                <w:noProof/>
                <w:sz w:val="20"/>
              </w:rPr>
            </w:pPr>
            <w:r>
              <w:rPr>
                <w:rFonts w:asciiTheme="minorHAnsi" w:hAnsiTheme="minorHAnsi" w:cstheme="minorHAnsi"/>
                <w:noProof/>
                <w:sz w:val="20"/>
              </w:rPr>
              <w:t>(g)</w:t>
            </w:r>
          </w:p>
        </w:tc>
        <w:tc>
          <w:tcPr>
            <w:tcW w:w="1053" w:type="dxa"/>
          </w:tcPr>
          <w:p w14:paraId="26ED8990"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01C31BA1" w14:textId="6BE0EE43" w:rsidR="006F1EAD" w:rsidRPr="00890249" w:rsidRDefault="0052724E"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2 000 000</w:t>
            </w:r>
          </w:p>
        </w:tc>
      </w:tr>
    </w:tbl>
    <w:p w14:paraId="7FD14D9C" w14:textId="77777777" w:rsidR="006F1EAD" w:rsidRDefault="006F1EAD"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6F1EAD" w:rsidRPr="00890249" w:rsidDel="00BB20B9" w14:paraId="0DC7D0E3" w14:textId="77777777" w:rsidTr="001D2ABD">
        <w:tc>
          <w:tcPr>
            <w:tcW w:w="9288" w:type="dxa"/>
            <w:gridSpan w:val="6"/>
            <w:shd w:val="clear" w:color="auto" w:fill="D9D9D9" w:themeFill="background1" w:themeFillShade="D9"/>
          </w:tcPr>
          <w:p w14:paraId="0CEA2631" w14:textId="316FFBB6" w:rsidR="006F1EAD" w:rsidRPr="00890249" w:rsidDel="00BB20B9" w:rsidRDefault="006F1EAD"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6F1EAD" w:rsidRPr="00890249" w:rsidDel="00BB20B9" w14:paraId="530641EB" w14:textId="77777777" w:rsidTr="001D2ABD">
        <w:tc>
          <w:tcPr>
            <w:tcW w:w="1599" w:type="dxa"/>
            <w:shd w:val="clear" w:color="auto" w:fill="F2F2F2" w:themeFill="background1" w:themeFillShade="F2"/>
          </w:tcPr>
          <w:p w14:paraId="45A558F3"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73523CDD"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34F5DB47"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56EA0956"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6B74FA36"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01AFDEE2"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F1EAD" w:rsidRPr="00890249" w:rsidDel="00BB20B9" w14:paraId="5BAEDC36" w14:textId="77777777" w:rsidTr="001D2ABD">
        <w:tc>
          <w:tcPr>
            <w:tcW w:w="1599" w:type="dxa"/>
            <w:vAlign w:val="center"/>
          </w:tcPr>
          <w:p w14:paraId="321BA898"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6A1F9FFD"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5A49A5C5"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56694FE1" w14:textId="47CED0D0" w:rsidR="006F1EAD" w:rsidRPr="00890249" w:rsidRDefault="006F1EAD" w:rsidP="00EF2E2A">
            <w:pPr>
              <w:pStyle w:val="Akapitzlist"/>
              <w:ind w:left="341"/>
              <w:jc w:val="center"/>
              <w:rPr>
                <w:rFonts w:asciiTheme="minorHAnsi" w:hAnsiTheme="minorHAnsi" w:cstheme="minorHAnsi"/>
                <w:noProof/>
                <w:sz w:val="20"/>
              </w:rPr>
            </w:pPr>
            <w:r>
              <w:rPr>
                <w:rFonts w:asciiTheme="minorHAnsi" w:hAnsiTheme="minorHAnsi" w:cstheme="minorHAnsi"/>
                <w:noProof/>
                <w:sz w:val="20"/>
              </w:rPr>
              <w:t>(g)</w:t>
            </w:r>
          </w:p>
        </w:tc>
        <w:tc>
          <w:tcPr>
            <w:tcW w:w="1053" w:type="dxa"/>
          </w:tcPr>
          <w:p w14:paraId="212A585C" w14:textId="77777777" w:rsidR="006F1EAD" w:rsidRPr="00890249" w:rsidRDefault="006F1EAD" w:rsidP="001D2AB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708C914B" w14:textId="2F9CBE8C" w:rsidR="006F1EAD" w:rsidRPr="00890249" w:rsidRDefault="0052724E"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2 000 000</w:t>
            </w:r>
          </w:p>
        </w:tc>
      </w:tr>
    </w:tbl>
    <w:p w14:paraId="50D2ACDD" w14:textId="77777777" w:rsidR="00EF2E2A" w:rsidRDefault="00EF2E2A"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6F1EAD" w:rsidRPr="00890249" w:rsidDel="00BB20B9" w14:paraId="06F9A1BD" w14:textId="77777777" w:rsidTr="001D2ABD">
        <w:tc>
          <w:tcPr>
            <w:tcW w:w="9322" w:type="dxa"/>
            <w:gridSpan w:val="6"/>
            <w:shd w:val="clear" w:color="auto" w:fill="D9D9D9" w:themeFill="background1" w:themeFillShade="D9"/>
          </w:tcPr>
          <w:p w14:paraId="526EFD56" w14:textId="77777777" w:rsidR="006F1EAD" w:rsidRPr="00890249" w:rsidDel="00BB20B9" w:rsidRDefault="006F1EAD"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6F1EAD" w:rsidRPr="00890249" w:rsidDel="00BB20B9" w14:paraId="6336BB11" w14:textId="77777777" w:rsidTr="001D2ABD">
        <w:tc>
          <w:tcPr>
            <w:tcW w:w="1461" w:type="dxa"/>
            <w:shd w:val="clear" w:color="auto" w:fill="F2F2F2" w:themeFill="background1" w:themeFillShade="F2"/>
          </w:tcPr>
          <w:p w14:paraId="31BE8CCE"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762C76B3"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22D2B641"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08A68D98"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7892B99C"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2FE79B1F" w14:textId="77777777" w:rsidR="006F1EAD" w:rsidRPr="00890249" w:rsidDel="00BB20B9" w:rsidRDefault="006F1EA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6F1EAD" w:rsidRPr="00890249" w:rsidDel="00BB20B9" w14:paraId="247B8913" w14:textId="77777777" w:rsidTr="00EF2E2A">
        <w:trPr>
          <w:trHeight w:val="591"/>
        </w:trPr>
        <w:tc>
          <w:tcPr>
            <w:tcW w:w="1461" w:type="dxa"/>
            <w:vMerge w:val="restart"/>
            <w:vAlign w:val="center"/>
          </w:tcPr>
          <w:p w14:paraId="45B36DF7" w14:textId="77777777" w:rsidR="006F1EAD" w:rsidRPr="00890249" w:rsidRDefault="006F1EAD" w:rsidP="001D2ABD">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0F8E8110" w14:textId="77777777" w:rsidR="006F1EAD" w:rsidRPr="00890249" w:rsidRDefault="006F1EAD"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68F9FE9A" w14:textId="77777777" w:rsidR="006F1EAD" w:rsidRPr="00890249" w:rsidRDefault="006F1EAD"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59A95833" w14:textId="5D391B20" w:rsidR="006F1EAD" w:rsidRPr="009215F2" w:rsidRDefault="006F1EAD" w:rsidP="00EF2E2A">
            <w:pPr>
              <w:ind w:left="360"/>
              <w:jc w:val="center"/>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w:t>
            </w:r>
            <w:r w:rsidR="0073349B">
              <w:rPr>
                <w:rFonts w:asciiTheme="minorHAnsi" w:eastAsia="Times New Roman" w:hAnsiTheme="minorHAnsi" w:cstheme="minorHAnsi"/>
                <w:iCs/>
                <w:noProof/>
                <w:sz w:val="20"/>
              </w:rPr>
              <w:t>g</w:t>
            </w:r>
            <w:r w:rsidRPr="009215F2">
              <w:rPr>
                <w:rFonts w:asciiTheme="minorHAnsi" w:eastAsia="Times New Roman" w:hAnsiTheme="minorHAnsi" w:cstheme="minorHAnsi"/>
                <w:iCs/>
                <w:noProof/>
                <w:sz w:val="20"/>
              </w:rPr>
              <w:t>)</w:t>
            </w:r>
          </w:p>
        </w:tc>
        <w:tc>
          <w:tcPr>
            <w:tcW w:w="1651" w:type="dxa"/>
            <w:vAlign w:val="center"/>
          </w:tcPr>
          <w:p w14:paraId="50A978D7" w14:textId="77777777" w:rsidR="006F1EAD" w:rsidRPr="0089024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108DA18E" w14:textId="57917E96" w:rsidR="006F1EAD"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400 000</w:t>
            </w:r>
          </w:p>
        </w:tc>
      </w:tr>
      <w:tr w:rsidR="006F1EAD" w:rsidRPr="00890249" w:rsidDel="00BB20B9" w14:paraId="190457C4" w14:textId="77777777" w:rsidTr="001D2ABD">
        <w:tc>
          <w:tcPr>
            <w:tcW w:w="1461" w:type="dxa"/>
            <w:vMerge/>
            <w:vAlign w:val="center"/>
          </w:tcPr>
          <w:p w14:paraId="32465221" w14:textId="77777777" w:rsidR="006F1EAD" w:rsidRPr="00890249" w:rsidRDefault="006F1EAD" w:rsidP="001D2ABD">
            <w:pPr>
              <w:rPr>
                <w:rFonts w:asciiTheme="minorHAnsi" w:eastAsia="Times New Roman" w:hAnsiTheme="minorHAnsi" w:cstheme="minorHAnsi"/>
                <w:iCs/>
                <w:noProof/>
                <w:sz w:val="20"/>
              </w:rPr>
            </w:pPr>
          </w:p>
        </w:tc>
        <w:tc>
          <w:tcPr>
            <w:tcW w:w="1258" w:type="dxa"/>
            <w:vMerge/>
            <w:vAlign w:val="center"/>
          </w:tcPr>
          <w:p w14:paraId="4EC9869E" w14:textId="77777777" w:rsidR="006F1EAD" w:rsidRPr="00890249" w:rsidRDefault="006F1EAD" w:rsidP="001D2ABD">
            <w:pPr>
              <w:rPr>
                <w:rFonts w:asciiTheme="minorHAnsi" w:hAnsiTheme="minorHAnsi" w:cstheme="minorHAnsi"/>
                <w:noProof/>
                <w:sz w:val="20"/>
              </w:rPr>
            </w:pPr>
          </w:p>
        </w:tc>
        <w:tc>
          <w:tcPr>
            <w:tcW w:w="1341" w:type="dxa"/>
            <w:vMerge/>
            <w:vAlign w:val="center"/>
          </w:tcPr>
          <w:p w14:paraId="243E31F1" w14:textId="77777777" w:rsidR="006F1EAD" w:rsidRPr="00890249" w:rsidRDefault="006F1EAD" w:rsidP="001D2ABD">
            <w:pPr>
              <w:rPr>
                <w:rFonts w:asciiTheme="minorHAnsi" w:hAnsiTheme="minorHAnsi" w:cstheme="minorHAnsi"/>
                <w:noProof/>
                <w:sz w:val="20"/>
              </w:rPr>
            </w:pPr>
          </w:p>
        </w:tc>
        <w:tc>
          <w:tcPr>
            <w:tcW w:w="1542" w:type="dxa"/>
            <w:vMerge/>
            <w:vAlign w:val="center"/>
          </w:tcPr>
          <w:p w14:paraId="010EBC87" w14:textId="77777777" w:rsidR="006F1EAD" w:rsidRPr="00890249" w:rsidRDefault="006F1EAD" w:rsidP="001D2ABD">
            <w:pPr>
              <w:rPr>
                <w:rFonts w:asciiTheme="minorHAnsi" w:eastAsia="Times New Roman" w:hAnsiTheme="minorHAnsi" w:cstheme="minorHAnsi"/>
                <w:b/>
                <w:iCs/>
                <w:noProof/>
                <w:sz w:val="20"/>
              </w:rPr>
            </w:pPr>
          </w:p>
        </w:tc>
        <w:tc>
          <w:tcPr>
            <w:tcW w:w="1651" w:type="dxa"/>
            <w:vAlign w:val="center"/>
          </w:tcPr>
          <w:p w14:paraId="2D632F95" w14:textId="77777777" w:rsidR="006F1EAD" w:rsidRPr="00890249" w:rsidDel="00BB20B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512524DF" w14:textId="65C53CBA" w:rsidR="006F1EAD" w:rsidRPr="00890249" w:rsidDel="00BB20B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400 000</w:t>
            </w:r>
          </w:p>
        </w:tc>
      </w:tr>
      <w:tr w:rsidR="006F1EAD" w:rsidRPr="00890249" w:rsidDel="00BB20B9" w14:paraId="41243BDF" w14:textId="77777777" w:rsidTr="001D2ABD">
        <w:tc>
          <w:tcPr>
            <w:tcW w:w="1461" w:type="dxa"/>
            <w:vMerge/>
            <w:vAlign w:val="center"/>
          </w:tcPr>
          <w:p w14:paraId="56A7C6C7" w14:textId="77777777" w:rsidR="006F1EAD" w:rsidRPr="00890249" w:rsidRDefault="006F1EAD" w:rsidP="001D2ABD">
            <w:pPr>
              <w:rPr>
                <w:rFonts w:asciiTheme="minorHAnsi" w:eastAsia="Times New Roman" w:hAnsiTheme="minorHAnsi" w:cstheme="minorHAnsi"/>
                <w:iCs/>
                <w:noProof/>
                <w:sz w:val="20"/>
              </w:rPr>
            </w:pPr>
          </w:p>
        </w:tc>
        <w:tc>
          <w:tcPr>
            <w:tcW w:w="1258" w:type="dxa"/>
            <w:vMerge/>
            <w:vAlign w:val="center"/>
          </w:tcPr>
          <w:p w14:paraId="7D81B28E" w14:textId="77777777" w:rsidR="006F1EAD" w:rsidRPr="00890249" w:rsidRDefault="006F1EAD" w:rsidP="001D2ABD">
            <w:pPr>
              <w:rPr>
                <w:rFonts w:asciiTheme="minorHAnsi" w:hAnsiTheme="minorHAnsi" w:cstheme="minorHAnsi"/>
                <w:noProof/>
                <w:sz w:val="20"/>
              </w:rPr>
            </w:pPr>
          </w:p>
        </w:tc>
        <w:tc>
          <w:tcPr>
            <w:tcW w:w="1341" w:type="dxa"/>
            <w:vMerge/>
            <w:vAlign w:val="center"/>
          </w:tcPr>
          <w:p w14:paraId="73ABF1DC" w14:textId="77777777" w:rsidR="006F1EAD" w:rsidRPr="00890249" w:rsidRDefault="006F1EAD" w:rsidP="001D2ABD">
            <w:pPr>
              <w:rPr>
                <w:rFonts w:asciiTheme="minorHAnsi" w:hAnsiTheme="minorHAnsi" w:cstheme="minorHAnsi"/>
                <w:noProof/>
                <w:sz w:val="20"/>
              </w:rPr>
            </w:pPr>
          </w:p>
        </w:tc>
        <w:tc>
          <w:tcPr>
            <w:tcW w:w="1542" w:type="dxa"/>
            <w:vMerge/>
            <w:vAlign w:val="center"/>
          </w:tcPr>
          <w:p w14:paraId="266A83ED" w14:textId="77777777" w:rsidR="006F1EAD" w:rsidRPr="00890249" w:rsidRDefault="006F1EAD" w:rsidP="001D2ABD">
            <w:pPr>
              <w:rPr>
                <w:rFonts w:asciiTheme="minorHAnsi" w:eastAsia="Times New Roman" w:hAnsiTheme="minorHAnsi" w:cstheme="minorHAnsi"/>
                <w:b/>
                <w:iCs/>
                <w:noProof/>
                <w:sz w:val="20"/>
              </w:rPr>
            </w:pPr>
          </w:p>
        </w:tc>
        <w:tc>
          <w:tcPr>
            <w:tcW w:w="1651" w:type="dxa"/>
            <w:vAlign w:val="center"/>
          </w:tcPr>
          <w:p w14:paraId="5F53F070" w14:textId="77777777" w:rsidR="006F1EAD" w:rsidRPr="00890249" w:rsidDel="00BB20B9" w:rsidRDefault="006F1EA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323BF49F" w14:textId="4EDBEF6D" w:rsidR="006F1EAD" w:rsidRPr="00890249" w:rsidDel="00BB20B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xml:space="preserve">  </w:t>
            </w:r>
            <w:r>
              <w:rPr>
                <w:rFonts w:asciiTheme="minorHAnsi" w:eastAsia="Times New Roman" w:hAnsiTheme="minorHAnsi" w:cstheme="minorHAnsi"/>
                <w:iCs/>
                <w:noProof/>
                <w:sz w:val="20"/>
              </w:rPr>
              <w:br/>
              <w:t>800 000</w:t>
            </w:r>
          </w:p>
        </w:tc>
      </w:tr>
      <w:tr w:rsidR="006F1EAD" w:rsidRPr="00890249" w:rsidDel="00BB20B9" w14:paraId="56578156" w14:textId="77777777" w:rsidTr="001D2ABD">
        <w:tc>
          <w:tcPr>
            <w:tcW w:w="1461" w:type="dxa"/>
            <w:vMerge/>
            <w:vAlign w:val="center"/>
          </w:tcPr>
          <w:p w14:paraId="2619B820" w14:textId="77777777" w:rsidR="006F1EAD" w:rsidRPr="00890249" w:rsidRDefault="006F1EAD" w:rsidP="001D2ABD">
            <w:pPr>
              <w:rPr>
                <w:rFonts w:asciiTheme="minorHAnsi" w:eastAsia="Times New Roman" w:hAnsiTheme="minorHAnsi" w:cstheme="minorHAnsi"/>
                <w:iCs/>
                <w:noProof/>
                <w:sz w:val="20"/>
              </w:rPr>
            </w:pPr>
          </w:p>
        </w:tc>
        <w:tc>
          <w:tcPr>
            <w:tcW w:w="1258" w:type="dxa"/>
            <w:vMerge/>
            <w:vAlign w:val="center"/>
          </w:tcPr>
          <w:p w14:paraId="43B95C7F" w14:textId="77777777" w:rsidR="006F1EAD" w:rsidRPr="00890249" w:rsidRDefault="006F1EAD" w:rsidP="001D2ABD">
            <w:pPr>
              <w:rPr>
                <w:rFonts w:asciiTheme="minorHAnsi" w:hAnsiTheme="minorHAnsi" w:cstheme="minorHAnsi"/>
                <w:noProof/>
                <w:sz w:val="20"/>
              </w:rPr>
            </w:pPr>
          </w:p>
        </w:tc>
        <w:tc>
          <w:tcPr>
            <w:tcW w:w="1341" w:type="dxa"/>
            <w:vMerge/>
            <w:vAlign w:val="center"/>
          </w:tcPr>
          <w:p w14:paraId="391E48CE" w14:textId="77777777" w:rsidR="006F1EAD" w:rsidRPr="00890249" w:rsidRDefault="006F1EAD" w:rsidP="001D2ABD">
            <w:pPr>
              <w:rPr>
                <w:rFonts w:asciiTheme="minorHAnsi" w:hAnsiTheme="minorHAnsi" w:cstheme="minorHAnsi"/>
                <w:noProof/>
                <w:sz w:val="20"/>
              </w:rPr>
            </w:pPr>
          </w:p>
        </w:tc>
        <w:tc>
          <w:tcPr>
            <w:tcW w:w="1542" w:type="dxa"/>
            <w:vMerge/>
            <w:vAlign w:val="center"/>
          </w:tcPr>
          <w:p w14:paraId="59DBEA6A" w14:textId="77777777" w:rsidR="006F1EAD" w:rsidRPr="00890249" w:rsidRDefault="006F1EAD" w:rsidP="001D2ABD">
            <w:pPr>
              <w:rPr>
                <w:rFonts w:asciiTheme="minorHAnsi" w:eastAsia="Times New Roman" w:hAnsiTheme="minorHAnsi" w:cstheme="minorHAnsi"/>
                <w:b/>
                <w:iCs/>
                <w:noProof/>
                <w:sz w:val="20"/>
              </w:rPr>
            </w:pPr>
          </w:p>
        </w:tc>
        <w:tc>
          <w:tcPr>
            <w:tcW w:w="1651" w:type="dxa"/>
            <w:vAlign w:val="center"/>
          </w:tcPr>
          <w:p w14:paraId="64BCCDB5" w14:textId="77777777" w:rsidR="006F1EAD" w:rsidRPr="00890249" w:rsidDel="00BB20B9" w:rsidRDefault="006F1EAD" w:rsidP="001D2ABD">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3A2C737E" w14:textId="660126C7" w:rsidR="006F1EAD" w:rsidRPr="00890249" w:rsidRDefault="008C3FC0" w:rsidP="008C3FC0">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400 000</w:t>
            </w:r>
          </w:p>
        </w:tc>
      </w:tr>
    </w:tbl>
    <w:p w14:paraId="24E8E159" w14:textId="77777777" w:rsidR="006F1EAD" w:rsidRDefault="006F1EAD" w:rsidP="00BB20B9">
      <w:pPr>
        <w:rPr>
          <w:rFonts w:asciiTheme="minorHAnsi" w:eastAsiaTheme="minorHAnsi" w:hAnsiTheme="minorHAnsi" w:cstheme="minorHAnsi"/>
          <w:szCs w:val="24"/>
          <w:lang w:bidi="ar-SA"/>
        </w:rPr>
      </w:pPr>
    </w:p>
    <w:p w14:paraId="4770401E" w14:textId="77777777" w:rsidR="00EF2E2A" w:rsidRDefault="00EF2E2A" w:rsidP="00BB20B9">
      <w:pPr>
        <w:rPr>
          <w:rFonts w:asciiTheme="minorHAnsi" w:eastAsiaTheme="minorHAnsi" w:hAnsiTheme="minorHAnsi" w:cstheme="minorHAnsi"/>
          <w:szCs w:val="24"/>
          <w:lang w:bidi="ar-SA"/>
        </w:rPr>
      </w:pPr>
    </w:p>
    <w:p w14:paraId="3858870E" w14:textId="77777777" w:rsidR="00EF2E2A" w:rsidRDefault="00EF2E2A" w:rsidP="00BB20B9">
      <w:pPr>
        <w:rPr>
          <w:rFonts w:asciiTheme="minorHAnsi" w:eastAsiaTheme="minorHAnsi" w:hAnsiTheme="minorHAnsi" w:cstheme="minorHAnsi"/>
          <w:szCs w:val="24"/>
          <w:lang w:bidi="ar-SA"/>
        </w:rPr>
      </w:pPr>
    </w:p>
    <w:p w14:paraId="3741FADB" w14:textId="77777777" w:rsidR="00EF2E2A" w:rsidRDefault="00EF2E2A" w:rsidP="00BB20B9">
      <w:pPr>
        <w:rPr>
          <w:rFonts w:asciiTheme="minorHAnsi" w:eastAsiaTheme="minorHAnsi" w:hAnsiTheme="minorHAnsi" w:cstheme="minorHAnsi"/>
          <w:szCs w:val="24"/>
          <w:lang w:bidi="ar-SA"/>
        </w:rPr>
      </w:pPr>
    </w:p>
    <w:p w14:paraId="79416412" w14:textId="77777777" w:rsidR="00EF2E2A" w:rsidRDefault="00EF2E2A" w:rsidP="00BB20B9">
      <w:pPr>
        <w:rPr>
          <w:rFonts w:asciiTheme="minorHAnsi" w:eastAsiaTheme="minorHAnsi" w:hAnsiTheme="minorHAnsi" w:cstheme="minorHAnsi"/>
          <w:szCs w:val="24"/>
          <w:lang w:bidi="ar-SA"/>
        </w:rPr>
      </w:pPr>
    </w:p>
    <w:p w14:paraId="57F680EA" w14:textId="77777777" w:rsidR="00EF2E2A" w:rsidRDefault="00EF2E2A" w:rsidP="00BB20B9">
      <w:pPr>
        <w:rPr>
          <w:rFonts w:asciiTheme="minorHAnsi" w:eastAsiaTheme="minorHAnsi" w:hAnsiTheme="minorHAnsi" w:cstheme="minorHAnsi"/>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251"/>
        <w:gridCol w:w="1337"/>
        <w:gridCol w:w="1535"/>
        <w:gridCol w:w="1757"/>
        <w:gridCol w:w="1989"/>
      </w:tblGrid>
      <w:tr w:rsidR="006F1EAD" w:rsidRPr="00890249" w:rsidDel="00BB20B9" w14:paraId="5364845D" w14:textId="77777777" w:rsidTr="001D2ABD">
        <w:tc>
          <w:tcPr>
            <w:tcW w:w="9322" w:type="dxa"/>
            <w:gridSpan w:val="6"/>
            <w:shd w:val="clear" w:color="auto" w:fill="D9D9D9" w:themeFill="background1" w:themeFillShade="D9"/>
          </w:tcPr>
          <w:p w14:paraId="06A3C260" w14:textId="77777777" w:rsidR="006F1EAD" w:rsidRPr="00890249" w:rsidDel="00BB20B9" w:rsidRDefault="006F1EAD"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6F1EAD" w:rsidRPr="00890249" w:rsidDel="00BB20B9" w14:paraId="66EFB717" w14:textId="77777777" w:rsidTr="001D2ABD">
        <w:tc>
          <w:tcPr>
            <w:tcW w:w="1566" w:type="dxa"/>
            <w:shd w:val="clear" w:color="auto" w:fill="F2F2F2" w:themeFill="background1" w:themeFillShade="F2"/>
            <w:vAlign w:val="center"/>
          </w:tcPr>
          <w:p w14:paraId="5236B30F" w14:textId="77777777" w:rsidR="006F1EAD" w:rsidRPr="00F62734" w:rsidDel="00BB20B9" w:rsidRDefault="006F1EAD"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17802709" w14:textId="77777777" w:rsidR="006F1EAD" w:rsidRPr="00F62734" w:rsidDel="00BB20B9" w:rsidRDefault="006F1EAD"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2A663CEB" w14:textId="77777777" w:rsidR="006F1EAD" w:rsidRPr="00AF0710" w:rsidDel="00BB20B9" w:rsidRDefault="006F1EAD" w:rsidP="00F62734">
            <w:pPr>
              <w:jc w:val="center"/>
              <w:rPr>
                <w:rFonts w:asciiTheme="minorHAnsi" w:hAnsiTheme="minorHAnsi" w:cstheme="minorHAnsi"/>
                <w:b/>
                <w:iCs/>
                <w:sz w:val="20"/>
              </w:rPr>
            </w:pPr>
            <w:r w:rsidRPr="00AF0710"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2F3BC323" w14:textId="77777777" w:rsidR="006F1EAD" w:rsidRPr="00AF0710" w:rsidDel="00BB20B9" w:rsidRDefault="006F1EAD" w:rsidP="00F62734">
            <w:pPr>
              <w:jc w:val="center"/>
              <w:rPr>
                <w:rFonts w:asciiTheme="minorHAnsi" w:hAnsiTheme="minorHAnsi" w:cstheme="minorHAnsi"/>
                <w:b/>
                <w:iCs/>
                <w:sz w:val="20"/>
              </w:rPr>
            </w:pPr>
            <w:r w:rsidRPr="00AF0710"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22B9DF4C" w14:textId="77777777" w:rsidR="006F1EAD" w:rsidRPr="00AF0710" w:rsidDel="00BB20B9" w:rsidRDefault="006F1EAD" w:rsidP="00F62734">
            <w:pPr>
              <w:jc w:val="center"/>
              <w:rPr>
                <w:rFonts w:asciiTheme="minorHAnsi" w:hAnsiTheme="minorHAnsi" w:cstheme="minorHAnsi"/>
                <w:b/>
                <w:iCs/>
                <w:sz w:val="20"/>
              </w:rPr>
            </w:pPr>
            <w:r w:rsidRPr="00AF0710" w:rsidDel="00BB20B9">
              <w:rPr>
                <w:rFonts w:asciiTheme="minorHAnsi" w:hAnsiTheme="minorHAnsi" w:cstheme="minorHAnsi"/>
                <w:b/>
                <w:sz w:val="20"/>
              </w:rPr>
              <w:t>Kod</w:t>
            </w:r>
          </w:p>
        </w:tc>
        <w:tc>
          <w:tcPr>
            <w:tcW w:w="2349" w:type="dxa"/>
            <w:shd w:val="clear" w:color="auto" w:fill="F2F2F2" w:themeFill="background1" w:themeFillShade="F2"/>
            <w:vAlign w:val="center"/>
          </w:tcPr>
          <w:p w14:paraId="4FB82852" w14:textId="77777777" w:rsidR="006F1EAD" w:rsidRPr="00AF0710" w:rsidDel="00BB20B9" w:rsidRDefault="006F1EAD" w:rsidP="00F62734">
            <w:pPr>
              <w:jc w:val="center"/>
              <w:rPr>
                <w:rFonts w:asciiTheme="minorHAnsi" w:hAnsiTheme="minorHAnsi" w:cstheme="minorHAnsi"/>
                <w:b/>
                <w:iCs/>
                <w:sz w:val="20"/>
              </w:rPr>
            </w:pPr>
            <w:r w:rsidRPr="00AF0710" w:rsidDel="00BB20B9">
              <w:rPr>
                <w:rFonts w:asciiTheme="minorHAnsi" w:hAnsiTheme="minorHAnsi" w:cstheme="minorHAnsi"/>
                <w:b/>
                <w:sz w:val="20"/>
              </w:rPr>
              <w:t>Kwota (w EUR)</w:t>
            </w:r>
          </w:p>
        </w:tc>
      </w:tr>
      <w:tr w:rsidR="006F1EAD" w:rsidRPr="00890249" w:rsidDel="00BB20B9" w14:paraId="377129CB" w14:textId="77777777" w:rsidTr="001D2ABD">
        <w:tc>
          <w:tcPr>
            <w:tcW w:w="1566" w:type="dxa"/>
            <w:shd w:val="clear" w:color="auto" w:fill="auto"/>
            <w:vAlign w:val="center"/>
          </w:tcPr>
          <w:p w14:paraId="154FDD60" w14:textId="77777777" w:rsidR="006F1EAD" w:rsidRPr="00890249" w:rsidRDefault="006F1EAD"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33EC748E" w14:textId="77777777" w:rsidR="006F1EAD" w:rsidRPr="00890249" w:rsidRDefault="006F1EAD"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11404CC5" w14:textId="77777777" w:rsidR="006F1EAD" w:rsidRPr="00890249" w:rsidRDefault="006F1EAD"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6ACDEB98" w14:textId="10AA88FF" w:rsidR="006F1EAD" w:rsidRPr="00890249" w:rsidRDefault="006F1EAD" w:rsidP="001D2ABD">
            <w:pPr>
              <w:pStyle w:val="Akapitzlist"/>
              <w:ind w:left="398"/>
              <w:rPr>
                <w:rFonts w:asciiTheme="minorHAnsi" w:hAnsiTheme="minorHAnsi" w:cstheme="minorHAnsi"/>
                <w:iCs/>
                <w:sz w:val="20"/>
              </w:rPr>
            </w:pPr>
            <w:r>
              <w:rPr>
                <w:rFonts w:asciiTheme="minorHAnsi" w:hAnsiTheme="minorHAnsi" w:cstheme="minorHAnsi"/>
                <w:noProof/>
                <w:sz w:val="20"/>
              </w:rPr>
              <w:t>(g)</w:t>
            </w:r>
          </w:p>
        </w:tc>
        <w:tc>
          <w:tcPr>
            <w:tcW w:w="1022" w:type="dxa"/>
            <w:vAlign w:val="center"/>
          </w:tcPr>
          <w:p w14:paraId="78D411BD" w14:textId="77777777" w:rsidR="006F1EAD" w:rsidRPr="00890249" w:rsidRDefault="006F1EAD" w:rsidP="001D2ABD">
            <w:pPr>
              <w:jc w:val="center"/>
              <w:rPr>
                <w:rFonts w:asciiTheme="minorHAnsi" w:hAnsiTheme="minorHAnsi" w:cstheme="minorHAnsi"/>
                <w:iCs/>
                <w:sz w:val="20"/>
              </w:rPr>
            </w:pPr>
            <w:r>
              <w:rPr>
                <w:rFonts w:asciiTheme="minorHAnsi" w:eastAsia="Times New Roman" w:hAnsiTheme="minorHAnsi" w:cstheme="minorHAnsi"/>
                <w:iCs/>
                <w:noProof/>
                <w:sz w:val="20"/>
              </w:rPr>
              <w:t>02 Projekty uwzględniające kwestię równouprawniania płci</w:t>
            </w:r>
          </w:p>
        </w:tc>
        <w:tc>
          <w:tcPr>
            <w:tcW w:w="2349" w:type="dxa"/>
            <w:vAlign w:val="center"/>
          </w:tcPr>
          <w:p w14:paraId="7AB972AC" w14:textId="1D22AD15" w:rsidR="006F1EAD" w:rsidRPr="00890249" w:rsidRDefault="008C3FC0" w:rsidP="001D2ABD">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2 000 000</w:t>
            </w:r>
          </w:p>
        </w:tc>
      </w:tr>
    </w:tbl>
    <w:p w14:paraId="67A85C1A" w14:textId="77777777" w:rsidR="00606838" w:rsidRDefault="00606838"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73349B" w:rsidRPr="00890249" w:rsidDel="00BB20B9" w14:paraId="22579EEB" w14:textId="77777777" w:rsidTr="001D2ABD">
        <w:trPr>
          <w:tblHeader/>
        </w:trPr>
        <w:tc>
          <w:tcPr>
            <w:tcW w:w="9322" w:type="dxa"/>
            <w:gridSpan w:val="6"/>
            <w:shd w:val="clear" w:color="auto" w:fill="D9D9D9" w:themeFill="background1" w:themeFillShade="D9"/>
          </w:tcPr>
          <w:p w14:paraId="0C8696E6" w14:textId="77777777" w:rsidR="0073349B" w:rsidRPr="00890249" w:rsidDel="00BB20B9" w:rsidRDefault="0073349B"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4: Wymiar 1 – zakres interwencji</w:t>
            </w:r>
          </w:p>
        </w:tc>
      </w:tr>
      <w:tr w:rsidR="0073349B" w:rsidRPr="00890249" w:rsidDel="00BB20B9" w14:paraId="6F065271" w14:textId="77777777" w:rsidTr="001D2ABD">
        <w:trPr>
          <w:tblHeader/>
        </w:trPr>
        <w:tc>
          <w:tcPr>
            <w:tcW w:w="1489" w:type="dxa"/>
            <w:shd w:val="clear" w:color="auto" w:fill="F2F2F2" w:themeFill="background1" w:themeFillShade="F2"/>
          </w:tcPr>
          <w:p w14:paraId="16785B0A"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224954EB"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724B7D61"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5515F36A"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4628090B"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08EFB52E"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8C3FC0" w:rsidRPr="00890249" w:rsidDel="00BB20B9" w14:paraId="4F788343" w14:textId="77777777" w:rsidTr="001D2ABD">
        <w:trPr>
          <w:trHeight w:val="329"/>
        </w:trPr>
        <w:tc>
          <w:tcPr>
            <w:tcW w:w="1489" w:type="dxa"/>
            <w:vMerge w:val="restart"/>
            <w:vAlign w:val="center"/>
          </w:tcPr>
          <w:p w14:paraId="6095A3BF" w14:textId="77777777" w:rsidR="008C3FC0" w:rsidRPr="00890249" w:rsidDel="00BB20B9" w:rsidRDefault="008C3FC0"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Merge w:val="restart"/>
            <w:vAlign w:val="center"/>
          </w:tcPr>
          <w:p w14:paraId="67B7C966" w14:textId="77777777" w:rsidR="008C3FC0" w:rsidRPr="00890249" w:rsidDel="00BB20B9" w:rsidRDefault="008C3FC0"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Merge w:val="restart"/>
            <w:vAlign w:val="center"/>
          </w:tcPr>
          <w:p w14:paraId="10B6474B" w14:textId="77777777" w:rsidR="008C3FC0" w:rsidRPr="00890249" w:rsidDel="00BB20B9" w:rsidRDefault="008C3FC0"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Merge w:val="restart"/>
            <w:vAlign w:val="center"/>
          </w:tcPr>
          <w:p w14:paraId="3BD9B7AD" w14:textId="76FC3E11" w:rsidR="008C3FC0" w:rsidRPr="005A3E5B" w:rsidDel="00BB20B9" w:rsidRDefault="008C3FC0" w:rsidP="001D2ABD">
            <w:pPr>
              <w:jc w:val="center"/>
              <w:rPr>
                <w:rFonts w:asciiTheme="minorHAnsi" w:hAnsiTheme="minorHAnsi" w:cstheme="minorHAnsi"/>
                <w:noProof/>
                <w:sz w:val="20"/>
              </w:rPr>
            </w:pPr>
            <w:r>
              <w:rPr>
                <w:rFonts w:asciiTheme="minorHAnsi" w:hAnsiTheme="minorHAnsi" w:cstheme="minorHAnsi"/>
                <w:noProof/>
                <w:sz w:val="20"/>
              </w:rPr>
              <w:t>(h)</w:t>
            </w:r>
          </w:p>
        </w:tc>
        <w:tc>
          <w:tcPr>
            <w:tcW w:w="1958" w:type="dxa"/>
          </w:tcPr>
          <w:p w14:paraId="2A6840DD" w14:textId="2A4DA40A" w:rsidR="008C3FC0" w:rsidRPr="00890249" w:rsidDel="00BB20B9" w:rsidRDefault="008C3FC0"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163</w:t>
            </w:r>
            <w:r w:rsidRPr="00890249">
              <w:rPr>
                <w:rFonts w:asciiTheme="minorHAnsi" w:hAnsiTheme="minorHAnsi" w:cstheme="minorHAnsi"/>
                <w:noProof/>
                <w:sz w:val="20"/>
              </w:rPr>
              <w:t xml:space="preserve"> Promowanie integracji społecznej osób zagrożonych ubóstwem lub wykluczeniem społecznym, w tym osób najbardziej potrzebujących i dzieci</w:t>
            </w:r>
          </w:p>
        </w:tc>
        <w:tc>
          <w:tcPr>
            <w:tcW w:w="2153" w:type="dxa"/>
          </w:tcPr>
          <w:p w14:paraId="7C8D3007" w14:textId="3FB61567" w:rsidR="008C3FC0" w:rsidRPr="00890249" w:rsidRDefault="008C3FC0"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r>
            <w:r w:rsidR="003F4386">
              <w:rPr>
                <w:rFonts w:asciiTheme="minorHAnsi" w:hAnsiTheme="minorHAnsi" w:cstheme="minorHAnsi"/>
                <w:noProof/>
                <w:sz w:val="20"/>
              </w:rPr>
              <w:t>250 000</w:t>
            </w:r>
          </w:p>
        </w:tc>
      </w:tr>
      <w:tr w:rsidR="008C3FC0" w:rsidRPr="00890249" w:rsidDel="00BB20B9" w14:paraId="6F78AF29" w14:textId="77777777" w:rsidTr="001D2ABD">
        <w:trPr>
          <w:trHeight w:val="329"/>
        </w:trPr>
        <w:tc>
          <w:tcPr>
            <w:tcW w:w="1489" w:type="dxa"/>
            <w:vMerge/>
            <w:vAlign w:val="center"/>
          </w:tcPr>
          <w:p w14:paraId="209D508C" w14:textId="77777777" w:rsidR="008C3FC0" w:rsidRPr="00890249" w:rsidDel="00BB20B9" w:rsidRDefault="008C3FC0" w:rsidP="001D2ABD">
            <w:pPr>
              <w:jc w:val="center"/>
              <w:rPr>
                <w:rFonts w:asciiTheme="minorHAnsi" w:hAnsiTheme="minorHAnsi" w:cstheme="minorHAnsi"/>
                <w:noProof/>
                <w:sz w:val="20"/>
              </w:rPr>
            </w:pPr>
          </w:p>
        </w:tc>
        <w:tc>
          <w:tcPr>
            <w:tcW w:w="1029" w:type="dxa"/>
            <w:vMerge/>
            <w:vAlign w:val="center"/>
          </w:tcPr>
          <w:p w14:paraId="4E27CDEB" w14:textId="77777777" w:rsidR="008C3FC0" w:rsidRPr="00890249" w:rsidDel="00BB20B9" w:rsidRDefault="008C3FC0" w:rsidP="001D2ABD">
            <w:pPr>
              <w:jc w:val="center"/>
              <w:rPr>
                <w:rFonts w:asciiTheme="minorHAnsi" w:hAnsiTheme="minorHAnsi" w:cstheme="minorHAnsi"/>
                <w:noProof/>
                <w:sz w:val="20"/>
              </w:rPr>
            </w:pPr>
          </w:p>
        </w:tc>
        <w:tc>
          <w:tcPr>
            <w:tcW w:w="1134" w:type="dxa"/>
            <w:vMerge/>
            <w:vAlign w:val="center"/>
          </w:tcPr>
          <w:p w14:paraId="6813A003" w14:textId="77777777" w:rsidR="008C3FC0" w:rsidRPr="00890249" w:rsidDel="00BB20B9" w:rsidRDefault="008C3FC0" w:rsidP="001D2ABD">
            <w:pPr>
              <w:jc w:val="center"/>
              <w:rPr>
                <w:rFonts w:asciiTheme="minorHAnsi" w:hAnsiTheme="minorHAnsi" w:cstheme="minorHAnsi"/>
                <w:noProof/>
                <w:sz w:val="20"/>
              </w:rPr>
            </w:pPr>
          </w:p>
        </w:tc>
        <w:tc>
          <w:tcPr>
            <w:tcW w:w="1559" w:type="dxa"/>
            <w:vMerge/>
            <w:vAlign w:val="center"/>
          </w:tcPr>
          <w:p w14:paraId="53EE85A8" w14:textId="77777777" w:rsidR="008C3FC0" w:rsidRDefault="008C3FC0" w:rsidP="001D2ABD">
            <w:pPr>
              <w:jc w:val="center"/>
              <w:rPr>
                <w:rFonts w:asciiTheme="minorHAnsi" w:hAnsiTheme="minorHAnsi" w:cstheme="minorHAnsi"/>
                <w:noProof/>
                <w:sz w:val="20"/>
              </w:rPr>
            </w:pPr>
          </w:p>
        </w:tc>
        <w:tc>
          <w:tcPr>
            <w:tcW w:w="1958" w:type="dxa"/>
          </w:tcPr>
          <w:p w14:paraId="008A4D76" w14:textId="45639F10" w:rsidR="008C3FC0" w:rsidRPr="00890249" w:rsidDel="00BB20B9" w:rsidRDefault="008C3FC0" w:rsidP="001D2ABD">
            <w:pPr>
              <w:jc w:val="center"/>
              <w:rPr>
                <w:rFonts w:asciiTheme="minorHAnsi" w:hAnsiTheme="minorHAnsi" w:cstheme="minorHAnsi"/>
                <w:noProof/>
                <w:sz w:val="20"/>
              </w:rPr>
            </w:pPr>
            <w:r>
              <w:rPr>
                <w:rFonts w:asciiTheme="minorHAnsi" w:hAnsiTheme="minorHAnsi" w:cstheme="minorHAnsi"/>
                <w:noProof/>
                <w:sz w:val="20"/>
              </w:rPr>
              <w:t>171 Poprawa współpracy z partnerami w ramach danego państwa członkowskiego i poza nim</w:t>
            </w:r>
          </w:p>
        </w:tc>
        <w:tc>
          <w:tcPr>
            <w:tcW w:w="2153" w:type="dxa"/>
          </w:tcPr>
          <w:p w14:paraId="54CA49A9" w14:textId="475FDD85" w:rsidR="008C3FC0" w:rsidRDefault="003F4386" w:rsidP="001D2ABD">
            <w:pPr>
              <w:jc w:val="right"/>
              <w:rPr>
                <w:rFonts w:asciiTheme="minorHAnsi" w:hAnsiTheme="minorHAnsi" w:cstheme="minorHAnsi"/>
                <w:noProof/>
                <w:sz w:val="20"/>
              </w:rPr>
            </w:pPr>
            <w:r>
              <w:rPr>
                <w:rFonts w:asciiTheme="minorHAnsi" w:hAnsiTheme="minorHAnsi" w:cstheme="minorHAnsi"/>
                <w:noProof/>
                <w:sz w:val="20"/>
              </w:rPr>
              <w:t>750 000</w:t>
            </w:r>
          </w:p>
        </w:tc>
      </w:tr>
    </w:tbl>
    <w:p w14:paraId="40E231BA" w14:textId="77777777" w:rsidR="00606838" w:rsidRDefault="00606838"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73349B" w:rsidRPr="00890249" w:rsidDel="00BB20B9" w14:paraId="4D66C4CA" w14:textId="77777777" w:rsidTr="001D2ABD">
        <w:tc>
          <w:tcPr>
            <w:tcW w:w="9288" w:type="dxa"/>
            <w:gridSpan w:val="6"/>
            <w:shd w:val="clear" w:color="auto" w:fill="D9D9D9" w:themeFill="background1" w:themeFillShade="D9"/>
          </w:tcPr>
          <w:p w14:paraId="76BD0B48" w14:textId="77777777" w:rsidR="0073349B" w:rsidRPr="00890249" w:rsidDel="00BB20B9" w:rsidRDefault="0073349B"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73349B" w:rsidRPr="00890249" w:rsidDel="00BB20B9" w14:paraId="77EA4CCC" w14:textId="77777777" w:rsidTr="001E53EF">
        <w:tc>
          <w:tcPr>
            <w:tcW w:w="1599" w:type="dxa"/>
            <w:tcBorders>
              <w:bottom w:val="single" w:sz="4" w:space="0" w:color="auto"/>
            </w:tcBorders>
            <w:shd w:val="clear" w:color="auto" w:fill="F2F2F2" w:themeFill="background1" w:themeFillShade="F2"/>
          </w:tcPr>
          <w:p w14:paraId="7A984821"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tcBorders>
              <w:bottom w:val="single" w:sz="4" w:space="0" w:color="auto"/>
            </w:tcBorders>
            <w:shd w:val="clear" w:color="auto" w:fill="F2F2F2" w:themeFill="background1" w:themeFillShade="F2"/>
          </w:tcPr>
          <w:p w14:paraId="3F141685"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tcBorders>
              <w:bottom w:val="single" w:sz="4" w:space="0" w:color="auto"/>
            </w:tcBorders>
            <w:shd w:val="clear" w:color="auto" w:fill="F2F2F2" w:themeFill="background1" w:themeFillShade="F2"/>
          </w:tcPr>
          <w:p w14:paraId="00B0C1F7"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tcBorders>
              <w:bottom w:val="single" w:sz="4" w:space="0" w:color="auto"/>
            </w:tcBorders>
            <w:shd w:val="clear" w:color="auto" w:fill="F2F2F2" w:themeFill="background1" w:themeFillShade="F2"/>
          </w:tcPr>
          <w:p w14:paraId="180DC573"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tcBorders>
              <w:bottom w:val="single" w:sz="4" w:space="0" w:color="auto"/>
            </w:tcBorders>
            <w:shd w:val="clear" w:color="auto" w:fill="F2F2F2" w:themeFill="background1" w:themeFillShade="F2"/>
          </w:tcPr>
          <w:p w14:paraId="635C8067"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tcBorders>
              <w:bottom w:val="single" w:sz="4" w:space="0" w:color="auto"/>
            </w:tcBorders>
            <w:shd w:val="clear" w:color="auto" w:fill="F2F2F2" w:themeFill="background1" w:themeFillShade="F2"/>
          </w:tcPr>
          <w:p w14:paraId="6EB6DA87"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73349B" w:rsidRPr="00890249" w:rsidDel="00BB20B9" w14:paraId="0E0EB375" w14:textId="77777777" w:rsidTr="001E53EF">
        <w:tc>
          <w:tcPr>
            <w:tcW w:w="1599" w:type="dxa"/>
            <w:tcBorders>
              <w:bottom w:val="single" w:sz="4" w:space="0" w:color="auto"/>
            </w:tcBorders>
            <w:vAlign w:val="center"/>
          </w:tcPr>
          <w:p w14:paraId="729133B4"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tcBorders>
              <w:bottom w:val="single" w:sz="4" w:space="0" w:color="auto"/>
            </w:tcBorders>
            <w:vAlign w:val="center"/>
          </w:tcPr>
          <w:p w14:paraId="47797B7F"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tcBorders>
              <w:bottom w:val="single" w:sz="4" w:space="0" w:color="auto"/>
            </w:tcBorders>
            <w:vAlign w:val="center"/>
          </w:tcPr>
          <w:p w14:paraId="1A83A1C3" w14:textId="77777777" w:rsidR="0073349B" w:rsidRPr="00890249" w:rsidRDefault="0073349B"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Borders>
              <w:bottom w:val="single" w:sz="4" w:space="0" w:color="auto"/>
            </w:tcBorders>
          </w:tcPr>
          <w:p w14:paraId="46E17B86" w14:textId="64817342" w:rsidR="0073349B" w:rsidRPr="00890249" w:rsidRDefault="0073349B" w:rsidP="001D2ABD">
            <w:pPr>
              <w:pStyle w:val="Akapitzlist"/>
              <w:ind w:left="263"/>
              <w:rPr>
                <w:rFonts w:asciiTheme="minorHAnsi" w:eastAsia="Times New Roman" w:hAnsiTheme="minorHAnsi" w:cstheme="minorHAnsi"/>
                <w:iCs/>
                <w:noProof/>
                <w:sz w:val="20"/>
              </w:rPr>
            </w:pPr>
            <w:r>
              <w:rPr>
                <w:rFonts w:asciiTheme="minorHAnsi" w:hAnsiTheme="minorHAnsi" w:cstheme="minorHAnsi"/>
                <w:noProof/>
                <w:sz w:val="20"/>
              </w:rPr>
              <w:t xml:space="preserve">(h) </w:t>
            </w:r>
          </w:p>
        </w:tc>
        <w:tc>
          <w:tcPr>
            <w:tcW w:w="1053" w:type="dxa"/>
            <w:tcBorders>
              <w:bottom w:val="single" w:sz="4" w:space="0" w:color="auto"/>
            </w:tcBorders>
          </w:tcPr>
          <w:p w14:paraId="534C9AAC"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Borders>
              <w:bottom w:val="single" w:sz="4" w:space="0" w:color="auto"/>
            </w:tcBorders>
          </w:tcPr>
          <w:p w14:paraId="3CD68DE7" w14:textId="25C91C6C" w:rsidR="0073349B"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3F4386">
              <w:rPr>
                <w:rFonts w:asciiTheme="minorHAnsi" w:eastAsia="Times New Roman" w:hAnsiTheme="minorHAnsi" w:cstheme="minorHAnsi"/>
                <w:iCs/>
                <w:noProof/>
                <w:sz w:val="20"/>
              </w:rPr>
              <w:t>1 000 000</w:t>
            </w:r>
          </w:p>
        </w:tc>
      </w:tr>
    </w:tbl>
    <w:p w14:paraId="409A9612" w14:textId="77777777" w:rsidR="00606838" w:rsidRDefault="00606838"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73349B" w:rsidRPr="00890249" w:rsidDel="00BB20B9" w14:paraId="2F57B308" w14:textId="77777777" w:rsidTr="001D2ABD">
        <w:tc>
          <w:tcPr>
            <w:tcW w:w="9288" w:type="dxa"/>
            <w:gridSpan w:val="6"/>
            <w:shd w:val="clear" w:color="auto" w:fill="D9D9D9" w:themeFill="background1" w:themeFillShade="D9"/>
          </w:tcPr>
          <w:p w14:paraId="152B0B28" w14:textId="4823DE03" w:rsidR="0073349B" w:rsidRPr="00890249" w:rsidDel="00BB20B9" w:rsidRDefault="0073349B"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73349B" w:rsidRPr="00890249" w:rsidDel="00BB20B9" w14:paraId="0CB4DDB3" w14:textId="77777777" w:rsidTr="001D2ABD">
        <w:tc>
          <w:tcPr>
            <w:tcW w:w="1599" w:type="dxa"/>
            <w:shd w:val="clear" w:color="auto" w:fill="F2F2F2" w:themeFill="background1" w:themeFillShade="F2"/>
          </w:tcPr>
          <w:p w14:paraId="527C07E8"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7B482C7D"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1ADFB61E"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135A565F"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0BB03A34"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02B59F82"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73349B" w:rsidRPr="00890249" w:rsidDel="00BB20B9" w14:paraId="6C14E9A3" w14:textId="77777777" w:rsidTr="001D2ABD">
        <w:tc>
          <w:tcPr>
            <w:tcW w:w="1599" w:type="dxa"/>
            <w:vAlign w:val="center"/>
          </w:tcPr>
          <w:p w14:paraId="11A9DA99"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lastRenderedPageBreak/>
              <w:t>CP 4</w:t>
            </w:r>
          </w:p>
        </w:tc>
        <w:tc>
          <w:tcPr>
            <w:tcW w:w="1384" w:type="dxa"/>
            <w:vAlign w:val="center"/>
          </w:tcPr>
          <w:p w14:paraId="3C33DD64"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2CC10A4D"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04B4FA5A" w14:textId="27791A09" w:rsidR="0073349B" w:rsidRPr="00890249" w:rsidRDefault="0073349B" w:rsidP="001D2ABD">
            <w:pPr>
              <w:pStyle w:val="Akapitzlist"/>
              <w:ind w:left="341"/>
              <w:rPr>
                <w:rFonts w:asciiTheme="minorHAnsi" w:hAnsiTheme="minorHAnsi" w:cstheme="minorHAnsi"/>
                <w:noProof/>
                <w:sz w:val="20"/>
              </w:rPr>
            </w:pPr>
            <w:r>
              <w:rPr>
                <w:rFonts w:asciiTheme="minorHAnsi" w:hAnsiTheme="minorHAnsi" w:cstheme="minorHAnsi"/>
                <w:noProof/>
                <w:sz w:val="20"/>
              </w:rPr>
              <w:t>(h)</w:t>
            </w:r>
          </w:p>
        </w:tc>
        <w:tc>
          <w:tcPr>
            <w:tcW w:w="1053" w:type="dxa"/>
          </w:tcPr>
          <w:p w14:paraId="2DF50206" w14:textId="77777777" w:rsidR="0073349B" w:rsidRPr="00890249" w:rsidRDefault="0073349B" w:rsidP="001D2AB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2B5B63EB" w14:textId="00462E4E" w:rsidR="0073349B" w:rsidRPr="00890249" w:rsidRDefault="008C3FC0"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r>
            <w:r w:rsidR="003F4386">
              <w:rPr>
                <w:rFonts w:asciiTheme="minorHAnsi" w:hAnsiTheme="minorHAnsi" w:cstheme="minorHAnsi"/>
                <w:noProof/>
                <w:sz w:val="20"/>
              </w:rPr>
              <w:t>1 000 000</w:t>
            </w:r>
          </w:p>
        </w:tc>
      </w:tr>
    </w:tbl>
    <w:p w14:paraId="057C00CB" w14:textId="77777777" w:rsidR="00606838" w:rsidRDefault="00606838" w:rsidP="00BB20B9">
      <w:pPr>
        <w:rPr>
          <w:rFonts w:asciiTheme="minorHAnsi" w:eastAsiaTheme="minorHAnsi" w:hAnsiTheme="minorHAnsi" w:cstheme="minorHAnsi"/>
          <w:szCs w:val="24"/>
          <w:lang w:bidi="ar-SA"/>
        </w:rPr>
      </w:pPr>
    </w:p>
    <w:p w14:paraId="26BC7A0F" w14:textId="77777777" w:rsidR="00EF2E2A" w:rsidRDefault="00EF2E2A" w:rsidP="00BB20B9">
      <w:pPr>
        <w:rPr>
          <w:rFonts w:asciiTheme="minorHAnsi" w:eastAsiaTheme="minorHAnsi" w:hAnsiTheme="minorHAnsi" w:cstheme="minorHAnsi"/>
          <w:szCs w:val="24"/>
          <w:lang w:bidi="ar-SA"/>
        </w:rPr>
      </w:pPr>
    </w:p>
    <w:p w14:paraId="27A35E41" w14:textId="77777777" w:rsidR="00EF2E2A" w:rsidRDefault="00EF2E2A"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73349B" w:rsidRPr="00890249" w:rsidDel="00BB20B9" w14:paraId="5E219294" w14:textId="77777777" w:rsidTr="001D2ABD">
        <w:tc>
          <w:tcPr>
            <w:tcW w:w="9322" w:type="dxa"/>
            <w:gridSpan w:val="6"/>
            <w:shd w:val="clear" w:color="auto" w:fill="D9D9D9" w:themeFill="background1" w:themeFillShade="D9"/>
          </w:tcPr>
          <w:p w14:paraId="17E598BF" w14:textId="77777777" w:rsidR="0073349B" w:rsidRPr="00890249" w:rsidDel="00BB20B9" w:rsidRDefault="0073349B"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73349B" w:rsidRPr="00890249" w:rsidDel="00BB20B9" w14:paraId="7359579D" w14:textId="77777777" w:rsidTr="001D2ABD">
        <w:tc>
          <w:tcPr>
            <w:tcW w:w="1461" w:type="dxa"/>
            <w:shd w:val="clear" w:color="auto" w:fill="F2F2F2" w:themeFill="background1" w:themeFillShade="F2"/>
          </w:tcPr>
          <w:p w14:paraId="490124A3"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4BE75822"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052CDECE"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256C3F22"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44BEBAF7"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641777BC" w14:textId="77777777" w:rsidR="0073349B" w:rsidRPr="00890249" w:rsidDel="00BB20B9" w:rsidRDefault="0073349B"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73349B" w:rsidRPr="00890249" w:rsidDel="00BB20B9" w14:paraId="1279F552" w14:textId="77777777" w:rsidTr="001D2ABD">
        <w:tc>
          <w:tcPr>
            <w:tcW w:w="1461" w:type="dxa"/>
            <w:vMerge w:val="restart"/>
            <w:vAlign w:val="center"/>
          </w:tcPr>
          <w:p w14:paraId="45830697" w14:textId="77777777" w:rsidR="0073349B" w:rsidRPr="00890249" w:rsidRDefault="0073349B" w:rsidP="001D2ABD">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4EA09FB4" w14:textId="77777777" w:rsidR="0073349B" w:rsidRPr="00890249" w:rsidRDefault="0073349B"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031B95DC" w14:textId="77777777" w:rsidR="0073349B" w:rsidRPr="00890249" w:rsidRDefault="0073349B"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5450C7C0" w14:textId="29721C02" w:rsidR="0073349B" w:rsidRPr="009215F2" w:rsidRDefault="0073349B" w:rsidP="001D2ABD">
            <w:pPr>
              <w:ind w:left="360"/>
              <w:jc w:val="center"/>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w:t>
            </w:r>
            <w:r>
              <w:rPr>
                <w:rFonts w:asciiTheme="minorHAnsi" w:eastAsia="Times New Roman" w:hAnsiTheme="minorHAnsi" w:cstheme="minorHAnsi"/>
                <w:iCs/>
                <w:noProof/>
                <w:sz w:val="20"/>
              </w:rPr>
              <w:t>h</w:t>
            </w:r>
            <w:r w:rsidRPr="009215F2">
              <w:rPr>
                <w:rFonts w:asciiTheme="minorHAnsi" w:eastAsia="Times New Roman" w:hAnsiTheme="minorHAnsi" w:cstheme="minorHAnsi"/>
                <w:iCs/>
                <w:noProof/>
                <w:sz w:val="20"/>
              </w:rPr>
              <w:t>)</w:t>
            </w:r>
          </w:p>
        </w:tc>
        <w:tc>
          <w:tcPr>
            <w:tcW w:w="1651" w:type="dxa"/>
            <w:vAlign w:val="center"/>
          </w:tcPr>
          <w:p w14:paraId="3A0BFEBF" w14:textId="77777777" w:rsidR="0073349B" w:rsidRPr="0089024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7938C8BD" w14:textId="72D80356" w:rsidR="0073349B"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3F4386">
              <w:rPr>
                <w:rFonts w:asciiTheme="minorHAnsi" w:eastAsia="Times New Roman" w:hAnsiTheme="minorHAnsi" w:cstheme="minorHAnsi"/>
                <w:iCs/>
                <w:noProof/>
                <w:sz w:val="20"/>
              </w:rPr>
              <w:t>200 000</w:t>
            </w:r>
          </w:p>
        </w:tc>
      </w:tr>
      <w:tr w:rsidR="0073349B" w:rsidRPr="00890249" w:rsidDel="00BB20B9" w14:paraId="3DA2A688" w14:textId="77777777" w:rsidTr="001D2ABD">
        <w:tc>
          <w:tcPr>
            <w:tcW w:w="1461" w:type="dxa"/>
            <w:vMerge/>
            <w:vAlign w:val="center"/>
          </w:tcPr>
          <w:p w14:paraId="6BC50B9A" w14:textId="77777777" w:rsidR="0073349B" w:rsidRPr="00890249" w:rsidRDefault="0073349B" w:rsidP="001D2ABD">
            <w:pPr>
              <w:rPr>
                <w:rFonts w:asciiTheme="minorHAnsi" w:eastAsia="Times New Roman" w:hAnsiTheme="minorHAnsi" w:cstheme="minorHAnsi"/>
                <w:iCs/>
                <w:noProof/>
                <w:sz w:val="20"/>
              </w:rPr>
            </w:pPr>
          </w:p>
        </w:tc>
        <w:tc>
          <w:tcPr>
            <w:tcW w:w="1258" w:type="dxa"/>
            <w:vMerge/>
            <w:vAlign w:val="center"/>
          </w:tcPr>
          <w:p w14:paraId="015AF15C" w14:textId="77777777" w:rsidR="0073349B" w:rsidRPr="00890249" w:rsidRDefault="0073349B" w:rsidP="001D2ABD">
            <w:pPr>
              <w:rPr>
                <w:rFonts w:asciiTheme="minorHAnsi" w:hAnsiTheme="minorHAnsi" w:cstheme="minorHAnsi"/>
                <w:noProof/>
                <w:sz w:val="20"/>
              </w:rPr>
            </w:pPr>
          </w:p>
        </w:tc>
        <w:tc>
          <w:tcPr>
            <w:tcW w:w="1341" w:type="dxa"/>
            <w:vMerge/>
            <w:vAlign w:val="center"/>
          </w:tcPr>
          <w:p w14:paraId="18EA04CE" w14:textId="77777777" w:rsidR="0073349B" w:rsidRPr="00890249" w:rsidRDefault="0073349B" w:rsidP="001D2ABD">
            <w:pPr>
              <w:rPr>
                <w:rFonts w:asciiTheme="minorHAnsi" w:hAnsiTheme="minorHAnsi" w:cstheme="minorHAnsi"/>
                <w:noProof/>
                <w:sz w:val="20"/>
              </w:rPr>
            </w:pPr>
          </w:p>
        </w:tc>
        <w:tc>
          <w:tcPr>
            <w:tcW w:w="1542" w:type="dxa"/>
            <w:vMerge/>
            <w:vAlign w:val="center"/>
          </w:tcPr>
          <w:p w14:paraId="64C71705" w14:textId="77777777" w:rsidR="0073349B" w:rsidRPr="00890249" w:rsidRDefault="0073349B" w:rsidP="001D2ABD">
            <w:pPr>
              <w:rPr>
                <w:rFonts w:asciiTheme="minorHAnsi" w:eastAsia="Times New Roman" w:hAnsiTheme="minorHAnsi" w:cstheme="minorHAnsi"/>
                <w:b/>
                <w:iCs/>
                <w:noProof/>
                <w:sz w:val="20"/>
              </w:rPr>
            </w:pPr>
          </w:p>
        </w:tc>
        <w:tc>
          <w:tcPr>
            <w:tcW w:w="1651" w:type="dxa"/>
            <w:vAlign w:val="center"/>
          </w:tcPr>
          <w:p w14:paraId="44CB0B65" w14:textId="77777777" w:rsidR="0073349B" w:rsidRPr="00890249" w:rsidDel="00BB20B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3C810B7E" w14:textId="6A685AD1" w:rsidR="0073349B" w:rsidRPr="00890249" w:rsidDel="00BB20B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3F4386">
              <w:rPr>
                <w:rFonts w:asciiTheme="minorHAnsi" w:eastAsia="Times New Roman" w:hAnsiTheme="minorHAnsi" w:cstheme="minorHAnsi"/>
                <w:iCs/>
                <w:noProof/>
                <w:sz w:val="20"/>
              </w:rPr>
              <w:t>200 000</w:t>
            </w:r>
          </w:p>
        </w:tc>
      </w:tr>
      <w:tr w:rsidR="0073349B" w:rsidRPr="00890249" w:rsidDel="00BB20B9" w14:paraId="7EF6E7E4" w14:textId="77777777" w:rsidTr="001D2ABD">
        <w:tc>
          <w:tcPr>
            <w:tcW w:w="1461" w:type="dxa"/>
            <w:vMerge/>
            <w:vAlign w:val="center"/>
          </w:tcPr>
          <w:p w14:paraId="23DB8D5E" w14:textId="77777777" w:rsidR="0073349B" w:rsidRPr="00890249" w:rsidRDefault="0073349B" w:rsidP="001D2ABD">
            <w:pPr>
              <w:rPr>
                <w:rFonts w:asciiTheme="minorHAnsi" w:eastAsia="Times New Roman" w:hAnsiTheme="minorHAnsi" w:cstheme="minorHAnsi"/>
                <w:iCs/>
                <w:noProof/>
                <w:sz w:val="20"/>
              </w:rPr>
            </w:pPr>
          </w:p>
        </w:tc>
        <w:tc>
          <w:tcPr>
            <w:tcW w:w="1258" w:type="dxa"/>
            <w:vMerge/>
            <w:vAlign w:val="center"/>
          </w:tcPr>
          <w:p w14:paraId="38CB2072" w14:textId="77777777" w:rsidR="0073349B" w:rsidRPr="00890249" w:rsidRDefault="0073349B" w:rsidP="001D2ABD">
            <w:pPr>
              <w:rPr>
                <w:rFonts w:asciiTheme="minorHAnsi" w:hAnsiTheme="minorHAnsi" w:cstheme="minorHAnsi"/>
                <w:noProof/>
                <w:sz w:val="20"/>
              </w:rPr>
            </w:pPr>
          </w:p>
        </w:tc>
        <w:tc>
          <w:tcPr>
            <w:tcW w:w="1341" w:type="dxa"/>
            <w:vMerge/>
            <w:vAlign w:val="center"/>
          </w:tcPr>
          <w:p w14:paraId="63A89253" w14:textId="77777777" w:rsidR="0073349B" w:rsidRPr="00890249" w:rsidRDefault="0073349B" w:rsidP="001D2ABD">
            <w:pPr>
              <w:rPr>
                <w:rFonts w:asciiTheme="minorHAnsi" w:hAnsiTheme="minorHAnsi" w:cstheme="minorHAnsi"/>
                <w:noProof/>
                <w:sz w:val="20"/>
              </w:rPr>
            </w:pPr>
          </w:p>
        </w:tc>
        <w:tc>
          <w:tcPr>
            <w:tcW w:w="1542" w:type="dxa"/>
            <w:vMerge/>
            <w:vAlign w:val="center"/>
          </w:tcPr>
          <w:p w14:paraId="55025CFB" w14:textId="77777777" w:rsidR="0073349B" w:rsidRPr="00890249" w:rsidRDefault="0073349B" w:rsidP="001D2ABD">
            <w:pPr>
              <w:rPr>
                <w:rFonts w:asciiTheme="minorHAnsi" w:eastAsia="Times New Roman" w:hAnsiTheme="minorHAnsi" w:cstheme="minorHAnsi"/>
                <w:b/>
                <w:iCs/>
                <w:noProof/>
                <w:sz w:val="20"/>
              </w:rPr>
            </w:pPr>
          </w:p>
        </w:tc>
        <w:tc>
          <w:tcPr>
            <w:tcW w:w="1651" w:type="dxa"/>
            <w:vAlign w:val="center"/>
          </w:tcPr>
          <w:p w14:paraId="56B5F96D" w14:textId="77777777" w:rsidR="0073349B" w:rsidRPr="00890249" w:rsidDel="00BB20B9" w:rsidRDefault="0073349B"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1E2EA82F" w14:textId="0B2A258E" w:rsidR="0073349B" w:rsidRPr="00890249" w:rsidDel="00BB20B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3F4386">
              <w:rPr>
                <w:rFonts w:asciiTheme="minorHAnsi" w:eastAsia="Times New Roman" w:hAnsiTheme="minorHAnsi" w:cstheme="minorHAnsi"/>
                <w:iCs/>
                <w:noProof/>
                <w:sz w:val="20"/>
              </w:rPr>
              <w:t>400 000</w:t>
            </w:r>
          </w:p>
        </w:tc>
      </w:tr>
      <w:tr w:rsidR="0073349B" w:rsidRPr="00890249" w:rsidDel="00BB20B9" w14:paraId="0999D3AA" w14:textId="77777777" w:rsidTr="001D2ABD">
        <w:tc>
          <w:tcPr>
            <w:tcW w:w="1461" w:type="dxa"/>
            <w:vMerge/>
            <w:vAlign w:val="center"/>
          </w:tcPr>
          <w:p w14:paraId="612B0758" w14:textId="77777777" w:rsidR="0073349B" w:rsidRPr="00890249" w:rsidRDefault="0073349B" w:rsidP="001D2ABD">
            <w:pPr>
              <w:rPr>
                <w:rFonts w:asciiTheme="minorHAnsi" w:eastAsia="Times New Roman" w:hAnsiTheme="minorHAnsi" w:cstheme="minorHAnsi"/>
                <w:iCs/>
                <w:noProof/>
                <w:sz w:val="20"/>
              </w:rPr>
            </w:pPr>
          </w:p>
        </w:tc>
        <w:tc>
          <w:tcPr>
            <w:tcW w:w="1258" w:type="dxa"/>
            <w:vMerge/>
            <w:vAlign w:val="center"/>
          </w:tcPr>
          <w:p w14:paraId="4AC59C00" w14:textId="77777777" w:rsidR="0073349B" w:rsidRPr="00890249" w:rsidRDefault="0073349B" w:rsidP="001D2ABD">
            <w:pPr>
              <w:rPr>
                <w:rFonts w:asciiTheme="minorHAnsi" w:hAnsiTheme="minorHAnsi" w:cstheme="minorHAnsi"/>
                <w:noProof/>
                <w:sz w:val="20"/>
              </w:rPr>
            </w:pPr>
          </w:p>
        </w:tc>
        <w:tc>
          <w:tcPr>
            <w:tcW w:w="1341" w:type="dxa"/>
            <w:vMerge/>
            <w:vAlign w:val="center"/>
          </w:tcPr>
          <w:p w14:paraId="19FE8E75" w14:textId="77777777" w:rsidR="0073349B" w:rsidRPr="00890249" w:rsidRDefault="0073349B" w:rsidP="001D2ABD">
            <w:pPr>
              <w:rPr>
                <w:rFonts w:asciiTheme="minorHAnsi" w:hAnsiTheme="minorHAnsi" w:cstheme="minorHAnsi"/>
                <w:noProof/>
                <w:sz w:val="20"/>
              </w:rPr>
            </w:pPr>
          </w:p>
        </w:tc>
        <w:tc>
          <w:tcPr>
            <w:tcW w:w="1542" w:type="dxa"/>
            <w:vMerge/>
            <w:vAlign w:val="center"/>
          </w:tcPr>
          <w:p w14:paraId="55ABEBE7" w14:textId="77777777" w:rsidR="0073349B" w:rsidRPr="00890249" w:rsidRDefault="0073349B" w:rsidP="001D2ABD">
            <w:pPr>
              <w:rPr>
                <w:rFonts w:asciiTheme="minorHAnsi" w:eastAsia="Times New Roman" w:hAnsiTheme="minorHAnsi" w:cstheme="minorHAnsi"/>
                <w:b/>
                <w:iCs/>
                <w:noProof/>
                <w:sz w:val="20"/>
              </w:rPr>
            </w:pPr>
          </w:p>
        </w:tc>
        <w:tc>
          <w:tcPr>
            <w:tcW w:w="1651" w:type="dxa"/>
            <w:vAlign w:val="center"/>
          </w:tcPr>
          <w:p w14:paraId="3F85EF1C" w14:textId="77777777" w:rsidR="0073349B" w:rsidRPr="00890249" w:rsidDel="00BB20B9" w:rsidRDefault="0073349B" w:rsidP="001D2ABD">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1032D81F" w14:textId="2BDB2D5F" w:rsidR="0073349B"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 </w:t>
            </w:r>
            <w:r>
              <w:rPr>
                <w:rFonts w:asciiTheme="minorHAnsi" w:eastAsia="Times New Roman" w:hAnsiTheme="minorHAnsi" w:cstheme="minorHAnsi"/>
                <w:iCs/>
                <w:noProof/>
                <w:sz w:val="20"/>
              </w:rPr>
              <w:br/>
            </w:r>
            <w:r w:rsidR="003F4386">
              <w:rPr>
                <w:rFonts w:asciiTheme="minorHAnsi" w:eastAsia="Times New Roman" w:hAnsiTheme="minorHAnsi" w:cstheme="minorHAnsi"/>
                <w:iCs/>
                <w:noProof/>
                <w:sz w:val="20"/>
              </w:rPr>
              <w:t>200 000</w:t>
            </w:r>
          </w:p>
        </w:tc>
      </w:tr>
    </w:tbl>
    <w:p w14:paraId="14CF1951" w14:textId="77777777" w:rsidR="00EF2E2A" w:rsidRDefault="00EF2E2A" w:rsidP="00BB20B9">
      <w:pPr>
        <w:rPr>
          <w:rFonts w:asciiTheme="minorHAnsi" w:eastAsiaTheme="minorHAnsi" w:hAnsiTheme="minorHAnsi" w:cstheme="minorHAnsi"/>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251"/>
        <w:gridCol w:w="1337"/>
        <w:gridCol w:w="1535"/>
        <w:gridCol w:w="1757"/>
        <w:gridCol w:w="1989"/>
      </w:tblGrid>
      <w:tr w:rsidR="0073349B" w:rsidRPr="00890249" w:rsidDel="00BB20B9" w14:paraId="38880BC9" w14:textId="77777777" w:rsidTr="001D2ABD">
        <w:tc>
          <w:tcPr>
            <w:tcW w:w="9322" w:type="dxa"/>
            <w:gridSpan w:val="6"/>
            <w:shd w:val="clear" w:color="auto" w:fill="D9D9D9" w:themeFill="background1" w:themeFillShade="D9"/>
          </w:tcPr>
          <w:p w14:paraId="737DB4A5" w14:textId="77777777" w:rsidR="0073349B" w:rsidRPr="00890249" w:rsidDel="00BB20B9" w:rsidRDefault="0073349B"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73349B" w:rsidRPr="00890249" w:rsidDel="00BB20B9" w14:paraId="1E111398" w14:textId="77777777" w:rsidTr="001D2ABD">
        <w:tc>
          <w:tcPr>
            <w:tcW w:w="1566" w:type="dxa"/>
            <w:shd w:val="clear" w:color="auto" w:fill="F2F2F2" w:themeFill="background1" w:themeFillShade="F2"/>
            <w:vAlign w:val="center"/>
          </w:tcPr>
          <w:p w14:paraId="563902F2" w14:textId="77777777" w:rsidR="0073349B" w:rsidRPr="00F62734" w:rsidDel="00BB20B9" w:rsidRDefault="0073349B"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6432F174" w14:textId="77777777" w:rsidR="0073349B" w:rsidRPr="00F62734" w:rsidDel="00BB20B9" w:rsidRDefault="0073349B"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1165CC6E" w14:textId="77777777" w:rsidR="0073349B" w:rsidRPr="00AF0710" w:rsidDel="00BB20B9" w:rsidRDefault="0073349B" w:rsidP="00F62734">
            <w:pPr>
              <w:jc w:val="center"/>
              <w:rPr>
                <w:rFonts w:asciiTheme="minorHAnsi" w:hAnsiTheme="minorHAnsi" w:cstheme="minorHAnsi"/>
                <w:b/>
                <w:iCs/>
                <w:sz w:val="20"/>
              </w:rPr>
            </w:pPr>
            <w:r w:rsidRPr="00AF0710"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096050E9" w14:textId="77777777" w:rsidR="0073349B" w:rsidRPr="00AF0710" w:rsidDel="00BB20B9" w:rsidRDefault="0073349B" w:rsidP="00F62734">
            <w:pPr>
              <w:jc w:val="center"/>
              <w:rPr>
                <w:rFonts w:asciiTheme="minorHAnsi" w:hAnsiTheme="minorHAnsi" w:cstheme="minorHAnsi"/>
                <w:b/>
                <w:iCs/>
                <w:sz w:val="20"/>
              </w:rPr>
            </w:pPr>
            <w:r w:rsidRPr="00AF0710"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4F0CAFEB" w14:textId="77777777" w:rsidR="0073349B" w:rsidRPr="00AF0710" w:rsidDel="00BB20B9" w:rsidRDefault="0073349B" w:rsidP="00F62734">
            <w:pPr>
              <w:jc w:val="center"/>
              <w:rPr>
                <w:rFonts w:asciiTheme="minorHAnsi" w:hAnsiTheme="minorHAnsi" w:cstheme="minorHAnsi"/>
                <w:b/>
                <w:iCs/>
                <w:sz w:val="20"/>
              </w:rPr>
            </w:pPr>
            <w:r w:rsidRPr="00AF0710" w:rsidDel="00BB20B9">
              <w:rPr>
                <w:rFonts w:asciiTheme="minorHAnsi" w:hAnsiTheme="minorHAnsi" w:cstheme="minorHAnsi"/>
                <w:b/>
                <w:sz w:val="20"/>
              </w:rPr>
              <w:t>Kod</w:t>
            </w:r>
          </w:p>
        </w:tc>
        <w:tc>
          <w:tcPr>
            <w:tcW w:w="2349" w:type="dxa"/>
            <w:shd w:val="clear" w:color="auto" w:fill="F2F2F2" w:themeFill="background1" w:themeFillShade="F2"/>
            <w:vAlign w:val="center"/>
          </w:tcPr>
          <w:p w14:paraId="34C5A9D5" w14:textId="77777777" w:rsidR="0073349B" w:rsidRPr="00AF0710" w:rsidDel="00BB20B9" w:rsidRDefault="0073349B" w:rsidP="00F62734">
            <w:pPr>
              <w:jc w:val="center"/>
              <w:rPr>
                <w:rFonts w:asciiTheme="minorHAnsi" w:hAnsiTheme="minorHAnsi" w:cstheme="minorHAnsi"/>
                <w:b/>
                <w:iCs/>
                <w:sz w:val="20"/>
              </w:rPr>
            </w:pPr>
            <w:r w:rsidRPr="00AF0710" w:rsidDel="00BB20B9">
              <w:rPr>
                <w:rFonts w:asciiTheme="minorHAnsi" w:hAnsiTheme="minorHAnsi" w:cstheme="minorHAnsi"/>
                <w:b/>
                <w:sz w:val="20"/>
              </w:rPr>
              <w:t>Kwota (w EUR)</w:t>
            </w:r>
          </w:p>
        </w:tc>
      </w:tr>
      <w:tr w:rsidR="0073349B" w:rsidRPr="00890249" w:rsidDel="00BB20B9" w14:paraId="24E1ED39" w14:textId="77777777" w:rsidTr="001D2ABD">
        <w:tc>
          <w:tcPr>
            <w:tcW w:w="1566" w:type="dxa"/>
            <w:shd w:val="clear" w:color="auto" w:fill="auto"/>
            <w:vAlign w:val="center"/>
          </w:tcPr>
          <w:p w14:paraId="10295F13" w14:textId="77777777" w:rsidR="0073349B" w:rsidRPr="00890249" w:rsidRDefault="0073349B"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1E311FDD" w14:textId="77777777" w:rsidR="0073349B" w:rsidRPr="00890249" w:rsidRDefault="0073349B"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5DA03175" w14:textId="77777777" w:rsidR="0073349B" w:rsidRPr="00890249" w:rsidRDefault="0073349B"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65963CFA" w14:textId="32ADFA72" w:rsidR="0073349B" w:rsidRPr="00890249" w:rsidRDefault="0073349B" w:rsidP="001D2ABD">
            <w:pPr>
              <w:pStyle w:val="Akapitzlist"/>
              <w:ind w:left="398"/>
              <w:rPr>
                <w:rFonts w:asciiTheme="minorHAnsi" w:hAnsiTheme="minorHAnsi" w:cstheme="minorHAnsi"/>
                <w:iCs/>
                <w:sz w:val="20"/>
              </w:rPr>
            </w:pPr>
            <w:r>
              <w:rPr>
                <w:rFonts w:asciiTheme="minorHAnsi" w:hAnsiTheme="minorHAnsi" w:cstheme="minorHAnsi"/>
                <w:noProof/>
                <w:sz w:val="20"/>
              </w:rPr>
              <w:t>(h)</w:t>
            </w:r>
          </w:p>
        </w:tc>
        <w:tc>
          <w:tcPr>
            <w:tcW w:w="1022" w:type="dxa"/>
            <w:vAlign w:val="center"/>
          </w:tcPr>
          <w:p w14:paraId="4FAE3D1A" w14:textId="77777777" w:rsidR="0073349B" w:rsidRPr="00890249" w:rsidRDefault="0073349B" w:rsidP="001D2ABD">
            <w:pPr>
              <w:jc w:val="center"/>
              <w:rPr>
                <w:rFonts w:asciiTheme="minorHAnsi" w:hAnsiTheme="minorHAnsi" w:cstheme="minorHAnsi"/>
                <w:iCs/>
                <w:sz w:val="20"/>
              </w:rPr>
            </w:pPr>
            <w:r>
              <w:rPr>
                <w:rFonts w:asciiTheme="minorHAnsi" w:eastAsia="Times New Roman" w:hAnsiTheme="minorHAnsi" w:cstheme="minorHAnsi"/>
                <w:iCs/>
                <w:noProof/>
                <w:sz w:val="20"/>
              </w:rPr>
              <w:t>02 Projekty uwzględniające kwestię równouprawniania płci</w:t>
            </w:r>
          </w:p>
        </w:tc>
        <w:tc>
          <w:tcPr>
            <w:tcW w:w="2349" w:type="dxa"/>
            <w:vAlign w:val="center"/>
          </w:tcPr>
          <w:p w14:paraId="6A6AF911" w14:textId="56070880" w:rsidR="0073349B" w:rsidRPr="00890249" w:rsidRDefault="008C3FC0" w:rsidP="001D2ABD">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r>
            <w:r w:rsidR="003F4386">
              <w:rPr>
                <w:rFonts w:asciiTheme="minorHAnsi" w:eastAsia="Times New Roman" w:hAnsiTheme="minorHAnsi" w:cstheme="minorHAnsi"/>
                <w:iCs/>
                <w:noProof/>
                <w:sz w:val="20"/>
              </w:rPr>
              <w:t>1 000 000</w:t>
            </w:r>
          </w:p>
        </w:tc>
      </w:tr>
    </w:tbl>
    <w:p w14:paraId="380C5E08" w14:textId="77777777" w:rsidR="00606838" w:rsidRDefault="00606838" w:rsidP="00BB20B9">
      <w:pPr>
        <w:rPr>
          <w:rFonts w:asciiTheme="minorHAnsi" w:eastAsiaTheme="minorHAnsi" w:hAnsiTheme="minorHAnsi" w:cstheme="minorHAnsi"/>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E35E2F" w:rsidRPr="00890249" w:rsidDel="00BB20B9" w14:paraId="79364CB2" w14:textId="77777777" w:rsidTr="001D2ABD">
        <w:trPr>
          <w:tblHeader/>
        </w:trPr>
        <w:tc>
          <w:tcPr>
            <w:tcW w:w="9322" w:type="dxa"/>
            <w:gridSpan w:val="6"/>
            <w:shd w:val="clear" w:color="auto" w:fill="D9D9D9" w:themeFill="background1" w:themeFillShade="D9"/>
          </w:tcPr>
          <w:p w14:paraId="643C5283" w14:textId="77777777" w:rsidR="00E35E2F" w:rsidRPr="00890249" w:rsidDel="00BB20B9" w:rsidRDefault="00E35E2F"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lastRenderedPageBreak/>
              <w:t>Tabela 4: Wymiar 1 – zakres interwencji</w:t>
            </w:r>
          </w:p>
        </w:tc>
      </w:tr>
      <w:tr w:rsidR="00E35E2F" w:rsidRPr="00890249" w:rsidDel="00BB20B9" w14:paraId="192799E2" w14:textId="77777777" w:rsidTr="001D2ABD">
        <w:trPr>
          <w:tblHeader/>
        </w:trPr>
        <w:tc>
          <w:tcPr>
            <w:tcW w:w="1489" w:type="dxa"/>
            <w:shd w:val="clear" w:color="auto" w:fill="F2F2F2" w:themeFill="background1" w:themeFillShade="F2"/>
          </w:tcPr>
          <w:p w14:paraId="33293217"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4E7365B6"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3C11CA4A"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118A4430"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0066ADF9"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7E2CD656"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E35E2F" w:rsidRPr="00890249" w:rsidDel="00BB20B9" w14:paraId="52637E2E" w14:textId="77777777" w:rsidTr="001D2ABD">
        <w:trPr>
          <w:trHeight w:val="329"/>
        </w:trPr>
        <w:tc>
          <w:tcPr>
            <w:tcW w:w="1489" w:type="dxa"/>
            <w:vAlign w:val="center"/>
          </w:tcPr>
          <w:p w14:paraId="1F471F89" w14:textId="77777777" w:rsidR="00E35E2F" w:rsidRPr="00890249" w:rsidDel="00BB20B9" w:rsidRDefault="00E35E2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Align w:val="center"/>
          </w:tcPr>
          <w:p w14:paraId="06919999" w14:textId="77777777" w:rsidR="00E35E2F" w:rsidRPr="00890249" w:rsidDel="00BB20B9" w:rsidRDefault="00E35E2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Align w:val="center"/>
          </w:tcPr>
          <w:p w14:paraId="1ABE395B" w14:textId="77777777" w:rsidR="00E35E2F" w:rsidRPr="00890249" w:rsidDel="00BB20B9" w:rsidRDefault="00E35E2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Align w:val="center"/>
          </w:tcPr>
          <w:p w14:paraId="0EAB296F" w14:textId="05AE8683" w:rsidR="00E35E2F" w:rsidRPr="005A3E5B" w:rsidDel="00BB20B9" w:rsidRDefault="00E35E2F" w:rsidP="00E35E2F">
            <w:pPr>
              <w:jc w:val="center"/>
              <w:rPr>
                <w:rFonts w:asciiTheme="minorHAnsi" w:hAnsiTheme="minorHAnsi" w:cstheme="minorHAnsi"/>
                <w:noProof/>
                <w:sz w:val="20"/>
              </w:rPr>
            </w:pPr>
            <w:r>
              <w:rPr>
                <w:rFonts w:asciiTheme="minorHAnsi" w:hAnsiTheme="minorHAnsi" w:cstheme="minorHAnsi"/>
                <w:noProof/>
                <w:sz w:val="20"/>
              </w:rPr>
              <w:t>(i)</w:t>
            </w:r>
          </w:p>
        </w:tc>
        <w:tc>
          <w:tcPr>
            <w:tcW w:w="1958" w:type="dxa"/>
          </w:tcPr>
          <w:p w14:paraId="576144D7" w14:textId="261B460F" w:rsidR="00E35E2F" w:rsidRPr="00890249" w:rsidDel="00BB20B9" w:rsidRDefault="00E35E2F" w:rsidP="001D2ABD">
            <w:pPr>
              <w:jc w:val="center"/>
              <w:rPr>
                <w:rFonts w:asciiTheme="minorHAnsi" w:hAnsiTheme="minorHAnsi" w:cstheme="minorHAnsi"/>
                <w:noProof/>
                <w:sz w:val="20"/>
              </w:rPr>
            </w:pPr>
            <w:r w:rsidRPr="00890249">
              <w:rPr>
                <w:rFonts w:asciiTheme="minorHAnsi" w:hAnsiTheme="minorHAnsi" w:cstheme="minorHAnsi"/>
                <w:noProof/>
                <w:sz w:val="20"/>
              </w:rPr>
              <w:t>157 Działania na rzecz integracji społecznej obywateli państw trzecich</w:t>
            </w:r>
          </w:p>
        </w:tc>
        <w:tc>
          <w:tcPr>
            <w:tcW w:w="2153" w:type="dxa"/>
          </w:tcPr>
          <w:p w14:paraId="499ACAD1" w14:textId="6CE9994C" w:rsidR="00E35E2F" w:rsidRPr="00890249" w:rsidRDefault="008C3FC0"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2EBBB04C" w14:textId="77777777" w:rsidR="00606838" w:rsidRDefault="00606838" w:rsidP="00BB20B9">
      <w:pPr>
        <w:rPr>
          <w:rFonts w:asciiTheme="minorHAnsi" w:eastAsiaTheme="minorHAnsi" w:hAnsiTheme="minorHAnsi" w:cstheme="minorHAnsi"/>
          <w:szCs w:val="24"/>
          <w:lang w:bidi="ar-SA"/>
        </w:rPr>
      </w:pPr>
    </w:p>
    <w:p w14:paraId="41639E0F" w14:textId="77777777" w:rsidR="00EF2E2A" w:rsidRDefault="00EF2E2A" w:rsidP="00BB20B9">
      <w:pPr>
        <w:rPr>
          <w:rFonts w:asciiTheme="minorHAnsi" w:eastAsiaTheme="minorHAnsi" w:hAnsiTheme="minorHAnsi" w:cstheme="minorHAnsi"/>
          <w:szCs w:val="24"/>
          <w:lang w:bidi="ar-SA"/>
        </w:rPr>
      </w:pPr>
    </w:p>
    <w:p w14:paraId="25B37300" w14:textId="77777777" w:rsidR="00EF2E2A" w:rsidRDefault="00EF2E2A" w:rsidP="00BB20B9">
      <w:pPr>
        <w:rPr>
          <w:rFonts w:asciiTheme="minorHAnsi" w:eastAsiaTheme="minorHAnsi" w:hAnsiTheme="minorHAnsi" w:cstheme="minorHAnsi"/>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E35E2F" w:rsidRPr="00890249" w:rsidDel="00BB20B9" w14:paraId="229985F2" w14:textId="77777777" w:rsidTr="001D2ABD">
        <w:tc>
          <w:tcPr>
            <w:tcW w:w="9288" w:type="dxa"/>
            <w:gridSpan w:val="6"/>
            <w:shd w:val="clear" w:color="auto" w:fill="D9D9D9" w:themeFill="background1" w:themeFillShade="D9"/>
          </w:tcPr>
          <w:p w14:paraId="54FDAB17" w14:textId="77777777" w:rsidR="00E35E2F" w:rsidRPr="00890249" w:rsidDel="00BB20B9" w:rsidRDefault="00E35E2F"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E35E2F" w:rsidRPr="00890249" w:rsidDel="00BB20B9" w14:paraId="7CF0B90B" w14:textId="77777777" w:rsidTr="001D2ABD">
        <w:tc>
          <w:tcPr>
            <w:tcW w:w="1599" w:type="dxa"/>
            <w:shd w:val="clear" w:color="auto" w:fill="F2F2F2" w:themeFill="background1" w:themeFillShade="F2"/>
          </w:tcPr>
          <w:p w14:paraId="76B460AA"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00ED4C1A"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2A8D3C1E"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074806FF"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7141172C"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6922F3D2"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E35E2F" w:rsidRPr="00890249" w:rsidDel="00BB20B9" w14:paraId="0F62B7A8" w14:textId="77777777" w:rsidTr="001D2ABD">
        <w:tc>
          <w:tcPr>
            <w:tcW w:w="1599" w:type="dxa"/>
            <w:vAlign w:val="center"/>
          </w:tcPr>
          <w:p w14:paraId="39F7E191"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75955A34"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7DB2779F" w14:textId="77777777" w:rsidR="00E35E2F" w:rsidRPr="00890249" w:rsidRDefault="00E35E2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42A3FCFB" w14:textId="13DF5180" w:rsidR="00E35E2F" w:rsidRPr="00890249" w:rsidRDefault="00E35E2F" w:rsidP="00E35E2F">
            <w:pPr>
              <w:pStyle w:val="Akapitzlist"/>
              <w:ind w:left="263"/>
              <w:rPr>
                <w:rFonts w:asciiTheme="minorHAnsi" w:eastAsia="Times New Roman" w:hAnsiTheme="minorHAnsi" w:cstheme="minorHAnsi"/>
                <w:iCs/>
                <w:noProof/>
                <w:sz w:val="20"/>
              </w:rPr>
            </w:pPr>
            <w:r>
              <w:rPr>
                <w:rFonts w:asciiTheme="minorHAnsi" w:hAnsiTheme="minorHAnsi" w:cstheme="minorHAnsi"/>
                <w:noProof/>
                <w:sz w:val="20"/>
              </w:rPr>
              <w:t xml:space="preserve">(i) </w:t>
            </w:r>
          </w:p>
        </w:tc>
        <w:tc>
          <w:tcPr>
            <w:tcW w:w="1053" w:type="dxa"/>
          </w:tcPr>
          <w:p w14:paraId="282D0A84"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62F941EB" w14:textId="326B717C" w:rsidR="00E35E2F"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7A6709FA" w14:textId="77777777" w:rsidR="00E35E2F" w:rsidRDefault="00E35E2F" w:rsidP="00BB20B9">
      <w:pPr>
        <w:rPr>
          <w:rFonts w:asciiTheme="minorHAnsi" w:eastAsiaTheme="minorHAnsi" w:hAnsiTheme="minorHAnsi" w:cstheme="minorHAnsi"/>
          <w:color w:val="FF0000"/>
          <w:sz w:val="32"/>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E35E2F" w:rsidRPr="00890249" w:rsidDel="00BB20B9" w14:paraId="4D7AC0F8" w14:textId="77777777" w:rsidTr="001D2ABD">
        <w:tc>
          <w:tcPr>
            <w:tcW w:w="9288" w:type="dxa"/>
            <w:gridSpan w:val="6"/>
            <w:shd w:val="clear" w:color="auto" w:fill="D9D9D9" w:themeFill="background1" w:themeFillShade="D9"/>
          </w:tcPr>
          <w:p w14:paraId="168D802B" w14:textId="56FBAD8B" w:rsidR="00E35E2F" w:rsidRPr="00890249" w:rsidDel="00BB20B9" w:rsidRDefault="00E35E2F"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E35E2F" w:rsidRPr="00890249" w:rsidDel="00BB20B9" w14:paraId="34DA8E39" w14:textId="77777777" w:rsidTr="001D2ABD">
        <w:tc>
          <w:tcPr>
            <w:tcW w:w="1599" w:type="dxa"/>
            <w:shd w:val="clear" w:color="auto" w:fill="F2F2F2" w:themeFill="background1" w:themeFillShade="F2"/>
          </w:tcPr>
          <w:p w14:paraId="7949D1A4"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1FFC81D5"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350D8898"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633DFC3E"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5C02CC3C"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72620158"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E35E2F" w:rsidRPr="00890249" w:rsidDel="00BB20B9" w14:paraId="59616AF6" w14:textId="77777777" w:rsidTr="001D2ABD">
        <w:tc>
          <w:tcPr>
            <w:tcW w:w="1599" w:type="dxa"/>
            <w:vAlign w:val="center"/>
          </w:tcPr>
          <w:p w14:paraId="3F8EE0EC"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67578AC2"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24732A31"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71265AFC" w14:textId="1039C7D2" w:rsidR="00E35E2F" w:rsidRPr="00890249" w:rsidRDefault="00E35E2F" w:rsidP="001D2ABD">
            <w:pPr>
              <w:pStyle w:val="Akapitzlist"/>
              <w:ind w:left="341"/>
              <w:rPr>
                <w:rFonts w:asciiTheme="minorHAnsi" w:hAnsiTheme="minorHAnsi" w:cstheme="minorHAnsi"/>
                <w:noProof/>
                <w:sz w:val="20"/>
              </w:rPr>
            </w:pPr>
            <w:r>
              <w:rPr>
                <w:rFonts w:asciiTheme="minorHAnsi" w:hAnsiTheme="minorHAnsi" w:cstheme="minorHAnsi"/>
                <w:noProof/>
                <w:sz w:val="20"/>
              </w:rPr>
              <w:t>(i)</w:t>
            </w:r>
          </w:p>
        </w:tc>
        <w:tc>
          <w:tcPr>
            <w:tcW w:w="1053" w:type="dxa"/>
          </w:tcPr>
          <w:p w14:paraId="677D76CC" w14:textId="77777777" w:rsidR="00E35E2F" w:rsidRPr="00890249" w:rsidRDefault="00E35E2F" w:rsidP="001D2ABD">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534356AF" w14:textId="2352A1DB" w:rsidR="00E35E2F" w:rsidRPr="00890249" w:rsidRDefault="008C3FC0"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33FA3FB9" w14:textId="77777777" w:rsidR="00EF2E2A" w:rsidRDefault="00EF2E2A" w:rsidP="00BB20B9">
      <w:pPr>
        <w:rPr>
          <w:rFonts w:asciiTheme="minorHAnsi" w:eastAsiaTheme="minorHAnsi" w:hAnsiTheme="minorHAnsi" w:cstheme="minorHAnsi"/>
          <w:color w:val="FF0000"/>
          <w:sz w:val="32"/>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E35E2F" w:rsidRPr="00890249" w:rsidDel="00BB20B9" w14:paraId="62FBF2EC" w14:textId="77777777" w:rsidTr="001D2ABD">
        <w:tc>
          <w:tcPr>
            <w:tcW w:w="9322" w:type="dxa"/>
            <w:gridSpan w:val="6"/>
            <w:shd w:val="clear" w:color="auto" w:fill="D9D9D9" w:themeFill="background1" w:themeFillShade="D9"/>
          </w:tcPr>
          <w:p w14:paraId="75DE0F40" w14:textId="77777777" w:rsidR="00E35E2F" w:rsidRPr="00890249" w:rsidDel="00BB20B9" w:rsidRDefault="00E35E2F"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E35E2F" w:rsidRPr="00890249" w:rsidDel="00BB20B9" w14:paraId="7AFDCB6C" w14:textId="77777777" w:rsidTr="001D2ABD">
        <w:tc>
          <w:tcPr>
            <w:tcW w:w="1461" w:type="dxa"/>
            <w:shd w:val="clear" w:color="auto" w:fill="F2F2F2" w:themeFill="background1" w:themeFillShade="F2"/>
          </w:tcPr>
          <w:p w14:paraId="76A33E7E"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6FA16427"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1D8C1A17"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22D1A9D1"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606C7903"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3C6B49DF" w14:textId="77777777" w:rsidR="00E35E2F" w:rsidRPr="00890249" w:rsidDel="00BB20B9" w:rsidRDefault="00E35E2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E35E2F" w:rsidRPr="00890249" w:rsidDel="00BB20B9" w14:paraId="105C4BF4" w14:textId="77777777" w:rsidTr="001D2ABD">
        <w:tc>
          <w:tcPr>
            <w:tcW w:w="1461" w:type="dxa"/>
            <w:vMerge w:val="restart"/>
            <w:vAlign w:val="center"/>
          </w:tcPr>
          <w:p w14:paraId="7571DF26" w14:textId="77777777" w:rsidR="00E35E2F" w:rsidRPr="00890249" w:rsidRDefault="00E35E2F" w:rsidP="001D2ABD">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2C8AAAD1" w14:textId="77777777" w:rsidR="00E35E2F" w:rsidRPr="00890249" w:rsidRDefault="00E35E2F"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5EC7F10F" w14:textId="77777777" w:rsidR="00E35E2F" w:rsidRPr="00890249" w:rsidRDefault="00E35E2F" w:rsidP="001D2ABD">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3777C42F" w14:textId="4F6F4A47" w:rsidR="00E35E2F" w:rsidRPr="009215F2" w:rsidRDefault="00E35E2F" w:rsidP="001D2ABD">
            <w:pPr>
              <w:ind w:left="360"/>
              <w:jc w:val="center"/>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w:t>
            </w:r>
            <w:r>
              <w:rPr>
                <w:rFonts w:asciiTheme="minorHAnsi" w:eastAsia="Times New Roman" w:hAnsiTheme="minorHAnsi" w:cstheme="minorHAnsi"/>
                <w:iCs/>
                <w:noProof/>
                <w:sz w:val="20"/>
              </w:rPr>
              <w:t>i</w:t>
            </w:r>
            <w:r w:rsidRPr="009215F2">
              <w:rPr>
                <w:rFonts w:asciiTheme="minorHAnsi" w:eastAsia="Times New Roman" w:hAnsiTheme="minorHAnsi" w:cstheme="minorHAnsi"/>
                <w:iCs/>
                <w:noProof/>
                <w:sz w:val="20"/>
              </w:rPr>
              <w:t>)</w:t>
            </w:r>
          </w:p>
        </w:tc>
        <w:tc>
          <w:tcPr>
            <w:tcW w:w="1651" w:type="dxa"/>
            <w:vAlign w:val="center"/>
          </w:tcPr>
          <w:p w14:paraId="08AE22F5" w14:textId="77777777" w:rsidR="00E35E2F" w:rsidRPr="0089024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1B7FC95A" w14:textId="1B855D3E" w:rsidR="00E35E2F"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E35E2F" w:rsidRPr="00890249" w:rsidDel="00BB20B9" w14:paraId="58CCE088" w14:textId="77777777" w:rsidTr="001D2ABD">
        <w:tc>
          <w:tcPr>
            <w:tcW w:w="1461" w:type="dxa"/>
            <w:vMerge/>
            <w:vAlign w:val="center"/>
          </w:tcPr>
          <w:p w14:paraId="3FDA8357" w14:textId="77777777" w:rsidR="00E35E2F" w:rsidRPr="00890249" w:rsidRDefault="00E35E2F" w:rsidP="001D2ABD">
            <w:pPr>
              <w:rPr>
                <w:rFonts w:asciiTheme="minorHAnsi" w:eastAsia="Times New Roman" w:hAnsiTheme="minorHAnsi" w:cstheme="minorHAnsi"/>
                <w:iCs/>
                <w:noProof/>
                <w:sz w:val="20"/>
              </w:rPr>
            </w:pPr>
          </w:p>
        </w:tc>
        <w:tc>
          <w:tcPr>
            <w:tcW w:w="1258" w:type="dxa"/>
            <w:vMerge/>
            <w:vAlign w:val="center"/>
          </w:tcPr>
          <w:p w14:paraId="3CED872F" w14:textId="77777777" w:rsidR="00E35E2F" w:rsidRPr="00890249" w:rsidRDefault="00E35E2F" w:rsidP="001D2ABD">
            <w:pPr>
              <w:rPr>
                <w:rFonts w:asciiTheme="minorHAnsi" w:hAnsiTheme="minorHAnsi" w:cstheme="minorHAnsi"/>
                <w:noProof/>
                <w:sz w:val="20"/>
              </w:rPr>
            </w:pPr>
          </w:p>
        </w:tc>
        <w:tc>
          <w:tcPr>
            <w:tcW w:w="1341" w:type="dxa"/>
            <w:vMerge/>
            <w:vAlign w:val="center"/>
          </w:tcPr>
          <w:p w14:paraId="7F67E319" w14:textId="77777777" w:rsidR="00E35E2F" w:rsidRPr="00890249" w:rsidRDefault="00E35E2F" w:rsidP="001D2ABD">
            <w:pPr>
              <w:rPr>
                <w:rFonts w:asciiTheme="minorHAnsi" w:hAnsiTheme="minorHAnsi" w:cstheme="minorHAnsi"/>
                <w:noProof/>
                <w:sz w:val="20"/>
              </w:rPr>
            </w:pPr>
          </w:p>
        </w:tc>
        <w:tc>
          <w:tcPr>
            <w:tcW w:w="1542" w:type="dxa"/>
            <w:vMerge/>
            <w:vAlign w:val="center"/>
          </w:tcPr>
          <w:p w14:paraId="4F802BCB" w14:textId="77777777" w:rsidR="00E35E2F" w:rsidRPr="00890249" w:rsidRDefault="00E35E2F" w:rsidP="001D2ABD">
            <w:pPr>
              <w:rPr>
                <w:rFonts w:asciiTheme="minorHAnsi" w:eastAsia="Times New Roman" w:hAnsiTheme="minorHAnsi" w:cstheme="minorHAnsi"/>
                <w:b/>
                <w:iCs/>
                <w:noProof/>
                <w:sz w:val="20"/>
              </w:rPr>
            </w:pPr>
          </w:p>
        </w:tc>
        <w:tc>
          <w:tcPr>
            <w:tcW w:w="1651" w:type="dxa"/>
            <w:vAlign w:val="center"/>
          </w:tcPr>
          <w:p w14:paraId="031CF260" w14:textId="77777777" w:rsidR="00E35E2F" w:rsidRPr="00890249" w:rsidDel="00BB20B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088B085F" w14:textId="2A2B7C07" w:rsidR="00E35E2F" w:rsidRPr="00890249" w:rsidDel="00BB20B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E35E2F" w:rsidRPr="00890249" w:rsidDel="00BB20B9" w14:paraId="1C85C7FC" w14:textId="77777777" w:rsidTr="001D2ABD">
        <w:tc>
          <w:tcPr>
            <w:tcW w:w="1461" w:type="dxa"/>
            <w:vMerge/>
            <w:vAlign w:val="center"/>
          </w:tcPr>
          <w:p w14:paraId="46CE9ED5" w14:textId="77777777" w:rsidR="00E35E2F" w:rsidRPr="00890249" w:rsidRDefault="00E35E2F" w:rsidP="001D2ABD">
            <w:pPr>
              <w:rPr>
                <w:rFonts w:asciiTheme="minorHAnsi" w:eastAsia="Times New Roman" w:hAnsiTheme="minorHAnsi" w:cstheme="minorHAnsi"/>
                <w:iCs/>
                <w:noProof/>
                <w:sz w:val="20"/>
              </w:rPr>
            </w:pPr>
          </w:p>
        </w:tc>
        <w:tc>
          <w:tcPr>
            <w:tcW w:w="1258" w:type="dxa"/>
            <w:vMerge/>
            <w:vAlign w:val="center"/>
          </w:tcPr>
          <w:p w14:paraId="7FB02F56" w14:textId="77777777" w:rsidR="00E35E2F" w:rsidRPr="00890249" w:rsidRDefault="00E35E2F" w:rsidP="001D2ABD">
            <w:pPr>
              <w:rPr>
                <w:rFonts w:asciiTheme="minorHAnsi" w:hAnsiTheme="minorHAnsi" w:cstheme="minorHAnsi"/>
                <w:noProof/>
                <w:sz w:val="20"/>
              </w:rPr>
            </w:pPr>
          </w:p>
        </w:tc>
        <w:tc>
          <w:tcPr>
            <w:tcW w:w="1341" w:type="dxa"/>
            <w:vMerge/>
            <w:vAlign w:val="center"/>
          </w:tcPr>
          <w:p w14:paraId="2514EDE8" w14:textId="77777777" w:rsidR="00E35E2F" w:rsidRPr="00890249" w:rsidRDefault="00E35E2F" w:rsidP="001D2ABD">
            <w:pPr>
              <w:rPr>
                <w:rFonts w:asciiTheme="minorHAnsi" w:hAnsiTheme="minorHAnsi" w:cstheme="minorHAnsi"/>
                <w:noProof/>
                <w:sz w:val="20"/>
              </w:rPr>
            </w:pPr>
          </w:p>
        </w:tc>
        <w:tc>
          <w:tcPr>
            <w:tcW w:w="1542" w:type="dxa"/>
            <w:vMerge/>
            <w:vAlign w:val="center"/>
          </w:tcPr>
          <w:p w14:paraId="2EF793E8" w14:textId="77777777" w:rsidR="00E35E2F" w:rsidRPr="00890249" w:rsidRDefault="00E35E2F" w:rsidP="001D2ABD">
            <w:pPr>
              <w:rPr>
                <w:rFonts w:asciiTheme="minorHAnsi" w:eastAsia="Times New Roman" w:hAnsiTheme="minorHAnsi" w:cstheme="minorHAnsi"/>
                <w:b/>
                <w:iCs/>
                <w:noProof/>
                <w:sz w:val="20"/>
              </w:rPr>
            </w:pPr>
          </w:p>
        </w:tc>
        <w:tc>
          <w:tcPr>
            <w:tcW w:w="1651" w:type="dxa"/>
            <w:vAlign w:val="center"/>
          </w:tcPr>
          <w:p w14:paraId="6AF1EEB7" w14:textId="77777777" w:rsidR="00E35E2F" w:rsidRPr="00890249" w:rsidDel="00BB20B9" w:rsidRDefault="00E35E2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5E5FCE9A" w14:textId="36D4AF9D" w:rsidR="00E35E2F" w:rsidRPr="00890249" w:rsidDel="00BB20B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E35E2F" w:rsidRPr="00890249" w:rsidDel="00BB20B9" w14:paraId="794217A9" w14:textId="77777777" w:rsidTr="001D2ABD">
        <w:tc>
          <w:tcPr>
            <w:tcW w:w="1461" w:type="dxa"/>
            <w:vMerge/>
            <w:vAlign w:val="center"/>
          </w:tcPr>
          <w:p w14:paraId="5355C073" w14:textId="77777777" w:rsidR="00E35E2F" w:rsidRPr="00890249" w:rsidRDefault="00E35E2F" w:rsidP="001D2ABD">
            <w:pPr>
              <w:rPr>
                <w:rFonts w:asciiTheme="minorHAnsi" w:eastAsia="Times New Roman" w:hAnsiTheme="minorHAnsi" w:cstheme="minorHAnsi"/>
                <w:iCs/>
                <w:noProof/>
                <w:sz w:val="20"/>
              </w:rPr>
            </w:pPr>
          </w:p>
        </w:tc>
        <w:tc>
          <w:tcPr>
            <w:tcW w:w="1258" w:type="dxa"/>
            <w:vMerge/>
            <w:vAlign w:val="center"/>
          </w:tcPr>
          <w:p w14:paraId="1BC4D492" w14:textId="77777777" w:rsidR="00E35E2F" w:rsidRPr="00890249" w:rsidRDefault="00E35E2F" w:rsidP="001D2ABD">
            <w:pPr>
              <w:rPr>
                <w:rFonts w:asciiTheme="minorHAnsi" w:hAnsiTheme="minorHAnsi" w:cstheme="minorHAnsi"/>
                <w:noProof/>
                <w:sz w:val="20"/>
              </w:rPr>
            </w:pPr>
          </w:p>
        </w:tc>
        <w:tc>
          <w:tcPr>
            <w:tcW w:w="1341" w:type="dxa"/>
            <w:vMerge/>
            <w:vAlign w:val="center"/>
          </w:tcPr>
          <w:p w14:paraId="691BA1E1" w14:textId="77777777" w:rsidR="00E35E2F" w:rsidRPr="00890249" w:rsidRDefault="00E35E2F" w:rsidP="001D2ABD">
            <w:pPr>
              <w:rPr>
                <w:rFonts w:asciiTheme="minorHAnsi" w:hAnsiTheme="minorHAnsi" w:cstheme="minorHAnsi"/>
                <w:noProof/>
                <w:sz w:val="20"/>
              </w:rPr>
            </w:pPr>
          </w:p>
        </w:tc>
        <w:tc>
          <w:tcPr>
            <w:tcW w:w="1542" w:type="dxa"/>
            <w:vMerge/>
            <w:vAlign w:val="center"/>
          </w:tcPr>
          <w:p w14:paraId="641E2175" w14:textId="77777777" w:rsidR="00E35E2F" w:rsidRPr="00890249" w:rsidRDefault="00E35E2F" w:rsidP="001D2ABD">
            <w:pPr>
              <w:rPr>
                <w:rFonts w:asciiTheme="minorHAnsi" w:eastAsia="Times New Roman" w:hAnsiTheme="minorHAnsi" w:cstheme="minorHAnsi"/>
                <w:b/>
                <w:iCs/>
                <w:noProof/>
                <w:sz w:val="20"/>
              </w:rPr>
            </w:pPr>
          </w:p>
        </w:tc>
        <w:tc>
          <w:tcPr>
            <w:tcW w:w="1651" w:type="dxa"/>
            <w:vAlign w:val="center"/>
          </w:tcPr>
          <w:p w14:paraId="72F674D8" w14:textId="77777777" w:rsidR="00E35E2F" w:rsidRPr="00890249" w:rsidDel="00BB20B9" w:rsidRDefault="00E35E2F" w:rsidP="001D2ABD">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73ED7F85" w14:textId="01D57E8A" w:rsidR="00E35E2F"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5C926F9E" w14:textId="77777777" w:rsidR="00E35E2F" w:rsidRDefault="00E35E2F" w:rsidP="00BB20B9">
      <w:pPr>
        <w:rPr>
          <w:rFonts w:asciiTheme="minorHAnsi" w:eastAsiaTheme="minorHAnsi" w:hAnsiTheme="minorHAnsi" w:cstheme="minorHAnsi"/>
          <w:color w:val="FF0000"/>
          <w:sz w:val="32"/>
          <w:szCs w:val="24"/>
          <w:lang w:bidi="ar-SA"/>
        </w:rPr>
      </w:pPr>
    </w:p>
    <w:p w14:paraId="25015150" w14:textId="77777777" w:rsidR="00E35E2F" w:rsidRDefault="00E35E2F" w:rsidP="00BB20B9">
      <w:pPr>
        <w:rPr>
          <w:rFonts w:asciiTheme="minorHAnsi" w:eastAsiaTheme="minorHAnsi" w:hAnsiTheme="minorHAnsi" w:cstheme="minorHAnsi"/>
          <w:color w:val="FF0000"/>
          <w:sz w:val="32"/>
          <w:szCs w:val="24"/>
          <w:lang w:bidi="ar-SA"/>
        </w:rPr>
      </w:pPr>
    </w:p>
    <w:p w14:paraId="3E993BF6" w14:textId="77777777" w:rsidR="00E35E2F" w:rsidRDefault="00E35E2F" w:rsidP="00BB20B9">
      <w:pPr>
        <w:rPr>
          <w:rFonts w:asciiTheme="minorHAnsi" w:eastAsiaTheme="minorHAnsi" w:hAnsiTheme="minorHAnsi" w:cstheme="minorHAnsi"/>
          <w:color w:val="FF0000"/>
          <w:sz w:val="32"/>
          <w:szCs w:val="24"/>
          <w:lang w:bidi="ar-SA"/>
        </w:rPr>
      </w:pPr>
    </w:p>
    <w:p w14:paraId="179E144D" w14:textId="77777777" w:rsidR="00E35E2F" w:rsidRDefault="00E35E2F" w:rsidP="00BB20B9">
      <w:pPr>
        <w:rPr>
          <w:rFonts w:asciiTheme="minorHAnsi" w:eastAsiaTheme="minorHAnsi" w:hAnsiTheme="minorHAnsi" w:cstheme="minorHAnsi"/>
          <w:color w:val="FF0000"/>
          <w:sz w:val="32"/>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251"/>
        <w:gridCol w:w="1337"/>
        <w:gridCol w:w="1535"/>
        <w:gridCol w:w="1757"/>
        <w:gridCol w:w="1989"/>
      </w:tblGrid>
      <w:tr w:rsidR="00E35E2F" w:rsidRPr="00890249" w:rsidDel="00BB20B9" w14:paraId="54E3D100" w14:textId="77777777" w:rsidTr="001D2ABD">
        <w:tc>
          <w:tcPr>
            <w:tcW w:w="9322" w:type="dxa"/>
            <w:gridSpan w:val="6"/>
            <w:shd w:val="clear" w:color="auto" w:fill="D9D9D9" w:themeFill="background1" w:themeFillShade="D9"/>
          </w:tcPr>
          <w:p w14:paraId="715494F8" w14:textId="77777777" w:rsidR="00E35E2F" w:rsidRPr="00890249" w:rsidDel="00BB20B9" w:rsidRDefault="00E35E2F"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E35E2F" w:rsidRPr="00890249" w:rsidDel="00BB20B9" w14:paraId="543B10B5" w14:textId="77777777" w:rsidTr="001D2ABD">
        <w:tc>
          <w:tcPr>
            <w:tcW w:w="1566" w:type="dxa"/>
            <w:shd w:val="clear" w:color="auto" w:fill="F2F2F2" w:themeFill="background1" w:themeFillShade="F2"/>
            <w:vAlign w:val="center"/>
          </w:tcPr>
          <w:p w14:paraId="42D5BDD9" w14:textId="77777777" w:rsidR="00E35E2F" w:rsidRPr="00F62734" w:rsidDel="00BB20B9" w:rsidRDefault="00E35E2F"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1CE1074D" w14:textId="77777777" w:rsidR="00E35E2F" w:rsidRPr="00F62734" w:rsidDel="00BB20B9" w:rsidRDefault="00E35E2F"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7FE1C3CD" w14:textId="77777777" w:rsidR="00E35E2F" w:rsidRPr="00AF0710" w:rsidDel="00BB20B9" w:rsidRDefault="00E35E2F" w:rsidP="00F62734">
            <w:pPr>
              <w:jc w:val="center"/>
              <w:rPr>
                <w:rFonts w:asciiTheme="minorHAnsi" w:hAnsiTheme="minorHAnsi" w:cstheme="minorHAnsi"/>
                <w:b/>
                <w:iCs/>
                <w:sz w:val="20"/>
              </w:rPr>
            </w:pPr>
            <w:r w:rsidRPr="00AF0710"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13217D78" w14:textId="77777777" w:rsidR="00E35E2F" w:rsidRPr="00AF0710" w:rsidDel="00BB20B9" w:rsidRDefault="00E35E2F" w:rsidP="00F62734">
            <w:pPr>
              <w:jc w:val="center"/>
              <w:rPr>
                <w:rFonts w:asciiTheme="minorHAnsi" w:hAnsiTheme="minorHAnsi" w:cstheme="minorHAnsi"/>
                <w:b/>
                <w:iCs/>
                <w:sz w:val="20"/>
              </w:rPr>
            </w:pPr>
            <w:r w:rsidRPr="00AF0710"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06D730F3" w14:textId="77777777" w:rsidR="00E35E2F" w:rsidRPr="00AF0710" w:rsidDel="00BB20B9" w:rsidRDefault="00E35E2F" w:rsidP="00F62734">
            <w:pPr>
              <w:jc w:val="center"/>
              <w:rPr>
                <w:rFonts w:asciiTheme="minorHAnsi" w:hAnsiTheme="minorHAnsi" w:cstheme="minorHAnsi"/>
                <w:b/>
                <w:iCs/>
                <w:sz w:val="20"/>
              </w:rPr>
            </w:pPr>
            <w:r w:rsidRPr="00AF0710" w:rsidDel="00BB20B9">
              <w:rPr>
                <w:rFonts w:asciiTheme="minorHAnsi" w:hAnsiTheme="minorHAnsi" w:cstheme="minorHAnsi"/>
                <w:b/>
                <w:sz w:val="20"/>
              </w:rPr>
              <w:t>Kod</w:t>
            </w:r>
          </w:p>
        </w:tc>
        <w:tc>
          <w:tcPr>
            <w:tcW w:w="2349" w:type="dxa"/>
            <w:shd w:val="clear" w:color="auto" w:fill="F2F2F2" w:themeFill="background1" w:themeFillShade="F2"/>
            <w:vAlign w:val="center"/>
          </w:tcPr>
          <w:p w14:paraId="087D9147" w14:textId="77777777" w:rsidR="00E35E2F" w:rsidRPr="00AF0710" w:rsidDel="00BB20B9" w:rsidRDefault="00E35E2F" w:rsidP="00F62734">
            <w:pPr>
              <w:jc w:val="center"/>
              <w:rPr>
                <w:rFonts w:asciiTheme="minorHAnsi" w:hAnsiTheme="minorHAnsi" w:cstheme="minorHAnsi"/>
                <w:b/>
                <w:iCs/>
                <w:sz w:val="20"/>
              </w:rPr>
            </w:pPr>
            <w:r w:rsidRPr="00AF0710" w:rsidDel="00BB20B9">
              <w:rPr>
                <w:rFonts w:asciiTheme="minorHAnsi" w:hAnsiTheme="minorHAnsi" w:cstheme="minorHAnsi"/>
                <w:b/>
                <w:sz w:val="20"/>
              </w:rPr>
              <w:t>Kwota (w EUR)</w:t>
            </w:r>
          </w:p>
        </w:tc>
      </w:tr>
      <w:tr w:rsidR="00E35E2F" w:rsidRPr="00890249" w:rsidDel="00BB20B9" w14:paraId="37F09E9A" w14:textId="77777777" w:rsidTr="001D2ABD">
        <w:tc>
          <w:tcPr>
            <w:tcW w:w="1566" w:type="dxa"/>
            <w:shd w:val="clear" w:color="auto" w:fill="auto"/>
            <w:vAlign w:val="center"/>
          </w:tcPr>
          <w:p w14:paraId="78FCC744" w14:textId="77777777" w:rsidR="00E35E2F" w:rsidRPr="00890249" w:rsidRDefault="00E35E2F"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147581E7" w14:textId="77777777" w:rsidR="00E35E2F" w:rsidRPr="00890249" w:rsidRDefault="00E35E2F"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7B053AAE" w14:textId="77777777" w:rsidR="00E35E2F" w:rsidRPr="00890249" w:rsidRDefault="00E35E2F"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12A91528" w14:textId="3A03D19F" w:rsidR="00E35E2F" w:rsidRPr="00890249" w:rsidRDefault="00E35E2F" w:rsidP="001D2ABD">
            <w:pPr>
              <w:pStyle w:val="Akapitzlist"/>
              <w:ind w:left="398"/>
              <w:rPr>
                <w:rFonts w:asciiTheme="minorHAnsi" w:hAnsiTheme="minorHAnsi" w:cstheme="minorHAnsi"/>
                <w:iCs/>
                <w:sz w:val="20"/>
              </w:rPr>
            </w:pPr>
            <w:r>
              <w:rPr>
                <w:rFonts w:asciiTheme="minorHAnsi" w:hAnsiTheme="minorHAnsi" w:cstheme="minorHAnsi"/>
                <w:noProof/>
                <w:sz w:val="20"/>
              </w:rPr>
              <w:t>(i)</w:t>
            </w:r>
          </w:p>
        </w:tc>
        <w:tc>
          <w:tcPr>
            <w:tcW w:w="1022" w:type="dxa"/>
            <w:vAlign w:val="center"/>
          </w:tcPr>
          <w:p w14:paraId="7B9D6164" w14:textId="77777777" w:rsidR="00E35E2F" w:rsidRPr="00890249" w:rsidRDefault="00E35E2F" w:rsidP="001D2ABD">
            <w:pPr>
              <w:jc w:val="center"/>
              <w:rPr>
                <w:rFonts w:asciiTheme="minorHAnsi" w:hAnsiTheme="minorHAnsi" w:cstheme="minorHAnsi"/>
                <w:iCs/>
                <w:sz w:val="20"/>
              </w:rPr>
            </w:pPr>
            <w:r>
              <w:rPr>
                <w:rFonts w:asciiTheme="minorHAnsi" w:eastAsia="Times New Roman" w:hAnsiTheme="minorHAnsi" w:cstheme="minorHAnsi"/>
                <w:iCs/>
                <w:noProof/>
                <w:sz w:val="20"/>
              </w:rPr>
              <w:t>02 Projekty uwzględniające kwestię równouprawniania płci</w:t>
            </w:r>
          </w:p>
        </w:tc>
        <w:tc>
          <w:tcPr>
            <w:tcW w:w="2349" w:type="dxa"/>
            <w:vAlign w:val="center"/>
          </w:tcPr>
          <w:p w14:paraId="5FAE2C91" w14:textId="7DC5E105" w:rsidR="008C3FC0" w:rsidRPr="00F62734" w:rsidRDefault="008C3FC0" w:rsidP="008C3FC0">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5959BA18" w14:textId="77777777" w:rsidR="00EF2E2A" w:rsidRDefault="00EF2E2A" w:rsidP="00BB20B9">
      <w:pPr>
        <w:rPr>
          <w:rFonts w:asciiTheme="minorHAnsi" w:eastAsiaTheme="minorHAnsi" w:hAnsiTheme="minorHAnsi" w:cstheme="minorHAnsi"/>
          <w:color w:val="FF0000"/>
          <w:sz w:val="32"/>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912D6F" w:rsidRPr="00890249" w:rsidDel="00BB20B9" w14:paraId="1880094B" w14:textId="77777777" w:rsidTr="001D2ABD">
        <w:trPr>
          <w:tblHeader/>
        </w:trPr>
        <w:tc>
          <w:tcPr>
            <w:tcW w:w="9322" w:type="dxa"/>
            <w:gridSpan w:val="6"/>
            <w:shd w:val="clear" w:color="auto" w:fill="D9D9D9" w:themeFill="background1" w:themeFillShade="D9"/>
          </w:tcPr>
          <w:p w14:paraId="4C2DEA3D" w14:textId="77777777" w:rsidR="00912D6F" w:rsidRPr="00890249" w:rsidDel="00BB20B9" w:rsidRDefault="00912D6F"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4: Wymiar 1 – zakres interwencji</w:t>
            </w:r>
          </w:p>
        </w:tc>
      </w:tr>
      <w:tr w:rsidR="00912D6F" w:rsidRPr="00890249" w:rsidDel="00BB20B9" w14:paraId="2FD86E53" w14:textId="77777777" w:rsidTr="001D2ABD">
        <w:trPr>
          <w:tblHeader/>
        </w:trPr>
        <w:tc>
          <w:tcPr>
            <w:tcW w:w="1489" w:type="dxa"/>
            <w:shd w:val="clear" w:color="auto" w:fill="F2F2F2" w:themeFill="background1" w:themeFillShade="F2"/>
          </w:tcPr>
          <w:p w14:paraId="02F141A4"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7C6FD750"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69A414BE"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56BCB788"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20D9B593"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5B1781B9"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912D6F" w:rsidRPr="00890249" w:rsidDel="00BB20B9" w14:paraId="44DC8929" w14:textId="77777777" w:rsidTr="001D2ABD">
        <w:trPr>
          <w:trHeight w:val="329"/>
        </w:trPr>
        <w:tc>
          <w:tcPr>
            <w:tcW w:w="1489" w:type="dxa"/>
            <w:vAlign w:val="center"/>
          </w:tcPr>
          <w:p w14:paraId="1D0D3102" w14:textId="77777777" w:rsidR="00912D6F" w:rsidRPr="00890249" w:rsidDel="00BB20B9" w:rsidRDefault="00912D6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Align w:val="center"/>
          </w:tcPr>
          <w:p w14:paraId="1E1DDED0" w14:textId="77777777" w:rsidR="00912D6F" w:rsidRPr="00890249" w:rsidDel="00BB20B9" w:rsidRDefault="00912D6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Align w:val="center"/>
          </w:tcPr>
          <w:p w14:paraId="7AF9972B" w14:textId="77777777" w:rsidR="00912D6F" w:rsidRPr="00890249" w:rsidDel="00BB20B9" w:rsidRDefault="00912D6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Align w:val="center"/>
          </w:tcPr>
          <w:p w14:paraId="54294302" w14:textId="5A18CB99" w:rsidR="00912D6F" w:rsidRPr="005A3E5B" w:rsidDel="00BB20B9" w:rsidRDefault="00912D6F" w:rsidP="00912D6F">
            <w:pPr>
              <w:jc w:val="center"/>
              <w:rPr>
                <w:rFonts w:asciiTheme="minorHAnsi" w:hAnsiTheme="minorHAnsi" w:cstheme="minorHAnsi"/>
                <w:noProof/>
                <w:sz w:val="20"/>
              </w:rPr>
            </w:pPr>
            <w:r>
              <w:rPr>
                <w:rFonts w:asciiTheme="minorHAnsi" w:hAnsiTheme="minorHAnsi" w:cstheme="minorHAnsi"/>
                <w:noProof/>
                <w:sz w:val="20"/>
              </w:rPr>
              <w:t>(k)</w:t>
            </w:r>
          </w:p>
        </w:tc>
        <w:tc>
          <w:tcPr>
            <w:tcW w:w="1958" w:type="dxa"/>
          </w:tcPr>
          <w:p w14:paraId="4DFC7D44" w14:textId="58BD7D6C" w:rsidR="00912D6F" w:rsidRPr="00890249" w:rsidDel="00BB20B9" w:rsidRDefault="00912D6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158</w:t>
            </w:r>
            <w:r w:rsidRPr="00890249">
              <w:rPr>
                <w:rFonts w:asciiTheme="minorHAnsi" w:hAnsiTheme="minorHAnsi" w:cstheme="minorHAnsi"/>
                <w:noProof/>
                <w:sz w:val="20"/>
              </w:rPr>
              <w:t xml:space="preserve"> Działania w celu zwiększenia równego i szybkiego dostępu do dobrej jakości trwałych i przystępnych cenowo usług</w:t>
            </w:r>
          </w:p>
        </w:tc>
        <w:tc>
          <w:tcPr>
            <w:tcW w:w="2153" w:type="dxa"/>
          </w:tcPr>
          <w:p w14:paraId="6A5E75DD" w14:textId="3062F66D" w:rsidR="00912D6F" w:rsidRPr="00890249" w:rsidRDefault="008C3FC0"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33DF724B" w14:textId="77777777" w:rsidR="00912D6F" w:rsidRDefault="00912D6F" w:rsidP="00BB20B9">
      <w:pPr>
        <w:rPr>
          <w:rFonts w:asciiTheme="minorHAnsi" w:eastAsiaTheme="minorHAnsi" w:hAnsiTheme="minorHAnsi" w:cstheme="minorHAnsi"/>
          <w:color w:val="FF0000"/>
          <w:sz w:val="32"/>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912D6F" w:rsidRPr="00890249" w:rsidDel="00BB20B9" w14:paraId="21E5834D" w14:textId="77777777" w:rsidTr="001D2ABD">
        <w:tc>
          <w:tcPr>
            <w:tcW w:w="9288" w:type="dxa"/>
            <w:gridSpan w:val="6"/>
            <w:shd w:val="clear" w:color="auto" w:fill="D9D9D9" w:themeFill="background1" w:themeFillShade="D9"/>
          </w:tcPr>
          <w:p w14:paraId="4AB87822" w14:textId="77777777" w:rsidR="00912D6F" w:rsidRPr="00890249" w:rsidDel="00BB20B9" w:rsidRDefault="00912D6F"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912D6F" w:rsidRPr="00890249" w:rsidDel="00BB20B9" w14:paraId="75E854DE" w14:textId="77777777" w:rsidTr="001D2ABD">
        <w:tc>
          <w:tcPr>
            <w:tcW w:w="1599" w:type="dxa"/>
            <w:shd w:val="clear" w:color="auto" w:fill="F2F2F2" w:themeFill="background1" w:themeFillShade="F2"/>
          </w:tcPr>
          <w:p w14:paraId="7CEAD75E"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58552C68"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569563FA"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3C2951A0"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182D3EDE"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1AD19907" w14:textId="77777777" w:rsidR="00912D6F" w:rsidRPr="00890249" w:rsidDel="00BB20B9" w:rsidRDefault="00912D6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912D6F" w:rsidRPr="00890249" w:rsidDel="00BB20B9" w14:paraId="54CCE2FD" w14:textId="77777777" w:rsidTr="001D2ABD">
        <w:tc>
          <w:tcPr>
            <w:tcW w:w="1599" w:type="dxa"/>
            <w:vAlign w:val="center"/>
          </w:tcPr>
          <w:p w14:paraId="6D0CB2BF" w14:textId="77777777" w:rsidR="00912D6F" w:rsidRPr="00890249" w:rsidRDefault="00912D6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1B322B05" w14:textId="77777777" w:rsidR="00912D6F" w:rsidRPr="00890249" w:rsidRDefault="00912D6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6EA92C5D" w14:textId="77777777" w:rsidR="00912D6F" w:rsidRPr="00890249" w:rsidRDefault="00912D6F"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6B17EBE9" w14:textId="7EECF642" w:rsidR="00912D6F" w:rsidRPr="00890249" w:rsidRDefault="00912D6F" w:rsidP="001D2ABD">
            <w:pPr>
              <w:pStyle w:val="Akapitzlist"/>
              <w:ind w:left="263"/>
              <w:rPr>
                <w:rFonts w:asciiTheme="minorHAnsi" w:eastAsia="Times New Roman" w:hAnsiTheme="minorHAnsi" w:cstheme="minorHAnsi"/>
                <w:iCs/>
                <w:noProof/>
                <w:sz w:val="20"/>
              </w:rPr>
            </w:pPr>
            <w:r>
              <w:rPr>
                <w:rFonts w:asciiTheme="minorHAnsi" w:hAnsiTheme="minorHAnsi" w:cstheme="minorHAnsi"/>
                <w:noProof/>
                <w:sz w:val="20"/>
              </w:rPr>
              <w:t xml:space="preserve">(k) </w:t>
            </w:r>
          </w:p>
        </w:tc>
        <w:tc>
          <w:tcPr>
            <w:tcW w:w="1053" w:type="dxa"/>
          </w:tcPr>
          <w:p w14:paraId="0FC23ADD" w14:textId="77777777" w:rsidR="00912D6F" w:rsidRPr="00890249" w:rsidRDefault="00912D6F"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2958F572" w14:textId="5F790513" w:rsidR="00912D6F"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03B51545" w14:textId="77777777" w:rsidR="00E35E2F" w:rsidRDefault="00E35E2F" w:rsidP="00BB20B9">
      <w:pPr>
        <w:rPr>
          <w:rFonts w:asciiTheme="minorHAnsi" w:eastAsiaTheme="minorHAnsi" w:hAnsiTheme="minorHAnsi" w:cstheme="minorHAnsi"/>
          <w:color w:val="FF0000"/>
          <w:sz w:val="32"/>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1E53EF" w:rsidRPr="00890249" w:rsidDel="00BB20B9" w14:paraId="73F2214F" w14:textId="77777777" w:rsidTr="00D0622E">
        <w:tc>
          <w:tcPr>
            <w:tcW w:w="9288" w:type="dxa"/>
            <w:gridSpan w:val="6"/>
            <w:shd w:val="clear" w:color="auto" w:fill="D9D9D9" w:themeFill="background1" w:themeFillShade="D9"/>
          </w:tcPr>
          <w:p w14:paraId="13FD354A" w14:textId="520C9302" w:rsidR="001E53EF" w:rsidRPr="00890249" w:rsidDel="00BB20B9" w:rsidRDefault="001E53EF" w:rsidP="00D0622E">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lastRenderedPageBreak/>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1E53EF" w:rsidRPr="00890249" w:rsidDel="00BB20B9" w14:paraId="29A3AD55" w14:textId="77777777" w:rsidTr="00D0622E">
        <w:tc>
          <w:tcPr>
            <w:tcW w:w="1599" w:type="dxa"/>
            <w:shd w:val="clear" w:color="auto" w:fill="F2F2F2" w:themeFill="background1" w:themeFillShade="F2"/>
          </w:tcPr>
          <w:p w14:paraId="2AF4D434"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0D7D9627"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25F5FFAE"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695E81D0"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69A6ECF7"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43DDA8DB"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1E53EF" w:rsidRPr="00890249" w14:paraId="11C4A801" w14:textId="77777777" w:rsidTr="00D0622E">
        <w:tc>
          <w:tcPr>
            <w:tcW w:w="1599" w:type="dxa"/>
            <w:vAlign w:val="center"/>
          </w:tcPr>
          <w:p w14:paraId="073D4C35" w14:textId="77777777" w:rsidR="001E53EF" w:rsidRPr="00890249" w:rsidRDefault="001E53EF"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55A134D1" w14:textId="77777777" w:rsidR="001E53EF" w:rsidRPr="00890249" w:rsidRDefault="001E53EF" w:rsidP="00D0622E">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24740C2C" w14:textId="77777777" w:rsidR="001E53EF" w:rsidRPr="00890249" w:rsidRDefault="001E53EF" w:rsidP="00D0622E">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1303AA16" w14:textId="54E7CAF9" w:rsidR="001E53EF" w:rsidRPr="00890249" w:rsidRDefault="001E53EF" w:rsidP="001E53EF">
            <w:pPr>
              <w:pStyle w:val="Akapitzlist"/>
              <w:ind w:left="341"/>
              <w:rPr>
                <w:rFonts w:asciiTheme="minorHAnsi" w:hAnsiTheme="minorHAnsi" w:cstheme="minorHAnsi"/>
                <w:noProof/>
                <w:sz w:val="20"/>
              </w:rPr>
            </w:pPr>
            <w:r>
              <w:rPr>
                <w:rFonts w:asciiTheme="minorHAnsi" w:hAnsiTheme="minorHAnsi" w:cstheme="minorHAnsi"/>
                <w:noProof/>
                <w:sz w:val="20"/>
              </w:rPr>
              <w:t>(k)</w:t>
            </w:r>
          </w:p>
        </w:tc>
        <w:tc>
          <w:tcPr>
            <w:tcW w:w="1053" w:type="dxa"/>
          </w:tcPr>
          <w:p w14:paraId="0EA0C704" w14:textId="77777777" w:rsidR="001E53EF" w:rsidRPr="00890249" w:rsidRDefault="001E53EF" w:rsidP="00D0622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48FFA0B2" w14:textId="45275782" w:rsidR="001E53EF" w:rsidRPr="00890249" w:rsidRDefault="008C3FC0" w:rsidP="00D0622E">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7C14FAC0" w14:textId="77777777" w:rsidR="001E53EF" w:rsidRDefault="001E53EF" w:rsidP="00BB20B9">
      <w:pPr>
        <w:rPr>
          <w:rFonts w:asciiTheme="minorHAnsi" w:eastAsiaTheme="minorHAnsi" w:hAnsiTheme="minorHAnsi" w:cstheme="minorHAnsi"/>
          <w:color w:val="FF0000"/>
          <w:sz w:val="32"/>
          <w:szCs w:val="24"/>
          <w:lang w:bidi="ar-SA"/>
        </w:rPr>
      </w:pPr>
    </w:p>
    <w:p w14:paraId="55C5CD77" w14:textId="77777777" w:rsidR="001E53EF" w:rsidRDefault="001E53EF" w:rsidP="00BB20B9">
      <w:pPr>
        <w:rPr>
          <w:rFonts w:asciiTheme="minorHAnsi" w:eastAsiaTheme="minorHAnsi" w:hAnsiTheme="minorHAnsi" w:cstheme="minorHAnsi"/>
          <w:color w:val="FF0000"/>
          <w:sz w:val="32"/>
          <w:szCs w:val="24"/>
          <w:lang w:bidi="ar-SA"/>
        </w:rPr>
      </w:pPr>
    </w:p>
    <w:p w14:paraId="4BE4848C" w14:textId="77777777" w:rsidR="001E53EF" w:rsidRDefault="001E53EF" w:rsidP="00BB20B9">
      <w:pPr>
        <w:rPr>
          <w:rFonts w:asciiTheme="minorHAnsi" w:eastAsiaTheme="minorHAnsi" w:hAnsiTheme="minorHAnsi" w:cstheme="minorHAnsi"/>
          <w:color w:val="FF0000"/>
          <w:sz w:val="32"/>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1E53EF" w:rsidRPr="00890249" w:rsidDel="00BB20B9" w14:paraId="3BB8FD7D" w14:textId="77777777" w:rsidTr="00D0622E">
        <w:tc>
          <w:tcPr>
            <w:tcW w:w="9322" w:type="dxa"/>
            <w:gridSpan w:val="6"/>
            <w:shd w:val="clear" w:color="auto" w:fill="D9D9D9" w:themeFill="background1" w:themeFillShade="D9"/>
          </w:tcPr>
          <w:p w14:paraId="2C61B712" w14:textId="77777777" w:rsidR="001E53EF" w:rsidRPr="00890249" w:rsidDel="00BB20B9" w:rsidRDefault="001E53EF" w:rsidP="00D0622E">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1E53EF" w:rsidRPr="00890249" w:rsidDel="00BB20B9" w14:paraId="4D15F767" w14:textId="77777777" w:rsidTr="00D0622E">
        <w:tc>
          <w:tcPr>
            <w:tcW w:w="1461" w:type="dxa"/>
            <w:shd w:val="clear" w:color="auto" w:fill="F2F2F2" w:themeFill="background1" w:themeFillShade="F2"/>
          </w:tcPr>
          <w:p w14:paraId="42E176FB"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5E9E5B77"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7C27CDBA"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1E0C4F2F"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5946863B"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01985C34" w14:textId="77777777" w:rsidR="001E53EF" w:rsidRPr="00890249" w:rsidDel="00BB20B9" w:rsidRDefault="001E53EF"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1E53EF" w:rsidRPr="00890249" w:rsidDel="00BB20B9" w14:paraId="76D4EE6B" w14:textId="77777777" w:rsidTr="00D0622E">
        <w:tc>
          <w:tcPr>
            <w:tcW w:w="1461" w:type="dxa"/>
            <w:vMerge w:val="restart"/>
            <w:vAlign w:val="center"/>
          </w:tcPr>
          <w:p w14:paraId="5EC11351" w14:textId="77777777" w:rsidR="001E53EF" w:rsidRPr="00890249" w:rsidRDefault="001E53EF" w:rsidP="00D0622E">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300EFB1F" w14:textId="77777777" w:rsidR="001E53EF" w:rsidRPr="00890249" w:rsidRDefault="001E53EF" w:rsidP="00D0622E">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49C48EEE" w14:textId="77777777" w:rsidR="001E53EF" w:rsidRPr="00890249" w:rsidRDefault="001E53EF" w:rsidP="00D0622E">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14AC22EB" w14:textId="6F77AFA8" w:rsidR="001E53EF" w:rsidRPr="009215F2" w:rsidRDefault="001E53EF" w:rsidP="00D0622E">
            <w:pPr>
              <w:ind w:left="360"/>
              <w:jc w:val="center"/>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w:t>
            </w:r>
            <w:r>
              <w:rPr>
                <w:rFonts w:asciiTheme="minorHAnsi" w:eastAsia="Times New Roman" w:hAnsiTheme="minorHAnsi" w:cstheme="minorHAnsi"/>
                <w:iCs/>
                <w:noProof/>
                <w:sz w:val="20"/>
              </w:rPr>
              <w:t>k</w:t>
            </w:r>
            <w:r w:rsidRPr="009215F2">
              <w:rPr>
                <w:rFonts w:asciiTheme="minorHAnsi" w:eastAsia="Times New Roman" w:hAnsiTheme="minorHAnsi" w:cstheme="minorHAnsi"/>
                <w:iCs/>
                <w:noProof/>
                <w:sz w:val="20"/>
              </w:rPr>
              <w:t>)</w:t>
            </w:r>
          </w:p>
        </w:tc>
        <w:tc>
          <w:tcPr>
            <w:tcW w:w="1651" w:type="dxa"/>
            <w:vAlign w:val="center"/>
          </w:tcPr>
          <w:p w14:paraId="2AC45EC6" w14:textId="77777777" w:rsidR="001E53EF" w:rsidRPr="00890249" w:rsidRDefault="001E53EF"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4A749DC2" w14:textId="0561CD22" w:rsidR="001E53EF" w:rsidRPr="00890249" w:rsidRDefault="008C3FC0"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1E53EF" w:rsidRPr="00890249" w:rsidDel="00BB20B9" w14:paraId="09C6ACF1" w14:textId="77777777" w:rsidTr="00D0622E">
        <w:tc>
          <w:tcPr>
            <w:tcW w:w="1461" w:type="dxa"/>
            <w:vMerge/>
            <w:vAlign w:val="center"/>
          </w:tcPr>
          <w:p w14:paraId="61CB81FE" w14:textId="77777777" w:rsidR="001E53EF" w:rsidRPr="00890249" w:rsidRDefault="001E53EF" w:rsidP="00D0622E">
            <w:pPr>
              <w:rPr>
                <w:rFonts w:asciiTheme="minorHAnsi" w:eastAsia="Times New Roman" w:hAnsiTheme="minorHAnsi" w:cstheme="minorHAnsi"/>
                <w:iCs/>
                <w:noProof/>
                <w:sz w:val="20"/>
              </w:rPr>
            </w:pPr>
          </w:p>
        </w:tc>
        <w:tc>
          <w:tcPr>
            <w:tcW w:w="1258" w:type="dxa"/>
            <w:vMerge/>
            <w:vAlign w:val="center"/>
          </w:tcPr>
          <w:p w14:paraId="5746E8AE" w14:textId="77777777" w:rsidR="001E53EF" w:rsidRPr="00890249" w:rsidRDefault="001E53EF" w:rsidP="00D0622E">
            <w:pPr>
              <w:rPr>
                <w:rFonts w:asciiTheme="minorHAnsi" w:hAnsiTheme="minorHAnsi" w:cstheme="minorHAnsi"/>
                <w:noProof/>
                <w:sz w:val="20"/>
              </w:rPr>
            </w:pPr>
          </w:p>
        </w:tc>
        <w:tc>
          <w:tcPr>
            <w:tcW w:w="1341" w:type="dxa"/>
            <w:vMerge/>
            <w:vAlign w:val="center"/>
          </w:tcPr>
          <w:p w14:paraId="56593B45" w14:textId="77777777" w:rsidR="001E53EF" w:rsidRPr="00890249" w:rsidRDefault="001E53EF" w:rsidP="00D0622E">
            <w:pPr>
              <w:rPr>
                <w:rFonts w:asciiTheme="minorHAnsi" w:hAnsiTheme="minorHAnsi" w:cstheme="minorHAnsi"/>
                <w:noProof/>
                <w:sz w:val="20"/>
              </w:rPr>
            </w:pPr>
          </w:p>
        </w:tc>
        <w:tc>
          <w:tcPr>
            <w:tcW w:w="1542" w:type="dxa"/>
            <w:vMerge/>
            <w:vAlign w:val="center"/>
          </w:tcPr>
          <w:p w14:paraId="38439AA9" w14:textId="77777777" w:rsidR="001E53EF" w:rsidRPr="00890249" w:rsidRDefault="001E53EF" w:rsidP="00D0622E">
            <w:pPr>
              <w:rPr>
                <w:rFonts w:asciiTheme="minorHAnsi" w:eastAsia="Times New Roman" w:hAnsiTheme="minorHAnsi" w:cstheme="minorHAnsi"/>
                <w:b/>
                <w:iCs/>
                <w:noProof/>
                <w:sz w:val="20"/>
              </w:rPr>
            </w:pPr>
          </w:p>
        </w:tc>
        <w:tc>
          <w:tcPr>
            <w:tcW w:w="1651" w:type="dxa"/>
            <w:vAlign w:val="center"/>
          </w:tcPr>
          <w:p w14:paraId="14912202" w14:textId="77777777" w:rsidR="001E53EF" w:rsidRPr="00890249" w:rsidDel="00BB20B9" w:rsidRDefault="001E53EF"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1ED26DB0" w14:textId="74D1773B" w:rsidR="001E53EF" w:rsidRPr="00890249" w:rsidDel="00BB20B9" w:rsidRDefault="008C3FC0"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1E53EF" w:rsidRPr="00890249" w:rsidDel="00BB20B9" w14:paraId="32E1A26F" w14:textId="77777777" w:rsidTr="00D0622E">
        <w:tc>
          <w:tcPr>
            <w:tcW w:w="1461" w:type="dxa"/>
            <w:vMerge/>
            <w:vAlign w:val="center"/>
          </w:tcPr>
          <w:p w14:paraId="25E54F47" w14:textId="77777777" w:rsidR="001E53EF" w:rsidRPr="00890249" w:rsidRDefault="001E53EF" w:rsidP="00D0622E">
            <w:pPr>
              <w:rPr>
                <w:rFonts w:asciiTheme="minorHAnsi" w:eastAsia="Times New Roman" w:hAnsiTheme="minorHAnsi" w:cstheme="minorHAnsi"/>
                <w:iCs/>
                <w:noProof/>
                <w:sz w:val="20"/>
              </w:rPr>
            </w:pPr>
          </w:p>
        </w:tc>
        <w:tc>
          <w:tcPr>
            <w:tcW w:w="1258" w:type="dxa"/>
            <w:vMerge/>
            <w:vAlign w:val="center"/>
          </w:tcPr>
          <w:p w14:paraId="691F1355" w14:textId="77777777" w:rsidR="001E53EF" w:rsidRPr="00890249" w:rsidRDefault="001E53EF" w:rsidP="00D0622E">
            <w:pPr>
              <w:rPr>
                <w:rFonts w:asciiTheme="minorHAnsi" w:hAnsiTheme="minorHAnsi" w:cstheme="minorHAnsi"/>
                <w:noProof/>
                <w:sz w:val="20"/>
              </w:rPr>
            </w:pPr>
          </w:p>
        </w:tc>
        <w:tc>
          <w:tcPr>
            <w:tcW w:w="1341" w:type="dxa"/>
            <w:vMerge/>
            <w:vAlign w:val="center"/>
          </w:tcPr>
          <w:p w14:paraId="68359B16" w14:textId="77777777" w:rsidR="001E53EF" w:rsidRPr="00890249" w:rsidRDefault="001E53EF" w:rsidP="00D0622E">
            <w:pPr>
              <w:rPr>
                <w:rFonts w:asciiTheme="minorHAnsi" w:hAnsiTheme="minorHAnsi" w:cstheme="minorHAnsi"/>
                <w:noProof/>
                <w:sz w:val="20"/>
              </w:rPr>
            </w:pPr>
          </w:p>
        </w:tc>
        <w:tc>
          <w:tcPr>
            <w:tcW w:w="1542" w:type="dxa"/>
            <w:vMerge/>
            <w:vAlign w:val="center"/>
          </w:tcPr>
          <w:p w14:paraId="6B8B9AD1" w14:textId="77777777" w:rsidR="001E53EF" w:rsidRPr="00890249" w:rsidRDefault="001E53EF" w:rsidP="00D0622E">
            <w:pPr>
              <w:rPr>
                <w:rFonts w:asciiTheme="minorHAnsi" w:eastAsia="Times New Roman" w:hAnsiTheme="minorHAnsi" w:cstheme="minorHAnsi"/>
                <w:b/>
                <w:iCs/>
                <w:noProof/>
                <w:sz w:val="20"/>
              </w:rPr>
            </w:pPr>
          </w:p>
        </w:tc>
        <w:tc>
          <w:tcPr>
            <w:tcW w:w="1651" w:type="dxa"/>
            <w:vAlign w:val="center"/>
          </w:tcPr>
          <w:p w14:paraId="65BF3F7B" w14:textId="77777777" w:rsidR="001E53EF" w:rsidRPr="00890249" w:rsidDel="00BB20B9" w:rsidRDefault="001E53EF"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74F33FC0" w14:textId="52E8D012" w:rsidR="001E53EF" w:rsidRPr="00890249" w:rsidDel="00BB20B9" w:rsidRDefault="008C3FC0"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1E53EF" w:rsidRPr="00890249" w:rsidDel="00BB20B9" w14:paraId="3542911D" w14:textId="77777777" w:rsidTr="00D0622E">
        <w:tc>
          <w:tcPr>
            <w:tcW w:w="1461" w:type="dxa"/>
            <w:vMerge/>
            <w:vAlign w:val="center"/>
          </w:tcPr>
          <w:p w14:paraId="15215591" w14:textId="77777777" w:rsidR="001E53EF" w:rsidRPr="00890249" w:rsidRDefault="001E53EF" w:rsidP="00D0622E">
            <w:pPr>
              <w:rPr>
                <w:rFonts w:asciiTheme="minorHAnsi" w:eastAsia="Times New Roman" w:hAnsiTheme="minorHAnsi" w:cstheme="minorHAnsi"/>
                <w:iCs/>
                <w:noProof/>
                <w:sz w:val="20"/>
              </w:rPr>
            </w:pPr>
          </w:p>
        </w:tc>
        <w:tc>
          <w:tcPr>
            <w:tcW w:w="1258" w:type="dxa"/>
            <w:vMerge/>
            <w:vAlign w:val="center"/>
          </w:tcPr>
          <w:p w14:paraId="3ADC5BF7" w14:textId="77777777" w:rsidR="001E53EF" w:rsidRPr="00890249" w:rsidRDefault="001E53EF" w:rsidP="00D0622E">
            <w:pPr>
              <w:rPr>
                <w:rFonts w:asciiTheme="minorHAnsi" w:hAnsiTheme="minorHAnsi" w:cstheme="minorHAnsi"/>
                <w:noProof/>
                <w:sz w:val="20"/>
              </w:rPr>
            </w:pPr>
          </w:p>
        </w:tc>
        <w:tc>
          <w:tcPr>
            <w:tcW w:w="1341" w:type="dxa"/>
            <w:vMerge/>
            <w:vAlign w:val="center"/>
          </w:tcPr>
          <w:p w14:paraId="32C0E6BA" w14:textId="77777777" w:rsidR="001E53EF" w:rsidRPr="00890249" w:rsidRDefault="001E53EF" w:rsidP="00D0622E">
            <w:pPr>
              <w:rPr>
                <w:rFonts w:asciiTheme="minorHAnsi" w:hAnsiTheme="minorHAnsi" w:cstheme="minorHAnsi"/>
                <w:noProof/>
                <w:sz w:val="20"/>
              </w:rPr>
            </w:pPr>
          </w:p>
        </w:tc>
        <w:tc>
          <w:tcPr>
            <w:tcW w:w="1542" w:type="dxa"/>
            <w:vMerge/>
            <w:vAlign w:val="center"/>
          </w:tcPr>
          <w:p w14:paraId="2D6038CD" w14:textId="77777777" w:rsidR="001E53EF" w:rsidRPr="00890249" w:rsidRDefault="001E53EF" w:rsidP="00D0622E">
            <w:pPr>
              <w:rPr>
                <w:rFonts w:asciiTheme="minorHAnsi" w:eastAsia="Times New Roman" w:hAnsiTheme="minorHAnsi" w:cstheme="minorHAnsi"/>
                <w:b/>
                <w:iCs/>
                <w:noProof/>
                <w:sz w:val="20"/>
              </w:rPr>
            </w:pPr>
          </w:p>
        </w:tc>
        <w:tc>
          <w:tcPr>
            <w:tcW w:w="1651" w:type="dxa"/>
            <w:vAlign w:val="center"/>
          </w:tcPr>
          <w:p w14:paraId="5F6FD209" w14:textId="77777777" w:rsidR="001E53EF" w:rsidRPr="00890249" w:rsidDel="00BB20B9" w:rsidRDefault="001E53EF" w:rsidP="00D0622E">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5FD97AA2" w14:textId="6BFB0358" w:rsidR="001E53EF" w:rsidRPr="00890249" w:rsidRDefault="008C3FC0"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3CAD48EF" w14:textId="77777777" w:rsidR="00912D6F" w:rsidRDefault="00912D6F" w:rsidP="00BB20B9">
      <w:pPr>
        <w:rPr>
          <w:rFonts w:asciiTheme="minorHAnsi" w:eastAsiaTheme="minorHAnsi" w:hAnsiTheme="minorHAnsi" w:cstheme="minorHAnsi"/>
          <w:color w:val="FF0000"/>
          <w:sz w:val="32"/>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251"/>
        <w:gridCol w:w="1337"/>
        <w:gridCol w:w="1535"/>
        <w:gridCol w:w="1757"/>
        <w:gridCol w:w="1989"/>
      </w:tblGrid>
      <w:tr w:rsidR="00912D6F" w:rsidRPr="00890249" w:rsidDel="00BB20B9" w14:paraId="5755F948" w14:textId="77777777" w:rsidTr="001D2ABD">
        <w:tc>
          <w:tcPr>
            <w:tcW w:w="9322" w:type="dxa"/>
            <w:gridSpan w:val="6"/>
            <w:shd w:val="clear" w:color="auto" w:fill="D9D9D9" w:themeFill="background1" w:themeFillShade="D9"/>
          </w:tcPr>
          <w:p w14:paraId="61BE29C9" w14:textId="77777777" w:rsidR="00912D6F" w:rsidRPr="00890249" w:rsidDel="00BB20B9" w:rsidRDefault="00912D6F" w:rsidP="001D2ABD">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912D6F" w:rsidRPr="00890249" w:rsidDel="00BB20B9" w14:paraId="7DDB7E61" w14:textId="77777777" w:rsidTr="001D2ABD">
        <w:tc>
          <w:tcPr>
            <w:tcW w:w="1566" w:type="dxa"/>
            <w:shd w:val="clear" w:color="auto" w:fill="F2F2F2" w:themeFill="background1" w:themeFillShade="F2"/>
            <w:vAlign w:val="center"/>
          </w:tcPr>
          <w:p w14:paraId="18492343" w14:textId="77777777" w:rsidR="00912D6F" w:rsidRPr="00F62734" w:rsidDel="00BB20B9" w:rsidRDefault="00912D6F"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48DA8E97" w14:textId="77777777" w:rsidR="00912D6F" w:rsidRPr="00F62734" w:rsidDel="00BB20B9" w:rsidRDefault="00912D6F"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039D1B1D" w14:textId="77777777" w:rsidR="00912D6F" w:rsidRPr="00AF0710" w:rsidDel="00BB20B9" w:rsidRDefault="00912D6F" w:rsidP="00F62734">
            <w:pPr>
              <w:jc w:val="center"/>
              <w:rPr>
                <w:rFonts w:asciiTheme="minorHAnsi" w:hAnsiTheme="minorHAnsi" w:cstheme="minorHAnsi"/>
                <w:b/>
                <w:iCs/>
                <w:sz w:val="20"/>
              </w:rPr>
            </w:pPr>
            <w:r w:rsidRPr="00AF0710"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3D25DC5C" w14:textId="77777777" w:rsidR="00912D6F" w:rsidRPr="00AF0710" w:rsidDel="00BB20B9" w:rsidRDefault="00912D6F" w:rsidP="00F62734">
            <w:pPr>
              <w:jc w:val="center"/>
              <w:rPr>
                <w:rFonts w:asciiTheme="minorHAnsi" w:hAnsiTheme="minorHAnsi" w:cstheme="minorHAnsi"/>
                <w:b/>
                <w:iCs/>
                <w:sz w:val="20"/>
              </w:rPr>
            </w:pPr>
            <w:r w:rsidRPr="00AF0710"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7083916E" w14:textId="77777777" w:rsidR="00912D6F" w:rsidRPr="00AF0710" w:rsidDel="00BB20B9" w:rsidRDefault="00912D6F" w:rsidP="00F62734">
            <w:pPr>
              <w:jc w:val="center"/>
              <w:rPr>
                <w:rFonts w:asciiTheme="minorHAnsi" w:hAnsiTheme="minorHAnsi" w:cstheme="minorHAnsi"/>
                <w:b/>
                <w:iCs/>
                <w:sz w:val="20"/>
              </w:rPr>
            </w:pPr>
            <w:r w:rsidRPr="00AF0710" w:rsidDel="00BB20B9">
              <w:rPr>
                <w:rFonts w:asciiTheme="minorHAnsi" w:hAnsiTheme="minorHAnsi" w:cstheme="minorHAnsi"/>
                <w:b/>
                <w:sz w:val="20"/>
              </w:rPr>
              <w:t>Kod</w:t>
            </w:r>
          </w:p>
        </w:tc>
        <w:tc>
          <w:tcPr>
            <w:tcW w:w="2349" w:type="dxa"/>
            <w:shd w:val="clear" w:color="auto" w:fill="F2F2F2" w:themeFill="background1" w:themeFillShade="F2"/>
            <w:vAlign w:val="center"/>
          </w:tcPr>
          <w:p w14:paraId="026F2B44" w14:textId="77777777" w:rsidR="00912D6F" w:rsidRPr="00AF0710" w:rsidDel="00BB20B9" w:rsidRDefault="00912D6F" w:rsidP="00F62734">
            <w:pPr>
              <w:jc w:val="center"/>
              <w:rPr>
                <w:rFonts w:asciiTheme="minorHAnsi" w:hAnsiTheme="minorHAnsi" w:cstheme="minorHAnsi"/>
                <w:b/>
                <w:iCs/>
                <w:sz w:val="20"/>
              </w:rPr>
            </w:pPr>
            <w:r w:rsidRPr="00AF0710" w:rsidDel="00BB20B9">
              <w:rPr>
                <w:rFonts w:asciiTheme="minorHAnsi" w:hAnsiTheme="minorHAnsi" w:cstheme="minorHAnsi"/>
                <w:b/>
                <w:sz w:val="20"/>
              </w:rPr>
              <w:t>Kwota (w EUR)</w:t>
            </w:r>
          </w:p>
        </w:tc>
      </w:tr>
      <w:tr w:rsidR="00912D6F" w:rsidRPr="00890249" w:rsidDel="00BB20B9" w14:paraId="368A6649" w14:textId="77777777" w:rsidTr="001D2ABD">
        <w:tc>
          <w:tcPr>
            <w:tcW w:w="1566" w:type="dxa"/>
            <w:shd w:val="clear" w:color="auto" w:fill="auto"/>
            <w:vAlign w:val="center"/>
          </w:tcPr>
          <w:p w14:paraId="688C55A9" w14:textId="77777777" w:rsidR="00912D6F" w:rsidRPr="00890249" w:rsidRDefault="00912D6F" w:rsidP="001D2ABD">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6ABF2010" w14:textId="77777777" w:rsidR="00912D6F" w:rsidRPr="00890249" w:rsidRDefault="00912D6F" w:rsidP="001D2ABD">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413E06B0" w14:textId="77777777" w:rsidR="00912D6F" w:rsidRPr="00890249" w:rsidRDefault="00912D6F" w:rsidP="001D2ABD">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039377F7" w14:textId="1393A008" w:rsidR="00912D6F" w:rsidRPr="00890249" w:rsidRDefault="00912D6F" w:rsidP="001D2ABD">
            <w:pPr>
              <w:pStyle w:val="Akapitzlist"/>
              <w:ind w:left="398"/>
              <w:rPr>
                <w:rFonts w:asciiTheme="minorHAnsi" w:hAnsiTheme="minorHAnsi" w:cstheme="minorHAnsi"/>
                <w:iCs/>
                <w:sz w:val="20"/>
              </w:rPr>
            </w:pPr>
            <w:r>
              <w:rPr>
                <w:rFonts w:asciiTheme="minorHAnsi" w:hAnsiTheme="minorHAnsi" w:cstheme="minorHAnsi"/>
                <w:noProof/>
                <w:sz w:val="20"/>
              </w:rPr>
              <w:t>(k)</w:t>
            </w:r>
          </w:p>
        </w:tc>
        <w:tc>
          <w:tcPr>
            <w:tcW w:w="1022" w:type="dxa"/>
            <w:vAlign w:val="center"/>
          </w:tcPr>
          <w:p w14:paraId="4B6DF308" w14:textId="77777777" w:rsidR="00912D6F" w:rsidRPr="00890249" w:rsidRDefault="00912D6F" w:rsidP="001D2ABD">
            <w:pPr>
              <w:jc w:val="center"/>
              <w:rPr>
                <w:rFonts w:asciiTheme="minorHAnsi" w:hAnsiTheme="minorHAnsi" w:cstheme="minorHAnsi"/>
                <w:iCs/>
                <w:sz w:val="20"/>
              </w:rPr>
            </w:pPr>
            <w:r>
              <w:rPr>
                <w:rFonts w:asciiTheme="minorHAnsi" w:eastAsia="Times New Roman" w:hAnsiTheme="minorHAnsi" w:cstheme="minorHAnsi"/>
                <w:iCs/>
                <w:noProof/>
                <w:sz w:val="20"/>
              </w:rPr>
              <w:t>02 Projekty uwzględniające kwestię równouprawniania płci</w:t>
            </w:r>
          </w:p>
        </w:tc>
        <w:tc>
          <w:tcPr>
            <w:tcW w:w="2349" w:type="dxa"/>
            <w:vAlign w:val="center"/>
          </w:tcPr>
          <w:p w14:paraId="54114B81" w14:textId="29D5B942" w:rsidR="00912D6F" w:rsidRPr="00890249" w:rsidRDefault="008C3FC0" w:rsidP="001D2ABD">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082E0B2A" w14:textId="77777777" w:rsidR="001E53EF" w:rsidRDefault="001E53EF" w:rsidP="00BB20B9">
      <w:pPr>
        <w:rPr>
          <w:rFonts w:asciiTheme="minorHAnsi" w:eastAsiaTheme="minorHAnsi" w:hAnsiTheme="minorHAnsi" w:cstheme="minorHAnsi"/>
          <w:color w:val="FF0000"/>
          <w:sz w:val="32"/>
          <w:szCs w:val="24"/>
          <w:lang w:bidi="ar-SA"/>
        </w:rPr>
      </w:pPr>
    </w:p>
    <w:tbl>
      <w:tblPr>
        <w:tblStyle w:val="Tabela-Siatka"/>
        <w:tblW w:w="9322" w:type="dxa"/>
        <w:tblLook w:val="04A0" w:firstRow="1" w:lastRow="0" w:firstColumn="1" w:lastColumn="0" w:noHBand="0" w:noVBand="1"/>
      </w:tblPr>
      <w:tblGrid>
        <w:gridCol w:w="1489"/>
        <w:gridCol w:w="1029"/>
        <w:gridCol w:w="1134"/>
        <w:gridCol w:w="1559"/>
        <w:gridCol w:w="1958"/>
        <w:gridCol w:w="2153"/>
      </w:tblGrid>
      <w:tr w:rsidR="001D2ABD" w:rsidRPr="00890249" w:rsidDel="00BB20B9" w14:paraId="3A79CC9C" w14:textId="77777777" w:rsidTr="001D2ABD">
        <w:trPr>
          <w:tblHeader/>
        </w:trPr>
        <w:tc>
          <w:tcPr>
            <w:tcW w:w="9322" w:type="dxa"/>
            <w:gridSpan w:val="6"/>
            <w:shd w:val="clear" w:color="auto" w:fill="D9D9D9" w:themeFill="background1" w:themeFillShade="D9"/>
          </w:tcPr>
          <w:p w14:paraId="5C476851" w14:textId="77777777" w:rsidR="001D2ABD" w:rsidRPr="00890249" w:rsidDel="00BB20B9" w:rsidRDefault="001D2ABD"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lastRenderedPageBreak/>
              <w:t>Tabela 4: Wymiar 1 – zakres interwencji</w:t>
            </w:r>
          </w:p>
        </w:tc>
      </w:tr>
      <w:tr w:rsidR="001D2ABD" w:rsidRPr="00890249" w:rsidDel="00BB20B9" w14:paraId="026E61D2" w14:textId="77777777" w:rsidTr="001D2ABD">
        <w:trPr>
          <w:tblHeader/>
        </w:trPr>
        <w:tc>
          <w:tcPr>
            <w:tcW w:w="1489" w:type="dxa"/>
            <w:shd w:val="clear" w:color="auto" w:fill="F2F2F2" w:themeFill="background1" w:themeFillShade="F2"/>
          </w:tcPr>
          <w:p w14:paraId="6DAB46B3"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029" w:type="dxa"/>
            <w:shd w:val="clear" w:color="auto" w:fill="F2F2F2" w:themeFill="background1" w:themeFillShade="F2"/>
          </w:tcPr>
          <w:p w14:paraId="5EC42C8C"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134" w:type="dxa"/>
            <w:shd w:val="clear" w:color="auto" w:fill="F2F2F2" w:themeFill="background1" w:themeFillShade="F2"/>
          </w:tcPr>
          <w:p w14:paraId="26EDE9E0"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59" w:type="dxa"/>
            <w:shd w:val="clear" w:color="auto" w:fill="F2F2F2" w:themeFill="background1" w:themeFillShade="F2"/>
          </w:tcPr>
          <w:p w14:paraId="10320940"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958" w:type="dxa"/>
            <w:shd w:val="clear" w:color="auto" w:fill="F2F2F2" w:themeFill="background1" w:themeFillShade="F2"/>
          </w:tcPr>
          <w:p w14:paraId="6A998BAD"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53" w:type="dxa"/>
            <w:shd w:val="clear" w:color="auto" w:fill="F2F2F2" w:themeFill="background1" w:themeFillShade="F2"/>
          </w:tcPr>
          <w:p w14:paraId="1F906B3A"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1D2ABD" w:rsidRPr="00890249" w:rsidDel="00BB20B9" w14:paraId="09FFEAE4" w14:textId="77777777" w:rsidTr="001D2ABD">
        <w:trPr>
          <w:trHeight w:val="329"/>
        </w:trPr>
        <w:tc>
          <w:tcPr>
            <w:tcW w:w="1489" w:type="dxa"/>
            <w:vAlign w:val="center"/>
          </w:tcPr>
          <w:p w14:paraId="5FAB6F48" w14:textId="77777777" w:rsidR="001D2ABD" w:rsidRPr="00890249" w:rsidDel="00BB20B9" w:rsidRDefault="001D2ABD"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CP 4</w:t>
            </w:r>
          </w:p>
        </w:tc>
        <w:tc>
          <w:tcPr>
            <w:tcW w:w="1029" w:type="dxa"/>
            <w:vAlign w:val="center"/>
          </w:tcPr>
          <w:p w14:paraId="4ED90DA0" w14:textId="77777777" w:rsidR="001D2ABD" w:rsidRPr="00890249" w:rsidDel="00BB20B9" w:rsidRDefault="001D2ABD"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134" w:type="dxa"/>
            <w:vAlign w:val="center"/>
          </w:tcPr>
          <w:p w14:paraId="77EC9641" w14:textId="77777777" w:rsidR="001D2ABD" w:rsidRPr="00890249" w:rsidDel="00BB20B9" w:rsidRDefault="001D2ABD"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559" w:type="dxa"/>
            <w:vAlign w:val="center"/>
          </w:tcPr>
          <w:p w14:paraId="4A4D215E" w14:textId="50173E42" w:rsidR="001D2ABD" w:rsidRPr="005A3E5B" w:rsidDel="00BB20B9" w:rsidRDefault="001D2ABD" w:rsidP="001D2ABD">
            <w:pPr>
              <w:jc w:val="center"/>
              <w:rPr>
                <w:rFonts w:asciiTheme="minorHAnsi" w:hAnsiTheme="minorHAnsi" w:cstheme="minorHAnsi"/>
                <w:noProof/>
                <w:sz w:val="20"/>
              </w:rPr>
            </w:pPr>
            <w:r>
              <w:rPr>
                <w:rFonts w:asciiTheme="minorHAnsi" w:hAnsiTheme="minorHAnsi" w:cstheme="minorHAnsi"/>
                <w:noProof/>
                <w:sz w:val="20"/>
              </w:rPr>
              <w:t>(l)</w:t>
            </w:r>
          </w:p>
        </w:tc>
        <w:tc>
          <w:tcPr>
            <w:tcW w:w="1958" w:type="dxa"/>
          </w:tcPr>
          <w:p w14:paraId="0C05E067" w14:textId="07B87982" w:rsidR="001D2ABD" w:rsidRPr="00890249" w:rsidDel="00BB20B9" w:rsidRDefault="001D2ABD"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163</w:t>
            </w:r>
            <w:r w:rsidRPr="00890249">
              <w:rPr>
                <w:rFonts w:asciiTheme="minorHAnsi" w:hAnsiTheme="minorHAnsi" w:cstheme="minorHAnsi"/>
                <w:noProof/>
                <w:sz w:val="20"/>
              </w:rPr>
              <w:t xml:space="preserve"> Promowanie integracji społecznej osób zagrożonych ubóstwem lub wykluczeniem społecznym, w tym osób najbardziej potrzebujących i dzieci</w:t>
            </w:r>
          </w:p>
        </w:tc>
        <w:tc>
          <w:tcPr>
            <w:tcW w:w="2153" w:type="dxa"/>
          </w:tcPr>
          <w:p w14:paraId="587E8D4F" w14:textId="785C5613" w:rsidR="001D2ABD" w:rsidRPr="00890249" w:rsidRDefault="008C3FC0" w:rsidP="001D2ABD">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5153E2FB" w14:textId="77777777" w:rsidR="001D2ABD" w:rsidRDefault="001D2ABD" w:rsidP="00BB20B9">
      <w:pPr>
        <w:rPr>
          <w:rFonts w:asciiTheme="minorHAnsi" w:eastAsiaTheme="minorHAnsi" w:hAnsiTheme="minorHAnsi" w:cstheme="minorHAnsi"/>
          <w:color w:val="FF0000"/>
          <w:sz w:val="32"/>
          <w:szCs w:val="24"/>
          <w:lang w:bidi="ar-SA"/>
        </w:rPr>
      </w:pPr>
    </w:p>
    <w:tbl>
      <w:tblPr>
        <w:tblStyle w:val="Tabela-Siatka"/>
        <w:tblW w:w="0" w:type="auto"/>
        <w:tblLook w:val="04A0" w:firstRow="1" w:lastRow="0" w:firstColumn="1" w:lastColumn="0" w:noHBand="0" w:noVBand="1"/>
      </w:tblPr>
      <w:tblGrid>
        <w:gridCol w:w="1563"/>
        <w:gridCol w:w="1352"/>
        <w:gridCol w:w="1409"/>
        <w:gridCol w:w="1618"/>
        <w:gridCol w:w="1039"/>
        <w:gridCol w:w="2080"/>
      </w:tblGrid>
      <w:tr w:rsidR="001D2ABD" w:rsidRPr="00890249" w:rsidDel="00BB20B9" w14:paraId="191E5189" w14:textId="77777777" w:rsidTr="001D2ABD">
        <w:tc>
          <w:tcPr>
            <w:tcW w:w="9288" w:type="dxa"/>
            <w:gridSpan w:val="6"/>
            <w:shd w:val="clear" w:color="auto" w:fill="D9D9D9" w:themeFill="background1" w:themeFillShade="D9"/>
          </w:tcPr>
          <w:p w14:paraId="63F3C01F" w14:textId="77777777" w:rsidR="001D2ABD" w:rsidRPr="00890249" w:rsidDel="00BB20B9" w:rsidRDefault="001D2ABD" w:rsidP="001D2ABD">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5: Wymiar 2 – forma finansowania</w:t>
            </w:r>
          </w:p>
        </w:tc>
      </w:tr>
      <w:tr w:rsidR="001D2ABD" w:rsidRPr="00890249" w:rsidDel="00BB20B9" w14:paraId="1D8D2C08" w14:textId="77777777" w:rsidTr="001D2ABD">
        <w:tc>
          <w:tcPr>
            <w:tcW w:w="1599" w:type="dxa"/>
            <w:shd w:val="clear" w:color="auto" w:fill="F2F2F2" w:themeFill="background1" w:themeFillShade="F2"/>
          </w:tcPr>
          <w:p w14:paraId="3B2ABA4E"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713A0B63"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5AD3D8FD"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0C383DDA"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64A982CC"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560BCB90" w14:textId="77777777" w:rsidR="001D2ABD" w:rsidRPr="00890249" w:rsidDel="00BB20B9" w:rsidRDefault="001D2ABD"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1D2ABD" w:rsidRPr="00890249" w:rsidDel="00BB20B9" w14:paraId="4408C8C2" w14:textId="77777777" w:rsidTr="001D2ABD">
        <w:tc>
          <w:tcPr>
            <w:tcW w:w="1599" w:type="dxa"/>
            <w:vAlign w:val="center"/>
          </w:tcPr>
          <w:p w14:paraId="4BDEE4C8" w14:textId="77777777" w:rsidR="001D2ABD" w:rsidRPr="00890249" w:rsidRDefault="001D2AB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40FB9723" w14:textId="77777777" w:rsidR="001D2ABD" w:rsidRPr="00890249" w:rsidRDefault="001D2AB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EFS</w:t>
            </w:r>
            <w:r w:rsidRPr="00890249">
              <w:rPr>
                <w:rFonts w:asciiTheme="minorHAnsi" w:eastAsia="Times New Roman" w:hAnsiTheme="minorHAnsi" w:cstheme="minorHAnsi"/>
                <w:iCs/>
                <w:noProof/>
                <w:sz w:val="20"/>
              </w:rPr>
              <w:t>+</w:t>
            </w:r>
          </w:p>
        </w:tc>
        <w:tc>
          <w:tcPr>
            <w:tcW w:w="1433" w:type="dxa"/>
            <w:vAlign w:val="center"/>
          </w:tcPr>
          <w:p w14:paraId="0EE1E253" w14:textId="77777777" w:rsidR="001D2ABD" w:rsidRPr="00890249" w:rsidRDefault="001D2ABD" w:rsidP="001D2ABD">
            <w:pPr>
              <w:jc w:val="center"/>
              <w:rPr>
                <w:rFonts w:asciiTheme="minorHAnsi" w:hAnsiTheme="minorHAnsi" w:cstheme="minorHAnsi"/>
                <w:noProof/>
                <w:sz w:val="20"/>
              </w:rPr>
            </w:pPr>
            <w:r w:rsidRPr="00890249" w:rsidDel="00BB20B9">
              <w:rPr>
                <w:rFonts w:asciiTheme="minorHAnsi" w:hAnsiTheme="minorHAnsi" w:cstheme="minorHAnsi"/>
                <w:noProof/>
                <w:sz w:val="20"/>
              </w:rPr>
              <w:t>słabiej rozwinięte</w:t>
            </w:r>
          </w:p>
        </w:tc>
        <w:tc>
          <w:tcPr>
            <w:tcW w:w="1644" w:type="dxa"/>
          </w:tcPr>
          <w:p w14:paraId="0AB43E02" w14:textId="51E88D96" w:rsidR="001D2ABD" w:rsidRPr="00890249" w:rsidRDefault="001D2ABD" w:rsidP="001D2ABD">
            <w:pPr>
              <w:pStyle w:val="Akapitzlist"/>
              <w:ind w:left="263"/>
              <w:rPr>
                <w:rFonts w:asciiTheme="minorHAnsi" w:eastAsia="Times New Roman" w:hAnsiTheme="minorHAnsi" w:cstheme="minorHAnsi"/>
                <w:iCs/>
                <w:noProof/>
                <w:sz w:val="20"/>
              </w:rPr>
            </w:pPr>
            <w:r>
              <w:rPr>
                <w:rFonts w:asciiTheme="minorHAnsi" w:hAnsiTheme="minorHAnsi" w:cstheme="minorHAnsi"/>
                <w:noProof/>
                <w:sz w:val="20"/>
              </w:rPr>
              <w:t xml:space="preserve">(l) </w:t>
            </w:r>
          </w:p>
        </w:tc>
        <w:tc>
          <w:tcPr>
            <w:tcW w:w="1053" w:type="dxa"/>
          </w:tcPr>
          <w:p w14:paraId="3FBB7A84" w14:textId="77777777" w:rsidR="001D2ABD" w:rsidRPr="00890249" w:rsidRDefault="001D2ABD" w:rsidP="001D2ABD">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01</w:t>
            </w:r>
            <w:r w:rsidRPr="00890249">
              <w:rPr>
                <w:rFonts w:asciiTheme="minorHAnsi" w:eastAsia="Times New Roman" w:hAnsiTheme="minorHAnsi" w:cstheme="minorHAnsi"/>
                <w:iCs/>
                <w:noProof/>
                <w:sz w:val="20"/>
              </w:rPr>
              <w:t xml:space="preserve"> Dotacja</w:t>
            </w:r>
          </w:p>
        </w:tc>
        <w:tc>
          <w:tcPr>
            <w:tcW w:w="2175" w:type="dxa"/>
          </w:tcPr>
          <w:p w14:paraId="1657DEBD" w14:textId="1DCA3238" w:rsidR="001D2ABD" w:rsidRPr="00890249" w:rsidRDefault="008C3FC0" w:rsidP="001D2ABD">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59F2AA91" w14:textId="77777777" w:rsidR="001D2ABD" w:rsidRDefault="001D2ABD" w:rsidP="00BB20B9">
      <w:pPr>
        <w:rPr>
          <w:rFonts w:asciiTheme="minorHAnsi" w:eastAsiaTheme="minorHAnsi" w:hAnsiTheme="minorHAnsi" w:cstheme="minorHAnsi"/>
          <w:color w:val="FF0000"/>
          <w:sz w:val="32"/>
          <w:szCs w:val="24"/>
          <w:lang w:bidi="ar-SA"/>
        </w:rPr>
      </w:pPr>
    </w:p>
    <w:tbl>
      <w:tblPr>
        <w:tblStyle w:val="Tabela-Siatka"/>
        <w:tblW w:w="0" w:type="auto"/>
        <w:tblLook w:val="04A0" w:firstRow="1" w:lastRow="0" w:firstColumn="1" w:lastColumn="0" w:noHBand="0" w:noVBand="1"/>
      </w:tblPr>
      <w:tblGrid>
        <w:gridCol w:w="1483"/>
        <w:gridCol w:w="1278"/>
        <w:gridCol w:w="1356"/>
        <w:gridCol w:w="1558"/>
        <w:gridCol w:w="1520"/>
        <w:gridCol w:w="1866"/>
      </w:tblGrid>
      <w:tr w:rsidR="00806BEC" w:rsidRPr="00890249" w:rsidDel="00BB20B9" w14:paraId="553BCAF8" w14:textId="77777777" w:rsidTr="00D0622E">
        <w:tc>
          <w:tcPr>
            <w:tcW w:w="9288" w:type="dxa"/>
            <w:gridSpan w:val="6"/>
            <w:shd w:val="clear" w:color="auto" w:fill="D9D9D9" w:themeFill="background1" w:themeFillShade="D9"/>
          </w:tcPr>
          <w:p w14:paraId="045F408B" w14:textId="0E046EC8" w:rsidR="00806BEC" w:rsidRPr="00890249" w:rsidDel="00BB20B9" w:rsidRDefault="00806BEC" w:rsidP="00D0622E">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sidDel="00BB20B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sidDel="00BB20B9">
              <w:rPr>
                <w:rFonts w:asciiTheme="minorHAnsi" w:hAnsiTheme="minorHAnsi" w:cstheme="minorHAnsi"/>
                <w:b/>
                <w:noProof/>
                <w:sz w:val="20"/>
              </w:rPr>
              <w:t xml:space="preserve"> – terytorialny mechanizm realizacji i ukierunkowanie terytorialne</w:t>
            </w:r>
          </w:p>
        </w:tc>
      </w:tr>
      <w:tr w:rsidR="00806BEC" w:rsidRPr="00890249" w:rsidDel="00BB20B9" w14:paraId="6921481F" w14:textId="77777777" w:rsidTr="00D0622E">
        <w:tc>
          <w:tcPr>
            <w:tcW w:w="1599" w:type="dxa"/>
            <w:shd w:val="clear" w:color="auto" w:fill="F2F2F2" w:themeFill="background1" w:themeFillShade="F2"/>
          </w:tcPr>
          <w:p w14:paraId="71E667F4"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384" w:type="dxa"/>
            <w:shd w:val="clear" w:color="auto" w:fill="F2F2F2" w:themeFill="background1" w:themeFillShade="F2"/>
          </w:tcPr>
          <w:p w14:paraId="2F2EF001"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433" w:type="dxa"/>
            <w:shd w:val="clear" w:color="auto" w:fill="F2F2F2" w:themeFill="background1" w:themeFillShade="F2"/>
          </w:tcPr>
          <w:p w14:paraId="36BA33A6"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644" w:type="dxa"/>
            <w:shd w:val="clear" w:color="auto" w:fill="F2F2F2" w:themeFill="background1" w:themeFillShade="F2"/>
          </w:tcPr>
          <w:p w14:paraId="205C469E"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053" w:type="dxa"/>
            <w:shd w:val="clear" w:color="auto" w:fill="F2F2F2" w:themeFill="background1" w:themeFillShade="F2"/>
          </w:tcPr>
          <w:p w14:paraId="0F0DD0AD"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175" w:type="dxa"/>
            <w:shd w:val="clear" w:color="auto" w:fill="F2F2F2" w:themeFill="background1" w:themeFillShade="F2"/>
          </w:tcPr>
          <w:p w14:paraId="200B35F2"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806BEC" w:rsidRPr="00890249" w:rsidDel="00BB20B9" w14:paraId="02EC8377" w14:textId="77777777" w:rsidTr="00D0622E">
        <w:tc>
          <w:tcPr>
            <w:tcW w:w="1599" w:type="dxa"/>
            <w:vAlign w:val="center"/>
          </w:tcPr>
          <w:p w14:paraId="3CD8CAD8" w14:textId="77777777" w:rsidR="00806BEC" w:rsidRPr="00890249" w:rsidRDefault="00806BEC"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CP 4</w:t>
            </w:r>
          </w:p>
        </w:tc>
        <w:tc>
          <w:tcPr>
            <w:tcW w:w="1384" w:type="dxa"/>
            <w:vAlign w:val="center"/>
          </w:tcPr>
          <w:p w14:paraId="63EA846D" w14:textId="77777777" w:rsidR="00806BEC" w:rsidRPr="00890249" w:rsidRDefault="00806BEC" w:rsidP="00D0622E">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433" w:type="dxa"/>
            <w:vAlign w:val="center"/>
          </w:tcPr>
          <w:p w14:paraId="36E74023" w14:textId="77777777" w:rsidR="00806BEC" w:rsidRPr="00890249" w:rsidRDefault="00806BEC" w:rsidP="00D0622E">
            <w:pPr>
              <w:jc w:val="center"/>
              <w:rPr>
                <w:rFonts w:asciiTheme="minorHAnsi" w:eastAsia="Times New Roman" w:hAnsiTheme="minorHAnsi" w:cstheme="minorHAnsi"/>
                <w:iCs/>
                <w:noProof/>
                <w:sz w:val="20"/>
              </w:rPr>
            </w:pPr>
            <w:r w:rsidRPr="00890249" w:rsidDel="00BB20B9">
              <w:rPr>
                <w:rFonts w:asciiTheme="minorHAnsi" w:hAnsiTheme="minorHAnsi" w:cstheme="minorHAnsi"/>
                <w:noProof/>
                <w:sz w:val="20"/>
              </w:rPr>
              <w:t>słabiej rozwinięte</w:t>
            </w:r>
          </w:p>
        </w:tc>
        <w:tc>
          <w:tcPr>
            <w:tcW w:w="1644" w:type="dxa"/>
            <w:vAlign w:val="center"/>
          </w:tcPr>
          <w:p w14:paraId="60943FD3" w14:textId="226BF958" w:rsidR="00806BEC" w:rsidRPr="00890249" w:rsidRDefault="00806BEC" w:rsidP="00D0622E">
            <w:pPr>
              <w:pStyle w:val="Akapitzlist"/>
              <w:ind w:left="341"/>
              <w:rPr>
                <w:rFonts w:asciiTheme="minorHAnsi" w:hAnsiTheme="minorHAnsi" w:cstheme="minorHAnsi"/>
                <w:noProof/>
                <w:sz w:val="20"/>
              </w:rPr>
            </w:pPr>
            <w:r>
              <w:rPr>
                <w:rFonts w:asciiTheme="minorHAnsi" w:hAnsiTheme="minorHAnsi" w:cstheme="minorHAnsi"/>
                <w:noProof/>
                <w:sz w:val="20"/>
              </w:rPr>
              <w:t>(l)</w:t>
            </w:r>
          </w:p>
        </w:tc>
        <w:tc>
          <w:tcPr>
            <w:tcW w:w="1053" w:type="dxa"/>
          </w:tcPr>
          <w:p w14:paraId="32617BF0" w14:textId="77777777" w:rsidR="00806BEC" w:rsidRPr="00890249" w:rsidRDefault="00806BEC" w:rsidP="00D0622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 Brak ukierunkowania terytorialnego</w:t>
            </w:r>
          </w:p>
        </w:tc>
        <w:tc>
          <w:tcPr>
            <w:tcW w:w="2175" w:type="dxa"/>
          </w:tcPr>
          <w:p w14:paraId="60DC6A72" w14:textId="273B0A7E" w:rsidR="00806BEC" w:rsidRPr="00890249" w:rsidRDefault="008C3FC0" w:rsidP="00D0622E">
            <w:pPr>
              <w:jc w:val="right"/>
              <w:rPr>
                <w:rFonts w:asciiTheme="minorHAnsi" w:hAnsiTheme="minorHAnsi" w:cstheme="minorHAnsi"/>
                <w:noProof/>
                <w:sz w:val="20"/>
              </w:rPr>
            </w:pPr>
            <w:r>
              <w:rPr>
                <w:rFonts w:asciiTheme="minorHAnsi" w:hAnsiTheme="minorHAnsi" w:cstheme="minorHAnsi"/>
                <w:noProof/>
                <w:sz w:val="20"/>
              </w:rPr>
              <w:t> </w:t>
            </w:r>
            <w:r>
              <w:rPr>
                <w:rFonts w:asciiTheme="minorHAnsi" w:hAnsiTheme="minorHAnsi" w:cstheme="minorHAnsi"/>
                <w:noProof/>
                <w:sz w:val="20"/>
              </w:rPr>
              <w:br/>
              <w:t>0</w:t>
            </w:r>
          </w:p>
        </w:tc>
      </w:tr>
    </w:tbl>
    <w:p w14:paraId="4D866CFE" w14:textId="77777777" w:rsidR="001D2ABD" w:rsidRDefault="001D2ABD" w:rsidP="00BB20B9">
      <w:pPr>
        <w:rPr>
          <w:rFonts w:asciiTheme="minorHAnsi" w:eastAsiaTheme="minorHAnsi" w:hAnsiTheme="minorHAnsi" w:cstheme="minorHAnsi"/>
          <w:color w:val="FF0000"/>
          <w:sz w:val="32"/>
          <w:szCs w:val="24"/>
          <w:lang w:bidi="ar-SA"/>
        </w:rPr>
      </w:pPr>
    </w:p>
    <w:tbl>
      <w:tblPr>
        <w:tblStyle w:val="Tabela-Siatka"/>
        <w:tblW w:w="9322" w:type="dxa"/>
        <w:tblLook w:val="04A0" w:firstRow="1" w:lastRow="0" w:firstColumn="1" w:lastColumn="0" w:noHBand="0" w:noVBand="1"/>
      </w:tblPr>
      <w:tblGrid>
        <w:gridCol w:w="1461"/>
        <w:gridCol w:w="1258"/>
        <w:gridCol w:w="1341"/>
        <w:gridCol w:w="1542"/>
        <w:gridCol w:w="1651"/>
        <w:gridCol w:w="2069"/>
      </w:tblGrid>
      <w:tr w:rsidR="00806BEC" w:rsidRPr="00890249" w:rsidDel="00BB20B9" w14:paraId="5DE2B91B" w14:textId="77777777" w:rsidTr="00D0622E">
        <w:tc>
          <w:tcPr>
            <w:tcW w:w="9322" w:type="dxa"/>
            <w:gridSpan w:val="6"/>
            <w:shd w:val="clear" w:color="auto" w:fill="D9D9D9" w:themeFill="background1" w:themeFillShade="D9"/>
          </w:tcPr>
          <w:p w14:paraId="60454E89" w14:textId="77777777" w:rsidR="00806BEC" w:rsidRPr="00890249" w:rsidDel="00BB20B9" w:rsidRDefault="00806BEC" w:rsidP="00D0622E">
            <w:pP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Tabela 7: Wymiar 6 – dodatkowe tematy EFS+</w:t>
            </w:r>
          </w:p>
        </w:tc>
      </w:tr>
      <w:tr w:rsidR="00806BEC" w:rsidRPr="00890249" w:rsidDel="00BB20B9" w14:paraId="2B6BE3AB" w14:textId="77777777" w:rsidTr="00D0622E">
        <w:tc>
          <w:tcPr>
            <w:tcW w:w="1461" w:type="dxa"/>
            <w:shd w:val="clear" w:color="auto" w:fill="F2F2F2" w:themeFill="background1" w:themeFillShade="F2"/>
          </w:tcPr>
          <w:p w14:paraId="5DE42AC1"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Nr priorytetu</w:t>
            </w:r>
          </w:p>
        </w:tc>
        <w:tc>
          <w:tcPr>
            <w:tcW w:w="1258" w:type="dxa"/>
            <w:shd w:val="clear" w:color="auto" w:fill="F2F2F2" w:themeFill="background1" w:themeFillShade="F2"/>
          </w:tcPr>
          <w:p w14:paraId="1549282D"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Fundusz</w:t>
            </w:r>
          </w:p>
        </w:tc>
        <w:tc>
          <w:tcPr>
            <w:tcW w:w="1341" w:type="dxa"/>
            <w:shd w:val="clear" w:color="auto" w:fill="F2F2F2" w:themeFill="background1" w:themeFillShade="F2"/>
          </w:tcPr>
          <w:p w14:paraId="3296F5B4"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Kategoria regionu</w:t>
            </w:r>
          </w:p>
        </w:tc>
        <w:tc>
          <w:tcPr>
            <w:tcW w:w="1542" w:type="dxa"/>
            <w:shd w:val="clear" w:color="auto" w:fill="F2F2F2" w:themeFill="background1" w:themeFillShade="F2"/>
          </w:tcPr>
          <w:p w14:paraId="645CCC6F"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Cel szczegółowy</w:t>
            </w:r>
          </w:p>
        </w:tc>
        <w:tc>
          <w:tcPr>
            <w:tcW w:w="1651" w:type="dxa"/>
            <w:shd w:val="clear" w:color="auto" w:fill="F2F2F2" w:themeFill="background1" w:themeFillShade="F2"/>
          </w:tcPr>
          <w:p w14:paraId="571BBA8E"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Kod</w:t>
            </w:r>
          </w:p>
        </w:tc>
        <w:tc>
          <w:tcPr>
            <w:tcW w:w="2069" w:type="dxa"/>
            <w:shd w:val="clear" w:color="auto" w:fill="F2F2F2" w:themeFill="background1" w:themeFillShade="F2"/>
          </w:tcPr>
          <w:p w14:paraId="5DD0B991" w14:textId="77777777" w:rsidR="00806BEC" w:rsidRPr="00890249" w:rsidDel="00BB20B9" w:rsidRDefault="00806BEC" w:rsidP="00F62734">
            <w:pPr>
              <w:jc w:val="center"/>
              <w:rPr>
                <w:rFonts w:asciiTheme="minorHAnsi" w:eastAsia="Times New Roman" w:hAnsiTheme="minorHAnsi" w:cstheme="minorHAnsi"/>
                <w:b/>
                <w:iCs/>
                <w:noProof/>
                <w:sz w:val="20"/>
              </w:rPr>
            </w:pPr>
            <w:r w:rsidRPr="00890249" w:rsidDel="00BB20B9">
              <w:rPr>
                <w:rFonts w:asciiTheme="minorHAnsi" w:hAnsiTheme="minorHAnsi" w:cstheme="minorHAnsi"/>
                <w:b/>
                <w:noProof/>
                <w:sz w:val="20"/>
              </w:rPr>
              <w:t>Kwota (w EUR)</w:t>
            </w:r>
          </w:p>
        </w:tc>
      </w:tr>
      <w:tr w:rsidR="00806BEC" w:rsidRPr="00890249" w:rsidDel="00BB20B9" w14:paraId="67562F65" w14:textId="77777777" w:rsidTr="00D0622E">
        <w:tc>
          <w:tcPr>
            <w:tcW w:w="1461" w:type="dxa"/>
            <w:vMerge w:val="restart"/>
            <w:vAlign w:val="center"/>
          </w:tcPr>
          <w:p w14:paraId="6509D17D" w14:textId="77777777" w:rsidR="00806BEC" w:rsidRPr="00890249" w:rsidRDefault="00806BEC" w:rsidP="00D0622E">
            <w:pPr>
              <w:jc w:val="center"/>
              <w:rPr>
                <w:rFonts w:asciiTheme="minorHAnsi" w:eastAsia="Times New Roman" w:hAnsiTheme="minorHAnsi" w:cstheme="minorHAnsi"/>
                <w:b/>
                <w:iCs/>
                <w:noProof/>
                <w:sz w:val="20"/>
              </w:rPr>
            </w:pPr>
            <w:r w:rsidRPr="00890249" w:rsidDel="00BB20B9">
              <w:rPr>
                <w:rFonts w:asciiTheme="minorHAnsi" w:eastAsia="Times New Roman" w:hAnsiTheme="minorHAnsi" w:cstheme="minorHAnsi"/>
                <w:iCs/>
                <w:noProof/>
                <w:sz w:val="20"/>
              </w:rPr>
              <w:t>CP 4</w:t>
            </w:r>
          </w:p>
        </w:tc>
        <w:tc>
          <w:tcPr>
            <w:tcW w:w="1258" w:type="dxa"/>
            <w:vMerge w:val="restart"/>
            <w:vAlign w:val="center"/>
          </w:tcPr>
          <w:p w14:paraId="44B6955B" w14:textId="77777777" w:rsidR="00806BEC" w:rsidRPr="00890249" w:rsidRDefault="00806BEC" w:rsidP="00D0622E">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EFS</w:t>
            </w:r>
            <w:r w:rsidRPr="00890249">
              <w:rPr>
                <w:rFonts w:asciiTheme="minorHAnsi" w:hAnsiTheme="minorHAnsi" w:cstheme="minorHAnsi"/>
                <w:noProof/>
                <w:sz w:val="20"/>
              </w:rPr>
              <w:t>+</w:t>
            </w:r>
          </w:p>
        </w:tc>
        <w:tc>
          <w:tcPr>
            <w:tcW w:w="1341" w:type="dxa"/>
            <w:vMerge w:val="restart"/>
            <w:vAlign w:val="center"/>
          </w:tcPr>
          <w:p w14:paraId="2B8CA1F2" w14:textId="77777777" w:rsidR="00806BEC" w:rsidRPr="00890249" w:rsidRDefault="00806BEC" w:rsidP="00D0622E">
            <w:pPr>
              <w:jc w:val="center"/>
              <w:rPr>
                <w:rFonts w:asciiTheme="minorHAnsi" w:eastAsia="Times New Roman" w:hAnsiTheme="minorHAnsi" w:cstheme="minorHAnsi"/>
                <w:b/>
                <w:iCs/>
                <w:noProof/>
                <w:sz w:val="20"/>
              </w:rPr>
            </w:pPr>
            <w:r w:rsidRPr="00890249" w:rsidDel="00BB20B9">
              <w:rPr>
                <w:rFonts w:asciiTheme="minorHAnsi" w:hAnsiTheme="minorHAnsi" w:cstheme="minorHAnsi"/>
                <w:noProof/>
                <w:sz w:val="20"/>
              </w:rPr>
              <w:t>słabiej rozwinięte</w:t>
            </w:r>
          </w:p>
        </w:tc>
        <w:tc>
          <w:tcPr>
            <w:tcW w:w="1542" w:type="dxa"/>
            <w:vMerge w:val="restart"/>
            <w:vAlign w:val="center"/>
          </w:tcPr>
          <w:p w14:paraId="4D2D8B3E" w14:textId="390BC749" w:rsidR="00806BEC" w:rsidRPr="009215F2" w:rsidRDefault="00806BEC" w:rsidP="00D0622E">
            <w:pPr>
              <w:ind w:left="360"/>
              <w:jc w:val="center"/>
              <w:rPr>
                <w:rFonts w:asciiTheme="minorHAnsi" w:eastAsia="Times New Roman" w:hAnsiTheme="minorHAnsi" w:cstheme="minorHAnsi"/>
                <w:iCs/>
                <w:noProof/>
                <w:sz w:val="20"/>
              </w:rPr>
            </w:pPr>
            <w:r w:rsidRPr="009215F2">
              <w:rPr>
                <w:rFonts w:asciiTheme="minorHAnsi" w:eastAsia="Times New Roman" w:hAnsiTheme="minorHAnsi" w:cstheme="minorHAnsi"/>
                <w:iCs/>
                <w:noProof/>
                <w:sz w:val="20"/>
              </w:rPr>
              <w:t>(</w:t>
            </w:r>
            <w:r>
              <w:rPr>
                <w:rFonts w:asciiTheme="minorHAnsi" w:eastAsia="Times New Roman" w:hAnsiTheme="minorHAnsi" w:cstheme="minorHAnsi"/>
                <w:iCs/>
                <w:noProof/>
                <w:sz w:val="20"/>
              </w:rPr>
              <w:t>l</w:t>
            </w:r>
            <w:r w:rsidRPr="009215F2">
              <w:rPr>
                <w:rFonts w:asciiTheme="minorHAnsi" w:eastAsia="Times New Roman" w:hAnsiTheme="minorHAnsi" w:cstheme="minorHAnsi"/>
                <w:iCs/>
                <w:noProof/>
                <w:sz w:val="20"/>
              </w:rPr>
              <w:t>)</w:t>
            </w:r>
          </w:p>
        </w:tc>
        <w:tc>
          <w:tcPr>
            <w:tcW w:w="1651" w:type="dxa"/>
            <w:vAlign w:val="center"/>
          </w:tcPr>
          <w:p w14:paraId="6743AA8E" w14:textId="77777777" w:rsidR="00806BEC" w:rsidRPr="00890249" w:rsidRDefault="00806BEC"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05</w:t>
            </w:r>
            <w:r w:rsidRPr="00890249">
              <w:rPr>
                <w:rFonts w:asciiTheme="minorHAnsi" w:eastAsia="Times New Roman" w:hAnsiTheme="minorHAnsi" w:cstheme="minorHAnsi"/>
                <w:iCs/>
                <w:noProof/>
                <w:sz w:val="20"/>
              </w:rPr>
              <w:t xml:space="preserve"> Niedyskryminacja</w:t>
            </w:r>
          </w:p>
        </w:tc>
        <w:tc>
          <w:tcPr>
            <w:tcW w:w="2069" w:type="dxa"/>
            <w:vAlign w:val="center"/>
          </w:tcPr>
          <w:p w14:paraId="29F2EC0B" w14:textId="017B4C21" w:rsidR="00806BEC" w:rsidRPr="00890249" w:rsidRDefault="006C6C3A"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806BEC" w:rsidRPr="00890249" w:rsidDel="00BB20B9" w14:paraId="6D83902F" w14:textId="77777777" w:rsidTr="00D0622E">
        <w:tc>
          <w:tcPr>
            <w:tcW w:w="1461" w:type="dxa"/>
            <w:vMerge/>
            <w:vAlign w:val="center"/>
          </w:tcPr>
          <w:p w14:paraId="706527E1" w14:textId="77777777" w:rsidR="00806BEC" w:rsidRPr="00890249" w:rsidRDefault="00806BEC" w:rsidP="00D0622E">
            <w:pPr>
              <w:rPr>
                <w:rFonts w:asciiTheme="minorHAnsi" w:eastAsia="Times New Roman" w:hAnsiTheme="minorHAnsi" w:cstheme="minorHAnsi"/>
                <w:iCs/>
                <w:noProof/>
                <w:sz w:val="20"/>
              </w:rPr>
            </w:pPr>
          </w:p>
        </w:tc>
        <w:tc>
          <w:tcPr>
            <w:tcW w:w="1258" w:type="dxa"/>
            <w:vMerge/>
            <w:vAlign w:val="center"/>
          </w:tcPr>
          <w:p w14:paraId="73B7DC0B" w14:textId="77777777" w:rsidR="00806BEC" w:rsidRPr="00890249" w:rsidRDefault="00806BEC" w:rsidP="00D0622E">
            <w:pPr>
              <w:rPr>
                <w:rFonts w:asciiTheme="minorHAnsi" w:hAnsiTheme="minorHAnsi" w:cstheme="minorHAnsi"/>
                <w:noProof/>
                <w:sz w:val="20"/>
              </w:rPr>
            </w:pPr>
          </w:p>
        </w:tc>
        <w:tc>
          <w:tcPr>
            <w:tcW w:w="1341" w:type="dxa"/>
            <w:vMerge/>
            <w:vAlign w:val="center"/>
          </w:tcPr>
          <w:p w14:paraId="6F819531" w14:textId="77777777" w:rsidR="00806BEC" w:rsidRPr="00890249" w:rsidRDefault="00806BEC" w:rsidP="00D0622E">
            <w:pPr>
              <w:rPr>
                <w:rFonts w:asciiTheme="minorHAnsi" w:hAnsiTheme="minorHAnsi" w:cstheme="minorHAnsi"/>
                <w:noProof/>
                <w:sz w:val="20"/>
              </w:rPr>
            </w:pPr>
          </w:p>
        </w:tc>
        <w:tc>
          <w:tcPr>
            <w:tcW w:w="1542" w:type="dxa"/>
            <w:vMerge/>
            <w:vAlign w:val="center"/>
          </w:tcPr>
          <w:p w14:paraId="59457B1A" w14:textId="77777777" w:rsidR="00806BEC" w:rsidRPr="00890249" w:rsidRDefault="00806BEC" w:rsidP="00D0622E">
            <w:pPr>
              <w:rPr>
                <w:rFonts w:asciiTheme="minorHAnsi" w:eastAsia="Times New Roman" w:hAnsiTheme="minorHAnsi" w:cstheme="minorHAnsi"/>
                <w:b/>
                <w:iCs/>
                <w:noProof/>
                <w:sz w:val="20"/>
              </w:rPr>
            </w:pPr>
          </w:p>
        </w:tc>
        <w:tc>
          <w:tcPr>
            <w:tcW w:w="1651" w:type="dxa"/>
            <w:vAlign w:val="center"/>
          </w:tcPr>
          <w:p w14:paraId="5990697D" w14:textId="77777777" w:rsidR="00806BEC" w:rsidRPr="00890249" w:rsidDel="00BB20B9" w:rsidRDefault="00806BEC"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08</w:t>
            </w:r>
            <w:r w:rsidRPr="00890249">
              <w:rPr>
                <w:rFonts w:asciiTheme="minorHAnsi" w:eastAsia="Times New Roman" w:hAnsiTheme="minorHAnsi" w:cstheme="minorHAnsi"/>
                <w:iCs/>
                <w:noProof/>
                <w:sz w:val="20"/>
              </w:rPr>
              <w:t xml:space="preserve"> Budowanie zdolności organizacji społeczeństwa obywatelskiego</w:t>
            </w:r>
          </w:p>
        </w:tc>
        <w:tc>
          <w:tcPr>
            <w:tcW w:w="2069" w:type="dxa"/>
            <w:vAlign w:val="center"/>
          </w:tcPr>
          <w:p w14:paraId="142BC079" w14:textId="7537F528" w:rsidR="00806BEC" w:rsidRPr="00890249" w:rsidDel="00BB20B9" w:rsidRDefault="006C6C3A"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806BEC" w:rsidRPr="00890249" w:rsidDel="00BB20B9" w14:paraId="73024F34" w14:textId="77777777" w:rsidTr="00D0622E">
        <w:tc>
          <w:tcPr>
            <w:tcW w:w="1461" w:type="dxa"/>
            <w:vMerge/>
            <w:vAlign w:val="center"/>
          </w:tcPr>
          <w:p w14:paraId="6B3F5E0C" w14:textId="77777777" w:rsidR="00806BEC" w:rsidRPr="00890249" w:rsidRDefault="00806BEC" w:rsidP="00D0622E">
            <w:pPr>
              <w:rPr>
                <w:rFonts w:asciiTheme="minorHAnsi" w:eastAsia="Times New Roman" w:hAnsiTheme="minorHAnsi" w:cstheme="minorHAnsi"/>
                <w:iCs/>
                <w:noProof/>
                <w:sz w:val="20"/>
              </w:rPr>
            </w:pPr>
          </w:p>
        </w:tc>
        <w:tc>
          <w:tcPr>
            <w:tcW w:w="1258" w:type="dxa"/>
            <w:vMerge/>
            <w:vAlign w:val="center"/>
          </w:tcPr>
          <w:p w14:paraId="7907DFAD" w14:textId="77777777" w:rsidR="00806BEC" w:rsidRPr="00890249" w:rsidRDefault="00806BEC" w:rsidP="00D0622E">
            <w:pPr>
              <w:rPr>
                <w:rFonts w:asciiTheme="minorHAnsi" w:hAnsiTheme="minorHAnsi" w:cstheme="minorHAnsi"/>
                <w:noProof/>
                <w:sz w:val="20"/>
              </w:rPr>
            </w:pPr>
          </w:p>
        </w:tc>
        <w:tc>
          <w:tcPr>
            <w:tcW w:w="1341" w:type="dxa"/>
            <w:vMerge/>
            <w:vAlign w:val="center"/>
          </w:tcPr>
          <w:p w14:paraId="3E1CF0A6" w14:textId="77777777" w:rsidR="00806BEC" w:rsidRPr="00890249" w:rsidRDefault="00806BEC" w:rsidP="00D0622E">
            <w:pPr>
              <w:rPr>
                <w:rFonts w:asciiTheme="minorHAnsi" w:hAnsiTheme="minorHAnsi" w:cstheme="minorHAnsi"/>
                <w:noProof/>
                <w:sz w:val="20"/>
              </w:rPr>
            </w:pPr>
          </w:p>
        </w:tc>
        <w:tc>
          <w:tcPr>
            <w:tcW w:w="1542" w:type="dxa"/>
            <w:vMerge/>
            <w:vAlign w:val="center"/>
          </w:tcPr>
          <w:p w14:paraId="7748F36F" w14:textId="77777777" w:rsidR="00806BEC" w:rsidRPr="00890249" w:rsidRDefault="00806BEC" w:rsidP="00D0622E">
            <w:pPr>
              <w:rPr>
                <w:rFonts w:asciiTheme="minorHAnsi" w:eastAsia="Times New Roman" w:hAnsiTheme="minorHAnsi" w:cstheme="minorHAnsi"/>
                <w:b/>
                <w:iCs/>
                <w:noProof/>
                <w:sz w:val="20"/>
              </w:rPr>
            </w:pPr>
          </w:p>
        </w:tc>
        <w:tc>
          <w:tcPr>
            <w:tcW w:w="1651" w:type="dxa"/>
            <w:vAlign w:val="center"/>
          </w:tcPr>
          <w:p w14:paraId="44AFCF14" w14:textId="77777777" w:rsidR="00806BEC" w:rsidRPr="00890249" w:rsidDel="00BB20B9" w:rsidRDefault="00806BEC" w:rsidP="00D0622E">
            <w:pPr>
              <w:jc w:val="center"/>
              <w:rPr>
                <w:rFonts w:asciiTheme="minorHAnsi" w:eastAsia="Times New Roman" w:hAnsiTheme="minorHAnsi" w:cstheme="minorHAnsi"/>
                <w:iCs/>
                <w:noProof/>
                <w:sz w:val="20"/>
              </w:rPr>
            </w:pPr>
            <w:r w:rsidRPr="00890249" w:rsidDel="00BB20B9">
              <w:rPr>
                <w:rFonts w:asciiTheme="minorHAnsi" w:eastAsia="Times New Roman" w:hAnsiTheme="minorHAnsi" w:cstheme="minorHAnsi"/>
                <w:iCs/>
                <w:noProof/>
                <w:sz w:val="20"/>
              </w:rPr>
              <w:t>09</w:t>
            </w:r>
            <w:r w:rsidRPr="00890249">
              <w:rPr>
                <w:rFonts w:asciiTheme="minorHAnsi" w:eastAsia="Times New Roman" w:hAnsiTheme="minorHAnsi" w:cstheme="minorHAnsi"/>
                <w:iCs/>
                <w:noProof/>
                <w:sz w:val="20"/>
              </w:rPr>
              <w:t xml:space="preserve"> Nie dotyczy</w:t>
            </w:r>
          </w:p>
        </w:tc>
        <w:tc>
          <w:tcPr>
            <w:tcW w:w="2069" w:type="dxa"/>
            <w:vAlign w:val="center"/>
          </w:tcPr>
          <w:p w14:paraId="27A7FF85" w14:textId="66D2DE32" w:rsidR="00806BEC" w:rsidRPr="00890249" w:rsidDel="00BB20B9" w:rsidRDefault="006C6C3A"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r w:rsidR="00806BEC" w:rsidRPr="00890249" w:rsidDel="00BB20B9" w14:paraId="6EC95E04" w14:textId="77777777" w:rsidTr="00D0622E">
        <w:tc>
          <w:tcPr>
            <w:tcW w:w="1461" w:type="dxa"/>
            <w:vMerge/>
            <w:vAlign w:val="center"/>
          </w:tcPr>
          <w:p w14:paraId="3AA57F71" w14:textId="77777777" w:rsidR="00806BEC" w:rsidRPr="00890249" w:rsidRDefault="00806BEC" w:rsidP="00D0622E">
            <w:pPr>
              <w:rPr>
                <w:rFonts w:asciiTheme="minorHAnsi" w:eastAsia="Times New Roman" w:hAnsiTheme="minorHAnsi" w:cstheme="minorHAnsi"/>
                <w:iCs/>
                <w:noProof/>
                <w:sz w:val="20"/>
              </w:rPr>
            </w:pPr>
          </w:p>
        </w:tc>
        <w:tc>
          <w:tcPr>
            <w:tcW w:w="1258" w:type="dxa"/>
            <w:vMerge/>
            <w:vAlign w:val="center"/>
          </w:tcPr>
          <w:p w14:paraId="7A16EE22" w14:textId="77777777" w:rsidR="00806BEC" w:rsidRPr="00890249" w:rsidRDefault="00806BEC" w:rsidP="00D0622E">
            <w:pPr>
              <w:rPr>
                <w:rFonts w:asciiTheme="minorHAnsi" w:hAnsiTheme="minorHAnsi" w:cstheme="minorHAnsi"/>
                <w:noProof/>
                <w:sz w:val="20"/>
              </w:rPr>
            </w:pPr>
          </w:p>
        </w:tc>
        <w:tc>
          <w:tcPr>
            <w:tcW w:w="1341" w:type="dxa"/>
            <w:vMerge/>
            <w:vAlign w:val="center"/>
          </w:tcPr>
          <w:p w14:paraId="5CBA979E" w14:textId="77777777" w:rsidR="00806BEC" w:rsidRPr="00890249" w:rsidRDefault="00806BEC" w:rsidP="00D0622E">
            <w:pPr>
              <w:rPr>
                <w:rFonts w:asciiTheme="minorHAnsi" w:hAnsiTheme="minorHAnsi" w:cstheme="minorHAnsi"/>
                <w:noProof/>
                <w:sz w:val="20"/>
              </w:rPr>
            </w:pPr>
          </w:p>
        </w:tc>
        <w:tc>
          <w:tcPr>
            <w:tcW w:w="1542" w:type="dxa"/>
            <w:vMerge/>
            <w:vAlign w:val="center"/>
          </w:tcPr>
          <w:p w14:paraId="7D577F9B" w14:textId="77777777" w:rsidR="00806BEC" w:rsidRPr="00890249" w:rsidRDefault="00806BEC" w:rsidP="00D0622E">
            <w:pPr>
              <w:rPr>
                <w:rFonts w:asciiTheme="minorHAnsi" w:eastAsia="Times New Roman" w:hAnsiTheme="minorHAnsi" w:cstheme="minorHAnsi"/>
                <w:b/>
                <w:iCs/>
                <w:noProof/>
                <w:sz w:val="20"/>
              </w:rPr>
            </w:pPr>
          </w:p>
        </w:tc>
        <w:tc>
          <w:tcPr>
            <w:tcW w:w="1651" w:type="dxa"/>
            <w:vAlign w:val="center"/>
          </w:tcPr>
          <w:p w14:paraId="20C75D23" w14:textId="77777777" w:rsidR="00806BEC" w:rsidRPr="00890249" w:rsidDel="00BB20B9" w:rsidRDefault="00806BEC" w:rsidP="00D0622E">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10 Działania podejmowane w odpowiedzi na wyzwania wskazane w ramach semestru europejskiego</w:t>
            </w:r>
          </w:p>
        </w:tc>
        <w:tc>
          <w:tcPr>
            <w:tcW w:w="2069" w:type="dxa"/>
            <w:vAlign w:val="center"/>
          </w:tcPr>
          <w:p w14:paraId="1B4CDD10" w14:textId="069D487F" w:rsidR="00806BEC" w:rsidRPr="00890249" w:rsidRDefault="006C6C3A" w:rsidP="00D0622E">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391030D4" w14:textId="77777777" w:rsidR="001D2ABD" w:rsidRDefault="001D2ABD" w:rsidP="00BB20B9">
      <w:pPr>
        <w:rPr>
          <w:rFonts w:asciiTheme="minorHAnsi" w:eastAsiaTheme="minorHAnsi" w:hAnsiTheme="minorHAnsi" w:cstheme="minorHAnsi"/>
          <w:color w:val="FF0000"/>
          <w:sz w:val="32"/>
          <w:szCs w:val="24"/>
          <w:lang w:bidi="ar-SA"/>
        </w:rPr>
      </w:pPr>
    </w:p>
    <w:p w14:paraId="7F89D1EA" w14:textId="77777777" w:rsidR="00BA6F7F" w:rsidRDefault="00BA6F7F" w:rsidP="00BB20B9">
      <w:pPr>
        <w:rPr>
          <w:rFonts w:asciiTheme="minorHAnsi" w:eastAsiaTheme="minorHAnsi" w:hAnsiTheme="minorHAnsi" w:cstheme="minorHAnsi"/>
          <w:color w:val="FF0000"/>
          <w:sz w:val="32"/>
          <w:szCs w:val="24"/>
          <w:lang w:bidi="ar-SA"/>
        </w:rPr>
      </w:pPr>
    </w:p>
    <w:p w14:paraId="0E35BBD5" w14:textId="77777777" w:rsidR="00EF2E2A" w:rsidRDefault="00EF2E2A" w:rsidP="00BB20B9">
      <w:pPr>
        <w:rPr>
          <w:rFonts w:asciiTheme="minorHAnsi" w:eastAsiaTheme="minorHAnsi" w:hAnsiTheme="minorHAnsi" w:cstheme="minorHAnsi"/>
          <w:color w:val="FF0000"/>
          <w:sz w:val="32"/>
          <w:szCs w:val="24"/>
          <w:lang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251"/>
        <w:gridCol w:w="1337"/>
        <w:gridCol w:w="1535"/>
        <w:gridCol w:w="1757"/>
        <w:gridCol w:w="1989"/>
      </w:tblGrid>
      <w:tr w:rsidR="00806BEC" w:rsidRPr="00890249" w:rsidDel="00BB20B9" w14:paraId="24C23C48" w14:textId="77777777" w:rsidTr="00D0622E">
        <w:tc>
          <w:tcPr>
            <w:tcW w:w="9322" w:type="dxa"/>
            <w:gridSpan w:val="6"/>
            <w:shd w:val="clear" w:color="auto" w:fill="D9D9D9" w:themeFill="background1" w:themeFillShade="D9"/>
          </w:tcPr>
          <w:p w14:paraId="57FD2005" w14:textId="77777777" w:rsidR="00806BEC" w:rsidRPr="00890249" w:rsidDel="00BB20B9" w:rsidRDefault="00806BEC" w:rsidP="00D0622E">
            <w:pPr>
              <w:rPr>
                <w:rFonts w:asciiTheme="minorHAnsi" w:hAnsiTheme="minorHAnsi" w:cstheme="minorHAnsi"/>
                <w:b/>
                <w:sz w:val="20"/>
              </w:rPr>
            </w:pPr>
            <w:r w:rsidRPr="00890249" w:rsidDel="00BB20B9">
              <w:rPr>
                <w:rFonts w:asciiTheme="minorHAnsi" w:hAnsiTheme="minorHAnsi" w:cstheme="minorHAnsi"/>
                <w:b/>
                <w:sz w:val="20"/>
              </w:rPr>
              <w:t>Tabela 8: Wymiar 7 – wymiar „Równouprawnienie płci” w ramach EFS+, EFRR, Fundusz Spójności i FST</w:t>
            </w:r>
          </w:p>
        </w:tc>
      </w:tr>
      <w:tr w:rsidR="00806BEC" w:rsidRPr="00890249" w:rsidDel="00BB20B9" w14:paraId="50207470" w14:textId="77777777" w:rsidTr="00D0622E">
        <w:tc>
          <w:tcPr>
            <w:tcW w:w="1566" w:type="dxa"/>
            <w:shd w:val="clear" w:color="auto" w:fill="F2F2F2" w:themeFill="background1" w:themeFillShade="F2"/>
            <w:vAlign w:val="center"/>
          </w:tcPr>
          <w:p w14:paraId="4A8F4F2D" w14:textId="77777777" w:rsidR="00806BEC" w:rsidRPr="00F62734" w:rsidDel="00BB20B9" w:rsidRDefault="00806BEC" w:rsidP="00F62734">
            <w:pPr>
              <w:jc w:val="center"/>
              <w:rPr>
                <w:rFonts w:asciiTheme="minorHAnsi" w:hAnsiTheme="minorHAnsi" w:cstheme="minorHAnsi"/>
                <w:b/>
                <w:iCs/>
                <w:sz w:val="20"/>
              </w:rPr>
            </w:pPr>
            <w:r w:rsidRPr="00F62734" w:rsidDel="00BB20B9">
              <w:rPr>
                <w:rFonts w:asciiTheme="minorHAnsi" w:hAnsiTheme="minorHAnsi" w:cstheme="minorHAnsi"/>
                <w:b/>
                <w:sz w:val="20"/>
              </w:rPr>
              <w:t>Nr priorytetu</w:t>
            </w:r>
          </w:p>
        </w:tc>
        <w:tc>
          <w:tcPr>
            <w:tcW w:w="1354" w:type="dxa"/>
            <w:shd w:val="clear" w:color="auto" w:fill="F2F2F2" w:themeFill="background1" w:themeFillShade="F2"/>
            <w:vAlign w:val="center"/>
          </w:tcPr>
          <w:p w14:paraId="76DD53F3" w14:textId="77777777" w:rsidR="00806BEC" w:rsidRPr="00F62734" w:rsidDel="00BB20B9" w:rsidRDefault="00806BEC" w:rsidP="00F62734">
            <w:pPr>
              <w:jc w:val="center"/>
              <w:rPr>
                <w:rFonts w:asciiTheme="minorHAnsi" w:hAnsiTheme="minorHAnsi" w:cstheme="minorHAnsi"/>
                <w:b/>
                <w:iCs/>
                <w:sz w:val="20"/>
              </w:rPr>
            </w:pPr>
            <w:r w:rsidRPr="00F62734" w:rsidDel="00BB20B9">
              <w:rPr>
                <w:rFonts w:asciiTheme="minorHAnsi" w:hAnsiTheme="minorHAnsi" w:cstheme="minorHAnsi"/>
                <w:b/>
                <w:sz w:val="20"/>
              </w:rPr>
              <w:t>Fundusz</w:t>
            </w:r>
          </w:p>
        </w:tc>
        <w:tc>
          <w:tcPr>
            <w:tcW w:w="1412" w:type="dxa"/>
            <w:shd w:val="clear" w:color="auto" w:fill="F2F2F2" w:themeFill="background1" w:themeFillShade="F2"/>
            <w:vAlign w:val="center"/>
          </w:tcPr>
          <w:p w14:paraId="23EA92FB" w14:textId="77777777" w:rsidR="00806BEC" w:rsidRPr="00AF0710" w:rsidDel="00BB20B9" w:rsidRDefault="00806BEC" w:rsidP="00F62734">
            <w:pPr>
              <w:jc w:val="center"/>
              <w:rPr>
                <w:rFonts w:asciiTheme="minorHAnsi" w:hAnsiTheme="minorHAnsi" w:cstheme="minorHAnsi"/>
                <w:b/>
                <w:iCs/>
                <w:sz w:val="20"/>
              </w:rPr>
            </w:pPr>
            <w:r w:rsidRPr="00AF0710" w:rsidDel="00BB20B9">
              <w:rPr>
                <w:rFonts w:asciiTheme="minorHAnsi" w:hAnsiTheme="minorHAnsi" w:cstheme="minorHAnsi"/>
                <w:b/>
                <w:sz w:val="20"/>
              </w:rPr>
              <w:t>Kategoria regionu</w:t>
            </w:r>
          </w:p>
        </w:tc>
        <w:tc>
          <w:tcPr>
            <w:tcW w:w="1619" w:type="dxa"/>
            <w:shd w:val="clear" w:color="auto" w:fill="F2F2F2" w:themeFill="background1" w:themeFillShade="F2"/>
            <w:vAlign w:val="center"/>
          </w:tcPr>
          <w:p w14:paraId="79156AD7" w14:textId="77777777" w:rsidR="00806BEC" w:rsidRPr="00AF0710" w:rsidDel="00BB20B9" w:rsidRDefault="00806BEC" w:rsidP="00F62734">
            <w:pPr>
              <w:jc w:val="center"/>
              <w:rPr>
                <w:rFonts w:asciiTheme="minorHAnsi" w:hAnsiTheme="minorHAnsi" w:cstheme="minorHAnsi"/>
                <w:b/>
                <w:iCs/>
                <w:sz w:val="20"/>
              </w:rPr>
            </w:pPr>
            <w:r w:rsidRPr="00AF0710" w:rsidDel="00BB20B9">
              <w:rPr>
                <w:rFonts w:asciiTheme="minorHAnsi" w:hAnsiTheme="minorHAnsi" w:cstheme="minorHAnsi"/>
                <w:b/>
                <w:sz w:val="20"/>
              </w:rPr>
              <w:t>Cel szczegółowy</w:t>
            </w:r>
          </w:p>
        </w:tc>
        <w:tc>
          <w:tcPr>
            <w:tcW w:w="1022" w:type="dxa"/>
            <w:shd w:val="clear" w:color="auto" w:fill="F2F2F2" w:themeFill="background1" w:themeFillShade="F2"/>
            <w:vAlign w:val="center"/>
          </w:tcPr>
          <w:p w14:paraId="45B0BB22" w14:textId="77777777" w:rsidR="00806BEC" w:rsidRPr="00AF0710" w:rsidDel="00BB20B9" w:rsidRDefault="00806BEC" w:rsidP="00F62734">
            <w:pPr>
              <w:jc w:val="center"/>
              <w:rPr>
                <w:rFonts w:asciiTheme="minorHAnsi" w:hAnsiTheme="minorHAnsi" w:cstheme="minorHAnsi"/>
                <w:b/>
                <w:iCs/>
                <w:sz w:val="20"/>
              </w:rPr>
            </w:pPr>
            <w:r w:rsidRPr="00AF0710" w:rsidDel="00BB20B9">
              <w:rPr>
                <w:rFonts w:asciiTheme="minorHAnsi" w:hAnsiTheme="minorHAnsi" w:cstheme="minorHAnsi"/>
                <w:b/>
                <w:sz w:val="20"/>
              </w:rPr>
              <w:t>Kod</w:t>
            </w:r>
          </w:p>
        </w:tc>
        <w:tc>
          <w:tcPr>
            <w:tcW w:w="2349" w:type="dxa"/>
            <w:shd w:val="clear" w:color="auto" w:fill="F2F2F2" w:themeFill="background1" w:themeFillShade="F2"/>
            <w:vAlign w:val="center"/>
          </w:tcPr>
          <w:p w14:paraId="2807D91A" w14:textId="77777777" w:rsidR="00806BEC" w:rsidRPr="00AF0710" w:rsidDel="00BB20B9" w:rsidRDefault="00806BEC" w:rsidP="00F62734">
            <w:pPr>
              <w:jc w:val="center"/>
              <w:rPr>
                <w:rFonts w:asciiTheme="minorHAnsi" w:hAnsiTheme="minorHAnsi" w:cstheme="minorHAnsi"/>
                <w:b/>
                <w:iCs/>
                <w:sz w:val="20"/>
              </w:rPr>
            </w:pPr>
            <w:r w:rsidRPr="00AF0710" w:rsidDel="00BB20B9">
              <w:rPr>
                <w:rFonts w:asciiTheme="minorHAnsi" w:hAnsiTheme="minorHAnsi" w:cstheme="minorHAnsi"/>
                <w:b/>
                <w:sz w:val="20"/>
              </w:rPr>
              <w:t>Kwota (w EUR)</w:t>
            </w:r>
          </w:p>
        </w:tc>
      </w:tr>
      <w:tr w:rsidR="00806BEC" w:rsidRPr="00890249" w:rsidDel="00BB20B9" w14:paraId="32D8CA14" w14:textId="77777777" w:rsidTr="00D0622E">
        <w:tc>
          <w:tcPr>
            <w:tcW w:w="1566" w:type="dxa"/>
            <w:shd w:val="clear" w:color="auto" w:fill="auto"/>
            <w:vAlign w:val="center"/>
          </w:tcPr>
          <w:p w14:paraId="081FDD29" w14:textId="77777777" w:rsidR="00806BEC" w:rsidRPr="00890249" w:rsidRDefault="00806BEC" w:rsidP="00D0622E">
            <w:pPr>
              <w:jc w:val="center"/>
              <w:rPr>
                <w:rFonts w:asciiTheme="minorHAnsi" w:hAnsiTheme="minorHAnsi" w:cstheme="minorHAnsi"/>
                <w:iCs/>
                <w:sz w:val="20"/>
              </w:rPr>
            </w:pPr>
            <w:r w:rsidRPr="00890249" w:rsidDel="00BB20B9">
              <w:rPr>
                <w:rFonts w:asciiTheme="minorHAnsi" w:hAnsiTheme="minorHAnsi" w:cstheme="minorHAnsi"/>
                <w:iCs/>
                <w:sz w:val="20"/>
              </w:rPr>
              <w:t>CP 4</w:t>
            </w:r>
          </w:p>
        </w:tc>
        <w:tc>
          <w:tcPr>
            <w:tcW w:w="1354" w:type="dxa"/>
            <w:shd w:val="clear" w:color="auto" w:fill="auto"/>
            <w:vAlign w:val="center"/>
          </w:tcPr>
          <w:p w14:paraId="497413A8" w14:textId="77777777" w:rsidR="00806BEC" w:rsidRPr="00890249" w:rsidRDefault="00806BEC" w:rsidP="00D0622E">
            <w:pPr>
              <w:jc w:val="center"/>
              <w:rPr>
                <w:rFonts w:asciiTheme="minorHAnsi" w:hAnsiTheme="minorHAnsi" w:cstheme="minorHAnsi"/>
                <w:sz w:val="20"/>
              </w:rPr>
            </w:pPr>
            <w:r w:rsidRPr="00890249">
              <w:rPr>
                <w:rFonts w:asciiTheme="minorHAnsi" w:hAnsiTheme="minorHAnsi" w:cstheme="minorHAnsi"/>
                <w:sz w:val="20"/>
              </w:rPr>
              <w:t>EFS+</w:t>
            </w:r>
          </w:p>
        </w:tc>
        <w:tc>
          <w:tcPr>
            <w:tcW w:w="1412" w:type="dxa"/>
            <w:shd w:val="clear" w:color="auto" w:fill="auto"/>
            <w:vAlign w:val="center"/>
          </w:tcPr>
          <w:p w14:paraId="052302DB" w14:textId="77777777" w:rsidR="00806BEC" w:rsidRPr="00890249" w:rsidRDefault="00806BEC" w:rsidP="00D0622E">
            <w:pPr>
              <w:jc w:val="center"/>
              <w:rPr>
                <w:rFonts w:asciiTheme="minorHAnsi" w:hAnsiTheme="minorHAnsi" w:cstheme="minorHAnsi"/>
                <w:iCs/>
                <w:sz w:val="20"/>
              </w:rPr>
            </w:pPr>
            <w:r w:rsidRPr="00890249" w:rsidDel="00BB20B9">
              <w:rPr>
                <w:rFonts w:asciiTheme="minorHAnsi" w:hAnsiTheme="minorHAnsi" w:cstheme="minorHAnsi"/>
                <w:sz w:val="20"/>
              </w:rPr>
              <w:t>słabiej rozwinięte</w:t>
            </w:r>
          </w:p>
        </w:tc>
        <w:tc>
          <w:tcPr>
            <w:tcW w:w="1619" w:type="dxa"/>
            <w:vAlign w:val="center"/>
          </w:tcPr>
          <w:p w14:paraId="2B313179" w14:textId="750E9E45" w:rsidR="00806BEC" w:rsidRPr="00890249" w:rsidRDefault="00806BEC" w:rsidP="00D0622E">
            <w:pPr>
              <w:pStyle w:val="Akapitzlist"/>
              <w:ind w:left="398"/>
              <w:rPr>
                <w:rFonts w:asciiTheme="minorHAnsi" w:hAnsiTheme="minorHAnsi" w:cstheme="minorHAnsi"/>
                <w:iCs/>
                <w:sz w:val="20"/>
              </w:rPr>
            </w:pPr>
            <w:r>
              <w:rPr>
                <w:rFonts w:asciiTheme="minorHAnsi" w:hAnsiTheme="minorHAnsi" w:cstheme="minorHAnsi"/>
                <w:noProof/>
                <w:sz w:val="20"/>
              </w:rPr>
              <w:t>(l)</w:t>
            </w:r>
          </w:p>
        </w:tc>
        <w:tc>
          <w:tcPr>
            <w:tcW w:w="1022" w:type="dxa"/>
            <w:vAlign w:val="center"/>
          </w:tcPr>
          <w:p w14:paraId="1943C55A" w14:textId="77777777" w:rsidR="00806BEC" w:rsidRPr="00890249" w:rsidRDefault="00806BEC" w:rsidP="00D0622E">
            <w:pPr>
              <w:jc w:val="center"/>
              <w:rPr>
                <w:rFonts w:asciiTheme="minorHAnsi" w:hAnsiTheme="minorHAnsi" w:cstheme="minorHAnsi"/>
                <w:iCs/>
                <w:sz w:val="20"/>
              </w:rPr>
            </w:pPr>
            <w:r>
              <w:rPr>
                <w:rFonts w:asciiTheme="minorHAnsi" w:eastAsia="Times New Roman" w:hAnsiTheme="minorHAnsi" w:cstheme="minorHAnsi"/>
                <w:iCs/>
                <w:noProof/>
                <w:sz w:val="20"/>
              </w:rPr>
              <w:t>02 Projekty uwzględniające kwestię równouprawniania płci</w:t>
            </w:r>
          </w:p>
        </w:tc>
        <w:tc>
          <w:tcPr>
            <w:tcW w:w="2349" w:type="dxa"/>
            <w:vAlign w:val="center"/>
          </w:tcPr>
          <w:p w14:paraId="57F6D1BB" w14:textId="3609AD91" w:rsidR="00806BEC" w:rsidRPr="00890249" w:rsidRDefault="006C6C3A" w:rsidP="00D0622E">
            <w:pPr>
              <w:jc w:val="right"/>
              <w:rPr>
                <w:rFonts w:asciiTheme="minorHAnsi" w:hAnsiTheme="minorHAnsi" w:cstheme="minorHAnsi"/>
                <w:iCs/>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0</w:t>
            </w:r>
          </w:p>
        </w:tc>
      </w:tr>
    </w:tbl>
    <w:p w14:paraId="3D2E05B7" w14:textId="77777777" w:rsidR="001D2ABD" w:rsidRDefault="001D2ABD" w:rsidP="00BB20B9">
      <w:pPr>
        <w:rPr>
          <w:rFonts w:asciiTheme="minorHAnsi" w:eastAsiaTheme="minorHAnsi" w:hAnsiTheme="minorHAnsi" w:cstheme="minorHAnsi"/>
          <w:color w:val="FF0000"/>
          <w:sz w:val="32"/>
          <w:szCs w:val="24"/>
          <w:lang w:bidi="ar-SA"/>
        </w:rPr>
      </w:pPr>
    </w:p>
    <w:p w14:paraId="6546F6B7" w14:textId="77777777" w:rsidR="00BA6F7F" w:rsidRDefault="00BA6F7F" w:rsidP="00BB20B9">
      <w:pPr>
        <w:rPr>
          <w:rFonts w:asciiTheme="minorHAnsi" w:eastAsiaTheme="minorHAnsi" w:hAnsiTheme="minorHAnsi" w:cstheme="minorHAnsi"/>
          <w:color w:val="FF0000"/>
          <w:sz w:val="32"/>
          <w:szCs w:val="24"/>
          <w:lang w:bidi="ar-SA"/>
        </w:rPr>
      </w:pPr>
    </w:p>
    <w:p w14:paraId="6E73BC4B" w14:textId="77777777" w:rsidR="00BA6F7F" w:rsidRDefault="00BA6F7F" w:rsidP="00BB20B9">
      <w:pPr>
        <w:rPr>
          <w:rFonts w:asciiTheme="minorHAnsi" w:eastAsiaTheme="minorHAnsi" w:hAnsiTheme="minorHAnsi" w:cstheme="minorHAnsi"/>
          <w:color w:val="FF0000"/>
          <w:sz w:val="32"/>
          <w:szCs w:val="24"/>
          <w:lang w:bidi="ar-SA"/>
        </w:rPr>
      </w:pPr>
    </w:p>
    <w:p w14:paraId="690B8613" w14:textId="77777777" w:rsidR="00BA6F7F" w:rsidRDefault="00BA6F7F" w:rsidP="00BB20B9">
      <w:pPr>
        <w:rPr>
          <w:rFonts w:asciiTheme="minorHAnsi" w:eastAsiaTheme="minorHAnsi" w:hAnsiTheme="minorHAnsi" w:cstheme="minorHAnsi"/>
          <w:color w:val="FF0000"/>
          <w:sz w:val="32"/>
          <w:szCs w:val="24"/>
          <w:lang w:bidi="ar-SA"/>
        </w:rPr>
      </w:pPr>
    </w:p>
    <w:p w14:paraId="7A23786A" w14:textId="77777777" w:rsidR="00BA6F7F" w:rsidRDefault="00BA6F7F" w:rsidP="00BB20B9">
      <w:pPr>
        <w:rPr>
          <w:rFonts w:asciiTheme="minorHAnsi" w:eastAsiaTheme="minorHAnsi" w:hAnsiTheme="minorHAnsi" w:cstheme="minorHAnsi"/>
          <w:color w:val="FF0000"/>
          <w:sz w:val="32"/>
          <w:szCs w:val="24"/>
          <w:lang w:bidi="ar-SA"/>
        </w:rPr>
      </w:pPr>
    </w:p>
    <w:p w14:paraId="3DCF81D4" w14:textId="77777777" w:rsidR="00BA6F7F" w:rsidRDefault="00BA6F7F" w:rsidP="00BB20B9">
      <w:pPr>
        <w:rPr>
          <w:rFonts w:asciiTheme="minorHAnsi" w:eastAsiaTheme="minorHAnsi" w:hAnsiTheme="minorHAnsi" w:cstheme="minorHAnsi"/>
          <w:color w:val="FF0000"/>
          <w:sz w:val="32"/>
          <w:szCs w:val="24"/>
          <w:lang w:bidi="ar-SA"/>
        </w:rPr>
      </w:pPr>
    </w:p>
    <w:p w14:paraId="5CB47DA7" w14:textId="77777777" w:rsidR="00BA6F7F" w:rsidRDefault="00BA6F7F" w:rsidP="00BB20B9">
      <w:pPr>
        <w:rPr>
          <w:rFonts w:asciiTheme="minorHAnsi" w:eastAsiaTheme="minorHAnsi" w:hAnsiTheme="minorHAnsi" w:cstheme="minorHAnsi"/>
          <w:color w:val="FF0000"/>
          <w:sz w:val="32"/>
          <w:szCs w:val="24"/>
          <w:lang w:bidi="ar-SA"/>
        </w:rPr>
      </w:pPr>
    </w:p>
    <w:p w14:paraId="13454F21" w14:textId="77777777" w:rsidR="00BA6F7F" w:rsidRDefault="00BA6F7F" w:rsidP="00BB20B9">
      <w:pPr>
        <w:rPr>
          <w:rFonts w:asciiTheme="minorHAnsi" w:eastAsiaTheme="minorHAnsi" w:hAnsiTheme="minorHAnsi" w:cstheme="minorHAnsi"/>
          <w:color w:val="FF0000"/>
          <w:sz w:val="32"/>
          <w:szCs w:val="24"/>
          <w:lang w:bidi="ar-SA"/>
        </w:rPr>
      </w:pPr>
    </w:p>
    <w:p w14:paraId="7D76BA58" w14:textId="77777777" w:rsidR="00BA6F7F" w:rsidRDefault="00BA6F7F" w:rsidP="00BB20B9">
      <w:pPr>
        <w:rPr>
          <w:rFonts w:asciiTheme="minorHAnsi" w:eastAsiaTheme="minorHAnsi" w:hAnsiTheme="minorHAnsi" w:cstheme="minorHAnsi"/>
          <w:color w:val="FF0000"/>
          <w:sz w:val="32"/>
          <w:szCs w:val="24"/>
          <w:lang w:bidi="ar-SA"/>
        </w:rPr>
      </w:pPr>
    </w:p>
    <w:p w14:paraId="4ED7B881" w14:textId="77777777" w:rsidR="00BA6F7F" w:rsidRDefault="00BA6F7F" w:rsidP="00BB20B9">
      <w:pPr>
        <w:rPr>
          <w:rFonts w:asciiTheme="minorHAnsi" w:eastAsiaTheme="minorHAnsi" w:hAnsiTheme="minorHAnsi" w:cstheme="minorHAnsi"/>
          <w:color w:val="FF0000"/>
          <w:sz w:val="32"/>
          <w:szCs w:val="24"/>
          <w:lang w:bidi="ar-SA"/>
        </w:rPr>
      </w:pPr>
    </w:p>
    <w:p w14:paraId="44CE147D" w14:textId="77777777" w:rsidR="00BA6F7F" w:rsidRDefault="00BA6F7F" w:rsidP="00BB20B9">
      <w:pPr>
        <w:rPr>
          <w:rFonts w:asciiTheme="minorHAnsi" w:eastAsiaTheme="minorHAnsi" w:hAnsiTheme="minorHAnsi" w:cstheme="minorHAnsi"/>
          <w:color w:val="FF0000"/>
          <w:sz w:val="32"/>
          <w:szCs w:val="24"/>
          <w:lang w:bidi="ar-SA"/>
        </w:rPr>
      </w:pPr>
    </w:p>
    <w:p w14:paraId="30F4E145" w14:textId="77777777" w:rsidR="00BA6F7F" w:rsidRDefault="00BA6F7F" w:rsidP="00BB20B9">
      <w:pPr>
        <w:rPr>
          <w:rFonts w:asciiTheme="minorHAnsi" w:eastAsiaTheme="minorHAnsi" w:hAnsiTheme="minorHAnsi" w:cstheme="minorHAnsi"/>
          <w:color w:val="FF0000"/>
          <w:sz w:val="32"/>
          <w:szCs w:val="24"/>
          <w:lang w:bidi="ar-SA"/>
        </w:rPr>
      </w:pPr>
    </w:p>
    <w:p w14:paraId="0554FF8D" w14:textId="77777777" w:rsidR="00BA6F7F" w:rsidRDefault="00BA6F7F" w:rsidP="00BB20B9">
      <w:pPr>
        <w:rPr>
          <w:rFonts w:asciiTheme="minorHAnsi" w:eastAsiaTheme="minorHAnsi" w:hAnsiTheme="minorHAnsi" w:cstheme="minorHAnsi"/>
          <w:color w:val="FF0000"/>
          <w:sz w:val="32"/>
          <w:szCs w:val="24"/>
          <w:lang w:bidi="ar-SA"/>
        </w:rPr>
      </w:pPr>
    </w:p>
    <w:p w14:paraId="28DC7082" w14:textId="77777777" w:rsidR="00BA6F7F" w:rsidRDefault="00BA6F7F" w:rsidP="00BB20B9">
      <w:pPr>
        <w:rPr>
          <w:rFonts w:asciiTheme="minorHAnsi" w:eastAsiaTheme="minorHAnsi" w:hAnsiTheme="minorHAnsi" w:cstheme="minorHAnsi"/>
          <w:color w:val="FF0000"/>
          <w:sz w:val="32"/>
          <w:szCs w:val="24"/>
          <w:lang w:bidi="ar-SA"/>
        </w:rPr>
      </w:pPr>
    </w:p>
    <w:p w14:paraId="3E7383D1" w14:textId="77777777" w:rsidR="00EF2E2A" w:rsidRDefault="00EF2E2A" w:rsidP="00BB20B9">
      <w:pPr>
        <w:rPr>
          <w:rFonts w:asciiTheme="minorHAnsi" w:eastAsiaTheme="minorHAnsi" w:hAnsiTheme="minorHAnsi" w:cstheme="minorHAnsi"/>
          <w:color w:val="FF0000"/>
          <w:sz w:val="32"/>
          <w:szCs w:val="24"/>
          <w:lang w:bidi="ar-SA"/>
        </w:rPr>
      </w:pPr>
    </w:p>
    <w:p w14:paraId="7094AD8F" w14:textId="77777777" w:rsidR="00EF2E2A" w:rsidRDefault="00EF2E2A" w:rsidP="00BB20B9">
      <w:pPr>
        <w:rPr>
          <w:rFonts w:asciiTheme="minorHAnsi" w:eastAsiaTheme="minorHAnsi" w:hAnsiTheme="minorHAnsi" w:cstheme="minorHAnsi"/>
          <w:color w:val="FF0000"/>
          <w:sz w:val="32"/>
          <w:szCs w:val="24"/>
          <w:lang w:bidi="ar-SA"/>
        </w:rPr>
      </w:pPr>
    </w:p>
    <w:p w14:paraId="12D32F7A" w14:textId="77777777" w:rsidR="00EF2E2A" w:rsidRDefault="00EF2E2A" w:rsidP="00BB20B9">
      <w:pPr>
        <w:rPr>
          <w:rFonts w:asciiTheme="minorHAnsi" w:eastAsiaTheme="minorHAnsi" w:hAnsiTheme="minorHAnsi" w:cstheme="minorHAnsi"/>
          <w:color w:val="FF0000"/>
          <w:sz w:val="32"/>
          <w:szCs w:val="24"/>
          <w:lang w:bidi="ar-SA"/>
        </w:rPr>
      </w:pPr>
    </w:p>
    <w:p w14:paraId="4AD11DC8" w14:textId="77777777" w:rsidR="00EF2E2A" w:rsidRDefault="00EF2E2A" w:rsidP="00BB20B9">
      <w:pPr>
        <w:rPr>
          <w:rFonts w:asciiTheme="minorHAnsi" w:eastAsiaTheme="minorHAnsi" w:hAnsiTheme="minorHAnsi" w:cstheme="minorHAnsi"/>
          <w:color w:val="FF0000"/>
          <w:sz w:val="32"/>
          <w:szCs w:val="24"/>
          <w:lang w:bidi="ar-SA"/>
        </w:rPr>
      </w:pPr>
    </w:p>
    <w:p w14:paraId="53705FEA" w14:textId="77777777" w:rsidR="00EF2E2A" w:rsidRDefault="00EF2E2A" w:rsidP="00BB20B9">
      <w:pPr>
        <w:rPr>
          <w:rFonts w:asciiTheme="minorHAnsi" w:eastAsiaTheme="minorHAnsi" w:hAnsiTheme="minorHAnsi" w:cstheme="minorHAnsi"/>
          <w:color w:val="FF0000"/>
          <w:sz w:val="32"/>
          <w:szCs w:val="24"/>
          <w:lang w:bidi="ar-SA"/>
        </w:rPr>
      </w:pPr>
    </w:p>
    <w:p w14:paraId="5F1DB90B" w14:textId="77777777" w:rsidR="00EF2E2A" w:rsidRDefault="00EF2E2A" w:rsidP="00BB20B9">
      <w:pPr>
        <w:rPr>
          <w:rFonts w:asciiTheme="minorHAnsi" w:eastAsiaTheme="minorHAnsi" w:hAnsiTheme="minorHAnsi" w:cstheme="minorHAnsi"/>
          <w:color w:val="FF0000"/>
          <w:sz w:val="32"/>
          <w:szCs w:val="24"/>
          <w:lang w:bidi="ar-SA"/>
        </w:rPr>
      </w:pPr>
    </w:p>
    <w:p w14:paraId="2F732E67" w14:textId="3F2FA421" w:rsidR="009D5BAA" w:rsidRPr="00BA6F7F" w:rsidRDefault="009D5BAA" w:rsidP="00BA6F7F">
      <w:pPr>
        <w:spacing w:before="0" w:after="160" w:line="259" w:lineRule="auto"/>
        <w:jc w:val="left"/>
        <w:rPr>
          <w:rFonts w:asciiTheme="minorHAnsi" w:eastAsia="Times New Roman" w:hAnsiTheme="minorHAnsi" w:cstheme="minorHAnsi"/>
          <w:b/>
          <w:iCs/>
          <w:noProof/>
          <w:szCs w:val="24"/>
        </w:rPr>
      </w:pPr>
      <w:bookmarkStart w:id="21" w:name="_Toc114257096"/>
    </w:p>
    <w:p w14:paraId="2B79F351" w14:textId="77777777" w:rsidR="00C92719" w:rsidRPr="00890249" w:rsidRDefault="00C92719" w:rsidP="00AC1BD0">
      <w:pPr>
        <w:pStyle w:val="Nagwek3"/>
      </w:pPr>
      <w:bookmarkStart w:id="22" w:name="_Toc188266916"/>
      <w:r w:rsidRPr="00890249">
        <w:t>2.1.9 FUNDUSZE EUROPEJSKIE WSPIERAJĄCE INWESTYCJE SPOŁECZNE W OPOLSKIM</w:t>
      </w:r>
      <w:bookmarkEnd w:id="21"/>
      <w:bookmarkEnd w:id="22"/>
    </w:p>
    <w:tbl>
      <w:tblPr>
        <w:tblW w:w="9322" w:type="dxa"/>
        <w:tblLook w:val="04A0" w:firstRow="1" w:lastRow="0" w:firstColumn="1" w:lastColumn="0" w:noHBand="0" w:noVBand="1"/>
      </w:tblPr>
      <w:tblGrid>
        <w:gridCol w:w="9322"/>
      </w:tblGrid>
      <w:tr w:rsidR="00C92719" w:rsidRPr="00890249" w14:paraId="203EBD9F" w14:textId="77777777" w:rsidTr="007747A3">
        <w:tc>
          <w:tcPr>
            <w:tcW w:w="9322" w:type="dxa"/>
          </w:tcPr>
          <w:p w14:paraId="00784013" w14:textId="77777777" w:rsidR="00C92719" w:rsidRPr="00890249" w:rsidRDefault="00C92719" w:rsidP="007747A3">
            <w:pPr>
              <w:spacing w:before="0" w:after="0"/>
              <w:jc w:val="left"/>
              <w:rPr>
                <w:rFonts w:asciiTheme="minorHAnsi" w:hAnsiTheme="minorHAnsi" w:cstheme="minorHAnsi"/>
                <w:noProof/>
                <w:sz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zatrudnienia ludzi młodych</w:t>
            </w:r>
          </w:p>
        </w:tc>
      </w:tr>
      <w:tr w:rsidR="00C92719" w:rsidRPr="00890249" w14:paraId="09363114" w14:textId="77777777" w:rsidTr="007747A3">
        <w:tc>
          <w:tcPr>
            <w:tcW w:w="9322" w:type="dxa"/>
          </w:tcPr>
          <w:p w14:paraId="21FD3064" w14:textId="77777777" w:rsidR="00C92719" w:rsidRPr="00890249" w:rsidRDefault="00C92719" w:rsidP="007747A3">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inowacyjnych działań społecznych</w:t>
            </w:r>
          </w:p>
        </w:tc>
      </w:tr>
      <w:tr w:rsidR="00C92719" w:rsidRPr="00890249" w14:paraId="11E6F36B" w14:textId="77777777" w:rsidTr="007747A3">
        <w:tc>
          <w:tcPr>
            <w:tcW w:w="9322" w:type="dxa"/>
          </w:tcPr>
          <w:p w14:paraId="7F0585B2" w14:textId="77777777" w:rsidR="00C92719" w:rsidRPr="00890249" w:rsidRDefault="00C92719" w:rsidP="007747A3">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M) rozporządzenia w sprawie EFS+</w:t>
            </w:r>
          </w:p>
        </w:tc>
      </w:tr>
      <w:tr w:rsidR="00C92719" w:rsidRPr="00890249" w14:paraId="4DCEAF11" w14:textId="77777777" w:rsidTr="007747A3">
        <w:tc>
          <w:tcPr>
            <w:tcW w:w="9322" w:type="dxa"/>
          </w:tcPr>
          <w:p w14:paraId="64150166" w14:textId="77777777" w:rsidR="00C92719" w:rsidRPr="00890249" w:rsidRDefault="00C92719" w:rsidP="007747A3">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14E3825F" w14:textId="77777777" w:rsidR="00C92719" w:rsidRPr="00890249" w:rsidRDefault="00C92719" w:rsidP="007747A3">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770D2198" w14:textId="77777777" w:rsidR="00C92719" w:rsidRPr="00890249" w:rsidRDefault="00C92719" w:rsidP="007747A3">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0D1EF9EB" w14:textId="77777777" w:rsidR="00C92719" w:rsidRPr="00890249" w:rsidRDefault="00C92719" w:rsidP="00C92719">
      <w:pPr>
        <w:shd w:val="clear" w:color="auto" w:fill="D9D9D9" w:themeFill="background1" w:themeFillShade="D9"/>
        <w:spacing w:before="240" w:after="240"/>
        <w:rPr>
          <w:rFonts w:asciiTheme="minorHAnsi" w:hAnsiTheme="minorHAnsi" w:cstheme="minorHAnsi"/>
          <w:b/>
          <w:noProof/>
          <w:sz w:val="22"/>
        </w:rPr>
      </w:pPr>
      <w:r w:rsidRPr="00890249">
        <w:rPr>
          <w:rFonts w:asciiTheme="minorHAnsi" w:hAnsiTheme="minorHAnsi" w:cstheme="minorHAnsi"/>
          <w:b/>
          <w:noProof/>
          <w:sz w:val="22"/>
        </w:rPr>
        <w:t>2.1.9.1 (ii) EFRR Cel szczegółowy</w:t>
      </w:r>
    </w:p>
    <w:p w14:paraId="78665E92" w14:textId="77777777" w:rsidR="00C92719" w:rsidRPr="00890249" w:rsidRDefault="00C92719" w:rsidP="00C92719">
      <w:pPr>
        <w:rPr>
          <w:rFonts w:asciiTheme="minorHAnsi" w:hAnsiTheme="minorHAnsi" w:cstheme="minorHAnsi"/>
          <w:b/>
          <w:noProof/>
          <w:color w:val="2F5496" w:themeColor="accent5" w:themeShade="BF"/>
          <w:szCs w:val="22"/>
        </w:rPr>
      </w:pPr>
      <w:r w:rsidRPr="00890249">
        <w:rPr>
          <w:rFonts w:asciiTheme="minorHAnsi" w:hAnsiTheme="minorHAnsi" w:cstheme="minorHAnsi"/>
          <w:b/>
          <w:noProof/>
          <w:color w:val="2F5496" w:themeColor="accent5" w:themeShade="BF"/>
          <w:szCs w:val="22"/>
        </w:rPr>
        <w:t>(ii)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A46FBB5" w14:textId="77777777" w:rsidR="00C92719" w:rsidRPr="00890249" w:rsidRDefault="00C92719" w:rsidP="00C92719">
      <w:pPr>
        <w:rPr>
          <w:rFonts w:asciiTheme="minorHAnsi" w:hAnsiTheme="minorHAnsi" w:cstheme="minorHAnsi"/>
          <w:b/>
          <w:noProof/>
          <w:sz w:val="22"/>
          <w:szCs w:val="22"/>
        </w:rPr>
      </w:pPr>
      <w:r w:rsidRPr="00890249">
        <w:rPr>
          <w:rFonts w:asciiTheme="minorHAnsi" w:hAnsiTheme="minorHAnsi" w:cstheme="minorHAnsi"/>
          <w:b/>
          <w:noProof/>
          <w:sz w:val="22"/>
          <w:szCs w:val="22"/>
        </w:rPr>
        <w:t>2.1.9.1.1 (ii) Interwencje w ramach funduszy</w:t>
      </w:r>
    </w:p>
    <w:p w14:paraId="6032FB2F" w14:textId="77777777" w:rsidR="00C92719" w:rsidRPr="00AE7255" w:rsidRDefault="00C92719" w:rsidP="00C92719">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Powiązane rodzaje działań</w:t>
      </w:r>
    </w:p>
    <w:p w14:paraId="4C110785" w14:textId="013DF4A6" w:rsidR="0093433C" w:rsidRPr="00890249" w:rsidRDefault="00034125" w:rsidP="00890249">
      <w:pPr>
        <w:pStyle w:val="Tekstpodstawowy"/>
        <w:rPr>
          <w:rFonts w:asciiTheme="minorHAnsi" w:hAnsiTheme="minorHAnsi" w:cstheme="minorHAnsi"/>
          <w:sz w:val="22"/>
          <w:szCs w:val="22"/>
          <w:lang w:eastAsia="en-US" w:bidi="ar-SA"/>
        </w:rPr>
      </w:pPr>
      <w:r w:rsidRPr="00AE7255">
        <w:rPr>
          <w:rFonts w:asciiTheme="minorHAnsi" w:hAnsiTheme="minorHAnsi" w:cstheme="minorHAnsi"/>
          <w:sz w:val="22"/>
          <w:szCs w:val="22"/>
          <w:lang w:eastAsia="en-US" w:bidi="ar-SA"/>
        </w:rPr>
        <w:t xml:space="preserve">Zgodnie z analizą </w:t>
      </w:r>
      <w:r w:rsidR="00DD2321" w:rsidRPr="00AE7255">
        <w:rPr>
          <w:rFonts w:asciiTheme="minorHAnsi" w:hAnsiTheme="minorHAnsi" w:cstheme="minorHAnsi"/>
          <w:sz w:val="22"/>
          <w:szCs w:val="22"/>
          <w:lang w:eastAsia="en-US" w:bidi="ar-SA"/>
        </w:rPr>
        <w:t>US</w:t>
      </w:r>
      <w:r w:rsidRPr="00AE7255">
        <w:rPr>
          <w:rFonts w:asciiTheme="minorHAnsi" w:hAnsiTheme="minorHAnsi" w:cstheme="minorHAnsi"/>
          <w:sz w:val="22"/>
          <w:szCs w:val="22"/>
          <w:lang w:eastAsia="en-US" w:bidi="ar-SA"/>
        </w:rPr>
        <w:t xml:space="preserve"> w Opolu pn. </w:t>
      </w:r>
      <w:r w:rsidRPr="00AE7255">
        <w:rPr>
          <w:rFonts w:asciiTheme="minorHAnsi" w:hAnsiTheme="minorHAnsi" w:cstheme="minorHAnsi"/>
          <w:i/>
          <w:sz w:val="22"/>
          <w:szCs w:val="22"/>
          <w:lang w:eastAsia="en-US" w:bidi="ar-SA"/>
        </w:rPr>
        <w:t>Edukacja w woj. opolskim w roku szkolnym 2019/2020</w:t>
      </w:r>
      <w:r w:rsidRPr="00890249">
        <w:rPr>
          <w:rFonts w:asciiTheme="minorHAnsi" w:hAnsiTheme="minorHAnsi" w:cstheme="minorHAnsi"/>
          <w:lang w:eastAsia="en-US" w:bidi="ar-SA"/>
        </w:rPr>
        <w:t xml:space="preserve"> na </w:t>
      </w:r>
      <w:r w:rsidRPr="00890249">
        <w:rPr>
          <w:rFonts w:asciiTheme="minorHAnsi" w:hAnsiTheme="minorHAnsi" w:cstheme="minorHAnsi"/>
          <w:sz w:val="22"/>
          <w:szCs w:val="22"/>
          <w:lang w:eastAsia="en-US" w:bidi="ar-SA"/>
        </w:rPr>
        <w:t>100 miejsc w przedszkolach przeciętnie przypadało 98 dzieci, w miastach 102, na wsi 90. Nie wszystkie OWP w regionie potrzebują wsparcia w tworzeniu nowych mi</w:t>
      </w:r>
      <w:r w:rsidR="007A65EF" w:rsidRPr="00890249">
        <w:rPr>
          <w:rFonts w:asciiTheme="minorHAnsi" w:hAnsiTheme="minorHAnsi" w:cstheme="minorHAnsi"/>
          <w:sz w:val="22"/>
          <w:szCs w:val="22"/>
          <w:lang w:eastAsia="en-US" w:bidi="ar-SA"/>
        </w:rPr>
        <w:t>ejsc wychowania przedszkolnego</w:t>
      </w:r>
      <w:r w:rsidR="00DD2321" w:rsidRPr="00890249">
        <w:rPr>
          <w:rFonts w:asciiTheme="minorHAnsi" w:hAnsiTheme="minorHAnsi" w:cstheme="minorHAnsi"/>
          <w:sz w:val="22"/>
          <w:szCs w:val="22"/>
          <w:lang w:eastAsia="en-US" w:bidi="ar-SA"/>
        </w:rPr>
        <w:t xml:space="preserve"> – istnieją </w:t>
      </w:r>
      <w:r w:rsidR="007A65EF" w:rsidRPr="00890249">
        <w:rPr>
          <w:rFonts w:asciiTheme="minorHAnsi" w:hAnsiTheme="minorHAnsi" w:cstheme="minorHAnsi"/>
          <w:sz w:val="22"/>
          <w:szCs w:val="22"/>
          <w:lang w:eastAsia="en-US" w:bidi="ar-SA"/>
        </w:rPr>
        <w:t xml:space="preserve">znaczne dysproporcje wewnątrzterytorialne w </w:t>
      </w:r>
      <w:r w:rsidR="00DD2321" w:rsidRPr="00890249">
        <w:rPr>
          <w:rFonts w:asciiTheme="minorHAnsi" w:hAnsiTheme="minorHAnsi" w:cstheme="minorHAnsi"/>
          <w:sz w:val="22"/>
          <w:szCs w:val="22"/>
          <w:lang w:eastAsia="en-US" w:bidi="ar-SA"/>
        </w:rPr>
        <w:t xml:space="preserve">tym </w:t>
      </w:r>
      <w:r w:rsidR="007A65EF" w:rsidRPr="00890249">
        <w:rPr>
          <w:rFonts w:asciiTheme="minorHAnsi" w:hAnsiTheme="minorHAnsi" w:cstheme="minorHAnsi"/>
          <w:sz w:val="22"/>
          <w:szCs w:val="22"/>
          <w:lang w:eastAsia="en-US" w:bidi="ar-SA"/>
        </w:rPr>
        <w:t>zakresie.</w:t>
      </w:r>
      <w:r w:rsidR="00C40DA3" w:rsidRPr="00890249">
        <w:rPr>
          <w:rFonts w:asciiTheme="minorHAnsi" w:hAnsiTheme="minorHAnsi" w:cstheme="minorHAnsi"/>
          <w:sz w:val="22"/>
          <w:szCs w:val="22"/>
          <w:lang w:eastAsia="en-US" w:bidi="ar-SA"/>
        </w:rPr>
        <w:t xml:space="preserve"> Z</w:t>
      </w:r>
      <w:r w:rsidR="009D5BAA">
        <w:rPr>
          <w:rFonts w:asciiTheme="minorHAnsi" w:hAnsiTheme="minorHAnsi" w:cstheme="minorHAnsi"/>
          <w:sz w:val="22"/>
          <w:szCs w:val="22"/>
          <w:lang w:eastAsia="en-US" w:bidi="ar-SA"/>
        </w:rPr>
        <w:t>godnie z </w:t>
      </w:r>
      <w:r w:rsidRPr="00890249">
        <w:rPr>
          <w:rFonts w:asciiTheme="minorHAnsi" w:hAnsiTheme="minorHAnsi" w:cstheme="minorHAnsi"/>
          <w:i/>
          <w:sz w:val="22"/>
          <w:szCs w:val="22"/>
          <w:lang w:eastAsia="en-US" w:bidi="ar-SA"/>
        </w:rPr>
        <w:t xml:space="preserve">Analizą zasobów infrastruktury edukacyjnej w woj. opolskim. Potrzeby i wyzwania na perspektywę finansową 2021-2027 </w:t>
      </w:r>
      <w:r w:rsidR="00C40DA3" w:rsidRPr="00890249">
        <w:rPr>
          <w:rFonts w:asciiTheme="minorHAnsi" w:hAnsiTheme="minorHAnsi" w:cstheme="minorHAnsi"/>
          <w:sz w:val="22"/>
          <w:szCs w:val="22"/>
          <w:lang w:eastAsia="en-US" w:bidi="ar-SA"/>
        </w:rPr>
        <w:t xml:space="preserve">wśród zgłaszanych potrzeb wskazano m.in. budowy, remonty placów zabaw, gabinetów terapeutycznych, </w:t>
      </w:r>
      <w:r w:rsidR="003B5355" w:rsidRPr="00890249">
        <w:rPr>
          <w:rFonts w:asciiTheme="minorHAnsi" w:hAnsiTheme="minorHAnsi" w:cstheme="minorHAnsi"/>
          <w:sz w:val="22"/>
          <w:szCs w:val="22"/>
          <w:lang w:eastAsia="en-US" w:bidi="ar-SA"/>
        </w:rPr>
        <w:t xml:space="preserve">czy </w:t>
      </w:r>
      <w:r w:rsidR="00C40DA3" w:rsidRPr="00890249">
        <w:rPr>
          <w:rFonts w:asciiTheme="minorHAnsi" w:hAnsiTheme="minorHAnsi" w:cstheme="minorHAnsi"/>
          <w:sz w:val="22"/>
          <w:szCs w:val="22"/>
          <w:lang w:eastAsia="en-US" w:bidi="ar-SA"/>
        </w:rPr>
        <w:t>wyposażenie sal w sprzęty i materiały dydaktyczne. Powołując się na t</w:t>
      </w:r>
      <w:r w:rsidR="00366E38" w:rsidRPr="00890249">
        <w:rPr>
          <w:rFonts w:asciiTheme="minorHAnsi" w:hAnsiTheme="minorHAnsi" w:cstheme="minorHAnsi"/>
          <w:sz w:val="22"/>
          <w:szCs w:val="22"/>
          <w:lang w:eastAsia="en-US" w:bidi="ar-SA"/>
        </w:rPr>
        <w:t>ę</w:t>
      </w:r>
      <w:r w:rsidR="00C40DA3" w:rsidRPr="00890249">
        <w:rPr>
          <w:rFonts w:asciiTheme="minorHAnsi" w:hAnsiTheme="minorHAnsi" w:cstheme="minorHAnsi"/>
          <w:sz w:val="22"/>
          <w:szCs w:val="22"/>
          <w:lang w:eastAsia="en-US" w:bidi="ar-SA"/>
        </w:rPr>
        <w:t xml:space="preserve"> samą Analizę </w:t>
      </w:r>
      <w:r w:rsidRPr="00890249">
        <w:rPr>
          <w:rFonts w:asciiTheme="minorHAnsi" w:hAnsiTheme="minorHAnsi" w:cstheme="minorHAnsi"/>
          <w:sz w:val="22"/>
          <w:szCs w:val="22"/>
          <w:lang w:eastAsia="en-US" w:bidi="ar-SA"/>
        </w:rPr>
        <w:t>organy prowadzące wskazały, że 10% dzieci w przedszkolach w regionie to dzieci z</w:t>
      </w:r>
      <w:r w:rsidR="00366E38" w:rsidRPr="00890249">
        <w:rPr>
          <w:rFonts w:asciiTheme="minorHAnsi" w:hAnsiTheme="minorHAnsi" w:cstheme="minorHAnsi"/>
          <w:sz w:val="22"/>
          <w:szCs w:val="22"/>
          <w:lang w:eastAsia="en-US" w:bidi="ar-SA"/>
        </w:rPr>
        <w:t>e</w:t>
      </w:r>
      <w:r w:rsidRPr="00890249">
        <w:rPr>
          <w:rFonts w:asciiTheme="minorHAnsi" w:hAnsiTheme="minorHAnsi" w:cstheme="minorHAnsi"/>
          <w:sz w:val="22"/>
          <w:szCs w:val="22"/>
          <w:lang w:eastAsia="en-US" w:bidi="ar-SA"/>
        </w:rPr>
        <w:t xml:space="preserve"> SPE. Zatem niezbędne jest wsparcie infrastruktury OWP w kontekście edukacji włączającej. </w:t>
      </w:r>
    </w:p>
    <w:p w14:paraId="57E47AD3" w14:textId="4BAF6631" w:rsidR="0093433C" w:rsidRPr="00890249" w:rsidRDefault="50F82958"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Priorytetem regionu </w:t>
      </w:r>
      <w:r w:rsidR="1C1D9EFC" w:rsidRPr="00890249">
        <w:rPr>
          <w:rFonts w:asciiTheme="minorHAnsi" w:hAnsiTheme="minorHAnsi" w:cstheme="minorHAnsi"/>
          <w:sz w:val="22"/>
          <w:szCs w:val="22"/>
          <w:lang w:eastAsia="en-US" w:bidi="ar-SA"/>
        </w:rPr>
        <w:t xml:space="preserve">w odniesieniu do szkół ponadpodstawowych, </w:t>
      </w:r>
      <w:r w:rsidRPr="00890249">
        <w:rPr>
          <w:rFonts w:asciiTheme="minorHAnsi" w:hAnsiTheme="minorHAnsi" w:cstheme="minorHAnsi"/>
          <w:sz w:val="22"/>
          <w:szCs w:val="22"/>
          <w:lang w:eastAsia="en-US" w:bidi="ar-SA"/>
        </w:rPr>
        <w:t xml:space="preserve">zgodnie z </w:t>
      </w:r>
      <w:r w:rsidR="1C1D9EFC" w:rsidRPr="00890249">
        <w:rPr>
          <w:rFonts w:asciiTheme="minorHAnsi" w:hAnsiTheme="minorHAnsi" w:cstheme="minorHAnsi"/>
          <w:sz w:val="22"/>
          <w:szCs w:val="22"/>
          <w:lang w:eastAsia="en-US" w:bidi="ar-SA"/>
        </w:rPr>
        <w:t xml:space="preserve">ww. </w:t>
      </w:r>
      <w:r w:rsidR="1C1D9EFC" w:rsidRPr="00890249">
        <w:rPr>
          <w:rFonts w:asciiTheme="minorHAnsi" w:hAnsiTheme="minorHAnsi" w:cstheme="minorHAnsi"/>
          <w:i/>
          <w:sz w:val="22"/>
          <w:szCs w:val="22"/>
          <w:lang w:eastAsia="en-US" w:bidi="ar-SA"/>
        </w:rPr>
        <w:t>Analizą</w:t>
      </w:r>
      <w:r w:rsidR="1C1D9EFC"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jest wyrównywanie szans edukacyjnych dzieci i młodzieży</w:t>
      </w:r>
      <w:r w:rsidR="704A3CFE" w:rsidRPr="00890249">
        <w:rPr>
          <w:rFonts w:asciiTheme="minorHAnsi" w:hAnsiTheme="minorHAnsi" w:cstheme="minorHAnsi"/>
          <w:sz w:val="22"/>
          <w:szCs w:val="22"/>
          <w:lang w:eastAsia="en-US" w:bidi="ar-SA"/>
        </w:rPr>
        <w:t xml:space="preserve">, poprzez zapewnienie lepszej dostępności dla osób ze </w:t>
      </w:r>
      <w:r w:rsidR="00555F96" w:rsidRPr="00890249">
        <w:rPr>
          <w:rFonts w:asciiTheme="minorHAnsi" w:hAnsiTheme="minorHAnsi" w:cstheme="minorHAnsi"/>
          <w:sz w:val="22"/>
          <w:szCs w:val="22"/>
          <w:lang w:eastAsia="en-US" w:bidi="ar-SA"/>
        </w:rPr>
        <w:t>SPE</w:t>
      </w:r>
      <w:r w:rsidR="704A3CFE" w:rsidRPr="00890249">
        <w:rPr>
          <w:rFonts w:asciiTheme="minorHAnsi" w:hAnsiTheme="minorHAnsi" w:cstheme="minorHAnsi"/>
          <w:sz w:val="22"/>
          <w:szCs w:val="22"/>
          <w:lang w:eastAsia="en-US" w:bidi="ar-SA"/>
        </w:rPr>
        <w:t xml:space="preserve">, w tym szczególnie na obszarach </w:t>
      </w:r>
      <w:r w:rsidRPr="00890249">
        <w:rPr>
          <w:rFonts w:asciiTheme="minorHAnsi" w:hAnsiTheme="minorHAnsi" w:cstheme="minorHAnsi"/>
          <w:sz w:val="22"/>
          <w:szCs w:val="22"/>
          <w:lang w:eastAsia="en-US" w:bidi="ar-SA"/>
        </w:rPr>
        <w:t xml:space="preserve">zmarginalizowanych i/lub wiejskich, z których dojazd do najbliższych placówek jest utrudniony.  Wsparcie infrastruktury ośrodków oddalonych od stolicy województwa </w:t>
      </w:r>
      <w:r w:rsidR="00555F96" w:rsidRPr="00890249">
        <w:rPr>
          <w:rFonts w:asciiTheme="minorHAnsi" w:hAnsiTheme="minorHAnsi" w:cstheme="minorHAnsi"/>
          <w:sz w:val="22"/>
          <w:szCs w:val="22"/>
          <w:lang w:eastAsia="en-US" w:bidi="ar-SA"/>
        </w:rPr>
        <w:t xml:space="preserve">(związanej z przystosowaniem jej do potrzeb osób ze SPE) </w:t>
      </w:r>
      <w:r w:rsidRPr="00890249">
        <w:rPr>
          <w:rFonts w:asciiTheme="minorHAnsi" w:hAnsiTheme="minorHAnsi" w:cstheme="minorHAnsi"/>
          <w:sz w:val="22"/>
          <w:szCs w:val="22"/>
          <w:lang w:eastAsia="en-US" w:bidi="ar-SA"/>
        </w:rPr>
        <w:t>podniesie jakość kształcenia na obszarach zmarginalizowanych, a tym samym uczniowie nie będą zmuszeni do dojazdu do szkoły oddalonej nawet o kilkadziesiąt kilometrów od miejsca zamieszkania. Działania będą komplementarne z</w:t>
      </w:r>
      <w:r w:rsidR="1C1D9EFC"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EFS+, w ramach któr</w:t>
      </w:r>
      <w:r w:rsidR="1C1D9EFC" w:rsidRPr="00890249">
        <w:rPr>
          <w:rFonts w:asciiTheme="minorHAnsi" w:hAnsiTheme="minorHAnsi" w:cstheme="minorHAnsi"/>
          <w:sz w:val="22"/>
          <w:szCs w:val="22"/>
          <w:lang w:eastAsia="en-US" w:bidi="ar-SA"/>
        </w:rPr>
        <w:t>ego</w:t>
      </w:r>
      <w:r w:rsidRPr="00890249">
        <w:rPr>
          <w:rFonts w:asciiTheme="minorHAnsi" w:hAnsiTheme="minorHAnsi" w:cstheme="minorHAnsi"/>
          <w:sz w:val="22"/>
          <w:szCs w:val="22"/>
          <w:lang w:eastAsia="en-US" w:bidi="ar-SA"/>
        </w:rPr>
        <w:t xml:space="preserve"> </w:t>
      </w:r>
      <w:r w:rsidR="1C1D9EFC" w:rsidRPr="00890249">
        <w:rPr>
          <w:rFonts w:asciiTheme="minorHAnsi" w:hAnsiTheme="minorHAnsi" w:cstheme="minorHAnsi"/>
          <w:sz w:val="22"/>
          <w:szCs w:val="22"/>
          <w:lang w:eastAsia="en-US" w:bidi="ar-SA"/>
        </w:rPr>
        <w:t xml:space="preserve">zaplanowano </w:t>
      </w:r>
      <w:r w:rsidRPr="00890249">
        <w:rPr>
          <w:rFonts w:asciiTheme="minorHAnsi" w:hAnsiTheme="minorHAnsi" w:cstheme="minorHAnsi"/>
          <w:sz w:val="22"/>
          <w:szCs w:val="22"/>
          <w:lang w:eastAsia="en-US" w:bidi="ar-SA"/>
        </w:rPr>
        <w:t>dojazdy do szkół dla dzieci z obszarów zmarginalizowanych</w:t>
      </w:r>
      <w:r w:rsidR="4E9FCDC5" w:rsidRPr="00890249">
        <w:rPr>
          <w:rFonts w:asciiTheme="minorHAnsi" w:hAnsiTheme="minorHAnsi" w:cstheme="minorHAnsi"/>
          <w:sz w:val="22"/>
          <w:szCs w:val="22"/>
          <w:lang w:eastAsia="en-US" w:bidi="ar-SA"/>
        </w:rPr>
        <w:t xml:space="preserve"> oraz o obniżonej mobilności</w:t>
      </w:r>
      <w:r w:rsidRPr="00890249">
        <w:rPr>
          <w:rFonts w:asciiTheme="minorHAnsi" w:hAnsiTheme="minorHAnsi" w:cstheme="minorHAnsi"/>
          <w:sz w:val="22"/>
          <w:szCs w:val="22"/>
          <w:lang w:eastAsia="en-US" w:bidi="ar-SA"/>
        </w:rPr>
        <w:t>.</w:t>
      </w:r>
    </w:p>
    <w:p w14:paraId="4A8755B4" w14:textId="3BA5DAC5" w:rsidR="0093433C" w:rsidRPr="00890249" w:rsidRDefault="00BA20B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 xml:space="preserve">Z uwagi na wzrost liczby dzieci </w:t>
      </w:r>
      <w:r w:rsidR="00034125" w:rsidRPr="00890249">
        <w:rPr>
          <w:rFonts w:asciiTheme="minorHAnsi" w:hAnsiTheme="minorHAnsi" w:cstheme="minorHAnsi"/>
          <w:sz w:val="22"/>
          <w:szCs w:val="22"/>
          <w:lang w:eastAsia="en-US" w:bidi="ar-SA"/>
        </w:rPr>
        <w:t>z orzeczeniem o potrzebie kształcenia specjalnego, w tym z niepełnosprawnościami, zagrożonych niedostosowaniem społecznym oraz posiadających orzeczenie o potrzebie indywidualnego nauczania</w:t>
      </w:r>
      <w:r w:rsidR="00A543C2" w:rsidRPr="00890249">
        <w:rPr>
          <w:rFonts w:asciiTheme="minorHAnsi" w:hAnsiTheme="minorHAnsi" w:cstheme="minorHAnsi"/>
          <w:sz w:val="22"/>
          <w:szCs w:val="22"/>
          <w:lang w:eastAsia="en-US" w:bidi="ar-SA"/>
        </w:rPr>
        <w:t>,</w:t>
      </w:r>
      <w:r w:rsidR="00034125"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konieczne jest podjęcie działań, dzięki którym kształcenie tych dzieci będzie prowadzone w placówkach ogólnodostępnych, a nie specjalnych. </w:t>
      </w:r>
      <w:r w:rsidR="00A66D86" w:rsidRPr="00890249">
        <w:rPr>
          <w:rFonts w:asciiTheme="minorHAnsi" w:hAnsiTheme="minorHAnsi" w:cstheme="minorHAnsi"/>
          <w:sz w:val="22"/>
          <w:szCs w:val="22"/>
          <w:lang w:eastAsia="en-US" w:bidi="ar-SA"/>
        </w:rPr>
        <w:t xml:space="preserve">Szkoły specjalne </w:t>
      </w:r>
      <w:r w:rsidR="00F47777" w:rsidRPr="00890249">
        <w:rPr>
          <w:rFonts w:asciiTheme="minorHAnsi" w:hAnsiTheme="minorHAnsi" w:cstheme="minorHAnsi"/>
          <w:sz w:val="22"/>
          <w:szCs w:val="22"/>
          <w:lang w:eastAsia="en-US" w:bidi="ar-SA"/>
        </w:rPr>
        <w:br/>
      </w:r>
      <w:r w:rsidR="00A66D86" w:rsidRPr="00890249">
        <w:rPr>
          <w:rFonts w:asciiTheme="minorHAnsi" w:hAnsiTheme="minorHAnsi" w:cstheme="minorHAnsi"/>
          <w:sz w:val="22"/>
          <w:szCs w:val="22"/>
          <w:lang w:eastAsia="en-US" w:bidi="ar-SA"/>
        </w:rPr>
        <w:t>i inne placówki, które prowadzą lub utrzymują segregację grup wrażliwych i/lub defaworyzowanych, nie będą wspierane w zakresie infrastruktury i wyposażenia.</w:t>
      </w:r>
      <w:r w:rsidR="00C04D3D" w:rsidRPr="00890249">
        <w:rPr>
          <w:rFonts w:asciiTheme="minorHAnsi" w:hAnsiTheme="minorHAnsi" w:cstheme="minorHAnsi"/>
          <w:sz w:val="22"/>
          <w:szCs w:val="22"/>
          <w:lang w:eastAsia="en-US" w:bidi="ar-SA"/>
        </w:rPr>
        <w:t xml:space="preserve"> W tym celu na każdym szczeblu edukacji wspierana będzie infrastruktura służąca edukacji włączającej dzieci z</w:t>
      </w:r>
      <w:r w:rsidR="00A543C2" w:rsidRPr="00890249">
        <w:rPr>
          <w:rFonts w:asciiTheme="minorHAnsi" w:hAnsiTheme="minorHAnsi" w:cstheme="minorHAnsi"/>
          <w:sz w:val="22"/>
          <w:szCs w:val="22"/>
          <w:lang w:eastAsia="en-US" w:bidi="ar-SA"/>
        </w:rPr>
        <w:t>e SPE</w:t>
      </w:r>
      <w:r w:rsidR="00C04D3D" w:rsidRPr="00890249">
        <w:rPr>
          <w:rFonts w:asciiTheme="minorHAnsi" w:hAnsiTheme="minorHAnsi" w:cstheme="minorHAnsi"/>
          <w:sz w:val="22"/>
          <w:szCs w:val="22"/>
          <w:lang w:eastAsia="en-US" w:bidi="ar-SA"/>
        </w:rPr>
        <w:t xml:space="preserve">. Realizacja edukacji włączającej w obecnych realiach jest utrudniona z powodu m.in. nieprzygotowania szkół (np. </w:t>
      </w:r>
      <w:r w:rsidR="00A543C2" w:rsidRPr="00890249">
        <w:rPr>
          <w:rFonts w:asciiTheme="minorHAnsi" w:hAnsiTheme="minorHAnsi" w:cstheme="minorHAnsi"/>
          <w:sz w:val="22"/>
          <w:szCs w:val="22"/>
          <w:lang w:eastAsia="en-US" w:bidi="ar-SA"/>
        </w:rPr>
        <w:t xml:space="preserve">pod </w:t>
      </w:r>
      <w:r w:rsidR="00C04D3D" w:rsidRPr="00890249">
        <w:rPr>
          <w:rFonts w:asciiTheme="minorHAnsi" w:hAnsiTheme="minorHAnsi" w:cstheme="minorHAnsi"/>
          <w:sz w:val="22"/>
          <w:szCs w:val="22"/>
          <w:lang w:eastAsia="en-US" w:bidi="ar-SA"/>
        </w:rPr>
        <w:t xml:space="preserve">względem </w:t>
      </w:r>
      <w:r w:rsidR="00A543C2" w:rsidRPr="00890249">
        <w:rPr>
          <w:rFonts w:asciiTheme="minorHAnsi" w:hAnsiTheme="minorHAnsi" w:cstheme="minorHAnsi"/>
          <w:sz w:val="22"/>
          <w:szCs w:val="22"/>
          <w:lang w:eastAsia="en-US" w:bidi="ar-SA"/>
        </w:rPr>
        <w:t xml:space="preserve">architektury lub </w:t>
      </w:r>
      <w:r w:rsidR="00C04D3D" w:rsidRPr="00890249">
        <w:rPr>
          <w:rFonts w:asciiTheme="minorHAnsi" w:hAnsiTheme="minorHAnsi" w:cstheme="minorHAnsi"/>
          <w:sz w:val="22"/>
          <w:szCs w:val="22"/>
          <w:lang w:eastAsia="en-US" w:bidi="ar-SA"/>
        </w:rPr>
        <w:t>wyposażenia). Osoby z niepełnosprawnościami potrzebują kompleksowego wsparcia w procesie edukacji podczas całego jej okresu, w różnych formach</w:t>
      </w:r>
      <w:r w:rsidR="003B5355" w:rsidRPr="00890249">
        <w:rPr>
          <w:rFonts w:asciiTheme="minorHAnsi" w:hAnsiTheme="minorHAnsi" w:cstheme="minorHAnsi"/>
          <w:sz w:val="22"/>
          <w:szCs w:val="22"/>
          <w:lang w:eastAsia="en-US" w:bidi="ar-SA"/>
        </w:rPr>
        <w:t xml:space="preserve">, </w:t>
      </w:r>
      <w:r w:rsidR="00C04D3D" w:rsidRPr="00890249">
        <w:rPr>
          <w:rFonts w:asciiTheme="minorHAnsi" w:hAnsiTheme="minorHAnsi" w:cstheme="minorHAnsi"/>
          <w:sz w:val="22"/>
          <w:szCs w:val="22"/>
          <w:lang w:eastAsia="en-US" w:bidi="ar-SA"/>
        </w:rPr>
        <w:t>m.in. przez zapewnienie odpowiedniego sprzętu niwelującego ograniczenia sprawności, likwidację barier architektonicznych</w:t>
      </w:r>
      <w:r w:rsidR="003B5355" w:rsidRPr="00890249">
        <w:rPr>
          <w:rFonts w:asciiTheme="minorHAnsi" w:hAnsiTheme="minorHAnsi" w:cstheme="minorHAnsi"/>
          <w:sz w:val="22"/>
          <w:szCs w:val="22"/>
          <w:lang w:eastAsia="en-US" w:bidi="ar-SA"/>
        </w:rPr>
        <w:t xml:space="preserve">, </w:t>
      </w:r>
      <w:r w:rsidR="00C04D3D" w:rsidRPr="00890249">
        <w:rPr>
          <w:rFonts w:asciiTheme="minorHAnsi" w:hAnsiTheme="minorHAnsi" w:cstheme="minorHAnsi"/>
          <w:sz w:val="22"/>
          <w:szCs w:val="22"/>
          <w:lang w:eastAsia="en-US" w:bidi="ar-SA"/>
        </w:rPr>
        <w:t>np. wykonanie podjazdu do budynku, zainstalowanie windy</w:t>
      </w:r>
      <w:r w:rsidR="009C62B1" w:rsidRPr="00890249">
        <w:rPr>
          <w:rFonts w:asciiTheme="minorHAnsi" w:hAnsiTheme="minorHAnsi" w:cstheme="minorHAnsi"/>
          <w:sz w:val="22"/>
          <w:szCs w:val="22"/>
          <w:lang w:eastAsia="en-US" w:bidi="ar-SA"/>
        </w:rPr>
        <w:t>)</w:t>
      </w:r>
      <w:r w:rsidR="00C04D3D" w:rsidRPr="00890249">
        <w:rPr>
          <w:rFonts w:asciiTheme="minorHAnsi" w:hAnsiTheme="minorHAnsi" w:cstheme="minorHAnsi"/>
          <w:sz w:val="22"/>
          <w:szCs w:val="22"/>
          <w:lang w:eastAsia="en-US" w:bidi="ar-SA"/>
        </w:rPr>
        <w:t xml:space="preserve"> oraz technicznych</w:t>
      </w:r>
      <w:r w:rsidR="003B5355" w:rsidRPr="00890249">
        <w:rPr>
          <w:rFonts w:asciiTheme="minorHAnsi" w:hAnsiTheme="minorHAnsi" w:cstheme="minorHAnsi"/>
          <w:sz w:val="22"/>
          <w:szCs w:val="22"/>
          <w:lang w:eastAsia="en-US" w:bidi="ar-SA"/>
        </w:rPr>
        <w:t xml:space="preserve">, </w:t>
      </w:r>
      <w:r w:rsidR="00C04D3D" w:rsidRPr="00890249">
        <w:rPr>
          <w:rFonts w:asciiTheme="minorHAnsi" w:hAnsiTheme="minorHAnsi" w:cstheme="minorHAnsi"/>
          <w:sz w:val="22"/>
          <w:szCs w:val="22"/>
          <w:lang w:eastAsia="en-US" w:bidi="ar-SA"/>
        </w:rPr>
        <w:t>np. odpowiednio oznaczone schody wewnątrz budynku czy wyposażenie windy w urządzenia informujące o jej pozycji</w:t>
      </w:r>
      <w:r w:rsidR="009C62B1" w:rsidRPr="00890249">
        <w:rPr>
          <w:rFonts w:asciiTheme="minorHAnsi" w:hAnsiTheme="minorHAnsi" w:cstheme="minorHAnsi"/>
          <w:sz w:val="22"/>
          <w:szCs w:val="22"/>
          <w:lang w:eastAsia="en-US" w:bidi="ar-SA"/>
        </w:rPr>
        <w:t>)</w:t>
      </w:r>
      <w:r w:rsidR="00C04D3D" w:rsidRPr="00890249">
        <w:rPr>
          <w:rFonts w:asciiTheme="minorHAnsi" w:hAnsiTheme="minorHAnsi" w:cstheme="minorHAnsi"/>
          <w:sz w:val="22"/>
          <w:szCs w:val="22"/>
          <w:lang w:eastAsia="en-US" w:bidi="ar-SA"/>
        </w:rPr>
        <w:t>. Wśród dzieci z</w:t>
      </w:r>
      <w:r w:rsidR="00366E38" w:rsidRPr="00890249">
        <w:rPr>
          <w:rFonts w:asciiTheme="minorHAnsi" w:hAnsiTheme="minorHAnsi" w:cstheme="minorHAnsi"/>
          <w:sz w:val="22"/>
          <w:szCs w:val="22"/>
          <w:lang w:eastAsia="en-US" w:bidi="ar-SA"/>
        </w:rPr>
        <w:t>e</w:t>
      </w:r>
      <w:r w:rsidR="00C04D3D" w:rsidRPr="00890249">
        <w:rPr>
          <w:rFonts w:asciiTheme="minorHAnsi" w:hAnsiTheme="minorHAnsi" w:cstheme="minorHAnsi"/>
          <w:sz w:val="22"/>
          <w:szCs w:val="22"/>
          <w:lang w:eastAsia="en-US" w:bidi="ar-SA"/>
        </w:rPr>
        <w:t xml:space="preserve"> SPE są również uczniowie bez orzeczenia o potrzebie kształcenia specjalnego, niemniej jednak wymagające wsparcia psychologicznego, będące w sytuacji kryzysowej lub traumatycznej, stąd konieczność wsparcia infrastruktury przyszkolnych gabinetów pedagogiczno-psychologicznych. Dla dzieci adaptujących się w nowym środowisku, w tym z rodzin migrantów</w:t>
      </w:r>
      <w:r w:rsidR="003B5355" w:rsidRPr="00890249">
        <w:rPr>
          <w:rFonts w:asciiTheme="minorHAnsi" w:hAnsiTheme="minorHAnsi" w:cstheme="minorHAnsi"/>
          <w:sz w:val="22"/>
          <w:szCs w:val="22"/>
          <w:lang w:eastAsia="en-US" w:bidi="ar-SA"/>
        </w:rPr>
        <w:t>,</w:t>
      </w:r>
      <w:r w:rsidR="00C04D3D" w:rsidRPr="00890249">
        <w:rPr>
          <w:rFonts w:asciiTheme="minorHAnsi" w:hAnsiTheme="minorHAnsi" w:cstheme="minorHAnsi"/>
          <w:sz w:val="22"/>
          <w:szCs w:val="22"/>
          <w:lang w:eastAsia="en-US" w:bidi="ar-SA"/>
        </w:rPr>
        <w:t xml:space="preserve"> czy </w:t>
      </w:r>
      <w:r w:rsidR="00A543C2" w:rsidRPr="00890249">
        <w:rPr>
          <w:rFonts w:asciiTheme="minorHAnsi" w:hAnsiTheme="minorHAnsi" w:cstheme="minorHAnsi"/>
          <w:sz w:val="22"/>
          <w:szCs w:val="22"/>
          <w:lang w:eastAsia="en-US" w:bidi="ar-SA"/>
        </w:rPr>
        <w:t xml:space="preserve">społeczności romskiej </w:t>
      </w:r>
      <w:r w:rsidR="00C04D3D" w:rsidRPr="00890249">
        <w:rPr>
          <w:rFonts w:asciiTheme="minorHAnsi" w:hAnsiTheme="minorHAnsi" w:cstheme="minorHAnsi"/>
          <w:sz w:val="22"/>
          <w:szCs w:val="22"/>
          <w:lang w:eastAsia="en-US" w:bidi="ar-SA"/>
        </w:rPr>
        <w:t xml:space="preserve">niezbędne jest wsparcie infrastruktury sal do nauki języka, świetlic oraz innych miejsc integracji dzieci, rodziców i społeczności szkolnej. </w:t>
      </w:r>
      <w:r w:rsidR="00E732F4" w:rsidRPr="00890249">
        <w:rPr>
          <w:rFonts w:asciiTheme="minorHAnsi" w:hAnsiTheme="minorHAnsi" w:cstheme="minorHAnsi"/>
          <w:sz w:val="22"/>
          <w:szCs w:val="22"/>
          <w:lang w:eastAsia="en-US" w:bidi="ar-SA"/>
        </w:rPr>
        <w:t>Działania te będą komplementarne z interwencjami w ramach EFS+, w ramach których zaplanowano wsparcie edukacji włączającej, w tym zapewnienie odpowiedniego wyposażenia, podnoszenie kompetencji kadr pedagogicznych i bezpośrednie wsparcie uczniów.</w:t>
      </w:r>
      <w:r w:rsidR="00C04D3D" w:rsidRPr="00890249">
        <w:rPr>
          <w:rFonts w:asciiTheme="minorHAnsi" w:hAnsiTheme="minorHAnsi" w:cstheme="minorHAnsi"/>
          <w:sz w:val="22"/>
          <w:szCs w:val="22"/>
          <w:lang w:eastAsia="en-US" w:bidi="ar-SA"/>
        </w:rPr>
        <w:t xml:space="preserve"> </w:t>
      </w:r>
    </w:p>
    <w:p w14:paraId="3C0CFFA8" w14:textId="0125627E" w:rsidR="0093433C" w:rsidRPr="00890249" w:rsidRDefault="6F8EA4B1"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 uwagi na fakt, że zgodnie z </w:t>
      </w:r>
      <w:r w:rsidR="60DF937F" w:rsidRPr="00890249">
        <w:rPr>
          <w:rFonts w:asciiTheme="minorHAnsi" w:hAnsiTheme="minorHAnsi" w:cstheme="minorHAnsi"/>
          <w:sz w:val="22"/>
          <w:szCs w:val="22"/>
          <w:lang w:eastAsia="en-US" w:bidi="ar-SA"/>
        </w:rPr>
        <w:t>A</w:t>
      </w:r>
      <w:r w:rsidRPr="00890249">
        <w:rPr>
          <w:rFonts w:asciiTheme="minorHAnsi" w:hAnsiTheme="minorHAnsi" w:cstheme="minorHAnsi"/>
          <w:sz w:val="22"/>
          <w:szCs w:val="22"/>
          <w:lang w:eastAsia="en-US" w:bidi="ar-SA"/>
        </w:rPr>
        <w:t>nalizą aspiracji edukacyjnych w regionie</w:t>
      </w:r>
      <w:r w:rsidR="2059136D"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aż 63% uczniów liceów planuje kontynuować edukację na kierunkach medycznych, technicznych lub nauk eksperymentalnych oraz</w:t>
      </w:r>
      <w:r w:rsidR="003B535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że aż 64,4 uczniów liceów stanowią uczennice, które </w:t>
      </w:r>
      <w:r w:rsidR="009D5BAA">
        <w:rPr>
          <w:rFonts w:asciiTheme="minorHAnsi" w:hAnsiTheme="minorHAnsi" w:cstheme="minorHAnsi"/>
          <w:sz w:val="22"/>
          <w:szCs w:val="22"/>
          <w:lang w:eastAsia="en-US" w:bidi="ar-SA"/>
        </w:rPr>
        <w:t>należy wspierać w </w:t>
      </w:r>
      <w:r w:rsidR="60DF937F" w:rsidRPr="00890249">
        <w:rPr>
          <w:rFonts w:asciiTheme="minorHAnsi" w:hAnsiTheme="minorHAnsi" w:cstheme="minorHAnsi"/>
          <w:sz w:val="22"/>
          <w:szCs w:val="22"/>
          <w:lang w:eastAsia="en-US" w:bidi="ar-SA"/>
        </w:rPr>
        <w:t>wyborze</w:t>
      </w:r>
      <w:r w:rsidRPr="00890249">
        <w:rPr>
          <w:rFonts w:asciiTheme="minorHAnsi" w:hAnsiTheme="minorHAnsi" w:cstheme="minorHAnsi"/>
          <w:sz w:val="22"/>
          <w:szCs w:val="22"/>
          <w:lang w:eastAsia="en-US" w:bidi="ar-SA"/>
        </w:rPr>
        <w:t xml:space="preserve"> kierunk</w:t>
      </w:r>
      <w:r w:rsidR="60DF937F" w:rsidRPr="00890249">
        <w:rPr>
          <w:rFonts w:asciiTheme="minorHAnsi" w:hAnsiTheme="minorHAnsi" w:cstheme="minorHAnsi"/>
          <w:sz w:val="22"/>
          <w:szCs w:val="22"/>
          <w:lang w:eastAsia="en-US" w:bidi="ar-SA"/>
        </w:rPr>
        <w:t>ów</w:t>
      </w:r>
      <w:r w:rsidRPr="00890249">
        <w:rPr>
          <w:rFonts w:asciiTheme="minorHAnsi" w:hAnsiTheme="minorHAnsi" w:cstheme="minorHAnsi"/>
          <w:sz w:val="22"/>
          <w:szCs w:val="22"/>
          <w:lang w:eastAsia="en-US" w:bidi="ar-SA"/>
        </w:rPr>
        <w:t xml:space="preserve"> studiów związan</w:t>
      </w:r>
      <w:r w:rsidR="60DF937F" w:rsidRPr="00890249">
        <w:rPr>
          <w:rFonts w:asciiTheme="minorHAnsi" w:hAnsiTheme="minorHAnsi" w:cstheme="minorHAnsi"/>
          <w:sz w:val="22"/>
          <w:szCs w:val="22"/>
          <w:lang w:eastAsia="en-US" w:bidi="ar-SA"/>
        </w:rPr>
        <w:t>ych</w:t>
      </w:r>
      <w:r w:rsidRPr="00890249">
        <w:rPr>
          <w:rFonts w:asciiTheme="minorHAnsi" w:hAnsiTheme="minorHAnsi" w:cstheme="minorHAnsi"/>
          <w:sz w:val="22"/>
          <w:szCs w:val="22"/>
          <w:lang w:eastAsia="en-US" w:bidi="ar-SA"/>
        </w:rPr>
        <w:t xml:space="preserve"> z naukami ścisłymi</w:t>
      </w:r>
      <w:r w:rsidR="60DF937F"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zasadnym jest wsparcie infrastrukturalne </w:t>
      </w:r>
      <w:r w:rsidR="2B63749D" w:rsidRPr="00890249">
        <w:rPr>
          <w:rFonts w:asciiTheme="minorHAnsi" w:hAnsiTheme="minorHAnsi" w:cstheme="minorHAnsi"/>
          <w:sz w:val="22"/>
          <w:szCs w:val="22"/>
          <w:lang w:eastAsia="en-US" w:bidi="ar-SA"/>
        </w:rPr>
        <w:t>liceów w zakresie</w:t>
      </w:r>
      <w:r w:rsidR="00EF5013" w:rsidRPr="00890249">
        <w:rPr>
          <w:rFonts w:asciiTheme="minorHAnsi" w:hAnsiTheme="minorHAnsi" w:cstheme="minorHAnsi"/>
          <w:sz w:val="22"/>
          <w:szCs w:val="22"/>
          <w:lang w:eastAsia="en-US" w:bidi="ar-SA"/>
        </w:rPr>
        <w:t xml:space="preserve"> </w:t>
      </w:r>
      <w:r w:rsidR="79876314" w:rsidRPr="00890249">
        <w:rPr>
          <w:rFonts w:asciiTheme="minorHAnsi" w:hAnsiTheme="minorHAnsi" w:cstheme="minorHAnsi"/>
          <w:sz w:val="22"/>
          <w:szCs w:val="22"/>
          <w:lang w:eastAsia="en-US" w:bidi="ar-SA"/>
        </w:rPr>
        <w:t xml:space="preserve">doposażenia </w:t>
      </w:r>
      <w:r w:rsidRPr="00890249">
        <w:rPr>
          <w:rFonts w:asciiTheme="minorHAnsi" w:hAnsiTheme="minorHAnsi" w:cstheme="minorHAnsi"/>
          <w:sz w:val="22"/>
          <w:szCs w:val="22"/>
          <w:lang w:eastAsia="en-US" w:bidi="ar-SA"/>
        </w:rPr>
        <w:t>pracowni nauk ścisłych i praktycznych, rozwijających kompetencje STE</w:t>
      </w:r>
      <w:r w:rsidR="0049664F" w:rsidRPr="00890249">
        <w:rPr>
          <w:rFonts w:asciiTheme="minorHAnsi" w:hAnsiTheme="minorHAnsi" w:cstheme="minorHAnsi"/>
          <w:sz w:val="22"/>
          <w:szCs w:val="22"/>
          <w:lang w:eastAsia="en-US" w:bidi="ar-SA"/>
        </w:rPr>
        <w:t>A</w:t>
      </w:r>
      <w:r w:rsidRPr="00890249">
        <w:rPr>
          <w:rFonts w:asciiTheme="minorHAnsi" w:hAnsiTheme="minorHAnsi" w:cstheme="minorHAnsi"/>
          <w:sz w:val="22"/>
          <w:szCs w:val="22"/>
          <w:lang w:eastAsia="en-US" w:bidi="ar-SA"/>
        </w:rPr>
        <w:t>M (kompetencje z zakresu</w:t>
      </w:r>
      <w:r w:rsidR="0049664F" w:rsidRPr="00890249">
        <w:rPr>
          <w:rFonts w:asciiTheme="minorHAnsi" w:hAnsiTheme="minorHAnsi" w:cstheme="minorHAnsi"/>
          <w:sz w:val="22"/>
          <w:szCs w:val="22"/>
          <w:lang w:eastAsia="en-US" w:bidi="ar-SA"/>
        </w:rPr>
        <w:t xml:space="preserve"> nauk ścisłych, technicznych).</w:t>
      </w:r>
      <w:r w:rsidRPr="00890249">
        <w:rPr>
          <w:rFonts w:asciiTheme="minorHAnsi" w:hAnsiTheme="minorHAnsi" w:cstheme="minorHAnsi"/>
          <w:sz w:val="22"/>
          <w:szCs w:val="22"/>
          <w:lang w:eastAsia="en-US" w:bidi="ar-SA"/>
        </w:rPr>
        <w:t xml:space="preserve"> Wsparcie możliwe będzie do realizacji </w:t>
      </w:r>
      <w:r w:rsidR="0049664F" w:rsidRPr="00890249">
        <w:rPr>
          <w:rFonts w:asciiTheme="minorHAnsi" w:hAnsiTheme="minorHAnsi" w:cstheme="minorHAnsi"/>
          <w:sz w:val="22"/>
          <w:szCs w:val="22"/>
          <w:lang w:eastAsia="en-US" w:bidi="ar-SA"/>
        </w:rPr>
        <w:t xml:space="preserve">w mniejszym stopniu i </w:t>
      </w:r>
      <w:r w:rsidRPr="00890249">
        <w:rPr>
          <w:rFonts w:asciiTheme="minorHAnsi" w:hAnsiTheme="minorHAnsi" w:cstheme="minorHAnsi"/>
          <w:sz w:val="22"/>
          <w:szCs w:val="22"/>
          <w:lang w:eastAsia="en-US" w:bidi="ar-SA"/>
        </w:rPr>
        <w:t>pod warunkiem zrealizowania inwestycji</w:t>
      </w:r>
      <w:r w:rsidR="0049664F" w:rsidRPr="00890249">
        <w:rPr>
          <w:rFonts w:asciiTheme="minorHAnsi" w:hAnsiTheme="minorHAnsi" w:cstheme="minorHAnsi"/>
          <w:sz w:val="22"/>
          <w:szCs w:val="22"/>
          <w:lang w:eastAsia="en-US" w:bidi="ar-SA"/>
        </w:rPr>
        <w:t xml:space="preserve"> i wyczerpania potrzeb</w:t>
      </w:r>
      <w:r w:rsidRPr="00890249">
        <w:rPr>
          <w:rFonts w:asciiTheme="minorHAnsi" w:hAnsiTheme="minorHAnsi" w:cstheme="minorHAnsi"/>
          <w:sz w:val="22"/>
          <w:szCs w:val="22"/>
          <w:lang w:eastAsia="en-US" w:bidi="ar-SA"/>
        </w:rPr>
        <w:t xml:space="preserve"> </w:t>
      </w:r>
      <w:r w:rsidR="009D5BAA">
        <w:rPr>
          <w:rFonts w:asciiTheme="minorHAnsi" w:hAnsiTheme="minorHAnsi" w:cstheme="minorHAnsi"/>
          <w:sz w:val="22"/>
          <w:szCs w:val="22"/>
          <w:lang w:eastAsia="en-US" w:bidi="ar-SA"/>
        </w:rPr>
        <w:t>w </w:t>
      </w:r>
      <w:r w:rsidR="60DF937F" w:rsidRPr="00890249">
        <w:rPr>
          <w:rFonts w:asciiTheme="minorHAnsi" w:hAnsiTheme="minorHAnsi" w:cstheme="minorHAnsi"/>
          <w:sz w:val="22"/>
          <w:szCs w:val="22"/>
          <w:lang w:eastAsia="en-US" w:bidi="ar-SA"/>
        </w:rPr>
        <w:t>zakresie infrastruktury przedszkoli i szkolnictwa zawodowego</w:t>
      </w:r>
      <w:r w:rsidRPr="00890249">
        <w:rPr>
          <w:rFonts w:asciiTheme="minorHAnsi" w:hAnsiTheme="minorHAnsi" w:cstheme="minorHAnsi"/>
          <w:sz w:val="22"/>
          <w:szCs w:val="22"/>
          <w:lang w:eastAsia="en-US" w:bidi="ar-SA"/>
        </w:rPr>
        <w:t>.</w:t>
      </w:r>
    </w:p>
    <w:p w14:paraId="1B4B6DD8" w14:textId="5CBB31A3"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Wyzwaniem dla regionu jest także jakość i atrakcyjność szkolnictwa branżowego. Wymaga ono szczególnego wsparcia, ponieważ jest tym obszarem edukacji, który obok szkolnictwa wyższego ma największy wpływ na przygotowanie nowoczesnych kadr dla polskiego przemysłu</w:t>
      </w:r>
      <w:r w:rsidR="00BA20BD" w:rsidRPr="00890249">
        <w:rPr>
          <w:rFonts w:asciiTheme="minorHAnsi" w:hAnsiTheme="minorHAnsi" w:cstheme="minorHAnsi"/>
          <w:sz w:val="22"/>
          <w:szCs w:val="22"/>
          <w:vertAlign w:val="superscript"/>
          <w:lang w:eastAsia="en-US" w:bidi="ar-SA"/>
        </w:rPr>
        <w:footnoteReference w:id="213"/>
      </w:r>
      <w:r w:rsidRPr="00890249">
        <w:rPr>
          <w:rFonts w:asciiTheme="minorHAnsi" w:hAnsiTheme="minorHAnsi" w:cstheme="minorHAnsi"/>
          <w:sz w:val="22"/>
          <w:szCs w:val="22"/>
          <w:lang w:eastAsia="en-US" w:bidi="ar-SA"/>
        </w:rPr>
        <w:t>. W regionie w dalszym ciągu odnotowuje się potrzeby dotyczące wzmocnienia i unowocześnienia bazy dydaktycznej w zakresie szkolnictwa zawodowego, która będzie uwzględniała najnowsze trendy technologiczne. Z prowadzonych analiz wynika, że w większości szkół zajęcia praktyczne może odbywać mniej niż połowa uczniów</w:t>
      </w:r>
      <w:r w:rsidR="00BA20BD" w:rsidRPr="00890249">
        <w:rPr>
          <w:rFonts w:asciiTheme="minorHAnsi" w:hAnsiTheme="minorHAnsi" w:cstheme="minorHAnsi"/>
          <w:sz w:val="22"/>
          <w:szCs w:val="22"/>
          <w:vertAlign w:val="superscript"/>
          <w:lang w:eastAsia="en-US" w:bidi="ar-SA"/>
        </w:rPr>
        <w:footnoteReference w:id="214"/>
      </w:r>
      <w:r w:rsidRPr="00890249">
        <w:rPr>
          <w:rFonts w:asciiTheme="minorHAnsi" w:hAnsiTheme="minorHAnsi" w:cstheme="minorHAnsi"/>
          <w:sz w:val="22"/>
          <w:szCs w:val="22"/>
          <w:lang w:eastAsia="en-US" w:bidi="ar-SA"/>
        </w:rPr>
        <w:t>. Wyniki badania ewaluacyjnego wskazują również na potrzebę wsparcia centrów kształcenia zawodowego i ustawicznego poprzez modernizację zaplecza warsztatowego. Tego typu formuła zapewni kompleksowe rozwiązanie problemów w zakresie infrastruktury kształcenia zawodowego</w:t>
      </w:r>
      <w:r w:rsidR="00BA20BD" w:rsidRPr="00890249">
        <w:rPr>
          <w:rFonts w:asciiTheme="minorHAnsi" w:hAnsiTheme="minorHAnsi" w:cstheme="minorHAnsi"/>
          <w:sz w:val="22"/>
          <w:szCs w:val="22"/>
          <w:vertAlign w:val="superscript"/>
          <w:lang w:eastAsia="en-US" w:bidi="ar-SA"/>
        </w:rPr>
        <w:footnoteReference w:id="215"/>
      </w:r>
      <w:r w:rsidRPr="00890249">
        <w:rPr>
          <w:rFonts w:asciiTheme="minorHAnsi" w:hAnsiTheme="minorHAnsi" w:cstheme="minorHAnsi"/>
          <w:sz w:val="22"/>
          <w:szCs w:val="22"/>
          <w:lang w:eastAsia="en-US" w:bidi="ar-SA"/>
        </w:rPr>
        <w:t>.</w:t>
      </w:r>
      <w:r w:rsidR="3984B8B8" w:rsidRPr="00890249">
        <w:rPr>
          <w:rFonts w:asciiTheme="minorHAnsi" w:hAnsiTheme="minorHAnsi" w:cstheme="minorHAnsi"/>
          <w:sz w:val="22"/>
          <w:szCs w:val="22"/>
          <w:lang w:eastAsia="en-US" w:bidi="ar-SA"/>
        </w:rPr>
        <w:t xml:space="preserve"> Zgodnie z </w:t>
      </w:r>
      <w:r w:rsidR="00875C92" w:rsidRPr="00890249">
        <w:rPr>
          <w:rFonts w:asciiTheme="minorHAnsi" w:hAnsiTheme="minorHAnsi" w:cstheme="minorHAnsi"/>
          <w:i/>
          <w:iCs/>
          <w:sz w:val="22"/>
          <w:szCs w:val="22"/>
          <w:lang w:eastAsia="en-US" w:bidi="ar-SA"/>
        </w:rPr>
        <w:t>Analizą</w:t>
      </w:r>
      <w:r w:rsidR="3984B8B8" w:rsidRPr="00890249">
        <w:rPr>
          <w:rFonts w:asciiTheme="minorHAnsi" w:hAnsiTheme="minorHAnsi" w:cstheme="minorHAnsi"/>
          <w:sz w:val="22"/>
          <w:szCs w:val="22"/>
          <w:lang w:eastAsia="en-US" w:bidi="ar-SA"/>
        </w:rPr>
        <w:t xml:space="preserve"> organ</w:t>
      </w:r>
      <w:r w:rsidR="009D5BAA">
        <w:rPr>
          <w:rFonts w:asciiTheme="minorHAnsi" w:hAnsiTheme="minorHAnsi" w:cstheme="minorHAnsi"/>
          <w:sz w:val="22"/>
          <w:szCs w:val="22"/>
          <w:lang w:eastAsia="en-US" w:bidi="ar-SA"/>
        </w:rPr>
        <w:t>y prowadzące szkół branżowych i </w:t>
      </w:r>
      <w:r w:rsidR="3984B8B8" w:rsidRPr="00890249">
        <w:rPr>
          <w:rFonts w:asciiTheme="minorHAnsi" w:hAnsiTheme="minorHAnsi" w:cstheme="minorHAnsi"/>
          <w:sz w:val="22"/>
          <w:szCs w:val="22"/>
          <w:lang w:eastAsia="en-US" w:bidi="ar-SA"/>
        </w:rPr>
        <w:t>techników w woj. opolskim wskazały następujące potrzeby w obszarze infrastruktury: prace termoizolacyjne, kompleksowe remonty pracowni przedmiotowych, przebudow</w:t>
      </w:r>
      <w:r w:rsidR="2059136D" w:rsidRPr="00890249">
        <w:rPr>
          <w:rFonts w:asciiTheme="minorHAnsi" w:hAnsiTheme="minorHAnsi" w:cstheme="minorHAnsi"/>
          <w:sz w:val="22"/>
          <w:szCs w:val="22"/>
          <w:lang w:eastAsia="en-US" w:bidi="ar-SA"/>
        </w:rPr>
        <w:t>y</w:t>
      </w:r>
      <w:r w:rsidR="3984B8B8" w:rsidRPr="00890249">
        <w:rPr>
          <w:rFonts w:asciiTheme="minorHAnsi" w:hAnsiTheme="minorHAnsi" w:cstheme="minorHAnsi"/>
          <w:sz w:val="22"/>
          <w:szCs w:val="22"/>
          <w:lang w:eastAsia="en-US" w:bidi="ar-SA"/>
        </w:rPr>
        <w:t xml:space="preserve"> i wyposażenie pracowni pomocy psychologiczno-pedagogicznej.</w:t>
      </w:r>
    </w:p>
    <w:p w14:paraId="1C4651E6" w14:textId="227ED7EC" w:rsidR="0093433C" w:rsidRPr="00890249" w:rsidRDefault="0093433C" w:rsidP="00890249">
      <w:pPr>
        <w:pStyle w:val="Tekstpodstawowy"/>
        <w:rPr>
          <w:rFonts w:asciiTheme="minorHAnsi" w:hAnsiTheme="minorHAnsi" w:cstheme="minorHAnsi"/>
          <w:sz w:val="22"/>
          <w:szCs w:val="22"/>
          <w:lang w:eastAsia="en-US" w:bidi="ar-SA"/>
        </w:rPr>
      </w:pPr>
    </w:p>
    <w:p w14:paraId="09166B41" w14:textId="77777777" w:rsidR="0093433C" w:rsidRPr="00890249" w:rsidRDefault="00BA20B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W zakresie szkolnictwa zawodowego preferowane będą projekty z uwzględnieniem branż mających strategiczne znaczenie dla rozwoju gospodarki na poziomie krajowym i regionalnym, zgodnie ze zidentyfikowanymi regionalnymi specjalizacjami inteligentnymi.</w:t>
      </w:r>
    </w:p>
    <w:p w14:paraId="49406EED" w14:textId="38213595" w:rsidR="0093433C" w:rsidRPr="00890249" w:rsidRDefault="00875C9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Ponadto zgodnie z diagnozą regionalną istnieje konieczność wsparcia przyszkolnej infrastruktury sportowej</w:t>
      </w:r>
      <w:r w:rsidR="003B535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jako element projektów (boiska, hale, sale gimnastyczne)</w:t>
      </w:r>
      <w:r w:rsidR="003B535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w:t>
      </w:r>
      <w:r w:rsidRPr="00890249">
        <w:rPr>
          <w:rFonts w:asciiTheme="minorHAnsi" w:eastAsia="Arial" w:hAnsiTheme="minorHAnsi" w:cstheme="minorHAnsi"/>
          <w:sz w:val="22"/>
          <w:szCs w:val="22"/>
        </w:rPr>
        <w:t>o ile wynika to z analizy potrzeb, jest powiązane z celami EFS+</w:t>
      </w:r>
      <w:r w:rsidR="00EF5013" w:rsidRPr="00890249">
        <w:rPr>
          <w:rFonts w:asciiTheme="minorHAnsi" w:eastAsia="Arial" w:hAnsiTheme="minorHAnsi" w:cstheme="minorHAnsi"/>
          <w:sz w:val="22"/>
          <w:szCs w:val="22"/>
        </w:rPr>
        <w:t>,</w:t>
      </w:r>
      <w:r w:rsidRPr="00890249">
        <w:rPr>
          <w:rFonts w:asciiTheme="minorHAnsi" w:hAnsiTheme="minorHAnsi" w:cstheme="minorHAnsi"/>
          <w:sz w:val="22"/>
          <w:szCs w:val="22"/>
        </w:rPr>
        <w:t xml:space="preserve"> a ich </w:t>
      </w:r>
      <w:r w:rsidRPr="00890249">
        <w:rPr>
          <w:rFonts w:asciiTheme="minorHAnsi" w:hAnsiTheme="minorHAnsi" w:cstheme="minorHAnsi"/>
          <w:sz w:val="22"/>
          <w:szCs w:val="22"/>
          <w:lang w:eastAsia="en-US" w:bidi="ar-SA"/>
        </w:rPr>
        <w:t>celem jest integracja dz</w:t>
      </w:r>
      <w:r w:rsidR="009D5BAA">
        <w:rPr>
          <w:rFonts w:asciiTheme="minorHAnsi" w:hAnsiTheme="minorHAnsi" w:cstheme="minorHAnsi"/>
          <w:sz w:val="22"/>
          <w:szCs w:val="22"/>
          <w:lang w:eastAsia="en-US" w:bidi="ar-SA"/>
        </w:rPr>
        <w:t>ieci z grup defaworyzowanych, w </w:t>
      </w:r>
      <w:r w:rsidRPr="00890249">
        <w:rPr>
          <w:rFonts w:asciiTheme="minorHAnsi" w:hAnsiTheme="minorHAnsi" w:cstheme="minorHAnsi"/>
          <w:sz w:val="22"/>
          <w:szCs w:val="22"/>
          <w:lang w:eastAsia="en-US" w:bidi="ar-SA"/>
        </w:rPr>
        <w:t xml:space="preserve">tym dzieci z niepełnosprawnościami. </w:t>
      </w:r>
    </w:p>
    <w:p w14:paraId="524599E0" w14:textId="5DF44041" w:rsidR="0093433C" w:rsidRPr="00890249" w:rsidRDefault="00BA20B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Kształcenie ustawiczne nadal pozostaje w regionie niedocenianą formą procesu edukacyjnego. Konieczne jest zwiększenie uczestnictwa i jakości kształcenia ustawicznego w latach 2021-2027, osiąganego również poprzez modernizację oraz doposażenie placówek kształcenia ustawicznego.</w:t>
      </w:r>
      <w:r w:rsidR="009B122F" w:rsidRPr="00890249">
        <w:rPr>
          <w:rFonts w:asciiTheme="minorHAnsi" w:hAnsiTheme="minorHAnsi" w:cstheme="minorHAnsi"/>
          <w:sz w:val="22"/>
          <w:szCs w:val="22"/>
          <w:lang w:eastAsia="en-US" w:bidi="ar-SA"/>
        </w:rPr>
        <w:t xml:space="preserve"> </w:t>
      </w:r>
      <w:r w:rsidR="00A543C2" w:rsidRPr="00890249">
        <w:rPr>
          <w:rFonts w:asciiTheme="minorHAnsi" w:hAnsiTheme="minorHAnsi" w:cstheme="minorHAnsi"/>
          <w:sz w:val="22"/>
          <w:szCs w:val="22"/>
          <w:lang w:eastAsia="en-US" w:bidi="ar-SA"/>
        </w:rPr>
        <w:t>W</w:t>
      </w:r>
      <w:r w:rsidR="009D5BAA">
        <w:rPr>
          <w:rFonts w:asciiTheme="minorHAnsi" w:hAnsiTheme="minorHAnsi" w:cstheme="minorHAnsi"/>
          <w:sz w:val="22"/>
          <w:szCs w:val="22"/>
          <w:lang w:eastAsia="en-US" w:bidi="ar-SA"/>
        </w:rPr>
        <w:t> </w:t>
      </w:r>
      <w:r w:rsidR="009B122F" w:rsidRPr="00890249">
        <w:rPr>
          <w:rFonts w:asciiTheme="minorHAnsi" w:hAnsiTheme="minorHAnsi" w:cstheme="minorHAnsi"/>
          <w:sz w:val="22"/>
          <w:szCs w:val="22"/>
          <w:lang w:eastAsia="en-US" w:bidi="ar-SA"/>
        </w:rPr>
        <w:t xml:space="preserve">ramach perspektywy 2014-2020 zrealizowano </w:t>
      </w:r>
      <w:r w:rsidR="00A543C2" w:rsidRPr="00890249">
        <w:rPr>
          <w:rFonts w:asciiTheme="minorHAnsi" w:hAnsiTheme="minorHAnsi" w:cstheme="minorHAnsi"/>
          <w:sz w:val="22"/>
          <w:szCs w:val="22"/>
          <w:lang w:eastAsia="en-US" w:bidi="ar-SA"/>
        </w:rPr>
        <w:t xml:space="preserve">tylko </w:t>
      </w:r>
      <w:r w:rsidR="00583A8F" w:rsidRPr="00890249">
        <w:rPr>
          <w:rFonts w:asciiTheme="minorHAnsi" w:hAnsiTheme="minorHAnsi" w:cstheme="minorHAnsi"/>
          <w:sz w:val="22"/>
          <w:szCs w:val="22"/>
          <w:lang w:eastAsia="en-US" w:bidi="ar-SA"/>
        </w:rPr>
        <w:t xml:space="preserve">jeden </w:t>
      </w:r>
      <w:r w:rsidR="009B122F" w:rsidRPr="00890249">
        <w:rPr>
          <w:rFonts w:asciiTheme="minorHAnsi" w:hAnsiTheme="minorHAnsi" w:cstheme="minorHAnsi"/>
          <w:sz w:val="22"/>
          <w:szCs w:val="22"/>
          <w:lang w:eastAsia="en-US" w:bidi="ar-SA"/>
        </w:rPr>
        <w:t xml:space="preserve">projekt w zakresie </w:t>
      </w:r>
      <w:r w:rsidR="00583A8F" w:rsidRPr="00890249">
        <w:rPr>
          <w:rFonts w:asciiTheme="minorHAnsi" w:hAnsiTheme="minorHAnsi" w:cstheme="minorHAnsi"/>
          <w:sz w:val="22"/>
          <w:szCs w:val="22"/>
          <w:lang w:eastAsia="en-US" w:bidi="ar-SA"/>
        </w:rPr>
        <w:t>infrastruktury</w:t>
      </w:r>
      <w:r w:rsidR="009D5BAA">
        <w:rPr>
          <w:rFonts w:asciiTheme="minorHAnsi" w:hAnsiTheme="minorHAnsi" w:cstheme="minorHAnsi"/>
          <w:sz w:val="22"/>
          <w:szCs w:val="22"/>
          <w:lang w:eastAsia="en-US" w:bidi="ar-SA"/>
        </w:rPr>
        <w:t xml:space="preserve"> szkół i </w:t>
      </w:r>
      <w:r w:rsidR="009B122F" w:rsidRPr="00890249">
        <w:rPr>
          <w:rFonts w:asciiTheme="minorHAnsi" w:hAnsiTheme="minorHAnsi" w:cstheme="minorHAnsi"/>
          <w:sz w:val="22"/>
          <w:szCs w:val="22"/>
          <w:lang w:eastAsia="en-US" w:bidi="ar-SA"/>
        </w:rPr>
        <w:t>placówek kształcenia zawodowego i ustawicznego</w:t>
      </w:r>
      <w:r w:rsidR="00A543C2" w:rsidRPr="00890249">
        <w:rPr>
          <w:rFonts w:asciiTheme="minorHAnsi" w:hAnsiTheme="minorHAnsi" w:cstheme="minorHAnsi"/>
          <w:sz w:val="22"/>
          <w:szCs w:val="22"/>
          <w:lang w:eastAsia="en-US" w:bidi="ar-SA"/>
        </w:rPr>
        <w:t>, stąd</w:t>
      </w:r>
      <w:r w:rsidR="009B122F" w:rsidRPr="00890249">
        <w:rPr>
          <w:rFonts w:asciiTheme="minorHAnsi" w:hAnsiTheme="minorHAnsi" w:cstheme="minorHAnsi"/>
          <w:sz w:val="22"/>
          <w:szCs w:val="22"/>
          <w:lang w:eastAsia="en-US" w:bidi="ar-SA"/>
        </w:rPr>
        <w:t xml:space="preserve"> nadal konieczne jest wsparcie w tym zakresie. </w:t>
      </w:r>
    </w:p>
    <w:p w14:paraId="5CE95EE9" w14:textId="28E01D5B" w:rsidR="0093433C" w:rsidRPr="00890249" w:rsidRDefault="00222B74" w:rsidP="00890249">
      <w:pPr>
        <w:pStyle w:val="Tekstpodstawowy"/>
        <w:rPr>
          <w:rFonts w:asciiTheme="minorHAnsi" w:hAnsiTheme="minorHAnsi" w:cstheme="minorHAnsi"/>
          <w:lang w:eastAsia="en-US" w:bidi="ar-SA"/>
        </w:rPr>
      </w:pPr>
      <w:r w:rsidRPr="00890249">
        <w:rPr>
          <w:rFonts w:asciiTheme="minorHAnsi" w:hAnsiTheme="minorHAnsi" w:cstheme="minorHAnsi"/>
          <w:sz w:val="22"/>
          <w:szCs w:val="22"/>
          <w:lang w:eastAsia="en-US" w:bidi="ar-SA"/>
        </w:rPr>
        <w:t>Planowane interwencje</w:t>
      </w:r>
      <w:r w:rsidR="007E07D4" w:rsidRPr="00890249">
        <w:rPr>
          <w:rFonts w:asciiTheme="minorHAnsi" w:hAnsiTheme="minorHAnsi" w:cstheme="minorHAnsi"/>
          <w:sz w:val="22"/>
          <w:szCs w:val="22"/>
          <w:lang w:eastAsia="en-US" w:bidi="ar-SA"/>
        </w:rPr>
        <w:t xml:space="preserve"> w zakresie infrastruktury edukacyjnej</w:t>
      </w:r>
      <w:r w:rsidRPr="00890249">
        <w:rPr>
          <w:rFonts w:asciiTheme="minorHAnsi" w:hAnsiTheme="minorHAnsi" w:cstheme="minorHAnsi"/>
          <w:sz w:val="22"/>
          <w:szCs w:val="22"/>
          <w:lang w:eastAsia="en-US" w:bidi="ar-SA"/>
        </w:rPr>
        <w:t xml:space="preserve"> oparte są na mapowaniu potrzeb</w:t>
      </w:r>
      <w:r w:rsidR="009D5BAA">
        <w:rPr>
          <w:rFonts w:asciiTheme="minorHAnsi" w:hAnsiTheme="minorHAnsi" w:cstheme="minorHAnsi"/>
          <w:sz w:val="22"/>
          <w:szCs w:val="22"/>
          <w:lang w:eastAsia="en-US" w:bidi="ar-SA"/>
        </w:rPr>
        <w:t xml:space="preserve"> w </w:t>
      </w:r>
      <w:r w:rsidR="00875C92" w:rsidRPr="00890249">
        <w:rPr>
          <w:rFonts w:asciiTheme="minorHAnsi" w:hAnsiTheme="minorHAnsi" w:cstheme="minorHAnsi"/>
          <w:sz w:val="22"/>
          <w:szCs w:val="22"/>
          <w:lang w:eastAsia="en-US" w:bidi="ar-SA"/>
        </w:rPr>
        <w:t>regionie.</w:t>
      </w:r>
    </w:p>
    <w:p w14:paraId="7440710D" w14:textId="77777777" w:rsidR="0093433C" w:rsidRPr="00890249" w:rsidRDefault="00372E01"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Planowane typy przedsięwzięć: </w:t>
      </w:r>
    </w:p>
    <w:p w14:paraId="64F08E48" w14:textId="257A917A" w:rsidR="00B72154" w:rsidRPr="00890249" w:rsidRDefault="007F1096" w:rsidP="009F296A">
      <w:pPr>
        <w:pStyle w:val="Akapitzlist"/>
        <w:numPr>
          <w:ilvl w:val="0"/>
          <w:numId w:val="137"/>
        </w:numPr>
        <w:shd w:val="clear" w:color="auto" w:fill="FFFFFF" w:themeFill="background1"/>
        <w:ind w:left="714" w:hanging="357"/>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60DBEC8D" w:rsidRPr="00890249">
        <w:rPr>
          <w:rFonts w:asciiTheme="minorHAnsi" w:hAnsiTheme="minorHAnsi" w:cstheme="minorHAnsi"/>
          <w:sz w:val="22"/>
          <w:szCs w:val="22"/>
          <w:lang w:eastAsia="en-US" w:bidi="ar-SA"/>
        </w:rPr>
        <w:t>sparcie infrastruktury edukacyjnej ośrodków wychowania przedszkolnego, szkół i placówek kształcenia zawodowego i ustawicznego, w tym budowa</w:t>
      </w:r>
      <w:r w:rsidR="4233E85C" w:rsidRPr="00890249">
        <w:rPr>
          <w:rFonts w:asciiTheme="minorHAnsi" w:hAnsiTheme="minorHAnsi" w:cstheme="minorHAnsi"/>
          <w:sz w:val="22"/>
          <w:szCs w:val="22"/>
          <w:lang w:eastAsia="en-US" w:bidi="ar-SA"/>
        </w:rPr>
        <w:t xml:space="preserve"> (jedynie w dobrze uzasadnionych przypadkach)</w:t>
      </w:r>
      <w:r w:rsidR="60DBEC8D" w:rsidRPr="00890249">
        <w:rPr>
          <w:rFonts w:asciiTheme="minorHAnsi" w:hAnsiTheme="minorHAnsi" w:cstheme="minorHAnsi"/>
          <w:sz w:val="22"/>
          <w:szCs w:val="22"/>
          <w:lang w:eastAsia="en-US" w:bidi="ar-SA"/>
        </w:rPr>
        <w:t>, rozbudowa, nadbudowa, przebudowa, adaptacja</w:t>
      </w:r>
      <w:r w:rsidR="05C24C76" w:rsidRPr="00890249">
        <w:rPr>
          <w:rFonts w:asciiTheme="minorHAnsi" w:hAnsiTheme="minorHAnsi" w:cstheme="minorHAnsi"/>
          <w:sz w:val="22"/>
          <w:szCs w:val="22"/>
          <w:lang w:eastAsia="en-US" w:bidi="ar-SA"/>
        </w:rPr>
        <w:t>, modernizacja, remont wraz z niezbędnym wyposażeniem</w:t>
      </w:r>
      <w:r w:rsidR="003B5355" w:rsidRPr="00890249">
        <w:rPr>
          <w:rFonts w:asciiTheme="minorHAnsi" w:hAnsiTheme="minorHAnsi" w:cstheme="minorHAnsi"/>
          <w:sz w:val="22"/>
          <w:szCs w:val="22"/>
          <w:lang w:eastAsia="en-US" w:bidi="ar-SA"/>
        </w:rPr>
        <w:t>,</w:t>
      </w:r>
      <w:r w:rsidR="05C24C76" w:rsidRPr="00890249">
        <w:rPr>
          <w:rFonts w:asciiTheme="minorHAnsi" w:hAnsiTheme="minorHAnsi" w:cstheme="minorHAnsi"/>
          <w:sz w:val="22"/>
          <w:szCs w:val="22"/>
          <w:lang w:eastAsia="en-US" w:bidi="ar-SA"/>
        </w:rPr>
        <w:t xml:space="preserve"> </w:t>
      </w:r>
      <w:r w:rsidR="2787AC9A" w:rsidRPr="00890249">
        <w:rPr>
          <w:rFonts w:asciiTheme="minorHAnsi" w:hAnsiTheme="minorHAnsi" w:cstheme="minorHAnsi"/>
          <w:sz w:val="22"/>
          <w:szCs w:val="22"/>
          <w:lang w:eastAsia="en-US" w:bidi="ar-SA"/>
        </w:rPr>
        <w:t xml:space="preserve">celem wyrównywania szans edukacyjnych </w:t>
      </w:r>
      <w:r w:rsidR="00966DF8" w:rsidRPr="00890249">
        <w:rPr>
          <w:rFonts w:asciiTheme="minorHAnsi" w:hAnsiTheme="minorHAnsi" w:cstheme="minorHAnsi"/>
          <w:sz w:val="22"/>
          <w:szCs w:val="22"/>
          <w:lang w:eastAsia="en-US" w:bidi="ar-SA"/>
        </w:rPr>
        <w:t xml:space="preserve">w szczególności </w:t>
      </w:r>
      <w:r w:rsidR="2787AC9A" w:rsidRPr="00890249">
        <w:rPr>
          <w:rFonts w:asciiTheme="minorHAnsi" w:hAnsiTheme="minorHAnsi" w:cstheme="minorHAnsi"/>
          <w:sz w:val="22"/>
          <w:szCs w:val="22"/>
          <w:lang w:eastAsia="en-US" w:bidi="ar-SA"/>
        </w:rPr>
        <w:t>na obszarach zmarginalizowanych</w:t>
      </w:r>
      <w:r w:rsidR="00966DF8" w:rsidRPr="00890249">
        <w:rPr>
          <w:rFonts w:asciiTheme="minorHAnsi" w:hAnsiTheme="minorHAnsi" w:cstheme="minorHAnsi"/>
          <w:sz w:val="22"/>
          <w:szCs w:val="22"/>
          <w:lang w:eastAsia="en-US" w:bidi="ar-SA"/>
        </w:rPr>
        <w:t xml:space="preserve"> i/lub wiejskich</w:t>
      </w:r>
      <w:r w:rsidRPr="00890249">
        <w:rPr>
          <w:rFonts w:asciiTheme="minorHAnsi" w:hAnsiTheme="minorHAnsi" w:cstheme="minorHAnsi"/>
          <w:sz w:val="22"/>
          <w:szCs w:val="22"/>
          <w:lang w:eastAsia="en-US" w:bidi="ar-SA"/>
        </w:rPr>
        <w:t>.</w:t>
      </w:r>
    </w:p>
    <w:p w14:paraId="7B8F586A" w14:textId="54AD9349" w:rsidR="00B72154" w:rsidRPr="00890249" w:rsidRDefault="007F1096" w:rsidP="009F296A">
      <w:pPr>
        <w:pStyle w:val="Akapitzlist"/>
        <w:numPr>
          <w:ilvl w:val="0"/>
          <w:numId w:val="137"/>
        </w:numPr>
        <w:shd w:val="clear" w:color="auto" w:fill="FFFFFF" w:themeFill="background1"/>
        <w:contextualSpacing w:val="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w:t>
      </w:r>
      <w:r w:rsidR="007E6507" w:rsidRPr="00890249">
        <w:rPr>
          <w:rFonts w:asciiTheme="minorHAnsi" w:hAnsiTheme="minorHAnsi" w:cstheme="minorHAnsi"/>
          <w:sz w:val="22"/>
          <w:szCs w:val="22"/>
          <w:lang w:eastAsia="en-US" w:bidi="ar-SA"/>
        </w:rPr>
        <w:t>nwestycje mające na celu przystosowanie placówek oraz włączenie osób z</w:t>
      </w:r>
      <w:r w:rsidR="00366E38" w:rsidRPr="00890249">
        <w:rPr>
          <w:rFonts w:asciiTheme="minorHAnsi" w:hAnsiTheme="minorHAnsi" w:cstheme="minorHAnsi"/>
          <w:sz w:val="22"/>
          <w:szCs w:val="22"/>
          <w:lang w:eastAsia="en-US" w:bidi="ar-SA"/>
        </w:rPr>
        <w:t>e</w:t>
      </w:r>
      <w:r w:rsidR="00F47777" w:rsidRPr="00890249">
        <w:rPr>
          <w:rFonts w:asciiTheme="minorHAnsi" w:hAnsiTheme="minorHAnsi" w:cstheme="minorHAnsi"/>
          <w:sz w:val="22"/>
          <w:szCs w:val="22"/>
          <w:lang w:eastAsia="en-US" w:bidi="ar-SA"/>
        </w:rPr>
        <w:t xml:space="preserve"> SPE </w:t>
      </w:r>
      <w:r w:rsidR="007E6507" w:rsidRPr="00890249">
        <w:rPr>
          <w:rFonts w:asciiTheme="minorHAnsi" w:hAnsiTheme="minorHAnsi" w:cstheme="minorHAnsi"/>
          <w:sz w:val="22"/>
          <w:szCs w:val="22"/>
          <w:lang w:eastAsia="en-US" w:bidi="ar-SA"/>
        </w:rPr>
        <w:t>do ogólnodostępnych szkół i placówek (edukacja włączająca) na każdym poziomie edukacji</w:t>
      </w:r>
      <w:r w:rsidR="009D5BAA">
        <w:rPr>
          <w:rFonts w:asciiTheme="minorHAnsi" w:hAnsiTheme="minorHAnsi" w:cstheme="minorHAnsi"/>
          <w:sz w:val="22"/>
          <w:szCs w:val="22"/>
          <w:lang w:eastAsia="en-US" w:bidi="ar-SA"/>
        </w:rPr>
        <w:t>, w </w:t>
      </w:r>
      <w:r w:rsidR="00BA20BD" w:rsidRPr="00890249">
        <w:rPr>
          <w:rFonts w:asciiTheme="minorHAnsi" w:hAnsiTheme="minorHAnsi" w:cstheme="minorHAnsi"/>
          <w:sz w:val="22"/>
          <w:szCs w:val="22"/>
          <w:lang w:eastAsia="en-US" w:bidi="ar-SA"/>
        </w:rPr>
        <w:t xml:space="preserve">tym przystosowanie do potrzeb </w:t>
      </w:r>
      <w:r w:rsidR="00F47777" w:rsidRPr="00890249">
        <w:rPr>
          <w:rFonts w:asciiTheme="minorHAnsi" w:hAnsiTheme="minorHAnsi" w:cstheme="minorHAnsi"/>
          <w:sz w:val="22"/>
          <w:szCs w:val="22"/>
          <w:lang w:eastAsia="en-US" w:bidi="ar-SA"/>
        </w:rPr>
        <w:t xml:space="preserve">m.in. </w:t>
      </w:r>
      <w:r w:rsidR="00BA20BD" w:rsidRPr="00890249">
        <w:rPr>
          <w:rFonts w:asciiTheme="minorHAnsi" w:hAnsiTheme="minorHAnsi" w:cstheme="minorHAnsi"/>
          <w:sz w:val="22"/>
          <w:szCs w:val="22"/>
          <w:lang w:eastAsia="en-US" w:bidi="ar-SA"/>
        </w:rPr>
        <w:t>osób z niepełnosprawnościami</w:t>
      </w:r>
      <w:r w:rsidR="009D5BAA">
        <w:rPr>
          <w:rFonts w:asciiTheme="minorHAnsi" w:hAnsiTheme="minorHAnsi" w:cstheme="minorHAnsi"/>
          <w:sz w:val="22"/>
          <w:szCs w:val="22"/>
          <w:lang w:eastAsia="en-US" w:bidi="ar-SA"/>
        </w:rPr>
        <w:t>, przewlekle chorych, z </w:t>
      </w:r>
      <w:r w:rsidR="007E6507" w:rsidRPr="00890249">
        <w:rPr>
          <w:rFonts w:asciiTheme="minorHAnsi" w:hAnsiTheme="minorHAnsi" w:cstheme="minorHAnsi"/>
          <w:sz w:val="22"/>
          <w:szCs w:val="22"/>
          <w:lang w:eastAsia="en-US" w:bidi="ar-SA"/>
        </w:rPr>
        <w:t>rodzin migranckich, z</w:t>
      </w:r>
      <w:r w:rsidR="00F47777" w:rsidRPr="00890249">
        <w:rPr>
          <w:rFonts w:asciiTheme="minorHAnsi" w:hAnsiTheme="minorHAnsi" w:cstheme="minorHAnsi"/>
          <w:sz w:val="22"/>
          <w:szCs w:val="22"/>
          <w:lang w:eastAsia="en-US" w:bidi="ar-SA"/>
        </w:rPr>
        <w:t>e społeczności romskiej</w:t>
      </w:r>
      <w:r w:rsidR="007E6507" w:rsidRPr="00890249">
        <w:rPr>
          <w:rFonts w:asciiTheme="minorHAnsi" w:hAnsiTheme="minorHAnsi" w:cstheme="minorHAnsi"/>
          <w:sz w:val="22"/>
          <w:szCs w:val="22"/>
          <w:lang w:eastAsia="en-US" w:bidi="ar-SA"/>
        </w:rPr>
        <w:t>, b</w:t>
      </w:r>
      <w:r w:rsidR="009D5BAA">
        <w:rPr>
          <w:rFonts w:asciiTheme="minorHAnsi" w:hAnsiTheme="minorHAnsi" w:cstheme="minorHAnsi"/>
          <w:sz w:val="22"/>
          <w:szCs w:val="22"/>
          <w:lang w:eastAsia="en-US" w:bidi="ar-SA"/>
        </w:rPr>
        <w:t>ędących w sytuacji kryzysowej i </w:t>
      </w:r>
      <w:r w:rsidR="007E6507" w:rsidRPr="00890249">
        <w:rPr>
          <w:rFonts w:asciiTheme="minorHAnsi" w:hAnsiTheme="minorHAnsi" w:cstheme="minorHAnsi"/>
          <w:sz w:val="22"/>
          <w:szCs w:val="22"/>
          <w:lang w:eastAsia="en-US" w:bidi="ar-SA"/>
        </w:rPr>
        <w:t>traumatycznej</w:t>
      </w:r>
      <w:r w:rsidR="0039384A" w:rsidRPr="00890249">
        <w:rPr>
          <w:rFonts w:asciiTheme="minorHAnsi" w:hAnsiTheme="minorHAnsi" w:cstheme="minorHAnsi"/>
          <w:sz w:val="22"/>
          <w:szCs w:val="22"/>
          <w:lang w:eastAsia="en-US" w:bidi="ar-SA"/>
        </w:rPr>
        <w:t xml:space="preserve"> oraz wsparcie</w:t>
      </w:r>
      <w:r w:rsidR="00E732F4" w:rsidRPr="00890249">
        <w:rPr>
          <w:rFonts w:asciiTheme="minorHAnsi" w:hAnsiTheme="minorHAnsi" w:cstheme="minorHAnsi"/>
          <w:sz w:val="22"/>
          <w:szCs w:val="22"/>
          <w:lang w:eastAsia="en-US" w:bidi="ar-SA"/>
        </w:rPr>
        <w:t xml:space="preserve"> przyszkolnej infrastruktury sportowej</w:t>
      </w:r>
      <w:r w:rsidR="003B5355" w:rsidRPr="00890249">
        <w:rPr>
          <w:rFonts w:asciiTheme="minorHAnsi" w:hAnsiTheme="minorHAnsi" w:cstheme="minorHAnsi"/>
          <w:sz w:val="22"/>
          <w:szCs w:val="22"/>
          <w:lang w:eastAsia="en-US" w:bidi="ar-SA"/>
        </w:rPr>
        <w:t>,</w:t>
      </w:r>
      <w:r w:rsidR="00E732F4" w:rsidRPr="00890249">
        <w:rPr>
          <w:rFonts w:asciiTheme="minorHAnsi" w:hAnsiTheme="minorHAnsi" w:cstheme="minorHAnsi"/>
          <w:sz w:val="22"/>
          <w:szCs w:val="22"/>
          <w:lang w:eastAsia="en-US" w:bidi="ar-SA"/>
        </w:rPr>
        <w:t xml:space="preserve"> jako elementu edukacji włączającej</w:t>
      </w:r>
      <w:r w:rsidRPr="00890249">
        <w:rPr>
          <w:rFonts w:asciiTheme="minorHAnsi" w:hAnsiTheme="minorHAnsi" w:cstheme="minorHAnsi"/>
          <w:sz w:val="22"/>
          <w:szCs w:val="22"/>
          <w:lang w:eastAsia="en-US" w:bidi="ar-SA"/>
        </w:rPr>
        <w:t>.</w:t>
      </w:r>
    </w:p>
    <w:p w14:paraId="453FC8CD" w14:textId="4B0257B2" w:rsidR="00B72154" w:rsidRPr="00890249" w:rsidRDefault="00F102EC" w:rsidP="009F296A">
      <w:pPr>
        <w:pStyle w:val="Akapitzlist"/>
        <w:numPr>
          <w:ilvl w:val="0"/>
          <w:numId w:val="137"/>
        </w:numPr>
        <w:shd w:val="clear" w:color="auto" w:fill="FFFFFF" w:themeFill="background1"/>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w:t>
      </w:r>
      <w:r w:rsidR="7E891335" w:rsidRPr="00890249">
        <w:rPr>
          <w:rFonts w:asciiTheme="minorHAnsi" w:hAnsiTheme="minorHAnsi" w:cstheme="minorHAnsi"/>
          <w:sz w:val="22"/>
          <w:szCs w:val="22"/>
          <w:lang w:eastAsia="en-US" w:bidi="ar-SA"/>
        </w:rPr>
        <w:t>sparcie infrastruktury edukacyjnej liceów</w:t>
      </w:r>
      <w:r w:rsidR="08AB5408" w:rsidRPr="00890249">
        <w:rPr>
          <w:rFonts w:asciiTheme="minorHAnsi" w:hAnsiTheme="minorHAnsi" w:cstheme="minorHAnsi"/>
          <w:sz w:val="22"/>
          <w:szCs w:val="22"/>
          <w:lang w:eastAsia="en-US" w:bidi="ar-SA"/>
        </w:rPr>
        <w:t xml:space="preserve"> w zakresie </w:t>
      </w:r>
      <w:r w:rsidR="0793CBB1" w:rsidRPr="00890249">
        <w:rPr>
          <w:rFonts w:asciiTheme="minorHAnsi" w:hAnsiTheme="minorHAnsi" w:cstheme="minorHAnsi"/>
          <w:sz w:val="22"/>
          <w:szCs w:val="22"/>
          <w:lang w:eastAsia="en-US" w:bidi="ar-SA"/>
        </w:rPr>
        <w:t xml:space="preserve">rozwoju </w:t>
      </w:r>
      <w:r w:rsidR="7E891335" w:rsidRPr="00890249">
        <w:rPr>
          <w:rFonts w:asciiTheme="minorHAnsi" w:hAnsiTheme="minorHAnsi" w:cstheme="minorHAnsi"/>
          <w:sz w:val="22"/>
          <w:szCs w:val="22"/>
          <w:lang w:eastAsia="en-US" w:bidi="ar-SA"/>
        </w:rPr>
        <w:t>na</w:t>
      </w:r>
      <w:r w:rsidR="0793CBB1" w:rsidRPr="00890249">
        <w:rPr>
          <w:rFonts w:asciiTheme="minorHAnsi" w:hAnsiTheme="minorHAnsi" w:cstheme="minorHAnsi"/>
          <w:sz w:val="22"/>
          <w:szCs w:val="22"/>
          <w:lang w:eastAsia="en-US" w:bidi="ar-SA"/>
        </w:rPr>
        <w:t>uk ścisłych i praktycznych</w:t>
      </w:r>
      <w:r w:rsidR="1DD156AF" w:rsidRPr="00890249">
        <w:rPr>
          <w:rFonts w:asciiTheme="minorHAnsi" w:hAnsiTheme="minorHAnsi" w:cstheme="minorHAnsi"/>
          <w:sz w:val="22"/>
          <w:szCs w:val="22"/>
          <w:lang w:eastAsia="en-US" w:bidi="ar-SA"/>
        </w:rPr>
        <w:t xml:space="preserve"> </w:t>
      </w:r>
      <w:r w:rsidR="003B5355" w:rsidRPr="00890249">
        <w:rPr>
          <w:rFonts w:asciiTheme="minorHAnsi" w:hAnsiTheme="minorHAnsi" w:cstheme="minorHAnsi"/>
          <w:sz w:val="22"/>
          <w:szCs w:val="22"/>
          <w:lang w:eastAsia="en-US" w:bidi="ar-SA"/>
        </w:rPr>
        <w:t>w celu</w:t>
      </w:r>
      <w:r w:rsidR="0793CBB1" w:rsidRPr="00890249">
        <w:rPr>
          <w:rFonts w:asciiTheme="minorHAnsi" w:hAnsiTheme="minorHAnsi" w:cstheme="minorHAnsi"/>
          <w:sz w:val="22"/>
          <w:szCs w:val="22"/>
          <w:lang w:eastAsia="en-US" w:bidi="ar-SA"/>
        </w:rPr>
        <w:t xml:space="preserve"> nabycia</w:t>
      </w:r>
      <w:r w:rsidR="004F7A9E" w:rsidRPr="00890249">
        <w:rPr>
          <w:rFonts w:asciiTheme="minorHAnsi" w:hAnsiTheme="minorHAnsi" w:cstheme="minorHAnsi"/>
          <w:sz w:val="22"/>
          <w:szCs w:val="22"/>
          <w:lang w:eastAsia="en-US" w:bidi="ar-SA"/>
        </w:rPr>
        <w:t xml:space="preserve"> kompetencji</w:t>
      </w:r>
      <w:r w:rsidR="0079381F" w:rsidRPr="00890249">
        <w:rPr>
          <w:rFonts w:asciiTheme="minorHAnsi" w:hAnsiTheme="minorHAnsi" w:cstheme="minorHAnsi"/>
          <w:sz w:val="22"/>
          <w:szCs w:val="22"/>
          <w:lang w:eastAsia="en-US" w:bidi="ar-SA"/>
        </w:rPr>
        <w:t xml:space="preserve"> </w:t>
      </w:r>
      <w:r w:rsidR="08AB5408" w:rsidRPr="00890249">
        <w:rPr>
          <w:rFonts w:asciiTheme="minorHAnsi" w:hAnsiTheme="minorHAnsi" w:cstheme="minorHAnsi"/>
          <w:sz w:val="22"/>
          <w:szCs w:val="22"/>
          <w:lang w:eastAsia="en-US" w:bidi="ar-SA"/>
        </w:rPr>
        <w:t>STEAM</w:t>
      </w:r>
      <w:r w:rsidR="004F7A9E" w:rsidRPr="00890249">
        <w:rPr>
          <w:rFonts w:asciiTheme="minorHAnsi" w:hAnsiTheme="minorHAnsi" w:cstheme="minorHAnsi"/>
          <w:sz w:val="22"/>
          <w:szCs w:val="22"/>
          <w:lang w:eastAsia="en-US" w:bidi="ar-SA"/>
        </w:rPr>
        <w:t>, powiązanych z potrzebami rynku pracy</w:t>
      </w:r>
      <w:r w:rsidR="7E891335" w:rsidRPr="00890249">
        <w:rPr>
          <w:rFonts w:asciiTheme="minorHAnsi" w:hAnsiTheme="minorHAnsi" w:cstheme="minorHAnsi"/>
          <w:sz w:val="22"/>
          <w:szCs w:val="22"/>
          <w:lang w:eastAsia="en-US" w:bidi="ar-SA"/>
        </w:rPr>
        <w:t>.</w:t>
      </w:r>
    </w:p>
    <w:p w14:paraId="4CB8E513" w14:textId="77777777" w:rsidR="0093433C" w:rsidRPr="00890249" w:rsidRDefault="004F7A9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ramach ostatniego typu projektów nie jest możliwe wsparcie w zakresie podstawowej bazy dydaktycznej, niezwiązanej z nauczaniem praktycznym lub zawodowym.</w:t>
      </w:r>
      <w:r w:rsidR="00363463" w:rsidRPr="00890249">
        <w:rPr>
          <w:rFonts w:asciiTheme="minorHAnsi" w:hAnsiTheme="minorHAnsi" w:cstheme="minorHAnsi"/>
          <w:sz w:val="22"/>
          <w:szCs w:val="22"/>
          <w:lang w:eastAsia="en-US" w:bidi="ar-SA"/>
        </w:rPr>
        <w:t xml:space="preserve"> </w:t>
      </w:r>
    </w:p>
    <w:p w14:paraId="5CFEA7C6" w14:textId="6B4A1E2D" w:rsidR="0093433C" w:rsidRPr="00890249" w:rsidRDefault="0069712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Realizowane  przedsięwzięcia</w:t>
      </w:r>
      <w:r w:rsidR="00BA20BD" w:rsidRPr="00890249">
        <w:rPr>
          <w:rFonts w:asciiTheme="minorHAnsi" w:hAnsiTheme="minorHAnsi" w:cstheme="minorHAnsi"/>
          <w:noProof/>
          <w:sz w:val="22"/>
          <w:szCs w:val="22"/>
        </w:rPr>
        <w:t xml:space="preserve"> są zgodne z zasadą DNSH. Ze względu na ich charakter przyjmuje się, że nie mają negatywnego wpływu na środowisko. </w:t>
      </w:r>
      <w:r w:rsidR="003901D0" w:rsidRPr="00890249">
        <w:rPr>
          <w:rFonts w:asciiTheme="minorHAnsi" w:hAnsiTheme="minorHAnsi" w:cstheme="minorHAnsi"/>
          <w:noProof/>
          <w:sz w:val="22"/>
          <w:szCs w:val="22"/>
        </w:rPr>
        <w:t>Wsparcie osób z niepełnosprawnościami będzie udzielane zgodnie z Konwencją ONZ o prawach osób niepełnosprawnych.</w:t>
      </w:r>
    </w:p>
    <w:p w14:paraId="44D1935E" w14:textId="77777777" w:rsidR="00A86AD3" w:rsidRPr="00890249" w:rsidRDefault="00A86AD3" w:rsidP="00A86AD3">
      <w:pPr>
        <w:rPr>
          <w:rFonts w:asciiTheme="minorHAnsi" w:hAnsiTheme="minorHAnsi" w:cstheme="minorHAnsi"/>
          <w:b/>
          <w:bCs/>
          <w:noProof/>
          <w:color w:val="2F5496" w:themeColor="accent5" w:themeShade="BF"/>
          <w:sz w:val="22"/>
          <w:szCs w:val="22"/>
        </w:rPr>
      </w:pPr>
      <w:r w:rsidRPr="00890249">
        <w:rPr>
          <w:rFonts w:asciiTheme="minorHAnsi" w:hAnsiTheme="minorHAnsi" w:cstheme="minorHAnsi"/>
          <w:b/>
          <w:bCs/>
          <w:noProof/>
          <w:color w:val="2F5496" w:themeColor="accent5" w:themeShade="BF"/>
          <w:sz w:val="22"/>
          <w:szCs w:val="22"/>
        </w:rPr>
        <w:t>Główne grupy docelowe</w:t>
      </w:r>
    </w:p>
    <w:p w14:paraId="2452A0DC" w14:textId="1B40E009" w:rsidR="00B72154" w:rsidRPr="00890249" w:rsidRDefault="002920D1" w:rsidP="009F296A">
      <w:pPr>
        <w:pStyle w:val="Akapitzlist"/>
        <w:numPr>
          <w:ilvl w:val="0"/>
          <w:numId w:val="30"/>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uczniowie, szczególnie ze specjalnymi potrzebami edukacyjnymi</w:t>
      </w:r>
      <w:r w:rsidR="004F7A9E" w:rsidRPr="00890249">
        <w:rPr>
          <w:rFonts w:asciiTheme="minorHAnsi" w:hAnsiTheme="minorHAnsi" w:cstheme="minorHAnsi"/>
          <w:noProof/>
          <w:sz w:val="22"/>
          <w:szCs w:val="22"/>
        </w:rPr>
        <w:t xml:space="preserve"> oraz z obszarów wiejskich</w:t>
      </w:r>
      <w:r w:rsidRPr="00890249">
        <w:rPr>
          <w:rFonts w:asciiTheme="minorHAnsi" w:hAnsiTheme="minorHAnsi" w:cstheme="minorHAnsi"/>
          <w:noProof/>
          <w:sz w:val="22"/>
          <w:szCs w:val="22"/>
        </w:rPr>
        <w:t>,</w:t>
      </w:r>
    </w:p>
    <w:p w14:paraId="10F1DF2F" w14:textId="77777777" w:rsidR="00B72154" w:rsidRPr="00890249" w:rsidRDefault="00A66D86" w:rsidP="009F296A">
      <w:pPr>
        <w:pStyle w:val="Akapitzlist"/>
        <w:numPr>
          <w:ilvl w:val="0"/>
          <w:numId w:val="30"/>
        </w:numPr>
        <w:ind w:left="714"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nowo utworzone i istniejące ośrodki wychowania przedszkolnego,</w:t>
      </w:r>
    </w:p>
    <w:p w14:paraId="16F05B82" w14:textId="77777777" w:rsidR="0093433C" w:rsidRPr="00890249" w:rsidRDefault="0C596C44" w:rsidP="009F296A">
      <w:pPr>
        <w:pStyle w:val="Listapunktowana2"/>
        <w:numPr>
          <w:ilvl w:val="0"/>
          <w:numId w:val="30"/>
        </w:numPr>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podmioty działające w obszarze edukacji ogólnej,</w:t>
      </w:r>
    </w:p>
    <w:p w14:paraId="16680184" w14:textId="77777777" w:rsidR="0093433C" w:rsidRPr="00890249" w:rsidRDefault="0C596C44" w:rsidP="009F296A">
      <w:pPr>
        <w:pStyle w:val="Listapunktowana2"/>
        <w:numPr>
          <w:ilvl w:val="0"/>
          <w:numId w:val="30"/>
        </w:numPr>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podmioty działające w obszarze kształcenia  zawodowego i ustawicznego.</w:t>
      </w:r>
    </w:p>
    <w:p w14:paraId="2890338F" w14:textId="77777777" w:rsidR="00A86AD3" w:rsidRPr="00890249" w:rsidRDefault="00A86AD3" w:rsidP="00A86AD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na rzecz zapewnienia równości, włączenia społecznego i niedyskryminacji</w:t>
      </w:r>
    </w:p>
    <w:p w14:paraId="73A9165F" w14:textId="1574A4B4" w:rsidR="0093433C" w:rsidRPr="00890249" w:rsidRDefault="7E651917"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w:t>
      </w:r>
      <w:r w:rsidR="00AD7B43" w:rsidRPr="00890249">
        <w:rPr>
          <w:rFonts w:asciiTheme="minorHAnsi" w:hAnsiTheme="minorHAnsi" w:cstheme="minorHAnsi"/>
          <w:sz w:val="22"/>
          <w:lang w:eastAsia="en-US" w:bidi="ar-SA"/>
        </w:rPr>
        <w:t>uczniów</w:t>
      </w:r>
      <w:r w:rsidRPr="00890249">
        <w:rPr>
          <w:rFonts w:asciiTheme="minorHAnsi" w:hAnsiTheme="minorHAnsi" w:cstheme="minorHAnsi"/>
          <w:sz w:val="22"/>
          <w:lang w:eastAsia="en-US" w:bidi="ar-SA"/>
        </w:rPr>
        <w:t xml:space="preserve"> i społeczności oraz brakiem wsparcia społecznego. </w:t>
      </w:r>
    </w:p>
    <w:p w14:paraId="0E90893F" w14:textId="70DD55FC" w:rsidR="0093433C" w:rsidRPr="00890249" w:rsidRDefault="1FAC9D7A" w:rsidP="00890249">
      <w:pPr>
        <w:pStyle w:val="Tekstpodstawowy"/>
        <w:rPr>
          <w:rFonts w:asciiTheme="minorHAnsi" w:hAnsiTheme="minorHAnsi" w:cstheme="minorHAnsi"/>
          <w:sz w:val="22"/>
        </w:rPr>
      </w:pPr>
      <w:r w:rsidRPr="00890249">
        <w:rPr>
          <w:rFonts w:asciiTheme="minorHAnsi" w:hAnsiTheme="minorHAnsi" w:cstheme="minorHAnsi"/>
          <w:sz w:val="22"/>
        </w:rPr>
        <w:t xml:space="preserve">Zasada </w:t>
      </w:r>
      <w:r w:rsidR="02F57846" w:rsidRPr="00890249">
        <w:rPr>
          <w:rFonts w:asciiTheme="minorHAnsi" w:hAnsiTheme="minorHAnsi" w:cstheme="minorHAnsi"/>
          <w:sz w:val="22"/>
        </w:rPr>
        <w:t>równości</w:t>
      </w:r>
      <w:r w:rsidRPr="00890249">
        <w:rPr>
          <w:rFonts w:asciiTheme="minorHAnsi" w:hAnsiTheme="minorHAnsi" w:cstheme="minorHAnsi"/>
          <w:sz w:val="22"/>
        </w:rPr>
        <w:t xml:space="preserve">, dostępności i niedyskryminacji będzie w szczególny sposób odnosić się do wspieranej infrastruktury edukacyjnej. W wyniku realizowanych projektów nastąpi poprawa dostępu do usług </w:t>
      </w:r>
      <w:r w:rsidRPr="00890249">
        <w:rPr>
          <w:rFonts w:asciiTheme="minorHAnsi" w:hAnsiTheme="minorHAnsi" w:cstheme="minorHAnsi"/>
          <w:sz w:val="22"/>
        </w:rPr>
        <w:lastRenderedPageBreak/>
        <w:t xml:space="preserve">edukacyjnych w zakresie wychowania przedszkolnego, kształcenia zawodowego oraz kształcenia ogólnego w wymiarze terytorialnym oraz indywidualnym, poprzez eliminację barier fizycznych w dostępie do infrastruktury. </w:t>
      </w:r>
      <w:r w:rsidR="696AB797" w:rsidRPr="00890249">
        <w:rPr>
          <w:rFonts w:asciiTheme="minorHAnsi" w:hAnsiTheme="minorHAnsi" w:cstheme="minorHAnsi"/>
          <w:sz w:val="22"/>
        </w:rPr>
        <w:t xml:space="preserve">Podejmowane będą działania dotyczące dostosowania infrastruktury gwarantującej równy dostęp dla wszystkich użytkowników a także rozwiązania pozwalające na wykonywanie edukacji w systemie on-line. </w:t>
      </w:r>
      <w:r w:rsidR="00875C92" w:rsidRPr="00890249">
        <w:rPr>
          <w:rFonts w:asciiTheme="minorHAnsi" w:hAnsiTheme="minorHAnsi" w:cstheme="minorHAnsi"/>
          <w:sz w:val="22"/>
        </w:rPr>
        <w:t xml:space="preserve">Działania służyć będą zapewnieniu odpowiedniej infrastruktury dla równego dostępu do edukacji sprzyjającej włączeniu społecznemu. </w:t>
      </w:r>
    </w:p>
    <w:p w14:paraId="0A7A2EA1" w14:textId="51B672C1" w:rsidR="0093433C" w:rsidRPr="00890249" w:rsidRDefault="007F1096" w:rsidP="00890249">
      <w:pPr>
        <w:pStyle w:val="Tekstpodstawowy"/>
        <w:rPr>
          <w:rFonts w:asciiTheme="minorHAnsi" w:hAnsiTheme="minorHAnsi" w:cstheme="minorHAnsi"/>
          <w:lang w:eastAsia="en-US" w:bidi="ar-SA"/>
        </w:rPr>
      </w:pPr>
      <w:r w:rsidRPr="00890249">
        <w:rPr>
          <w:rFonts w:asciiTheme="minorHAnsi" w:hAnsiTheme="minorHAnsi" w:cstheme="minorHAnsi"/>
          <w:sz w:val="22"/>
          <w:lang w:eastAsia="en-US" w:bidi="ar-SA"/>
        </w:rPr>
        <w:t xml:space="preserve">Edukacja włączająca zostanie zapewniona m.in. dzięki wykorzystaniu edukacyjnego standardu dostępności, czy Modelu Dostępnej Szkoły. Umożliwi uczestnictwo w życiu szkoły </w:t>
      </w:r>
      <w:r w:rsidRPr="00890249">
        <w:rPr>
          <w:rFonts w:asciiTheme="minorHAnsi" w:hAnsiTheme="minorHAnsi" w:cstheme="minorHAnsi"/>
          <w:sz w:val="22"/>
          <w:lang w:eastAsia="en-US"/>
        </w:rPr>
        <w:t>każdego ucznia, bez względu na ograniczenia wynikające z niepełnosprawności czy specjalnych potrzeb. Zwiększenie dostępności do edukacji przedszkolnej wyrówna z kolei szanse w dostępie do zatrudnienia opiekunów dzieci, w szczególności kobiet z obszarów wiejskich, sprzyjając ich aktywizacji zawodowej.</w:t>
      </w:r>
    </w:p>
    <w:p w14:paraId="588D5372" w14:textId="77777777" w:rsidR="00A86AD3" w:rsidRPr="00890249" w:rsidRDefault="00A86AD3" w:rsidP="00A86AD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Wskazanie konkretnych terytoriów objętych wsparciem, z uwzględnieniem planowanego wykorzystania narzędzi terytorialnych:</w:t>
      </w:r>
    </w:p>
    <w:p w14:paraId="1D3D89D5" w14:textId="77777777" w:rsidR="0093433C" w:rsidRPr="00890249" w:rsidRDefault="00BA20BD"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366BE1CA" w14:textId="5F5D2E74" w:rsidR="0093433C" w:rsidRPr="00890249" w:rsidRDefault="00BA20BD"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Istnieje możliwość preferencji dla mieszkańców obszarów strategicznej interwencji, tj. miast średnich tracących funkcje społeczno-gospodarcze oraz </w:t>
      </w:r>
      <w:r w:rsidR="007368DD" w:rsidRPr="00890249">
        <w:rPr>
          <w:rFonts w:asciiTheme="minorHAnsi" w:hAnsiTheme="minorHAnsi" w:cstheme="minorHAnsi"/>
          <w:noProof/>
          <w:sz w:val="22"/>
          <w:szCs w:val="22"/>
        </w:rPr>
        <w:t>obszarów</w:t>
      </w:r>
      <w:r w:rsidRPr="00890249">
        <w:rPr>
          <w:rFonts w:asciiTheme="minorHAnsi" w:hAnsiTheme="minorHAnsi" w:cstheme="minorHAnsi"/>
          <w:noProof/>
          <w:sz w:val="22"/>
          <w:szCs w:val="22"/>
        </w:rPr>
        <w:t xml:space="preserve"> zagrożonych trwałą marginalizacją, zidentyfikowanych na poziomie krajowym. </w:t>
      </w:r>
    </w:p>
    <w:p w14:paraId="7C563F59" w14:textId="77777777" w:rsidR="00A86AD3" w:rsidRPr="00890249" w:rsidRDefault="00A86AD3" w:rsidP="00A86AD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Działania międzyregionalne, transgraniczne i transnarodowe</w:t>
      </w:r>
    </w:p>
    <w:p w14:paraId="58FFA011" w14:textId="79B34FC3"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Wszystkie interwencje zaplanowane w </w:t>
      </w:r>
      <w:r w:rsidR="007368DD" w:rsidRPr="00890249">
        <w:rPr>
          <w:rFonts w:asciiTheme="minorHAnsi" w:hAnsiTheme="minorHAnsi" w:cstheme="minorHAnsi"/>
          <w:noProof/>
          <w:sz w:val="22"/>
          <w:szCs w:val="22"/>
        </w:rPr>
        <w:t>cs (ii)</w:t>
      </w:r>
      <w:r w:rsidRPr="00890249">
        <w:rPr>
          <w:rFonts w:asciiTheme="minorHAnsi" w:hAnsiTheme="minorHAnsi" w:cstheme="minorHAnsi"/>
          <w:noProof/>
          <w:sz w:val="22"/>
          <w:szCs w:val="22"/>
        </w:rPr>
        <w:t xml:space="preserve"> 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w:t>
      </w:r>
      <w:r w:rsidR="00BB20C0" w:rsidRPr="00890249">
        <w:rPr>
          <w:rFonts w:asciiTheme="minorHAnsi" w:hAnsiTheme="minorHAnsi" w:cstheme="minorHAnsi"/>
          <w:noProof/>
          <w:sz w:val="22"/>
          <w:szCs w:val="22"/>
        </w:rPr>
        <w:t xml:space="preserve">z </w:t>
      </w:r>
      <w:r w:rsidRPr="00890249">
        <w:rPr>
          <w:rFonts w:asciiTheme="minorHAnsi" w:hAnsiTheme="minorHAnsi" w:cstheme="minorHAnsi"/>
          <w:noProof/>
          <w:sz w:val="22"/>
          <w:szCs w:val="22"/>
        </w:rPr>
        <w:t>interwenc</w:t>
      </w:r>
      <w:r w:rsidR="00BB20C0" w:rsidRPr="00890249">
        <w:rPr>
          <w:rFonts w:asciiTheme="minorHAnsi" w:hAnsiTheme="minorHAnsi" w:cstheme="minorHAnsi"/>
          <w:noProof/>
          <w:sz w:val="22"/>
          <w:szCs w:val="22"/>
        </w:rPr>
        <w:t xml:space="preserve">ją </w:t>
      </w:r>
      <w:r w:rsidRPr="00890249">
        <w:rPr>
          <w:rFonts w:asciiTheme="minorHAnsi" w:hAnsiTheme="minorHAnsi" w:cstheme="minorHAnsi"/>
          <w:noProof/>
          <w:sz w:val="22"/>
          <w:szCs w:val="22"/>
        </w:rPr>
        <w:t>wskazan</w:t>
      </w:r>
      <w:r w:rsidR="00BB20C0"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 programach współpracy transgranicznej Interreg Czechy-Polska 2021-2027 oraz Interreg Region Morza Bałtyckiego 2021-2027, w tym w zakresie: wzmacniania konkurencyjności MŚP, zwiększenia odporności i przystosowania do zmian klimatu, rozw</w:t>
      </w:r>
      <w:r w:rsidR="00BB20C0" w:rsidRPr="00890249">
        <w:rPr>
          <w:rFonts w:asciiTheme="minorHAnsi" w:hAnsiTheme="minorHAnsi" w:cstheme="minorHAnsi"/>
          <w:noProof/>
          <w:sz w:val="22"/>
          <w:szCs w:val="22"/>
        </w:rPr>
        <w:t xml:space="preserve">oju </w:t>
      </w:r>
      <w:r w:rsidRPr="00890249">
        <w:rPr>
          <w:rFonts w:asciiTheme="minorHAnsi" w:hAnsiTheme="minorHAnsi" w:cstheme="minorHAnsi"/>
          <w:noProof/>
          <w:sz w:val="22"/>
          <w:szCs w:val="22"/>
        </w:rPr>
        <w:t xml:space="preserve">bioróżnorodności, a także transgranicznej infrastruktury transportowej oraz zrównoważonej turystyki. </w:t>
      </w:r>
    </w:p>
    <w:p w14:paraId="34FC9DD7" w14:textId="47C46772" w:rsidR="0093433C" w:rsidRPr="00890249" w:rsidRDefault="008915F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 punktu widzenia wsparcia edukacji działania zaplanowane w FEO 2021-2027 będą uzupełniać się</w:t>
      </w:r>
      <w:r w:rsidR="009D5BAA">
        <w:rPr>
          <w:rFonts w:asciiTheme="minorHAnsi" w:hAnsiTheme="minorHAnsi" w:cstheme="minorHAnsi"/>
          <w:noProof/>
          <w:sz w:val="22"/>
          <w:szCs w:val="22"/>
        </w:rPr>
        <w:t xml:space="preserve"> z </w:t>
      </w:r>
      <w:r w:rsidRPr="00890249">
        <w:rPr>
          <w:rFonts w:asciiTheme="minorHAnsi" w:hAnsiTheme="minorHAnsi" w:cstheme="minorHAnsi"/>
          <w:noProof/>
          <w:sz w:val="22"/>
          <w:szCs w:val="22"/>
        </w:rPr>
        <w:t>interwencj</w:t>
      </w:r>
      <w:r w:rsidR="00BB20C0" w:rsidRPr="00890249">
        <w:rPr>
          <w:rFonts w:asciiTheme="minorHAnsi" w:hAnsiTheme="minorHAnsi" w:cstheme="minorHAnsi"/>
          <w:noProof/>
          <w:sz w:val="22"/>
          <w:szCs w:val="22"/>
        </w:rPr>
        <w:t xml:space="preserve">ą </w:t>
      </w:r>
      <w:r w:rsidRPr="00890249">
        <w:rPr>
          <w:rFonts w:asciiTheme="minorHAnsi" w:hAnsiTheme="minorHAnsi" w:cstheme="minorHAnsi"/>
          <w:noProof/>
          <w:sz w:val="22"/>
          <w:szCs w:val="22"/>
        </w:rPr>
        <w:t>wskazan</w:t>
      </w:r>
      <w:r w:rsidR="00BB20C0" w:rsidRPr="00890249">
        <w:rPr>
          <w:rFonts w:asciiTheme="minorHAnsi" w:hAnsiTheme="minorHAnsi" w:cstheme="minorHAnsi"/>
          <w:noProof/>
          <w:sz w:val="22"/>
          <w:szCs w:val="22"/>
        </w:rPr>
        <w:t>ą</w:t>
      </w:r>
      <w:r w:rsidRPr="00890249">
        <w:rPr>
          <w:rFonts w:asciiTheme="minorHAnsi" w:hAnsiTheme="minorHAnsi" w:cstheme="minorHAnsi"/>
          <w:noProof/>
          <w:sz w:val="22"/>
          <w:szCs w:val="22"/>
        </w:rPr>
        <w:t xml:space="preserve"> w programie Erasmus+, którego celami są m.in.:</w:t>
      </w:r>
    </w:p>
    <w:p w14:paraId="79FE7A76" w14:textId="70689C7E" w:rsidR="008915F3" w:rsidRPr="00890249" w:rsidRDefault="008915F3" w:rsidP="008915F3">
      <w:pPr>
        <w:ind w:left="426" w:hanging="426"/>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promowanie mobilności edukacyjnej osób i grup, jak również współpracy, włączenia społecznego i równego dostępu, doskonałości, kreatywności i inno</w:t>
      </w:r>
      <w:r w:rsidR="009D5BAA">
        <w:rPr>
          <w:rFonts w:asciiTheme="minorHAnsi" w:hAnsiTheme="minorHAnsi" w:cstheme="minorHAnsi"/>
          <w:noProof/>
          <w:sz w:val="22"/>
          <w:szCs w:val="22"/>
        </w:rPr>
        <w:t>wacji na szczeblu organizacji i </w:t>
      </w:r>
      <w:r w:rsidRPr="00890249">
        <w:rPr>
          <w:rFonts w:asciiTheme="minorHAnsi" w:hAnsiTheme="minorHAnsi" w:cstheme="minorHAnsi"/>
          <w:noProof/>
          <w:sz w:val="22"/>
          <w:szCs w:val="22"/>
        </w:rPr>
        <w:t>polityki w dziedzinie kształcenia i szkolenia</w:t>
      </w:r>
      <w:r w:rsidR="003B5355" w:rsidRPr="00890249">
        <w:rPr>
          <w:rFonts w:asciiTheme="minorHAnsi" w:hAnsiTheme="minorHAnsi" w:cstheme="minorHAnsi"/>
          <w:noProof/>
          <w:sz w:val="22"/>
          <w:szCs w:val="22"/>
        </w:rPr>
        <w:t>,</w:t>
      </w:r>
    </w:p>
    <w:p w14:paraId="32ACEF03" w14:textId="77777777" w:rsidR="00BB20C0" w:rsidRPr="00890249" w:rsidRDefault="008915F3" w:rsidP="008915F3">
      <w:pPr>
        <w:ind w:left="426" w:hanging="426"/>
        <w:rPr>
          <w:rFonts w:asciiTheme="minorHAnsi" w:hAnsiTheme="minorHAnsi" w:cstheme="minorHAnsi"/>
          <w:noProof/>
          <w:sz w:val="22"/>
          <w:szCs w:val="22"/>
        </w:rPr>
      </w:pPr>
      <w:r w:rsidRPr="00890249">
        <w:rPr>
          <w:rFonts w:asciiTheme="minorHAnsi" w:hAnsiTheme="minorHAnsi" w:cstheme="minorHAnsi"/>
          <w:noProof/>
          <w:sz w:val="22"/>
          <w:szCs w:val="22"/>
        </w:rPr>
        <w:t>−</w:t>
      </w:r>
      <w:r w:rsidRPr="00890249">
        <w:rPr>
          <w:rFonts w:asciiTheme="minorHAnsi" w:hAnsiTheme="minorHAnsi" w:cstheme="minorHAnsi"/>
          <w:noProof/>
          <w:sz w:val="22"/>
          <w:szCs w:val="22"/>
        </w:rPr>
        <w:tab/>
        <w:t>promowanie pozaformalnej i nieformalnej mobilności edukacyjnej i aktywnego uczestnictwa wśród osób młodych, jak również współpracy, jakości, włączenia, kreatywności i innowacji na szczeblu organizacji i polityki w dziedzinie młodzieży</w:t>
      </w:r>
      <w:r w:rsidR="00BB20C0" w:rsidRPr="00890249">
        <w:rPr>
          <w:rFonts w:asciiTheme="minorHAnsi" w:hAnsiTheme="minorHAnsi" w:cstheme="minorHAnsi"/>
          <w:noProof/>
          <w:sz w:val="22"/>
          <w:szCs w:val="22"/>
        </w:rPr>
        <w:t xml:space="preserve"> </w:t>
      </w:r>
    </w:p>
    <w:p w14:paraId="64711476" w14:textId="34D057E3" w:rsidR="0093433C" w:rsidRPr="00890249" w:rsidRDefault="00BB20C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Wzajemne oddziaływanie interwencji wzmocni jej skuteczność i pozwoli na osiągnięcie efektu synergii.</w:t>
      </w:r>
    </w:p>
    <w:p w14:paraId="1E5DEE83" w14:textId="37C86AD8" w:rsidR="0093433C" w:rsidRPr="00890249" w:rsidRDefault="008915F3" w:rsidP="00890249">
      <w:pPr>
        <w:pStyle w:val="Nagwek7"/>
        <w:rPr>
          <w:rFonts w:asciiTheme="minorHAnsi" w:hAnsiTheme="minorHAnsi" w:cstheme="minorHAnsi"/>
          <w:noProof/>
          <w:sz w:val="22"/>
          <w:szCs w:val="22"/>
        </w:rPr>
      </w:pPr>
      <w:r w:rsidRPr="009D5BAA">
        <w:rPr>
          <w:rFonts w:asciiTheme="minorHAnsi" w:hAnsiTheme="minorHAnsi" w:cstheme="minorHAnsi"/>
          <w:i w:val="0"/>
          <w:iCs w:val="0"/>
          <w:noProof/>
          <w:color w:val="auto"/>
          <w:sz w:val="22"/>
          <w:szCs w:val="22"/>
        </w:rPr>
        <w:t>Ponadto jednym z celów szczegółowych tego programu jest propagowanie uczenia się języków (brak</w:t>
      </w:r>
      <w:r w:rsidR="00A86AD3" w:rsidRPr="00890249">
        <w:rPr>
          <w:rFonts w:asciiTheme="minorHAnsi" w:hAnsiTheme="minorHAnsi" w:cstheme="minorHAnsi"/>
          <w:i w:val="0"/>
          <w:noProof/>
          <w:color w:val="auto"/>
          <w:sz w:val="22"/>
          <w:szCs w:val="22"/>
        </w:rPr>
        <w:t xml:space="preserve"> </w:t>
      </w:r>
      <w:r w:rsidRPr="00890249">
        <w:rPr>
          <w:rFonts w:asciiTheme="minorHAnsi" w:hAnsiTheme="minorHAnsi" w:cstheme="minorHAnsi"/>
          <w:i w:val="0"/>
          <w:noProof/>
          <w:color w:val="auto"/>
          <w:sz w:val="22"/>
          <w:szCs w:val="22"/>
        </w:rPr>
        <w:t>kompetencji językowych jest jedną z głównych barier uczestnictwa w europejskich programach na rzecz kształcenia, szkolenia i młodzieży).</w:t>
      </w:r>
    </w:p>
    <w:p w14:paraId="746303DF" w14:textId="07E68C39" w:rsidR="0093433C" w:rsidRPr="00890249" w:rsidRDefault="008915F3" w:rsidP="00890249">
      <w:pPr>
        <w:pStyle w:val="Tekstpodstawowy"/>
        <w:rPr>
          <w:rFonts w:asciiTheme="minorHAnsi" w:hAnsiTheme="minorHAnsi" w:cstheme="minorHAnsi"/>
          <w:noProof/>
        </w:rPr>
      </w:pPr>
      <w:r w:rsidRPr="00890249">
        <w:rPr>
          <w:rFonts w:asciiTheme="minorHAnsi" w:hAnsiTheme="minorHAnsi" w:cstheme="minorHAnsi"/>
          <w:noProof/>
          <w:sz w:val="22"/>
          <w:szCs w:val="22"/>
        </w:rPr>
        <w:t>Działania podejmowane w cs (ii) wpisują się również w Obszar Tematyczny Edukacja Strategii UE dla regionu Morza Bałtyckiego.</w:t>
      </w:r>
    </w:p>
    <w:p w14:paraId="1D569631" w14:textId="77777777" w:rsidR="00A86AD3" w:rsidRPr="00890249" w:rsidRDefault="00A86AD3" w:rsidP="00A86AD3">
      <w:pPr>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Planowane wykorzystanie instrumentów finansowych</w:t>
      </w:r>
    </w:p>
    <w:p w14:paraId="12B4091D" w14:textId="329E12FE" w:rsidR="00A119EF" w:rsidRPr="00890249" w:rsidRDefault="7E651917" w:rsidP="00A119EF">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W ramach cs (ii) nie planuje się wykorzystania instrumentów finansowych. Edukacja w Polsce jest przede wszystkim finansowana ze środków publicznych, zadania z nią związane </w:t>
      </w:r>
      <w:r w:rsidRPr="00890249">
        <w:rPr>
          <w:rFonts w:asciiTheme="minorHAnsi" w:hAnsiTheme="minorHAnsi" w:cstheme="minorHAnsi"/>
          <w:sz w:val="22"/>
          <w:szCs w:val="22"/>
          <w:lang w:eastAsia="en-US" w:bidi="ar-SA"/>
        </w:rPr>
        <w:t xml:space="preserve"> </w:t>
      </w:r>
      <w:r w:rsidRPr="00890249">
        <w:rPr>
          <w:rFonts w:asciiTheme="minorHAnsi" w:hAnsiTheme="minorHAnsi" w:cstheme="minorHAnsi"/>
          <w:noProof/>
          <w:sz w:val="22"/>
          <w:szCs w:val="22"/>
        </w:rPr>
        <w:t>co do zasady nie są prowadzone dla zysku i nie mają charakteru zadań samofinansujących się. Szacuje się, że udział środków publicznych sięga około 89% w przypadku oświaty i około 81-82% w przypadku szkół wyższych oraz wczesnej opieki i edukacji</w:t>
      </w:r>
      <w:r w:rsidR="00BA20BD" w:rsidRPr="00890249">
        <w:rPr>
          <w:rFonts w:asciiTheme="minorHAnsi" w:hAnsiTheme="minorHAnsi" w:cstheme="minorHAnsi"/>
          <w:noProof/>
          <w:sz w:val="22"/>
          <w:szCs w:val="22"/>
          <w:vertAlign w:val="superscript"/>
        </w:rPr>
        <w:footnoteReference w:id="216"/>
      </w:r>
      <w:r w:rsidRPr="00890249">
        <w:rPr>
          <w:rFonts w:asciiTheme="minorHAnsi" w:hAnsiTheme="minorHAnsi" w:cstheme="minorHAnsi"/>
          <w:noProof/>
          <w:sz w:val="22"/>
          <w:szCs w:val="22"/>
        </w:rPr>
        <w:t>. System oświaty realizuje zadania, niezależnie od statusu społecznego i miejsca zamieszkania uczniów, poprzez rozpoznanie potrzeb i predyspozycji, a następnie zapewnienie adekwatnego ich rozwoju, a szkoła powinna zapewnić każdemu uczniowi warunki niezbędne do jego rozwoju i przygotować do wypełnienia obowiązków rodzinnych i obywatelskich. Dlatego też źródłem sfinansowania koniecznych wydatków inwestycyjnych w t</w:t>
      </w:r>
      <w:r w:rsidR="003B5355" w:rsidRPr="00890249">
        <w:rPr>
          <w:rFonts w:asciiTheme="minorHAnsi" w:hAnsiTheme="minorHAnsi" w:cstheme="minorHAnsi"/>
          <w:noProof/>
          <w:sz w:val="22"/>
          <w:szCs w:val="22"/>
        </w:rPr>
        <w:t>ym</w:t>
      </w:r>
      <w:r w:rsidRPr="00890249">
        <w:rPr>
          <w:rFonts w:asciiTheme="minorHAnsi" w:hAnsiTheme="minorHAnsi" w:cstheme="minorHAnsi"/>
          <w:noProof/>
          <w:sz w:val="22"/>
          <w:szCs w:val="22"/>
        </w:rPr>
        <w:t xml:space="preserve"> obszarze edukacji powinny być bezzwrotne środki publiczne.</w:t>
      </w:r>
    </w:p>
    <w:p w14:paraId="51E0021C" w14:textId="77777777" w:rsidR="00A119EF" w:rsidRPr="00890249" w:rsidRDefault="00A119EF" w:rsidP="00A119EF">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2.1.9.1.2 (ii)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51"/>
        <w:gridCol w:w="693"/>
        <w:gridCol w:w="1009"/>
        <w:gridCol w:w="830"/>
        <w:gridCol w:w="2213"/>
        <w:gridCol w:w="969"/>
        <w:gridCol w:w="969"/>
        <w:gridCol w:w="1072"/>
      </w:tblGrid>
      <w:tr w:rsidR="00BA20BD" w:rsidRPr="00890249" w14:paraId="3EAD9FC4" w14:textId="77777777" w:rsidTr="005C6AF0">
        <w:trPr>
          <w:trHeight w:val="425"/>
        </w:trPr>
        <w:tc>
          <w:tcPr>
            <w:tcW w:w="5000" w:type="pct"/>
            <w:gridSpan w:val="9"/>
            <w:shd w:val="clear" w:color="auto" w:fill="D9D9D9" w:themeFill="background1" w:themeFillShade="D9"/>
          </w:tcPr>
          <w:p w14:paraId="6F4ED77C" w14:textId="77777777" w:rsidR="00BA20BD" w:rsidRPr="00890249" w:rsidRDefault="00BA20BD" w:rsidP="005C6AF0">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BA20BD" w:rsidRPr="00890249" w14:paraId="3831EDF9" w14:textId="77777777" w:rsidTr="005C6AF0">
        <w:trPr>
          <w:cantSplit/>
          <w:trHeight w:val="1647"/>
        </w:trPr>
        <w:tc>
          <w:tcPr>
            <w:tcW w:w="287" w:type="pct"/>
            <w:shd w:val="clear" w:color="auto" w:fill="F2F2F2" w:themeFill="background1" w:themeFillShade="F2"/>
            <w:textDirection w:val="btLr"/>
            <w:vAlign w:val="center"/>
          </w:tcPr>
          <w:p w14:paraId="25D6F573"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42930F0C"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1EB52A22"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271E2DF9"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4BD67835"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7DCE5F6B"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537" w:type="pct"/>
            <w:shd w:val="clear" w:color="auto" w:fill="F2F2F2" w:themeFill="background1" w:themeFillShade="F2"/>
            <w:textDirection w:val="btLr"/>
            <w:vAlign w:val="center"/>
          </w:tcPr>
          <w:p w14:paraId="712F87BA"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37" w:type="pct"/>
            <w:shd w:val="clear" w:color="auto" w:fill="F2F2F2" w:themeFill="background1" w:themeFillShade="F2"/>
            <w:textDirection w:val="btLr"/>
            <w:vAlign w:val="center"/>
          </w:tcPr>
          <w:p w14:paraId="4776CE26"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4" w:type="pct"/>
            <w:shd w:val="clear" w:color="auto" w:fill="F2F2F2" w:themeFill="background1" w:themeFillShade="F2"/>
            <w:textDirection w:val="btLr"/>
            <w:vAlign w:val="center"/>
          </w:tcPr>
          <w:p w14:paraId="33CF7114"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BA20BD" w:rsidRPr="00890249" w14:paraId="5DBD2866" w14:textId="77777777" w:rsidTr="005C6AF0">
        <w:trPr>
          <w:trHeight w:val="340"/>
        </w:trPr>
        <w:tc>
          <w:tcPr>
            <w:tcW w:w="287" w:type="pct"/>
            <w:vAlign w:val="center"/>
          </w:tcPr>
          <w:p w14:paraId="6E833DE6"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3BEA9598"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4.ii</w:t>
            </w:r>
          </w:p>
        </w:tc>
        <w:tc>
          <w:tcPr>
            <w:tcW w:w="384" w:type="pct"/>
            <w:vAlign w:val="center"/>
          </w:tcPr>
          <w:p w14:paraId="3179B792"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25841D3B"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60" w:type="pct"/>
            <w:vAlign w:val="center"/>
          </w:tcPr>
          <w:p w14:paraId="586214F5"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PLRO 125</w:t>
            </w:r>
          </w:p>
        </w:tc>
        <w:tc>
          <w:tcPr>
            <w:tcW w:w="1226" w:type="pct"/>
            <w:shd w:val="clear" w:color="auto" w:fill="auto"/>
            <w:vAlign w:val="center"/>
          </w:tcPr>
          <w:p w14:paraId="45CAE181" w14:textId="77777777" w:rsidR="00BA20BD" w:rsidRPr="00890249" w:rsidRDefault="00BA20BD" w:rsidP="005C6AF0">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wspartych szkół</w:t>
            </w:r>
          </w:p>
        </w:tc>
        <w:tc>
          <w:tcPr>
            <w:tcW w:w="537" w:type="pct"/>
            <w:vAlign w:val="center"/>
          </w:tcPr>
          <w:p w14:paraId="1339FE4A"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37" w:type="pct"/>
            <w:shd w:val="clear" w:color="auto" w:fill="auto"/>
            <w:vAlign w:val="center"/>
          </w:tcPr>
          <w:p w14:paraId="32DD09FE"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30</w:t>
            </w:r>
          </w:p>
        </w:tc>
        <w:tc>
          <w:tcPr>
            <w:tcW w:w="594" w:type="pct"/>
            <w:shd w:val="clear" w:color="auto" w:fill="auto"/>
            <w:vAlign w:val="center"/>
          </w:tcPr>
          <w:p w14:paraId="64D51616" w14:textId="2C545F48" w:rsidR="00BA20BD" w:rsidRPr="00890249" w:rsidRDefault="004206B2"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203</w:t>
            </w:r>
          </w:p>
        </w:tc>
      </w:tr>
      <w:tr w:rsidR="00247F35" w:rsidRPr="00890249" w14:paraId="38EE6193" w14:textId="77777777" w:rsidTr="005C6AF0">
        <w:trPr>
          <w:trHeight w:val="340"/>
        </w:trPr>
        <w:tc>
          <w:tcPr>
            <w:tcW w:w="287" w:type="pct"/>
            <w:vAlign w:val="center"/>
          </w:tcPr>
          <w:p w14:paraId="3CC3CC2A" w14:textId="77777777" w:rsidR="00247F35" w:rsidRPr="00890249" w:rsidRDefault="00247F35"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3E7C2B71" w14:textId="77777777" w:rsidR="00247F35" w:rsidRPr="00890249" w:rsidRDefault="00247F35" w:rsidP="005C6AF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w:t>
            </w:r>
          </w:p>
        </w:tc>
        <w:tc>
          <w:tcPr>
            <w:tcW w:w="384" w:type="pct"/>
            <w:vAlign w:val="center"/>
          </w:tcPr>
          <w:p w14:paraId="3C9B7321" w14:textId="77777777" w:rsidR="00247F35" w:rsidRPr="00890249" w:rsidRDefault="00247F35"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329C941A" w14:textId="77777777" w:rsidR="00247F35" w:rsidRPr="00890249" w:rsidRDefault="00247F35"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60" w:type="pct"/>
            <w:vAlign w:val="center"/>
          </w:tcPr>
          <w:p w14:paraId="3BEA7E7D" w14:textId="77777777" w:rsidR="00247F35" w:rsidRPr="00890249" w:rsidRDefault="00247F35"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RCO067</w:t>
            </w:r>
          </w:p>
        </w:tc>
        <w:tc>
          <w:tcPr>
            <w:tcW w:w="1226" w:type="pct"/>
            <w:shd w:val="clear" w:color="auto" w:fill="auto"/>
            <w:vAlign w:val="center"/>
          </w:tcPr>
          <w:p w14:paraId="2E036178" w14:textId="77777777" w:rsidR="00247F35" w:rsidRPr="00890249" w:rsidRDefault="00247F35" w:rsidP="005C6AF0">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Pojemność klas w nowych lub zmodernizowanych placówkach oświatowych</w:t>
            </w:r>
          </w:p>
        </w:tc>
        <w:tc>
          <w:tcPr>
            <w:tcW w:w="537" w:type="pct"/>
            <w:vAlign w:val="center"/>
          </w:tcPr>
          <w:p w14:paraId="52BF0D30" w14:textId="77777777" w:rsidR="00247F35" w:rsidRPr="00890249" w:rsidRDefault="00247F35"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osoby</w:t>
            </w:r>
          </w:p>
        </w:tc>
        <w:tc>
          <w:tcPr>
            <w:tcW w:w="537" w:type="pct"/>
            <w:shd w:val="clear" w:color="auto" w:fill="auto"/>
            <w:vAlign w:val="center"/>
          </w:tcPr>
          <w:p w14:paraId="0669C70D" w14:textId="77777777" w:rsidR="00247F35" w:rsidRPr="00890249" w:rsidRDefault="00247F35"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1 000</w:t>
            </w:r>
          </w:p>
        </w:tc>
        <w:tc>
          <w:tcPr>
            <w:tcW w:w="594" w:type="pct"/>
            <w:shd w:val="clear" w:color="auto" w:fill="auto"/>
            <w:vAlign w:val="center"/>
          </w:tcPr>
          <w:p w14:paraId="230604AF" w14:textId="3BD80B33" w:rsidR="00247F35" w:rsidRPr="00890249" w:rsidRDefault="004206B2"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13 300</w:t>
            </w:r>
          </w:p>
        </w:tc>
      </w:tr>
      <w:tr w:rsidR="00F102EC" w:rsidRPr="00890249" w14:paraId="79A7DF35" w14:textId="77777777" w:rsidTr="005C6AF0">
        <w:trPr>
          <w:trHeight w:val="340"/>
        </w:trPr>
        <w:tc>
          <w:tcPr>
            <w:tcW w:w="287" w:type="pct"/>
            <w:vAlign w:val="center"/>
          </w:tcPr>
          <w:p w14:paraId="2C22207E" w14:textId="77777777" w:rsidR="00F102EC" w:rsidRPr="00890249" w:rsidRDefault="00F102E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34453E51" w14:textId="77777777" w:rsidR="00F102EC" w:rsidRPr="00890249" w:rsidRDefault="00F102EC" w:rsidP="005C6AF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w:t>
            </w:r>
          </w:p>
        </w:tc>
        <w:tc>
          <w:tcPr>
            <w:tcW w:w="384" w:type="pct"/>
            <w:vAlign w:val="center"/>
          </w:tcPr>
          <w:p w14:paraId="5F747A46" w14:textId="77777777" w:rsidR="00F102EC" w:rsidRPr="00890249" w:rsidRDefault="00F102E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1283A8E6" w14:textId="77777777" w:rsidR="00F102EC" w:rsidRPr="00890249" w:rsidRDefault="00F102E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60" w:type="pct"/>
            <w:vAlign w:val="center"/>
          </w:tcPr>
          <w:p w14:paraId="5FF32E62" w14:textId="77777777" w:rsidR="00F102EC" w:rsidRPr="00890249" w:rsidRDefault="00F102E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PLRO132</w:t>
            </w:r>
          </w:p>
        </w:tc>
        <w:tc>
          <w:tcPr>
            <w:tcW w:w="1226" w:type="pct"/>
            <w:shd w:val="clear" w:color="auto" w:fill="auto"/>
            <w:vAlign w:val="center"/>
          </w:tcPr>
          <w:p w14:paraId="0F475399" w14:textId="77777777" w:rsidR="00F102EC" w:rsidRPr="00890249" w:rsidRDefault="00F102EC" w:rsidP="005C6AF0">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obiektów dostosowanych do potrzeb osób z niepełnosprawnościami</w:t>
            </w:r>
          </w:p>
        </w:tc>
        <w:tc>
          <w:tcPr>
            <w:tcW w:w="537" w:type="pct"/>
            <w:vAlign w:val="center"/>
          </w:tcPr>
          <w:p w14:paraId="3E5EE0EF" w14:textId="77777777" w:rsidR="00F102EC" w:rsidRPr="00890249" w:rsidRDefault="00F102E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37" w:type="pct"/>
            <w:shd w:val="clear" w:color="auto" w:fill="auto"/>
            <w:vAlign w:val="center"/>
          </w:tcPr>
          <w:p w14:paraId="58E80E2F" w14:textId="77777777" w:rsidR="00F102EC" w:rsidRPr="00890249" w:rsidRDefault="00F102E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6</w:t>
            </w:r>
          </w:p>
        </w:tc>
        <w:tc>
          <w:tcPr>
            <w:tcW w:w="594" w:type="pct"/>
            <w:shd w:val="clear" w:color="auto" w:fill="auto"/>
            <w:vAlign w:val="center"/>
          </w:tcPr>
          <w:p w14:paraId="5975075A" w14:textId="6A326649" w:rsidR="00F102EC" w:rsidRPr="00890249" w:rsidRDefault="004206B2"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41</w:t>
            </w:r>
          </w:p>
        </w:tc>
      </w:tr>
    </w:tbl>
    <w:p w14:paraId="382AFA74" w14:textId="669F761D" w:rsidR="00B06B0D" w:rsidRDefault="00B06B0D" w:rsidP="00BA20BD">
      <w:pPr>
        <w:spacing w:after="0"/>
        <w:rPr>
          <w:rFonts w:asciiTheme="minorHAnsi" w:eastAsia="Times New Roman" w:hAnsiTheme="minorHAnsi" w:cstheme="minorHAnsi"/>
          <w:b/>
          <w:iCs/>
          <w:noProof/>
          <w:sz w:val="22"/>
          <w:szCs w:val="22"/>
        </w:rPr>
      </w:pPr>
    </w:p>
    <w:p w14:paraId="266E0AC2" w14:textId="55C47CC9" w:rsidR="00BA20BD" w:rsidRPr="00890249" w:rsidRDefault="00B06B0D" w:rsidP="00B06B0D">
      <w:pPr>
        <w:spacing w:before="0" w:after="160" w:line="259" w:lineRule="auto"/>
        <w:jc w:val="left"/>
        <w:rPr>
          <w:rFonts w:asciiTheme="minorHAnsi" w:eastAsia="Times New Roman" w:hAnsiTheme="minorHAnsi" w:cstheme="minorHAnsi"/>
          <w:b/>
          <w:iCs/>
          <w:noProof/>
          <w:sz w:val="22"/>
          <w:szCs w:val="22"/>
        </w:rPr>
      </w:pPr>
      <w:r>
        <w:rPr>
          <w:rFonts w:asciiTheme="minorHAnsi" w:eastAsia="Times New Roman" w:hAnsiTheme="minorHAnsi" w:cstheme="minorHAnsi"/>
          <w:b/>
          <w:iCs/>
          <w:noProof/>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0"/>
        <w:gridCol w:w="730"/>
        <w:gridCol w:w="681"/>
        <w:gridCol w:w="991"/>
        <w:gridCol w:w="763"/>
        <w:gridCol w:w="1361"/>
        <w:gridCol w:w="817"/>
        <w:gridCol w:w="681"/>
        <w:gridCol w:w="587"/>
        <w:gridCol w:w="553"/>
        <w:gridCol w:w="594"/>
        <w:gridCol w:w="781"/>
      </w:tblGrid>
      <w:tr w:rsidR="00BA20BD" w:rsidRPr="00890249" w14:paraId="4857D4DC" w14:textId="77777777" w:rsidTr="005C6AF0">
        <w:trPr>
          <w:trHeight w:val="480"/>
        </w:trPr>
        <w:tc>
          <w:tcPr>
            <w:tcW w:w="5000" w:type="pct"/>
            <w:gridSpan w:val="13"/>
            <w:shd w:val="clear" w:color="auto" w:fill="D9D9D9" w:themeFill="background1" w:themeFillShade="D9"/>
          </w:tcPr>
          <w:p w14:paraId="63D6F3E7" w14:textId="77777777" w:rsidR="00BA20BD" w:rsidRPr="00890249" w:rsidRDefault="00BA20BD" w:rsidP="005C6AF0">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E30F29" w:rsidRPr="00890249" w14:paraId="7FDB5A5D" w14:textId="77777777" w:rsidTr="009668DA">
        <w:trPr>
          <w:cantSplit/>
          <w:trHeight w:val="1768"/>
        </w:trPr>
        <w:tc>
          <w:tcPr>
            <w:tcW w:w="287" w:type="pct"/>
            <w:gridSpan w:val="2"/>
            <w:shd w:val="clear" w:color="auto" w:fill="F2F2F2" w:themeFill="background1" w:themeFillShade="F2"/>
            <w:textDirection w:val="btLr"/>
            <w:vAlign w:val="center"/>
          </w:tcPr>
          <w:p w14:paraId="6C8DE3FF"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03" w:type="pct"/>
            <w:shd w:val="clear" w:color="auto" w:fill="F2F2F2" w:themeFill="background1" w:themeFillShade="F2"/>
            <w:textDirection w:val="btLr"/>
            <w:vAlign w:val="center"/>
          </w:tcPr>
          <w:p w14:paraId="1A7092F1"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76" w:type="pct"/>
            <w:shd w:val="clear" w:color="auto" w:fill="F2F2F2" w:themeFill="background1" w:themeFillShade="F2"/>
            <w:textDirection w:val="btLr"/>
            <w:vAlign w:val="center"/>
          </w:tcPr>
          <w:p w14:paraId="6BC1F134"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47" w:type="pct"/>
            <w:shd w:val="clear" w:color="auto" w:fill="F2F2F2" w:themeFill="background1" w:themeFillShade="F2"/>
            <w:textDirection w:val="btLr"/>
            <w:vAlign w:val="center"/>
          </w:tcPr>
          <w:p w14:paraId="0A4F46F0"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1" w:type="pct"/>
            <w:shd w:val="clear" w:color="auto" w:fill="F2F2F2" w:themeFill="background1" w:themeFillShade="F2"/>
            <w:textDirection w:val="btLr"/>
            <w:vAlign w:val="center"/>
          </w:tcPr>
          <w:p w14:paraId="1E612029"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51" w:type="pct"/>
            <w:shd w:val="clear" w:color="auto" w:fill="F2F2F2" w:themeFill="background1" w:themeFillShade="F2"/>
            <w:textDirection w:val="btLr"/>
            <w:vAlign w:val="center"/>
          </w:tcPr>
          <w:p w14:paraId="0F1B7680"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1" w:type="pct"/>
            <w:shd w:val="clear" w:color="auto" w:fill="F2F2F2" w:themeFill="background1" w:themeFillShade="F2"/>
            <w:textDirection w:val="btLr"/>
            <w:vAlign w:val="center"/>
          </w:tcPr>
          <w:p w14:paraId="2B9DC96B"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76" w:type="pct"/>
            <w:shd w:val="clear" w:color="auto" w:fill="F2F2F2" w:themeFill="background1" w:themeFillShade="F2"/>
            <w:textDirection w:val="btLr"/>
            <w:vAlign w:val="center"/>
          </w:tcPr>
          <w:p w14:paraId="5F44DB32"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4" w:type="pct"/>
            <w:shd w:val="clear" w:color="auto" w:fill="F2F2F2" w:themeFill="background1" w:themeFillShade="F2"/>
            <w:textDirection w:val="btLr"/>
            <w:vAlign w:val="center"/>
          </w:tcPr>
          <w:p w14:paraId="6F99F862"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5" w:type="pct"/>
            <w:shd w:val="clear" w:color="auto" w:fill="F2F2F2" w:themeFill="background1" w:themeFillShade="F2"/>
            <w:textDirection w:val="btLr"/>
            <w:vAlign w:val="center"/>
          </w:tcPr>
          <w:p w14:paraId="00DAC509"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28" w:type="pct"/>
            <w:shd w:val="clear" w:color="auto" w:fill="F2F2F2" w:themeFill="background1" w:themeFillShade="F2"/>
            <w:textDirection w:val="btLr"/>
            <w:vAlign w:val="center"/>
          </w:tcPr>
          <w:p w14:paraId="63C5A071"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431" w:type="pct"/>
            <w:shd w:val="clear" w:color="auto" w:fill="F2F2F2" w:themeFill="background1" w:themeFillShade="F2"/>
            <w:textDirection w:val="btLr"/>
            <w:vAlign w:val="center"/>
          </w:tcPr>
          <w:p w14:paraId="2FA8F568" w14:textId="77777777" w:rsidR="00BA20BD" w:rsidRPr="00890249" w:rsidRDefault="00BA20BD" w:rsidP="005C6AF0">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BA20BD" w:rsidRPr="00890249" w14:paraId="60FEA7A2" w14:textId="77777777" w:rsidTr="005C6AF0">
        <w:trPr>
          <w:trHeight w:val="434"/>
        </w:trPr>
        <w:tc>
          <w:tcPr>
            <w:tcW w:w="282" w:type="pct"/>
            <w:vAlign w:val="center"/>
          </w:tcPr>
          <w:p w14:paraId="1D269BD9"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08" w:type="pct"/>
            <w:gridSpan w:val="2"/>
            <w:vAlign w:val="center"/>
          </w:tcPr>
          <w:p w14:paraId="6D358342"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w:t>
            </w:r>
          </w:p>
        </w:tc>
        <w:tc>
          <w:tcPr>
            <w:tcW w:w="376" w:type="pct"/>
            <w:vAlign w:val="center"/>
          </w:tcPr>
          <w:p w14:paraId="38F97A5B"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547" w:type="pct"/>
            <w:vAlign w:val="center"/>
          </w:tcPr>
          <w:p w14:paraId="55D7C6CE"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słabiej rozwinięte</w:t>
            </w:r>
          </w:p>
        </w:tc>
        <w:tc>
          <w:tcPr>
            <w:tcW w:w="421" w:type="pct"/>
            <w:vAlign w:val="center"/>
          </w:tcPr>
          <w:p w14:paraId="51F2AD31"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RCR071</w:t>
            </w:r>
          </w:p>
        </w:tc>
        <w:tc>
          <w:tcPr>
            <w:tcW w:w="751" w:type="pct"/>
            <w:shd w:val="clear" w:color="auto" w:fill="auto"/>
            <w:vAlign w:val="center"/>
          </w:tcPr>
          <w:p w14:paraId="65EB2144" w14:textId="77777777" w:rsidR="00BA20BD" w:rsidRPr="00890249" w:rsidRDefault="00BA20BD" w:rsidP="005C6AF0">
            <w:pPr>
              <w:jc w:val="left"/>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Roczna liczba użytkowników nowych lub zmodernizowa-nych placówek oświatowych</w:t>
            </w:r>
          </w:p>
        </w:tc>
        <w:tc>
          <w:tcPr>
            <w:tcW w:w="451" w:type="pct"/>
            <w:vAlign w:val="center"/>
          </w:tcPr>
          <w:p w14:paraId="08682033"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użytkownicy/rok</w:t>
            </w:r>
          </w:p>
        </w:tc>
        <w:tc>
          <w:tcPr>
            <w:tcW w:w="376" w:type="pct"/>
            <w:vAlign w:val="center"/>
          </w:tcPr>
          <w:p w14:paraId="1DA7E69F" w14:textId="754B5B29" w:rsidR="00BA20BD" w:rsidRPr="00890249" w:rsidRDefault="00A97382"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2</w:t>
            </w:r>
            <w:r w:rsidR="00BA20BD" w:rsidRPr="00890249">
              <w:rPr>
                <w:rFonts w:asciiTheme="minorHAnsi" w:hAnsiTheme="minorHAnsi" w:cstheme="minorHAnsi"/>
                <w:i/>
                <w:noProof/>
                <w:sz w:val="18"/>
                <w:szCs w:val="16"/>
                <w:lang w:eastAsia="en-US" w:bidi="ar-SA"/>
              </w:rPr>
              <w:t>0 000</w:t>
            </w:r>
          </w:p>
        </w:tc>
        <w:tc>
          <w:tcPr>
            <w:tcW w:w="324" w:type="pct"/>
            <w:vAlign w:val="center"/>
          </w:tcPr>
          <w:p w14:paraId="4D472E0A" w14:textId="77777777" w:rsidR="00BA20BD" w:rsidRPr="00890249" w:rsidRDefault="00BA20BD"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noProof/>
                <w:sz w:val="18"/>
                <w:szCs w:val="16"/>
                <w:lang w:eastAsia="en-US" w:bidi="ar-SA"/>
              </w:rPr>
              <w:t>2021</w:t>
            </w:r>
          </w:p>
        </w:tc>
        <w:tc>
          <w:tcPr>
            <w:tcW w:w="305" w:type="pct"/>
            <w:shd w:val="clear" w:color="auto" w:fill="auto"/>
            <w:vAlign w:val="center"/>
          </w:tcPr>
          <w:p w14:paraId="3EBE0C07" w14:textId="3071FB5B" w:rsidR="00BA20BD" w:rsidRPr="00890249" w:rsidRDefault="004206B2" w:rsidP="005C6AF0">
            <w:pPr>
              <w:jc w:val="center"/>
              <w:rPr>
                <w:rFonts w:asciiTheme="minorHAnsi" w:hAnsiTheme="minorHAnsi" w:cstheme="minorHAnsi"/>
                <w:b/>
                <w:noProof/>
                <w:sz w:val="18"/>
                <w:szCs w:val="16"/>
                <w:lang w:eastAsia="en-US" w:bidi="ar-SA"/>
              </w:rPr>
            </w:pPr>
            <w:r>
              <w:rPr>
                <w:rFonts w:asciiTheme="minorHAnsi" w:hAnsiTheme="minorHAnsi" w:cstheme="minorHAnsi"/>
                <w:noProof/>
                <w:sz w:val="18"/>
                <w:szCs w:val="16"/>
                <w:lang w:eastAsia="en-US" w:bidi="ar-SA"/>
              </w:rPr>
              <w:t>13 300</w:t>
            </w:r>
            <w:r w:rsidR="00BA20BD" w:rsidRPr="00890249">
              <w:rPr>
                <w:rFonts w:asciiTheme="minorHAnsi" w:hAnsiTheme="minorHAnsi" w:cstheme="minorHAnsi"/>
                <w:noProof/>
                <w:sz w:val="18"/>
                <w:szCs w:val="16"/>
                <w:lang w:eastAsia="en-US" w:bidi="ar-SA"/>
              </w:rPr>
              <w:t xml:space="preserve"> </w:t>
            </w:r>
          </w:p>
        </w:tc>
        <w:tc>
          <w:tcPr>
            <w:tcW w:w="328" w:type="pct"/>
            <w:shd w:val="clear" w:color="auto" w:fill="auto"/>
            <w:vAlign w:val="center"/>
          </w:tcPr>
          <w:p w14:paraId="1BE02C95"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431" w:type="pct"/>
            <w:vAlign w:val="center"/>
          </w:tcPr>
          <w:p w14:paraId="021B00E9"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bl>
    <w:p w14:paraId="208E26A3" w14:textId="77777777" w:rsidR="003E3EA8" w:rsidRPr="00890249" w:rsidRDefault="003E3EA8" w:rsidP="00BA20BD">
      <w:pPr>
        <w:spacing w:after="0"/>
        <w:rPr>
          <w:rFonts w:asciiTheme="minorHAnsi" w:eastAsia="Times New Roman" w:hAnsiTheme="minorHAnsi" w:cstheme="minorHAnsi"/>
          <w:b/>
          <w:iCs/>
          <w:noProof/>
          <w:sz w:val="22"/>
          <w:szCs w:val="22"/>
        </w:rPr>
      </w:pPr>
    </w:p>
    <w:p w14:paraId="15D4858F" w14:textId="77777777" w:rsidR="00A119EF" w:rsidRPr="00890249" w:rsidRDefault="00A119EF" w:rsidP="00A119EF">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sz w:val="22"/>
          <w:szCs w:val="22"/>
        </w:rPr>
        <w:t>2.1.9.1.3 (ii) Orientacyjny podział zasobów programu (UE) według rodzaju interwencji</w:t>
      </w:r>
    </w:p>
    <w:tbl>
      <w:tblPr>
        <w:tblStyle w:val="Tabela-Siatka"/>
        <w:tblW w:w="9067" w:type="dxa"/>
        <w:tblLook w:val="04A0" w:firstRow="1" w:lastRow="0" w:firstColumn="1" w:lastColumn="0" w:noHBand="0" w:noVBand="1"/>
      </w:tblPr>
      <w:tblGrid>
        <w:gridCol w:w="1479"/>
        <w:gridCol w:w="1275"/>
        <w:gridCol w:w="1350"/>
        <w:gridCol w:w="1684"/>
        <w:gridCol w:w="1368"/>
        <w:gridCol w:w="1911"/>
      </w:tblGrid>
      <w:tr w:rsidR="00BA20BD" w:rsidRPr="00890249" w14:paraId="5C847B12" w14:textId="77777777" w:rsidTr="18317E1B">
        <w:tc>
          <w:tcPr>
            <w:tcW w:w="9067" w:type="dxa"/>
            <w:gridSpan w:val="6"/>
            <w:shd w:val="clear" w:color="auto" w:fill="D9D9D9" w:themeFill="background1" w:themeFillShade="D9"/>
          </w:tcPr>
          <w:p w14:paraId="056DB34E" w14:textId="77777777" w:rsidR="00BA20BD" w:rsidRPr="00890249" w:rsidRDefault="7E651917" w:rsidP="18317E1B">
            <w:pPr>
              <w:rPr>
                <w:rFonts w:asciiTheme="minorHAnsi" w:eastAsia="Times New Roman" w:hAnsiTheme="minorHAnsi" w:cstheme="minorHAnsi"/>
                <w:b/>
                <w:bCs/>
                <w:noProof/>
                <w:sz w:val="20"/>
              </w:rPr>
            </w:pPr>
            <w:r w:rsidRPr="00890249">
              <w:rPr>
                <w:rFonts w:asciiTheme="minorHAnsi" w:hAnsiTheme="minorHAnsi" w:cstheme="minorHAnsi"/>
                <w:b/>
                <w:bCs/>
                <w:noProof/>
                <w:sz w:val="20"/>
              </w:rPr>
              <w:t>Tabela 4: Wymiar 1 – zakres interwencji</w:t>
            </w:r>
          </w:p>
        </w:tc>
      </w:tr>
      <w:tr w:rsidR="00BA20BD" w:rsidRPr="00890249" w14:paraId="295904FC" w14:textId="77777777" w:rsidTr="00F01CED">
        <w:tc>
          <w:tcPr>
            <w:tcW w:w="1479" w:type="dxa"/>
            <w:shd w:val="clear" w:color="auto" w:fill="F2F2F2" w:themeFill="background1" w:themeFillShade="F2"/>
          </w:tcPr>
          <w:p w14:paraId="6172432B"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75" w:type="dxa"/>
            <w:shd w:val="clear" w:color="auto" w:fill="F2F2F2" w:themeFill="background1" w:themeFillShade="F2"/>
          </w:tcPr>
          <w:p w14:paraId="7787BC75"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50" w:type="dxa"/>
            <w:shd w:val="clear" w:color="auto" w:fill="F2F2F2" w:themeFill="background1" w:themeFillShade="F2"/>
          </w:tcPr>
          <w:p w14:paraId="2D55CDAA"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84" w:type="dxa"/>
            <w:shd w:val="clear" w:color="auto" w:fill="F2F2F2" w:themeFill="background1" w:themeFillShade="F2"/>
          </w:tcPr>
          <w:p w14:paraId="4FBFC1A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368" w:type="dxa"/>
            <w:shd w:val="clear" w:color="auto" w:fill="F2F2F2" w:themeFill="background1" w:themeFillShade="F2"/>
          </w:tcPr>
          <w:p w14:paraId="0A752E24"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11" w:type="dxa"/>
            <w:shd w:val="clear" w:color="auto" w:fill="F2F2F2" w:themeFill="background1" w:themeFillShade="F2"/>
          </w:tcPr>
          <w:p w14:paraId="4C77C1F7"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F01CED" w:rsidRPr="00890249" w14:paraId="1879CA05" w14:textId="77777777" w:rsidTr="00F01CED">
        <w:trPr>
          <w:trHeight w:val="284"/>
        </w:trPr>
        <w:tc>
          <w:tcPr>
            <w:tcW w:w="1479" w:type="dxa"/>
            <w:vMerge w:val="restart"/>
            <w:vAlign w:val="center"/>
          </w:tcPr>
          <w:p w14:paraId="18CE8CFA" w14:textId="18B54D41" w:rsidR="00F01CED" w:rsidRPr="00890249" w:rsidRDefault="00F01CED" w:rsidP="005C6AF0">
            <w:pPr>
              <w:jc w:val="center"/>
              <w:rPr>
                <w:rFonts w:asciiTheme="minorHAnsi" w:hAnsiTheme="minorHAnsi" w:cstheme="minorHAnsi"/>
                <w:noProof/>
                <w:sz w:val="20"/>
              </w:rPr>
            </w:pPr>
            <w:r w:rsidRPr="00890249">
              <w:rPr>
                <w:rFonts w:asciiTheme="minorHAnsi" w:hAnsiTheme="minorHAnsi" w:cstheme="minorHAnsi"/>
                <w:noProof/>
                <w:sz w:val="20"/>
              </w:rPr>
              <w:t>CP 4</w:t>
            </w:r>
          </w:p>
        </w:tc>
        <w:tc>
          <w:tcPr>
            <w:tcW w:w="1275" w:type="dxa"/>
            <w:vMerge w:val="restart"/>
            <w:vAlign w:val="center"/>
          </w:tcPr>
          <w:p w14:paraId="47031D00" w14:textId="72251B51" w:rsidR="00F01CED" w:rsidRPr="00890249" w:rsidRDefault="00F01CED" w:rsidP="005C6AF0">
            <w:pPr>
              <w:jc w:val="center"/>
              <w:rPr>
                <w:rFonts w:asciiTheme="minorHAnsi" w:hAnsiTheme="minorHAnsi" w:cstheme="minorHAnsi"/>
                <w:noProof/>
                <w:sz w:val="20"/>
              </w:rPr>
            </w:pPr>
            <w:r w:rsidRPr="00890249">
              <w:rPr>
                <w:rFonts w:asciiTheme="minorHAnsi" w:hAnsiTheme="minorHAnsi" w:cstheme="minorHAnsi"/>
                <w:noProof/>
                <w:sz w:val="20"/>
              </w:rPr>
              <w:t>EFRR</w:t>
            </w:r>
          </w:p>
        </w:tc>
        <w:tc>
          <w:tcPr>
            <w:tcW w:w="1350" w:type="dxa"/>
            <w:vMerge w:val="restart"/>
            <w:vAlign w:val="center"/>
          </w:tcPr>
          <w:p w14:paraId="5D7C5C18" w14:textId="7475E27B" w:rsidR="00F01CED" w:rsidRPr="00890249" w:rsidRDefault="00F01CED" w:rsidP="005C6AF0">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84" w:type="dxa"/>
            <w:vMerge w:val="restart"/>
            <w:vAlign w:val="center"/>
          </w:tcPr>
          <w:p w14:paraId="06E5EF6C" w14:textId="0714BFA5" w:rsidR="00F01CED" w:rsidRPr="00890249" w:rsidRDefault="00F01CE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368" w:type="dxa"/>
          </w:tcPr>
          <w:p w14:paraId="3E1EA886" w14:textId="0B4A158E" w:rsidR="00F01CED" w:rsidRPr="00890249" w:rsidRDefault="00F01CE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121 Infrastruktura na potrzeby wczesnej edukacji i opieki nad dzieckiem</w:t>
            </w:r>
          </w:p>
        </w:tc>
        <w:tc>
          <w:tcPr>
            <w:tcW w:w="1911" w:type="dxa"/>
          </w:tcPr>
          <w:p w14:paraId="3933EF8D" w14:textId="017F8D71" w:rsidR="00F01CED" w:rsidRPr="00890249" w:rsidRDefault="00F01CE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800 000</w:t>
            </w:r>
          </w:p>
        </w:tc>
      </w:tr>
      <w:tr w:rsidR="00F01CED" w:rsidRPr="00890249" w14:paraId="2012ADB2" w14:textId="77777777" w:rsidTr="00F01CED">
        <w:trPr>
          <w:trHeight w:val="284"/>
        </w:trPr>
        <w:tc>
          <w:tcPr>
            <w:tcW w:w="1479" w:type="dxa"/>
            <w:vMerge/>
            <w:vAlign w:val="center"/>
          </w:tcPr>
          <w:p w14:paraId="572112BC" w14:textId="0BECDBB4" w:rsidR="00F01CED" w:rsidRPr="00890249" w:rsidRDefault="00F01CED" w:rsidP="005C6AF0">
            <w:pPr>
              <w:jc w:val="center"/>
              <w:rPr>
                <w:rFonts w:asciiTheme="minorHAnsi" w:eastAsia="Times New Roman" w:hAnsiTheme="minorHAnsi" w:cstheme="minorHAnsi"/>
                <w:iCs/>
                <w:noProof/>
                <w:sz w:val="20"/>
              </w:rPr>
            </w:pPr>
          </w:p>
        </w:tc>
        <w:tc>
          <w:tcPr>
            <w:tcW w:w="1275" w:type="dxa"/>
            <w:vMerge/>
            <w:vAlign w:val="center"/>
          </w:tcPr>
          <w:p w14:paraId="2AD8924F" w14:textId="77F0F648" w:rsidR="00F01CED" w:rsidRPr="00890249" w:rsidRDefault="00F01CED" w:rsidP="005C6AF0">
            <w:pPr>
              <w:jc w:val="center"/>
              <w:rPr>
                <w:rFonts w:asciiTheme="minorHAnsi" w:eastAsia="Times New Roman" w:hAnsiTheme="minorHAnsi" w:cstheme="minorHAnsi"/>
                <w:iCs/>
                <w:noProof/>
                <w:sz w:val="20"/>
              </w:rPr>
            </w:pPr>
          </w:p>
        </w:tc>
        <w:tc>
          <w:tcPr>
            <w:tcW w:w="1350" w:type="dxa"/>
            <w:vMerge/>
            <w:vAlign w:val="center"/>
          </w:tcPr>
          <w:p w14:paraId="5171BCA3" w14:textId="57445B78" w:rsidR="00F01CED" w:rsidRPr="00890249" w:rsidRDefault="00F01CED" w:rsidP="005C6AF0">
            <w:pPr>
              <w:jc w:val="center"/>
              <w:rPr>
                <w:rFonts w:asciiTheme="minorHAnsi" w:eastAsia="Times New Roman" w:hAnsiTheme="minorHAnsi" w:cstheme="minorHAnsi"/>
                <w:iCs/>
                <w:noProof/>
                <w:sz w:val="20"/>
              </w:rPr>
            </w:pPr>
          </w:p>
        </w:tc>
        <w:tc>
          <w:tcPr>
            <w:tcW w:w="1684" w:type="dxa"/>
            <w:vMerge/>
            <w:vAlign w:val="center"/>
          </w:tcPr>
          <w:p w14:paraId="135E8E30" w14:textId="28029B83" w:rsidR="00F01CED" w:rsidRPr="00890249" w:rsidRDefault="00F01CED" w:rsidP="005C6AF0">
            <w:pPr>
              <w:jc w:val="center"/>
              <w:rPr>
                <w:rFonts w:asciiTheme="minorHAnsi" w:eastAsia="Times New Roman" w:hAnsiTheme="minorHAnsi" w:cstheme="minorHAnsi"/>
                <w:iCs/>
                <w:noProof/>
                <w:sz w:val="20"/>
              </w:rPr>
            </w:pPr>
          </w:p>
        </w:tc>
        <w:tc>
          <w:tcPr>
            <w:tcW w:w="1368" w:type="dxa"/>
          </w:tcPr>
          <w:p w14:paraId="2D817A2A" w14:textId="77777777" w:rsidR="00F01CED" w:rsidRPr="00890249" w:rsidRDefault="00F01CE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122 Infrastruktura na potrzeby szkolnictwa podstwowego i średniego</w:t>
            </w:r>
          </w:p>
        </w:tc>
        <w:tc>
          <w:tcPr>
            <w:tcW w:w="1911" w:type="dxa"/>
          </w:tcPr>
          <w:p w14:paraId="5B3875F9" w14:textId="1561EB1D" w:rsidR="00F01CED" w:rsidRPr="00890249" w:rsidRDefault="00F01CE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3 200 000 </w:t>
            </w:r>
          </w:p>
        </w:tc>
      </w:tr>
      <w:tr w:rsidR="00F01CED" w:rsidRPr="00890249" w14:paraId="724A4C2D" w14:textId="77777777" w:rsidTr="00F01CED">
        <w:trPr>
          <w:trHeight w:val="284"/>
        </w:trPr>
        <w:tc>
          <w:tcPr>
            <w:tcW w:w="1479" w:type="dxa"/>
            <w:vMerge/>
          </w:tcPr>
          <w:p w14:paraId="079E5026" w14:textId="77777777" w:rsidR="00F01CED" w:rsidRPr="00890249" w:rsidRDefault="00F01CED" w:rsidP="005C6AF0">
            <w:pPr>
              <w:jc w:val="center"/>
              <w:rPr>
                <w:rFonts w:asciiTheme="minorHAnsi" w:eastAsia="Times New Roman" w:hAnsiTheme="minorHAnsi" w:cstheme="minorHAnsi"/>
                <w:iCs/>
                <w:noProof/>
                <w:sz w:val="20"/>
              </w:rPr>
            </w:pPr>
          </w:p>
        </w:tc>
        <w:tc>
          <w:tcPr>
            <w:tcW w:w="1275" w:type="dxa"/>
            <w:vMerge/>
          </w:tcPr>
          <w:p w14:paraId="5F75640C" w14:textId="77777777" w:rsidR="00F01CED" w:rsidRPr="00890249" w:rsidRDefault="00F01CED" w:rsidP="005C6AF0">
            <w:pPr>
              <w:jc w:val="center"/>
              <w:rPr>
                <w:rFonts w:asciiTheme="minorHAnsi" w:eastAsia="Times New Roman" w:hAnsiTheme="minorHAnsi" w:cstheme="minorHAnsi"/>
                <w:iCs/>
                <w:noProof/>
                <w:sz w:val="20"/>
              </w:rPr>
            </w:pPr>
          </w:p>
        </w:tc>
        <w:tc>
          <w:tcPr>
            <w:tcW w:w="1350" w:type="dxa"/>
            <w:vMerge/>
          </w:tcPr>
          <w:p w14:paraId="358BFA93" w14:textId="77777777" w:rsidR="00F01CED" w:rsidRPr="00890249" w:rsidRDefault="00F01CED" w:rsidP="005C6AF0">
            <w:pPr>
              <w:jc w:val="center"/>
              <w:rPr>
                <w:rFonts w:asciiTheme="minorHAnsi" w:hAnsiTheme="minorHAnsi" w:cstheme="minorHAnsi"/>
                <w:noProof/>
                <w:sz w:val="20"/>
              </w:rPr>
            </w:pPr>
          </w:p>
        </w:tc>
        <w:tc>
          <w:tcPr>
            <w:tcW w:w="1684" w:type="dxa"/>
            <w:vMerge/>
          </w:tcPr>
          <w:p w14:paraId="5618A78D" w14:textId="77777777" w:rsidR="00F01CED" w:rsidRPr="00890249" w:rsidRDefault="00F01CED" w:rsidP="005C6AF0">
            <w:pPr>
              <w:jc w:val="center"/>
              <w:rPr>
                <w:rFonts w:asciiTheme="minorHAnsi" w:hAnsiTheme="minorHAnsi" w:cstheme="minorHAnsi"/>
                <w:noProof/>
                <w:sz w:val="20"/>
              </w:rPr>
            </w:pPr>
          </w:p>
        </w:tc>
        <w:tc>
          <w:tcPr>
            <w:tcW w:w="1368" w:type="dxa"/>
          </w:tcPr>
          <w:p w14:paraId="0AE0B760" w14:textId="77777777" w:rsidR="00F01CED" w:rsidRPr="00890249" w:rsidRDefault="00F01CE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124 Infrastruktura na potrzeby kształcenia i szkolenia zawodowego oraz edukacji dorosłych</w:t>
            </w:r>
          </w:p>
        </w:tc>
        <w:tc>
          <w:tcPr>
            <w:tcW w:w="1911" w:type="dxa"/>
          </w:tcPr>
          <w:p w14:paraId="69E7879C" w14:textId="57D40963" w:rsidR="00F01CED" w:rsidRPr="00890249" w:rsidRDefault="00F01CE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2 000 000 </w:t>
            </w:r>
          </w:p>
        </w:tc>
      </w:tr>
    </w:tbl>
    <w:p w14:paraId="275958C1" w14:textId="7E9DC736" w:rsidR="00B06B0D" w:rsidRDefault="00B06B0D" w:rsidP="00BA20BD">
      <w:pPr>
        <w:spacing w:before="240" w:after="240"/>
        <w:rPr>
          <w:rFonts w:asciiTheme="minorHAnsi" w:hAnsiTheme="minorHAnsi" w:cstheme="minorHAnsi"/>
          <w:b/>
          <w:noProof/>
          <w:color w:val="FF0000"/>
          <w:sz w:val="22"/>
          <w:szCs w:val="22"/>
        </w:rPr>
      </w:pPr>
    </w:p>
    <w:p w14:paraId="488A59A4" w14:textId="6EAAAB09" w:rsidR="00BA20BD" w:rsidRPr="00890249" w:rsidRDefault="00B06B0D" w:rsidP="00B06B0D">
      <w:pPr>
        <w:spacing w:before="0" w:after="160" w:line="259" w:lineRule="auto"/>
        <w:jc w:val="left"/>
        <w:rPr>
          <w:rFonts w:asciiTheme="minorHAnsi" w:hAnsiTheme="minorHAnsi" w:cstheme="minorHAnsi"/>
          <w:b/>
          <w:noProof/>
          <w:color w:val="FF0000"/>
          <w:sz w:val="22"/>
          <w:szCs w:val="22"/>
        </w:rPr>
      </w:pPr>
      <w:r>
        <w:rPr>
          <w:rFonts w:asciiTheme="minorHAnsi" w:hAnsiTheme="minorHAnsi" w:cstheme="minorHAnsi"/>
          <w:b/>
          <w:noProof/>
          <w:color w:val="FF0000"/>
          <w:sz w:val="22"/>
          <w:szCs w:val="22"/>
        </w:rPr>
        <w:br w:type="page"/>
      </w:r>
    </w:p>
    <w:tbl>
      <w:tblPr>
        <w:tblStyle w:val="Tabela-Siatka"/>
        <w:tblW w:w="0" w:type="auto"/>
        <w:tblLook w:val="04A0" w:firstRow="1" w:lastRow="0" w:firstColumn="1" w:lastColumn="0" w:noHBand="0" w:noVBand="1"/>
      </w:tblPr>
      <w:tblGrid>
        <w:gridCol w:w="1599"/>
        <w:gridCol w:w="1384"/>
        <w:gridCol w:w="1433"/>
        <w:gridCol w:w="1644"/>
        <w:gridCol w:w="1053"/>
        <w:gridCol w:w="1926"/>
      </w:tblGrid>
      <w:tr w:rsidR="00BA20BD" w:rsidRPr="00890249" w14:paraId="2C72B114" w14:textId="77777777" w:rsidTr="005C6AF0">
        <w:tc>
          <w:tcPr>
            <w:tcW w:w="9039" w:type="dxa"/>
            <w:gridSpan w:val="6"/>
            <w:shd w:val="clear" w:color="auto" w:fill="D9D9D9" w:themeFill="background1" w:themeFillShade="D9"/>
          </w:tcPr>
          <w:p w14:paraId="29AEA813"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Tabela 5: Wymiar 2 – forma finansowania</w:t>
            </w:r>
          </w:p>
        </w:tc>
      </w:tr>
      <w:tr w:rsidR="00BA20BD" w:rsidRPr="00890249" w14:paraId="3DA0D1D8" w14:textId="77777777" w:rsidTr="005C6AF0">
        <w:tc>
          <w:tcPr>
            <w:tcW w:w="1599" w:type="dxa"/>
            <w:shd w:val="clear" w:color="auto" w:fill="F2F2F2" w:themeFill="background1" w:themeFillShade="F2"/>
          </w:tcPr>
          <w:p w14:paraId="47000D61"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680E162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7F74E727"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42D4AF37"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7452A81F"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26" w:type="dxa"/>
            <w:shd w:val="clear" w:color="auto" w:fill="F2F2F2" w:themeFill="background1" w:themeFillShade="F2"/>
          </w:tcPr>
          <w:p w14:paraId="2208909E"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51A50605" w14:textId="77777777" w:rsidTr="00890249">
        <w:tc>
          <w:tcPr>
            <w:tcW w:w="1599" w:type="dxa"/>
            <w:vAlign w:val="center"/>
          </w:tcPr>
          <w:p w14:paraId="5D9F1A24"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3BBACCA4"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33" w:type="dxa"/>
            <w:vAlign w:val="center"/>
          </w:tcPr>
          <w:p w14:paraId="08498932" w14:textId="77777777" w:rsidR="00BA20BD" w:rsidRPr="00890249" w:rsidRDefault="00BA20BD" w:rsidP="005C6AF0">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0820FFEF"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53" w:type="dxa"/>
          </w:tcPr>
          <w:p w14:paraId="75073336"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E12C2A" w:rsidRPr="00890249">
              <w:rPr>
                <w:rFonts w:asciiTheme="minorHAnsi" w:eastAsia="Times New Roman" w:hAnsiTheme="minorHAnsi" w:cstheme="minorHAnsi"/>
                <w:iCs/>
                <w:noProof/>
                <w:sz w:val="20"/>
              </w:rPr>
              <w:t xml:space="preserve"> Dotacja</w:t>
            </w:r>
          </w:p>
        </w:tc>
        <w:tc>
          <w:tcPr>
            <w:tcW w:w="1926" w:type="dxa"/>
          </w:tcPr>
          <w:p w14:paraId="30449215" w14:textId="688580D0" w:rsidR="00BA20BD" w:rsidRPr="00890249" w:rsidRDefault="00BA20B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6 000 000</w:t>
            </w:r>
          </w:p>
        </w:tc>
      </w:tr>
    </w:tbl>
    <w:p w14:paraId="42E4D837" w14:textId="77777777" w:rsidR="00BA20BD" w:rsidRPr="00890249" w:rsidRDefault="00BA20BD" w:rsidP="00BA20BD">
      <w:pPr>
        <w:spacing w:before="0" w:after="240"/>
        <w:rPr>
          <w:rFonts w:asciiTheme="minorHAnsi" w:hAnsiTheme="minorHAnsi" w:cstheme="minorHAnsi"/>
          <w:b/>
          <w:noProof/>
          <w:color w:val="FF0000"/>
          <w:sz w:val="22"/>
          <w:szCs w:val="22"/>
        </w:rPr>
      </w:pPr>
    </w:p>
    <w:tbl>
      <w:tblPr>
        <w:tblStyle w:val="Tabela-Siatka"/>
        <w:tblW w:w="9067" w:type="dxa"/>
        <w:tblLook w:val="04A0" w:firstRow="1" w:lastRow="0" w:firstColumn="1" w:lastColumn="0" w:noHBand="0" w:noVBand="1"/>
      </w:tblPr>
      <w:tblGrid>
        <w:gridCol w:w="1484"/>
        <w:gridCol w:w="1278"/>
        <w:gridCol w:w="1356"/>
        <w:gridCol w:w="1558"/>
        <w:gridCol w:w="1520"/>
        <w:gridCol w:w="1871"/>
      </w:tblGrid>
      <w:tr w:rsidR="00BA20BD" w:rsidRPr="00890249" w14:paraId="33FDC19E" w14:textId="77777777" w:rsidTr="005C6AF0">
        <w:tc>
          <w:tcPr>
            <w:tcW w:w="9067" w:type="dxa"/>
            <w:gridSpan w:val="6"/>
            <w:shd w:val="clear" w:color="auto" w:fill="D9D9D9" w:themeFill="background1" w:themeFillShade="D9"/>
          </w:tcPr>
          <w:p w14:paraId="60478D1F" w14:textId="553A5CCA"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BA20BD" w:rsidRPr="00890249" w14:paraId="5D59F6B8" w14:textId="77777777" w:rsidTr="005C6AF0">
        <w:tc>
          <w:tcPr>
            <w:tcW w:w="1567" w:type="dxa"/>
            <w:shd w:val="clear" w:color="auto" w:fill="F2F2F2" w:themeFill="background1" w:themeFillShade="F2"/>
          </w:tcPr>
          <w:p w14:paraId="28F99EB2"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54" w:type="dxa"/>
            <w:shd w:val="clear" w:color="auto" w:fill="F2F2F2" w:themeFill="background1" w:themeFillShade="F2"/>
          </w:tcPr>
          <w:p w14:paraId="0B49D36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1" w:type="dxa"/>
            <w:shd w:val="clear" w:color="auto" w:fill="F2F2F2" w:themeFill="background1" w:themeFillShade="F2"/>
          </w:tcPr>
          <w:p w14:paraId="2A3FEDDC"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7194E9C9"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78D9AE31"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93" w:type="dxa"/>
            <w:shd w:val="clear" w:color="auto" w:fill="F2F2F2" w:themeFill="background1" w:themeFillShade="F2"/>
          </w:tcPr>
          <w:p w14:paraId="51FC767A"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7C27BB74" w14:textId="77777777" w:rsidTr="00890249">
        <w:tc>
          <w:tcPr>
            <w:tcW w:w="1567" w:type="dxa"/>
            <w:vAlign w:val="center"/>
          </w:tcPr>
          <w:p w14:paraId="5F5AC6DC"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54" w:type="dxa"/>
            <w:vAlign w:val="center"/>
          </w:tcPr>
          <w:p w14:paraId="388BD3D8"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11" w:type="dxa"/>
            <w:vAlign w:val="center"/>
          </w:tcPr>
          <w:p w14:paraId="674ACADA"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20" w:type="dxa"/>
            <w:vAlign w:val="center"/>
          </w:tcPr>
          <w:p w14:paraId="3B54EEAD" w14:textId="77777777" w:rsidR="00BA20BD" w:rsidRPr="00890249" w:rsidRDefault="00BA20BD" w:rsidP="005C6AF0">
            <w:pPr>
              <w:jc w:val="center"/>
              <w:rPr>
                <w:rFonts w:asciiTheme="minorHAnsi" w:hAnsiTheme="minorHAnsi" w:cstheme="minorHAnsi"/>
                <w:noProof/>
                <w:sz w:val="20"/>
              </w:rPr>
            </w:pPr>
            <w:r w:rsidRPr="00890249">
              <w:rPr>
                <w:rFonts w:asciiTheme="minorHAnsi" w:eastAsia="Times New Roman" w:hAnsiTheme="minorHAnsi" w:cstheme="minorHAnsi"/>
                <w:iCs/>
                <w:noProof/>
                <w:sz w:val="20"/>
              </w:rPr>
              <w:t>(ii)</w:t>
            </w:r>
          </w:p>
        </w:tc>
        <w:tc>
          <w:tcPr>
            <w:tcW w:w="1022" w:type="dxa"/>
          </w:tcPr>
          <w:p w14:paraId="445548C0"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E12C2A" w:rsidRPr="00890249">
              <w:rPr>
                <w:rFonts w:asciiTheme="minorHAnsi" w:eastAsia="Times New Roman" w:hAnsiTheme="minorHAnsi" w:cstheme="minorHAnsi"/>
                <w:iCs/>
                <w:noProof/>
                <w:sz w:val="20"/>
              </w:rPr>
              <w:t xml:space="preserve"> Brak ukierunkowania terytorialnego</w:t>
            </w:r>
          </w:p>
        </w:tc>
        <w:tc>
          <w:tcPr>
            <w:tcW w:w="2093" w:type="dxa"/>
          </w:tcPr>
          <w:p w14:paraId="16D4C8CA" w14:textId="64ABA9A1" w:rsidR="00BA20BD" w:rsidRPr="00890249" w:rsidRDefault="00BA20BD" w:rsidP="005C6AF0">
            <w:pPr>
              <w:jc w:val="right"/>
              <w:rPr>
                <w:rFonts w:asciiTheme="minorHAnsi" w:hAnsiTheme="minorHAnsi" w:cstheme="minorHAnsi"/>
                <w:noProof/>
                <w:sz w:val="20"/>
              </w:rPr>
            </w:pPr>
            <w:r w:rsidRPr="00890249">
              <w:rPr>
                <w:rFonts w:asciiTheme="minorHAnsi" w:eastAsia="Times New Roman" w:hAnsiTheme="minorHAnsi" w:cstheme="minorHAnsi"/>
                <w:iCs/>
                <w:noProof/>
                <w:sz w:val="20"/>
              </w:rPr>
              <w:t>6 000 000</w:t>
            </w:r>
          </w:p>
        </w:tc>
      </w:tr>
    </w:tbl>
    <w:p w14:paraId="1517CBEF" w14:textId="77777777" w:rsidR="008B081F" w:rsidRPr="00890249" w:rsidRDefault="008B081F" w:rsidP="00BA20BD">
      <w:pPr>
        <w:spacing w:after="0"/>
        <w:rPr>
          <w:rFonts w:asciiTheme="minorHAnsi" w:eastAsia="Times New Roman" w:hAnsiTheme="minorHAnsi" w:cstheme="minorHAnsi"/>
          <w:b/>
          <w:iCs/>
          <w:noProof/>
          <w:szCs w:val="24"/>
        </w:rPr>
      </w:pPr>
    </w:p>
    <w:tbl>
      <w:tblPr>
        <w:tblStyle w:val="Tabela-Siatka"/>
        <w:tblW w:w="9067" w:type="dxa"/>
        <w:tblLook w:val="04A0" w:firstRow="1" w:lastRow="0" w:firstColumn="1" w:lastColumn="0" w:noHBand="0" w:noVBand="1"/>
      </w:tblPr>
      <w:tblGrid>
        <w:gridCol w:w="1462"/>
        <w:gridCol w:w="1259"/>
        <w:gridCol w:w="1341"/>
        <w:gridCol w:w="1542"/>
        <w:gridCol w:w="1651"/>
        <w:gridCol w:w="1812"/>
      </w:tblGrid>
      <w:tr w:rsidR="00BA20BD" w:rsidRPr="00890249" w14:paraId="4714102C" w14:textId="77777777" w:rsidTr="00F62734">
        <w:tc>
          <w:tcPr>
            <w:tcW w:w="9067" w:type="dxa"/>
            <w:gridSpan w:val="6"/>
            <w:shd w:val="clear" w:color="auto" w:fill="D9D9D9" w:themeFill="background1" w:themeFillShade="D9"/>
          </w:tcPr>
          <w:p w14:paraId="4CF75210"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uzupełniające obszary tematyczne EFS+</w:t>
            </w:r>
          </w:p>
        </w:tc>
      </w:tr>
      <w:tr w:rsidR="00BA20BD" w:rsidRPr="00890249" w14:paraId="7263456A" w14:textId="77777777" w:rsidTr="00F62734">
        <w:tc>
          <w:tcPr>
            <w:tcW w:w="1462" w:type="dxa"/>
            <w:shd w:val="clear" w:color="auto" w:fill="F2F2F2" w:themeFill="background1" w:themeFillShade="F2"/>
          </w:tcPr>
          <w:p w14:paraId="67BD321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59" w:type="dxa"/>
            <w:shd w:val="clear" w:color="auto" w:fill="F2F2F2" w:themeFill="background1" w:themeFillShade="F2"/>
          </w:tcPr>
          <w:p w14:paraId="6037687B"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41" w:type="dxa"/>
            <w:shd w:val="clear" w:color="auto" w:fill="F2F2F2" w:themeFill="background1" w:themeFillShade="F2"/>
          </w:tcPr>
          <w:p w14:paraId="48B02581"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2" w:type="dxa"/>
            <w:shd w:val="clear" w:color="auto" w:fill="F2F2F2" w:themeFill="background1" w:themeFillShade="F2"/>
          </w:tcPr>
          <w:p w14:paraId="289B9224"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7342457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12" w:type="dxa"/>
            <w:shd w:val="clear" w:color="auto" w:fill="F2F2F2" w:themeFill="background1" w:themeFillShade="F2"/>
          </w:tcPr>
          <w:p w14:paraId="506FF6FE"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17758" w:rsidRPr="00890249" w14:paraId="03B4A943" w14:textId="77777777" w:rsidTr="004422C7">
        <w:tc>
          <w:tcPr>
            <w:tcW w:w="1462" w:type="dxa"/>
            <w:shd w:val="clear" w:color="auto" w:fill="auto"/>
            <w:vAlign w:val="center"/>
          </w:tcPr>
          <w:p w14:paraId="656AD6DC"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259" w:type="dxa"/>
            <w:shd w:val="clear" w:color="auto" w:fill="auto"/>
            <w:vAlign w:val="center"/>
          </w:tcPr>
          <w:p w14:paraId="4EC1B0BB"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EFRR</w:t>
            </w:r>
          </w:p>
        </w:tc>
        <w:tc>
          <w:tcPr>
            <w:tcW w:w="1341" w:type="dxa"/>
            <w:shd w:val="clear" w:color="auto" w:fill="auto"/>
            <w:vAlign w:val="center"/>
          </w:tcPr>
          <w:p w14:paraId="77A5C49B"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542" w:type="dxa"/>
            <w:shd w:val="clear" w:color="auto" w:fill="auto"/>
            <w:vAlign w:val="center"/>
          </w:tcPr>
          <w:p w14:paraId="2D7463DF"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(ii)</w:t>
            </w:r>
          </w:p>
        </w:tc>
        <w:tc>
          <w:tcPr>
            <w:tcW w:w="1651" w:type="dxa"/>
            <w:shd w:val="clear" w:color="auto" w:fill="auto"/>
          </w:tcPr>
          <w:p w14:paraId="65283BB3" w14:textId="7C790835" w:rsidR="00517758" w:rsidRPr="00890249" w:rsidRDefault="00192C3A"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p>
        </w:tc>
        <w:tc>
          <w:tcPr>
            <w:tcW w:w="1812" w:type="dxa"/>
            <w:shd w:val="clear" w:color="auto" w:fill="auto"/>
          </w:tcPr>
          <w:p w14:paraId="53872C20" w14:textId="4A3CD303" w:rsidR="00517758" w:rsidRPr="00890249" w:rsidRDefault="00192C3A"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p>
        </w:tc>
      </w:tr>
    </w:tbl>
    <w:p w14:paraId="6C92C675" w14:textId="77777777" w:rsidR="00BA20BD" w:rsidRPr="00890249" w:rsidRDefault="00BA20BD" w:rsidP="00BA20BD">
      <w:pPr>
        <w:spacing w:before="240" w:after="0"/>
        <w:rPr>
          <w:rFonts w:asciiTheme="minorHAnsi" w:hAnsiTheme="minorHAnsi" w:cstheme="minorHAnsi"/>
          <w:b/>
          <w:noProof/>
          <w:color w:val="FF000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270"/>
        <w:gridCol w:w="1349"/>
        <w:gridCol w:w="1569"/>
        <w:gridCol w:w="1761"/>
        <w:gridCol w:w="1654"/>
      </w:tblGrid>
      <w:tr w:rsidR="00BA20BD" w:rsidRPr="00890249" w14:paraId="4F4B9892" w14:textId="77777777" w:rsidTr="005C6AF0">
        <w:tc>
          <w:tcPr>
            <w:tcW w:w="9067" w:type="dxa"/>
            <w:gridSpan w:val="6"/>
            <w:shd w:val="clear" w:color="auto" w:fill="D9D9D9" w:themeFill="background1" w:themeFillShade="D9"/>
          </w:tcPr>
          <w:p w14:paraId="55D45EF4" w14:textId="77777777" w:rsidR="00BA20BD" w:rsidRPr="00890249" w:rsidRDefault="00BA20BD" w:rsidP="005C6AF0">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 EFS+, EFRR, Fundusz Spójności i FST</w:t>
            </w:r>
          </w:p>
        </w:tc>
      </w:tr>
      <w:tr w:rsidR="00BA20BD" w:rsidRPr="00890249" w14:paraId="47D5F031" w14:textId="77777777" w:rsidTr="005C6AF0">
        <w:tc>
          <w:tcPr>
            <w:tcW w:w="1570" w:type="dxa"/>
            <w:shd w:val="clear" w:color="auto" w:fill="F2F2F2" w:themeFill="background1" w:themeFillShade="F2"/>
          </w:tcPr>
          <w:p w14:paraId="22290264"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1A4D78A4"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2919FBE7"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64E19BF7"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3E2944C6"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068" w:type="dxa"/>
            <w:shd w:val="clear" w:color="auto" w:fill="F2F2F2" w:themeFill="background1" w:themeFillShade="F2"/>
          </w:tcPr>
          <w:p w14:paraId="504024F0"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BA20BD" w:rsidRPr="00890249" w14:paraId="200D5422" w14:textId="77777777" w:rsidTr="005C6AF0">
        <w:tc>
          <w:tcPr>
            <w:tcW w:w="1570" w:type="dxa"/>
            <w:shd w:val="clear" w:color="auto" w:fill="auto"/>
            <w:vAlign w:val="center"/>
          </w:tcPr>
          <w:p w14:paraId="756C5BF1"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CP 4</w:t>
            </w:r>
          </w:p>
        </w:tc>
        <w:tc>
          <w:tcPr>
            <w:tcW w:w="1360" w:type="dxa"/>
            <w:shd w:val="clear" w:color="auto" w:fill="auto"/>
            <w:vAlign w:val="center"/>
          </w:tcPr>
          <w:p w14:paraId="59102C14"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EFRR</w:t>
            </w:r>
          </w:p>
        </w:tc>
        <w:tc>
          <w:tcPr>
            <w:tcW w:w="1415" w:type="dxa"/>
            <w:shd w:val="clear" w:color="auto" w:fill="auto"/>
            <w:vAlign w:val="center"/>
          </w:tcPr>
          <w:p w14:paraId="5C77DB19"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słabiej rozwinięte</w:t>
            </w:r>
          </w:p>
        </w:tc>
        <w:tc>
          <w:tcPr>
            <w:tcW w:w="1628" w:type="dxa"/>
            <w:vAlign w:val="center"/>
          </w:tcPr>
          <w:p w14:paraId="7D1D3422"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(ii)</w:t>
            </w:r>
          </w:p>
        </w:tc>
        <w:tc>
          <w:tcPr>
            <w:tcW w:w="1026" w:type="dxa"/>
            <w:vAlign w:val="center"/>
          </w:tcPr>
          <w:p w14:paraId="6465E553" w14:textId="2A8AE8CA" w:rsidR="00BA20BD" w:rsidRPr="00890249" w:rsidRDefault="003928D4" w:rsidP="005C6AF0">
            <w:pPr>
              <w:spacing w:before="0" w:after="160" w:line="259" w:lineRule="auto"/>
              <w:jc w:val="center"/>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03</w:t>
            </w:r>
            <w:r w:rsidRPr="00890249">
              <w:rPr>
                <w:rFonts w:asciiTheme="minorHAnsi" w:eastAsia="Times New Roman" w:hAnsiTheme="minorHAnsi" w:cstheme="minorHAnsi"/>
                <w:iCs/>
                <w:noProof/>
                <w:sz w:val="20"/>
              </w:rPr>
              <w:t xml:space="preserve"> Projekty </w:t>
            </w:r>
            <w:r>
              <w:rPr>
                <w:rFonts w:asciiTheme="minorHAnsi" w:eastAsia="Times New Roman" w:hAnsiTheme="minorHAnsi" w:cstheme="minorHAnsi"/>
                <w:iCs/>
                <w:noProof/>
                <w:sz w:val="20"/>
              </w:rPr>
              <w:t>neutralne w kwestii równouprawnienia płci</w:t>
            </w:r>
          </w:p>
        </w:tc>
        <w:tc>
          <w:tcPr>
            <w:tcW w:w="2068" w:type="dxa"/>
            <w:vAlign w:val="center"/>
          </w:tcPr>
          <w:p w14:paraId="341B8D6D" w14:textId="2897639A" w:rsidR="00BA20BD" w:rsidRPr="00890249" w:rsidRDefault="008D0BF8" w:rsidP="005C6AF0">
            <w:pPr>
              <w:spacing w:before="0" w:after="160" w:line="259" w:lineRule="auto"/>
              <w:jc w:val="right"/>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6 000 000</w:t>
            </w:r>
          </w:p>
        </w:tc>
      </w:tr>
    </w:tbl>
    <w:p w14:paraId="3A616568" w14:textId="3DCBB581" w:rsidR="003E3EA8" w:rsidRPr="00890249" w:rsidRDefault="003E3EA8" w:rsidP="00BA20BD">
      <w:pPr>
        <w:spacing w:before="0" w:after="160" w:line="259" w:lineRule="auto"/>
        <w:jc w:val="left"/>
        <w:rPr>
          <w:rFonts w:asciiTheme="minorHAnsi" w:hAnsiTheme="minorHAnsi" w:cstheme="minorHAnsi"/>
          <w:b/>
          <w:noProof/>
          <w:color w:val="FF0000"/>
          <w:sz w:val="22"/>
          <w:szCs w:val="22"/>
        </w:rPr>
      </w:pPr>
    </w:p>
    <w:p w14:paraId="656A65AE" w14:textId="30E58213" w:rsidR="00BA20BD" w:rsidRPr="00890249" w:rsidRDefault="003E3EA8" w:rsidP="00BA20BD">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46EEF922" w14:textId="77777777" w:rsidR="00D50B99" w:rsidRPr="00890249" w:rsidRDefault="00D50B99" w:rsidP="00D50B99">
      <w:pPr>
        <w:shd w:val="clear" w:color="auto" w:fill="D9D9D9" w:themeFill="background1" w:themeFillShade="D9"/>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1.9.2 (iii) EFRR Cel szczegółowy</w:t>
      </w:r>
    </w:p>
    <w:p w14:paraId="58D865C4" w14:textId="77777777" w:rsidR="00D50B99" w:rsidRPr="00890249" w:rsidRDefault="00D50B99" w:rsidP="00D50B99">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sz w:val="22"/>
        </w:rPr>
        <w:t xml:space="preserve">(iii) </w:t>
      </w:r>
      <w:r w:rsidRPr="00890249">
        <w:rPr>
          <w:rFonts w:asciiTheme="minorHAnsi" w:hAnsiTheme="minorHAnsi" w:cstheme="minorHAnsi"/>
          <w:b/>
          <w:noProof/>
          <w:color w:val="2F5496" w:themeColor="accent5" w:themeShade="BF"/>
        </w:rPr>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00C4F6EF" w14:textId="77777777" w:rsidR="00D50B99" w:rsidRPr="00890249" w:rsidRDefault="00D50B99" w:rsidP="00D50B99">
      <w:pPr>
        <w:rPr>
          <w:rFonts w:asciiTheme="minorHAnsi" w:hAnsiTheme="minorHAnsi" w:cstheme="minorHAnsi"/>
          <w:b/>
          <w:noProof/>
          <w:sz w:val="22"/>
        </w:rPr>
      </w:pPr>
      <w:r w:rsidRPr="00890249">
        <w:rPr>
          <w:rFonts w:asciiTheme="minorHAnsi" w:hAnsiTheme="minorHAnsi" w:cstheme="minorHAnsi"/>
          <w:b/>
          <w:noProof/>
          <w:sz w:val="22"/>
        </w:rPr>
        <w:t>2.1.9.2.1 (iii) Interwencje w ramach funduszy</w:t>
      </w:r>
    </w:p>
    <w:p w14:paraId="1F41E36D" w14:textId="77777777" w:rsidR="00D50B99" w:rsidRPr="00890249" w:rsidRDefault="00D50B99" w:rsidP="00D50B99">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Powiązane rodzaje działań</w:t>
      </w:r>
    </w:p>
    <w:p w14:paraId="1F1ABC86" w14:textId="7E2F8FBC"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Zmiany zachodzące w strukturze populacji regionu, w tym zwłaszcza postępujące starzenie się społeczeństwa wymuszają intensyfikację działań w zakresie zwiększenia zarówno dostępu do usług społecznych, jak i niezbędnej infrastruktury zapewniającej efektywną ich realizację. Jednocześnie należy dążyć do zmiany w podejściu do zapewnienia opieki osobom starszym i z niepełnosprawnościami, tak aby w jak największej mierze świadczona ona była w społeczności lokalnej, ze stopniowym ograniczeniem opieki instytucjonalnej. Jest to </w:t>
      </w:r>
      <w:r w:rsidR="006C3877" w:rsidRPr="00890249">
        <w:rPr>
          <w:rFonts w:asciiTheme="minorHAnsi" w:hAnsiTheme="minorHAnsi" w:cstheme="minorHAnsi"/>
          <w:sz w:val="22"/>
          <w:szCs w:val="22"/>
          <w:lang w:eastAsia="en-US" w:bidi="ar-SA"/>
        </w:rPr>
        <w:t xml:space="preserve">niezbędne biorąc pod uwagę, iż </w:t>
      </w:r>
      <w:r w:rsidRPr="00890249">
        <w:rPr>
          <w:rFonts w:asciiTheme="minorHAnsi" w:hAnsiTheme="minorHAnsi" w:cstheme="minorHAnsi"/>
          <w:sz w:val="22"/>
          <w:szCs w:val="22"/>
          <w:lang w:eastAsia="en-US" w:bidi="ar-SA"/>
        </w:rPr>
        <w:t>woj. opolskie utrzymuje pierwszą pozycję w Polsce po</w:t>
      </w:r>
      <w:r w:rsidR="18CF659F" w:rsidRPr="00890249">
        <w:rPr>
          <w:rFonts w:asciiTheme="minorHAnsi" w:hAnsiTheme="minorHAnsi" w:cstheme="minorHAnsi"/>
          <w:sz w:val="22"/>
          <w:szCs w:val="22"/>
          <w:lang w:eastAsia="en-US" w:bidi="ar-SA"/>
        </w:rPr>
        <w:t>d</w:t>
      </w:r>
      <w:r w:rsidRPr="00890249">
        <w:rPr>
          <w:rFonts w:asciiTheme="minorHAnsi" w:hAnsiTheme="minorHAnsi" w:cstheme="minorHAnsi"/>
          <w:sz w:val="22"/>
          <w:szCs w:val="22"/>
          <w:lang w:eastAsia="en-US" w:bidi="ar-SA"/>
        </w:rPr>
        <w:t xml:space="preserve"> względem liczby miejsc w zakładach stacjonarnych pomocy społecznej w relacji do liczby mieszkańców. Region wyróżnia także najwyższy w kraju wskaźnik liczby miejsc w domach społecznych dla osób niepełnosprawnych intelektualnie oraz przewlekle chorych psychicznie</w:t>
      </w:r>
      <w:r w:rsidR="00BA20BD" w:rsidRPr="00890249">
        <w:rPr>
          <w:rFonts w:asciiTheme="minorHAnsi" w:hAnsiTheme="minorHAnsi" w:cstheme="minorHAnsi"/>
          <w:sz w:val="22"/>
          <w:szCs w:val="22"/>
          <w:vertAlign w:val="superscript"/>
          <w:lang w:eastAsia="en-US" w:bidi="ar-SA"/>
        </w:rPr>
        <w:footnoteReference w:id="217"/>
      </w:r>
      <w:r w:rsidRPr="00890249">
        <w:rPr>
          <w:rFonts w:asciiTheme="minorHAnsi" w:hAnsiTheme="minorHAnsi" w:cstheme="minorHAnsi"/>
          <w:sz w:val="22"/>
          <w:szCs w:val="22"/>
          <w:lang w:eastAsia="en-US" w:bidi="ar-SA"/>
        </w:rPr>
        <w:t xml:space="preserve">. </w:t>
      </w:r>
    </w:p>
    <w:p w14:paraId="40A5F201" w14:textId="3B068DD8"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Alternatywą dla opieki świadczonej w domach pomocy społecznej </w:t>
      </w:r>
      <w:r w:rsidR="1CAA81CA" w:rsidRPr="00890249">
        <w:rPr>
          <w:rFonts w:asciiTheme="minorHAnsi" w:hAnsiTheme="minorHAnsi" w:cstheme="minorHAnsi"/>
          <w:sz w:val="22"/>
          <w:szCs w:val="22"/>
          <w:lang w:eastAsia="en-US" w:bidi="ar-SA"/>
        </w:rPr>
        <w:t>są</w:t>
      </w:r>
      <w:r w:rsidRPr="00890249">
        <w:rPr>
          <w:rFonts w:asciiTheme="minorHAnsi" w:hAnsiTheme="minorHAnsi" w:cstheme="minorHAnsi"/>
          <w:sz w:val="22"/>
          <w:szCs w:val="22"/>
          <w:lang w:eastAsia="en-US" w:bidi="ar-SA"/>
        </w:rPr>
        <w:t xml:space="preserve"> </w:t>
      </w:r>
      <w:r w:rsidR="00F73930" w:rsidRPr="00890249">
        <w:rPr>
          <w:rFonts w:asciiTheme="minorHAnsi" w:hAnsiTheme="minorHAnsi" w:cstheme="minorHAnsi"/>
          <w:sz w:val="22"/>
          <w:szCs w:val="22"/>
          <w:lang w:eastAsia="en-US" w:bidi="ar-SA"/>
        </w:rPr>
        <w:t xml:space="preserve">np. </w:t>
      </w:r>
      <w:r w:rsidRPr="00890249">
        <w:rPr>
          <w:rFonts w:asciiTheme="minorHAnsi" w:hAnsiTheme="minorHAnsi" w:cstheme="minorHAnsi"/>
          <w:sz w:val="22"/>
          <w:szCs w:val="22"/>
          <w:lang w:eastAsia="en-US" w:bidi="ar-SA"/>
        </w:rPr>
        <w:t xml:space="preserve">dzienne domy pomocy społecznej, dzienne domy pobytu, rodzinne domy pomocy oraz mieszkania </w:t>
      </w:r>
      <w:r w:rsidR="001E6548">
        <w:rPr>
          <w:rFonts w:asciiTheme="minorHAnsi" w:hAnsiTheme="minorHAnsi" w:cstheme="minorHAnsi"/>
          <w:sz w:val="22"/>
          <w:szCs w:val="22"/>
          <w:lang w:eastAsia="en-US" w:bidi="ar-SA"/>
        </w:rPr>
        <w:t>treningowe</w:t>
      </w:r>
      <w:r w:rsidR="001E6548"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i wspomagane. Pomimo wzrostu miejsc powstałych w ramach dziennych domów pomocy </w:t>
      </w:r>
      <w:r w:rsidR="693BD947" w:rsidRPr="00890249">
        <w:rPr>
          <w:rFonts w:asciiTheme="minorHAnsi" w:hAnsiTheme="minorHAnsi" w:cstheme="minorHAnsi"/>
          <w:sz w:val="22"/>
          <w:szCs w:val="22"/>
          <w:lang w:eastAsia="en-US" w:bidi="ar-SA"/>
        </w:rPr>
        <w:t xml:space="preserve">społecznej </w:t>
      </w:r>
      <w:r w:rsidRPr="00890249">
        <w:rPr>
          <w:rFonts w:asciiTheme="minorHAnsi" w:hAnsiTheme="minorHAnsi" w:cstheme="minorHAnsi"/>
          <w:sz w:val="22"/>
          <w:szCs w:val="22"/>
          <w:lang w:eastAsia="en-US" w:bidi="ar-SA"/>
        </w:rPr>
        <w:t>i mieszkań chronionych w perspektywie finansowej 2014-2020 (w 2020 r. liczba miejsc w mieszkaniach chronionych w woj. opolskim wyniosła 235</w:t>
      </w:r>
      <w:r w:rsidR="003B535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co jest o 26% więcej</w:t>
      </w:r>
      <w:r w:rsidR="003B535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niż w 2019 r. oraz o 93% więcej</w:t>
      </w:r>
      <w:r w:rsidR="003B535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niż w 2017 r.)</w:t>
      </w:r>
      <w:r w:rsidR="693BD947" w:rsidRPr="00890249">
        <w:rPr>
          <w:rFonts w:asciiTheme="minorHAnsi" w:hAnsiTheme="minorHAnsi" w:cstheme="minorHAnsi"/>
          <w:sz w:val="22"/>
          <w:szCs w:val="22"/>
          <w:lang w:eastAsia="en-US" w:bidi="ar-SA"/>
        </w:rPr>
        <w:t xml:space="preserve"> w dalszym ciągu odnotowuje się </w:t>
      </w:r>
      <w:r w:rsidR="18CF659F" w:rsidRPr="00890249">
        <w:rPr>
          <w:rFonts w:asciiTheme="minorHAnsi" w:hAnsiTheme="minorHAnsi" w:cstheme="minorHAnsi"/>
          <w:sz w:val="22"/>
          <w:szCs w:val="22"/>
          <w:lang w:eastAsia="en-US" w:bidi="ar-SA"/>
        </w:rPr>
        <w:t xml:space="preserve">tu duże </w:t>
      </w:r>
      <w:r w:rsidR="693BD947" w:rsidRPr="00890249">
        <w:rPr>
          <w:rFonts w:asciiTheme="minorHAnsi" w:hAnsiTheme="minorHAnsi" w:cstheme="minorHAnsi"/>
          <w:sz w:val="22"/>
          <w:szCs w:val="22"/>
          <w:lang w:eastAsia="en-US" w:bidi="ar-SA"/>
        </w:rPr>
        <w:t>potrzeby</w:t>
      </w:r>
      <w:r w:rsidR="4ADA72E0" w:rsidRPr="00890249">
        <w:rPr>
          <w:rFonts w:asciiTheme="minorHAnsi" w:hAnsiTheme="minorHAnsi" w:cstheme="minorHAnsi"/>
          <w:sz w:val="22"/>
          <w:szCs w:val="22"/>
          <w:lang w:eastAsia="en-US" w:bidi="ar-SA"/>
        </w:rPr>
        <w:t>. Zapotrzebowanie na szerok</w:t>
      </w:r>
      <w:r w:rsidR="2059136D" w:rsidRPr="00890249">
        <w:rPr>
          <w:rFonts w:asciiTheme="minorHAnsi" w:hAnsiTheme="minorHAnsi" w:cstheme="minorHAnsi"/>
          <w:sz w:val="22"/>
          <w:szCs w:val="22"/>
          <w:lang w:eastAsia="en-US" w:bidi="ar-SA"/>
        </w:rPr>
        <w:t>o rozumianą</w:t>
      </w:r>
      <w:r w:rsidR="4ADA72E0" w:rsidRPr="00890249">
        <w:rPr>
          <w:rFonts w:asciiTheme="minorHAnsi" w:hAnsiTheme="minorHAnsi" w:cstheme="minorHAnsi"/>
          <w:sz w:val="22"/>
          <w:szCs w:val="22"/>
          <w:lang w:eastAsia="en-US" w:bidi="ar-SA"/>
        </w:rPr>
        <w:t xml:space="preserve"> infrastrukturę mieszkaniową (nie tylko dla wspomnianych powyżej grup) jest ogromne – w</w:t>
      </w:r>
      <w:r w:rsidR="66EBC4B2" w:rsidRPr="00890249">
        <w:rPr>
          <w:rFonts w:asciiTheme="minorHAnsi" w:hAnsiTheme="minorHAnsi" w:cstheme="minorHAnsi"/>
          <w:sz w:val="22"/>
          <w:szCs w:val="22"/>
          <w:lang w:eastAsia="en-US" w:bidi="ar-SA"/>
        </w:rPr>
        <w:t xml:space="preserve"> 2021 r</w:t>
      </w:r>
      <w:r w:rsidR="4ADA72E0" w:rsidRPr="00890249">
        <w:rPr>
          <w:rFonts w:asciiTheme="minorHAnsi" w:hAnsiTheme="minorHAnsi" w:cstheme="minorHAnsi"/>
          <w:sz w:val="22"/>
          <w:szCs w:val="22"/>
          <w:lang w:eastAsia="en-US" w:bidi="ar-SA"/>
        </w:rPr>
        <w:t>. na mieszkania socjalne oczekiwały 1419 osób/rodzin</w:t>
      </w:r>
      <w:r w:rsidR="0009628F" w:rsidRPr="00890249">
        <w:rPr>
          <w:rStyle w:val="Odwoanieprzypisudolnego"/>
          <w:rFonts w:asciiTheme="minorHAnsi" w:eastAsiaTheme="minorHAnsi" w:hAnsiTheme="minorHAnsi" w:cstheme="minorHAnsi"/>
          <w:sz w:val="22"/>
          <w:szCs w:val="22"/>
          <w:lang w:eastAsia="en-US" w:bidi="ar-SA"/>
        </w:rPr>
        <w:footnoteReference w:id="218"/>
      </w:r>
      <w:r w:rsidRPr="00890249">
        <w:rPr>
          <w:rFonts w:asciiTheme="minorHAnsi" w:hAnsiTheme="minorHAnsi" w:cstheme="minorHAnsi"/>
          <w:sz w:val="22"/>
          <w:szCs w:val="22"/>
          <w:lang w:eastAsia="en-US" w:bidi="ar-SA"/>
        </w:rPr>
        <w:t>.</w:t>
      </w:r>
      <w:r w:rsidR="66EBC4B2" w:rsidRPr="00890249">
        <w:rPr>
          <w:rFonts w:asciiTheme="minorHAnsi" w:hAnsiTheme="minorHAnsi" w:cstheme="minorHAnsi"/>
          <w:sz w:val="22"/>
          <w:szCs w:val="22"/>
          <w:lang w:eastAsia="en-US" w:bidi="ar-SA"/>
        </w:rPr>
        <w:t xml:space="preserve"> Wsparcie mieszkalnictwa socjalnego opierać się będzie na mapowaniu potrzeb, uwzględniającym stopień zagrożenia ubóstwem określony na podstawie liczby: zarejestrowanych bezrobotnych, osób w rodzinach otrzymujących pomoc z powodu</w:t>
      </w:r>
      <w:r w:rsidR="60141632" w:rsidRPr="00890249">
        <w:rPr>
          <w:rFonts w:asciiTheme="minorHAnsi" w:hAnsiTheme="minorHAnsi" w:cstheme="minorHAnsi"/>
          <w:sz w:val="22"/>
          <w:szCs w:val="22"/>
          <w:lang w:eastAsia="en-US" w:bidi="ar-SA"/>
        </w:rPr>
        <w:t xml:space="preserve"> ubóstwa</w:t>
      </w:r>
      <w:r w:rsidR="66EBC4B2" w:rsidRPr="00890249">
        <w:rPr>
          <w:rFonts w:asciiTheme="minorHAnsi" w:hAnsiTheme="minorHAnsi" w:cstheme="minorHAnsi"/>
          <w:sz w:val="22"/>
          <w:szCs w:val="22"/>
          <w:lang w:eastAsia="en-US" w:bidi="ar-SA"/>
        </w:rPr>
        <w:t>, osób w rodzinach niepełnych, objętych pomocą społeczną oraz osób w rodzinach wielodzietnych, objętych pomocą społeczną.</w:t>
      </w:r>
      <w:r w:rsidRPr="00890249">
        <w:rPr>
          <w:rFonts w:asciiTheme="minorHAnsi" w:hAnsiTheme="minorHAnsi" w:cstheme="minorHAnsi"/>
          <w:sz w:val="22"/>
          <w:szCs w:val="22"/>
          <w:lang w:eastAsia="en-US" w:bidi="ar-SA"/>
        </w:rPr>
        <w:t xml:space="preserve"> </w:t>
      </w:r>
      <w:r w:rsidR="2B455B51" w:rsidRPr="00890249">
        <w:rPr>
          <w:rFonts w:asciiTheme="minorHAnsi" w:hAnsiTheme="minorHAnsi" w:cstheme="minorHAnsi"/>
          <w:sz w:val="22"/>
          <w:szCs w:val="22"/>
          <w:lang w:eastAsia="en-US" w:bidi="ar-SA"/>
        </w:rPr>
        <w:t>Powyższe in</w:t>
      </w:r>
      <w:r w:rsidR="00172BC7">
        <w:rPr>
          <w:rFonts w:asciiTheme="minorHAnsi" w:hAnsiTheme="minorHAnsi" w:cstheme="minorHAnsi"/>
          <w:sz w:val="22"/>
          <w:szCs w:val="22"/>
          <w:lang w:eastAsia="en-US" w:bidi="ar-SA"/>
        </w:rPr>
        <w:t>westycje są niezbędne również w </w:t>
      </w:r>
      <w:r w:rsidR="2B455B51" w:rsidRPr="00890249">
        <w:rPr>
          <w:rFonts w:asciiTheme="minorHAnsi" w:hAnsiTheme="minorHAnsi" w:cstheme="minorHAnsi"/>
          <w:sz w:val="22"/>
          <w:szCs w:val="22"/>
          <w:lang w:eastAsia="en-US" w:bidi="ar-SA"/>
        </w:rPr>
        <w:t>kontekście poprawy dostępności do usług zaplanowanych w cs (k).</w:t>
      </w:r>
    </w:p>
    <w:p w14:paraId="31B133D4" w14:textId="0CFB57C3" w:rsidR="0093433C" w:rsidRPr="00890249" w:rsidRDefault="00BA20B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Osoby z niepełnosprawnościami zdolne do pracy powinny być aktywizowane</w:t>
      </w:r>
      <w:r w:rsidR="009C7512" w:rsidRPr="00890249">
        <w:rPr>
          <w:rFonts w:asciiTheme="minorHAnsi" w:hAnsiTheme="minorHAnsi" w:cstheme="minorHAnsi"/>
          <w:sz w:val="22"/>
          <w:szCs w:val="22"/>
          <w:lang w:eastAsia="en-US" w:bidi="ar-SA"/>
        </w:rPr>
        <w:t xml:space="preserve"> również </w:t>
      </w:r>
      <w:r w:rsidRPr="00890249">
        <w:rPr>
          <w:rFonts w:asciiTheme="minorHAnsi" w:hAnsiTheme="minorHAnsi" w:cstheme="minorHAnsi"/>
          <w:sz w:val="22"/>
          <w:szCs w:val="22"/>
          <w:lang w:eastAsia="en-US" w:bidi="ar-SA"/>
        </w:rPr>
        <w:t xml:space="preserve">w ramach warsztatów terapii zajęciowej </w:t>
      </w:r>
      <w:r w:rsidR="00204EB2" w:rsidRPr="00890249">
        <w:rPr>
          <w:rFonts w:asciiTheme="minorHAnsi" w:hAnsiTheme="minorHAnsi" w:cstheme="minorHAnsi"/>
          <w:sz w:val="22"/>
          <w:szCs w:val="22"/>
          <w:lang w:eastAsia="en-US" w:bidi="ar-SA"/>
        </w:rPr>
        <w:t xml:space="preserve">(WTZ) </w:t>
      </w:r>
      <w:r w:rsidRPr="00890249">
        <w:rPr>
          <w:rFonts w:asciiTheme="minorHAnsi" w:hAnsiTheme="minorHAnsi" w:cstheme="minorHAnsi"/>
          <w:sz w:val="22"/>
          <w:szCs w:val="22"/>
          <w:lang w:eastAsia="en-US" w:bidi="ar-SA"/>
        </w:rPr>
        <w:t>oraz zakładów aktywności zawodowej</w:t>
      </w:r>
      <w:r w:rsidR="00204EB2" w:rsidRPr="00890249">
        <w:rPr>
          <w:rFonts w:asciiTheme="minorHAnsi" w:hAnsiTheme="minorHAnsi" w:cstheme="minorHAnsi"/>
          <w:sz w:val="22"/>
          <w:szCs w:val="22"/>
          <w:lang w:eastAsia="en-US" w:bidi="ar-SA"/>
        </w:rPr>
        <w:t xml:space="preserve"> (ZAZ)</w:t>
      </w:r>
      <w:r w:rsidRPr="00890249">
        <w:rPr>
          <w:rFonts w:asciiTheme="minorHAnsi" w:hAnsiTheme="minorHAnsi" w:cstheme="minorHAnsi"/>
          <w:sz w:val="22"/>
          <w:szCs w:val="22"/>
          <w:lang w:eastAsia="en-US" w:bidi="ar-SA"/>
        </w:rPr>
        <w:t xml:space="preserve">. </w:t>
      </w:r>
    </w:p>
    <w:p w14:paraId="7E096F71" w14:textId="1FB72D77"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regionie wciąż niezadowalająca jest liczba miejsc w ramach ww. podmiotów, a barierami </w:t>
      </w:r>
      <w:r w:rsidR="00BA20BD" w:rsidRPr="00890249">
        <w:rPr>
          <w:rFonts w:asciiTheme="minorHAnsi" w:hAnsiTheme="minorHAnsi" w:cstheme="minorHAnsi"/>
          <w:sz w:val="22"/>
          <w:szCs w:val="22"/>
        </w:rPr>
        <w:br/>
      </w:r>
      <w:r w:rsidRPr="00890249">
        <w:rPr>
          <w:rFonts w:asciiTheme="minorHAnsi" w:hAnsiTheme="minorHAnsi" w:cstheme="minorHAnsi"/>
          <w:sz w:val="22"/>
          <w:szCs w:val="22"/>
          <w:lang w:eastAsia="en-US" w:bidi="ar-SA"/>
        </w:rPr>
        <w:t xml:space="preserve">w tym przypadku jest zarówno ich liczba, jak i niedoinwestowanie funkcjonujących w regionie placówek. W ostatnich dwóch latach w woj. opolskim powstały 3 nowe zakłady aktywności zawodowej i tym samym ich liczba w regionie to 5 placówek, podczas gdy docelowo dostęp do tych placówek powinien być zapewniony w każdym powiecie. Wsparcie </w:t>
      </w:r>
      <w:r w:rsidR="2B455B51" w:rsidRPr="00890249">
        <w:rPr>
          <w:rFonts w:asciiTheme="minorHAnsi" w:hAnsiTheme="minorHAnsi" w:cstheme="minorHAnsi"/>
          <w:sz w:val="22"/>
          <w:szCs w:val="22"/>
          <w:lang w:eastAsia="en-US" w:bidi="ar-SA"/>
        </w:rPr>
        <w:t xml:space="preserve">ww. </w:t>
      </w:r>
      <w:r w:rsidRPr="00890249">
        <w:rPr>
          <w:rFonts w:asciiTheme="minorHAnsi" w:hAnsiTheme="minorHAnsi" w:cstheme="minorHAnsi"/>
          <w:sz w:val="22"/>
          <w:szCs w:val="22"/>
          <w:lang w:eastAsia="en-US" w:bidi="ar-SA"/>
        </w:rPr>
        <w:t>podmiotów</w:t>
      </w:r>
      <w:r w:rsidR="2B455B51" w:rsidRPr="00890249">
        <w:rPr>
          <w:rFonts w:asciiTheme="minorHAnsi" w:hAnsiTheme="minorHAnsi" w:cstheme="minorHAnsi"/>
          <w:sz w:val="22"/>
          <w:szCs w:val="22"/>
          <w:lang w:eastAsia="en-US" w:bidi="ar-SA"/>
        </w:rPr>
        <w:t xml:space="preserve"> będzie komplementarne z interwencjami zaplanowanymi w cs (h)</w:t>
      </w:r>
      <w:r w:rsidRPr="00890249">
        <w:rPr>
          <w:rFonts w:asciiTheme="minorHAnsi" w:hAnsiTheme="minorHAnsi" w:cstheme="minorHAnsi"/>
          <w:sz w:val="22"/>
          <w:szCs w:val="22"/>
          <w:lang w:eastAsia="en-US" w:bidi="ar-SA"/>
        </w:rPr>
        <w:t>.</w:t>
      </w:r>
    </w:p>
    <w:p w14:paraId="23E28854" w14:textId="40C3371F" w:rsidR="0093433C" w:rsidRPr="00890249" w:rsidRDefault="6728C557"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Wsparcie dla ZAZ oraz WTZ będzie mieć charakter warunkowy</w:t>
      </w:r>
      <w:r w:rsidR="003B5355" w:rsidRPr="00890249">
        <w:rPr>
          <w:rFonts w:asciiTheme="minorHAnsi" w:hAnsiTheme="minorHAnsi" w:cstheme="minorHAnsi"/>
          <w:sz w:val="22"/>
          <w:szCs w:val="22"/>
        </w:rPr>
        <w:t>,</w:t>
      </w:r>
      <w:r w:rsidRPr="00890249">
        <w:rPr>
          <w:rFonts w:asciiTheme="minorHAnsi" w:hAnsiTheme="minorHAnsi" w:cstheme="minorHAnsi"/>
          <w:sz w:val="22"/>
          <w:szCs w:val="22"/>
        </w:rPr>
        <w:t xml:space="preserve"> tj. będzie możliwe tylko o ile placówka otrzyma wsparcie z EFS+ zgodnie z warunkami wskazanymi w </w:t>
      </w:r>
      <w:r w:rsidR="00445F4E">
        <w:rPr>
          <w:rFonts w:asciiTheme="minorHAnsi" w:hAnsiTheme="minorHAnsi" w:cstheme="minorHAnsi"/>
          <w:sz w:val="22"/>
          <w:szCs w:val="22"/>
        </w:rPr>
        <w:t>cs (h)</w:t>
      </w:r>
      <w:r w:rsidRPr="00890249">
        <w:rPr>
          <w:rFonts w:asciiTheme="minorHAnsi" w:hAnsiTheme="minorHAnsi" w:cstheme="minorHAnsi"/>
          <w:sz w:val="22"/>
          <w:szCs w:val="22"/>
        </w:rPr>
        <w:t xml:space="preserve"> oraz gdy będzie wynikało z regionalnej strategii </w:t>
      </w:r>
      <w:r w:rsidR="003F4145" w:rsidRPr="00890249">
        <w:rPr>
          <w:rFonts w:asciiTheme="minorHAnsi" w:hAnsiTheme="minorHAnsi" w:cstheme="minorHAnsi"/>
          <w:sz w:val="22"/>
          <w:szCs w:val="22"/>
        </w:rPr>
        <w:t>DI</w:t>
      </w:r>
      <w:r w:rsidRPr="00890249">
        <w:rPr>
          <w:rFonts w:asciiTheme="minorHAnsi" w:hAnsiTheme="minorHAnsi" w:cstheme="minorHAnsi"/>
          <w:sz w:val="22"/>
          <w:szCs w:val="22"/>
        </w:rPr>
        <w:t>.</w:t>
      </w:r>
    </w:p>
    <w:p w14:paraId="19463A63" w14:textId="6D13ECE1" w:rsidR="0093433C" w:rsidRPr="00890249" w:rsidRDefault="00BA20B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Centra usług społecznych (CUS) to nowa jednostka organizacyjna gminy i nowa instytucja lokalnej polityki społecznej, która ma służyć rozwojowi i integracji usług społecznych organizowanych i świadczonych na poziomie lokalnym. Centra usług społecznych mają być także źródłem, w którym </w:t>
      </w:r>
      <w:r w:rsidRPr="00890249">
        <w:rPr>
          <w:rFonts w:asciiTheme="minorHAnsi" w:hAnsiTheme="minorHAnsi" w:cstheme="minorHAnsi"/>
          <w:sz w:val="22"/>
          <w:szCs w:val="22"/>
          <w:lang w:eastAsia="en-US" w:bidi="ar-SA"/>
        </w:rPr>
        <w:lastRenderedPageBreak/>
        <w:t>każdy mieszkaniec</w:t>
      </w:r>
      <w:r w:rsidR="00FA7F88" w:rsidRPr="00890249">
        <w:rPr>
          <w:rFonts w:asciiTheme="minorHAnsi" w:hAnsiTheme="minorHAnsi" w:cstheme="minorHAnsi"/>
          <w:sz w:val="22"/>
          <w:szCs w:val="22"/>
          <w:lang w:eastAsia="en-US" w:bidi="ar-SA"/>
        </w:rPr>
        <w:t xml:space="preserve"> otrzyma </w:t>
      </w:r>
      <w:r w:rsidRPr="00890249">
        <w:rPr>
          <w:rFonts w:asciiTheme="minorHAnsi" w:hAnsiTheme="minorHAnsi" w:cstheme="minorHAnsi"/>
          <w:sz w:val="22"/>
          <w:szCs w:val="22"/>
          <w:lang w:eastAsia="en-US" w:bidi="ar-SA"/>
        </w:rPr>
        <w:t xml:space="preserve"> wsparcie w sposób zindywidualizowany (usługi „szyte na miarę”). Tym samym, komplementarnie do działań podejmowanych w ramach EFS+</w:t>
      </w:r>
      <w:r w:rsidR="00B94889" w:rsidRPr="00890249">
        <w:rPr>
          <w:rFonts w:asciiTheme="minorHAnsi" w:hAnsiTheme="minorHAnsi" w:cstheme="minorHAnsi"/>
          <w:sz w:val="22"/>
          <w:szCs w:val="22"/>
          <w:lang w:eastAsia="en-US" w:bidi="ar-SA"/>
        </w:rPr>
        <w:t xml:space="preserve"> w cs (k)</w:t>
      </w:r>
      <w:r w:rsidRPr="00890249">
        <w:rPr>
          <w:rFonts w:asciiTheme="minorHAnsi" w:hAnsiTheme="minorHAnsi" w:cstheme="minorHAnsi"/>
          <w:sz w:val="22"/>
          <w:szCs w:val="22"/>
          <w:lang w:eastAsia="en-US" w:bidi="ar-SA"/>
        </w:rPr>
        <w:t xml:space="preserve"> środki ukierunkowane zostaną na inwestycje niezbędne do utworzenia tego typu podmiotów. Podczas realizacji przedsięwzięć w tym zakresie wykorzystan</w:t>
      </w:r>
      <w:r w:rsidR="00FA7F88" w:rsidRPr="00890249">
        <w:rPr>
          <w:rFonts w:asciiTheme="minorHAnsi" w:hAnsiTheme="minorHAnsi" w:cstheme="minorHAnsi"/>
          <w:sz w:val="22"/>
          <w:szCs w:val="22"/>
          <w:lang w:eastAsia="en-US" w:bidi="ar-SA"/>
        </w:rPr>
        <w:t>e</w:t>
      </w:r>
      <w:r w:rsidRPr="00890249">
        <w:rPr>
          <w:rFonts w:asciiTheme="minorHAnsi" w:hAnsiTheme="minorHAnsi" w:cstheme="minorHAnsi"/>
          <w:sz w:val="22"/>
          <w:szCs w:val="22"/>
          <w:lang w:eastAsia="en-US" w:bidi="ar-SA"/>
        </w:rPr>
        <w:t xml:space="preserve"> zostaną doświadczenia z realizacji pilotażowych projektów w ramach </w:t>
      </w:r>
      <w:r w:rsidR="00FA7F88" w:rsidRPr="00890249">
        <w:rPr>
          <w:rFonts w:asciiTheme="minorHAnsi" w:hAnsiTheme="minorHAnsi" w:cstheme="minorHAnsi"/>
          <w:sz w:val="22"/>
          <w:szCs w:val="22"/>
          <w:lang w:eastAsia="en-US" w:bidi="ar-SA"/>
        </w:rPr>
        <w:t>wsparcia</w:t>
      </w:r>
      <w:r w:rsidRPr="00890249">
        <w:rPr>
          <w:rFonts w:asciiTheme="minorHAnsi" w:hAnsiTheme="minorHAnsi" w:cstheme="minorHAnsi"/>
          <w:sz w:val="22"/>
          <w:szCs w:val="22"/>
          <w:lang w:eastAsia="en-US" w:bidi="ar-SA"/>
        </w:rPr>
        <w:t xml:space="preserve"> CUS-ów z </w:t>
      </w:r>
      <w:r w:rsidR="00A301D2" w:rsidRPr="00890249">
        <w:rPr>
          <w:rFonts w:asciiTheme="minorHAnsi" w:hAnsiTheme="minorHAnsi" w:cstheme="minorHAnsi"/>
          <w:sz w:val="22"/>
          <w:szCs w:val="22"/>
          <w:lang w:eastAsia="en-US" w:bidi="ar-SA"/>
        </w:rPr>
        <w:t>POWER</w:t>
      </w:r>
      <w:r w:rsidRPr="00890249">
        <w:rPr>
          <w:rFonts w:asciiTheme="minorHAnsi" w:hAnsiTheme="minorHAnsi" w:cstheme="minorHAnsi"/>
          <w:sz w:val="22"/>
          <w:szCs w:val="22"/>
          <w:lang w:eastAsia="en-US" w:bidi="ar-SA"/>
        </w:rPr>
        <w:t xml:space="preserve"> 2014-2020.</w:t>
      </w:r>
    </w:p>
    <w:p w14:paraId="00E2F5CE" w14:textId="057C76DB" w:rsidR="0093433C" w:rsidRPr="00890249" w:rsidRDefault="2B455B51"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ramach EFS+ w cs (l) realizowane będzie wsparcie</w:t>
      </w:r>
      <w:r w:rsidR="7E651917" w:rsidRPr="00890249">
        <w:rPr>
          <w:rFonts w:asciiTheme="minorHAnsi" w:hAnsiTheme="minorHAnsi" w:cstheme="minorHAnsi"/>
          <w:sz w:val="22"/>
          <w:szCs w:val="22"/>
          <w:lang w:eastAsia="en-US" w:bidi="ar-SA"/>
        </w:rPr>
        <w:t xml:space="preserve"> dzieci pozbawionych opieki rodzicielsk</w:t>
      </w:r>
      <w:r w:rsidR="00FA7F88" w:rsidRPr="00890249">
        <w:rPr>
          <w:rFonts w:asciiTheme="minorHAnsi" w:hAnsiTheme="minorHAnsi" w:cstheme="minorHAnsi"/>
          <w:sz w:val="22"/>
          <w:szCs w:val="22"/>
          <w:lang w:eastAsia="en-US" w:bidi="ar-SA"/>
        </w:rPr>
        <w:t>iej</w:t>
      </w:r>
      <w:r w:rsidRPr="00890249">
        <w:rPr>
          <w:rFonts w:asciiTheme="minorHAnsi" w:hAnsiTheme="minorHAnsi" w:cstheme="minorHAnsi"/>
          <w:sz w:val="22"/>
          <w:szCs w:val="22"/>
          <w:lang w:eastAsia="en-US" w:bidi="ar-SA"/>
        </w:rPr>
        <w:t xml:space="preserve"> oraz młodzieży opuszczającej pieczę zastępczą</w:t>
      </w:r>
      <w:r w:rsidR="7E651917" w:rsidRPr="00890249">
        <w:rPr>
          <w:rFonts w:asciiTheme="minorHAnsi" w:hAnsiTheme="minorHAnsi" w:cstheme="minorHAnsi"/>
          <w:sz w:val="22"/>
          <w:szCs w:val="22"/>
          <w:lang w:eastAsia="en-US" w:bidi="ar-SA"/>
        </w:rPr>
        <w:t xml:space="preserve">. Wsparcie to nierzadko wymaga inwestycji w infrastrukturę zapewniającą realizację usług społecznych skierowanych do </w:t>
      </w:r>
      <w:r w:rsidR="003F4145" w:rsidRPr="00890249">
        <w:rPr>
          <w:rFonts w:asciiTheme="minorHAnsi" w:hAnsiTheme="minorHAnsi" w:cstheme="minorHAnsi"/>
          <w:sz w:val="22"/>
          <w:szCs w:val="22"/>
          <w:lang w:eastAsia="en-US" w:bidi="ar-SA"/>
        </w:rPr>
        <w:t>dzieci i młodzieży</w:t>
      </w:r>
      <w:r w:rsidR="7E651917" w:rsidRPr="00890249">
        <w:rPr>
          <w:rFonts w:asciiTheme="minorHAnsi" w:hAnsiTheme="minorHAnsi" w:cstheme="minorHAnsi"/>
          <w:sz w:val="22"/>
          <w:szCs w:val="22"/>
          <w:lang w:eastAsia="en-US" w:bidi="ar-SA"/>
        </w:rPr>
        <w:t>. Jest to o tyle istotne, iż w 2020 r. w regionie, w placówkach opiekuńczo-wychowawczych, a więc pieczy instytucjonalnej, przebywało ok. 500 dzieci (w 2019 r. tą formą opieki objętych było 510 dzieci)</w:t>
      </w:r>
      <w:r w:rsidR="00BA20BD" w:rsidRPr="00890249">
        <w:rPr>
          <w:rFonts w:asciiTheme="minorHAnsi" w:hAnsiTheme="minorHAnsi" w:cstheme="minorHAnsi"/>
          <w:sz w:val="22"/>
          <w:szCs w:val="22"/>
          <w:vertAlign w:val="superscript"/>
          <w:lang w:eastAsia="en-US" w:bidi="ar-SA"/>
        </w:rPr>
        <w:footnoteReference w:id="219"/>
      </w:r>
      <w:r w:rsidR="7E651917" w:rsidRPr="00890249">
        <w:rPr>
          <w:rFonts w:asciiTheme="minorHAnsi" w:hAnsiTheme="minorHAnsi" w:cstheme="minorHAnsi"/>
          <w:sz w:val="22"/>
          <w:szCs w:val="22"/>
          <w:lang w:eastAsia="en-US" w:bidi="ar-SA"/>
        </w:rPr>
        <w:t>. Ogromne potrzeby identyfikuje się również w przypadku młodzieży opuszczającej pieczę zastępczą, która często nie otrzymuje wystarczającej pomocy na usamodzielnienie się i tym samym jest zagrożona np. bezdomnością</w:t>
      </w:r>
      <w:r w:rsidR="1CAA81CA" w:rsidRPr="00890249">
        <w:rPr>
          <w:rFonts w:asciiTheme="minorHAnsi" w:hAnsiTheme="minorHAnsi" w:cstheme="minorHAnsi"/>
          <w:sz w:val="22"/>
          <w:szCs w:val="22"/>
          <w:lang w:eastAsia="en-US" w:bidi="ar-SA"/>
        </w:rPr>
        <w:t xml:space="preserve"> (</w:t>
      </w:r>
      <w:r w:rsidR="003F4145" w:rsidRPr="00890249">
        <w:rPr>
          <w:rFonts w:asciiTheme="minorHAnsi" w:hAnsiTheme="minorHAnsi" w:cstheme="minorHAnsi"/>
          <w:sz w:val="22"/>
          <w:szCs w:val="22"/>
          <w:lang w:eastAsia="en-US" w:bidi="ar-SA"/>
        </w:rPr>
        <w:t>np.</w:t>
      </w:r>
      <w:r w:rsidR="1CAA81CA" w:rsidRPr="00890249">
        <w:rPr>
          <w:rFonts w:asciiTheme="minorHAnsi" w:hAnsiTheme="minorHAnsi" w:cstheme="minorHAnsi"/>
          <w:sz w:val="22"/>
          <w:szCs w:val="22"/>
          <w:lang w:eastAsia="en-US" w:bidi="ar-SA"/>
        </w:rPr>
        <w:t xml:space="preserve"> w regionie w 2019 r. pieczę zastępczą oraz inne ośrodki wsparcia, o których mowa w art. 88 ust. 1 ustawy </w:t>
      </w:r>
      <w:r w:rsidR="1CAA81CA" w:rsidRPr="00890249">
        <w:rPr>
          <w:rFonts w:asciiTheme="minorHAnsi" w:hAnsiTheme="minorHAnsi" w:cstheme="minorHAnsi"/>
          <w:i/>
          <w:iCs/>
          <w:sz w:val="22"/>
          <w:szCs w:val="22"/>
          <w:lang w:eastAsia="en-US" w:bidi="ar-SA"/>
        </w:rPr>
        <w:t>o pomocy społecznej</w:t>
      </w:r>
      <w:r w:rsidR="1CAA81CA" w:rsidRPr="00890249">
        <w:rPr>
          <w:rFonts w:asciiTheme="minorHAnsi" w:hAnsiTheme="minorHAnsi" w:cstheme="minorHAnsi"/>
          <w:sz w:val="22"/>
          <w:szCs w:val="22"/>
          <w:lang w:eastAsia="en-US" w:bidi="ar-SA"/>
        </w:rPr>
        <w:t xml:space="preserve"> opuściło 179 osób, podczas, gdy w </w:t>
      </w:r>
      <w:r w:rsidR="003F4145" w:rsidRPr="00890249">
        <w:rPr>
          <w:rFonts w:asciiTheme="minorHAnsi" w:hAnsiTheme="minorHAnsi" w:cstheme="minorHAnsi"/>
          <w:sz w:val="22"/>
          <w:szCs w:val="22"/>
          <w:lang w:eastAsia="en-US" w:bidi="ar-SA"/>
        </w:rPr>
        <w:t>woj.</w:t>
      </w:r>
      <w:r w:rsidR="1CAA81CA" w:rsidRPr="00890249">
        <w:rPr>
          <w:rFonts w:asciiTheme="minorHAnsi" w:hAnsiTheme="minorHAnsi" w:cstheme="minorHAnsi"/>
          <w:sz w:val="22"/>
          <w:szCs w:val="22"/>
          <w:lang w:eastAsia="en-US" w:bidi="ar-SA"/>
        </w:rPr>
        <w:t xml:space="preserve"> funkcjonowało tylko 40 miejsc w mieszkaniach chronionych</w:t>
      </w:r>
      <w:r w:rsidR="00A301D2" w:rsidRPr="00890249">
        <w:rPr>
          <w:rFonts w:asciiTheme="minorHAnsi" w:hAnsiTheme="minorHAnsi" w:cstheme="minorHAnsi"/>
          <w:sz w:val="22"/>
          <w:szCs w:val="22"/>
          <w:vertAlign w:val="superscript"/>
          <w:lang w:eastAsia="en-US" w:bidi="ar-SA"/>
        </w:rPr>
        <w:footnoteReference w:id="220"/>
      </w:r>
      <w:r w:rsidR="1CAA81CA" w:rsidRPr="00890249">
        <w:rPr>
          <w:rFonts w:asciiTheme="minorHAnsi" w:hAnsiTheme="minorHAnsi" w:cstheme="minorHAnsi"/>
          <w:sz w:val="22"/>
          <w:szCs w:val="22"/>
          <w:lang w:eastAsia="en-US" w:bidi="ar-SA"/>
        </w:rPr>
        <w:t xml:space="preserve">). </w:t>
      </w:r>
      <w:r w:rsidR="7E651917" w:rsidRPr="00890249">
        <w:rPr>
          <w:rFonts w:asciiTheme="minorHAnsi" w:hAnsiTheme="minorHAnsi" w:cstheme="minorHAnsi"/>
          <w:sz w:val="22"/>
          <w:szCs w:val="22"/>
          <w:lang w:eastAsia="en-US" w:bidi="ar-SA"/>
        </w:rPr>
        <w:t>W cs (iii) propon</w:t>
      </w:r>
      <w:r w:rsidR="00172BC7">
        <w:rPr>
          <w:rFonts w:asciiTheme="minorHAnsi" w:hAnsiTheme="minorHAnsi" w:cstheme="minorHAnsi"/>
          <w:sz w:val="22"/>
          <w:szCs w:val="22"/>
          <w:lang w:eastAsia="en-US" w:bidi="ar-SA"/>
        </w:rPr>
        <w:t>uje się realizację inwestycji w </w:t>
      </w:r>
      <w:r w:rsidR="7E651917" w:rsidRPr="00890249">
        <w:rPr>
          <w:rFonts w:asciiTheme="minorHAnsi" w:hAnsiTheme="minorHAnsi" w:cstheme="minorHAnsi"/>
          <w:sz w:val="22"/>
          <w:szCs w:val="22"/>
          <w:lang w:eastAsia="en-US" w:bidi="ar-SA"/>
        </w:rPr>
        <w:t xml:space="preserve">mieszkania </w:t>
      </w:r>
      <w:r w:rsidR="00F92A9A">
        <w:rPr>
          <w:rFonts w:asciiTheme="minorHAnsi" w:hAnsiTheme="minorHAnsi" w:cstheme="minorHAnsi"/>
          <w:sz w:val="22"/>
          <w:szCs w:val="22"/>
          <w:lang w:eastAsia="en-US" w:bidi="ar-SA"/>
        </w:rPr>
        <w:t>treningowe</w:t>
      </w:r>
      <w:r w:rsidR="7E651917" w:rsidRPr="00890249">
        <w:rPr>
          <w:rFonts w:asciiTheme="minorHAnsi" w:hAnsiTheme="minorHAnsi" w:cstheme="minorHAnsi"/>
          <w:sz w:val="22"/>
          <w:szCs w:val="22"/>
          <w:lang w:eastAsia="en-US" w:bidi="ar-SA"/>
        </w:rPr>
        <w:t>/ wspomagane stanowiące odpowiedź na zidentyfikowane problemy</w:t>
      </w:r>
      <w:r w:rsidR="1A053A28" w:rsidRPr="00890249">
        <w:rPr>
          <w:rFonts w:asciiTheme="minorHAnsi" w:hAnsiTheme="minorHAnsi" w:cstheme="minorHAnsi"/>
          <w:sz w:val="22"/>
          <w:szCs w:val="22"/>
          <w:lang w:eastAsia="en-US" w:bidi="ar-SA"/>
        </w:rPr>
        <w:t xml:space="preserve"> ww. grupy.</w:t>
      </w:r>
    </w:p>
    <w:p w14:paraId="7DE2D346" w14:textId="454A14B2"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Zgodnie z wynikami międzynarodowego projektu HOME-EU</w:t>
      </w:r>
      <w:r w:rsidR="00BA20BD" w:rsidRPr="00890249">
        <w:rPr>
          <w:rStyle w:val="Odwoanieprzypisudolnego"/>
          <w:rFonts w:asciiTheme="minorHAnsi" w:eastAsiaTheme="minorEastAsia" w:hAnsiTheme="minorHAnsi" w:cstheme="minorHAnsi"/>
          <w:sz w:val="22"/>
          <w:szCs w:val="22"/>
          <w:lang w:eastAsia="en-US" w:bidi="ar-SA"/>
        </w:rPr>
        <w:footnoteReference w:id="221"/>
      </w:r>
      <w:r w:rsidR="769E7D40"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programy Housing First (Najpierw mieszkanie) są bardziej skuteczne w skracaniu czasu pobytu w bezdomności, niż tradycyjne usługi „schodkowe”</w:t>
      </w:r>
      <w:r w:rsidR="00BA20BD" w:rsidRPr="00890249">
        <w:rPr>
          <w:rFonts w:asciiTheme="minorHAnsi" w:hAnsiTheme="minorHAnsi" w:cstheme="minorHAnsi"/>
          <w:sz w:val="22"/>
          <w:szCs w:val="22"/>
          <w:vertAlign w:val="superscript"/>
          <w:lang w:eastAsia="en-US" w:bidi="ar-SA"/>
        </w:rPr>
        <w:footnoteReference w:id="222"/>
      </w:r>
      <w:r w:rsidRPr="00890249">
        <w:rPr>
          <w:rFonts w:asciiTheme="minorHAnsi" w:hAnsiTheme="minorHAnsi" w:cstheme="minorHAnsi"/>
          <w:sz w:val="22"/>
          <w:szCs w:val="22"/>
          <w:lang w:eastAsia="en-US" w:bidi="ar-SA"/>
        </w:rPr>
        <w:t xml:space="preserve">. Mając na uwadze powyższe, a także postulat </w:t>
      </w:r>
      <w:r w:rsidRPr="00890249">
        <w:rPr>
          <w:rFonts w:asciiTheme="minorHAnsi" w:hAnsiTheme="minorHAnsi" w:cstheme="minorHAnsi"/>
          <w:i/>
          <w:iCs/>
          <w:sz w:val="22"/>
          <w:szCs w:val="22"/>
          <w:lang w:eastAsia="en-US" w:bidi="ar-SA"/>
        </w:rPr>
        <w:t>Europejskiego filaru praw socjalnych</w:t>
      </w:r>
      <w:r w:rsidRPr="00890249">
        <w:rPr>
          <w:rFonts w:asciiTheme="minorHAnsi" w:hAnsiTheme="minorHAnsi" w:cstheme="minorHAnsi"/>
          <w:sz w:val="22"/>
          <w:szCs w:val="22"/>
          <w:lang w:eastAsia="en-US" w:bidi="ar-SA"/>
        </w:rPr>
        <w:t xml:space="preserve"> zapewnienia osobom potrzebującym dostępu do pomocy mieszkaniowej dobrej jakości, zakłada się realizację tego rodzaju inwestycji w ramach cs (iii).</w:t>
      </w:r>
      <w:r w:rsidR="2B455B51" w:rsidRPr="00890249">
        <w:rPr>
          <w:rFonts w:asciiTheme="minorHAnsi" w:hAnsiTheme="minorHAnsi" w:cstheme="minorHAnsi"/>
          <w:sz w:val="22"/>
          <w:szCs w:val="22"/>
          <w:lang w:eastAsia="en-US" w:bidi="ar-SA"/>
        </w:rPr>
        <w:t xml:space="preserve"> Inwestycje w szeroko rozumiane mieszkalnictwo będzie komplementarne ze wsparciem osób bezdomnych oraz innych grup zmarginalizowanych zaplanowanym np. w cs (l).</w:t>
      </w:r>
    </w:p>
    <w:p w14:paraId="2A85CC34" w14:textId="5AC26F2A" w:rsidR="0093433C" w:rsidRPr="00890249" w:rsidRDefault="35E48A4D"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Planowane interwencje w zakresie infrastruktury społecznej o</w:t>
      </w:r>
      <w:r w:rsidR="00172BC7">
        <w:rPr>
          <w:rFonts w:asciiTheme="minorHAnsi" w:hAnsiTheme="minorHAnsi" w:cstheme="minorHAnsi"/>
          <w:sz w:val="22"/>
          <w:szCs w:val="22"/>
          <w:lang w:eastAsia="en-US" w:bidi="ar-SA"/>
        </w:rPr>
        <w:t>parte są na mapowaniu potrzeb w </w:t>
      </w:r>
      <w:r w:rsidRPr="00890249">
        <w:rPr>
          <w:rFonts w:asciiTheme="minorHAnsi" w:hAnsiTheme="minorHAnsi" w:cstheme="minorHAnsi"/>
          <w:sz w:val="22"/>
          <w:szCs w:val="22"/>
          <w:lang w:eastAsia="en-US" w:bidi="ar-SA"/>
        </w:rPr>
        <w:t>regionie.</w:t>
      </w:r>
      <w:r w:rsidR="031FE786" w:rsidRPr="00890249">
        <w:rPr>
          <w:rFonts w:asciiTheme="minorHAnsi" w:hAnsiTheme="minorHAnsi" w:cstheme="minorHAnsi"/>
          <w:sz w:val="22"/>
          <w:szCs w:val="22"/>
          <w:lang w:eastAsia="en-US" w:bidi="ar-SA"/>
        </w:rPr>
        <w:t xml:space="preserve"> Z powyższego wynika, iż priorytetami IZ są deinstytucjonalizacja opieki nad osobami starszymi i z niepełnosprawnościami oraz pieczy zastępczej, a także mieszkalnictwo dla osób z grup defaworyzowanych.</w:t>
      </w:r>
    </w:p>
    <w:p w14:paraId="5DBB705C" w14:textId="77777777" w:rsidR="0093433C" w:rsidRPr="00890249" w:rsidRDefault="35CE343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Realizowane w ramach programu inwestycje w obiekty mieszkalne nie mogą przyczyniać się do segregacji przestrzennej grup marginalizowanych. Wsparte lokale nie powinny być zapewniane na obszarach odizolowanych od społeczności lokalnej i słabo skomunikowanej</w:t>
      </w:r>
      <w:r w:rsidR="00FC24F4" w:rsidRPr="00890249">
        <w:rPr>
          <w:rFonts w:asciiTheme="minorHAnsi" w:hAnsiTheme="minorHAnsi" w:cstheme="minorHAnsi"/>
          <w:sz w:val="22"/>
          <w:szCs w:val="22"/>
        </w:rPr>
        <w:t>.</w:t>
      </w:r>
    </w:p>
    <w:p w14:paraId="7C5BB659" w14:textId="702F8DF9" w:rsidR="35CE3432" w:rsidRPr="00172BC7" w:rsidRDefault="0074351B" w:rsidP="00172BC7">
      <w:pPr>
        <w:pStyle w:val="Tekstpodstawowy"/>
        <w:rPr>
          <w:rFonts w:asciiTheme="minorHAnsi" w:hAnsiTheme="minorHAnsi" w:cstheme="minorHAnsi"/>
          <w:sz w:val="22"/>
          <w:szCs w:val="22"/>
          <w:lang w:val="pl"/>
        </w:rPr>
      </w:pPr>
      <w:r w:rsidRPr="00890249">
        <w:rPr>
          <w:rFonts w:asciiTheme="minorHAnsi" w:hAnsiTheme="minorHAnsi" w:cstheme="minorHAnsi"/>
          <w:sz w:val="22"/>
          <w:szCs w:val="22"/>
          <w:lang w:val="pl"/>
        </w:rPr>
        <w:t xml:space="preserve">Decyzje o udzieleniu wsparcia powinny być poprzedzone analizą dostępnych form świadczenia usług (tj. instytucjonalne, środowiskowe i w rodzinie) oraz  uwzględniać indywidualne  potrzeby jednostek, które będą odbiorcami usług (w tym preferowane przez nich opcje opieki, z uwzględnieniem opcji zgodnych z Konwencją ONZ o Prawach Osób Niepełnosprawnych). Jeśli opcje preferowane przez odbiorców usług nie są dostępne, priorytetem powinno być ich zapewnienie.  </w:t>
      </w:r>
    </w:p>
    <w:p w14:paraId="7F60A2E4" w14:textId="364AB21D" w:rsidR="00BA20BD" w:rsidRPr="00890249" w:rsidRDefault="7E651917" w:rsidP="00BA20BD">
      <w:pPr>
        <w:pStyle w:val="Tekstkomentarza"/>
        <w:spacing w:before="120" w:after="120"/>
        <w:rPr>
          <w:rFonts w:cstheme="minorHAnsi"/>
          <w:sz w:val="22"/>
          <w:szCs w:val="22"/>
        </w:rPr>
      </w:pPr>
      <w:r w:rsidRPr="00890249">
        <w:rPr>
          <w:rFonts w:cstheme="minorHAnsi"/>
          <w:sz w:val="22"/>
          <w:szCs w:val="22"/>
        </w:rPr>
        <w:t xml:space="preserve">Planowane </w:t>
      </w:r>
      <w:r w:rsidR="00BA20BD" w:rsidRPr="00890249">
        <w:rPr>
          <w:rFonts w:cstheme="minorHAnsi"/>
          <w:sz w:val="22"/>
          <w:szCs w:val="22"/>
        </w:rPr>
        <w:t>typy przedsięwzięć:</w:t>
      </w:r>
      <w:r w:rsidRPr="00890249">
        <w:rPr>
          <w:rFonts w:cstheme="minorHAnsi"/>
          <w:sz w:val="22"/>
          <w:szCs w:val="22"/>
        </w:rPr>
        <w:t xml:space="preserve"> </w:t>
      </w:r>
    </w:p>
    <w:p w14:paraId="060285A6" w14:textId="12E86BCE" w:rsidR="0093433C" w:rsidRPr="00890249" w:rsidRDefault="00F73930" w:rsidP="009F296A">
      <w:pPr>
        <w:pStyle w:val="Lista3"/>
        <w:numPr>
          <w:ilvl w:val="0"/>
          <w:numId w:val="138"/>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w:t>
      </w:r>
      <w:r w:rsidR="00BA20BD" w:rsidRPr="00890249">
        <w:rPr>
          <w:rFonts w:asciiTheme="minorHAnsi" w:hAnsiTheme="minorHAnsi" w:cstheme="minorHAnsi"/>
          <w:sz w:val="22"/>
          <w:szCs w:val="22"/>
          <w:lang w:eastAsia="en-US" w:bidi="ar-SA"/>
        </w:rPr>
        <w:t xml:space="preserve">nwestycje w infrastrukturę i wyposażenie podmiotów świadczących usługi społeczne dla osób starszych i z niepełnosprawnościami (dzienne domy pomocy społecznej, dzienne domy pobytu, rodzinne domy pomocy, mieszkania </w:t>
      </w:r>
      <w:r w:rsidR="00F92A9A">
        <w:rPr>
          <w:rFonts w:asciiTheme="minorHAnsi" w:hAnsiTheme="minorHAnsi" w:cstheme="minorHAnsi"/>
          <w:sz w:val="22"/>
          <w:szCs w:val="22"/>
          <w:lang w:eastAsia="en-US" w:bidi="ar-SA"/>
        </w:rPr>
        <w:t>treningowe</w:t>
      </w:r>
      <w:r w:rsidR="00F92A9A" w:rsidRPr="00890249">
        <w:rPr>
          <w:rFonts w:asciiTheme="minorHAnsi" w:hAnsiTheme="minorHAnsi" w:cstheme="minorHAnsi"/>
          <w:sz w:val="22"/>
          <w:szCs w:val="22"/>
          <w:lang w:eastAsia="en-US" w:bidi="ar-SA"/>
        </w:rPr>
        <w:t xml:space="preserve"> </w:t>
      </w:r>
      <w:r w:rsidR="00BA20BD" w:rsidRPr="00890249">
        <w:rPr>
          <w:rFonts w:asciiTheme="minorHAnsi" w:hAnsiTheme="minorHAnsi" w:cstheme="minorHAnsi"/>
          <w:sz w:val="22"/>
          <w:szCs w:val="22"/>
          <w:lang w:eastAsia="en-US" w:bidi="ar-SA"/>
        </w:rPr>
        <w:t>i wspomagane)</w:t>
      </w:r>
      <w:r w:rsidR="008263A0" w:rsidRPr="00890249">
        <w:rPr>
          <w:rFonts w:asciiTheme="minorHAnsi" w:hAnsiTheme="minorHAnsi" w:cstheme="minorHAnsi"/>
          <w:sz w:val="22"/>
          <w:szCs w:val="22"/>
          <w:lang w:eastAsia="en-US" w:bidi="ar-SA"/>
        </w:rPr>
        <w:t>.</w:t>
      </w:r>
    </w:p>
    <w:p w14:paraId="5802EA07" w14:textId="7D8B8506" w:rsidR="0093433C" w:rsidRPr="00890249" w:rsidRDefault="00F73930" w:rsidP="009F296A">
      <w:pPr>
        <w:pStyle w:val="Lista4"/>
        <w:numPr>
          <w:ilvl w:val="0"/>
          <w:numId w:val="138"/>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lastRenderedPageBreak/>
        <w:t>I</w:t>
      </w:r>
      <w:r w:rsidR="00BA20BD" w:rsidRPr="00890249">
        <w:rPr>
          <w:rFonts w:asciiTheme="minorHAnsi" w:hAnsiTheme="minorHAnsi" w:cstheme="minorHAnsi"/>
          <w:sz w:val="22"/>
          <w:szCs w:val="22"/>
          <w:lang w:eastAsia="en-US" w:bidi="ar-SA"/>
        </w:rPr>
        <w:t xml:space="preserve">nwestycje w infrastrukturę społeczną powiązaną z procesem integracji społeczno-zawodowej, w tym m.in. </w:t>
      </w:r>
      <w:r w:rsidR="00204EB2" w:rsidRPr="00890249">
        <w:rPr>
          <w:rFonts w:asciiTheme="minorHAnsi" w:hAnsiTheme="minorHAnsi" w:cstheme="minorHAnsi"/>
          <w:sz w:val="22"/>
          <w:szCs w:val="22"/>
          <w:lang w:eastAsia="en-US" w:bidi="ar-SA"/>
        </w:rPr>
        <w:t>WTZ</w:t>
      </w:r>
      <w:r w:rsidR="00BA20BD" w:rsidRPr="00890249">
        <w:rPr>
          <w:rFonts w:asciiTheme="minorHAnsi" w:hAnsiTheme="minorHAnsi" w:cstheme="minorHAnsi"/>
          <w:sz w:val="22"/>
          <w:szCs w:val="22"/>
          <w:lang w:eastAsia="en-US" w:bidi="ar-SA"/>
        </w:rPr>
        <w:t xml:space="preserve"> oraz </w:t>
      </w:r>
      <w:r w:rsidR="00204EB2" w:rsidRPr="00890249">
        <w:rPr>
          <w:rFonts w:asciiTheme="minorHAnsi" w:hAnsiTheme="minorHAnsi" w:cstheme="minorHAnsi"/>
          <w:sz w:val="22"/>
          <w:szCs w:val="22"/>
          <w:lang w:eastAsia="en-US" w:bidi="ar-SA"/>
        </w:rPr>
        <w:t>ZAZ</w:t>
      </w:r>
      <w:r w:rsidR="008263A0" w:rsidRPr="00890249">
        <w:rPr>
          <w:rFonts w:asciiTheme="minorHAnsi" w:hAnsiTheme="minorHAnsi" w:cstheme="minorHAnsi"/>
          <w:sz w:val="22"/>
          <w:szCs w:val="22"/>
          <w:lang w:eastAsia="en-US" w:bidi="ar-SA"/>
        </w:rPr>
        <w:t>.</w:t>
      </w:r>
    </w:p>
    <w:p w14:paraId="55E07E9A" w14:textId="0ED79DC2" w:rsidR="0093433C" w:rsidRPr="00890249" w:rsidRDefault="00F73930" w:rsidP="009F296A">
      <w:pPr>
        <w:pStyle w:val="Lista5"/>
        <w:numPr>
          <w:ilvl w:val="0"/>
          <w:numId w:val="138"/>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w:t>
      </w:r>
      <w:r w:rsidR="00BA20BD" w:rsidRPr="00890249">
        <w:rPr>
          <w:rFonts w:asciiTheme="minorHAnsi" w:hAnsiTheme="minorHAnsi" w:cstheme="minorHAnsi"/>
          <w:sz w:val="22"/>
          <w:szCs w:val="22"/>
          <w:lang w:eastAsia="en-US" w:bidi="ar-SA"/>
        </w:rPr>
        <w:t xml:space="preserve">nwestycje w infrastrukturę i wyposażenie </w:t>
      </w:r>
      <w:r w:rsidR="00D85360" w:rsidRPr="00890249">
        <w:rPr>
          <w:rFonts w:asciiTheme="minorHAnsi" w:hAnsiTheme="minorHAnsi" w:cstheme="minorHAnsi"/>
          <w:sz w:val="22"/>
          <w:szCs w:val="22"/>
          <w:lang w:eastAsia="en-US" w:bidi="ar-SA"/>
        </w:rPr>
        <w:t>CUS</w:t>
      </w:r>
      <w:r w:rsidR="00445F4E">
        <w:rPr>
          <w:rFonts w:asciiTheme="minorHAnsi" w:hAnsiTheme="minorHAnsi" w:cstheme="minorHAnsi"/>
          <w:sz w:val="22"/>
          <w:szCs w:val="22"/>
          <w:lang w:eastAsia="en-US" w:bidi="ar-SA"/>
        </w:rPr>
        <w:t xml:space="preserve"> wspierające rozwój usług społecznych celem komplementarności interwencji z EFS+</w:t>
      </w:r>
      <w:r w:rsidR="008263A0" w:rsidRPr="00890249">
        <w:rPr>
          <w:rFonts w:asciiTheme="minorHAnsi" w:hAnsiTheme="minorHAnsi" w:cstheme="minorHAnsi"/>
          <w:sz w:val="22"/>
          <w:szCs w:val="22"/>
          <w:lang w:eastAsia="en-US" w:bidi="ar-SA"/>
        </w:rPr>
        <w:t>.</w:t>
      </w:r>
    </w:p>
    <w:p w14:paraId="4850722E" w14:textId="01536E78" w:rsidR="00AF0347" w:rsidRPr="00890249" w:rsidRDefault="00AF0347" w:rsidP="009F296A">
      <w:pPr>
        <w:pStyle w:val="Akapitzlist"/>
        <w:numPr>
          <w:ilvl w:val="0"/>
          <w:numId w:val="138"/>
        </w:numPr>
        <w:rPr>
          <w:rFonts w:asciiTheme="minorHAnsi" w:hAnsiTheme="minorHAnsi" w:cstheme="minorHAnsi"/>
          <w:noProof/>
          <w:sz w:val="22"/>
          <w:szCs w:val="22"/>
        </w:rPr>
      </w:pPr>
      <w:r w:rsidRPr="00890249">
        <w:rPr>
          <w:rFonts w:asciiTheme="minorHAnsi" w:hAnsiTheme="minorHAnsi" w:cstheme="minorHAnsi"/>
          <w:noProof/>
          <w:sz w:val="22"/>
          <w:szCs w:val="22"/>
        </w:rPr>
        <w:t>Rozwój infrastruktury dla usług zdeinstytucjonalizowanych</w:t>
      </w:r>
      <w:r w:rsidR="008263A0" w:rsidRPr="00890249">
        <w:rPr>
          <w:rFonts w:asciiTheme="minorHAnsi" w:hAnsiTheme="minorHAnsi" w:cstheme="minorHAnsi"/>
          <w:noProof/>
          <w:sz w:val="22"/>
          <w:szCs w:val="22"/>
        </w:rPr>
        <w:t>.</w:t>
      </w:r>
    </w:p>
    <w:p w14:paraId="7ABA3727" w14:textId="54CB8F6F" w:rsidR="0093433C" w:rsidRPr="00890249" w:rsidRDefault="00F73930" w:rsidP="009F296A">
      <w:pPr>
        <w:pStyle w:val="Lista5"/>
        <w:numPr>
          <w:ilvl w:val="0"/>
          <w:numId w:val="138"/>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w:t>
      </w:r>
      <w:r w:rsidR="00BA20BD" w:rsidRPr="00890249">
        <w:rPr>
          <w:rFonts w:asciiTheme="minorHAnsi" w:hAnsiTheme="minorHAnsi" w:cstheme="minorHAnsi"/>
          <w:sz w:val="22"/>
          <w:szCs w:val="22"/>
          <w:lang w:eastAsia="en-US" w:bidi="ar-SA"/>
        </w:rPr>
        <w:t>nwestycje w infrastrukturę i wyposażenie podmiotów świadczących rodzicielstwo zastępcze zawodowe, w tym rodzinnych domów dziecka</w:t>
      </w:r>
      <w:r w:rsidR="008263A0" w:rsidRPr="00890249">
        <w:rPr>
          <w:rFonts w:asciiTheme="minorHAnsi" w:hAnsiTheme="minorHAnsi" w:cstheme="minorHAnsi"/>
          <w:sz w:val="22"/>
          <w:szCs w:val="22"/>
          <w:lang w:eastAsia="en-US" w:bidi="ar-SA"/>
        </w:rPr>
        <w:t>.</w:t>
      </w:r>
    </w:p>
    <w:p w14:paraId="1DFBC804" w14:textId="797C72CF" w:rsidR="0093433C" w:rsidRPr="00890249" w:rsidRDefault="00F73930" w:rsidP="009F296A">
      <w:pPr>
        <w:pStyle w:val="Lista5"/>
        <w:numPr>
          <w:ilvl w:val="0"/>
          <w:numId w:val="138"/>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w:t>
      </w:r>
      <w:r w:rsidR="00BA20BD" w:rsidRPr="00890249">
        <w:rPr>
          <w:rFonts w:asciiTheme="minorHAnsi" w:hAnsiTheme="minorHAnsi" w:cstheme="minorHAnsi"/>
          <w:sz w:val="22"/>
          <w:szCs w:val="22"/>
          <w:lang w:eastAsia="en-US" w:bidi="ar-SA"/>
        </w:rPr>
        <w:t xml:space="preserve">nwestycje w mieszkania </w:t>
      </w:r>
      <w:r w:rsidR="00F92A9A">
        <w:rPr>
          <w:rFonts w:asciiTheme="minorHAnsi" w:hAnsiTheme="minorHAnsi" w:cstheme="minorHAnsi"/>
          <w:sz w:val="22"/>
          <w:szCs w:val="22"/>
          <w:lang w:eastAsia="en-US" w:bidi="ar-SA"/>
        </w:rPr>
        <w:t>treningowe</w:t>
      </w:r>
      <w:r w:rsidR="00BA20BD" w:rsidRPr="00890249">
        <w:rPr>
          <w:rFonts w:asciiTheme="minorHAnsi" w:hAnsiTheme="minorHAnsi" w:cstheme="minorHAnsi"/>
          <w:sz w:val="22"/>
          <w:szCs w:val="22"/>
          <w:lang w:eastAsia="en-US" w:bidi="ar-SA"/>
        </w:rPr>
        <w:t xml:space="preserve">/wspomagane dla młodzieży opuszczającej </w:t>
      </w:r>
      <w:r w:rsidR="00A301D2" w:rsidRPr="00890249">
        <w:rPr>
          <w:rFonts w:asciiTheme="minorHAnsi" w:hAnsiTheme="minorHAnsi" w:cstheme="minorHAnsi"/>
          <w:sz w:val="22"/>
          <w:szCs w:val="22"/>
          <w:lang w:eastAsia="en-US" w:bidi="ar-SA"/>
        </w:rPr>
        <w:t xml:space="preserve">pieczę </w:t>
      </w:r>
      <w:r w:rsidR="00BA20BD" w:rsidRPr="00890249">
        <w:rPr>
          <w:rFonts w:asciiTheme="minorHAnsi" w:hAnsiTheme="minorHAnsi" w:cstheme="minorHAnsi"/>
          <w:sz w:val="22"/>
          <w:szCs w:val="22"/>
          <w:lang w:eastAsia="en-US" w:bidi="ar-SA"/>
        </w:rPr>
        <w:t>zastępczą</w:t>
      </w:r>
      <w:r w:rsidR="00A301D2" w:rsidRPr="00890249">
        <w:rPr>
          <w:rFonts w:asciiTheme="minorHAnsi" w:hAnsiTheme="minorHAnsi" w:cstheme="minorHAnsi"/>
          <w:sz w:val="22"/>
          <w:szCs w:val="22"/>
          <w:lang w:eastAsia="en-US" w:bidi="ar-SA"/>
        </w:rPr>
        <w:t xml:space="preserve"> i inne placówki o charakterze opiekuńczo-wychowawczym.</w:t>
      </w:r>
    </w:p>
    <w:p w14:paraId="0F4BAD20" w14:textId="5800091F" w:rsidR="0093433C" w:rsidRPr="00890249" w:rsidRDefault="00F73930" w:rsidP="009F296A">
      <w:pPr>
        <w:pStyle w:val="Lista5"/>
        <w:numPr>
          <w:ilvl w:val="0"/>
          <w:numId w:val="138"/>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w:t>
      </w:r>
      <w:r w:rsidR="00BA20BD" w:rsidRPr="00890249">
        <w:rPr>
          <w:rFonts w:asciiTheme="minorHAnsi" w:hAnsiTheme="minorHAnsi" w:cstheme="minorHAnsi"/>
          <w:sz w:val="22"/>
          <w:szCs w:val="22"/>
          <w:lang w:eastAsia="en-US" w:bidi="ar-SA"/>
        </w:rPr>
        <w:t>rzekształcenie ośrodków wsparcia dla osób w kryzysie bezdomności oraz innych osób zagrożonych ubóstwem lub wykluczeniem społecznym w zasób mieszkaniowy</w:t>
      </w:r>
      <w:r w:rsidR="008263A0" w:rsidRPr="00890249">
        <w:rPr>
          <w:rFonts w:asciiTheme="minorHAnsi" w:hAnsiTheme="minorHAnsi" w:cstheme="minorHAnsi"/>
          <w:sz w:val="22"/>
          <w:szCs w:val="22"/>
          <w:lang w:eastAsia="en-US" w:bidi="ar-SA"/>
        </w:rPr>
        <w:t>.</w:t>
      </w:r>
    </w:p>
    <w:p w14:paraId="7E8C020D" w14:textId="48207E31" w:rsidR="0093433C" w:rsidRPr="00890249" w:rsidRDefault="00F73930" w:rsidP="009F296A">
      <w:pPr>
        <w:pStyle w:val="Lista5"/>
        <w:numPr>
          <w:ilvl w:val="0"/>
          <w:numId w:val="138"/>
        </w:numPr>
        <w:rPr>
          <w:rFonts w:asciiTheme="minorHAnsi" w:hAnsiTheme="minorHAnsi" w:cstheme="minorHAnsi"/>
          <w:noProof/>
          <w:sz w:val="22"/>
          <w:szCs w:val="22"/>
        </w:rPr>
      </w:pPr>
      <w:r w:rsidRPr="00890249">
        <w:rPr>
          <w:rFonts w:asciiTheme="minorHAnsi" w:hAnsiTheme="minorHAnsi" w:cstheme="minorHAnsi"/>
          <w:sz w:val="22"/>
          <w:szCs w:val="22"/>
          <w:lang w:eastAsia="en-US" w:bidi="ar-SA"/>
        </w:rPr>
        <w:t>I</w:t>
      </w:r>
      <w:r w:rsidR="00BA20BD" w:rsidRPr="00890249">
        <w:rPr>
          <w:rFonts w:asciiTheme="minorHAnsi" w:hAnsiTheme="minorHAnsi" w:cstheme="minorHAnsi"/>
          <w:sz w:val="22"/>
          <w:szCs w:val="22"/>
          <w:lang w:eastAsia="en-US" w:bidi="ar-SA"/>
        </w:rPr>
        <w:t xml:space="preserve">nwestycje w </w:t>
      </w:r>
      <w:r w:rsidR="00A301D2" w:rsidRPr="00890249">
        <w:rPr>
          <w:rFonts w:asciiTheme="minorHAnsi" w:hAnsiTheme="minorHAnsi" w:cstheme="minorHAnsi"/>
          <w:sz w:val="22"/>
          <w:szCs w:val="22"/>
          <w:lang w:eastAsia="en-US" w:bidi="ar-SA"/>
        </w:rPr>
        <w:t xml:space="preserve">infrastrukturę mieszkalną, w tym </w:t>
      </w:r>
      <w:r w:rsidR="00BA20BD" w:rsidRPr="00890249">
        <w:rPr>
          <w:rFonts w:asciiTheme="minorHAnsi" w:hAnsiTheme="minorHAnsi" w:cstheme="minorHAnsi"/>
          <w:sz w:val="22"/>
          <w:szCs w:val="22"/>
          <w:lang w:eastAsia="en-US" w:bidi="ar-SA"/>
        </w:rPr>
        <w:t>lokale w ramach najmu socjalnego</w:t>
      </w:r>
      <w:r w:rsidR="00A301D2" w:rsidRPr="00890249">
        <w:rPr>
          <w:rFonts w:asciiTheme="minorHAnsi" w:hAnsiTheme="minorHAnsi" w:cstheme="minorHAnsi"/>
          <w:sz w:val="22"/>
          <w:szCs w:val="22"/>
          <w:lang w:eastAsia="en-US" w:bidi="ar-SA"/>
        </w:rPr>
        <w:t xml:space="preserve"> (np. </w:t>
      </w:r>
      <w:r w:rsidR="00BA20BD" w:rsidRPr="00890249">
        <w:rPr>
          <w:rFonts w:asciiTheme="minorHAnsi" w:hAnsiTheme="minorHAnsi" w:cstheme="minorHAnsi"/>
          <w:sz w:val="22"/>
          <w:szCs w:val="22"/>
          <w:lang w:eastAsia="en-US" w:bidi="ar-SA"/>
        </w:rPr>
        <w:t>oferowane przez społeczne agencje najmu</w:t>
      </w:r>
      <w:r w:rsidR="00A301D2" w:rsidRPr="00890249">
        <w:rPr>
          <w:rFonts w:asciiTheme="minorHAnsi" w:hAnsiTheme="minorHAnsi" w:cstheme="minorHAnsi"/>
          <w:sz w:val="22"/>
          <w:szCs w:val="22"/>
          <w:lang w:eastAsia="en-US" w:bidi="ar-SA"/>
        </w:rPr>
        <w:t>)</w:t>
      </w:r>
      <w:r w:rsidR="00BA20BD" w:rsidRPr="00890249">
        <w:rPr>
          <w:rFonts w:asciiTheme="minorHAnsi" w:hAnsiTheme="minorHAnsi" w:cstheme="minorHAnsi"/>
          <w:sz w:val="22"/>
          <w:szCs w:val="22"/>
          <w:lang w:eastAsia="en-US" w:bidi="ar-SA"/>
        </w:rPr>
        <w:t>, przeznaczon</w:t>
      </w:r>
      <w:r w:rsidR="00A301D2" w:rsidRPr="00890249">
        <w:rPr>
          <w:rFonts w:asciiTheme="minorHAnsi" w:hAnsiTheme="minorHAnsi" w:cstheme="minorHAnsi"/>
          <w:sz w:val="22"/>
          <w:szCs w:val="22"/>
          <w:lang w:eastAsia="en-US" w:bidi="ar-SA"/>
        </w:rPr>
        <w:t>ą</w:t>
      </w:r>
      <w:r w:rsidR="00BA20BD" w:rsidRPr="00890249">
        <w:rPr>
          <w:rFonts w:asciiTheme="minorHAnsi" w:hAnsiTheme="minorHAnsi" w:cstheme="minorHAnsi"/>
          <w:sz w:val="22"/>
          <w:szCs w:val="22"/>
          <w:lang w:eastAsia="en-US" w:bidi="ar-SA"/>
        </w:rPr>
        <w:t xml:space="preserve"> zwłaszcza dla osób bezdomnych, rodzin w kryzysie (objętych interwencją kryzysową) oraz osób ze społeczności romskiej</w:t>
      </w:r>
      <w:r w:rsidR="008263A0" w:rsidRPr="00890249">
        <w:rPr>
          <w:rFonts w:asciiTheme="minorHAnsi" w:hAnsiTheme="minorHAnsi" w:cstheme="minorHAnsi"/>
          <w:noProof/>
          <w:sz w:val="22"/>
          <w:szCs w:val="22"/>
        </w:rPr>
        <w:t>.</w:t>
      </w:r>
    </w:p>
    <w:p w14:paraId="03DAFB26" w14:textId="7168DFF7" w:rsidR="00B72154" w:rsidRPr="00890249" w:rsidRDefault="00F73930" w:rsidP="009F296A">
      <w:pPr>
        <w:pStyle w:val="Akapitzlist"/>
        <w:numPr>
          <w:ilvl w:val="0"/>
          <w:numId w:val="138"/>
        </w:numPr>
        <w:rPr>
          <w:rFonts w:asciiTheme="minorHAnsi" w:hAnsiTheme="minorHAnsi" w:cstheme="minorHAnsi"/>
          <w:noProof/>
          <w:sz w:val="22"/>
          <w:szCs w:val="22"/>
        </w:rPr>
      </w:pPr>
      <w:r w:rsidRPr="00890249">
        <w:rPr>
          <w:rFonts w:asciiTheme="minorHAnsi" w:hAnsiTheme="minorHAnsi" w:cstheme="minorHAnsi"/>
          <w:noProof/>
          <w:sz w:val="22"/>
          <w:szCs w:val="22"/>
        </w:rPr>
        <w:t>I</w:t>
      </w:r>
      <w:r w:rsidR="73864F74" w:rsidRPr="00890249">
        <w:rPr>
          <w:rFonts w:asciiTheme="minorHAnsi" w:hAnsiTheme="minorHAnsi" w:cstheme="minorHAnsi"/>
          <w:noProof/>
          <w:sz w:val="22"/>
          <w:szCs w:val="22"/>
        </w:rPr>
        <w:t>nwestycje w infrastrukturę służącą m.in. wzmacnianiu potencjału organizacji społeczeństwa obywatelskiego oraz realizacji usług społecznych, w tym z zakresu prze</w:t>
      </w:r>
      <w:r w:rsidR="003F4145" w:rsidRPr="00890249">
        <w:rPr>
          <w:rFonts w:asciiTheme="minorHAnsi" w:hAnsiTheme="minorHAnsi" w:cstheme="minorHAnsi"/>
          <w:noProof/>
          <w:sz w:val="22"/>
          <w:szCs w:val="22"/>
        </w:rPr>
        <w:t>ci</w:t>
      </w:r>
      <w:r w:rsidR="73864F74" w:rsidRPr="00890249">
        <w:rPr>
          <w:rFonts w:asciiTheme="minorHAnsi" w:hAnsiTheme="minorHAnsi" w:cstheme="minorHAnsi"/>
          <w:noProof/>
          <w:sz w:val="22"/>
          <w:szCs w:val="22"/>
        </w:rPr>
        <w:t>wdziałania uzależnieniom (Opolski Inkubator Społeczny).</w:t>
      </w:r>
    </w:p>
    <w:p w14:paraId="5FBDE8BC" w14:textId="581C7E0B" w:rsidR="0093433C" w:rsidRPr="00890249" w:rsidRDefault="0069712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BA20BD" w:rsidRPr="00890249">
        <w:rPr>
          <w:rFonts w:asciiTheme="minorHAnsi" w:hAnsiTheme="minorHAnsi" w:cstheme="minorHAnsi"/>
          <w:noProof/>
          <w:sz w:val="22"/>
          <w:szCs w:val="22"/>
        </w:rPr>
        <w:t xml:space="preserve">są zgodne z zasadą DNSH. Ze względu na ich charakter przyjmuje się, że nie mają negatywnego wpływu na środowisko. </w:t>
      </w:r>
      <w:r w:rsidR="00D85360" w:rsidRPr="00890249">
        <w:rPr>
          <w:rFonts w:asciiTheme="minorHAnsi" w:hAnsiTheme="minorHAnsi" w:cstheme="minorHAnsi"/>
          <w:noProof/>
          <w:sz w:val="22"/>
          <w:szCs w:val="22"/>
        </w:rPr>
        <w:t>W ramach Programu nie będ</w:t>
      </w:r>
      <w:r w:rsidR="00A301D2" w:rsidRPr="00890249">
        <w:rPr>
          <w:rFonts w:asciiTheme="minorHAnsi" w:hAnsiTheme="minorHAnsi" w:cstheme="minorHAnsi"/>
          <w:noProof/>
          <w:sz w:val="22"/>
          <w:szCs w:val="22"/>
        </w:rPr>
        <w:t>zie</w:t>
      </w:r>
      <w:r w:rsidR="00D85360" w:rsidRPr="00890249">
        <w:rPr>
          <w:rFonts w:asciiTheme="minorHAnsi" w:hAnsiTheme="minorHAnsi" w:cstheme="minorHAnsi"/>
          <w:noProof/>
          <w:sz w:val="22"/>
          <w:szCs w:val="22"/>
        </w:rPr>
        <w:t xml:space="preserve"> finansowan</w:t>
      </w:r>
      <w:r w:rsidR="00A301D2" w:rsidRPr="00890249">
        <w:rPr>
          <w:rFonts w:asciiTheme="minorHAnsi" w:hAnsiTheme="minorHAnsi" w:cstheme="minorHAnsi"/>
          <w:noProof/>
          <w:sz w:val="22"/>
          <w:szCs w:val="22"/>
        </w:rPr>
        <w:t>a infrastruktura</w:t>
      </w:r>
      <w:r w:rsidR="00D85360" w:rsidRPr="00890249">
        <w:rPr>
          <w:rFonts w:asciiTheme="minorHAnsi" w:hAnsiTheme="minorHAnsi" w:cstheme="minorHAnsi"/>
          <w:noProof/>
          <w:sz w:val="22"/>
          <w:szCs w:val="22"/>
        </w:rPr>
        <w:t xml:space="preserve"> </w:t>
      </w:r>
      <w:r w:rsidR="00A301D2" w:rsidRPr="00890249">
        <w:rPr>
          <w:rFonts w:asciiTheme="minorHAnsi" w:hAnsiTheme="minorHAnsi" w:cstheme="minorHAnsi"/>
          <w:noProof/>
          <w:sz w:val="22"/>
          <w:szCs w:val="22"/>
        </w:rPr>
        <w:t>placówek świadczących usługi w formie instytucjonalnej</w:t>
      </w:r>
      <w:r w:rsidR="009C7512" w:rsidRPr="00890249">
        <w:rPr>
          <w:rFonts w:asciiTheme="minorHAnsi" w:hAnsiTheme="minorHAnsi" w:cstheme="minorHAnsi"/>
          <w:noProof/>
          <w:sz w:val="22"/>
          <w:szCs w:val="22"/>
        </w:rPr>
        <w:t xml:space="preserve"> oraz</w:t>
      </w:r>
      <w:r w:rsidR="00D85360" w:rsidRPr="00890249">
        <w:rPr>
          <w:rFonts w:asciiTheme="minorHAnsi" w:hAnsiTheme="minorHAnsi" w:cstheme="minorHAnsi"/>
          <w:noProof/>
          <w:sz w:val="22"/>
          <w:szCs w:val="22"/>
        </w:rPr>
        <w:t xml:space="preserve"> powodują</w:t>
      </w:r>
      <w:r w:rsidR="009C7512" w:rsidRPr="00890249">
        <w:rPr>
          <w:rFonts w:asciiTheme="minorHAnsi" w:hAnsiTheme="minorHAnsi" w:cstheme="minorHAnsi"/>
          <w:noProof/>
          <w:sz w:val="22"/>
          <w:szCs w:val="22"/>
        </w:rPr>
        <w:t>c</w:t>
      </w:r>
      <w:r w:rsidR="00FA7F88" w:rsidRPr="00890249">
        <w:rPr>
          <w:rFonts w:asciiTheme="minorHAnsi" w:hAnsiTheme="minorHAnsi" w:cstheme="minorHAnsi"/>
          <w:noProof/>
          <w:sz w:val="22"/>
          <w:szCs w:val="22"/>
        </w:rPr>
        <w:t>a</w:t>
      </w:r>
      <w:r w:rsidR="00D85360" w:rsidRPr="00890249">
        <w:rPr>
          <w:rFonts w:asciiTheme="minorHAnsi" w:hAnsiTheme="minorHAnsi" w:cstheme="minorHAnsi"/>
          <w:noProof/>
          <w:sz w:val="22"/>
          <w:szCs w:val="22"/>
        </w:rPr>
        <w:t xml:space="preserve"> segregację </w:t>
      </w:r>
      <w:r w:rsidR="00F74288" w:rsidRPr="00890249">
        <w:rPr>
          <w:rFonts w:asciiTheme="minorHAnsi" w:hAnsiTheme="minorHAnsi" w:cstheme="minorHAnsi"/>
          <w:noProof/>
          <w:sz w:val="22"/>
          <w:szCs w:val="22"/>
        </w:rPr>
        <w:t xml:space="preserve">społeczną i </w:t>
      </w:r>
      <w:r w:rsidR="00D85360" w:rsidRPr="00890249">
        <w:rPr>
          <w:rFonts w:asciiTheme="minorHAnsi" w:hAnsiTheme="minorHAnsi" w:cstheme="minorHAnsi"/>
          <w:noProof/>
          <w:sz w:val="22"/>
          <w:szCs w:val="22"/>
        </w:rPr>
        <w:t xml:space="preserve">przestrzenną </w:t>
      </w:r>
      <w:r w:rsidR="00A301D2" w:rsidRPr="00890249">
        <w:rPr>
          <w:rFonts w:asciiTheme="minorHAnsi" w:hAnsiTheme="minorHAnsi" w:cstheme="minorHAnsi"/>
          <w:noProof/>
          <w:sz w:val="22"/>
          <w:szCs w:val="22"/>
        </w:rPr>
        <w:t>grup</w:t>
      </w:r>
      <w:r w:rsidR="00D85360" w:rsidRPr="00890249">
        <w:rPr>
          <w:rFonts w:asciiTheme="minorHAnsi" w:hAnsiTheme="minorHAnsi" w:cstheme="minorHAnsi"/>
          <w:noProof/>
          <w:sz w:val="22"/>
          <w:szCs w:val="22"/>
        </w:rPr>
        <w:t xml:space="preserve"> zagro</w:t>
      </w:r>
      <w:r w:rsidR="009C7512" w:rsidRPr="00890249">
        <w:rPr>
          <w:rFonts w:asciiTheme="minorHAnsi" w:hAnsiTheme="minorHAnsi" w:cstheme="minorHAnsi"/>
          <w:noProof/>
          <w:sz w:val="22"/>
          <w:szCs w:val="22"/>
        </w:rPr>
        <w:t>ż</w:t>
      </w:r>
      <w:r w:rsidR="00D85360" w:rsidRPr="00890249">
        <w:rPr>
          <w:rFonts w:asciiTheme="minorHAnsi" w:hAnsiTheme="minorHAnsi" w:cstheme="minorHAnsi"/>
          <w:noProof/>
          <w:sz w:val="22"/>
          <w:szCs w:val="22"/>
        </w:rPr>
        <w:t>onych ubóstwem i wykluczeniem społecznym.</w:t>
      </w:r>
      <w:r w:rsidR="009C7512" w:rsidRPr="00890249">
        <w:rPr>
          <w:rFonts w:asciiTheme="minorHAnsi" w:hAnsiTheme="minorHAnsi" w:cstheme="minorHAnsi"/>
          <w:sz w:val="22"/>
          <w:szCs w:val="22"/>
        </w:rPr>
        <w:t xml:space="preserve"> </w:t>
      </w:r>
      <w:r w:rsidR="009C7512" w:rsidRPr="00890249">
        <w:rPr>
          <w:rFonts w:asciiTheme="minorHAnsi" w:hAnsiTheme="minorHAnsi" w:cstheme="minorHAnsi"/>
          <w:noProof/>
          <w:sz w:val="22"/>
          <w:szCs w:val="22"/>
        </w:rPr>
        <w:t xml:space="preserve">Wsparcie </w:t>
      </w:r>
      <w:r w:rsidR="008263A0" w:rsidRPr="00890249">
        <w:rPr>
          <w:rFonts w:asciiTheme="minorHAnsi" w:hAnsiTheme="minorHAnsi" w:cstheme="minorHAnsi"/>
          <w:noProof/>
          <w:sz w:val="22"/>
          <w:szCs w:val="22"/>
        </w:rPr>
        <w:t>OzN</w:t>
      </w:r>
      <w:r w:rsidR="009C7512" w:rsidRPr="00890249">
        <w:rPr>
          <w:rFonts w:asciiTheme="minorHAnsi" w:hAnsiTheme="minorHAnsi" w:cstheme="minorHAnsi"/>
          <w:noProof/>
          <w:sz w:val="22"/>
          <w:szCs w:val="22"/>
        </w:rPr>
        <w:t xml:space="preserve"> będzie udzielane zgodnie z Konwencją ONZ o prawach osób niepełnosprawnych.</w:t>
      </w:r>
    </w:p>
    <w:p w14:paraId="00D8406E" w14:textId="77777777" w:rsidR="00EB51EE" w:rsidRPr="00890249" w:rsidRDefault="00EB51EE" w:rsidP="00EB51EE">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Główne grupy docelowe</w:t>
      </w:r>
    </w:p>
    <w:p w14:paraId="36E3CFF1" w14:textId="77777777" w:rsidR="00BA20BD" w:rsidRPr="00890249" w:rsidRDefault="00BA20BD" w:rsidP="009F296A">
      <w:pPr>
        <w:pStyle w:val="Akapitzlist"/>
        <w:numPr>
          <w:ilvl w:val="0"/>
          <w:numId w:val="33"/>
        </w:numPr>
        <w:ind w:left="284" w:hanging="284"/>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osoby zagrożone ubóstwem i wykluczeniem społecznym i otoczenie osób zagrożonych ubóstwem </w:t>
      </w:r>
      <w:r w:rsidRPr="00890249">
        <w:rPr>
          <w:rFonts w:asciiTheme="minorHAnsi" w:hAnsiTheme="minorHAnsi" w:cstheme="minorHAnsi"/>
          <w:noProof/>
          <w:sz w:val="22"/>
          <w:szCs w:val="22"/>
        </w:rPr>
        <w:br/>
        <w:t xml:space="preserve">i wykluczeniem społecznym, w tym zwłaszcza: </w:t>
      </w:r>
    </w:p>
    <w:p w14:paraId="5CAD2225" w14:textId="77777777" w:rsidR="00BA20BD" w:rsidRPr="00890249" w:rsidRDefault="00BA20BD" w:rsidP="009F296A">
      <w:pPr>
        <w:pStyle w:val="Akapitzlist"/>
        <w:numPr>
          <w:ilvl w:val="0"/>
          <w:numId w:val="32"/>
        </w:numPr>
        <w:ind w:left="709" w:hanging="425"/>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dzieci z rodzin przeżywających trudności wychowawcze i pozbawione opieki rodzicielskiej, </w:t>
      </w:r>
    </w:p>
    <w:p w14:paraId="7903DE39" w14:textId="77777777" w:rsidR="00BA20BD" w:rsidRPr="00890249" w:rsidRDefault="00BA20BD" w:rsidP="009F296A">
      <w:pPr>
        <w:pStyle w:val="Akapitzlist"/>
        <w:numPr>
          <w:ilvl w:val="0"/>
          <w:numId w:val="32"/>
        </w:numPr>
        <w:ind w:left="709" w:hanging="425"/>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 xml:space="preserve">osoby opuszczające pieczę zastępczą, </w:t>
      </w:r>
    </w:p>
    <w:p w14:paraId="2471296B" w14:textId="77777777" w:rsidR="00BA20BD" w:rsidRPr="00890249" w:rsidRDefault="00BA20BD" w:rsidP="009F296A">
      <w:pPr>
        <w:pStyle w:val="Akapitzlist"/>
        <w:numPr>
          <w:ilvl w:val="0"/>
          <w:numId w:val="32"/>
        </w:numPr>
        <w:ind w:left="709" w:hanging="425"/>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rodziny objęte interwencją kryzysową,</w:t>
      </w:r>
    </w:p>
    <w:p w14:paraId="244EB953" w14:textId="77777777" w:rsidR="00BA20BD" w:rsidRPr="00890249" w:rsidRDefault="00BA20BD" w:rsidP="009F296A">
      <w:pPr>
        <w:pStyle w:val="Akapitzlist"/>
        <w:numPr>
          <w:ilvl w:val="0"/>
          <w:numId w:val="32"/>
        </w:numPr>
        <w:ind w:left="709" w:hanging="425"/>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osoby potrzebujące wsparcia w codziennym funkcjonowaniu,</w:t>
      </w:r>
    </w:p>
    <w:p w14:paraId="7B287B9E" w14:textId="77777777" w:rsidR="00BA20BD" w:rsidRPr="00890249" w:rsidRDefault="00BA20BD" w:rsidP="009F296A">
      <w:pPr>
        <w:pStyle w:val="Akapitzlist"/>
        <w:numPr>
          <w:ilvl w:val="0"/>
          <w:numId w:val="32"/>
        </w:numPr>
        <w:ind w:left="709" w:hanging="425"/>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osoby bezdomne i zagrożone bezdomnością,</w:t>
      </w:r>
    </w:p>
    <w:p w14:paraId="5B1B4DC3" w14:textId="77777777" w:rsidR="00BA20BD" w:rsidRPr="00890249" w:rsidRDefault="00BA20BD" w:rsidP="009F296A">
      <w:pPr>
        <w:pStyle w:val="Akapitzlist"/>
        <w:numPr>
          <w:ilvl w:val="0"/>
          <w:numId w:val="32"/>
        </w:numPr>
        <w:ind w:left="709" w:hanging="425"/>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osoby uzależnione od substancji psychoaktywnych.</w:t>
      </w:r>
    </w:p>
    <w:p w14:paraId="378428DB" w14:textId="77777777" w:rsidR="00EB51EE" w:rsidRPr="00890249" w:rsidRDefault="00EB51EE" w:rsidP="00EB51EE">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4BE3D5A4" w14:textId="77777777" w:rsidR="0093433C" w:rsidRPr="00890249" w:rsidRDefault="7E651917"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Dyskryminacja zarówno bezpośrednia, jak i pośrednia ze względu na płeć, pochodzenie rasowe lub etniczne, religię lub światopogląd, niepełnosprawność, wiek, orientację oraz tożsamość seksualną, może skutkować stresem mniejszościowym, poczuciem alienacji, izolacją społeczną, brakiem akceptacji wśród współpracowników i społeczności oraz brakiem wsparcia społecznego. </w:t>
      </w:r>
    </w:p>
    <w:p w14:paraId="190451F0" w14:textId="695A05A6" w:rsidR="0093433C" w:rsidRPr="00890249" w:rsidRDefault="007F1096" w:rsidP="00890249">
      <w:pPr>
        <w:pStyle w:val="Tekstpodstawowy"/>
        <w:rPr>
          <w:rFonts w:asciiTheme="minorHAnsi" w:hAnsiTheme="minorHAnsi" w:cstheme="minorHAnsi"/>
          <w:lang w:eastAsia="en-US" w:bidi="ar-SA"/>
        </w:rPr>
      </w:pPr>
      <w:r w:rsidRPr="00890249">
        <w:rPr>
          <w:rFonts w:asciiTheme="minorHAnsi" w:hAnsiTheme="minorHAnsi" w:cstheme="minorHAnsi"/>
          <w:sz w:val="22"/>
          <w:lang w:eastAsia="en-US" w:bidi="ar-SA"/>
        </w:rPr>
        <w:t xml:space="preserve">Interwencja przyczyni się do zwiększenia równego dostępu do wysokiej jakości usług, ze szczególnym uwzględnieniem grup </w:t>
      </w:r>
      <w:r w:rsidRPr="00890249">
        <w:rPr>
          <w:rFonts w:asciiTheme="minorHAnsi" w:hAnsiTheme="minorHAnsi" w:cstheme="minorHAnsi"/>
          <w:sz w:val="22"/>
          <w:lang w:eastAsia="en-US"/>
        </w:rPr>
        <w:t>defaworyzowanych</w:t>
      </w:r>
      <w:r w:rsidR="00220D05" w:rsidRPr="00890249">
        <w:rPr>
          <w:rFonts w:asciiTheme="minorHAnsi" w:hAnsiTheme="minorHAnsi" w:cstheme="minorHAnsi"/>
          <w:sz w:val="22"/>
          <w:lang w:eastAsia="en-US"/>
        </w:rPr>
        <w:t xml:space="preserve"> m.in.</w:t>
      </w:r>
      <w:r w:rsidRPr="00890249">
        <w:rPr>
          <w:rFonts w:asciiTheme="minorHAnsi" w:hAnsiTheme="minorHAnsi" w:cstheme="minorHAnsi"/>
          <w:sz w:val="22"/>
          <w:lang w:eastAsia="en-US"/>
        </w:rPr>
        <w:t xml:space="preserve">: dzieci, osób starszych, </w:t>
      </w:r>
      <w:r w:rsidR="00172BC7">
        <w:rPr>
          <w:rFonts w:asciiTheme="minorHAnsi" w:hAnsiTheme="minorHAnsi" w:cstheme="minorHAnsi"/>
          <w:sz w:val="22"/>
          <w:lang w:eastAsia="en-US"/>
        </w:rPr>
        <w:t>osób z </w:t>
      </w:r>
      <w:r w:rsidR="002B5AB0" w:rsidRPr="00890249">
        <w:rPr>
          <w:rFonts w:asciiTheme="minorHAnsi" w:hAnsiTheme="minorHAnsi" w:cstheme="minorHAnsi"/>
          <w:sz w:val="22"/>
          <w:lang w:eastAsia="en-US"/>
        </w:rPr>
        <w:t>niepełnosprawnościami,</w:t>
      </w:r>
      <w:r w:rsidRPr="00890249">
        <w:rPr>
          <w:rFonts w:asciiTheme="minorHAnsi" w:hAnsiTheme="minorHAnsi" w:cstheme="minorHAnsi"/>
          <w:sz w:val="22"/>
          <w:lang w:eastAsia="en-US"/>
        </w:rPr>
        <w:t xml:space="preserve"> osób wywodzących się z mniejszości etni</w:t>
      </w:r>
      <w:r w:rsidR="00172BC7">
        <w:rPr>
          <w:rFonts w:asciiTheme="minorHAnsi" w:hAnsiTheme="minorHAnsi" w:cstheme="minorHAnsi"/>
          <w:sz w:val="22"/>
          <w:lang w:eastAsia="en-US"/>
        </w:rPr>
        <w:t>cznych. Dzięki dofinansowanej w </w:t>
      </w:r>
      <w:r w:rsidRPr="00890249">
        <w:rPr>
          <w:rFonts w:asciiTheme="minorHAnsi" w:hAnsiTheme="minorHAnsi" w:cstheme="minorHAnsi"/>
          <w:sz w:val="22"/>
          <w:lang w:eastAsia="en-US"/>
        </w:rPr>
        <w:t>ramach projektów infrastrukturze możliwe będzie realizowanie usług społecznych na rzecz grup społecznych, które mają ograniczony dostęp do nich. Przedsięwzięcia będą służyć zapewnieniu równego dostępu do pomocy społecznej poprzez niwelowanie różnic w wymiarze t</w:t>
      </w:r>
      <w:r w:rsidR="00172BC7">
        <w:rPr>
          <w:rFonts w:asciiTheme="minorHAnsi" w:hAnsiTheme="minorHAnsi" w:cstheme="minorHAnsi"/>
          <w:sz w:val="22"/>
          <w:lang w:eastAsia="en-US"/>
        </w:rPr>
        <w:t>erytorialnym, jak i </w:t>
      </w:r>
      <w:r w:rsidRPr="00890249">
        <w:rPr>
          <w:rFonts w:asciiTheme="minorHAnsi" w:hAnsiTheme="minorHAnsi" w:cstheme="minorHAnsi"/>
          <w:sz w:val="22"/>
          <w:lang w:eastAsia="en-US"/>
        </w:rPr>
        <w:t>eliminowanie barier w dostępie do samej infrastruktury</w:t>
      </w:r>
      <w:r w:rsidR="002B5AB0" w:rsidRPr="00890249">
        <w:rPr>
          <w:rFonts w:asciiTheme="minorHAnsi" w:hAnsiTheme="minorHAnsi" w:cstheme="minorHAnsi"/>
          <w:sz w:val="22"/>
          <w:lang w:eastAsia="en-US"/>
        </w:rPr>
        <w:t>, przede wszystkim w odniesieniu do osób ze szczególnymi potrzebami, w tym osób z niepełnosprawnościami i starszych.</w:t>
      </w:r>
    </w:p>
    <w:p w14:paraId="37332E4F" w14:textId="77777777" w:rsidR="00EB51EE" w:rsidRPr="00890249" w:rsidRDefault="00EB51EE" w:rsidP="00EB51EE">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lastRenderedPageBreak/>
        <w:t>Wskazanie konkretnych terytoriów objętych wsparciem, z uwzględnieniem planowanego wykorzystania narzędzi terytorialnych</w:t>
      </w:r>
    </w:p>
    <w:p w14:paraId="38AF87CE" w14:textId="3D0BD805" w:rsidR="0093433C" w:rsidRPr="00890249" w:rsidRDefault="00BA20BD"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Strategia Opolskie 2030 szczególne znaczenie przypisuje obszarom strategicznej interwencji (OSI), tj. tym obszarom funkcjonalnym, które wymagają ukierunkowanej interwencji publicznej lub rozwiązań regulacyjnych, stąd w regionie wyodrębniono 5 OSI: Subregion Aglomeracja Opolska, Subregion Brzeski, Subregion Kędzierzyńsko-Strzelecki, </w:t>
      </w:r>
      <w:r w:rsidR="00FA7F88" w:rsidRPr="00890249">
        <w:rPr>
          <w:rFonts w:asciiTheme="minorHAnsi" w:hAnsiTheme="minorHAnsi" w:cstheme="minorHAnsi"/>
          <w:noProof/>
          <w:sz w:val="22"/>
        </w:rPr>
        <w:t xml:space="preserve">Subregion Południowy, </w:t>
      </w:r>
      <w:r w:rsidRPr="00890249">
        <w:rPr>
          <w:rFonts w:asciiTheme="minorHAnsi" w:hAnsiTheme="minorHAnsi" w:cstheme="minorHAnsi"/>
          <w:noProof/>
          <w:sz w:val="22"/>
        </w:rPr>
        <w:t xml:space="preserve">Subregion Północny. </w:t>
      </w:r>
    </w:p>
    <w:p w14:paraId="46EECB60" w14:textId="0A6B188D" w:rsidR="0093433C" w:rsidRPr="00890249" w:rsidRDefault="00BA20BD"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Istnieje możliwość preferencji dla mieszkańców obszarów strategicznej interwencji, tj. miast średnich tracących funkcje społeczno-gospodarcze oraz </w:t>
      </w:r>
      <w:r w:rsidR="00E01FB0" w:rsidRPr="00890249">
        <w:rPr>
          <w:rFonts w:asciiTheme="minorHAnsi" w:hAnsiTheme="minorHAnsi" w:cstheme="minorHAnsi"/>
          <w:noProof/>
          <w:sz w:val="22"/>
        </w:rPr>
        <w:t xml:space="preserve">obszarów </w:t>
      </w:r>
      <w:r w:rsidRPr="00890249">
        <w:rPr>
          <w:rFonts w:asciiTheme="minorHAnsi" w:hAnsiTheme="minorHAnsi" w:cstheme="minorHAnsi"/>
          <w:noProof/>
          <w:sz w:val="22"/>
        </w:rPr>
        <w:t xml:space="preserve">zagrożonych trwałą marginalizacją, zidentyfikowanych na poziomie krajowym. </w:t>
      </w:r>
    </w:p>
    <w:p w14:paraId="722343B5" w14:textId="77777777" w:rsidR="0093433C" w:rsidRPr="00890249" w:rsidRDefault="00BA20BD" w:rsidP="00890249">
      <w:pPr>
        <w:pStyle w:val="Tekstpodstawowy"/>
        <w:rPr>
          <w:rFonts w:asciiTheme="minorHAnsi" w:hAnsiTheme="minorHAnsi" w:cstheme="minorHAnsi"/>
          <w:sz w:val="22"/>
        </w:rPr>
      </w:pPr>
      <w:r w:rsidRPr="00890249">
        <w:rPr>
          <w:rFonts w:asciiTheme="minorHAnsi" w:hAnsiTheme="minorHAnsi" w:cstheme="minorHAnsi"/>
          <w:noProof/>
          <w:sz w:val="22"/>
        </w:rPr>
        <w:t xml:space="preserve">Ponadto wsparcie zostanie ukierunkowane na inne tereny </w:t>
      </w:r>
      <w:r w:rsidRPr="00890249">
        <w:rPr>
          <w:rFonts w:asciiTheme="minorHAnsi" w:hAnsiTheme="minorHAnsi" w:cstheme="minorHAnsi"/>
          <w:sz w:val="22"/>
        </w:rPr>
        <w:t>o słabym dostępie do usług publicznych takie jak obszary wiejskie, dzięki czemu nastąpi wyrównanie szans osób zamieszkujących tego typu terytoria.</w:t>
      </w:r>
    </w:p>
    <w:p w14:paraId="571B093E" w14:textId="77777777" w:rsidR="00EB51EE" w:rsidRPr="00890249" w:rsidRDefault="00EB51EE" w:rsidP="00EB51EE">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Przedsięwzięcia międzyregionalne, transgraniczne i transnarodowe:</w:t>
      </w:r>
    </w:p>
    <w:p w14:paraId="1C834960" w14:textId="25947FB9" w:rsidR="0093433C" w:rsidRPr="00890249" w:rsidRDefault="005612BC"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Wszystkie interwencje zaplanowane w </w:t>
      </w:r>
      <w:r w:rsidR="00E01FB0" w:rsidRPr="00890249">
        <w:rPr>
          <w:rFonts w:asciiTheme="minorHAnsi" w:hAnsiTheme="minorHAnsi" w:cstheme="minorHAnsi"/>
          <w:noProof/>
          <w:sz w:val="22"/>
        </w:rPr>
        <w:t xml:space="preserve">cs (iii) </w:t>
      </w:r>
      <w:r w:rsidRPr="00890249">
        <w:rPr>
          <w:rFonts w:asciiTheme="minorHAnsi" w:hAnsiTheme="minorHAnsi" w:cstheme="minorHAnsi"/>
          <w:noProof/>
          <w:sz w:val="22"/>
        </w:rPr>
        <w:t>będą przyczyniać się do poprawy jakości życia, w tym zwłaszcza osób zmarginalizowanych i zagrożonych wykluczeniem społecznym, poprzez zwiększanie dostępności do usług edukacyjnych, społecznych, zdrowotnych oraz wysokiej jakości miejsc pracy.</w:t>
      </w:r>
    </w:p>
    <w:p w14:paraId="751093EA" w14:textId="0F11347C" w:rsidR="0093433C" w:rsidRPr="00890249" w:rsidRDefault="005612BC" w:rsidP="00890249">
      <w:pPr>
        <w:pStyle w:val="Tekstpodstawowy"/>
        <w:rPr>
          <w:rFonts w:asciiTheme="minorHAnsi" w:hAnsiTheme="minorHAnsi" w:cstheme="minorHAnsi"/>
          <w:noProof/>
        </w:rPr>
      </w:pPr>
      <w:r w:rsidRPr="00890249">
        <w:rPr>
          <w:rFonts w:asciiTheme="minorHAnsi" w:hAnsiTheme="minorHAnsi" w:cstheme="minorHAnsi"/>
          <w:noProof/>
          <w:sz w:val="22"/>
        </w:rPr>
        <w:t>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w:t>
      </w:r>
      <w:r w:rsidR="00BB20C0" w:rsidRPr="00890249">
        <w:rPr>
          <w:rFonts w:asciiTheme="minorHAnsi" w:hAnsiTheme="minorHAnsi" w:cstheme="minorHAnsi"/>
          <w:noProof/>
          <w:sz w:val="22"/>
        </w:rPr>
        <w:t xml:space="preserve"> z </w:t>
      </w:r>
      <w:r w:rsidRPr="00890249">
        <w:rPr>
          <w:rFonts w:asciiTheme="minorHAnsi" w:hAnsiTheme="minorHAnsi" w:cstheme="minorHAnsi"/>
          <w:noProof/>
          <w:sz w:val="22"/>
        </w:rPr>
        <w:t>interwencj</w:t>
      </w:r>
      <w:r w:rsidR="00BB20C0" w:rsidRPr="00890249">
        <w:rPr>
          <w:rFonts w:asciiTheme="minorHAnsi" w:hAnsiTheme="minorHAnsi" w:cstheme="minorHAnsi"/>
          <w:noProof/>
          <w:sz w:val="22"/>
        </w:rPr>
        <w:t>ą</w:t>
      </w:r>
      <w:r w:rsidRPr="00890249">
        <w:rPr>
          <w:rFonts w:asciiTheme="minorHAnsi" w:hAnsiTheme="minorHAnsi" w:cstheme="minorHAnsi"/>
          <w:noProof/>
          <w:sz w:val="22"/>
        </w:rPr>
        <w:t xml:space="preserve"> wskazan</w:t>
      </w:r>
      <w:r w:rsidR="00BB20C0" w:rsidRPr="00890249">
        <w:rPr>
          <w:rFonts w:asciiTheme="minorHAnsi" w:hAnsiTheme="minorHAnsi" w:cstheme="minorHAnsi"/>
          <w:noProof/>
          <w:sz w:val="22"/>
        </w:rPr>
        <w:t>ą</w:t>
      </w:r>
      <w:r w:rsidRPr="00890249">
        <w:rPr>
          <w:rFonts w:asciiTheme="minorHAnsi" w:hAnsiTheme="minorHAnsi" w:cstheme="minorHAnsi"/>
          <w:noProof/>
          <w:sz w:val="22"/>
        </w:rPr>
        <w:t xml:space="preserve"> w programach współpracy transgranicznej Interreg Czechy-Polska 2021-2027 oraz Interreg Region Morza Bałtyckiego 2021-2027, w tym w zakresie: wzmacniania konkurencyjności MŚP, zwiększenia odporności i przystosowania do zmian klimatu, rozw</w:t>
      </w:r>
      <w:r w:rsidR="00BB20C0" w:rsidRPr="00890249">
        <w:rPr>
          <w:rFonts w:asciiTheme="minorHAnsi" w:hAnsiTheme="minorHAnsi" w:cstheme="minorHAnsi"/>
          <w:noProof/>
          <w:sz w:val="22"/>
        </w:rPr>
        <w:t xml:space="preserve">oju </w:t>
      </w:r>
      <w:r w:rsidRPr="00890249">
        <w:rPr>
          <w:rFonts w:asciiTheme="minorHAnsi" w:hAnsiTheme="minorHAnsi" w:cstheme="minorHAnsi"/>
          <w:noProof/>
          <w:sz w:val="22"/>
        </w:rPr>
        <w:t xml:space="preserve">bioróżnorodności, a także transgranicznej infrastruktury transportowej oraz zrównoważonej turystyki. </w:t>
      </w:r>
      <w:r w:rsidR="00BB20C0" w:rsidRPr="00890249">
        <w:rPr>
          <w:rFonts w:asciiTheme="minorHAnsi" w:hAnsiTheme="minorHAnsi" w:cstheme="minorHAnsi"/>
          <w:noProof/>
          <w:sz w:val="22"/>
        </w:rPr>
        <w:t>Wzajemne oddziaływanie interwencji wzmocni jej skuteczność i pozwoli na osiągnięcie efektu synergii.</w:t>
      </w:r>
    </w:p>
    <w:p w14:paraId="53D5553C" w14:textId="77777777" w:rsidR="00EB51EE" w:rsidRPr="00890249" w:rsidRDefault="00EB51EE" w:rsidP="00EB51EE">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Planowane wykorzystanie instrumentów finansowych:</w:t>
      </w:r>
    </w:p>
    <w:p w14:paraId="0CF4D55E" w14:textId="77777777" w:rsidR="0093433C" w:rsidRPr="00890249" w:rsidRDefault="00BA20BD" w:rsidP="00890249">
      <w:pPr>
        <w:pStyle w:val="Tekstpodstawowy"/>
        <w:rPr>
          <w:rFonts w:asciiTheme="minorHAnsi" w:hAnsiTheme="minorHAnsi" w:cstheme="minorHAnsi"/>
          <w:noProof/>
          <w:sz w:val="22"/>
        </w:rPr>
      </w:pPr>
      <w:r w:rsidRPr="00890249">
        <w:rPr>
          <w:rFonts w:asciiTheme="minorHAnsi" w:hAnsiTheme="minorHAnsi" w:cstheme="minorHAnsi"/>
          <w:noProof/>
          <w:sz w:val="22"/>
        </w:rPr>
        <w:t>W ramach cs (iii) nie planuje się wykorzystania instrumentów finansowych.</w:t>
      </w:r>
    </w:p>
    <w:p w14:paraId="493FEA9F" w14:textId="77777777" w:rsidR="0093433C" w:rsidRPr="00890249" w:rsidRDefault="00BA20BD" w:rsidP="00890249">
      <w:pPr>
        <w:pStyle w:val="Tekstpodstawowy"/>
        <w:rPr>
          <w:rFonts w:asciiTheme="minorHAnsi" w:hAnsiTheme="minorHAnsi" w:cstheme="minorHAnsi"/>
          <w:noProof/>
          <w:sz w:val="22"/>
        </w:rPr>
      </w:pPr>
      <w:r w:rsidRPr="00890249">
        <w:rPr>
          <w:rFonts w:asciiTheme="minorHAnsi" w:hAnsiTheme="minorHAnsi" w:cstheme="minorHAnsi"/>
          <w:noProof/>
          <w:sz w:val="22"/>
        </w:rPr>
        <w:t>Planowane przedsięwzięcia dotyczą infrastruktury przeznaczonej dla osób zagrożonych ubóstwem lub wykluczeniem społecznym, w tym m.in. osób starszych, z niepełnosprawnościami, dzieci w pieczy zastępczej i osób bezdomnych. Beneficjentami w tym przypadku będą przede wszystkim JST i organizacje pozarządowe. Nie będą to przedsięwzięcia prowadzone dla zysku, samofinansujące się.</w:t>
      </w:r>
    </w:p>
    <w:p w14:paraId="6E7B48A9" w14:textId="0A9F5BD5" w:rsidR="00EB51EE" w:rsidRPr="00890249" w:rsidRDefault="00EB51EE">
      <w:pPr>
        <w:spacing w:before="0" w:after="160" w:line="259" w:lineRule="auto"/>
        <w:jc w:val="left"/>
        <w:rPr>
          <w:rFonts w:asciiTheme="minorHAnsi" w:hAnsiTheme="minorHAnsi" w:cstheme="minorHAnsi"/>
          <w:noProof/>
          <w:sz w:val="22"/>
        </w:rPr>
      </w:pPr>
      <w:r w:rsidRPr="00890249">
        <w:rPr>
          <w:rFonts w:asciiTheme="minorHAnsi" w:hAnsiTheme="minorHAnsi" w:cstheme="minorHAnsi"/>
          <w:noProof/>
          <w:sz w:val="22"/>
        </w:rPr>
        <w:br w:type="page"/>
      </w:r>
    </w:p>
    <w:p w14:paraId="23A581A9" w14:textId="77777777" w:rsidR="00CA4A08" w:rsidRPr="00890249" w:rsidRDefault="00CA4A08" w:rsidP="00CA4A08">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2.1.9.2.2 (iii) Wskaźniki</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51"/>
        <w:gridCol w:w="693"/>
        <w:gridCol w:w="1009"/>
        <w:gridCol w:w="830"/>
        <w:gridCol w:w="2213"/>
        <w:gridCol w:w="969"/>
        <w:gridCol w:w="969"/>
        <w:gridCol w:w="1072"/>
      </w:tblGrid>
      <w:tr w:rsidR="00BA20BD" w:rsidRPr="00890249" w14:paraId="02BF51BA" w14:textId="77777777" w:rsidTr="005C6AF0">
        <w:trPr>
          <w:trHeight w:val="425"/>
        </w:trPr>
        <w:tc>
          <w:tcPr>
            <w:tcW w:w="5000" w:type="pct"/>
            <w:gridSpan w:val="9"/>
            <w:shd w:val="clear" w:color="auto" w:fill="D9D9D9" w:themeFill="background1" w:themeFillShade="D9"/>
          </w:tcPr>
          <w:p w14:paraId="4CF58A16" w14:textId="77777777" w:rsidR="00BA20BD" w:rsidRPr="00890249" w:rsidRDefault="00BA20BD" w:rsidP="005C6AF0">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BA20BD" w:rsidRPr="00890249" w14:paraId="6ED97DEF" w14:textId="77777777" w:rsidTr="005C6AF0">
        <w:trPr>
          <w:cantSplit/>
          <w:trHeight w:val="1647"/>
        </w:trPr>
        <w:tc>
          <w:tcPr>
            <w:tcW w:w="287" w:type="pct"/>
            <w:shd w:val="clear" w:color="auto" w:fill="F2F2F2" w:themeFill="background1" w:themeFillShade="F2"/>
            <w:textDirection w:val="btLr"/>
            <w:vAlign w:val="center"/>
          </w:tcPr>
          <w:p w14:paraId="00AEF6FC"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6" w:type="pct"/>
            <w:shd w:val="clear" w:color="auto" w:fill="F2F2F2" w:themeFill="background1" w:themeFillShade="F2"/>
            <w:textDirection w:val="btLr"/>
            <w:vAlign w:val="center"/>
          </w:tcPr>
          <w:p w14:paraId="5345CDAE"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4" w:type="pct"/>
            <w:shd w:val="clear" w:color="auto" w:fill="F2F2F2" w:themeFill="background1" w:themeFillShade="F2"/>
            <w:textDirection w:val="btLr"/>
            <w:vAlign w:val="center"/>
          </w:tcPr>
          <w:p w14:paraId="37F07C86"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9" w:type="pct"/>
            <w:shd w:val="clear" w:color="auto" w:fill="F2F2F2" w:themeFill="background1" w:themeFillShade="F2"/>
            <w:textDirection w:val="btLr"/>
            <w:vAlign w:val="center"/>
          </w:tcPr>
          <w:p w14:paraId="1FE5F221"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60" w:type="pct"/>
            <w:shd w:val="clear" w:color="auto" w:fill="F2F2F2" w:themeFill="background1" w:themeFillShade="F2"/>
            <w:textDirection w:val="btLr"/>
            <w:vAlign w:val="center"/>
          </w:tcPr>
          <w:p w14:paraId="5386A079"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6" w:type="pct"/>
            <w:shd w:val="clear" w:color="auto" w:fill="F2F2F2" w:themeFill="background1" w:themeFillShade="F2"/>
            <w:textDirection w:val="btLr"/>
            <w:vAlign w:val="center"/>
          </w:tcPr>
          <w:p w14:paraId="6EC71C8B"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537" w:type="pct"/>
            <w:shd w:val="clear" w:color="auto" w:fill="F2F2F2" w:themeFill="background1" w:themeFillShade="F2"/>
            <w:textDirection w:val="btLr"/>
            <w:vAlign w:val="center"/>
          </w:tcPr>
          <w:p w14:paraId="679EF17C"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37" w:type="pct"/>
            <w:shd w:val="clear" w:color="auto" w:fill="F2F2F2" w:themeFill="background1" w:themeFillShade="F2"/>
            <w:textDirection w:val="btLr"/>
            <w:vAlign w:val="center"/>
          </w:tcPr>
          <w:p w14:paraId="57A31EF4"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4" w:type="pct"/>
            <w:shd w:val="clear" w:color="auto" w:fill="F2F2F2" w:themeFill="background1" w:themeFillShade="F2"/>
            <w:textDirection w:val="btLr"/>
            <w:vAlign w:val="center"/>
          </w:tcPr>
          <w:p w14:paraId="27E7489D"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BA20BD" w:rsidRPr="00890249" w14:paraId="5A804BD1" w14:textId="77777777" w:rsidTr="005C6AF0">
        <w:trPr>
          <w:trHeight w:val="340"/>
        </w:trPr>
        <w:tc>
          <w:tcPr>
            <w:tcW w:w="287" w:type="pct"/>
            <w:vAlign w:val="center"/>
          </w:tcPr>
          <w:p w14:paraId="28C11DEE"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13A600B7" w14:textId="77777777" w:rsidR="00BA20BD" w:rsidRPr="00890249" w:rsidRDefault="00BA20BD" w:rsidP="005C6AF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4.iii</w:t>
            </w:r>
          </w:p>
        </w:tc>
        <w:tc>
          <w:tcPr>
            <w:tcW w:w="384" w:type="pct"/>
            <w:vAlign w:val="center"/>
          </w:tcPr>
          <w:p w14:paraId="62762A5F"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6A4459B2" w14:textId="22172F86" w:rsidR="00BA20BD" w:rsidRPr="00890249" w:rsidRDefault="00BA20BD" w:rsidP="00B3025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w:t>
            </w:r>
            <w:r w:rsidR="00B30259" w:rsidRPr="00890249">
              <w:rPr>
                <w:rFonts w:asciiTheme="minorHAnsi" w:hAnsiTheme="minorHAnsi" w:cstheme="minorHAnsi"/>
                <w:i/>
                <w:noProof/>
                <w:sz w:val="18"/>
                <w:szCs w:val="16"/>
              </w:rPr>
              <w:t>ę</w:t>
            </w:r>
            <w:r w:rsidRPr="00890249">
              <w:rPr>
                <w:rFonts w:asciiTheme="minorHAnsi" w:hAnsiTheme="minorHAnsi" w:cstheme="minorHAnsi"/>
                <w:i/>
                <w:noProof/>
                <w:sz w:val="18"/>
                <w:szCs w:val="16"/>
              </w:rPr>
              <w:t>te</w:t>
            </w:r>
          </w:p>
        </w:tc>
        <w:tc>
          <w:tcPr>
            <w:tcW w:w="460" w:type="pct"/>
            <w:vAlign w:val="center"/>
          </w:tcPr>
          <w:p w14:paraId="5B32040A"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RCO113</w:t>
            </w:r>
          </w:p>
        </w:tc>
        <w:tc>
          <w:tcPr>
            <w:tcW w:w="1226" w:type="pct"/>
            <w:shd w:val="clear" w:color="auto" w:fill="auto"/>
            <w:vAlign w:val="center"/>
          </w:tcPr>
          <w:p w14:paraId="28D1CF92" w14:textId="77777777" w:rsidR="00BA20BD" w:rsidRPr="00890249" w:rsidRDefault="00BA20BD" w:rsidP="005C6AF0">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Ludość objęta projektami w ramach zintegrowanych działań na rzecz włączenia społeczno-gospodarczego społeczności marginalizowanych , gospodarstw domowych o niskich dochodach oraz grup w niekorzystnej sytuacji.</w:t>
            </w:r>
          </w:p>
        </w:tc>
        <w:tc>
          <w:tcPr>
            <w:tcW w:w="537" w:type="pct"/>
            <w:vAlign w:val="center"/>
          </w:tcPr>
          <w:p w14:paraId="1414E903"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os.</w:t>
            </w:r>
          </w:p>
        </w:tc>
        <w:tc>
          <w:tcPr>
            <w:tcW w:w="537" w:type="pct"/>
            <w:shd w:val="clear" w:color="auto" w:fill="auto"/>
            <w:vAlign w:val="center"/>
          </w:tcPr>
          <w:p w14:paraId="013BCAD2"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0</w:t>
            </w:r>
          </w:p>
        </w:tc>
        <w:tc>
          <w:tcPr>
            <w:tcW w:w="594" w:type="pct"/>
            <w:shd w:val="clear" w:color="auto" w:fill="auto"/>
            <w:vAlign w:val="center"/>
          </w:tcPr>
          <w:p w14:paraId="6DE08CA3" w14:textId="6E86DD2D" w:rsidR="00BA20BD" w:rsidRPr="00890249" w:rsidRDefault="0062482C"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400</w:t>
            </w:r>
          </w:p>
        </w:tc>
      </w:tr>
      <w:tr w:rsidR="00B30259" w:rsidRPr="00890249" w14:paraId="71F9E69B" w14:textId="77777777" w:rsidTr="005C6AF0">
        <w:trPr>
          <w:trHeight w:val="340"/>
        </w:trPr>
        <w:tc>
          <w:tcPr>
            <w:tcW w:w="287" w:type="pct"/>
            <w:vAlign w:val="center"/>
          </w:tcPr>
          <w:p w14:paraId="06E96706"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6" w:type="pct"/>
            <w:vAlign w:val="center"/>
          </w:tcPr>
          <w:p w14:paraId="4321F957" w14:textId="77777777" w:rsidR="00B30259" w:rsidRPr="00890249" w:rsidRDefault="00B30259" w:rsidP="005C6AF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4.iii</w:t>
            </w:r>
          </w:p>
        </w:tc>
        <w:tc>
          <w:tcPr>
            <w:tcW w:w="384" w:type="pct"/>
            <w:vAlign w:val="center"/>
          </w:tcPr>
          <w:p w14:paraId="0967663C"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9" w:type="pct"/>
            <w:vAlign w:val="center"/>
          </w:tcPr>
          <w:p w14:paraId="5EC9C74A"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60" w:type="pct"/>
            <w:vAlign w:val="center"/>
          </w:tcPr>
          <w:p w14:paraId="7DEF4443"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RCO065</w:t>
            </w:r>
          </w:p>
        </w:tc>
        <w:tc>
          <w:tcPr>
            <w:tcW w:w="1226" w:type="pct"/>
            <w:shd w:val="clear" w:color="auto" w:fill="auto"/>
            <w:vAlign w:val="center"/>
          </w:tcPr>
          <w:p w14:paraId="5F1AAB22" w14:textId="77777777" w:rsidR="00B30259" w:rsidRPr="00890249" w:rsidRDefault="00B30259" w:rsidP="005C6AF0">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Pojemność nowych lub zmodernizowanych lokali socjalnych</w:t>
            </w:r>
          </w:p>
        </w:tc>
        <w:tc>
          <w:tcPr>
            <w:tcW w:w="537" w:type="pct"/>
            <w:vAlign w:val="center"/>
          </w:tcPr>
          <w:p w14:paraId="1D242DAA"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Osoby</w:t>
            </w:r>
          </w:p>
        </w:tc>
        <w:tc>
          <w:tcPr>
            <w:tcW w:w="537" w:type="pct"/>
            <w:shd w:val="clear" w:color="auto" w:fill="auto"/>
            <w:vAlign w:val="center"/>
          </w:tcPr>
          <w:p w14:paraId="0FF8A555"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0</w:t>
            </w:r>
          </w:p>
        </w:tc>
        <w:tc>
          <w:tcPr>
            <w:tcW w:w="594" w:type="pct"/>
            <w:shd w:val="clear" w:color="auto" w:fill="auto"/>
            <w:vAlign w:val="center"/>
          </w:tcPr>
          <w:p w14:paraId="50EB67CC"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230</w:t>
            </w:r>
          </w:p>
        </w:tc>
      </w:tr>
    </w:tbl>
    <w:p w14:paraId="1B10BEEC" w14:textId="77777777" w:rsidR="00BA20BD" w:rsidRPr="00890249" w:rsidRDefault="00BA20BD" w:rsidP="00BA20BD">
      <w:pPr>
        <w:spacing w:after="0"/>
        <w:rPr>
          <w:rFonts w:asciiTheme="minorHAnsi" w:eastAsia="Times New Roman" w:hAnsiTheme="minorHAnsi" w:cstheme="minorHAnsi"/>
          <w:b/>
          <w:iCs/>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752"/>
        <w:gridCol w:w="692"/>
        <w:gridCol w:w="1008"/>
        <w:gridCol w:w="774"/>
        <w:gridCol w:w="1383"/>
        <w:gridCol w:w="830"/>
        <w:gridCol w:w="692"/>
        <w:gridCol w:w="596"/>
        <w:gridCol w:w="562"/>
        <w:gridCol w:w="605"/>
        <w:gridCol w:w="647"/>
      </w:tblGrid>
      <w:tr w:rsidR="00BA20BD" w:rsidRPr="00890249" w14:paraId="7F95A097" w14:textId="77777777" w:rsidTr="005C6AF0">
        <w:trPr>
          <w:trHeight w:val="480"/>
        </w:trPr>
        <w:tc>
          <w:tcPr>
            <w:tcW w:w="5000" w:type="pct"/>
            <w:gridSpan w:val="12"/>
            <w:shd w:val="clear" w:color="auto" w:fill="D9D9D9" w:themeFill="background1" w:themeFillShade="D9"/>
          </w:tcPr>
          <w:p w14:paraId="6C792BE3" w14:textId="77777777" w:rsidR="00BA20BD" w:rsidRPr="00890249" w:rsidRDefault="00BA20BD" w:rsidP="005C6AF0">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A20BD" w:rsidRPr="00890249" w14:paraId="4E6E8523" w14:textId="77777777" w:rsidTr="005C6AF0">
        <w:trPr>
          <w:cantSplit/>
          <w:trHeight w:val="1768"/>
        </w:trPr>
        <w:tc>
          <w:tcPr>
            <w:tcW w:w="287" w:type="pct"/>
            <w:shd w:val="clear" w:color="auto" w:fill="F2F2F2" w:themeFill="background1" w:themeFillShade="F2"/>
            <w:textDirection w:val="btLr"/>
            <w:vAlign w:val="center"/>
          </w:tcPr>
          <w:p w14:paraId="2A3ECE3F"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5" w:type="pct"/>
            <w:shd w:val="clear" w:color="auto" w:fill="F2F2F2" w:themeFill="background1" w:themeFillShade="F2"/>
            <w:textDirection w:val="btLr"/>
            <w:vAlign w:val="center"/>
          </w:tcPr>
          <w:p w14:paraId="467B176F"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2" w:type="pct"/>
            <w:shd w:val="clear" w:color="auto" w:fill="F2F2F2" w:themeFill="background1" w:themeFillShade="F2"/>
            <w:textDirection w:val="btLr"/>
            <w:vAlign w:val="center"/>
          </w:tcPr>
          <w:p w14:paraId="7B3EE146"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6" w:type="pct"/>
            <w:shd w:val="clear" w:color="auto" w:fill="F2F2F2" w:themeFill="background1" w:themeFillShade="F2"/>
            <w:textDirection w:val="btLr"/>
            <w:vAlign w:val="center"/>
          </w:tcPr>
          <w:p w14:paraId="36554679"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7" w:type="pct"/>
            <w:shd w:val="clear" w:color="auto" w:fill="F2F2F2" w:themeFill="background1" w:themeFillShade="F2"/>
            <w:textDirection w:val="btLr"/>
            <w:vAlign w:val="center"/>
          </w:tcPr>
          <w:p w14:paraId="007D562B"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3" w:type="pct"/>
            <w:shd w:val="clear" w:color="auto" w:fill="F2F2F2" w:themeFill="background1" w:themeFillShade="F2"/>
            <w:textDirection w:val="btLr"/>
            <w:vAlign w:val="center"/>
          </w:tcPr>
          <w:p w14:paraId="635F6AAA"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8" w:type="pct"/>
            <w:shd w:val="clear" w:color="auto" w:fill="F2F2F2" w:themeFill="background1" w:themeFillShade="F2"/>
            <w:textDirection w:val="btLr"/>
            <w:vAlign w:val="center"/>
          </w:tcPr>
          <w:p w14:paraId="5E8BDAB1"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2" w:type="pct"/>
            <w:shd w:val="clear" w:color="auto" w:fill="F2F2F2" w:themeFill="background1" w:themeFillShade="F2"/>
            <w:textDirection w:val="btLr"/>
            <w:vAlign w:val="center"/>
          </w:tcPr>
          <w:p w14:paraId="3651A2ED"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9" w:type="pct"/>
            <w:shd w:val="clear" w:color="auto" w:fill="F2F2F2" w:themeFill="background1" w:themeFillShade="F2"/>
            <w:textDirection w:val="btLr"/>
            <w:vAlign w:val="center"/>
          </w:tcPr>
          <w:p w14:paraId="74E423C7"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10" w:type="pct"/>
            <w:shd w:val="clear" w:color="auto" w:fill="F2F2F2" w:themeFill="background1" w:themeFillShade="F2"/>
            <w:textDirection w:val="btLr"/>
            <w:vAlign w:val="center"/>
          </w:tcPr>
          <w:p w14:paraId="6F3D86A5"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4" w:type="pct"/>
            <w:shd w:val="clear" w:color="auto" w:fill="F2F2F2" w:themeFill="background1" w:themeFillShade="F2"/>
            <w:textDirection w:val="btLr"/>
            <w:vAlign w:val="center"/>
          </w:tcPr>
          <w:p w14:paraId="266363CD"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57" w:type="pct"/>
            <w:shd w:val="clear" w:color="auto" w:fill="F2F2F2" w:themeFill="background1" w:themeFillShade="F2"/>
            <w:textDirection w:val="btLr"/>
            <w:vAlign w:val="center"/>
          </w:tcPr>
          <w:p w14:paraId="4DF86CB0" w14:textId="77777777" w:rsidR="00BA20BD" w:rsidRPr="00890249" w:rsidRDefault="00BA20BD" w:rsidP="005C6AF0">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BA20BD" w:rsidRPr="00890249" w14:paraId="75523B4F" w14:textId="77777777" w:rsidTr="005C6AF0">
        <w:trPr>
          <w:trHeight w:val="434"/>
        </w:trPr>
        <w:tc>
          <w:tcPr>
            <w:tcW w:w="287" w:type="pct"/>
            <w:vAlign w:val="center"/>
          </w:tcPr>
          <w:p w14:paraId="00F66A75"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5" w:type="pct"/>
            <w:vAlign w:val="center"/>
          </w:tcPr>
          <w:p w14:paraId="085EBCB6"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4.iii</w:t>
            </w:r>
          </w:p>
        </w:tc>
        <w:tc>
          <w:tcPr>
            <w:tcW w:w="382" w:type="pct"/>
            <w:vAlign w:val="center"/>
          </w:tcPr>
          <w:p w14:paraId="357A3A0E"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556" w:type="pct"/>
            <w:vAlign w:val="center"/>
          </w:tcPr>
          <w:p w14:paraId="2D12094F" w14:textId="46DFFBB6" w:rsidR="00BA20BD" w:rsidRPr="00890249" w:rsidRDefault="00BA20BD" w:rsidP="00B30259">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słabiej rozwini</w:t>
            </w:r>
            <w:r w:rsidR="00B30259" w:rsidRPr="00890249">
              <w:rPr>
                <w:rFonts w:asciiTheme="minorHAnsi" w:hAnsiTheme="minorHAnsi" w:cstheme="minorHAnsi"/>
                <w:i/>
                <w:noProof/>
                <w:sz w:val="18"/>
                <w:szCs w:val="16"/>
              </w:rPr>
              <w:t>ę</w:t>
            </w:r>
            <w:r w:rsidRPr="00890249">
              <w:rPr>
                <w:rFonts w:asciiTheme="minorHAnsi" w:hAnsiTheme="minorHAnsi" w:cstheme="minorHAnsi"/>
                <w:i/>
                <w:noProof/>
                <w:sz w:val="18"/>
                <w:szCs w:val="16"/>
              </w:rPr>
              <w:t>te</w:t>
            </w:r>
          </w:p>
        </w:tc>
        <w:tc>
          <w:tcPr>
            <w:tcW w:w="427" w:type="pct"/>
            <w:vAlign w:val="center"/>
          </w:tcPr>
          <w:p w14:paraId="27FBF22B" w14:textId="77777777" w:rsidR="00BA20BD" w:rsidRPr="00890249" w:rsidRDefault="00A97382"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FEOR91</w:t>
            </w:r>
          </w:p>
        </w:tc>
        <w:tc>
          <w:tcPr>
            <w:tcW w:w="763" w:type="pct"/>
            <w:shd w:val="clear" w:color="auto" w:fill="auto"/>
            <w:vAlign w:val="center"/>
          </w:tcPr>
          <w:p w14:paraId="078626A1" w14:textId="77777777" w:rsidR="00BA20BD" w:rsidRPr="00890249" w:rsidRDefault="00BA20BD" w:rsidP="005C6AF0">
            <w:pPr>
              <w:jc w:val="left"/>
              <w:rPr>
                <w:rFonts w:asciiTheme="minorHAnsi" w:hAnsiTheme="minorHAnsi" w:cstheme="minorHAnsi"/>
                <w:i/>
                <w:noProof/>
                <w:sz w:val="18"/>
                <w:szCs w:val="16"/>
                <w:lang w:eastAsia="en-US" w:bidi="ar-SA"/>
              </w:rPr>
            </w:pPr>
            <w:r w:rsidRPr="00890249">
              <w:rPr>
                <w:rFonts w:asciiTheme="minorHAnsi" w:hAnsiTheme="minorHAnsi" w:cstheme="minorHAnsi"/>
                <w:i/>
                <w:iCs/>
                <w:sz w:val="18"/>
                <w:szCs w:val="18"/>
              </w:rPr>
              <w:t>Liczba osób korzystających ze wspartych obiektów infrastruktury społecznej</w:t>
            </w:r>
            <w:r w:rsidRPr="00890249" w:rsidDel="00BA106D">
              <w:rPr>
                <w:rFonts w:asciiTheme="minorHAnsi" w:hAnsiTheme="minorHAnsi" w:cstheme="minorHAnsi"/>
                <w:i/>
                <w:noProof/>
                <w:sz w:val="18"/>
                <w:szCs w:val="16"/>
                <w:lang w:eastAsia="en-US" w:bidi="ar-SA"/>
              </w:rPr>
              <w:t xml:space="preserve"> </w:t>
            </w:r>
          </w:p>
        </w:tc>
        <w:tc>
          <w:tcPr>
            <w:tcW w:w="458" w:type="pct"/>
            <w:vAlign w:val="center"/>
          </w:tcPr>
          <w:p w14:paraId="40849B25"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osoby/ rok</w:t>
            </w:r>
          </w:p>
        </w:tc>
        <w:tc>
          <w:tcPr>
            <w:tcW w:w="382" w:type="pct"/>
            <w:vAlign w:val="center"/>
          </w:tcPr>
          <w:p w14:paraId="3A40BE2C"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100</w:t>
            </w:r>
          </w:p>
        </w:tc>
        <w:tc>
          <w:tcPr>
            <w:tcW w:w="329" w:type="pct"/>
            <w:vAlign w:val="center"/>
          </w:tcPr>
          <w:p w14:paraId="60CC6EC1" w14:textId="77777777" w:rsidR="00BA20BD" w:rsidRPr="00890249" w:rsidRDefault="00BA20BD"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2021</w:t>
            </w:r>
          </w:p>
        </w:tc>
        <w:tc>
          <w:tcPr>
            <w:tcW w:w="310" w:type="pct"/>
            <w:shd w:val="clear" w:color="auto" w:fill="auto"/>
            <w:vAlign w:val="center"/>
          </w:tcPr>
          <w:p w14:paraId="1DC1DAFA" w14:textId="19C85268" w:rsidR="00BA20BD" w:rsidRPr="00890249" w:rsidRDefault="0062482C"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600</w:t>
            </w:r>
          </w:p>
        </w:tc>
        <w:tc>
          <w:tcPr>
            <w:tcW w:w="334" w:type="pct"/>
            <w:shd w:val="clear" w:color="auto" w:fill="auto"/>
            <w:vAlign w:val="center"/>
          </w:tcPr>
          <w:p w14:paraId="30FA5BC6"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7" w:type="pct"/>
            <w:vAlign w:val="center"/>
          </w:tcPr>
          <w:p w14:paraId="0F9F8231"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r w:rsidR="00B30259" w:rsidRPr="00890249" w14:paraId="36A104C3" w14:textId="77777777" w:rsidTr="005C6AF0">
        <w:trPr>
          <w:trHeight w:val="434"/>
        </w:trPr>
        <w:tc>
          <w:tcPr>
            <w:tcW w:w="287" w:type="pct"/>
            <w:vAlign w:val="center"/>
          </w:tcPr>
          <w:p w14:paraId="6EBA37AA"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5" w:type="pct"/>
            <w:vAlign w:val="center"/>
          </w:tcPr>
          <w:p w14:paraId="78F6593C" w14:textId="77777777" w:rsidR="00B30259" w:rsidRPr="00890249" w:rsidRDefault="00B30259" w:rsidP="005C6AF0">
            <w:pPr>
              <w:jc w:val="center"/>
              <w:rPr>
                <w:rFonts w:asciiTheme="minorHAnsi" w:eastAsia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4.iii</w:t>
            </w:r>
          </w:p>
        </w:tc>
        <w:tc>
          <w:tcPr>
            <w:tcW w:w="382" w:type="pct"/>
            <w:vAlign w:val="center"/>
          </w:tcPr>
          <w:p w14:paraId="1DCA42F8" w14:textId="77777777" w:rsidR="00B30259" w:rsidRPr="00890249" w:rsidRDefault="00B30259"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EFRR</w:t>
            </w:r>
          </w:p>
        </w:tc>
        <w:tc>
          <w:tcPr>
            <w:tcW w:w="556" w:type="pct"/>
            <w:vAlign w:val="center"/>
          </w:tcPr>
          <w:p w14:paraId="7377D46B" w14:textId="77777777" w:rsidR="00B30259" w:rsidRPr="00890249" w:rsidRDefault="00B30259" w:rsidP="00B30259">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Słabiej rozwinięte</w:t>
            </w:r>
          </w:p>
        </w:tc>
        <w:tc>
          <w:tcPr>
            <w:tcW w:w="427" w:type="pct"/>
            <w:vAlign w:val="center"/>
          </w:tcPr>
          <w:p w14:paraId="571D1324" w14:textId="77777777" w:rsidR="00B30259" w:rsidRPr="00890249" w:rsidRDefault="00B30259"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RCR067</w:t>
            </w:r>
          </w:p>
        </w:tc>
        <w:tc>
          <w:tcPr>
            <w:tcW w:w="763" w:type="pct"/>
            <w:shd w:val="clear" w:color="auto" w:fill="auto"/>
            <w:vAlign w:val="center"/>
          </w:tcPr>
          <w:p w14:paraId="1174391A" w14:textId="77777777" w:rsidR="00B30259" w:rsidRPr="00890249" w:rsidRDefault="00B30259" w:rsidP="005C6AF0">
            <w:pPr>
              <w:jc w:val="left"/>
              <w:rPr>
                <w:rFonts w:asciiTheme="minorHAnsi" w:hAnsiTheme="minorHAnsi" w:cstheme="minorHAnsi"/>
                <w:i/>
                <w:iCs/>
                <w:sz w:val="18"/>
                <w:szCs w:val="18"/>
              </w:rPr>
            </w:pPr>
            <w:r w:rsidRPr="00890249">
              <w:rPr>
                <w:rFonts w:asciiTheme="minorHAnsi" w:hAnsiTheme="minorHAnsi" w:cstheme="minorHAnsi"/>
                <w:i/>
                <w:iCs/>
                <w:sz w:val="18"/>
                <w:szCs w:val="18"/>
              </w:rPr>
              <w:t>Roczna liczba użytkowników nowych lub zmodernizowanych lokali socjalnych</w:t>
            </w:r>
          </w:p>
        </w:tc>
        <w:tc>
          <w:tcPr>
            <w:tcW w:w="458" w:type="pct"/>
            <w:vAlign w:val="center"/>
          </w:tcPr>
          <w:p w14:paraId="32BF58F0" w14:textId="77777777" w:rsidR="00B30259" w:rsidRPr="00890249" w:rsidRDefault="00B30259"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Użytkownicy/rok</w:t>
            </w:r>
          </w:p>
        </w:tc>
        <w:tc>
          <w:tcPr>
            <w:tcW w:w="382" w:type="pct"/>
            <w:vAlign w:val="center"/>
          </w:tcPr>
          <w:p w14:paraId="71C3B565" w14:textId="77777777" w:rsidR="00B30259" w:rsidRPr="00890249" w:rsidRDefault="00B30259"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115</w:t>
            </w:r>
          </w:p>
        </w:tc>
        <w:tc>
          <w:tcPr>
            <w:tcW w:w="329" w:type="pct"/>
            <w:vAlign w:val="center"/>
          </w:tcPr>
          <w:p w14:paraId="7C12C518" w14:textId="77777777" w:rsidR="00B30259" w:rsidRPr="00890249" w:rsidRDefault="00B30259"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2020</w:t>
            </w:r>
          </w:p>
        </w:tc>
        <w:tc>
          <w:tcPr>
            <w:tcW w:w="310" w:type="pct"/>
            <w:shd w:val="clear" w:color="auto" w:fill="auto"/>
            <w:vAlign w:val="center"/>
          </w:tcPr>
          <w:p w14:paraId="77202F03" w14:textId="77777777" w:rsidR="00B30259" w:rsidRPr="00890249" w:rsidRDefault="00B30259"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230</w:t>
            </w:r>
          </w:p>
        </w:tc>
        <w:tc>
          <w:tcPr>
            <w:tcW w:w="334" w:type="pct"/>
            <w:shd w:val="clear" w:color="auto" w:fill="auto"/>
            <w:vAlign w:val="center"/>
          </w:tcPr>
          <w:p w14:paraId="28B88BB0" w14:textId="77777777" w:rsidR="00B30259" w:rsidRPr="00890249" w:rsidRDefault="00B30259"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57" w:type="pct"/>
            <w:vAlign w:val="center"/>
          </w:tcPr>
          <w:p w14:paraId="4AD3B3AE" w14:textId="77777777" w:rsidR="00B30259" w:rsidRPr="00890249" w:rsidRDefault="00B30259"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bl>
    <w:p w14:paraId="5A406B8E" w14:textId="2B85E751" w:rsidR="00CA4A08" w:rsidRPr="00890249" w:rsidRDefault="00CA4A08" w:rsidP="00BA20BD">
      <w:pPr>
        <w:spacing w:after="0"/>
        <w:rPr>
          <w:rFonts w:asciiTheme="minorHAnsi" w:eastAsia="Times New Roman" w:hAnsiTheme="minorHAnsi" w:cstheme="minorHAnsi"/>
          <w:b/>
          <w:iCs/>
          <w:noProof/>
          <w:sz w:val="22"/>
          <w:szCs w:val="22"/>
        </w:rPr>
      </w:pPr>
    </w:p>
    <w:p w14:paraId="2391CD83" w14:textId="09664A61" w:rsidR="00BA20BD" w:rsidRPr="00890249" w:rsidRDefault="00CA4A08" w:rsidP="00CA4A08">
      <w:pPr>
        <w:spacing w:before="0" w:after="160" w:line="259" w:lineRule="auto"/>
        <w:jc w:val="left"/>
        <w:rPr>
          <w:rFonts w:asciiTheme="minorHAnsi" w:eastAsia="Times New Roman" w:hAnsiTheme="minorHAnsi" w:cstheme="minorHAnsi"/>
          <w:b/>
          <w:iCs/>
          <w:noProof/>
          <w:sz w:val="22"/>
          <w:szCs w:val="22"/>
        </w:rPr>
      </w:pPr>
      <w:r w:rsidRPr="00890249">
        <w:rPr>
          <w:rFonts w:asciiTheme="minorHAnsi" w:eastAsia="Times New Roman" w:hAnsiTheme="minorHAnsi" w:cstheme="minorHAnsi"/>
          <w:b/>
          <w:iCs/>
          <w:noProof/>
          <w:sz w:val="22"/>
          <w:szCs w:val="22"/>
        </w:rPr>
        <w:br w:type="page"/>
      </w:r>
    </w:p>
    <w:p w14:paraId="482D0512" w14:textId="350E18BA" w:rsidR="00BA20BD" w:rsidRPr="00890249" w:rsidRDefault="00CA4A08" w:rsidP="00BA20BD">
      <w:pPr>
        <w:spacing w:before="0" w:after="0"/>
        <w:jc w:val="left"/>
        <w:rPr>
          <w:rFonts w:asciiTheme="minorHAnsi" w:eastAsiaTheme="minorHAnsi" w:hAnsiTheme="minorHAnsi" w:cstheme="minorHAnsi"/>
          <w:szCs w:val="24"/>
          <w:lang w:bidi="ar-SA"/>
        </w:rPr>
      </w:pPr>
      <w:r w:rsidRPr="00890249">
        <w:rPr>
          <w:rFonts w:asciiTheme="minorHAnsi" w:hAnsiTheme="minorHAnsi" w:cstheme="minorHAnsi"/>
          <w:b/>
          <w:noProof/>
          <w:sz w:val="22"/>
          <w:szCs w:val="22"/>
        </w:rPr>
        <w:lastRenderedPageBreak/>
        <w:t>2.1.9.2.3 (iii) Orientacyjny podział zasobów programu (UE) według rodzaju interwencji</w:t>
      </w:r>
    </w:p>
    <w:tbl>
      <w:tblPr>
        <w:tblStyle w:val="Tabela-Siatka"/>
        <w:tblW w:w="9322" w:type="dxa"/>
        <w:tblLook w:val="04A0" w:firstRow="1" w:lastRow="0" w:firstColumn="1" w:lastColumn="0" w:noHBand="0" w:noVBand="1"/>
      </w:tblPr>
      <w:tblGrid>
        <w:gridCol w:w="1441"/>
        <w:gridCol w:w="1240"/>
        <w:gridCol w:w="1325"/>
        <w:gridCol w:w="1643"/>
        <w:gridCol w:w="1622"/>
        <w:gridCol w:w="2051"/>
      </w:tblGrid>
      <w:tr w:rsidR="00BA20BD" w:rsidRPr="00890249" w14:paraId="6284990C" w14:textId="77777777" w:rsidTr="005C6AF0">
        <w:tc>
          <w:tcPr>
            <w:tcW w:w="9322" w:type="dxa"/>
            <w:gridSpan w:val="6"/>
            <w:shd w:val="clear" w:color="auto" w:fill="D9D9D9" w:themeFill="background1" w:themeFillShade="D9"/>
          </w:tcPr>
          <w:p w14:paraId="022863AD"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BA20BD" w:rsidRPr="00890249" w14:paraId="1D7EF629" w14:textId="77777777" w:rsidTr="005C6AF0">
        <w:tc>
          <w:tcPr>
            <w:tcW w:w="1543" w:type="dxa"/>
            <w:shd w:val="clear" w:color="auto" w:fill="F2F2F2" w:themeFill="background1" w:themeFillShade="F2"/>
          </w:tcPr>
          <w:p w14:paraId="13F039DB" w14:textId="77777777" w:rsidR="00BA20BD" w:rsidRPr="00890249" w:rsidRDefault="00BA20BD"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33" w:type="dxa"/>
            <w:shd w:val="clear" w:color="auto" w:fill="F2F2F2" w:themeFill="background1" w:themeFillShade="F2"/>
          </w:tcPr>
          <w:p w14:paraId="01E83E89" w14:textId="77777777" w:rsidR="00BA20BD" w:rsidRPr="00890249" w:rsidRDefault="00BA20BD"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92" w:type="dxa"/>
            <w:shd w:val="clear" w:color="auto" w:fill="F2F2F2" w:themeFill="background1" w:themeFillShade="F2"/>
          </w:tcPr>
          <w:p w14:paraId="45B3B52F" w14:textId="77777777" w:rsidR="00BA20BD" w:rsidRPr="00890249" w:rsidRDefault="00BA20BD"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51" w:type="dxa"/>
            <w:shd w:val="clear" w:color="auto" w:fill="F2F2F2" w:themeFill="background1" w:themeFillShade="F2"/>
          </w:tcPr>
          <w:p w14:paraId="1A3A9463" w14:textId="77777777" w:rsidR="00BA20BD" w:rsidRPr="00890249" w:rsidRDefault="00BA20BD"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00" w:type="dxa"/>
            <w:shd w:val="clear" w:color="auto" w:fill="F2F2F2" w:themeFill="background1" w:themeFillShade="F2"/>
          </w:tcPr>
          <w:p w14:paraId="545B48F2" w14:textId="53701112" w:rsidR="00BA20BD" w:rsidRPr="00890249" w:rsidRDefault="00BA20BD"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03" w:type="dxa"/>
            <w:shd w:val="clear" w:color="auto" w:fill="F2F2F2" w:themeFill="background1" w:themeFillShade="F2"/>
          </w:tcPr>
          <w:p w14:paraId="4D0A417B" w14:textId="77777777" w:rsidR="00BA20BD" w:rsidRPr="00890249" w:rsidRDefault="00BA20BD"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3EC55054" w14:textId="77777777" w:rsidTr="00890249">
        <w:trPr>
          <w:trHeight w:val="284"/>
        </w:trPr>
        <w:tc>
          <w:tcPr>
            <w:tcW w:w="1543" w:type="dxa"/>
            <w:vMerge w:val="restart"/>
            <w:vAlign w:val="center"/>
          </w:tcPr>
          <w:p w14:paraId="2AB63AA5"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CP 4</w:t>
            </w:r>
          </w:p>
        </w:tc>
        <w:tc>
          <w:tcPr>
            <w:tcW w:w="1333" w:type="dxa"/>
            <w:vMerge w:val="restart"/>
            <w:vAlign w:val="center"/>
          </w:tcPr>
          <w:p w14:paraId="2BF484D0"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392" w:type="dxa"/>
            <w:vMerge w:val="restart"/>
            <w:vAlign w:val="center"/>
          </w:tcPr>
          <w:p w14:paraId="5E97F43B"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751" w:type="dxa"/>
            <w:vMerge w:val="restart"/>
            <w:vAlign w:val="center"/>
          </w:tcPr>
          <w:p w14:paraId="06815F04"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(iii)</w:t>
            </w:r>
          </w:p>
        </w:tc>
        <w:tc>
          <w:tcPr>
            <w:tcW w:w="1000" w:type="dxa"/>
          </w:tcPr>
          <w:p w14:paraId="2C26DF4A"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126</w:t>
            </w:r>
            <w:r w:rsidR="00E12C2A" w:rsidRPr="00890249">
              <w:rPr>
                <w:rFonts w:asciiTheme="minorHAnsi" w:eastAsia="Times New Roman" w:hAnsiTheme="minorHAnsi" w:cstheme="minorHAnsi"/>
                <w:iCs/>
                <w:noProof/>
                <w:sz w:val="20"/>
              </w:rPr>
              <w:t xml:space="preserve"> Infrastruktura mieszkaniowa (inna niż dla migrantów, uchodźców i osób objętych ochroną międzynarodową lub ubiegajacych się o nią)</w:t>
            </w:r>
          </w:p>
        </w:tc>
        <w:tc>
          <w:tcPr>
            <w:tcW w:w="2303" w:type="dxa"/>
          </w:tcPr>
          <w:p w14:paraId="6A50F49E" w14:textId="78D77334" w:rsidR="00BA20BD" w:rsidRPr="00890249" w:rsidRDefault="00B65F73"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3 000 000 </w:t>
            </w:r>
          </w:p>
        </w:tc>
      </w:tr>
      <w:tr w:rsidR="00BA20BD" w:rsidRPr="00890249" w14:paraId="3BD0BD21" w14:textId="77777777" w:rsidTr="005C6AF0">
        <w:trPr>
          <w:trHeight w:val="284"/>
        </w:trPr>
        <w:tc>
          <w:tcPr>
            <w:tcW w:w="1543" w:type="dxa"/>
            <w:vMerge/>
          </w:tcPr>
          <w:p w14:paraId="32A774D1" w14:textId="77777777" w:rsidR="00BA20BD" w:rsidRPr="00890249" w:rsidRDefault="00BA20BD" w:rsidP="005C6AF0">
            <w:pPr>
              <w:jc w:val="center"/>
              <w:rPr>
                <w:rFonts w:asciiTheme="minorHAnsi" w:eastAsia="Times New Roman" w:hAnsiTheme="minorHAnsi" w:cstheme="minorHAnsi"/>
                <w:iCs/>
                <w:noProof/>
                <w:sz w:val="20"/>
              </w:rPr>
            </w:pPr>
          </w:p>
        </w:tc>
        <w:tc>
          <w:tcPr>
            <w:tcW w:w="1333" w:type="dxa"/>
            <w:vMerge/>
          </w:tcPr>
          <w:p w14:paraId="5D3948A5" w14:textId="77777777" w:rsidR="00BA20BD" w:rsidRPr="00890249" w:rsidRDefault="00BA20BD" w:rsidP="005C6AF0">
            <w:pPr>
              <w:jc w:val="center"/>
              <w:rPr>
                <w:rFonts w:asciiTheme="minorHAnsi" w:eastAsia="Times New Roman" w:hAnsiTheme="minorHAnsi" w:cstheme="minorHAnsi"/>
                <w:iCs/>
                <w:noProof/>
                <w:sz w:val="20"/>
              </w:rPr>
            </w:pPr>
          </w:p>
        </w:tc>
        <w:tc>
          <w:tcPr>
            <w:tcW w:w="1392" w:type="dxa"/>
            <w:vMerge/>
          </w:tcPr>
          <w:p w14:paraId="79A4D028" w14:textId="77777777" w:rsidR="00BA20BD" w:rsidRPr="00890249" w:rsidRDefault="00BA20BD" w:rsidP="005C6AF0">
            <w:pPr>
              <w:jc w:val="center"/>
              <w:rPr>
                <w:rFonts w:asciiTheme="minorHAnsi" w:hAnsiTheme="minorHAnsi" w:cstheme="minorHAnsi"/>
                <w:noProof/>
                <w:sz w:val="20"/>
              </w:rPr>
            </w:pPr>
          </w:p>
        </w:tc>
        <w:tc>
          <w:tcPr>
            <w:tcW w:w="1751" w:type="dxa"/>
            <w:vMerge/>
          </w:tcPr>
          <w:p w14:paraId="42D29627" w14:textId="77777777" w:rsidR="00BA20BD" w:rsidRPr="00890249" w:rsidRDefault="00BA20BD" w:rsidP="005C6AF0">
            <w:pPr>
              <w:jc w:val="center"/>
              <w:rPr>
                <w:rFonts w:asciiTheme="minorHAnsi" w:hAnsiTheme="minorHAnsi" w:cstheme="minorHAnsi"/>
                <w:noProof/>
                <w:sz w:val="20"/>
              </w:rPr>
            </w:pPr>
          </w:p>
        </w:tc>
        <w:tc>
          <w:tcPr>
            <w:tcW w:w="1000" w:type="dxa"/>
          </w:tcPr>
          <w:p w14:paraId="23D72751"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127</w:t>
            </w:r>
            <w:r w:rsidR="00E12C2A" w:rsidRPr="00890249">
              <w:rPr>
                <w:rFonts w:asciiTheme="minorHAnsi" w:eastAsia="Times New Roman" w:hAnsiTheme="minorHAnsi" w:cstheme="minorHAnsi"/>
                <w:iCs/>
                <w:noProof/>
                <w:sz w:val="20"/>
              </w:rPr>
              <w:t xml:space="preserve"> Pozostała infrastruktura społeczna przeczyniająca się do włączenia społecznego</w:t>
            </w:r>
          </w:p>
        </w:tc>
        <w:tc>
          <w:tcPr>
            <w:tcW w:w="2303" w:type="dxa"/>
          </w:tcPr>
          <w:p w14:paraId="100C1D67" w14:textId="7C6B97B6" w:rsidR="00BA20BD" w:rsidRPr="00890249" w:rsidRDefault="00B65F73"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17 000 000 </w:t>
            </w:r>
          </w:p>
        </w:tc>
      </w:tr>
    </w:tbl>
    <w:p w14:paraId="51F4641E" w14:textId="77777777" w:rsidR="00BA20BD" w:rsidRPr="00890249" w:rsidRDefault="00BA20BD" w:rsidP="00BA20BD">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59"/>
        <w:gridCol w:w="1348"/>
        <w:gridCol w:w="1407"/>
        <w:gridCol w:w="1614"/>
        <w:gridCol w:w="1037"/>
        <w:gridCol w:w="2096"/>
      </w:tblGrid>
      <w:tr w:rsidR="00BA20BD" w:rsidRPr="00890249" w14:paraId="67DA8DB5" w14:textId="77777777" w:rsidTr="005C6AF0">
        <w:tc>
          <w:tcPr>
            <w:tcW w:w="9288" w:type="dxa"/>
            <w:gridSpan w:val="6"/>
            <w:shd w:val="clear" w:color="auto" w:fill="D9D9D9" w:themeFill="background1" w:themeFillShade="D9"/>
          </w:tcPr>
          <w:p w14:paraId="27B1B787"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BA20BD" w:rsidRPr="00890249" w14:paraId="20358880" w14:textId="77777777" w:rsidTr="00890249">
        <w:tc>
          <w:tcPr>
            <w:tcW w:w="1599" w:type="dxa"/>
            <w:tcBorders>
              <w:bottom w:val="single" w:sz="4" w:space="0" w:color="auto"/>
            </w:tcBorders>
            <w:shd w:val="clear" w:color="auto" w:fill="F2F2F2" w:themeFill="background1" w:themeFillShade="F2"/>
          </w:tcPr>
          <w:p w14:paraId="467B468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tcBorders>
              <w:bottom w:val="single" w:sz="4" w:space="0" w:color="auto"/>
            </w:tcBorders>
            <w:shd w:val="clear" w:color="auto" w:fill="F2F2F2" w:themeFill="background1" w:themeFillShade="F2"/>
          </w:tcPr>
          <w:p w14:paraId="024D607E"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tcBorders>
              <w:bottom w:val="single" w:sz="4" w:space="0" w:color="auto"/>
            </w:tcBorders>
            <w:shd w:val="clear" w:color="auto" w:fill="F2F2F2" w:themeFill="background1" w:themeFillShade="F2"/>
          </w:tcPr>
          <w:p w14:paraId="6D7B8522"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tcBorders>
              <w:bottom w:val="single" w:sz="4" w:space="0" w:color="auto"/>
            </w:tcBorders>
            <w:shd w:val="clear" w:color="auto" w:fill="F2F2F2" w:themeFill="background1" w:themeFillShade="F2"/>
          </w:tcPr>
          <w:p w14:paraId="36AF4E82"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tcBorders>
              <w:bottom w:val="single" w:sz="4" w:space="0" w:color="auto"/>
            </w:tcBorders>
            <w:shd w:val="clear" w:color="auto" w:fill="F2F2F2" w:themeFill="background1" w:themeFillShade="F2"/>
          </w:tcPr>
          <w:p w14:paraId="7E63A405"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tcBorders>
              <w:bottom w:val="single" w:sz="4" w:space="0" w:color="auto"/>
            </w:tcBorders>
            <w:shd w:val="clear" w:color="auto" w:fill="F2F2F2" w:themeFill="background1" w:themeFillShade="F2"/>
          </w:tcPr>
          <w:p w14:paraId="4F984901"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5720DF49" w14:textId="77777777" w:rsidTr="00890249">
        <w:tc>
          <w:tcPr>
            <w:tcW w:w="1599" w:type="dxa"/>
            <w:tcBorders>
              <w:bottom w:val="single" w:sz="4" w:space="0" w:color="auto"/>
            </w:tcBorders>
            <w:vAlign w:val="center"/>
          </w:tcPr>
          <w:p w14:paraId="40C267DF"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Borders>
              <w:bottom w:val="single" w:sz="4" w:space="0" w:color="auto"/>
            </w:tcBorders>
            <w:vAlign w:val="center"/>
          </w:tcPr>
          <w:p w14:paraId="7D17B9E3"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33" w:type="dxa"/>
            <w:tcBorders>
              <w:bottom w:val="single" w:sz="4" w:space="0" w:color="auto"/>
            </w:tcBorders>
            <w:vAlign w:val="center"/>
          </w:tcPr>
          <w:p w14:paraId="12433E8A" w14:textId="77777777" w:rsidR="00BA20BD" w:rsidRPr="00890249" w:rsidRDefault="00BA20BD" w:rsidP="005C6AF0">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tcBorders>
              <w:bottom w:val="single" w:sz="4" w:space="0" w:color="auto"/>
            </w:tcBorders>
            <w:vAlign w:val="center"/>
          </w:tcPr>
          <w:p w14:paraId="38C2FE63"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(iii)</w:t>
            </w:r>
          </w:p>
        </w:tc>
        <w:tc>
          <w:tcPr>
            <w:tcW w:w="1053" w:type="dxa"/>
            <w:tcBorders>
              <w:bottom w:val="single" w:sz="4" w:space="0" w:color="auto"/>
            </w:tcBorders>
            <w:vAlign w:val="center"/>
          </w:tcPr>
          <w:p w14:paraId="2BA5F608"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E12C2A" w:rsidRPr="00890249">
              <w:rPr>
                <w:rFonts w:asciiTheme="minorHAnsi" w:eastAsia="Times New Roman" w:hAnsiTheme="minorHAnsi" w:cstheme="minorHAnsi"/>
                <w:iCs/>
                <w:noProof/>
                <w:sz w:val="20"/>
              </w:rPr>
              <w:t xml:space="preserve"> Dotacja</w:t>
            </w:r>
          </w:p>
        </w:tc>
        <w:tc>
          <w:tcPr>
            <w:tcW w:w="2175" w:type="dxa"/>
            <w:tcBorders>
              <w:bottom w:val="single" w:sz="4" w:space="0" w:color="auto"/>
            </w:tcBorders>
            <w:vAlign w:val="center"/>
          </w:tcPr>
          <w:p w14:paraId="18DC511F" w14:textId="46A80AD7" w:rsidR="00BA20BD" w:rsidRPr="00890249" w:rsidRDefault="00B65F73"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20 000 000 </w:t>
            </w:r>
          </w:p>
        </w:tc>
      </w:tr>
    </w:tbl>
    <w:p w14:paraId="2322E93C" w14:textId="77777777" w:rsidR="00BA20BD" w:rsidRPr="00890249" w:rsidRDefault="00BA20BD" w:rsidP="00BA20BD">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67"/>
        <w:gridCol w:w="1265"/>
        <w:gridCol w:w="1346"/>
        <w:gridCol w:w="1547"/>
        <w:gridCol w:w="1520"/>
        <w:gridCol w:w="1916"/>
      </w:tblGrid>
      <w:tr w:rsidR="00BA20BD" w:rsidRPr="00890249" w14:paraId="5FBA956F" w14:textId="77777777" w:rsidTr="00F62734">
        <w:tc>
          <w:tcPr>
            <w:tcW w:w="9288" w:type="dxa"/>
            <w:gridSpan w:val="6"/>
            <w:shd w:val="clear" w:color="auto" w:fill="D9D9D9" w:themeFill="background1" w:themeFillShade="D9"/>
          </w:tcPr>
          <w:p w14:paraId="0D5A63FD" w14:textId="5061DAA6"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BA20BD" w:rsidRPr="00890249" w14:paraId="75FCFBEE" w14:textId="77777777" w:rsidTr="00F62734">
        <w:tc>
          <w:tcPr>
            <w:tcW w:w="1599" w:type="dxa"/>
            <w:shd w:val="clear" w:color="auto" w:fill="F2F2F2" w:themeFill="background1" w:themeFillShade="F2"/>
          </w:tcPr>
          <w:p w14:paraId="1403A9D4"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6B96F012"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1884DC60"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3C070FD7"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75F7711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0BA4BDC"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3958F1C8" w14:textId="77777777" w:rsidTr="005C6AF0">
        <w:tc>
          <w:tcPr>
            <w:tcW w:w="1599" w:type="dxa"/>
          </w:tcPr>
          <w:p w14:paraId="0559BE78"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tcPr>
          <w:p w14:paraId="5EECAF60"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33" w:type="dxa"/>
          </w:tcPr>
          <w:p w14:paraId="3910CF0A"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44" w:type="dxa"/>
            <w:vAlign w:val="center"/>
          </w:tcPr>
          <w:p w14:paraId="54E39251" w14:textId="77777777" w:rsidR="00BA20BD" w:rsidRPr="00890249" w:rsidRDefault="00BA20BD" w:rsidP="005C6AF0">
            <w:pPr>
              <w:jc w:val="center"/>
              <w:rPr>
                <w:rFonts w:asciiTheme="minorHAnsi" w:hAnsiTheme="minorHAnsi" w:cstheme="minorHAnsi"/>
                <w:noProof/>
                <w:sz w:val="20"/>
              </w:rPr>
            </w:pPr>
            <w:r w:rsidRPr="00890249">
              <w:rPr>
                <w:rFonts w:asciiTheme="minorHAnsi" w:hAnsiTheme="minorHAnsi" w:cstheme="minorHAnsi"/>
                <w:noProof/>
                <w:sz w:val="20"/>
              </w:rPr>
              <w:t>(iii)</w:t>
            </w:r>
          </w:p>
        </w:tc>
        <w:tc>
          <w:tcPr>
            <w:tcW w:w="1053" w:type="dxa"/>
            <w:vAlign w:val="center"/>
          </w:tcPr>
          <w:p w14:paraId="3971058B"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E12C2A" w:rsidRPr="00890249">
              <w:rPr>
                <w:rFonts w:asciiTheme="minorHAnsi" w:eastAsia="Times New Roman" w:hAnsiTheme="minorHAnsi" w:cstheme="minorHAnsi"/>
                <w:iCs/>
                <w:noProof/>
                <w:sz w:val="20"/>
              </w:rPr>
              <w:t xml:space="preserve"> Brak ukierunkowania terytorialnego</w:t>
            </w:r>
          </w:p>
        </w:tc>
        <w:tc>
          <w:tcPr>
            <w:tcW w:w="2175" w:type="dxa"/>
            <w:vAlign w:val="center"/>
          </w:tcPr>
          <w:p w14:paraId="3FEE705A" w14:textId="37B4BF56" w:rsidR="00BA20BD" w:rsidRPr="00890249" w:rsidRDefault="00B65F73" w:rsidP="005C6AF0">
            <w:pPr>
              <w:jc w:val="right"/>
              <w:rPr>
                <w:rFonts w:asciiTheme="minorHAnsi" w:hAnsiTheme="minorHAnsi" w:cstheme="minorHAnsi"/>
                <w:noProof/>
                <w:sz w:val="20"/>
              </w:rPr>
            </w:pPr>
            <w:r w:rsidRPr="00890249">
              <w:rPr>
                <w:rFonts w:asciiTheme="minorHAnsi" w:hAnsiTheme="minorHAnsi" w:cstheme="minorHAnsi"/>
                <w:noProof/>
                <w:sz w:val="20"/>
              </w:rPr>
              <w:t xml:space="preserve">20 000 000 </w:t>
            </w:r>
          </w:p>
        </w:tc>
      </w:tr>
    </w:tbl>
    <w:p w14:paraId="24404B44" w14:textId="77777777" w:rsidR="00BA20BD" w:rsidRPr="00890249" w:rsidRDefault="00BA20BD" w:rsidP="00BA20BD">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470"/>
        <w:gridCol w:w="1265"/>
        <w:gridCol w:w="1346"/>
        <w:gridCol w:w="1548"/>
        <w:gridCol w:w="1651"/>
        <w:gridCol w:w="2042"/>
      </w:tblGrid>
      <w:tr w:rsidR="00BA20BD" w:rsidRPr="00890249" w14:paraId="3F5D9C1C" w14:textId="77777777" w:rsidTr="005C6AF0">
        <w:tc>
          <w:tcPr>
            <w:tcW w:w="9322" w:type="dxa"/>
            <w:gridSpan w:val="6"/>
            <w:shd w:val="clear" w:color="auto" w:fill="D9D9D9" w:themeFill="background1" w:themeFillShade="D9"/>
          </w:tcPr>
          <w:p w14:paraId="51943FBA"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uzupełniające obszary tematyczne EFS+</w:t>
            </w:r>
          </w:p>
        </w:tc>
      </w:tr>
      <w:tr w:rsidR="00BA20BD" w:rsidRPr="00890249" w14:paraId="376A1F38" w14:textId="77777777" w:rsidTr="00517758">
        <w:tc>
          <w:tcPr>
            <w:tcW w:w="1470" w:type="dxa"/>
            <w:shd w:val="clear" w:color="auto" w:fill="F2F2F2" w:themeFill="background1" w:themeFillShade="F2"/>
          </w:tcPr>
          <w:p w14:paraId="053ABA5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265" w:type="dxa"/>
            <w:shd w:val="clear" w:color="auto" w:fill="F2F2F2" w:themeFill="background1" w:themeFillShade="F2"/>
          </w:tcPr>
          <w:p w14:paraId="390B38C1"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346" w:type="dxa"/>
            <w:shd w:val="clear" w:color="auto" w:fill="F2F2F2" w:themeFill="background1" w:themeFillShade="F2"/>
          </w:tcPr>
          <w:p w14:paraId="7E8D10D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48" w:type="dxa"/>
            <w:shd w:val="clear" w:color="auto" w:fill="F2F2F2" w:themeFill="background1" w:themeFillShade="F2"/>
          </w:tcPr>
          <w:p w14:paraId="04CBE1F3"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651" w:type="dxa"/>
            <w:shd w:val="clear" w:color="auto" w:fill="F2F2F2" w:themeFill="background1" w:themeFillShade="F2"/>
          </w:tcPr>
          <w:p w14:paraId="1CA7D2AA"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042" w:type="dxa"/>
            <w:shd w:val="clear" w:color="auto" w:fill="F2F2F2" w:themeFill="background1" w:themeFillShade="F2"/>
          </w:tcPr>
          <w:p w14:paraId="6D497DC0"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517758" w:rsidRPr="00890249" w14:paraId="205C39BA" w14:textId="77777777" w:rsidTr="00517758">
        <w:tc>
          <w:tcPr>
            <w:tcW w:w="1470" w:type="dxa"/>
            <w:vAlign w:val="center"/>
          </w:tcPr>
          <w:p w14:paraId="7D3C738B"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265" w:type="dxa"/>
            <w:vAlign w:val="center"/>
          </w:tcPr>
          <w:p w14:paraId="13299149"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EFRR</w:t>
            </w:r>
          </w:p>
        </w:tc>
        <w:tc>
          <w:tcPr>
            <w:tcW w:w="1346" w:type="dxa"/>
            <w:vAlign w:val="center"/>
          </w:tcPr>
          <w:p w14:paraId="3CB765AD"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548" w:type="dxa"/>
            <w:vAlign w:val="center"/>
          </w:tcPr>
          <w:p w14:paraId="62C4749D" w14:textId="77777777" w:rsidR="00517758" w:rsidRPr="00890249" w:rsidRDefault="00517758" w:rsidP="005C6AF0">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(iii)</w:t>
            </w:r>
          </w:p>
        </w:tc>
        <w:tc>
          <w:tcPr>
            <w:tcW w:w="1651" w:type="dxa"/>
            <w:vAlign w:val="center"/>
          </w:tcPr>
          <w:p w14:paraId="25BA91EA" w14:textId="2C1D08EE" w:rsidR="00517758" w:rsidRPr="00890249" w:rsidRDefault="00192C3A" w:rsidP="0089024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p>
        </w:tc>
        <w:tc>
          <w:tcPr>
            <w:tcW w:w="2042" w:type="dxa"/>
            <w:vAlign w:val="center"/>
          </w:tcPr>
          <w:p w14:paraId="017C808C" w14:textId="70EC5F43" w:rsidR="00517758" w:rsidRPr="00890249" w:rsidRDefault="00192C3A"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p>
        </w:tc>
      </w:tr>
    </w:tbl>
    <w:p w14:paraId="3AD562DB" w14:textId="77777777" w:rsidR="00BA20BD" w:rsidRPr="00890249" w:rsidRDefault="00BA20BD" w:rsidP="00BA20BD">
      <w:pPr>
        <w:spacing w:before="0" w:after="160" w:line="259" w:lineRule="auto"/>
        <w:jc w:val="left"/>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BA20BD" w:rsidRPr="00890249" w14:paraId="19A5FAFD" w14:textId="77777777" w:rsidTr="005C6AF0">
        <w:tc>
          <w:tcPr>
            <w:tcW w:w="9322" w:type="dxa"/>
            <w:gridSpan w:val="6"/>
            <w:shd w:val="clear" w:color="auto" w:fill="D9D9D9" w:themeFill="background1" w:themeFillShade="D9"/>
          </w:tcPr>
          <w:p w14:paraId="273E3C8F" w14:textId="77777777" w:rsidR="00BA20BD" w:rsidRPr="00890249" w:rsidRDefault="00BA20BD" w:rsidP="005C6AF0">
            <w:pPr>
              <w:spacing w:before="0" w:after="160" w:line="259" w:lineRule="auto"/>
              <w:jc w:val="left"/>
              <w:rPr>
                <w:rFonts w:asciiTheme="minorHAnsi" w:eastAsiaTheme="minorHAnsi" w:hAnsiTheme="minorHAnsi" w:cstheme="minorHAnsi"/>
                <w:b/>
                <w:sz w:val="20"/>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 EFS+, EFRR, Fundusz Spójności i FST</w:t>
            </w:r>
          </w:p>
        </w:tc>
      </w:tr>
      <w:tr w:rsidR="00BA20BD" w:rsidRPr="00890249" w14:paraId="66668D6D" w14:textId="77777777" w:rsidTr="005C6AF0">
        <w:tc>
          <w:tcPr>
            <w:tcW w:w="1570" w:type="dxa"/>
            <w:shd w:val="clear" w:color="auto" w:fill="F2F2F2" w:themeFill="background1" w:themeFillShade="F2"/>
          </w:tcPr>
          <w:p w14:paraId="0F9A88DD"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36814EAB"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19B3BB6F"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1F2A457A"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33B81CFB"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393CA3D9"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BA20BD" w:rsidRPr="00890249" w14:paraId="7814A4DD" w14:textId="77777777" w:rsidTr="005C6AF0">
        <w:tc>
          <w:tcPr>
            <w:tcW w:w="1570" w:type="dxa"/>
            <w:shd w:val="clear" w:color="auto" w:fill="auto"/>
            <w:vAlign w:val="center"/>
          </w:tcPr>
          <w:p w14:paraId="074C8763"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CP 4</w:t>
            </w:r>
          </w:p>
        </w:tc>
        <w:tc>
          <w:tcPr>
            <w:tcW w:w="1360" w:type="dxa"/>
            <w:shd w:val="clear" w:color="auto" w:fill="auto"/>
            <w:vAlign w:val="center"/>
          </w:tcPr>
          <w:p w14:paraId="1DF28CF3"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EFRR</w:t>
            </w:r>
          </w:p>
        </w:tc>
        <w:tc>
          <w:tcPr>
            <w:tcW w:w="1415" w:type="dxa"/>
            <w:shd w:val="clear" w:color="auto" w:fill="auto"/>
            <w:vAlign w:val="center"/>
          </w:tcPr>
          <w:p w14:paraId="7D1611A7"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słabiej rozwinięte</w:t>
            </w:r>
          </w:p>
        </w:tc>
        <w:tc>
          <w:tcPr>
            <w:tcW w:w="1628" w:type="dxa"/>
            <w:vAlign w:val="center"/>
          </w:tcPr>
          <w:p w14:paraId="52B02988"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(iii)</w:t>
            </w:r>
          </w:p>
        </w:tc>
        <w:tc>
          <w:tcPr>
            <w:tcW w:w="1026" w:type="dxa"/>
            <w:vAlign w:val="center"/>
          </w:tcPr>
          <w:p w14:paraId="4B36159B" w14:textId="45BECFBD" w:rsidR="00BA20BD" w:rsidRPr="00890249" w:rsidRDefault="003928D4" w:rsidP="005C6AF0">
            <w:pPr>
              <w:spacing w:before="0" w:after="160" w:line="259" w:lineRule="auto"/>
              <w:jc w:val="center"/>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03</w:t>
            </w:r>
            <w:r w:rsidRPr="00890249">
              <w:rPr>
                <w:rFonts w:asciiTheme="minorHAnsi" w:eastAsia="Times New Roman" w:hAnsiTheme="minorHAnsi" w:cstheme="minorHAnsi"/>
                <w:iCs/>
                <w:noProof/>
                <w:sz w:val="20"/>
              </w:rPr>
              <w:t xml:space="preserve"> Projekty </w:t>
            </w:r>
            <w:r>
              <w:rPr>
                <w:rFonts w:asciiTheme="minorHAnsi" w:eastAsia="Times New Roman" w:hAnsiTheme="minorHAnsi" w:cstheme="minorHAnsi"/>
                <w:iCs/>
                <w:noProof/>
                <w:sz w:val="20"/>
              </w:rPr>
              <w:t>neutralne w kwestii równouprawnienia płci</w:t>
            </w:r>
          </w:p>
        </w:tc>
        <w:tc>
          <w:tcPr>
            <w:tcW w:w="2323" w:type="dxa"/>
            <w:vAlign w:val="center"/>
          </w:tcPr>
          <w:p w14:paraId="74E7B4EC" w14:textId="7305A79B" w:rsidR="00BA20BD" w:rsidRPr="00890249" w:rsidRDefault="008D0BF8" w:rsidP="005C6AF0">
            <w:pPr>
              <w:spacing w:before="0" w:after="160" w:line="259" w:lineRule="auto"/>
              <w:jc w:val="right"/>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 xml:space="preserve">20 000 000 </w:t>
            </w:r>
          </w:p>
        </w:tc>
      </w:tr>
    </w:tbl>
    <w:p w14:paraId="4B05981D" w14:textId="77777777" w:rsidR="008B081F" w:rsidRPr="00890249" w:rsidRDefault="008B081F" w:rsidP="00BA20BD">
      <w:pPr>
        <w:spacing w:before="0" w:after="160" w:line="259" w:lineRule="auto"/>
        <w:jc w:val="left"/>
        <w:rPr>
          <w:rFonts w:asciiTheme="minorHAnsi" w:hAnsiTheme="minorHAnsi" w:cstheme="minorHAnsi"/>
          <w:b/>
          <w:noProof/>
          <w:color w:val="FF0000"/>
          <w:sz w:val="22"/>
          <w:szCs w:val="22"/>
        </w:rPr>
      </w:pPr>
    </w:p>
    <w:p w14:paraId="6BC8D843" w14:textId="77777777" w:rsidR="007747A3" w:rsidRPr="00890249" w:rsidRDefault="007747A3" w:rsidP="007747A3">
      <w:pPr>
        <w:spacing w:before="0" w:after="160" w:line="259" w:lineRule="auto"/>
        <w:jc w:val="left"/>
        <w:rPr>
          <w:rFonts w:asciiTheme="minorHAnsi" w:hAnsiTheme="minorHAnsi" w:cstheme="minorHAnsi"/>
          <w:b/>
          <w:noProof/>
          <w:sz w:val="22"/>
        </w:rPr>
      </w:pPr>
      <w:r w:rsidRPr="00890249">
        <w:rPr>
          <w:rFonts w:asciiTheme="minorHAnsi" w:hAnsiTheme="minorHAnsi" w:cstheme="minorHAnsi"/>
          <w:b/>
          <w:noProof/>
          <w:sz w:val="22"/>
        </w:rPr>
        <w:t>2.1.9.3 (v) EFRR Cel szczegółowy</w:t>
      </w:r>
    </w:p>
    <w:p w14:paraId="131D7F2C" w14:textId="77777777" w:rsidR="007747A3" w:rsidRPr="00890249" w:rsidRDefault="007747A3" w:rsidP="007747A3">
      <w:pPr>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sz w:val="22"/>
        </w:rPr>
        <w:t>(v</w:t>
      </w:r>
      <w:r w:rsidRPr="00890249">
        <w:rPr>
          <w:rFonts w:asciiTheme="minorHAnsi" w:hAnsiTheme="minorHAnsi" w:cstheme="minorHAnsi"/>
          <w:b/>
          <w:noProof/>
          <w:color w:val="2F5496" w:themeColor="accent5" w:themeShade="BF"/>
          <w:sz w:val="22"/>
          <w:szCs w:val="22"/>
        </w:rPr>
        <w:t>) Zapewnianie równego dostępu do opieki zdrowotnej i wspieranie odporności systemów opieki zdrowotnej, w  tym podstawowej opieki zdrowotnej, oraz wspieranie przechodzenia od opieki instytucjonalnej do opieki rodzinnej i środowiskowej</w:t>
      </w:r>
    </w:p>
    <w:p w14:paraId="6DA48623" w14:textId="77777777" w:rsidR="007747A3" w:rsidRPr="00890249" w:rsidRDefault="007747A3" w:rsidP="007747A3">
      <w:pPr>
        <w:rPr>
          <w:rFonts w:asciiTheme="minorHAnsi" w:hAnsiTheme="minorHAnsi" w:cstheme="minorHAnsi"/>
          <w:b/>
          <w:noProof/>
          <w:sz w:val="22"/>
        </w:rPr>
      </w:pPr>
      <w:r w:rsidRPr="00890249">
        <w:rPr>
          <w:rFonts w:asciiTheme="minorHAnsi" w:hAnsiTheme="minorHAnsi" w:cstheme="minorHAnsi"/>
          <w:b/>
          <w:noProof/>
          <w:sz w:val="22"/>
        </w:rPr>
        <w:t>2.1.9.3.1 (v) Interwencje w ramach funduszy</w:t>
      </w:r>
    </w:p>
    <w:p w14:paraId="5BBACDAC" w14:textId="77777777" w:rsidR="007747A3" w:rsidRPr="00890249" w:rsidRDefault="007747A3" w:rsidP="007747A3">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Powiązane rodzaje działań</w:t>
      </w:r>
    </w:p>
    <w:p w14:paraId="23510C58" w14:textId="70B3CECE" w:rsidR="0093433C" w:rsidRPr="00890249" w:rsidRDefault="751CDD51" w:rsidP="00890249">
      <w:pPr>
        <w:pStyle w:val="Tekstpodstawowy"/>
        <w:rPr>
          <w:rFonts w:asciiTheme="minorHAnsi" w:hAnsiTheme="minorHAnsi" w:cstheme="minorHAnsi"/>
          <w:sz w:val="22"/>
          <w:szCs w:val="22"/>
        </w:rPr>
      </w:pPr>
      <w:r w:rsidRPr="00890249">
        <w:rPr>
          <w:rFonts w:asciiTheme="minorHAnsi" w:eastAsiaTheme="minorEastAsia" w:hAnsiTheme="minorHAnsi" w:cstheme="minorHAnsi"/>
          <w:sz w:val="22"/>
          <w:szCs w:val="22"/>
          <w:lang w:eastAsia="en-US" w:bidi="ar-SA"/>
        </w:rPr>
        <w:t xml:space="preserve">Głównymi barierami w dostępie do usług zdrowotnych w regionie są </w:t>
      </w:r>
      <w:r w:rsidRPr="00890249">
        <w:rPr>
          <w:rFonts w:asciiTheme="minorHAnsi" w:hAnsiTheme="minorHAnsi" w:cstheme="minorHAnsi"/>
          <w:sz w:val="22"/>
          <w:szCs w:val="22"/>
        </w:rPr>
        <w:t>czas oczekiwania na realizację świadczeń opieki zdrowotnej szczególnie specjalistycznych</w:t>
      </w:r>
      <w:r w:rsidR="001456F3" w:rsidRPr="00890249">
        <w:rPr>
          <w:rFonts w:asciiTheme="minorHAnsi" w:hAnsiTheme="minorHAnsi" w:cstheme="minorHAnsi"/>
          <w:sz w:val="22"/>
          <w:szCs w:val="22"/>
          <w:vertAlign w:val="superscript"/>
        </w:rPr>
        <w:footnoteReference w:id="223"/>
      </w:r>
      <w:r w:rsidRPr="00890249">
        <w:rPr>
          <w:rFonts w:asciiTheme="minorHAnsi" w:hAnsiTheme="minorHAnsi" w:cstheme="minorHAnsi"/>
          <w:sz w:val="22"/>
          <w:szCs w:val="22"/>
        </w:rPr>
        <w:t>, niedostatecznie rozwinięta podstawowa i ambulatoryjna opieka zdrowotna, nierównomiernie rozmieszczenie placówek i</w:t>
      </w:r>
      <w:r w:rsidR="007747A3" w:rsidRPr="00890249">
        <w:rPr>
          <w:rFonts w:asciiTheme="minorHAnsi" w:hAnsiTheme="minorHAnsi" w:cstheme="minorHAnsi"/>
          <w:sz w:val="22"/>
          <w:szCs w:val="22"/>
        </w:rPr>
        <w:t> </w:t>
      </w:r>
      <w:r w:rsidRPr="00890249">
        <w:rPr>
          <w:rFonts w:asciiTheme="minorHAnsi" w:hAnsiTheme="minorHAnsi" w:cstheme="minorHAnsi"/>
          <w:sz w:val="22"/>
          <w:szCs w:val="22"/>
        </w:rPr>
        <w:t>personelu medycznego, słabo rozwinięte zdeinstytucjonalizowane formy opieki długoterminowej i</w:t>
      </w:r>
      <w:r w:rsidR="007747A3" w:rsidRPr="00890249">
        <w:rPr>
          <w:rFonts w:asciiTheme="minorHAnsi" w:hAnsiTheme="minorHAnsi" w:cstheme="minorHAnsi"/>
          <w:sz w:val="22"/>
          <w:szCs w:val="22"/>
        </w:rPr>
        <w:t> </w:t>
      </w:r>
      <w:r w:rsidRPr="00890249">
        <w:rPr>
          <w:rFonts w:asciiTheme="minorHAnsi" w:hAnsiTheme="minorHAnsi" w:cstheme="minorHAnsi"/>
          <w:sz w:val="22"/>
          <w:szCs w:val="22"/>
        </w:rPr>
        <w:t>psychiatrycznej, nieadekwatny do potrzeb regionu dostęp do świadczeń w zakresie opieki paliatywnej, hospicyjnej</w:t>
      </w:r>
      <w:r w:rsidR="001456F3" w:rsidRPr="00890249">
        <w:rPr>
          <w:rFonts w:asciiTheme="minorHAnsi" w:hAnsiTheme="minorHAnsi" w:cstheme="minorHAnsi"/>
          <w:sz w:val="22"/>
          <w:szCs w:val="22"/>
          <w:vertAlign w:val="superscript"/>
        </w:rPr>
        <w:footnoteReference w:id="224"/>
      </w:r>
      <w:r w:rsidRPr="00890249">
        <w:rPr>
          <w:rFonts w:asciiTheme="minorHAnsi" w:hAnsiTheme="minorHAnsi" w:cstheme="minorHAnsi"/>
          <w:sz w:val="22"/>
          <w:szCs w:val="22"/>
        </w:rPr>
        <w:t xml:space="preserve">. Utrudniony dostęp do usług medycznych mają szczególnie mieszkańcy obszarów słabiej rozwiniętych gospodarczo i terenów wiejskich, a także osoby ze szczególnymi potrzebami, w tym osoby starsze, z niepełnosprawnościami, migranci, </w:t>
      </w:r>
      <w:r w:rsidR="00FA7F88" w:rsidRPr="00890249">
        <w:rPr>
          <w:rFonts w:asciiTheme="minorHAnsi" w:hAnsiTheme="minorHAnsi" w:cstheme="minorHAnsi"/>
          <w:sz w:val="22"/>
          <w:szCs w:val="22"/>
        </w:rPr>
        <w:t xml:space="preserve">czy </w:t>
      </w:r>
      <w:r w:rsidRPr="00890249">
        <w:rPr>
          <w:rFonts w:asciiTheme="minorHAnsi" w:hAnsiTheme="minorHAnsi" w:cstheme="minorHAnsi"/>
          <w:sz w:val="22"/>
          <w:szCs w:val="22"/>
        </w:rPr>
        <w:t>osoby o niskich dochodach.</w:t>
      </w:r>
    </w:p>
    <w:p w14:paraId="54F42DB1" w14:textId="49BB690D"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 powodu pandemii COVID-19 konieczne było </w:t>
      </w:r>
      <w:r w:rsidR="751CDD51" w:rsidRPr="00890249">
        <w:rPr>
          <w:rFonts w:asciiTheme="minorHAnsi" w:hAnsiTheme="minorHAnsi" w:cstheme="minorHAnsi"/>
          <w:sz w:val="22"/>
          <w:szCs w:val="22"/>
          <w:lang w:eastAsia="en-US" w:bidi="ar-SA"/>
        </w:rPr>
        <w:t>przeznaczenie</w:t>
      </w:r>
      <w:r w:rsidRPr="00890249">
        <w:rPr>
          <w:rFonts w:asciiTheme="minorHAnsi" w:hAnsiTheme="minorHAnsi" w:cstheme="minorHAnsi"/>
          <w:sz w:val="22"/>
          <w:szCs w:val="22"/>
          <w:lang w:eastAsia="en-US" w:bidi="ar-SA"/>
        </w:rPr>
        <w:t xml:space="preserve"> znacznych środków RPO WO 2014-2020 na zakup sprzętu i środków ochrony zdrowia, a także na zwiększenie wydajności szpitali i laboratoriów. </w:t>
      </w:r>
      <w:r w:rsidR="751CDD51" w:rsidRPr="00890249">
        <w:rPr>
          <w:rFonts w:asciiTheme="minorHAnsi" w:hAnsiTheme="minorHAnsi" w:cstheme="minorHAnsi"/>
          <w:sz w:val="22"/>
          <w:szCs w:val="22"/>
          <w:lang w:eastAsia="en-US" w:bidi="ar-SA"/>
        </w:rPr>
        <w:t xml:space="preserve">Konieczne jest kontynuowanie </w:t>
      </w:r>
      <w:r w:rsidRPr="00890249">
        <w:rPr>
          <w:rFonts w:asciiTheme="minorHAnsi" w:hAnsiTheme="minorHAnsi" w:cstheme="minorHAnsi"/>
          <w:sz w:val="22"/>
          <w:szCs w:val="22"/>
          <w:lang w:eastAsia="en-US" w:bidi="ar-SA"/>
        </w:rPr>
        <w:t>inwestyc</w:t>
      </w:r>
      <w:r w:rsidR="751CDD51" w:rsidRPr="00890249">
        <w:rPr>
          <w:rFonts w:asciiTheme="minorHAnsi" w:hAnsiTheme="minorHAnsi" w:cstheme="minorHAnsi"/>
          <w:sz w:val="22"/>
          <w:szCs w:val="22"/>
          <w:lang w:eastAsia="en-US" w:bidi="ar-SA"/>
        </w:rPr>
        <w:t>ji</w:t>
      </w:r>
      <w:r w:rsidRPr="00890249">
        <w:rPr>
          <w:rFonts w:asciiTheme="minorHAnsi" w:hAnsiTheme="minorHAnsi" w:cstheme="minorHAnsi"/>
          <w:sz w:val="22"/>
          <w:szCs w:val="22"/>
          <w:lang w:eastAsia="en-US" w:bidi="ar-SA"/>
        </w:rPr>
        <w:t xml:space="preserve"> infrastruktur</w:t>
      </w:r>
      <w:r w:rsidR="751CDD51" w:rsidRPr="00890249">
        <w:rPr>
          <w:rFonts w:asciiTheme="minorHAnsi" w:hAnsiTheme="minorHAnsi" w:cstheme="minorHAnsi"/>
          <w:sz w:val="22"/>
          <w:szCs w:val="22"/>
          <w:lang w:eastAsia="en-US" w:bidi="ar-SA"/>
        </w:rPr>
        <w:t>alnych</w:t>
      </w:r>
      <w:r w:rsidRPr="00890249">
        <w:rPr>
          <w:rFonts w:asciiTheme="minorHAnsi" w:hAnsiTheme="minorHAnsi" w:cstheme="minorHAnsi"/>
          <w:sz w:val="22"/>
          <w:szCs w:val="22"/>
          <w:lang w:eastAsia="en-US" w:bidi="ar-SA"/>
        </w:rPr>
        <w:t xml:space="preserve"> w regionie, aby wyrównać środki</w:t>
      </w:r>
      <w:r w:rsidR="00DC72C4" w:rsidRPr="00890249">
        <w:rPr>
          <w:rFonts w:asciiTheme="minorHAnsi" w:hAnsiTheme="minorHAnsi" w:cstheme="minorHAnsi"/>
          <w:sz w:val="22"/>
          <w:szCs w:val="22"/>
          <w:lang w:eastAsia="en-US" w:bidi="ar-SA"/>
        </w:rPr>
        <w:t xml:space="preserve"> finansowe</w:t>
      </w:r>
      <w:r w:rsidRPr="00890249">
        <w:rPr>
          <w:rFonts w:asciiTheme="minorHAnsi" w:hAnsiTheme="minorHAnsi" w:cstheme="minorHAnsi"/>
          <w:sz w:val="22"/>
          <w:szCs w:val="22"/>
          <w:lang w:eastAsia="en-US" w:bidi="ar-SA"/>
        </w:rPr>
        <w:t xml:space="preserve"> na inne świadczenia zdrowotne i inwestycje, które zostały przesunięte na późniejsze terminy lub przekierowane na walkę z pandemią COVID-19</w:t>
      </w:r>
      <w:r w:rsidR="00BA20BD" w:rsidRPr="00890249">
        <w:rPr>
          <w:rFonts w:asciiTheme="minorHAnsi" w:hAnsiTheme="minorHAnsi" w:cstheme="minorHAnsi"/>
          <w:sz w:val="22"/>
          <w:szCs w:val="22"/>
          <w:vertAlign w:val="superscript"/>
          <w:lang w:eastAsia="en-US" w:bidi="ar-SA"/>
        </w:rPr>
        <w:footnoteReference w:id="225"/>
      </w:r>
      <w:r w:rsidRPr="00890249">
        <w:rPr>
          <w:rFonts w:asciiTheme="minorHAnsi" w:hAnsiTheme="minorHAnsi" w:cstheme="minorHAnsi"/>
          <w:sz w:val="22"/>
          <w:szCs w:val="22"/>
          <w:lang w:eastAsia="en-US" w:bidi="ar-SA"/>
        </w:rPr>
        <w:t xml:space="preserve">. </w:t>
      </w:r>
    </w:p>
    <w:p w14:paraId="5B8DB763" w14:textId="7993D499" w:rsidR="0093433C" w:rsidRPr="00890249" w:rsidRDefault="7E651917" w:rsidP="00890249">
      <w:pPr>
        <w:pStyle w:val="Tekstpodstawowy"/>
        <w:rPr>
          <w:rFonts w:asciiTheme="minorHAnsi" w:eastAsiaTheme="minorEastAsia" w:hAnsiTheme="minorHAnsi" w:cstheme="minorHAnsi"/>
          <w:sz w:val="22"/>
          <w:szCs w:val="22"/>
          <w:lang w:eastAsia="en-US" w:bidi="ar-SA"/>
        </w:rPr>
      </w:pPr>
      <w:r w:rsidRPr="00890249">
        <w:rPr>
          <w:rFonts w:asciiTheme="minorHAnsi" w:hAnsiTheme="minorHAnsi" w:cstheme="minorHAnsi"/>
          <w:sz w:val="22"/>
          <w:szCs w:val="22"/>
        </w:rPr>
        <w:t xml:space="preserve">Mając na uwadze regionalną koncepcję realizacji wsparcia w obszarze zdrowia, w tym komplementarność działań EFS+ i EFRR, wsparcie skierowane będzie w szczególności na: tworzenie </w:t>
      </w:r>
      <w:r w:rsidR="7E79F90F" w:rsidRPr="00890249">
        <w:rPr>
          <w:rFonts w:asciiTheme="minorHAnsi" w:hAnsiTheme="minorHAnsi" w:cstheme="minorHAnsi"/>
          <w:sz w:val="22"/>
          <w:szCs w:val="22"/>
        </w:rPr>
        <w:t>CZP</w:t>
      </w:r>
      <w:r w:rsidRPr="00890249">
        <w:rPr>
          <w:rFonts w:asciiTheme="minorHAnsi" w:hAnsiTheme="minorHAnsi" w:cstheme="minorHAnsi"/>
          <w:sz w:val="22"/>
          <w:szCs w:val="22"/>
        </w:rPr>
        <w:t xml:space="preserve"> i innych form środowiskowego wsparcia psychicznego dla osób dorosłych, wdrażanie standardów dostępności w podmiotach </w:t>
      </w:r>
      <w:r w:rsidR="3B547312" w:rsidRPr="00890249">
        <w:rPr>
          <w:rFonts w:asciiTheme="minorHAnsi" w:hAnsiTheme="minorHAnsi" w:cstheme="minorHAnsi"/>
          <w:sz w:val="22"/>
          <w:szCs w:val="22"/>
        </w:rPr>
        <w:t xml:space="preserve">wykonujących działalność </w:t>
      </w:r>
      <w:r w:rsidR="080CBE19" w:rsidRPr="00890249">
        <w:rPr>
          <w:rFonts w:asciiTheme="minorHAnsi" w:hAnsiTheme="minorHAnsi" w:cstheme="minorHAnsi"/>
          <w:sz w:val="22"/>
          <w:szCs w:val="22"/>
        </w:rPr>
        <w:t>leczniczą</w:t>
      </w:r>
      <w:r w:rsidR="00DC72C4" w:rsidRPr="00890249">
        <w:rPr>
          <w:rFonts w:asciiTheme="minorHAnsi" w:hAnsiTheme="minorHAnsi" w:cstheme="minorHAnsi"/>
          <w:sz w:val="22"/>
          <w:szCs w:val="22"/>
        </w:rPr>
        <w:t>, in</w:t>
      </w:r>
      <w:r w:rsidR="00172BC7">
        <w:rPr>
          <w:rFonts w:asciiTheme="minorHAnsi" w:hAnsiTheme="minorHAnsi" w:cstheme="minorHAnsi"/>
          <w:sz w:val="22"/>
          <w:szCs w:val="22"/>
        </w:rPr>
        <w:t>westycje w infrastrukturę i </w:t>
      </w:r>
      <w:r w:rsidRPr="00890249">
        <w:rPr>
          <w:rFonts w:asciiTheme="minorHAnsi" w:hAnsiTheme="minorHAnsi" w:cstheme="minorHAnsi"/>
          <w:sz w:val="22"/>
          <w:szCs w:val="22"/>
        </w:rPr>
        <w:t xml:space="preserve">wyposażenie </w:t>
      </w:r>
      <w:r w:rsidR="5DCC6BA8" w:rsidRPr="00890249">
        <w:rPr>
          <w:rFonts w:asciiTheme="minorHAnsi" w:hAnsiTheme="minorHAnsi" w:cstheme="minorHAnsi"/>
          <w:sz w:val="22"/>
          <w:szCs w:val="22"/>
        </w:rPr>
        <w:t xml:space="preserve">POZ i AOS </w:t>
      </w:r>
      <w:r w:rsidRPr="00890249">
        <w:rPr>
          <w:rFonts w:asciiTheme="minorHAnsi" w:hAnsiTheme="minorHAnsi" w:cstheme="minorHAnsi"/>
          <w:sz w:val="22"/>
          <w:szCs w:val="22"/>
        </w:rPr>
        <w:t>(w tym w nowoczesn</w:t>
      </w:r>
      <w:r w:rsidR="542524F9" w:rsidRPr="00890249">
        <w:rPr>
          <w:rFonts w:asciiTheme="minorHAnsi" w:hAnsiTheme="minorHAnsi" w:cstheme="minorHAnsi"/>
          <w:sz w:val="22"/>
          <w:szCs w:val="22"/>
        </w:rPr>
        <w:t>ą</w:t>
      </w:r>
      <w:r w:rsidRPr="00890249">
        <w:rPr>
          <w:rFonts w:asciiTheme="minorHAnsi" w:hAnsiTheme="minorHAnsi" w:cstheme="minorHAnsi"/>
          <w:sz w:val="22"/>
          <w:szCs w:val="22"/>
        </w:rPr>
        <w:t xml:space="preserve"> </w:t>
      </w:r>
      <w:r w:rsidR="542524F9" w:rsidRPr="00890249">
        <w:rPr>
          <w:rFonts w:asciiTheme="minorHAnsi" w:hAnsiTheme="minorHAnsi" w:cstheme="minorHAnsi"/>
          <w:sz w:val="22"/>
          <w:szCs w:val="22"/>
        </w:rPr>
        <w:t>aparaturę</w:t>
      </w:r>
      <w:r w:rsidRPr="00890249">
        <w:rPr>
          <w:rFonts w:asciiTheme="minorHAnsi" w:hAnsiTheme="minorHAnsi" w:cstheme="minorHAnsi"/>
          <w:sz w:val="22"/>
          <w:szCs w:val="22"/>
        </w:rPr>
        <w:t xml:space="preserve">) podnoszące wydajność leczenia chorób </w:t>
      </w:r>
      <w:r w:rsidR="6521C73B" w:rsidRPr="00890249">
        <w:rPr>
          <w:rFonts w:asciiTheme="minorHAnsi" w:hAnsiTheme="minorHAnsi" w:cstheme="minorHAnsi"/>
          <w:sz w:val="22"/>
          <w:szCs w:val="22"/>
        </w:rPr>
        <w:t>cywilizacyjnych</w:t>
      </w:r>
      <w:r w:rsidR="542524F9" w:rsidRPr="00890249">
        <w:rPr>
          <w:rFonts w:asciiTheme="minorHAnsi" w:hAnsiTheme="minorHAnsi" w:cstheme="minorHAnsi"/>
          <w:sz w:val="22"/>
          <w:szCs w:val="22"/>
        </w:rPr>
        <w:t>,</w:t>
      </w:r>
      <w:r w:rsidRPr="00890249">
        <w:rPr>
          <w:rFonts w:asciiTheme="minorHAnsi" w:hAnsiTheme="minorHAnsi" w:cstheme="minorHAnsi"/>
          <w:sz w:val="22"/>
          <w:szCs w:val="22"/>
        </w:rPr>
        <w:t xml:space="preserve"> opieki medycznej nad matką i dzieckiem w okresie okołoporodowym i zwiększające dostęp do rehabilitacji.</w:t>
      </w:r>
      <w:r w:rsidRPr="00890249">
        <w:rPr>
          <w:rFonts w:asciiTheme="minorHAnsi" w:eastAsiaTheme="minorEastAsia" w:hAnsiTheme="minorHAnsi" w:cstheme="minorHAnsi"/>
          <w:sz w:val="22"/>
          <w:szCs w:val="22"/>
          <w:lang w:eastAsia="en-US" w:bidi="ar-SA"/>
        </w:rPr>
        <w:t xml:space="preserve"> </w:t>
      </w:r>
      <w:r w:rsidR="4A44E5AF" w:rsidRPr="00890249">
        <w:rPr>
          <w:rFonts w:asciiTheme="minorHAnsi" w:eastAsiaTheme="minorEastAsia" w:hAnsiTheme="minorHAnsi" w:cstheme="minorHAnsi"/>
          <w:sz w:val="22"/>
          <w:szCs w:val="22"/>
          <w:lang w:eastAsia="en-US" w:bidi="ar-SA"/>
        </w:rPr>
        <w:t>W</w:t>
      </w:r>
      <w:r w:rsidRPr="00890249">
        <w:rPr>
          <w:rFonts w:asciiTheme="minorHAnsi" w:eastAsiaTheme="minorEastAsia" w:hAnsiTheme="minorHAnsi" w:cstheme="minorHAnsi"/>
          <w:sz w:val="22"/>
          <w:szCs w:val="22"/>
          <w:lang w:eastAsia="en-US" w:bidi="ar-SA"/>
        </w:rPr>
        <w:t xml:space="preserve">sparcie </w:t>
      </w:r>
      <w:r w:rsidR="72F7DFC2" w:rsidRPr="00890249">
        <w:rPr>
          <w:rFonts w:asciiTheme="minorHAnsi" w:eastAsiaTheme="minorEastAsia" w:hAnsiTheme="minorHAnsi" w:cstheme="minorHAnsi"/>
          <w:sz w:val="22"/>
          <w:szCs w:val="22"/>
          <w:lang w:eastAsia="en-US" w:bidi="ar-SA"/>
        </w:rPr>
        <w:t xml:space="preserve">będzie adresowane do </w:t>
      </w:r>
      <w:r w:rsidRPr="00890249">
        <w:rPr>
          <w:rFonts w:asciiTheme="minorHAnsi" w:eastAsiaTheme="minorEastAsia" w:hAnsiTheme="minorHAnsi" w:cstheme="minorHAnsi"/>
          <w:sz w:val="22"/>
          <w:szCs w:val="22"/>
          <w:lang w:eastAsia="en-US" w:bidi="ar-SA"/>
        </w:rPr>
        <w:t>podmiotów świadczących podstawową i ambulatoryjną opiekę zdrowotną</w:t>
      </w:r>
      <w:r w:rsidR="5D15BED4" w:rsidRPr="00890249">
        <w:rPr>
          <w:rFonts w:asciiTheme="minorHAnsi" w:eastAsiaTheme="minorEastAsia" w:hAnsiTheme="minorHAnsi" w:cstheme="minorHAnsi"/>
          <w:sz w:val="22"/>
          <w:szCs w:val="22"/>
          <w:lang w:eastAsia="en-US" w:bidi="ar-SA"/>
        </w:rPr>
        <w:t>.</w:t>
      </w:r>
      <w:r w:rsidR="00EC1230" w:rsidRPr="00890249">
        <w:rPr>
          <w:rFonts w:asciiTheme="minorHAnsi" w:eastAsiaTheme="minorEastAsia" w:hAnsiTheme="minorHAnsi" w:cstheme="minorHAnsi"/>
          <w:sz w:val="22"/>
          <w:szCs w:val="22"/>
          <w:lang w:eastAsia="en-US" w:bidi="ar-SA"/>
        </w:rPr>
        <w:t xml:space="preserve"> </w:t>
      </w:r>
    </w:p>
    <w:p w14:paraId="1F59C70E" w14:textId="016CAD59" w:rsidR="0093433C" w:rsidRPr="00890249" w:rsidRDefault="00BA20BD" w:rsidP="00890249">
      <w:pPr>
        <w:pStyle w:val="Tekstpodstawowy"/>
        <w:rPr>
          <w:rFonts w:asciiTheme="minorHAnsi" w:eastAsia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Pandemia COVID-19 oraz związane z nią obostrzenia narzucane na społeczeństwo spotęgowała i tak już ogromne problemy ze zdrowiem psychicznym. Biorąc pod uwagę, że stan dostępnej infrastruktury </w:t>
      </w:r>
      <w:r w:rsidRPr="00890249">
        <w:rPr>
          <w:rFonts w:asciiTheme="minorHAnsi" w:hAnsiTheme="minorHAnsi" w:cstheme="minorHAnsi"/>
          <w:sz w:val="22"/>
          <w:szCs w:val="22"/>
          <w:lang w:eastAsia="en-US" w:bidi="ar-SA"/>
        </w:rPr>
        <w:lastRenderedPageBreak/>
        <w:t>w zakresie opieki psychiatrycznej jest niewystarczający</w:t>
      </w:r>
      <w:r w:rsidRPr="00890249">
        <w:rPr>
          <w:rFonts w:asciiTheme="minorHAnsi" w:eastAsiaTheme="minorHAnsi" w:hAnsiTheme="minorHAnsi" w:cstheme="minorHAnsi"/>
          <w:sz w:val="22"/>
          <w:szCs w:val="22"/>
          <w:lang w:eastAsia="en-US" w:bidi="ar-SA"/>
        </w:rPr>
        <w:t xml:space="preserve">, konieczne jest wspieranie działań w tym obszarze z uwzględnieniem </w:t>
      </w:r>
      <w:r w:rsidR="00067F90" w:rsidRPr="00890249">
        <w:rPr>
          <w:rFonts w:asciiTheme="minorHAnsi" w:eastAsiaTheme="minorHAnsi" w:hAnsiTheme="minorHAnsi" w:cstheme="minorHAnsi"/>
          <w:sz w:val="22"/>
          <w:szCs w:val="22"/>
          <w:lang w:eastAsia="en-US" w:bidi="ar-SA"/>
        </w:rPr>
        <w:t>DI</w:t>
      </w:r>
      <w:r w:rsidRPr="00890249">
        <w:rPr>
          <w:rFonts w:asciiTheme="minorHAnsi" w:eastAsiaTheme="minorHAnsi" w:hAnsiTheme="minorHAnsi" w:cstheme="minorHAnsi"/>
          <w:sz w:val="22"/>
          <w:szCs w:val="22"/>
          <w:lang w:eastAsia="en-US" w:bidi="ar-SA"/>
        </w:rPr>
        <w:t>.</w:t>
      </w:r>
    </w:p>
    <w:p w14:paraId="055745C2" w14:textId="17C354DD" w:rsidR="0093433C" w:rsidRPr="00890249" w:rsidRDefault="7E651917" w:rsidP="00890249">
      <w:pPr>
        <w:pStyle w:val="Tekstpodstawowy"/>
        <w:rPr>
          <w:rFonts w:asciiTheme="minorHAnsi" w:hAnsiTheme="minorHAnsi" w:cstheme="minorHAnsi"/>
          <w:color w:val="000000" w:themeColor="dark1"/>
          <w:kern w:val="24"/>
          <w:sz w:val="22"/>
          <w:szCs w:val="22"/>
          <w:lang w:bidi="ar-SA"/>
        </w:rPr>
      </w:pPr>
      <w:r w:rsidRPr="00890249">
        <w:rPr>
          <w:rFonts w:asciiTheme="minorHAnsi" w:hAnsiTheme="minorHAnsi" w:cstheme="minorHAnsi"/>
          <w:sz w:val="22"/>
          <w:szCs w:val="22"/>
          <w:lang w:eastAsia="en-US" w:bidi="ar-SA"/>
        </w:rPr>
        <w:t xml:space="preserve">Osoby, które były zakażone wirusem COVID-19, często borykają się z jego konsekwencjami, zarówno fizycznymi, jak i psychicznymi. Usługi minimalizujące niekorzystne zmiany w tym zakresie muszą mieć charakter skonsolidowany, tj. pacjent </w:t>
      </w:r>
      <w:r w:rsidRPr="00890249">
        <w:rPr>
          <w:rFonts w:asciiTheme="minorHAnsi" w:eastAsia="Times New Roman" w:hAnsiTheme="minorHAnsi" w:cstheme="minorHAnsi"/>
          <w:noProof/>
          <w:sz w:val="22"/>
          <w:szCs w:val="22"/>
          <w:lang w:eastAsia="en-US" w:bidi="ar-SA"/>
        </w:rPr>
        <w:t>w zależności od potrzeb będzie miał zapewnione odpowiednie wsparcie w wyspecjalizowanym podmiocie.</w:t>
      </w:r>
      <w:r w:rsidRPr="00890249">
        <w:rPr>
          <w:rFonts w:asciiTheme="minorHAnsi" w:hAnsiTheme="minorHAnsi" w:cstheme="minorHAnsi"/>
          <w:sz w:val="22"/>
          <w:szCs w:val="22"/>
          <w:lang w:eastAsia="en-US" w:bidi="ar-SA"/>
        </w:rPr>
        <w:t xml:space="preserve"> Inwestycje w tym zakresie powinny być zintegrowane poprzez wsparcie infrastruktury i wyposażenie placówek, w których dokonywana będzie ogólna diagnostyka pacjenta oraz placówek, w których świadczone będą usługi rehab</w:t>
      </w:r>
      <w:r w:rsidR="6521C73B" w:rsidRPr="00890249">
        <w:rPr>
          <w:rFonts w:asciiTheme="minorHAnsi" w:hAnsiTheme="minorHAnsi" w:cstheme="minorHAnsi"/>
          <w:sz w:val="22"/>
          <w:szCs w:val="22"/>
          <w:lang w:eastAsia="en-US" w:bidi="ar-SA"/>
        </w:rPr>
        <w:t>ilitacyjne.</w:t>
      </w:r>
      <w:r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rPr>
        <w:t>Odpowiedzią na te potrzeby są, częściowo już realizowane, działania na rzecz rozwoju skonsolidowanych usług rehab</w:t>
      </w:r>
      <w:r w:rsidR="6521C73B" w:rsidRPr="00890249">
        <w:rPr>
          <w:rFonts w:asciiTheme="minorHAnsi" w:hAnsiTheme="minorHAnsi" w:cstheme="minorHAnsi"/>
          <w:sz w:val="22"/>
          <w:szCs w:val="22"/>
        </w:rPr>
        <w:t>ilitacyjnych</w:t>
      </w:r>
      <w:r w:rsidRPr="00890249">
        <w:rPr>
          <w:rFonts w:asciiTheme="minorHAnsi" w:hAnsiTheme="minorHAnsi" w:cstheme="minorHAnsi"/>
          <w:sz w:val="22"/>
          <w:szCs w:val="22"/>
        </w:rPr>
        <w:t>, wpisujące się w regionalną koncepcję realizacji wsparcia w</w:t>
      </w:r>
      <w:r w:rsidR="09C328AD" w:rsidRPr="00890249">
        <w:rPr>
          <w:rFonts w:asciiTheme="minorHAnsi" w:hAnsiTheme="minorHAnsi" w:cstheme="minorHAnsi"/>
          <w:sz w:val="22"/>
          <w:szCs w:val="22"/>
        </w:rPr>
        <w:t xml:space="preserve"> tym</w:t>
      </w:r>
      <w:r w:rsidRPr="00890249">
        <w:rPr>
          <w:rFonts w:asciiTheme="minorHAnsi" w:hAnsiTheme="minorHAnsi" w:cstheme="minorHAnsi"/>
          <w:sz w:val="22"/>
          <w:szCs w:val="22"/>
        </w:rPr>
        <w:t xml:space="preserve"> obszarze. Obejmują one stworzenie kompleksu poradni diagnostycznych, utworzenie sieci placówek poradni rehab</w:t>
      </w:r>
      <w:r w:rsidR="6521C73B" w:rsidRPr="00890249">
        <w:rPr>
          <w:rFonts w:asciiTheme="minorHAnsi" w:hAnsiTheme="minorHAnsi" w:cstheme="minorHAnsi"/>
          <w:sz w:val="22"/>
          <w:szCs w:val="22"/>
        </w:rPr>
        <w:t>ilitacyjnych</w:t>
      </w:r>
      <w:r w:rsidRPr="00890249">
        <w:rPr>
          <w:rFonts w:asciiTheme="minorHAnsi" w:hAnsiTheme="minorHAnsi" w:cstheme="minorHAnsi"/>
          <w:sz w:val="22"/>
          <w:szCs w:val="22"/>
        </w:rPr>
        <w:t xml:space="preserve"> o wysokiej jakości usług</w:t>
      </w:r>
      <w:r w:rsidR="00D916B2" w:rsidRPr="00890249">
        <w:rPr>
          <w:rFonts w:asciiTheme="minorHAnsi" w:hAnsiTheme="minorHAnsi" w:cstheme="minorHAnsi"/>
          <w:sz w:val="22"/>
          <w:szCs w:val="22"/>
        </w:rPr>
        <w:t>ach</w:t>
      </w:r>
      <w:r w:rsidR="00BA20BD" w:rsidRPr="00890249">
        <w:rPr>
          <w:rFonts w:asciiTheme="minorHAnsi" w:hAnsiTheme="minorHAnsi" w:cstheme="minorHAnsi"/>
          <w:sz w:val="22"/>
          <w:szCs w:val="22"/>
        </w:rPr>
        <w:t xml:space="preserve">, </w:t>
      </w:r>
      <w:r w:rsidR="00875C92" w:rsidRPr="00890249">
        <w:rPr>
          <w:rFonts w:asciiTheme="minorHAnsi" w:hAnsiTheme="minorHAnsi" w:cstheme="minorHAnsi"/>
          <w:sz w:val="22"/>
          <w:szCs w:val="22"/>
        </w:rPr>
        <w:t>rozwój opieki jednego dnia oraz wzmocnienie ambulatoryjnej opieki specjalistycznej</w:t>
      </w:r>
      <w:r w:rsidR="00D916B2" w:rsidRPr="00890249">
        <w:rPr>
          <w:rFonts w:asciiTheme="minorHAnsi" w:hAnsiTheme="minorHAnsi" w:cstheme="minorHAnsi"/>
          <w:sz w:val="22"/>
          <w:szCs w:val="22"/>
        </w:rPr>
        <w:t xml:space="preserve"> poprzez inwestycje i</w:t>
      </w:r>
      <w:r w:rsidR="00172BC7">
        <w:rPr>
          <w:rFonts w:asciiTheme="minorHAnsi" w:hAnsiTheme="minorHAnsi" w:cstheme="minorHAnsi"/>
          <w:sz w:val="22"/>
          <w:szCs w:val="22"/>
        </w:rPr>
        <w:t>nfrastrukturalne, w tym także w </w:t>
      </w:r>
      <w:r w:rsidR="00D916B2" w:rsidRPr="00890249">
        <w:rPr>
          <w:rFonts w:asciiTheme="minorHAnsi" w:hAnsiTheme="minorHAnsi" w:cstheme="minorHAnsi"/>
          <w:sz w:val="22"/>
          <w:szCs w:val="22"/>
        </w:rPr>
        <w:t>szpitalach</w:t>
      </w:r>
      <w:r w:rsidRPr="00890249">
        <w:rPr>
          <w:rFonts w:asciiTheme="minorHAnsi" w:hAnsiTheme="minorHAnsi" w:cstheme="minorHAnsi"/>
          <w:sz w:val="22"/>
          <w:szCs w:val="22"/>
        </w:rPr>
        <w:t>. Zwieńczeniem koncepcji będzie modernizacja</w:t>
      </w:r>
      <w:r w:rsidR="00FA7F88" w:rsidRPr="00890249">
        <w:rPr>
          <w:rFonts w:asciiTheme="minorHAnsi" w:hAnsiTheme="minorHAnsi" w:cstheme="minorHAnsi"/>
          <w:sz w:val="22"/>
          <w:szCs w:val="22"/>
        </w:rPr>
        <w:t xml:space="preserve"> </w:t>
      </w:r>
      <w:r w:rsidRPr="00890249">
        <w:rPr>
          <w:rFonts w:asciiTheme="minorHAnsi" w:hAnsiTheme="minorHAnsi" w:cstheme="minorHAnsi"/>
          <w:sz w:val="22"/>
          <w:szCs w:val="22"/>
        </w:rPr>
        <w:t xml:space="preserve">/ przebudowa / rozbudowa oraz wyposażenie </w:t>
      </w:r>
      <w:r w:rsidR="72F17E83" w:rsidRPr="00890249">
        <w:rPr>
          <w:rFonts w:asciiTheme="minorHAnsi" w:hAnsiTheme="minorHAnsi" w:cstheme="minorHAnsi"/>
          <w:sz w:val="22"/>
          <w:szCs w:val="22"/>
        </w:rPr>
        <w:t xml:space="preserve">AOS w </w:t>
      </w:r>
      <w:r w:rsidRPr="00890249">
        <w:rPr>
          <w:rFonts w:asciiTheme="minorHAnsi" w:hAnsiTheme="minorHAnsi" w:cstheme="minorHAnsi"/>
          <w:sz w:val="22"/>
          <w:szCs w:val="22"/>
        </w:rPr>
        <w:t>podmiot</w:t>
      </w:r>
      <w:r w:rsidR="2E9BAF46" w:rsidRPr="00890249">
        <w:rPr>
          <w:rFonts w:asciiTheme="minorHAnsi" w:hAnsiTheme="minorHAnsi" w:cstheme="minorHAnsi"/>
          <w:sz w:val="22"/>
          <w:szCs w:val="22"/>
        </w:rPr>
        <w:t xml:space="preserve">ach </w:t>
      </w:r>
      <w:r w:rsidRPr="00890249">
        <w:rPr>
          <w:rFonts w:asciiTheme="minorHAnsi" w:hAnsiTheme="minorHAnsi" w:cstheme="minorHAnsi"/>
          <w:sz w:val="22"/>
          <w:szCs w:val="22"/>
        </w:rPr>
        <w:t>leczniczych</w:t>
      </w:r>
      <w:r w:rsidR="00FA7F88" w:rsidRPr="00890249">
        <w:rPr>
          <w:rFonts w:asciiTheme="minorHAnsi" w:hAnsiTheme="minorHAnsi" w:cstheme="minorHAnsi"/>
          <w:sz w:val="22"/>
          <w:szCs w:val="22"/>
        </w:rPr>
        <w:t>,</w:t>
      </w:r>
      <w:r w:rsidR="7BB80D1D" w:rsidRPr="00890249">
        <w:rPr>
          <w:rFonts w:asciiTheme="minorHAnsi" w:hAnsiTheme="minorHAnsi" w:cstheme="minorHAnsi"/>
          <w:sz w:val="22"/>
          <w:szCs w:val="22"/>
        </w:rPr>
        <w:t xml:space="preserve"> ale także AOS pozaszpitaln</w:t>
      </w:r>
      <w:r w:rsidR="00FA7F88" w:rsidRPr="00890249">
        <w:rPr>
          <w:rFonts w:asciiTheme="minorHAnsi" w:hAnsiTheme="minorHAnsi" w:cstheme="minorHAnsi"/>
          <w:sz w:val="22"/>
          <w:szCs w:val="22"/>
        </w:rPr>
        <w:t>ych</w:t>
      </w:r>
      <w:r w:rsidRPr="00890249">
        <w:rPr>
          <w:rFonts w:asciiTheme="minorHAnsi" w:hAnsiTheme="minorHAnsi" w:cstheme="minorHAnsi"/>
          <w:sz w:val="22"/>
          <w:szCs w:val="22"/>
        </w:rPr>
        <w:t>, które przyczynią się do</w:t>
      </w:r>
      <w:r w:rsidR="007747A3" w:rsidRPr="00890249">
        <w:rPr>
          <w:rFonts w:asciiTheme="minorHAnsi" w:hAnsiTheme="minorHAnsi" w:cstheme="minorHAnsi"/>
          <w:color w:val="000000" w:themeColor="dark1"/>
          <w:kern w:val="24"/>
          <w:sz w:val="22"/>
          <w:szCs w:val="22"/>
          <w:lang w:bidi="ar-SA"/>
        </w:rPr>
        <w:t xml:space="preserve"> podniesienia jakości </w:t>
      </w:r>
      <w:r w:rsidR="6521C73B" w:rsidRPr="00890249">
        <w:rPr>
          <w:rFonts w:asciiTheme="minorHAnsi" w:hAnsiTheme="minorHAnsi" w:cstheme="minorHAnsi"/>
          <w:color w:val="000000" w:themeColor="text1"/>
          <w:sz w:val="22"/>
          <w:szCs w:val="22"/>
          <w:lang w:bidi="ar-SA"/>
        </w:rPr>
        <w:t xml:space="preserve">tych </w:t>
      </w:r>
      <w:r w:rsidR="007747A3" w:rsidRPr="00890249">
        <w:rPr>
          <w:rFonts w:asciiTheme="minorHAnsi" w:hAnsiTheme="minorHAnsi" w:cstheme="minorHAnsi"/>
          <w:color w:val="000000" w:themeColor="dark1"/>
          <w:kern w:val="24"/>
          <w:sz w:val="22"/>
          <w:szCs w:val="22"/>
          <w:lang w:bidi="ar-SA"/>
        </w:rPr>
        <w:t>usług</w:t>
      </w:r>
      <w:r w:rsidRPr="00890249">
        <w:rPr>
          <w:rFonts w:asciiTheme="minorHAnsi" w:hAnsiTheme="minorHAnsi" w:cstheme="minorHAnsi"/>
          <w:color w:val="000000" w:themeColor="dark1"/>
          <w:kern w:val="24"/>
          <w:sz w:val="22"/>
          <w:szCs w:val="22"/>
          <w:lang w:bidi="ar-SA"/>
        </w:rPr>
        <w:t xml:space="preserve"> w regionie. </w:t>
      </w:r>
    </w:p>
    <w:p w14:paraId="45DBAE48" w14:textId="79B70A18" w:rsidR="0093433C" w:rsidRPr="00890249" w:rsidRDefault="7E65191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kontekście konieczności nacisku na zintegrowaną i skoordynowaną opiekę zdrowotną, środki zostaną ukierunkowane na </w:t>
      </w:r>
      <w:r w:rsidR="00594ABC" w:rsidRPr="00890249">
        <w:rPr>
          <w:rFonts w:asciiTheme="minorHAnsi" w:hAnsiTheme="minorHAnsi" w:cstheme="minorHAnsi"/>
          <w:sz w:val="22"/>
          <w:szCs w:val="22"/>
          <w:lang w:eastAsia="en-US" w:bidi="ar-SA"/>
        </w:rPr>
        <w:t xml:space="preserve">inwestycje prowadzące do zapewnienia </w:t>
      </w:r>
      <w:r w:rsidRPr="00890249">
        <w:rPr>
          <w:rFonts w:asciiTheme="minorHAnsi" w:hAnsiTheme="minorHAnsi" w:cstheme="minorHAnsi"/>
          <w:sz w:val="22"/>
          <w:szCs w:val="22"/>
          <w:lang w:eastAsia="en-US" w:bidi="ar-SA"/>
        </w:rPr>
        <w:t xml:space="preserve">kompleksowej ścieżki leczenia pacjenta, </w:t>
      </w:r>
      <w:r w:rsidR="003532A4" w:rsidRPr="00890249">
        <w:rPr>
          <w:rFonts w:asciiTheme="minorHAnsi" w:hAnsiTheme="minorHAnsi" w:cstheme="minorHAnsi"/>
          <w:sz w:val="22"/>
          <w:szCs w:val="22"/>
          <w:lang w:eastAsia="en-US" w:bidi="ar-SA"/>
        </w:rPr>
        <w:t xml:space="preserve">w tym </w:t>
      </w:r>
      <w:r w:rsidR="00594ABC" w:rsidRPr="00890249">
        <w:rPr>
          <w:rFonts w:asciiTheme="minorHAnsi" w:hAnsiTheme="minorHAnsi" w:cstheme="minorHAnsi"/>
          <w:sz w:val="22"/>
          <w:szCs w:val="22"/>
          <w:lang w:eastAsia="en-US" w:bidi="ar-SA"/>
        </w:rPr>
        <w:t xml:space="preserve">wzmocnienie opieki jednego dnia i AOS. </w:t>
      </w:r>
      <w:r w:rsidRPr="00890249">
        <w:rPr>
          <w:rFonts w:asciiTheme="minorHAnsi" w:hAnsiTheme="minorHAnsi" w:cstheme="minorHAnsi"/>
          <w:sz w:val="22"/>
          <w:szCs w:val="22"/>
          <w:lang w:eastAsia="en-US" w:bidi="ar-SA"/>
        </w:rPr>
        <w:t>W procesie tym nastąpi przeniesienie akcentów z usług wymagających hospitalizacji na rzecz świadczeń realizowanych w formach innych niż stacjonarne, z uwzględnieniem środowiskowych form opieki, a także wzmocnienie synergicznej współpracy podmiotów zaangażowanych w proces leczenia.</w:t>
      </w:r>
    </w:p>
    <w:p w14:paraId="4D9146DA" w14:textId="090DF988" w:rsidR="0093433C" w:rsidRPr="00890249" w:rsidRDefault="751CDD51"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Opieka </w:t>
      </w:r>
      <w:r w:rsidR="09C328AD" w:rsidRPr="00890249">
        <w:rPr>
          <w:rFonts w:asciiTheme="minorHAnsi" w:hAnsiTheme="minorHAnsi" w:cstheme="minorHAnsi"/>
          <w:sz w:val="22"/>
          <w:szCs w:val="22"/>
          <w:lang w:eastAsia="en-US" w:bidi="ar-SA"/>
        </w:rPr>
        <w:t>długoterm.</w:t>
      </w:r>
      <w:r w:rsidRPr="00890249">
        <w:rPr>
          <w:rFonts w:asciiTheme="minorHAnsi" w:hAnsiTheme="minorHAnsi" w:cstheme="minorHAnsi"/>
          <w:sz w:val="22"/>
          <w:szCs w:val="22"/>
          <w:lang w:eastAsia="en-US" w:bidi="ar-SA"/>
        </w:rPr>
        <w:t xml:space="preserve"> jest priorytetem w kontekście starzejącego się społeczeństwa. </w:t>
      </w:r>
      <w:r w:rsidR="14CA83C1" w:rsidRPr="00890249">
        <w:rPr>
          <w:rFonts w:asciiTheme="minorHAnsi" w:hAnsiTheme="minorHAnsi" w:cstheme="minorHAnsi"/>
          <w:sz w:val="22"/>
          <w:szCs w:val="22"/>
          <w:lang w:eastAsia="en-US" w:bidi="ar-SA"/>
        </w:rPr>
        <w:t xml:space="preserve">Wspierane będą </w:t>
      </w:r>
      <w:r w:rsidRPr="00890249">
        <w:rPr>
          <w:rFonts w:asciiTheme="minorHAnsi" w:hAnsiTheme="minorHAnsi" w:cstheme="minorHAnsi"/>
          <w:sz w:val="22"/>
          <w:szCs w:val="22"/>
          <w:lang w:eastAsia="en-US" w:bidi="ar-SA"/>
        </w:rPr>
        <w:t>alternatywne rozwiązania dla instytucjonalnej opieki</w:t>
      </w:r>
      <w:r w:rsidR="2B455985"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tj. rozwój usług środowiskowych, </w:t>
      </w:r>
      <w:r w:rsidR="6521C73B" w:rsidRPr="00890249">
        <w:rPr>
          <w:rFonts w:asciiTheme="minorHAnsi" w:hAnsiTheme="minorHAnsi" w:cstheme="minorHAnsi"/>
          <w:sz w:val="22"/>
          <w:szCs w:val="22"/>
          <w:lang w:eastAsia="en-US" w:bidi="ar-SA"/>
        </w:rPr>
        <w:t xml:space="preserve">w tym zakup niezbędnego sprzętu i wyposażenia oraz </w:t>
      </w:r>
      <w:r w:rsidRPr="00890249">
        <w:rPr>
          <w:rFonts w:asciiTheme="minorHAnsi" w:hAnsiTheme="minorHAnsi" w:cstheme="minorHAnsi"/>
          <w:sz w:val="22"/>
          <w:szCs w:val="22"/>
          <w:lang w:eastAsia="en-US" w:bidi="ar-SA"/>
        </w:rPr>
        <w:t>tworzenie DDOM</w:t>
      </w:r>
      <w:r w:rsidR="6521C73B" w:rsidRPr="00890249">
        <w:rPr>
          <w:rFonts w:asciiTheme="minorHAnsi" w:hAnsiTheme="minorHAnsi" w:cstheme="minorHAnsi"/>
          <w:sz w:val="22"/>
          <w:szCs w:val="22"/>
          <w:lang w:eastAsia="en-US" w:bidi="ar-SA"/>
        </w:rPr>
        <w:t>-ów.</w:t>
      </w:r>
      <w:r w:rsidRPr="00890249">
        <w:rPr>
          <w:rFonts w:asciiTheme="minorHAnsi" w:hAnsiTheme="minorHAnsi" w:cstheme="minorHAnsi"/>
          <w:sz w:val="22"/>
          <w:szCs w:val="22"/>
          <w:lang w:eastAsia="en-US" w:bidi="ar-SA"/>
        </w:rPr>
        <w:t xml:space="preserve"> </w:t>
      </w:r>
    </w:p>
    <w:p w14:paraId="4F92AE93" w14:textId="4FBD6343" w:rsidR="0093433C" w:rsidRPr="00890249" w:rsidRDefault="751CDD51" w:rsidP="00890249">
      <w:pPr>
        <w:pStyle w:val="Tekstpodstawowy"/>
        <w:rPr>
          <w:rFonts w:asciiTheme="minorHAnsi" w:hAnsiTheme="minorHAnsi" w:cstheme="minorHAnsi"/>
          <w:i/>
          <w:iCs/>
          <w:sz w:val="22"/>
          <w:szCs w:val="22"/>
          <w:lang w:eastAsia="en-US"/>
        </w:rPr>
      </w:pPr>
      <w:r w:rsidRPr="00890249">
        <w:rPr>
          <w:rFonts w:asciiTheme="minorHAnsi" w:hAnsiTheme="minorHAnsi" w:cstheme="minorHAnsi"/>
          <w:sz w:val="22"/>
          <w:szCs w:val="22"/>
          <w:lang w:eastAsia="en-US" w:bidi="ar-SA"/>
        </w:rPr>
        <w:t>Mając na uwadze powyższe</w:t>
      </w:r>
      <w:r w:rsidR="000E2E01"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inwestycje powinny zostać skierowane na </w:t>
      </w:r>
      <w:r w:rsidR="591FBBCA" w:rsidRPr="00890249">
        <w:rPr>
          <w:rFonts w:asciiTheme="minorHAnsi" w:hAnsiTheme="minorHAnsi" w:cstheme="minorHAnsi"/>
          <w:sz w:val="22"/>
          <w:szCs w:val="22"/>
          <w:lang w:eastAsia="en-US" w:bidi="ar-SA"/>
        </w:rPr>
        <w:t xml:space="preserve">odejście od </w:t>
      </w:r>
      <w:r w:rsidR="2B39CD57" w:rsidRPr="00890249">
        <w:rPr>
          <w:rFonts w:asciiTheme="minorHAnsi" w:hAnsiTheme="minorHAnsi" w:cstheme="minorHAnsi"/>
          <w:sz w:val="22"/>
          <w:szCs w:val="22"/>
          <w:lang w:eastAsia="en-US" w:bidi="ar-SA"/>
        </w:rPr>
        <w:t xml:space="preserve">możliwych do uniknięcia </w:t>
      </w:r>
      <w:r w:rsidRPr="00890249">
        <w:rPr>
          <w:rFonts w:asciiTheme="minorHAnsi" w:hAnsiTheme="minorHAnsi" w:cstheme="minorHAnsi"/>
          <w:sz w:val="22"/>
          <w:szCs w:val="22"/>
          <w:lang w:eastAsia="en-US" w:bidi="ar-SA"/>
        </w:rPr>
        <w:t>hospitalizacji, upowszechnianie opieki jednodniowej oraz dostępności opieki długote</w:t>
      </w:r>
      <w:r w:rsidR="09C328AD" w:rsidRPr="00890249">
        <w:rPr>
          <w:rFonts w:asciiTheme="minorHAnsi" w:hAnsiTheme="minorHAnsi" w:cstheme="minorHAnsi"/>
          <w:sz w:val="22"/>
          <w:szCs w:val="22"/>
          <w:lang w:eastAsia="en-US" w:bidi="ar-SA"/>
        </w:rPr>
        <w:t>rm</w:t>
      </w:r>
      <w:r w:rsidR="007747A3"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paliatywnej oraz hospicyjnej w formie zdeinstytucjonalizowanej.</w:t>
      </w:r>
    </w:p>
    <w:p w14:paraId="39A90421" w14:textId="782B92EA" w:rsidR="0093433C" w:rsidRPr="00890249" w:rsidRDefault="00875C92" w:rsidP="00890249">
      <w:pPr>
        <w:pStyle w:val="Tekstpodstawowy"/>
        <w:rPr>
          <w:rStyle w:val="markedcontent"/>
          <w:rFonts w:asciiTheme="minorHAnsi" w:hAnsiTheme="minorHAnsi" w:cstheme="minorHAnsi"/>
          <w:sz w:val="22"/>
          <w:szCs w:val="22"/>
        </w:rPr>
      </w:pPr>
      <w:r w:rsidRPr="00890249">
        <w:rPr>
          <w:rStyle w:val="markedcontent"/>
          <w:rFonts w:asciiTheme="minorHAnsi" w:hAnsiTheme="minorHAnsi" w:cstheme="minorHAnsi"/>
          <w:sz w:val="22"/>
          <w:szCs w:val="22"/>
        </w:rPr>
        <w:t>Głównym narzędziem koordynacji interwencji podejmowanych w sektorze zdrowia ze środków UE jest Komitet Sterujący ds. koordynacji wsparcia w sektorze zdrowia</w:t>
      </w:r>
      <w:r w:rsidR="3641C9A5" w:rsidRPr="00890249">
        <w:rPr>
          <w:rStyle w:val="markedcontent"/>
          <w:rFonts w:asciiTheme="minorHAnsi" w:hAnsiTheme="minorHAnsi" w:cstheme="minorHAnsi"/>
          <w:sz w:val="22"/>
          <w:szCs w:val="22"/>
        </w:rPr>
        <w:t xml:space="preserve"> (KS)</w:t>
      </w:r>
      <w:r w:rsidRPr="00890249">
        <w:rPr>
          <w:rStyle w:val="markedcontent"/>
          <w:rFonts w:asciiTheme="minorHAnsi" w:hAnsiTheme="minorHAnsi" w:cstheme="minorHAnsi"/>
          <w:sz w:val="22"/>
          <w:szCs w:val="22"/>
        </w:rPr>
        <w:t xml:space="preserve"> działający pod przewodnictwem ministra właściwego ds. zdrowia, który na bieżąco analizuje i ocenia kwestie związane z ochroną zdrowia, w szczególności pod kątem zapewnienia skuteczności i efektywności podejmowanych interwencji ze środków UE. Warunkiem koniecznym dla podejmowania interwencji w sektorze zdrowia jest ich zgodność z uzgodnionym przez </w:t>
      </w:r>
      <w:r w:rsidR="3641C9A5" w:rsidRPr="00890249">
        <w:rPr>
          <w:rStyle w:val="markedcontent"/>
          <w:rFonts w:asciiTheme="minorHAnsi" w:hAnsiTheme="minorHAnsi" w:cstheme="minorHAnsi"/>
          <w:sz w:val="22"/>
          <w:szCs w:val="22"/>
        </w:rPr>
        <w:t>KS</w:t>
      </w:r>
      <w:r w:rsidRPr="00890249">
        <w:rPr>
          <w:rStyle w:val="markedcontent"/>
          <w:rFonts w:asciiTheme="minorHAnsi" w:hAnsiTheme="minorHAnsi" w:cstheme="minorHAnsi"/>
          <w:sz w:val="22"/>
          <w:szCs w:val="22"/>
        </w:rPr>
        <w:t xml:space="preserve"> planem działań.</w:t>
      </w:r>
    </w:p>
    <w:p w14:paraId="42D50B07" w14:textId="666CC7B0" w:rsidR="0093433C" w:rsidRPr="00890249" w:rsidRDefault="00875C9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rPr>
        <w:t xml:space="preserve">W KPO w obszarze zdrowia wdrażane będą reformy w zakresie lecznictwa szpitalnego. EFS+ oraz EFRR </w:t>
      </w:r>
      <w:r w:rsidR="002136F7" w:rsidRPr="00890249">
        <w:rPr>
          <w:rFonts w:asciiTheme="minorHAnsi" w:hAnsiTheme="minorHAnsi" w:cstheme="minorHAnsi"/>
          <w:sz w:val="22"/>
          <w:szCs w:val="22"/>
        </w:rPr>
        <w:t>będą uzupełniać i wzmacniać te reformy poprzez inwestycje w</w:t>
      </w:r>
      <w:r w:rsidRPr="00890249">
        <w:rPr>
          <w:rFonts w:asciiTheme="minorHAnsi" w:hAnsiTheme="minorHAnsi" w:cstheme="minorHAnsi"/>
          <w:sz w:val="22"/>
          <w:szCs w:val="22"/>
        </w:rPr>
        <w:t xml:space="preserve"> POZ i AOS. </w:t>
      </w:r>
      <w:r w:rsidR="002136F7" w:rsidRPr="00890249">
        <w:rPr>
          <w:rFonts w:asciiTheme="minorHAnsi" w:hAnsiTheme="minorHAnsi" w:cstheme="minorHAnsi"/>
          <w:sz w:val="22"/>
          <w:szCs w:val="22"/>
        </w:rPr>
        <w:t>Projekty finansowane w ramach programu regionalnego ze środków EFRR lub EFS+ nie mogą powielać zakresu, na który dany podmiot otrzymał wsparcie w ramach KPO</w:t>
      </w:r>
      <w:r w:rsidRPr="00890249">
        <w:rPr>
          <w:rFonts w:asciiTheme="minorHAnsi" w:hAnsiTheme="minorHAnsi" w:cstheme="minorHAnsi"/>
          <w:sz w:val="22"/>
          <w:szCs w:val="22"/>
        </w:rPr>
        <w:t>.</w:t>
      </w:r>
    </w:p>
    <w:p w14:paraId="17F618B1" w14:textId="7E2088B4" w:rsidR="00BA20BD" w:rsidRPr="00890249" w:rsidRDefault="7E651917" w:rsidP="18317E1B">
      <w:pPr>
        <w:pStyle w:val="Tekstkomentarza"/>
        <w:spacing w:before="120" w:after="120"/>
        <w:jc w:val="both"/>
        <w:rPr>
          <w:rFonts w:cstheme="minorHAnsi"/>
          <w:sz w:val="22"/>
          <w:szCs w:val="22"/>
        </w:rPr>
      </w:pPr>
      <w:r w:rsidRPr="00890249">
        <w:rPr>
          <w:rFonts w:cstheme="minorHAnsi"/>
          <w:sz w:val="22"/>
          <w:szCs w:val="22"/>
        </w:rPr>
        <w:t xml:space="preserve">Planowane </w:t>
      </w:r>
      <w:r w:rsidR="00BA20BD" w:rsidRPr="00890249">
        <w:rPr>
          <w:rFonts w:cstheme="minorHAnsi"/>
          <w:sz w:val="22"/>
          <w:szCs w:val="22"/>
        </w:rPr>
        <w:t xml:space="preserve">typy przedsięwzięć: </w:t>
      </w:r>
    </w:p>
    <w:p w14:paraId="571E0CE6" w14:textId="094B13C0" w:rsidR="00B72154" w:rsidRPr="00890249" w:rsidRDefault="7E651917" w:rsidP="009F296A">
      <w:pPr>
        <w:pStyle w:val="Bezodstpw"/>
        <w:numPr>
          <w:ilvl w:val="0"/>
          <w:numId w:val="61"/>
        </w:numPr>
        <w:spacing w:line="276" w:lineRule="auto"/>
        <w:ind w:left="714" w:hanging="35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Inwestycje w infrastrukturę i wyposażenie </w:t>
      </w:r>
      <w:r w:rsidR="751CDD51" w:rsidRPr="00890249">
        <w:rPr>
          <w:rFonts w:asciiTheme="minorHAnsi" w:hAnsiTheme="minorHAnsi" w:cstheme="minorHAnsi"/>
          <w:sz w:val="22"/>
          <w:szCs w:val="22"/>
          <w:lang w:eastAsia="en-US" w:bidi="ar-SA"/>
        </w:rPr>
        <w:t xml:space="preserve">placówek opieki zdrowotnej </w:t>
      </w:r>
      <w:r w:rsidRPr="00890249">
        <w:rPr>
          <w:rFonts w:asciiTheme="minorHAnsi" w:hAnsiTheme="minorHAnsi" w:cstheme="minorHAnsi"/>
          <w:sz w:val="22"/>
          <w:szCs w:val="22"/>
          <w:lang w:eastAsia="en-US" w:bidi="ar-SA"/>
        </w:rPr>
        <w:t xml:space="preserve">w celu poprawy ogólnej wydajności i zwiększenia dostępności </w:t>
      </w:r>
      <w:r w:rsidR="751CDD51" w:rsidRPr="00890249">
        <w:rPr>
          <w:rFonts w:asciiTheme="minorHAnsi" w:hAnsiTheme="minorHAnsi" w:cstheme="minorHAnsi"/>
          <w:sz w:val="22"/>
          <w:szCs w:val="22"/>
          <w:lang w:eastAsia="en-US" w:bidi="ar-SA"/>
        </w:rPr>
        <w:t xml:space="preserve">usług </w:t>
      </w:r>
      <w:r w:rsidRPr="00890249">
        <w:rPr>
          <w:rFonts w:asciiTheme="minorHAnsi" w:hAnsiTheme="minorHAnsi" w:cstheme="minorHAnsi"/>
          <w:sz w:val="22"/>
          <w:szCs w:val="22"/>
          <w:lang w:eastAsia="en-US" w:bidi="ar-SA"/>
        </w:rPr>
        <w:t>świadcz</w:t>
      </w:r>
      <w:r w:rsidR="751CDD51" w:rsidRPr="00890249">
        <w:rPr>
          <w:rFonts w:asciiTheme="minorHAnsi" w:hAnsiTheme="minorHAnsi" w:cstheme="minorHAnsi"/>
          <w:sz w:val="22"/>
          <w:szCs w:val="22"/>
          <w:lang w:eastAsia="en-US" w:bidi="ar-SA"/>
        </w:rPr>
        <w:t xml:space="preserve">onych przede wszystkim na niższych szczeblach opieki zdrowotnej oraz w szpitalach, o ile będą </w:t>
      </w:r>
      <w:r w:rsidR="003532A4" w:rsidRPr="00890249">
        <w:rPr>
          <w:rFonts w:asciiTheme="minorHAnsi" w:hAnsiTheme="minorHAnsi" w:cstheme="minorHAnsi"/>
          <w:sz w:val="22"/>
          <w:szCs w:val="22"/>
          <w:lang w:eastAsia="en-US" w:bidi="ar-SA"/>
        </w:rPr>
        <w:t>u</w:t>
      </w:r>
      <w:r w:rsidR="4A147CAF" w:rsidRPr="00890249">
        <w:rPr>
          <w:rFonts w:asciiTheme="minorHAnsi" w:hAnsiTheme="minorHAnsi" w:cstheme="minorHAnsi"/>
          <w:sz w:val="22"/>
          <w:szCs w:val="22"/>
          <w:lang w:eastAsia="en-US" w:bidi="ar-SA"/>
        </w:rPr>
        <w:t>kier</w:t>
      </w:r>
      <w:r w:rsidR="003532A4" w:rsidRPr="00890249">
        <w:rPr>
          <w:rFonts w:asciiTheme="minorHAnsi" w:hAnsiTheme="minorHAnsi" w:cstheme="minorHAnsi"/>
          <w:sz w:val="22"/>
          <w:szCs w:val="22"/>
          <w:lang w:eastAsia="en-US" w:bidi="ar-SA"/>
        </w:rPr>
        <w:t>unk</w:t>
      </w:r>
      <w:r w:rsidR="4A147CAF" w:rsidRPr="00890249">
        <w:rPr>
          <w:rFonts w:asciiTheme="minorHAnsi" w:hAnsiTheme="minorHAnsi" w:cstheme="minorHAnsi"/>
          <w:sz w:val="22"/>
          <w:szCs w:val="22"/>
          <w:lang w:eastAsia="en-US" w:bidi="ar-SA"/>
        </w:rPr>
        <w:t xml:space="preserve">owane </w:t>
      </w:r>
      <w:r w:rsidR="751CDD51" w:rsidRPr="00890249">
        <w:rPr>
          <w:rFonts w:asciiTheme="minorHAnsi" w:hAnsiTheme="minorHAnsi" w:cstheme="minorHAnsi"/>
          <w:sz w:val="22"/>
          <w:szCs w:val="22"/>
          <w:lang w:eastAsia="en-US" w:bidi="ar-SA"/>
        </w:rPr>
        <w:t>na rozwój opieki jednodniowej i wzmocnienie ambulatoryjnej opieki specjalistycznej</w:t>
      </w:r>
      <w:r w:rsidRPr="00890249">
        <w:rPr>
          <w:rFonts w:asciiTheme="minorHAnsi" w:hAnsiTheme="minorHAnsi" w:cstheme="minorHAnsi"/>
          <w:sz w:val="22"/>
          <w:szCs w:val="22"/>
          <w:lang w:eastAsia="en-US" w:bidi="ar-SA"/>
        </w:rPr>
        <w:t xml:space="preserve"> </w:t>
      </w:r>
      <w:r w:rsidR="452CE32B" w:rsidRPr="00890249">
        <w:rPr>
          <w:rFonts w:asciiTheme="minorHAnsi" w:hAnsiTheme="minorHAnsi" w:cstheme="minorHAnsi"/>
          <w:sz w:val="22"/>
          <w:szCs w:val="22"/>
          <w:lang w:eastAsia="en-US" w:bidi="ar-SA"/>
        </w:rPr>
        <w:t xml:space="preserve">komplementarne do usług zdrowotnych w cs </w:t>
      </w:r>
      <w:r w:rsidR="000E2E01" w:rsidRPr="00890249">
        <w:rPr>
          <w:rFonts w:asciiTheme="minorHAnsi" w:hAnsiTheme="minorHAnsi" w:cstheme="minorHAnsi"/>
          <w:sz w:val="22"/>
          <w:szCs w:val="22"/>
          <w:lang w:eastAsia="en-US" w:bidi="ar-SA"/>
        </w:rPr>
        <w:t>(</w:t>
      </w:r>
      <w:r w:rsidR="452CE32B" w:rsidRPr="00890249">
        <w:rPr>
          <w:rFonts w:asciiTheme="minorHAnsi" w:hAnsiTheme="minorHAnsi" w:cstheme="minorHAnsi"/>
          <w:sz w:val="22"/>
          <w:szCs w:val="22"/>
          <w:lang w:eastAsia="en-US" w:bidi="ar-SA"/>
        </w:rPr>
        <w:t>k</w:t>
      </w:r>
      <w:r w:rsidR="000E2E01" w:rsidRPr="00890249">
        <w:rPr>
          <w:rFonts w:asciiTheme="minorHAnsi" w:hAnsiTheme="minorHAnsi" w:cstheme="minorHAnsi"/>
          <w:sz w:val="22"/>
          <w:szCs w:val="22"/>
          <w:lang w:eastAsia="en-US" w:bidi="ar-SA"/>
        </w:rPr>
        <w:t>)</w:t>
      </w:r>
      <w:r w:rsidR="452CE32B" w:rsidRPr="00890249">
        <w:rPr>
          <w:rFonts w:asciiTheme="minorHAnsi" w:hAnsiTheme="minorHAnsi" w:cstheme="minorHAnsi"/>
          <w:sz w:val="22"/>
          <w:szCs w:val="22"/>
          <w:lang w:eastAsia="en-US" w:bidi="ar-SA"/>
        </w:rPr>
        <w:t xml:space="preserve"> (typ wsparcia nr 1</w:t>
      </w:r>
      <w:r w:rsidR="00E01FB0" w:rsidRPr="00890249">
        <w:rPr>
          <w:rFonts w:asciiTheme="minorHAnsi" w:hAnsiTheme="minorHAnsi" w:cstheme="minorHAnsi"/>
          <w:sz w:val="22"/>
          <w:szCs w:val="22"/>
          <w:lang w:eastAsia="en-US" w:bidi="ar-SA"/>
        </w:rPr>
        <w:t xml:space="preserve"> i</w:t>
      </w:r>
      <w:r w:rsidR="452CE32B" w:rsidRPr="00890249">
        <w:rPr>
          <w:rFonts w:asciiTheme="minorHAnsi" w:hAnsiTheme="minorHAnsi" w:cstheme="minorHAnsi"/>
          <w:sz w:val="22"/>
          <w:szCs w:val="22"/>
          <w:lang w:eastAsia="en-US" w:bidi="ar-SA"/>
        </w:rPr>
        <w:t xml:space="preserve"> </w:t>
      </w:r>
      <w:r w:rsidR="26B4DEDF" w:rsidRPr="00890249">
        <w:rPr>
          <w:rFonts w:asciiTheme="minorHAnsi" w:hAnsiTheme="minorHAnsi" w:cstheme="minorHAnsi"/>
          <w:sz w:val="22"/>
          <w:szCs w:val="22"/>
          <w:lang w:eastAsia="en-US" w:bidi="ar-SA"/>
        </w:rPr>
        <w:t>3</w:t>
      </w:r>
      <w:r w:rsidR="452CE32B" w:rsidRPr="00890249">
        <w:rPr>
          <w:rFonts w:asciiTheme="minorHAnsi" w:hAnsiTheme="minorHAnsi" w:cstheme="minorHAnsi"/>
          <w:sz w:val="22"/>
          <w:szCs w:val="22"/>
          <w:lang w:eastAsia="en-US" w:bidi="ar-SA"/>
        </w:rPr>
        <w:t xml:space="preserve">) i </w:t>
      </w:r>
      <w:r w:rsidR="000E2E01" w:rsidRPr="00890249">
        <w:rPr>
          <w:rFonts w:asciiTheme="minorHAnsi" w:hAnsiTheme="minorHAnsi" w:cstheme="minorHAnsi"/>
          <w:sz w:val="22"/>
          <w:szCs w:val="22"/>
          <w:lang w:eastAsia="en-US" w:bidi="ar-SA"/>
        </w:rPr>
        <w:t>(</w:t>
      </w:r>
      <w:r w:rsidR="452CE32B" w:rsidRPr="00890249">
        <w:rPr>
          <w:rFonts w:asciiTheme="minorHAnsi" w:hAnsiTheme="minorHAnsi" w:cstheme="minorHAnsi"/>
          <w:sz w:val="22"/>
          <w:szCs w:val="22"/>
          <w:lang w:eastAsia="en-US" w:bidi="ar-SA"/>
        </w:rPr>
        <w:t>d</w:t>
      </w:r>
      <w:r w:rsidR="000E2E01" w:rsidRPr="00890249">
        <w:rPr>
          <w:rFonts w:asciiTheme="minorHAnsi" w:hAnsiTheme="minorHAnsi" w:cstheme="minorHAnsi"/>
          <w:sz w:val="22"/>
          <w:szCs w:val="22"/>
          <w:lang w:eastAsia="en-US" w:bidi="ar-SA"/>
        </w:rPr>
        <w:t>)</w:t>
      </w:r>
      <w:r w:rsidR="452CE32B" w:rsidRPr="00890249">
        <w:rPr>
          <w:rFonts w:asciiTheme="minorHAnsi" w:hAnsiTheme="minorHAnsi" w:cstheme="minorHAnsi"/>
          <w:sz w:val="22"/>
          <w:szCs w:val="22"/>
          <w:lang w:eastAsia="en-US" w:bidi="ar-SA"/>
        </w:rPr>
        <w:t xml:space="preserve"> (typ wsparcia nr 1</w:t>
      </w:r>
      <w:r w:rsidR="00425530" w:rsidRPr="00890249">
        <w:rPr>
          <w:rFonts w:asciiTheme="minorHAnsi" w:hAnsiTheme="minorHAnsi" w:cstheme="minorHAnsi"/>
          <w:sz w:val="22"/>
          <w:szCs w:val="22"/>
          <w:lang w:eastAsia="en-US" w:bidi="ar-SA"/>
        </w:rPr>
        <w:t xml:space="preserve"> i 2</w:t>
      </w:r>
      <w:r w:rsidR="452CE32B" w:rsidRPr="00890249">
        <w:rPr>
          <w:rFonts w:asciiTheme="minorHAnsi" w:hAnsiTheme="minorHAnsi" w:cstheme="minorHAnsi"/>
          <w:sz w:val="22"/>
          <w:szCs w:val="22"/>
          <w:lang w:eastAsia="en-US" w:bidi="ar-SA"/>
        </w:rPr>
        <w:t>).</w:t>
      </w:r>
    </w:p>
    <w:p w14:paraId="0DE2098B" w14:textId="12306804" w:rsidR="00B72154" w:rsidRPr="00890249" w:rsidRDefault="7E651917" w:rsidP="009F296A">
      <w:pPr>
        <w:pStyle w:val="Bezodstpw"/>
        <w:numPr>
          <w:ilvl w:val="0"/>
          <w:numId w:val="61"/>
        </w:numPr>
        <w:spacing w:line="276" w:lineRule="auto"/>
        <w:ind w:left="714" w:hanging="35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Wzmocnienie roli </w:t>
      </w:r>
      <w:r w:rsidR="64A89E2A" w:rsidRPr="00890249">
        <w:rPr>
          <w:rFonts w:asciiTheme="minorHAnsi" w:hAnsiTheme="minorHAnsi" w:cstheme="minorHAnsi"/>
          <w:sz w:val="22"/>
          <w:szCs w:val="22"/>
          <w:lang w:eastAsia="en-US" w:bidi="ar-SA"/>
        </w:rPr>
        <w:t xml:space="preserve">podstawowej i ambulatoryjnej opieki zdrowotnej </w:t>
      </w:r>
      <w:r w:rsidRPr="00890249">
        <w:rPr>
          <w:rFonts w:asciiTheme="minorHAnsi" w:hAnsiTheme="minorHAnsi" w:cstheme="minorHAnsi"/>
          <w:sz w:val="22"/>
          <w:szCs w:val="22"/>
          <w:lang w:eastAsia="en-US" w:bidi="ar-SA"/>
        </w:rPr>
        <w:t xml:space="preserve">w dostarczaniu </w:t>
      </w:r>
      <w:r w:rsidR="64A89E2A" w:rsidRPr="00890249">
        <w:rPr>
          <w:rFonts w:asciiTheme="minorHAnsi" w:hAnsiTheme="minorHAnsi" w:cstheme="minorHAnsi"/>
          <w:sz w:val="22"/>
          <w:szCs w:val="22"/>
          <w:lang w:eastAsia="en-US" w:bidi="ar-SA"/>
        </w:rPr>
        <w:t xml:space="preserve">dostępnych i </w:t>
      </w:r>
      <w:r w:rsidRPr="00890249">
        <w:rPr>
          <w:rFonts w:asciiTheme="minorHAnsi" w:hAnsiTheme="minorHAnsi" w:cstheme="minorHAnsi"/>
          <w:sz w:val="22"/>
          <w:szCs w:val="22"/>
          <w:lang w:eastAsia="en-US" w:bidi="ar-SA"/>
        </w:rPr>
        <w:t xml:space="preserve">dobrej jakości usług zdrowotnych, poprzez </w:t>
      </w:r>
      <w:r w:rsidR="3641C9A5" w:rsidRPr="00890249">
        <w:rPr>
          <w:rFonts w:asciiTheme="minorHAnsi" w:hAnsiTheme="minorHAnsi" w:cstheme="minorHAnsi"/>
          <w:sz w:val="22"/>
          <w:szCs w:val="22"/>
          <w:lang w:eastAsia="en-US" w:bidi="ar-SA"/>
        </w:rPr>
        <w:t>inwestycje</w:t>
      </w:r>
      <w:r w:rsidR="4E108DD2"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infrastruktur</w:t>
      </w:r>
      <w:r w:rsidR="3641C9A5" w:rsidRPr="00890249">
        <w:rPr>
          <w:rFonts w:asciiTheme="minorHAnsi" w:hAnsiTheme="minorHAnsi" w:cstheme="minorHAnsi"/>
          <w:sz w:val="22"/>
          <w:szCs w:val="22"/>
          <w:lang w:eastAsia="en-US" w:bidi="ar-SA"/>
        </w:rPr>
        <w:t xml:space="preserve">alne i sprzęt (w tym zakup sprzętu i infrastruktury IT) </w:t>
      </w:r>
      <w:r w:rsidR="005A7774">
        <w:rPr>
          <w:rFonts w:asciiTheme="minorHAnsi" w:hAnsiTheme="minorHAnsi" w:cstheme="minorHAnsi"/>
          <w:sz w:val="22"/>
          <w:szCs w:val="22"/>
          <w:lang w:eastAsia="en-US" w:bidi="ar-SA"/>
        </w:rPr>
        <w:t>–</w:t>
      </w:r>
      <w:r w:rsidR="3641C9A5"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rPr>
        <w:t xml:space="preserve">mające na celu stopniowe odwracanie piramidy </w:t>
      </w:r>
      <w:r w:rsidR="00875C92" w:rsidRPr="00890249">
        <w:rPr>
          <w:rFonts w:asciiTheme="minorHAnsi" w:hAnsiTheme="minorHAnsi" w:cstheme="minorHAnsi"/>
          <w:sz w:val="22"/>
          <w:szCs w:val="22"/>
        </w:rPr>
        <w:lastRenderedPageBreak/>
        <w:t>świadczeń i ukierunkowane na poprawę dostępu do opieki na obszarach słabiej rozwiniętych gospodarczo i terenach wiejskich</w:t>
      </w:r>
      <w:r w:rsidR="452CE32B" w:rsidRPr="00890249">
        <w:rPr>
          <w:rFonts w:asciiTheme="minorHAnsi" w:hAnsiTheme="minorHAnsi" w:cstheme="minorHAnsi"/>
          <w:sz w:val="22"/>
          <w:szCs w:val="22"/>
        </w:rPr>
        <w:t xml:space="preserve"> </w:t>
      </w:r>
      <w:r w:rsidR="452CE32B" w:rsidRPr="00890249">
        <w:rPr>
          <w:rFonts w:asciiTheme="minorHAnsi" w:hAnsiTheme="minorHAnsi" w:cstheme="minorHAnsi"/>
          <w:sz w:val="22"/>
          <w:szCs w:val="22"/>
          <w:lang w:eastAsia="en-US" w:bidi="ar-SA"/>
        </w:rPr>
        <w:t>–</w:t>
      </w:r>
      <w:r w:rsidR="09C328AD"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lang w:eastAsia="en-US" w:bidi="ar-SA"/>
        </w:rPr>
        <w:t xml:space="preserve">komplementarne do usług zdrowotnych w cs </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k</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 xml:space="preserve"> (typ wsparcia nr 1</w:t>
      </w:r>
      <w:r w:rsidR="00425530" w:rsidRPr="00890249">
        <w:rPr>
          <w:rFonts w:asciiTheme="minorHAnsi" w:hAnsiTheme="minorHAnsi" w:cstheme="minorHAnsi"/>
          <w:sz w:val="22"/>
          <w:szCs w:val="22"/>
          <w:lang w:eastAsia="en-US" w:bidi="ar-SA"/>
        </w:rPr>
        <w:t xml:space="preserve"> i </w:t>
      </w:r>
      <w:r w:rsidR="00E01FB0" w:rsidRPr="00890249">
        <w:rPr>
          <w:rFonts w:asciiTheme="minorHAnsi" w:hAnsiTheme="minorHAnsi" w:cstheme="minorHAnsi"/>
          <w:sz w:val="22"/>
          <w:szCs w:val="22"/>
          <w:lang w:eastAsia="en-US" w:bidi="ar-SA"/>
        </w:rPr>
        <w:t>4</w:t>
      </w:r>
      <w:r w:rsidR="00875C92" w:rsidRPr="00890249">
        <w:rPr>
          <w:rFonts w:asciiTheme="minorHAnsi" w:hAnsiTheme="minorHAnsi" w:cstheme="minorHAnsi"/>
          <w:sz w:val="22"/>
          <w:szCs w:val="22"/>
          <w:lang w:eastAsia="en-US" w:bidi="ar-SA"/>
        </w:rPr>
        <w:t>)</w:t>
      </w:r>
      <w:r w:rsidR="09C328AD" w:rsidRPr="00890249">
        <w:rPr>
          <w:rFonts w:asciiTheme="minorHAnsi" w:hAnsiTheme="minorHAnsi" w:cstheme="minorHAnsi"/>
          <w:sz w:val="22"/>
          <w:szCs w:val="22"/>
        </w:rPr>
        <w:t>.</w:t>
      </w:r>
    </w:p>
    <w:p w14:paraId="1D9A5740" w14:textId="65F900E1" w:rsidR="002D3756" w:rsidRPr="00890249" w:rsidRDefault="60FF6DC1" w:rsidP="009F296A">
      <w:pPr>
        <w:pStyle w:val="Bezodstpw"/>
        <w:numPr>
          <w:ilvl w:val="0"/>
          <w:numId w:val="61"/>
        </w:numPr>
        <w:spacing w:line="276" w:lineRule="auto"/>
        <w:ind w:left="714" w:hanging="357"/>
        <w:rPr>
          <w:rFonts w:asciiTheme="minorHAnsi" w:hAnsiTheme="minorHAnsi" w:cstheme="minorHAnsi"/>
          <w:sz w:val="22"/>
          <w:szCs w:val="22"/>
        </w:rPr>
      </w:pPr>
      <w:r w:rsidRPr="00890249">
        <w:rPr>
          <w:rFonts w:asciiTheme="minorHAnsi" w:hAnsiTheme="minorHAnsi" w:cstheme="minorHAnsi"/>
          <w:sz w:val="22"/>
          <w:szCs w:val="22"/>
        </w:rPr>
        <w:t>W</w:t>
      </w:r>
      <w:r w:rsidR="18317E1B" w:rsidRPr="00890249">
        <w:rPr>
          <w:rFonts w:asciiTheme="minorHAnsi" w:hAnsiTheme="minorHAnsi" w:cstheme="minorHAnsi"/>
          <w:sz w:val="22"/>
          <w:szCs w:val="22"/>
        </w:rPr>
        <w:t>drożenie standardu dostępności POZ</w:t>
      </w:r>
      <w:r w:rsidR="008C332B" w:rsidRPr="00890249">
        <w:rPr>
          <w:rFonts w:asciiTheme="minorHAnsi" w:hAnsiTheme="minorHAnsi" w:cstheme="minorHAnsi"/>
          <w:sz w:val="22"/>
          <w:szCs w:val="22"/>
        </w:rPr>
        <w:t>/AOS</w:t>
      </w:r>
      <w:r w:rsidR="18317E1B" w:rsidRPr="00890249">
        <w:rPr>
          <w:rFonts w:asciiTheme="minorHAnsi" w:hAnsiTheme="minorHAnsi" w:cstheme="minorHAnsi"/>
          <w:sz w:val="22"/>
          <w:szCs w:val="22"/>
        </w:rPr>
        <w:t xml:space="preserve"> dla  osób  z</w:t>
      </w:r>
      <w:r w:rsidR="00172BC7">
        <w:rPr>
          <w:rFonts w:asciiTheme="minorHAnsi" w:hAnsiTheme="minorHAnsi" w:cstheme="minorHAnsi"/>
          <w:sz w:val="22"/>
          <w:szCs w:val="22"/>
        </w:rPr>
        <w:t>e  szczególnymi  potrzebami  w </w:t>
      </w:r>
      <w:r w:rsidR="18317E1B" w:rsidRPr="00890249">
        <w:rPr>
          <w:rFonts w:asciiTheme="minorHAnsi" w:hAnsiTheme="minorHAnsi" w:cstheme="minorHAnsi"/>
          <w:sz w:val="22"/>
          <w:szCs w:val="22"/>
        </w:rPr>
        <w:t>obszarze architektonicznym, cyfrowym, komunikacyjnym i organizacyjnym. Wsparcie to możliwe będzie także w powi</w:t>
      </w:r>
      <w:r w:rsidR="000E2E01" w:rsidRPr="00890249">
        <w:rPr>
          <w:rFonts w:asciiTheme="minorHAnsi" w:hAnsiTheme="minorHAnsi" w:cstheme="minorHAnsi"/>
          <w:sz w:val="22"/>
          <w:szCs w:val="22"/>
        </w:rPr>
        <w:t>ą</w:t>
      </w:r>
      <w:r w:rsidR="18317E1B" w:rsidRPr="00890249">
        <w:rPr>
          <w:rFonts w:asciiTheme="minorHAnsi" w:hAnsiTheme="minorHAnsi" w:cstheme="minorHAnsi"/>
          <w:sz w:val="22"/>
          <w:szCs w:val="22"/>
        </w:rPr>
        <w:t xml:space="preserve">zaniu z działaniami z EFS+ </w:t>
      </w:r>
      <w:r w:rsidR="008A1A08" w:rsidRPr="00890249">
        <w:rPr>
          <w:rFonts w:asciiTheme="minorHAnsi" w:hAnsiTheme="minorHAnsi" w:cstheme="minorHAnsi"/>
          <w:sz w:val="22"/>
          <w:szCs w:val="22"/>
        </w:rPr>
        <w:t>cs</w:t>
      </w:r>
      <w:r w:rsidR="18317E1B" w:rsidRPr="00890249">
        <w:rPr>
          <w:rFonts w:asciiTheme="minorHAnsi" w:hAnsiTheme="minorHAnsi" w:cstheme="minorHAnsi"/>
          <w:sz w:val="22"/>
          <w:szCs w:val="22"/>
        </w:rPr>
        <w:t xml:space="preserve"> </w:t>
      </w:r>
      <w:r w:rsidR="000E2E01" w:rsidRPr="00890249">
        <w:rPr>
          <w:rFonts w:asciiTheme="minorHAnsi" w:hAnsiTheme="minorHAnsi" w:cstheme="minorHAnsi"/>
          <w:sz w:val="22"/>
          <w:szCs w:val="22"/>
        </w:rPr>
        <w:t>(</w:t>
      </w:r>
      <w:r w:rsidR="18317E1B" w:rsidRPr="00890249">
        <w:rPr>
          <w:rFonts w:asciiTheme="minorHAnsi" w:hAnsiTheme="minorHAnsi" w:cstheme="minorHAnsi"/>
          <w:sz w:val="22"/>
          <w:szCs w:val="22"/>
        </w:rPr>
        <w:t>k</w:t>
      </w:r>
      <w:r w:rsidR="000E2E01" w:rsidRPr="00890249">
        <w:rPr>
          <w:rFonts w:asciiTheme="minorHAnsi" w:hAnsiTheme="minorHAnsi" w:cstheme="minorHAnsi"/>
          <w:sz w:val="22"/>
          <w:szCs w:val="22"/>
        </w:rPr>
        <w:t>)</w:t>
      </w:r>
      <w:r w:rsidR="002D3756" w:rsidRPr="00890249">
        <w:rPr>
          <w:rFonts w:asciiTheme="minorHAnsi" w:hAnsiTheme="minorHAnsi" w:cstheme="minorHAnsi"/>
          <w:sz w:val="22"/>
          <w:szCs w:val="22"/>
        </w:rPr>
        <w:t xml:space="preserve"> (typ wsparcia nr </w:t>
      </w:r>
      <w:r w:rsidR="00E01FB0" w:rsidRPr="00890249">
        <w:rPr>
          <w:rFonts w:asciiTheme="minorHAnsi" w:hAnsiTheme="minorHAnsi" w:cstheme="minorHAnsi"/>
          <w:sz w:val="22"/>
          <w:szCs w:val="22"/>
        </w:rPr>
        <w:t>4</w:t>
      </w:r>
      <w:r w:rsidR="002D3756" w:rsidRPr="00890249">
        <w:rPr>
          <w:rFonts w:asciiTheme="minorHAnsi" w:hAnsiTheme="minorHAnsi" w:cstheme="minorHAnsi"/>
          <w:sz w:val="22"/>
          <w:szCs w:val="22"/>
        </w:rPr>
        <w:t>)</w:t>
      </w:r>
      <w:r w:rsidR="00172BC7">
        <w:rPr>
          <w:rFonts w:asciiTheme="minorHAnsi" w:hAnsiTheme="minorHAnsi" w:cstheme="minorHAnsi"/>
          <w:sz w:val="22"/>
          <w:szCs w:val="22"/>
        </w:rPr>
        <w:t>, oraz w </w:t>
      </w:r>
      <w:r w:rsidR="18317E1B" w:rsidRPr="00890249">
        <w:rPr>
          <w:rFonts w:asciiTheme="minorHAnsi" w:hAnsiTheme="minorHAnsi" w:cstheme="minorHAnsi"/>
          <w:sz w:val="22"/>
          <w:szCs w:val="22"/>
        </w:rPr>
        <w:t>ramach cross-financingu)</w:t>
      </w:r>
      <w:r w:rsidR="00AF0347" w:rsidRPr="00890249">
        <w:rPr>
          <w:rFonts w:asciiTheme="minorHAnsi" w:hAnsiTheme="minorHAnsi" w:cstheme="minorHAnsi"/>
          <w:sz w:val="22"/>
          <w:szCs w:val="22"/>
        </w:rPr>
        <w:t>.</w:t>
      </w:r>
      <w:r w:rsidR="002D3756" w:rsidRPr="00890249">
        <w:rPr>
          <w:rFonts w:asciiTheme="minorHAnsi" w:hAnsiTheme="minorHAnsi" w:cstheme="minorHAnsi"/>
          <w:sz w:val="22"/>
          <w:szCs w:val="22"/>
        </w:rPr>
        <w:t xml:space="preserve"> </w:t>
      </w:r>
    </w:p>
    <w:p w14:paraId="3E7F8A5E" w14:textId="550DF5F5" w:rsidR="00B72154" w:rsidRPr="00890249" w:rsidRDefault="0345636E" w:rsidP="009F296A">
      <w:pPr>
        <w:pStyle w:val="Bezodstpw"/>
        <w:numPr>
          <w:ilvl w:val="0"/>
          <w:numId w:val="61"/>
        </w:numPr>
        <w:spacing w:line="276" w:lineRule="auto"/>
        <w:ind w:left="714" w:hanging="35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Zwiększenie dostępności i jakości świadczonych usług w zakresie opieki psychiatrycznej poprzez </w:t>
      </w:r>
      <w:r w:rsidR="001E6548">
        <w:rPr>
          <w:rFonts w:asciiTheme="minorHAnsi" w:hAnsiTheme="minorHAnsi" w:cstheme="minorHAnsi"/>
          <w:sz w:val="22"/>
          <w:szCs w:val="22"/>
          <w:lang w:eastAsia="en-US" w:bidi="ar-SA"/>
        </w:rPr>
        <w:t xml:space="preserve">wspieranie istniejących CZP oraz </w:t>
      </w:r>
      <w:r w:rsidRPr="00890249">
        <w:rPr>
          <w:rFonts w:asciiTheme="minorHAnsi" w:hAnsiTheme="minorHAnsi" w:cstheme="minorHAnsi"/>
          <w:sz w:val="22"/>
          <w:szCs w:val="22"/>
          <w:lang w:eastAsia="en-US" w:bidi="ar-SA"/>
        </w:rPr>
        <w:t>tworzenie</w:t>
      </w:r>
      <w:r w:rsidR="0C596C44" w:rsidRPr="00890249">
        <w:rPr>
          <w:rFonts w:asciiTheme="minorHAnsi" w:hAnsiTheme="minorHAnsi" w:cstheme="minorHAnsi"/>
          <w:sz w:val="22"/>
          <w:szCs w:val="22"/>
          <w:lang w:eastAsia="en-US" w:bidi="ar-SA"/>
        </w:rPr>
        <w:t xml:space="preserve"> </w:t>
      </w:r>
      <w:r w:rsidR="001E6548">
        <w:rPr>
          <w:rFonts w:asciiTheme="minorHAnsi" w:hAnsiTheme="minorHAnsi" w:cstheme="minorHAnsi"/>
          <w:sz w:val="22"/>
          <w:szCs w:val="22"/>
          <w:lang w:eastAsia="en-US" w:bidi="ar-SA"/>
        </w:rPr>
        <w:t xml:space="preserve">nowych </w:t>
      </w:r>
      <w:r w:rsidR="2D5F1306" w:rsidRPr="00890249">
        <w:rPr>
          <w:rFonts w:asciiTheme="minorHAnsi" w:hAnsiTheme="minorHAnsi" w:cstheme="minorHAnsi"/>
          <w:sz w:val="22"/>
          <w:szCs w:val="22"/>
          <w:lang w:eastAsia="en-US" w:bidi="ar-SA"/>
        </w:rPr>
        <w:t>CZP</w:t>
      </w:r>
      <w:r w:rsidR="001E6548">
        <w:rPr>
          <w:rFonts w:asciiTheme="minorHAnsi" w:hAnsiTheme="minorHAnsi" w:cstheme="minorHAnsi"/>
          <w:sz w:val="22"/>
          <w:szCs w:val="22"/>
          <w:lang w:eastAsia="en-US" w:bidi="ar-SA"/>
        </w:rPr>
        <w:t>, a także</w:t>
      </w:r>
      <w:r w:rsidR="0C596C44"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innych form zgodnie z zasadą DI</w:t>
      </w:r>
      <w:r w:rsidR="7E6B887B" w:rsidRPr="00890249">
        <w:rPr>
          <w:rFonts w:asciiTheme="minorHAnsi" w:hAnsiTheme="minorHAnsi" w:cstheme="minorHAnsi"/>
          <w:sz w:val="22"/>
          <w:szCs w:val="22"/>
          <w:lang w:eastAsia="en-US" w:bidi="ar-SA"/>
        </w:rPr>
        <w:t xml:space="preserve"> –</w:t>
      </w:r>
      <w:r w:rsidR="21ABB430"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lang w:eastAsia="en-US" w:bidi="ar-SA"/>
        </w:rPr>
        <w:t>komplementarn</w:t>
      </w:r>
      <w:r w:rsidR="1CB0B325" w:rsidRPr="00890249">
        <w:rPr>
          <w:rFonts w:asciiTheme="minorHAnsi" w:hAnsiTheme="minorHAnsi" w:cstheme="minorHAnsi"/>
          <w:sz w:val="22"/>
          <w:szCs w:val="22"/>
          <w:lang w:eastAsia="en-US" w:bidi="ar-SA"/>
        </w:rPr>
        <w:t>i</w:t>
      </w:r>
      <w:r w:rsidR="00875C92" w:rsidRPr="00890249">
        <w:rPr>
          <w:rFonts w:asciiTheme="minorHAnsi" w:hAnsiTheme="minorHAnsi" w:cstheme="minorHAnsi"/>
          <w:sz w:val="22"/>
          <w:szCs w:val="22"/>
          <w:lang w:eastAsia="en-US" w:bidi="ar-SA"/>
        </w:rPr>
        <w:t xml:space="preserve">e do usług zdrowotnych w cs </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k</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 xml:space="preserve"> (typ wsparcia nr 2)</w:t>
      </w:r>
      <w:r w:rsidR="1F1510D2" w:rsidRPr="00890249">
        <w:rPr>
          <w:rFonts w:asciiTheme="minorHAnsi" w:hAnsiTheme="minorHAnsi" w:cstheme="minorHAnsi"/>
          <w:sz w:val="22"/>
          <w:szCs w:val="22"/>
          <w:lang w:eastAsia="en-US" w:bidi="ar-SA"/>
        </w:rPr>
        <w:t>.</w:t>
      </w:r>
    </w:p>
    <w:p w14:paraId="166BAD65" w14:textId="53998016" w:rsidR="00B72154" w:rsidRPr="00890249" w:rsidRDefault="32A86494" w:rsidP="009F296A">
      <w:pPr>
        <w:pStyle w:val="Bezodstpw"/>
        <w:numPr>
          <w:ilvl w:val="0"/>
          <w:numId w:val="61"/>
        </w:numPr>
        <w:spacing w:line="276" w:lineRule="auto"/>
        <w:ind w:left="714" w:hanging="35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Inwestycje wspierające r</w:t>
      </w:r>
      <w:r w:rsidR="7E651917" w:rsidRPr="00890249">
        <w:rPr>
          <w:rFonts w:asciiTheme="minorHAnsi" w:hAnsiTheme="minorHAnsi" w:cstheme="minorHAnsi"/>
          <w:sz w:val="22"/>
          <w:szCs w:val="22"/>
          <w:lang w:eastAsia="en-US" w:bidi="ar-SA"/>
        </w:rPr>
        <w:t xml:space="preserve">ozwój </w:t>
      </w:r>
      <w:r w:rsidR="51F64F05" w:rsidRPr="00890249">
        <w:rPr>
          <w:rFonts w:asciiTheme="minorHAnsi" w:hAnsiTheme="minorHAnsi" w:cstheme="minorHAnsi"/>
          <w:sz w:val="22"/>
          <w:szCs w:val="22"/>
          <w:lang w:eastAsia="en-US" w:bidi="ar-SA"/>
        </w:rPr>
        <w:t xml:space="preserve">zdeinstytucjonalizowanej </w:t>
      </w:r>
      <w:r w:rsidR="7E651917" w:rsidRPr="00890249">
        <w:rPr>
          <w:rFonts w:asciiTheme="minorHAnsi" w:hAnsiTheme="minorHAnsi" w:cstheme="minorHAnsi"/>
          <w:sz w:val="22"/>
          <w:szCs w:val="22"/>
          <w:lang w:eastAsia="en-US" w:bidi="ar-SA"/>
        </w:rPr>
        <w:t>opieki zdrowotnej nad osobami starszymi i/lub z niepełnosprawnościami (np. tworzenie DDOM-ów)</w:t>
      </w:r>
      <w:r w:rsidR="452CE32B" w:rsidRPr="00890249">
        <w:rPr>
          <w:rFonts w:asciiTheme="minorHAnsi" w:hAnsiTheme="minorHAnsi" w:cstheme="minorHAnsi"/>
          <w:sz w:val="22"/>
          <w:szCs w:val="22"/>
          <w:lang w:eastAsia="en-US" w:bidi="ar-SA"/>
        </w:rPr>
        <w:t xml:space="preserve"> –</w:t>
      </w:r>
      <w:r w:rsidR="09C328AD"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lang w:eastAsia="en-US" w:bidi="ar-SA"/>
        </w:rPr>
        <w:t xml:space="preserve">komplementarne do usług zdrowotnych w cs </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k</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 xml:space="preserve"> (typ wsparcia nr </w:t>
      </w:r>
      <w:r w:rsidR="00425530" w:rsidRPr="00890249">
        <w:rPr>
          <w:rFonts w:asciiTheme="minorHAnsi" w:hAnsiTheme="minorHAnsi" w:cstheme="minorHAnsi"/>
          <w:sz w:val="22"/>
          <w:szCs w:val="22"/>
          <w:lang w:eastAsia="en-US" w:bidi="ar-SA"/>
        </w:rPr>
        <w:t>3</w:t>
      </w:r>
      <w:r w:rsidR="00875C92" w:rsidRPr="00890249">
        <w:rPr>
          <w:rFonts w:asciiTheme="minorHAnsi" w:hAnsiTheme="minorHAnsi" w:cstheme="minorHAnsi"/>
          <w:sz w:val="22"/>
          <w:szCs w:val="22"/>
          <w:lang w:eastAsia="en-US" w:bidi="ar-SA"/>
        </w:rPr>
        <w:t>)</w:t>
      </w:r>
      <w:r w:rsidR="09C328AD" w:rsidRPr="00890249">
        <w:rPr>
          <w:rFonts w:asciiTheme="minorHAnsi" w:hAnsiTheme="minorHAnsi" w:cstheme="minorHAnsi"/>
          <w:sz w:val="22"/>
          <w:szCs w:val="22"/>
          <w:lang w:eastAsia="en-US" w:bidi="ar-SA"/>
        </w:rPr>
        <w:t>.</w:t>
      </w:r>
    </w:p>
    <w:p w14:paraId="3BE7AEF1" w14:textId="727AE17F" w:rsidR="00B72154" w:rsidRPr="00890249" w:rsidRDefault="58BFBB0D" w:rsidP="009F296A">
      <w:pPr>
        <w:pStyle w:val="Bezodstpw"/>
        <w:numPr>
          <w:ilvl w:val="0"/>
          <w:numId w:val="61"/>
        </w:numPr>
        <w:spacing w:line="276" w:lineRule="auto"/>
        <w:ind w:left="714" w:hanging="357"/>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Inwestycje wspierające rozwój zdeinstytucjonalizowanej </w:t>
      </w:r>
      <w:r w:rsidR="7E651917" w:rsidRPr="00890249">
        <w:rPr>
          <w:rFonts w:asciiTheme="minorHAnsi" w:hAnsiTheme="minorHAnsi" w:cstheme="minorHAnsi"/>
          <w:sz w:val="22"/>
          <w:szCs w:val="22"/>
          <w:lang w:eastAsia="en-US" w:bidi="ar-SA"/>
        </w:rPr>
        <w:t xml:space="preserve">opieki </w:t>
      </w:r>
      <w:r w:rsidR="09C328AD" w:rsidRPr="00890249">
        <w:rPr>
          <w:rFonts w:asciiTheme="minorHAnsi" w:eastAsiaTheme="minorEastAsia" w:hAnsiTheme="minorHAnsi" w:cstheme="minorHAnsi"/>
          <w:sz w:val="22"/>
          <w:szCs w:val="22"/>
          <w:lang w:eastAsia="en-US" w:bidi="ar-SA"/>
        </w:rPr>
        <w:t>długoterm.</w:t>
      </w:r>
      <w:r w:rsidR="7E651917" w:rsidRPr="00890249">
        <w:rPr>
          <w:rFonts w:asciiTheme="minorHAnsi" w:hAnsiTheme="minorHAnsi" w:cstheme="minorHAnsi"/>
          <w:sz w:val="22"/>
          <w:szCs w:val="22"/>
          <w:lang w:eastAsia="en-US" w:bidi="ar-SA"/>
        </w:rPr>
        <w:t>, paliatywnej oraz hospicyjnej</w:t>
      </w:r>
      <w:r w:rsidR="4FD24F5D" w:rsidRPr="00890249">
        <w:rPr>
          <w:rFonts w:asciiTheme="minorHAnsi" w:hAnsiTheme="minorHAnsi" w:cstheme="minorHAnsi"/>
          <w:sz w:val="22"/>
          <w:szCs w:val="22"/>
          <w:lang w:eastAsia="en-US" w:bidi="ar-SA"/>
        </w:rPr>
        <w:t xml:space="preserve"> –</w:t>
      </w:r>
      <w:r w:rsidR="491632F7" w:rsidRPr="00890249">
        <w:rPr>
          <w:rFonts w:asciiTheme="minorHAnsi" w:hAnsiTheme="minorHAnsi" w:cstheme="minorHAnsi"/>
          <w:sz w:val="22"/>
          <w:szCs w:val="22"/>
          <w:lang w:eastAsia="en-US" w:bidi="ar-SA"/>
        </w:rPr>
        <w:t xml:space="preserve"> </w:t>
      </w:r>
      <w:r w:rsidR="00875C92" w:rsidRPr="00890249">
        <w:rPr>
          <w:rFonts w:asciiTheme="minorHAnsi" w:hAnsiTheme="minorHAnsi" w:cstheme="minorHAnsi"/>
          <w:sz w:val="22"/>
          <w:szCs w:val="22"/>
          <w:lang w:eastAsia="en-US" w:bidi="ar-SA"/>
        </w:rPr>
        <w:t xml:space="preserve">komplementarne do usług zdrowotnych w cs </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k</w:t>
      </w:r>
      <w:r w:rsidR="000E2E01" w:rsidRPr="00890249">
        <w:rPr>
          <w:rFonts w:asciiTheme="minorHAnsi" w:hAnsiTheme="minorHAnsi" w:cstheme="minorHAnsi"/>
          <w:sz w:val="22"/>
          <w:szCs w:val="22"/>
          <w:lang w:eastAsia="en-US" w:bidi="ar-SA"/>
        </w:rPr>
        <w:t>)</w:t>
      </w:r>
      <w:r w:rsidR="00875C92" w:rsidRPr="00890249">
        <w:rPr>
          <w:rFonts w:asciiTheme="minorHAnsi" w:hAnsiTheme="minorHAnsi" w:cstheme="minorHAnsi"/>
          <w:sz w:val="22"/>
          <w:szCs w:val="22"/>
          <w:lang w:eastAsia="en-US" w:bidi="ar-SA"/>
        </w:rPr>
        <w:t xml:space="preserve"> (typ wsparcia nr </w:t>
      </w:r>
      <w:r w:rsidR="00E01FB0" w:rsidRPr="00890249">
        <w:rPr>
          <w:rFonts w:asciiTheme="minorHAnsi" w:hAnsiTheme="minorHAnsi" w:cstheme="minorHAnsi"/>
          <w:sz w:val="22"/>
          <w:szCs w:val="22"/>
          <w:lang w:eastAsia="en-US" w:bidi="ar-SA"/>
        </w:rPr>
        <w:t>3</w:t>
      </w:r>
      <w:r w:rsidR="00875C92" w:rsidRPr="00890249">
        <w:rPr>
          <w:rFonts w:asciiTheme="minorHAnsi" w:hAnsiTheme="minorHAnsi" w:cstheme="minorHAnsi"/>
          <w:sz w:val="22"/>
          <w:szCs w:val="22"/>
          <w:lang w:eastAsia="en-US" w:bidi="ar-SA"/>
        </w:rPr>
        <w:t>)</w:t>
      </w:r>
      <w:r w:rsidR="7E651917" w:rsidRPr="00890249">
        <w:rPr>
          <w:rFonts w:asciiTheme="minorHAnsi" w:hAnsiTheme="minorHAnsi" w:cstheme="minorHAnsi"/>
          <w:sz w:val="22"/>
          <w:szCs w:val="22"/>
          <w:lang w:eastAsia="en-US" w:bidi="ar-SA"/>
        </w:rPr>
        <w:t>.</w:t>
      </w:r>
    </w:p>
    <w:p w14:paraId="75FBB16C" w14:textId="639E5192" w:rsidR="0093433C" w:rsidRPr="00890249" w:rsidRDefault="0069712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BA20BD" w:rsidRPr="00890249">
        <w:rPr>
          <w:rFonts w:asciiTheme="minorHAnsi" w:hAnsiTheme="minorHAnsi" w:cstheme="minorHAnsi"/>
          <w:noProof/>
          <w:sz w:val="22"/>
          <w:szCs w:val="22"/>
        </w:rPr>
        <w:t xml:space="preserve">są zgodne z zasadą DNSH. Ze względu na ich charakter przyjmuje się, że nie mają negatywnego wpływu na środowisko. </w:t>
      </w:r>
      <w:r w:rsidR="00B82FF3" w:rsidRPr="00890249">
        <w:rPr>
          <w:rFonts w:asciiTheme="minorHAnsi" w:hAnsiTheme="minorHAnsi" w:cstheme="minorHAnsi"/>
          <w:noProof/>
          <w:sz w:val="22"/>
          <w:szCs w:val="22"/>
        </w:rPr>
        <w:t>W ramach Programu nie będzie finansowana infrastruktura placówek świadczących usługi w formie instytucjonalnej oraz powodując</w:t>
      </w:r>
      <w:r w:rsidR="000E2E01" w:rsidRPr="00890249">
        <w:rPr>
          <w:rFonts w:asciiTheme="minorHAnsi" w:hAnsiTheme="minorHAnsi" w:cstheme="minorHAnsi"/>
          <w:noProof/>
          <w:sz w:val="22"/>
          <w:szCs w:val="22"/>
        </w:rPr>
        <w:t>a</w:t>
      </w:r>
      <w:r w:rsidR="00B82FF3" w:rsidRPr="00890249">
        <w:rPr>
          <w:rFonts w:asciiTheme="minorHAnsi" w:hAnsiTheme="minorHAnsi" w:cstheme="minorHAnsi"/>
          <w:noProof/>
          <w:sz w:val="22"/>
          <w:szCs w:val="22"/>
        </w:rPr>
        <w:t xml:space="preserve"> segregację </w:t>
      </w:r>
      <w:r w:rsidR="00F74288" w:rsidRPr="00890249">
        <w:rPr>
          <w:rFonts w:asciiTheme="minorHAnsi" w:hAnsiTheme="minorHAnsi" w:cstheme="minorHAnsi"/>
          <w:noProof/>
          <w:sz w:val="22"/>
          <w:szCs w:val="22"/>
        </w:rPr>
        <w:t xml:space="preserve">społeczną i </w:t>
      </w:r>
      <w:r w:rsidR="00B82FF3" w:rsidRPr="00890249">
        <w:rPr>
          <w:rFonts w:asciiTheme="minorHAnsi" w:hAnsiTheme="minorHAnsi" w:cstheme="minorHAnsi"/>
          <w:noProof/>
          <w:sz w:val="22"/>
          <w:szCs w:val="22"/>
        </w:rPr>
        <w:t>przestrzenną grup zagrożonych ubóstwem i wykluczeniem społecznym.</w:t>
      </w:r>
      <w:r w:rsidR="00875C92" w:rsidRPr="00890249">
        <w:rPr>
          <w:rFonts w:asciiTheme="minorHAnsi" w:hAnsiTheme="minorHAnsi" w:cstheme="minorHAnsi"/>
          <w:sz w:val="22"/>
          <w:szCs w:val="22"/>
        </w:rPr>
        <w:t xml:space="preserve"> </w:t>
      </w:r>
      <w:r w:rsidR="00B82FF3" w:rsidRPr="00890249">
        <w:rPr>
          <w:rFonts w:asciiTheme="minorHAnsi" w:hAnsiTheme="minorHAnsi" w:cstheme="minorHAnsi"/>
          <w:noProof/>
          <w:sz w:val="22"/>
          <w:szCs w:val="22"/>
        </w:rPr>
        <w:t>Wsparcie osób z</w:t>
      </w:r>
      <w:r w:rsidR="00DF7C33" w:rsidRPr="00890249">
        <w:rPr>
          <w:rFonts w:asciiTheme="minorHAnsi" w:hAnsiTheme="minorHAnsi" w:cstheme="minorHAnsi"/>
          <w:noProof/>
          <w:sz w:val="22"/>
          <w:szCs w:val="22"/>
        </w:rPr>
        <w:t> </w:t>
      </w:r>
      <w:r w:rsidR="00B82FF3" w:rsidRPr="00890249">
        <w:rPr>
          <w:rFonts w:asciiTheme="minorHAnsi" w:hAnsiTheme="minorHAnsi" w:cstheme="minorHAnsi"/>
          <w:noProof/>
          <w:sz w:val="22"/>
          <w:szCs w:val="22"/>
        </w:rPr>
        <w:t>niepełnosprawnościami będzie udzielane zgodnie z Konwencją ONZ o prawach osób niepełnosprawnych.</w:t>
      </w:r>
    </w:p>
    <w:p w14:paraId="1B322F9D" w14:textId="6AFFEC00" w:rsidR="0093433C" w:rsidRPr="00890249" w:rsidRDefault="7E51A165"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Dla zapewnienia spójności z </w:t>
      </w:r>
      <w:r w:rsidR="00EC1181" w:rsidRPr="00890249">
        <w:rPr>
          <w:rFonts w:asciiTheme="minorHAnsi" w:hAnsiTheme="minorHAnsi" w:cstheme="minorHAnsi"/>
          <w:sz w:val="22"/>
          <w:szCs w:val="22"/>
        </w:rPr>
        <w:t>K</w:t>
      </w:r>
      <w:r w:rsidRPr="00890249">
        <w:rPr>
          <w:rFonts w:asciiTheme="minorHAnsi" w:hAnsiTheme="minorHAnsi" w:cstheme="minorHAnsi"/>
          <w:sz w:val="22"/>
          <w:szCs w:val="22"/>
        </w:rPr>
        <w:t xml:space="preserve">rajowymi </w:t>
      </w:r>
      <w:r w:rsidR="00EC1181" w:rsidRPr="00890249">
        <w:rPr>
          <w:rFonts w:asciiTheme="minorHAnsi" w:hAnsiTheme="minorHAnsi" w:cstheme="minorHAnsi"/>
          <w:sz w:val="22"/>
          <w:szCs w:val="22"/>
        </w:rPr>
        <w:t>R</w:t>
      </w:r>
      <w:r w:rsidRPr="00890249">
        <w:rPr>
          <w:rFonts w:asciiTheme="minorHAnsi" w:hAnsiTheme="minorHAnsi" w:cstheme="minorHAnsi"/>
          <w:sz w:val="22"/>
          <w:szCs w:val="22"/>
        </w:rPr>
        <w:t xml:space="preserve">amami </w:t>
      </w:r>
      <w:r w:rsidR="00EC1181" w:rsidRPr="00890249">
        <w:rPr>
          <w:rFonts w:asciiTheme="minorHAnsi" w:hAnsiTheme="minorHAnsi" w:cstheme="minorHAnsi"/>
          <w:sz w:val="22"/>
          <w:szCs w:val="22"/>
        </w:rPr>
        <w:t>S</w:t>
      </w:r>
      <w:r w:rsidRPr="00890249">
        <w:rPr>
          <w:rFonts w:asciiTheme="minorHAnsi" w:hAnsiTheme="minorHAnsi" w:cstheme="minorHAnsi"/>
          <w:sz w:val="22"/>
          <w:szCs w:val="22"/>
        </w:rPr>
        <w:t xml:space="preserve">trategicznymi </w:t>
      </w:r>
      <w:r w:rsidR="00EC1181" w:rsidRPr="00890249">
        <w:rPr>
          <w:rFonts w:asciiTheme="minorHAnsi" w:hAnsiTheme="minorHAnsi" w:cstheme="minorHAnsi"/>
          <w:sz w:val="22"/>
          <w:szCs w:val="22"/>
        </w:rPr>
        <w:t>R</w:t>
      </w:r>
      <w:r w:rsidRPr="00890249">
        <w:rPr>
          <w:rFonts w:asciiTheme="minorHAnsi" w:hAnsiTheme="minorHAnsi" w:cstheme="minorHAnsi"/>
          <w:sz w:val="22"/>
          <w:szCs w:val="22"/>
        </w:rPr>
        <w:t xml:space="preserve">eformy </w:t>
      </w:r>
      <w:r w:rsidR="00EC1181" w:rsidRPr="00890249">
        <w:rPr>
          <w:rFonts w:asciiTheme="minorHAnsi" w:hAnsiTheme="minorHAnsi" w:cstheme="minorHAnsi"/>
          <w:sz w:val="22"/>
          <w:szCs w:val="22"/>
        </w:rPr>
        <w:t>P</w:t>
      </w:r>
      <w:r w:rsidRPr="00890249">
        <w:rPr>
          <w:rFonts w:asciiTheme="minorHAnsi" w:hAnsiTheme="minorHAnsi" w:cstheme="minorHAnsi"/>
          <w:sz w:val="22"/>
          <w:szCs w:val="22"/>
        </w:rPr>
        <w:t>sychiatrii projekty infrastrukturalne w zakresie reformy zdrowia psychicznego będą realizowane po uzgodnieniu z</w:t>
      </w:r>
      <w:r w:rsidR="00DF7C33" w:rsidRPr="00890249">
        <w:rPr>
          <w:rFonts w:asciiTheme="minorHAnsi" w:hAnsiTheme="minorHAnsi" w:cstheme="minorHAnsi"/>
          <w:sz w:val="22"/>
          <w:szCs w:val="22"/>
        </w:rPr>
        <w:t> </w:t>
      </w:r>
      <w:r w:rsidRPr="00890249">
        <w:rPr>
          <w:rFonts w:asciiTheme="minorHAnsi" w:hAnsiTheme="minorHAnsi" w:cstheme="minorHAnsi"/>
          <w:sz w:val="22"/>
          <w:szCs w:val="22"/>
        </w:rPr>
        <w:t>ministrem właściwym do spraw zdrowia.</w:t>
      </w:r>
      <w:r w:rsidR="00D916B2" w:rsidRPr="00890249">
        <w:rPr>
          <w:rFonts w:asciiTheme="minorHAnsi" w:hAnsiTheme="minorHAnsi" w:cstheme="minorHAnsi"/>
          <w:sz w:val="22"/>
          <w:szCs w:val="22"/>
        </w:rPr>
        <w:t xml:space="preserve">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14:paraId="34F6E83A" w14:textId="77777777" w:rsidR="007747A3" w:rsidRPr="00890249" w:rsidRDefault="007747A3" w:rsidP="007747A3">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Główne grupy docelowe:</w:t>
      </w:r>
    </w:p>
    <w:p w14:paraId="51558220" w14:textId="770DB096" w:rsidR="0093433C" w:rsidRPr="00890249" w:rsidRDefault="00D916B2"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Mieszkańcy województwa opolskiego, w tym przede wszystkim:</w:t>
      </w:r>
    </w:p>
    <w:p w14:paraId="563B1ADD" w14:textId="77777777" w:rsidR="00D916B2" w:rsidRPr="00890249" w:rsidRDefault="00D916B2" w:rsidP="009F296A">
      <w:pPr>
        <w:pStyle w:val="Akapitzlist"/>
        <w:numPr>
          <w:ilvl w:val="0"/>
          <w:numId w:val="160"/>
        </w:numPr>
        <w:rPr>
          <w:rFonts w:asciiTheme="minorHAnsi" w:hAnsiTheme="minorHAnsi" w:cstheme="minorHAnsi"/>
          <w:noProof/>
          <w:sz w:val="22"/>
          <w:szCs w:val="22"/>
        </w:rPr>
      </w:pPr>
      <w:r w:rsidRPr="00890249">
        <w:rPr>
          <w:rFonts w:asciiTheme="minorHAnsi" w:hAnsiTheme="minorHAnsi" w:cstheme="minorHAnsi"/>
          <w:noProof/>
          <w:sz w:val="22"/>
          <w:szCs w:val="22"/>
        </w:rPr>
        <w:t>osoby z problemami zdrowia psychicznego,</w:t>
      </w:r>
    </w:p>
    <w:p w14:paraId="5A2EEFF8" w14:textId="1DB998BA" w:rsidR="00D916B2" w:rsidRPr="00890249" w:rsidRDefault="00D916B2" w:rsidP="009F296A">
      <w:pPr>
        <w:pStyle w:val="Akapitzlist"/>
        <w:numPr>
          <w:ilvl w:val="0"/>
          <w:numId w:val="160"/>
        </w:numPr>
        <w:rPr>
          <w:rFonts w:asciiTheme="minorHAnsi" w:hAnsiTheme="minorHAnsi" w:cstheme="minorHAnsi"/>
          <w:noProof/>
          <w:sz w:val="22"/>
          <w:szCs w:val="22"/>
        </w:rPr>
      </w:pPr>
      <w:r w:rsidRPr="00890249">
        <w:rPr>
          <w:rFonts w:asciiTheme="minorHAnsi" w:hAnsiTheme="minorHAnsi" w:cstheme="minorHAnsi"/>
          <w:iCs/>
          <w:sz w:val="22"/>
          <w:szCs w:val="22"/>
        </w:rPr>
        <w:t xml:space="preserve">mieszkańcy obszarów wiejskich z najtrudniejszym dostępem do opieki zdrowotnej, </w:t>
      </w:r>
    </w:p>
    <w:p w14:paraId="2F371F34" w14:textId="77777777" w:rsidR="00D916B2" w:rsidRPr="00890249" w:rsidRDefault="00D916B2" w:rsidP="009F296A">
      <w:pPr>
        <w:pStyle w:val="Akapitzlist"/>
        <w:numPr>
          <w:ilvl w:val="0"/>
          <w:numId w:val="160"/>
        </w:numPr>
        <w:rPr>
          <w:rFonts w:asciiTheme="minorHAnsi" w:hAnsiTheme="minorHAnsi" w:cstheme="minorHAnsi"/>
          <w:noProof/>
          <w:sz w:val="22"/>
          <w:szCs w:val="22"/>
        </w:rPr>
      </w:pPr>
      <w:r w:rsidRPr="00890249">
        <w:rPr>
          <w:rFonts w:asciiTheme="minorHAnsi" w:hAnsiTheme="minorHAnsi" w:cstheme="minorHAnsi"/>
          <w:iCs/>
          <w:sz w:val="22"/>
          <w:szCs w:val="22"/>
        </w:rPr>
        <w:t xml:space="preserve">osoby o niższych dochodach, </w:t>
      </w:r>
    </w:p>
    <w:p w14:paraId="1382B2AF" w14:textId="7B2361E0" w:rsidR="007747A3" w:rsidRPr="00890249" w:rsidRDefault="00D916B2" w:rsidP="009F296A">
      <w:pPr>
        <w:pStyle w:val="Akapitzlist"/>
        <w:numPr>
          <w:ilvl w:val="0"/>
          <w:numId w:val="160"/>
        </w:numPr>
        <w:rPr>
          <w:rFonts w:asciiTheme="minorHAnsi" w:hAnsiTheme="minorHAnsi" w:cstheme="minorHAnsi"/>
          <w:noProof/>
          <w:sz w:val="22"/>
          <w:szCs w:val="22"/>
        </w:rPr>
      </w:pPr>
      <w:r w:rsidRPr="00890249">
        <w:rPr>
          <w:rFonts w:asciiTheme="minorHAnsi" w:hAnsiTheme="minorHAnsi" w:cstheme="minorHAnsi"/>
          <w:iCs/>
          <w:sz w:val="22"/>
          <w:szCs w:val="22"/>
        </w:rPr>
        <w:t>osoby starsze i z niepełnosprawnościami i in</w:t>
      </w:r>
      <w:r w:rsidR="00AF0347" w:rsidRPr="00890249">
        <w:rPr>
          <w:rFonts w:asciiTheme="minorHAnsi" w:hAnsiTheme="minorHAnsi" w:cstheme="minorHAnsi"/>
          <w:iCs/>
          <w:sz w:val="22"/>
          <w:szCs w:val="22"/>
        </w:rPr>
        <w:t>ne</w:t>
      </w:r>
      <w:r w:rsidRPr="00890249">
        <w:rPr>
          <w:rFonts w:asciiTheme="minorHAnsi" w:hAnsiTheme="minorHAnsi" w:cstheme="minorHAnsi"/>
          <w:iCs/>
          <w:sz w:val="22"/>
          <w:szCs w:val="22"/>
        </w:rPr>
        <w:t>.</w:t>
      </w:r>
    </w:p>
    <w:p w14:paraId="3651F19D" w14:textId="4FA94C29" w:rsidR="00BA20BD" w:rsidRPr="00172BC7" w:rsidRDefault="007747A3" w:rsidP="00172BC7">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w:t>
      </w:r>
      <w:r w:rsidR="00172BC7">
        <w:rPr>
          <w:rFonts w:asciiTheme="minorHAnsi" w:hAnsiTheme="minorHAnsi" w:cstheme="minorHAnsi"/>
          <w:b/>
          <w:noProof/>
          <w:color w:val="2F5496" w:themeColor="accent5" w:themeShade="BF"/>
          <w:sz w:val="22"/>
          <w:szCs w:val="24"/>
        </w:rPr>
        <w:t xml:space="preserve"> społecznego i niedyskryminacji</w:t>
      </w:r>
    </w:p>
    <w:p w14:paraId="1E46E0CD" w14:textId="12957AE9" w:rsidR="00BA20BD" w:rsidRPr="0060033E" w:rsidRDefault="00DD0F13" w:rsidP="0060033E">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Realizowane projekty będą zgodne ze standardami dostępności, modelem dostępnej placówki służby zdrowia, dzięki czemu wsparta infrastruktura i realizowane przy jej wykorzystaniu usługi zdrowotne będą uwzględniać specjalne potrzeby przyszłych użytkowników. Zwiększenie dostępności do usług </w:t>
      </w:r>
      <w:r w:rsidR="00A15C67" w:rsidRPr="00890249">
        <w:rPr>
          <w:rFonts w:asciiTheme="minorHAnsi" w:hAnsiTheme="minorHAnsi" w:cstheme="minorHAnsi"/>
          <w:sz w:val="22"/>
          <w:lang w:eastAsia="en-US" w:bidi="ar-SA"/>
        </w:rPr>
        <w:t>POZ i AOS</w:t>
      </w:r>
      <w:r w:rsidRPr="00890249">
        <w:rPr>
          <w:rFonts w:asciiTheme="minorHAnsi" w:hAnsiTheme="minorHAnsi" w:cstheme="minorHAnsi"/>
          <w:sz w:val="22"/>
          <w:lang w:eastAsia="en-US" w:bidi="ar-SA"/>
        </w:rPr>
        <w:t xml:space="preserve"> zapobiegnie wykluczeniu społecznemu w</w:t>
      </w:r>
      <w:r w:rsidR="007747A3" w:rsidRPr="00890249">
        <w:rPr>
          <w:rFonts w:asciiTheme="minorHAnsi" w:hAnsiTheme="minorHAnsi" w:cstheme="minorHAnsi"/>
          <w:sz w:val="22"/>
          <w:lang w:eastAsia="en-US" w:bidi="ar-SA"/>
        </w:rPr>
        <w:t> </w:t>
      </w:r>
      <w:r w:rsidRPr="00890249">
        <w:rPr>
          <w:rFonts w:asciiTheme="minorHAnsi" w:hAnsiTheme="minorHAnsi" w:cstheme="minorHAnsi"/>
          <w:sz w:val="22"/>
          <w:lang w:eastAsia="en-US" w:bidi="ar-SA"/>
        </w:rPr>
        <w:t>szczególności w przypadku osób szczególnie narażonych na dyskryminację z uwagi na swoją sytuację społeczno-ekonomiczną (w tym osoby mniej zamożne, starsze, z niepełnosprawnościami).</w:t>
      </w:r>
      <w:r w:rsidR="00A15C67" w:rsidRPr="00890249">
        <w:rPr>
          <w:rFonts w:asciiTheme="minorHAnsi" w:hAnsiTheme="minorHAnsi" w:cstheme="minorHAnsi"/>
        </w:rPr>
        <w:t xml:space="preserve"> </w:t>
      </w:r>
      <w:r w:rsidR="00A15C67" w:rsidRPr="00890249">
        <w:rPr>
          <w:rFonts w:asciiTheme="minorHAnsi" w:hAnsiTheme="minorHAnsi" w:cstheme="minorHAnsi"/>
          <w:sz w:val="22"/>
          <w:lang w:eastAsia="en-US" w:bidi="ar-SA"/>
        </w:rPr>
        <w:t>Dzięki dofinansowanej w ramach projektów infrastrukturze możliwe będzie realizowanie usług zdrowotnych na rzecz grup społecznych, które mają ograniczony dostęp do nich. Przedsięwzięcia będą służyć zapewnieniu równego dostępu do opieki zdrowotnej poprzez niwelowanie różnic w wymiarze terytorialnym (na obszarach z niskim dostępem do usług zdrowotnych) , jak i eliminowanie barier w dost</w:t>
      </w:r>
      <w:r w:rsidR="00172BC7">
        <w:rPr>
          <w:rFonts w:asciiTheme="minorHAnsi" w:hAnsiTheme="minorHAnsi" w:cstheme="minorHAnsi"/>
          <w:sz w:val="22"/>
          <w:lang w:eastAsia="en-US" w:bidi="ar-SA"/>
        </w:rPr>
        <w:t>ępie do samej infrastruktury, w </w:t>
      </w:r>
      <w:r w:rsidR="00A15C67" w:rsidRPr="00890249">
        <w:rPr>
          <w:rFonts w:asciiTheme="minorHAnsi" w:hAnsiTheme="minorHAnsi" w:cstheme="minorHAnsi"/>
          <w:sz w:val="22"/>
          <w:lang w:eastAsia="en-US" w:bidi="ar-SA"/>
        </w:rPr>
        <w:t xml:space="preserve">szczególności dla osób ze szczególnymi potrzebami, w tym z niepełnosprawnościami i starszych. Szczególne działania </w:t>
      </w:r>
      <w:r w:rsidR="00A15C67" w:rsidRPr="00890249">
        <w:rPr>
          <w:rFonts w:asciiTheme="minorHAnsi" w:hAnsiTheme="minorHAnsi" w:cstheme="minorHAnsi"/>
          <w:sz w:val="22"/>
          <w:lang w:eastAsia="en-US" w:bidi="ar-SA"/>
        </w:rPr>
        <w:lastRenderedPageBreak/>
        <w:t xml:space="preserve">będę również nakierowane na poprawę dostępu do usług </w:t>
      </w:r>
      <w:r w:rsidR="00172BC7">
        <w:rPr>
          <w:rFonts w:asciiTheme="minorHAnsi" w:hAnsiTheme="minorHAnsi" w:cstheme="minorHAnsi"/>
          <w:sz w:val="22"/>
          <w:lang w:eastAsia="en-US" w:bidi="ar-SA"/>
        </w:rPr>
        <w:t>zdrowotnych osób z </w:t>
      </w:r>
      <w:r w:rsidR="00A15C67" w:rsidRPr="00890249">
        <w:rPr>
          <w:rFonts w:asciiTheme="minorHAnsi" w:hAnsiTheme="minorHAnsi" w:cstheme="minorHAnsi"/>
          <w:sz w:val="22"/>
          <w:lang w:eastAsia="en-US" w:bidi="ar-SA"/>
        </w:rPr>
        <w:t>różnych dyskryminowanych środowisk, w tym np. egzekwowania praw tych osób jako pacjentów, promowanie działań systemowych w placówkach ochrony zd</w:t>
      </w:r>
      <w:r w:rsidR="00172BC7">
        <w:rPr>
          <w:rFonts w:asciiTheme="minorHAnsi" w:hAnsiTheme="minorHAnsi" w:cstheme="minorHAnsi"/>
          <w:sz w:val="22"/>
          <w:lang w:eastAsia="en-US" w:bidi="ar-SA"/>
        </w:rPr>
        <w:t>rowia podnoszących świadomość i </w:t>
      </w:r>
      <w:r w:rsidR="00A15C67" w:rsidRPr="00890249">
        <w:rPr>
          <w:rFonts w:asciiTheme="minorHAnsi" w:hAnsiTheme="minorHAnsi" w:cstheme="minorHAnsi"/>
          <w:sz w:val="22"/>
          <w:lang w:eastAsia="en-US" w:bidi="ar-SA"/>
        </w:rPr>
        <w:t>kompetencje personelu medycznego w odniesieniu do grup narażonych na dyskryminację. Szczególne działania będą adresowane do osób narażonych na dyskryminację w dostępie do placówek systemu ochrony zdrowia ze względu na wiek i sytuacj</w:t>
      </w:r>
      <w:r w:rsidR="00172BC7">
        <w:rPr>
          <w:rFonts w:asciiTheme="minorHAnsi" w:hAnsiTheme="minorHAnsi" w:cstheme="minorHAnsi"/>
          <w:sz w:val="22"/>
          <w:lang w:eastAsia="en-US" w:bidi="ar-SA"/>
        </w:rPr>
        <w:t>ę materialną (osoby z terenów z </w:t>
      </w:r>
      <w:r w:rsidR="00A15C67" w:rsidRPr="00890249">
        <w:rPr>
          <w:rFonts w:asciiTheme="minorHAnsi" w:hAnsiTheme="minorHAnsi" w:cstheme="minorHAnsi"/>
          <w:sz w:val="22"/>
          <w:lang w:eastAsia="en-US" w:bidi="ar-SA"/>
        </w:rPr>
        <w:t>niską dostępnością do wysokiej jakości usług medycznych).</w:t>
      </w:r>
    </w:p>
    <w:p w14:paraId="038F4C7E" w14:textId="77777777" w:rsidR="007747A3" w:rsidRPr="00890249" w:rsidRDefault="007747A3" w:rsidP="007747A3">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Wskazanie konkretnych terytoriów objętych wsparciem, z uwzględnieniem planowanego wykorzystania narzędzi terytorialnych</w:t>
      </w:r>
    </w:p>
    <w:p w14:paraId="234CA3BA" w14:textId="23EC7A81" w:rsidR="0093433C" w:rsidRPr="00890249" w:rsidRDefault="00BA20BD"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Istnieje możliwość preferencji dla mieszkańców obszarów strategicznej interwencji, tj. miast średnich tracących funkcje społeczno-gospodarcze oraz </w:t>
      </w:r>
      <w:r w:rsidR="004B2F97" w:rsidRPr="00890249">
        <w:rPr>
          <w:rFonts w:asciiTheme="minorHAnsi" w:hAnsiTheme="minorHAnsi" w:cstheme="minorHAnsi"/>
          <w:noProof/>
          <w:sz w:val="22"/>
        </w:rPr>
        <w:t>obszarów</w:t>
      </w:r>
      <w:r w:rsidRPr="00890249">
        <w:rPr>
          <w:rFonts w:asciiTheme="minorHAnsi" w:hAnsiTheme="minorHAnsi" w:cstheme="minorHAnsi"/>
          <w:noProof/>
          <w:sz w:val="22"/>
        </w:rPr>
        <w:t xml:space="preserve"> zagrożonych trwałą marginalizacją, zidentyfikowanych na poziomie krajowym. </w:t>
      </w:r>
    </w:p>
    <w:p w14:paraId="6AB8D6A5" w14:textId="77777777" w:rsidR="0093433C" w:rsidRPr="00890249" w:rsidRDefault="00BA20BD" w:rsidP="00890249">
      <w:pPr>
        <w:pStyle w:val="Tekstpodstawowy"/>
        <w:rPr>
          <w:rFonts w:asciiTheme="minorHAnsi" w:hAnsiTheme="minorHAnsi" w:cstheme="minorHAnsi"/>
          <w:sz w:val="22"/>
        </w:rPr>
      </w:pPr>
      <w:r w:rsidRPr="00890249">
        <w:rPr>
          <w:rFonts w:asciiTheme="minorHAnsi" w:hAnsiTheme="minorHAnsi" w:cstheme="minorHAnsi"/>
          <w:sz w:val="22"/>
        </w:rPr>
        <w:t>Wsparcie będzie realizowane na terenie całego województwa ze szczególnym uwzględnieniem obszarów zmarginalizowanych, takich jak obszary wiejskie, o słabym dostępie do usług publicznych, dzięki czemu nastąpi wyrównanie szans osób zamieszkujących tego typu terytoria.</w:t>
      </w:r>
    </w:p>
    <w:p w14:paraId="7A47CEB7" w14:textId="72FD9D82" w:rsidR="0093433C" w:rsidRPr="00890249" w:rsidRDefault="007747A3">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Działania międzyregionalne, transgraniczne i transnarodowe</w:t>
      </w:r>
    </w:p>
    <w:p w14:paraId="31D07440" w14:textId="3F2D217A" w:rsidR="0093433C" w:rsidRPr="00890249" w:rsidRDefault="005612BC"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Wszystkie interwencje zaplanowane w </w:t>
      </w:r>
      <w:r w:rsidR="004B2F97" w:rsidRPr="00890249">
        <w:rPr>
          <w:rFonts w:asciiTheme="minorHAnsi" w:hAnsiTheme="minorHAnsi" w:cstheme="minorHAnsi"/>
          <w:noProof/>
          <w:sz w:val="22"/>
        </w:rPr>
        <w:t>cs (v)</w:t>
      </w:r>
      <w:r w:rsidRPr="00890249">
        <w:rPr>
          <w:rFonts w:asciiTheme="minorHAnsi" w:hAnsiTheme="minorHAnsi" w:cstheme="minorHAnsi"/>
          <w:noProof/>
          <w:sz w:val="22"/>
        </w:rPr>
        <w:t xml:space="preserve"> będą przyczyniać się do poprawy jakości życia, w tym zwłaszcza osób zmarginalizowanych i zagrożonych wykluczeniem społecznym, poprzez zwiększanie dostępności do usług edukacyjnych, społecznych, zdrowotnych oraz wysokiej jakości miejsc pracy. Działania te nie mogą być realizowane w oderwaniu od inwestycji mających wpływ na rozwój przedsiębiorstw, gospodarki zrównoważonej i neutralnej dla klimatu oraz usług niezbędnych dla ludności takich jak transport czy też turystyka. Z tego względu wsparcie zaplanowane w CP4 będzie uzupełniać się, a zarazem powodować efekt synergii </w:t>
      </w:r>
      <w:r w:rsidR="005B2739" w:rsidRPr="00890249">
        <w:rPr>
          <w:rFonts w:asciiTheme="minorHAnsi" w:hAnsiTheme="minorHAnsi" w:cstheme="minorHAnsi"/>
          <w:noProof/>
          <w:sz w:val="22"/>
        </w:rPr>
        <w:t xml:space="preserve">z </w:t>
      </w:r>
      <w:r w:rsidRPr="00890249">
        <w:rPr>
          <w:rFonts w:asciiTheme="minorHAnsi" w:hAnsiTheme="minorHAnsi" w:cstheme="minorHAnsi"/>
          <w:noProof/>
          <w:sz w:val="22"/>
        </w:rPr>
        <w:t>interwencj</w:t>
      </w:r>
      <w:r w:rsidR="005B2739" w:rsidRPr="00890249">
        <w:rPr>
          <w:rFonts w:asciiTheme="minorHAnsi" w:hAnsiTheme="minorHAnsi" w:cstheme="minorHAnsi"/>
          <w:noProof/>
          <w:sz w:val="22"/>
        </w:rPr>
        <w:t>ą</w:t>
      </w:r>
      <w:r w:rsidRPr="00890249">
        <w:rPr>
          <w:rFonts w:asciiTheme="minorHAnsi" w:hAnsiTheme="minorHAnsi" w:cstheme="minorHAnsi"/>
          <w:noProof/>
          <w:sz w:val="22"/>
        </w:rPr>
        <w:t xml:space="preserve"> wskazan</w:t>
      </w:r>
      <w:r w:rsidR="005B2739" w:rsidRPr="00890249">
        <w:rPr>
          <w:rFonts w:asciiTheme="minorHAnsi" w:hAnsiTheme="minorHAnsi" w:cstheme="minorHAnsi"/>
          <w:noProof/>
          <w:sz w:val="22"/>
        </w:rPr>
        <w:t>ą</w:t>
      </w:r>
      <w:r w:rsidRPr="00890249">
        <w:rPr>
          <w:rFonts w:asciiTheme="minorHAnsi" w:hAnsiTheme="minorHAnsi" w:cstheme="minorHAnsi"/>
          <w:noProof/>
          <w:sz w:val="22"/>
        </w:rPr>
        <w:t xml:space="preserve"> w programach współpracy transgranicznej Interreg Czechy-Polska 2021-2027 oraz Interreg Region Morza Bałtyckiego 2021-2027, w tym w zakresie: wzmacniania konkurencyjności MŚP, zwiększenia odporności i przystosowania do zmian klimatu, rozw</w:t>
      </w:r>
      <w:r w:rsidR="005B2739" w:rsidRPr="00890249">
        <w:rPr>
          <w:rFonts w:asciiTheme="minorHAnsi" w:hAnsiTheme="minorHAnsi" w:cstheme="minorHAnsi"/>
          <w:noProof/>
          <w:sz w:val="22"/>
        </w:rPr>
        <w:t>oju</w:t>
      </w:r>
      <w:r w:rsidRPr="00890249">
        <w:rPr>
          <w:rFonts w:asciiTheme="minorHAnsi" w:hAnsiTheme="minorHAnsi" w:cstheme="minorHAnsi"/>
          <w:noProof/>
          <w:sz w:val="22"/>
        </w:rPr>
        <w:t xml:space="preserve"> bioróżnorodności, a także transgranicznej infrastruktury transportowej oraz zrównoważonej turystyki. </w:t>
      </w:r>
    </w:p>
    <w:p w14:paraId="29498C0A" w14:textId="6FDAB316" w:rsidR="0093433C" w:rsidRPr="00890249" w:rsidRDefault="005612BC" w:rsidP="00890249">
      <w:pPr>
        <w:pStyle w:val="Tekstpodstawowy"/>
        <w:rPr>
          <w:rFonts w:asciiTheme="minorHAnsi" w:hAnsiTheme="minorHAnsi" w:cstheme="minorHAnsi"/>
          <w:noProof/>
        </w:rPr>
      </w:pPr>
      <w:r w:rsidRPr="00890249">
        <w:rPr>
          <w:rFonts w:asciiTheme="minorHAnsi" w:hAnsiTheme="minorHAnsi" w:cstheme="minorHAnsi"/>
          <w:noProof/>
          <w:sz w:val="22"/>
        </w:rPr>
        <w:t>Z punktu widzenia ochrony zdrowia wsparcie zaplanowane w FEO 2021-2027 będzie uzupełniać się</w:t>
      </w:r>
      <w:r w:rsidR="005B2739" w:rsidRPr="00890249">
        <w:rPr>
          <w:rFonts w:asciiTheme="minorHAnsi" w:hAnsiTheme="minorHAnsi" w:cstheme="minorHAnsi"/>
          <w:noProof/>
          <w:sz w:val="22"/>
        </w:rPr>
        <w:t xml:space="preserve"> z</w:t>
      </w:r>
      <w:r w:rsidR="00DF7C33" w:rsidRPr="00890249">
        <w:rPr>
          <w:rFonts w:asciiTheme="minorHAnsi" w:hAnsiTheme="minorHAnsi" w:cstheme="minorHAnsi"/>
          <w:noProof/>
          <w:sz w:val="22"/>
        </w:rPr>
        <w:t> </w:t>
      </w:r>
      <w:r w:rsidRPr="00890249">
        <w:rPr>
          <w:rFonts w:asciiTheme="minorHAnsi" w:hAnsiTheme="minorHAnsi" w:cstheme="minorHAnsi"/>
          <w:noProof/>
          <w:sz w:val="22"/>
        </w:rPr>
        <w:t>interwencj</w:t>
      </w:r>
      <w:r w:rsidR="005B2739" w:rsidRPr="00890249">
        <w:rPr>
          <w:rFonts w:asciiTheme="minorHAnsi" w:hAnsiTheme="minorHAnsi" w:cstheme="minorHAnsi"/>
          <w:noProof/>
          <w:sz w:val="22"/>
        </w:rPr>
        <w:t>ą</w:t>
      </w:r>
      <w:r w:rsidRPr="00890249">
        <w:rPr>
          <w:rFonts w:asciiTheme="minorHAnsi" w:hAnsiTheme="minorHAnsi" w:cstheme="minorHAnsi"/>
          <w:noProof/>
          <w:sz w:val="22"/>
        </w:rPr>
        <w:t xml:space="preserve"> wskazan</w:t>
      </w:r>
      <w:r w:rsidR="005B2739" w:rsidRPr="00890249">
        <w:rPr>
          <w:rFonts w:asciiTheme="minorHAnsi" w:hAnsiTheme="minorHAnsi" w:cstheme="minorHAnsi"/>
          <w:noProof/>
          <w:sz w:val="22"/>
        </w:rPr>
        <w:t>ą</w:t>
      </w:r>
      <w:r w:rsidRPr="00890249">
        <w:rPr>
          <w:rFonts w:asciiTheme="minorHAnsi" w:hAnsiTheme="minorHAnsi" w:cstheme="minorHAnsi"/>
          <w:noProof/>
          <w:sz w:val="22"/>
        </w:rPr>
        <w:t xml:space="preserve"> w programie współpracy transgranicznej Interreg Region Morza Bałtyckiego 2021-2027, w ramach którego zaplanowano opracowanie wspólnych standardów i ustanowienie zrównoważonych, integracyjnych i godnych zaufania cyfrowych usług publicznych w regionie Morza Bałtyckiego, w tym poprzez pilotaż interoperacyjnych usług publicznych, np. testowanie i</w:t>
      </w:r>
      <w:r w:rsidR="00DF7C33" w:rsidRPr="00890249">
        <w:rPr>
          <w:rFonts w:asciiTheme="minorHAnsi" w:hAnsiTheme="minorHAnsi" w:cstheme="minorHAnsi"/>
          <w:noProof/>
          <w:sz w:val="22"/>
        </w:rPr>
        <w:t> </w:t>
      </w:r>
      <w:r w:rsidRPr="00890249">
        <w:rPr>
          <w:rFonts w:asciiTheme="minorHAnsi" w:hAnsiTheme="minorHAnsi" w:cstheme="minorHAnsi"/>
          <w:noProof/>
          <w:sz w:val="22"/>
        </w:rPr>
        <w:t>opracowywanie nowych modeli opieki zdrowotnej opartych na danych, umożliwiających bardziej partycypacyjne i zindywidualizowane podejście.</w:t>
      </w:r>
      <w:r w:rsidR="005B2739" w:rsidRPr="00890249">
        <w:rPr>
          <w:rFonts w:asciiTheme="minorHAnsi" w:hAnsiTheme="minorHAnsi" w:cstheme="minorHAnsi"/>
          <w:noProof/>
          <w:sz w:val="22"/>
        </w:rPr>
        <w:t xml:space="preserve"> Wzajemne oddziaływanie interwencji wzmocni jej skuteczność i pozwoli na osiągnięcie efektu synergii.</w:t>
      </w:r>
    </w:p>
    <w:p w14:paraId="1B690FE2" w14:textId="77777777" w:rsidR="007747A3" w:rsidRPr="00890249" w:rsidRDefault="007747A3" w:rsidP="007747A3">
      <w:pPr>
        <w:rPr>
          <w:rFonts w:asciiTheme="minorHAnsi" w:hAnsiTheme="minorHAnsi" w:cstheme="minorHAnsi"/>
          <w:b/>
          <w:noProof/>
          <w:color w:val="2F5496" w:themeColor="accent5" w:themeShade="BF"/>
          <w:sz w:val="22"/>
        </w:rPr>
      </w:pPr>
      <w:r w:rsidRPr="00890249">
        <w:rPr>
          <w:rFonts w:asciiTheme="minorHAnsi" w:hAnsiTheme="minorHAnsi" w:cstheme="minorHAnsi"/>
          <w:b/>
          <w:noProof/>
          <w:color w:val="2F5496" w:themeColor="accent5" w:themeShade="BF"/>
          <w:sz w:val="22"/>
        </w:rPr>
        <w:t>Planowane wykorzystanie instrumentów finansowych</w:t>
      </w:r>
    </w:p>
    <w:p w14:paraId="4CD820AD" w14:textId="67D58541" w:rsidR="0093433C" w:rsidRPr="00890249" w:rsidRDefault="00BA20BD"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 ramach cs (v) nie planuje się </w:t>
      </w:r>
      <w:r w:rsidR="00445F4E">
        <w:rPr>
          <w:rFonts w:asciiTheme="minorHAnsi" w:hAnsiTheme="minorHAnsi" w:cstheme="minorHAnsi"/>
          <w:noProof/>
          <w:sz w:val="22"/>
        </w:rPr>
        <w:t>wykorzystania i</w:t>
      </w:r>
      <w:r w:rsidRPr="00890249">
        <w:rPr>
          <w:rFonts w:asciiTheme="minorHAnsi" w:hAnsiTheme="minorHAnsi" w:cstheme="minorHAnsi"/>
          <w:noProof/>
          <w:sz w:val="22"/>
        </w:rPr>
        <w:t>n</w:t>
      </w:r>
      <w:r w:rsidR="00445F4E">
        <w:rPr>
          <w:rFonts w:asciiTheme="minorHAnsi" w:hAnsiTheme="minorHAnsi" w:cstheme="minorHAnsi"/>
          <w:noProof/>
          <w:sz w:val="22"/>
        </w:rPr>
        <w:t>s</w:t>
      </w:r>
      <w:r w:rsidRPr="00890249">
        <w:rPr>
          <w:rFonts w:asciiTheme="minorHAnsi" w:hAnsiTheme="minorHAnsi" w:cstheme="minorHAnsi"/>
          <w:noProof/>
          <w:sz w:val="22"/>
        </w:rPr>
        <w:t xml:space="preserve">trumentów finansowych. Planowane przedsięwzięcia skierowane będą do podmiotów </w:t>
      </w:r>
      <w:r w:rsidR="00445F4E">
        <w:rPr>
          <w:rFonts w:asciiTheme="minorHAnsi" w:hAnsiTheme="minorHAnsi" w:cstheme="minorHAnsi"/>
          <w:noProof/>
          <w:sz w:val="22"/>
        </w:rPr>
        <w:t>wykonujących działalność leczniczą</w:t>
      </w:r>
      <w:r w:rsidRPr="00890249">
        <w:rPr>
          <w:rFonts w:asciiTheme="minorHAnsi" w:hAnsiTheme="minorHAnsi" w:cstheme="minorHAnsi"/>
          <w:noProof/>
          <w:sz w:val="22"/>
        </w:rPr>
        <w:t xml:space="preserve"> udzielających świadczeń opieki zdrowotnej finansowanych ze środków publicznych</w:t>
      </w:r>
      <w:r w:rsidR="000E2E01" w:rsidRPr="00890249">
        <w:rPr>
          <w:rFonts w:asciiTheme="minorHAnsi" w:hAnsiTheme="minorHAnsi" w:cstheme="minorHAnsi"/>
          <w:noProof/>
          <w:sz w:val="22"/>
        </w:rPr>
        <w:t>,</w:t>
      </w:r>
      <w:r w:rsidRPr="00890249">
        <w:rPr>
          <w:rFonts w:asciiTheme="minorHAnsi" w:hAnsiTheme="minorHAnsi" w:cstheme="minorHAnsi"/>
          <w:noProof/>
          <w:sz w:val="22"/>
        </w:rPr>
        <w:t xml:space="preserve"> m.in. samodzielnych publicznych zakładów opieki zdrowotnej, przedsiębiorców, jednostek budżetowych oraz lekarzy i pielęgniarek, którzy wykonują swój zawód w ramach działalności leczniczej i udzielają świadczeń opieki zdrowotnej finansowanych ze środków publicznych. </w:t>
      </w:r>
    </w:p>
    <w:p w14:paraId="289301E2" w14:textId="251AC562" w:rsidR="0060033E" w:rsidRDefault="00BA20BD" w:rsidP="007747A3">
      <w:pPr>
        <w:pStyle w:val="Tekstpodstawowy"/>
        <w:rPr>
          <w:rFonts w:asciiTheme="minorHAnsi" w:hAnsiTheme="minorHAnsi" w:cstheme="minorHAnsi"/>
          <w:noProof/>
          <w:sz w:val="22"/>
        </w:rPr>
      </w:pPr>
      <w:r w:rsidRPr="00890249">
        <w:rPr>
          <w:rFonts w:asciiTheme="minorHAnsi" w:hAnsiTheme="minorHAnsi" w:cstheme="minorHAnsi"/>
          <w:noProof/>
          <w:sz w:val="22"/>
        </w:rPr>
        <w:t>Wsparcie mieszkańców regionu w zakresie usług medycznych świadczonych w ramach publicznego systemu ochrony zdrowia udzielane jest przez ww. podmioty na podstawie kontraktów z Narodowym Funduszem Zdrowia, co przemawia za racjonalno</w:t>
      </w:r>
      <w:r w:rsidR="000E2E01" w:rsidRPr="00890249">
        <w:rPr>
          <w:rFonts w:asciiTheme="minorHAnsi" w:hAnsiTheme="minorHAnsi" w:cstheme="minorHAnsi"/>
          <w:noProof/>
          <w:sz w:val="22"/>
        </w:rPr>
        <w:t>ś</w:t>
      </w:r>
      <w:r w:rsidRPr="00890249">
        <w:rPr>
          <w:rFonts w:asciiTheme="minorHAnsi" w:hAnsiTheme="minorHAnsi" w:cstheme="minorHAnsi"/>
          <w:noProof/>
          <w:sz w:val="22"/>
        </w:rPr>
        <w:t>cią dotacyjnego wsparcia beneficjentów w cs (v)</w:t>
      </w:r>
      <w:r w:rsidRPr="00890249">
        <w:rPr>
          <w:rFonts w:asciiTheme="minorHAnsi" w:eastAsia="Times New Roman" w:hAnsiTheme="minorHAnsi" w:cstheme="minorHAnsi"/>
          <w:sz w:val="22"/>
          <w:szCs w:val="24"/>
          <w:lang w:bidi="ar-SA"/>
        </w:rPr>
        <w:t xml:space="preserve"> (</w:t>
      </w:r>
      <w:r w:rsidRPr="00890249">
        <w:rPr>
          <w:rFonts w:asciiTheme="minorHAnsi" w:hAnsiTheme="minorHAnsi" w:cstheme="minorHAnsi"/>
          <w:noProof/>
          <w:sz w:val="22"/>
        </w:rPr>
        <w:t xml:space="preserve">świadczenie usług medycznych opłacanych przez NFZ jest bezpłatne i nie generuje przychodów).  </w:t>
      </w:r>
    </w:p>
    <w:p w14:paraId="08A7B6C1" w14:textId="690FE80F" w:rsidR="007747A3" w:rsidRPr="00890249" w:rsidRDefault="0060033E" w:rsidP="0060033E">
      <w:pPr>
        <w:spacing w:before="0" w:after="160" w:line="259" w:lineRule="auto"/>
        <w:jc w:val="left"/>
        <w:rPr>
          <w:rFonts w:asciiTheme="minorHAnsi" w:hAnsiTheme="minorHAnsi" w:cstheme="minorHAnsi"/>
          <w:noProof/>
          <w:sz w:val="22"/>
        </w:rPr>
      </w:pPr>
      <w:r>
        <w:rPr>
          <w:rFonts w:asciiTheme="minorHAnsi" w:hAnsiTheme="minorHAnsi" w:cstheme="minorHAnsi"/>
          <w:noProof/>
          <w:sz w:val="22"/>
        </w:rPr>
        <w:br w:type="page"/>
      </w:r>
    </w:p>
    <w:p w14:paraId="3BE0AB31" w14:textId="77777777" w:rsidR="007747A3" w:rsidRPr="00890249" w:rsidRDefault="007747A3" w:rsidP="007747A3">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2.1.9.3.2 (v) Wskaźniki</w:t>
      </w:r>
    </w:p>
    <w:tbl>
      <w:tblPr>
        <w:tblW w:w="49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752"/>
        <w:gridCol w:w="692"/>
        <w:gridCol w:w="1009"/>
        <w:gridCol w:w="830"/>
        <w:gridCol w:w="2212"/>
        <w:gridCol w:w="1009"/>
        <w:gridCol w:w="927"/>
        <w:gridCol w:w="1076"/>
      </w:tblGrid>
      <w:tr w:rsidR="00BA20BD" w:rsidRPr="00890249" w14:paraId="35AC45AA" w14:textId="77777777" w:rsidTr="18317E1B">
        <w:trPr>
          <w:trHeight w:val="425"/>
        </w:trPr>
        <w:tc>
          <w:tcPr>
            <w:tcW w:w="5000" w:type="pct"/>
            <w:gridSpan w:val="9"/>
            <w:shd w:val="clear" w:color="auto" w:fill="D9D9D9" w:themeFill="background1" w:themeFillShade="D9"/>
          </w:tcPr>
          <w:p w14:paraId="685F938C" w14:textId="77777777" w:rsidR="00BA20BD" w:rsidRPr="00890249" w:rsidRDefault="00BA20BD" w:rsidP="005C6AF0">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BA20BD" w:rsidRPr="00890249" w14:paraId="1CFF8E19" w14:textId="77777777" w:rsidTr="0010271B">
        <w:trPr>
          <w:cantSplit/>
          <w:trHeight w:val="1647"/>
        </w:trPr>
        <w:tc>
          <w:tcPr>
            <w:tcW w:w="304" w:type="pct"/>
            <w:shd w:val="clear" w:color="auto" w:fill="F2F2F2" w:themeFill="background1" w:themeFillShade="F2"/>
            <w:textDirection w:val="btLr"/>
            <w:vAlign w:val="center"/>
          </w:tcPr>
          <w:p w14:paraId="2CF96280"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5" w:type="pct"/>
            <w:shd w:val="clear" w:color="auto" w:fill="F2F2F2" w:themeFill="background1" w:themeFillShade="F2"/>
            <w:textDirection w:val="btLr"/>
            <w:vAlign w:val="center"/>
          </w:tcPr>
          <w:p w14:paraId="764496DF"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2" w:type="pct"/>
            <w:shd w:val="clear" w:color="auto" w:fill="F2F2F2" w:themeFill="background1" w:themeFillShade="F2"/>
            <w:textDirection w:val="btLr"/>
            <w:vAlign w:val="center"/>
          </w:tcPr>
          <w:p w14:paraId="405CE911"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7" w:type="pct"/>
            <w:shd w:val="clear" w:color="auto" w:fill="F2F2F2" w:themeFill="background1" w:themeFillShade="F2"/>
            <w:textDirection w:val="btLr"/>
            <w:vAlign w:val="center"/>
          </w:tcPr>
          <w:p w14:paraId="4765F4FC"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58" w:type="pct"/>
            <w:shd w:val="clear" w:color="auto" w:fill="F2F2F2" w:themeFill="background1" w:themeFillShade="F2"/>
            <w:textDirection w:val="btLr"/>
            <w:vAlign w:val="center"/>
          </w:tcPr>
          <w:p w14:paraId="2D745026"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221" w:type="pct"/>
            <w:shd w:val="clear" w:color="auto" w:fill="F2F2F2" w:themeFill="background1" w:themeFillShade="F2"/>
            <w:textDirection w:val="btLr"/>
            <w:vAlign w:val="center"/>
          </w:tcPr>
          <w:p w14:paraId="62338B28"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557" w:type="pct"/>
            <w:shd w:val="clear" w:color="auto" w:fill="F2F2F2" w:themeFill="background1" w:themeFillShade="F2"/>
            <w:textDirection w:val="btLr"/>
            <w:vAlign w:val="center"/>
          </w:tcPr>
          <w:p w14:paraId="6E6E7710"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12" w:type="pct"/>
            <w:shd w:val="clear" w:color="auto" w:fill="F2F2F2" w:themeFill="background1" w:themeFillShade="F2"/>
            <w:textDirection w:val="btLr"/>
            <w:vAlign w:val="center"/>
          </w:tcPr>
          <w:p w14:paraId="1EDA927B"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4" w:type="pct"/>
            <w:shd w:val="clear" w:color="auto" w:fill="F2F2F2" w:themeFill="background1" w:themeFillShade="F2"/>
            <w:textDirection w:val="btLr"/>
            <w:vAlign w:val="center"/>
          </w:tcPr>
          <w:p w14:paraId="4232414A" w14:textId="77777777" w:rsidR="00BA20BD" w:rsidRPr="00890249" w:rsidRDefault="00BA20BD" w:rsidP="005C6AF0">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BA20BD" w:rsidRPr="00890249" w14:paraId="7DD3C3D1" w14:textId="77777777" w:rsidTr="0010271B">
        <w:trPr>
          <w:trHeight w:val="340"/>
        </w:trPr>
        <w:tc>
          <w:tcPr>
            <w:tcW w:w="304" w:type="pct"/>
            <w:vAlign w:val="center"/>
          </w:tcPr>
          <w:p w14:paraId="12FB233C"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CP4</w:t>
            </w:r>
          </w:p>
        </w:tc>
        <w:tc>
          <w:tcPr>
            <w:tcW w:w="415" w:type="pct"/>
            <w:vAlign w:val="center"/>
          </w:tcPr>
          <w:p w14:paraId="47837995"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4.v</w:t>
            </w:r>
          </w:p>
        </w:tc>
        <w:tc>
          <w:tcPr>
            <w:tcW w:w="382" w:type="pct"/>
            <w:vAlign w:val="center"/>
          </w:tcPr>
          <w:p w14:paraId="19DC193B"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EFRR</w:t>
            </w:r>
          </w:p>
        </w:tc>
        <w:tc>
          <w:tcPr>
            <w:tcW w:w="557" w:type="pct"/>
            <w:vAlign w:val="center"/>
          </w:tcPr>
          <w:p w14:paraId="2BC0A694"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58" w:type="pct"/>
            <w:vAlign w:val="center"/>
          </w:tcPr>
          <w:p w14:paraId="18C353CF"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 xml:space="preserve"> PLRO 133</w:t>
            </w:r>
          </w:p>
        </w:tc>
        <w:tc>
          <w:tcPr>
            <w:tcW w:w="1221" w:type="pct"/>
            <w:shd w:val="clear" w:color="auto" w:fill="auto"/>
            <w:vAlign w:val="center"/>
          </w:tcPr>
          <w:p w14:paraId="1872F016" w14:textId="0E660A8D" w:rsidR="00BA20BD" w:rsidRPr="00890249" w:rsidRDefault="7E651917" w:rsidP="18317E1B">
            <w:pPr>
              <w:jc w:val="left"/>
              <w:rPr>
                <w:rFonts w:asciiTheme="minorHAnsi" w:hAnsiTheme="minorHAnsi" w:cstheme="minorHAnsi"/>
                <w:i/>
                <w:iCs/>
                <w:noProof/>
                <w:sz w:val="18"/>
                <w:szCs w:val="18"/>
              </w:rPr>
            </w:pPr>
            <w:r w:rsidRPr="00890249">
              <w:rPr>
                <w:rFonts w:asciiTheme="minorHAnsi" w:eastAsiaTheme="minorEastAsia" w:hAnsiTheme="minorHAnsi" w:cstheme="minorHAnsi"/>
                <w:i/>
                <w:iCs/>
                <w:sz w:val="18"/>
                <w:szCs w:val="18"/>
                <w:lang w:eastAsia="en-US" w:bidi="ar-SA"/>
              </w:rPr>
              <w:t>Liczba</w:t>
            </w:r>
            <w:r w:rsidR="00952A54">
              <w:rPr>
                <w:rFonts w:asciiTheme="minorHAnsi" w:eastAsiaTheme="minorEastAsia" w:hAnsiTheme="minorHAnsi" w:cstheme="minorHAnsi"/>
                <w:i/>
                <w:iCs/>
                <w:sz w:val="18"/>
                <w:szCs w:val="18"/>
                <w:lang w:eastAsia="en-US" w:bidi="ar-SA"/>
              </w:rPr>
              <w:t xml:space="preserve"> wspartych podmiotów wykonujących działalność leczniczą</w:t>
            </w:r>
          </w:p>
        </w:tc>
        <w:tc>
          <w:tcPr>
            <w:tcW w:w="557" w:type="pct"/>
            <w:vAlign w:val="center"/>
          </w:tcPr>
          <w:p w14:paraId="0C714533"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eastAsiaTheme="minorHAnsi" w:hAnsiTheme="minorHAnsi" w:cstheme="minorHAnsi"/>
                <w:i/>
                <w:noProof/>
                <w:sz w:val="18"/>
                <w:szCs w:val="16"/>
                <w:lang w:eastAsia="en-US" w:bidi="ar-SA"/>
              </w:rPr>
              <w:t>szt.</w:t>
            </w:r>
          </w:p>
        </w:tc>
        <w:tc>
          <w:tcPr>
            <w:tcW w:w="512" w:type="pct"/>
            <w:shd w:val="clear" w:color="auto" w:fill="auto"/>
            <w:vAlign w:val="center"/>
          </w:tcPr>
          <w:p w14:paraId="70787AC2"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3</w:t>
            </w:r>
          </w:p>
        </w:tc>
        <w:tc>
          <w:tcPr>
            <w:tcW w:w="594" w:type="pct"/>
            <w:shd w:val="clear" w:color="auto" w:fill="auto"/>
            <w:vAlign w:val="center"/>
          </w:tcPr>
          <w:p w14:paraId="590A5E62"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46</w:t>
            </w:r>
          </w:p>
        </w:tc>
      </w:tr>
      <w:tr w:rsidR="000846F0" w:rsidRPr="00890249" w14:paraId="49CA6BB8" w14:textId="77777777" w:rsidTr="0010271B">
        <w:trPr>
          <w:trHeight w:val="340"/>
        </w:trPr>
        <w:tc>
          <w:tcPr>
            <w:tcW w:w="304" w:type="pct"/>
            <w:vAlign w:val="center"/>
          </w:tcPr>
          <w:p w14:paraId="05B2E416" w14:textId="31D92712" w:rsidR="000846F0" w:rsidRPr="00890249" w:rsidRDefault="000846F0"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CP4</w:t>
            </w:r>
          </w:p>
        </w:tc>
        <w:tc>
          <w:tcPr>
            <w:tcW w:w="415" w:type="pct"/>
            <w:vAlign w:val="center"/>
          </w:tcPr>
          <w:p w14:paraId="3AE4C861" w14:textId="72BCAEAF" w:rsidR="000846F0" w:rsidRPr="00890249" w:rsidRDefault="000846F0" w:rsidP="005C6AF0">
            <w:pPr>
              <w:jc w:val="center"/>
              <w:rPr>
                <w:rFonts w:asciiTheme="minorHAnsi" w:eastAsiaTheme="minorHAnsi" w:hAnsiTheme="minorHAnsi" w:cstheme="minorHAnsi"/>
                <w:i/>
                <w:noProof/>
                <w:sz w:val="18"/>
                <w:szCs w:val="16"/>
                <w:lang w:eastAsia="en-US" w:bidi="ar-SA"/>
              </w:rPr>
            </w:pPr>
            <w:r>
              <w:rPr>
                <w:rFonts w:asciiTheme="minorHAnsi" w:eastAsiaTheme="minorHAnsi" w:hAnsiTheme="minorHAnsi" w:cstheme="minorHAnsi"/>
                <w:i/>
                <w:noProof/>
                <w:sz w:val="18"/>
                <w:szCs w:val="16"/>
                <w:lang w:eastAsia="en-US" w:bidi="ar-SA"/>
              </w:rPr>
              <w:t>4.v</w:t>
            </w:r>
          </w:p>
        </w:tc>
        <w:tc>
          <w:tcPr>
            <w:tcW w:w="382" w:type="pct"/>
            <w:vAlign w:val="center"/>
          </w:tcPr>
          <w:p w14:paraId="75E80767" w14:textId="4B8664E9" w:rsidR="000846F0" w:rsidRPr="00890249" w:rsidRDefault="000846F0" w:rsidP="005C6AF0">
            <w:pPr>
              <w:jc w:val="center"/>
              <w:rPr>
                <w:rFonts w:asciiTheme="minorHAnsi" w:eastAsiaTheme="minorHAnsi" w:hAnsiTheme="minorHAnsi" w:cstheme="minorHAnsi"/>
                <w:i/>
                <w:noProof/>
                <w:sz w:val="18"/>
                <w:szCs w:val="16"/>
                <w:lang w:eastAsia="en-US" w:bidi="ar-SA"/>
              </w:rPr>
            </w:pPr>
            <w:r>
              <w:rPr>
                <w:rFonts w:asciiTheme="minorHAnsi" w:eastAsiaTheme="minorHAnsi" w:hAnsiTheme="minorHAnsi" w:cstheme="minorHAnsi"/>
                <w:i/>
                <w:noProof/>
                <w:sz w:val="18"/>
                <w:szCs w:val="16"/>
                <w:lang w:eastAsia="en-US" w:bidi="ar-SA"/>
              </w:rPr>
              <w:t>EFRR</w:t>
            </w:r>
          </w:p>
        </w:tc>
        <w:tc>
          <w:tcPr>
            <w:tcW w:w="557" w:type="pct"/>
            <w:vAlign w:val="center"/>
          </w:tcPr>
          <w:p w14:paraId="6170F646" w14:textId="2B63AF8D" w:rsidR="000846F0" w:rsidRPr="00890249" w:rsidRDefault="000846F0" w:rsidP="005C6AF0">
            <w:pPr>
              <w:jc w:val="center"/>
              <w:rPr>
                <w:rFonts w:asciiTheme="minorHAnsi" w:hAnsiTheme="minorHAnsi" w:cstheme="minorHAnsi"/>
                <w:noProof/>
                <w:sz w:val="18"/>
              </w:rPr>
            </w:pPr>
            <w:r>
              <w:rPr>
                <w:rFonts w:asciiTheme="minorHAnsi" w:hAnsiTheme="minorHAnsi" w:cstheme="minorHAnsi"/>
                <w:noProof/>
                <w:sz w:val="18"/>
              </w:rPr>
              <w:t>Słabiej rozwinięte</w:t>
            </w:r>
          </w:p>
        </w:tc>
        <w:tc>
          <w:tcPr>
            <w:tcW w:w="458" w:type="pct"/>
            <w:vAlign w:val="center"/>
          </w:tcPr>
          <w:p w14:paraId="45A4BF02" w14:textId="3BCA915D" w:rsidR="000846F0" w:rsidRPr="00890249" w:rsidRDefault="000846F0"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RCO069</w:t>
            </w:r>
          </w:p>
        </w:tc>
        <w:tc>
          <w:tcPr>
            <w:tcW w:w="1221" w:type="pct"/>
            <w:shd w:val="clear" w:color="auto" w:fill="auto"/>
            <w:vAlign w:val="center"/>
          </w:tcPr>
          <w:p w14:paraId="5C4098ED" w14:textId="2C80AE8E" w:rsidR="000846F0" w:rsidRPr="00890249" w:rsidRDefault="000846F0" w:rsidP="18317E1B">
            <w:pPr>
              <w:jc w:val="left"/>
              <w:rPr>
                <w:rFonts w:asciiTheme="minorHAnsi" w:eastAsiaTheme="minorEastAsia" w:hAnsiTheme="minorHAnsi" w:cstheme="minorHAnsi"/>
                <w:i/>
                <w:iCs/>
                <w:sz w:val="18"/>
                <w:szCs w:val="18"/>
                <w:lang w:eastAsia="en-US" w:bidi="ar-SA"/>
              </w:rPr>
            </w:pPr>
            <w:r>
              <w:rPr>
                <w:rFonts w:asciiTheme="minorHAnsi" w:eastAsiaTheme="minorEastAsia" w:hAnsiTheme="minorHAnsi" w:cstheme="minorHAnsi"/>
                <w:i/>
                <w:iCs/>
                <w:sz w:val="18"/>
                <w:szCs w:val="18"/>
                <w:lang w:eastAsia="en-US" w:bidi="ar-SA"/>
              </w:rPr>
              <w:t>Pojemność nowych lub zmodernizowanych placówek opieki zdrowotnej</w:t>
            </w:r>
          </w:p>
        </w:tc>
        <w:tc>
          <w:tcPr>
            <w:tcW w:w="557" w:type="pct"/>
            <w:vAlign w:val="center"/>
          </w:tcPr>
          <w:p w14:paraId="353796D6" w14:textId="34CD30B6" w:rsidR="000846F0" w:rsidRPr="000846F0" w:rsidRDefault="00327529" w:rsidP="005C6AF0">
            <w:pPr>
              <w:jc w:val="center"/>
              <w:rPr>
                <w:rFonts w:asciiTheme="minorHAnsi" w:eastAsiaTheme="minorHAnsi" w:hAnsiTheme="minorHAnsi" w:cstheme="minorHAnsi"/>
                <w:i/>
                <w:noProof/>
                <w:sz w:val="18"/>
                <w:szCs w:val="18"/>
                <w:lang w:eastAsia="en-US" w:bidi="ar-SA"/>
              </w:rPr>
            </w:pPr>
            <w:r>
              <w:rPr>
                <w:rFonts w:asciiTheme="minorHAnsi" w:eastAsiaTheme="minorHAnsi" w:hAnsiTheme="minorHAnsi" w:cstheme="minorHAnsi"/>
                <w:i/>
                <w:noProof/>
                <w:sz w:val="18"/>
                <w:szCs w:val="18"/>
                <w:lang w:eastAsia="en-US" w:bidi="ar-SA"/>
              </w:rPr>
              <w:t>osoba</w:t>
            </w:r>
            <w:r w:rsidR="000846F0" w:rsidRPr="000846F0">
              <w:rPr>
                <w:rFonts w:asciiTheme="minorHAnsi" w:eastAsiaTheme="minorHAnsi" w:hAnsiTheme="minorHAnsi" w:cstheme="minorHAnsi"/>
                <w:i/>
                <w:noProof/>
                <w:sz w:val="18"/>
                <w:szCs w:val="18"/>
                <w:lang w:eastAsia="en-US" w:bidi="ar-SA"/>
              </w:rPr>
              <w:t>/rok</w:t>
            </w:r>
          </w:p>
        </w:tc>
        <w:tc>
          <w:tcPr>
            <w:tcW w:w="512" w:type="pct"/>
            <w:shd w:val="clear" w:color="auto" w:fill="auto"/>
            <w:vAlign w:val="center"/>
          </w:tcPr>
          <w:p w14:paraId="30A2684F" w14:textId="55ED0246" w:rsidR="000846F0" w:rsidRPr="00890249" w:rsidRDefault="000846F0"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23 540</w:t>
            </w:r>
          </w:p>
        </w:tc>
        <w:tc>
          <w:tcPr>
            <w:tcW w:w="594" w:type="pct"/>
            <w:shd w:val="clear" w:color="auto" w:fill="auto"/>
            <w:vAlign w:val="center"/>
          </w:tcPr>
          <w:p w14:paraId="61886CFF" w14:textId="007D2534" w:rsidR="000846F0" w:rsidRPr="00890249" w:rsidRDefault="000846F0" w:rsidP="005C6AF0">
            <w:pPr>
              <w:jc w:val="center"/>
              <w:rPr>
                <w:rFonts w:asciiTheme="minorHAnsi" w:hAnsiTheme="minorHAnsi" w:cstheme="minorHAnsi"/>
                <w:i/>
                <w:noProof/>
                <w:sz w:val="18"/>
                <w:szCs w:val="16"/>
              </w:rPr>
            </w:pPr>
            <w:r>
              <w:rPr>
                <w:rFonts w:asciiTheme="minorHAnsi" w:hAnsiTheme="minorHAnsi" w:cstheme="minorHAnsi"/>
                <w:i/>
                <w:noProof/>
                <w:sz w:val="18"/>
                <w:szCs w:val="16"/>
              </w:rPr>
              <w:t>517 960</w:t>
            </w:r>
          </w:p>
        </w:tc>
      </w:tr>
    </w:tbl>
    <w:p w14:paraId="6A01BB47" w14:textId="77777777" w:rsidR="008B081F" w:rsidRPr="00890249" w:rsidRDefault="008B081F" w:rsidP="00BA20BD">
      <w:pPr>
        <w:spacing w:after="0"/>
        <w:rPr>
          <w:rFonts w:asciiTheme="minorHAnsi" w:eastAsia="Times New Roman" w:hAnsiTheme="minorHAnsi" w:cstheme="minorHAnsi"/>
          <w:b/>
          <w:iCs/>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49"/>
        <w:gridCol w:w="690"/>
        <w:gridCol w:w="1004"/>
        <w:gridCol w:w="772"/>
        <w:gridCol w:w="1379"/>
        <w:gridCol w:w="826"/>
        <w:gridCol w:w="690"/>
        <w:gridCol w:w="593"/>
        <w:gridCol w:w="558"/>
        <w:gridCol w:w="603"/>
        <w:gridCol w:w="678"/>
      </w:tblGrid>
      <w:tr w:rsidR="00BA20BD" w:rsidRPr="00890249" w14:paraId="7AA2C69C" w14:textId="77777777" w:rsidTr="005C6AF0">
        <w:trPr>
          <w:trHeight w:val="480"/>
        </w:trPr>
        <w:tc>
          <w:tcPr>
            <w:tcW w:w="5000" w:type="pct"/>
            <w:gridSpan w:val="12"/>
            <w:shd w:val="clear" w:color="auto" w:fill="D9D9D9" w:themeFill="background1" w:themeFillShade="D9"/>
          </w:tcPr>
          <w:p w14:paraId="5F7A873B" w14:textId="77777777" w:rsidR="00BA20BD" w:rsidRPr="00890249" w:rsidRDefault="00BA20BD" w:rsidP="005C6AF0">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BA20BD" w:rsidRPr="00890249" w14:paraId="372A226A" w14:textId="77777777" w:rsidTr="005C6AF0">
        <w:trPr>
          <w:cantSplit/>
          <w:trHeight w:val="1768"/>
        </w:trPr>
        <w:tc>
          <w:tcPr>
            <w:tcW w:w="286" w:type="pct"/>
            <w:shd w:val="clear" w:color="auto" w:fill="F2F2F2" w:themeFill="background1" w:themeFillShade="F2"/>
            <w:textDirection w:val="btLr"/>
            <w:vAlign w:val="center"/>
          </w:tcPr>
          <w:p w14:paraId="51AA4941"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13" w:type="pct"/>
            <w:shd w:val="clear" w:color="auto" w:fill="F2F2F2" w:themeFill="background1" w:themeFillShade="F2"/>
            <w:textDirection w:val="btLr"/>
            <w:vAlign w:val="center"/>
          </w:tcPr>
          <w:p w14:paraId="0CC922C0"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81" w:type="pct"/>
            <w:shd w:val="clear" w:color="auto" w:fill="F2F2F2" w:themeFill="background1" w:themeFillShade="F2"/>
            <w:textDirection w:val="btLr"/>
            <w:vAlign w:val="center"/>
          </w:tcPr>
          <w:p w14:paraId="1B46D4F4"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54" w:type="pct"/>
            <w:shd w:val="clear" w:color="auto" w:fill="F2F2F2" w:themeFill="background1" w:themeFillShade="F2"/>
            <w:textDirection w:val="btLr"/>
            <w:vAlign w:val="center"/>
          </w:tcPr>
          <w:p w14:paraId="076446C5"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26" w:type="pct"/>
            <w:shd w:val="clear" w:color="auto" w:fill="F2F2F2" w:themeFill="background1" w:themeFillShade="F2"/>
            <w:textDirection w:val="btLr"/>
            <w:vAlign w:val="center"/>
          </w:tcPr>
          <w:p w14:paraId="2CFBBAE6"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61" w:type="pct"/>
            <w:shd w:val="clear" w:color="auto" w:fill="F2F2F2" w:themeFill="background1" w:themeFillShade="F2"/>
            <w:textDirection w:val="btLr"/>
            <w:vAlign w:val="center"/>
          </w:tcPr>
          <w:p w14:paraId="503DE065"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456" w:type="pct"/>
            <w:shd w:val="clear" w:color="auto" w:fill="F2F2F2" w:themeFill="background1" w:themeFillShade="F2"/>
            <w:textDirection w:val="btLr"/>
            <w:vAlign w:val="center"/>
          </w:tcPr>
          <w:p w14:paraId="70D67089"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381" w:type="pct"/>
            <w:shd w:val="clear" w:color="auto" w:fill="F2F2F2" w:themeFill="background1" w:themeFillShade="F2"/>
            <w:textDirection w:val="btLr"/>
            <w:vAlign w:val="center"/>
          </w:tcPr>
          <w:p w14:paraId="6DA81C8C"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327" w:type="pct"/>
            <w:shd w:val="clear" w:color="auto" w:fill="F2F2F2" w:themeFill="background1" w:themeFillShade="F2"/>
            <w:textDirection w:val="btLr"/>
            <w:vAlign w:val="center"/>
          </w:tcPr>
          <w:p w14:paraId="655C0C89"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308" w:type="pct"/>
            <w:shd w:val="clear" w:color="auto" w:fill="F2F2F2" w:themeFill="background1" w:themeFillShade="F2"/>
            <w:textDirection w:val="btLr"/>
            <w:vAlign w:val="center"/>
          </w:tcPr>
          <w:p w14:paraId="1759D058"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333" w:type="pct"/>
            <w:shd w:val="clear" w:color="auto" w:fill="F2F2F2" w:themeFill="background1" w:themeFillShade="F2"/>
            <w:textDirection w:val="btLr"/>
            <w:vAlign w:val="center"/>
          </w:tcPr>
          <w:p w14:paraId="6B9A7B03" w14:textId="77777777" w:rsidR="00BA20BD" w:rsidRPr="00890249" w:rsidRDefault="00BA20BD" w:rsidP="005C6AF0">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74" w:type="pct"/>
            <w:shd w:val="clear" w:color="auto" w:fill="F2F2F2" w:themeFill="background1" w:themeFillShade="F2"/>
            <w:textDirection w:val="btLr"/>
            <w:vAlign w:val="center"/>
          </w:tcPr>
          <w:p w14:paraId="206E0107" w14:textId="77777777" w:rsidR="00BA20BD" w:rsidRPr="00890249" w:rsidRDefault="00BA20BD" w:rsidP="005C6AF0">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BA20BD" w:rsidRPr="00890249" w14:paraId="6B3E083F" w14:textId="77777777" w:rsidTr="005C6AF0">
        <w:trPr>
          <w:trHeight w:val="434"/>
        </w:trPr>
        <w:tc>
          <w:tcPr>
            <w:tcW w:w="286" w:type="pct"/>
            <w:vAlign w:val="center"/>
          </w:tcPr>
          <w:p w14:paraId="6677112D"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CP4</w:t>
            </w:r>
          </w:p>
        </w:tc>
        <w:tc>
          <w:tcPr>
            <w:tcW w:w="413" w:type="pct"/>
            <w:vAlign w:val="center"/>
          </w:tcPr>
          <w:p w14:paraId="00DACEEE"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4.v</w:t>
            </w:r>
          </w:p>
        </w:tc>
        <w:tc>
          <w:tcPr>
            <w:tcW w:w="381" w:type="pct"/>
            <w:vAlign w:val="center"/>
          </w:tcPr>
          <w:p w14:paraId="6541434C"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EFRR</w:t>
            </w:r>
          </w:p>
        </w:tc>
        <w:tc>
          <w:tcPr>
            <w:tcW w:w="554" w:type="pct"/>
            <w:vAlign w:val="center"/>
          </w:tcPr>
          <w:p w14:paraId="13BF955A"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26" w:type="pct"/>
            <w:vAlign w:val="center"/>
          </w:tcPr>
          <w:p w14:paraId="37D15B5D"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RCR073</w:t>
            </w:r>
          </w:p>
        </w:tc>
        <w:tc>
          <w:tcPr>
            <w:tcW w:w="761" w:type="pct"/>
            <w:shd w:val="clear" w:color="auto" w:fill="auto"/>
            <w:vAlign w:val="center"/>
          </w:tcPr>
          <w:p w14:paraId="75AAC511" w14:textId="77777777" w:rsidR="00BA20BD" w:rsidRPr="00890249" w:rsidRDefault="00BA20BD" w:rsidP="005C6AF0">
            <w:pPr>
              <w:jc w:val="left"/>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 xml:space="preserve">Roczna liczba użytkowników nowych lub zmodernizowanych placówek opieki zdrowotnej </w:t>
            </w:r>
          </w:p>
        </w:tc>
        <w:tc>
          <w:tcPr>
            <w:tcW w:w="456" w:type="pct"/>
            <w:vAlign w:val="center"/>
          </w:tcPr>
          <w:p w14:paraId="3357058D"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eastAsiaTheme="minorHAnsi" w:hAnsiTheme="minorHAnsi" w:cstheme="minorHAnsi"/>
                <w:i/>
                <w:noProof/>
                <w:sz w:val="18"/>
                <w:szCs w:val="16"/>
                <w:lang w:eastAsia="en-US" w:bidi="ar-SA"/>
              </w:rPr>
              <w:t>użytkownicy/rok</w:t>
            </w:r>
          </w:p>
        </w:tc>
        <w:tc>
          <w:tcPr>
            <w:tcW w:w="381" w:type="pct"/>
            <w:vAlign w:val="center"/>
          </w:tcPr>
          <w:p w14:paraId="2C7CCD1D" w14:textId="2DAD3EF3" w:rsidR="00BA20BD" w:rsidRPr="00890249" w:rsidRDefault="004372E6"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468 962</w:t>
            </w:r>
          </w:p>
        </w:tc>
        <w:tc>
          <w:tcPr>
            <w:tcW w:w="327" w:type="pct"/>
            <w:vAlign w:val="center"/>
          </w:tcPr>
          <w:p w14:paraId="4AD591AC" w14:textId="77777777" w:rsidR="00BA20BD" w:rsidRPr="00890249" w:rsidRDefault="00BA20BD"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2020</w:t>
            </w:r>
          </w:p>
        </w:tc>
        <w:tc>
          <w:tcPr>
            <w:tcW w:w="308" w:type="pct"/>
            <w:shd w:val="clear" w:color="auto" w:fill="auto"/>
            <w:vAlign w:val="center"/>
          </w:tcPr>
          <w:p w14:paraId="7E425FE7" w14:textId="6A54B8A8" w:rsidR="00BA20BD" w:rsidRPr="00890249" w:rsidRDefault="004372E6" w:rsidP="005C6AF0">
            <w:pPr>
              <w:jc w:val="center"/>
              <w:rPr>
                <w:rFonts w:asciiTheme="minorHAnsi" w:hAnsiTheme="minorHAnsi" w:cstheme="minorHAnsi"/>
                <w:b/>
                <w:noProof/>
                <w:sz w:val="18"/>
                <w:szCs w:val="16"/>
                <w:lang w:eastAsia="en-US" w:bidi="ar-SA"/>
              </w:rPr>
            </w:pPr>
            <w:r w:rsidRPr="00890249">
              <w:rPr>
                <w:rFonts w:asciiTheme="minorHAnsi" w:hAnsiTheme="minorHAnsi" w:cstheme="minorHAnsi"/>
                <w:b/>
                <w:noProof/>
                <w:sz w:val="18"/>
                <w:szCs w:val="16"/>
                <w:lang w:eastAsia="en-US" w:bidi="ar-SA"/>
              </w:rPr>
              <w:t>492 410</w:t>
            </w:r>
          </w:p>
        </w:tc>
        <w:tc>
          <w:tcPr>
            <w:tcW w:w="333" w:type="pct"/>
            <w:shd w:val="clear" w:color="auto" w:fill="auto"/>
            <w:vAlign w:val="center"/>
          </w:tcPr>
          <w:p w14:paraId="53661AC0" w14:textId="77777777" w:rsidR="00BA20BD" w:rsidRPr="00890249" w:rsidRDefault="00BA20BD" w:rsidP="005C6AF0">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IZ</w:t>
            </w:r>
          </w:p>
        </w:tc>
        <w:tc>
          <w:tcPr>
            <w:tcW w:w="374" w:type="pct"/>
            <w:vAlign w:val="center"/>
          </w:tcPr>
          <w:p w14:paraId="0F1D1F14" w14:textId="77777777" w:rsidR="00BA20BD" w:rsidRPr="00890249" w:rsidRDefault="00BA20BD" w:rsidP="005C6AF0">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w:t>
            </w:r>
          </w:p>
        </w:tc>
      </w:tr>
    </w:tbl>
    <w:p w14:paraId="2C4BA82C" w14:textId="77777777" w:rsidR="0032491E" w:rsidRDefault="0032491E" w:rsidP="00DF7C33">
      <w:pPr>
        <w:spacing w:before="0" w:after="0"/>
        <w:jc w:val="left"/>
        <w:rPr>
          <w:rFonts w:asciiTheme="minorHAnsi" w:eastAsia="Times New Roman" w:hAnsiTheme="minorHAnsi" w:cstheme="minorHAnsi"/>
          <w:b/>
          <w:iCs/>
          <w:noProof/>
          <w:sz w:val="22"/>
          <w:szCs w:val="22"/>
        </w:rPr>
      </w:pPr>
    </w:p>
    <w:p w14:paraId="789DBA43" w14:textId="54E9E6E4" w:rsidR="00BA20BD" w:rsidRPr="00890249" w:rsidRDefault="007747A3" w:rsidP="00DF7C33">
      <w:pPr>
        <w:spacing w:before="0" w:after="0"/>
        <w:jc w:val="left"/>
        <w:rPr>
          <w:rFonts w:asciiTheme="minorHAnsi" w:eastAsiaTheme="minorHAnsi" w:hAnsiTheme="minorHAnsi" w:cstheme="minorHAnsi"/>
          <w:szCs w:val="24"/>
          <w:lang w:bidi="ar-SA"/>
        </w:rPr>
      </w:pPr>
      <w:r w:rsidRPr="00890249">
        <w:rPr>
          <w:rFonts w:asciiTheme="minorHAnsi" w:hAnsiTheme="minorHAnsi" w:cstheme="minorHAnsi"/>
          <w:b/>
          <w:noProof/>
          <w:sz w:val="22"/>
          <w:szCs w:val="22"/>
        </w:rPr>
        <w:t>2.1.9.3.3 (v) Orientacyjny podział zasobów programu (UE) według rodzaju interwencji</w:t>
      </w:r>
    </w:p>
    <w:tbl>
      <w:tblPr>
        <w:tblStyle w:val="Tabela-Siatka"/>
        <w:tblW w:w="0" w:type="auto"/>
        <w:tblLook w:val="04A0" w:firstRow="1" w:lastRow="0" w:firstColumn="1" w:lastColumn="0" w:noHBand="0" w:noVBand="1"/>
      </w:tblPr>
      <w:tblGrid>
        <w:gridCol w:w="1477"/>
        <w:gridCol w:w="1272"/>
        <w:gridCol w:w="1351"/>
        <w:gridCol w:w="1681"/>
        <w:gridCol w:w="1347"/>
        <w:gridCol w:w="1933"/>
      </w:tblGrid>
      <w:tr w:rsidR="00BA20BD" w:rsidRPr="00890249" w14:paraId="494ADC12" w14:textId="77777777" w:rsidTr="005C6AF0">
        <w:tc>
          <w:tcPr>
            <w:tcW w:w="9288" w:type="dxa"/>
            <w:gridSpan w:val="6"/>
            <w:shd w:val="clear" w:color="auto" w:fill="D9D9D9" w:themeFill="background1" w:themeFillShade="D9"/>
          </w:tcPr>
          <w:p w14:paraId="55FF96D9"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BA20BD" w:rsidRPr="00890249" w14:paraId="00B5B3E0" w14:textId="77777777" w:rsidTr="005C6AF0">
        <w:tc>
          <w:tcPr>
            <w:tcW w:w="1574" w:type="dxa"/>
            <w:shd w:val="clear" w:color="auto" w:fill="F2F2F2" w:themeFill="background1" w:themeFillShade="F2"/>
          </w:tcPr>
          <w:p w14:paraId="57E98531"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61" w:type="dxa"/>
            <w:shd w:val="clear" w:color="auto" w:fill="F2F2F2" w:themeFill="background1" w:themeFillShade="F2"/>
          </w:tcPr>
          <w:p w14:paraId="34A77CCC"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6" w:type="dxa"/>
            <w:shd w:val="clear" w:color="auto" w:fill="F2F2F2" w:themeFill="background1" w:themeFillShade="F2"/>
          </w:tcPr>
          <w:p w14:paraId="186B6957"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783" w:type="dxa"/>
            <w:shd w:val="clear" w:color="auto" w:fill="F2F2F2" w:themeFill="background1" w:themeFillShade="F2"/>
          </w:tcPr>
          <w:p w14:paraId="6BB4F02A"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9" w:type="dxa"/>
            <w:shd w:val="clear" w:color="auto" w:fill="F2F2F2" w:themeFill="background1" w:themeFillShade="F2"/>
          </w:tcPr>
          <w:p w14:paraId="176E78FE"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25" w:type="dxa"/>
            <w:shd w:val="clear" w:color="auto" w:fill="F2F2F2" w:themeFill="background1" w:themeFillShade="F2"/>
          </w:tcPr>
          <w:p w14:paraId="042453F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7F6C0CAA" w14:textId="77777777" w:rsidTr="005C6AF0">
        <w:trPr>
          <w:trHeight w:val="284"/>
        </w:trPr>
        <w:tc>
          <w:tcPr>
            <w:tcW w:w="1574" w:type="dxa"/>
            <w:vMerge w:val="restart"/>
            <w:vAlign w:val="center"/>
          </w:tcPr>
          <w:p w14:paraId="55C251FE"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CP 4</w:t>
            </w:r>
          </w:p>
        </w:tc>
        <w:tc>
          <w:tcPr>
            <w:tcW w:w="1361" w:type="dxa"/>
            <w:vMerge w:val="restart"/>
            <w:vAlign w:val="center"/>
          </w:tcPr>
          <w:p w14:paraId="1AD07144"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16" w:type="dxa"/>
            <w:vMerge w:val="restart"/>
            <w:vAlign w:val="center"/>
          </w:tcPr>
          <w:p w14:paraId="49960389"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783" w:type="dxa"/>
            <w:vMerge w:val="restart"/>
            <w:vAlign w:val="center"/>
          </w:tcPr>
          <w:p w14:paraId="1B1283B3" w14:textId="77777777" w:rsidR="00BA20BD" w:rsidRPr="00890249" w:rsidRDefault="00BA20BD" w:rsidP="005C6AF0">
            <w:pPr>
              <w:jc w:val="center"/>
              <w:rPr>
                <w:rFonts w:asciiTheme="minorHAnsi" w:hAnsiTheme="minorHAnsi" w:cstheme="minorHAnsi"/>
                <w:noProof/>
                <w:sz w:val="20"/>
              </w:rPr>
            </w:pPr>
            <w:r w:rsidRPr="00890249">
              <w:rPr>
                <w:rFonts w:asciiTheme="minorHAnsi" w:hAnsiTheme="minorHAnsi" w:cstheme="minorHAnsi"/>
                <w:noProof/>
                <w:sz w:val="20"/>
              </w:rPr>
              <w:t>(v)</w:t>
            </w:r>
          </w:p>
          <w:p w14:paraId="30533734" w14:textId="77777777" w:rsidR="00BA20BD" w:rsidRPr="00890249" w:rsidRDefault="00BA20BD" w:rsidP="005C6AF0">
            <w:pPr>
              <w:jc w:val="center"/>
              <w:rPr>
                <w:rFonts w:asciiTheme="minorHAnsi" w:eastAsia="Times New Roman" w:hAnsiTheme="minorHAnsi" w:cstheme="minorHAnsi"/>
                <w:iCs/>
                <w:noProof/>
                <w:sz w:val="20"/>
              </w:rPr>
            </w:pPr>
          </w:p>
        </w:tc>
        <w:tc>
          <w:tcPr>
            <w:tcW w:w="1029" w:type="dxa"/>
          </w:tcPr>
          <w:p w14:paraId="0379A32E"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128</w:t>
            </w:r>
            <w:r w:rsidR="000E3B79" w:rsidRPr="00890249">
              <w:rPr>
                <w:rFonts w:asciiTheme="minorHAnsi" w:eastAsia="Times New Roman" w:hAnsiTheme="minorHAnsi" w:cstheme="minorHAnsi"/>
                <w:iCs/>
                <w:noProof/>
                <w:sz w:val="20"/>
              </w:rPr>
              <w:t xml:space="preserve"> Infrastruktura zdrowotna</w:t>
            </w:r>
          </w:p>
        </w:tc>
        <w:tc>
          <w:tcPr>
            <w:tcW w:w="2125" w:type="dxa"/>
          </w:tcPr>
          <w:p w14:paraId="6C75D4A7" w14:textId="77777777" w:rsidR="00BA20BD" w:rsidRPr="00890249" w:rsidRDefault="00BA20B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20 300 000 </w:t>
            </w:r>
          </w:p>
        </w:tc>
      </w:tr>
      <w:tr w:rsidR="00BA20BD" w:rsidRPr="00890249" w14:paraId="22884390" w14:textId="77777777" w:rsidTr="005C6AF0">
        <w:trPr>
          <w:trHeight w:val="284"/>
        </w:trPr>
        <w:tc>
          <w:tcPr>
            <w:tcW w:w="1574" w:type="dxa"/>
            <w:vMerge/>
          </w:tcPr>
          <w:p w14:paraId="6F2EDBA7" w14:textId="77777777" w:rsidR="00BA20BD" w:rsidRPr="00890249" w:rsidRDefault="00BA20BD" w:rsidP="005C6AF0">
            <w:pPr>
              <w:jc w:val="center"/>
              <w:rPr>
                <w:rFonts w:asciiTheme="minorHAnsi" w:eastAsia="Times New Roman" w:hAnsiTheme="minorHAnsi" w:cstheme="minorHAnsi"/>
                <w:iCs/>
                <w:noProof/>
                <w:sz w:val="20"/>
              </w:rPr>
            </w:pPr>
          </w:p>
        </w:tc>
        <w:tc>
          <w:tcPr>
            <w:tcW w:w="1361" w:type="dxa"/>
            <w:vMerge/>
          </w:tcPr>
          <w:p w14:paraId="73AD8648" w14:textId="77777777" w:rsidR="00BA20BD" w:rsidRPr="00890249" w:rsidRDefault="00BA20BD" w:rsidP="005C6AF0">
            <w:pPr>
              <w:jc w:val="center"/>
              <w:rPr>
                <w:rFonts w:asciiTheme="minorHAnsi" w:eastAsia="Times New Roman" w:hAnsiTheme="minorHAnsi" w:cstheme="minorHAnsi"/>
                <w:iCs/>
                <w:noProof/>
                <w:sz w:val="20"/>
              </w:rPr>
            </w:pPr>
          </w:p>
        </w:tc>
        <w:tc>
          <w:tcPr>
            <w:tcW w:w="1416" w:type="dxa"/>
            <w:vMerge/>
          </w:tcPr>
          <w:p w14:paraId="630578A8" w14:textId="77777777" w:rsidR="00BA20BD" w:rsidRPr="00890249" w:rsidRDefault="00BA20BD" w:rsidP="005C6AF0">
            <w:pPr>
              <w:jc w:val="center"/>
              <w:rPr>
                <w:rFonts w:asciiTheme="minorHAnsi" w:hAnsiTheme="minorHAnsi" w:cstheme="minorHAnsi"/>
                <w:noProof/>
                <w:sz w:val="20"/>
              </w:rPr>
            </w:pPr>
          </w:p>
        </w:tc>
        <w:tc>
          <w:tcPr>
            <w:tcW w:w="1783" w:type="dxa"/>
            <w:vMerge/>
          </w:tcPr>
          <w:p w14:paraId="63F2B2A6" w14:textId="77777777" w:rsidR="00BA20BD" w:rsidRPr="00890249" w:rsidRDefault="00BA20BD" w:rsidP="005C6AF0">
            <w:pPr>
              <w:jc w:val="center"/>
              <w:rPr>
                <w:rFonts w:asciiTheme="minorHAnsi" w:hAnsiTheme="minorHAnsi" w:cstheme="minorHAnsi"/>
                <w:noProof/>
                <w:sz w:val="20"/>
              </w:rPr>
            </w:pPr>
          </w:p>
        </w:tc>
        <w:tc>
          <w:tcPr>
            <w:tcW w:w="1029" w:type="dxa"/>
          </w:tcPr>
          <w:p w14:paraId="70BC808A"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129</w:t>
            </w:r>
            <w:r w:rsidR="000E3B79" w:rsidRPr="00890249">
              <w:rPr>
                <w:rFonts w:asciiTheme="minorHAnsi" w:eastAsia="Times New Roman" w:hAnsiTheme="minorHAnsi" w:cstheme="minorHAnsi"/>
                <w:iCs/>
                <w:noProof/>
                <w:sz w:val="20"/>
              </w:rPr>
              <w:t xml:space="preserve"> Wyposażenie opieki zdrowotnej</w:t>
            </w:r>
          </w:p>
        </w:tc>
        <w:tc>
          <w:tcPr>
            <w:tcW w:w="2125" w:type="dxa"/>
          </w:tcPr>
          <w:p w14:paraId="0A9C201A" w14:textId="77777777" w:rsidR="00BA20BD" w:rsidRPr="00890249" w:rsidRDefault="00BA20B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8 700 000 </w:t>
            </w:r>
          </w:p>
        </w:tc>
      </w:tr>
    </w:tbl>
    <w:p w14:paraId="6094B50A" w14:textId="421DB69D" w:rsidR="0032491E" w:rsidRDefault="0032491E" w:rsidP="00BA20BD">
      <w:pPr>
        <w:spacing w:before="0" w:after="160" w:line="259" w:lineRule="auto"/>
        <w:jc w:val="left"/>
        <w:rPr>
          <w:rFonts w:asciiTheme="minorHAnsi" w:hAnsiTheme="minorHAnsi" w:cstheme="minorHAnsi"/>
          <w:b/>
          <w:noProof/>
          <w:color w:val="FF0000"/>
          <w:sz w:val="22"/>
          <w:szCs w:val="22"/>
        </w:rPr>
      </w:pPr>
    </w:p>
    <w:p w14:paraId="0FEAE9F3" w14:textId="026AF120" w:rsidR="00BA20BD" w:rsidRPr="00890249" w:rsidRDefault="0032491E" w:rsidP="00BA20BD">
      <w:pPr>
        <w:spacing w:before="0" w:after="160" w:line="259" w:lineRule="auto"/>
        <w:jc w:val="left"/>
        <w:rPr>
          <w:rFonts w:asciiTheme="minorHAnsi" w:hAnsiTheme="minorHAnsi" w:cstheme="minorHAnsi"/>
          <w:b/>
          <w:noProof/>
          <w:color w:val="FF0000"/>
          <w:sz w:val="22"/>
          <w:szCs w:val="22"/>
        </w:rPr>
      </w:pPr>
      <w:r>
        <w:rPr>
          <w:rFonts w:asciiTheme="minorHAnsi" w:hAnsiTheme="minorHAnsi" w:cstheme="minorHAnsi"/>
          <w:b/>
          <w:noProof/>
          <w:color w:val="FF0000"/>
          <w:sz w:val="22"/>
          <w:szCs w:val="22"/>
        </w:rPr>
        <w:br w:type="page"/>
      </w:r>
    </w:p>
    <w:tbl>
      <w:tblPr>
        <w:tblStyle w:val="Tabela-Siatka"/>
        <w:tblW w:w="0" w:type="auto"/>
        <w:tblLook w:val="04A0" w:firstRow="1" w:lastRow="0" w:firstColumn="1" w:lastColumn="0" w:noHBand="0" w:noVBand="1"/>
      </w:tblPr>
      <w:tblGrid>
        <w:gridCol w:w="1564"/>
        <w:gridCol w:w="1351"/>
        <w:gridCol w:w="1409"/>
        <w:gridCol w:w="1617"/>
        <w:gridCol w:w="1039"/>
        <w:gridCol w:w="2081"/>
      </w:tblGrid>
      <w:tr w:rsidR="00BA20BD" w:rsidRPr="00890249" w14:paraId="3E273501" w14:textId="77777777" w:rsidTr="005C6AF0">
        <w:tc>
          <w:tcPr>
            <w:tcW w:w="9288" w:type="dxa"/>
            <w:gridSpan w:val="6"/>
            <w:shd w:val="clear" w:color="auto" w:fill="D9D9D9" w:themeFill="background1" w:themeFillShade="D9"/>
          </w:tcPr>
          <w:p w14:paraId="43F236A5"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lastRenderedPageBreak/>
              <w:t>Tabela 5: Wymiar 2 – forma finansowania</w:t>
            </w:r>
          </w:p>
        </w:tc>
      </w:tr>
      <w:tr w:rsidR="00BA20BD" w:rsidRPr="00890249" w14:paraId="4D681DAB" w14:textId="77777777" w:rsidTr="005C6AF0">
        <w:tc>
          <w:tcPr>
            <w:tcW w:w="1599" w:type="dxa"/>
            <w:shd w:val="clear" w:color="auto" w:fill="F2F2F2" w:themeFill="background1" w:themeFillShade="F2"/>
          </w:tcPr>
          <w:p w14:paraId="012931C5"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24671435"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217EED3B"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1D5FA35A"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790A644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1EB629A3"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52526B51" w14:textId="77777777" w:rsidTr="00890249">
        <w:tc>
          <w:tcPr>
            <w:tcW w:w="1599" w:type="dxa"/>
            <w:vAlign w:val="center"/>
          </w:tcPr>
          <w:p w14:paraId="2E46FF97"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74C80EDB"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33" w:type="dxa"/>
            <w:vAlign w:val="center"/>
          </w:tcPr>
          <w:p w14:paraId="39EEE0F1" w14:textId="77777777" w:rsidR="00BA20BD" w:rsidRPr="00890249" w:rsidRDefault="00BA20BD" w:rsidP="005C6AF0">
            <w:pPr>
              <w:jc w:val="cente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1644" w:type="dxa"/>
            <w:vAlign w:val="center"/>
          </w:tcPr>
          <w:p w14:paraId="1C386148"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(v)</w:t>
            </w:r>
          </w:p>
        </w:tc>
        <w:tc>
          <w:tcPr>
            <w:tcW w:w="1053" w:type="dxa"/>
          </w:tcPr>
          <w:p w14:paraId="39F8D7EE"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0E3B79" w:rsidRPr="00890249">
              <w:rPr>
                <w:rFonts w:asciiTheme="minorHAnsi" w:eastAsia="Times New Roman" w:hAnsiTheme="minorHAnsi" w:cstheme="minorHAnsi"/>
                <w:iCs/>
                <w:noProof/>
                <w:sz w:val="20"/>
              </w:rPr>
              <w:t xml:space="preserve"> Dotacja</w:t>
            </w:r>
          </w:p>
        </w:tc>
        <w:tc>
          <w:tcPr>
            <w:tcW w:w="2175" w:type="dxa"/>
          </w:tcPr>
          <w:p w14:paraId="1A8097F6" w14:textId="77777777" w:rsidR="00BA20BD" w:rsidRPr="00890249" w:rsidRDefault="00BA20BD"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29 000 000</w:t>
            </w:r>
          </w:p>
        </w:tc>
      </w:tr>
    </w:tbl>
    <w:p w14:paraId="138AD3D5" w14:textId="77777777" w:rsidR="00BA20BD" w:rsidRPr="00890249" w:rsidRDefault="00BA20BD" w:rsidP="00BA20BD">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483"/>
        <w:gridCol w:w="1278"/>
        <w:gridCol w:w="1355"/>
        <w:gridCol w:w="1557"/>
        <w:gridCol w:w="1520"/>
        <w:gridCol w:w="1868"/>
      </w:tblGrid>
      <w:tr w:rsidR="00BA20BD" w:rsidRPr="00890249" w14:paraId="41FBE566" w14:textId="77777777" w:rsidTr="005C6AF0">
        <w:tc>
          <w:tcPr>
            <w:tcW w:w="9288" w:type="dxa"/>
            <w:gridSpan w:val="6"/>
            <w:shd w:val="clear" w:color="auto" w:fill="D9D9D9" w:themeFill="background1" w:themeFillShade="D9"/>
          </w:tcPr>
          <w:p w14:paraId="7C64CC3B" w14:textId="3BBD769A"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BA20BD" w:rsidRPr="00890249" w14:paraId="35BCDF8B" w14:textId="77777777" w:rsidTr="005C6AF0">
        <w:tc>
          <w:tcPr>
            <w:tcW w:w="1599" w:type="dxa"/>
            <w:shd w:val="clear" w:color="auto" w:fill="F2F2F2" w:themeFill="background1" w:themeFillShade="F2"/>
          </w:tcPr>
          <w:p w14:paraId="779C5E8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84" w:type="dxa"/>
            <w:shd w:val="clear" w:color="auto" w:fill="F2F2F2" w:themeFill="background1" w:themeFillShade="F2"/>
          </w:tcPr>
          <w:p w14:paraId="44E37780"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33" w:type="dxa"/>
            <w:shd w:val="clear" w:color="auto" w:fill="F2F2F2" w:themeFill="background1" w:themeFillShade="F2"/>
          </w:tcPr>
          <w:p w14:paraId="656C3926"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03D943DF"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410D660D"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3A10E8B9"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13B360C8" w14:textId="77777777" w:rsidTr="00890249">
        <w:tc>
          <w:tcPr>
            <w:tcW w:w="1599" w:type="dxa"/>
            <w:vAlign w:val="center"/>
          </w:tcPr>
          <w:p w14:paraId="29D8A546"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4</w:t>
            </w:r>
          </w:p>
        </w:tc>
        <w:tc>
          <w:tcPr>
            <w:tcW w:w="1384" w:type="dxa"/>
            <w:vAlign w:val="center"/>
          </w:tcPr>
          <w:p w14:paraId="774936BC"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EFRR</w:t>
            </w:r>
          </w:p>
        </w:tc>
        <w:tc>
          <w:tcPr>
            <w:tcW w:w="1433" w:type="dxa"/>
            <w:vAlign w:val="center"/>
          </w:tcPr>
          <w:p w14:paraId="4EC5AF00"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hAnsiTheme="minorHAnsi" w:cstheme="minorHAnsi"/>
                <w:noProof/>
                <w:sz w:val="20"/>
              </w:rPr>
              <w:t>słabiej rozwinięte</w:t>
            </w:r>
          </w:p>
        </w:tc>
        <w:tc>
          <w:tcPr>
            <w:tcW w:w="1644" w:type="dxa"/>
            <w:vAlign w:val="center"/>
          </w:tcPr>
          <w:p w14:paraId="10D771A3" w14:textId="77777777" w:rsidR="00BA20BD" w:rsidRPr="00890249" w:rsidRDefault="00BA20BD" w:rsidP="005C6AF0">
            <w:pPr>
              <w:jc w:val="center"/>
              <w:rPr>
                <w:rFonts w:asciiTheme="minorHAnsi" w:hAnsiTheme="minorHAnsi" w:cstheme="minorHAnsi"/>
                <w:noProof/>
                <w:sz w:val="20"/>
              </w:rPr>
            </w:pPr>
            <w:r w:rsidRPr="00890249">
              <w:rPr>
                <w:rFonts w:asciiTheme="minorHAnsi" w:hAnsiTheme="minorHAnsi" w:cstheme="minorHAnsi"/>
                <w:noProof/>
                <w:sz w:val="20"/>
              </w:rPr>
              <w:t>(v)</w:t>
            </w:r>
          </w:p>
        </w:tc>
        <w:tc>
          <w:tcPr>
            <w:tcW w:w="1053" w:type="dxa"/>
          </w:tcPr>
          <w:p w14:paraId="342F3D80" w14:textId="77777777" w:rsidR="00BA20BD" w:rsidRPr="00890249" w:rsidRDefault="00BA20BD" w:rsidP="005C6AF0">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33</w:t>
            </w:r>
            <w:r w:rsidR="000E3B79" w:rsidRPr="00890249">
              <w:rPr>
                <w:rFonts w:asciiTheme="minorHAnsi" w:eastAsia="Times New Roman" w:hAnsiTheme="minorHAnsi" w:cstheme="minorHAnsi"/>
                <w:iCs/>
                <w:noProof/>
                <w:sz w:val="20"/>
              </w:rPr>
              <w:t xml:space="preserve"> Brak ukierunkowania terytorialnego</w:t>
            </w:r>
          </w:p>
        </w:tc>
        <w:tc>
          <w:tcPr>
            <w:tcW w:w="2175" w:type="dxa"/>
          </w:tcPr>
          <w:p w14:paraId="135735B0" w14:textId="77777777" w:rsidR="00BA20BD" w:rsidRPr="00890249" w:rsidRDefault="00BA20BD" w:rsidP="005C6AF0">
            <w:pPr>
              <w:jc w:val="right"/>
              <w:rPr>
                <w:rFonts w:asciiTheme="minorHAnsi" w:hAnsiTheme="minorHAnsi" w:cstheme="minorHAnsi"/>
                <w:noProof/>
                <w:sz w:val="20"/>
              </w:rPr>
            </w:pPr>
            <w:r w:rsidRPr="00890249">
              <w:rPr>
                <w:rFonts w:asciiTheme="minorHAnsi" w:hAnsiTheme="minorHAnsi" w:cstheme="minorHAnsi"/>
                <w:noProof/>
                <w:sz w:val="20"/>
              </w:rPr>
              <w:t>29 000 000</w:t>
            </w:r>
          </w:p>
        </w:tc>
      </w:tr>
    </w:tbl>
    <w:p w14:paraId="639482D7" w14:textId="77777777" w:rsidR="00BA20BD" w:rsidRPr="00890249" w:rsidRDefault="00BA20BD" w:rsidP="00BA20BD">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567"/>
        <w:gridCol w:w="1354"/>
        <w:gridCol w:w="1411"/>
        <w:gridCol w:w="1620"/>
        <w:gridCol w:w="1022"/>
        <w:gridCol w:w="2348"/>
      </w:tblGrid>
      <w:tr w:rsidR="00BA20BD" w:rsidRPr="00890249" w14:paraId="7E2E6320" w14:textId="77777777" w:rsidTr="005C6AF0">
        <w:tc>
          <w:tcPr>
            <w:tcW w:w="9322" w:type="dxa"/>
            <w:gridSpan w:val="6"/>
            <w:shd w:val="clear" w:color="auto" w:fill="D9D9D9" w:themeFill="background1" w:themeFillShade="D9"/>
          </w:tcPr>
          <w:p w14:paraId="536C560F" w14:textId="77777777" w:rsidR="00BA20BD" w:rsidRPr="00890249" w:rsidRDefault="00BA20BD" w:rsidP="005C6AF0">
            <w:pPr>
              <w:rPr>
                <w:rFonts w:asciiTheme="minorHAnsi" w:eastAsia="Times New Roman" w:hAnsiTheme="minorHAnsi" w:cstheme="minorHAnsi"/>
                <w:b/>
                <w:iCs/>
                <w:noProof/>
                <w:sz w:val="20"/>
              </w:rPr>
            </w:pPr>
            <w:r w:rsidRPr="00890249">
              <w:rPr>
                <w:rFonts w:asciiTheme="minorHAnsi" w:hAnsiTheme="minorHAnsi" w:cstheme="minorHAnsi"/>
                <w:b/>
                <w:noProof/>
                <w:sz w:val="20"/>
              </w:rPr>
              <w:t>Tabela 7: Wymiar 6 – uzupełniające obszary tematyczne EFS+</w:t>
            </w:r>
          </w:p>
        </w:tc>
      </w:tr>
      <w:tr w:rsidR="00BA20BD" w:rsidRPr="00890249" w14:paraId="41A05038" w14:textId="77777777" w:rsidTr="005C6AF0">
        <w:tc>
          <w:tcPr>
            <w:tcW w:w="1567" w:type="dxa"/>
            <w:shd w:val="clear" w:color="auto" w:fill="F2F2F2" w:themeFill="background1" w:themeFillShade="F2"/>
          </w:tcPr>
          <w:p w14:paraId="549DAF1F"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354" w:type="dxa"/>
            <w:shd w:val="clear" w:color="auto" w:fill="F2F2F2" w:themeFill="background1" w:themeFillShade="F2"/>
          </w:tcPr>
          <w:p w14:paraId="405412B3"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411" w:type="dxa"/>
            <w:shd w:val="clear" w:color="auto" w:fill="F2F2F2" w:themeFill="background1" w:themeFillShade="F2"/>
          </w:tcPr>
          <w:p w14:paraId="745E4014"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5ECD4469"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03C667CF"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8" w:type="dxa"/>
            <w:shd w:val="clear" w:color="auto" w:fill="F2F2F2" w:themeFill="background1" w:themeFillShade="F2"/>
          </w:tcPr>
          <w:p w14:paraId="6D8926BF"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A20BD" w:rsidRPr="00890249" w14:paraId="437EBA3E" w14:textId="77777777" w:rsidTr="005C6AF0">
        <w:tc>
          <w:tcPr>
            <w:tcW w:w="1567" w:type="dxa"/>
            <w:vAlign w:val="center"/>
          </w:tcPr>
          <w:p w14:paraId="3E323E4C"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4</w:t>
            </w:r>
          </w:p>
        </w:tc>
        <w:tc>
          <w:tcPr>
            <w:tcW w:w="1354" w:type="dxa"/>
            <w:vAlign w:val="center"/>
          </w:tcPr>
          <w:p w14:paraId="288CCE2A"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EFRR</w:t>
            </w:r>
          </w:p>
        </w:tc>
        <w:tc>
          <w:tcPr>
            <w:tcW w:w="1411" w:type="dxa"/>
            <w:vAlign w:val="center"/>
          </w:tcPr>
          <w:p w14:paraId="3CCDF1F5"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słabiej rozwinięte</w:t>
            </w:r>
          </w:p>
        </w:tc>
        <w:tc>
          <w:tcPr>
            <w:tcW w:w="1620" w:type="dxa"/>
            <w:vAlign w:val="center"/>
          </w:tcPr>
          <w:p w14:paraId="43C80F88" w14:textId="77777777" w:rsidR="00BA20BD" w:rsidRPr="00890249" w:rsidRDefault="00BA20BD" w:rsidP="005C6AF0">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(v)</w:t>
            </w:r>
          </w:p>
        </w:tc>
        <w:tc>
          <w:tcPr>
            <w:tcW w:w="1022" w:type="dxa"/>
            <w:vAlign w:val="center"/>
          </w:tcPr>
          <w:p w14:paraId="6D08B1D7" w14:textId="6FEB03E7" w:rsidR="00BA20BD" w:rsidRPr="00890249" w:rsidRDefault="00192C3A" w:rsidP="00890249">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p>
        </w:tc>
        <w:tc>
          <w:tcPr>
            <w:tcW w:w="2348" w:type="dxa"/>
            <w:vAlign w:val="center"/>
          </w:tcPr>
          <w:p w14:paraId="019B725B" w14:textId="26019EF2" w:rsidR="00BA20BD" w:rsidRPr="00890249" w:rsidRDefault="00192C3A" w:rsidP="005C6AF0">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w:t>
            </w:r>
          </w:p>
        </w:tc>
      </w:tr>
    </w:tbl>
    <w:p w14:paraId="4CF349D9" w14:textId="77777777" w:rsidR="00BA20BD" w:rsidRPr="00890249" w:rsidRDefault="00BA20BD" w:rsidP="00BA20BD">
      <w:pPr>
        <w:spacing w:before="0" w:after="160" w:line="259" w:lineRule="auto"/>
        <w:jc w:val="left"/>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BA20BD" w:rsidRPr="00890249" w14:paraId="385EEE0D" w14:textId="77777777" w:rsidTr="005C6AF0">
        <w:tc>
          <w:tcPr>
            <w:tcW w:w="9322" w:type="dxa"/>
            <w:gridSpan w:val="6"/>
            <w:shd w:val="clear" w:color="auto" w:fill="D9D9D9" w:themeFill="background1" w:themeFillShade="D9"/>
          </w:tcPr>
          <w:p w14:paraId="2C64F6DB" w14:textId="77777777" w:rsidR="00BA20BD" w:rsidRPr="00890249" w:rsidRDefault="00BA20BD" w:rsidP="005C6AF0">
            <w:pPr>
              <w:spacing w:before="0" w:after="160" w:line="259" w:lineRule="auto"/>
              <w:jc w:val="left"/>
              <w:rPr>
                <w:rFonts w:asciiTheme="minorHAnsi" w:eastAsiaTheme="minorHAnsi" w:hAnsiTheme="minorHAnsi" w:cstheme="minorHAnsi"/>
                <w:b/>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 EFS+, EFRR, Fundusz Spójności i FST</w:t>
            </w:r>
          </w:p>
        </w:tc>
      </w:tr>
      <w:tr w:rsidR="00BA20BD" w:rsidRPr="00890249" w14:paraId="54BB5823" w14:textId="77777777" w:rsidTr="005C6AF0">
        <w:tc>
          <w:tcPr>
            <w:tcW w:w="1570" w:type="dxa"/>
            <w:shd w:val="clear" w:color="auto" w:fill="F2F2F2" w:themeFill="background1" w:themeFillShade="F2"/>
          </w:tcPr>
          <w:p w14:paraId="2CDF2EEF"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Nr priorytetu</w:t>
            </w:r>
          </w:p>
        </w:tc>
        <w:tc>
          <w:tcPr>
            <w:tcW w:w="1360" w:type="dxa"/>
            <w:shd w:val="clear" w:color="auto" w:fill="F2F2F2" w:themeFill="background1" w:themeFillShade="F2"/>
          </w:tcPr>
          <w:p w14:paraId="091841DF"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Fundusz</w:t>
            </w:r>
          </w:p>
        </w:tc>
        <w:tc>
          <w:tcPr>
            <w:tcW w:w="1415" w:type="dxa"/>
            <w:shd w:val="clear" w:color="auto" w:fill="F2F2F2" w:themeFill="background1" w:themeFillShade="F2"/>
          </w:tcPr>
          <w:p w14:paraId="02A3C096"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Kategoria regionu</w:t>
            </w:r>
          </w:p>
        </w:tc>
        <w:tc>
          <w:tcPr>
            <w:tcW w:w="1628" w:type="dxa"/>
            <w:shd w:val="clear" w:color="auto" w:fill="F2F2F2" w:themeFill="background1" w:themeFillShade="F2"/>
          </w:tcPr>
          <w:p w14:paraId="5F1FF349"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Cel szczegółowy</w:t>
            </w:r>
          </w:p>
        </w:tc>
        <w:tc>
          <w:tcPr>
            <w:tcW w:w="1026" w:type="dxa"/>
            <w:shd w:val="clear" w:color="auto" w:fill="F2F2F2" w:themeFill="background1" w:themeFillShade="F2"/>
          </w:tcPr>
          <w:p w14:paraId="67C52B95"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Kod</w:t>
            </w:r>
          </w:p>
        </w:tc>
        <w:tc>
          <w:tcPr>
            <w:tcW w:w="2323" w:type="dxa"/>
            <w:shd w:val="clear" w:color="auto" w:fill="F2F2F2" w:themeFill="background1" w:themeFillShade="F2"/>
          </w:tcPr>
          <w:p w14:paraId="1225F1D6" w14:textId="77777777" w:rsidR="00BA20BD" w:rsidRPr="00890249" w:rsidRDefault="00BA20BD" w:rsidP="005C6AF0">
            <w:pPr>
              <w:spacing w:line="259" w:lineRule="auto"/>
              <w:ind w:left="113" w:right="113"/>
              <w:jc w:val="center"/>
              <w:rPr>
                <w:rFonts w:asciiTheme="minorHAnsi" w:eastAsia="Times New Roman" w:hAnsiTheme="minorHAnsi" w:cstheme="minorHAnsi"/>
                <w:b/>
                <w:iCs/>
                <w:noProof/>
                <w:sz w:val="20"/>
                <w:lang w:eastAsia="en-US" w:bidi="ar-SA"/>
              </w:rPr>
            </w:pPr>
            <w:r w:rsidRPr="00890249">
              <w:rPr>
                <w:rFonts w:asciiTheme="minorHAnsi" w:eastAsiaTheme="minorHAnsi" w:hAnsiTheme="minorHAnsi" w:cstheme="minorHAnsi"/>
                <w:b/>
                <w:noProof/>
                <w:sz w:val="20"/>
                <w:lang w:eastAsia="en-US" w:bidi="ar-SA"/>
              </w:rPr>
              <w:t>Kwota (w EUR)</w:t>
            </w:r>
          </w:p>
        </w:tc>
      </w:tr>
      <w:tr w:rsidR="00BA20BD" w:rsidRPr="00890249" w14:paraId="598390EC" w14:textId="77777777" w:rsidTr="005C6AF0">
        <w:tc>
          <w:tcPr>
            <w:tcW w:w="1570" w:type="dxa"/>
            <w:vAlign w:val="center"/>
          </w:tcPr>
          <w:p w14:paraId="323115CD"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CP 4</w:t>
            </w:r>
          </w:p>
        </w:tc>
        <w:tc>
          <w:tcPr>
            <w:tcW w:w="1360" w:type="dxa"/>
            <w:vAlign w:val="center"/>
          </w:tcPr>
          <w:p w14:paraId="201E2035"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EFRR</w:t>
            </w:r>
          </w:p>
        </w:tc>
        <w:tc>
          <w:tcPr>
            <w:tcW w:w="1415" w:type="dxa"/>
            <w:vAlign w:val="center"/>
          </w:tcPr>
          <w:p w14:paraId="3EC656B6"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hAnsiTheme="minorHAnsi" w:cstheme="minorHAnsi"/>
                <w:noProof/>
                <w:sz w:val="20"/>
              </w:rPr>
              <w:t>słabiej rozwinięte</w:t>
            </w:r>
          </w:p>
        </w:tc>
        <w:tc>
          <w:tcPr>
            <w:tcW w:w="1628" w:type="dxa"/>
            <w:vAlign w:val="center"/>
          </w:tcPr>
          <w:p w14:paraId="59F96C91" w14:textId="77777777" w:rsidR="00BA20BD" w:rsidRPr="00890249" w:rsidRDefault="00BA20BD" w:rsidP="005C6AF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(v)</w:t>
            </w:r>
          </w:p>
        </w:tc>
        <w:tc>
          <w:tcPr>
            <w:tcW w:w="1026" w:type="dxa"/>
            <w:vAlign w:val="center"/>
          </w:tcPr>
          <w:p w14:paraId="50C6D875" w14:textId="7001AE80" w:rsidR="00BA20BD" w:rsidRPr="00890249" w:rsidRDefault="003928D4" w:rsidP="003928D4">
            <w:pPr>
              <w:spacing w:before="0" w:after="160" w:line="259" w:lineRule="auto"/>
              <w:jc w:val="center"/>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03</w:t>
            </w:r>
            <w:r w:rsidR="000E3B79" w:rsidRPr="00890249">
              <w:rPr>
                <w:rFonts w:asciiTheme="minorHAnsi" w:eastAsia="Times New Roman" w:hAnsiTheme="minorHAnsi" w:cstheme="minorHAnsi"/>
                <w:iCs/>
                <w:noProof/>
                <w:sz w:val="20"/>
              </w:rPr>
              <w:t xml:space="preserve"> Projekty </w:t>
            </w:r>
            <w:r>
              <w:rPr>
                <w:rFonts w:asciiTheme="minorHAnsi" w:eastAsia="Times New Roman" w:hAnsiTheme="minorHAnsi" w:cstheme="minorHAnsi"/>
                <w:iCs/>
                <w:noProof/>
                <w:sz w:val="20"/>
              </w:rPr>
              <w:t>neutralne w kwestii równouprawnienia płci</w:t>
            </w:r>
          </w:p>
        </w:tc>
        <w:tc>
          <w:tcPr>
            <w:tcW w:w="2323" w:type="dxa"/>
            <w:vAlign w:val="center"/>
          </w:tcPr>
          <w:p w14:paraId="776ADBEA" w14:textId="2AF33C78" w:rsidR="00BA20BD" w:rsidRPr="00890249" w:rsidRDefault="008D0BF8" w:rsidP="005C6AF0">
            <w:pPr>
              <w:spacing w:before="0" w:after="160" w:line="259" w:lineRule="auto"/>
              <w:jc w:val="right"/>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29 000 000</w:t>
            </w:r>
          </w:p>
        </w:tc>
      </w:tr>
    </w:tbl>
    <w:p w14:paraId="275BA3C0" w14:textId="77777777" w:rsidR="00BA20BD" w:rsidRPr="00890249" w:rsidRDefault="00BA20BD" w:rsidP="00BA20BD">
      <w:pPr>
        <w:spacing w:before="0" w:after="160" w:line="259" w:lineRule="auto"/>
        <w:jc w:val="left"/>
        <w:rPr>
          <w:rFonts w:asciiTheme="minorHAnsi" w:hAnsiTheme="minorHAnsi" w:cstheme="minorHAnsi"/>
          <w:b/>
          <w:noProof/>
          <w:sz w:val="22"/>
        </w:rPr>
      </w:pPr>
    </w:p>
    <w:p w14:paraId="01A5B374" w14:textId="77777777" w:rsidR="00BA20BD" w:rsidRPr="00890249" w:rsidRDefault="00BA20BD" w:rsidP="00BA20BD">
      <w:pPr>
        <w:spacing w:before="0" w:after="160" w:line="259" w:lineRule="auto"/>
        <w:jc w:val="left"/>
        <w:rPr>
          <w:rFonts w:asciiTheme="minorHAnsi" w:hAnsiTheme="minorHAnsi" w:cstheme="minorHAnsi"/>
          <w:b/>
          <w:noProof/>
          <w:sz w:val="22"/>
        </w:rPr>
      </w:pPr>
      <w:r w:rsidRPr="00890249">
        <w:rPr>
          <w:rFonts w:asciiTheme="minorHAnsi" w:hAnsiTheme="minorHAnsi" w:cstheme="minorHAnsi"/>
          <w:b/>
          <w:noProof/>
          <w:sz w:val="22"/>
        </w:rPr>
        <w:br w:type="page"/>
      </w:r>
    </w:p>
    <w:p w14:paraId="3791D372" w14:textId="77777777" w:rsidR="004E7F06" w:rsidRPr="00890249" w:rsidRDefault="004E7F06" w:rsidP="00AC1BD0">
      <w:pPr>
        <w:pStyle w:val="Nagwek3"/>
      </w:pPr>
      <w:bookmarkStart w:id="23" w:name="_Toc114257097"/>
      <w:bookmarkStart w:id="24" w:name="_Toc188266917"/>
      <w:r w:rsidRPr="00890249">
        <w:lastRenderedPageBreak/>
        <w:t xml:space="preserve">2.1.10  </w:t>
      </w:r>
      <w:r w:rsidRPr="00890249">
        <w:rPr>
          <w:noProof/>
        </w:rPr>
        <w:t>FUNDUSZE EUROPEJSKIE NA WZMACNIANIE POTENCJAŁÓW ENDOGENICZNYCH OPOLSKIEGO</w:t>
      </w:r>
      <w:bookmarkEnd w:id="23"/>
      <w:bookmarkEnd w:id="24"/>
    </w:p>
    <w:tbl>
      <w:tblPr>
        <w:tblW w:w="9322" w:type="dxa"/>
        <w:tblLook w:val="04A0" w:firstRow="1" w:lastRow="0" w:firstColumn="1" w:lastColumn="0" w:noHBand="0" w:noVBand="1"/>
      </w:tblPr>
      <w:tblGrid>
        <w:gridCol w:w="9322"/>
      </w:tblGrid>
      <w:tr w:rsidR="004E7F06" w:rsidRPr="00890249" w14:paraId="1C181FE9" w14:textId="77777777" w:rsidTr="00B840B2">
        <w:tc>
          <w:tcPr>
            <w:tcW w:w="9322" w:type="dxa"/>
          </w:tcPr>
          <w:p w14:paraId="70698B76" w14:textId="77777777" w:rsidR="004E7F06" w:rsidRPr="00890249" w:rsidRDefault="004E7F06" w:rsidP="00B840B2">
            <w:pPr>
              <w:spacing w:before="0" w:after="0"/>
              <w:jc w:val="left"/>
              <w:rPr>
                <w:rFonts w:asciiTheme="minorHAnsi" w:hAnsiTheme="minorHAnsi" w:cstheme="minorHAnsi"/>
                <w:noProof/>
                <w:sz w:val="20"/>
              </w:rPr>
            </w:pPr>
            <w:r w:rsidRPr="00890249">
              <w:rPr>
                <w:rFonts w:asciiTheme="minorHAnsi" w:hAnsiTheme="minorHAnsi" w:cstheme="minorHAnsi"/>
                <w:noProof/>
                <w:sz w:val="20"/>
              </w:rPr>
              <w:fldChar w:fldCharType="begin">
                <w:ffData>
                  <w:name w:val=""/>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zatrudnienia ludzi młodych</w:t>
            </w:r>
          </w:p>
        </w:tc>
      </w:tr>
      <w:tr w:rsidR="004E7F06" w:rsidRPr="00890249" w14:paraId="0E4B956A" w14:textId="77777777" w:rsidTr="00B840B2">
        <w:tc>
          <w:tcPr>
            <w:tcW w:w="9322" w:type="dxa"/>
          </w:tcPr>
          <w:p w14:paraId="648CF2CD" w14:textId="77777777" w:rsidR="004E7F06" w:rsidRPr="00890249" w:rsidRDefault="004E7F06" w:rsidP="00B840B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inowacyjnych działań społecznych</w:t>
            </w:r>
          </w:p>
        </w:tc>
      </w:tr>
      <w:tr w:rsidR="004E7F06" w:rsidRPr="00890249" w14:paraId="67B4C90E" w14:textId="77777777" w:rsidTr="00B840B2">
        <w:tc>
          <w:tcPr>
            <w:tcW w:w="9322" w:type="dxa"/>
          </w:tcPr>
          <w:p w14:paraId="04AFCF6A" w14:textId="77777777" w:rsidR="004E7F06" w:rsidRPr="00890249" w:rsidRDefault="004E7F06" w:rsidP="00B840B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m) rozporządzenia w sprawie EFS+</w:t>
            </w:r>
          </w:p>
        </w:tc>
      </w:tr>
      <w:tr w:rsidR="004E7F06" w:rsidRPr="00890249" w14:paraId="4BEA9FCD" w14:textId="77777777" w:rsidTr="00B840B2">
        <w:tc>
          <w:tcPr>
            <w:tcW w:w="9322" w:type="dxa"/>
          </w:tcPr>
          <w:p w14:paraId="1D921D18" w14:textId="77777777" w:rsidR="004E7F06" w:rsidRPr="00890249" w:rsidRDefault="004E7F06" w:rsidP="00B840B2">
            <w:pPr>
              <w:spacing w:before="0" w:after="0"/>
              <w:rPr>
                <w:rFonts w:asciiTheme="minorHAnsi" w:hAnsiTheme="minorHAnsi" w:cstheme="minorHAnsi"/>
                <w:noProof/>
                <w:sz w:val="20"/>
                <w:szCs w:val="22"/>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szCs w:val="22"/>
              </w:rPr>
              <w:t xml:space="preserve"> Ten priorytet dotyczy wsparcia dla osób najbardziej potrzebujacych w ramach celu szczegółowego określonego w art. 4 ust. 1 lit. l) rozporządzenia w sprawie EFS+</w:t>
            </w:r>
          </w:p>
          <w:p w14:paraId="0972D0A1" w14:textId="77777777" w:rsidR="004E7F06" w:rsidRPr="00890249" w:rsidRDefault="004E7F06" w:rsidP="00B840B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rPr>
              <w:t xml:space="preserve"> Ten priorytet dotyczy celu szczegółowego w zakresie mobilności miejskiej określonego w art. 3 ust. 1 lit. b) ppkt (viii) rozporządzenia w sprawie EFRR i Funduszu Spójności</w:t>
            </w:r>
          </w:p>
          <w:p w14:paraId="14BA58BA" w14:textId="77777777" w:rsidR="004E7F06" w:rsidRPr="00890249" w:rsidRDefault="004E7F06" w:rsidP="00B840B2">
            <w:pPr>
              <w:spacing w:before="0" w:after="0"/>
              <w:rPr>
                <w:rFonts w:asciiTheme="minorHAnsi" w:hAnsiTheme="minorHAnsi" w:cstheme="minorHAnsi"/>
                <w:noProof/>
                <w:sz w:val="20"/>
              </w:rPr>
            </w:pPr>
            <w:r w:rsidRPr="00890249">
              <w:rPr>
                <w:rFonts w:asciiTheme="minorHAnsi" w:hAnsiTheme="minorHAnsi" w:cstheme="minorHAnsi"/>
                <w:noProof/>
                <w:sz w:val="20"/>
              </w:rPr>
              <w:fldChar w:fldCharType="begin">
                <w:ffData>
                  <w:name w:val="Check2"/>
                  <w:enabled/>
                  <w:calcOnExit w:val="0"/>
                  <w:checkBox>
                    <w:sizeAuto/>
                    <w:default w:val="0"/>
                  </w:checkBox>
                </w:ffData>
              </w:fldChar>
            </w:r>
            <w:r w:rsidRPr="00890249">
              <w:rPr>
                <w:rFonts w:asciiTheme="minorHAnsi" w:hAnsiTheme="minorHAnsi" w:cstheme="minorHAnsi"/>
                <w:noProof/>
                <w:sz w:val="20"/>
              </w:rPr>
              <w:instrText xml:space="preserve"> FORMCHECKBOX </w:instrText>
            </w:r>
            <w:r w:rsidRPr="00890249">
              <w:rPr>
                <w:rFonts w:asciiTheme="minorHAnsi" w:hAnsiTheme="minorHAnsi" w:cstheme="minorHAnsi"/>
                <w:noProof/>
                <w:sz w:val="20"/>
              </w:rPr>
            </w:r>
            <w:r w:rsidRPr="00890249">
              <w:rPr>
                <w:rFonts w:asciiTheme="minorHAnsi" w:hAnsiTheme="minorHAnsi" w:cstheme="minorHAnsi"/>
                <w:noProof/>
                <w:sz w:val="20"/>
              </w:rPr>
              <w:fldChar w:fldCharType="separate"/>
            </w:r>
            <w:r w:rsidRPr="00890249">
              <w:rPr>
                <w:rFonts w:asciiTheme="minorHAnsi" w:hAnsiTheme="minorHAnsi" w:cstheme="minorHAnsi"/>
                <w:noProof/>
                <w:sz w:val="20"/>
              </w:rPr>
              <w:fldChar w:fldCharType="end"/>
            </w:r>
            <w:r w:rsidRPr="00890249">
              <w:rPr>
                <w:rFonts w:asciiTheme="minorHAnsi" w:hAnsiTheme="minorHAnsi" w:cstheme="minorHAnsi"/>
                <w:noProof/>
                <w:sz w:val="20"/>
              </w:rPr>
              <w:t xml:space="preserve"> Ten priorytet dotyczy celu szczegółowego w zakresie łączności cyfrowej określonej w art. 3 ust. 1 lit. a) ppkt (v) rozporządzenia w sprawie EFRR i Funduszu Spójności</w:t>
            </w:r>
          </w:p>
        </w:tc>
      </w:tr>
    </w:tbl>
    <w:p w14:paraId="03015936" w14:textId="77777777" w:rsidR="004E7F06" w:rsidRPr="00890249" w:rsidRDefault="004E7F06" w:rsidP="004E7F06">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t>2.1.10.1 (i) Cel szczegółowy</w:t>
      </w:r>
    </w:p>
    <w:p w14:paraId="65C82902" w14:textId="77777777" w:rsidR="004E7F06" w:rsidRPr="00B90E90" w:rsidRDefault="004E7F06" w:rsidP="004E7F06">
      <w:pPr>
        <w:rPr>
          <w:rFonts w:asciiTheme="minorHAnsi" w:hAnsiTheme="minorHAnsi" w:cstheme="minorHAnsi"/>
          <w:b/>
          <w:noProof/>
          <w:color w:val="2F5496" w:themeColor="accent5" w:themeShade="BF"/>
        </w:rPr>
      </w:pPr>
      <w:r w:rsidRPr="00B90E90">
        <w:rPr>
          <w:rFonts w:asciiTheme="minorHAnsi" w:hAnsiTheme="minorHAnsi" w:cstheme="minorHAnsi"/>
          <w:b/>
          <w:noProof/>
          <w:color w:val="2F5496" w:themeColor="accent5" w:themeShade="BF"/>
          <w:sz w:val="22"/>
        </w:rPr>
        <w:t xml:space="preserve">(i) </w:t>
      </w:r>
      <w:r w:rsidRPr="00B90E90">
        <w:rPr>
          <w:rFonts w:asciiTheme="minorHAnsi" w:hAnsiTheme="minorHAnsi" w:cstheme="minorHAnsi"/>
          <w:b/>
          <w:noProof/>
          <w:color w:val="2F5496" w:themeColor="accent5" w:themeShade="BF"/>
        </w:rPr>
        <w:t>Wspieranie zintegrowanego i sprzyjającego włączeniu społecznemu rozwoju społecznego, gospodarczego i środowiskowego, kultury, dziedzictwa naturalnego, zrównoważonej turystyki i bezpieczeństwa na obszarach miejskich</w:t>
      </w:r>
    </w:p>
    <w:p w14:paraId="4ADA1B01" w14:textId="77777777" w:rsidR="004E7F06" w:rsidRPr="00890249" w:rsidRDefault="004E7F06" w:rsidP="004E7F06">
      <w:pPr>
        <w:rPr>
          <w:rFonts w:asciiTheme="minorHAnsi" w:hAnsiTheme="minorHAnsi" w:cstheme="minorHAnsi"/>
          <w:b/>
          <w:noProof/>
          <w:sz w:val="22"/>
        </w:rPr>
      </w:pPr>
      <w:r w:rsidRPr="00890249">
        <w:rPr>
          <w:rFonts w:asciiTheme="minorHAnsi" w:hAnsiTheme="minorHAnsi" w:cstheme="minorHAnsi"/>
          <w:b/>
          <w:noProof/>
          <w:sz w:val="22"/>
        </w:rPr>
        <w:t>2.1.10.1.1 (i) Interwencje w ramach funduszy</w:t>
      </w:r>
    </w:p>
    <w:p w14:paraId="24065238" w14:textId="16857F71" w:rsidR="0093433C" w:rsidRPr="00890249" w:rsidRDefault="004E7F06">
      <w:pPr>
        <w:rPr>
          <w:rFonts w:asciiTheme="minorHAnsi" w:hAnsiTheme="minorHAnsi" w:cstheme="minorHAnsi"/>
          <w:noProof/>
        </w:rPr>
      </w:pPr>
      <w:r w:rsidRPr="00890249">
        <w:rPr>
          <w:rFonts w:asciiTheme="minorHAnsi" w:hAnsiTheme="minorHAnsi" w:cstheme="minorHAnsi"/>
          <w:b/>
          <w:noProof/>
          <w:color w:val="2F5496" w:themeColor="accent5" w:themeShade="BF"/>
          <w:sz w:val="22"/>
        </w:rPr>
        <w:t>Powiązane rodzaje działań</w:t>
      </w:r>
    </w:p>
    <w:p w14:paraId="34D705ED" w14:textId="2B60FFAC" w:rsidR="0093433C" w:rsidRPr="00890249" w:rsidRDefault="007304DA"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cs</w:t>
      </w:r>
      <w:r w:rsidR="008F2649"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(i) planowane jest wsparcie głównie prorozwojowej i wspólnototwórczej roli kultury i dziedzictwa kulturowego oraz turystyki</w:t>
      </w:r>
      <w:r w:rsidR="00130A6D"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a także procesu rewitalizacji miast. </w:t>
      </w:r>
      <w:r w:rsidR="009B51C6" w:rsidRPr="00890249">
        <w:rPr>
          <w:rFonts w:asciiTheme="minorHAnsi" w:hAnsiTheme="minorHAnsi" w:cstheme="minorHAnsi"/>
          <w:noProof/>
          <w:sz w:val="22"/>
          <w:szCs w:val="22"/>
        </w:rPr>
        <w:t xml:space="preserve">Interwencja skierowana </w:t>
      </w:r>
      <w:r w:rsidRPr="00890249">
        <w:rPr>
          <w:rFonts w:asciiTheme="minorHAnsi" w:hAnsiTheme="minorHAnsi" w:cstheme="minorHAnsi"/>
          <w:noProof/>
          <w:sz w:val="22"/>
          <w:szCs w:val="22"/>
        </w:rPr>
        <w:t xml:space="preserve">będzie na podstawie zdiagnozowanych potrzeb na poziomie JST, które planują wdrażanie zintegrowanych projektów. </w:t>
      </w:r>
    </w:p>
    <w:p w14:paraId="77ABE917" w14:textId="7D841C27" w:rsidR="0093433C" w:rsidRPr="00890249" w:rsidRDefault="007304DA" w:rsidP="00890249">
      <w:pPr>
        <w:pStyle w:val="Tekstpodstawowy"/>
        <w:tabs>
          <w:tab w:val="left" w:pos="735"/>
        </w:tabs>
        <w:rPr>
          <w:rFonts w:asciiTheme="minorHAnsi" w:hAnsiTheme="minorHAnsi" w:cstheme="minorHAnsi"/>
          <w:noProof/>
          <w:sz w:val="22"/>
          <w:szCs w:val="22"/>
        </w:rPr>
      </w:pPr>
      <w:r w:rsidRPr="00890249">
        <w:rPr>
          <w:rFonts w:asciiTheme="minorHAnsi" w:hAnsiTheme="minorHAnsi" w:cstheme="minorHAnsi"/>
          <w:noProof/>
          <w:sz w:val="22"/>
          <w:szCs w:val="22"/>
        </w:rPr>
        <w:t>W</w:t>
      </w:r>
      <w:r w:rsidR="00A43435" w:rsidRPr="00890249">
        <w:rPr>
          <w:rFonts w:asciiTheme="minorHAnsi" w:hAnsiTheme="minorHAnsi" w:cstheme="minorHAnsi"/>
          <w:noProof/>
          <w:sz w:val="22"/>
          <w:szCs w:val="22"/>
        </w:rPr>
        <w:t xml:space="preserve">sparcie </w:t>
      </w:r>
      <w:r w:rsidRPr="00890249">
        <w:rPr>
          <w:rFonts w:asciiTheme="minorHAnsi" w:hAnsiTheme="minorHAnsi" w:cstheme="minorHAnsi"/>
          <w:noProof/>
          <w:sz w:val="22"/>
          <w:szCs w:val="22"/>
        </w:rPr>
        <w:t xml:space="preserve">w CP 5 będzie realizowane w oparciu o </w:t>
      </w:r>
      <w:r w:rsidR="00A43435" w:rsidRPr="00890249">
        <w:rPr>
          <w:rFonts w:asciiTheme="minorHAnsi" w:hAnsiTheme="minorHAnsi" w:cstheme="minorHAnsi"/>
          <w:noProof/>
          <w:sz w:val="22"/>
          <w:szCs w:val="22"/>
        </w:rPr>
        <w:t>instrument</w:t>
      </w:r>
      <w:r w:rsidR="00C57698" w:rsidRPr="00890249">
        <w:rPr>
          <w:rFonts w:asciiTheme="minorHAnsi" w:hAnsiTheme="minorHAnsi" w:cstheme="minorHAnsi"/>
          <w:noProof/>
          <w:sz w:val="22"/>
          <w:szCs w:val="22"/>
        </w:rPr>
        <w:t>y terytorialne</w:t>
      </w:r>
      <w:r w:rsidR="00D939FB" w:rsidRPr="00890249">
        <w:rPr>
          <w:rFonts w:asciiTheme="minorHAnsi" w:hAnsiTheme="minorHAnsi" w:cstheme="minorHAnsi"/>
          <w:noProof/>
          <w:sz w:val="22"/>
          <w:szCs w:val="22"/>
        </w:rPr>
        <w:t>,</w:t>
      </w:r>
      <w:r w:rsidR="00C57698" w:rsidRPr="00890249">
        <w:rPr>
          <w:rFonts w:asciiTheme="minorHAnsi" w:hAnsiTheme="minorHAnsi" w:cstheme="minorHAnsi"/>
          <w:noProof/>
          <w:sz w:val="22"/>
          <w:szCs w:val="22"/>
        </w:rPr>
        <w:t xml:space="preserve"> tj.</w:t>
      </w:r>
      <w:r w:rsidR="00A43435" w:rsidRPr="00890249">
        <w:rPr>
          <w:rFonts w:asciiTheme="minorHAnsi" w:hAnsiTheme="minorHAnsi" w:cstheme="minorHAnsi"/>
          <w:noProof/>
          <w:sz w:val="22"/>
          <w:szCs w:val="22"/>
        </w:rPr>
        <w:t xml:space="preserve"> ZIT </w:t>
      </w:r>
      <w:r w:rsidR="00AF1C69" w:rsidRPr="00890249">
        <w:rPr>
          <w:rFonts w:asciiTheme="minorHAnsi" w:hAnsiTheme="minorHAnsi" w:cstheme="minorHAnsi"/>
          <w:noProof/>
          <w:sz w:val="22"/>
          <w:szCs w:val="22"/>
        </w:rPr>
        <w:t>oraz IIT</w:t>
      </w:r>
      <w:r w:rsidRPr="00890249">
        <w:rPr>
          <w:rFonts w:asciiTheme="minorHAnsi" w:hAnsiTheme="minorHAnsi" w:cstheme="minorHAnsi"/>
          <w:noProof/>
          <w:sz w:val="22"/>
          <w:szCs w:val="22"/>
        </w:rPr>
        <w:t xml:space="preserve">, które </w:t>
      </w:r>
      <w:r w:rsidR="00A43435" w:rsidRPr="00890249">
        <w:rPr>
          <w:rFonts w:asciiTheme="minorHAnsi" w:hAnsiTheme="minorHAnsi" w:cstheme="minorHAnsi"/>
          <w:noProof/>
          <w:sz w:val="22"/>
          <w:szCs w:val="22"/>
        </w:rPr>
        <w:t>zostan</w:t>
      </w:r>
      <w:r w:rsidRPr="00890249">
        <w:rPr>
          <w:rFonts w:asciiTheme="minorHAnsi" w:hAnsiTheme="minorHAnsi" w:cstheme="minorHAnsi"/>
          <w:noProof/>
          <w:sz w:val="22"/>
          <w:szCs w:val="22"/>
        </w:rPr>
        <w:t>ą</w:t>
      </w:r>
      <w:r w:rsidR="00A43435" w:rsidRPr="00890249">
        <w:rPr>
          <w:rFonts w:asciiTheme="minorHAnsi" w:hAnsiTheme="minorHAnsi" w:cstheme="minorHAnsi"/>
          <w:noProof/>
          <w:sz w:val="22"/>
          <w:szCs w:val="22"/>
        </w:rPr>
        <w:t xml:space="preserve"> uzupełnione o odpowiednie działania z CP2</w:t>
      </w:r>
      <w:r w:rsidR="006A1272" w:rsidRPr="00890249">
        <w:rPr>
          <w:rFonts w:asciiTheme="minorHAnsi" w:hAnsiTheme="minorHAnsi" w:cstheme="minorHAnsi"/>
          <w:noProof/>
          <w:sz w:val="22"/>
          <w:szCs w:val="22"/>
        </w:rPr>
        <w:t xml:space="preserve">, CP3 i </w:t>
      </w:r>
      <w:r w:rsidR="00A43435" w:rsidRPr="00890249">
        <w:rPr>
          <w:rFonts w:asciiTheme="minorHAnsi" w:hAnsiTheme="minorHAnsi" w:cstheme="minorHAnsi"/>
          <w:noProof/>
          <w:sz w:val="22"/>
          <w:szCs w:val="22"/>
        </w:rPr>
        <w:t xml:space="preserve">CP4.  </w:t>
      </w:r>
    </w:p>
    <w:p w14:paraId="16AAF5DB" w14:textId="287E2E77" w:rsidR="0093433C" w:rsidRPr="00890249" w:rsidRDefault="4E3F7BA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w:t>
      </w:r>
      <w:r w:rsidR="6C2D17F9" w:rsidRPr="00890249">
        <w:rPr>
          <w:rFonts w:asciiTheme="minorHAnsi" w:hAnsiTheme="minorHAnsi" w:cstheme="minorHAnsi"/>
          <w:noProof/>
          <w:sz w:val="22"/>
          <w:szCs w:val="22"/>
        </w:rPr>
        <w:t>rojekt</w:t>
      </w:r>
      <w:r w:rsidRPr="00890249">
        <w:rPr>
          <w:rFonts w:asciiTheme="minorHAnsi" w:hAnsiTheme="minorHAnsi" w:cstheme="minorHAnsi"/>
          <w:noProof/>
          <w:sz w:val="22"/>
          <w:szCs w:val="22"/>
        </w:rPr>
        <w:t>y</w:t>
      </w:r>
      <w:r w:rsidR="6C2D17F9" w:rsidRPr="00890249">
        <w:rPr>
          <w:rFonts w:asciiTheme="minorHAnsi" w:hAnsiTheme="minorHAnsi" w:cstheme="minorHAnsi"/>
          <w:noProof/>
          <w:sz w:val="22"/>
          <w:szCs w:val="22"/>
        </w:rPr>
        <w:t xml:space="preserve"> turystyczn</w:t>
      </w:r>
      <w:r w:rsidRPr="00890249">
        <w:rPr>
          <w:rFonts w:asciiTheme="minorHAnsi" w:hAnsiTheme="minorHAnsi" w:cstheme="minorHAnsi"/>
          <w:noProof/>
          <w:sz w:val="22"/>
          <w:szCs w:val="22"/>
        </w:rPr>
        <w:t>e</w:t>
      </w:r>
      <w:r w:rsidR="6C2D17F9" w:rsidRPr="00890249">
        <w:rPr>
          <w:rFonts w:asciiTheme="minorHAnsi" w:hAnsiTheme="minorHAnsi" w:cstheme="minorHAnsi"/>
          <w:noProof/>
          <w:sz w:val="22"/>
          <w:szCs w:val="22"/>
        </w:rPr>
        <w:t xml:space="preserve"> mus</w:t>
      </w:r>
      <w:r w:rsidRPr="00890249">
        <w:rPr>
          <w:rFonts w:asciiTheme="minorHAnsi" w:hAnsiTheme="minorHAnsi" w:cstheme="minorHAnsi"/>
          <w:noProof/>
          <w:sz w:val="22"/>
          <w:szCs w:val="22"/>
        </w:rPr>
        <w:t>zą</w:t>
      </w:r>
      <w:r w:rsidR="6C2D17F9" w:rsidRPr="00890249">
        <w:rPr>
          <w:rFonts w:asciiTheme="minorHAnsi" w:hAnsiTheme="minorHAnsi" w:cstheme="minorHAnsi"/>
          <w:noProof/>
          <w:sz w:val="22"/>
          <w:szCs w:val="22"/>
        </w:rPr>
        <w:t xml:space="preserve"> mieć charakter zintegrowany, tj. </w:t>
      </w:r>
      <w:r w:rsidR="6E5C5A76" w:rsidRPr="00890249">
        <w:rPr>
          <w:rFonts w:asciiTheme="minorHAnsi" w:hAnsiTheme="minorHAnsi" w:cstheme="minorHAnsi"/>
          <w:noProof/>
          <w:sz w:val="22"/>
          <w:szCs w:val="22"/>
        </w:rPr>
        <w:t>muszą</w:t>
      </w:r>
      <w:r w:rsidR="173C53C0" w:rsidRPr="00890249">
        <w:rPr>
          <w:rFonts w:asciiTheme="minorHAnsi" w:hAnsiTheme="minorHAnsi" w:cstheme="minorHAnsi"/>
          <w:noProof/>
          <w:sz w:val="22"/>
          <w:szCs w:val="22"/>
        </w:rPr>
        <w:t xml:space="preserve"> </w:t>
      </w:r>
      <w:r w:rsidR="6C2D17F9" w:rsidRPr="00890249">
        <w:rPr>
          <w:rFonts w:asciiTheme="minorHAnsi" w:hAnsiTheme="minorHAnsi" w:cstheme="minorHAnsi"/>
          <w:noProof/>
          <w:sz w:val="22"/>
          <w:szCs w:val="22"/>
        </w:rPr>
        <w:t>zakładać oddziaływanie na gospodarkę, środowisko i życie społeczne w regionie (np. rynek pracy, przedsiębiorczość, ochronę przyrody, edukację lub włączenie społeczne). Inwestycje w kulturę i turystykę będą respektować zasadę zrównoważonego oddziaływania na środowisko, potrzebę rozwoju cyfrowego, zasadę dostępności dla osób ze specjalnymi potrzebami, zasadę stabilności i efektywności finansowej oraz odporności na kryzys. Elementem inwestycji będzie dążenie do osiągnięcia neutralności klimatycznej projektowanej infrastruktury</w:t>
      </w:r>
      <w:r w:rsidR="1F7F7E90" w:rsidRPr="00890249">
        <w:rPr>
          <w:rFonts w:asciiTheme="minorHAnsi" w:hAnsiTheme="minorHAnsi" w:cstheme="minorHAnsi"/>
          <w:noProof/>
          <w:sz w:val="22"/>
          <w:szCs w:val="22"/>
        </w:rPr>
        <w:t>. Warunkiem koniecznym jest t</w:t>
      </w:r>
      <w:r w:rsidR="6C2D17F9" w:rsidRPr="00890249">
        <w:rPr>
          <w:rFonts w:asciiTheme="minorHAnsi" w:hAnsiTheme="minorHAnsi" w:cstheme="minorHAnsi"/>
          <w:noProof/>
          <w:sz w:val="22"/>
          <w:szCs w:val="22"/>
        </w:rPr>
        <w:t>e</w:t>
      </w:r>
      <w:r w:rsidR="1F7F7E90" w:rsidRPr="00890249">
        <w:rPr>
          <w:rFonts w:asciiTheme="minorHAnsi" w:hAnsiTheme="minorHAnsi" w:cstheme="minorHAnsi"/>
          <w:noProof/>
          <w:sz w:val="22"/>
          <w:szCs w:val="22"/>
        </w:rPr>
        <w:t>ż</w:t>
      </w:r>
      <w:r w:rsidR="6C2D17F9" w:rsidRPr="00890249">
        <w:rPr>
          <w:rFonts w:asciiTheme="minorHAnsi" w:hAnsiTheme="minorHAnsi" w:cstheme="minorHAnsi"/>
          <w:noProof/>
          <w:sz w:val="22"/>
          <w:szCs w:val="22"/>
        </w:rPr>
        <w:t xml:space="preserve"> zapewnienie skut</w:t>
      </w:r>
      <w:r w:rsidR="5A3D53D2" w:rsidRPr="00890249">
        <w:rPr>
          <w:rFonts w:asciiTheme="minorHAnsi" w:hAnsiTheme="minorHAnsi" w:cstheme="minorHAnsi"/>
          <w:noProof/>
          <w:sz w:val="22"/>
          <w:szCs w:val="22"/>
        </w:rPr>
        <w:t>eczności i trwałości inwestycji</w:t>
      </w:r>
      <w:r w:rsidR="005A0597" w:rsidRPr="00890249">
        <w:rPr>
          <w:rFonts w:asciiTheme="minorHAnsi" w:hAnsiTheme="minorHAnsi" w:cstheme="minorHAnsi"/>
          <w:noProof/>
          <w:sz w:val="22"/>
          <w:szCs w:val="22"/>
          <w:vertAlign w:val="superscript"/>
        </w:rPr>
        <w:footnoteReference w:id="226"/>
      </w:r>
      <w:r w:rsidR="5A3D53D2" w:rsidRPr="00890249">
        <w:rPr>
          <w:rFonts w:asciiTheme="minorHAnsi" w:hAnsiTheme="minorHAnsi" w:cstheme="minorHAnsi"/>
          <w:noProof/>
          <w:sz w:val="22"/>
          <w:szCs w:val="22"/>
        </w:rPr>
        <w:t>.</w:t>
      </w:r>
      <w:r w:rsidR="6C2D17F9" w:rsidRPr="00890249">
        <w:rPr>
          <w:rFonts w:asciiTheme="minorHAnsi" w:hAnsiTheme="minorHAnsi" w:cstheme="minorHAnsi"/>
          <w:noProof/>
          <w:sz w:val="22"/>
          <w:szCs w:val="22"/>
        </w:rPr>
        <w:t xml:space="preserve"> </w:t>
      </w:r>
    </w:p>
    <w:p w14:paraId="0EA108B5" w14:textId="42BF5431" w:rsidR="0093433C" w:rsidRPr="00890249" w:rsidRDefault="29BA962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Wsparcie powinno być ukierunkowane na projekty turystyczne, które są: poparte odpowiednią analizą popytu i oceną potrzeb, aby ograniczyć ryzyko nieskuteczności; skoordynowane z</w:t>
      </w:r>
      <w:r w:rsidR="0B02C3C1" w:rsidRPr="00890249">
        <w:rPr>
          <w:rFonts w:asciiTheme="minorHAnsi" w:hAnsiTheme="minorHAnsi" w:cstheme="minorHAnsi"/>
          <w:noProof/>
          <w:sz w:val="22"/>
          <w:szCs w:val="22"/>
        </w:rPr>
        <w:t> </w:t>
      </w:r>
      <w:r w:rsidRPr="00890249">
        <w:rPr>
          <w:rFonts w:asciiTheme="minorHAnsi" w:hAnsiTheme="minorHAnsi" w:cstheme="minorHAnsi"/>
          <w:noProof/>
          <w:sz w:val="22"/>
          <w:szCs w:val="22"/>
        </w:rPr>
        <w:t>projektami w sąsiednich obszarach, aby uniknąć powielania i konkurencji; oddziaływ</w:t>
      </w:r>
      <w:r w:rsidR="155F8EFA" w:rsidRPr="00890249">
        <w:rPr>
          <w:rFonts w:asciiTheme="minorHAnsi" w:hAnsiTheme="minorHAnsi" w:cstheme="minorHAnsi"/>
          <w:noProof/>
          <w:sz w:val="22"/>
          <w:szCs w:val="22"/>
        </w:rPr>
        <w:t>u</w:t>
      </w:r>
      <w:r w:rsidRPr="00890249">
        <w:rPr>
          <w:rFonts w:asciiTheme="minorHAnsi" w:hAnsiTheme="minorHAnsi" w:cstheme="minorHAnsi"/>
          <w:noProof/>
          <w:sz w:val="22"/>
          <w:szCs w:val="22"/>
        </w:rPr>
        <w:t>ją w sposób wykraczający poza sam projekt na stymulowanie działalności turystycznej w regionie, są trwałe i będą odpowiednio utrzymane po ich zakończeniu</w:t>
      </w:r>
      <w:r w:rsidR="00322E74" w:rsidRPr="00890249">
        <w:rPr>
          <w:rStyle w:val="Odwoanieprzypisudolnego"/>
          <w:rFonts w:asciiTheme="minorHAnsi" w:hAnsiTheme="minorHAnsi" w:cstheme="minorHAnsi"/>
          <w:bCs/>
          <w:noProof/>
          <w:sz w:val="22"/>
          <w:szCs w:val="22"/>
        </w:rPr>
        <w:footnoteReference w:id="227"/>
      </w:r>
      <w:r w:rsidRPr="00890249">
        <w:rPr>
          <w:rFonts w:asciiTheme="minorHAnsi" w:hAnsiTheme="minorHAnsi" w:cstheme="minorHAnsi"/>
          <w:noProof/>
          <w:sz w:val="22"/>
          <w:szCs w:val="22"/>
        </w:rPr>
        <w:t>.</w:t>
      </w:r>
    </w:p>
    <w:p w14:paraId="38C0BD69" w14:textId="410DC141" w:rsidR="0093433C" w:rsidRPr="00890249" w:rsidRDefault="005A059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realizacji projektów zostaną wykorzystane materiały i</w:t>
      </w:r>
      <w:r w:rsidR="006D1CA8" w:rsidRPr="00890249">
        <w:rPr>
          <w:rFonts w:asciiTheme="minorHAnsi" w:hAnsiTheme="minorHAnsi" w:cstheme="minorHAnsi"/>
          <w:noProof/>
          <w:sz w:val="22"/>
          <w:szCs w:val="22"/>
        </w:rPr>
        <w:t xml:space="preserve"> technologie umożliwiające maks. </w:t>
      </w:r>
      <w:r w:rsidRPr="00890249">
        <w:rPr>
          <w:rFonts w:asciiTheme="minorHAnsi" w:hAnsiTheme="minorHAnsi" w:cstheme="minorHAnsi"/>
          <w:noProof/>
          <w:sz w:val="22"/>
          <w:szCs w:val="22"/>
        </w:rPr>
        <w:t xml:space="preserve">obniżenie zapotrzebowania energetycznego, w przypadku zabytków z uwzględnieniem wymogów konserwatorskich. </w:t>
      </w:r>
      <w:r w:rsidR="006D1CA8" w:rsidRPr="00890249">
        <w:rPr>
          <w:rFonts w:asciiTheme="minorHAnsi" w:hAnsiTheme="minorHAnsi" w:cstheme="minorHAnsi"/>
          <w:noProof/>
          <w:sz w:val="22"/>
          <w:szCs w:val="22"/>
        </w:rPr>
        <w:t>P</w:t>
      </w:r>
      <w:r w:rsidRPr="00890249">
        <w:rPr>
          <w:rFonts w:asciiTheme="minorHAnsi" w:hAnsiTheme="minorHAnsi" w:cstheme="minorHAnsi"/>
          <w:noProof/>
          <w:sz w:val="22"/>
          <w:szCs w:val="22"/>
        </w:rPr>
        <w:t>rojekty będą wpływać na efektywność energetyczną oraz przyczyniać się</w:t>
      </w:r>
      <w:r w:rsidR="006D1CA8" w:rsidRPr="00890249">
        <w:rPr>
          <w:rFonts w:asciiTheme="minorHAnsi" w:hAnsiTheme="minorHAnsi" w:cstheme="minorHAnsi"/>
          <w:noProof/>
          <w:sz w:val="22"/>
          <w:szCs w:val="22"/>
        </w:rPr>
        <w:t xml:space="preserve"> do osiągnięcia celów polityki </w:t>
      </w:r>
      <w:r w:rsidRPr="00890249">
        <w:rPr>
          <w:rFonts w:asciiTheme="minorHAnsi" w:hAnsiTheme="minorHAnsi" w:cstheme="minorHAnsi"/>
          <w:noProof/>
          <w:sz w:val="22"/>
          <w:szCs w:val="22"/>
        </w:rPr>
        <w:t xml:space="preserve">w zakresie zmian klimatu. Zastosowane rozwiązania pozwolą też na </w:t>
      </w:r>
      <w:r w:rsidRPr="00890249">
        <w:rPr>
          <w:rFonts w:asciiTheme="minorHAnsi" w:hAnsiTheme="minorHAnsi" w:cstheme="minorHAnsi"/>
          <w:noProof/>
          <w:sz w:val="22"/>
          <w:szCs w:val="22"/>
        </w:rPr>
        <w:lastRenderedPageBreak/>
        <w:t>zmniejszenie energochłonności obiektów, co wpłynie na zmniejszenie kosztów utrzymania instytucji kultury.</w:t>
      </w:r>
      <w:r w:rsidRPr="00890249">
        <w:rPr>
          <w:rFonts w:asciiTheme="minorHAnsi" w:hAnsiTheme="minorHAnsi" w:cstheme="minorHAnsi"/>
          <w:b/>
          <w:noProof/>
          <w:sz w:val="22"/>
          <w:szCs w:val="22"/>
        </w:rPr>
        <w:t xml:space="preserve"> </w:t>
      </w:r>
      <w:r w:rsidRPr="00890249">
        <w:rPr>
          <w:rFonts w:asciiTheme="minorHAnsi" w:hAnsiTheme="minorHAnsi" w:cstheme="minorHAnsi"/>
          <w:noProof/>
          <w:sz w:val="22"/>
          <w:szCs w:val="22"/>
        </w:rPr>
        <w:t xml:space="preserve">Zwiększony zostanie </w:t>
      </w:r>
      <w:r w:rsidR="0076766C" w:rsidRPr="00890249">
        <w:rPr>
          <w:rFonts w:asciiTheme="minorHAnsi" w:hAnsiTheme="minorHAnsi" w:cstheme="minorHAnsi"/>
          <w:noProof/>
          <w:sz w:val="22"/>
          <w:szCs w:val="22"/>
        </w:rPr>
        <w:t xml:space="preserve">również </w:t>
      </w:r>
      <w:r w:rsidRPr="00890249">
        <w:rPr>
          <w:rFonts w:asciiTheme="minorHAnsi" w:hAnsiTheme="minorHAnsi" w:cstheme="minorHAnsi"/>
          <w:noProof/>
          <w:sz w:val="22"/>
          <w:szCs w:val="22"/>
        </w:rPr>
        <w:t>nacisk na wykorzystanie technologii</w:t>
      </w:r>
      <w:r w:rsidR="00B94BFF" w:rsidRPr="00890249">
        <w:rPr>
          <w:rFonts w:asciiTheme="minorHAnsi" w:hAnsiTheme="minorHAnsi" w:cstheme="minorHAnsi"/>
          <w:noProof/>
          <w:sz w:val="22"/>
          <w:szCs w:val="22"/>
        </w:rPr>
        <w:t xml:space="preserve"> cyfrowych</w:t>
      </w:r>
      <w:r w:rsidRPr="00890249">
        <w:rPr>
          <w:rFonts w:asciiTheme="minorHAnsi" w:hAnsiTheme="minorHAnsi" w:cstheme="minorHAnsi"/>
          <w:noProof/>
          <w:sz w:val="22"/>
          <w:szCs w:val="22"/>
        </w:rPr>
        <w:t>.</w:t>
      </w:r>
    </w:p>
    <w:p w14:paraId="51644DDF" w14:textId="580A07E0" w:rsidR="0093433C" w:rsidRPr="00890249" w:rsidRDefault="1F7F7E90"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Celem projektów rewitalizacyjnych</w:t>
      </w:r>
      <w:r w:rsidR="3A8AD63E" w:rsidRPr="00890249">
        <w:rPr>
          <w:rFonts w:asciiTheme="minorHAnsi" w:hAnsiTheme="minorHAnsi" w:cstheme="minorHAnsi"/>
          <w:noProof/>
          <w:sz w:val="22"/>
          <w:szCs w:val="22"/>
        </w:rPr>
        <w:t>, których podstawą będ</w:t>
      </w:r>
      <w:r w:rsidR="79324F98" w:rsidRPr="00890249">
        <w:rPr>
          <w:rFonts w:asciiTheme="minorHAnsi" w:hAnsiTheme="minorHAnsi" w:cstheme="minorHAnsi"/>
          <w:noProof/>
          <w:sz w:val="22"/>
          <w:szCs w:val="22"/>
        </w:rPr>
        <w:t>ą</w:t>
      </w:r>
      <w:r w:rsidR="3A8AD63E" w:rsidRPr="00890249">
        <w:rPr>
          <w:rFonts w:asciiTheme="minorHAnsi" w:hAnsiTheme="minorHAnsi" w:cstheme="minorHAnsi"/>
          <w:noProof/>
          <w:sz w:val="22"/>
          <w:szCs w:val="22"/>
        </w:rPr>
        <w:t xml:space="preserve"> GPR-y</w:t>
      </w:r>
      <w:r w:rsidR="00D6053C" w:rsidRPr="00890249">
        <w:rPr>
          <w:rStyle w:val="Odwoanieprzypisudolnego"/>
          <w:rFonts w:asciiTheme="minorHAnsi" w:hAnsiTheme="minorHAnsi" w:cstheme="minorHAnsi"/>
          <w:noProof/>
          <w:sz w:val="22"/>
          <w:szCs w:val="22"/>
        </w:rPr>
        <w:footnoteReference w:id="228"/>
      </w:r>
      <w:r w:rsidR="00D939FB"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winno być zmniejszanie zróżnicowań wewnątrzmiejskich, wzmacnianie powiązań między obszarami miejskimi i wiejskimi, a</w:t>
      </w:r>
      <w:r w:rsidR="3A8AD63E" w:rsidRPr="00890249">
        <w:rPr>
          <w:rFonts w:asciiTheme="minorHAnsi" w:hAnsiTheme="minorHAnsi" w:cstheme="minorHAnsi"/>
          <w:noProof/>
          <w:sz w:val="22"/>
          <w:szCs w:val="22"/>
        </w:rPr>
        <w:t> </w:t>
      </w:r>
      <w:r w:rsidRPr="00890249">
        <w:rPr>
          <w:rFonts w:asciiTheme="minorHAnsi" w:hAnsiTheme="minorHAnsi" w:cstheme="minorHAnsi"/>
          <w:noProof/>
          <w:sz w:val="22"/>
          <w:szCs w:val="22"/>
        </w:rPr>
        <w:t>także poprawa warunków i jakości życia na obszarach zdegradowanych.</w:t>
      </w:r>
      <w:r w:rsidR="3A8AD63E" w:rsidRPr="00890249">
        <w:rPr>
          <w:rFonts w:asciiTheme="minorHAnsi" w:hAnsiTheme="minorHAnsi" w:cstheme="minorHAnsi"/>
          <w:noProof/>
          <w:sz w:val="22"/>
          <w:szCs w:val="22"/>
        </w:rPr>
        <w:t xml:space="preserve"> Proces ten będzie kompleksowy, poprzez zintegrowane działania na rzecz lokalnej społeczności, przestrzeni i gospodarki, skoncentrowan</w:t>
      </w:r>
      <w:r w:rsidR="79324F98" w:rsidRPr="00890249">
        <w:rPr>
          <w:rFonts w:asciiTheme="minorHAnsi" w:hAnsiTheme="minorHAnsi" w:cstheme="minorHAnsi"/>
          <w:noProof/>
          <w:sz w:val="22"/>
          <w:szCs w:val="22"/>
        </w:rPr>
        <w:t>y</w:t>
      </w:r>
      <w:r w:rsidR="3A8AD63E" w:rsidRPr="00890249">
        <w:rPr>
          <w:rFonts w:asciiTheme="minorHAnsi" w:hAnsiTheme="minorHAnsi" w:cstheme="minorHAnsi"/>
          <w:noProof/>
          <w:sz w:val="22"/>
          <w:szCs w:val="22"/>
        </w:rPr>
        <w:t xml:space="preserve"> terytorialnie, prowadzon</w:t>
      </w:r>
      <w:r w:rsidR="79324F98" w:rsidRPr="00890249">
        <w:rPr>
          <w:rFonts w:asciiTheme="minorHAnsi" w:hAnsiTheme="minorHAnsi" w:cstheme="minorHAnsi"/>
          <w:noProof/>
          <w:sz w:val="22"/>
          <w:szCs w:val="22"/>
        </w:rPr>
        <w:t>y</w:t>
      </w:r>
      <w:r w:rsidR="3A8AD63E" w:rsidRPr="00890249">
        <w:rPr>
          <w:rFonts w:asciiTheme="minorHAnsi" w:hAnsiTheme="minorHAnsi" w:cstheme="minorHAnsi"/>
          <w:noProof/>
          <w:sz w:val="22"/>
          <w:szCs w:val="22"/>
        </w:rPr>
        <w:t xml:space="preserve"> przez interesariuszy rewitalizacji.</w:t>
      </w:r>
    </w:p>
    <w:p w14:paraId="3F18581A" w14:textId="13DCF804" w:rsidR="0093433C" w:rsidRPr="00890249" w:rsidRDefault="006D1CA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Należy szczególnie zadbać o zachowanie i rozwój zielonej infrastruktury, zwłaszcza ochronę drzew w</w:t>
      </w:r>
      <w:r w:rsidR="0055099D" w:rsidRPr="00890249">
        <w:rPr>
          <w:rFonts w:asciiTheme="minorHAnsi" w:hAnsiTheme="minorHAnsi" w:cstheme="minorHAnsi"/>
          <w:noProof/>
          <w:sz w:val="22"/>
          <w:szCs w:val="22"/>
        </w:rPr>
        <w:t> </w:t>
      </w:r>
      <w:r w:rsidRPr="00890249">
        <w:rPr>
          <w:rFonts w:asciiTheme="minorHAnsi" w:hAnsiTheme="minorHAnsi" w:cstheme="minorHAnsi"/>
          <w:noProof/>
          <w:sz w:val="22"/>
          <w:szCs w:val="22"/>
        </w:rPr>
        <w:t>całym cyklu projektowym, w tym poprzez stosowanie standardów ochrony zieleni. Mając na uwadze potrzebę adaptacji obszarów miejskich do zmiany klimatu, należy dążyć również do zwiększania powierzchni biologicznie czynnych i unikanie tworzenia powierzchni uszczelnionych.</w:t>
      </w:r>
    </w:p>
    <w:p w14:paraId="18629445" w14:textId="1F236A8D" w:rsidR="0093433C" w:rsidRPr="00890249" w:rsidRDefault="006D1CA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Działania rewitalizacyjne powinny w sposób zintegrowany uwzględniać potrzeby i potencjały wskazane w GPR dla </w:t>
      </w:r>
      <w:r w:rsidR="00322E74" w:rsidRPr="00890249">
        <w:rPr>
          <w:rFonts w:asciiTheme="minorHAnsi" w:hAnsiTheme="minorHAnsi" w:cstheme="minorHAnsi"/>
          <w:noProof/>
          <w:sz w:val="22"/>
          <w:szCs w:val="22"/>
        </w:rPr>
        <w:t xml:space="preserve">obszarów </w:t>
      </w:r>
      <w:r w:rsidRPr="00890249">
        <w:rPr>
          <w:rFonts w:asciiTheme="minorHAnsi" w:hAnsiTheme="minorHAnsi" w:cstheme="minorHAnsi"/>
          <w:noProof/>
          <w:sz w:val="22"/>
          <w:szCs w:val="22"/>
        </w:rPr>
        <w:t>poddawanych rewitalizacji, uwzględniając gł. cele włączenia społecznego, ubóstwa energetycznego i czystego powietrza, w tym zapewnienie m</w:t>
      </w:r>
      <w:r w:rsidR="00B94BFF" w:rsidRPr="00890249">
        <w:rPr>
          <w:rFonts w:asciiTheme="minorHAnsi" w:hAnsiTheme="minorHAnsi" w:cstheme="minorHAnsi"/>
          <w:noProof/>
          <w:sz w:val="22"/>
          <w:szCs w:val="22"/>
        </w:rPr>
        <w:t>.</w:t>
      </w:r>
      <w:r w:rsidRPr="00890249">
        <w:rPr>
          <w:rFonts w:asciiTheme="minorHAnsi" w:hAnsiTheme="minorHAnsi" w:cstheme="minorHAnsi"/>
          <w:noProof/>
          <w:sz w:val="22"/>
          <w:szCs w:val="22"/>
        </w:rPr>
        <w:t>in. standardów efektywności energetycznej budynków.</w:t>
      </w:r>
    </w:p>
    <w:p w14:paraId="39F67604" w14:textId="05DC74BA" w:rsidR="0093433C" w:rsidRPr="00890249" w:rsidRDefault="003E6D73" w:rsidP="00890249">
      <w:pPr>
        <w:pStyle w:val="Tekstpodstawowy"/>
        <w:rPr>
          <w:rFonts w:asciiTheme="minorHAnsi" w:hAnsiTheme="minorHAnsi" w:cstheme="minorHAnsi"/>
          <w:noProof/>
          <w:sz w:val="22"/>
          <w:szCs w:val="22"/>
        </w:rPr>
      </w:pPr>
      <w:r>
        <w:rPr>
          <w:rFonts w:asciiTheme="minorHAnsi" w:hAnsiTheme="minorHAnsi" w:cstheme="minorHAnsi"/>
          <w:noProof/>
          <w:sz w:val="22"/>
          <w:szCs w:val="22"/>
        </w:rPr>
        <w:t>Dział</w:t>
      </w:r>
      <w:r w:rsidR="002B468B" w:rsidRPr="00890249">
        <w:rPr>
          <w:rFonts w:asciiTheme="minorHAnsi" w:hAnsiTheme="minorHAnsi" w:cstheme="minorHAnsi"/>
          <w:noProof/>
          <w:sz w:val="22"/>
          <w:szCs w:val="22"/>
        </w:rPr>
        <w:t xml:space="preserve">ania wynikajace ze strategii terytorialnych ZIT mogą być realizowane w ramach Europejskiej Inicjatywy Spolecznej (EIS) koncentrującej </w:t>
      </w:r>
      <w:r w:rsidR="006D1CA8" w:rsidRPr="00890249">
        <w:rPr>
          <w:rFonts w:asciiTheme="minorHAnsi" w:hAnsiTheme="minorHAnsi" w:cstheme="minorHAnsi"/>
          <w:noProof/>
          <w:sz w:val="22"/>
          <w:szCs w:val="22"/>
        </w:rPr>
        <w:t>się na obszarach lokalnych oraz zwiększ</w:t>
      </w:r>
      <w:r w:rsidR="002B468B" w:rsidRPr="00890249">
        <w:rPr>
          <w:rFonts w:asciiTheme="minorHAnsi" w:hAnsiTheme="minorHAnsi" w:cstheme="minorHAnsi"/>
          <w:noProof/>
          <w:sz w:val="22"/>
          <w:szCs w:val="22"/>
        </w:rPr>
        <w:t>ajacej</w:t>
      </w:r>
      <w:r w:rsidR="006D1CA8" w:rsidRPr="00890249">
        <w:rPr>
          <w:rFonts w:asciiTheme="minorHAnsi" w:hAnsiTheme="minorHAnsi" w:cstheme="minorHAnsi"/>
          <w:noProof/>
          <w:sz w:val="22"/>
          <w:szCs w:val="22"/>
        </w:rPr>
        <w:t xml:space="preserve"> partycypację społeczną mieszkańców</w:t>
      </w:r>
      <w:r w:rsidR="002B468B" w:rsidRPr="00890249">
        <w:rPr>
          <w:rFonts w:asciiTheme="minorHAnsi" w:hAnsiTheme="minorHAnsi" w:cstheme="minorHAnsi"/>
          <w:noProof/>
          <w:sz w:val="22"/>
          <w:szCs w:val="22"/>
        </w:rPr>
        <w:t>.</w:t>
      </w:r>
      <w:r w:rsidR="006D1CA8" w:rsidRPr="00890249">
        <w:rPr>
          <w:rFonts w:asciiTheme="minorHAnsi" w:hAnsiTheme="minorHAnsi" w:cstheme="minorHAnsi"/>
          <w:noProof/>
          <w:sz w:val="22"/>
          <w:szCs w:val="22"/>
        </w:rPr>
        <w:t xml:space="preserve"> </w:t>
      </w:r>
    </w:p>
    <w:p w14:paraId="71654821" w14:textId="6E7BCAE2" w:rsidR="0093433C" w:rsidRPr="00890249" w:rsidRDefault="006D1CA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EI</w:t>
      </w:r>
      <w:r w:rsidR="00470D97" w:rsidRPr="00890249">
        <w:rPr>
          <w:rFonts w:asciiTheme="minorHAnsi" w:hAnsiTheme="minorHAnsi" w:cstheme="minorHAnsi"/>
          <w:noProof/>
          <w:sz w:val="22"/>
          <w:szCs w:val="22"/>
        </w:rPr>
        <w:t>S</w:t>
      </w:r>
      <w:r w:rsidRPr="00890249">
        <w:rPr>
          <w:rFonts w:asciiTheme="minorHAnsi" w:hAnsiTheme="minorHAnsi" w:cstheme="minorHAnsi"/>
          <w:noProof/>
          <w:sz w:val="22"/>
          <w:szCs w:val="22"/>
        </w:rPr>
        <w:t xml:space="preserve"> realizowane będą </w:t>
      </w:r>
      <w:r w:rsidR="002B468B" w:rsidRPr="00890249">
        <w:rPr>
          <w:rFonts w:asciiTheme="minorHAnsi" w:hAnsiTheme="minorHAnsi" w:cstheme="minorHAnsi"/>
          <w:noProof/>
          <w:sz w:val="22"/>
          <w:szCs w:val="22"/>
        </w:rPr>
        <w:t xml:space="preserve">mogły być </w:t>
      </w:r>
      <w:r w:rsidRPr="00890249">
        <w:rPr>
          <w:rFonts w:asciiTheme="minorHAnsi" w:hAnsiTheme="minorHAnsi" w:cstheme="minorHAnsi"/>
          <w:noProof/>
          <w:sz w:val="22"/>
          <w:szCs w:val="22"/>
        </w:rPr>
        <w:t xml:space="preserve">małe inwestycje na rzecz lokalnego środowiska przez </w:t>
      </w:r>
      <w:r w:rsidR="00B57678">
        <w:rPr>
          <w:rFonts w:asciiTheme="minorHAnsi" w:hAnsiTheme="minorHAnsi" w:cstheme="minorHAnsi"/>
          <w:noProof/>
          <w:sz w:val="22"/>
          <w:szCs w:val="22"/>
        </w:rPr>
        <w:t>jednostki samorządu terytorialnego</w:t>
      </w:r>
      <w:r w:rsidR="00B57678" w:rsidRPr="00890249">
        <w:rPr>
          <w:rFonts w:asciiTheme="minorHAnsi" w:hAnsiTheme="minorHAnsi" w:cstheme="minorHAnsi"/>
          <w:noProof/>
          <w:sz w:val="22"/>
          <w:szCs w:val="22"/>
        </w:rPr>
        <w:t>,</w:t>
      </w:r>
      <w:r w:rsidRPr="00890249">
        <w:rPr>
          <w:rFonts w:asciiTheme="minorHAnsi" w:hAnsiTheme="minorHAnsi" w:cstheme="minorHAnsi"/>
          <w:noProof/>
          <w:sz w:val="22"/>
          <w:szCs w:val="22"/>
        </w:rPr>
        <w:t xml:space="preserve">, w uzgodnieniu i współpracy z przedstawicielami lokalnych społeczności lub przez organizacje pozarządowe, w oparciu o diagnozę potrzeb danej społeczności. Zaangażowanie na tym etapie samorządów lokalnych oraz innych podmiotów działających na rzecz lokalnych społeczności pozwoli na łączenie oddolnych i odgórnych celów. Jednocześnie realizacja projektów o dużym natężeniu partycypacyjnym wpłynie na zwiększenie zaangażowania obywateli. </w:t>
      </w:r>
      <w:r w:rsidR="00B57678" w:rsidRPr="00E05EB4">
        <w:rPr>
          <w:rFonts w:asciiTheme="minorHAnsi" w:hAnsiTheme="minorHAnsi" w:cstheme="minorHAnsi"/>
          <w:noProof/>
          <w:sz w:val="22"/>
          <w:szCs w:val="22"/>
        </w:rPr>
        <w:t>Inicjatywy realizowane będą zgodnie z uregulowaniami dotyczącymi CP5, przy jednoczesnym uzwzględnianiu zasad horyzontalnych dotyczących CP4, takich jak: deinstytucjonalizacja czy brak możliwości wsparcia szkół specjalnych.</w:t>
      </w:r>
    </w:p>
    <w:p w14:paraId="1EA0593E" w14:textId="57489710" w:rsidR="0093433C" w:rsidRPr="00890249" w:rsidRDefault="00322E74" w:rsidP="00890249">
      <w:pPr>
        <w:pStyle w:val="Tekstpodstawowy"/>
        <w:rPr>
          <w:rFonts w:asciiTheme="minorHAnsi" w:hAnsiTheme="minorHAnsi" w:cstheme="minorHAnsi"/>
          <w:bCs/>
          <w:noProof/>
          <w:sz w:val="22"/>
          <w:szCs w:val="22"/>
        </w:rPr>
      </w:pPr>
      <w:r w:rsidRPr="00890249">
        <w:rPr>
          <w:rFonts w:asciiTheme="minorHAnsi" w:hAnsiTheme="minorHAnsi" w:cstheme="minorHAnsi"/>
          <w:noProof/>
          <w:sz w:val="22"/>
          <w:szCs w:val="22"/>
        </w:rPr>
        <w:t xml:space="preserve">Preferowane będzie wsparcie istniejącej infrastruktury, natomiast nowe inwestycje będą dopuszczalne tylko w wyjątkowych, uzasadnionych okolicznościach. Wsparcie infrastruktury, tam gdzie to możliwe, powinno być dostosowane do: Europejskiego Zielonego Ładu, GOZ, celów zrównoważonego rozwoju ONZ. </w:t>
      </w:r>
      <w:r w:rsidRPr="00890249">
        <w:rPr>
          <w:rFonts w:asciiTheme="minorHAnsi" w:hAnsiTheme="minorHAnsi" w:cstheme="minorHAnsi"/>
          <w:sz w:val="22"/>
          <w:szCs w:val="22"/>
        </w:rPr>
        <w:t xml:space="preserve">Ponadto </w:t>
      </w:r>
      <w:r w:rsidR="002B468B" w:rsidRPr="00890249">
        <w:rPr>
          <w:rFonts w:asciiTheme="minorHAnsi" w:hAnsiTheme="minorHAnsi" w:cstheme="minorHAnsi"/>
          <w:sz w:val="22"/>
          <w:szCs w:val="22"/>
        </w:rPr>
        <w:t xml:space="preserve">w ramach </w:t>
      </w:r>
      <w:r w:rsidRPr="00890249">
        <w:rPr>
          <w:rFonts w:asciiTheme="minorHAnsi" w:hAnsiTheme="minorHAnsi" w:cstheme="minorHAnsi"/>
          <w:sz w:val="22"/>
          <w:szCs w:val="22"/>
        </w:rPr>
        <w:t>interwencj</w:t>
      </w:r>
      <w:r w:rsidR="002B468B" w:rsidRPr="00890249">
        <w:rPr>
          <w:rFonts w:asciiTheme="minorHAnsi" w:hAnsiTheme="minorHAnsi" w:cstheme="minorHAnsi"/>
          <w:sz w:val="22"/>
          <w:szCs w:val="22"/>
        </w:rPr>
        <w:t>i</w:t>
      </w:r>
      <w:r w:rsidRPr="00890249">
        <w:rPr>
          <w:rFonts w:asciiTheme="minorHAnsi" w:hAnsiTheme="minorHAnsi" w:cstheme="minorHAnsi"/>
          <w:sz w:val="22"/>
          <w:szCs w:val="22"/>
        </w:rPr>
        <w:t xml:space="preserve">, które mają wpływ na dziedzictwo kulturowe, </w:t>
      </w:r>
      <w:r w:rsidR="002B468B" w:rsidRPr="00890249">
        <w:rPr>
          <w:rFonts w:asciiTheme="minorHAnsi" w:hAnsiTheme="minorHAnsi" w:cstheme="minorHAnsi"/>
          <w:sz w:val="22"/>
          <w:szCs w:val="22"/>
        </w:rPr>
        <w:t xml:space="preserve">zasadne jest wykorzystanie </w:t>
      </w:r>
      <w:r w:rsidR="00065930" w:rsidRPr="00890249">
        <w:rPr>
          <w:rFonts w:asciiTheme="minorHAnsi" w:hAnsiTheme="minorHAnsi" w:cstheme="minorHAnsi"/>
          <w:sz w:val="22"/>
          <w:szCs w:val="22"/>
        </w:rPr>
        <w:t xml:space="preserve">zaleceń </w:t>
      </w:r>
      <w:r w:rsidR="002B468B" w:rsidRPr="00890249">
        <w:rPr>
          <w:rFonts w:asciiTheme="minorHAnsi" w:hAnsiTheme="minorHAnsi" w:cstheme="minorHAnsi"/>
          <w:sz w:val="22"/>
          <w:szCs w:val="22"/>
        </w:rPr>
        <w:t xml:space="preserve">wynikających </w:t>
      </w:r>
      <w:r w:rsidR="002B2B20" w:rsidRPr="00890249">
        <w:rPr>
          <w:rFonts w:asciiTheme="minorHAnsi" w:hAnsiTheme="minorHAnsi" w:cstheme="minorHAnsi"/>
          <w:sz w:val="22"/>
          <w:szCs w:val="22"/>
        </w:rPr>
        <w:t xml:space="preserve">z </w:t>
      </w:r>
      <w:r w:rsidRPr="00890249">
        <w:rPr>
          <w:rFonts w:asciiTheme="minorHAnsi" w:hAnsiTheme="minorHAnsi" w:cstheme="minorHAnsi"/>
          <w:sz w:val="22"/>
          <w:szCs w:val="22"/>
        </w:rPr>
        <w:t xml:space="preserve">dokumentu </w:t>
      </w:r>
      <w:r w:rsidRPr="00890249">
        <w:rPr>
          <w:rFonts w:asciiTheme="minorHAnsi" w:hAnsiTheme="minorHAnsi" w:cstheme="minorHAnsi"/>
          <w:i/>
          <w:sz w:val="22"/>
          <w:szCs w:val="22"/>
        </w:rPr>
        <w:t xml:space="preserve">Europejskie Zasady </w:t>
      </w:r>
      <w:r w:rsidRPr="00890249">
        <w:rPr>
          <w:rFonts w:asciiTheme="minorHAnsi" w:hAnsiTheme="minorHAnsi" w:cstheme="minorHAnsi"/>
          <w:bCs/>
          <w:i/>
          <w:noProof/>
          <w:sz w:val="22"/>
          <w:szCs w:val="22"/>
        </w:rPr>
        <w:t>Jakości dla finansowanych przez UE interwencji o potencjalnym wpływie na dziedzictwo kulturowe</w:t>
      </w:r>
      <w:r w:rsidR="00833C28" w:rsidRPr="00890249">
        <w:rPr>
          <w:rStyle w:val="Odwoanieprzypisudolnego"/>
          <w:rFonts w:asciiTheme="minorHAnsi" w:hAnsiTheme="minorHAnsi" w:cstheme="minorHAnsi"/>
          <w:bCs/>
          <w:i/>
          <w:noProof/>
          <w:sz w:val="22"/>
          <w:szCs w:val="22"/>
        </w:rPr>
        <w:footnoteReference w:id="229"/>
      </w:r>
      <w:r w:rsidRPr="00890249">
        <w:rPr>
          <w:rFonts w:asciiTheme="minorHAnsi" w:hAnsiTheme="minorHAnsi" w:cstheme="minorHAnsi"/>
          <w:bCs/>
          <w:noProof/>
          <w:sz w:val="22"/>
          <w:szCs w:val="22"/>
        </w:rPr>
        <w:t xml:space="preserve"> oraz </w:t>
      </w:r>
      <w:r w:rsidR="002B2B20" w:rsidRPr="00890249">
        <w:rPr>
          <w:rFonts w:asciiTheme="minorHAnsi" w:hAnsiTheme="minorHAnsi" w:cstheme="minorHAnsi"/>
          <w:bCs/>
          <w:noProof/>
          <w:sz w:val="22"/>
          <w:szCs w:val="22"/>
        </w:rPr>
        <w:t xml:space="preserve">interwencje te </w:t>
      </w:r>
      <w:r w:rsidRPr="00890249">
        <w:rPr>
          <w:rFonts w:asciiTheme="minorHAnsi" w:hAnsiTheme="minorHAnsi" w:cstheme="minorHAnsi"/>
          <w:bCs/>
          <w:noProof/>
          <w:sz w:val="22"/>
          <w:szCs w:val="22"/>
        </w:rPr>
        <w:t>będą dążyć do realizacji założeń inicjatywy Nowy Europejski Bauhaus.</w:t>
      </w:r>
    </w:p>
    <w:p w14:paraId="0A111BE9" w14:textId="77777777" w:rsidR="0093433C" w:rsidRPr="00890249" w:rsidRDefault="00322E74"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noProof/>
          <w:sz w:val="22"/>
          <w:szCs w:val="22"/>
        </w:rPr>
        <w:t>W ramach cs</w:t>
      </w:r>
      <w:r w:rsidR="000F1CA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(i) nie będą wspierane inwestycje w elementy infrastruktury drogowej (w tym w parkingi), chyba że stanowią one nieodłączny element większego projektu, (nie są one dominującym elementem tego projektu), a ich koszt nie przekracza 15% kosztów kwalifikowalnych operacji. W miastach projekty te nie mogą obejmować budowy nowych dróg lub parkingów oraz w odniesieniu do istniejących - zwiększenia ich pojemności lub przepustowości, ani nie mogą w żaden inny sposób przyczyniać się do zwiększenia natężenia ruchu samochodowego.</w:t>
      </w:r>
      <w:r w:rsidR="0022469D" w:rsidRPr="00890249">
        <w:rPr>
          <w:rFonts w:asciiTheme="minorHAnsi" w:hAnsiTheme="minorHAnsi" w:cstheme="minorHAnsi"/>
          <w:noProof/>
          <w:sz w:val="22"/>
          <w:szCs w:val="22"/>
        </w:rPr>
        <w:t xml:space="preserve"> </w:t>
      </w:r>
      <w:r w:rsidR="0022469D" w:rsidRPr="00890249">
        <w:rPr>
          <w:rFonts w:asciiTheme="minorHAnsi" w:hAnsiTheme="minorHAnsi" w:cstheme="minorHAnsi"/>
          <w:sz w:val="22"/>
          <w:szCs w:val="22"/>
          <w:lang w:eastAsia="en-US" w:bidi="ar-SA"/>
        </w:rPr>
        <w:t>Możliwe będzie wsparcie budowy nowych dróg rowerowych, ciągów pieszych lub pieszo-rowerowych (również na obszarach miejskich).</w:t>
      </w:r>
    </w:p>
    <w:p w14:paraId="4A940979" w14:textId="77777777" w:rsidR="0093433C" w:rsidRPr="00890249" w:rsidRDefault="005A0597"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Planowane typy przedsięwzięć:</w:t>
      </w:r>
    </w:p>
    <w:p w14:paraId="1EF05F63" w14:textId="26924D03" w:rsidR="0093433C" w:rsidRPr="00890249" w:rsidRDefault="00A173DE" w:rsidP="009F296A">
      <w:pPr>
        <w:pStyle w:val="Lista2"/>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R</w:t>
      </w:r>
      <w:r w:rsidR="009B0D39" w:rsidRPr="00890249">
        <w:rPr>
          <w:rFonts w:asciiTheme="minorHAnsi" w:hAnsiTheme="minorHAnsi" w:cstheme="minorHAnsi"/>
          <w:noProof/>
          <w:sz w:val="22"/>
          <w:szCs w:val="22"/>
        </w:rPr>
        <w:t xml:space="preserve">ozwój </w:t>
      </w:r>
      <w:r w:rsidR="005A0597" w:rsidRPr="00890249">
        <w:rPr>
          <w:rFonts w:asciiTheme="minorHAnsi" w:hAnsiTheme="minorHAnsi" w:cstheme="minorHAnsi"/>
          <w:noProof/>
          <w:sz w:val="22"/>
          <w:szCs w:val="22"/>
        </w:rPr>
        <w:t xml:space="preserve">obiektów dziedzictwa kulturowego, w tym poprawa dostępności poprzez likwidację barier fizycznych dla osób z niepełnosprawnościami (budowa towarzyszącej infrastruktury technicznej, </w:t>
      </w:r>
      <w:r w:rsidR="005A0597" w:rsidRPr="00890249">
        <w:rPr>
          <w:rFonts w:asciiTheme="minorHAnsi" w:hAnsiTheme="minorHAnsi" w:cstheme="minorHAnsi"/>
          <w:noProof/>
          <w:sz w:val="22"/>
          <w:szCs w:val="22"/>
        </w:rPr>
        <w:lastRenderedPageBreak/>
        <w:t>zagospodarowania terenów wokół dziedzictwa kulturowego oraz naturalnego możliwa jedynie jako element projektu),</w:t>
      </w:r>
    </w:p>
    <w:p w14:paraId="2E40867B" w14:textId="2330593C" w:rsidR="0093433C" w:rsidRPr="00890249" w:rsidRDefault="00A173DE" w:rsidP="009F296A">
      <w:pPr>
        <w:pStyle w:val="Lista3"/>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R</w:t>
      </w:r>
      <w:r w:rsidR="005A0597" w:rsidRPr="00890249">
        <w:rPr>
          <w:rFonts w:asciiTheme="minorHAnsi" w:hAnsiTheme="minorHAnsi" w:cstheme="minorHAnsi"/>
          <w:noProof/>
          <w:sz w:val="22"/>
          <w:szCs w:val="22"/>
        </w:rPr>
        <w:t>ozwój działalności kulturalnej i aktywności kulturalnej (</w:t>
      </w:r>
      <w:r w:rsidR="009B0D39" w:rsidRPr="00890249">
        <w:rPr>
          <w:rFonts w:asciiTheme="minorHAnsi" w:hAnsiTheme="minorHAnsi" w:cstheme="minorHAnsi"/>
          <w:noProof/>
          <w:sz w:val="22"/>
          <w:szCs w:val="22"/>
        </w:rPr>
        <w:t xml:space="preserve">poprzez rozwój infrastruktury </w:t>
      </w:r>
      <w:r w:rsidR="005A0597" w:rsidRPr="00890249">
        <w:rPr>
          <w:rFonts w:asciiTheme="minorHAnsi" w:hAnsiTheme="minorHAnsi" w:cstheme="minorHAnsi"/>
          <w:noProof/>
          <w:sz w:val="22"/>
          <w:szCs w:val="22"/>
        </w:rPr>
        <w:t>m.in. teatry, zespoły artystyczne, galerie, biblioteki, centra kultury, muzea), w tym wspieranie zaplecza dla utrzymania niematerialnego dziedzictwa kulturowego znajdującego się na krajowej liście niematerialnego dziedzictwa kulturowego oraz rzemiosła i dawnych zawodów,</w:t>
      </w:r>
    </w:p>
    <w:p w14:paraId="04F6A4B0" w14:textId="6778B41A" w:rsidR="0093433C" w:rsidRPr="00890249" w:rsidRDefault="00A173DE" w:rsidP="009F296A">
      <w:pPr>
        <w:pStyle w:val="Lista4"/>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K</w:t>
      </w:r>
      <w:r w:rsidR="005A0597" w:rsidRPr="00890249">
        <w:rPr>
          <w:rFonts w:asciiTheme="minorHAnsi" w:hAnsiTheme="minorHAnsi" w:cstheme="minorHAnsi"/>
          <w:noProof/>
          <w:sz w:val="22"/>
          <w:szCs w:val="22"/>
        </w:rPr>
        <w:t>onserwacja zabytków ruchomych oraz zabytkowych muzealiów, starodruków, księgozbiorów, materiałów bibliotecznych, archiwalnych i zbiorów audiowizualnych (w tym filmowych) oraz ich ochrona i udostępnienie, także poprzez proces digitalizacji,</w:t>
      </w:r>
    </w:p>
    <w:p w14:paraId="1CF56987" w14:textId="18915B3F" w:rsidR="0093433C" w:rsidRPr="00890249" w:rsidRDefault="00A173DE" w:rsidP="009F296A">
      <w:pPr>
        <w:pStyle w:val="Lista5"/>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P</w:t>
      </w:r>
      <w:r w:rsidR="005A0597" w:rsidRPr="00890249">
        <w:rPr>
          <w:rFonts w:asciiTheme="minorHAnsi" w:hAnsiTheme="minorHAnsi" w:cstheme="minorHAnsi"/>
          <w:noProof/>
          <w:sz w:val="22"/>
          <w:szCs w:val="22"/>
        </w:rPr>
        <w:t>rojekty dotyczące nowych i innowacyjnych produktów w dziedzinie kultury i turystyki wynikające ze współpracy uczelni i szkół artystycznych i instytucji sektora kultury z przedsiębiorstwami i klastrami przemysłów kreatywnych,</w:t>
      </w:r>
    </w:p>
    <w:p w14:paraId="1EF84074" w14:textId="3DDE0527" w:rsidR="0093433C" w:rsidRPr="00890249" w:rsidRDefault="00A173DE" w:rsidP="009F296A">
      <w:pPr>
        <w:pStyle w:val="Lista5"/>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I</w:t>
      </w:r>
      <w:r w:rsidR="005A0597" w:rsidRPr="00890249">
        <w:rPr>
          <w:rFonts w:asciiTheme="minorHAnsi" w:hAnsiTheme="minorHAnsi" w:cstheme="minorHAnsi"/>
          <w:noProof/>
          <w:sz w:val="22"/>
          <w:szCs w:val="22"/>
        </w:rPr>
        <w:t>nwestycje w obiekty/miejsca tworzące turystyczne szlaki tematyczne (obiekty/miejsca odwołujące się do walorów historycznych, kulturowych, przyrodniczych) lub turystyczne szlaki rodzajowe (np. kajakowe, rowerowe), w tym dostępności poprzez likwidację barier fizycznych dla osób z niepełnosprawnościami,</w:t>
      </w:r>
    </w:p>
    <w:p w14:paraId="4437E19F" w14:textId="1E23313F" w:rsidR="0093433C" w:rsidRPr="00890249" w:rsidRDefault="00A173DE" w:rsidP="009F296A">
      <w:pPr>
        <w:pStyle w:val="Lista5"/>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F</w:t>
      </w:r>
      <w:r w:rsidR="6C2D17F9" w:rsidRPr="00890249">
        <w:rPr>
          <w:rFonts w:asciiTheme="minorHAnsi" w:hAnsiTheme="minorHAnsi" w:cstheme="minorHAnsi"/>
          <w:noProof/>
          <w:sz w:val="22"/>
          <w:szCs w:val="22"/>
        </w:rPr>
        <w:t xml:space="preserve">izyczna regeneracja </w:t>
      </w:r>
      <w:r w:rsidR="24A62C33" w:rsidRPr="00890249">
        <w:rPr>
          <w:rFonts w:asciiTheme="minorHAnsi" w:hAnsiTheme="minorHAnsi" w:cstheme="minorHAnsi"/>
          <w:noProof/>
          <w:sz w:val="22"/>
          <w:szCs w:val="22"/>
        </w:rPr>
        <w:t xml:space="preserve">i bezpieczeństwo </w:t>
      </w:r>
      <w:r w:rsidR="6C2D17F9" w:rsidRPr="00890249">
        <w:rPr>
          <w:rFonts w:asciiTheme="minorHAnsi" w:hAnsiTheme="minorHAnsi" w:cstheme="minorHAnsi"/>
          <w:noProof/>
          <w:sz w:val="22"/>
          <w:szCs w:val="22"/>
        </w:rPr>
        <w:t>przestrzeni publicznych, mająca na celu realizację kompleksowych, zintegrowanych działań na rzecz: lokalnej społeczności i gospodarki, ładu przestrzennego i zrównoważonego gospodarowania przestrzenią, skoncentrowanych terytorialnie i prowadzonych przez interesariuszy rewitalizacji na podstawie gminnego programu rewitalizacji,</w:t>
      </w:r>
    </w:p>
    <w:p w14:paraId="1AB99541" w14:textId="4724FC27" w:rsidR="0093433C" w:rsidRPr="00890249" w:rsidRDefault="00A173DE" w:rsidP="009F296A">
      <w:pPr>
        <w:pStyle w:val="Lista5"/>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M</w:t>
      </w:r>
      <w:r w:rsidR="005A0597" w:rsidRPr="00890249">
        <w:rPr>
          <w:rFonts w:asciiTheme="minorHAnsi" w:hAnsiTheme="minorHAnsi" w:cstheme="minorHAnsi"/>
          <w:noProof/>
          <w:sz w:val="22"/>
          <w:szCs w:val="22"/>
        </w:rPr>
        <w:t xml:space="preserve">ałe inwestycje realizowane przez </w:t>
      </w:r>
      <w:r w:rsidR="00B57678">
        <w:rPr>
          <w:rFonts w:asciiTheme="minorHAnsi" w:hAnsiTheme="minorHAnsi" w:cstheme="minorHAnsi"/>
          <w:noProof/>
          <w:sz w:val="22"/>
          <w:szCs w:val="22"/>
        </w:rPr>
        <w:t>jednostki samorządu terytorialnego</w:t>
      </w:r>
      <w:r w:rsidR="00B57678" w:rsidRPr="00890249">
        <w:rPr>
          <w:rFonts w:asciiTheme="minorHAnsi" w:hAnsiTheme="minorHAnsi" w:cstheme="minorHAnsi"/>
          <w:noProof/>
          <w:sz w:val="22"/>
          <w:szCs w:val="22"/>
        </w:rPr>
        <w:t xml:space="preserve"> </w:t>
      </w:r>
      <w:r w:rsidR="005A0597" w:rsidRPr="00890249">
        <w:rPr>
          <w:rFonts w:asciiTheme="minorHAnsi" w:hAnsiTheme="minorHAnsi" w:cstheme="minorHAnsi"/>
          <w:noProof/>
          <w:sz w:val="22"/>
          <w:szCs w:val="22"/>
        </w:rPr>
        <w:t>we współpracy i w uzgodnieniu  z przedstawicielami lokalnych społeczności i na rzecz tych społeczności, o charakterze m.in. prospołecznym, prozdrowotnym, kulturalnym, edukacyjnym, turystycznym – przedsięwzięcia o charakterze oddolnych inicjatyw (projekty grantowe),</w:t>
      </w:r>
    </w:p>
    <w:p w14:paraId="74ED1D66" w14:textId="74EB2024" w:rsidR="0093433C" w:rsidRPr="00890249" w:rsidRDefault="00A173DE" w:rsidP="009F296A">
      <w:pPr>
        <w:pStyle w:val="Lista5"/>
        <w:numPr>
          <w:ilvl w:val="0"/>
          <w:numId w:val="141"/>
        </w:numPr>
        <w:rPr>
          <w:rFonts w:asciiTheme="minorHAnsi" w:hAnsiTheme="minorHAnsi" w:cstheme="minorHAnsi"/>
          <w:noProof/>
          <w:sz w:val="22"/>
          <w:szCs w:val="22"/>
        </w:rPr>
      </w:pPr>
      <w:r>
        <w:rPr>
          <w:rFonts w:asciiTheme="minorHAnsi" w:hAnsiTheme="minorHAnsi" w:cstheme="minorHAnsi"/>
          <w:noProof/>
          <w:sz w:val="22"/>
          <w:szCs w:val="22"/>
        </w:rPr>
        <w:t>M</w:t>
      </w:r>
      <w:r w:rsidR="005A0597" w:rsidRPr="00890249">
        <w:rPr>
          <w:rFonts w:asciiTheme="minorHAnsi" w:hAnsiTheme="minorHAnsi" w:cstheme="minorHAnsi"/>
          <w:noProof/>
          <w:sz w:val="22"/>
          <w:szCs w:val="22"/>
        </w:rPr>
        <w:t>ałe inwestycje realizowane przez organizacje pozarządowe</w:t>
      </w:r>
      <w:r w:rsidR="00B57678">
        <w:rPr>
          <w:rFonts w:asciiTheme="minorHAnsi" w:hAnsiTheme="minorHAnsi" w:cstheme="minorHAnsi"/>
          <w:noProof/>
          <w:sz w:val="22"/>
          <w:szCs w:val="22"/>
        </w:rPr>
        <w:t>, spółdzielnie i wspólnoty mieszkaniowe</w:t>
      </w:r>
      <w:r w:rsidR="005A0597" w:rsidRPr="00890249">
        <w:rPr>
          <w:rFonts w:asciiTheme="minorHAnsi" w:hAnsiTheme="minorHAnsi" w:cstheme="minorHAnsi"/>
          <w:noProof/>
          <w:sz w:val="22"/>
          <w:szCs w:val="22"/>
        </w:rPr>
        <w:t xml:space="preserve"> na</w:t>
      </w:r>
      <w:r w:rsidR="0065698C">
        <w:rPr>
          <w:rFonts w:asciiTheme="minorHAnsi" w:hAnsiTheme="minorHAnsi" w:cstheme="minorHAnsi"/>
          <w:noProof/>
          <w:sz w:val="22"/>
          <w:szCs w:val="22"/>
        </w:rPr>
        <w:t xml:space="preserve"> rzecz lokalnych społeczności w </w:t>
      </w:r>
      <w:r w:rsidR="005A0597" w:rsidRPr="00890249">
        <w:rPr>
          <w:rFonts w:asciiTheme="minorHAnsi" w:hAnsiTheme="minorHAnsi" w:cstheme="minorHAnsi"/>
          <w:noProof/>
          <w:sz w:val="22"/>
          <w:szCs w:val="22"/>
        </w:rPr>
        <w:t>oparciu o diagnozę ich potrzeb, o charakterze m.in. prospołecznym, prozdrowotnym, kulturalnym, edukacyjnym, turystycznym – przedsięwzięcia o charakterze oddolnych inicjatyw (projekty grantowe).</w:t>
      </w:r>
    </w:p>
    <w:p w14:paraId="2477DA5E" w14:textId="48774F06" w:rsidR="0093433C" w:rsidRPr="00890249" w:rsidRDefault="0069712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3D7DB5C8" w14:textId="77777777" w:rsidR="004E7F06" w:rsidRPr="00890249" w:rsidRDefault="004E7F06" w:rsidP="004E7F06">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Główne grupy docelowe</w:t>
      </w:r>
    </w:p>
    <w:p w14:paraId="314314C0" w14:textId="7E5CD8ED" w:rsidR="0093433C" w:rsidRPr="00890249" w:rsidRDefault="005A0597" w:rsidP="00890249">
      <w:pPr>
        <w:pStyle w:val="Tekstpodstawowy"/>
        <w:rPr>
          <w:rFonts w:asciiTheme="minorHAnsi" w:hAnsiTheme="minorHAnsi" w:cstheme="minorHAnsi"/>
          <w:noProof/>
          <w:sz w:val="22"/>
        </w:rPr>
      </w:pPr>
      <w:r w:rsidRPr="00890249">
        <w:rPr>
          <w:rFonts w:asciiTheme="minorHAnsi" w:hAnsiTheme="minorHAnsi" w:cstheme="minorHAnsi"/>
          <w:noProof/>
          <w:sz w:val="22"/>
        </w:rPr>
        <w:t>Mieszkańcy obszarów objętych strategi</w:t>
      </w:r>
      <w:r w:rsidR="00130A6D" w:rsidRPr="00890249">
        <w:rPr>
          <w:rFonts w:asciiTheme="minorHAnsi" w:hAnsiTheme="minorHAnsi" w:cstheme="minorHAnsi"/>
          <w:noProof/>
          <w:sz w:val="22"/>
        </w:rPr>
        <w:t>ą</w:t>
      </w:r>
      <w:r w:rsidRPr="00890249">
        <w:rPr>
          <w:rFonts w:asciiTheme="minorHAnsi" w:hAnsiTheme="minorHAnsi" w:cstheme="minorHAnsi"/>
          <w:noProof/>
          <w:sz w:val="22"/>
        </w:rPr>
        <w:t xml:space="preserve"> terytorialn</w:t>
      </w:r>
      <w:r w:rsidR="00130A6D" w:rsidRPr="00890249">
        <w:rPr>
          <w:rFonts w:asciiTheme="minorHAnsi" w:hAnsiTheme="minorHAnsi" w:cstheme="minorHAnsi"/>
          <w:noProof/>
          <w:sz w:val="22"/>
        </w:rPr>
        <w:t>ą</w:t>
      </w:r>
      <w:r w:rsidRPr="00890249">
        <w:rPr>
          <w:rFonts w:asciiTheme="minorHAnsi" w:hAnsiTheme="minorHAnsi" w:cstheme="minorHAnsi"/>
          <w:noProof/>
          <w:sz w:val="22"/>
        </w:rPr>
        <w:t xml:space="preserve"> ZIT, mieszkańcy obszarów zdegradow</w:t>
      </w:r>
      <w:r w:rsidR="00A66AAA" w:rsidRPr="00890249">
        <w:rPr>
          <w:rFonts w:asciiTheme="minorHAnsi" w:hAnsiTheme="minorHAnsi" w:cstheme="minorHAnsi"/>
          <w:noProof/>
          <w:sz w:val="22"/>
        </w:rPr>
        <w:t>a</w:t>
      </w:r>
      <w:r w:rsidRPr="00890249">
        <w:rPr>
          <w:rFonts w:asciiTheme="minorHAnsi" w:hAnsiTheme="minorHAnsi" w:cstheme="minorHAnsi"/>
          <w:noProof/>
          <w:sz w:val="22"/>
        </w:rPr>
        <w:t xml:space="preserve">nych wyznaczonych do rewitalizacji na obszarach gmin miejskich i </w:t>
      </w:r>
      <w:r w:rsidR="000458C6" w:rsidRPr="00890249">
        <w:rPr>
          <w:rFonts w:asciiTheme="minorHAnsi" w:hAnsiTheme="minorHAnsi" w:cstheme="minorHAnsi"/>
          <w:noProof/>
          <w:sz w:val="22"/>
        </w:rPr>
        <w:t>miejsko-wiejskich</w:t>
      </w:r>
      <w:r w:rsidR="00F42C1A" w:rsidRPr="00890249">
        <w:rPr>
          <w:rFonts w:asciiTheme="minorHAnsi" w:hAnsiTheme="minorHAnsi" w:cstheme="minorHAnsi"/>
          <w:noProof/>
          <w:sz w:val="22"/>
        </w:rPr>
        <w:t>, w tym lokaln</w:t>
      </w:r>
      <w:r w:rsidR="008F278C" w:rsidRPr="00890249">
        <w:rPr>
          <w:rFonts w:asciiTheme="minorHAnsi" w:hAnsiTheme="minorHAnsi" w:cstheme="minorHAnsi"/>
          <w:noProof/>
          <w:sz w:val="22"/>
        </w:rPr>
        <w:t>e</w:t>
      </w:r>
      <w:r w:rsidR="00F42C1A" w:rsidRPr="00890249">
        <w:rPr>
          <w:rFonts w:asciiTheme="minorHAnsi" w:hAnsiTheme="minorHAnsi" w:cstheme="minorHAnsi"/>
          <w:noProof/>
          <w:sz w:val="22"/>
        </w:rPr>
        <w:t xml:space="preserve"> społeczności,</w:t>
      </w:r>
      <w:r w:rsidR="000458C6" w:rsidRPr="00890249">
        <w:rPr>
          <w:rFonts w:asciiTheme="minorHAnsi" w:hAnsiTheme="minorHAnsi" w:cstheme="minorHAnsi"/>
          <w:noProof/>
          <w:sz w:val="22"/>
        </w:rPr>
        <w:t xml:space="preserve"> turyści</w:t>
      </w:r>
      <w:r w:rsidR="008F278C" w:rsidRPr="00890249">
        <w:rPr>
          <w:rFonts w:asciiTheme="minorHAnsi" w:hAnsiTheme="minorHAnsi" w:cstheme="minorHAnsi"/>
          <w:noProof/>
          <w:sz w:val="22"/>
        </w:rPr>
        <w:t xml:space="preserve"> oraz przedsiębiorcy</w:t>
      </w:r>
      <w:r w:rsidR="000458C6" w:rsidRPr="00890249">
        <w:rPr>
          <w:rFonts w:asciiTheme="minorHAnsi" w:hAnsiTheme="minorHAnsi" w:cstheme="minorHAnsi"/>
          <w:noProof/>
          <w:sz w:val="22"/>
        </w:rPr>
        <w:t>.</w:t>
      </w:r>
    </w:p>
    <w:p w14:paraId="3BFFAF18" w14:textId="77777777" w:rsidR="004E7F06" w:rsidRPr="00890249" w:rsidRDefault="004E7F06" w:rsidP="004E7F06">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Działania na rzecz zapewnienia równości, włączenia społecznego i niedyskryminacji</w:t>
      </w:r>
    </w:p>
    <w:p w14:paraId="7D0C6AA2" w14:textId="77777777" w:rsidR="0093433C" w:rsidRPr="00890249" w:rsidRDefault="3FAFA9D4"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Dyskryminacja zarówno bezpośrednia, jak i pośrednia ze względu na płeć, pochodzenie rasowe lub etniczne, religię lub światopogląd, niepełnosprawność, wiek, orientację oraz tożsamość seksualną, mieszkańców województwa opolskiego lub turystów może skutkować stresem mniejszościowym, poczuciem alienacji, izolacją społeczną, brakiem akceptacji wśród społeczności oraz brakiem wsparcia społecznego. </w:t>
      </w:r>
    </w:p>
    <w:p w14:paraId="47EA97D1" w14:textId="7B80A36B" w:rsidR="0093433C" w:rsidRPr="00890249" w:rsidRDefault="00875C92"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rPr>
        <w:t>Działania na rzecz zapewnienia równości, włączenia i niedyskryminacji będą realizowane w</w:t>
      </w:r>
      <w:r w:rsidR="004E7F06" w:rsidRPr="00890249">
        <w:rPr>
          <w:rFonts w:asciiTheme="minorHAnsi" w:hAnsiTheme="minorHAnsi" w:cstheme="minorHAnsi"/>
          <w:sz w:val="22"/>
        </w:rPr>
        <w:t> </w:t>
      </w:r>
      <w:r w:rsidRPr="00890249">
        <w:rPr>
          <w:rFonts w:asciiTheme="minorHAnsi" w:hAnsiTheme="minorHAnsi" w:cstheme="minorHAnsi"/>
          <w:sz w:val="22"/>
        </w:rPr>
        <w:t>projektach poprzez rozwiązania architektoniczne, które zapewnią możliwość samodzielnego korzystania z produktów projektów, tj. m.in. usług, atrakcji turystycznych, kulturalnych, obiektów użyteczności publicznej wszystkim osobom. Inwestycje umożliwiać będą wyrównywanie szans w</w:t>
      </w:r>
      <w:r w:rsidR="004E7F06" w:rsidRPr="00890249">
        <w:rPr>
          <w:rFonts w:asciiTheme="minorHAnsi" w:hAnsiTheme="minorHAnsi" w:cstheme="minorHAnsi"/>
          <w:sz w:val="22"/>
        </w:rPr>
        <w:t> </w:t>
      </w:r>
      <w:r w:rsidRPr="00890249">
        <w:rPr>
          <w:rFonts w:asciiTheme="minorHAnsi" w:hAnsiTheme="minorHAnsi" w:cstheme="minorHAnsi"/>
          <w:sz w:val="22"/>
        </w:rPr>
        <w:t>dostępie do instytucji kultury, wydarzeń kulturalnych, czy atrakcji turystycznych. Dofinansowane będą działania służące aktywizowaniu i integrowaniu lokalnych społeczności poprzez ich udział w</w:t>
      </w:r>
      <w:r w:rsidR="004E7F06" w:rsidRPr="00890249">
        <w:rPr>
          <w:rFonts w:asciiTheme="minorHAnsi" w:hAnsiTheme="minorHAnsi" w:cstheme="minorHAnsi"/>
          <w:sz w:val="22"/>
        </w:rPr>
        <w:t> </w:t>
      </w:r>
      <w:r w:rsidRPr="00890249">
        <w:rPr>
          <w:rFonts w:asciiTheme="minorHAnsi" w:hAnsiTheme="minorHAnsi" w:cstheme="minorHAnsi"/>
          <w:sz w:val="22"/>
        </w:rPr>
        <w:t xml:space="preserve">kulturze, projekty będą adresowane do osób dotkniętych największymi barierami w dostępie do dóbr kultury, w tym mieszkańców małych miast i obszarów wiejskich, wspierane będzie wykorzystanie TIK, digitalizacja </w:t>
      </w:r>
      <w:r w:rsidRPr="00890249">
        <w:rPr>
          <w:rFonts w:asciiTheme="minorHAnsi" w:hAnsiTheme="minorHAnsi" w:cstheme="minorHAnsi"/>
          <w:sz w:val="22"/>
        </w:rPr>
        <w:lastRenderedPageBreak/>
        <w:t>zasobów kultury. Umożliwi to włącznie społeczne grup, które dotychczas były wykluczone z korzystania z oferty kulturalnej. Poprzez zastosowanie standardu dostępności: architektonicznego, cyfrowego oraz informacyjno-promocyjnego, produkty turystyczne i</w:t>
      </w:r>
      <w:r w:rsidR="004E7F06" w:rsidRPr="00890249">
        <w:rPr>
          <w:rFonts w:asciiTheme="minorHAnsi" w:hAnsiTheme="minorHAnsi" w:cstheme="minorHAnsi"/>
          <w:sz w:val="22"/>
        </w:rPr>
        <w:t> </w:t>
      </w:r>
      <w:r w:rsidRPr="00890249">
        <w:rPr>
          <w:rFonts w:asciiTheme="minorHAnsi" w:hAnsiTheme="minorHAnsi" w:cstheme="minorHAnsi"/>
          <w:sz w:val="22"/>
        </w:rPr>
        <w:t xml:space="preserve">kulturalne będą dostępne dla ogółu społeczeństwa, w tym również będą odpowiadały na szczególne potrzeby kobiet, osób z niepełnosprawnościami: ruchową, wzrokową, słuchową, intelektualną; osób starszych, opiekunów z dziećmi czy osobami zależnymi.   </w:t>
      </w:r>
    </w:p>
    <w:p w14:paraId="704FDB52" w14:textId="62C8B99E" w:rsidR="00B72154" w:rsidRPr="00890249" w:rsidRDefault="007E0DB8" w:rsidP="00890249">
      <w:pPr>
        <w:pStyle w:val="Tekstpodstawowy"/>
        <w:rPr>
          <w:rFonts w:asciiTheme="minorHAnsi" w:eastAsiaTheme="minorHAnsi" w:hAnsiTheme="minorHAnsi" w:cstheme="minorHAnsi"/>
          <w:sz w:val="22"/>
          <w:szCs w:val="22"/>
          <w:lang w:eastAsia="en-US" w:bidi="ar-SA"/>
        </w:rPr>
      </w:pPr>
      <w:r w:rsidRPr="00890249">
        <w:rPr>
          <w:rFonts w:asciiTheme="minorHAnsi" w:hAnsiTheme="minorHAnsi" w:cstheme="minorHAnsi"/>
          <w:sz w:val="22"/>
          <w:lang w:eastAsia="en-US" w:bidi="ar-SA"/>
        </w:rPr>
        <w:t>Poprzez zastosowanie standardu dostępności: architektonicznego, cyfrowego oraz informacyjno-promocyjnego, produkty turystyczne i kulturalne będą dostępne dla ogółu społeczeństwa, w tym również będą odpowiadały na szczegól</w:t>
      </w:r>
      <w:r w:rsidR="00EC6EC5" w:rsidRPr="00890249">
        <w:rPr>
          <w:rFonts w:asciiTheme="minorHAnsi" w:hAnsiTheme="minorHAnsi" w:cstheme="minorHAnsi"/>
          <w:sz w:val="22"/>
          <w:lang w:eastAsia="en-US" w:bidi="ar-SA"/>
        </w:rPr>
        <w:t xml:space="preserve">ne potrzeby kobiet,  </w:t>
      </w:r>
      <w:r w:rsidR="002B5AB0" w:rsidRPr="00890249">
        <w:rPr>
          <w:rFonts w:asciiTheme="minorHAnsi" w:hAnsiTheme="minorHAnsi" w:cstheme="minorHAnsi"/>
          <w:sz w:val="22"/>
          <w:lang w:eastAsia="en-US" w:bidi="ar-SA"/>
        </w:rPr>
        <w:t>osób z niepełnosprawnościami,</w:t>
      </w:r>
      <w:r w:rsidRPr="00890249">
        <w:rPr>
          <w:rFonts w:asciiTheme="minorHAnsi" w:hAnsiTheme="minorHAnsi" w:cstheme="minorHAnsi"/>
          <w:sz w:val="22"/>
          <w:lang w:eastAsia="en-US" w:bidi="ar-SA"/>
        </w:rPr>
        <w:t xml:space="preserve"> osób sta</w:t>
      </w:r>
      <w:r w:rsidR="00EC6EC5" w:rsidRPr="00890249">
        <w:rPr>
          <w:rFonts w:asciiTheme="minorHAnsi" w:hAnsiTheme="minorHAnsi" w:cstheme="minorHAnsi"/>
          <w:sz w:val="22"/>
          <w:lang w:eastAsia="en-US" w:bidi="ar-SA"/>
        </w:rPr>
        <w:t>rszych, opiekunów osób</w:t>
      </w:r>
      <w:r w:rsidRPr="00890249">
        <w:rPr>
          <w:rFonts w:asciiTheme="minorHAnsi" w:hAnsiTheme="minorHAnsi" w:cstheme="minorHAnsi"/>
          <w:sz w:val="22"/>
          <w:lang w:eastAsia="en-US" w:bidi="ar-SA"/>
        </w:rPr>
        <w:t xml:space="preserve"> zależnymi. </w:t>
      </w:r>
      <w:r w:rsidRPr="00890249">
        <w:rPr>
          <w:rFonts w:asciiTheme="minorHAnsi" w:hAnsiTheme="minorHAnsi" w:cstheme="minorHAnsi"/>
          <w:sz w:val="22"/>
          <w:lang w:eastAsia="en-US"/>
        </w:rPr>
        <w:t xml:space="preserve"> </w:t>
      </w:r>
      <w:r w:rsidRPr="00890249">
        <w:rPr>
          <w:rFonts w:asciiTheme="minorHAnsi" w:hAnsiTheme="minorHAnsi" w:cstheme="minorHAnsi"/>
          <w:sz w:val="22"/>
          <w:lang w:eastAsia="en-US" w:bidi="ar-SA"/>
        </w:rPr>
        <w:t xml:space="preserve"> </w:t>
      </w:r>
    </w:p>
    <w:p w14:paraId="42CB0EBF" w14:textId="77777777" w:rsidR="004E7F06" w:rsidRPr="00890249" w:rsidRDefault="004E7F06" w:rsidP="004E7F06">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Wskazanie konkretnych terytoriów objętych wsparciem, z uwzględnieniem planowanego wykorzystania narzędzi terytorialnych</w:t>
      </w:r>
    </w:p>
    <w:p w14:paraId="17740C7C" w14:textId="10517B68" w:rsidR="0093433C" w:rsidRPr="00890249" w:rsidRDefault="00B46D0D" w:rsidP="00890249">
      <w:pPr>
        <w:pStyle w:val="Tekstpodstawowy"/>
        <w:rPr>
          <w:rFonts w:asciiTheme="minorHAnsi" w:hAnsiTheme="minorHAnsi" w:cstheme="minorHAnsi"/>
          <w:noProof/>
          <w:sz w:val="22"/>
        </w:rPr>
      </w:pPr>
      <w:r w:rsidRPr="00890249">
        <w:rPr>
          <w:rFonts w:asciiTheme="minorHAnsi" w:hAnsiTheme="minorHAnsi" w:cstheme="minorHAnsi"/>
          <w:noProof/>
          <w:sz w:val="22"/>
        </w:rPr>
        <w:t>Rozwój terytorialny w ramach cs (i) będzie oparty o instrument ZIT, realizujący zintegrowane projekty przyczyniające się do rozwi</w:t>
      </w:r>
      <w:r w:rsidR="00FC3A96" w:rsidRPr="00890249">
        <w:rPr>
          <w:rFonts w:asciiTheme="minorHAnsi" w:hAnsiTheme="minorHAnsi" w:cstheme="minorHAnsi"/>
          <w:noProof/>
          <w:sz w:val="22"/>
        </w:rPr>
        <w:t>ą</w:t>
      </w:r>
      <w:r w:rsidRPr="00890249">
        <w:rPr>
          <w:rFonts w:asciiTheme="minorHAnsi" w:hAnsiTheme="minorHAnsi" w:cstheme="minorHAnsi"/>
          <w:noProof/>
          <w:sz w:val="22"/>
        </w:rPr>
        <w:t>zywania wspólnych problemów i skoordynowanego zaspokajania potrzeb w zakresie przedsi</w:t>
      </w:r>
      <w:r w:rsidR="00130A6D" w:rsidRPr="00890249">
        <w:rPr>
          <w:rFonts w:asciiTheme="minorHAnsi" w:hAnsiTheme="minorHAnsi" w:cstheme="minorHAnsi"/>
          <w:noProof/>
          <w:sz w:val="22"/>
        </w:rPr>
        <w:t>ę</w:t>
      </w:r>
      <w:r w:rsidRPr="00890249">
        <w:rPr>
          <w:rFonts w:asciiTheme="minorHAnsi" w:hAnsiTheme="minorHAnsi" w:cstheme="minorHAnsi"/>
          <w:noProof/>
          <w:sz w:val="22"/>
        </w:rPr>
        <w:t>wzięć o znaczeniu kulturalnym i </w:t>
      </w:r>
      <w:r w:rsidR="00E341D3" w:rsidRPr="00890249">
        <w:rPr>
          <w:rFonts w:asciiTheme="minorHAnsi" w:hAnsiTheme="minorHAnsi" w:cstheme="minorHAnsi"/>
          <w:noProof/>
          <w:sz w:val="22"/>
        </w:rPr>
        <w:t>turystycznym</w:t>
      </w:r>
      <w:r w:rsidR="00875C92" w:rsidRPr="00890249">
        <w:rPr>
          <w:rFonts w:asciiTheme="minorHAnsi" w:hAnsiTheme="minorHAnsi" w:cstheme="minorHAnsi"/>
          <w:noProof/>
          <w:sz w:val="22"/>
        </w:rPr>
        <w:t>.</w:t>
      </w:r>
      <w:r w:rsidR="00E341D3" w:rsidRPr="00890249">
        <w:rPr>
          <w:rFonts w:asciiTheme="minorHAnsi" w:hAnsiTheme="minorHAnsi" w:cstheme="minorHAnsi"/>
          <w:noProof/>
          <w:sz w:val="22"/>
        </w:rPr>
        <w:t xml:space="preserve"> </w:t>
      </w:r>
      <w:r w:rsidR="00AF1C69" w:rsidRPr="00890249">
        <w:rPr>
          <w:rFonts w:asciiTheme="minorHAnsi" w:hAnsiTheme="minorHAnsi" w:cstheme="minorHAnsi"/>
          <w:noProof/>
          <w:sz w:val="22"/>
        </w:rPr>
        <w:t>IIT będzie dedykowane obszarom, dla których planowane są działania rewitalizacyjne – funkcję strategii terytorialnej</w:t>
      </w:r>
      <w:r w:rsidR="00B94BFF" w:rsidRPr="00890249">
        <w:rPr>
          <w:rFonts w:asciiTheme="minorHAnsi" w:hAnsiTheme="minorHAnsi" w:cstheme="minorHAnsi"/>
          <w:noProof/>
          <w:sz w:val="22"/>
        </w:rPr>
        <w:t xml:space="preserve"> IIT</w:t>
      </w:r>
      <w:r w:rsidR="00AF1C69" w:rsidRPr="00890249">
        <w:rPr>
          <w:rFonts w:asciiTheme="minorHAnsi" w:hAnsiTheme="minorHAnsi" w:cstheme="minorHAnsi"/>
          <w:noProof/>
          <w:sz w:val="22"/>
        </w:rPr>
        <w:t xml:space="preserve"> będzie pełnił GPR. </w:t>
      </w:r>
    </w:p>
    <w:p w14:paraId="2743E20A" w14:textId="150DF0D3" w:rsidR="0093433C" w:rsidRPr="00890249" w:rsidRDefault="00961981"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Ww. podejście </w:t>
      </w:r>
      <w:r w:rsidR="00BA7978" w:rsidRPr="00890249">
        <w:rPr>
          <w:rFonts w:asciiTheme="minorHAnsi" w:hAnsiTheme="minorHAnsi" w:cstheme="minorHAnsi"/>
          <w:noProof/>
          <w:sz w:val="22"/>
        </w:rPr>
        <w:t>przyczyni się</w:t>
      </w:r>
      <w:r w:rsidRPr="00890249">
        <w:rPr>
          <w:rFonts w:asciiTheme="minorHAnsi" w:hAnsiTheme="minorHAnsi" w:cstheme="minorHAnsi"/>
          <w:noProof/>
          <w:sz w:val="22"/>
        </w:rPr>
        <w:t xml:space="preserve"> do osiągnięcia jednego z najważniejszych celów </w:t>
      </w:r>
      <w:r w:rsidRPr="00890249">
        <w:rPr>
          <w:rFonts w:asciiTheme="minorHAnsi" w:hAnsiTheme="minorHAnsi" w:cstheme="minorHAnsi"/>
          <w:i/>
          <w:noProof/>
          <w:sz w:val="22"/>
        </w:rPr>
        <w:t>SOR</w:t>
      </w:r>
      <w:r w:rsidRPr="00890249">
        <w:rPr>
          <w:rFonts w:asciiTheme="minorHAnsi" w:hAnsiTheme="minorHAnsi" w:cstheme="minorHAnsi"/>
          <w:noProof/>
          <w:sz w:val="22"/>
        </w:rPr>
        <w:t xml:space="preserve">, tj. zwiększenia spójności terytorialnej kraju i regionów, poprzez niwelowanie różnic w poziomie rozwoju wewnątrz województwa, zapobiegając </w:t>
      </w:r>
      <w:r w:rsidR="00BA7978" w:rsidRPr="00890249">
        <w:rPr>
          <w:rFonts w:asciiTheme="minorHAnsi" w:hAnsiTheme="minorHAnsi" w:cstheme="minorHAnsi"/>
          <w:noProof/>
          <w:sz w:val="22"/>
        </w:rPr>
        <w:t>równocze</w:t>
      </w:r>
      <w:r w:rsidR="00CA1717" w:rsidRPr="00890249">
        <w:rPr>
          <w:rFonts w:asciiTheme="minorHAnsi" w:hAnsiTheme="minorHAnsi" w:cstheme="minorHAnsi"/>
          <w:noProof/>
          <w:sz w:val="22"/>
        </w:rPr>
        <w:t>ś</w:t>
      </w:r>
      <w:r w:rsidR="00BA7978" w:rsidRPr="00890249">
        <w:rPr>
          <w:rFonts w:asciiTheme="minorHAnsi" w:hAnsiTheme="minorHAnsi" w:cstheme="minorHAnsi"/>
          <w:noProof/>
          <w:sz w:val="22"/>
        </w:rPr>
        <w:t>nie</w:t>
      </w:r>
      <w:r w:rsidRPr="00890249">
        <w:rPr>
          <w:rFonts w:asciiTheme="minorHAnsi" w:hAnsiTheme="minorHAnsi" w:cstheme="minorHAnsi"/>
          <w:noProof/>
          <w:sz w:val="22"/>
        </w:rPr>
        <w:t xml:space="preserve"> zjawisku peryferyjności i procesowi marginalizacji obszarów najbardziej oddalonych od centrum regionu. </w:t>
      </w:r>
      <w:r w:rsidR="00BA7978" w:rsidRPr="00890249">
        <w:rPr>
          <w:rFonts w:asciiTheme="minorHAnsi" w:hAnsiTheme="minorHAnsi" w:cstheme="minorHAnsi"/>
          <w:noProof/>
          <w:sz w:val="22"/>
        </w:rPr>
        <w:t>W</w:t>
      </w:r>
      <w:r w:rsidRPr="00890249">
        <w:rPr>
          <w:rFonts w:asciiTheme="minorHAnsi" w:hAnsiTheme="minorHAnsi" w:cstheme="minorHAnsi"/>
          <w:bCs/>
          <w:noProof/>
          <w:sz w:val="22"/>
        </w:rPr>
        <w:t>szystkie JST, które zostały zidentyfikowane jako OSI krajowe, są także częściami obszarów objętych strategią ZIT lub IIT</w:t>
      </w:r>
      <w:r w:rsidR="00BA7978" w:rsidRPr="00890249">
        <w:rPr>
          <w:rFonts w:asciiTheme="minorHAnsi" w:hAnsiTheme="minorHAnsi" w:cstheme="minorHAnsi"/>
          <w:bCs/>
          <w:noProof/>
          <w:sz w:val="22"/>
        </w:rPr>
        <w:t xml:space="preserve">, co potwierdza </w:t>
      </w:r>
      <w:r w:rsidR="000F1CA4" w:rsidRPr="00890249">
        <w:rPr>
          <w:rFonts w:asciiTheme="minorHAnsi" w:hAnsiTheme="minorHAnsi" w:cstheme="minorHAnsi"/>
          <w:bCs/>
          <w:noProof/>
          <w:sz w:val="22"/>
        </w:rPr>
        <w:t>pro</w:t>
      </w:r>
      <w:r w:rsidR="00BA7978" w:rsidRPr="00890249">
        <w:rPr>
          <w:rFonts w:asciiTheme="minorHAnsi" w:hAnsiTheme="minorHAnsi" w:cstheme="minorHAnsi"/>
          <w:bCs/>
          <w:noProof/>
          <w:sz w:val="22"/>
        </w:rPr>
        <w:t>spójnoś</w:t>
      </w:r>
      <w:r w:rsidR="000F1CA4" w:rsidRPr="00890249">
        <w:rPr>
          <w:rFonts w:asciiTheme="minorHAnsi" w:hAnsiTheme="minorHAnsi" w:cstheme="minorHAnsi"/>
          <w:bCs/>
          <w:noProof/>
          <w:sz w:val="22"/>
        </w:rPr>
        <w:t>ciową wizję rozwoju regionu</w:t>
      </w:r>
      <w:r w:rsidRPr="00890249">
        <w:rPr>
          <w:rFonts w:asciiTheme="minorHAnsi" w:hAnsiTheme="minorHAnsi" w:cstheme="minorHAnsi"/>
          <w:noProof/>
          <w:sz w:val="22"/>
        </w:rPr>
        <w:t>.</w:t>
      </w:r>
    </w:p>
    <w:p w14:paraId="1F810857" w14:textId="52DC9C47" w:rsidR="0093433C" w:rsidRPr="00890249" w:rsidRDefault="005A0597" w:rsidP="00890249">
      <w:pPr>
        <w:pStyle w:val="Tekstpodstawowy"/>
        <w:rPr>
          <w:rFonts w:asciiTheme="minorHAnsi" w:hAnsiTheme="minorHAnsi" w:cstheme="minorHAnsi"/>
          <w:noProof/>
          <w:sz w:val="22"/>
        </w:rPr>
      </w:pPr>
      <w:r w:rsidRPr="00890249">
        <w:rPr>
          <w:rFonts w:asciiTheme="minorHAnsi" w:hAnsiTheme="minorHAnsi" w:cstheme="minorHAnsi"/>
          <w:noProof/>
          <w:sz w:val="22"/>
        </w:rPr>
        <w:t>Wszystkie interwencje w ramach cs (i) będą realizowane poprzez instrumenty terytorialne, tj.:</w:t>
      </w:r>
    </w:p>
    <w:p w14:paraId="697E54F3" w14:textId="0661E52A" w:rsidR="0093433C" w:rsidRPr="00890249" w:rsidRDefault="005A0597" w:rsidP="009F296A">
      <w:pPr>
        <w:pStyle w:val="Listapunktowana5"/>
        <w:numPr>
          <w:ilvl w:val="0"/>
          <w:numId w:val="28"/>
        </w:numPr>
        <w:rPr>
          <w:rFonts w:asciiTheme="minorHAnsi" w:hAnsiTheme="minorHAnsi" w:cstheme="minorHAnsi"/>
          <w:noProof/>
          <w:sz w:val="22"/>
        </w:rPr>
      </w:pPr>
      <w:r w:rsidRPr="00890249">
        <w:rPr>
          <w:rFonts w:asciiTheme="minorHAnsi" w:hAnsiTheme="minorHAnsi" w:cstheme="minorHAnsi"/>
          <w:noProof/>
          <w:sz w:val="22"/>
        </w:rPr>
        <w:t>ZIT</w:t>
      </w:r>
      <w:r w:rsidR="0093433C" w:rsidRPr="00890249">
        <w:rPr>
          <w:rFonts w:asciiTheme="minorHAnsi" w:hAnsiTheme="minorHAnsi" w:cstheme="minorHAnsi"/>
          <w:noProof/>
          <w:sz w:val="22"/>
        </w:rPr>
        <w:t>—</w:t>
      </w:r>
      <w:r w:rsidR="007045D7" w:rsidRPr="00890249">
        <w:rPr>
          <w:rFonts w:asciiTheme="minorHAnsi" w:hAnsiTheme="minorHAnsi" w:cstheme="minorHAnsi"/>
          <w:noProof/>
          <w:sz w:val="22"/>
        </w:rPr>
        <w:t xml:space="preserve">Subregion Aglomeracja Opolska, z ośrodkiem wojewódzkim - miastem Opole, który pełnił funkcję ZIT w perspektywie </w:t>
      </w:r>
      <w:r w:rsidR="00431677" w:rsidRPr="00890249">
        <w:rPr>
          <w:rFonts w:asciiTheme="minorHAnsi" w:hAnsiTheme="minorHAnsi" w:cstheme="minorHAnsi"/>
          <w:noProof/>
          <w:sz w:val="22"/>
        </w:rPr>
        <w:t xml:space="preserve">finansowej </w:t>
      </w:r>
      <w:r w:rsidR="007045D7" w:rsidRPr="00890249">
        <w:rPr>
          <w:rFonts w:asciiTheme="minorHAnsi" w:hAnsiTheme="minorHAnsi" w:cstheme="minorHAnsi"/>
          <w:noProof/>
          <w:sz w:val="22"/>
        </w:rPr>
        <w:t>2014-2020,</w:t>
      </w:r>
    </w:p>
    <w:p w14:paraId="0EDC1885" w14:textId="6D5255E2" w:rsidR="0093433C" w:rsidRPr="00890249" w:rsidRDefault="005A0597" w:rsidP="009F296A">
      <w:pPr>
        <w:pStyle w:val="Listapunktowana5"/>
        <w:numPr>
          <w:ilvl w:val="0"/>
          <w:numId w:val="27"/>
        </w:numPr>
        <w:rPr>
          <w:rFonts w:asciiTheme="minorHAnsi" w:hAnsiTheme="minorHAnsi" w:cstheme="minorHAnsi"/>
          <w:noProof/>
          <w:sz w:val="22"/>
        </w:rPr>
      </w:pPr>
      <w:r w:rsidRPr="00890249">
        <w:rPr>
          <w:rFonts w:asciiTheme="minorHAnsi" w:hAnsiTheme="minorHAnsi" w:cstheme="minorHAnsi"/>
          <w:noProof/>
          <w:sz w:val="22"/>
        </w:rPr>
        <w:t>IIT</w:t>
      </w:r>
      <w:r w:rsidR="0093433C" w:rsidRPr="00890249">
        <w:rPr>
          <w:rFonts w:asciiTheme="minorHAnsi" w:hAnsiTheme="minorHAnsi" w:cstheme="minorHAnsi"/>
          <w:noProof/>
          <w:sz w:val="22"/>
        </w:rPr>
        <w:t>—</w:t>
      </w:r>
      <w:r w:rsidR="00802770" w:rsidRPr="00890249">
        <w:rPr>
          <w:rFonts w:asciiTheme="minorHAnsi" w:hAnsiTheme="minorHAnsi" w:cstheme="minorHAnsi"/>
          <w:noProof/>
          <w:sz w:val="22"/>
        </w:rPr>
        <w:t>dla którego funkcję strategii terytorialnej będą pełnić GPR</w:t>
      </w:r>
      <w:r w:rsidR="00605E83" w:rsidRPr="00890249">
        <w:rPr>
          <w:rFonts w:asciiTheme="minorHAnsi" w:hAnsiTheme="minorHAnsi" w:cstheme="minorHAnsi"/>
          <w:noProof/>
          <w:sz w:val="22"/>
        </w:rPr>
        <w:t>-y</w:t>
      </w:r>
      <w:r w:rsidR="00802770" w:rsidRPr="00890249">
        <w:rPr>
          <w:rFonts w:asciiTheme="minorHAnsi" w:hAnsiTheme="minorHAnsi" w:cstheme="minorHAnsi"/>
          <w:noProof/>
          <w:sz w:val="22"/>
        </w:rPr>
        <w:t xml:space="preserve"> </w:t>
      </w:r>
      <w:r w:rsidRPr="00890249">
        <w:rPr>
          <w:rFonts w:asciiTheme="minorHAnsi" w:hAnsiTheme="minorHAnsi" w:cstheme="minorHAnsi"/>
          <w:noProof/>
          <w:sz w:val="22"/>
        </w:rPr>
        <w:t>w zakresie inwestycji dotyczących rewitalizacji obszarów miejskich (</w:t>
      </w:r>
      <w:r w:rsidR="001330F4" w:rsidRPr="00890249">
        <w:rPr>
          <w:rFonts w:asciiTheme="minorHAnsi" w:hAnsiTheme="minorHAnsi" w:cstheme="minorHAnsi"/>
          <w:noProof/>
          <w:sz w:val="22"/>
        </w:rPr>
        <w:t>wszy</w:t>
      </w:r>
      <w:r w:rsidR="00351C0E" w:rsidRPr="00890249">
        <w:rPr>
          <w:rFonts w:asciiTheme="minorHAnsi" w:hAnsiTheme="minorHAnsi" w:cstheme="minorHAnsi"/>
          <w:noProof/>
          <w:sz w:val="22"/>
        </w:rPr>
        <w:t>s</w:t>
      </w:r>
      <w:r w:rsidR="001330F4" w:rsidRPr="00890249">
        <w:rPr>
          <w:rFonts w:asciiTheme="minorHAnsi" w:hAnsiTheme="minorHAnsi" w:cstheme="minorHAnsi"/>
          <w:noProof/>
          <w:sz w:val="22"/>
        </w:rPr>
        <w:t>tkie gminy miejskie</w:t>
      </w:r>
      <w:r w:rsidR="00431677" w:rsidRPr="00890249">
        <w:rPr>
          <w:rFonts w:asciiTheme="minorHAnsi" w:hAnsiTheme="minorHAnsi" w:cstheme="minorHAnsi"/>
          <w:noProof/>
          <w:sz w:val="22"/>
        </w:rPr>
        <w:t xml:space="preserve"> i gmin</w:t>
      </w:r>
      <w:r w:rsidR="001330F4" w:rsidRPr="00890249">
        <w:rPr>
          <w:rFonts w:asciiTheme="minorHAnsi" w:hAnsiTheme="minorHAnsi" w:cstheme="minorHAnsi"/>
          <w:noProof/>
          <w:sz w:val="22"/>
        </w:rPr>
        <w:t>y</w:t>
      </w:r>
      <w:r w:rsidR="00431677" w:rsidRPr="00890249">
        <w:rPr>
          <w:rFonts w:asciiTheme="minorHAnsi" w:hAnsiTheme="minorHAnsi" w:cstheme="minorHAnsi"/>
          <w:noProof/>
          <w:sz w:val="22"/>
        </w:rPr>
        <w:t xml:space="preserve"> </w:t>
      </w:r>
      <w:r w:rsidR="00351C0E" w:rsidRPr="00890249">
        <w:rPr>
          <w:rFonts w:asciiTheme="minorHAnsi" w:hAnsiTheme="minorHAnsi" w:cstheme="minorHAnsi"/>
          <w:noProof/>
          <w:sz w:val="22"/>
        </w:rPr>
        <w:t>miejsko-wiejskie</w:t>
      </w:r>
      <w:r w:rsidR="001330F4" w:rsidRPr="00890249">
        <w:rPr>
          <w:rFonts w:asciiTheme="minorHAnsi" w:hAnsiTheme="minorHAnsi" w:cstheme="minorHAnsi"/>
          <w:noProof/>
          <w:sz w:val="22"/>
        </w:rPr>
        <w:t xml:space="preserve"> regionu posiadające GPR</w:t>
      </w:r>
      <w:r w:rsidR="00431677" w:rsidRPr="00890249">
        <w:rPr>
          <w:rFonts w:asciiTheme="minorHAnsi" w:hAnsiTheme="minorHAnsi" w:cstheme="minorHAnsi"/>
          <w:noProof/>
          <w:sz w:val="22"/>
        </w:rPr>
        <w:t>).</w:t>
      </w:r>
    </w:p>
    <w:p w14:paraId="5D4A7FBD" w14:textId="7654094A" w:rsidR="0093433C" w:rsidRPr="00890249" w:rsidRDefault="00875C92"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Strategia ZIT </w:t>
      </w:r>
      <w:r w:rsidR="00BD3B5E" w:rsidRPr="00890249">
        <w:rPr>
          <w:rFonts w:asciiTheme="minorHAnsi" w:hAnsiTheme="minorHAnsi" w:cstheme="minorHAnsi"/>
          <w:noProof/>
          <w:sz w:val="22"/>
        </w:rPr>
        <w:t xml:space="preserve">oraz GPR </w:t>
      </w:r>
      <w:r w:rsidRPr="00890249">
        <w:rPr>
          <w:rFonts w:asciiTheme="minorHAnsi" w:hAnsiTheme="minorHAnsi" w:cstheme="minorHAnsi"/>
          <w:noProof/>
          <w:sz w:val="22"/>
        </w:rPr>
        <w:t xml:space="preserve">musi zawierać listę projektów wraz z informacją na temat sposobu ich </w:t>
      </w:r>
      <w:r w:rsidR="002F0700" w:rsidRPr="00890249">
        <w:rPr>
          <w:rFonts w:asciiTheme="minorHAnsi" w:hAnsiTheme="minorHAnsi" w:cstheme="minorHAnsi"/>
          <w:noProof/>
          <w:sz w:val="22"/>
        </w:rPr>
        <w:t>wskazania</w:t>
      </w:r>
      <w:r w:rsidR="00776640" w:rsidRPr="00890249">
        <w:rPr>
          <w:rFonts w:asciiTheme="minorHAnsi" w:hAnsiTheme="minorHAnsi" w:cstheme="minorHAnsi"/>
          <w:noProof/>
          <w:sz w:val="22"/>
        </w:rPr>
        <w:t xml:space="preserve"> </w:t>
      </w:r>
      <w:r w:rsidRPr="00890249">
        <w:rPr>
          <w:rFonts w:asciiTheme="minorHAnsi" w:hAnsiTheme="minorHAnsi" w:cstheme="minorHAnsi"/>
          <w:noProof/>
          <w:sz w:val="22"/>
        </w:rPr>
        <w:t xml:space="preserve">oraz powiązania z innymi projektami (projekty uzgodnione między partnerami), co umożliwi udział władz lokalnych w procesie ich wyboru, a tym samym spełni warunki art. 29 rozporządzenia ogólnego. </w:t>
      </w:r>
      <w:r w:rsidR="009B0D39" w:rsidRPr="00890249">
        <w:rPr>
          <w:rFonts w:asciiTheme="minorHAnsi" w:hAnsiTheme="minorHAnsi" w:cstheme="minorHAnsi"/>
          <w:sz w:val="22"/>
        </w:rPr>
        <w:t xml:space="preserve"> </w:t>
      </w:r>
      <w:r w:rsidR="009B0D39" w:rsidRPr="00890249">
        <w:rPr>
          <w:rFonts w:asciiTheme="minorHAnsi" w:hAnsiTheme="minorHAnsi" w:cstheme="minorHAnsi"/>
          <w:noProof/>
          <w:sz w:val="22"/>
        </w:rPr>
        <w:t xml:space="preserve">Strategie ZIT i IIT będą opiniowane przez IZ.   </w:t>
      </w:r>
    </w:p>
    <w:p w14:paraId="162B4FAF" w14:textId="77777777" w:rsidR="0093433C" w:rsidRPr="00890249" w:rsidRDefault="005A0597" w:rsidP="00890249">
      <w:pPr>
        <w:pStyle w:val="Tekstpodstawowy"/>
        <w:rPr>
          <w:rFonts w:asciiTheme="minorHAnsi" w:hAnsiTheme="minorHAnsi" w:cstheme="minorHAnsi"/>
          <w:noProof/>
          <w:sz w:val="22"/>
        </w:rPr>
      </w:pPr>
      <w:r w:rsidRPr="00890249">
        <w:rPr>
          <w:rFonts w:asciiTheme="minorHAnsi" w:hAnsiTheme="minorHAnsi" w:cstheme="minorHAnsi"/>
          <w:noProof/>
          <w:sz w:val="22"/>
        </w:rPr>
        <w:t>Na jednym obszarze może funkcjonować więcej niż jeden instrument terytorialny (wykluczając pokrywanie się instrumentów tego samego typu).</w:t>
      </w:r>
    </w:p>
    <w:p w14:paraId="302E3664" w14:textId="77777777" w:rsidR="004E7F06" w:rsidRPr="00890249" w:rsidRDefault="004E7F06" w:rsidP="004E7F06">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 xml:space="preserve">Działania międzyregionalne, transgraniczne i transnarodowe </w:t>
      </w:r>
    </w:p>
    <w:p w14:paraId="3F679CFB" w14:textId="31479964" w:rsidR="0093433C" w:rsidRPr="00890249" w:rsidRDefault="004254F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Współpraca transgraniczna między regionem a Czechami stale się rozwija, zwłaszcza na polu kulturalnym i społecznym, zapewniając mechanizmy komplementarności z FEO 2021-2027 po obu stronach granicy. Wzmocnienie trwałych relacji transgranicznych na poziomie lokalnym i regionalnym, opartych na zaufaniu pomiędzy mieszkańcami i instytucjami obszaru pogranicza, rozwijanie poczucia świadomości i tożsamości regionalnej, oraz wzmacnianie wzajemnego zrozumienia, jest jednym z celów programu Interreg, zapewnia właściwą kontrybucję w tym zakresie do </w:t>
      </w:r>
      <w:r w:rsidR="000F1CA4" w:rsidRPr="00890249">
        <w:rPr>
          <w:rFonts w:asciiTheme="minorHAnsi" w:hAnsiTheme="minorHAnsi" w:cstheme="minorHAnsi"/>
          <w:noProof/>
          <w:sz w:val="22"/>
          <w:szCs w:val="22"/>
        </w:rPr>
        <w:t>CP 5</w:t>
      </w:r>
      <w:r w:rsidRPr="00890249">
        <w:rPr>
          <w:rFonts w:asciiTheme="minorHAnsi" w:hAnsiTheme="minorHAnsi" w:cstheme="minorHAnsi"/>
          <w:noProof/>
          <w:sz w:val="22"/>
          <w:szCs w:val="22"/>
        </w:rPr>
        <w:t xml:space="preserve"> polityki spójności realizowanego w FEO 2021-2027.</w:t>
      </w:r>
    </w:p>
    <w:p w14:paraId="21B56FD5" w14:textId="22D46001" w:rsidR="0093433C" w:rsidRPr="00890249" w:rsidRDefault="004254F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Inwestycje w </w:t>
      </w:r>
      <w:r w:rsidR="000F1CA4" w:rsidRPr="00890249">
        <w:rPr>
          <w:rFonts w:asciiTheme="minorHAnsi" w:hAnsiTheme="minorHAnsi" w:cstheme="minorHAnsi"/>
          <w:noProof/>
          <w:sz w:val="22"/>
          <w:szCs w:val="22"/>
        </w:rPr>
        <w:t xml:space="preserve">obiekty i obszary </w:t>
      </w:r>
      <w:r w:rsidRPr="00890249">
        <w:rPr>
          <w:rFonts w:asciiTheme="minorHAnsi" w:hAnsiTheme="minorHAnsi" w:cstheme="minorHAnsi"/>
          <w:noProof/>
          <w:sz w:val="22"/>
          <w:szCs w:val="22"/>
        </w:rPr>
        <w:t xml:space="preserve">najważniejsze z punktu widzenia wartości historycznej województwa będą wzmacniać związek regionu z europejskim i światowym dziedzictwem kulturowym. Zachowanie i rozwój obiektów dziedzictwa kulturowego wpłynie na wzmocnienie tożsamości, atrakcyjności turystycznej i inwestycyjnej regionu. </w:t>
      </w:r>
    </w:p>
    <w:p w14:paraId="576EB703" w14:textId="77777777" w:rsidR="0093433C" w:rsidRPr="00890249" w:rsidRDefault="004254F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lastRenderedPageBreak/>
        <w:t xml:space="preserve">Rozwój instytucji kultury oraz zachowanie obiektów dziedzictwa kulturowego będzie tworzyć przestrzeń dla współpracy z partnerami z różnych krajów oraz wzmacniać prorozwojowe oddziaływanie projektów kulturowych także poprzez tworzenie sieci współpracy i budowania partnerstw w otoczeniu międzynarodowym. </w:t>
      </w:r>
    </w:p>
    <w:p w14:paraId="5492246A" w14:textId="4873D590" w:rsidR="0093433C" w:rsidRPr="00890249" w:rsidRDefault="00586DD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Preferowane</w:t>
      </w:r>
      <w:r w:rsidR="00530E13" w:rsidRPr="00890249">
        <w:rPr>
          <w:rFonts w:asciiTheme="minorHAnsi" w:hAnsiTheme="minorHAnsi" w:cstheme="minorHAnsi"/>
          <w:noProof/>
          <w:sz w:val="22"/>
          <w:szCs w:val="22"/>
        </w:rPr>
        <w:t xml:space="preserve"> w cs (i)</w:t>
      </w:r>
      <w:r w:rsidRPr="00890249">
        <w:rPr>
          <w:rFonts w:asciiTheme="minorHAnsi" w:hAnsiTheme="minorHAnsi" w:cstheme="minorHAnsi"/>
          <w:noProof/>
          <w:sz w:val="22"/>
          <w:szCs w:val="22"/>
        </w:rPr>
        <w:t xml:space="preserve"> będą projekty komplementarne i uzupełniające do projektów wdrażanych w</w:t>
      </w:r>
      <w:r w:rsidR="004E7F06" w:rsidRPr="00890249">
        <w:rPr>
          <w:rFonts w:asciiTheme="minorHAnsi" w:hAnsiTheme="minorHAnsi" w:cstheme="minorHAnsi"/>
          <w:noProof/>
          <w:sz w:val="22"/>
          <w:szCs w:val="22"/>
        </w:rPr>
        <w:t> </w:t>
      </w:r>
      <w:r w:rsidRPr="00890249">
        <w:rPr>
          <w:rFonts w:asciiTheme="minorHAnsi" w:hAnsiTheme="minorHAnsi" w:cstheme="minorHAnsi"/>
          <w:noProof/>
          <w:sz w:val="22"/>
          <w:szCs w:val="22"/>
        </w:rPr>
        <w:t>programie Interreg.</w:t>
      </w:r>
    </w:p>
    <w:p w14:paraId="63FAA781" w14:textId="65133D3A" w:rsidR="0093433C" w:rsidRPr="00890249" w:rsidRDefault="00586DD6"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w:t>
      </w:r>
      <w:r w:rsidR="004254F8" w:rsidRPr="00890249">
        <w:rPr>
          <w:rFonts w:asciiTheme="minorHAnsi" w:hAnsiTheme="minorHAnsi" w:cstheme="minorHAnsi"/>
          <w:noProof/>
          <w:sz w:val="22"/>
          <w:szCs w:val="22"/>
        </w:rPr>
        <w:t>lanowana interwencja będzie przyczyniać się do zacieśniania współpracy międzynarodowej, co jest głównym celem makroregionalnej Strategii UE dla Regionu Morza Bałtyckiego. Strategia stwarza możliwość nawiązania szerokich kontaktów z partnerami makroregionu, inicjowania nowych projektów oraz promowania na forum międzynarodowym projektów już istniejących. Poprawa warunków eksponowania dzieł regionalnych twórców kultury i zabytków ruchomych, wpłynie na zwiększenie dostępności oferty kulturalnej oraz rozpoznawalności naszego regionu za granicą, a także możliwość rozwoju współpracy międzysektorowej dzięki udostępnianiu zasobów w celach naukowych.</w:t>
      </w:r>
    </w:p>
    <w:p w14:paraId="4D9511E6" w14:textId="77777777" w:rsidR="004E7F06" w:rsidRPr="00890249" w:rsidRDefault="004E7F06" w:rsidP="004E7F06">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 xml:space="preserve">Planowane wykorzystanie instrumentów finansowych </w:t>
      </w:r>
    </w:p>
    <w:p w14:paraId="45652ADC" w14:textId="77777777" w:rsidR="0093433C" w:rsidRPr="00890249" w:rsidRDefault="00BD498B"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W ramach </w:t>
      </w:r>
      <w:r w:rsidR="00963835" w:rsidRPr="00890249">
        <w:rPr>
          <w:rFonts w:asciiTheme="minorHAnsi" w:hAnsiTheme="minorHAnsi" w:cstheme="minorHAnsi"/>
          <w:noProof/>
          <w:sz w:val="22"/>
        </w:rPr>
        <w:t>cs</w:t>
      </w:r>
      <w:r w:rsidRPr="00890249">
        <w:rPr>
          <w:rFonts w:asciiTheme="minorHAnsi" w:hAnsiTheme="minorHAnsi" w:cstheme="minorHAnsi"/>
          <w:noProof/>
          <w:sz w:val="22"/>
        </w:rPr>
        <w:t xml:space="preserve"> (i) nie planuje się wykorzystania IF.</w:t>
      </w:r>
    </w:p>
    <w:p w14:paraId="48C98295" w14:textId="77777777" w:rsidR="0093433C" w:rsidRPr="00890249" w:rsidRDefault="00BD498B" w:rsidP="00890249">
      <w:pPr>
        <w:pStyle w:val="Tekstpodstawowy"/>
        <w:rPr>
          <w:rFonts w:asciiTheme="minorHAnsi" w:hAnsiTheme="minorHAnsi" w:cstheme="minorHAnsi"/>
          <w:noProof/>
          <w:sz w:val="22"/>
        </w:rPr>
      </w:pPr>
      <w:r w:rsidRPr="00890249">
        <w:rPr>
          <w:rFonts w:asciiTheme="minorHAnsi" w:hAnsiTheme="minorHAnsi" w:cstheme="minorHAnsi"/>
          <w:noProof/>
          <w:sz w:val="22"/>
        </w:rPr>
        <w:t>Większość instytucji kultury nie prowadzi działalności</w:t>
      </w:r>
      <w:r w:rsidR="00963835" w:rsidRPr="00890249">
        <w:rPr>
          <w:rFonts w:asciiTheme="minorHAnsi" w:hAnsiTheme="minorHAnsi" w:cstheme="minorHAnsi"/>
          <w:noProof/>
          <w:sz w:val="22"/>
        </w:rPr>
        <w:t xml:space="preserve"> gospodarczej, nie konkuruje mię</w:t>
      </w:r>
      <w:r w:rsidRPr="00890249">
        <w:rPr>
          <w:rFonts w:asciiTheme="minorHAnsi" w:hAnsiTheme="minorHAnsi" w:cstheme="minorHAnsi"/>
          <w:noProof/>
          <w:sz w:val="22"/>
        </w:rPr>
        <w:t xml:space="preserve">dzy sobą </w:t>
      </w:r>
      <w:r w:rsidR="006E601A" w:rsidRPr="00890249">
        <w:rPr>
          <w:rFonts w:asciiTheme="minorHAnsi" w:hAnsiTheme="minorHAnsi" w:cstheme="minorHAnsi"/>
          <w:noProof/>
          <w:sz w:val="22"/>
        </w:rPr>
        <w:br/>
      </w:r>
      <w:r w:rsidRPr="00890249">
        <w:rPr>
          <w:rFonts w:asciiTheme="minorHAnsi" w:hAnsiTheme="minorHAnsi" w:cstheme="minorHAnsi"/>
          <w:noProof/>
          <w:sz w:val="22"/>
        </w:rPr>
        <w:t xml:space="preserve">i realizuje cele publiczne. </w:t>
      </w:r>
    </w:p>
    <w:p w14:paraId="19CF9BA5" w14:textId="77777777" w:rsidR="0093433C" w:rsidRPr="00890249" w:rsidRDefault="00BD498B" w:rsidP="00890249">
      <w:pPr>
        <w:pStyle w:val="Tekstpodstawowy"/>
        <w:rPr>
          <w:rFonts w:asciiTheme="minorHAnsi" w:hAnsiTheme="minorHAnsi" w:cstheme="minorHAnsi"/>
          <w:noProof/>
          <w:sz w:val="22"/>
        </w:rPr>
      </w:pPr>
      <w:r w:rsidRPr="00890249">
        <w:rPr>
          <w:rFonts w:asciiTheme="minorHAnsi" w:hAnsiTheme="minorHAnsi" w:cstheme="minorHAnsi"/>
          <w:noProof/>
          <w:sz w:val="22"/>
        </w:rPr>
        <w:t>Projekty dotyczące inwestycji dotyczących konserwacji zabytków ruchomych, szlaków turystycznych, cechuje publiczny, nieograniczony dostęp do nich.</w:t>
      </w:r>
    </w:p>
    <w:p w14:paraId="38A2F4E2" w14:textId="2E20BFD3" w:rsidR="0093433C" w:rsidRPr="00890249" w:rsidRDefault="00BD498B" w:rsidP="00890249">
      <w:pPr>
        <w:pStyle w:val="Tekstpodstawowy"/>
        <w:rPr>
          <w:rFonts w:asciiTheme="minorHAnsi" w:hAnsiTheme="minorHAnsi" w:cstheme="minorHAnsi"/>
          <w:sz w:val="22"/>
          <w:lang w:eastAsia="en-US" w:bidi="ar-SA"/>
        </w:rPr>
      </w:pPr>
      <w:r w:rsidRPr="00890249">
        <w:rPr>
          <w:rFonts w:asciiTheme="minorHAnsi" w:hAnsiTheme="minorHAnsi" w:cstheme="minorHAnsi"/>
          <w:sz w:val="22"/>
          <w:lang w:eastAsia="en-US" w:bidi="ar-SA"/>
        </w:rPr>
        <w:t>Bariery w zastosowaniu IF w zakresie rewitalizacji to m.in.:</w:t>
      </w:r>
    </w:p>
    <w:p w14:paraId="3AE7CF8E" w14:textId="396BCEC1" w:rsidR="0093433C" w:rsidRPr="00890249" w:rsidRDefault="00BD498B" w:rsidP="009F296A">
      <w:pPr>
        <w:pStyle w:val="Listapunktowana"/>
        <w:numPr>
          <w:ilvl w:val="0"/>
          <w:numId w:val="29"/>
        </w:numPr>
        <w:rPr>
          <w:rFonts w:asciiTheme="minorHAnsi" w:hAnsiTheme="minorHAnsi" w:cstheme="minorHAnsi"/>
          <w:sz w:val="22"/>
          <w:lang w:eastAsia="en-US" w:bidi="ar-SA"/>
        </w:rPr>
      </w:pPr>
      <w:r w:rsidRPr="00890249">
        <w:rPr>
          <w:rFonts w:asciiTheme="minorHAnsi" w:hAnsiTheme="minorHAnsi" w:cstheme="minorHAnsi"/>
          <w:sz w:val="22"/>
          <w:lang w:eastAsia="en-US" w:bidi="ar-SA"/>
        </w:rPr>
        <w:t xml:space="preserve">duża część projektów rewitalizacyjnych nie generuje </w:t>
      </w:r>
      <w:r w:rsidR="002B26B6" w:rsidRPr="00890249">
        <w:rPr>
          <w:rFonts w:asciiTheme="minorHAnsi" w:hAnsiTheme="minorHAnsi" w:cstheme="minorHAnsi"/>
          <w:sz w:val="22"/>
          <w:lang w:eastAsia="en-US" w:bidi="ar-SA"/>
        </w:rPr>
        <w:t>do</w:t>
      </w:r>
      <w:r w:rsidRPr="00890249">
        <w:rPr>
          <w:rFonts w:asciiTheme="minorHAnsi" w:hAnsiTheme="minorHAnsi" w:cstheme="minorHAnsi"/>
          <w:sz w:val="22"/>
          <w:lang w:eastAsia="en-US" w:bidi="ar-SA"/>
        </w:rPr>
        <w:t xml:space="preserve">chodów, </w:t>
      </w:r>
    </w:p>
    <w:p w14:paraId="58B15423" w14:textId="77777777" w:rsidR="0093433C" w:rsidRPr="00890249" w:rsidRDefault="00BD498B" w:rsidP="009F296A">
      <w:pPr>
        <w:pStyle w:val="Listapunktowana"/>
        <w:numPr>
          <w:ilvl w:val="0"/>
          <w:numId w:val="29"/>
        </w:numPr>
        <w:rPr>
          <w:rFonts w:asciiTheme="minorHAnsi" w:hAnsiTheme="minorHAnsi" w:cstheme="minorHAnsi"/>
          <w:sz w:val="22"/>
          <w:lang w:eastAsia="en-US" w:bidi="ar-SA"/>
        </w:rPr>
      </w:pPr>
      <w:r w:rsidRPr="00890249">
        <w:rPr>
          <w:rFonts w:asciiTheme="minorHAnsi" w:hAnsiTheme="minorHAnsi" w:cstheme="minorHAnsi"/>
          <w:sz w:val="22"/>
          <w:lang w:eastAsia="en-US" w:bidi="ar-SA"/>
        </w:rPr>
        <w:t>wymogi w zakresie elementów społecznych negatywnie wpływają na finansowe wskaźniki projektów rewitalizacyjnych – projekt może nie wygenerować odpowiednich dochodów pozwalających na spłatę IF,</w:t>
      </w:r>
    </w:p>
    <w:p w14:paraId="5A2209A7" w14:textId="77777777" w:rsidR="0093433C" w:rsidRPr="00890249" w:rsidRDefault="00BD498B" w:rsidP="009F296A">
      <w:pPr>
        <w:pStyle w:val="Listapunktowana"/>
        <w:numPr>
          <w:ilvl w:val="0"/>
          <w:numId w:val="29"/>
        </w:numPr>
        <w:rPr>
          <w:rFonts w:asciiTheme="minorHAnsi" w:hAnsiTheme="minorHAnsi" w:cstheme="minorHAnsi"/>
          <w:sz w:val="22"/>
          <w:lang w:eastAsia="en-US" w:bidi="ar-SA"/>
        </w:rPr>
      </w:pPr>
      <w:r w:rsidRPr="00890249">
        <w:rPr>
          <w:rFonts w:asciiTheme="minorHAnsi" w:hAnsiTheme="minorHAnsi" w:cstheme="minorHAnsi"/>
          <w:sz w:val="22"/>
          <w:lang w:eastAsia="en-US" w:bidi="ar-SA"/>
        </w:rPr>
        <w:t>obszary poddawane rewitalizacji są obszarami w sposób szczególny dotkniętymi negatywnymi zjawiskami, m.in. w aspektach przestrzenno-funkcjonalnych oraz technicznych,</w:t>
      </w:r>
    </w:p>
    <w:p w14:paraId="372F937B" w14:textId="77777777" w:rsidR="0093433C" w:rsidRPr="00890249" w:rsidRDefault="00BD498B" w:rsidP="009F296A">
      <w:pPr>
        <w:pStyle w:val="Listapunktowana"/>
        <w:numPr>
          <w:ilvl w:val="0"/>
          <w:numId w:val="29"/>
        </w:numPr>
        <w:rPr>
          <w:rFonts w:asciiTheme="minorHAnsi" w:hAnsiTheme="minorHAnsi" w:cstheme="minorHAnsi"/>
          <w:sz w:val="22"/>
          <w:lang w:eastAsia="en-US" w:bidi="ar-SA"/>
        </w:rPr>
      </w:pPr>
      <w:r w:rsidRPr="00890249">
        <w:rPr>
          <w:rFonts w:asciiTheme="minorHAnsi" w:hAnsiTheme="minorHAnsi" w:cstheme="minorHAnsi"/>
          <w:sz w:val="22"/>
          <w:lang w:eastAsia="en-US" w:bidi="ar-SA"/>
        </w:rPr>
        <w:t>projekty rewitaliz</w:t>
      </w:r>
      <w:r w:rsidR="008C7ACA" w:rsidRPr="00890249">
        <w:rPr>
          <w:rFonts w:asciiTheme="minorHAnsi" w:hAnsiTheme="minorHAnsi" w:cstheme="minorHAnsi"/>
          <w:sz w:val="22"/>
          <w:lang w:eastAsia="en-US" w:bidi="ar-SA"/>
        </w:rPr>
        <w:t>acyjne realizowane są na obszarach</w:t>
      </w:r>
      <w:r w:rsidRPr="00890249">
        <w:rPr>
          <w:rFonts w:asciiTheme="minorHAnsi" w:hAnsiTheme="minorHAnsi" w:cstheme="minorHAnsi"/>
          <w:sz w:val="22"/>
          <w:lang w:eastAsia="en-US" w:bidi="ar-SA"/>
        </w:rPr>
        <w:t xml:space="preserve"> kryzysowy</w:t>
      </w:r>
      <w:r w:rsidR="008C7ACA" w:rsidRPr="00890249">
        <w:rPr>
          <w:rFonts w:asciiTheme="minorHAnsi" w:hAnsiTheme="minorHAnsi" w:cstheme="minorHAnsi"/>
          <w:sz w:val="22"/>
          <w:lang w:eastAsia="en-US" w:bidi="ar-SA"/>
        </w:rPr>
        <w:t>ch</w:t>
      </w:r>
      <w:r w:rsidRPr="00890249">
        <w:rPr>
          <w:rFonts w:asciiTheme="minorHAnsi" w:hAnsiTheme="minorHAnsi" w:cstheme="minorHAnsi"/>
          <w:sz w:val="22"/>
          <w:lang w:eastAsia="en-US" w:bidi="ar-SA"/>
        </w:rPr>
        <w:t xml:space="preserve"> danej gminy, która boryka się </w:t>
      </w:r>
      <w:r w:rsidR="006E601A" w:rsidRPr="00890249">
        <w:rPr>
          <w:rFonts w:asciiTheme="minorHAnsi" w:hAnsiTheme="minorHAnsi" w:cstheme="minorHAnsi"/>
          <w:sz w:val="22"/>
          <w:lang w:eastAsia="en-US" w:bidi="ar-SA"/>
        </w:rPr>
        <w:br/>
      </w:r>
      <w:r w:rsidRPr="00890249">
        <w:rPr>
          <w:rFonts w:asciiTheme="minorHAnsi" w:hAnsiTheme="minorHAnsi" w:cstheme="minorHAnsi"/>
          <w:sz w:val="22"/>
          <w:lang w:eastAsia="en-US" w:bidi="ar-SA"/>
        </w:rPr>
        <w:t>z różnego rodzaju problemami, w tym gospodarczymi, społecznymi, środowiskowymi czy technicznymi.</w:t>
      </w:r>
    </w:p>
    <w:p w14:paraId="0B2F74B8" w14:textId="369D6CA5" w:rsidR="004E7F06" w:rsidRPr="00890249" w:rsidRDefault="004E7F06" w:rsidP="004E7F06">
      <w:pPr>
        <w:spacing w:before="0" w:after="160" w:line="259" w:lineRule="auto"/>
        <w:jc w:val="left"/>
        <w:rPr>
          <w:rFonts w:asciiTheme="minorHAnsi" w:hAnsiTheme="minorHAnsi" w:cstheme="minorHAnsi"/>
          <w:sz w:val="22"/>
          <w:lang w:eastAsia="en-US" w:bidi="ar-SA"/>
        </w:rPr>
      </w:pPr>
      <w:r w:rsidRPr="00890249">
        <w:rPr>
          <w:rFonts w:asciiTheme="minorHAnsi" w:hAnsiTheme="minorHAnsi" w:cstheme="minorHAnsi"/>
          <w:sz w:val="22"/>
          <w:lang w:eastAsia="en-US" w:bidi="ar-SA"/>
        </w:rPr>
        <w:br w:type="page"/>
      </w:r>
    </w:p>
    <w:p w14:paraId="7D592E14" w14:textId="77777777" w:rsidR="004E7F06" w:rsidRPr="00890249" w:rsidRDefault="004E7F06" w:rsidP="004E7F06">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lastRenderedPageBreak/>
        <w:t>2.1.10.1.2 (i)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48"/>
        <w:gridCol w:w="690"/>
        <w:gridCol w:w="1004"/>
        <w:gridCol w:w="863"/>
        <w:gridCol w:w="2552"/>
        <w:gridCol w:w="709"/>
        <w:gridCol w:w="910"/>
        <w:gridCol w:w="1069"/>
      </w:tblGrid>
      <w:tr w:rsidR="00BD498B" w:rsidRPr="00890249" w14:paraId="46A7D6D4" w14:textId="77777777" w:rsidTr="00D15D64">
        <w:trPr>
          <w:trHeight w:val="425"/>
        </w:trPr>
        <w:tc>
          <w:tcPr>
            <w:tcW w:w="5000" w:type="pct"/>
            <w:gridSpan w:val="9"/>
            <w:shd w:val="clear" w:color="auto" w:fill="D9D9D9" w:themeFill="background1" w:themeFillShade="D9"/>
          </w:tcPr>
          <w:p w14:paraId="0C417811" w14:textId="77777777" w:rsidR="00BD498B" w:rsidRPr="00890249" w:rsidRDefault="00BD498B" w:rsidP="00BD498B">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BD498B" w:rsidRPr="00890249" w14:paraId="6CC247A2" w14:textId="77777777" w:rsidTr="00D15D64">
        <w:trPr>
          <w:cantSplit/>
          <w:trHeight w:val="1647"/>
        </w:trPr>
        <w:tc>
          <w:tcPr>
            <w:tcW w:w="285" w:type="pct"/>
            <w:shd w:val="clear" w:color="auto" w:fill="F2F2F2" w:themeFill="background1" w:themeFillShade="F2"/>
            <w:textDirection w:val="btLr"/>
            <w:vAlign w:val="center"/>
          </w:tcPr>
          <w:p w14:paraId="2FE954C4"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13" w:type="pct"/>
            <w:shd w:val="clear" w:color="auto" w:fill="F2F2F2" w:themeFill="background1" w:themeFillShade="F2"/>
            <w:textDirection w:val="btLr"/>
            <w:vAlign w:val="center"/>
          </w:tcPr>
          <w:p w14:paraId="25659D33"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81" w:type="pct"/>
            <w:shd w:val="clear" w:color="auto" w:fill="F2F2F2" w:themeFill="background1" w:themeFillShade="F2"/>
            <w:textDirection w:val="btLr"/>
            <w:vAlign w:val="center"/>
          </w:tcPr>
          <w:p w14:paraId="464C77A2"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54" w:type="pct"/>
            <w:shd w:val="clear" w:color="auto" w:fill="F2F2F2" w:themeFill="background1" w:themeFillShade="F2"/>
            <w:textDirection w:val="btLr"/>
            <w:vAlign w:val="center"/>
          </w:tcPr>
          <w:p w14:paraId="7E964DFA"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476" w:type="pct"/>
            <w:shd w:val="clear" w:color="auto" w:fill="F2F2F2" w:themeFill="background1" w:themeFillShade="F2"/>
            <w:textDirection w:val="btLr"/>
            <w:vAlign w:val="center"/>
          </w:tcPr>
          <w:p w14:paraId="673A5EA3"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408" w:type="pct"/>
            <w:shd w:val="clear" w:color="auto" w:fill="F2F2F2" w:themeFill="background1" w:themeFillShade="F2"/>
            <w:textDirection w:val="btLr"/>
            <w:vAlign w:val="center"/>
          </w:tcPr>
          <w:p w14:paraId="454D85EE"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391" w:type="pct"/>
            <w:shd w:val="clear" w:color="auto" w:fill="F2F2F2" w:themeFill="background1" w:themeFillShade="F2"/>
            <w:textDirection w:val="btLr"/>
            <w:vAlign w:val="center"/>
          </w:tcPr>
          <w:p w14:paraId="4A17D8D2"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02" w:type="pct"/>
            <w:shd w:val="clear" w:color="auto" w:fill="F2F2F2" w:themeFill="background1" w:themeFillShade="F2"/>
            <w:textDirection w:val="btLr"/>
            <w:vAlign w:val="center"/>
          </w:tcPr>
          <w:p w14:paraId="0FE5D692"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90" w:type="pct"/>
            <w:shd w:val="clear" w:color="auto" w:fill="F2F2F2" w:themeFill="background1" w:themeFillShade="F2"/>
            <w:textDirection w:val="btLr"/>
            <w:vAlign w:val="center"/>
          </w:tcPr>
          <w:p w14:paraId="7F655030"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625B7D" w:rsidRPr="00890249" w14:paraId="70C06FF8" w14:textId="77777777" w:rsidTr="00890249">
        <w:trPr>
          <w:trHeight w:val="340"/>
        </w:trPr>
        <w:tc>
          <w:tcPr>
            <w:tcW w:w="285" w:type="pct"/>
            <w:vAlign w:val="center"/>
          </w:tcPr>
          <w:p w14:paraId="7442F7FA" w14:textId="77777777" w:rsidR="00625B7D" w:rsidRPr="00890249" w:rsidRDefault="00625B7D" w:rsidP="00625B7D">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13" w:type="pct"/>
            <w:vAlign w:val="center"/>
          </w:tcPr>
          <w:p w14:paraId="483021D7"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798EFDDC"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7DADC912" w14:textId="77777777" w:rsidR="00625B7D" w:rsidRPr="00890249" w:rsidRDefault="00625B7D" w:rsidP="00625B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76" w:type="pct"/>
            <w:vAlign w:val="center"/>
          </w:tcPr>
          <w:p w14:paraId="0F07A3F7"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RCO074</w:t>
            </w:r>
          </w:p>
        </w:tc>
        <w:tc>
          <w:tcPr>
            <w:tcW w:w="1408" w:type="pct"/>
            <w:shd w:val="clear" w:color="auto" w:fill="auto"/>
            <w:vAlign w:val="center"/>
          </w:tcPr>
          <w:p w14:paraId="3329E7EA" w14:textId="77777777" w:rsidR="00625B7D" w:rsidRPr="00890249" w:rsidRDefault="00875C92" w:rsidP="00625B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Ludność objęta projektami w ramach strategii zintegrowanego rozwoju terytorialnego</w:t>
            </w:r>
          </w:p>
        </w:tc>
        <w:tc>
          <w:tcPr>
            <w:tcW w:w="391" w:type="pct"/>
            <w:vAlign w:val="center"/>
          </w:tcPr>
          <w:p w14:paraId="69B2C3C9"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osoby</w:t>
            </w:r>
          </w:p>
        </w:tc>
        <w:tc>
          <w:tcPr>
            <w:tcW w:w="502" w:type="pct"/>
            <w:shd w:val="clear" w:color="auto" w:fill="auto"/>
            <w:vAlign w:val="center"/>
          </w:tcPr>
          <w:p w14:paraId="0A0DF6AD" w14:textId="77777777" w:rsidR="00625B7D" w:rsidRPr="00890249" w:rsidRDefault="00625B7D" w:rsidP="004E72E6">
            <w:pPr>
              <w:jc w:val="center"/>
              <w:rPr>
                <w:rFonts w:asciiTheme="minorHAnsi" w:hAnsiTheme="minorHAnsi" w:cstheme="minorHAnsi"/>
                <w:noProof/>
                <w:sz w:val="8"/>
                <w:szCs w:val="8"/>
              </w:rPr>
            </w:pPr>
            <w:r w:rsidRPr="00890249">
              <w:rPr>
                <w:rFonts w:asciiTheme="minorHAnsi" w:hAnsiTheme="minorHAnsi" w:cstheme="minorHAnsi"/>
                <w:noProof/>
                <w:sz w:val="18"/>
                <w:szCs w:val="16"/>
              </w:rPr>
              <w:t>74 000</w:t>
            </w:r>
          </w:p>
        </w:tc>
        <w:tc>
          <w:tcPr>
            <w:tcW w:w="590" w:type="pct"/>
            <w:shd w:val="clear" w:color="auto" w:fill="auto"/>
            <w:vAlign w:val="center"/>
          </w:tcPr>
          <w:p w14:paraId="54BCF99A" w14:textId="77777777" w:rsidR="00625B7D" w:rsidRPr="00890249" w:rsidRDefault="00625B7D" w:rsidP="00625B7D">
            <w:pPr>
              <w:spacing w:before="0"/>
              <w:jc w:val="center"/>
              <w:rPr>
                <w:rFonts w:asciiTheme="minorHAnsi" w:hAnsiTheme="minorHAnsi" w:cstheme="minorHAnsi"/>
                <w:noProof/>
                <w:sz w:val="18"/>
                <w:szCs w:val="16"/>
              </w:rPr>
            </w:pPr>
            <w:r w:rsidRPr="00890249">
              <w:rPr>
                <w:rFonts w:asciiTheme="minorHAnsi" w:hAnsiTheme="minorHAnsi" w:cstheme="minorHAnsi"/>
                <w:noProof/>
                <w:sz w:val="18"/>
                <w:szCs w:val="16"/>
              </w:rPr>
              <w:t>74</w:t>
            </w:r>
            <w:r w:rsidR="004E72E6" w:rsidRPr="00890249">
              <w:rPr>
                <w:rFonts w:asciiTheme="minorHAnsi" w:hAnsiTheme="minorHAnsi" w:cstheme="minorHAnsi"/>
                <w:noProof/>
                <w:sz w:val="18"/>
                <w:szCs w:val="16"/>
              </w:rPr>
              <w:t>0</w:t>
            </w:r>
            <w:r w:rsidRPr="00890249">
              <w:rPr>
                <w:rFonts w:asciiTheme="minorHAnsi" w:hAnsiTheme="minorHAnsi" w:cstheme="minorHAnsi"/>
                <w:noProof/>
                <w:sz w:val="18"/>
                <w:szCs w:val="16"/>
              </w:rPr>
              <w:t xml:space="preserve"> 000</w:t>
            </w:r>
          </w:p>
        </w:tc>
      </w:tr>
      <w:tr w:rsidR="00625B7D" w:rsidRPr="00890249" w14:paraId="3A86D64C" w14:textId="77777777" w:rsidTr="00890249">
        <w:trPr>
          <w:trHeight w:val="340"/>
        </w:trPr>
        <w:tc>
          <w:tcPr>
            <w:tcW w:w="285" w:type="pct"/>
            <w:vAlign w:val="center"/>
          </w:tcPr>
          <w:p w14:paraId="219473EF" w14:textId="77777777" w:rsidR="00625B7D" w:rsidRPr="00890249" w:rsidRDefault="00625B7D" w:rsidP="00625B7D">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13" w:type="pct"/>
            <w:vAlign w:val="center"/>
          </w:tcPr>
          <w:p w14:paraId="57304E99"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734414F4"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15E4B886" w14:textId="77777777" w:rsidR="00625B7D" w:rsidRPr="00890249" w:rsidRDefault="00625B7D" w:rsidP="00625B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76" w:type="pct"/>
            <w:vAlign w:val="center"/>
          </w:tcPr>
          <w:p w14:paraId="0287A51B"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RCO075</w:t>
            </w:r>
          </w:p>
        </w:tc>
        <w:tc>
          <w:tcPr>
            <w:tcW w:w="1408" w:type="pct"/>
            <w:shd w:val="clear" w:color="auto" w:fill="auto"/>
            <w:vAlign w:val="center"/>
          </w:tcPr>
          <w:p w14:paraId="28D5A7AB" w14:textId="77777777" w:rsidR="00625B7D" w:rsidRPr="00890249" w:rsidRDefault="00875C92" w:rsidP="00625B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Wspierane strategie zintegrowanego rozwoju terytorialnego</w:t>
            </w:r>
          </w:p>
        </w:tc>
        <w:tc>
          <w:tcPr>
            <w:tcW w:w="391" w:type="pct"/>
            <w:vAlign w:val="center"/>
          </w:tcPr>
          <w:p w14:paraId="278E2111"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02" w:type="pct"/>
            <w:shd w:val="clear" w:color="auto" w:fill="auto"/>
            <w:vAlign w:val="center"/>
          </w:tcPr>
          <w:p w14:paraId="129760C5" w14:textId="77777777" w:rsidR="00625B7D" w:rsidRPr="00890249" w:rsidRDefault="000F5132" w:rsidP="000F5132">
            <w:pPr>
              <w:jc w:val="center"/>
              <w:rPr>
                <w:rFonts w:asciiTheme="minorHAnsi" w:hAnsiTheme="minorHAnsi" w:cstheme="minorHAnsi"/>
                <w:noProof/>
                <w:sz w:val="8"/>
                <w:szCs w:val="8"/>
              </w:rPr>
            </w:pPr>
            <w:r w:rsidRPr="00890249">
              <w:rPr>
                <w:rFonts w:asciiTheme="minorHAnsi" w:hAnsiTheme="minorHAnsi" w:cstheme="minorHAnsi"/>
                <w:noProof/>
                <w:sz w:val="18"/>
                <w:szCs w:val="16"/>
              </w:rPr>
              <w:t>1</w:t>
            </w:r>
          </w:p>
        </w:tc>
        <w:tc>
          <w:tcPr>
            <w:tcW w:w="590" w:type="pct"/>
            <w:shd w:val="clear" w:color="auto" w:fill="auto"/>
            <w:vAlign w:val="center"/>
          </w:tcPr>
          <w:p w14:paraId="54682601" w14:textId="77777777" w:rsidR="00625B7D" w:rsidRPr="00890249" w:rsidRDefault="000F5132" w:rsidP="000F5132">
            <w:pPr>
              <w:spacing w:before="0"/>
              <w:jc w:val="center"/>
              <w:rPr>
                <w:rFonts w:asciiTheme="minorHAnsi" w:hAnsiTheme="minorHAnsi" w:cstheme="minorHAnsi"/>
                <w:noProof/>
                <w:sz w:val="18"/>
                <w:szCs w:val="16"/>
              </w:rPr>
            </w:pPr>
            <w:r w:rsidRPr="00890249">
              <w:rPr>
                <w:rFonts w:asciiTheme="minorHAnsi" w:hAnsiTheme="minorHAnsi" w:cstheme="minorHAnsi"/>
                <w:noProof/>
                <w:sz w:val="18"/>
                <w:szCs w:val="16"/>
              </w:rPr>
              <w:t>26</w:t>
            </w:r>
          </w:p>
        </w:tc>
      </w:tr>
      <w:tr w:rsidR="00625B7D" w:rsidRPr="00890249" w14:paraId="7B7F1707" w14:textId="77777777" w:rsidTr="00890249">
        <w:trPr>
          <w:trHeight w:val="340"/>
        </w:trPr>
        <w:tc>
          <w:tcPr>
            <w:tcW w:w="285" w:type="pct"/>
            <w:vAlign w:val="center"/>
          </w:tcPr>
          <w:p w14:paraId="61D7E498" w14:textId="77777777" w:rsidR="00625B7D" w:rsidRPr="00890249" w:rsidRDefault="00625B7D" w:rsidP="00625B7D">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13" w:type="pct"/>
            <w:vAlign w:val="center"/>
          </w:tcPr>
          <w:p w14:paraId="326983E5"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14F5B884"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31B46F01" w14:textId="77777777" w:rsidR="00625B7D" w:rsidRPr="00890249" w:rsidRDefault="00625B7D" w:rsidP="00625B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76" w:type="pct"/>
            <w:vAlign w:val="center"/>
          </w:tcPr>
          <w:p w14:paraId="7213450A"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RCO076</w:t>
            </w:r>
          </w:p>
        </w:tc>
        <w:tc>
          <w:tcPr>
            <w:tcW w:w="1408" w:type="pct"/>
            <w:shd w:val="clear" w:color="auto" w:fill="auto"/>
            <w:vAlign w:val="center"/>
          </w:tcPr>
          <w:p w14:paraId="684C7C01" w14:textId="77777777" w:rsidR="00625B7D" w:rsidRPr="00890249" w:rsidRDefault="00875C92" w:rsidP="00625B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Zintegrowane projekty rozwoju terytorialnego</w:t>
            </w:r>
          </w:p>
        </w:tc>
        <w:tc>
          <w:tcPr>
            <w:tcW w:w="391" w:type="pct"/>
            <w:vAlign w:val="center"/>
          </w:tcPr>
          <w:p w14:paraId="593E1771"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02" w:type="pct"/>
            <w:shd w:val="clear" w:color="auto" w:fill="auto"/>
            <w:vAlign w:val="center"/>
          </w:tcPr>
          <w:p w14:paraId="3E16252A" w14:textId="77777777" w:rsidR="00B72154" w:rsidRPr="00890249" w:rsidRDefault="00504501" w:rsidP="00890249">
            <w:pPr>
              <w:spacing w:before="0"/>
              <w:ind w:hanging="391"/>
              <w:jc w:val="center"/>
              <w:rPr>
                <w:rFonts w:asciiTheme="minorHAnsi" w:hAnsiTheme="minorHAnsi" w:cstheme="minorHAnsi"/>
                <w:noProof/>
                <w:sz w:val="18"/>
                <w:szCs w:val="18"/>
              </w:rPr>
            </w:pPr>
            <w:r w:rsidRPr="00890249">
              <w:rPr>
                <w:rFonts w:asciiTheme="minorHAnsi" w:hAnsiTheme="minorHAnsi" w:cstheme="minorHAnsi"/>
                <w:noProof/>
                <w:sz w:val="18"/>
                <w:szCs w:val="18"/>
              </w:rPr>
              <w:t>0</w:t>
            </w:r>
          </w:p>
        </w:tc>
        <w:tc>
          <w:tcPr>
            <w:tcW w:w="590" w:type="pct"/>
            <w:shd w:val="clear" w:color="auto" w:fill="auto"/>
            <w:vAlign w:val="center"/>
          </w:tcPr>
          <w:p w14:paraId="729C914C" w14:textId="0ACF9765" w:rsidR="00625B7D" w:rsidRPr="00890249" w:rsidRDefault="001B420A" w:rsidP="004E72E6">
            <w:pPr>
              <w:spacing w:before="0"/>
              <w:jc w:val="center"/>
              <w:rPr>
                <w:rFonts w:asciiTheme="minorHAnsi" w:hAnsiTheme="minorHAnsi" w:cstheme="minorHAnsi"/>
                <w:noProof/>
                <w:sz w:val="18"/>
                <w:szCs w:val="18"/>
              </w:rPr>
            </w:pPr>
            <w:r w:rsidRPr="00890249">
              <w:rPr>
                <w:rFonts w:asciiTheme="minorHAnsi" w:hAnsiTheme="minorHAnsi" w:cstheme="minorHAnsi"/>
                <w:noProof/>
                <w:sz w:val="18"/>
                <w:szCs w:val="16"/>
              </w:rPr>
              <w:t>3</w:t>
            </w:r>
          </w:p>
        </w:tc>
      </w:tr>
      <w:tr w:rsidR="00625B7D" w:rsidRPr="00890249" w14:paraId="343099FC" w14:textId="77777777" w:rsidTr="001C73DB">
        <w:trPr>
          <w:trHeight w:val="340"/>
        </w:trPr>
        <w:tc>
          <w:tcPr>
            <w:tcW w:w="285" w:type="pct"/>
            <w:vAlign w:val="center"/>
          </w:tcPr>
          <w:p w14:paraId="55A362A6" w14:textId="77777777" w:rsidR="00625B7D" w:rsidRPr="00890249" w:rsidRDefault="00625B7D" w:rsidP="00625B7D">
            <w:pP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CP5</w:t>
            </w:r>
          </w:p>
        </w:tc>
        <w:tc>
          <w:tcPr>
            <w:tcW w:w="413" w:type="pct"/>
            <w:vAlign w:val="center"/>
          </w:tcPr>
          <w:p w14:paraId="780C64ED"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0E88C426"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2FD99696"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76" w:type="pct"/>
            <w:vAlign w:val="center"/>
          </w:tcPr>
          <w:p w14:paraId="4972B57C"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RCO077</w:t>
            </w:r>
          </w:p>
        </w:tc>
        <w:tc>
          <w:tcPr>
            <w:tcW w:w="1408" w:type="pct"/>
            <w:shd w:val="clear" w:color="auto" w:fill="auto"/>
            <w:vAlign w:val="center"/>
          </w:tcPr>
          <w:p w14:paraId="50A92A57" w14:textId="77777777" w:rsidR="00625B7D" w:rsidRPr="00890249" w:rsidRDefault="00625B7D" w:rsidP="00625B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obiektów kulturalnych i turystycznych objętych wsparciem</w:t>
            </w:r>
          </w:p>
        </w:tc>
        <w:tc>
          <w:tcPr>
            <w:tcW w:w="391" w:type="pct"/>
            <w:vAlign w:val="center"/>
          </w:tcPr>
          <w:p w14:paraId="04CA32B6"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02" w:type="pct"/>
            <w:shd w:val="clear" w:color="auto" w:fill="auto"/>
          </w:tcPr>
          <w:p w14:paraId="5C082132" w14:textId="77777777" w:rsidR="00625B7D" w:rsidRPr="00890249" w:rsidRDefault="00625B7D" w:rsidP="00625B7D">
            <w:pPr>
              <w:jc w:val="center"/>
              <w:rPr>
                <w:rFonts w:asciiTheme="minorHAnsi" w:hAnsiTheme="minorHAnsi" w:cstheme="minorHAnsi"/>
                <w:noProof/>
                <w:sz w:val="8"/>
                <w:szCs w:val="8"/>
              </w:rPr>
            </w:pPr>
          </w:p>
          <w:p w14:paraId="3EEE5408" w14:textId="77777777" w:rsidR="00625B7D" w:rsidRPr="00890249" w:rsidRDefault="00625B7D" w:rsidP="00625B7D">
            <w:pPr>
              <w:spacing w:before="0"/>
              <w:jc w:val="center"/>
              <w:rPr>
                <w:rFonts w:asciiTheme="minorHAnsi" w:hAnsiTheme="minorHAnsi" w:cstheme="minorHAnsi"/>
                <w:noProof/>
                <w:sz w:val="18"/>
                <w:szCs w:val="16"/>
              </w:rPr>
            </w:pPr>
            <w:r w:rsidRPr="00890249">
              <w:rPr>
                <w:rFonts w:asciiTheme="minorHAnsi" w:hAnsiTheme="minorHAnsi" w:cstheme="minorHAnsi"/>
                <w:noProof/>
                <w:sz w:val="18"/>
                <w:szCs w:val="16"/>
              </w:rPr>
              <w:t>2</w:t>
            </w:r>
          </w:p>
        </w:tc>
        <w:tc>
          <w:tcPr>
            <w:tcW w:w="590" w:type="pct"/>
            <w:shd w:val="clear" w:color="auto" w:fill="auto"/>
          </w:tcPr>
          <w:p w14:paraId="581A7AB7" w14:textId="77777777" w:rsidR="00625B7D" w:rsidRPr="00890249" w:rsidRDefault="00625B7D" w:rsidP="00625B7D">
            <w:pPr>
              <w:spacing w:before="0"/>
              <w:jc w:val="center"/>
              <w:rPr>
                <w:rFonts w:asciiTheme="minorHAnsi" w:hAnsiTheme="minorHAnsi" w:cstheme="minorHAnsi"/>
                <w:noProof/>
                <w:sz w:val="18"/>
                <w:szCs w:val="16"/>
              </w:rPr>
            </w:pPr>
          </w:p>
          <w:p w14:paraId="0AE2A715" w14:textId="70EA3BD5" w:rsidR="00625B7D" w:rsidRPr="00890249" w:rsidRDefault="003E3154" w:rsidP="000F5132">
            <w:pPr>
              <w:jc w:val="center"/>
              <w:rPr>
                <w:rFonts w:asciiTheme="minorHAnsi" w:hAnsiTheme="minorHAnsi" w:cstheme="minorHAnsi"/>
                <w:i/>
                <w:noProof/>
                <w:sz w:val="18"/>
                <w:szCs w:val="16"/>
              </w:rPr>
            </w:pPr>
            <w:r>
              <w:rPr>
                <w:rFonts w:asciiTheme="minorHAnsi" w:hAnsiTheme="minorHAnsi" w:cstheme="minorHAnsi"/>
                <w:noProof/>
                <w:sz w:val="18"/>
                <w:szCs w:val="16"/>
              </w:rPr>
              <w:t>31</w:t>
            </w:r>
          </w:p>
        </w:tc>
      </w:tr>
      <w:tr w:rsidR="00625B7D" w:rsidRPr="00890249" w14:paraId="2B895329" w14:textId="77777777" w:rsidTr="002A2010">
        <w:trPr>
          <w:trHeight w:val="332"/>
        </w:trPr>
        <w:tc>
          <w:tcPr>
            <w:tcW w:w="285" w:type="pct"/>
            <w:vAlign w:val="center"/>
          </w:tcPr>
          <w:p w14:paraId="47902BB8" w14:textId="77777777" w:rsidR="00625B7D" w:rsidRPr="00890249" w:rsidRDefault="00625B7D" w:rsidP="00625B7D">
            <w:pP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CP5</w:t>
            </w:r>
          </w:p>
        </w:tc>
        <w:tc>
          <w:tcPr>
            <w:tcW w:w="413" w:type="pct"/>
            <w:vAlign w:val="center"/>
          </w:tcPr>
          <w:p w14:paraId="00E9FD27"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2BA16356"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696CAD7D"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76" w:type="pct"/>
            <w:vAlign w:val="center"/>
          </w:tcPr>
          <w:p w14:paraId="09487230"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PLRO148</w:t>
            </w:r>
          </w:p>
        </w:tc>
        <w:tc>
          <w:tcPr>
            <w:tcW w:w="1408" w:type="pct"/>
            <w:shd w:val="clear" w:color="auto" w:fill="auto"/>
            <w:vAlign w:val="center"/>
          </w:tcPr>
          <w:p w14:paraId="3B514818" w14:textId="77777777" w:rsidR="00625B7D" w:rsidRPr="00890249" w:rsidRDefault="00625B7D" w:rsidP="00625B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wspartych obiektów infrastruktury (innych niż budynki mieszkalne) zlokalizowanych na rewitalizowanych obszarach</w:t>
            </w:r>
          </w:p>
        </w:tc>
        <w:tc>
          <w:tcPr>
            <w:tcW w:w="391" w:type="pct"/>
            <w:vAlign w:val="center"/>
          </w:tcPr>
          <w:p w14:paraId="3847A473"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02" w:type="pct"/>
            <w:shd w:val="clear" w:color="auto" w:fill="auto"/>
            <w:vAlign w:val="center"/>
          </w:tcPr>
          <w:p w14:paraId="2F7CA08D" w14:textId="77777777" w:rsidR="00625B7D" w:rsidRPr="00890249" w:rsidRDefault="00625B7D" w:rsidP="00625B7D">
            <w:pPr>
              <w:jc w:val="center"/>
              <w:rPr>
                <w:rFonts w:asciiTheme="minorHAnsi" w:hAnsiTheme="minorHAnsi" w:cstheme="minorHAnsi"/>
                <w:noProof/>
                <w:sz w:val="18"/>
                <w:szCs w:val="16"/>
              </w:rPr>
            </w:pPr>
            <w:r w:rsidRPr="00890249">
              <w:rPr>
                <w:rFonts w:asciiTheme="minorHAnsi" w:hAnsiTheme="minorHAnsi" w:cstheme="minorHAnsi"/>
                <w:noProof/>
                <w:sz w:val="18"/>
                <w:szCs w:val="16"/>
              </w:rPr>
              <w:t>2</w:t>
            </w:r>
          </w:p>
        </w:tc>
        <w:tc>
          <w:tcPr>
            <w:tcW w:w="590" w:type="pct"/>
            <w:shd w:val="clear" w:color="auto" w:fill="auto"/>
            <w:vAlign w:val="center"/>
          </w:tcPr>
          <w:p w14:paraId="5B2813B8" w14:textId="77777777" w:rsidR="00625B7D" w:rsidRPr="00890249" w:rsidRDefault="00625B7D" w:rsidP="00625B7D">
            <w:pPr>
              <w:jc w:val="center"/>
              <w:rPr>
                <w:rFonts w:asciiTheme="minorHAnsi" w:hAnsiTheme="minorHAnsi" w:cstheme="minorHAnsi"/>
                <w:noProof/>
                <w:sz w:val="18"/>
                <w:szCs w:val="16"/>
              </w:rPr>
            </w:pPr>
            <w:r w:rsidRPr="00890249">
              <w:rPr>
                <w:rFonts w:asciiTheme="minorHAnsi" w:hAnsiTheme="minorHAnsi" w:cstheme="minorHAnsi"/>
                <w:noProof/>
                <w:sz w:val="18"/>
                <w:szCs w:val="16"/>
              </w:rPr>
              <w:t>38</w:t>
            </w:r>
          </w:p>
        </w:tc>
      </w:tr>
      <w:tr w:rsidR="00625B7D" w:rsidRPr="00890249" w14:paraId="4F8722F0" w14:textId="77777777" w:rsidTr="002A2010">
        <w:trPr>
          <w:trHeight w:val="332"/>
        </w:trPr>
        <w:tc>
          <w:tcPr>
            <w:tcW w:w="285" w:type="pct"/>
            <w:vAlign w:val="center"/>
          </w:tcPr>
          <w:p w14:paraId="4E481327" w14:textId="77777777" w:rsidR="00625B7D" w:rsidRPr="00890249" w:rsidRDefault="00625B7D" w:rsidP="00625B7D">
            <w:pP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CP5</w:t>
            </w:r>
          </w:p>
        </w:tc>
        <w:tc>
          <w:tcPr>
            <w:tcW w:w="413" w:type="pct"/>
            <w:vAlign w:val="center"/>
          </w:tcPr>
          <w:p w14:paraId="3E138F0B"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0F63649A"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731725FC"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476" w:type="pct"/>
            <w:vAlign w:val="center"/>
          </w:tcPr>
          <w:p w14:paraId="5A191DAC" w14:textId="77777777" w:rsidR="00625B7D" w:rsidRPr="00890249" w:rsidRDefault="00625B7D" w:rsidP="00625B7D">
            <w:pPr>
              <w:jc w:val="center"/>
              <w:rPr>
                <w:rFonts w:asciiTheme="minorHAnsi" w:hAnsiTheme="minorHAnsi" w:cstheme="minorHAnsi"/>
                <w:i/>
                <w:sz w:val="18"/>
                <w:szCs w:val="16"/>
              </w:rPr>
            </w:pPr>
            <w:r w:rsidRPr="00890249">
              <w:rPr>
                <w:rFonts w:asciiTheme="minorHAnsi" w:hAnsiTheme="minorHAnsi" w:cstheme="minorHAnsi"/>
                <w:i/>
                <w:sz w:val="18"/>
                <w:szCs w:val="16"/>
              </w:rPr>
              <w:t>RCO114</w:t>
            </w:r>
          </w:p>
        </w:tc>
        <w:tc>
          <w:tcPr>
            <w:tcW w:w="1408" w:type="pct"/>
            <w:shd w:val="clear" w:color="auto" w:fill="auto"/>
            <w:vAlign w:val="center"/>
          </w:tcPr>
          <w:p w14:paraId="10942355" w14:textId="77777777" w:rsidR="00625B7D" w:rsidRPr="00890249" w:rsidRDefault="00625B7D" w:rsidP="00625B7D">
            <w:pPr>
              <w:jc w:val="left"/>
              <w:rPr>
                <w:rFonts w:asciiTheme="minorHAnsi" w:hAnsiTheme="minorHAnsi" w:cstheme="minorHAnsi"/>
                <w:i/>
                <w:sz w:val="18"/>
                <w:szCs w:val="16"/>
              </w:rPr>
            </w:pPr>
            <w:r w:rsidRPr="00890249">
              <w:rPr>
                <w:rFonts w:asciiTheme="minorHAnsi" w:hAnsiTheme="minorHAnsi" w:cstheme="minorHAnsi"/>
                <w:i/>
                <w:sz w:val="18"/>
                <w:szCs w:val="16"/>
              </w:rPr>
              <w:t>Otwarta przestrzeń utworzona lub rekultywowana na obszarach miejskich</w:t>
            </w:r>
          </w:p>
        </w:tc>
        <w:tc>
          <w:tcPr>
            <w:tcW w:w="391" w:type="pct"/>
            <w:vAlign w:val="center"/>
          </w:tcPr>
          <w:p w14:paraId="1E1C312C" w14:textId="77777777" w:rsidR="00625B7D" w:rsidRPr="00890249"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m</w:t>
            </w:r>
            <w:r w:rsidRPr="00890249">
              <w:rPr>
                <w:rFonts w:asciiTheme="minorHAnsi" w:hAnsiTheme="minorHAnsi" w:cstheme="minorHAnsi"/>
                <w:i/>
                <w:noProof/>
                <w:sz w:val="18"/>
                <w:szCs w:val="16"/>
                <w:vertAlign w:val="superscript"/>
              </w:rPr>
              <w:t>2</w:t>
            </w:r>
          </w:p>
        </w:tc>
        <w:tc>
          <w:tcPr>
            <w:tcW w:w="502" w:type="pct"/>
            <w:shd w:val="clear" w:color="auto" w:fill="auto"/>
            <w:vAlign w:val="center"/>
          </w:tcPr>
          <w:p w14:paraId="3A972ECA" w14:textId="77777777" w:rsidR="00625B7D" w:rsidRPr="00890249" w:rsidRDefault="00625B7D" w:rsidP="00625B7D">
            <w:pPr>
              <w:jc w:val="center"/>
              <w:rPr>
                <w:rFonts w:asciiTheme="minorHAnsi" w:hAnsiTheme="minorHAnsi" w:cstheme="minorHAnsi"/>
                <w:noProof/>
                <w:sz w:val="18"/>
                <w:szCs w:val="16"/>
              </w:rPr>
            </w:pPr>
            <w:r w:rsidRPr="00890249">
              <w:rPr>
                <w:rFonts w:asciiTheme="minorHAnsi" w:hAnsiTheme="minorHAnsi" w:cstheme="minorHAnsi"/>
                <w:noProof/>
                <w:sz w:val="18"/>
                <w:szCs w:val="16"/>
              </w:rPr>
              <w:t>9 500</w:t>
            </w:r>
          </w:p>
        </w:tc>
        <w:tc>
          <w:tcPr>
            <w:tcW w:w="590" w:type="pct"/>
            <w:shd w:val="clear" w:color="auto" w:fill="auto"/>
            <w:vAlign w:val="center"/>
          </w:tcPr>
          <w:p w14:paraId="54EAD200" w14:textId="77777777" w:rsidR="00625B7D" w:rsidRPr="00890249" w:rsidRDefault="00625B7D" w:rsidP="00625B7D">
            <w:pPr>
              <w:jc w:val="center"/>
              <w:rPr>
                <w:rFonts w:asciiTheme="minorHAnsi" w:hAnsiTheme="minorHAnsi" w:cstheme="minorHAnsi"/>
                <w:noProof/>
                <w:sz w:val="18"/>
                <w:szCs w:val="16"/>
              </w:rPr>
            </w:pPr>
            <w:r w:rsidRPr="00890249">
              <w:rPr>
                <w:rFonts w:asciiTheme="minorHAnsi" w:hAnsiTheme="minorHAnsi" w:cstheme="minorHAnsi"/>
                <w:noProof/>
                <w:sz w:val="18"/>
                <w:szCs w:val="16"/>
              </w:rPr>
              <w:t>190 000</w:t>
            </w:r>
          </w:p>
        </w:tc>
      </w:tr>
      <w:tr w:rsidR="00625B7D" w:rsidRPr="00890249" w:rsidDel="001D5955" w14:paraId="1B0293BF" w14:textId="77777777" w:rsidTr="001C73DB">
        <w:trPr>
          <w:trHeight w:val="332"/>
        </w:trPr>
        <w:tc>
          <w:tcPr>
            <w:tcW w:w="285" w:type="pct"/>
            <w:vAlign w:val="center"/>
          </w:tcPr>
          <w:p w14:paraId="0E544255" w14:textId="77777777" w:rsidR="00625B7D" w:rsidRPr="00890249" w:rsidDel="001D5955" w:rsidRDefault="00625B7D" w:rsidP="00625B7D">
            <w:pP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13" w:type="pct"/>
            <w:vAlign w:val="center"/>
          </w:tcPr>
          <w:p w14:paraId="518174FE" w14:textId="77777777" w:rsidR="00625B7D" w:rsidRPr="00890249" w:rsidDel="001D5955"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p>
        </w:tc>
        <w:tc>
          <w:tcPr>
            <w:tcW w:w="381" w:type="pct"/>
            <w:vAlign w:val="center"/>
          </w:tcPr>
          <w:p w14:paraId="6E72245D" w14:textId="77777777" w:rsidR="00625B7D" w:rsidRPr="00890249" w:rsidDel="001D5955"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54" w:type="pct"/>
            <w:vAlign w:val="center"/>
          </w:tcPr>
          <w:p w14:paraId="2BE9F9CC" w14:textId="77777777" w:rsidR="00625B7D" w:rsidRPr="00890249" w:rsidDel="001D5955" w:rsidRDefault="00625B7D" w:rsidP="00625B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476" w:type="pct"/>
            <w:vAlign w:val="center"/>
          </w:tcPr>
          <w:p w14:paraId="4A20E43F" w14:textId="77777777" w:rsidR="00625B7D" w:rsidRPr="00890249" w:rsidDel="001D5955" w:rsidRDefault="00625B7D" w:rsidP="00625B7D">
            <w:pPr>
              <w:jc w:val="center"/>
              <w:rPr>
                <w:rFonts w:asciiTheme="minorHAnsi" w:hAnsiTheme="minorHAnsi" w:cstheme="minorHAnsi"/>
                <w:i/>
                <w:sz w:val="18"/>
                <w:szCs w:val="16"/>
              </w:rPr>
            </w:pPr>
            <w:r w:rsidRPr="00890249">
              <w:rPr>
                <w:rFonts w:asciiTheme="minorHAnsi" w:hAnsiTheme="minorHAnsi" w:cstheme="minorHAnsi"/>
                <w:i/>
                <w:sz w:val="18"/>
                <w:szCs w:val="16"/>
              </w:rPr>
              <w:t>PLRO139</w:t>
            </w:r>
          </w:p>
        </w:tc>
        <w:tc>
          <w:tcPr>
            <w:tcW w:w="1408" w:type="pct"/>
            <w:shd w:val="clear" w:color="auto" w:fill="auto"/>
            <w:vAlign w:val="center"/>
          </w:tcPr>
          <w:p w14:paraId="6AE11642" w14:textId="77777777" w:rsidR="00625B7D" w:rsidRPr="00890249" w:rsidDel="001D5955" w:rsidRDefault="00625B7D" w:rsidP="00625B7D">
            <w:pPr>
              <w:jc w:val="left"/>
              <w:rPr>
                <w:rFonts w:asciiTheme="minorHAnsi" w:hAnsiTheme="minorHAnsi" w:cstheme="minorHAnsi"/>
                <w:i/>
                <w:sz w:val="18"/>
                <w:szCs w:val="16"/>
              </w:rPr>
            </w:pPr>
            <w:r w:rsidRPr="00890249">
              <w:rPr>
                <w:rFonts w:asciiTheme="minorHAnsi" w:hAnsiTheme="minorHAnsi" w:cstheme="minorHAnsi"/>
                <w:i/>
                <w:sz w:val="18"/>
                <w:szCs w:val="16"/>
              </w:rPr>
              <w:t>Liczba zabytków nieruchomych objętych wsparciem</w:t>
            </w:r>
          </w:p>
        </w:tc>
        <w:tc>
          <w:tcPr>
            <w:tcW w:w="391" w:type="pct"/>
            <w:vAlign w:val="center"/>
          </w:tcPr>
          <w:p w14:paraId="581FC5DB" w14:textId="77777777" w:rsidR="00625B7D" w:rsidRPr="00890249" w:rsidDel="001D5955" w:rsidRDefault="00625B7D" w:rsidP="00625B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02" w:type="pct"/>
            <w:shd w:val="clear" w:color="auto" w:fill="auto"/>
          </w:tcPr>
          <w:p w14:paraId="55F64158" w14:textId="77777777" w:rsidR="00625B7D" w:rsidRPr="00890249" w:rsidRDefault="00625B7D" w:rsidP="00625B7D">
            <w:pPr>
              <w:spacing w:before="240"/>
              <w:jc w:val="center"/>
              <w:rPr>
                <w:rFonts w:asciiTheme="minorHAnsi" w:hAnsiTheme="minorHAnsi" w:cstheme="minorHAnsi"/>
                <w:noProof/>
                <w:sz w:val="18"/>
                <w:szCs w:val="16"/>
              </w:rPr>
            </w:pPr>
            <w:r w:rsidRPr="00890249">
              <w:rPr>
                <w:rFonts w:asciiTheme="minorHAnsi" w:hAnsiTheme="minorHAnsi" w:cstheme="minorHAnsi"/>
                <w:noProof/>
                <w:sz w:val="18"/>
                <w:szCs w:val="16"/>
              </w:rPr>
              <w:t>1</w:t>
            </w:r>
          </w:p>
        </w:tc>
        <w:tc>
          <w:tcPr>
            <w:tcW w:w="590" w:type="pct"/>
            <w:shd w:val="clear" w:color="auto" w:fill="auto"/>
          </w:tcPr>
          <w:p w14:paraId="63359E30" w14:textId="7EA60DB4" w:rsidR="00625B7D" w:rsidRPr="00890249" w:rsidRDefault="000F5132" w:rsidP="00625B7D">
            <w:pPr>
              <w:spacing w:before="240"/>
              <w:jc w:val="center"/>
              <w:rPr>
                <w:rFonts w:asciiTheme="minorHAnsi" w:hAnsiTheme="minorHAnsi" w:cstheme="minorHAnsi"/>
                <w:noProof/>
                <w:sz w:val="18"/>
                <w:szCs w:val="16"/>
              </w:rPr>
            </w:pPr>
            <w:r w:rsidRPr="00890249">
              <w:rPr>
                <w:rFonts w:asciiTheme="minorHAnsi" w:hAnsiTheme="minorHAnsi" w:cstheme="minorHAnsi"/>
                <w:noProof/>
                <w:sz w:val="18"/>
                <w:szCs w:val="16"/>
              </w:rPr>
              <w:t>7</w:t>
            </w:r>
          </w:p>
        </w:tc>
      </w:tr>
    </w:tbl>
    <w:p w14:paraId="4CEAC6F9" w14:textId="77777777" w:rsidR="00B33A8B" w:rsidRPr="00890249" w:rsidRDefault="00B33A8B" w:rsidP="009031E4">
      <w:pPr>
        <w:spacing w:before="0" w:after="160" w:line="259" w:lineRule="auto"/>
        <w:jc w:val="left"/>
        <w:rPr>
          <w:rFonts w:asciiTheme="minorHAnsi" w:hAnsiTheme="minorHAnsi" w:cstheme="minorHAnsi"/>
          <w:b/>
          <w:noProof/>
          <w:sz w:val="22"/>
          <w:szCs w:val="22"/>
        </w:rPr>
      </w:pPr>
    </w:p>
    <w:p w14:paraId="65E02E53" w14:textId="77777777" w:rsidR="00BD498B" w:rsidRPr="00890249" w:rsidRDefault="00B33A8B" w:rsidP="009031E4">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729"/>
        <w:gridCol w:w="652"/>
        <w:gridCol w:w="960"/>
        <w:gridCol w:w="9"/>
        <w:gridCol w:w="805"/>
        <w:gridCol w:w="9"/>
        <w:gridCol w:w="1075"/>
        <w:gridCol w:w="9"/>
        <w:gridCol w:w="1211"/>
        <w:gridCol w:w="9"/>
        <w:gridCol w:w="745"/>
        <w:gridCol w:w="417"/>
        <w:gridCol w:w="826"/>
        <w:gridCol w:w="413"/>
        <w:gridCol w:w="689"/>
      </w:tblGrid>
      <w:tr w:rsidR="00BD498B" w:rsidRPr="00890249" w14:paraId="06495868" w14:textId="77777777" w:rsidTr="0043241C">
        <w:trPr>
          <w:trHeight w:val="480"/>
        </w:trPr>
        <w:tc>
          <w:tcPr>
            <w:tcW w:w="5000" w:type="pct"/>
            <w:gridSpan w:val="16"/>
            <w:shd w:val="clear" w:color="auto" w:fill="D9D9D9" w:themeFill="background1" w:themeFillShade="D9"/>
          </w:tcPr>
          <w:p w14:paraId="645E0742" w14:textId="77777777" w:rsidR="00BD498B" w:rsidRPr="00890249" w:rsidRDefault="00BD498B" w:rsidP="00BD498B">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lastRenderedPageBreak/>
              <w:t>Tabela 3: Wskaźniki rezultatów</w:t>
            </w:r>
          </w:p>
        </w:tc>
      </w:tr>
      <w:tr w:rsidR="00DA7644" w:rsidRPr="00890249" w14:paraId="06CA49B3" w14:textId="77777777" w:rsidTr="000E4B8E">
        <w:trPr>
          <w:cantSplit/>
          <w:trHeight w:val="1768"/>
        </w:trPr>
        <w:tc>
          <w:tcPr>
            <w:tcW w:w="278" w:type="pct"/>
            <w:shd w:val="clear" w:color="auto" w:fill="F2F2F2" w:themeFill="background1" w:themeFillShade="F2"/>
            <w:textDirection w:val="btLr"/>
            <w:vAlign w:val="center"/>
          </w:tcPr>
          <w:p w14:paraId="46D130B3"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02" w:type="pct"/>
            <w:shd w:val="clear" w:color="auto" w:fill="F2F2F2" w:themeFill="background1" w:themeFillShade="F2"/>
            <w:textDirection w:val="btLr"/>
            <w:vAlign w:val="center"/>
          </w:tcPr>
          <w:p w14:paraId="62460F3A"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60" w:type="pct"/>
            <w:shd w:val="clear" w:color="auto" w:fill="F2F2F2" w:themeFill="background1" w:themeFillShade="F2"/>
            <w:textDirection w:val="btLr"/>
            <w:vAlign w:val="center"/>
          </w:tcPr>
          <w:p w14:paraId="34C319DC"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530" w:type="pct"/>
            <w:shd w:val="clear" w:color="auto" w:fill="F2F2F2" w:themeFill="background1" w:themeFillShade="F2"/>
            <w:textDirection w:val="btLr"/>
            <w:vAlign w:val="center"/>
          </w:tcPr>
          <w:p w14:paraId="3BC3D514"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49" w:type="pct"/>
            <w:gridSpan w:val="2"/>
            <w:shd w:val="clear" w:color="auto" w:fill="F2F2F2" w:themeFill="background1" w:themeFillShade="F2"/>
            <w:textDirection w:val="btLr"/>
            <w:vAlign w:val="center"/>
          </w:tcPr>
          <w:p w14:paraId="62D23708"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598" w:type="pct"/>
            <w:gridSpan w:val="2"/>
            <w:shd w:val="clear" w:color="auto" w:fill="F2F2F2" w:themeFill="background1" w:themeFillShade="F2"/>
            <w:textDirection w:val="btLr"/>
            <w:vAlign w:val="center"/>
          </w:tcPr>
          <w:p w14:paraId="359614C9"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673" w:type="pct"/>
            <w:gridSpan w:val="2"/>
            <w:shd w:val="clear" w:color="auto" w:fill="F2F2F2" w:themeFill="background1" w:themeFillShade="F2"/>
            <w:textDirection w:val="btLr"/>
            <w:vAlign w:val="center"/>
          </w:tcPr>
          <w:p w14:paraId="59A8258E"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416" w:type="pct"/>
            <w:gridSpan w:val="2"/>
            <w:shd w:val="clear" w:color="auto" w:fill="F2F2F2" w:themeFill="background1" w:themeFillShade="F2"/>
            <w:textDirection w:val="btLr"/>
            <w:vAlign w:val="center"/>
          </w:tcPr>
          <w:p w14:paraId="22B59DD1"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230" w:type="pct"/>
            <w:shd w:val="clear" w:color="auto" w:fill="F2F2F2" w:themeFill="background1" w:themeFillShade="F2"/>
            <w:textDirection w:val="btLr"/>
            <w:vAlign w:val="center"/>
          </w:tcPr>
          <w:p w14:paraId="2C741D9D"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456" w:type="pct"/>
            <w:shd w:val="clear" w:color="auto" w:fill="F2F2F2" w:themeFill="background1" w:themeFillShade="F2"/>
            <w:textDirection w:val="btLr"/>
            <w:vAlign w:val="center"/>
          </w:tcPr>
          <w:p w14:paraId="7DA0DCD5"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228" w:type="pct"/>
            <w:shd w:val="clear" w:color="auto" w:fill="F2F2F2" w:themeFill="background1" w:themeFillShade="F2"/>
            <w:textDirection w:val="btLr"/>
            <w:vAlign w:val="center"/>
          </w:tcPr>
          <w:p w14:paraId="1F44DE8D"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379" w:type="pct"/>
            <w:shd w:val="clear" w:color="auto" w:fill="F2F2F2" w:themeFill="background1" w:themeFillShade="F2"/>
            <w:textDirection w:val="btLr"/>
            <w:vAlign w:val="center"/>
          </w:tcPr>
          <w:p w14:paraId="301A94C6" w14:textId="77777777" w:rsidR="00BD498B" w:rsidRPr="00890249" w:rsidRDefault="00BD498B" w:rsidP="00BD498B">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332F3D" w:rsidRPr="00890249" w14:paraId="404F2A4F" w14:textId="77777777" w:rsidTr="0043241C">
        <w:trPr>
          <w:trHeight w:val="434"/>
        </w:trPr>
        <w:tc>
          <w:tcPr>
            <w:tcW w:w="278" w:type="pct"/>
            <w:vAlign w:val="center"/>
          </w:tcPr>
          <w:p w14:paraId="1979FC5F"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02" w:type="pct"/>
            <w:vAlign w:val="center"/>
          </w:tcPr>
          <w:p w14:paraId="77D37FA8"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5.i</w:t>
            </w:r>
          </w:p>
        </w:tc>
        <w:tc>
          <w:tcPr>
            <w:tcW w:w="360" w:type="pct"/>
            <w:vAlign w:val="center"/>
          </w:tcPr>
          <w:p w14:paraId="07D54440"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535" w:type="pct"/>
            <w:gridSpan w:val="2"/>
            <w:vAlign w:val="center"/>
          </w:tcPr>
          <w:p w14:paraId="1BA7F43D"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49" w:type="pct"/>
            <w:gridSpan w:val="2"/>
            <w:vAlign w:val="center"/>
          </w:tcPr>
          <w:p w14:paraId="1551895A" w14:textId="77777777" w:rsidR="00BD498B" w:rsidRPr="00890249" w:rsidRDefault="00BD498B" w:rsidP="00900768">
            <w:pPr>
              <w:jc w:val="center"/>
              <w:rPr>
                <w:rFonts w:asciiTheme="minorHAnsi" w:hAnsiTheme="minorHAnsi" w:cstheme="minorHAnsi"/>
                <w:i/>
                <w:noProof/>
                <w:sz w:val="18"/>
                <w:szCs w:val="16"/>
                <w:lang w:eastAsia="en-US" w:bidi="ar-SA"/>
              </w:rPr>
            </w:pPr>
            <w:r w:rsidRPr="00890249">
              <w:rPr>
                <w:rFonts w:asciiTheme="minorHAnsi" w:hAnsiTheme="minorHAnsi" w:cstheme="minorHAnsi"/>
                <w:i/>
                <w:sz w:val="18"/>
                <w:szCs w:val="16"/>
              </w:rPr>
              <w:t>RCR</w:t>
            </w:r>
            <w:r w:rsidR="00900768" w:rsidRPr="00890249">
              <w:rPr>
                <w:rFonts w:asciiTheme="minorHAnsi" w:hAnsiTheme="minorHAnsi" w:cstheme="minorHAnsi"/>
                <w:i/>
                <w:sz w:val="18"/>
                <w:szCs w:val="16"/>
              </w:rPr>
              <w:t>0</w:t>
            </w:r>
            <w:r w:rsidRPr="00890249">
              <w:rPr>
                <w:rFonts w:asciiTheme="minorHAnsi" w:hAnsiTheme="minorHAnsi" w:cstheme="minorHAnsi"/>
                <w:i/>
                <w:sz w:val="18"/>
                <w:szCs w:val="16"/>
              </w:rPr>
              <w:t>77</w:t>
            </w:r>
          </w:p>
        </w:tc>
        <w:tc>
          <w:tcPr>
            <w:tcW w:w="598" w:type="pct"/>
            <w:gridSpan w:val="2"/>
            <w:shd w:val="clear" w:color="auto" w:fill="auto"/>
            <w:vAlign w:val="center"/>
          </w:tcPr>
          <w:p w14:paraId="740EF638" w14:textId="77777777" w:rsidR="00BD498B" w:rsidRPr="00890249" w:rsidRDefault="00367FA8" w:rsidP="00BD498B">
            <w:pPr>
              <w:jc w:val="left"/>
              <w:rPr>
                <w:rFonts w:asciiTheme="minorHAnsi" w:hAnsiTheme="minorHAnsi" w:cstheme="minorHAnsi"/>
                <w:i/>
                <w:noProof/>
                <w:sz w:val="18"/>
                <w:szCs w:val="16"/>
                <w:lang w:eastAsia="en-US" w:bidi="ar-SA"/>
              </w:rPr>
            </w:pPr>
            <w:r w:rsidRPr="00890249">
              <w:rPr>
                <w:rFonts w:asciiTheme="minorHAnsi" w:hAnsiTheme="minorHAnsi" w:cstheme="minorHAnsi"/>
                <w:i/>
                <w:sz w:val="18"/>
                <w:szCs w:val="16"/>
              </w:rPr>
              <w:t>Liczba osób odwiedzających obiekty kulturalne i turystyczne objęte wsparciem</w:t>
            </w:r>
          </w:p>
        </w:tc>
        <w:tc>
          <w:tcPr>
            <w:tcW w:w="673" w:type="pct"/>
            <w:gridSpan w:val="2"/>
            <w:vAlign w:val="center"/>
          </w:tcPr>
          <w:p w14:paraId="7D08A8D8"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Odwiedzający/rok</w:t>
            </w:r>
          </w:p>
        </w:tc>
        <w:tc>
          <w:tcPr>
            <w:tcW w:w="411" w:type="pct"/>
            <w:vAlign w:val="center"/>
          </w:tcPr>
          <w:p w14:paraId="504252E4" w14:textId="25DC31D6" w:rsidR="00BD498B" w:rsidRPr="00890249" w:rsidRDefault="000F5132" w:rsidP="00360B4F">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28 010</w:t>
            </w:r>
          </w:p>
        </w:tc>
        <w:tc>
          <w:tcPr>
            <w:tcW w:w="230" w:type="pct"/>
            <w:vAlign w:val="center"/>
          </w:tcPr>
          <w:p w14:paraId="1B72C860" w14:textId="77777777" w:rsidR="00BD498B" w:rsidRPr="00890249" w:rsidRDefault="008374CE" w:rsidP="00BD498B">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56" w:type="pct"/>
            <w:shd w:val="clear" w:color="auto" w:fill="auto"/>
            <w:vAlign w:val="center"/>
          </w:tcPr>
          <w:p w14:paraId="1D7DD2A9" w14:textId="65064826" w:rsidR="00BD498B" w:rsidRPr="00890249" w:rsidRDefault="003E3154" w:rsidP="00360B4F">
            <w:pPr>
              <w:jc w:val="center"/>
              <w:rPr>
                <w:rFonts w:asciiTheme="minorHAnsi" w:hAnsiTheme="minorHAnsi" w:cstheme="minorHAnsi"/>
                <w:noProof/>
                <w:sz w:val="18"/>
                <w:szCs w:val="16"/>
                <w:lang w:eastAsia="en-US" w:bidi="ar-SA"/>
              </w:rPr>
            </w:pPr>
            <w:r>
              <w:rPr>
                <w:rFonts w:asciiTheme="minorHAnsi" w:hAnsiTheme="minorHAnsi" w:cstheme="minorHAnsi"/>
                <w:noProof/>
                <w:sz w:val="18"/>
                <w:szCs w:val="16"/>
                <w:lang w:eastAsia="en-US" w:bidi="ar-SA"/>
              </w:rPr>
              <w:t>200 887</w:t>
            </w:r>
          </w:p>
        </w:tc>
        <w:tc>
          <w:tcPr>
            <w:tcW w:w="228" w:type="pct"/>
            <w:shd w:val="clear" w:color="auto" w:fill="auto"/>
            <w:vAlign w:val="center"/>
          </w:tcPr>
          <w:p w14:paraId="7F075151" w14:textId="77777777" w:rsidR="00BD498B" w:rsidRPr="00890249" w:rsidRDefault="008374CE" w:rsidP="00BD498B">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379" w:type="pct"/>
            <w:vAlign w:val="center"/>
          </w:tcPr>
          <w:p w14:paraId="56C78BE8" w14:textId="77777777" w:rsidR="00BD498B" w:rsidRPr="00890249" w:rsidRDefault="008374CE" w:rsidP="00BD498B">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bl>
    <w:p w14:paraId="45533054" w14:textId="77777777" w:rsidR="004422C7" w:rsidRPr="00890249" w:rsidRDefault="004422C7" w:rsidP="003B0EC0">
      <w:pPr>
        <w:spacing w:before="0" w:after="240"/>
        <w:rPr>
          <w:rFonts w:asciiTheme="minorHAnsi" w:hAnsiTheme="minorHAnsi" w:cstheme="minorHAnsi"/>
          <w:b/>
          <w:noProof/>
          <w:sz w:val="22"/>
          <w:szCs w:val="22"/>
        </w:rPr>
      </w:pPr>
    </w:p>
    <w:p w14:paraId="5EC80F9E" w14:textId="77777777" w:rsidR="004E7F06" w:rsidRPr="00890249" w:rsidRDefault="004E7F06" w:rsidP="004E7F06">
      <w:pPr>
        <w:spacing w:before="240" w:after="240"/>
        <w:rPr>
          <w:rFonts w:asciiTheme="minorHAnsi" w:hAnsiTheme="minorHAnsi" w:cstheme="minorHAnsi"/>
          <w:b/>
          <w:noProof/>
          <w:sz w:val="22"/>
          <w:szCs w:val="22"/>
        </w:rPr>
      </w:pPr>
      <w:r w:rsidRPr="00890249">
        <w:rPr>
          <w:rFonts w:asciiTheme="minorHAnsi" w:hAnsiTheme="minorHAnsi" w:cstheme="minorHAnsi"/>
          <w:b/>
          <w:noProof/>
          <w:sz w:val="22"/>
          <w:szCs w:val="22"/>
        </w:rPr>
        <w:t>2.1.10.1.3 (i) Orientacyjny podział zasobów programu (UE) według rodzaju interwencji</w:t>
      </w:r>
    </w:p>
    <w:tbl>
      <w:tblPr>
        <w:tblStyle w:val="Tabela-Siatka"/>
        <w:tblW w:w="0" w:type="auto"/>
        <w:tblLook w:val="04A0" w:firstRow="1" w:lastRow="0" w:firstColumn="1" w:lastColumn="0" w:noHBand="0" w:noVBand="1"/>
      </w:tblPr>
      <w:tblGrid>
        <w:gridCol w:w="1473"/>
        <w:gridCol w:w="1023"/>
        <w:gridCol w:w="1612"/>
        <w:gridCol w:w="1286"/>
        <w:gridCol w:w="1776"/>
        <w:gridCol w:w="1891"/>
      </w:tblGrid>
      <w:tr w:rsidR="00BD498B" w:rsidRPr="00890249" w14:paraId="15763281" w14:textId="77777777" w:rsidTr="006C6C3A">
        <w:trPr>
          <w:tblHeader/>
        </w:trPr>
        <w:tc>
          <w:tcPr>
            <w:tcW w:w="9287" w:type="dxa"/>
            <w:gridSpan w:val="6"/>
            <w:shd w:val="clear" w:color="auto" w:fill="D9D9D9" w:themeFill="background1" w:themeFillShade="D9"/>
          </w:tcPr>
          <w:p w14:paraId="60577025" w14:textId="77777777" w:rsidR="00BD498B" w:rsidRPr="00890249" w:rsidRDefault="00BD498B" w:rsidP="00BD498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AE1F7F" w:rsidRPr="00890249" w14:paraId="76403F9F" w14:textId="77777777" w:rsidTr="006C6C3A">
        <w:trPr>
          <w:tblHeader/>
        </w:trPr>
        <w:tc>
          <w:tcPr>
            <w:tcW w:w="1510" w:type="dxa"/>
            <w:shd w:val="clear" w:color="auto" w:fill="F2F2F2" w:themeFill="background1" w:themeFillShade="F2"/>
          </w:tcPr>
          <w:p w14:paraId="727C4A63"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34" w:type="dxa"/>
            <w:shd w:val="clear" w:color="auto" w:fill="F2F2F2" w:themeFill="background1" w:themeFillShade="F2"/>
          </w:tcPr>
          <w:p w14:paraId="253EBBC4"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660" w:type="dxa"/>
            <w:shd w:val="clear" w:color="auto" w:fill="F2F2F2" w:themeFill="background1" w:themeFillShade="F2"/>
          </w:tcPr>
          <w:p w14:paraId="72B61528"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290" w:type="dxa"/>
            <w:shd w:val="clear" w:color="auto" w:fill="F2F2F2" w:themeFill="background1" w:themeFillShade="F2"/>
          </w:tcPr>
          <w:p w14:paraId="4E56A042"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800" w:type="dxa"/>
            <w:shd w:val="clear" w:color="auto" w:fill="F2F2F2" w:themeFill="background1" w:themeFillShade="F2"/>
          </w:tcPr>
          <w:p w14:paraId="6C4EE036"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993" w:type="dxa"/>
            <w:shd w:val="clear" w:color="auto" w:fill="F2F2F2" w:themeFill="background1" w:themeFillShade="F2"/>
          </w:tcPr>
          <w:p w14:paraId="28FC6876" w14:textId="71CB769E" w:rsidR="00BD498B" w:rsidRPr="00890249" w:rsidRDefault="00C50C41" w:rsidP="00C50C41">
            <w:pPr>
              <w:tabs>
                <w:tab w:val="left" w:pos="255"/>
                <w:tab w:val="center" w:pos="888"/>
              </w:tabs>
              <w:jc w:val="left"/>
              <w:rPr>
                <w:rFonts w:asciiTheme="minorHAnsi" w:eastAsia="Times New Roman" w:hAnsiTheme="minorHAnsi" w:cstheme="minorHAnsi"/>
                <w:b/>
                <w:iCs/>
                <w:noProof/>
                <w:sz w:val="20"/>
              </w:rPr>
            </w:pPr>
            <w:r>
              <w:rPr>
                <w:rFonts w:asciiTheme="minorHAnsi" w:hAnsiTheme="minorHAnsi" w:cstheme="minorHAnsi"/>
                <w:b/>
                <w:noProof/>
                <w:sz w:val="20"/>
              </w:rPr>
              <w:tab/>
            </w:r>
            <w:r>
              <w:rPr>
                <w:rFonts w:asciiTheme="minorHAnsi" w:hAnsiTheme="minorHAnsi" w:cstheme="minorHAnsi"/>
                <w:b/>
                <w:noProof/>
                <w:sz w:val="20"/>
              </w:rPr>
              <w:tab/>
            </w:r>
            <w:r w:rsidR="00BD498B" w:rsidRPr="00890249">
              <w:rPr>
                <w:rFonts w:asciiTheme="minorHAnsi" w:hAnsiTheme="minorHAnsi" w:cstheme="minorHAnsi"/>
                <w:b/>
                <w:noProof/>
                <w:sz w:val="20"/>
              </w:rPr>
              <w:t>Kwota (w EUR)</w:t>
            </w:r>
          </w:p>
        </w:tc>
      </w:tr>
      <w:tr w:rsidR="006C6C3A" w:rsidRPr="00890249" w14:paraId="45FEB3BD" w14:textId="77777777" w:rsidTr="006C6C3A">
        <w:trPr>
          <w:trHeight w:val="1664"/>
        </w:trPr>
        <w:tc>
          <w:tcPr>
            <w:tcW w:w="1510" w:type="dxa"/>
            <w:vMerge w:val="restart"/>
            <w:vAlign w:val="center"/>
          </w:tcPr>
          <w:p w14:paraId="57B47108" w14:textId="5DA0CF6A"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5</w:t>
            </w:r>
          </w:p>
        </w:tc>
        <w:tc>
          <w:tcPr>
            <w:tcW w:w="1034" w:type="dxa"/>
            <w:vMerge w:val="restart"/>
            <w:vAlign w:val="center"/>
          </w:tcPr>
          <w:p w14:paraId="40613372" w14:textId="76661A38"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660" w:type="dxa"/>
            <w:vMerge w:val="restart"/>
            <w:vAlign w:val="center"/>
          </w:tcPr>
          <w:p w14:paraId="6BFF79B3" w14:textId="6D80D522"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290" w:type="dxa"/>
            <w:vMerge w:val="restart"/>
            <w:vAlign w:val="center"/>
          </w:tcPr>
          <w:p w14:paraId="42ECA756" w14:textId="729FE4ED"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p>
        </w:tc>
        <w:tc>
          <w:tcPr>
            <w:tcW w:w="1800" w:type="dxa"/>
          </w:tcPr>
          <w:p w14:paraId="0BDC69E2" w14:textId="0CAB93EB" w:rsidR="006C6C3A" w:rsidRPr="00890249" w:rsidRDefault="00097045">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121 Infrastruktura na potrzeby wczesnej edukacji i opieki nad dzieckiem</w:t>
            </w:r>
          </w:p>
        </w:tc>
        <w:tc>
          <w:tcPr>
            <w:tcW w:w="1993" w:type="dxa"/>
          </w:tcPr>
          <w:p w14:paraId="21D6BC33" w14:textId="33C43CBA" w:rsidR="006C6C3A" w:rsidRDefault="00097045" w:rsidP="006C6C3A">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180 000</w:t>
            </w:r>
          </w:p>
        </w:tc>
      </w:tr>
      <w:tr w:rsidR="006C6C3A" w:rsidRPr="00890249" w14:paraId="03B0091A" w14:textId="77777777" w:rsidTr="006C6C3A">
        <w:trPr>
          <w:trHeight w:val="1664"/>
        </w:trPr>
        <w:tc>
          <w:tcPr>
            <w:tcW w:w="1510" w:type="dxa"/>
            <w:vMerge/>
            <w:vAlign w:val="center"/>
          </w:tcPr>
          <w:p w14:paraId="68CBCA56" w14:textId="5DBAAD8D" w:rsidR="006C6C3A" w:rsidRPr="00890249" w:rsidRDefault="006C6C3A" w:rsidP="00BD498B">
            <w:pPr>
              <w:jc w:val="center"/>
              <w:rPr>
                <w:rFonts w:asciiTheme="minorHAnsi" w:eastAsia="Times New Roman" w:hAnsiTheme="minorHAnsi" w:cstheme="minorHAnsi"/>
                <w:iCs/>
                <w:noProof/>
                <w:sz w:val="20"/>
              </w:rPr>
            </w:pPr>
          </w:p>
        </w:tc>
        <w:tc>
          <w:tcPr>
            <w:tcW w:w="1034" w:type="dxa"/>
            <w:vMerge/>
            <w:vAlign w:val="center"/>
          </w:tcPr>
          <w:p w14:paraId="6D1E4298" w14:textId="6E70BF41" w:rsidR="006C6C3A" w:rsidRPr="00890249" w:rsidRDefault="006C6C3A" w:rsidP="00BD498B">
            <w:pPr>
              <w:jc w:val="center"/>
              <w:rPr>
                <w:rFonts w:asciiTheme="minorHAnsi" w:eastAsia="Times New Roman" w:hAnsiTheme="minorHAnsi" w:cstheme="minorHAnsi"/>
                <w:iCs/>
                <w:noProof/>
                <w:sz w:val="20"/>
              </w:rPr>
            </w:pPr>
          </w:p>
        </w:tc>
        <w:tc>
          <w:tcPr>
            <w:tcW w:w="1660" w:type="dxa"/>
            <w:vMerge/>
            <w:vAlign w:val="center"/>
          </w:tcPr>
          <w:p w14:paraId="3CEDBD00" w14:textId="298EFCB1" w:rsidR="006C6C3A" w:rsidRPr="00890249" w:rsidRDefault="006C6C3A" w:rsidP="00BD498B">
            <w:pPr>
              <w:jc w:val="center"/>
              <w:rPr>
                <w:rFonts w:asciiTheme="minorHAnsi" w:eastAsia="Times New Roman" w:hAnsiTheme="minorHAnsi" w:cstheme="minorHAnsi"/>
                <w:iCs/>
                <w:noProof/>
                <w:sz w:val="20"/>
              </w:rPr>
            </w:pPr>
          </w:p>
        </w:tc>
        <w:tc>
          <w:tcPr>
            <w:tcW w:w="1290" w:type="dxa"/>
            <w:vMerge/>
            <w:vAlign w:val="center"/>
          </w:tcPr>
          <w:p w14:paraId="0778858A" w14:textId="3668EEDA"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35A7BF1F" w14:textId="0465AD09" w:rsidR="006C6C3A" w:rsidRPr="00890249" w:rsidRDefault="00097045">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122 Infrastruktura na potrzeby szkolnictwa podstawowego i średniego</w:t>
            </w:r>
          </w:p>
        </w:tc>
        <w:tc>
          <w:tcPr>
            <w:tcW w:w="1993" w:type="dxa"/>
          </w:tcPr>
          <w:p w14:paraId="7F5BE6BE" w14:textId="7C583E72" w:rsidR="006C6C3A" w:rsidRDefault="00097045" w:rsidP="006C6C3A">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180 000</w:t>
            </w:r>
          </w:p>
        </w:tc>
      </w:tr>
      <w:tr w:rsidR="006C6C3A" w:rsidRPr="00890249" w14:paraId="6773764B" w14:textId="77777777" w:rsidTr="006C6C3A">
        <w:trPr>
          <w:trHeight w:val="1664"/>
        </w:trPr>
        <w:tc>
          <w:tcPr>
            <w:tcW w:w="1510" w:type="dxa"/>
            <w:vMerge/>
            <w:vAlign w:val="center"/>
          </w:tcPr>
          <w:p w14:paraId="42888887" w14:textId="3CE76DBB" w:rsidR="006C6C3A" w:rsidRPr="00890249" w:rsidRDefault="006C6C3A" w:rsidP="00BD498B">
            <w:pPr>
              <w:jc w:val="center"/>
              <w:rPr>
                <w:rFonts w:asciiTheme="minorHAnsi" w:eastAsia="Times New Roman" w:hAnsiTheme="minorHAnsi" w:cstheme="minorHAnsi"/>
                <w:iCs/>
                <w:noProof/>
                <w:sz w:val="20"/>
              </w:rPr>
            </w:pPr>
          </w:p>
        </w:tc>
        <w:tc>
          <w:tcPr>
            <w:tcW w:w="1034" w:type="dxa"/>
            <w:vMerge/>
            <w:vAlign w:val="center"/>
          </w:tcPr>
          <w:p w14:paraId="0AEA70D2" w14:textId="58095DCA" w:rsidR="006C6C3A" w:rsidRPr="00890249" w:rsidRDefault="006C6C3A" w:rsidP="00BD498B">
            <w:pPr>
              <w:jc w:val="center"/>
              <w:rPr>
                <w:rFonts w:asciiTheme="minorHAnsi" w:eastAsia="Times New Roman" w:hAnsiTheme="minorHAnsi" w:cstheme="minorHAnsi"/>
                <w:iCs/>
                <w:noProof/>
                <w:sz w:val="20"/>
              </w:rPr>
            </w:pPr>
          </w:p>
        </w:tc>
        <w:tc>
          <w:tcPr>
            <w:tcW w:w="1660" w:type="dxa"/>
            <w:vMerge/>
            <w:vAlign w:val="center"/>
          </w:tcPr>
          <w:p w14:paraId="5EF6F098" w14:textId="2804E146" w:rsidR="006C6C3A" w:rsidRPr="00890249" w:rsidRDefault="006C6C3A" w:rsidP="00BD498B">
            <w:pPr>
              <w:jc w:val="center"/>
              <w:rPr>
                <w:rFonts w:asciiTheme="minorHAnsi" w:eastAsia="Times New Roman" w:hAnsiTheme="minorHAnsi" w:cstheme="minorHAnsi"/>
                <w:iCs/>
                <w:noProof/>
                <w:sz w:val="20"/>
              </w:rPr>
            </w:pPr>
          </w:p>
        </w:tc>
        <w:tc>
          <w:tcPr>
            <w:tcW w:w="1290" w:type="dxa"/>
            <w:vMerge/>
            <w:vAlign w:val="center"/>
          </w:tcPr>
          <w:p w14:paraId="4278DBEC" w14:textId="28DC4806"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3199CB5F" w14:textId="0652BECE" w:rsidR="006C6C3A" w:rsidRPr="00890249" w:rsidRDefault="00097045">
            <w:pPr>
              <w:jc w:val="center"/>
              <w:rPr>
                <w:rFonts w:asciiTheme="minorHAnsi" w:eastAsia="Times New Roman" w:hAnsiTheme="minorHAnsi" w:cstheme="minorHAnsi"/>
                <w:iCs/>
                <w:noProof/>
                <w:sz w:val="20"/>
              </w:rPr>
            </w:pPr>
            <w:r>
              <w:rPr>
                <w:rFonts w:asciiTheme="minorHAnsi" w:eastAsia="Times New Roman" w:hAnsiTheme="minorHAnsi" w:cstheme="minorHAnsi"/>
                <w:iCs/>
                <w:noProof/>
                <w:sz w:val="20"/>
              </w:rPr>
              <w:t>124 Infrastruktura na potrzeby kształcenia i szkolenia zawodowego oraz edukacji dorosłych</w:t>
            </w:r>
          </w:p>
        </w:tc>
        <w:tc>
          <w:tcPr>
            <w:tcW w:w="1993" w:type="dxa"/>
          </w:tcPr>
          <w:p w14:paraId="741BBECB" w14:textId="2D3A39AD" w:rsidR="006C6C3A" w:rsidRDefault="00097045" w:rsidP="006C6C3A">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180 000</w:t>
            </w:r>
          </w:p>
        </w:tc>
      </w:tr>
      <w:tr w:rsidR="006C6C3A" w:rsidRPr="00890249" w14:paraId="14F649E1" w14:textId="77777777" w:rsidTr="006C6C3A">
        <w:trPr>
          <w:trHeight w:val="1664"/>
        </w:trPr>
        <w:tc>
          <w:tcPr>
            <w:tcW w:w="1510" w:type="dxa"/>
            <w:vMerge/>
            <w:vAlign w:val="center"/>
          </w:tcPr>
          <w:p w14:paraId="19D59EEA" w14:textId="7A54EA87" w:rsidR="006C6C3A" w:rsidRPr="00890249" w:rsidRDefault="006C6C3A" w:rsidP="00BD498B">
            <w:pPr>
              <w:jc w:val="center"/>
              <w:rPr>
                <w:rFonts w:asciiTheme="minorHAnsi" w:eastAsia="Times New Roman" w:hAnsiTheme="minorHAnsi" w:cstheme="minorHAnsi"/>
                <w:iCs/>
                <w:noProof/>
                <w:sz w:val="20"/>
              </w:rPr>
            </w:pPr>
          </w:p>
        </w:tc>
        <w:tc>
          <w:tcPr>
            <w:tcW w:w="1034" w:type="dxa"/>
            <w:vMerge/>
            <w:vAlign w:val="center"/>
          </w:tcPr>
          <w:p w14:paraId="333E3D11" w14:textId="1A6778DC" w:rsidR="006C6C3A" w:rsidRPr="00890249" w:rsidRDefault="006C6C3A" w:rsidP="00BD498B">
            <w:pPr>
              <w:jc w:val="center"/>
              <w:rPr>
                <w:rFonts w:asciiTheme="minorHAnsi" w:eastAsia="Times New Roman" w:hAnsiTheme="minorHAnsi" w:cstheme="minorHAnsi"/>
                <w:iCs/>
                <w:noProof/>
                <w:sz w:val="20"/>
              </w:rPr>
            </w:pPr>
          </w:p>
        </w:tc>
        <w:tc>
          <w:tcPr>
            <w:tcW w:w="1660" w:type="dxa"/>
            <w:vMerge/>
            <w:vAlign w:val="center"/>
          </w:tcPr>
          <w:p w14:paraId="75B988A5" w14:textId="6C08EF73" w:rsidR="006C6C3A" w:rsidRPr="00890249" w:rsidRDefault="006C6C3A" w:rsidP="00BD498B">
            <w:pPr>
              <w:jc w:val="center"/>
              <w:rPr>
                <w:rFonts w:asciiTheme="minorHAnsi" w:eastAsia="Times New Roman" w:hAnsiTheme="minorHAnsi" w:cstheme="minorHAnsi"/>
                <w:iCs/>
                <w:noProof/>
                <w:sz w:val="20"/>
              </w:rPr>
            </w:pPr>
          </w:p>
        </w:tc>
        <w:tc>
          <w:tcPr>
            <w:tcW w:w="1290" w:type="dxa"/>
            <w:vMerge/>
            <w:vAlign w:val="center"/>
          </w:tcPr>
          <w:p w14:paraId="69BC091E" w14:textId="2D80BA20"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12806551" w14:textId="77777777" w:rsidR="006C6C3A" w:rsidRPr="00890249" w:rsidRDefault="006C6C3A">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127 Pozostała infrastruktura społeczna przeczyniająca się do włączenia społecznego</w:t>
            </w:r>
          </w:p>
        </w:tc>
        <w:tc>
          <w:tcPr>
            <w:tcW w:w="1993" w:type="dxa"/>
          </w:tcPr>
          <w:p w14:paraId="513C64DD" w14:textId="5F35CBA1" w:rsidR="006C6C3A" w:rsidRPr="00890249" w:rsidRDefault="006C6C3A" w:rsidP="006C6C3A">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 </w:t>
            </w:r>
            <w:r>
              <w:rPr>
                <w:rFonts w:asciiTheme="minorHAnsi" w:eastAsia="Times New Roman" w:hAnsiTheme="minorHAnsi" w:cstheme="minorHAnsi"/>
                <w:iCs/>
                <w:noProof/>
                <w:sz w:val="20"/>
              </w:rPr>
              <w:br/>
              <w:t>11 070 000</w:t>
            </w:r>
          </w:p>
        </w:tc>
      </w:tr>
      <w:tr w:rsidR="006C6C3A" w:rsidRPr="00890249" w14:paraId="77CC0856" w14:textId="77777777" w:rsidTr="006C6C3A">
        <w:tc>
          <w:tcPr>
            <w:tcW w:w="1510" w:type="dxa"/>
            <w:vMerge/>
            <w:vAlign w:val="center"/>
          </w:tcPr>
          <w:p w14:paraId="477CFD2D" w14:textId="77777777" w:rsidR="006C6C3A" w:rsidRPr="00890249" w:rsidRDefault="006C6C3A" w:rsidP="00BD498B">
            <w:pPr>
              <w:jc w:val="center"/>
              <w:rPr>
                <w:rFonts w:asciiTheme="minorHAnsi" w:eastAsia="Times New Roman" w:hAnsiTheme="minorHAnsi" w:cstheme="minorHAnsi"/>
                <w:iCs/>
                <w:noProof/>
                <w:sz w:val="20"/>
              </w:rPr>
            </w:pPr>
          </w:p>
        </w:tc>
        <w:tc>
          <w:tcPr>
            <w:tcW w:w="1034" w:type="dxa"/>
            <w:vMerge/>
            <w:vAlign w:val="center"/>
          </w:tcPr>
          <w:p w14:paraId="21098948" w14:textId="77777777" w:rsidR="006C6C3A" w:rsidRPr="00890249" w:rsidRDefault="006C6C3A" w:rsidP="00BD498B">
            <w:pPr>
              <w:jc w:val="center"/>
              <w:rPr>
                <w:rFonts w:asciiTheme="minorHAnsi" w:eastAsia="Times New Roman" w:hAnsiTheme="minorHAnsi" w:cstheme="minorHAnsi"/>
                <w:iCs/>
                <w:noProof/>
                <w:sz w:val="20"/>
              </w:rPr>
            </w:pPr>
          </w:p>
        </w:tc>
        <w:tc>
          <w:tcPr>
            <w:tcW w:w="1660" w:type="dxa"/>
            <w:vMerge/>
            <w:vAlign w:val="center"/>
          </w:tcPr>
          <w:p w14:paraId="05E45225" w14:textId="77777777" w:rsidR="006C6C3A" w:rsidRPr="00890249" w:rsidRDefault="006C6C3A" w:rsidP="00BD498B">
            <w:pPr>
              <w:jc w:val="center"/>
              <w:rPr>
                <w:rFonts w:asciiTheme="minorHAnsi" w:eastAsia="Times New Roman" w:hAnsiTheme="minorHAnsi" w:cstheme="minorHAnsi"/>
                <w:iCs/>
                <w:noProof/>
                <w:sz w:val="20"/>
              </w:rPr>
            </w:pPr>
          </w:p>
        </w:tc>
        <w:tc>
          <w:tcPr>
            <w:tcW w:w="1290" w:type="dxa"/>
            <w:vMerge/>
            <w:vAlign w:val="center"/>
          </w:tcPr>
          <w:p w14:paraId="233017C1" w14:textId="77777777"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070C1771" w14:textId="77777777"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165 Ochrona, rozwój i promowanie publicznych walorów turystycznych i usług turystycznych</w:t>
            </w:r>
          </w:p>
        </w:tc>
        <w:tc>
          <w:tcPr>
            <w:tcW w:w="1993" w:type="dxa"/>
          </w:tcPr>
          <w:p w14:paraId="75EBF2BC" w14:textId="62D390C5" w:rsidR="006C6C3A" w:rsidRPr="00890249" w:rsidRDefault="006C6C3A" w:rsidP="00AE1F7F">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3 210 000</w:t>
            </w:r>
          </w:p>
        </w:tc>
      </w:tr>
      <w:tr w:rsidR="006C6C3A" w:rsidRPr="00890249" w14:paraId="43353F0F" w14:textId="77777777" w:rsidTr="006C6C3A">
        <w:tc>
          <w:tcPr>
            <w:tcW w:w="1510" w:type="dxa"/>
            <w:vMerge/>
            <w:vAlign w:val="center"/>
          </w:tcPr>
          <w:p w14:paraId="6968B6C3" w14:textId="77777777" w:rsidR="006C6C3A" w:rsidRPr="00890249" w:rsidRDefault="006C6C3A" w:rsidP="00BD498B">
            <w:pPr>
              <w:jc w:val="center"/>
              <w:rPr>
                <w:rFonts w:asciiTheme="minorHAnsi" w:eastAsia="Times New Roman" w:hAnsiTheme="minorHAnsi" w:cstheme="minorHAnsi"/>
                <w:iCs/>
                <w:noProof/>
                <w:sz w:val="20"/>
              </w:rPr>
            </w:pPr>
          </w:p>
        </w:tc>
        <w:tc>
          <w:tcPr>
            <w:tcW w:w="1034" w:type="dxa"/>
            <w:vMerge/>
            <w:vAlign w:val="center"/>
          </w:tcPr>
          <w:p w14:paraId="713849DA" w14:textId="77777777" w:rsidR="006C6C3A" w:rsidRPr="00890249" w:rsidRDefault="006C6C3A" w:rsidP="00BD498B">
            <w:pPr>
              <w:jc w:val="center"/>
              <w:rPr>
                <w:rFonts w:asciiTheme="minorHAnsi" w:eastAsia="Times New Roman" w:hAnsiTheme="minorHAnsi" w:cstheme="minorHAnsi"/>
                <w:iCs/>
                <w:noProof/>
                <w:sz w:val="20"/>
              </w:rPr>
            </w:pPr>
          </w:p>
        </w:tc>
        <w:tc>
          <w:tcPr>
            <w:tcW w:w="1660" w:type="dxa"/>
            <w:vMerge/>
            <w:vAlign w:val="center"/>
          </w:tcPr>
          <w:p w14:paraId="1776296F" w14:textId="77777777" w:rsidR="006C6C3A" w:rsidRPr="00890249" w:rsidRDefault="006C6C3A" w:rsidP="00BD498B">
            <w:pPr>
              <w:jc w:val="center"/>
              <w:rPr>
                <w:rFonts w:asciiTheme="minorHAnsi" w:eastAsia="Times New Roman" w:hAnsiTheme="minorHAnsi" w:cstheme="minorHAnsi"/>
                <w:iCs/>
                <w:noProof/>
                <w:sz w:val="20"/>
              </w:rPr>
            </w:pPr>
          </w:p>
        </w:tc>
        <w:tc>
          <w:tcPr>
            <w:tcW w:w="1290" w:type="dxa"/>
            <w:vMerge/>
            <w:vAlign w:val="center"/>
          </w:tcPr>
          <w:p w14:paraId="2B2036E8" w14:textId="77777777"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0DE722DF" w14:textId="77777777"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166 Ochrona, rozwój i promowanie dziedzictwa kulturowego i usług w dziedzinie kultury</w:t>
            </w:r>
          </w:p>
        </w:tc>
        <w:tc>
          <w:tcPr>
            <w:tcW w:w="1993" w:type="dxa"/>
          </w:tcPr>
          <w:p w14:paraId="77318E83" w14:textId="00E98DB6" w:rsidR="006C6C3A" w:rsidRPr="00890249" w:rsidRDefault="006C6C3A"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4 550 000</w:t>
            </w:r>
          </w:p>
        </w:tc>
      </w:tr>
      <w:tr w:rsidR="006C6C3A" w:rsidRPr="00890249" w14:paraId="0CC46E46" w14:textId="77777777" w:rsidTr="006C6C3A">
        <w:trPr>
          <w:trHeight w:val="2032"/>
        </w:trPr>
        <w:tc>
          <w:tcPr>
            <w:tcW w:w="1510" w:type="dxa"/>
            <w:vMerge/>
          </w:tcPr>
          <w:p w14:paraId="6CC10BDF" w14:textId="77777777" w:rsidR="006C6C3A" w:rsidRPr="00890249" w:rsidRDefault="006C6C3A" w:rsidP="00BD498B">
            <w:pPr>
              <w:jc w:val="center"/>
              <w:rPr>
                <w:rFonts w:asciiTheme="minorHAnsi" w:eastAsia="Times New Roman" w:hAnsiTheme="minorHAnsi" w:cstheme="minorHAnsi"/>
                <w:iCs/>
                <w:noProof/>
                <w:sz w:val="20"/>
              </w:rPr>
            </w:pPr>
          </w:p>
        </w:tc>
        <w:tc>
          <w:tcPr>
            <w:tcW w:w="1034" w:type="dxa"/>
            <w:vMerge/>
          </w:tcPr>
          <w:p w14:paraId="44F159A8" w14:textId="77777777" w:rsidR="006C6C3A" w:rsidRPr="00890249" w:rsidRDefault="006C6C3A" w:rsidP="00BD498B">
            <w:pPr>
              <w:jc w:val="center"/>
              <w:rPr>
                <w:rFonts w:asciiTheme="minorHAnsi" w:eastAsia="Times New Roman" w:hAnsiTheme="minorHAnsi" w:cstheme="minorHAnsi"/>
                <w:iCs/>
                <w:noProof/>
                <w:sz w:val="20"/>
              </w:rPr>
            </w:pPr>
          </w:p>
        </w:tc>
        <w:tc>
          <w:tcPr>
            <w:tcW w:w="1660" w:type="dxa"/>
            <w:vMerge/>
          </w:tcPr>
          <w:p w14:paraId="7A094E61" w14:textId="77777777" w:rsidR="006C6C3A" w:rsidRPr="00890249" w:rsidRDefault="006C6C3A" w:rsidP="00BD498B">
            <w:pPr>
              <w:jc w:val="center"/>
              <w:rPr>
                <w:rFonts w:asciiTheme="minorHAnsi" w:eastAsia="Times New Roman" w:hAnsiTheme="minorHAnsi" w:cstheme="minorHAnsi"/>
                <w:iCs/>
                <w:noProof/>
                <w:sz w:val="20"/>
              </w:rPr>
            </w:pPr>
          </w:p>
        </w:tc>
        <w:tc>
          <w:tcPr>
            <w:tcW w:w="1290" w:type="dxa"/>
            <w:vMerge/>
          </w:tcPr>
          <w:p w14:paraId="5210E2F6" w14:textId="77777777"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6CDFDDCB" w14:textId="77777777"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167 Ochrona, rozwój i promowanie dziedzictwa naturalnego i ekoturystyki poza obszarami Natura 2000</w:t>
            </w:r>
          </w:p>
        </w:tc>
        <w:tc>
          <w:tcPr>
            <w:tcW w:w="1993" w:type="dxa"/>
          </w:tcPr>
          <w:p w14:paraId="634C9A32" w14:textId="3E0F4ECA" w:rsidR="006C6C3A" w:rsidRPr="00890249" w:rsidRDefault="006C6C3A" w:rsidP="00AE1F7F">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930 000</w:t>
            </w:r>
          </w:p>
        </w:tc>
      </w:tr>
      <w:tr w:rsidR="006C6C3A" w:rsidRPr="00890249" w14:paraId="0C037D46" w14:textId="77777777" w:rsidTr="006C6C3A">
        <w:tc>
          <w:tcPr>
            <w:tcW w:w="1510" w:type="dxa"/>
            <w:vMerge/>
          </w:tcPr>
          <w:p w14:paraId="66C71B70" w14:textId="77777777" w:rsidR="006C6C3A" w:rsidRPr="00890249" w:rsidRDefault="006C6C3A" w:rsidP="00BD498B">
            <w:pPr>
              <w:jc w:val="center"/>
              <w:rPr>
                <w:rFonts w:asciiTheme="minorHAnsi" w:eastAsia="Times New Roman" w:hAnsiTheme="minorHAnsi" w:cstheme="minorHAnsi"/>
                <w:iCs/>
                <w:noProof/>
                <w:sz w:val="20"/>
              </w:rPr>
            </w:pPr>
          </w:p>
        </w:tc>
        <w:tc>
          <w:tcPr>
            <w:tcW w:w="1034" w:type="dxa"/>
            <w:vMerge/>
          </w:tcPr>
          <w:p w14:paraId="7F7497BD" w14:textId="77777777" w:rsidR="006C6C3A" w:rsidRPr="00890249" w:rsidRDefault="006C6C3A" w:rsidP="00BD498B">
            <w:pPr>
              <w:jc w:val="center"/>
              <w:rPr>
                <w:rFonts w:asciiTheme="minorHAnsi" w:eastAsia="Times New Roman" w:hAnsiTheme="minorHAnsi" w:cstheme="minorHAnsi"/>
                <w:iCs/>
                <w:noProof/>
                <w:sz w:val="20"/>
              </w:rPr>
            </w:pPr>
          </w:p>
        </w:tc>
        <w:tc>
          <w:tcPr>
            <w:tcW w:w="1660" w:type="dxa"/>
            <w:vMerge/>
          </w:tcPr>
          <w:p w14:paraId="36EE17C2" w14:textId="77777777" w:rsidR="006C6C3A" w:rsidRPr="00890249" w:rsidRDefault="006C6C3A" w:rsidP="00BD498B">
            <w:pPr>
              <w:jc w:val="center"/>
              <w:rPr>
                <w:rFonts w:asciiTheme="minorHAnsi" w:eastAsia="Times New Roman" w:hAnsiTheme="minorHAnsi" w:cstheme="minorHAnsi"/>
                <w:iCs/>
                <w:noProof/>
                <w:sz w:val="20"/>
              </w:rPr>
            </w:pPr>
          </w:p>
        </w:tc>
        <w:tc>
          <w:tcPr>
            <w:tcW w:w="1290" w:type="dxa"/>
            <w:vMerge/>
          </w:tcPr>
          <w:p w14:paraId="67124F1B" w14:textId="77777777"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4471B2A6" w14:textId="77777777"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168 Fizyczna odnowa i bezpieczeństwo przestrzeni publicznych</w:t>
            </w:r>
          </w:p>
        </w:tc>
        <w:tc>
          <w:tcPr>
            <w:tcW w:w="1993" w:type="dxa"/>
          </w:tcPr>
          <w:p w14:paraId="58DF5D19" w14:textId="3591BEF5" w:rsidR="006C6C3A" w:rsidRPr="00890249" w:rsidRDefault="006C6C3A" w:rsidP="00BD498B">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23 595 000</w:t>
            </w:r>
          </w:p>
        </w:tc>
      </w:tr>
      <w:tr w:rsidR="006C6C3A" w:rsidRPr="00890249" w14:paraId="360A4570" w14:textId="77777777" w:rsidTr="006C6C3A">
        <w:tc>
          <w:tcPr>
            <w:tcW w:w="1510" w:type="dxa"/>
            <w:vMerge/>
          </w:tcPr>
          <w:p w14:paraId="7CE99D33" w14:textId="77777777" w:rsidR="006C6C3A" w:rsidRPr="00890249" w:rsidRDefault="006C6C3A" w:rsidP="00BD498B">
            <w:pPr>
              <w:jc w:val="center"/>
              <w:rPr>
                <w:rFonts w:asciiTheme="minorHAnsi" w:eastAsia="Times New Roman" w:hAnsiTheme="minorHAnsi" w:cstheme="minorHAnsi"/>
                <w:iCs/>
                <w:noProof/>
                <w:sz w:val="20"/>
              </w:rPr>
            </w:pPr>
          </w:p>
        </w:tc>
        <w:tc>
          <w:tcPr>
            <w:tcW w:w="1034" w:type="dxa"/>
            <w:vMerge/>
          </w:tcPr>
          <w:p w14:paraId="2940A544" w14:textId="77777777" w:rsidR="006C6C3A" w:rsidRPr="00890249" w:rsidRDefault="006C6C3A" w:rsidP="00BD498B">
            <w:pPr>
              <w:jc w:val="center"/>
              <w:rPr>
                <w:rFonts w:asciiTheme="minorHAnsi" w:eastAsia="Times New Roman" w:hAnsiTheme="minorHAnsi" w:cstheme="minorHAnsi"/>
                <w:iCs/>
                <w:noProof/>
                <w:sz w:val="20"/>
              </w:rPr>
            </w:pPr>
          </w:p>
        </w:tc>
        <w:tc>
          <w:tcPr>
            <w:tcW w:w="1660" w:type="dxa"/>
            <w:vMerge/>
          </w:tcPr>
          <w:p w14:paraId="3010DF5F" w14:textId="77777777" w:rsidR="006C6C3A" w:rsidRPr="00890249" w:rsidRDefault="006C6C3A" w:rsidP="00BD498B">
            <w:pPr>
              <w:jc w:val="center"/>
              <w:rPr>
                <w:rFonts w:asciiTheme="minorHAnsi" w:eastAsia="Times New Roman" w:hAnsiTheme="minorHAnsi" w:cstheme="minorHAnsi"/>
                <w:iCs/>
                <w:noProof/>
                <w:sz w:val="20"/>
              </w:rPr>
            </w:pPr>
          </w:p>
        </w:tc>
        <w:tc>
          <w:tcPr>
            <w:tcW w:w="1290" w:type="dxa"/>
            <w:vMerge/>
          </w:tcPr>
          <w:p w14:paraId="125605CC" w14:textId="77777777" w:rsidR="006C6C3A" w:rsidRPr="00890249" w:rsidRDefault="006C6C3A" w:rsidP="00BD498B">
            <w:pPr>
              <w:jc w:val="center"/>
              <w:rPr>
                <w:rFonts w:asciiTheme="minorHAnsi" w:eastAsia="Times New Roman" w:hAnsiTheme="minorHAnsi" w:cstheme="minorHAnsi"/>
                <w:iCs/>
                <w:noProof/>
                <w:sz w:val="20"/>
              </w:rPr>
            </w:pPr>
          </w:p>
        </w:tc>
        <w:tc>
          <w:tcPr>
            <w:tcW w:w="1800" w:type="dxa"/>
          </w:tcPr>
          <w:p w14:paraId="09292520" w14:textId="77777777" w:rsidR="006C6C3A" w:rsidRPr="00890249" w:rsidRDefault="006C6C3A"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172 Finansowanie krzyżowe w ramach EFRR (wsparcie dla działań typowych dla EFS+ koniecznych do wdrożenia części operacji objętej EFRR i bezpośrednio z nią związanych)</w:t>
            </w:r>
          </w:p>
        </w:tc>
        <w:tc>
          <w:tcPr>
            <w:tcW w:w="1993" w:type="dxa"/>
          </w:tcPr>
          <w:p w14:paraId="0A81F114" w14:textId="19EF621A" w:rsidR="006C6C3A" w:rsidRPr="00890249" w:rsidRDefault="006C6C3A"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1 905 000</w:t>
            </w:r>
          </w:p>
        </w:tc>
      </w:tr>
    </w:tbl>
    <w:p w14:paraId="4316A3DE" w14:textId="77777777" w:rsidR="00BD498B" w:rsidRPr="00890249" w:rsidRDefault="00BD498B" w:rsidP="00B71643">
      <w:pPr>
        <w:spacing w:before="0" w:after="240"/>
        <w:rPr>
          <w:rFonts w:asciiTheme="minorHAnsi" w:hAnsiTheme="minorHAnsi" w:cstheme="minorHAnsi"/>
          <w:b/>
          <w:noProof/>
          <w:color w:val="FF0000"/>
          <w:sz w:val="22"/>
          <w:szCs w:val="22"/>
        </w:rPr>
      </w:pPr>
    </w:p>
    <w:tbl>
      <w:tblPr>
        <w:tblStyle w:val="Tabela-Siatka"/>
        <w:tblW w:w="0" w:type="auto"/>
        <w:tblLook w:val="04A0" w:firstRow="1" w:lastRow="0" w:firstColumn="1" w:lastColumn="0" w:noHBand="0" w:noVBand="1"/>
      </w:tblPr>
      <w:tblGrid>
        <w:gridCol w:w="1563"/>
        <w:gridCol w:w="1050"/>
        <w:gridCol w:w="1711"/>
        <w:gridCol w:w="1618"/>
        <w:gridCol w:w="1039"/>
        <w:gridCol w:w="2080"/>
      </w:tblGrid>
      <w:tr w:rsidR="00BD498B" w:rsidRPr="00890249" w14:paraId="526EB9B8" w14:textId="77777777" w:rsidTr="00D15D64">
        <w:tc>
          <w:tcPr>
            <w:tcW w:w="9288" w:type="dxa"/>
            <w:gridSpan w:val="6"/>
            <w:shd w:val="clear" w:color="auto" w:fill="D9D9D9" w:themeFill="background1" w:themeFillShade="D9"/>
          </w:tcPr>
          <w:p w14:paraId="56994EBE" w14:textId="77777777" w:rsidR="00BD498B" w:rsidRPr="00890249" w:rsidRDefault="00BD498B" w:rsidP="00BD498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BD498B" w:rsidRPr="00890249" w14:paraId="1FF5352D" w14:textId="77777777" w:rsidTr="00D15D64">
        <w:tc>
          <w:tcPr>
            <w:tcW w:w="1599" w:type="dxa"/>
            <w:shd w:val="clear" w:color="auto" w:fill="F2F2F2" w:themeFill="background1" w:themeFillShade="F2"/>
          </w:tcPr>
          <w:p w14:paraId="7CD7BADB"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61" w:type="dxa"/>
            <w:shd w:val="clear" w:color="auto" w:fill="F2F2F2" w:themeFill="background1" w:themeFillShade="F2"/>
          </w:tcPr>
          <w:p w14:paraId="7B285CCA"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56" w:type="dxa"/>
            <w:shd w:val="clear" w:color="auto" w:fill="F2F2F2" w:themeFill="background1" w:themeFillShade="F2"/>
          </w:tcPr>
          <w:p w14:paraId="567CADB0"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44" w:type="dxa"/>
            <w:shd w:val="clear" w:color="auto" w:fill="F2F2F2" w:themeFill="background1" w:themeFillShade="F2"/>
          </w:tcPr>
          <w:p w14:paraId="08201FF8"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53" w:type="dxa"/>
            <w:shd w:val="clear" w:color="auto" w:fill="F2F2F2" w:themeFill="background1" w:themeFillShade="F2"/>
          </w:tcPr>
          <w:p w14:paraId="53771734"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175" w:type="dxa"/>
            <w:shd w:val="clear" w:color="auto" w:fill="F2F2F2" w:themeFill="background1" w:themeFillShade="F2"/>
          </w:tcPr>
          <w:p w14:paraId="1AC202E1"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498B" w:rsidRPr="00890249" w14:paraId="546EC7B3" w14:textId="77777777" w:rsidTr="00890249">
        <w:tc>
          <w:tcPr>
            <w:tcW w:w="1599" w:type="dxa"/>
            <w:vAlign w:val="center"/>
          </w:tcPr>
          <w:p w14:paraId="1D05C51C"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CP 5</w:t>
            </w:r>
          </w:p>
        </w:tc>
        <w:tc>
          <w:tcPr>
            <w:tcW w:w="1061" w:type="dxa"/>
            <w:vAlign w:val="center"/>
          </w:tcPr>
          <w:p w14:paraId="01677AC6"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56" w:type="dxa"/>
            <w:vAlign w:val="center"/>
          </w:tcPr>
          <w:p w14:paraId="79DDA8DC" w14:textId="335799C4"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w:t>
            </w:r>
            <w:r w:rsidR="00454C1F"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44" w:type="dxa"/>
            <w:vAlign w:val="center"/>
          </w:tcPr>
          <w:p w14:paraId="47A40333"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p>
        </w:tc>
        <w:tc>
          <w:tcPr>
            <w:tcW w:w="1053" w:type="dxa"/>
            <w:vAlign w:val="center"/>
          </w:tcPr>
          <w:p w14:paraId="7A1B8388"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683ED7" w:rsidRPr="00890249">
              <w:rPr>
                <w:rFonts w:asciiTheme="minorHAnsi" w:eastAsia="Times New Roman" w:hAnsiTheme="minorHAnsi" w:cstheme="minorHAnsi"/>
                <w:iCs/>
                <w:noProof/>
                <w:sz w:val="20"/>
              </w:rPr>
              <w:t xml:space="preserve"> Dotacja</w:t>
            </w:r>
          </w:p>
        </w:tc>
        <w:tc>
          <w:tcPr>
            <w:tcW w:w="2175" w:type="dxa"/>
          </w:tcPr>
          <w:p w14:paraId="0C91E79A" w14:textId="42B2C919" w:rsidR="00BD498B" w:rsidRPr="00890249" w:rsidRDefault="007A72D8" w:rsidP="00BD498B">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45 800 000</w:t>
            </w:r>
          </w:p>
        </w:tc>
      </w:tr>
    </w:tbl>
    <w:p w14:paraId="38F0062E" w14:textId="77777777" w:rsidR="00BD498B" w:rsidRPr="00890249" w:rsidRDefault="00BD498B" w:rsidP="00516DBF">
      <w:pPr>
        <w:spacing w:before="0" w:after="160" w:line="259" w:lineRule="auto"/>
        <w:jc w:val="left"/>
        <w:rPr>
          <w:rFonts w:asciiTheme="minorHAnsi" w:hAnsiTheme="minorHAnsi" w:cstheme="minorHAnsi"/>
          <w:b/>
          <w:noProof/>
          <w:color w:val="FF0000"/>
          <w:sz w:val="22"/>
          <w:szCs w:val="22"/>
        </w:rPr>
      </w:pPr>
    </w:p>
    <w:tbl>
      <w:tblPr>
        <w:tblStyle w:val="Tabela-Siatka"/>
        <w:tblW w:w="9322" w:type="dxa"/>
        <w:tblLook w:val="04A0" w:firstRow="1" w:lastRow="0" w:firstColumn="1" w:lastColumn="0" w:noHBand="0" w:noVBand="1"/>
      </w:tblPr>
      <w:tblGrid>
        <w:gridCol w:w="1412"/>
        <w:gridCol w:w="1003"/>
        <w:gridCol w:w="1548"/>
        <w:gridCol w:w="1504"/>
        <w:gridCol w:w="1996"/>
        <w:gridCol w:w="1859"/>
      </w:tblGrid>
      <w:tr w:rsidR="00BD498B" w:rsidRPr="00890249" w14:paraId="3F68114C" w14:textId="77777777" w:rsidTr="00D84080">
        <w:tc>
          <w:tcPr>
            <w:tcW w:w="9322" w:type="dxa"/>
            <w:gridSpan w:val="6"/>
            <w:shd w:val="clear" w:color="auto" w:fill="D9D9D9" w:themeFill="background1" w:themeFillShade="D9"/>
          </w:tcPr>
          <w:p w14:paraId="6B29D89E" w14:textId="20FDAC67" w:rsidR="00BD498B" w:rsidRPr="00890249" w:rsidRDefault="00BD498B" w:rsidP="006C1995">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E6186D">
              <w:rPr>
                <w:rFonts w:asciiTheme="minorHAnsi" w:hAnsiTheme="minorHAnsi" w:cstheme="minorHAnsi"/>
                <w:b/>
                <w:noProof/>
                <w:sz w:val="20"/>
              </w:rPr>
              <w:t>6</w:t>
            </w:r>
            <w:r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Pr="00890249">
              <w:rPr>
                <w:rFonts w:asciiTheme="minorHAnsi" w:hAnsiTheme="minorHAnsi" w:cstheme="minorHAnsi"/>
                <w:b/>
                <w:noProof/>
                <w:sz w:val="20"/>
              </w:rPr>
              <w:t xml:space="preserve"> – terytorialny mechanizm realizacji i ukierunkowanie terytorialne</w:t>
            </w:r>
          </w:p>
        </w:tc>
      </w:tr>
      <w:tr w:rsidR="00BD498B" w:rsidRPr="00890249" w14:paraId="327DBAE1" w14:textId="77777777" w:rsidTr="0077655E">
        <w:tc>
          <w:tcPr>
            <w:tcW w:w="1412" w:type="dxa"/>
            <w:shd w:val="clear" w:color="auto" w:fill="F2F2F2" w:themeFill="background1" w:themeFillShade="F2"/>
          </w:tcPr>
          <w:p w14:paraId="166C59AB"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03" w:type="dxa"/>
            <w:shd w:val="clear" w:color="auto" w:fill="F2F2F2" w:themeFill="background1" w:themeFillShade="F2"/>
          </w:tcPr>
          <w:p w14:paraId="55B8AC6B"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548" w:type="dxa"/>
            <w:shd w:val="clear" w:color="auto" w:fill="F2F2F2" w:themeFill="background1" w:themeFillShade="F2"/>
          </w:tcPr>
          <w:p w14:paraId="28BB60A9"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504" w:type="dxa"/>
            <w:shd w:val="clear" w:color="auto" w:fill="F2F2F2" w:themeFill="background1" w:themeFillShade="F2"/>
          </w:tcPr>
          <w:p w14:paraId="3777FA6D"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996" w:type="dxa"/>
            <w:shd w:val="clear" w:color="auto" w:fill="F2F2F2" w:themeFill="background1" w:themeFillShade="F2"/>
          </w:tcPr>
          <w:p w14:paraId="10CF08EF" w14:textId="3D97D22D"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1859" w:type="dxa"/>
            <w:shd w:val="clear" w:color="auto" w:fill="F2F2F2" w:themeFill="background1" w:themeFillShade="F2"/>
          </w:tcPr>
          <w:p w14:paraId="71966A6D"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77655E" w:rsidRPr="00890249" w14:paraId="3B3FFD06" w14:textId="77777777" w:rsidTr="00890249">
        <w:trPr>
          <w:trHeight w:val="725"/>
        </w:trPr>
        <w:tc>
          <w:tcPr>
            <w:tcW w:w="1412" w:type="dxa"/>
            <w:vMerge w:val="restart"/>
            <w:vAlign w:val="center"/>
          </w:tcPr>
          <w:p w14:paraId="1C771724" w14:textId="77777777" w:rsidR="0077655E" w:rsidRPr="00890249" w:rsidRDefault="0077655E" w:rsidP="00CE7CB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5</w:t>
            </w:r>
          </w:p>
        </w:tc>
        <w:tc>
          <w:tcPr>
            <w:tcW w:w="1003" w:type="dxa"/>
            <w:vMerge w:val="restart"/>
            <w:vAlign w:val="center"/>
          </w:tcPr>
          <w:p w14:paraId="1FBF8BE8" w14:textId="77777777" w:rsidR="0077655E" w:rsidRPr="00890249" w:rsidRDefault="0077655E" w:rsidP="00CE7CB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548" w:type="dxa"/>
            <w:vMerge w:val="restart"/>
            <w:vAlign w:val="center"/>
          </w:tcPr>
          <w:p w14:paraId="1267163B" w14:textId="5FD99634" w:rsidR="0077655E" w:rsidRPr="00890249" w:rsidRDefault="0077655E" w:rsidP="00CE7CB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504" w:type="dxa"/>
            <w:vMerge w:val="restart"/>
            <w:vAlign w:val="center"/>
          </w:tcPr>
          <w:p w14:paraId="17CC8BD6" w14:textId="77777777" w:rsidR="0077655E" w:rsidRPr="00890249" w:rsidRDefault="0077655E" w:rsidP="00CE7CB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w:t>
            </w:r>
          </w:p>
        </w:tc>
        <w:tc>
          <w:tcPr>
            <w:tcW w:w="1996" w:type="dxa"/>
          </w:tcPr>
          <w:p w14:paraId="5CCD280F" w14:textId="1851895E" w:rsidR="0077655E" w:rsidRPr="00890249" w:rsidRDefault="0077655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03 Miejskie obszary funkcjonalne</w:t>
            </w:r>
          </w:p>
        </w:tc>
        <w:tc>
          <w:tcPr>
            <w:tcW w:w="1859" w:type="dxa"/>
          </w:tcPr>
          <w:p w14:paraId="59340210" w14:textId="6EA5E461" w:rsidR="0077655E" w:rsidRPr="00890249" w:rsidRDefault="007A72D8">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9 500 000</w:t>
            </w:r>
          </w:p>
        </w:tc>
      </w:tr>
      <w:tr w:rsidR="0077655E" w:rsidRPr="00890249" w14:paraId="3BC7E6D9" w14:textId="77777777" w:rsidTr="0077655E">
        <w:tc>
          <w:tcPr>
            <w:tcW w:w="1412" w:type="dxa"/>
            <w:vMerge/>
            <w:vAlign w:val="center"/>
          </w:tcPr>
          <w:p w14:paraId="20DAA786" w14:textId="77777777" w:rsidR="0077655E" w:rsidRPr="00890249" w:rsidRDefault="0077655E" w:rsidP="000026EE">
            <w:pPr>
              <w:jc w:val="center"/>
              <w:rPr>
                <w:rFonts w:asciiTheme="minorHAnsi" w:eastAsia="Times New Roman" w:hAnsiTheme="minorHAnsi" w:cstheme="minorHAnsi"/>
                <w:iCs/>
                <w:noProof/>
                <w:sz w:val="20"/>
              </w:rPr>
            </w:pPr>
          </w:p>
        </w:tc>
        <w:tc>
          <w:tcPr>
            <w:tcW w:w="1003" w:type="dxa"/>
            <w:vMerge/>
            <w:vAlign w:val="center"/>
          </w:tcPr>
          <w:p w14:paraId="7F597912" w14:textId="77777777" w:rsidR="0077655E" w:rsidRPr="00890249" w:rsidRDefault="0077655E" w:rsidP="000026EE">
            <w:pPr>
              <w:jc w:val="center"/>
              <w:rPr>
                <w:rFonts w:asciiTheme="minorHAnsi" w:eastAsia="Times New Roman" w:hAnsiTheme="minorHAnsi" w:cstheme="minorHAnsi"/>
                <w:iCs/>
                <w:noProof/>
                <w:sz w:val="20"/>
              </w:rPr>
            </w:pPr>
          </w:p>
        </w:tc>
        <w:tc>
          <w:tcPr>
            <w:tcW w:w="1548" w:type="dxa"/>
            <w:vMerge/>
            <w:vAlign w:val="center"/>
          </w:tcPr>
          <w:p w14:paraId="2686ACFD" w14:textId="77777777" w:rsidR="0077655E" w:rsidRPr="00890249" w:rsidRDefault="0077655E" w:rsidP="000026EE">
            <w:pPr>
              <w:jc w:val="center"/>
              <w:rPr>
                <w:rFonts w:asciiTheme="minorHAnsi" w:eastAsia="Times New Roman" w:hAnsiTheme="minorHAnsi" w:cstheme="minorHAnsi"/>
                <w:iCs/>
                <w:noProof/>
                <w:sz w:val="20"/>
              </w:rPr>
            </w:pPr>
          </w:p>
        </w:tc>
        <w:tc>
          <w:tcPr>
            <w:tcW w:w="1504" w:type="dxa"/>
            <w:vMerge/>
          </w:tcPr>
          <w:p w14:paraId="17A72CB8" w14:textId="77777777" w:rsidR="0077655E" w:rsidRPr="00890249" w:rsidRDefault="0077655E" w:rsidP="000026EE">
            <w:pPr>
              <w:jc w:val="center"/>
              <w:rPr>
                <w:rFonts w:asciiTheme="minorHAnsi" w:eastAsia="Times New Roman" w:hAnsiTheme="minorHAnsi" w:cstheme="minorHAnsi"/>
                <w:iCs/>
                <w:noProof/>
                <w:sz w:val="20"/>
              </w:rPr>
            </w:pPr>
          </w:p>
        </w:tc>
        <w:tc>
          <w:tcPr>
            <w:tcW w:w="1996" w:type="dxa"/>
          </w:tcPr>
          <w:p w14:paraId="036B5B46" w14:textId="77777777" w:rsidR="0077655E" w:rsidRPr="00890249" w:rsidRDefault="0077655E" w:rsidP="000026E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17 Dzielnice miejskie</w:t>
            </w:r>
          </w:p>
        </w:tc>
        <w:tc>
          <w:tcPr>
            <w:tcW w:w="1859" w:type="dxa"/>
          </w:tcPr>
          <w:p w14:paraId="48994A65" w14:textId="6D3762AF" w:rsidR="0077655E" w:rsidRPr="00890249" w:rsidRDefault="006F13F9" w:rsidP="000026EE">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18 150 000</w:t>
            </w:r>
          </w:p>
        </w:tc>
      </w:tr>
      <w:tr w:rsidR="0077655E" w:rsidRPr="00890249" w14:paraId="06CD6108" w14:textId="77777777" w:rsidTr="0077655E">
        <w:tc>
          <w:tcPr>
            <w:tcW w:w="1412" w:type="dxa"/>
            <w:vMerge/>
            <w:vAlign w:val="center"/>
          </w:tcPr>
          <w:p w14:paraId="7EEFEAB8" w14:textId="77777777" w:rsidR="0077655E" w:rsidRPr="00890249" w:rsidRDefault="0077655E" w:rsidP="000026EE">
            <w:pPr>
              <w:jc w:val="center"/>
              <w:rPr>
                <w:rFonts w:asciiTheme="minorHAnsi" w:eastAsia="Times New Roman" w:hAnsiTheme="minorHAnsi" w:cstheme="minorHAnsi"/>
                <w:iCs/>
                <w:noProof/>
                <w:sz w:val="20"/>
              </w:rPr>
            </w:pPr>
          </w:p>
        </w:tc>
        <w:tc>
          <w:tcPr>
            <w:tcW w:w="1003" w:type="dxa"/>
            <w:vMerge/>
            <w:vAlign w:val="center"/>
          </w:tcPr>
          <w:p w14:paraId="550C9785" w14:textId="77777777" w:rsidR="0077655E" w:rsidRPr="00890249" w:rsidRDefault="0077655E" w:rsidP="000026EE">
            <w:pPr>
              <w:jc w:val="center"/>
              <w:rPr>
                <w:rFonts w:asciiTheme="minorHAnsi" w:eastAsia="Times New Roman" w:hAnsiTheme="minorHAnsi" w:cstheme="minorHAnsi"/>
                <w:iCs/>
                <w:noProof/>
                <w:sz w:val="20"/>
              </w:rPr>
            </w:pPr>
          </w:p>
        </w:tc>
        <w:tc>
          <w:tcPr>
            <w:tcW w:w="1548" w:type="dxa"/>
            <w:vMerge/>
            <w:vAlign w:val="center"/>
          </w:tcPr>
          <w:p w14:paraId="5F1D9AC3" w14:textId="77777777" w:rsidR="0077655E" w:rsidRPr="00890249" w:rsidRDefault="0077655E" w:rsidP="000026EE">
            <w:pPr>
              <w:jc w:val="center"/>
              <w:rPr>
                <w:rFonts w:asciiTheme="minorHAnsi" w:eastAsia="Times New Roman" w:hAnsiTheme="minorHAnsi" w:cstheme="minorHAnsi"/>
                <w:iCs/>
                <w:noProof/>
                <w:sz w:val="20"/>
              </w:rPr>
            </w:pPr>
          </w:p>
        </w:tc>
        <w:tc>
          <w:tcPr>
            <w:tcW w:w="1504" w:type="dxa"/>
            <w:vMerge/>
          </w:tcPr>
          <w:p w14:paraId="0DC715B1" w14:textId="77777777" w:rsidR="0077655E" w:rsidRPr="00890249" w:rsidRDefault="0077655E" w:rsidP="000026EE">
            <w:pPr>
              <w:jc w:val="center"/>
              <w:rPr>
                <w:rFonts w:asciiTheme="minorHAnsi" w:eastAsia="Times New Roman" w:hAnsiTheme="minorHAnsi" w:cstheme="minorHAnsi"/>
                <w:iCs/>
                <w:noProof/>
                <w:sz w:val="20"/>
              </w:rPr>
            </w:pPr>
          </w:p>
        </w:tc>
        <w:tc>
          <w:tcPr>
            <w:tcW w:w="1996" w:type="dxa"/>
          </w:tcPr>
          <w:p w14:paraId="2997DB87" w14:textId="00D1C0C0" w:rsidR="0077655E" w:rsidRPr="00890249" w:rsidRDefault="0077655E" w:rsidP="000026EE">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18 Miasta, małe miasta i przedmieścia</w:t>
            </w:r>
          </w:p>
        </w:tc>
        <w:tc>
          <w:tcPr>
            <w:tcW w:w="1859" w:type="dxa"/>
          </w:tcPr>
          <w:p w14:paraId="41CD94AC" w14:textId="09DC2BE4" w:rsidR="0077655E" w:rsidRPr="00890249" w:rsidRDefault="006F13F9" w:rsidP="000026EE">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18 150 000</w:t>
            </w:r>
          </w:p>
        </w:tc>
      </w:tr>
    </w:tbl>
    <w:p w14:paraId="71DC404C" w14:textId="7E61EE63" w:rsidR="00BD498B" w:rsidRPr="00890249" w:rsidRDefault="00BD498B" w:rsidP="00C50C41">
      <w:pPr>
        <w:spacing w:before="0" w:after="160" w:line="259" w:lineRule="auto"/>
        <w:jc w:val="left"/>
        <w:rPr>
          <w:rFonts w:asciiTheme="minorHAnsi" w:eastAsia="Times New Roman" w:hAnsiTheme="minorHAnsi" w:cstheme="minorHAnsi"/>
          <w:b/>
          <w:iCs/>
          <w:noProof/>
          <w:szCs w:val="24"/>
        </w:rPr>
      </w:pPr>
    </w:p>
    <w:tbl>
      <w:tblPr>
        <w:tblStyle w:val="Tabela-Siatka"/>
        <w:tblW w:w="9351" w:type="dxa"/>
        <w:tblLook w:val="04A0" w:firstRow="1" w:lastRow="0" w:firstColumn="1" w:lastColumn="0" w:noHBand="0" w:noVBand="1"/>
      </w:tblPr>
      <w:tblGrid>
        <w:gridCol w:w="1566"/>
        <w:gridCol w:w="1051"/>
        <w:gridCol w:w="1715"/>
        <w:gridCol w:w="1620"/>
        <w:gridCol w:w="1022"/>
        <w:gridCol w:w="2377"/>
      </w:tblGrid>
      <w:tr w:rsidR="00BD498B" w:rsidRPr="00890249" w14:paraId="51054A09" w14:textId="77777777" w:rsidTr="00501A25">
        <w:tc>
          <w:tcPr>
            <w:tcW w:w="9351" w:type="dxa"/>
            <w:gridSpan w:val="6"/>
            <w:shd w:val="clear" w:color="auto" w:fill="D9D9D9" w:themeFill="background1" w:themeFillShade="D9"/>
          </w:tcPr>
          <w:p w14:paraId="299B973A" w14:textId="77777777" w:rsidR="00BD498B" w:rsidRPr="00890249" w:rsidRDefault="00BD498B" w:rsidP="000F4AA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793D78" w:rsidRPr="00890249">
              <w:rPr>
                <w:rFonts w:asciiTheme="minorHAnsi" w:hAnsiTheme="minorHAnsi" w:cstheme="minorHAnsi"/>
                <w:b/>
                <w:noProof/>
                <w:sz w:val="20"/>
              </w:rPr>
              <w:t>uzupełniajace obsza</w:t>
            </w:r>
            <w:r w:rsidR="00CC1C1B" w:rsidRPr="00890249">
              <w:rPr>
                <w:rFonts w:asciiTheme="minorHAnsi" w:hAnsiTheme="minorHAnsi" w:cstheme="minorHAnsi"/>
                <w:b/>
                <w:noProof/>
                <w:sz w:val="20"/>
              </w:rPr>
              <w:t>r</w:t>
            </w:r>
            <w:r w:rsidR="00793D78" w:rsidRPr="00890249">
              <w:rPr>
                <w:rFonts w:asciiTheme="minorHAnsi" w:hAnsiTheme="minorHAnsi" w:cstheme="minorHAnsi"/>
                <w:b/>
                <w:noProof/>
                <w:sz w:val="20"/>
              </w:rPr>
              <w:t xml:space="preserve">y tematyczne </w:t>
            </w:r>
            <w:r w:rsidRPr="00890249">
              <w:rPr>
                <w:rFonts w:asciiTheme="minorHAnsi" w:hAnsiTheme="minorHAnsi" w:cstheme="minorHAnsi"/>
                <w:b/>
                <w:noProof/>
                <w:sz w:val="20"/>
              </w:rPr>
              <w:t>EFS+</w:t>
            </w:r>
          </w:p>
        </w:tc>
      </w:tr>
      <w:tr w:rsidR="00BD498B" w:rsidRPr="00890249" w14:paraId="5C8D2920" w14:textId="77777777" w:rsidTr="00501A25">
        <w:tc>
          <w:tcPr>
            <w:tcW w:w="1566" w:type="dxa"/>
            <w:shd w:val="clear" w:color="auto" w:fill="F2F2F2" w:themeFill="background1" w:themeFillShade="F2"/>
          </w:tcPr>
          <w:p w14:paraId="52F61D6D" w14:textId="77777777" w:rsidR="00BD498B" w:rsidRPr="00890249" w:rsidRDefault="00BD498B" w:rsidP="00D15D6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46D3B67D" w14:textId="77777777" w:rsidR="00BD498B" w:rsidRPr="00890249" w:rsidRDefault="00BD498B" w:rsidP="00D15D6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430CB5B9" w14:textId="77777777" w:rsidR="00BD498B" w:rsidRPr="00890249" w:rsidRDefault="00BD498B" w:rsidP="00D15D6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59A44BA7" w14:textId="77777777" w:rsidR="00BD498B" w:rsidRPr="00890249" w:rsidRDefault="00BD498B" w:rsidP="00D15D6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0EF73085" w14:textId="77777777" w:rsidR="00BD498B" w:rsidRPr="00890249" w:rsidRDefault="00BD498B" w:rsidP="00D15D6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77" w:type="dxa"/>
            <w:shd w:val="clear" w:color="auto" w:fill="F2F2F2" w:themeFill="background1" w:themeFillShade="F2"/>
          </w:tcPr>
          <w:p w14:paraId="3C0D128B" w14:textId="77777777" w:rsidR="00BD498B" w:rsidRPr="00890249" w:rsidRDefault="00BD498B" w:rsidP="00D15D6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498B" w:rsidRPr="00890249" w14:paraId="717A3738" w14:textId="77777777" w:rsidTr="00501A25">
        <w:tc>
          <w:tcPr>
            <w:tcW w:w="1566" w:type="dxa"/>
            <w:vAlign w:val="center"/>
          </w:tcPr>
          <w:p w14:paraId="2E6F872B" w14:textId="77777777" w:rsidR="00B72154" w:rsidRPr="00890249" w:rsidRDefault="00BD498B" w:rsidP="00890249">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5</w:t>
            </w:r>
          </w:p>
        </w:tc>
        <w:tc>
          <w:tcPr>
            <w:tcW w:w="1051" w:type="dxa"/>
            <w:vAlign w:val="center"/>
          </w:tcPr>
          <w:p w14:paraId="07A14E99" w14:textId="77777777" w:rsidR="00B72154" w:rsidRPr="00890249" w:rsidRDefault="00BD498B" w:rsidP="00890249">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15" w:type="dxa"/>
            <w:vAlign w:val="center"/>
          </w:tcPr>
          <w:p w14:paraId="5250EC1E" w14:textId="5E8C8EC3" w:rsidR="00BD498B" w:rsidRPr="00890249" w:rsidRDefault="00BD498B" w:rsidP="00BD498B">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w:t>
            </w:r>
            <w:r w:rsidR="00454C1F"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20" w:type="dxa"/>
          </w:tcPr>
          <w:p w14:paraId="057F1F02"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22" w:type="dxa"/>
          </w:tcPr>
          <w:p w14:paraId="78D5369C"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377" w:type="dxa"/>
          </w:tcPr>
          <w:p w14:paraId="269D094B"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78A5494A" w14:textId="77777777" w:rsidR="00BD498B" w:rsidRPr="00890249" w:rsidRDefault="00BD498B" w:rsidP="003B0EC0">
      <w:pPr>
        <w:spacing w:before="240" w:after="0"/>
        <w:rPr>
          <w:rFonts w:asciiTheme="minorHAnsi" w:hAnsiTheme="minorHAnsi" w:cstheme="minorHAnsi"/>
          <w:b/>
          <w:noProof/>
          <w:color w:val="FF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BD498B" w:rsidRPr="00890249" w14:paraId="3CFFD416" w14:textId="77777777" w:rsidTr="00D84080">
        <w:tc>
          <w:tcPr>
            <w:tcW w:w="9322" w:type="dxa"/>
            <w:gridSpan w:val="6"/>
            <w:shd w:val="clear" w:color="auto" w:fill="D9D9D9" w:themeFill="background1" w:themeFillShade="D9"/>
          </w:tcPr>
          <w:p w14:paraId="77F99616" w14:textId="77777777" w:rsidR="00BD498B" w:rsidRPr="00890249" w:rsidRDefault="00BD498B" w:rsidP="00BD498B">
            <w:pPr>
              <w:spacing w:before="0" w:after="160" w:line="259" w:lineRule="auto"/>
              <w:jc w:val="left"/>
              <w:rPr>
                <w:rFonts w:asciiTheme="minorHAnsi" w:eastAsiaTheme="minorHAnsi" w:hAnsiTheme="minorHAnsi" w:cstheme="minorHAnsi"/>
                <w:b/>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w:t>
            </w:r>
            <w:r w:rsidR="00793D78" w:rsidRPr="00890249">
              <w:rPr>
                <w:rFonts w:asciiTheme="minorHAnsi" w:eastAsiaTheme="minorHAnsi" w:hAnsiTheme="minorHAnsi" w:cstheme="minorHAnsi"/>
                <w:b/>
                <w:sz w:val="20"/>
                <w:szCs w:val="22"/>
                <w:lang w:eastAsia="en-US" w:bidi="ar-SA"/>
              </w:rPr>
              <w:t xml:space="preserve"> EFS+, EFRR, Fundusz Spójności </w:t>
            </w:r>
            <w:r w:rsidRPr="00890249">
              <w:rPr>
                <w:rFonts w:asciiTheme="minorHAnsi" w:eastAsiaTheme="minorHAnsi" w:hAnsiTheme="minorHAnsi" w:cstheme="minorHAnsi"/>
                <w:b/>
                <w:sz w:val="20"/>
                <w:szCs w:val="22"/>
                <w:lang w:eastAsia="en-US" w:bidi="ar-SA"/>
              </w:rPr>
              <w:t>i FST</w:t>
            </w:r>
          </w:p>
        </w:tc>
      </w:tr>
      <w:tr w:rsidR="00BD498B" w:rsidRPr="00890249" w14:paraId="147B1B84" w14:textId="77777777" w:rsidTr="00D84080">
        <w:tc>
          <w:tcPr>
            <w:tcW w:w="1570" w:type="dxa"/>
            <w:shd w:val="clear" w:color="auto" w:fill="F2F2F2" w:themeFill="background1" w:themeFillShade="F2"/>
          </w:tcPr>
          <w:p w14:paraId="3D7820D7"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4490B192"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7DF9033B"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54FDDC6D"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29FE3451"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1829BE6D"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6C1995" w:rsidRPr="00890249" w14:paraId="42596833" w14:textId="77777777" w:rsidTr="00D84080">
        <w:tc>
          <w:tcPr>
            <w:tcW w:w="1570" w:type="dxa"/>
            <w:vAlign w:val="center"/>
          </w:tcPr>
          <w:p w14:paraId="51DB481B" w14:textId="77777777" w:rsidR="006C1995" w:rsidRPr="00890249" w:rsidRDefault="006C1995" w:rsidP="0079690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CP 5</w:t>
            </w:r>
          </w:p>
        </w:tc>
        <w:tc>
          <w:tcPr>
            <w:tcW w:w="1360" w:type="dxa"/>
            <w:vAlign w:val="center"/>
          </w:tcPr>
          <w:p w14:paraId="646A13A4" w14:textId="77777777" w:rsidR="006C1995" w:rsidRPr="00890249" w:rsidRDefault="006C1995" w:rsidP="0079690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EFRR</w:t>
            </w:r>
          </w:p>
        </w:tc>
        <w:tc>
          <w:tcPr>
            <w:tcW w:w="1415" w:type="dxa"/>
            <w:vAlign w:val="center"/>
          </w:tcPr>
          <w:p w14:paraId="548060A1" w14:textId="514DB860" w:rsidR="006C1995" w:rsidRPr="00890249" w:rsidRDefault="006C1995" w:rsidP="0079690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Słabiej rozwini</w:t>
            </w:r>
            <w:r w:rsidR="00454C1F"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28" w:type="dxa"/>
            <w:vAlign w:val="center"/>
          </w:tcPr>
          <w:p w14:paraId="5C07E976" w14:textId="77777777" w:rsidR="006C1995" w:rsidRPr="00890249" w:rsidRDefault="006C1995" w:rsidP="00796900">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(i)</w:t>
            </w:r>
          </w:p>
        </w:tc>
        <w:tc>
          <w:tcPr>
            <w:tcW w:w="1026" w:type="dxa"/>
            <w:vAlign w:val="center"/>
          </w:tcPr>
          <w:p w14:paraId="36944011" w14:textId="68B3549E" w:rsidR="006C1995" w:rsidRPr="00890249" w:rsidRDefault="008D0BF8" w:rsidP="008D0BF8">
            <w:pPr>
              <w:spacing w:before="0" w:after="160" w:line="259" w:lineRule="auto"/>
              <w:jc w:val="center"/>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03</w:t>
            </w:r>
            <w:r w:rsidR="00683ED7" w:rsidRPr="00890249">
              <w:rPr>
                <w:rFonts w:asciiTheme="minorHAnsi" w:eastAsia="Times New Roman" w:hAnsiTheme="minorHAnsi" w:cstheme="minorHAnsi"/>
                <w:iCs/>
                <w:noProof/>
                <w:sz w:val="20"/>
              </w:rPr>
              <w:t xml:space="preserve"> Projekty </w:t>
            </w:r>
            <w:r>
              <w:rPr>
                <w:rFonts w:asciiTheme="minorHAnsi" w:eastAsia="Times New Roman" w:hAnsiTheme="minorHAnsi" w:cstheme="minorHAnsi"/>
                <w:iCs/>
                <w:noProof/>
                <w:sz w:val="20"/>
              </w:rPr>
              <w:t>neutralne w kwestii równouprawnienia płci</w:t>
            </w:r>
          </w:p>
        </w:tc>
        <w:tc>
          <w:tcPr>
            <w:tcW w:w="2323" w:type="dxa"/>
            <w:vAlign w:val="center"/>
          </w:tcPr>
          <w:p w14:paraId="706A8ABD" w14:textId="7104BA98" w:rsidR="006C1995" w:rsidRPr="00890249" w:rsidRDefault="008D0BF8" w:rsidP="007D0CB6">
            <w:pPr>
              <w:spacing w:before="0" w:after="160" w:line="259" w:lineRule="auto"/>
              <w:jc w:val="right"/>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45 800 000</w:t>
            </w:r>
          </w:p>
        </w:tc>
      </w:tr>
    </w:tbl>
    <w:p w14:paraId="7AFF49F6" w14:textId="77777777" w:rsidR="00E15B02" w:rsidRPr="00890249" w:rsidRDefault="00E15B02" w:rsidP="00BD498B">
      <w:pPr>
        <w:spacing w:before="0" w:after="160" w:line="259" w:lineRule="auto"/>
        <w:jc w:val="left"/>
        <w:rPr>
          <w:rFonts w:asciiTheme="minorHAnsi" w:hAnsiTheme="minorHAnsi" w:cstheme="minorHAnsi"/>
          <w:b/>
          <w:noProof/>
          <w:color w:val="FF0000"/>
          <w:sz w:val="22"/>
          <w:szCs w:val="22"/>
        </w:rPr>
      </w:pPr>
    </w:p>
    <w:p w14:paraId="2EC54F9D" w14:textId="77777777" w:rsidR="00BD498B" w:rsidRPr="00890249" w:rsidRDefault="00E15B02" w:rsidP="00BD498B">
      <w:pPr>
        <w:spacing w:before="0" w:after="160" w:line="259" w:lineRule="auto"/>
        <w:jc w:val="left"/>
        <w:rPr>
          <w:rFonts w:asciiTheme="minorHAnsi" w:hAnsiTheme="minorHAnsi" w:cstheme="minorHAnsi"/>
          <w:b/>
          <w:noProof/>
          <w:color w:val="FF0000"/>
          <w:sz w:val="22"/>
          <w:szCs w:val="22"/>
        </w:rPr>
      </w:pPr>
      <w:r w:rsidRPr="00890249">
        <w:rPr>
          <w:rFonts w:asciiTheme="minorHAnsi" w:hAnsiTheme="minorHAnsi" w:cstheme="minorHAnsi"/>
          <w:b/>
          <w:noProof/>
          <w:color w:val="FF0000"/>
          <w:sz w:val="22"/>
          <w:szCs w:val="22"/>
        </w:rPr>
        <w:br w:type="page"/>
      </w:r>
    </w:p>
    <w:p w14:paraId="5DDF6E6A" w14:textId="77777777" w:rsidR="00B840B2" w:rsidRPr="00890249" w:rsidRDefault="00B840B2" w:rsidP="00B840B2">
      <w:pPr>
        <w:shd w:val="clear" w:color="auto" w:fill="D0CECE" w:themeFill="background2" w:themeFillShade="E6"/>
        <w:spacing w:before="240" w:after="240"/>
        <w:rPr>
          <w:rFonts w:asciiTheme="minorHAnsi" w:hAnsiTheme="minorHAnsi" w:cstheme="minorHAnsi"/>
          <w:b/>
          <w:noProof/>
          <w:sz w:val="22"/>
        </w:rPr>
      </w:pPr>
      <w:r w:rsidRPr="00890249">
        <w:rPr>
          <w:rFonts w:asciiTheme="minorHAnsi" w:hAnsiTheme="minorHAnsi" w:cstheme="minorHAnsi"/>
          <w:b/>
          <w:noProof/>
          <w:sz w:val="22"/>
        </w:rPr>
        <w:lastRenderedPageBreak/>
        <w:t>2.1.10.2 (ii) Cel szczegółowy</w:t>
      </w:r>
    </w:p>
    <w:p w14:paraId="5F9BC48E" w14:textId="77777777" w:rsidR="00B840B2" w:rsidRPr="00890249" w:rsidRDefault="00B840B2" w:rsidP="00B840B2">
      <w:pPr>
        <w:spacing w:before="240" w:after="240"/>
        <w:rPr>
          <w:rFonts w:asciiTheme="minorHAnsi" w:hAnsiTheme="minorHAnsi" w:cstheme="minorHAnsi"/>
          <w:b/>
          <w:noProof/>
          <w:color w:val="2F5496" w:themeColor="accent5" w:themeShade="BF"/>
        </w:rPr>
      </w:pPr>
      <w:r w:rsidRPr="00890249">
        <w:rPr>
          <w:rFonts w:asciiTheme="minorHAnsi" w:hAnsiTheme="minorHAnsi" w:cstheme="minorHAnsi"/>
          <w:b/>
          <w:noProof/>
          <w:color w:val="2F5496" w:themeColor="accent5" w:themeShade="BF"/>
          <w:sz w:val="22"/>
        </w:rPr>
        <w:t xml:space="preserve">(ii) </w:t>
      </w:r>
      <w:r w:rsidRPr="00890249">
        <w:rPr>
          <w:rFonts w:asciiTheme="minorHAnsi" w:hAnsiTheme="minorHAnsi" w:cstheme="minorHAnsi"/>
          <w:b/>
          <w:noProof/>
          <w:color w:val="2F5496" w:themeColor="accent5" w:themeShade="BF"/>
        </w:rPr>
        <w:t>Wspieranie zintegrowanego i sprzyjającego włączeniu społecznemu rozwoju społecznego, gospodarczego i środowiskowego, na poziomie lokalnym, kultury, dziedzictwa naturalnego, zrównoważonej turystyki i bezpieczeństwa na obszarach innych niż miejskie</w:t>
      </w:r>
    </w:p>
    <w:p w14:paraId="75D05293" w14:textId="77777777" w:rsidR="00B840B2" w:rsidRPr="00890249" w:rsidRDefault="00B840B2" w:rsidP="00B840B2">
      <w:pPr>
        <w:spacing w:before="240" w:after="240"/>
        <w:rPr>
          <w:rFonts w:asciiTheme="minorHAnsi" w:hAnsiTheme="minorHAnsi" w:cstheme="minorHAnsi"/>
          <w:b/>
          <w:noProof/>
          <w:sz w:val="22"/>
        </w:rPr>
      </w:pPr>
      <w:r w:rsidRPr="00890249">
        <w:rPr>
          <w:rFonts w:asciiTheme="minorHAnsi" w:hAnsiTheme="minorHAnsi" w:cstheme="minorHAnsi"/>
          <w:b/>
          <w:noProof/>
          <w:sz w:val="22"/>
        </w:rPr>
        <w:t>2.1.10.2.1 (ii) Interwencje w ramach funduszy</w:t>
      </w:r>
    </w:p>
    <w:p w14:paraId="09C279E1" w14:textId="5D8D22EB" w:rsidR="0093433C" w:rsidRPr="00890249" w:rsidRDefault="00B840B2">
      <w:pPr>
        <w:rPr>
          <w:rFonts w:asciiTheme="minorHAnsi" w:hAnsiTheme="minorHAnsi" w:cstheme="minorHAnsi"/>
          <w:lang w:eastAsia="en-US" w:bidi="ar-SA"/>
        </w:rPr>
      </w:pPr>
      <w:r w:rsidRPr="00890249">
        <w:rPr>
          <w:rFonts w:asciiTheme="minorHAnsi" w:hAnsiTheme="minorHAnsi" w:cstheme="minorHAnsi"/>
          <w:b/>
          <w:noProof/>
          <w:color w:val="2F5496" w:themeColor="accent5" w:themeShade="BF"/>
          <w:sz w:val="22"/>
        </w:rPr>
        <w:t>Powiązane rodzaje działań</w:t>
      </w:r>
    </w:p>
    <w:p w14:paraId="63279A89" w14:textId="24C42423" w:rsidR="0093433C" w:rsidRPr="00890249" w:rsidRDefault="00065199"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Zgodnie ze zdiagnozowanymi potrzebami </w:t>
      </w:r>
      <w:r w:rsidR="00B25839" w:rsidRPr="00890249">
        <w:rPr>
          <w:rFonts w:asciiTheme="minorHAnsi" w:hAnsiTheme="minorHAnsi" w:cstheme="minorHAnsi"/>
          <w:sz w:val="22"/>
          <w:szCs w:val="22"/>
          <w:lang w:eastAsia="en-US" w:bidi="ar-SA"/>
        </w:rPr>
        <w:t>obszarów, które zostaną objęte strategi</w:t>
      </w:r>
      <w:r w:rsidR="00AA1434" w:rsidRPr="00890249">
        <w:rPr>
          <w:rFonts w:asciiTheme="minorHAnsi" w:hAnsiTheme="minorHAnsi" w:cstheme="minorHAnsi"/>
          <w:sz w:val="22"/>
          <w:szCs w:val="22"/>
          <w:lang w:eastAsia="en-US" w:bidi="ar-SA"/>
        </w:rPr>
        <w:t>ami</w:t>
      </w:r>
      <w:r w:rsidR="00B25839" w:rsidRPr="00890249">
        <w:rPr>
          <w:rFonts w:asciiTheme="minorHAnsi" w:hAnsiTheme="minorHAnsi" w:cstheme="minorHAnsi"/>
          <w:sz w:val="22"/>
          <w:szCs w:val="22"/>
          <w:lang w:eastAsia="en-US" w:bidi="ar-SA"/>
        </w:rPr>
        <w:t xml:space="preserve"> IIT</w:t>
      </w:r>
      <w:r w:rsidRPr="00890249">
        <w:rPr>
          <w:rFonts w:asciiTheme="minorHAnsi" w:hAnsiTheme="minorHAnsi" w:cstheme="minorHAnsi"/>
          <w:sz w:val="22"/>
          <w:szCs w:val="22"/>
          <w:lang w:eastAsia="en-US" w:bidi="ar-SA"/>
        </w:rPr>
        <w:t xml:space="preserve"> w cs (ii) planowane jest wsparcie </w:t>
      </w:r>
      <w:r w:rsidR="00D579C1" w:rsidRPr="00890249">
        <w:rPr>
          <w:rFonts w:asciiTheme="minorHAnsi" w:hAnsiTheme="minorHAnsi" w:cstheme="minorHAnsi"/>
          <w:sz w:val="22"/>
          <w:szCs w:val="22"/>
          <w:lang w:eastAsia="en-US" w:bidi="ar-SA"/>
        </w:rPr>
        <w:t>głównie</w:t>
      </w:r>
      <w:r w:rsidRPr="00890249">
        <w:rPr>
          <w:rFonts w:asciiTheme="minorHAnsi" w:hAnsiTheme="minorHAnsi" w:cstheme="minorHAnsi"/>
          <w:sz w:val="22"/>
          <w:szCs w:val="22"/>
          <w:lang w:eastAsia="en-US" w:bidi="ar-SA"/>
        </w:rPr>
        <w:t xml:space="preserve"> prorozwojowej i wspólnototwórczej roli kultury i dziedzictwa kulturowego oraz turystyki</w:t>
      </w:r>
      <w:r w:rsidR="00B23DEE" w:rsidRPr="00890249">
        <w:rPr>
          <w:rFonts w:asciiTheme="minorHAnsi" w:hAnsiTheme="minorHAnsi" w:cstheme="minorHAnsi"/>
          <w:sz w:val="22"/>
          <w:szCs w:val="22"/>
          <w:lang w:eastAsia="en-US" w:bidi="ar-SA"/>
        </w:rPr>
        <w:t xml:space="preserve">, </w:t>
      </w:r>
      <w:r w:rsidR="00B23DEE" w:rsidRPr="00890249">
        <w:rPr>
          <w:rFonts w:asciiTheme="minorHAnsi" w:hAnsiTheme="minorHAnsi" w:cstheme="minorHAnsi"/>
          <w:noProof/>
          <w:sz w:val="22"/>
          <w:szCs w:val="22"/>
        </w:rPr>
        <w:t xml:space="preserve">a także procesu rewitalizacji obszarów </w:t>
      </w:r>
      <w:r w:rsidR="00AA1434" w:rsidRPr="00890249">
        <w:rPr>
          <w:rFonts w:asciiTheme="minorHAnsi" w:hAnsiTheme="minorHAnsi" w:cstheme="minorHAnsi"/>
          <w:noProof/>
          <w:sz w:val="22"/>
          <w:szCs w:val="22"/>
        </w:rPr>
        <w:t xml:space="preserve">innych, niż miejskie, tj. </w:t>
      </w:r>
      <w:r w:rsidR="00B23DEE" w:rsidRPr="00890249">
        <w:rPr>
          <w:rFonts w:asciiTheme="minorHAnsi" w:hAnsiTheme="minorHAnsi" w:cstheme="minorHAnsi"/>
          <w:noProof/>
          <w:sz w:val="22"/>
          <w:szCs w:val="22"/>
        </w:rPr>
        <w:t>wiejskich</w:t>
      </w:r>
      <w:r w:rsidRPr="00890249">
        <w:rPr>
          <w:rFonts w:asciiTheme="minorHAnsi" w:hAnsiTheme="minorHAnsi" w:cstheme="minorHAnsi"/>
          <w:sz w:val="22"/>
          <w:szCs w:val="22"/>
          <w:lang w:eastAsia="en-US" w:bidi="ar-SA"/>
        </w:rPr>
        <w:t xml:space="preserve">. </w:t>
      </w:r>
    </w:p>
    <w:p w14:paraId="6AB427ED" w14:textId="69D7609B" w:rsidR="0093433C" w:rsidRPr="00890249" w:rsidRDefault="00C134E2" w:rsidP="00890249">
      <w:pPr>
        <w:pStyle w:val="Tekstpodstawowy"/>
        <w:rPr>
          <w:rFonts w:asciiTheme="minorHAnsi" w:hAnsiTheme="minorHAnsi" w:cstheme="minorHAnsi"/>
          <w:noProof/>
          <w:sz w:val="22"/>
          <w:szCs w:val="22"/>
        </w:rPr>
      </w:pPr>
      <w:r w:rsidRPr="00890249">
        <w:rPr>
          <w:rFonts w:asciiTheme="minorHAnsi" w:hAnsiTheme="minorHAnsi" w:cstheme="minorHAnsi"/>
          <w:sz w:val="22"/>
          <w:szCs w:val="22"/>
          <w:lang w:eastAsia="en-US" w:bidi="ar-SA"/>
        </w:rPr>
        <w:t>Jednocześnie wsparcie instrument</w:t>
      </w:r>
      <w:r w:rsidR="00AA1434" w:rsidRPr="00890249">
        <w:rPr>
          <w:rFonts w:asciiTheme="minorHAnsi" w:hAnsiTheme="minorHAnsi" w:cstheme="minorHAnsi"/>
          <w:sz w:val="22"/>
          <w:szCs w:val="22"/>
          <w:lang w:eastAsia="en-US" w:bidi="ar-SA"/>
        </w:rPr>
        <w:t>ów</w:t>
      </w:r>
      <w:r w:rsidRPr="00890249">
        <w:rPr>
          <w:rFonts w:asciiTheme="minorHAnsi" w:hAnsiTheme="minorHAnsi" w:cstheme="minorHAnsi"/>
          <w:sz w:val="22"/>
          <w:szCs w:val="22"/>
          <w:lang w:eastAsia="en-US" w:bidi="ar-SA"/>
        </w:rPr>
        <w:t xml:space="preserve"> </w:t>
      </w:r>
      <w:r w:rsidR="00712237" w:rsidRPr="00890249">
        <w:rPr>
          <w:rFonts w:asciiTheme="minorHAnsi" w:hAnsiTheme="minorHAnsi" w:cstheme="minorHAnsi"/>
          <w:sz w:val="22"/>
          <w:szCs w:val="22"/>
          <w:lang w:eastAsia="en-US" w:bidi="ar-SA"/>
        </w:rPr>
        <w:t xml:space="preserve">IIT </w:t>
      </w:r>
      <w:r w:rsidRPr="00890249">
        <w:rPr>
          <w:rFonts w:asciiTheme="minorHAnsi" w:hAnsiTheme="minorHAnsi" w:cstheme="minorHAnsi"/>
          <w:sz w:val="22"/>
          <w:szCs w:val="22"/>
          <w:lang w:eastAsia="en-US" w:bidi="ar-SA"/>
        </w:rPr>
        <w:t>w CP 5 zostanie uzupełnione o odpowiednie działania z CP2</w:t>
      </w:r>
      <w:r w:rsidR="006A1272" w:rsidRPr="00890249">
        <w:rPr>
          <w:rFonts w:asciiTheme="minorHAnsi" w:hAnsiTheme="minorHAnsi" w:cstheme="minorHAnsi"/>
          <w:sz w:val="22"/>
          <w:szCs w:val="22"/>
          <w:lang w:eastAsia="en-US" w:bidi="ar-SA"/>
        </w:rPr>
        <w:t xml:space="preserve">, </w:t>
      </w:r>
      <w:r w:rsidR="006A1272" w:rsidRPr="00890249">
        <w:rPr>
          <w:rFonts w:asciiTheme="minorHAnsi" w:hAnsiTheme="minorHAnsi" w:cstheme="minorHAnsi"/>
          <w:noProof/>
          <w:sz w:val="22"/>
          <w:szCs w:val="22"/>
        </w:rPr>
        <w:t xml:space="preserve">CP3 i </w:t>
      </w:r>
      <w:r w:rsidRPr="00890249">
        <w:rPr>
          <w:rFonts w:asciiTheme="minorHAnsi" w:hAnsiTheme="minorHAnsi" w:cstheme="minorHAnsi"/>
          <w:sz w:val="22"/>
          <w:szCs w:val="22"/>
          <w:lang w:eastAsia="en-US" w:bidi="ar-SA"/>
        </w:rPr>
        <w:t>CP4</w:t>
      </w:r>
      <w:r w:rsidR="007B40F4" w:rsidRPr="00890249">
        <w:rPr>
          <w:rFonts w:asciiTheme="minorHAnsi" w:hAnsiTheme="minorHAnsi" w:cstheme="minorHAnsi"/>
          <w:sz w:val="22"/>
          <w:szCs w:val="22"/>
          <w:lang w:eastAsia="en-US" w:bidi="ar-SA"/>
        </w:rPr>
        <w:t>.</w:t>
      </w:r>
      <w:r w:rsidRPr="00890249">
        <w:rPr>
          <w:rFonts w:asciiTheme="minorHAnsi" w:hAnsiTheme="minorHAnsi" w:cstheme="minorHAnsi"/>
          <w:sz w:val="22"/>
          <w:szCs w:val="22"/>
          <w:lang w:eastAsia="en-US" w:bidi="ar-SA"/>
        </w:rPr>
        <w:t xml:space="preserve">  </w:t>
      </w:r>
    </w:p>
    <w:p w14:paraId="68FF944D" w14:textId="77777777" w:rsidR="0093433C" w:rsidRPr="00890249" w:rsidRDefault="00C134E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Istotnym elementem działań rozwojowych, generujących dochody i nowe miejsca pracy na poziomie lokalnym będą inwestycje wspierające działania na rzecz obszarów o wysokich walorach przyrodniczych i krajobrazowych czy kulturowych, tworząc atrakcyjną ofertę turystyczną opartą o lokalne potencjały różnych obszarów. </w:t>
      </w:r>
    </w:p>
    <w:p w14:paraId="1F867E47" w14:textId="5378EF2F" w:rsidR="0093433C" w:rsidRPr="00890249" w:rsidRDefault="4813B485" w:rsidP="00890249">
      <w:pPr>
        <w:pStyle w:val="Tekstpodstawowy"/>
        <w:rPr>
          <w:rFonts w:asciiTheme="minorHAnsi" w:hAnsiTheme="minorHAnsi" w:cstheme="minorHAnsi"/>
          <w:sz w:val="22"/>
          <w:szCs w:val="22"/>
          <w:lang w:eastAsia="en-US"/>
        </w:rPr>
      </w:pPr>
      <w:r w:rsidRPr="00890249">
        <w:rPr>
          <w:rFonts w:asciiTheme="minorHAnsi" w:hAnsiTheme="minorHAnsi" w:cstheme="minorHAnsi"/>
          <w:noProof/>
          <w:sz w:val="22"/>
          <w:szCs w:val="22"/>
        </w:rPr>
        <w:t>P</w:t>
      </w:r>
      <w:r w:rsidR="1ECCAF3A" w:rsidRPr="00890249">
        <w:rPr>
          <w:rFonts w:asciiTheme="minorHAnsi" w:hAnsiTheme="minorHAnsi" w:cstheme="minorHAnsi"/>
          <w:noProof/>
          <w:sz w:val="22"/>
          <w:szCs w:val="22"/>
        </w:rPr>
        <w:t>rojekt</w:t>
      </w:r>
      <w:r w:rsidRPr="00890249">
        <w:rPr>
          <w:rFonts w:asciiTheme="minorHAnsi" w:hAnsiTheme="minorHAnsi" w:cstheme="minorHAnsi"/>
          <w:noProof/>
          <w:sz w:val="22"/>
          <w:szCs w:val="22"/>
        </w:rPr>
        <w:t>y</w:t>
      </w:r>
      <w:r w:rsidR="1ECCAF3A" w:rsidRPr="00890249">
        <w:rPr>
          <w:rFonts w:asciiTheme="minorHAnsi" w:hAnsiTheme="minorHAnsi" w:cstheme="minorHAnsi"/>
          <w:noProof/>
          <w:sz w:val="22"/>
          <w:szCs w:val="22"/>
        </w:rPr>
        <w:t xml:space="preserve"> turystyczn</w:t>
      </w:r>
      <w:r w:rsidRPr="00890249">
        <w:rPr>
          <w:rFonts w:asciiTheme="minorHAnsi" w:hAnsiTheme="minorHAnsi" w:cstheme="minorHAnsi"/>
          <w:noProof/>
          <w:sz w:val="22"/>
          <w:szCs w:val="22"/>
        </w:rPr>
        <w:t>e</w:t>
      </w:r>
      <w:r w:rsidR="1ECCAF3A" w:rsidRPr="00890249">
        <w:rPr>
          <w:rFonts w:asciiTheme="minorHAnsi" w:hAnsiTheme="minorHAnsi" w:cstheme="minorHAnsi"/>
          <w:noProof/>
          <w:sz w:val="22"/>
          <w:szCs w:val="22"/>
        </w:rPr>
        <w:t xml:space="preserve"> mus</w:t>
      </w:r>
      <w:r w:rsidRPr="00890249">
        <w:rPr>
          <w:rFonts w:asciiTheme="minorHAnsi" w:hAnsiTheme="minorHAnsi" w:cstheme="minorHAnsi"/>
          <w:noProof/>
          <w:sz w:val="22"/>
          <w:szCs w:val="22"/>
        </w:rPr>
        <w:t>zą</w:t>
      </w:r>
      <w:r w:rsidR="1ECCAF3A" w:rsidRPr="00890249">
        <w:rPr>
          <w:rFonts w:asciiTheme="minorHAnsi" w:hAnsiTheme="minorHAnsi" w:cstheme="minorHAnsi"/>
          <w:noProof/>
          <w:sz w:val="22"/>
          <w:szCs w:val="22"/>
        </w:rPr>
        <w:t xml:space="preserve"> mieć charakter zintegrowany, tj. </w:t>
      </w:r>
      <w:r w:rsidR="6E5C5A76" w:rsidRPr="00890249">
        <w:rPr>
          <w:rFonts w:asciiTheme="minorHAnsi" w:hAnsiTheme="minorHAnsi" w:cstheme="minorHAnsi"/>
          <w:noProof/>
          <w:sz w:val="22"/>
          <w:szCs w:val="22"/>
        </w:rPr>
        <w:t>mają</w:t>
      </w:r>
      <w:r w:rsidR="1ECCAF3A" w:rsidRPr="00890249">
        <w:rPr>
          <w:rFonts w:asciiTheme="minorHAnsi" w:hAnsiTheme="minorHAnsi" w:cstheme="minorHAnsi"/>
          <w:noProof/>
          <w:sz w:val="22"/>
          <w:szCs w:val="22"/>
        </w:rPr>
        <w:t xml:space="preserve"> zakładać oddziaływanie na gospodarkę, środowisko i życie społeczne w regionie (np. rynek pracy, przedsiębiorczość, ochronę przyrody, edukację lub włączenie społeczne). Inwestycje w kulturę i turystykę będą respektować zasadę zrównoważonego oddziaływania na środowisko, potrzebę rozwoju cyfrowego, zasadę dostępności dla osób ze specjalnymi potrzebami, zasadę stabilności i efektywności finansowej oraz odporności na kryzys. Elementem będzie dążenie do osiągnięcia neutralności klimatycznej projektowanej infrastruktury. Warunkiem koniecznym jest też zapewnienie skuteczności i trwałości inwestycji</w:t>
      </w:r>
      <w:r w:rsidR="2CD9D2D5" w:rsidRPr="00890249">
        <w:rPr>
          <w:rFonts w:asciiTheme="minorHAnsi" w:hAnsiTheme="minorHAnsi" w:cstheme="minorHAnsi"/>
          <w:sz w:val="22"/>
          <w:szCs w:val="22"/>
          <w:lang w:eastAsia="en-US" w:bidi="ar-SA"/>
        </w:rPr>
        <w:t>.</w:t>
      </w:r>
      <w:r w:rsidR="00C134E2" w:rsidRPr="00890249">
        <w:rPr>
          <w:rFonts w:asciiTheme="minorHAnsi" w:hAnsiTheme="minorHAnsi" w:cstheme="minorHAnsi"/>
          <w:sz w:val="22"/>
          <w:szCs w:val="22"/>
          <w:vertAlign w:val="superscript"/>
          <w:lang w:eastAsia="en-US" w:bidi="ar-SA"/>
        </w:rPr>
        <w:footnoteReference w:id="230"/>
      </w:r>
      <w:r w:rsidR="2CD9D2D5" w:rsidRPr="00890249">
        <w:rPr>
          <w:rFonts w:asciiTheme="minorHAnsi" w:hAnsiTheme="minorHAnsi" w:cstheme="minorHAnsi"/>
          <w:sz w:val="22"/>
          <w:szCs w:val="22"/>
          <w:lang w:eastAsia="en-US"/>
        </w:rPr>
        <w:t xml:space="preserve"> </w:t>
      </w:r>
    </w:p>
    <w:p w14:paraId="6D1346EC" w14:textId="3FA84258" w:rsidR="0093433C" w:rsidRPr="00890249" w:rsidRDefault="675CD593"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Wsparcie powinno być ukierunkowane na projekty turystyczne, które są: poparte odpowiednią analizą popytu i oceną potrzeb, aby ograniczyć ryzyko nieskuteczności; skoordynowane z</w:t>
      </w:r>
      <w:r w:rsidR="36323AC6" w:rsidRPr="00890249">
        <w:rPr>
          <w:rFonts w:asciiTheme="minorHAnsi" w:hAnsiTheme="minorHAnsi" w:cstheme="minorHAnsi"/>
          <w:noProof/>
          <w:sz w:val="22"/>
          <w:szCs w:val="22"/>
        </w:rPr>
        <w:t> </w:t>
      </w:r>
      <w:r w:rsidRPr="00890249">
        <w:rPr>
          <w:rFonts w:asciiTheme="minorHAnsi" w:hAnsiTheme="minorHAnsi" w:cstheme="minorHAnsi"/>
          <w:noProof/>
          <w:sz w:val="22"/>
          <w:szCs w:val="22"/>
        </w:rPr>
        <w:t>projektami w sąsiednich obszarach, aby uniknąć powielania i konkurencji; oddziaływ</w:t>
      </w:r>
      <w:r w:rsidR="155F8EFA" w:rsidRPr="00890249">
        <w:rPr>
          <w:rFonts w:asciiTheme="minorHAnsi" w:hAnsiTheme="minorHAnsi" w:cstheme="minorHAnsi"/>
          <w:noProof/>
          <w:sz w:val="22"/>
          <w:szCs w:val="22"/>
        </w:rPr>
        <w:t>u</w:t>
      </w:r>
      <w:r w:rsidRPr="00890249">
        <w:rPr>
          <w:rFonts w:asciiTheme="minorHAnsi" w:hAnsiTheme="minorHAnsi" w:cstheme="minorHAnsi"/>
          <w:noProof/>
          <w:sz w:val="22"/>
          <w:szCs w:val="22"/>
        </w:rPr>
        <w:t>ją w sposób wykraczający poza sam projekt na stymulowanie działalności turystycznej w regionie, są trwałe i będą odpowiednio utrzymane po ich zakończeniu</w:t>
      </w:r>
      <w:r w:rsidR="00B23DEE" w:rsidRPr="00890249">
        <w:rPr>
          <w:rStyle w:val="Odwoanieprzypisudolnego"/>
          <w:rFonts w:asciiTheme="minorHAnsi" w:hAnsiTheme="minorHAnsi" w:cstheme="minorHAnsi"/>
          <w:bCs/>
          <w:noProof/>
          <w:sz w:val="22"/>
          <w:szCs w:val="22"/>
        </w:rPr>
        <w:footnoteReference w:id="231"/>
      </w:r>
      <w:r w:rsidRPr="00890249">
        <w:rPr>
          <w:rFonts w:asciiTheme="minorHAnsi" w:hAnsiTheme="minorHAnsi" w:cstheme="minorHAnsi"/>
          <w:noProof/>
          <w:sz w:val="22"/>
          <w:szCs w:val="22"/>
        </w:rPr>
        <w:t>.</w:t>
      </w:r>
    </w:p>
    <w:p w14:paraId="1B23135D" w14:textId="452E9F57" w:rsidR="0093433C" w:rsidRPr="00890249" w:rsidRDefault="00D579C1" w:rsidP="00890249">
      <w:pPr>
        <w:pStyle w:val="Tekstpodstawowy"/>
        <w:rPr>
          <w:rFonts w:asciiTheme="minorHAnsi" w:hAnsiTheme="minorHAnsi" w:cstheme="minorHAnsi"/>
          <w:sz w:val="22"/>
          <w:szCs w:val="22"/>
          <w:lang w:eastAsia="en-US"/>
        </w:rPr>
      </w:pPr>
      <w:r w:rsidRPr="00890249">
        <w:rPr>
          <w:rFonts w:asciiTheme="minorHAnsi" w:hAnsiTheme="minorHAnsi" w:cstheme="minorHAnsi"/>
          <w:noProof/>
          <w:sz w:val="22"/>
          <w:szCs w:val="22"/>
        </w:rPr>
        <w:t xml:space="preserve">W realizacji projektów zostaną wykorzystane materiały i technologie umożliwiające maks. obniżenie zapotrzebowania energetycznego, w przypadku zabytków z uwzględnieniem wymogów konserwatorskich. Projekty będą wpływać na efektywność energetyczną oraz przyczyniać się do osiągnięcia celów polityki w zakresie zmian klimatu. </w:t>
      </w:r>
      <w:r w:rsidR="00C134E2" w:rsidRPr="00890249">
        <w:rPr>
          <w:rFonts w:asciiTheme="minorHAnsi" w:hAnsiTheme="minorHAnsi" w:cstheme="minorHAnsi"/>
          <w:sz w:val="22"/>
          <w:szCs w:val="22"/>
          <w:lang w:eastAsia="en-US"/>
        </w:rPr>
        <w:t>Zastosowane rozwiązania pozwolą też na zmniejszenie energochłonności obiektów, co wpłynie na zmniejszenie kosztów utrzymania instytucji kultury.</w:t>
      </w:r>
      <w:r w:rsidR="00C134E2" w:rsidRPr="00890249">
        <w:rPr>
          <w:rFonts w:asciiTheme="minorHAnsi" w:hAnsiTheme="minorHAnsi" w:cstheme="minorHAnsi"/>
          <w:b/>
          <w:sz w:val="22"/>
          <w:szCs w:val="22"/>
          <w:lang w:eastAsia="en-US"/>
        </w:rPr>
        <w:t xml:space="preserve"> </w:t>
      </w:r>
      <w:r w:rsidR="00C134E2" w:rsidRPr="00890249">
        <w:rPr>
          <w:rFonts w:asciiTheme="minorHAnsi" w:hAnsiTheme="minorHAnsi" w:cstheme="minorHAnsi"/>
          <w:sz w:val="22"/>
          <w:szCs w:val="22"/>
          <w:lang w:eastAsia="en-US"/>
        </w:rPr>
        <w:t xml:space="preserve">Zwiększony zostanie </w:t>
      </w:r>
      <w:r w:rsidR="00065199" w:rsidRPr="00890249">
        <w:rPr>
          <w:rFonts w:asciiTheme="minorHAnsi" w:hAnsiTheme="minorHAnsi" w:cstheme="minorHAnsi"/>
          <w:sz w:val="22"/>
          <w:szCs w:val="22"/>
          <w:lang w:eastAsia="en-US"/>
        </w:rPr>
        <w:t xml:space="preserve">również </w:t>
      </w:r>
      <w:r w:rsidR="00C134E2" w:rsidRPr="00890249">
        <w:rPr>
          <w:rFonts w:asciiTheme="minorHAnsi" w:hAnsiTheme="minorHAnsi" w:cstheme="minorHAnsi"/>
          <w:sz w:val="22"/>
          <w:szCs w:val="22"/>
          <w:lang w:eastAsia="en-US"/>
        </w:rPr>
        <w:t>nacisk na wykorzystanie technologii</w:t>
      </w:r>
      <w:r w:rsidR="00B94BFF" w:rsidRPr="00890249">
        <w:rPr>
          <w:rFonts w:asciiTheme="minorHAnsi" w:hAnsiTheme="minorHAnsi" w:cstheme="minorHAnsi"/>
          <w:sz w:val="22"/>
          <w:szCs w:val="22"/>
          <w:lang w:eastAsia="en-US"/>
        </w:rPr>
        <w:t xml:space="preserve"> cyfrowych</w:t>
      </w:r>
      <w:r w:rsidR="00C134E2" w:rsidRPr="00890249">
        <w:rPr>
          <w:rFonts w:asciiTheme="minorHAnsi" w:hAnsiTheme="minorHAnsi" w:cstheme="minorHAnsi"/>
          <w:sz w:val="22"/>
          <w:szCs w:val="22"/>
          <w:lang w:eastAsia="en-US"/>
        </w:rPr>
        <w:t>.</w:t>
      </w:r>
    </w:p>
    <w:p w14:paraId="4C80903B" w14:textId="06FC1FFA" w:rsidR="0093433C" w:rsidRPr="00890249" w:rsidRDefault="2CD9D2D5"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 xml:space="preserve">Celem </w:t>
      </w:r>
      <w:r w:rsidR="1ECCAF3A" w:rsidRPr="00890249">
        <w:rPr>
          <w:rFonts w:asciiTheme="minorHAnsi" w:hAnsiTheme="minorHAnsi" w:cstheme="minorHAnsi"/>
          <w:sz w:val="22"/>
          <w:szCs w:val="22"/>
          <w:lang w:eastAsia="en-US"/>
        </w:rPr>
        <w:t>projektów rewitalizacyjnych</w:t>
      </w:r>
      <w:r w:rsidR="4327D185" w:rsidRPr="00890249">
        <w:rPr>
          <w:rFonts w:asciiTheme="minorHAnsi" w:hAnsiTheme="minorHAnsi" w:cstheme="minorHAnsi"/>
          <w:sz w:val="22"/>
          <w:szCs w:val="22"/>
          <w:lang w:eastAsia="en-US"/>
        </w:rPr>
        <w:t>, których podstawą będ</w:t>
      </w:r>
      <w:r w:rsidR="00C243C4" w:rsidRPr="00890249">
        <w:rPr>
          <w:rFonts w:asciiTheme="minorHAnsi" w:hAnsiTheme="minorHAnsi" w:cstheme="minorHAnsi"/>
          <w:sz w:val="22"/>
          <w:szCs w:val="22"/>
          <w:lang w:eastAsia="en-US"/>
        </w:rPr>
        <w:t>ą</w:t>
      </w:r>
      <w:r w:rsidR="4327D185" w:rsidRPr="00890249">
        <w:rPr>
          <w:rFonts w:asciiTheme="minorHAnsi" w:hAnsiTheme="minorHAnsi" w:cstheme="minorHAnsi"/>
          <w:sz w:val="22"/>
          <w:szCs w:val="22"/>
          <w:lang w:eastAsia="en-US"/>
        </w:rPr>
        <w:t xml:space="preserve"> GPR-y</w:t>
      </w:r>
      <w:r w:rsidR="008303E1" w:rsidRPr="00890249">
        <w:rPr>
          <w:rFonts w:asciiTheme="minorHAnsi" w:hAnsiTheme="minorHAnsi" w:cstheme="minorHAnsi"/>
          <w:sz w:val="22"/>
          <w:szCs w:val="22"/>
          <w:vertAlign w:val="superscript"/>
          <w:lang w:eastAsia="en-US"/>
        </w:rPr>
        <w:footnoteReference w:id="232"/>
      </w:r>
      <w:r w:rsidR="4327D185" w:rsidRPr="00890249">
        <w:rPr>
          <w:rFonts w:asciiTheme="minorHAnsi" w:hAnsiTheme="minorHAnsi" w:cstheme="minorHAnsi"/>
          <w:sz w:val="22"/>
          <w:szCs w:val="22"/>
          <w:lang w:eastAsia="en-US"/>
        </w:rPr>
        <w:t xml:space="preserve"> </w:t>
      </w:r>
      <w:r w:rsidRPr="00890249">
        <w:rPr>
          <w:rFonts w:asciiTheme="minorHAnsi" w:hAnsiTheme="minorHAnsi" w:cstheme="minorHAnsi"/>
          <w:sz w:val="22"/>
          <w:szCs w:val="22"/>
          <w:lang w:eastAsia="en-US"/>
        </w:rPr>
        <w:t xml:space="preserve">winno być zmniejszanie zróżnicowań oraz wzmocnienie powiązań między obszarami </w:t>
      </w:r>
      <w:r w:rsidR="4327D185" w:rsidRPr="00890249">
        <w:rPr>
          <w:rFonts w:asciiTheme="minorHAnsi" w:hAnsiTheme="minorHAnsi" w:cstheme="minorHAnsi"/>
          <w:sz w:val="22"/>
          <w:szCs w:val="22"/>
          <w:lang w:eastAsia="en-US"/>
        </w:rPr>
        <w:t xml:space="preserve">wiejskimi i </w:t>
      </w:r>
      <w:r w:rsidRPr="00890249">
        <w:rPr>
          <w:rFonts w:asciiTheme="minorHAnsi" w:hAnsiTheme="minorHAnsi" w:cstheme="minorHAnsi"/>
          <w:sz w:val="22"/>
          <w:szCs w:val="22"/>
          <w:lang w:eastAsia="en-US"/>
        </w:rPr>
        <w:t xml:space="preserve">miejskimi, a także poprawa warunków i jakości życia na obszarach zdegradowanych. </w:t>
      </w:r>
    </w:p>
    <w:p w14:paraId="15462EB1" w14:textId="11635EC3" w:rsidR="0093433C" w:rsidRPr="00890249" w:rsidRDefault="00D579C1"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N</w:t>
      </w:r>
      <w:r w:rsidR="00C134E2" w:rsidRPr="00890249">
        <w:rPr>
          <w:rFonts w:asciiTheme="minorHAnsi" w:hAnsiTheme="minorHAnsi" w:cstheme="minorHAnsi"/>
          <w:sz w:val="22"/>
          <w:szCs w:val="22"/>
          <w:lang w:eastAsia="en-US"/>
        </w:rPr>
        <w:t>ależy szczególnie zadbać o zachowanie i rozwój zielonej infrastruktury, zwłaszcza ochronę drzew, w</w:t>
      </w:r>
      <w:r w:rsidR="000B271A" w:rsidRPr="00890249">
        <w:rPr>
          <w:rFonts w:asciiTheme="minorHAnsi" w:hAnsiTheme="minorHAnsi" w:cstheme="minorHAnsi"/>
          <w:sz w:val="22"/>
          <w:szCs w:val="22"/>
          <w:lang w:eastAsia="en-US"/>
        </w:rPr>
        <w:t> </w:t>
      </w:r>
      <w:r w:rsidR="00C134E2" w:rsidRPr="00890249">
        <w:rPr>
          <w:rFonts w:asciiTheme="minorHAnsi" w:hAnsiTheme="minorHAnsi" w:cstheme="minorHAnsi"/>
          <w:sz w:val="22"/>
          <w:szCs w:val="22"/>
          <w:lang w:eastAsia="en-US"/>
        </w:rPr>
        <w:t xml:space="preserve">całym cyklu projektowym, w tym poprzez stosowanie standardów ochrony zieleni. Mając na uwadze </w:t>
      </w:r>
      <w:r w:rsidR="00C134E2" w:rsidRPr="00890249">
        <w:rPr>
          <w:rFonts w:asciiTheme="minorHAnsi" w:hAnsiTheme="minorHAnsi" w:cstheme="minorHAnsi"/>
          <w:sz w:val="22"/>
          <w:szCs w:val="22"/>
          <w:lang w:eastAsia="en-US"/>
        </w:rPr>
        <w:lastRenderedPageBreak/>
        <w:t>potrzebę adaptacji do zmiany klimatu, należy dążyć również do zwiększania powierzchni biologicznie czynnych i unikanie tworzenia powierzchni uszczelnionych.</w:t>
      </w:r>
    </w:p>
    <w:p w14:paraId="21BF6DA8" w14:textId="3B1541B7" w:rsidR="0093433C" w:rsidRPr="00890249" w:rsidRDefault="00B23FDC" w:rsidP="00890249">
      <w:pPr>
        <w:pStyle w:val="Tekstpodstawowy"/>
        <w:rPr>
          <w:rFonts w:asciiTheme="minorHAnsi" w:hAnsiTheme="minorHAnsi" w:cstheme="minorHAnsi"/>
          <w:noProof/>
          <w:sz w:val="22"/>
          <w:szCs w:val="22"/>
        </w:rPr>
      </w:pPr>
      <w:r w:rsidRPr="00890249">
        <w:rPr>
          <w:rFonts w:asciiTheme="minorHAnsi" w:eastAsiaTheme="minorHAnsi" w:hAnsiTheme="minorHAnsi" w:cstheme="minorHAnsi"/>
          <w:noProof/>
          <w:sz w:val="22"/>
          <w:szCs w:val="22"/>
          <w:lang w:eastAsia="en-US" w:bidi="ar-SA"/>
        </w:rPr>
        <w:t xml:space="preserve"> </w:t>
      </w:r>
      <w:r w:rsidRPr="00890249">
        <w:rPr>
          <w:rFonts w:asciiTheme="minorHAnsi" w:hAnsiTheme="minorHAnsi" w:cstheme="minorHAnsi"/>
          <w:noProof/>
          <w:sz w:val="22"/>
          <w:szCs w:val="22"/>
        </w:rPr>
        <w:t>Dzialania wynikajace ze strategii terytorialnych IIT mogą być realizowane w ramach Europejskiej Inicjatywy Społecznej (EIS) koncentrującej się na obszarach lokalnych oraz zwiekszajacej partycypację społeczną mieszkańców.</w:t>
      </w:r>
      <w:r w:rsidR="0019366A" w:rsidRPr="00890249">
        <w:rPr>
          <w:rFonts w:asciiTheme="minorHAnsi" w:hAnsiTheme="minorHAnsi" w:cstheme="minorHAnsi"/>
          <w:noProof/>
          <w:sz w:val="22"/>
          <w:szCs w:val="22"/>
        </w:rPr>
        <w:t xml:space="preserve"> </w:t>
      </w:r>
    </w:p>
    <w:p w14:paraId="3E5DF116" w14:textId="3ECBB61F" w:rsidR="0093433C" w:rsidRPr="00890249" w:rsidRDefault="00C134E2"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W ramach EIS realizowane będą </w:t>
      </w:r>
      <w:r w:rsidR="009B0D39" w:rsidRPr="00890249">
        <w:rPr>
          <w:rFonts w:asciiTheme="minorHAnsi" w:hAnsiTheme="minorHAnsi" w:cstheme="minorHAnsi"/>
          <w:sz w:val="22"/>
          <w:szCs w:val="22"/>
          <w:lang w:eastAsia="en-US" w:bidi="ar-SA"/>
        </w:rPr>
        <w:t xml:space="preserve">mogły być </w:t>
      </w:r>
      <w:r w:rsidRPr="00890249">
        <w:rPr>
          <w:rFonts w:asciiTheme="minorHAnsi" w:hAnsiTheme="minorHAnsi" w:cstheme="minorHAnsi"/>
          <w:sz w:val="22"/>
          <w:szCs w:val="22"/>
          <w:lang w:eastAsia="en-US" w:bidi="ar-SA"/>
        </w:rPr>
        <w:t xml:space="preserve">małe inwestycje na rzecz lokalnego środowiska przez </w:t>
      </w:r>
      <w:r w:rsidR="00B57678">
        <w:rPr>
          <w:rFonts w:asciiTheme="minorHAnsi" w:hAnsiTheme="minorHAnsi" w:cstheme="minorHAnsi"/>
          <w:noProof/>
          <w:sz w:val="22"/>
          <w:szCs w:val="22"/>
        </w:rPr>
        <w:t>jednostki samorządu terytorialnego,</w:t>
      </w:r>
      <w:r w:rsidR="00B57678" w:rsidRPr="00890249" w:rsidDel="00B57678">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 xml:space="preserve">w uzgodnieniu i we współpracy z przedstawicielami lokalnych społeczności lub przez organizacje pozarządowe, w oparciu o diagnozę potrzeb danej społeczności. Zaangażowanie na tym etapie projektów samorządów lokalnych oraz innych podmiotów działających na rzecz lokalnych społeczności pozwoli na łączenie oddolnych i odgórnych celów. </w:t>
      </w:r>
      <w:r w:rsidR="00B57678" w:rsidRPr="00890249">
        <w:rPr>
          <w:rFonts w:asciiTheme="minorHAnsi" w:hAnsiTheme="minorHAnsi" w:cstheme="minorHAnsi"/>
          <w:noProof/>
          <w:sz w:val="22"/>
          <w:szCs w:val="22"/>
        </w:rPr>
        <w:t xml:space="preserve">Jednocześnie realizacja projektów o dużym natężeniu partycypacyjnym wpłynie na zwiększenie zaangażowania obywateli. </w:t>
      </w:r>
      <w:bookmarkStart w:id="25" w:name="_Hlk188361699"/>
      <w:r w:rsidR="00B57678" w:rsidRPr="00E05EB4">
        <w:rPr>
          <w:rFonts w:asciiTheme="minorHAnsi" w:hAnsiTheme="minorHAnsi" w:cstheme="minorHAnsi"/>
          <w:noProof/>
          <w:sz w:val="22"/>
          <w:szCs w:val="22"/>
        </w:rPr>
        <w:t>Inicjatywy realizowane będą zgodnie z uregulowaniami dotyczącymi CP5, przy jednoczesnym uzwzględnianiu zasad horyzontalnych dotyczących CP4, takich jak: deinstytucjonalizacja czy brak możliwości wsparcia szkół specjalnych.</w:t>
      </w:r>
      <w:bookmarkEnd w:id="25"/>
    </w:p>
    <w:p w14:paraId="7759E57F" w14:textId="7CF5A9CE" w:rsidR="0093433C" w:rsidRPr="00890249" w:rsidRDefault="675CD593" w:rsidP="00890249">
      <w:pPr>
        <w:pStyle w:val="Tekstpodstawowy"/>
        <w:rPr>
          <w:rFonts w:asciiTheme="minorHAnsi" w:hAnsiTheme="minorHAnsi" w:cstheme="minorHAnsi"/>
          <w:sz w:val="22"/>
          <w:szCs w:val="22"/>
        </w:rPr>
      </w:pPr>
      <w:r w:rsidRPr="00890249">
        <w:rPr>
          <w:rFonts w:asciiTheme="minorHAnsi" w:hAnsiTheme="minorHAnsi" w:cstheme="minorHAnsi"/>
          <w:noProof/>
          <w:sz w:val="22"/>
          <w:szCs w:val="22"/>
        </w:rPr>
        <w:t xml:space="preserve">Preferowane będzie wsparcie istniejącej infrastruktury, natomiast nowe inwestycje będą dopuszczalne tylko w wyjątkowych, uzasadnionych okolicznościach. </w:t>
      </w:r>
      <w:r w:rsidRPr="00890249">
        <w:rPr>
          <w:rFonts w:asciiTheme="minorHAnsi" w:hAnsiTheme="minorHAnsi" w:cstheme="minorHAnsi"/>
          <w:sz w:val="22"/>
          <w:szCs w:val="22"/>
          <w:lang w:eastAsia="en-US"/>
        </w:rPr>
        <w:t xml:space="preserve"> Preferowane wsparcie powinno być dostosowane zależnie od możliwości do: Europejskiego Zielonego Ładu, GOZ, celów zrównoważonego rozwoju ONZ. </w:t>
      </w:r>
      <w:r w:rsidRPr="00890249">
        <w:rPr>
          <w:rFonts w:asciiTheme="minorHAnsi" w:hAnsiTheme="minorHAnsi" w:cstheme="minorHAnsi"/>
          <w:sz w:val="22"/>
          <w:szCs w:val="22"/>
        </w:rPr>
        <w:t>Ponadto</w:t>
      </w:r>
      <w:r w:rsidR="00B23FDC" w:rsidRPr="00890249">
        <w:rPr>
          <w:rFonts w:asciiTheme="minorHAnsi" w:hAnsiTheme="minorHAnsi" w:cstheme="minorHAnsi"/>
          <w:sz w:val="22"/>
          <w:szCs w:val="22"/>
        </w:rPr>
        <w:t xml:space="preserve"> w ramach </w:t>
      </w:r>
      <w:r w:rsidRPr="00890249">
        <w:rPr>
          <w:rFonts w:asciiTheme="minorHAnsi" w:hAnsiTheme="minorHAnsi" w:cstheme="minorHAnsi"/>
          <w:sz w:val="22"/>
          <w:szCs w:val="22"/>
        </w:rPr>
        <w:t>interwencj</w:t>
      </w:r>
      <w:r w:rsidR="00B23FDC" w:rsidRPr="00890249">
        <w:rPr>
          <w:rFonts w:asciiTheme="minorHAnsi" w:hAnsiTheme="minorHAnsi" w:cstheme="minorHAnsi"/>
          <w:sz w:val="22"/>
          <w:szCs w:val="22"/>
        </w:rPr>
        <w:t>i</w:t>
      </w:r>
      <w:r w:rsidRPr="00890249">
        <w:rPr>
          <w:rFonts w:asciiTheme="minorHAnsi" w:hAnsiTheme="minorHAnsi" w:cstheme="minorHAnsi"/>
          <w:sz w:val="22"/>
          <w:szCs w:val="22"/>
        </w:rPr>
        <w:t xml:space="preserve">, które mają wpływ na dziedzictwo kulturowe, </w:t>
      </w:r>
      <w:r w:rsidR="00B23FDC" w:rsidRPr="00890249">
        <w:rPr>
          <w:rFonts w:asciiTheme="minorHAnsi" w:hAnsiTheme="minorHAnsi" w:cstheme="minorHAnsi"/>
          <w:sz w:val="22"/>
          <w:szCs w:val="22"/>
        </w:rPr>
        <w:t xml:space="preserve">zasadne jest wykorzystanie zaleceń wynikających z </w:t>
      </w:r>
      <w:r w:rsidR="008E7E55" w:rsidRPr="00890249">
        <w:rPr>
          <w:rFonts w:asciiTheme="minorHAnsi" w:hAnsiTheme="minorHAnsi" w:cstheme="minorHAnsi"/>
          <w:sz w:val="22"/>
          <w:szCs w:val="22"/>
        </w:rPr>
        <w:t xml:space="preserve">dokumentu </w:t>
      </w:r>
      <w:r w:rsidRPr="00890249">
        <w:rPr>
          <w:rFonts w:asciiTheme="minorHAnsi" w:hAnsiTheme="minorHAnsi" w:cstheme="minorHAnsi"/>
          <w:i/>
          <w:iCs/>
          <w:sz w:val="22"/>
          <w:szCs w:val="22"/>
        </w:rPr>
        <w:t>Europejskie Zasady Jakości dla finansowanych przez UE interwencji o potencjalnym wpływie na dziedzictwo kulturowe</w:t>
      </w:r>
      <w:r w:rsidR="00B23DEE" w:rsidRPr="00890249">
        <w:rPr>
          <w:rFonts w:asciiTheme="minorHAnsi" w:hAnsiTheme="minorHAnsi" w:cstheme="minorHAnsi"/>
          <w:b/>
          <w:sz w:val="22"/>
          <w:szCs w:val="22"/>
          <w:vertAlign w:val="superscript"/>
        </w:rPr>
        <w:footnoteReference w:id="233"/>
      </w:r>
      <w:r w:rsidRPr="00890249">
        <w:rPr>
          <w:rFonts w:asciiTheme="minorHAnsi" w:hAnsiTheme="minorHAnsi" w:cstheme="minorHAnsi"/>
          <w:sz w:val="22"/>
          <w:szCs w:val="22"/>
        </w:rPr>
        <w:t xml:space="preserve"> oraz </w:t>
      </w:r>
      <w:r w:rsidR="00B23FDC" w:rsidRPr="00890249">
        <w:rPr>
          <w:rFonts w:asciiTheme="minorHAnsi" w:hAnsiTheme="minorHAnsi" w:cstheme="minorHAnsi"/>
          <w:sz w:val="22"/>
          <w:szCs w:val="22"/>
        </w:rPr>
        <w:t xml:space="preserve">interwencje te </w:t>
      </w:r>
      <w:r w:rsidRPr="00890249">
        <w:rPr>
          <w:rFonts w:asciiTheme="minorHAnsi" w:hAnsiTheme="minorHAnsi" w:cstheme="minorHAnsi"/>
          <w:sz w:val="22"/>
          <w:szCs w:val="22"/>
        </w:rPr>
        <w:t xml:space="preserve">będą dążyć do realizacji założeń inicjatywy </w:t>
      </w:r>
      <w:r w:rsidRPr="00890249">
        <w:rPr>
          <w:rFonts w:asciiTheme="minorHAnsi" w:hAnsiTheme="minorHAnsi" w:cstheme="minorHAnsi"/>
          <w:i/>
          <w:iCs/>
          <w:sz w:val="22"/>
          <w:szCs w:val="22"/>
        </w:rPr>
        <w:t>Nowy Europejski Bauhaus</w:t>
      </w:r>
      <w:r w:rsidRPr="00890249">
        <w:rPr>
          <w:rFonts w:asciiTheme="minorHAnsi" w:hAnsiTheme="minorHAnsi" w:cstheme="minorHAnsi"/>
          <w:sz w:val="22"/>
          <w:szCs w:val="22"/>
        </w:rPr>
        <w:t>.</w:t>
      </w:r>
    </w:p>
    <w:p w14:paraId="23D7E445" w14:textId="77777777" w:rsidR="0093433C" w:rsidRPr="00890249" w:rsidRDefault="00B23DEE"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W ramach cs</w:t>
      </w:r>
      <w:r w:rsidR="00C44DAA"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(ii) nie będą wspierane inwestycje w elementy infrastruktury drogowej (w tym w parkingi), chyba że stanowią one nieodłączny element większego projektu, (nie są one dominującym elementem tego projektu), a ich koszt nie przekracza 15% kosztów kwalifikowalnych operacji. W miastach projekty te nie mogą obejmować budowy nowych dróg lub parkingów oraz w odniesieniu do istniejących - zwiększenia ich pojemności lub przepustowości, ani nie mogą w żaden inny sposób przyczyniać się do zwiększenia natężenia ruchu samochodowego.</w:t>
      </w:r>
      <w:r w:rsidR="0022469D" w:rsidRPr="00890249">
        <w:rPr>
          <w:rFonts w:asciiTheme="minorHAnsi" w:hAnsiTheme="minorHAnsi" w:cstheme="minorHAnsi"/>
          <w:color w:val="00B050"/>
          <w:sz w:val="22"/>
          <w:szCs w:val="22"/>
          <w:lang w:eastAsia="en-US" w:bidi="ar-SA"/>
        </w:rPr>
        <w:t xml:space="preserve"> </w:t>
      </w:r>
      <w:r w:rsidR="00B23FDC" w:rsidRPr="00890249">
        <w:rPr>
          <w:rFonts w:asciiTheme="minorHAnsi" w:hAnsiTheme="minorHAnsi" w:cstheme="minorHAnsi"/>
          <w:noProof/>
          <w:sz w:val="22"/>
          <w:szCs w:val="22"/>
        </w:rPr>
        <w:t xml:space="preserve">Możliwe będzie wsparcie </w:t>
      </w:r>
      <w:r w:rsidR="0022469D" w:rsidRPr="00890249">
        <w:rPr>
          <w:rFonts w:asciiTheme="minorHAnsi" w:hAnsiTheme="minorHAnsi" w:cstheme="minorHAnsi"/>
          <w:noProof/>
          <w:sz w:val="22"/>
          <w:szCs w:val="22"/>
        </w:rPr>
        <w:t>budowy nowych dróg rowerowych, ciągów pieszych lub pieszo-rowerowych.</w:t>
      </w:r>
    </w:p>
    <w:p w14:paraId="05EB7CF8" w14:textId="77777777" w:rsidR="0093433C" w:rsidRPr="00890249" w:rsidRDefault="00C134E2"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Planowane typy przedsięwzięć:</w:t>
      </w:r>
    </w:p>
    <w:p w14:paraId="66398653" w14:textId="03008C4E" w:rsidR="0093433C" w:rsidRPr="00890249" w:rsidRDefault="00A173DE" w:rsidP="009F296A">
      <w:pPr>
        <w:pStyle w:val="Lista"/>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R</w:t>
      </w:r>
      <w:r w:rsidR="00B23FDC" w:rsidRPr="00890249">
        <w:rPr>
          <w:rFonts w:asciiTheme="minorHAnsi" w:hAnsiTheme="minorHAnsi" w:cstheme="minorHAnsi"/>
          <w:sz w:val="22"/>
          <w:szCs w:val="22"/>
          <w:lang w:eastAsia="en-US" w:bidi="ar-SA"/>
        </w:rPr>
        <w:t xml:space="preserve">ozwój </w:t>
      </w:r>
      <w:r w:rsidR="00C134E2" w:rsidRPr="00890249">
        <w:rPr>
          <w:rFonts w:asciiTheme="minorHAnsi" w:hAnsiTheme="minorHAnsi" w:cstheme="minorHAnsi"/>
          <w:sz w:val="22"/>
          <w:szCs w:val="22"/>
          <w:lang w:eastAsia="en-US" w:bidi="ar-SA"/>
        </w:rPr>
        <w:t>obiektów dziedzictwa kulturowego, w tym poprawa dostępności poprzez likwidację barier fizycznych dla osób ze szczególnymi potrzebami, w tym z niepełnosprawnościami (budowa towarzyszącej infrastruktury technicznej, zagospodarowania terenów wokół dziedzictwa kulturowego oraz naturalnego możliwa jedynie jako element projektu),</w:t>
      </w:r>
    </w:p>
    <w:p w14:paraId="6A0B7489" w14:textId="4A2D4D19" w:rsidR="0093433C" w:rsidRPr="00890249" w:rsidRDefault="00A173DE" w:rsidP="009F296A">
      <w:pPr>
        <w:pStyle w:val="Lista2"/>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R</w:t>
      </w:r>
      <w:r w:rsidR="00C134E2" w:rsidRPr="00890249">
        <w:rPr>
          <w:rFonts w:asciiTheme="minorHAnsi" w:hAnsiTheme="minorHAnsi" w:cstheme="minorHAnsi"/>
          <w:sz w:val="22"/>
          <w:szCs w:val="22"/>
          <w:lang w:eastAsia="en-US" w:bidi="ar-SA"/>
        </w:rPr>
        <w:t>ozwój działalności kulturalnej i aktywności kulturalnej (</w:t>
      </w:r>
      <w:r w:rsidR="00B23FDC" w:rsidRPr="00890249">
        <w:rPr>
          <w:rFonts w:asciiTheme="minorHAnsi" w:hAnsiTheme="minorHAnsi" w:cstheme="minorHAnsi"/>
          <w:sz w:val="22"/>
          <w:szCs w:val="22"/>
          <w:lang w:eastAsia="en-US"/>
        </w:rPr>
        <w:t>poprzez rozwój infrastruktury</w:t>
      </w:r>
      <w:r w:rsidR="00B23FDC" w:rsidRPr="00890249">
        <w:rPr>
          <w:rFonts w:asciiTheme="minorHAnsi" w:hAnsiTheme="minorHAnsi" w:cstheme="minorHAnsi"/>
          <w:sz w:val="22"/>
          <w:szCs w:val="22"/>
          <w:lang w:eastAsia="en-US" w:bidi="ar-SA"/>
        </w:rPr>
        <w:t xml:space="preserve"> </w:t>
      </w:r>
      <w:r w:rsidR="00C134E2" w:rsidRPr="00890249">
        <w:rPr>
          <w:rFonts w:asciiTheme="minorHAnsi" w:hAnsiTheme="minorHAnsi" w:cstheme="minorHAnsi"/>
          <w:sz w:val="22"/>
          <w:szCs w:val="22"/>
          <w:lang w:eastAsia="en-US" w:bidi="ar-SA"/>
        </w:rPr>
        <w:t>m.in. teatry, zespoły artystyczne, galerie, biblioteki, centra kultury, muzea), w tym wspieranie zaplecza dla utrzymania niematerialnego dziedzictwa kulturowego znajdującego się na Krajowej liście niematerialnego dziedzictwa kulturowego oraz rzemiosła i dawnych zawodów,</w:t>
      </w:r>
    </w:p>
    <w:p w14:paraId="3414E0BE" w14:textId="0768D0F9" w:rsidR="0093433C" w:rsidRPr="00890249" w:rsidRDefault="00A173DE" w:rsidP="009F296A">
      <w:pPr>
        <w:pStyle w:val="Lista3"/>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K</w:t>
      </w:r>
      <w:r w:rsidR="00C134E2" w:rsidRPr="00890249">
        <w:rPr>
          <w:rFonts w:asciiTheme="minorHAnsi" w:hAnsiTheme="minorHAnsi" w:cstheme="minorHAnsi"/>
          <w:sz w:val="22"/>
          <w:szCs w:val="22"/>
          <w:lang w:eastAsia="en-US" w:bidi="ar-SA"/>
        </w:rPr>
        <w:t>onserwacja zabytków ruchomych oraz zabytkowych muzealiów, starodruków, księgozbiorów, materiałów bibliotecznych, archiwalnych i zbiorów audiowizualnych (w tym filmowych) oraz ich ochrona i udostępnienie, także poprzez proces digitalizacji,</w:t>
      </w:r>
    </w:p>
    <w:p w14:paraId="07351013" w14:textId="4C0DA4F8" w:rsidR="0093433C" w:rsidRPr="00890249" w:rsidRDefault="00A173DE" w:rsidP="009F296A">
      <w:pPr>
        <w:pStyle w:val="Lista4"/>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P</w:t>
      </w:r>
      <w:r w:rsidR="00C134E2" w:rsidRPr="00890249">
        <w:rPr>
          <w:rFonts w:asciiTheme="minorHAnsi" w:hAnsiTheme="minorHAnsi" w:cstheme="minorHAnsi"/>
          <w:sz w:val="22"/>
          <w:szCs w:val="22"/>
          <w:lang w:eastAsia="en-US" w:bidi="ar-SA"/>
        </w:rPr>
        <w:t>rojekty dotyczące nowych i innowacyjnych produktów w dziedzinie kultury i turystyki wynikające ze współpracy uczelni i szkół artystycznych i instytucji sektora kultury z przedsiębiorstwami i klastrami przemysłów kreatywnych,</w:t>
      </w:r>
    </w:p>
    <w:p w14:paraId="0610CF3F" w14:textId="0EE7CE5E" w:rsidR="0093433C" w:rsidRPr="00890249" w:rsidRDefault="00A173DE" w:rsidP="009F296A">
      <w:pPr>
        <w:pStyle w:val="Lista5"/>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I</w:t>
      </w:r>
      <w:r w:rsidR="00C134E2" w:rsidRPr="00890249">
        <w:rPr>
          <w:rFonts w:asciiTheme="minorHAnsi" w:hAnsiTheme="minorHAnsi" w:cstheme="minorHAnsi"/>
          <w:sz w:val="22"/>
          <w:szCs w:val="22"/>
          <w:lang w:eastAsia="en-US" w:bidi="ar-SA"/>
        </w:rPr>
        <w:t xml:space="preserve">nwestycje w obiekty/miejsca tworzące turystyczne szlaki tematyczne (obiekty/miejsca odwołujące się do walorów historycznych, kulturowych, przyrodniczych) lub turystyczne szlaki </w:t>
      </w:r>
      <w:r w:rsidR="00C134E2" w:rsidRPr="00890249">
        <w:rPr>
          <w:rFonts w:asciiTheme="minorHAnsi" w:hAnsiTheme="minorHAnsi" w:cstheme="minorHAnsi"/>
          <w:sz w:val="22"/>
          <w:szCs w:val="22"/>
          <w:lang w:eastAsia="en-US" w:bidi="ar-SA"/>
        </w:rPr>
        <w:lastRenderedPageBreak/>
        <w:t>rodzajowe (np. kajakowe, rowerowe) w tym poprawa dostępności poprzez likwidację barier fizycznych dla osób ze szczególnymi potrzebami, w tym z niepełnosprawnościami,</w:t>
      </w:r>
    </w:p>
    <w:p w14:paraId="5A69269A" w14:textId="1538CE83" w:rsidR="0093433C" w:rsidRPr="00890249" w:rsidRDefault="00A173DE" w:rsidP="009F296A">
      <w:pPr>
        <w:pStyle w:val="Lista5"/>
        <w:numPr>
          <w:ilvl w:val="0"/>
          <w:numId w:val="142"/>
        </w:numPr>
        <w:rPr>
          <w:rFonts w:asciiTheme="minorHAnsi" w:hAnsiTheme="minorHAnsi" w:cstheme="minorHAnsi"/>
          <w:noProof/>
          <w:sz w:val="22"/>
          <w:szCs w:val="22"/>
        </w:rPr>
      </w:pPr>
      <w:r>
        <w:rPr>
          <w:rFonts w:asciiTheme="minorHAnsi" w:hAnsiTheme="minorHAnsi" w:cstheme="minorHAnsi"/>
          <w:noProof/>
          <w:sz w:val="22"/>
          <w:szCs w:val="22"/>
        </w:rPr>
        <w:t>F</w:t>
      </w:r>
      <w:r w:rsidR="24A62C33" w:rsidRPr="00890249">
        <w:rPr>
          <w:rFonts w:asciiTheme="minorHAnsi" w:hAnsiTheme="minorHAnsi" w:cstheme="minorHAnsi"/>
          <w:noProof/>
          <w:sz w:val="22"/>
          <w:szCs w:val="22"/>
        </w:rPr>
        <w:t>izyczna regeneracja i bezpieczeństwo przestrzeni publicznych, mająca na celu realizację kompleksowych, zintegrowanych działań na rzecz: lokalnej społeczności i gospodarki, ładu przestrzennego i zrównoważonego gospodarowania przestrzenią, skoncentrowanych terytorialnie i prowadzonych przez interesariuszy rewitalizacji na podstawie gminnego programu rewitalizacji,</w:t>
      </w:r>
    </w:p>
    <w:p w14:paraId="430E8AAF" w14:textId="516FF72C" w:rsidR="0093433C" w:rsidRPr="00890249" w:rsidRDefault="00A173DE" w:rsidP="009F296A">
      <w:pPr>
        <w:pStyle w:val="Lista5"/>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M</w:t>
      </w:r>
      <w:r w:rsidR="00C134E2" w:rsidRPr="00890249">
        <w:rPr>
          <w:rFonts w:asciiTheme="minorHAnsi" w:hAnsiTheme="minorHAnsi" w:cstheme="minorHAnsi"/>
          <w:sz w:val="22"/>
          <w:szCs w:val="22"/>
          <w:lang w:eastAsia="en-US" w:bidi="ar-SA"/>
        </w:rPr>
        <w:t xml:space="preserve">ałe inwestycje realizowane przez </w:t>
      </w:r>
      <w:bookmarkStart w:id="26" w:name="_Hlk188361721"/>
      <w:r w:rsidR="00B57678">
        <w:rPr>
          <w:rFonts w:asciiTheme="minorHAnsi" w:hAnsiTheme="minorHAnsi" w:cstheme="minorHAnsi"/>
          <w:noProof/>
          <w:sz w:val="22"/>
          <w:szCs w:val="22"/>
        </w:rPr>
        <w:t>jednostki samorządu terytorialnego</w:t>
      </w:r>
      <w:bookmarkEnd w:id="26"/>
      <w:r w:rsidR="00C134E2" w:rsidRPr="00890249">
        <w:rPr>
          <w:rFonts w:asciiTheme="minorHAnsi" w:hAnsiTheme="minorHAnsi" w:cstheme="minorHAnsi"/>
          <w:sz w:val="22"/>
          <w:szCs w:val="22"/>
          <w:lang w:eastAsia="en-US" w:bidi="ar-SA"/>
        </w:rPr>
        <w:t xml:space="preserve"> we współpracy i w uzgodnieniu  z przedstawicielami lokalnych społeczności</w:t>
      </w:r>
      <w:r w:rsidR="001934C6" w:rsidRPr="00890249">
        <w:rPr>
          <w:rFonts w:asciiTheme="minorHAnsi" w:hAnsiTheme="minorHAnsi" w:cstheme="minorHAnsi"/>
          <w:sz w:val="22"/>
          <w:szCs w:val="22"/>
          <w:lang w:eastAsia="en-US" w:bidi="ar-SA"/>
        </w:rPr>
        <w:t xml:space="preserve"> </w:t>
      </w:r>
      <w:r w:rsidR="00C134E2" w:rsidRPr="00890249">
        <w:rPr>
          <w:rFonts w:asciiTheme="minorHAnsi" w:hAnsiTheme="minorHAnsi" w:cstheme="minorHAnsi"/>
          <w:sz w:val="22"/>
          <w:szCs w:val="22"/>
          <w:lang w:eastAsia="en-US" w:bidi="ar-SA"/>
        </w:rPr>
        <w:t>i na rzecz tych społeczności, o charakterze m.in. prospołecznym, prozdrowotnym, kulturalnym, edukacyjnym, turystycznym  – przedsięwzięcia o charakterze oddolnych inicjatyw (projekty grantowe),</w:t>
      </w:r>
    </w:p>
    <w:p w14:paraId="1E1C4D4B" w14:textId="45BD6005" w:rsidR="0093433C" w:rsidRPr="00890249" w:rsidRDefault="00A173DE" w:rsidP="009F296A">
      <w:pPr>
        <w:pStyle w:val="Lista5"/>
        <w:numPr>
          <w:ilvl w:val="0"/>
          <w:numId w:val="142"/>
        </w:numPr>
        <w:rPr>
          <w:rFonts w:asciiTheme="minorHAnsi" w:hAnsiTheme="minorHAnsi" w:cstheme="minorHAnsi"/>
          <w:sz w:val="22"/>
          <w:szCs w:val="22"/>
          <w:lang w:eastAsia="en-US" w:bidi="ar-SA"/>
        </w:rPr>
      </w:pPr>
      <w:r>
        <w:rPr>
          <w:rFonts w:asciiTheme="minorHAnsi" w:hAnsiTheme="minorHAnsi" w:cstheme="minorHAnsi"/>
          <w:sz w:val="22"/>
          <w:szCs w:val="22"/>
          <w:lang w:eastAsia="en-US" w:bidi="ar-SA"/>
        </w:rPr>
        <w:t>M</w:t>
      </w:r>
      <w:r w:rsidR="00C134E2" w:rsidRPr="00890249">
        <w:rPr>
          <w:rFonts w:asciiTheme="minorHAnsi" w:hAnsiTheme="minorHAnsi" w:cstheme="minorHAnsi"/>
          <w:sz w:val="22"/>
          <w:szCs w:val="22"/>
          <w:lang w:eastAsia="en-US" w:bidi="ar-SA"/>
        </w:rPr>
        <w:t>ałe inwestycje realizowane przez organizacje pozarządowe</w:t>
      </w:r>
      <w:r w:rsidR="00B57678">
        <w:rPr>
          <w:rFonts w:asciiTheme="minorHAnsi" w:hAnsiTheme="minorHAnsi" w:cstheme="minorHAnsi"/>
          <w:noProof/>
          <w:sz w:val="22"/>
          <w:szCs w:val="22"/>
        </w:rPr>
        <w:t>, spółdzielnie i wspólnoty mieszkaniowe</w:t>
      </w:r>
      <w:r w:rsidR="00C134E2" w:rsidRPr="00890249">
        <w:rPr>
          <w:rFonts w:asciiTheme="minorHAnsi" w:hAnsiTheme="minorHAnsi" w:cstheme="minorHAnsi"/>
          <w:sz w:val="22"/>
          <w:szCs w:val="22"/>
          <w:lang w:eastAsia="en-US" w:bidi="ar-SA"/>
        </w:rPr>
        <w:t xml:space="preserve"> na rzecz lokalnych społeczności w oparciu o diagnozę ich potrzeb, o charakterze m.in. prospołecznym, prozdrowotnym, kulturalnym, edukacyjnym, turystycznym – przedsięwzięcia o charakterze oddolnych inicjatyw (projekty grantowe).</w:t>
      </w:r>
    </w:p>
    <w:p w14:paraId="7F0D3309" w14:textId="36465C09" w:rsidR="0093433C" w:rsidRPr="00890249" w:rsidRDefault="00697128"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Realizowane  przedsięwzięcia </w:t>
      </w:r>
      <w:r w:rsidR="00083EE4" w:rsidRPr="00890249">
        <w:rPr>
          <w:rFonts w:asciiTheme="minorHAnsi" w:hAnsiTheme="minorHAnsi" w:cstheme="minorHAnsi"/>
          <w:noProof/>
          <w:sz w:val="22"/>
          <w:szCs w:val="22"/>
        </w:rPr>
        <w:t xml:space="preserve">są zgodne z zasadą DNSH. Ze względu na ich charakter przyjmuje się, że nie mają negatywnego wpływu na środowisko. </w:t>
      </w:r>
    </w:p>
    <w:p w14:paraId="3744F757" w14:textId="77777777" w:rsidR="00B840B2" w:rsidRPr="00890249" w:rsidRDefault="00B840B2" w:rsidP="00B840B2">
      <w:pPr>
        <w:ind w:left="-142" w:firstLine="142"/>
        <w:rPr>
          <w:rFonts w:asciiTheme="minorHAnsi" w:eastAsia="Times New Roman" w:hAnsiTheme="minorHAnsi" w:cstheme="minorHAnsi"/>
          <w:b/>
          <w:i/>
          <w:iCs/>
          <w:noProof/>
          <w:sz w:val="22"/>
          <w:szCs w:val="24"/>
        </w:rPr>
      </w:pPr>
      <w:r w:rsidRPr="00890249">
        <w:rPr>
          <w:rFonts w:asciiTheme="minorHAnsi" w:hAnsiTheme="minorHAnsi" w:cstheme="minorHAnsi"/>
          <w:b/>
          <w:noProof/>
          <w:color w:val="2F5496" w:themeColor="accent5" w:themeShade="BF"/>
          <w:sz w:val="22"/>
          <w:szCs w:val="24"/>
        </w:rPr>
        <w:t>Główne grupy docelowe</w:t>
      </w:r>
    </w:p>
    <w:p w14:paraId="1F73796A" w14:textId="1C5DCC1D" w:rsidR="0093433C" w:rsidRPr="00C50C41" w:rsidRDefault="00C134E2" w:rsidP="00890249">
      <w:pPr>
        <w:pStyle w:val="Tekstpodstawowy"/>
        <w:rPr>
          <w:rFonts w:asciiTheme="minorHAnsi" w:hAnsiTheme="minorHAnsi" w:cstheme="minorHAnsi"/>
          <w:noProof/>
          <w:sz w:val="22"/>
          <w:szCs w:val="22"/>
        </w:rPr>
      </w:pPr>
      <w:r w:rsidRPr="00C50C41">
        <w:rPr>
          <w:rFonts w:asciiTheme="minorHAnsi" w:hAnsiTheme="minorHAnsi" w:cstheme="minorHAnsi"/>
          <w:noProof/>
          <w:sz w:val="22"/>
          <w:szCs w:val="22"/>
        </w:rPr>
        <w:t xml:space="preserve">Mieszkańcy obszarów </w:t>
      </w:r>
      <w:r w:rsidR="00C44DAA" w:rsidRPr="00C50C41">
        <w:rPr>
          <w:rFonts w:asciiTheme="minorHAnsi" w:hAnsiTheme="minorHAnsi" w:cstheme="minorHAnsi"/>
          <w:noProof/>
          <w:sz w:val="22"/>
          <w:szCs w:val="22"/>
        </w:rPr>
        <w:t xml:space="preserve">innych, niż miejskie, tj. </w:t>
      </w:r>
      <w:r w:rsidRPr="00C50C41">
        <w:rPr>
          <w:rFonts w:asciiTheme="minorHAnsi" w:hAnsiTheme="minorHAnsi" w:cstheme="minorHAnsi"/>
          <w:noProof/>
          <w:sz w:val="22"/>
          <w:szCs w:val="22"/>
        </w:rPr>
        <w:t xml:space="preserve">objętych strategiami terytorialnymi </w:t>
      </w:r>
      <w:r w:rsidR="00EA6760" w:rsidRPr="00C50C41">
        <w:rPr>
          <w:rFonts w:asciiTheme="minorHAnsi" w:hAnsiTheme="minorHAnsi" w:cstheme="minorHAnsi"/>
          <w:noProof/>
          <w:sz w:val="22"/>
          <w:szCs w:val="22"/>
        </w:rPr>
        <w:t>IIT</w:t>
      </w:r>
      <w:r w:rsidRPr="00C50C41">
        <w:rPr>
          <w:rFonts w:asciiTheme="minorHAnsi" w:hAnsiTheme="minorHAnsi" w:cstheme="minorHAnsi"/>
          <w:noProof/>
          <w:sz w:val="22"/>
          <w:szCs w:val="22"/>
        </w:rPr>
        <w:t>, mieszkańcy obszarów zdegradow</w:t>
      </w:r>
      <w:r w:rsidR="00C44DAA" w:rsidRPr="00C50C41">
        <w:rPr>
          <w:rFonts w:asciiTheme="minorHAnsi" w:hAnsiTheme="minorHAnsi" w:cstheme="minorHAnsi"/>
          <w:noProof/>
          <w:sz w:val="22"/>
          <w:szCs w:val="22"/>
        </w:rPr>
        <w:t>a</w:t>
      </w:r>
      <w:r w:rsidRPr="00C50C41">
        <w:rPr>
          <w:rFonts w:asciiTheme="minorHAnsi" w:hAnsiTheme="minorHAnsi" w:cstheme="minorHAnsi"/>
          <w:noProof/>
          <w:sz w:val="22"/>
          <w:szCs w:val="22"/>
        </w:rPr>
        <w:t>nych wyznaczonych do rewitalizacji na obszarach gmin wiejskich</w:t>
      </w:r>
      <w:r w:rsidR="00B23DEE" w:rsidRPr="00C50C41">
        <w:rPr>
          <w:rFonts w:asciiTheme="minorHAnsi" w:hAnsiTheme="minorHAnsi" w:cstheme="minorHAnsi"/>
          <w:noProof/>
          <w:sz w:val="22"/>
          <w:szCs w:val="22"/>
        </w:rPr>
        <w:t>, w</w:t>
      </w:r>
      <w:r w:rsidR="004820C7" w:rsidRPr="00C50C41">
        <w:rPr>
          <w:rFonts w:asciiTheme="minorHAnsi" w:hAnsiTheme="minorHAnsi" w:cstheme="minorHAnsi"/>
          <w:noProof/>
          <w:sz w:val="22"/>
          <w:szCs w:val="22"/>
        </w:rPr>
        <w:t> </w:t>
      </w:r>
      <w:r w:rsidR="00B23DEE" w:rsidRPr="00C50C41">
        <w:rPr>
          <w:rFonts w:asciiTheme="minorHAnsi" w:hAnsiTheme="minorHAnsi" w:cstheme="minorHAnsi"/>
          <w:noProof/>
          <w:sz w:val="22"/>
          <w:szCs w:val="22"/>
        </w:rPr>
        <w:t>tym również lokaln</w:t>
      </w:r>
      <w:r w:rsidR="00C44DAA" w:rsidRPr="00C50C41">
        <w:rPr>
          <w:rFonts w:asciiTheme="minorHAnsi" w:hAnsiTheme="minorHAnsi" w:cstheme="minorHAnsi"/>
          <w:noProof/>
          <w:sz w:val="22"/>
          <w:szCs w:val="22"/>
        </w:rPr>
        <w:t>e</w:t>
      </w:r>
      <w:r w:rsidR="00B23DEE" w:rsidRPr="00C50C41">
        <w:rPr>
          <w:rFonts w:asciiTheme="minorHAnsi" w:hAnsiTheme="minorHAnsi" w:cstheme="minorHAnsi"/>
          <w:noProof/>
          <w:sz w:val="22"/>
          <w:szCs w:val="22"/>
        </w:rPr>
        <w:t xml:space="preserve"> społeczno</w:t>
      </w:r>
      <w:r w:rsidR="00C44DAA" w:rsidRPr="00C50C41">
        <w:rPr>
          <w:rFonts w:asciiTheme="minorHAnsi" w:hAnsiTheme="minorHAnsi" w:cstheme="minorHAnsi"/>
          <w:noProof/>
          <w:sz w:val="22"/>
          <w:szCs w:val="22"/>
        </w:rPr>
        <w:t>ści</w:t>
      </w:r>
      <w:r w:rsidR="004820C7" w:rsidRPr="00C50C41">
        <w:rPr>
          <w:rFonts w:asciiTheme="minorHAnsi" w:hAnsiTheme="minorHAnsi" w:cstheme="minorHAnsi"/>
          <w:noProof/>
          <w:sz w:val="22"/>
          <w:szCs w:val="22"/>
        </w:rPr>
        <w:t xml:space="preserve">, </w:t>
      </w:r>
      <w:r w:rsidRPr="00C50C41">
        <w:rPr>
          <w:rFonts w:asciiTheme="minorHAnsi" w:hAnsiTheme="minorHAnsi" w:cstheme="minorHAnsi"/>
          <w:noProof/>
          <w:sz w:val="22"/>
          <w:szCs w:val="22"/>
        </w:rPr>
        <w:t>turyści</w:t>
      </w:r>
      <w:r w:rsidR="00B23DEE" w:rsidRPr="00C50C41">
        <w:rPr>
          <w:rFonts w:asciiTheme="minorHAnsi" w:hAnsiTheme="minorHAnsi" w:cstheme="minorHAnsi"/>
          <w:noProof/>
          <w:sz w:val="22"/>
          <w:szCs w:val="22"/>
        </w:rPr>
        <w:t xml:space="preserve"> oraz przedsiębiorcy</w:t>
      </w:r>
      <w:r w:rsidRPr="00C50C41">
        <w:rPr>
          <w:rFonts w:asciiTheme="minorHAnsi" w:hAnsiTheme="minorHAnsi" w:cstheme="minorHAnsi"/>
          <w:noProof/>
          <w:sz w:val="22"/>
          <w:szCs w:val="22"/>
        </w:rPr>
        <w:t>.</w:t>
      </w:r>
    </w:p>
    <w:p w14:paraId="57C0668E" w14:textId="77777777" w:rsidR="00B840B2" w:rsidRPr="00C50C41" w:rsidRDefault="00B840B2" w:rsidP="00B840B2">
      <w:pPr>
        <w:ind w:left="-142" w:firstLine="142"/>
        <w:rPr>
          <w:rFonts w:asciiTheme="minorHAnsi" w:hAnsiTheme="minorHAnsi" w:cstheme="minorHAnsi"/>
          <w:noProof/>
          <w:sz w:val="22"/>
          <w:szCs w:val="22"/>
        </w:rPr>
      </w:pPr>
      <w:r w:rsidRPr="00C50C41">
        <w:rPr>
          <w:rFonts w:asciiTheme="minorHAnsi" w:hAnsiTheme="minorHAnsi" w:cstheme="minorHAnsi"/>
          <w:b/>
          <w:noProof/>
          <w:color w:val="2F5496" w:themeColor="accent5" w:themeShade="BF"/>
          <w:sz w:val="22"/>
          <w:szCs w:val="22"/>
        </w:rPr>
        <w:t>Działania na rzecz zapewnienia równości, włączenia społecznego i niedyskryminacji</w:t>
      </w:r>
    </w:p>
    <w:p w14:paraId="61E5BA4D" w14:textId="77777777" w:rsidR="0093433C" w:rsidRPr="00C50C41" w:rsidRDefault="08EFC558" w:rsidP="00890249">
      <w:pPr>
        <w:pStyle w:val="Tekstpodstawowy"/>
        <w:rPr>
          <w:rFonts w:asciiTheme="minorHAnsi" w:hAnsiTheme="minorHAnsi" w:cstheme="minorHAnsi"/>
          <w:sz w:val="22"/>
          <w:szCs w:val="22"/>
          <w:lang w:eastAsia="en-US" w:bidi="ar-SA"/>
        </w:rPr>
      </w:pPr>
      <w:r w:rsidRPr="00C50C41">
        <w:rPr>
          <w:rFonts w:asciiTheme="minorHAnsi" w:hAnsiTheme="minorHAnsi" w:cstheme="minorHAnsi"/>
          <w:sz w:val="22"/>
          <w:szCs w:val="22"/>
          <w:lang w:eastAsia="en-US" w:bidi="ar-SA"/>
        </w:rPr>
        <w:t xml:space="preserve">Dyskryminacja zarówno bezpośrednia, jak i pośrednia ze względu na płeć, pochodzenie rasowe lub etniczne, religię lub światopogląd, niepełnosprawność, wiek, orientację oraz tożsamość seksualną, mieszkańców województwa opolskiego lub turystów może skutkować stresem mniejszościowym, poczuciem alienacji, izolacją społeczną, brakiem akceptacji wśród społeczności oraz brakiem wsparcia społecznego. </w:t>
      </w:r>
    </w:p>
    <w:p w14:paraId="12F57440" w14:textId="01425451" w:rsidR="0093433C" w:rsidRPr="00C50C41" w:rsidRDefault="00875C92" w:rsidP="00890249">
      <w:pPr>
        <w:pStyle w:val="Tekstpodstawowy"/>
        <w:rPr>
          <w:rFonts w:asciiTheme="minorHAnsi" w:hAnsiTheme="minorHAnsi" w:cstheme="minorHAnsi"/>
          <w:sz w:val="22"/>
          <w:szCs w:val="22"/>
          <w:lang w:eastAsia="en-US" w:bidi="ar-SA"/>
        </w:rPr>
      </w:pPr>
      <w:r w:rsidRPr="00C50C41">
        <w:rPr>
          <w:rFonts w:asciiTheme="minorHAnsi" w:hAnsiTheme="minorHAnsi" w:cstheme="minorHAnsi"/>
          <w:sz w:val="22"/>
          <w:szCs w:val="22"/>
        </w:rPr>
        <w:t>Działania na rzecz zapewnienia równości, włączenia i nied</w:t>
      </w:r>
      <w:r w:rsidR="00C50C41" w:rsidRPr="00C50C41">
        <w:rPr>
          <w:rFonts w:asciiTheme="minorHAnsi" w:hAnsiTheme="minorHAnsi" w:cstheme="minorHAnsi"/>
          <w:sz w:val="22"/>
          <w:szCs w:val="22"/>
        </w:rPr>
        <w:t>yskryminacji będą realizowane w </w:t>
      </w:r>
      <w:r w:rsidRPr="00C50C41">
        <w:rPr>
          <w:rFonts w:asciiTheme="minorHAnsi" w:hAnsiTheme="minorHAnsi" w:cstheme="minorHAnsi"/>
          <w:sz w:val="22"/>
          <w:szCs w:val="22"/>
        </w:rPr>
        <w:t>projektach poprzez rozwiązania architektoniczne, które zapewnią możliwość samodzielnego korzystania z produktów projektów, tj. m.in. usług, atrakcji turystycznych, kulturalnych, obiektów użyteczności publicznej wszystkim osobom. Inwestycje umożl</w:t>
      </w:r>
      <w:r w:rsidR="00C50C41" w:rsidRPr="00C50C41">
        <w:rPr>
          <w:rFonts w:asciiTheme="minorHAnsi" w:hAnsiTheme="minorHAnsi" w:cstheme="minorHAnsi"/>
          <w:sz w:val="22"/>
          <w:szCs w:val="22"/>
        </w:rPr>
        <w:t>iwiać będą wyrównywanie szans w </w:t>
      </w:r>
      <w:r w:rsidRPr="00C50C41">
        <w:rPr>
          <w:rFonts w:asciiTheme="minorHAnsi" w:hAnsiTheme="minorHAnsi" w:cstheme="minorHAnsi"/>
          <w:sz w:val="22"/>
          <w:szCs w:val="22"/>
        </w:rPr>
        <w:t>dostępie do instytucji kultury, wydarzeń kulturalnych, czy atrakcji turystycznych. Dofinansowane będą działania służące aktywizowaniu i integrowaniu lokalnych społeczno</w:t>
      </w:r>
      <w:r w:rsidR="000C7417">
        <w:rPr>
          <w:rFonts w:asciiTheme="minorHAnsi" w:hAnsiTheme="minorHAnsi" w:cstheme="minorHAnsi"/>
          <w:sz w:val="22"/>
          <w:szCs w:val="22"/>
        </w:rPr>
        <w:t>ści poprzez ich udział w </w:t>
      </w:r>
      <w:r w:rsidRPr="00C50C41">
        <w:rPr>
          <w:rFonts w:asciiTheme="minorHAnsi" w:hAnsiTheme="minorHAnsi" w:cstheme="minorHAnsi"/>
          <w:sz w:val="22"/>
          <w:szCs w:val="22"/>
        </w:rPr>
        <w:t xml:space="preserve">kulturze, projekty będą adresowane do osób dotkniętych największymi barierami w dostępie do dóbr kultury, w tym mieszkańców małych miast i obszarów wiejskich, wspierane będzie wykorzystanie TIK, digitalizacja zasobów kultury. Umożliwi to włącznie społeczne grup, które dotychczas były wykluczone z korzystania z oferty kulturalnej. </w:t>
      </w:r>
    </w:p>
    <w:p w14:paraId="65467680" w14:textId="77777777" w:rsidR="0093433C" w:rsidRPr="00C50C41" w:rsidRDefault="002959BF" w:rsidP="00890249">
      <w:pPr>
        <w:pStyle w:val="Tekstpodstawowy"/>
        <w:rPr>
          <w:rFonts w:asciiTheme="minorHAnsi" w:hAnsiTheme="minorHAnsi" w:cstheme="minorHAnsi"/>
          <w:sz w:val="22"/>
          <w:szCs w:val="22"/>
          <w:lang w:eastAsia="en-US" w:bidi="ar-SA"/>
        </w:rPr>
      </w:pPr>
      <w:r w:rsidRPr="00C50C41">
        <w:rPr>
          <w:rFonts w:asciiTheme="minorHAnsi" w:hAnsiTheme="minorHAnsi" w:cstheme="minorHAnsi"/>
          <w:sz w:val="22"/>
          <w:szCs w:val="22"/>
          <w:lang w:eastAsia="en-US" w:bidi="ar-SA"/>
        </w:rPr>
        <w:t xml:space="preserve">Poprzez zastosowanie standardu dostępności: architektonicznego, cyfrowego oraz informacyjno-promocyjnego, produkty turystyczne i kulturalne będą dostępne dla ogółu społeczeństwa, w tym również będą odpowiadały na szczególne potrzeby kobiet, OzN, osób starszych, opiekunów osób zależnych. </w:t>
      </w:r>
      <w:r w:rsidRPr="00C50C41">
        <w:rPr>
          <w:rFonts w:asciiTheme="minorHAnsi" w:hAnsiTheme="minorHAnsi" w:cstheme="minorHAnsi"/>
          <w:sz w:val="22"/>
          <w:szCs w:val="22"/>
          <w:lang w:eastAsia="en-US"/>
        </w:rPr>
        <w:t xml:space="preserve"> </w:t>
      </w:r>
      <w:r w:rsidRPr="00C50C41">
        <w:rPr>
          <w:rFonts w:asciiTheme="minorHAnsi" w:hAnsiTheme="minorHAnsi" w:cstheme="minorHAnsi"/>
          <w:sz w:val="22"/>
          <w:szCs w:val="22"/>
          <w:lang w:eastAsia="en-US" w:bidi="ar-SA"/>
        </w:rPr>
        <w:t xml:space="preserve"> </w:t>
      </w:r>
    </w:p>
    <w:p w14:paraId="78C5D4BF" w14:textId="78DF68E0" w:rsidR="00946850" w:rsidRPr="00890249" w:rsidRDefault="00946850">
      <w:pPr>
        <w:spacing w:before="0" w:after="160" w:line="259" w:lineRule="auto"/>
        <w:jc w:val="left"/>
        <w:rPr>
          <w:rFonts w:asciiTheme="minorHAnsi" w:hAnsiTheme="minorHAnsi" w:cstheme="minorHAnsi"/>
          <w:sz w:val="20"/>
          <w:szCs w:val="22"/>
          <w:lang w:eastAsia="en-US" w:bidi="ar-SA"/>
        </w:rPr>
      </w:pPr>
      <w:r w:rsidRPr="00890249">
        <w:rPr>
          <w:rFonts w:asciiTheme="minorHAnsi" w:hAnsiTheme="minorHAnsi" w:cstheme="minorHAnsi"/>
          <w:sz w:val="20"/>
          <w:szCs w:val="22"/>
          <w:lang w:eastAsia="en-US" w:bidi="ar-SA"/>
        </w:rPr>
        <w:br w:type="page"/>
      </w:r>
    </w:p>
    <w:p w14:paraId="1C1B43E2" w14:textId="77777777" w:rsidR="00006FBB" w:rsidRPr="00890249" w:rsidRDefault="00006FBB" w:rsidP="00946850">
      <w:pPr>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lastRenderedPageBreak/>
        <w:t>Wskazanie konkretnych terytoriów objętych wsparciem, z uwzględnieniem planowanego wykorzystania narzędzi terytorialnych</w:t>
      </w:r>
    </w:p>
    <w:p w14:paraId="3BD767A8" w14:textId="1BBF82C4" w:rsidR="0093433C" w:rsidRPr="00890249" w:rsidRDefault="00D6053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Rozwój terytorialny w regionie w ram</w:t>
      </w:r>
      <w:r w:rsidR="00702CF4" w:rsidRPr="00890249">
        <w:rPr>
          <w:rFonts w:asciiTheme="minorHAnsi" w:hAnsiTheme="minorHAnsi" w:cstheme="minorHAnsi"/>
          <w:noProof/>
          <w:sz w:val="22"/>
          <w:szCs w:val="22"/>
        </w:rPr>
        <w:t xml:space="preserve">ach cs </w:t>
      </w:r>
      <w:r w:rsidRPr="00890249">
        <w:rPr>
          <w:rFonts w:asciiTheme="minorHAnsi" w:hAnsiTheme="minorHAnsi" w:cstheme="minorHAnsi"/>
          <w:noProof/>
          <w:sz w:val="22"/>
          <w:szCs w:val="22"/>
        </w:rPr>
        <w:t>(</w:t>
      </w:r>
      <w:r w:rsidR="00702CF4" w:rsidRPr="00890249">
        <w:rPr>
          <w:rFonts w:asciiTheme="minorHAnsi" w:hAnsiTheme="minorHAnsi" w:cstheme="minorHAnsi"/>
          <w:noProof/>
          <w:sz w:val="22"/>
          <w:szCs w:val="22"/>
        </w:rPr>
        <w:t>i</w:t>
      </w:r>
      <w:r w:rsidRPr="00890249">
        <w:rPr>
          <w:rFonts w:asciiTheme="minorHAnsi" w:hAnsiTheme="minorHAnsi" w:cstheme="minorHAnsi"/>
          <w:noProof/>
          <w:sz w:val="22"/>
          <w:szCs w:val="22"/>
        </w:rPr>
        <w:t xml:space="preserve">i) będzie </w:t>
      </w:r>
      <w:r w:rsidR="00C44DAA" w:rsidRPr="00890249">
        <w:rPr>
          <w:rFonts w:asciiTheme="minorHAnsi" w:hAnsiTheme="minorHAnsi" w:cstheme="minorHAnsi"/>
          <w:noProof/>
          <w:sz w:val="22"/>
          <w:szCs w:val="22"/>
        </w:rPr>
        <w:t xml:space="preserve">realizowany poprzez </w:t>
      </w:r>
      <w:r w:rsidRPr="00890249">
        <w:rPr>
          <w:rFonts w:asciiTheme="minorHAnsi" w:hAnsiTheme="minorHAnsi" w:cstheme="minorHAnsi"/>
          <w:noProof/>
          <w:sz w:val="22"/>
          <w:szCs w:val="22"/>
        </w:rPr>
        <w:t>instrument</w:t>
      </w:r>
      <w:r w:rsidR="00C44DAA" w:rsidRPr="00890249">
        <w:rPr>
          <w:rFonts w:asciiTheme="minorHAnsi" w:hAnsiTheme="minorHAnsi" w:cstheme="minorHAnsi"/>
          <w:noProof/>
          <w:sz w:val="22"/>
          <w:szCs w:val="22"/>
        </w:rPr>
        <w:t>y</w:t>
      </w:r>
      <w:r w:rsidRPr="00890249">
        <w:rPr>
          <w:rFonts w:asciiTheme="minorHAnsi" w:hAnsiTheme="minorHAnsi" w:cstheme="minorHAnsi"/>
          <w:noProof/>
          <w:sz w:val="22"/>
          <w:szCs w:val="22"/>
        </w:rPr>
        <w:t xml:space="preserve"> </w:t>
      </w:r>
      <w:r w:rsidR="00C44DAA" w:rsidRPr="00890249">
        <w:rPr>
          <w:rFonts w:asciiTheme="minorHAnsi" w:hAnsiTheme="minorHAnsi" w:cstheme="minorHAnsi"/>
          <w:noProof/>
          <w:sz w:val="22"/>
          <w:szCs w:val="22"/>
        </w:rPr>
        <w:t xml:space="preserve">terytorialne </w:t>
      </w:r>
      <w:r w:rsidRPr="00890249">
        <w:rPr>
          <w:rFonts w:asciiTheme="minorHAnsi" w:hAnsiTheme="minorHAnsi" w:cstheme="minorHAnsi"/>
          <w:noProof/>
          <w:sz w:val="22"/>
          <w:szCs w:val="22"/>
        </w:rPr>
        <w:t xml:space="preserve">IIT, </w:t>
      </w:r>
      <w:r w:rsidR="00702CF4" w:rsidRPr="00890249">
        <w:rPr>
          <w:rFonts w:asciiTheme="minorHAnsi" w:hAnsiTheme="minorHAnsi" w:cstheme="minorHAnsi"/>
          <w:noProof/>
          <w:sz w:val="22"/>
          <w:szCs w:val="22"/>
        </w:rPr>
        <w:t>w który</w:t>
      </w:r>
      <w:r w:rsidR="00C44DAA" w:rsidRPr="00890249">
        <w:rPr>
          <w:rFonts w:asciiTheme="minorHAnsi" w:hAnsiTheme="minorHAnsi" w:cstheme="minorHAnsi"/>
          <w:noProof/>
          <w:sz w:val="22"/>
          <w:szCs w:val="22"/>
        </w:rPr>
        <w:t>ch</w:t>
      </w:r>
      <w:r w:rsidR="00702CF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w ra</w:t>
      </w:r>
      <w:r w:rsidR="00702CF4" w:rsidRPr="00890249">
        <w:rPr>
          <w:rFonts w:asciiTheme="minorHAnsi" w:hAnsiTheme="minorHAnsi" w:cstheme="minorHAnsi"/>
          <w:noProof/>
          <w:sz w:val="22"/>
          <w:szCs w:val="22"/>
        </w:rPr>
        <w:t>mach ws</w:t>
      </w:r>
      <w:r w:rsidR="00C44DAA" w:rsidRPr="00890249">
        <w:rPr>
          <w:rFonts w:asciiTheme="minorHAnsi" w:hAnsiTheme="minorHAnsi" w:cstheme="minorHAnsi"/>
          <w:noProof/>
          <w:sz w:val="22"/>
          <w:szCs w:val="22"/>
        </w:rPr>
        <w:t>p</w:t>
      </w:r>
      <w:r w:rsidR="00702CF4" w:rsidRPr="00890249">
        <w:rPr>
          <w:rFonts w:asciiTheme="minorHAnsi" w:hAnsiTheme="minorHAnsi" w:cstheme="minorHAnsi"/>
          <w:noProof/>
          <w:sz w:val="22"/>
          <w:szCs w:val="22"/>
        </w:rPr>
        <w:t>ólnych strategii będzie wspierany</w:t>
      </w:r>
      <w:r w:rsidRPr="00890249">
        <w:rPr>
          <w:rFonts w:asciiTheme="minorHAnsi" w:hAnsiTheme="minorHAnsi" w:cstheme="minorHAnsi"/>
          <w:noProof/>
          <w:sz w:val="22"/>
          <w:szCs w:val="22"/>
        </w:rPr>
        <w:t xml:space="preserve"> </w:t>
      </w:r>
      <w:r w:rsidR="000C7417">
        <w:rPr>
          <w:rFonts w:asciiTheme="minorHAnsi" w:hAnsiTheme="minorHAnsi" w:cstheme="minorHAnsi"/>
          <w:noProof/>
          <w:sz w:val="22"/>
          <w:szCs w:val="22"/>
        </w:rPr>
        <w:t>rozwój relacji funkcjonalnych w </w:t>
      </w:r>
      <w:r w:rsidRPr="00890249">
        <w:rPr>
          <w:rFonts w:asciiTheme="minorHAnsi" w:hAnsiTheme="minorHAnsi" w:cstheme="minorHAnsi"/>
          <w:noProof/>
          <w:sz w:val="22"/>
          <w:szCs w:val="22"/>
        </w:rPr>
        <w:t>zakre</w:t>
      </w:r>
      <w:r w:rsidR="00C44DAA" w:rsidRPr="00890249">
        <w:rPr>
          <w:rFonts w:asciiTheme="minorHAnsi" w:hAnsiTheme="minorHAnsi" w:cstheme="minorHAnsi"/>
          <w:noProof/>
          <w:sz w:val="22"/>
          <w:szCs w:val="22"/>
        </w:rPr>
        <w:t>si</w:t>
      </w:r>
      <w:r w:rsidRPr="00890249">
        <w:rPr>
          <w:rFonts w:asciiTheme="minorHAnsi" w:hAnsiTheme="minorHAnsi" w:cstheme="minorHAnsi"/>
          <w:noProof/>
          <w:sz w:val="22"/>
          <w:szCs w:val="22"/>
        </w:rPr>
        <w:t xml:space="preserve">e </w:t>
      </w:r>
      <w:r w:rsidR="000F3E0F" w:rsidRPr="00890249">
        <w:rPr>
          <w:rFonts w:asciiTheme="minorHAnsi" w:hAnsiTheme="minorHAnsi" w:cstheme="minorHAnsi"/>
          <w:noProof/>
          <w:sz w:val="22"/>
          <w:szCs w:val="22"/>
        </w:rPr>
        <w:t xml:space="preserve">m.in. </w:t>
      </w:r>
      <w:r w:rsidRPr="00890249">
        <w:rPr>
          <w:rFonts w:asciiTheme="minorHAnsi" w:hAnsiTheme="minorHAnsi" w:cstheme="minorHAnsi"/>
          <w:noProof/>
          <w:sz w:val="22"/>
          <w:szCs w:val="22"/>
        </w:rPr>
        <w:t xml:space="preserve">potencjału turystycznego i kulturalnego. </w:t>
      </w:r>
    </w:p>
    <w:p w14:paraId="51B0691A" w14:textId="3D8D3BF9" w:rsidR="0093433C" w:rsidRPr="00890249" w:rsidRDefault="00D6053C"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Zastosowan</w:t>
      </w:r>
      <w:r w:rsidR="004820C7" w:rsidRPr="00890249">
        <w:rPr>
          <w:rFonts w:asciiTheme="minorHAnsi" w:hAnsiTheme="minorHAnsi" w:cstheme="minorHAnsi"/>
          <w:noProof/>
          <w:sz w:val="22"/>
          <w:szCs w:val="22"/>
        </w:rPr>
        <w:t>e będzie podejście sprawdzone w </w:t>
      </w:r>
      <w:r w:rsidRPr="00890249">
        <w:rPr>
          <w:rFonts w:asciiTheme="minorHAnsi" w:hAnsiTheme="minorHAnsi" w:cstheme="minorHAnsi"/>
          <w:noProof/>
          <w:sz w:val="22"/>
          <w:szCs w:val="22"/>
        </w:rPr>
        <w:t>perspektywie 2014-2020, które zakłada wsparcie</w:t>
      </w:r>
      <w:r w:rsidRPr="00890249">
        <w:rPr>
          <w:rFonts w:asciiTheme="minorHAnsi" w:hAnsiTheme="minorHAnsi" w:cstheme="minorHAnsi"/>
          <w:b/>
          <w:noProof/>
          <w:sz w:val="22"/>
          <w:szCs w:val="22"/>
        </w:rPr>
        <w:t> </w:t>
      </w:r>
      <w:r w:rsidRPr="00890249">
        <w:rPr>
          <w:rFonts w:asciiTheme="minorHAnsi" w:hAnsiTheme="minorHAnsi" w:cstheme="minorHAnsi"/>
          <w:noProof/>
          <w:sz w:val="22"/>
          <w:szCs w:val="22"/>
        </w:rPr>
        <w:t xml:space="preserve">Subregionów województwa, realizujących partnerskie projekty rozwiązujące kompleksowo problemy tych obszarów. W perspektywie 2021-2027 </w:t>
      </w:r>
      <w:r w:rsidR="00702CF4" w:rsidRPr="00890249">
        <w:rPr>
          <w:rFonts w:asciiTheme="minorHAnsi" w:hAnsiTheme="minorHAnsi" w:cstheme="minorHAnsi"/>
          <w:noProof/>
          <w:sz w:val="22"/>
          <w:szCs w:val="22"/>
        </w:rPr>
        <w:t xml:space="preserve">cztery </w:t>
      </w:r>
      <w:r w:rsidRPr="00890249">
        <w:rPr>
          <w:rFonts w:asciiTheme="minorHAnsi" w:hAnsiTheme="minorHAnsi" w:cstheme="minorHAnsi"/>
          <w:noProof/>
          <w:sz w:val="22"/>
          <w:szCs w:val="22"/>
        </w:rPr>
        <w:t>Subregiony będą wspierane w ramach instrument</w:t>
      </w:r>
      <w:r w:rsidR="00C44DAA" w:rsidRPr="00890249">
        <w:rPr>
          <w:rFonts w:asciiTheme="minorHAnsi" w:hAnsiTheme="minorHAnsi" w:cstheme="minorHAnsi"/>
          <w:noProof/>
          <w:sz w:val="22"/>
          <w:szCs w:val="22"/>
        </w:rPr>
        <w:t>ów</w:t>
      </w:r>
      <w:r w:rsidRPr="00890249">
        <w:rPr>
          <w:rFonts w:asciiTheme="minorHAnsi" w:hAnsiTheme="minorHAnsi" w:cstheme="minorHAnsi"/>
          <w:noProof/>
          <w:sz w:val="22"/>
          <w:szCs w:val="22"/>
        </w:rPr>
        <w:t xml:space="preserve"> IIT, stanowiąc jednocześnie OSI regionalne</w:t>
      </w:r>
      <w:r w:rsidR="00C44DAA" w:rsidRPr="00890249">
        <w:rPr>
          <w:rFonts w:asciiTheme="minorHAnsi" w:hAnsiTheme="minorHAnsi" w:cstheme="minorHAnsi"/>
          <w:noProof/>
          <w:sz w:val="22"/>
          <w:szCs w:val="22"/>
        </w:rPr>
        <w:t>, tj.:</w:t>
      </w:r>
    </w:p>
    <w:p w14:paraId="5D9E33D2" w14:textId="77777777" w:rsidR="00B72154" w:rsidRPr="00890249" w:rsidRDefault="00C44DAA" w:rsidP="009F296A">
      <w:pPr>
        <w:pStyle w:val="Akapitzlist"/>
        <w:numPr>
          <w:ilvl w:val="0"/>
          <w:numId w:val="126"/>
        </w:numPr>
        <w:ind w:left="572"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Subregion Brzeski,</w:t>
      </w:r>
    </w:p>
    <w:p w14:paraId="1936E199" w14:textId="77777777" w:rsidR="00B72154" w:rsidRPr="00890249" w:rsidRDefault="00C44DAA" w:rsidP="009F296A">
      <w:pPr>
        <w:pStyle w:val="Akapitzlist"/>
        <w:numPr>
          <w:ilvl w:val="0"/>
          <w:numId w:val="126"/>
        </w:numPr>
        <w:ind w:left="572"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Subregion Kędzierzyńsko-Strzelecki,</w:t>
      </w:r>
    </w:p>
    <w:p w14:paraId="69796A0B" w14:textId="77777777" w:rsidR="00B72154" w:rsidRPr="00890249" w:rsidRDefault="00C44DAA" w:rsidP="009F296A">
      <w:pPr>
        <w:pStyle w:val="Akapitzlist"/>
        <w:numPr>
          <w:ilvl w:val="0"/>
          <w:numId w:val="126"/>
        </w:numPr>
        <w:ind w:left="572"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Subregion Południowy,</w:t>
      </w:r>
    </w:p>
    <w:p w14:paraId="71E6226D" w14:textId="6E4293E6" w:rsidR="00B72154" w:rsidRPr="00890249" w:rsidRDefault="5CE99742" w:rsidP="009F296A">
      <w:pPr>
        <w:pStyle w:val="Akapitzlist"/>
        <w:numPr>
          <w:ilvl w:val="0"/>
          <w:numId w:val="126"/>
        </w:numPr>
        <w:ind w:left="572" w:hanging="357"/>
        <w:contextualSpacing w:val="0"/>
        <w:rPr>
          <w:rFonts w:asciiTheme="minorHAnsi" w:hAnsiTheme="minorHAnsi" w:cstheme="minorHAnsi"/>
          <w:noProof/>
          <w:sz w:val="22"/>
          <w:szCs w:val="22"/>
        </w:rPr>
      </w:pPr>
      <w:r w:rsidRPr="00890249">
        <w:rPr>
          <w:rFonts w:asciiTheme="minorHAnsi" w:hAnsiTheme="minorHAnsi" w:cstheme="minorHAnsi"/>
          <w:noProof/>
          <w:sz w:val="22"/>
          <w:szCs w:val="22"/>
        </w:rPr>
        <w:t>Subregion Północny.</w:t>
      </w:r>
    </w:p>
    <w:p w14:paraId="77BCF8D0" w14:textId="0B30D399" w:rsidR="0093433C" w:rsidRPr="00890249" w:rsidRDefault="00875C92"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IIT będzie dedykowane także obszarom, dla których planowane są działania rewitalizacyjne – funkcję strategii terytorialnej </w:t>
      </w:r>
      <w:r w:rsidR="3CE8FF0E" w:rsidRPr="00890249">
        <w:rPr>
          <w:rFonts w:asciiTheme="minorHAnsi" w:hAnsiTheme="minorHAnsi" w:cstheme="minorHAnsi"/>
          <w:noProof/>
          <w:sz w:val="22"/>
          <w:szCs w:val="22"/>
        </w:rPr>
        <w:t xml:space="preserve">IIT </w:t>
      </w:r>
      <w:r w:rsidR="00C243C4" w:rsidRPr="00890249">
        <w:rPr>
          <w:rFonts w:asciiTheme="minorHAnsi" w:hAnsiTheme="minorHAnsi" w:cstheme="minorHAnsi"/>
          <w:noProof/>
          <w:sz w:val="22"/>
          <w:szCs w:val="22"/>
        </w:rPr>
        <w:t>będą pełnić</w:t>
      </w:r>
      <w:r w:rsidRPr="00890249">
        <w:rPr>
          <w:rFonts w:asciiTheme="minorHAnsi" w:hAnsiTheme="minorHAnsi" w:cstheme="minorHAnsi"/>
          <w:noProof/>
          <w:sz w:val="22"/>
          <w:szCs w:val="22"/>
        </w:rPr>
        <w:t xml:space="preserve"> GPR</w:t>
      </w:r>
      <w:r w:rsidR="00C243C4" w:rsidRPr="00890249">
        <w:rPr>
          <w:rFonts w:asciiTheme="minorHAnsi" w:hAnsiTheme="minorHAnsi" w:cstheme="minorHAnsi"/>
          <w:noProof/>
          <w:sz w:val="22"/>
          <w:szCs w:val="22"/>
        </w:rPr>
        <w:t>-y</w:t>
      </w:r>
      <w:r w:rsidR="3CE8FF0E"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w zakresie inwestycji dotyczących rewitalizacji obszarów </w:t>
      </w:r>
      <w:r w:rsidR="41E3680A" w:rsidRPr="00890249">
        <w:rPr>
          <w:rFonts w:asciiTheme="minorHAnsi" w:hAnsiTheme="minorHAnsi" w:cstheme="minorHAnsi"/>
          <w:noProof/>
          <w:sz w:val="22"/>
          <w:szCs w:val="22"/>
        </w:rPr>
        <w:t>wiejskich</w:t>
      </w:r>
      <w:r w:rsidRPr="00890249">
        <w:rPr>
          <w:rFonts w:asciiTheme="minorHAnsi" w:hAnsiTheme="minorHAnsi" w:cstheme="minorHAnsi"/>
          <w:noProof/>
          <w:sz w:val="22"/>
          <w:szCs w:val="22"/>
        </w:rPr>
        <w:t xml:space="preserve"> (wszystkie gminy wiejskie regionu posiadające GPR).</w:t>
      </w:r>
    </w:p>
    <w:p w14:paraId="3A5C35E9" w14:textId="5F314B1B" w:rsidR="0093433C" w:rsidRPr="00890249" w:rsidRDefault="00D6053C" w:rsidP="00890249">
      <w:pPr>
        <w:pStyle w:val="Tekstpodstawowy"/>
        <w:rPr>
          <w:rFonts w:asciiTheme="minorHAnsi" w:hAnsiTheme="minorHAnsi" w:cstheme="minorHAnsi"/>
          <w:noProof/>
        </w:rPr>
      </w:pPr>
      <w:r w:rsidRPr="00890249">
        <w:rPr>
          <w:rFonts w:asciiTheme="minorHAnsi" w:hAnsiTheme="minorHAnsi" w:cstheme="minorHAnsi"/>
          <w:noProof/>
          <w:sz w:val="22"/>
          <w:szCs w:val="22"/>
        </w:rPr>
        <w:t>Ww. podejście</w:t>
      </w:r>
      <w:r w:rsidR="00702CF4"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rPr>
        <w:t xml:space="preserve">prowadzi do osiągnięcia jednego z najważniejszych celów </w:t>
      </w:r>
      <w:r w:rsidRPr="00890249">
        <w:rPr>
          <w:rFonts w:asciiTheme="minorHAnsi" w:hAnsiTheme="minorHAnsi" w:cstheme="minorHAnsi"/>
          <w:i/>
          <w:noProof/>
          <w:sz w:val="22"/>
          <w:szCs w:val="22"/>
        </w:rPr>
        <w:t>SOR</w:t>
      </w:r>
      <w:r w:rsidRPr="00890249">
        <w:rPr>
          <w:rFonts w:asciiTheme="minorHAnsi" w:hAnsiTheme="minorHAnsi" w:cstheme="minorHAnsi"/>
          <w:noProof/>
          <w:sz w:val="22"/>
          <w:szCs w:val="22"/>
        </w:rPr>
        <w:t xml:space="preserve">, tj. zwiększenia spójności terytorialnej kraju i regionów, poprzez niwelowanie różnic w poziomie rozwoju wewnątrz województwa, zapobiegając też zjawisku peryferyjności i procesowi marginalizacji obszarów najbardziej oddalonych od centrum regionu. Ponadto </w:t>
      </w:r>
      <w:r w:rsidRPr="00890249">
        <w:rPr>
          <w:rFonts w:asciiTheme="minorHAnsi" w:hAnsiTheme="minorHAnsi" w:cstheme="minorHAnsi"/>
          <w:bCs/>
          <w:noProof/>
          <w:sz w:val="22"/>
          <w:szCs w:val="22"/>
        </w:rPr>
        <w:t>JST, które zostały zidentyfikowane jako OSI krajowe, są także części</w:t>
      </w:r>
      <w:r w:rsidR="00702CF4" w:rsidRPr="00890249">
        <w:rPr>
          <w:rFonts w:asciiTheme="minorHAnsi" w:hAnsiTheme="minorHAnsi" w:cstheme="minorHAnsi"/>
          <w:bCs/>
          <w:noProof/>
          <w:sz w:val="22"/>
          <w:szCs w:val="22"/>
        </w:rPr>
        <w:t xml:space="preserve">ami obszarów objętych strategiami </w:t>
      </w:r>
      <w:r w:rsidRPr="00890249">
        <w:rPr>
          <w:rFonts w:asciiTheme="minorHAnsi" w:hAnsiTheme="minorHAnsi" w:cstheme="minorHAnsi"/>
          <w:bCs/>
          <w:noProof/>
          <w:sz w:val="22"/>
          <w:szCs w:val="22"/>
        </w:rPr>
        <w:t>IIT</w:t>
      </w:r>
      <w:r w:rsidR="00B23DEE" w:rsidRPr="00890249">
        <w:rPr>
          <w:rFonts w:asciiTheme="minorHAnsi" w:hAnsiTheme="minorHAnsi" w:cstheme="minorHAnsi"/>
          <w:bCs/>
          <w:noProof/>
          <w:sz w:val="22"/>
          <w:szCs w:val="22"/>
        </w:rPr>
        <w:t>, co potwierdza prospójnościową wizję rozwoju regionu</w:t>
      </w:r>
      <w:r w:rsidRPr="00890249">
        <w:rPr>
          <w:rFonts w:asciiTheme="minorHAnsi" w:hAnsiTheme="minorHAnsi" w:cstheme="minorHAnsi"/>
          <w:noProof/>
          <w:sz w:val="22"/>
          <w:szCs w:val="22"/>
        </w:rPr>
        <w:t>.</w:t>
      </w:r>
    </w:p>
    <w:p w14:paraId="7E8CEF9A" w14:textId="011B3F41" w:rsidR="0093433C" w:rsidRPr="00890249" w:rsidRDefault="00875C92" w:rsidP="00890249">
      <w:pPr>
        <w:pStyle w:val="Tekstpodstawowy"/>
        <w:rPr>
          <w:rFonts w:asciiTheme="minorHAnsi" w:hAnsiTheme="minorHAnsi" w:cstheme="minorHAnsi"/>
          <w:sz w:val="22"/>
          <w:lang w:eastAsia="en-US"/>
        </w:rPr>
      </w:pPr>
      <w:r w:rsidRPr="00890249">
        <w:rPr>
          <w:rFonts w:asciiTheme="minorHAnsi" w:hAnsiTheme="minorHAnsi" w:cstheme="minorHAnsi"/>
          <w:sz w:val="22"/>
          <w:lang w:eastAsia="en-US" w:bidi="ar-SA"/>
        </w:rPr>
        <w:t xml:space="preserve">Interwencja skierowana do czterech Subregionów została zaprogramowana na podstawie informacji </w:t>
      </w:r>
      <w:r w:rsidRPr="00890249">
        <w:rPr>
          <w:rFonts w:asciiTheme="minorHAnsi" w:hAnsiTheme="minorHAnsi" w:cstheme="minorHAnsi"/>
          <w:sz w:val="22"/>
          <w:lang w:eastAsia="en-US"/>
        </w:rPr>
        <w:t xml:space="preserve">uzyskanych z JST, planujących wdrażanie zintegrowanych projektów, ukazujących potrzeby, obszary oraz projekty, które będą wynikać ze </w:t>
      </w:r>
      <w:r w:rsidR="00C243C4" w:rsidRPr="00890249">
        <w:rPr>
          <w:rFonts w:asciiTheme="minorHAnsi" w:hAnsiTheme="minorHAnsi" w:cstheme="minorHAnsi"/>
          <w:sz w:val="22"/>
          <w:lang w:eastAsia="en-US"/>
        </w:rPr>
        <w:t>S</w:t>
      </w:r>
      <w:r w:rsidRPr="00890249">
        <w:rPr>
          <w:rFonts w:asciiTheme="minorHAnsi" w:hAnsiTheme="minorHAnsi" w:cstheme="minorHAnsi"/>
          <w:sz w:val="22"/>
          <w:lang w:eastAsia="en-US"/>
        </w:rPr>
        <w:t xml:space="preserve">trategii terytorialnych IIT. </w:t>
      </w:r>
    </w:p>
    <w:p w14:paraId="0ACD9F50" w14:textId="0D564389" w:rsidR="0093433C" w:rsidRPr="00890249" w:rsidRDefault="721AB7D2"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Strategie IIT muszą zawierać listę projektów wraz z informacją na temat sposobu ich </w:t>
      </w:r>
      <w:r w:rsidR="002F0700" w:rsidRPr="00890249">
        <w:rPr>
          <w:rFonts w:asciiTheme="minorHAnsi" w:hAnsiTheme="minorHAnsi" w:cstheme="minorHAnsi"/>
          <w:noProof/>
          <w:sz w:val="22"/>
        </w:rPr>
        <w:t>wskazania</w:t>
      </w:r>
      <w:r w:rsidR="00776640" w:rsidRPr="00890249">
        <w:rPr>
          <w:rFonts w:asciiTheme="minorHAnsi" w:hAnsiTheme="minorHAnsi" w:cstheme="minorHAnsi"/>
          <w:noProof/>
          <w:sz w:val="22"/>
        </w:rPr>
        <w:t xml:space="preserve"> </w:t>
      </w:r>
      <w:r w:rsidRPr="00890249">
        <w:rPr>
          <w:rFonts w:asciiTheme="minorHAnsi" w:hAnsiTheme="minorHAnsi" w:cstheme="minorHAnsi"/>
          <w:noProof/>
          <w:sz w:val="22"/>
        </w:rPr>
        <w:t>oraz powiązania z innymi projektami (projekty uzgodnione między partnerami), co umożliwi udział władz lokalnych w procesie ich wyboru, a tym samym spełni warunki art. 29 rozporządzenia ogólnego.</w:t>
      </w:r>
      <w:r w:rsidR="000B57DB" w:rsidRPr="00890249">
        <w:rPr>
          <w:rFonts w:asciiTheme="minorHAnsi" w:hAnsiTheme="minorHAnsi" w:cstheme="minorHAnsi"/>
          <w:noProof/>
          <w:sz w:val="22"/>
        </w:rPr>
        <w:t xml:space="preserve"> Strategie IIT beda opiniowane przez IZ.</w:t>
      </w:r>
    </w:p>
    <w:p w14:paraId="2C73D26B" w14:textId="77777777" w:rsidR="0093433C" w:rsidRPr="00890249" w:rsidRDefault="00C134E2" w:rsidP="00890249">
      <w:pPr>
        <w:pStyle w:val="Tekstpodstawowy"/>
        <w:rPr>
          <w:rFonts w:asciiTheme="minorHAnsi" w:hAnsiTheme="minorHAnsi" w:cstheme="minorHAnsi"/>
          <w:noProof/>
          <w:sz w:val="22"/>
        </w:rPr>
      </w:pPr>
      <w:r w:rsidRPr="00890249">
        <w:rPr>
          <w:rFonts w:asciiTheme="minorHAnsi" w:hAnsiTheme="minorHAnsi" w:cstheme="minorHAnsi"/>
          <w:noProof/>
          <w:sz w:val="22"/>
        </w:rPr>
        <w:t>Na jednym obszarze może funkcjonować więcej niż jeden instrument terytorialny (wykluczając pokrywanie się instrumentów tego samego typu).</w:t>
      </w:r>
    </w:p>
    <w:p w14:paraId="1BE5A927" w14:textId="77777777" w:rsidR="00946850" w:rsidRPr="00890249" w:rsidRDefault="00946850" w:rsidP="00946850">
      <w:pPr>
        <w:ind w:left="-142" w:firstLine="142"/>
        <w:rPr>
          <w:rFonts w:asciiTheme="minorHAnsi" w:hAnsiTheme="minorHAnsi" w:cstheme="minorHAnsi"/>
          <w:b/>
          <w:noProof/>
          <w:color w:val="2F5496" w:themeColor="accent5" w:themeShade="BF"/>
          <w:sz w:val="22"/>
          <w:szCs w:val="24"/>
        </w:rPr>
      </w:pPr>
      <w:r w:rsidRPr="00890249">
        <w:rPr>
          <w:rFonts w:asciiTheme="minorHAnsi" w:hAnsiTheme="minorHAnsi" w:cstheme="minorHAnsi"/>
          <w:b/>
          <w:noProof/>
          <w:color w:val="2F5496" w:themeColor="accent5" w:themeShade="BF"/>
          <w:sz w:val="22"/>
          <w:szCs w:val="24"/>
        </w:rPr>
        <w:t xml:space="preserve">Działania międzyregionalne, transgraniczne i transnarodowe </w:t>
      </w:r>
    </w:p>
    <w:p w14:paraId="54116146" w14:textId="4169849C" w:rsidR="0093433C" w:rsidRPr="00890249" w:rsidRDefault="0080799C" w:rsidP="00890249">
      <w:pPr>
        <w:pStyle w:val="Tekstpodstawowy"/>
        <w:rPr>
          <w:rFonts w:asciiTheme="minorHAnsi" w:hAnsiTheme="minorHAnsi" w:cstheme="minorHAnsi"/>
          <w:noProof/>
          <w:sz w:val="22"/>
        </w:rPr>
      </w:pPr>
      <w:r w:rsidRPr="00890249">
        <w:rPr>
          <w:rFonts w:asciiTheme="minorHAnsi" w:hAnsiTheme="minorHAnsi" w:cstheme="minorHAnsi"/>
          <w:noProof/>
          <w:sz w:val="22"/>
        </w:rPr>
        <w:t>Współpraca transgraniczna między regionem a Czechami stale się rozwija, zwłaszcza na polu kulturalnym i społecznym, zapewniając mechanizmy komplementarności z FEO 2021-2027 po obu stronach granicy. Wzmocnienie trwałych relacji transgranicznych na poziomie lokalnym i regionalnym, opartych na zaufaniu pomiędzy mieszkańcami i instytucjami obszaru pogranicza, rozwijanie poczucia świadomości i tożsamości regionalnej, oraz wzmacnianie wzajemnego zrozumienia, jest jednym z celów programu Interreg, zapewnia właściwą kontrybucję w tym zakresie do celu piątego polityki spójności realizowanego w FEO 2021-2027.</w:t>
      </w:r>
    </w:p>
    <w:p w14:paraId="1FCC2095" w14:textId="77777777" w:rsidR="0093433C" w:rsidRPr="00890249" w:rsidRDefault="0080799C" w:rsidP="00890249">
      <w:pPr>
        <w:pStyle w:val="Tekstpodstawowy"/>
        <w:rPr>
          <w:rFonts w:asciiTheme="minorHAnsi" w:hAnsiTheme="minorHAnsi" w:cstheme="minorHAnsi"/>
          <w:noProof/>
          <w:sz w:val="22"/>
        </w:rPr>
      </w:pPr>
      <w:r w:rsidRPr="00890249">
        <w:rPr>
          <w:rFonts w:asciiTheme="minorHAnsi" w:hAnsiTheme="minorHAnsi" w:cstheme="minorHAnsi"/>
          <w:noProof/>
          <w:sz w:val="22"/>
        </w:rPr>
        <w:t>Inwestycje w</w:t>
      </w:r>
      <w:r w:rsidR="00B23DEE" w:rsidRPr="00890249">
        <w:rPr>
          <w:rFonts w:asciiTheme="minorHAnsi" w:hAnsiTheme="minorHAnsi" w:cstheme="minorHAnsi"/>
          <w:noProof/>
          <w:sz w:val="22"/>
        </w:rPr>
        <w:t xml:space="preserve"> obiekty i obszary</w:t>
      </w:r>
      <w:r w:rsidRPr="00890249">
        <w:rPr>
          <w:rFonts w:asciiTheme="minorHAnsi" w:hAnsiTheme="minorHAnsi" w:cstheme="minorHAnsi"/>
          <w:noProof/>
          <w:sz w:val="22"/>
        </w:rPr>
        <w:t xml:space="preserve"> najważniejsze z punktu widzenia wartości historycznej województwa, będą wzmacniać związek regionu z europejskim i światowym dziedzictwem kulturowym. Zachowanie i rozwój obiektów dziedzictwa kulturowego wpłynie na wzmocnienie tożsamości, atrakcyjności turystycznej i inwestycyjnej regionu. </w:t>
      </w:r>
    </w:p>
    <w:p w14:paraId="39EB7C02" w14:textId="77777777" w:rsidR="0093433C" w:rsidRPr="00890249" w:rsidRDefault="0080799C" w:rsidP="00890249">
      <w:pPr>
        <w:pStyle w:val="Tekstpodstawowy"/>
        <w:rPr>
          <w:rFonts w:asciiTheme="minorHAnsi" w:hAnsiTheme="minorHAnsi" w:cstheme="minorHAnsi"/>
          <w:noProof/>
          <w:sz w:val="22"/>
        </w:rPr>
      </w:pPr>
      <w:r w:rsidRPr="00890249">
        <w:rPr>
          <w:rFonts w:asciiTheme="minorHAnsi" w:hAnsiTheme="minorHAnsi" w:cstheme="minorHAnsi"/>
          <w:noProof/>
          <w:sz w:val="22"/>
        </w:rPr>
        <w:t xml:space="preserve">Rozwój instytucji kultury oraz zachowanie obiektów dziedzictwa kulturowego będzie tworzyć przestrzeń dla współpracy z partnerami z różnych krajów oraz wzmacniać prorozwojowe </w:t>
      </w:r>
      <w:r w:rsidRPr="00890249">
        <w:rPr>
          <w:rFonts w:asciiTheme="minorHAnsi" w:hAnsiTheme="minorHAnsi" w:cstheme="minorHAnsi"/>
          <w:noProof/>
          <w:sz w:val="22"/>
        </w:rPr>
        <w:lastRenderedPageBreak/>
        <w:t xml:space="preserve">oddziaływanie projektów kulturowych także poprzez tworzenie sieci współpracy i budowania partnerstw w otoczeniu międzynarodowym. </w:t>
      </w:r>
    </w:p>
    <w:p w14:paraId="3B0935D5" w14:textId="77777777" w:rsidR="0093433C" w:rsidRPr="00890249" w:rsidRDefault="00B23DEE" w:rsidP="00890249">
      <w:pPr>
        <w:pStyle w:val="Tekstpodstawowy"/>
        <w:rPr>
          <w:rFonts w:asciiTheme="minorHAnsi" w:hAnsiTheme="minorHAnsi" w:cstheme="minorHAnsi"/>
          <w:noProof/>
          <w:sz w:val="22"/>
        </w:rPr>
      </w:pPr>
      <w:r w:rsidRPr="00890249">
        <w:rPr>
          <w:rFonts w:asciiTheme="minorHAnsi" w:hAnsiTheme="minorHAnsi" w:cstheme="minorHAnsi"/>
          <w:noProof/>
          <w:sz w:val="22"/>
        </w:rPr>
        <w:t>Preferowane w cs (ii) będą projekty komplementarne i uzupełniające do projektów wdrażanych w programie Interreg.</w:t>
      </w:r>
    </w:p>
    <w:p w14:paraId="23CA4B8E" w14:textId="77777777" w:rsidR="0093433C" w:rsidRPr="00890249" w:rsidRDefault="0080799C" w:rsidP="00890249">
      <w:pPr>
        <w:pStyle w:val="Tekstpodstawowy"/>
        <w:rPr>
          <w:rFonts w:asciiTheme="minorHAnsi" w:hAnsiTheme="minorHAnsi" w:cstheme="minorHAnsi"/>
          <w:noProof/>
          <w:sz w:val="22"/>
        </w:rPr>
      </w:pPr>
      <w:r w:rsidRPr="00890249">
        <w:rPr>
          <w:rFonts w:asciiTheme="minorHAnsi" w:hAnsiTheme="minorHAnsi" w:cstheme="minorHAnsi"/>
          <w:noProof/>
          <w:sz w:val="22"/>
        </w:rPr>
        <w:t>Jednocześnie planowana interwencja będzie przyczyniać się do zacieśniania współpracy międzynarodowej, co jest głównym celem makroregionalnej Strategii UE dla Regionu Morza Bałtyckiego. Strategia stwarza możliwość nawiązania s</w:t>
      </w:r>
      <w:r w:rsidR="00983422" w:rsidRPr="00890249">
        <w:rPr>
          <w:rFonts w:asciiTheme="minorHAnsi" w:hAnsiTheme="minorHAnsi" w:cstheme="minorHAnsi"/>
          <w:noProof/>
          <w:sz w:val="22"/>
        </w:rPr>
        <w:t xml:space="preserve">zerokich kontaktów </w:t>
      </w:r>
      <w:r w:rsidRPr="00890249">
        <w:rPr>
          <w:rFonts w:asciiTheme="minorHAnsi" w:hAnsiTheme="minorHAnsi" w:cstheme="minorHAnsi"/>
          <w:noProof/>
          <w:sz w:val="22"/>
        </w:rPr>
        <w:t>z partnerami makroregionu, inicjowania nowych projektów oraz promowania na forum międzynarodowym projektów już istniejących. Poprawa warunków eksponowania dzieł regionalnych twórców kultury i zabytków ruchomych, wpłynie na zwiększenie dostępności oferty kulturalnej oraz rozpoznawalności naszego regionu za granicą, a także możliwość rozwoju współpracy międzysektorowej dzięki udostępnianiu zasobów w celach naukowych.</w:t>
      </w:r>
    </w:p>
    <w:p w14:paraId="3B2992C5" w14:textId="77777777" w:rsidR="00946850" w:rsidRPr="00890249" w:rsidRDefault="00946850" w:rsidP="00946850">
      <w:pPr>
        <w:ind w:left="-142" w:firstLine="142"/>
        <w:rPr>
          <w:rFonts w:asciiTheme="minorHAnsi" w:hAnsiTheme="minorHAnsi" w:cstheme="minorHAnsi"/>
          <w:b/>
          <w:noProof/>
          <w:color w:val="2F5496" w:themeColor="accent5" w:themeShade="BF"/>
          <w:sz w:val="22"/>
          <w:szCs w:val="22"/>
        </w:rPr>
      </w:pPr>
      <w:r w:rsidRPr="00890249">
        <w:rPr>
          <w:rFonts w:asciiTheme="minorHAnsi" w:hAnsiTheme="minorHAnsi" w:cstheme="minorHAnsi"/>
          <w:b/>
          <w:noProof/>
          <w:color w:val="2F5496" w:themeColor="accent5" w:themeShade="BF"/>
          <w:sz w:val="22"/>
          <w:szCs w:val="22"/>
        </w:rPr>
        <w:t xml:space="preserve">Planowane wykorzystanie instrumentów finansowych </w:t>
      </w:r>
    </w:p>
    <w:p w14:paraId="08244F62" w14:textId="77777777" w:rsidR="0093433C" w:rsidRPr="00890249" w:rsidRDefault="00BD498B" w:rsidP="00890249">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W ramach </w:t>
      </w:r>
      <w:r w:rsidR="00920191" w:rsidRPr="00890249">
        <w:rPr>
          <w:rFonts w:asciiTheme="minorHAnsi" w:hAnsiTheme="minorHAnsi" w:cstheme="minorHAnsi"/>
          <w:noProof/>
          <w:sz w:val="22"/>
          <w:szCs w:val="22"/>
        </w:rPr>
        <w:t>cs</w:t>
      </w:r>
      <w:r w:rsidRPr="00890249">
        <w:rPr>
          <w:rFonts w:asciiTheme="minorHAnsi" w:hAnsiTheme="minorHAnsi" w:cstheme="minorHAnsi"/>
          <w:noProof/>
          <w:sz w:val="22"/>
          <w:szCs w:val="22"/>
        </w:rPr>
        <w:t xml:space="preserve"> (ii) nie planuje się wykorzystania IF.</w:t>
      </w:r>
      <w:r w:rsidR="006A113C" w:rsidRPr="00890249">
        <w:rPr>
          <w:rFonts w:asciiTheme="minorHAnsi" w:hAnsiTheme="minorHAnsi" w:cstheme="minorHAnsi"/>
          <w:b/>
          <w:noProof/>
          <w:color w:val="2F5496" w:themeColor="accent5" w:themeShade="BF"/>
          <w:sz w:val="22"/>
          <w:szCs w:val="22"/>
        </w:rPr>
        <w:t xml:space="preserve"> </w:t>
      </w:r>
      <w:r w:rsidRPr="00890249">
        <w:rPr>
          <w:rFonts w:asciiTheme="minorHAnsi" w:hAnsiTheme="minorHAnsi" w:cstheme="minorHAnsi"/>
          <w:noProof/>
          <w:sz w:val="22"/>
          <w:szCs w:val="22"/>
        </w:rPr>
        <w:t>Większość instytucji kultury nie prowadzi działalności</w:t>
      </w:r>
      <w:r w:rsidR="00920191" w:rsidRPr="00890249">
        <w:rPr>
          <w:rFonts w:asciiTheme="minorHAnsi" w:hAnsiTheme="minorHAnsi" w:cstheme="minorHAnsi"/>
          <w:noProof/>
          <w:sz w:val="22"/>
          <w:szCs w:val="22"/>
        </w:rPr>
        <w:t xml:space="preserve"> gospodarczej, nie konkuruje mię</w:t>
      </w:r>
      <w:r w:rsidRPr="00890249">
        <w:rPr>
          <w:rFonts w:asciiTheme="minorHAnsi" w:hAnsiTheme="minorHAnsi" w:cstheme="minorHAnsi"/>
          <w:noProof/>
          <w:sz w:val="22"/>
          <w:szCs w:val="22"/>
        </w:rPr>
        <w:t>dzy sobą i realizuje cele publiczne. Projekty dotyczące inwestycji dotyczących konserwacji zabytków ruchomych, szlaków turystycznych, cechuje publiczny, nieograniczony dostęp do nich.</w:t>
      </w:r>
    </w:p>
    <w:p w14:paraId="27871A94" w14:textId="77777777" w:rsidR="0093433C" w:rsidRPr="00890249" w:rsidRDefault="00BD498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Bariery w zastosowaniu IF w za</w:t>
      </w:r>
      <w:r w:rsidR="006A113C" w:rsidRPr="00890249">
        <w:rPr>
          <w:rFonts w:asciiTheme="minorHAnsi" w:hAnsiTheme="minorHAnsi" w:cstheme="minorHAnsi"/>
          <w:sz w:val="22"/>
          <w:szCs w:val="22"/>
          <w:lang w:eastAsia="en-US" w:bidi="ar-SA"/>
        </w:rPr>
        <w:t>kresie  rewitalizacji to m.in.:</w:t>
      </w:r>
    </w:p>
    <w:p w14:paraId="71D3FCAD" w14:textId="08112F9A" w:rsidR="00BD498B" w:rsidRPr="00890249" w:rsidRDefault="00BD498B" w:rsidP="009F296A">
      <w:pPr>
        <w:pStyle w:val="Akapitzlist"/>
        <w:numPr>
          <w:ilvl w:val="0"/>
          <w:numId w:val="52"/>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duża część projektów rewitalizacyjnych nie generuje </w:t>
      </w:r>
      <w:r w:rsidR="002B26B6" w:rsidRPr="00890249">
        <w:rPr>
          <w:rFonts w:asciiTheme="minorHAnsi" w:hAnsiTheme="minorHAnsi" w:cstheme="minorHAnsi"/>
          <w:sz w:val="22"/>
          <w:szCs w:val="22"/>
          <w:lang w:eastAsia="en-US" w:bidi="ar-SA"/>
        </w:rPr>
        <w:t>do</w:t>
      </w:r>
      <w:r w:rsidRPr="00890249">
        <w:rPr>
          <w:rFonts w:asciiTheme="minorHAnsi" w:hAnsiTheme="minorHAnsi" w:cstheme="minorHAnsi"/>
          <w:sz w:val="22"/>
          <w:szCs w:val="22"/>
          <w:lang w:eastAsia="en-US" w:bidi="ar-SA"/>
        </w:rPr>
        <w:t xml:space="preserve">chodów, </w:t>
      </w:r>
    </w:p>
    <w:p w14:paraId="6C91724E" w14:textId="77777777" w:rsidR="00BD498B" w:rsidRPr="00890249" w:rsidRDefault="00BD498B" w:rsidP="009F296A">
      <w:pPr>
        <w:pStyle w:val="Akapitzlist"/>
        <w:numPr>
          <w:ilvl w:val="0"/>
          <w:numId w:val="52"/>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wymogi w zakresie elementów społecznych negatywnie wpływają na finansowe wskaźniki projektów rewitalizacyjnych – projekt może nie wygenerować odpowiednich dochodów pozwalających na spłatę IF,</w:t>
      </w:r>
    </w:p>
    <w:p w14:paraId="475FD6DE" w14:textId="165BD75A" w:rsidR="00053A8C" w:rsidRPr="00890249" w:rsidRDefault="00BD498B" w:rsidP="009F296A">
      <w:pPr>
        <w:pStyle w:val="Akapitzlist"/>
        <w:numPr>
          <w:ilvl w:val="0"/>
          <w:numId w:val="52"/>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obszary poddawane rewitalizacji są obszarami w sposób szczególny dotkniętymi negatywnymi zjawiskami, m.in. w aspektach przestrzenno-funkcjonalnych oraz technicznych,</w:t>
      </w:r>
    </w:p>
    <w:p w14:paraId="42C2D85E" w14:textId="77777777" w:rsidR="00BD498B" w:rsidRPr="00890249" w:rsidRDefault="00875C92" w:rsidP="009F296A">
      <w:pPr>
        <w:pStyle w:val="Akapitzlist"/>
        <w:numPr>
          <w:ilvl w:val="0"/>
          <w:numId w:val="52"/>
        </w:numPr>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projekty rewitalizacyjne realizowane są na obszarze kryzysowym danej gminy, która boryka się z różnego rodzaju problemami, w tym gospodarczymi, społecznymi, środowiskowymi czy technicznymi.</w:t>
      </w:r>
    </w:p>
    <w:p w14:paraId="19EDA964" w14:textId="7FE1FC47" w:rsidR="00946850" w:rsidRPr="00890249" w:rsidRDefault="00946850">
      <w:pPr>
        <w:spacing w:before="0" w:after="160" w:line="259" w:lineRule="auto"/>
        <w:jc w:val="left"/>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br w:type="page"/>
      </w:r>
    </w:p>
    <w:p w14:paraId="3E4B9363" w14:textId="77777777" w:rsidR="00946850" w:rsidRPr="00890249" w:rsidRDefault="00946850" w:rsidP="00946850">
      <w:pPr>
        <w:rPr>
          <w:rFonts w:asciiTheme="minorHAnsi" w:hAnsiTheme="minorHAnsi" w:cstheme="minorHAnsi"/>
          <w:b/>
          <w:noProof/>
          <w:sz w:val="22"/>
        </w:rPr>
      </w:pPr>
      <w:r w:rsidRPr="00890249">
        <w:rPr>
          <w:rFonts w:asciiTheme="minorHAnsi" w:hAnsiTheme="minorHAnsi" w:cstheme="minorHAnsi"/>
          <w:b/>
          <w:noProof/>
          <w:sz w:val="22"/>
        </w:rPr>
        <w:lastRenderedPageBreak/>
        <w:t>2.1.10.2.2 (ii)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739"/>
        <w:gridCol w:w="681"/>
        <w:gridCol w:w="993"/>
        <w:gridCol w:w="915"/>
        <w:gridCol w:w="2958"/>
        <w:gridCol w:w="567"/>
        <w:gridCol w:w="710"/>
        <w:gridCol w:w="986"/>
      </w:tblGrid>
      <w:tr w:rsidR="00BD498B" w:rsidRPr="00890249" w14:paraId="51AB80DF" w14:textId="77777777" w:rsidTr="009101C1">
        <w:trPr>
          <w:trHeight w:val="425"/>
        </w:trPr>
        <w:tc>
          <w:tcPr>
            <w:tcW w:w="5000" w:type="pct"/>
            <w:gridSpan w:val="9"/>
            <w:shd w:val="clear" w:color="auto" w:fill="D9D9D9" w:themeFill="background1" w:themeFillShade="D9"/>
          </w:tcPr>
          <w:p w14:paraId="21B25675" w14:textId="77777777" w:rsidR="00BD498B" w:rsidRPr="00890249" w:rsidRDefault="00BD498B" w:rsidP="00BD498B">
            <w:pPr>
              <w:rPr>
                <w:rFonts w:asciiTheme="minorHAnsi" w:hAnsiTheme="minorHAnsi" w:cstheme="minorHAnsi"/>
                <w:b/>
                <w:noProof/>
                <w:sz w:val="20"/>
              </w:rPr>
            </w:pPr>
            <w:r w:rsidRPr="00890249">
              <w:rPr>
                <w:rFonts w:asciiTheme="minorHAnsi" w:hAnsiTheme="minorHAnsi" w:cstheme="minorHAnsi"/>
                <w:b/>
                <w:noProof/>
                <w:sz w:val="20"/>
              </w:rPr>
              <w:t>Tabela 2: Wskaźniki produktu</w:t>
            </w:r>
          </w:p>
        </w:tc>
      </w:tr>
      <w:tr w:rsidR="00475CE6" w:rsidRPr="00890249" w14:paraId="1E7F3F17" w14:textId="77777777" w:rsidTr="0043241C">
        <w:trPr>
          <w:cantSplit/>
          <w:trHeight w:val="1647"/>
        </w:trPr>
        <w:tc>
          <w:tcPr>
            <w:tcW w:w="282" w:type="pct"/>
            <w:shd w:val="clear" w:color="auto" w:fill="F2F2F2" w:themeFill="background1" w:themeFillShade="F2"/>
            <w:textDirection w:val="btLr"/>
            <w:vAlign w:val="center"/>
          </w:tcPr>
          <w:p w14:paraId="3B7BD7F5"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408" w:type="pct"/>
            <w:shd w:val="clear" w:color="auto" w:fill="F2F2F2" w:themeFill="background1" w:themeFillShade="F2"/>
            <w:textDirection w:val="btLr"/>
            <w:vAlign w:val="center"/>
          </w:tcPr>
          <w:p w14:paraId="1918AFE4"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szczegółowy (cel „Zatrudnienie i wzrost”) lub obszar wsparcia (EFMR)</w:t>
            </w:r>
          </w:p>
        </w:tc>
        <w:tc>
          <w:tcPr>
            <w:tcW w:w="376" w:type="pct"/>
            <w:shd w:val="clear" w:color="auto" w:fill="F2F2F2" w:themeFill="background1" w:themeFillShade="F2"/>
            <w:textDirection w:val="btLr"/>
            <w:vAlign w:val="center"/>
          </w:tcPr>
          <w:p w14:paraId="63208828"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48" w:type="pct"/>
            <w:shd w:val="clear" w:color="auto" w:fill="F2F2F2" w:themeFill="background1" w:themeFillShade="F2"/>
            <w:textDirection w:val="btLr"/>
            <w:vAlign w:val="center"/>
          </w:tcPr>
          <w:p w14:paraId="72144790"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505" w:type="pct"/>
            <w:shd w:val="clear" w:color="auto" w:fill="F2F2F2" w:themeFill="background1" w:themeFillShade="F2"/>
            <w:textDirection w:val="btLr"/>
            <w:vAlign w:val="center"/>
          </w:tcPr>
          <w:p w14:paraId="0F0A41C6"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632" w:type="pct"/>
            <w:shd w:val="clear" w:color="auto" w:fill="F2F2F2" w:themeFill="background1" w:themeFillShade="F2"/>
            <w:textDirection w:val="btLr"/>
            <w:vAlign w:val="center"/>
          </w:tcPr>
          <w:p w14:paraId="1789F01F"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313" w:type="pct"/>
            <w:shd w:val="clear" w:color="auto" w:fill="F2F2F2" w:themeFill="background1" w:themeFillShade="F2"/>
            <w:textDirection w:val="btLr"/>
            <w:vAlign w:val="center"/>
          </w:tcPr>
          <w:p w14:paraId="21CD88AA"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392" w:type="pct"/>
            <w:shd w:val="clear" w:color="auto" w:fill="F2F2F2" w:themeFill="background1" w:themeFillShade="F2"/>
            <w:textDirection w:val="btLr"/>
            <w:vAlign w:val="center"/>
          </w:tcPr>
          <w:p w14:paraId="6500AC76"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44" w:type="pct"/>
            <w:shd w:val="clear" w:color="auto" w:fill="F2F2F2" w:themeFill="background1" w:themeFillShade="F2"/>
            <w:textDirection w:val="btLr"/>
            <w:vAlign w:val="center"/>
          </w:tcPr>
          <w:p w14:paraId="65E50860" w14:textId="77777777" w:rsidR="00BD498B" w:rsidRPr="00890249" w:rsidRDefault="00BD498B" w:rsidP="00BD498B">
            <w:pPr>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92097D" w:rsidRPr="00890249" w14:paraId="1631C143" w14:textId="77777777" w:rsidTr="0043241C">
        <w:trPr>
          <w:trHeight w:val="767"/>
        </w:trPr>
        <w:tc>
          <w:tcPr>
            <w:tcW w:w="282" w:type="pct"/>
            <w:vAlign w:val="center"/>
          </w:tcPr>
          <w:p w14:paraId="12A424A2" w14:textId="77777777" w:rsidR="0092097D" w:rsidRPr="00890249" w:rsidRDefault="0092097D" w:rsidP="009209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08" w:type="pct"/>
            <w:vAlign w:val="center"/>
          </w:tcPr>
          <w:p w14:paraId="3E1E1512"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w:t>
            </w:r>
            <w:r w:rsidR="004E72E6" w:rsidRPr="00890249">
              <w:rPr>
                <w:rFonts w:asciiTheme="minorHAnsi" w:hAnsiTheme="minorHAnsi" w:cstheme="minorHAnsi"/>
                <w:i/>
                <w:noProof/>
                <w:sz w:val="18"/>
                <w:szCs w:val="16"/>
              </w:rPr>
              <w:t>i</w:t>
            </w:r>
            <w:r w:rsidRPr="00890249">
              <w:rPr>
                <w:rFonts w:asciiTheme="minorHAnsi" w:hAnsiTheme="minorHAnsi" w:cstheme="minorHAnsi"/>
                <w:i/>
                <w:noProof/>
                <w:sz w:val="18"/>
                <w:szCs w:val="16"/>
              </w:rPr>
              <w:t>i</w:t>
            </w:r>
          </w:p>
        </w:tc>
        <w:tc>
          <w:tcPr>
            <w:tcW w:w="376" w:type="pct"/>
            <w:vAlign w:val="center"/>
          </w:tcPr>
          <w:p w14:paraId="231B328D"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8" w:type="pct"/>
            <w:vAlign w:val="center"/>
          </w:tcPr>
          <w:p w14:paraId="656F0AFC" w14:textId="77777777" w:rsidR="0092097D" w:rsidRPr="00890249" w:rsidRDefault="0092097D" w:rsidP="009209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505" w:type="pct"/>
            <w:vAlign w:val="center"/>
          </w:tcPr>
          <w:p w14:paraId="7005557D"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RCO074</w:t>
            </w:r>
          </w:p>
        </w:tc>
        <w:tc>
          <w:tcPr>
            <w:tcW w:w="1632" w:type="pct"/>
            <w:shd w:val="clear" w:color="auto" w:fill="auto"/>
            <w:vAlign w:val="center"/>
          </w:tcPr>
          <w:p w14:paraId="17AD847D" w14:textId="77777777" w:rsidR="0092097D" w:rsidRPr="00890249" w:rsidRDefault="0092097D" w:rsidP="009209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Ludność objęta projektami w ramach strategii zintegrowanego rozwoju terytorialnego</w:t>
            </w:r>
          </w:p>
        </w:tc>
        <w:tc>
          <w:tcPr>
            <w:tcW w:w="313" w:type="pct"/>
            <w:vAlign w:val="center"/>
          </w:tcPr>
          <w:p w14:paraId="76C06E6C"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osoby</w:t>
            </w:r>
          </w:p>
        </w:tc>
        <w:tc>
          <w:tcPr>
            <w:tcW w:w="392" w:type="pct"/>
            <w:shd w:val="clear" w:color="auto" w:fill="auto"/>
            <w:vAlign w:val="center"/>
          </w:tcPr>
          <w:p w14:paraId="4F591C38" w14:textId="77777777" w:rsidR="0092097D" w:rsidRPr="00890249" w:rsidRDefault="00D83017" w:rsidP="00D83017">
            <w:pPr>
              <w:jc w:val="center"/>
              <w:rPr>
                <w:rFonts w:asciiTheme="minorHAnsi" w:hAnsiTheme="minorHAnsi" w:cstheme="minorHAnsi"/>
                <w:noProof/>
                <w:sz w:val="18"/>
                <w:szCs w:val="16"/>
              </w:rPr>
            </w:pPr>
            <w:r w:rsidRPr="00890249">
              <w:rPr>
                <w:rFonts w:asciiTheme="minorHAnsi" w:hAnsiTheme="minorHAnsi" w:cstheme="minorHAnsi"/>
                <w:noProof/>
                <w:sz w:val="18"/>
                <w:szCs w:val="16"/>
              </w:rPr>
              <w:t>74</w:t>
            </w:r>
            <w:r w:rsidR="004E72E6" w:rsidRPr="00890249">
              <w:rPr>
                <w:rFonts w:asciiTheme="minorHAnsi" w:hAnsiTheme="minorHAnsi" w:cstheme="minorHAnsi"/>
                <w:noProof/>
                <w:sz w:val="18"/>
                <w:szCs w:val="16"/>
              </w:rPr>
              <w:t xml:space="preserve"> </w:t>
            </w:r>
            <w:r w:rsidRPr="00890249">
              <w:rPr>
                <w:rFonts w:asciiTheme="minorHAnsi" w:hAnsiTheme="minorHAnsi" w:cstheme="minorHAnsi"/>
                <w:noProof/>
                <w:sz w:val="18"/>
                <w:szCs w:val="16"/>
              </w:rPr>
              <w:t>4</w:t>
            </w:r>
            <w:r w:rsidR="0092097D" w:rsidRPr="00890249">
              <w:rPr>
                <w:rFonts w:asciiTheme="minorHAnsi" w:hAnsiTheme="minorHAnsi" w:cstheme="minorHAnsi"/>
                <w:noProof/>
                <w:sz w:val="18"/>
                <w:szCs w:val="16"/>
              </w:rPr>
              <w:t>00</w:t>
            </w:r>
          </w:p>
        </w:tc>
        <w:tc>
          <w:tcPr>
            <w:tcW w:w="544" w:type="pct"/>
            <w:shd w:val="clear" w:color="auto" w:fill="auto"/>
            <w:vAlign w:val="center"/>
          </w:tcPr>
          <w:p w14:paraId="289C7B45" w14:textId="77777777" w:rsidR="0092097D" w:rsidRPr="00890249" w:rsidRDefault="00D83017" w:rsidP="00D83017">
            <w:pPr>
              <w:jc w:val="center"/>
              <w:rPr>
                <w:rFonts w:asciiTheme="minorHAnsi" w:hAnsiTheme="minorHAnsi" w:cstheme="minorHAnsi"/>
                <w:noProof/>
                <w:sz w:val="18"/>
                <w:szCs w:val="16"/>
              </w:rPr>
            </w:pPr>
            <w:r w:rsidRPr="00890249">
              <w:rPr>
                <w:rFonts w:asciiTheme="minorHAnsi" w:hAnsiTheme="minorHAnsi" w:cstheme="minorHAnsi"/>
                <w:noProof/>
                <w:sz w:val="18"/>
                <w:szCs w:val="16"/>
              </w:rPr>
              <w:t>744</w:t>
            </w:r>
            <w:r w:rsidR="0092097D" w:rsidRPr="00890249">
              <w:rPr>
                <w:rFonts w:asciiTheme="minorHAnsi" w:hAnsiTheme="minorHAnsi" w:cstheme="minorHAnsi"/>
                <w:noProof/>
                <w:sz w:val="18"/>
                <w:szCs w:val="16"/>
              </w:rPr>
              <w:t xml:space="preserve"> 000</w:t>
            </w:r>
          </w:p>
        </w:tc>
      </w:tr>
      <w:tr w:rsidR="0092097D" w:rsidRPr="00890249" w14:paraId="75B935D6" w14:textId="77777777" w:rsidTr="0043241C">
        <w:trPr>
          <w:trHeight w:val="767"/>
        </w:trPr>
        <w:tc>
          <w:tcPr>
            <w:tcW w:w="282" w:type="pct"/>
            <w:vAlign w:val="center"/>
          </w:tcPr>
          <w:p w14:paraId="0DCFEDDA" w14:textId="77777777" w:rsidR="0092097D" w:rsidRPr="00890249" w:rsidRDefault="0092097D" w:rsidP="009209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08" w:type="pct"/>
            <w:vAlign w:val="center"/>
          </w:tcPr>
          <w:p w14:paraId="7CE474BF"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r w:rsidR="004E72E6" w:rsidRPr="00890249">
              <w:rPr>
                <w:rFonts w:asciiTheme="minorHAnsi" w:hAnsiTheme="minorHAnsi" w:cstheme="minorHAnsi"/>
                <w:i/>
                <w:noProof/>
                <w:sz w:val="18"/>
                <w:szCs w:val="16"/>
              </w:rPr>
              <w:t>i</w:t>
            </w:r>
          </w:p>
        </w:tc>
        <w:tc>
          <w:tcPr>
            <w:tcW w:w="376" w:type="pct"/>
            <w:vAlign w:val="center"/>
          </w:tcPr>
          <w:p w14:paraId="635FB833"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8" w:type="pct"/>
            <w:vAlign w:val="center"/>
          </w:tcPr>
          <w:p w14:paraId="6A2A5D42" w14:textId="77777777" w:rsidR="0092097D" w:rsidRPr="00890249" w:rsidRDefault="0092097D" w:rsidP="009209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505" w:type="pct"/>
            <w:vAlign w:val="center"/>
          </w:tcPr>
          <w:p w14:paraId="764899EB"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RCO075</w:t>
            </w:r>
          </w:p>
        </w:tc>
        <w:tc>
          <w:tcPr>
            <w:tcW w:w="1632" w:type="pct"/>
            <w:shd w:val="clear" w:color="auto" w:fill="auto"/>
            <w:vAlign w:val="center"/>
          </w:tcPr>
          <w:p w14:paraId="5A45D09E" w14:textId="77777777" w:rsidR="0092097D" w:rsidRPr="00890249" w:rsidRDefault="0092097D" w:rsidP="009209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Wspierane strategie zintegrowanego rozwoju terytorialnego</w:t>
            </w:r>
          </w:p>
        </w:tc>
        <w:tc>
          <w:tcPr>
            <w:tcW w:w="313" w:type="pct"/>
            <w:vAlign w:val="center"/>
          </w:tcPr>
          <w:p w14:paraId="43612E2A"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392" w:type="pct"/>
            <w:shd w:val="clear" w:color="auto" w:fill="auto"/>
            <w:vAlign w:val="center"/>
          </w:tcPr>
          <w:p w14:paraId="0234E943" w14:textId="77777777" w:rsidR="0092097D" w:rsidRPr="00890249" w:rsidRDefault="004E72E6" w:rsidP="004E72E6">
            <w:pPr>
              <w:jc w:val="center"/>
              <w:rPr>
                <w:rFonts w:asciiTheme="minorHAnsi" w:hAnsiTheme="minorHAnsi" w:cstheme="minorHAnsi"/>
                <w:noProof/>
                <w:sz w:val="18"/>
                <w:szCs w:val="16"/>
              </w:rPr>
            </w:pPr>
            <w:r w:rsidRPr="00890249">
              <w:rPr>
                <w:rFonts w:asciiTheme="minorHAnsi" w:hAnsiTheme="minorHAnsi" w:cstheme="minorHAnsi"/>
                <w:noProof/>
                <w:sz w:val="18"/>
                <w:szCs w:val="16"/>
              </w:rPr>
              <w:t>4</w:t>
            </w:r>
          </w:p>
        </w:tc>
        <w:tc>
          <w:tcPr>
            <w:tcW w:w="544" w:type="pct"/>
            <w:shd w:val="clear" w:color="auto" w:fill="auto"/>
            <w:vAlign w:val="center"/>
          </w:tcPr>
          <w:p w14:paraId="42E56750" w14:textId="77777777" w:rsidR="0092097D" w:rsidRPr="00890249" w:rsidRDefault="004E72E6" w:rsidP="004E72E6">
            <w:pPr>
              <w:jc w:val="center"/>
              <w:rPr>
                <w:rFonts w:asciiTheme="minorHAnsi" w:hAnsiTheme="minorHAnsi" w:cstheme="minorHAnsi"/>
                <w:noProof/>
                <w:sz w:val="18"/>
                <w:szCs w:val="16"/>
              </w:rPr>
            </w:pPr>
            <w:r w:rsidRPr="00890249">
              <w:rPr>
                <w:rFonts w:asciiTheme="minorHAnsi" w:hAnsiTheme="minorHAnsi" w:cstheme="minorHAnsi"/>
                <w:noProof/>
                <w:sz w:val="18"/>
                <w:szCs w:val="16"/>
              </w:rPr>
              <w:t>21</w:t>
            </w:r>
          </w:p>
        </w:tc>
      </w:tr>
      <w:tr w:rsidR="0092097D" w:rsidRPr="00890249" w14:paraId="772DA753" w14:textId="77777777" w:rsidTr="0043241C">
        <w:trPr>
          <w:trHeight w:val="767"/>
        </w:trPr>
        <w:tc>
          <w:tcPr>
            <w:tcW w:w="282" w:type="pct"/>
            <w:vAlign w:val="center"/>
          </w:tcPr>
          <w:p w14:paraId="5D53586A" w14:textId="77777777" w:rsidR="0092097D" w:rsidRPr="00890249" w:rsidRDefault="0092097D" w:rsidP="009209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08" w:type="pct"/>
            <w:vAlign w:val="center"/>
          </w:tcPr>
          <w:p w14:paraId="6173B625"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w:t>
            </w:r>
            <w:r w:rsidR="004E72E6" w:rsidRPr="00890249">
              <w:rPr>
                <w:rFonts w:asciiTheme="minorHAnsi" w:hAnsiTheme="minorHAnsi" w:cstheme="minorHAnsi"/>
                <w:i/>
                <w:noProof/>
                <w:sz w:val="18"/>
                <w:szCs w:val="16"/>
              </w:rPr>
              <w:t>i</w:t>
            </w:r>
          </w:p>
        </w:tc>
        <w:tc>
          <w:tcPr>
            <w:tcW w:w="376" w:type="pct"/>
            <w:vAlign w:val="center"/>
          </w:tcPr>
          <w:p w14:paraId="2F1F88E7"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8" w:type="pct"/>
            <w:vAlign w:val="center"/>
          </w:tcPr>
          <w:p w14:paraId="67D3C920" w14:textId="77777777" w:rsidR="0092097D" w:rsidRPr="00890249" w:rsidRDefault="0092097D" w:rsidP="009209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505" w:type="pct"/>
            <w:vAlign w:val="center"/>
          </w:tcPr>
          <w:p w14:paraId="42D7CE34"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RCO076</w:t>
            </w:r>
          </w:p>
        </w:tc>
        <w:tc>
          <w:tcPr>
            <w:tcW w:w="1632" w:type="pct"/>
            <w:shd w:val="clear" w:color="auto" w:fill="auto"/>
            <w:vAlign w:val="center"/>
          </w:tcPr>
          <w:p w14:paraId="6C0E8B36" w14:textId="77777777" w:rsidR="0092097D" w:rsidRPr="00890249" w:rsidRDefault="0092097D" w:rsidP="009209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Zintegrowane projekty rozwoju terytorialnego</w:t>
            </w:r>
          </w:p>
        </w:tc>
        <w:tc>
          <w:tcPr>
            <w:tcW w:w="313" w:type="pct"/>
            <w:vAlign w:val="center"/>
          </w:tcPr>
          <w:p w14:paraId="04FF8D28"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392" w:type="pct"/>
            <w:shd w:val="clear" w:color="auto" w:fill="auto"/>
            <w:vAlign w:val="center"/>
          </w:tcPr>
          <w:p w14:paraId="5AD6F8CB" w14:textId="77777777" w:rsidR="0092097D" w:rsidRPr="00890249" w:rsidRDefault="004E72E6" w:rsidP="004E72E6">
            <w:pPr>
              <w:jc w:val="center"/>
              <w:rPr>
                <w:rFonts w:asciiTheme="minorHAnsi" w:hAnsiTheme="minorHAnsi" w:cstheme="minorHAnsi"/>
                <w:noProof/>
                <w:sz w:val="18"/>
                <w:szCs w:val="16"/>
              </w:rPr>
            </w:pPr>
            <w:r w:rsidRPr="00890249">
              <w:rPr>
                <w:rFonts w:asciiTheme="minorHAnsi" w:hAnsiTheme="minorHAnsi" w:cstheme="minorHAnsi"/>
                <w:noProof/>
                <w:sz w:val="18"/>
                <w:szCs w:val="16"/>
              </w:rPr>
              <w:t>0</w:t>
            </w:r>
          </w:p>
        </w:tc>
        <w:tc>
          <w:tcPr>
            <w:tcW w:w="544" w:type="pct"/>
            <w:shd w:val="clear" w:color="auto" w:fill="auto"/>
            <w:vAlign w:val="center"/>
          </w:tcPr>
          <w:p w14:paraId="0413659B" w14:textId="1D81D228" w:rsidR="0092097D" w:rsidRPr="00890249" w:rsidRDefault="001B420A" w:rsidP="004E72E6">
            <w:pPr>
              <w:jc w:val="center"/>
              <w:rPr>
                <w:rFonts w:asciiTheme="minorHAnsi" w:hAnsiTheme="minorHAnsi" w:cstheme="minorHAnsi"/>
                <w:noProof/>
                <w:sz w:val="18"/>
                <w:szCs w:val="16"/>
              </w:rPr>
            </w:pPr>
            <w:r w:rsidRPr="00890249">
              <w:rPr>
                <w:rFonts w:asciiTheme="minorHAnsi" w:hAnsiTheme="minorHAnsi" w:cstheme="minorHAnsi"/>
                <w:noProof/>
                <w:sz w:val="18"/>
                <w:szCs w:val="16"/>
              </w:rPr>
              <w:t>6</w:t>
            </w:r>
          </w:p>
        </w:tc>
      </w:tr>
      <w:tr w:rsidR="0092097D" w:rsidRPr="00890249" w14:paraId="7747D8FA" w14:textId="77777777" w:rsidTr="0043241C">
        <w:trPr>
          <w:trHeight w:val="767"/>
        </w:trPr>
        <w:tc>
          <w:tcPr>
            <w:tcW w:w="282" w:type="pct"/>
            <w:vAlign w:val="center"/>
          </w:tcPr>
          <w:p w14:paraId="2D7907F3"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CP5</w:t>
            </w:r>
          </w:p>
        </w:tc>
        <w:tc>
          <w:tcPr>
            <w:tcW w:w="408" w:type="pct"/>
            <w:vAlign w:val="center"/>
          </w:tcPr>
          <w:p w14:paraId="1732C53B"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5.ii</w:t>
            </w:r>
          </w:p>
        </w:tc>
        <w:tc>
          <w:tcPr>
            <w:tcW w:w="376" w:type="pct"/>
            <w:vAlign w:val="center"/>
          </w:tcPr>
          <w:p w14:paraId="11C514A5"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8" w:type="pct"/>
            <w:vAlign w:val="center"/>
          </w:tcPr>
          <w:p w14:paraId="50B5B7DC"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505" w:type="pct"/>
            <w:vAlign w:val="center"/>
          </w:tcPr>
          <w:p w14:paraId="665B5C6B"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RCO077</w:t>
            </w:r>
          </w:p>
        </w:tc>
        <w:tc>
          <w:tcPr>
            <w:tcW w:w="1632" w:type="pct"/>
            <w:shd w:val="clear" w:color="auto" w:fill="auto"/>
            <w:vAlign w:val="center"/>
          </w:tcPr>
          <w:p w14:paraId="59F56B7B" w14:textId="77777777" w:rsidR="0092097D" w:rsidRPr="00890249" w:rsidRDefault="0092097D" w:rsidP="009209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obiektów kulturalnych i turystycznych objętych wsparciem</w:t>
            </w:r>
          </w:p>
        </w:tc>
        <w:tc>
          <w:tcPr>
            <w:tcW w:w="313" w:type="pct"/>
            <w:vAlign w:val="center"/>
          </w:tcPr>
          <w:p w14:paraId="37293C21"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392" w:type="pct"/>
            <w:shd w:val="clear" w:color="auto" w:fill="auto"/>
            <w:vAlign w:val="center"/>
          </w:tcPr>
          <w:p w14:paraId="43F48DC9" w14:textId="18680766" w:rsidR="0092097D" w:rsidRPr="00890249" w:rsidRDefault="00D83017" w:rsidP="00D83017">
            <w:pPr>
              <w:jc w:val="center"/>
              <w:rPr>
                <w:rFonts w:asciiTheme="minorHAnsi" w:hAnsiTheme="minorHAnsi" w:cstheme="minorHAnsi"/>
                <w:noProof/>
                <w:sz w:val="18"/>
                <w:szCs w:val="16"/>
              </w:rPr>
            </w:pPr>
            <w:r w:rsidRPr="00890249">
              <w:rPr>
                <w:rFonts w:asciiTheme="minorHAnsi" w:hAnsiTheme="minorHAnsi" w:cstheme="minorHAnsi"/>
                <w:noProof/>
                <w:sz w:val="18"/>
                <w:szCs w:val="16"/>
              </w:rPr>
              <w:t>3</w:t>
            </w:r>
          </w:p>
        </w:tc>
        <w:tc>
          <w:tcPr>
            <w:tcW w:w="544" w:type="pct"/>
            <w:shd w:val="clear" w:color="auto" w:fill="auto"/>
            <w:vAlign w:val="center"/>
          </w:tcPr>
          <w:p w14:paraId="17F04305" w14:textId="69F096BD" w:rsidR="0092097D" w:rsidRPr="00890249" w:rsidRDefault="00D83017" w:rsidP="00D83017">
            <w:pPr>
              <w:jc w:val="center"/>
              <w:rPr>
                <w:rFonts w:asciiTheme="minorHAnsi" w:hAnsiTheme="minorHAnsi" w:cstheme="minorHAnsi"/>
                <w:noProof/>
                <w:sz w:val="18"/>
                <w:szCs w:val="16"/>
              </w:rPr>
            </w:pPr>
            <w:r w:rsidRPr="00890249">
              <w:rPr>
                <w:rFonts w:asciiTheme="minorHAnsi" w:hAnsiTheme="minorHAnsi" w:cstheme="minorHAnsi"/>
                <w:noProof/>
                <w:sz w:val="18"/>
                <w:szCs w:val="16"/>
              </w:rPr>
              <w:t>48</w:t>
            </w:r>
          </w:p>
        </w:tc>
      </w:tr>
      <w:tr w:rsidR="0092097D" w:rsidRPr="00890249" w14:paraId="1A1D61D5" w14:textId="77777777" w:rsidTr="0043241C">
        <w:trPr>
          <w:trHeight w:val="332"/>
        </w:trPr>
        <w:tc>
          <w:tcPr>
            <w:tcW w:w="282" w:type="pct"/>
            <w:vAlign w:val="center"/>
          </w:tcPr>
          <w:p w14:paraId="1A5BD793"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lang w:eastAsia="en-US" w:bidi="ar-SA"/>
              </w:rPr>
              <w:t>CP5</w:t>
            </w:r>
          </w:p>
        </w:tc>
        <w:tc>
          <w:tcPr>
            <w:tcW w:w="408" w:type="pct"/>
            <w:vAlign w:val="center"/>
          </w:tcPr>
          <w:p w14:paraId="5069D37B"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5.ii</w:t>
            </w:r>
          </w:p>
        </w:tc>
        <w:tc>
          <w:tcPr>
            <w:tcW w:w="376" w:type="pct"/>
            <w:vAlign w:val="center"/>
          </w:tcPr>
          <w:p w14:paraId="06E2EE8D"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8" w:type="pct"/>
            <w:vAlign w:val="center"/>
          </w:tcPr>
          <w:p w14:paraId="4AE65B08"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505" w:type="pct"/>
            <w:vAlign w:val="center"/>
          </w:tcPr>
          <w:p w14:paraId="023F2A83"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PLRO148</w:t>
            </w:r>
          </w:p>
        </w:tc>
        <w:tc>
          <w:tcPr>
            <w:tcW w:w="1632" w:type="pct"/>
            <w:shd w:val="clear" w:color="auto" w:fill="auto"/>
            <w:vAlign w:val="center"/>
          </w:tcPr>
          <w:p w14:paraId="4C4E8695" w14:textId="77777777" w:rsidR="0092097D" w:rsidRPr="00890249" w:rsidRDefault="0092097D" w:rsidP="0092097D">
            <w:pPr>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wspartych obiektów infrastruktury (innych niż budynki mieszkalne) zlokalizowanych na rewitalizowanych obszarach</w:t>
            </w:r>
          </w:p>
        </w:tc>
        <w:tc>
          <w:tcPr>
            <w:tcW w:w="313" w:type="pct"/>
            <w:vAlign w:val="center"/>
          </w:tcPr>
          <w:p w14:paraId="7B8DD54C"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392" w:type="pct"/>
            <w:shd w:val="clear" w:color="auto" w:fill="auto"/>
            <w:vAlign w:val="center"/>
          </w:tcPr>
          <w:p w14:paraId="0B3CCD48" w14:textId="77777777" w:rsidR="0092097D" w:rsidRPr="00890249" w:rsidRDefault="0092097D" w:rsidP="0092097D">
            <w:pPr>
              <w:jc w:val="center"/>
              <w:rPr>
                <w:rFonts w:asciiTheme="minorHAnsi" w:hAnsiTheme="minorHAnsi" w:cstheme="minorHAnsi"/>
                <w:noProof/>
                <w:sz w:val="18"/>
                <w:szCs w:val="16"/>
              </w:rPr>
            </w:pPr>
            <w:r w:rsidRPr="00890249">
              <w:rPr>
                <w:rFonts w:asciiTheme="minorHAnsi" w:hAnsiTheme="minorHAnsi" w:cstheme="minorHAnsi"/>
                <w:noProof/>
                <w:sz w:val="18"/>
                <w:szCs w:val="16"/>
              </w:rPr>
              <w:t>1</w:t>
            </w:r>
          </w:p>
        </w:tc>
        <w:tc>
          <w:tcPr>
            <w:tcW w:w="544" w:type="pct"/>
            <w:shd w:val="clear" w:color="auto" w:fill="auto"/>
            <w:vAlign w:val="center"/>
          </w:tcPr>
          <w:p w14:paraId="369C029F" w14:textId="77777777" w:rsidR="0092097D" w:rsidRPr="00890249" w:rsidRDefault="0092097D" w:rsidP="0092097D">
            <w:pPr>
              <w:jc w:val="center"/>
              <w:rPr>
                <w:rFonts w:asciiTheme="minorHAnsi" w:hAnsiTheme="minorHAnsi" w:cstheme="minorHAnsi"/>
                <w:noProof/>
                <w:sz w:val="18"/>
                <w:szCs w:val="16"/>
              </w:rPr>
            </w:pPr>
            <w:r w:rsidRPr="00890249">
              <w:rPr>
                <w:rFonts w:asciiTheme="minorHAnsi" w:hAnsiTheme="minorHAnsi" w:cstheme="minorHAnsi"/>
                <w:noProof/>
                <w:sz w:val="18"/>
                <w:szCs w:val="16"/>
              </w:rPr>
              <w:t>25</w:t>
            </w:r>
          </w:p>
        </w:tc>
      </w:tr>
      <w:tr w:rsidR="0092097D" w:rsidRPr="00890249" w14:paraId="62758EB5" w14:textId="77777777" w:rsidTr="0043241C">
        <w:trPr>
          <w:trHeight w:val="332"/>
        </w:trPr>
        <w:tc>
          <w:tcPr>
            <w:tcW w:w="282" w:type="pct"/>
            <w:vAlign w:val="center"/>
          </w:tcPr>
          <w:p w14:paraId="743EFA93" w14:textId="77777777" w:rsidR="0092097D" w:rsidRPr="00890249" w:rsidRDefault="0092097D" w:rsidP="0092097D">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08" w:type="pct"/>
            <w:vAlign w:val="center"/>
          </w:tcPr>
          <w:p w14:paraId="2F1FBD35"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5.ii</w:t>
            </w:r>
          </w:p>
        </w:tc>
        <w:tc>
          <w:tcPr>
            <w:tcW w:w="376" w:type="pct"/>
            <w:vAlign w:val="center"/>
          </w:tcPr>
          <w:p w14:paraId="6FAA71FE"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8" w:type="pct"/>
            <w:vAlign w:val="center"/>
          </w:tcPr>
          <w:p w14:paraId="78E41202" w14:textId="77777777" w:rsidR="0092097D" w:rsidRPr="00890249" w:rsidRDefault="0092097D" w:rsidP="0092097D">
            <w:pPr>
              <w:jc w:val="center"/>
              <w:rPr>
                <w:rFonts w:asciiTheme="minorHAnsi" w:hAnsiTheme="minorHAnsi" w:cstheme="minorHAnsi"/>
                <w:noProof/>
                <w:sz w:val="18"/>
              </w:rPr>
            </w:pPr>
            <w:r w:rsidRPr="00890249">
              <w:rPr>
                <w:rFonts w:asciiTheme="minorHAnsi" w:hAnsiTheme="minorHAnsi" w:cstheme="minorHAnsi"/>
                <w:noProof/>
                <w:sz w:val="18"/>
              </w:rPr>
              <w:t>słabiej rozwinięte</w:t>
            </w:r>
          </w:p>
        </w:tc>
        <w:tc>
          <w:tcPr>
            <w:tcW w:w="505" w:type="pct"/>
            <w:vAlign w:val="center"/>
          </w:tcPr>
          <w:p w14:paraId="6093D6ED"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sz w:val="18"/>
                <w:szCs w:val="16"/>
              </w:rPr>
              <w:t>PLRO139</w:t>
            </w:r>
          </w:p>
        </w:tc>
        <w:tc>
          <w:tcPr>
            <w:tcW w:w="1632" w:type="pct"/>
            <w:shd w:val="clear" w:color="auto" w:fill="auto"/>
            <w:vAlign w:val="center"/>
          </w:tcPr>
          <w:p w14:paraId="22A93A36" w14:textId="77777777" w:rsidR="0092097D" w:rsidRPr="00890249" w:rsidRDefault="0092097D" w:rsidP="0092097D">
            <w:pPr>
              <w:jc w:val="left"/>
              <w:rPr>
                <w:rFonts w:asciiTheme="minorHAnsi" w:hAnsiTheme="minorHAnsi" w:cstheme="minorHAnsi"/>
                <w:i/>
                <w:sz w:val="18"/>
                <w:szCs w:val="16"/>
              </w:rPr>
            </w:pPr>
            <w:r w:rsidRPr="00890249">
              <w:rPr>
                <w:rFonts w:asciiTheme="minorHAnsi" w:hAnsiTheme="minorHAnsi" w:cstheme="minorHAnsi"/>
                <w:i/>
                <w:sz w:val="18"/>
                <w:szCs w:val="16"/>
              </w:rPr>
              <w:t>Liczba zabytków nieruchomych objętych wsparciem</w:t>
            </w:r>
          </w:p>
        </w:tc>
        <w:tc>
          <w:tcPr>
            <w:tcW w:w="313" w:type="pct"/>
            <w:vAlign w:val="center"/>
          </w:tcPr>
          <w:p w14:paraId="512AE39C" w14:textId="77777777" w:rsidR="0092097D" w:rsidRPr="00890249" w:rsidRDefault="0092097D" w:rsidP="0092097D">
            <w:pPr>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392" w:type="pct"/>
            <w:shd w:val="clear" w:color="auto" w:fill="auto"/>
            <w:vAlign w:val="center"/>
          </w:tcPr>
          <w:p w14:paraId="756AC823" w14:textId="4DD3C3D3" w:rsidR="0092097D" w:rsidRPr="00890249" w:rsidRDefault="00D83017" w:rsidP="00D83017">
            <w:pPr>
              <w:jc w:val="center"/>
              <w:rPr>
                <w:rFonts w:asciiTheme="minorHAnsi" w:hAnsiTheme="minorHAnsi" w:cstheme="minorHAnsi"/>
                <w:noProof/>
                <w:sz w:val="18"/>
                <w:szCs w:val="16"/>
              </w:rPr>
            </w:pPr>
            <w:r w:rsidRPr="00890249">
              <w:rPr>
                <w:rFonts w:asciiTheme="minorHAnsi" w:hAnsiTheme="minorHAnsi" w:cstheme="minorHAnsi"/>
                <w:noProof/>
                <w:sz w:val="18"/>
                <w:szCs w:val="16"/>
              </w:rPr>
              <w:t>2</w:t>
            </w:r>
          </w:p>
        </w:tc>
        <w:tc>
          <w:tcPr>
            <w:tcW w:w="544" w:type="pct"/>
            <w:shd w:val="clear" w:color="auto" w:fill="auto"/>
            <w:vAlign w:val="center"/>
          </w:tcPr>
          <w:p w14:paraId="1C8CD935" w14:textId="500C5676" w:rsidR="0092097D" w:rsidRPr="00890249" w:rsidRDefault="00D83017" w:rsidP="00D83017">
            <w:pPr>
              <w:jc w:val="center"/>
              <w:rPr>
                <w:rFonts w:asciiTheme="minorHAnsi" w:hAnsiTheme="minorHAnsi" w:cstheme="minorHAnsi"/>
                <w:noProof/>
                <w:sz w:val="18"/>
                <w:szCs w:val="16"/>
              </w:rPr>
            </w:pPr>
            <w:r w:rsidRPr="00890249">
              <w:rPr>
                <w:rFonts w:asciiTheme="minorHAnsi" w:hAnsiTheme="minorHAnsi" w:cstheme="minorHAnsi"/>
                <w:noProof/>
                <w:sz w:val="18"/>
                <w:szCs w:val="16"/>
              </w:rPr>
              <w:t>15</w:t>
            </w:r>
          </w:p>
        </w:tc>
      </w:tr>
    </w:tbl>
    <w:p w14:paraId="52F0A865" w14:textId="77777777" w:rsidR="00BD498B" w:rsidRPr="00890249" w:rsidRDefault="00BD498B" w:rsidP="00B71643">
      <w:pPr>
        <w:spacing w:before="0" w:after="240"/>
        <w:rPr>
          <w:rFonts w:asciiTheme="minorHAnsi" w:hAnsiTheme="minorHAnsi" w:cstheme="minorHAnsi"/>
          <w:b/>
          <w:noProof/>
          <w:sz w:val="22"/>
          <w:szCs w:val="22"/>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893"/>
        <w:gridCol w:w="709"/>
        <w:gridCol w:w="853"/>
        <w:gridCol w:w="862"/>
        <w:gridCol w:w="1355"/>
        <w:gridCol w:w="1246"/>
        <w:gridCol w:w="757"/>
        <w:gridCol w:w="422"/>
        <w:gridCol w:w="768"/>
        <w:gridCol w:w="422"/>
        <w:gridCol w:w="287"/>
      </w:tblGrid>
      <w:tr w:rsidR="00BD498B" w:rsidRPr="00890249" w14:paraId="3E2B6D07" w14:textId="77777777" w:rsidTr="0043241C">
        <w:trPr>
          <w:trHeight w:val="480"/>
        </w:trPr>
        <w:tc>
          <w:tcPr>
            <w:tcW w:w="5000" w:type="pct"/>
            <w:gridSpan w:val="12"/>
            <w:shd w:val="clear" w:color="auto" w:fill="D9D9D9" w:themeFill="background1" w:themeFillShade="D9"/>
          </w:tcPr>
          <w:p w14:paraId="75790115" w14:textId="77777777" w:rsidR="00BD498B" w:rsidRPr="00890249" w:rsidRDefault="00BD498B" w:rsidP="00BD498B">
            <w:pPr>
              <w:rPr>
                <w:rFonts w:asciiTheme="minorHAnsi" w:hAnsiTheme="minorHAnsi" w:cstheme="minorHAnsi"/>
                <w:b/>
                <w:noProof/>
                <w:sz w:val="16"/>
                <w:szCs w:val="16"/>
                <w:lang w:eastAsia="en-US" w:bidi="ar-SA"/>
              </w:rPr>
            </w:pPr>
            <w:r w:rsidRPr="00890249">
              <w:rPr>
                <w:rFonts w:asciiTheme="minorHAnsi" w:hAnsiTheme="minorHAnsi" w:cstheme="minorHAnsi"/>
                <w:b/>
                <w:noProof/>
                <w:sz w:val="20"/>
                <w:szCs w:val="22"/>
                <w:lang w:eastAsia="en-US" w:bidi="ar-SA"/>
              </w:rPr>
              <w:t>Tabela 3: Wskaźniki rezultatów</w:t>
            </w:r>
          </w:p>
        </w:tc>
      </w:tr>
      <w:tr w:rsidR="00332F3D" w:rsidRPr="00890249" w14:paraId="2D8AB2F7" w14:textId="77777777" w:rsidTr="0043241C">
        <w:trPr>
          <w:cantSplit/>
          <w:trHeight w:val="1768"/>
        </w:trPr>
        <w:tc>
          <w:tcPr>
            <w:tcW w:w="286" w:type="pct"/>
            <w:shd w:val="clear" w:color="auto" w:fill="F2F2F2" w:themeFill="background1" w:themeFillShade="F2"/>
            <w:textDirection w:val="btLr"/>
            <w:vAlign w:val="center"/>
          </w:tcPr>
          <w:p w14:paraId="23027CB0"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Priorytet</w:t>
            </w:r>
          </w:p>
        </w:tc>
        <w:tc>
          <w:tcPr>
            <w:tcW w:w="491" w:type="pct"/>
            <w:shd w:val="clear" w:color="auto" w:fill="F2F2F2" w:themeFill="background1" w:themeFillShade="F2"/>
            <w:textDirection w:val="btLr"/>
            <w:vAlign w:val="center"/>
          </w:tcPr>
          <w:p w14:paraId="317628EE" w14:textId="77777777" w:rsidR="00BD498B" w:rsidRPr="00890249" w:rsidRDefault="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szczegółowy (cel „Zatrudnienie i wzrost”) lub obszar wsparcia (EFMR)</w:t>
            </w:r>
          </w:p>
        </w:tc>
        <w:tc>
          <w:tcPr>
            <w:tcW w:w="390" w:type="pct"/>
            <w:shd w:val="clear" w:color="auto" w:fill="F2F2F2" w:themeFill="background1" w:themeFillShade="F2"/>
            <w:textDirection w:val="btLr"/>
            <w:vAlign w:val="center"/>
          </w:tcPr>
          <w:p w14:paraId="1D0D06C2" w14:textId="77777777" w:rsidR="00BD498B" w:rsidRPr="00890249" w:rsidRDefault="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Fundusz</w:t>
            </w:r>
          </w:p>
        </w:tc>
        <w:tc>
          <w:tcPr>
            <w:tcW w:w="469" w:type="pct"/>
            <w:shd w:val="clear" w:color="auto" w:fill="F2F2F2" w:themeFill="background1" w:themeFillShade="F2"/>
            <w:textDirection w:val="btLr"/>
            <w:vAlign w:val="center"/>
          </w:tcPr>
          <w:p w14:paraId="17C90138"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Kategoria regionu</w:t>
            </w:r>
          </w:p>
        </w:tc>
        <w:tc>
          <w:tcPr>
            <w:tcW w:w="474" w:type="pct"/>
            <w:shd w:val="clear" w:color="auto" w:fill="F2F2F2" w:themeFill="background1" w:themeFillShade="F2"/>
            <w:textDirection w:val="btLr"/>
            <w:vAlign w:val="center"/>
          </w:tcPr>
          <w:p w14:paraId="1540726D"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Nr identyfikacyjny [5]</w:t>
            </w:r>
          </w:p>
        </w:tc>
        <w:tc>
          <w:tcPr>
            <w:tcW w:w="745" w:type="pct"/>
            <w:shd w:val="clear" w:color="auto" w:fill="F2F2F2" w:themeFill="background1" w:themeFillShade="F2"/>
            <w:textDirection w:val="btLr"/>
            <w:vAlign w:val="center"/>
          </w:tcPr>
          <w:p w14:paraId="64727219"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Wskaźnik [255]</w:t>
            </w:r>
          </w:p>
        </w:tc>
        <w:tc>
          <w:tcPr>
            <w:tcW w:w="685" w:type="pct"/>
            <w:shd w:val="clear" w:color="auto" w:fill="F2F2F2" w:themeFill="background1" w:themeFillShade="F2"/>
            <w:textDirection w:val="btLr"/>
            <w:vAlign w:val="center"/>
          </w:tcPr>
          <w:p w14:paraId="15901342"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Jednostka miary</w:t>
            </w:r>
          </w:p>
        </w:tc>
        <w:tc>
          <w:tcPr>
            <w:tcW w:w="416" w:type="pct"/>
            <w:shd w:val="clear" w:color="auto" w:fill="F2F2F2" w:themeFill="background1" w:themeFillShade="F2"/>
            <w:textDirection w:val="btLr"/>
            <w:vAlign w:val="center"/>
          </w:tcPr>
          <w:p w14:paraId="533F8D36"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Wartość bazowa lub wartość odniesienia</w:t>
            </w:r>
          </w:p>
        </w:tc>
        <w:tc>
          <w:tcPr>
            <w:tcW w:w="232" w:type="pct"/>
            <w:shd w:val="clear" w:color="auto" w:fill="F2F2F2" w:themeFill="background1" w:themeFillShade="F2"/>
            <w:textDirection w:val="btLr"/>
            <w:vAlign w:val="center"/>
          </w:tcPr>
          <w:p w14:paraId="48194056"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Rok referencyjny</w:t>
            </w:r>
          </w:p>
        </w:tc>
        <w:tc>
          <w:tcPr>
            <w:tcW w:w="422" w:type="pct"/>
            <w:shd w:val="clear" w:color="auto" w:fill="F2F2F2" w:themeFill="background1" w:themeFillShade="F2"/>
            <w:textDirection w:val="btLr"/>
            <w:vAlign w:val="center"/>
          </w:tcPr>
          <w:p w14:paraId="0BC5F66B"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Cel (2029)</w:t>
            </w:r>
          </w:p>
        </w:tc>
        <w:tc>
          <w:tcPr>
            <w:tcW w:w="232" w:type="pct"/>
            <w:shd w:val="clear" w:color="auto" w:fill="F2F2F2" w:themeFill="background1" w:themeFillShade="F2"/>
            <w:textDirection w:val="btLr"/>
            <w:vAlign w:val="center"/>
          </w:tcPr>
          <w:p w14:paraId="448B0BD0" w14:textId="77777777" w:rsidR="00BD498B" w:rsidRPr="00890249" w:rsidRDefault="00BD498B" w:rsidP="00BD498B">
            <w:pPr>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Źródło danych [200]</w:t>
            </w:r>
          </w:p>
        </w:tc>
        <w:tc>
          <w:tcPr>
            <w:tcW w:w="157" w:type="pct"/>
            <w:shd w:val="clear" w:color="auto" w:fill="F2F2F2" w:themeFill="background1" w:themeFillShade="F2"/>
            <w:textDirection w:val="btLr"/>
            <w:vAlign w:val="center"/>
          </w:tcPr>
          <w:p w14:paraId="2550F318" w14:textId="77777777" w:rsidR="00BD498B" w:rsidRPr="00890249" w:rsidRDefault="00BD498B" w:rsidP="00BD498B">
            <w:pPr>
              <w:spacing w:before="0" w:after="0"/>
              <w:ind w:left="113" w:right="113"/>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22"/>
                <w:lang w:eastAsia="en-US" w:bidi="ar-SA"/>
              </w:rPr>
              <w:t>Uwagi [200]</w:t>
            </w:r>
          </w:p>
        </w:tc>
      </w:tr>
      <w:tr w:rsidR="00332F3D" w:rsidRPr="00890249" w14:paraId="65495E48" w14:textId="77777777" w:rsidTr="00332F3D">
        <w:trPr>
          <w:trHeight w:val="434"/>
        </w:trPr>
        <w:tc>
          <w:tcPr>
            <w:tcW w:w="286" w:type="pct"/>
            <w:vAlign w:val="center"/>
          </w:tcPr>
          <w:p w14:paraId="3D008001"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lang w:eastAsia="en-US" w:bidi="ar-SA"/>
              </w:rPr>
              <w:t>CP5</w:t>
            </w:r>
          </w:p>
        </w:tc>
        <w:tc>
          <w:tcPr>
            <w:tcW w:w="491" w:type="pct"/>
            <w:vAlign w:val="center"/>
          </w:tcPr>
          <w:p w14:paraId="573B6AC6"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5.ii</w:t>
            </w:r>
          </w:p>
        </w:tc>
        <w:tc>
          <w:tcPr>
            <w:tcW w:w="390" w:type="pct"/>
            <w:vAlign w:val="center"/>
          </w:tcPr>
          <w:p w14:paraId="1D7C018D"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EFRR</w:t>
            </w:r>
          </w:p>
        </w:tc>
        <w:tc>
          <w:tcPr>
            <w:tcW w:w="469" w:type="pct"/>
            <w:vAlign w:val="center"/>
          </w:tcPr>
          <w:p w14:paraId="39544CF9"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noProof/>
                <w:sz w:val="18"/>
              </w:rPr>
              <w:t>słabiej rozwinięte</w:t>
            </w:r>
          </w:p>
        </w:tc>
        <w:tc>
          <w:tcPr>
            <w:tcW w:w="474" w:type="pct"/>
            <w:vAlign w:val="center"/>
          </w:tcPr>
          <w:p w14:paraId="7219C29F" w14:textId="77777777" w:rsidR="00BD498B" w:rsidRPr="00890249" w:rsidRDefault="00BD498B" w:rsidP="00900768">
            <w:pPr>
              <w:jc w:val="center"/>
              <w:rPr>
                <w:rFonts w:asciiTheme="minorHAnsi" w:hAnsiTheme="minorHAnsi" w:cstheme="minorHAnsi"/>
                <w:i/>
                <w:noProof/>
                <w:sz w:val="18"/>
                <w:szCs w:val="16"/>
                <w:lang w:eastAsia="en-US" w:bidi="ar-SA"/>
              </w:rPr>
            </w:pPr>
            <w:r w:rsidRPr="00890249">
              <w:rPr>
                <w:rFonts w:asciiTheme="minorHAnsi" w:hAnsiTheme="minorHAnsi" w:cstheme="minorHAnsi"/>
                <w:i/>
                <w:sz w:val="18"/>
                <w:szCs w:val="16"/>
              </w:rPr>
              <w:t>RCR</w:t>
            </w:r>
            <w:r w:rsidR="00900768" w:rsidRPr="00890249">
              <w:rPr>
                <w:rFonts w:asciiTheme="minorHAnsi" w:hAnsiTheme="minorHAnsi" w:cstheme="minorHAnsi"/>
                <w:i/>
                <w:sz w:val="18"/>
                <w:szCs w:val="16"/>
              </w:rPr>
              <w:t>0</w:t>
            </w:r>
            <w:r w:rsidRPr="00890249">
              <w:rPr>
                <w:rFonts w:asciiTheme="minorHAnsi" w:hAnsiTheme="minorHAnsi" w:cstheme="minorHAnsi"/>
                <w:i/>
                <w:sz w:val="18"/>
                <w:szCs w:val="16"/>
              </w:rPr>
              <w:t>77</w:t>
            </w:r>
          </w:p>
        </w:tc>
        <w:tc>
          <w:tcPr>
            <w:tcW w:w="745" w:type="pct"/>
            <w:shd w:val="clear" w:color="auto" w:fill="auto"/>
            <w:vAlign w:val="center"/>
          </w:tcPr>
          <w:p w14:paraId="614C499E" w14:textId="77777777" w:rsidR="00BD498B" w:rsidRPr="00890249" w:rsidRDefault="00475CE6" w:rsidP="00BD498B">
            <w:pPr>
              <w:jc w:val="left"/>
              <w:rPr>
                <w:rFonts w:asciiTheme="minorHAnsi" w:hAnsiTheme="minorHAnsi" w:cstheme="minorHAnsi"/>
                <w:i/>
                <w:noProof/>
                <w:sz w:val="18"/>
                <w:szCs w:val="16"/>
                <w:lang w:eastAsia="en-US" w:bidi="ar-SA"/>
              </w:rPr>
            </w:pPr>
            <w:r w:rsidRPr="00890249">
              <w:rPr>
                <w:rFonts w:asciiTheme="minorHAnsi" w:hAnsiTheme="minorHAnsi" w:cstheme="minorHAnsi"/>
                <w:i/>
                <w:sz w:val="18"/>
                <w:szCs w:val="16"/>
              </w:rPr>
              <w:t>Liczba osób odwiedzających obiekty kulturalne i turystyczne objęte wsparciem</w:t>
            </w:r>
          </w:p>
        </w:tc>
        <w:tc>
          <w:tcPr>
            <w:tcW w:w="685" w:type="pct"/>
            <w:vAlign w:val="center"/>
          </w:tcPr>
          <w:p w14:paraId="46B115FA" w14:textId="77777777" w:rsidR="00BD498B" w:rsidRPr="00890249" w:rsidRDefault="00BD498B" w:rsidP="00BD498B">
            <w:pPr>
              <w:jc w:val="center"/>
              <w:rPr>
                <w:rFonts w:asciiTheme="minorHAnsi" w:hAnsiTheme="minorHAnsi" w:cstheme="minorHAnsi"/>
                <w:i/>
                <w:noProof/>
                <w:sz w:val="18"/>
                <w:szCs w:val="16"/>
                <w:lang w:eastAsia="en-US" w:bidi="ar-SA"/>
              </w:rPr>
            </w:pPr>
            <w:r w:rsidRPr="00890249">
              <w:rPr>
                <w:rFonts w:asciiTheme="minorHAnsi" w:hAnsiTheme="minorHAnsi" w:cstheme="minorHAnsi"/>
                <w:i/>
                <w:noProof/>
                <w:sz w:val="18"/>
                <w:szCs w:val="16"/>
              </w:rPr>
              <w:t>Odwiedzający/rok</w:t>
            </w:r>
          </w:p>
        </w:tc>
        <w:tc>
          <w:tcPr>
            <w:tcW w:w="416" w:type="pct"/>
            <w:vAlign w:val="center"/>
          </w:tcPr>
          <w:p w14:paraId="12A50106" w14:textId="558B23E1" w:rsidR="00BD498B" w:rsidRPr="00890249" w:rsidRDefault="00D83017" w:rsidP="00D83017">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67 230</w:t>
            </w:r>
          </w:p>
        </w:tc>
        <w:tc>
          <w:tcPr>
            <w:tcW w:w="232" w:type="pct"/>
            <w:vAlign w:val="center"/>
          </w:tcPr>
          <w:p w14:paraId="5F24F78E" w14:textId="77777777" w:rsidR="00BD498B" w:rsidRPr="00890249" w:rsidRDefault="008374CE" w:rsidP="00BD498B">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nd</w:t>
            </w:r>
          </w:p>
        </w:tc>
        <w:tc>
          <w:tcPr>
            <w:tcW w:w="422" w:type="pct"/>
            <w:shd w:val="clear" w:color="auto" w:fill="auto"/>
            <w:vAlign w:val="center"/>
          </w:tcPr>
          <w:p w14:paraId="2839DB27" w14:textId="67688DDD" w:rsidR="00BD498B" w:rsidRPr="00890249" w:rsidRDefault="00D83017" w:rsidP="00D83017">
            <w:pPr>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75 970</w:t>
            </w:r>
          </w:p>
        </w:tc>
        <w:tc>
          <w:tcPr>
            <w:tcW w:w="232" w:type="pct"/>
            <w:shd w:val="clear" w:color="auto" w:fill="auto"/>
            <w:vAlign w:val="center"/>
          </w:tcPr>
          <w:p w14:paraId="4E993578" w14:textId="77777777" w:rsidR="00BD498B" w:rsidRPr="00890249" w:rsidRDefault="008374CE" w:rsidP="00BD498B">
            <w:pPr>
              <w:spacing w:line="480" w:lineRule="auto"/>
              <w:jc w:val="center"/>
              <w:rPr>
                <w:rFonts w:asciiTheme="minorHAnsi" w:hAnsiTheme="minorHAnsi" w:cstheme="minorHAnsi"/>
                <w:noProof/>
                <w:sz w:val="18"/>
                <w:szCs w:val="16"/>
                <w:lang w:eastAsia="en-US" w:bidi="ar-SA"/>
              </w:rPr>
            </w:pPr>
            <w:r w:rsidRPr="00890249">
              <w:rPr>
                <w:rFonts w:asciiTheme="minorHAnsi" w:hAnsiTheme="minorHAnsi" w:cstheme="minorHAnsi"/>
                <w:noProof/>
                <w:sz w:val="18"/>
                <w:szCs w:val="16"/>
                <w:lang w:eastAsia="en-US" w:bidi="ar-SA"/>
              </w:rPr>
              <w:t>IZ</w:t>
            </w:r>
          </w:p>
        </w:tc>
        <w:tc>
          <w:tcPr>
            <w:tcW w:w="157" w:type="pct"/>
            <w:vAlign w:val="center"/>
          </w:tcPr>
          <w:p w14:paraId="66A50F50" w14:textId="77777777" w:rsidR="00BD498B" w:rsidRPr="00890249" w:rsidRDefault="008374CE" w:rsidP="00BD498B">
            <w:pPr>
              <w:jc w:val="center"/>
              <w:rPr>
                <w:rFonts w:asciiTheme="minorHAnsi" w:hAnsiTheme="minorHAnsi" w:cstheme="minorHAnsi"/>
                <w:noProof/>
                <w:sz w:val="18"/>
                <w:szCs w:val="16"/>
              </w:rPr>
            </w:pPr>
            <w:r w:rsidRPr="00890249">
              <w:rPr>
                <w:rFonts w:asciiTheme="minorHAnsi" w:hAnsiTheme="minorHAnsi" w:cstheme="minorHAnsi"/>
                <w:noProof/>
                <w:sz w:val="18"/>
                <w:szCs w:val="16"/>
              </w:rPr>
              <w:t>-</w:t>
            </w:r>
          </w:p>
        </w:tc>
      </w:tr>
    </w:tbl>
    <w:p w14:paraId="4AB2D16A" w14:textId="254C826A" w:rsidR="00946850" w:rsidRPr="00890249" w:rsidRDefault="00946850" w:rsidP="00BD498B">
      <w:pPr>
        <w:spacing w:before="240" w:after="240"/>
        <w:rPr>
          <w:rFonts w:asciiTheme="minorHAnsi" w:hAnsiTheme="minorHAnsi" w:cstheme="minorHAnsi"/>
          <w:b/>
          <w:noProof/>
          <w:sz w:val="22"/>
          <w:szCs w:val="22"/>
        </w:rPr>
      </w:pPr>
    </w:p>
    <w:p w14:paraId="0333E2DF" w14:textId="77777777" w:rsidR="00946850" w:rsidRPr="00890249" w:rsidRDefault="00946850">
      <w:pPr>
        <w:spacing w:before="0" w:after="160" w:line="259" w:lineRule="auto"/>
        <w:jc w:val="left"/>
        <w:rPr>
          <w:rFonts w:asciiTheme="minorHAnsi" w:hAnsiTheme="minorHAnsi" w:cstheme="minorHAnsi"/>
          <w:b/>
          <w:noProof/>
          <w:sz w:val="22"/>
          <w:szCs w:val="22"/>
        </w:rPr>
      </w:pPr>
      <w:r w:rsidRPr="00890249">
        <w:rPr>
          <w:rFonts w:asciiTheme="minorHAnsi" w:hAnsiTheme="minorHAnsi" w:cstheme="minorHAnsi"/>
          <w:b/>
          <w:noProof/>
          <w:sz w:val="22"/>
          <w:szCs w:val="22"/>
        </w:rPr>
        <w:br w:type="page"/>
      </w:r>
    </w:p>
    <w:p w14:paraId="312A69A8" w14:textId="639BD516" w:rsidR="00BD498B" w:rsidRPr="00890249" w:rsidRDefault="00946850" w:rsidP="00946850">
      <w:pPr>
        <w:spacing w:before="0" w:after="0"/>
        <w:contextualSpacing/>
        <w:jc w:val="left"/>
        <w:rPr>
          <w:rFonts w:asciiTheme="minorHAnsi" w:eastAsiaTheme="minorHAnsi" w:hAnsiTheme="minorHAnsi" w:cstheme="minorHAnsi"/>
          <w:szCs w:val="24"/>
          <w:lang w:bidi="ar-SA"/>
        </w:rPr>
      </w:pPr>
      <w:r w:rsidRPr="00890249">
        <w:rPr>
          <w:rFonts w:asciiTheme="minorHAnsi" w:hAnsiTheme="minorHAnsi" w:cstheme="minorHAnsi"/>
          <w:b/>
          <w:noProof/>
          <w:sz w:val="22"/>
          <w:szCs w:val="22"/>
        </w:rPr>
        <w:lastRenderedPageBreak/>
        <w:t>2.1.10.2.3 (ii) Orientacyjny podział zasobów programu (UE) według rodzaju interwencji</w:t>
      </w:r>
    </w:p>
    <w:tbl>
      <w:tblPr>
        <w:tblStyle w:val="Tabela-Siatka"/>
        <w:tblW w:w="9322" w:type="dxa"/>
        <w:tblLook w:val="04A0" w:firstRow="1" w:lastRow="0" w:firstColumn="1" w:lastColumn="0" w:noHBand="0" w:noVBand="1"/>
      </w:tblPr>
      <w:tblGrid>
        <w:gridCol w:w="1481"/>
        <w:gridCol w:w="1025"/>
        <w:gridCol w:w="1606"/>
        <w:gridCol w:w="1557"/>
        <w:gridCol w:w="1512"/>
        <w:gridCol w:w="2141"/>
      </w:tblGrid>
      <w:tr w:rsidR="00BD498B" w:rsidRPr="00890249" w14:paraId="5B1619D1" w14:textId="77777777" w:rsidTr="00A27C86">
        <w:trPr>
          <w:tblHeader/>
        </w:trPr>
        <w:tc>
          <w:tcPr>
            <w:tcW w:w="9322" w:type="dxa"/>
            <w:gridSpan w:val="6"/>
            <w:shd w:val="clear" w:color="auto" w:fill="D9D9D9" w:themeFill="background1" w:themeFillShade="D9"/>
          </w:tcPr>
          <w:p w14:paraId="43241A6A" w14:textId="77777777" w:rsidR="00BD498B" w:rsidRPr="00890249" w:rsidRDefault="00BD498B" w:rsidP="00BD498B">
            <w:pPr>
              <w:rPr>
                <w:rFonts w:asciiTheme="minorHAnsi" w:eastAsia="Times New Roman" w:hAnsiTheme="minorHAnsi" w:cstheme="minorHAnsi"/>
                <w:b/>
                <w:iCs/>
                <w:noProof/>
                <w:sz w:val="20"/>
              </w:rPr>
            </w:pPr>
            <w:r w:rsidRPr="00890249">
              <w:rPr>
                <w:rFonts w:asciiTheme="minorHAnsi" w:hAnsiTheme="minorHAnsi" w:cstheme="minorHAnsi"/>
                <w:b/>
                <w:noProof/>
                <w:sz w:val="20"/>
              </w:rPr>
              <w:t>Tabela 4: Wymiar 1 – zakres interwencji</w:t>
            </w:r>
          </w:p>
        </w:tc>
      </w:tr>
      <w:tr w:rsidR="00BD498B" w:rsidRPr="00890249" w14:paraId="48693425" w14:textId="77777777" w:rsidTr="00A27C86">
        <w:trPr>
          <w:tblHeader/>
        </w:trPr>
        <w:tc>
          <w:tcPr>
            <w:tcW w:w="1566" w:type="dxa"/>
            <w:shd w:val="clear" w:color="auto" w:fill="F2F2F2" w:themeFill="background1" w:themeFillShade="F2"/>
          </w:tcPr>
          <w:p w14:paraId="79E94170"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04804FB7"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4" w:type="dxa"/>
            <w:shd w:val="clear" w:color="auto" w:fill="F2F2F2" w:themeFill="background1" w:themeFillShade="F2"/>
          </w:tcPr>
          <w:p w14:paraId="497ED3DB"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21925120"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053F06EE"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49" w:type="dxa"/>
            <w:shd w:val="clear" w:color="auto" w:fill="F2F2F2" w:themeFill="background1" w:themeFillShade="F2"/>
          </w:tcPr>
          <w:p w14:paraId="5DF984D1"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F2160" w:rsidRPr="00890249" w14:paraId="4204FF91" w14:textId="77777777" w:rsidTr="00044CE1">
        <w:tc>
          <w:tcPr>
            <w:tcW w:w="1566" w:type="dxa"/>
            <w:vMerge w:val="restart"/>
            <w:vAlign w:val="center"/>
          </w:tcPr>
          <w:p w14:paraId="070250B4"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5</w:t>
            </w:r>
          </w:p>
        </w:tc>
        <w:tc>
          <w:tcPr>
            <w:tcW w:w="1051" w:type="dxa"/>
            <w:vMerge w:val="restart"/>
            <w:vAlign w:val="center"/>
          </w:tcPr>
          <w:p w14:paraId="7EDEB405"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4" w:type="dxa"/>
            <w:vMerge w:val="restart"/>
            <w:vAlign w:val="center"/>
          </w:tcPr>
          <w:p w14:paraId="40AD3195" w14:textId="6C4A9511"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w:t>
            </w:r>
            <w:r w:rsidR="001D4A19"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20" w:type="dxa"/>
            <w:vMerge w:val="restart"/>
            <w:vAlign w:val="center"/>
          </w:tcPr>
          <w:p w14:paraId="4F53EE14"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22" w:type="dxa"/>
          </w:tcPr>
          <w:p w14:paraId="61E16402"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083</w:t>
            </w:r>
            <w:r w:rsidR="00AD33F4" w:rsidRPr="00890249">
              <w:rPr>
                <w:rFonts w:asciiTheme="minorHAnsi" w:eastAsia="Times New Roman" w:hAnsiTheme="minorHAnsi" w:cstheme="minorHAnsi"/>
                <w:iCs/>
                <w:noProof/>
                <w:sz w:val="20"/>
              </w:rPr>
              <w:t xml:space="preserve"> Infrastruktura rowerowa </w:t>
            </w:r>
          </w:p>
        </w:tc>
        <w:tc>
          <w:tcPr>
            <w:tcW w:w="2349" w:type="dxa"/>
          </w:tcPr>
          <w:p w14:paraId="1EC68C67" w14:textId="3A402A0E" w:rsidR="00BF2160" w:rsidRPr="00890249" w:rsidRDefault="00097045"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1 860 000</w:t>
            </w:r>
          </w:p>
        </w:tc>
      </w:tr>
      <w:tr w:rsidR="00CD2C59" w:rsidRPr="00890249" w14:paraId="443D0ED5" w14:textId="77777777" w:rsidTr="00044CE1">
        <w:tc>
          <w:tcPr>
            <w:tcW w:w="1566" w:type="dxa"/>
            <w:vMerge/>
            <w:vAlign w:val="center"/>
          </w:tcPr>
          <w:p w14:paraId="6A8E3990" w14:textId="77777777" w:rsidR="00CD2C59" w:rsidRPr="00890249" w:rsidRDefault="00CD2C59" w:rsidP="00BD498B">
            <w:pPr>
              <w:jc w:val="center"/>
              <w:rPr>
                <w:rFonts w:asciiTheme="minorHAnsi" w:eastAsia="Times New Roman" w:hAnsiTheme="minorHAnsi" w:cstheme="minorHAnsi"/>
                <w:iCs/>
                <w:noProof/>
                <w:sz w:val="20"/>
              </w:rPr>
            </w:pPr>
          </w:p>
        </w:tc>
        <w:tc>
          <w:tcPr>
            <w:tcW w:w="1051" w:type="dxa"/>
            <w:vMerge/>
            <w:vAlign w:val="center"/>
          </w:tcPr>
          <w:p w14:paraId="6D43411F" w14:textId="77777777" w:rsidR="00CD2C59" w:rsidRPr="00890249" w:rsidRDefault="00CD2C59" w:rsidP="00BD498B">
            <w:pPr>
              <w:jc w:val="center"/>
              <w:rPr>
                <w:rFonts w:asciiTheme="minorHAnsi" w:eastAsia="Times New Roman" w:hAnsiTheme="minorHAnsi" w:cstheme="minorHAnsi"/>
                <w:iCs/>
                <w:noProof/>
                <w:sz w:val="20"/>
              </w:rPr>
            </w:pPr>
          </w:p>
        </w:tc>
        <w:tc>
          <w:tcPr>
            <w:tcW w:w="1714" w:type="dxa"/>
            <w:vMerge/>
            <w:vAlign w:val="center"/>
          </w:tcPr>
          <w:p w14:paraId="48262D1C" w14:textId="77777777" w:rsidR="00CD2C59" w:rsidRPr="00890249" w:rsidRDefault="00CD2C59" w:rsidP="00BD498B">
            <w:pPr>
              <w:jc w:val="center"/>
              <w:rPr>
                <w:rFonts w:asciiTheme="minorHAnsi" w:eastAsia="Times New Roman" w:hAnsiTheme="minorHAnsi" w:cstheme="minorHAnsi"/>
                <w:iCs/>
                <w:noProof/>
                <w:sz w:val="20"/>
              </w:rPr>
            </w:pPr>
          </w:p>
        </w:tc>
        <w:tc>
          <w:tcPr>
            <w:tcW w:w="1620" w:type="dxa"/>
            <w:vMerge/>
            <w:vAlign w:val="center"/>
          </w:tcPr>
          <w:p w14:paraId="7B9D65E8" w14:textId="77777777" w:rsidR="00CD2C59" w:rsidRPr="00890249" w:rsidRDefault="00CD2C59" w:rsidP="00BD498B">
            <w:pPr>
              <w:jc w:val="center"/>
              <w:rPr>
                <w:rFonts w:asciiTheme="minorHAnsi" w:eastAsia="Times New Roman" w:hAnsiTheme="minorHAnsi" w:cstheme="minorHAnsi"/>
                <w:iCs/>
                <w:noProof/>
                <w:sz w:val="20"/>
              </w:rPr>
            </w:pPr>
          </w:p>
        </w:tc>
        <w:tc>
          <w:tcPr>
            <w:tcW w:w="1022" w:type="dxa"/>
          </w:tcPr>
          <w:p w14:paraId="605B7435" w14:textId="3AFB4DE4" w:rsidR="00CD2C59" w:rsidRPr="00890249" w:rsidRDefault="00CD2C59" w:rsidP="00BD498B">
            <w:pPr>
              <w:jc w:val="center"/>
              <w:rPr>
                <w:rFonts w:asciiTheme="minorHAnsi" w:eastAsia="Times New Roman" w:hAnsiTheme="minorHAnsi" w:cstheme="minorHAnsi"/>
                <w:iCs/>
                <w:noProof/>
                <w:sz w:val="20"/>
              </w:rPr>
            </w:pPr>
            <w:r w:rsidRPr="00CD2C59">
              <w:rPr>
                <w:rFonts w:asciiTheme="minorHAnsi" w:eastAsia="Times New Roman" w:hAnsiTheme="minorHAnsi" w:cstheme="minorHAnsi"/>
                <w:iCs/>
                <w:noProof/>
                <w:sz w:val="20"/>
              </w:rPr>
              <w:t>121 Infrastruktura na potrzeby wczesnej edukacji i opieki nad dzieckiem</w:t>
            </w:r>
          </w:p>
        </w:tc>
        <w:tc>
          <w:tcPr>
            <w:tcW w:w="2349" w:type="dxa"/>
          </w:tcPr>
          <w:p w14:paraId="2F860A12" w14:textId="79508B12" w:rsidR="00CD2C59" w:rsidRPr="00890249" w:rsidDel="00097045" w:rsidRDefault="00CD2C59"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420 000</w:t>
            </w:r>
          </w:p>
        </w:tc>
      </w:tr>
      <w:tr w:rsidR="00CD2C59" w:rsidRPr="00890249" w14:paraId="17C72D9A" w14:textId="77777777" w:rsidTr="00044CE1">
        <w:tc>
          <w:tcPr>
            <w:tcW w:w="1566" w:type="dxa"/>
            <w:vMerge/>
            <w:vAlign w:val="center"/>
          </w:tcPr>
          <w:p w14:paraId="58B3C124" w14:textId="77777777" w:rsidR="00CD2C59" w:rsidRPr="00890249" w:rsidRDefault="00CD2C59" w:rsidP="00BD498B">
            <w:pPr>
              <w:jc w:val="center"/>
              <w:rPr>
                <w:rFonts w:asciiTheme="minorHAnsi" w:eastAsia="Times New Roman" w:hAnsiTheme="minorHAnsi" w:cstheme="minorHAnsi"/>
                <w:iCs/>
                <w:noProof/>
                <w:sz w:val="20"/>
              </w:rPr>
            </w:pPr>
          </w:p>
        </w:tc>
        <w:tc>
          <w:tcPr>
            <w:tcW w:w="1051" w:type="dxa"/>
            <w:vMerge/>
            <w:vAlign w:val="center"/>
          </w:tcPr>
          <w:p w14:paraId="03055FAB" w14:textId="77777777" w:rsidR="00CD2C59" w:rsidRPr="00890249" w:rsidRDefault="00CD2C59" w:rsidP="00BD498B">
            <w:pPr>
              <w:jc w:val="center"/>
              <w:rPr>
                <w:rFonts w:asciiTheme="minorHAnsi" w:eastAsia="Times New Roman" w:hAnsiTheme="minorHAnsi" w:cstheme="minorHAnsi"/>
                <w:iCs/>
                <w:noProof/>
                <w:sz w:val="20"/>
              </w:rPr>
            </w:pPr>
          </w:p>
        </w:tc>
        <w:tc>
          <w:tcPr>
            <w:tcW w:w="1714" w:type="dxa"/>
            <w:vMerge/>
            <w:vAlign w:val="center"/>
          </w:tcPr>
          <w:p w14:paraId="0033D195" w14:textId="77777777" w:rsidR="00CD2C59" w:rsidRPr="00890249" w:rsidRDefault="00CD2C59" w:rsidP="00BD498B">
            <w:pPr>
              <w:jc w:val="center"/>
              <w:rPr>
                <w:rFonts w:asciiTheme="minorHAnsi" w:eastAsia="Times New Roman" w:hAnsiTheme="minorHAnsi" w:cstheme="minorHAnsi"/>
                <w:iCs/>
                <w:noProof/>
                <w:sz w:val="20"/>
              </w:rPr>
            </w:pPr>
          </w:p>
        </w:tc>
        <w:tc>
          <w:tcPr>
            <w:tcW w:w="1620" w:type="dxa"/>
            <w:vMerge/>
            <w:vAlign w:val="center"/>
          </w:tcPr>
          <w:p w14:paraId="5EFBE5EB" w14:textId="77777777" w:rsidR="00CD2C59" w:rsidRPr="00890249" w:rsidRDefault="00CD2C59" w:rsidP="00BD498B">
            <w:pPr>
              <w:jc w:val="center"/>
              <w:rPr>
                <w:rFonts w:asciiTheme="minorHAnsi" w:eastAsia="Times New Roman" w:hAnsiTheme="minorHAnsi" w:cstheme="minorHAnsi"/>
                <w:iCs/>
                <w:noProof/>
                <w:sz w:val="20"/>
              </w:rPr>
            </w:pPr>
          </w:p>
        </w:tc>
        <w:tc>
          <w:tcPr>
            <w:tcW w:w="1022" w:type="dxa"/>
          </w:tcPr>
          <w:p w14:paraId="00B06054" w14:textId="2F44E1DC" w:rsidR="00CD2C59" w:rsidRPr="00890249" w:rsidRDefault="00CD2C59" w:rsidP="00BD498B">
            <w:pPr>
              <w:jc w:val="center"/>
              <w:rPr>
                <w:rFonts w:asciiTheme="minorHAnsi" w:eastAsia="Times New Roman" w:hAnsiTheme="minorHAnsi" w:cstheme="minorHAnsi"/>
                <w:iCs/>
                <w:noProof/>
                <w:sz w:val="20"/>
              </w:rPr>
            </w:pPr>
            <w:r w:rsidRPr="00CD2C59">
              <w:rPr>
                <w:rFonts w:asciiTheme="minorHAnsi" w:eastAsia="Times New Roman" w:hAnsiTheme="minorHAnsi" w:cstheme="minorHAnsi"/>
                <w:iCs/>
                <w:noProof/>
                <w:sz w:val="20"/>
              </w:rPr>
              <w:t>122 Infrastruktura na potrzeby szkolnictwa podstawowego i średniego</w:t>
            </w:r>
          </w:p>
        </w:tc>
        <w:tc>
          <w:tcPr>
            <w:tcW w:w="2349" w:type="dxa"/>
          </w:tcPr>
          <w:p w14:paraId="096C38AE" w14:textId="5E11BB91" w:rsidR="00CD2C59" w:rsidRPr="00890249" w:rsidDel="00097045" w:rsidRDefault="00CD2C59"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420 000</w:t>
            </w:r>
          </w:p>
        </w:tc>
      </w:tr>
      <w:tr w:rsidR="00CD2C59" w:rsidRPr="00890249" w14:paraId="228ADA01" w14:textId="77777777" w:rsidTr="00044CE1">
        <w:tc>
          <w:tcPr>
            <w:tcW w:w="1566" w:type="dxa"/>
            <w:vMerge/>
            <w:vAlign w:val="center"/>
          </w:tcPr>
          <w:p w14:paraId="65E9BF27" w14:textId="77777777" w:rsidR="00CD2C59" w:rsidRPr="00890249" w:rsidRDefault="00CD2C59" w:rsidP="00BD498B">
            <w:pPr>
              <w:jc w:val="center"/>
              <w:rPr>
                <w:rFonts w:asciiTheme="minorHAnsi" w:eastAsia="Times New Roman" w:hAnsiTheme="minorHAnsi" w:cstheme="minorHAnsi"/>
                <w:iCs/>
                <w:noProof/>
                <w:sz w:val="20"/>
              </w:rPr>
            </w:pPr>
          </w:p>
        </w:tc>
        <w:tc>
          <w:tcPr>
            <w:tcW w:w="1051" w:type="dxa"/>
            <w:vMerge/>
            <w:vAlign w:val="center"/>
          </w:tcPr>
          <w:p w14:paraId="53571827" w14:textId="77777777" w:rsidR="00CD2C59" w:rsidRPr="00890249" w:rsidRDefault="00CD2C59" w:rsidP="00BD498B">
            <w:pPr>
              <w:jc w:val="center"/>
              <w:rPr>
                <w:rFonts w:asciiTheme="minorHAnsi" w:eastAsia="Times New Roman" w:hAnsiTheme="minorHAnsi" w:cstheme="minorHAnsi"/>
                <w:iCs/>
                <w:noProof/>
                <w:sz w:val="20"/>
              </w:rPr>
            </w:pPr>
          </w:p>
        </w:tc>
        <w:tc>
          <w:tcPr>
            <w:tcW w:w="1714" w:type="dxa"/>
            <w:vMerge/>
            <w:vAlign w:val="center"/>
          </w:tcPr>
          <w:p w14:paraId="4F4679F7" w14:textId="77777777" w:rsidR="00CD2C59" w:rsidRPr="00890249" w:rsidRDefault="00CD2C59" w:rsidP="00BD498B">
            <w:pPr>
              <w:jc w:val="center"/>
              <w:rPr>
                <w:rFonts w:asciiTheme="minorHAnsi" w:eastAsia="Times New Roman" w:hAnsiTheme="minorHAnsi" w:cstheme="minorHAnsi"/>
                <w:iCs/>
                <w:noProof/>
                <w:sz w:val="20"/>
              </w:rPr>
            </w:pPr>
          </w:p>
        </w:tc>
        <w:tc>
          <w:tcPr>
            <w:tcW w:w="1620" w:type="dxa"/>
            <w:vMerge/>
            <w:vAlign w:val="center"/>
          </w:tcPr>
          <w:p w14:paraId="5DC1E4DA" w14:textId="77777777" w:rsidR="00CD2C59" w:rsidRPr="00890249" w:rsidRDefault="00CD2C59" w:rsidP="00BD498B">
            <w:pPr>
              <w:jc w:val="center"/>
              <w:rPr>
                <w:rFonts w:asciiTheme="minorHAnsi" w:eastAsia="Times New Roman" w:hAnsiTheme="minorHAnsi" w:cstheme="minorHAnsi"/>
                <w:iCs/>
                <w:noProof/>
                <w:sz w:val="20"/>
              </w:rPr>
            </w:pPr>
          </w:p>
        </w:tc>
        <w:tc>
          <w:tcPr>
            <w:tcW w:w="1022" w:type="dxa"/>
          </w:tcPr>
          <w:p w14:paraId="72755D27" w14:textId="23B2EC24" w:rsidR="00CD2C59" w:rsidRPr="00890249" w:rsidRDefault="00CD2C59" w:rsidP="00BD498B">
            <w:pPr>
              <w:jc w:val="center"/>
              <w:rPr>
                <w:rFonts w:asciiTheme="minorHAnsi" w:eastAsia="Times New Roman" w:hAnsiTheme="minorHAnsi" w:cstheme="minorHAnsi"/>
                <w:iCs/>
                <w:noProof/>
                <w:sz w:val="20"/>
              </w:rPr>
            </w:pPr>
            <w:r w:rsidRPr="00CD2C59">
              <w:rPr>
                <w:rFonts w:asciiTheme="minorHAnsi" w:eastAsia="Times New Roman" w:hAnsiTheme="minorHAnsi" w:cstheme="minorHAnsi"/>
                <w:iCs/>
                <w:noProof/>
                <w:sz w:val="20"/>
              </w:rPr>
              <w:t>124 Infrastruktura na potrzeby kształcenia i szkolenia zawodowego oraz edukcji dorosłych</w:t>
            </w:r>
          </w:p>
        </w:tc>
        <w:tc>
          <w:tcPr>
            <w:tcW w:w="2349" w:type="dxa"/>
          </w:tcPr>
          <w:p w14:paraId="1B8398D5" w14:textId="31F5455F" w:rsidR="00CD2C59" w:rsidRPr="00890249" w:rsidDel="00097045" w:rsidRDefault="00CD2C59"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420 000</w:t>
            </w:r>
          </w:p>
        </w:tc>
      </w:tr>
      <w:tr w:rsidR="00BF2160" w:rsidRPr="00890249" w14:paraId="120ED581" w14:textId="77777777" w:rsidTr="00044CE1">
        <w:tc>
          <w:tcPr>
            <w:tcW w:w="1566" w:type="dxa"/>
            <w:vMerge/>
            <w:vAlign w:val="center"/>
          </w:tcPr>
          <w:p w14:paraId="54CD47B3" w14:textId="77777777" w:rsidR="00BF2160" w:rsidRPr="00890249" w:rsidRDefault="00BF2160" w:rsidP="00BD498B">
            <w:pPr>
              <w:jc w:val="center"/>
              <w:rPr>
                <w:rFonts w:asciiTheme="minorHAnsi" w:eastAsia="Times New Roman" w:hAnsiTheme="minorHAnsi" w:cstheme="minorHAnsi"/>
                <w:iCs/>
                <w:noProof/>
                <w:sz w:val="20"/>
              </w:rPr>
            </w:pPr>
          </w:p>
        </w:tc>
        <w:tc>
          <w:tcPr>
            <w:tcW w:w="1051" w:type="dxa"/>
            <w:vMerge/>
            <w:vAlign w:val="center"/>
          </w:tcPr>
          <w:p w14:paraId="624478B0" w14:textId="77777777" w:rsidR="00BF2160" w:rsidRPr="00890249" w:rsidRDefault="00BF2160" w:rsidP="00BD498B">
            <w:pPr>
              <w:jc w:val="center"/>
              <w:rPr>
                <w:rFonts w:asciiTheme="minorHAnsi" w:eastAsia="Times New Roman" w:hAnsiTheme="minorHAnsi" w:cstheme="minorHAnsi"/>
                <w:iCs/>
                <w:noProof/>
                <w:sz w:val="20"/>
              </w:rPr>
            </w:pPr>
          </w:p>
        </w:tc>
        <w:tc>
          <w:tcPr>
            <w:tcW w:w="1714" w:type="dxa"/>
            <w:vMerge/>
            <w:vAlign w:val="center"/>
          </w:tcPr>
          <w:p w14:paraId="77D6EFE5" w14:textId="77777777" w:rsidR="00BF2160" w:rsidRPr="00890249" w:rsidRDefault="00BF2160" w:rsidP="00BD498B">
            <w:pPr>
              <w:jc w:val="center"/>
              <w:rPr>
                <w:rFonts w:asciiTheme="minorHAnsi" w:eastAsia="Times New Roman" w:hAnsiTheme="minorHAnsi" w:cstheme="minorHAnsi"/>
                <w:iCs/>
                <w:noProof/>
                <w:sz w:val="20"/>
              </w:rPr>
            </w:pPr>
          </w:p>
        </w:tc>
        <w:tc>
          <w:tcPr>
            <w:tcW w:w="1620" w:type="dxa"/>
            <w:vMerge/>
            <w:vAlign w:val="center"/>
          </w:tcPr>
          <w:p w14:paraId="0BBE1CFB" w14:textId="77777777" w:rsidR="00BF2160" w:rsidRPr="00890249" w:rsidRDefault="00BF2160" w:rsidP="00BD498B">
            <w:pPr>
              <w:jc w:val="center"/>
              <w:rPr>
                <w:rFonts w:asciiTheme="minorHAnsi" w:eastAsia="Times New Roman" w:hAnsiTheme="minorHAnsi" w:cstheme="minorHAnsi"/>
                <w:iCs/>
                <w:noProof/>
                <w:sz w:val="20"/>
              </w:rPr>
            </w:pPr>
          </w:p>
        </w:tc>
        <w:tc>
          <w:tcPr>
            <w:tcW w:w="1022" w:type="dxa"/>
          </w:tcPr>
          <w:p w14:paraId="176A752B"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127</w:t>
            </w:r>
            <w:r w:rsidR="00AD33F4" w:rsidRPr="00890249">
              <w:rPr>
                <w:rFonts w:asciiTheme="minorHAnsi" w:eastAsia="Times New Roman" w:hAnsiTheme="minorHAnsi" w:cstheme="minorHAnsi"/>
                <w:iCs/>
                <w:noProof/>
                <w:sz w:val="20"/>
              </w:rPr>
              <w:t xml:space="preserve"> Pozostała infrastruktura społeczna przyczyniająca się do włączenia społecznego</w:t>
            </w:r>
          </w:p>
        </w:tc>
        <w:tc>
          <w:tcPr>
            <w:tcW w:w="2349" w:type="dxa"/>
          </w:tcPr>
          <w:p w14:paraId="6A1DBDFF" w14:textId="162CF975" w:rsidR="00BF2160" w:rsidRPr="00890249" w:rsidRDefault="00097045"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5 970 000</w:t>
            </w:r>
          </w:p>
        </w:tc>
      </w:tr>
      <w:tr w:rsidR="00BF2160" w:rsidRPr="00890249" w14:paraId="5048ABA7" w14:textId="77777777" w:rsidTr="00044CE1">
        <w:tc>
          <w:tcPr>
            <w:tcW w:w="1566" w:type="dxa"/>
            <w:vMerge/>
            <w:vAlign w:val="center"/>
          </w:tcPr>
          <w:p w14:paraId="5E215E9F" w14:textId="77777777" w:rsidR="00BF2160" w:rsidRPr="00890249" w:rsidRDefault="00BF2160" w:rsidP="00BD498B">
            <w:pPr>
              <w:jc w:val="center"/>
              <w:rPr>
                <w:rFonts w:asciiTheme="minorHAnsi" w:eastAsia="Times New Roman" w:hAnsiTheme="minorHAnsi" w:cstheme="minorHAnsi"/>
                <w:iCs/>
                <w:noProof/>
                <w:sz w:val="20"/>
              </w:rPr>
            </w:pPr>
          </w:p>
        </w:tc>
        <w:tc>
          <w:tcPr>
            <w:tcW w:w="1051" w:type="dxa"/>
            <w:vMerge/>
            <w:vAlign w:val="center"/>
          </w:tcPr>
          <w:p w14:paraId="4137F2C5" w14:textId="77777777" w:rsidR="00BF2160" w:rsidRPr="00890249" w:rsidRDefault="00BF2160" w:rsidP="00BD498B">
            <w:pPr>
              <w:jc w:val="center"/>
              <w:rPr>
                <w:rFonts w:asciiTheme="minorHAnsi" w:eastAsia="Times New Roman" w:hAnsiTheme="minorHAnsi" w:cstheme="minorHAnsi"/>
                <w:iCs/>
                <w:noProof/>
                <w:sz w:val="20"/>
              </w:rPr>
            </w:pPr>
          </w:p>
        </w:tc>
        <w:tc>
          <w:tcPr>
            <w:tcW w:w="1714" w:type="dxa"/>
            <w:vMerge/>
            <w:vAlign w:val="center"/>
          </w:tcPr>
          <w:p w14:paraId="1A6956D2" w14:textId="77777777" w:rsidR="00BF2160" w:rsidRPr="00890249" w:rsidRDefault="00BF2160" w:rsidP="00BD498B">
            <w:pPr>
              <w:jc w:val="center"/>
              <w:rPr>
                <w:rFonts w:asciiTheme="minorHAnsi" w:eastAsia="Times New Roman" w:hAnsiTheme="minorHAnsi" w:cstheme="minorHAnsi"/>
                <w:iCs/>
                <w:noProof/>
                <w:sz w:val="20"/>
              </w:rPr>
            </w:pPr>
          </w:p>
        </w:tc>
        <w:tc>
          <w:tcPr>
            <w:tcW w:w="1620" w:type="dxa"/>
            <w:vMerge/>
            <w:vAlign w:val="center"/>
          </w:tcPr>
          <w:p w14:paraId="5634754D" w14:textId="77777777" w:rsidR="00BF2160" w:rsidRPr="00890249" w:rsidRDefault="00BF2160" w:rsidP="00BD498B">
            <w:pPr>
              <w:jc w:val="center"/>
              <w:rPr>
                <w:rFonts w:asciiTheme="minorHAnsi" w:eastAsia="Times New Roman" w:hAnsiTheme="minorHAnsi" w:cstheme="minorHAnsi"/>
                <w:iCs/>
                <w:noProof/>
                <w:sz w:val="20"/>
              </w:rPr>
            </w:pPr>
          </w:p>
        </w:tc>
        <w:tc>
          <w:tcPr>
            <w:tcW w:w="1022" w:type="dxa"/>
          </w:tcPr>
          <w:p w14:paraId="358501F6"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165</w:t>
            </w:r>
            <w:r w:rsidR="00AD33F4" w:rsidRPr="00890249">
              <w:rPr>
                <w:rFonts w:asciiTheme="minorHAnsi" w:eastAsia="Times New Roman" w:hAnsiTheme="minorHAnsi" w:cstheme="minorHAnsi"/>
                <w:iCs/>
                <w:noProof/>
                <w:sz w:val="20"/>
              </w:rPr>
              <w:t xml:space="preserve"> Ochrona, rozwój i promowanie publicznych walorów turystycznych i usług turystycznych</w:t>
            </w:r>
          </w:p>
        </w:tc>
        <w:tc>
          <w:tcPr>
            <w:tcW w:w="2349" w:type="dxa"/>
          </w:tcPr>
          <w:p w14:paraId="4AA8FEED" w14:textId="57D7AA8D" w:rsidR="00BF2160" w:rsidRPr="00890249" w:rsidRDefault="00097045"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3 720 000</w:t>
            </w:r>
          </w:p>
        </w:tc>
      </w:tr>
      <w:tr w:rsidR="00BF2160" w:rsidRPr="00890249" w14:paraId="75CB432C" w14:textId="77777777" w:rsidTr="00044CE1">
        <w:tc>
          <w:tcPr>
            <w:tcW w:w="1566" w:type="dxa"/>
            <w:vMerge/>
            <w:vAlign w:val="center"/>
          </w:tcPr>
          <w:p w14:paraId="0EEE128B" w14:textId="77777777" w:rsidR="00BF2160" w:rsidRPr="00890249" w:rsidRDefault="00BF2160" w:rsidP="00BD498B">
            <w:pPr>
              <w:jc w:val="center"/>
              <w:rPr>
                <w:rFonts w:asciiTheme="minorHAnsi" w:eastAsia="Times New Roman" w:hAnsiTheme="minorHAnsi" w:cstheme="minorHAnsi"/>
                <w:iCs/>
                <w:noProof/>
                <w:sz w:val="20"/>
              </w:rPr>
            </w:pPr>
          </w:p>
        </w:tc>
        <w:tc>
          <w:tcPr>
            <w:tcW w:w="1051" w:type="dxa"/>
            <w:vMerge/>
            <w:vAlign w:val="center"/>
          </w:tcPr>
          <w:p w14:paraId="5E4A0F0C" w14:textId="77777777" w:rsidR="00BF2160" w:rsidRPr="00890249" w:rsidRDefault="00BF2160" w:rsidP="00BD498B">
            <w:pPr>
              <w:jc w:val="center"/>
              <w:rPr>
                <w:rFonts w:asciiTheme="minorHAnsi" w:eastAsia="Times New Roman" w:hAnsiTheme="minorHAnsi" w:cstheme="minorHAnsi"/>
                <w:iCs/>
                <w:noProof/>
                <w:sz w:val="20"/>
              </w:rPr>
            </w:pPr>
          </w:p>
        </w:tc>
        <w:tc>
          <w:tcPr>
            <w:tcW w:w="1714" w:type="dxa"/>
            <w:vMerge/>
            <w:vAlign w:val="center"/>
          </w:tcPr>
          <w:p w14:paraId="5A30342C" w14:textId="77777777" w:rsidR="00BF2160" w:rsidRPr="00890249" w:rsidRDefault="00BF2160" w:rsidP="00BD498B">
            <w:pPr>
              <w:jc w:val="center"/>
              <w:rPr>
                <w:rFonts w:asciiTheme="minorHAnsi" w:eastAsia="Times New Roman" w:hAnsiTheme="minorHAnsi" w:cstheme="minorHAnsi"/>
                <w:iCs/>
                <w:noProof/>
                <w:sz w:val="20"/>
              </w:rPr>
            </w:pPr>
          </w:p>
        </w:tc>
        <w:tc>
          <w:tcPr>
            <w:tcW w:w="1620" w:type="dxa"/>
            <w:vMerge/>
            <w:vAlign w:val="center"/>
          </w:tcPr>
          <w:p w14:paraId="064E5CA5" w14:textId="77777777" w:rsidR="00BF2160" w:rsidRPr="00890249" w:rsidRDefault="00BF2160" w:rsidP="00BD498B">
            <w:pPr>
              <w:jc w:val="center"/>
              <w:rPr>
                <w:rFonts w:asciiTheme="minorHAnsi" w:eastAsia="Times New Roman" w:hAnsiTheme="minorHAnsi" w:cstheme="minorHAnsi"/>
                <w:iCs/>
                <w:noProof/>
                <w:sz w:val="20"/>
              </w:rPr>
            </w:pPr>
          </w:p>
        </w:tc>
        <w:tc>
          <w:tcPr>
            <w:tcW w:w="1022" w:type="dxa"/>
          </w:tcPr>
          <w:p w14:paraId="0744E58F"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166</w:t>
            </w:r>
            <w:r w:rsidR="00AD33F4" w:rsidRPr="00890249">
              <w:rPr>
                <w:rFonts w:asciiTheme="minorHAnsi" w:eastAsia="Times New Roman" w:hAnsiTheme="minorHAnsi" w:cstheme="minorHAnsi"/>
                <w:iCs/>
                <w:noProof/>
                <w:sz w:val="20"/>
              </w:rPr>
              <w:t xml:space="preserve"> Ochrona, rozwój i promowanie dziedzictwa kulturowego i </w:t>
            </w:r>
            <w:r w:rsidR="00AD33F4" w:rsidRPr="00890249">
              <w:rPr>
                <w:rFonts w:asciiTheme="minorHAnsi" w:eastAsia="Times New Roman" w:hAnsiTheme="minorHAnsi" w:cstheme="minorHAnsi"/>
                <w:iCs/>
                <w:noProof/>
                <w:sz w:val="20"/>
              </w:rPr>
              <w:lastRenderedPageBreak/>
              <w:t>usług w dziedzinie kultury</w:t>
            </w:r>
          </w:p>
        </w:tc>
        <w:tc>
          <w:tcPr>
            <w:tcW w:w="2349" w:type="dxa"/>
          </w:tcPr>
          <w:p w14:paraId="79275A97" w14:textId="0934F857" w:rsidR="00BF2160" w:rsidRPr="00890249" w:rsidRDefault="00097045"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 </w:t>
            </w:r>
            <w:r>
              <w:rPr>
                <w:rFonts w:asciiTheme="minorHAnsi" w:eastAsia="Times New Roman" w:hAnsiTheme="minorHAnsi" w:cstheme="minorHAnsi"/>
                <w:iCs/>
                <w:noProof/>
                <w:sz w:val="20"/>
              </w:rPr>
              <w:br/>
              <w:t>13 762 740</w:t>
            </w:r>
          </w:p>
        </w:tc>
      </w:tr>
      <w:tr w:rsidR="00BF2160" w:rsidRPr="00890249" w14:paraId="4B3F6E00" w14:textId="77777777" w:rsidTr="00044CE1">
        <w:tc>
          <w:tcPr>
            <w:tcW w:w="1566" w:type="dxa"/>
            <w:vMerge/>
          </w:tcPr>
          <w:p w14:paraId="11DCD39E" w14:textId="77777777" w:rsidR="00BF2160" w:rsidRPr="00890249" w:rsidRDefault="00BF2160" w:rsidP="00BD498B">
            <w:pPr>
              <w:jc w:val="center"/>
              <w:rPr>
                <w:rFonts w:asciiTheme="minorHAnsi" w:eastAsia="Times New Roman" w:hAnsiTheme="minorHAnsi" w:cstheme="minorHAnsi"/>
                <w:iCs/>
                <w:noProof/>
                <w:sz w:val="20"/>
              </w:rPr>
            </w:pPr>
          </w:p>
        </w:tc>
        <w:tc>
          <w:tcPr>
            <w:tcW w:w="1051" w:type="dxa"/>
            <w:vMerge/>
          </w:tcPr>
          <w:p w14:paraId="5FAF05C6" w14:textId="77777777" w:rsidR="00BF2160" w:rsidRPr="00890249" w:rsidRDefault="00BF2160" w:rsidP="00BD498B">
            <w:pPr>
              <w:jc w:val="center"/>
              <w:rPr>
                <w:rFonts w:asciiTheme="minorHAnsi" w:eastAsia="Times New Roman" w:hAnsiTheme="minorHAnsi" w:cstheme="minorHAnsi"/>
                <w:iCs/>
                <w:noProof/>
                <w:sz w:val="20"/>
              </w:rPr>
            </w:pPr>
          </w:p>
        </w:tc>
        <w:tc>
          <w:tcPr>
            <w:tcW w:w="1714" w:type="dxa"/>
            <w:vMerge/>
          </w:tcPr>
          <w:p w14:paraId="587D71AB" w14:textId="77777777" w:rsidR="00BF2160" w:rsidRPr="00890249" w:rsidRDefault="00BF2160" w:rsidP="00BD498B">
            <w:pPr>
              <w:jc w:val="center"/>
              <w:rPr>
                <w:rFonts w:asciiTheme="minorHAnsi" w:eastAsia="Times New Roman" w:hAnsiTheme="minorHAnsi" w:cstheme="minorHAnsi"/>
                <w:iCs/>
                <w:noProof/>
                <w:sz w:val="20"/>
              </w:rPr>
            </w:pPr>
          </w:p>
        </w:tc>
        <w:tc>
          <w:tcPr>
            <w:tcW w:w="1620" w:type="dxa"/>
            <w:vMerge/>
          </w:tcPr>
          <w:p w14:paraId="5F7E86CF" w14:textId="77777777" w:rsidR="00BF2160" w:rsidRPr="00890249" w:rsidRDefault="00BF2160" w:rsidP="00BD498B">
            <w:pPr>
              <w:jc w:val="center"/>
              <w:rPr>
                <w:rFonts w:asciiTheme="minorHAnsi" w:eastAsia="Times New Roman" w:hAnsiTheme="minorHAnsi" w:cstheme="minorHAnsi"/>
                <w:iCs/>
                <w:noProof/>
                <w:sz w:val="20"/>
              </w:rPr>
            </w:pPr>
          </w:p>
        </w:tc>
        <w:tc>
          <w:tcPr>
            <w:tcW w:w="1022" w:type="dxa"/>
          </w:tcPr>
          <w:p w14:paraId="14069D4D"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167</w:t>
            </w:r>
            <w:r w:rsidR="00AD33F4" w:rsidRPr="00890249">
              <w:rPr>
                <w:rFonts w:asciiTheme="minorHAnsi" w:eastAsia="Times New Roman" w:hAnsiTheme="minorHAnsi" w:cstheme="minorHAnsi"/>
                <w:iCs/>
                <w:noProof/>
                <w:sz w:val="20"/>
              </w:rPr>
              <w:t xml:space="preserve"> Ochrona, rozwój i promowanie dziedzictwa naturalnego i ekoturystyki poza obszarami Natura 2000</w:t>
            </w:r>
          </w:p>
        </w:tc>
        <w:tc>
          <w:tcPr>
            <w:tcW w:w="2349" w:type="dxa"/>
          </w:tcPr>
          <w:p w14:paraId="5CCD4E3D" w14:textId="246B29B0" w:rsidR="00BF2160" w:rsidRPr="00890249" w:rsidRDefault="00097045"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br/>
              <w:t>1 110 000</w:t>
            </w:r>
          </w:p>
        </w:tc>
      </w:tr>
      <w:tr w:rsidR="00BF2160" w:rsidRPr="00890249" w14:paraId="2BDA4981" w14:textId="77777777" w:rsidTr="00044CE1">
        <w:trPr>
          <w:trHeight w:val="336"/>
        </w:trPr>
        <w:tc>
          <w:tcPr>
            <w:tcW w:w="1566" w:type="dxa"/>
            <w:vMerge/>
          </w:tcPr>
          <w:p w14:paraId="5B6BC8CB" w14:textId="77777777" w:rsidR="00BF2160" w:rsidRPr="00890249" w:rsidRDefault="00BF2160" w:rsidP="00BD498B">
            <w:pPr>
              <w:jc w:val="center"/>
              <w:rPr>
                <w:rFonts w:asciiTheme="minorHAnsi" w:eastAsia="Times New Roman" w:hAnsiTheme="minorHAnsi" w:cstheme="minorHAnsi"/>
                <w:iCs/>
                <w:noProof/>
                <w:sz w:val="20"/>
              </w:rPr>
            </w:pPr>
          </w:p>
        </w:tc>
        <w:tc>
          <w:tcPr>
            <w:tcW w:w="1051" w:type="dxa"/>
            <w:vMerge/>
          </w:tcPr>
          <w:p w14:paraId="510308EF" w14:textId="77777777" w:rsidR="00BF2160" w:rsidRPr="00890249" w:rsidRDefault="00BF2160" w:rsidP="00BD498B">
            <w:pPr>
              <w:jc w:val="center"/>
              <w:rPr>
                <w:rFonts w:asciiTheme="minorHAnsi" w:eastAsia="Times New Roman" w:hAnsiTheme="minorHAnsi" w:cstheme="minorHAnsi"/>
                <w:iCs/>
                <w:noProof/>
                <w:sz w:val="20"/>
              </w:rPr>
            </w:pPr>
          </w:p>
        </w:tc>
        <w:tc>
          <w:tcPr>
            <w:tcW w:w="1714" w:type="dxa"/>
            <w:vMerge/>
          </w:tcPr>
          <w:p w14:paraId="7C7A95F5" w14:textId="77777777" w:rsidR="00BF2160" w:rsidRPr="00890249" w:rsidRDefault="00BF2160" w:rsidP="00BD498B">
            <w:pPr>
              <w:jc w:val="center"/>
              <w:rPr>
                <w:rFonts w:asciiTheme="minorHAnsi" w:eastAsia="Times New Roman" w:hAnsiTheme="minorHAnsi" w:cstheme="minorHAnsi"/>
                <w:iCs/>
                <w:noProof/>
                <w:sz w:val="20"/>
              </w:rPr>
            </w:pPr>
          </w:p>
        </w:tc>
        <w:tc>
          <w:tcPr>
            <w:tcW w:w="1620" w:type="dxa"/>
            <w:vMerge/>
          </w:tcPr>
          <w:p w14:paraId="05D7CFBE" w14:textId="77777777" w:rsidR="00BF2160" w:rsidRPr="00890249" w:rsidRDefault="00BF2160" w:rsidP="00BD498B">
            <w:pPr>
              <w:jc w:val="center"/>
              <w:rPr>
                <w:rFonts w:asciiTheme="minorHAnsi" w:eastAsia="Times New Roman" w:hAnsiTheme="minorHAnsi" w:cstheme="minorHAnsi"/>
                <w:iCs/>
                <w:noProof/>
                <w:sz w:val="20"/>
              </w:rPr>
            </w:pPr>
          </w:p>
        </w:tc>
        <w:tc>
          <w:tcPr>
            <w:tcW w:w="1022" w:type="dxa"/>
          </w:tcPr>
          <w:p w14:paraId="434969B1"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168</w:t>
            </w:r>
            <w:r w:rsidR="00AD33F4" w:rsidRPr="00890249">
              <w:rPr>
                <w:rFonts w:asciiTheme="minorHAnsi" w:eastAsia="Times New Roman" w:hAnsiTheme="minorHAnsi" w:cstheme="minorHAnsi"/>
                <w:iCs/>
                <w:noProof/>
                <w:sz w:val="20"/>
              </w:rPr>
              <w:t xml:space="preserve"> Fizyczna odnowa i bezpieczeństwo przestrzeni publicznych</w:t>
            </w:r>
          </w:p>
        </w:tc>
        <w:tc>
          <w:tcPr>
            <w:tcW w:w="2349" w:type="dxa"/>
          </w:tcPr>
          <w:p w14:paraId="72687195" w14:textId="4F109C29" w:rsidR="00BF2160" w:rsidRPr="00890249" w:rsidRDefault="00A8116E" w:rsidP="00BD498B">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12 025 000 </w:t>
            </w:r>
          </w:p>
        </w:tc>
      </w:tr>
      <w:tr w:rsidR="00BF2160" w:rsidRPr="00890249" w14:paraId="5BFF56FC" w14:textId="77777777" w:rsidTr="00044CE1">
        <w:trPr>
          <w:trHeight w:val="336"/>
        </w:trPr>
        <w:tc>
          <w:tcPr>
            <w:tcW w:w="1566" w:type="dxa"/>
            <w:vMerge/>
          </w:tcPr>
          <w:p w14:paraId="7042B4C0" w14:textId="77777777" w:rsidR="00BF2160" w:rsidRPr="00890249" w:rsidRDefault="00BF2160" w:rsidP="00BD498B">
            <w:pPr>
              <w:jc w:val="center"/>
              <w:rPr>
                <w:rFonts w:asciiTheme="minorHAnsi" w:eastAsia="Times New Roman" w:hAnsiTheme="minorHAnsi" w:cstheme="minorHAnsi"/>
                <w:iCs/>
                <w:noProof/>
                <w:sz w:val="20"/>
              </w:rPr>
            </w:pPr>
          </w:p>
        </w:tc>
        <w:tc>
          <w:tcPr>
            <w:tcW w:w="1051" w:type="dxa"/>
            <w:vMerge/>
          </w:tcPr>
          <w:p w14:paraId="4A1D1040" w14:textId="77777777" w:rsidR="00BF2160" w:rsidRPr="00890249" w:rsidRDefault="00BF2160" w:rsidP="00BD498B">
            <w:pPr>
              <w:jc w:val="center"/>
              <w:rPr>
                <w:rFonts w:asciiTheme="minorHAnsi" w:eastAsia="Times New Roman" w:hAnsiTheme="minorHAnsi" w:cstheme="minorHAnsi"/>
                <w:iCs/>
                <w:noProof/>
                <w:sz w:val="20"/>
              </w:rPr>
            </w:pPr>
          </w:p>
        </w:tc>
        <w:tc>
          <w:tcPr>
            <w:tcW w:w="1714" w:type="dxa"/>
            <w:vMerge/>
          </w:tcPr>
          <w:p w14:paraId="580553AC" w14:textId="77777777" w:rsidR="00BF2160" w:rsidRPr="00890249" w:rsidRDefault="00BF2160" w:rsidP="00BD498B">
            <w:pPr>
              <w:jc w:val="center"/>
              <w:rPr>
                <w:rFonts w:asciiTheme="minorHAnsi" w:eastAsia="Times New Roman" w:hAnsiTheme="minorHAnsi" w:cstheme="minorHAnsi"/>
                <w:iCs/>
                <w:noProof/>
                <w:sz w:val="20"/>
              </w:rPr>
            </w:pPr>
          </w:p>
        </w:tc>
        <w:tc>
          <w:tcPr>
            <w:tcW w:w="1620" w:type="dxa"/>
            <w:vMerge/>
          </w:tcPr>
          <w:p w14:paraId="5F67C0F4" w14:textId="77777777" w:rsidR="00BF2160" w:rsidRPr="00890249" w:rsidRDefault="00BF2160" w:rsidP="00BD498B">
            <w:pPr>
              <w:jc w:val="center"/>
              <w:rPr>
                <w:rFonts w:asciiTheme="minorHAnsi" w:eastAsia="Times New Roman" w:hAnsiTheme="minorHAnsi" w:cstheme="minorHAnsi"/>
                <w:iCs/>
                <w:noProof/>
                <w:sz w:val="20"/>
              </w:rPr>
            </w:pPr>
          </w:p>
        </w:tc>
        <w:tc>
          <w:tcPr>
            <w:tcW w:w="1022" w:type="dxa"/>
          </w:tcPr>
          <w:p w14:paraId="2A6237D2" w14:textId="77777777" w:rsidR="00BF2160" w:rsidRPr="00890249" w:rsidRDefault="00BF2160"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172</w:t>
            </w:r>
            <w:r w:rsidR="00AD33F4" w:rsidRPr="00890249">
              <w:rPr>
                <w:rFonts w:asciiTheme="minorHAnsi" w:eastAsia="Times New Roman" w:hAnsiTheme="minorHAnsi" w:cstheme="minorHAnsi"/>
                <w:iCs/>
                <w:noProof/>
                <w:sz w:val="20"/>
              </w:rPr>
              <w:t xml:space="preserve"> Finansowanie krzyzowe w ramach EFRR (wsparcie dla działań typowych dla EFS+ koniecznych do wdrożenia części operacji objętej EFRR i bezpośrednio z nią związanych)</w:t>
            </w:r>
          </w:p>
        </w:tc>
        <w:tc>
          <w:tcPr>
            <w:tcW w:w="2349" w:type="dxa"/>
          </w:tcPr>
          <w:p w14:paraId="15042B57" w14:textId="166B33ED" w:rsidR="00BF2160" w:rsidRPr="00890249" w:rsidRDefault="00097045" w:rsidP="00BD498B">
            <w:pPr>
              <w:jc w:val="right"/>
              <w:rPr>
                <w:rFonts w:asciiTheme="minorHAnsi" w:eastAsia="Times New Roman" w:hAnsiTheme="minorHAnsi" w:cstheme="minorHAnsi"/>
                <w:iCs/>
                <w:noProof/>
                <w:sz w:val="20"/>
              </w:rPr>
            </w:pPr>
            <w:r>
              <w:rPr>
                <w:rFonts w:asciiTheme="minorHAnsi" w:eastAsia="Times New Roman" w:hAnsiTheme="minorHAnsi" w:cstheme="minorHAnsi"/>
                <w:iCs/>
                <w:noProof/>
                <w:sz w:val="20"/>
              </w:rPr>
              <w:t> </w:t>
            </w:r>
            <w:r>
              <w:rPr>
                <w:rFonts w:asciiTheme="minorHAnsi" w:eastAsia="Times New Roman" w:hAnsiTheme="minorHAnsi" w:cstheme="minorHAnsi"/>
                <w:iCs/>
                <w:noProof/>
                <w:sz w:val="20"/>
              </w:rPr>
              <w:br/>
              <w:t>1 135 000</w:t>
            </w:r>
          </w:p>
        </w:tc>
      </w:tr>
    </w:tbl>
    <w:p w14:paraId="6DB8EC18" w14:textId="77777777" w:rsidR="00BD498B" w:rsidRPr="00890249" w:rsidRDefault="00BD498B" w:rsidP="00BD498B">
      <w:pPr>
        <w:spacing w:after="0"/>
        <w:rPr>
          <w:rFonts w:asciiTheme="minorHAnsi" w:eastAsia="Times New Roman" w:hAnsiTheme="minorHAnsi" w:cstheme="minorHAnsi"/>
          <w:b/>
          <w:iCs/>
          <w:noProof/>
          <w:szCs w:val="24"/>
        </w:rPr>
      </w:pPr>
    </w:p>
    <w:tbl>
      <w:tblPr>
        <w:tblStyle w:val="Tabela-Siatka"/>
        <w:tblW w:w="9351" w:type="dxa"/>
        <w:tblLook w:val="04A0" w:firstRow="1" w:lastRow="0" w:firstColumn="1" w:lastColumn="0" w:noHBand="0" w:noVBand="1"/>
      </w:tblPr>
      <w:tblGrid>
        <w:gridCol w:w="1566"/>
        <w:gridCol w:w="1051"/>
        <w:gridCol w:w="1714"/>
        <w:gridCol w:w="1620"/>
        <w:gridCol w:w="1022"/>
        <w:gridCol w:w="2378"/>
      </w:tblGrid>
      <w:tr w:rsidR="00BD498B" w:rsidRPr="00890249" w14:paraId="2324224D" w14:textId="77777777" w:rsidTr="00501A25">
        <w:tc>
          <w:tcPr>
            <w:tcW w:w="9351" w:type="dxa"/>
            <w:gridSpan w:val="6"/>
            <w:shd w:val="clear" w:color="auto" w:fill="D9D9D9" w:themeFill="background1" w:themeFillShade="D9"/>
          </w:tcPr>
          <w:p w14:paraId="6A4639CB" w14:textId="77777777" w:rsidR="00BD498B" w:rsidRPr="00890249" w:rsidRDefault="00BD498B" w:rsidP="00BD498B">
            <w:pPr>
              <w:rPr>
                <w:rFonts w:asciiTheme="minorHAnsi" w:eastAsia="Times New Roman" w:hAnsiTheme="minorHAnsi" w:cstheme="minorHAnsi"/>
                <w:b/>
                <w:iCs/>
                <w:noProof/>
                <w:sz w:val="20"/>
              </w:rPr>
            </w:pPr>
            <w:r w:rsidRPr="00890249">
              <w:rPr>
                <w:rFonts w:asciiTheme="minorHAnsi" w:hAnsiTheme="minorHAnsi" w:cstheme="minorHAnsi"/>
                <w:b/>
                <w:noProof/>
                <w:sz w:val="20"/>
              </w:rPr>
              <w:t>Tabela 5: Wymiar 2 – forma finansowania</w:t>
            </w:r>
          </w:p>
        </w:tc>
      </w:tr>
      <w:tr w:rsidR="00BD498B" w:rsidRPr="00890249" w14:paraId="0DAC06F5" w14:textId="77777777" w:rsidTr="00501A25">
        <w:tc>
          <w:tcPr>
            <w:tcW w:w="1566" w:type="dxa"/>
            <w:shd w:val="clear" w:color="auto" w:fill="F2F2F2" w:themeFill="background1" w:themeFillShade="F2"/>
          </w:tcPr>
          <w:p w14:paraId="3C44999F"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2EC644B3"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4" w:type="dxa"/>
            <w:shd w:val="clear" w:color="auto" w:fill="F2F2F2" w:themeFill="background1" w:themeFillShade="F2"/>
          </w:tcPr>
          <w:p w14:paraId="07465C00"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31441EBA"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1D5B9E4A"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78" w:type="dxa"/>
            <w:shd w:val="clear" w:color="auto" w:fill="F2F2F2" w:themeFill="background1" w:themeFillShade="F2"/>
          </w:tcPr>
          <w:p w14:paraId="5ED432C1"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498B" w:rsidRPr="00890249" w14:paraId="19E387D1" w14:textId="77777777" w:rsidTr="00890249">
        <w:tc>
          <w:tcPr>
            <w:tcW w:w="1566" w:type="dxa"/>
            <w:vAlign w:val="center"/>
          </w:tcPr>
          <w:p w14:paraId="1B93AD9D"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5</w:t>
            </w:r>
          </w:p>
        </w:tc>
        <w:tc>
          <w:tcPr>
            <w:tcW w:w="1051" w:type="dxa"/>
            <w:vAlign w:val="center"/>
          </w:tcPr>
          <w:p w14:paraId="0B7813E4"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14" w:type="dxa"/>
            <w:vAlign w:val="center"/>
          </w:tcPr>
          <w:p w14:paraId="189FB99E" w14:textId="4B43B42D"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w:t>
            </w:r>
            <w:r w:rsidR="001D4A19"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20" w:type="dxa"/>
            <w:vAlign w:val="center"/>
          </w:tcPr>
          <w:p w14:paraId="42A0A72F"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22" w:type="dxa"/>
          </w:tcPr>
          <w:p w14:paraId="283A862D" w14:textId="77777777" w:rsidR="00BD498B" w:rsidRPr="00890249" w:rsidRDefault="00BD498B" w:rsidP="00BD498B">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01</w:t>
            </w:r>
            <w:r w:rsidR="00AD33F4" w:rsidRPr="00890249">
              <w:rPr>
                <w:rFonts w:asciiTheme="minorHAnsi" w:eastAsia="Times New Roman" w:hAnsiTheme="minorHAnsi" w:cstheme="minorHAnsi"/>
                <w:iCs/>
                <w:noProof/>
                <w:sz w:val="20"/>
              </w:rPr>
              <w:t xml:space="preserve"> Dotacja</w:t>
            </w:r>
          </w:p>
        </w:tc>
        <w:tc>
          <w:tcPr>
            <w:tcW w:w="2378" w:type="dxa"/>
          </w:tcPr>
          <w:p w14:paraId="683A267D" w14:textId="7F63EFAC" w:rsidR="00BD498B" w:rsidRPr="00890249" w:rsidRDefault="007F5F9F" w:rsidP="00BD498B">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40 842 740</w:t>
            </w:r>
          </w:p>
        </w:tc>
      </w:tr>
    </w:tbl>
    <w:p w14:paraId="48DE20D0" w14:textId="77777777" w:rsidR="00BD498B" w:rsidRPr="00890249" w:rsidRDefault="00BD498B" w:rsidP="00BD498B">
      <w:pPr>
        <w:spacing w:after="0"/>
        <w:rPr>
          <w:rFonts w:asciiTheme="minorHAnsi" w:eastAsia="Times New Roman" w:hAnsiTheme="minorHAnsi" w:cstheme="minorHAnsi"/>
          <w:b/>
          <w:iCs/>
          <w:noProof/>
          <w:szCs w:val="24"/>
        </w:rPr>
      </w:pPr>
    </w:p>
    <w:tbl>
      <w:tblPr>
        <w:tblStyle w:val="Tabela-Siatka"/>
        <w:tblW w:w="9322" w:type="dxa"/>
        <w:tblLook w:val="04A0" w:firstRow="1" w:lastRow="0" w:firstColumn="1" w:lastColumn="0" w:noHBand="0" w:noVBand="1"/>
      </w:tblPr>
      <w:tblGrid>
        <w:gridCol w:w="1554"/>
        <w:gridCol w:w="1047"/>
        <w:gridCol w:w="1702"/>
        <w:gridCol w:w="1611"/>
        <w:gridCol w:w="1098"/>
        <w:gridCol w:w="2310"/>
      </w:tblGrid>
      <w:tr w:rsidR="00BD498B" w:rsidRPr="00890249" w14:paraId="14610ECE" w14:textId="77777777" w:rsidTr="00044CE1">
        <w:tc>
          <w:tcPr>
            <w:tcW w:w="9322" w:type="dxa"/>
            <w:gridSpan w:val="6"/>
            <w:shd w:val="clear" w:color="auto" w:fill="D9D9D9" w:themeFill="background1" w:themeFillShade="D9"/>
          </w:tcPr>
          <w:p w14:paraId="0C9D94C5" w14:textId="71212DDF" w:rsidR="00BD498B" w:rsidRPr="00890249" w:rsidRDefault="00F71FF4" w:rsidP="00F71FF4">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w:t>
            </w:r>
            <w:r w:rsidR="00E6186D">
              <w:rPr>
                <w:rFonts w:asciiTheme="minorHAnsi" w:hAnsiTheme="minorHAnsi" w:cstheme="minorHAnsi"/>
                <w:b/>
                <w:noProof/>
                <w:sz w:val="20"/>
              </w:rPr>
              <w:t>6</w:t>
            </w:r>
            <w:r w:rsidR="00BD498B" w:rsidRPr="00890249">
              <w:rPr>
                <w:rFonts w:asciiTheme="minorHAnsi" w:hAnsiTheme="minorHAnsi" w:cstheme="minorHAnsi"/>
                <w:b/>
                <w:noProof/>
                <w:sz w:val="20"/>
              </w:rPr>
              <w:t xml:space="preserve">: Wymiar </w:t>
            </w:r>
            <w:r w:rsidR="001206F6">
              <w:rPr>
                <w:rFonts w:asciiTheme="minorHAnsi" w:hAnsiTheme="minorHAnsi" w:cstheme="minorHAnsi"/>
                <w:b/>
                <w:noProof/>
                <w:sz w:val="20"/>
              </w:rPr>
              <w:t xml:space="preserve">3  </w:t>
            </w:r>
            <w:r w:rsidR="00BD498B" w:rsidRPr="00890249">
              <w:rPr>
                <w:rFonts w:asciiTheme="minorHAnsi" w:hAnsiTheme="minorHAnsi" w:cstheme="minorHAnsi"/>
                <w:b/>
                <w:noProof/>
                <w:sz w:val="20"/>
              </w:rPr>
              <w:t>– terytorialny mechanizm realizacji i ukierunkowanie terytorialne</w:t>
            </w:r>
          </w:p>
        </w:tc>
      </w:tr>
      <w:tr w:rsidR="00BD498B" w:rsidRPr="00890249" w14:paraId="39FE6B16" w14:textId="77777777" w:rsidTr="00890249">
        <w:tc>
          <w:tcPr>
            <w:tcW w:w="1554" w:type="dxa"/>
            <w:shd w:val="clear" w:color="auto" w:fill="F2F2F2" w:themeFill="background1" w:themeFillShade="F2"/>
          </w:tcPr>
          <w:p w14:paraId="6A81A204"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47" w:type="dxa"/>
            <w:shd w:val="clear" w:color="auto" w:fill="F2F2F2" w:themeFill="background1" w:themeFillShade="F2"/>
          </w:tcPr>
          <w:p w14:paraId="0A31619A"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02" w:type="dxa"/>
            <w:shd w:val="clear" w:color="auto" w:fill="F2F2F2" w:themeFill="background1" w:themeFillShade="F2"/>
          </w:tcPr>
          <w:p w14:paraId="237A04DF"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11" w:type="dxa"/>
            <w:shd w:val="clear" w:color="auto" w:fill="F2F2F2" w:themeFill="background1" w:themeFillShade="F2"/>
          </w:tcPr>
          <w:p w14:paraId="1B19B422"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98" w:type="dxa"/>
            <w:shd w:val="clear" w:color="auto" w:fill="F2F2F2" w:themeFill="background1" w:themeFillShade="F2"/>
          </w:tcPr>
          <w:p w14:paraId="44203D04" w14:textId="350759C4"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10" w:type="dxa"/>
            <w:shd w:val="clear" w:color="auto" w:fill="F2F2F2" w:themeFill="background1" w:themeFillShade="F2"/>
          </w:tcPr>
          <w:p w14:paraId="23D192EE"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93273F" w:rsidRPr="00890249" w14:paraId="4584C0DB" w14:textId="77777777" w:rsidTr="00890249">
        <w:trPr>
          <w:trHeight w:val="982"/>
        </w:trPr>
        <w:tc>
          <w:tcPr>
            <w:tcW w:w="1554" w:type="dxa"/>
            <w:vAlign w:val="center"/>
          </w:tcPr>
          <w:p w14:paraId="705EEE6D" w14:textId="77777777" w:rsidR="0093273F" w:rsidRPr="00890249" w:rsidRDefault="0093273F" w:rsidP="00F71FF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CP 5</w:t>
            </w:r>
          </w:p>
        </w:tc>
        <w:tc>
          <w:tcPr>
            <w:tcW w:w="1047" w:type="dxa"/>
            <w:vAlign w:val="center"/>
          </w:tcPr>
          <w:p w14:paraId="04EDB7B9" w14:textId="77777777" w:rsidR="0093273F" w:rsidRPr="00890249" w:rsidRDefault="0093273F" w:rsidP="00F71FF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w:t>
            </w:r>
          </w:p>
        </w:tc>
        <w:tc>
          <w:tcPr>
            <w:tcW w:w="1702" w:type="dxa"/>
            <w:vAlign w:val="center"/>
          </w:tcPr>
          <w:p w14:paraId="2EADEBE1" w14:textId="37EE84B5" w:rsidR="0093273F" w:rsidRPr="00890249" w:rsidRDefault="0093273F" w:rsidP="00F71FF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Słabiej rozwinięte</w:t>
            </w:r>
          </w:p>
        </w:tc>
        <w:tc>
          <w:tcPr>
            <w:tcW w:w="1611" w:type="dxa"/>
            <w:vAlign w:val="center"/>
          </w:tcPr>
          <w:p w14:paraId="613EEF01" w14:textId="77777777" w:rsidR="0093273F" w:rsidRPr="00890249" w:rsidRDefault="0093273F" w:rsidP="00F71FF4">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(ii)</w:t>
            </w:r>
          </w:p>
        </w:tc>
        <w:tc>
          <w:tcPr>
            <w:tcW w:w="1098" w:type="dxa"/>
          </w:tcPr>
          <w:p w14:paraId="7E82055F" w14:textId="64F1368B" w:rsidR="0093273F" w:rsidRPr="00890249" w:rsidRDefault="0093273F">
            <w:pPr>
              <w:jc w:val="center"/>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20 Obszary wiejskie</w:t>
            </w:r>
          </w:p>
        </w:tc>
        <w:tc>
          <w:tcPr>
            <w:tcW w:w="2310" w:type="dxa"/>
          </w:tcPr>
          <w:p w14:paraId="08D098DB" w14:textId="1B565846" w:rsidR="0093273F" w:rsidRPr="00890249" w:rsidRDefault="007F5F9F">
            <w:pPr>
              <w:jc w:val="righ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40 842 740</w:t>
            </w:r>
          </w:p>
        </w:tc>
      </w:tr>
    </w:tbl>
    <w:p w14:paraId="02A129B1" w14:textId="5A852682" w:rsidR="0093433C" w:rsidRPr="00890249" w:rsidRDefault="0093433C" w:rsidP="00890249">
      <w:pPr>
        <w:pStyle w:val="Legenda"/>
        <w:rPr>
          <w:rFonts w:asciiTheme="minorHAnsi" w:hAnsiTheme="minorHAnsi" w:cstheme="minorHAnsi"/>
          <w:noProof/>
        </w:rPr>
      </w:pPr>
    </w:p>
    <w:tbl>
      <w:tblPr>
        <w:tblStyle w:val="Tabela-Siatka"/>
        <w:tblW w:w="9351" w:type="dxa"/>
        <w:tblLook w:val="04A0" w:firstRow="1" w:lastRow="0" w:firstColumn="1" w:lastColumn="0" w:noHBand="0" w:noVBand="1"/>
      </w:tblPr>
      <w:tblGrid>
        <w:gridCol w:w="1566"/>
        <w:gridCol w:w="1051"/>
        <w:gridCol w:w="1715"/>
        <w:gridCol w:w="1620"/>
        <w:gridCol w:w="1022"/>
        <w:gridCol w:w="2377"/>
      </w:tblGrid>
      <w:tr w:rsidR="00BD498B" w:rsidRPr="00890249" w14:paraId="4812EF1E" w14:textId="77777777" w:rsidTr="00501A25">
        <w:tc>
          <w:tcPr>
            <w:tcW w:w="9351" w:type="dxa"/>
            <w:gridSpan w:val="6"/>
            <w:shd w:val="clear" w:color="auto" w:fill="D9D9D9" w:themeFill="background1" w:themeFillShade="D9"/>
          </w:tcPr>
          <w:p w14:paraId="195AB65E" w14:textId="77777777" w:rsidR="00BD498B" w:rsidRPr="00890249" w:rsidRDefault="00BD498B" w:rsidP="000F4AA6">
            <w:pPr>
              <w:rPr>
                <w:rFonts w:asciiTheme="minorHAnsi" w:eastAsia="Times New Roman" w:hAnsiTheme="minorHAnsi" w:cstheme="minorHAnsi"/>
                <w:b/>
                <w:iCs/>
                <w:noProof/>
                <w:sz w:val="20"/>
              </w:rPr>
            </w:pPr>
            <w:r w:rsidRPr="00890249">
              <w:rPr>
                <w:rFonts w:asciiTheme="minorHAnsi" w:hAnsiTheme="minorHAnsi" w:cstheme="minorHAnsi"/>
                <w:b/>
                <w:noProof/>
                <w:sz w:val="20"/>
              </w:rPr>
              <w:t xml:space="preserve">Tabela 7: Wymiar 6 – </w:t>
            </w:r>
            <w:r w:rsidR="00793D78" w:rsidRPr="00890249">
              <w:rPr>
                <w:rFonts w:asciiTheme="minorHAnsi" w:hAnsiTheme="minorHAnsi" w:cstheme="minorHAnsi"/>
                <w:b/>
                <w:noProof/>
                <w:sz w:val="20"/>
              </w:rPr>
              <w:t xml:space="preserve">uzupełniajace obszary tematyczne </w:t>
            </w:r>
            <w:r w:rsidRPr="00890249">
              <w:rPr>
                <w:rFonts w:asciiTheme="minorHAnsi" w:hAnsiTheme="minorHAnsi" w:cstheme="minorHAnsi"/>
                <w:b/>
                <w:noProof/>
                <w:sz w:val="20"/>
              </w:rPr>
              <w:t>EFS+</w:t>
            </w:r>
          </w:p>
        </w:tc>
      </w:tr>
      <w:tr w:rsidR="00BD498B" w:rsidRPr="00890249" w14:paraId="5B1CD995" w14:textId="77777777" w:rsidTr="00501A25">
        <w:tc>
          <w:tcPr>
            <w:tcW w:w="1566" w:type="dxa"/>
            <w:shd w:val="clear" w:color="auto" w:fill="F2F2F2" w:themeFill="background1" w:themeFillShade="F2"/>
          </w:tcPr>
          <w:p w14:paraId="196C29DE"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Nr priorytetu</w:t>
            </w:r>
          </w:p>
        </w:tc>
        <w:tc>
          <w:tcPr>
            <w:tcW w:w="1051" w:type="dxa"/>
            <w:shd w:val="clear" w:color="auto" w:fill="F2F2F2" w:themeFill="background1" w:themeFillShade="F2"/>
          </w:tcPr>
          <w:p w14:paraId="658EE690"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715" w:type="dxa"/>
            <w:shd w:val="clear" w:color="auto" w:fill="F2F2F2" w:themeFill="background1" w:themeFillShade="F2"/>
          </w:tcPr>
          <w:p w14:paraId="36301601"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Kategoria regionu</w:t>
            </w:r>
          </w:p>
        </w:tc>
        <w:tc>
          <w:tcPr>
            <w:tcW w:w="1620" w:type="dxa"/>
            <w:shd w:val="clear" w:color="auto" w:fill="F2F2F2" w:themeFill="background1" w:themeFillShade="F2"/>
          </w:tcPr>
          <w:p w14:paraId="6DC8E938"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tc>
        <w:tc>
          <w:tcPr>
            <w:tcW w:w="1022" w:type="dxa"/>
            <w:shd w:val="clear" w:color="auto" w:fill="F2F2F2" w:themeFill="background1" w:themeFillShade="F2"/>
          </w:tcPr>
          <w:p w14:paraId="4FA806C6" w14:textId="760B9289"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Kod</w:t>
            </w:r>
          </w:p>
        </w:tc>
        <w:tc>
          <w:tcPr>
            <w:tcW w:w="2377" w:type="dxa"/>
            <w:shd w:val="clear" w:color="auto" w:fill="F2F2F2" w:themeFill="background1" w:themeFillShade="F2"/>
          </w:tcPr>
          <w:p w14:paraId="7C18B676" w14:textId="77777777" w:rsidR="00BD498B" w:rsidRPr="00890249" w:rsidRDefault="00BD498B" w:rsidP="00F62734">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Kwota (w EUR)</w:t>
            </w:r>
          </w:p>
        </w:tc>
      </w:tr>
      <w:tr w:rsidR="00BD498B" w:rsidRPr="00890249" w14:paraId="0DCD4556" w14:textId="77777777" w:rsidTr="00501A25">
        <w:tc>
          <w:tcPr>
            <w:tcW w:w="1566" w:type="dxa"/>
            <w:vAlign w:val="center"/>
          </w:tcPr>
          <w:p w14:paraId="7CD407C3" w14:textId="77777777" w:rsidR="00B72154" w:rsidRPr="00890249" w:rsidRDefault="00BD498B" w:rsidP="00890249">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CP 5</w:t>
            </w:r>
          </w:p>
        </w:tc>
        <w:tc>
          <w:tcPr>
            <w:tcW w:w="1051" w:type="dxa"/>
            <w:vAlign w:val="center"/>
          </w:tcPr>
          <w:p w14:paraId="6D3AAD7C" w14:textId="77777777" w:rsidR="00B72154" w:rsidRPr="00890249" w:rsidRDefault="00BD498B" w:rsidP="00890249">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EFRR</w:t>
            </w:r>
          </w:p>
        </w:tc>
        <w:tc>
          <w:tcPr>
            <w:tcW w:w="1715" w:type="dxa"/>
            <w:vAlign w:val="center"/>
          </w:tcPr>
          <w:p w14:paraId="7F1E72BE" w14:textId="41232217" w:rsidR="00BD498B" w:rsidRPr="00890249" w:rsidRDefault="00BD498B" w:rsidP="00BD498B">
            <w:pPr>
              <w:rPr>
                <w:rFonts w:asciiTheme="minorHAnsi" w:eastAsia="Times New Roman" w:hAnsiTheme="minorHAnsi" w:cstheme="minorHAnsi"/>
                <w:b/>
                <w:iCs/>
                <w:noProof/>
                <w:sz w:val="20"/>
              </w:rPr>
            </w:pPr>
            <w:r w:rsidRPr="00890249">
              <w:rPr>
                <w:rFonts w:asciiTheme="minorHAnsi" w:eastAsia="Times New Roman" w:hAnsiTheme="minorHAnsi" w:cstheme="minorHAnsi"/>
                <w:iCs/>
                <w:noProof/>
                <w:sz w:val="20"/>
              </w:rPr>
              <w:t>Słabiej rozwini</w:t>
            </w:r>
            <w:r w:rsidR="00454C1F"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20" w:type="dxa"/>
          </w:tcPr>
          <w:p w14:paraId="4E24D73D"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1022" w:type="dxa"/>
          </w:tcPr>
          <w:p w14:paraId="76620E82"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c>
          <w:tcPr>
            <w:tcW w:w="2377" w:type="dxa"/>
          </w:tcPr>
          <w:p w14:paraId="2AD378C7" w14:textId="77777777" w:rsidR="00BD498B" w:rsidRPr="00890249" w:rsidRDefault="00BD498B" w:rsidP="00BD498B">
            <w:pPr>
              <w:jc w:val="center"/>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w:t>
            </w:r>
          </w:p>
        </w:tc>
      </w:tr>
    </w:tbl>
    <w:p w14:paraId="16E99BF5" w14:textId="77777777" w:rsidR="00BD498B" w:rsidRPr="00890249" w:rsidRDefault="00BD498B" w:rsidP="00BD498B">
      <w:pPr>
        <w:spacing w:before="0" w:after="160" w:line="259" w:lineRule="auto"/>
        <w:jc w:val="left"/>
        <w:rPr>
          <w:rFonts w:asciiTheme="minorHAnsi" w:eastAsiaTheme="minorHAnsi" w:hAnsiTheme="minorHAnsi" w:cstheme="minorHAnsi"/>
          <w:sz w:val="22"/>
          <w:szCs w:val="22"/>
          <w:lang w:eastAsia="en-US" w:bidi="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281"/>
        <w:gridCol w:w="1357"/>
        <w:gridCol w:w="1576"/>
        <w:gridCol w:w="1761"/>
        <w:gridCol w:w="1872"/>
      </w:tblGrid>
      <w:tr w:rsidR="00BD498B" w:rsidRPr="00890249" w14:paraId="6D352382" w14:textId="77777777" w:rsidTr="00044CE1">
        <w:tc>
          <w:tcPr>
            <w:tcW w:w="9322" w:type="dxa"/>
            <w:gridSpan w:val="6"/>
            <w:shd w:val="clear" w:color="auto" w:fill="D9D9D9" w:themeFill="background1" w:themeFillShade="D9"/>
          </w:tcPr>
          <w:p w14:paraId="1B10C3D3" w14:textId="20E9B8C1" w:rsidR="00BD498B" w:rsidRPr="00890249" w:rsidRDefault="00BD498B" w:rsidP="00BD498B">
            <w:pPr>
              <w:spacing w:before="0" w:after="160" w:line="259" w:lineRule="auto"/>
              <w:jc w:val="left"/>
              <w:rPr>
                <w:rFonts w:asciiTheme="minorHAnsi" w:eastAsiaTheme="minorHAnsi" w:hAnsiTheme="minorHAnsi" w:cstheme="minorHAnsi"/>
                <w:b/>
                <w:szCs w:val="22"/>
                <w:lang w:eastAsia="en-US" w:bidi="ar-SA"/>
              </w:rPr>
            </w:pPr>
            <w:r w:rsidRPr="00890249">
              <w:rPr>
                <w:rFonts w:asciiTheme="minorHAnsi" w:eastAsiaTheme="minorHAnsi" w:hAnsiTheme="minorHAnsi" w:cstheme="minorHAnsi"/>
                <w:b/>
                <w:sz w:val="20"/>
                <w:szCs w:val="22"/>
                <w:lang w:eastAsia="en-US" w:bidi="ar-SA"/>
              </w:rPr>
              <w:t>Tabela 8: Wymiar 7  – wymiar „Równouprawnienie płci” w ramach</w:t>
            </w:r>
            <w:r w:rsidR="00793D78" w:rsidRPr="00890249">
              <w:rPr>
                <w:rFonts w:asciiTheme="minorHAnsi" w:eastAsiaTheme="minorHAnsi" w:hAnsiTheme="minorHAnsi" w:cstheme="minorHAnsi"/>
                <w:b/>
                <w:sz w:val="20"/>
                <w:szCs w:val="22"/>
                <w:lang w:eastAsia="en-US" w:bidi="ar-SA"/>
              </w:rPr>
              <w:t xml:space="preserve"> EFS+, EFRR, Fundusz Spójności </w:t>
            </w:r>
            <w:r w:rsidRPr="00890249">
              <w:rPr>
                <w:rFonts w:asciiTheme="minorHAnsi" w:eastAsiaTheme="minorHAnsi" w:hAnsiTheme="minorHAnsi" w:cstheme="minorHAnsi"/>
                <w:b/>
                <w:sz w:val="20"/>
                <w:szCs w:val="22"/>
                <w:lang w:eastAsia="en-US" w:bidi="ar-SA"/>
              </w:rPr>
              <w:t>i FST</w:t>
            </w:r>
          </w:p>
        </w:tc>
      </w:tr>
      <w:tr w:rsidR="00BD498B" w:rsidRPr="00890249" w14:paraId="49959F8C" w14:textId="77777777" w:rsidTr="00044CE1">
        <w:tc>
          <w:tcPr>
            <w:tcW w:w="1570" w:type="dxa"/>
            <w:shd w:val="clear" w:color="auto" w:fill="F2F2F2" w:themeFill="background1" w:themeFillShade="F2"/>
          </w:tcPr>
          <w:p w14:paraId="2AA0125C"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Nr priorytetu</w:t>
            </w:r>
          </w:p>
        </w:tc>
        <w:tc>
          <w:tcPr>
            <w:tcW w:w="1360" w:type="dxa"/>
            <w:shd w:val="clear" w:color="auto" w:fill="F2F2F2" w:themeFill="background1" w:themeFillShade="F2"/>
          </w:tcPr>
          <w:p w14:paraId="59ED2F0F"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Fundusz</w:t>
            </w:r>
          </w:p>
        </w:tc>
        <w:tc>
          <w:tcPr>
            <w:tcW w:w="1415" w:type="dxa"/>
            <w:shd w:val="clear" w:color="auto" w:fill="F2F2F2" w:themeFill="background1" w:themeFillShade="F2"/>
          </w:tcPr>
          <w:p w14:paraId="7B3331E8"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Kategoria regionu</w:t>
            </w:r>
          </w:p>
        </w:tc>
        <w:tc>
          <w:tcPr>
            <w:tcW w:w="1628" w:type="dxa"/>
            <w:shd w:val="clear" w:color="auto" w:fill="F2F2F2" w:themeFill="background1" w:themeFillShade="F2"/>
          </w:tcPr>
          <w:p w14:paraId="760E7ADA"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Cel szczegółowy</w:t>
            </w:r>
          </w:p>
        </w:tc>
        <w:tc>
          <w:tcPr>
            <w:tcW w:w="1026" w:type="dxa"/>
            <w:shd w:val="clear" w:color="auto" w:fill="F2F2F2" w:themeFill="background1" w:themeFillShade="F2"/>
          </w:tcPr>
          <w:p w14:paraId="248BFADA"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Kod</w:t>
            </w:r>
          </w:p>
        </w:tc>
        <w:tc>
          <w:tcPr>
            <w:tcW w:w="2323" w:type="dxa"/>
            <w:shd w:val="clear" w:color="auto" w:fill="F2F2F2" w:themeFill="background1" w:themeFillShade="F2"/>
          </w:tcPr>
          <w:p w14:paraId="29234833" w14:textId="77777777" w:rsidR="00BD498B" w:rsidRPr="00890249" w:rsidRDefault="00BD498B" w:rsidP="00BD498B">
            <w:pPr>
              <w:spacing w:line="259" w:lineRule="auto"/>
              <w:ind w:left="113" w:right="113"/>
              <w:jc w:val="center"/>
              <w:rPr>
                <w:rFonts w:asciiTheme="minorHAnsi" w:eastAsia="Times New Roman" w:hAnsiTheme="minorHAnsi" w:cstheme="minorHAnsi"/>
                <w:b/>
                <w:iCs/>
                <w:noProof/>
                <w:sz w:val="20"/>
                <w:szCs w:val="22"/>
                <w:lang w:eastAsia="en-US" w:bidi="ar-SA"/>
              </w:rPr>
            </w:pPr>
            <w:r w:rsidRPr="00890249">
              <w:rPr>
                <w:rFonts w:asciiTheme="minorHAnsi" w:eastAsiaTheme="minorHAnsi" w:hAnsiTheme="minorHAnsi" w:cstheme="minorHAnsi"/>
                <w:b/>
                <w:noProof/>
                <w:sz w:val="20"/>
                <w:szCs w:val="22"/>
                <w:lang w:eastAsia="en-US" w:bidi="ar-SA"/>
              </w:rPr>
              <w:t>Kwota (w EUR)</w:t>
            </w:r>
          </w:p>
        </w:tc>
      </w:tr>
      <w:tr w:rsidR="00FF04C9" w:rsidRPr="00890249" w14:paraId="1FFB5D1E" w14:textId="77777777" w:rsidTr="0043241C">
        <w:tc>
          <w:tcPr>
            <w:tcW w:w="1570" w:type="dxa"/>
            <w:vAlign w:val="center"/>
          </w:tcPr>
          <w:p w14:paraId="0C16A198" w14:textId="77777777" w:rsidR="00B72154" w:rsidRPr="00890249" w:rsidRDefault="00FF04C9" w:rsidP="00890249">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CP 5</w:t>
            </w:r>
          </w:p>
        </w:tc>
        <w:tc>
          <w:tcPr>
            <w:tcW w:w="1360" w:type="dxa"/>
            <w:vAlign w:val="center"/>
          </w:tcPr>
          <w:p w14:paraId="5B41EEA0" w14:textId="77777777" w:rsidR="00B72154" w:rsidRPr="00890249" w:rsidRDefault="00FF04C9" w:rsidP="00890249">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EFRR</w:t>
            </w:r>
          </w:p>
        </w:tc>
        <w:tc>
          <w:tcPr>
            <w:tcW w:w="1415" w:type="dxa"/>
            <w:vAlign w:val="center"/>
          </w:tcPr>
          <w:p w14:paraId="0B6C68FD" w14:textId="7BDFB687" w:rsidR="00B72154" w:rsidRPr="00890249" w:rsidRDefault="00FF04C9" w:rsidP="00890249">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Słabiej rozwini</w:t>
            </w:r>
            <w:r w:rsidR="00454C1F" w:rsidRPr="00890249">
              <w:rPr>
                <w:rFonts w:asciiTheme="minorHAnsi" w:eastAsia="Times New Roman" w:hAnsiTheme="minorHAnsi" w:cstheme="minorHAnsi"/>
                <w:iCs/>
                <w:noProof/>
                <w:sz w:val="20"/>
              </w:rPr>
              <w:t>ę</w:t>
            </w:r>
            <w:r w:rsidRPr="00890249">
              <w:rPr>
                <w:rFonts w:asciiTheme="minorHAnsi" w:eastAsia="Times New Roman" w:hAnsiTheme="minorHAnsi" w:cstheme="minorHAnsi"/>
                <w:iCs/>
                <w:noProof/>
                <w:sz w:val="20"/>
              </w:rPr>
              <w:t>te</w:t>
            </w:r>
          </w:p>
        </w:tc>
        <w:tc>
          <w:tcPr>
            <w:tcW w:w="1628" w:type="dxa"/>
            <w:vAlign w:val="center"/>
          </w:tcPr>
          <w:p w14:paraId="590464DC" w14:textId="77777777" w:rsidR="00FF04C9" w:rsidRPr="00890249" w:rsidRDefault="00FF04C9" w:rsidP="0043241C">
            <w:pPr>
              <w:spacing w:before="0" w:after="160" w:line="259" w:lineRule="auto"/>
              <w:jc w:val="center"/>
              <w:rPr>
                <w:rFonts w:asciiTheme="minorHAnsi" w:eastAsia="Times New Roman" w:hAnsiTheme="minorHAnsi" w:cstheme="minorHAnsi"/>
                <w:b/>
                <w:iCs/>
                <w:noProof/>
                <w:sz w:val="20"/>
                <w:szCs w:val="22"/>
                <w:lang w:eastAsia="en-US" w:bidi="ar-SA"/>
              </w:rPr>
            </w:pPr>
            <w:r w:rsidRPr="00890249">
              <w:rPr>
                <w:rFonts w:asciiTheme="minorHAnsi" w:eastAsia="Times New Roman" w:hAnsiTheme="minorHAnsi" w:cstheme="minorHAnsi"/>
                <w:iCs/>
                <w:noProof/>
                <w:sz w:val="20"/>
              </w:rPr>
              <w:t>(ii)</w:t>
            </w:r>
          </w:p>
        </w:tc>
        <w:tc>
          <w:tcPr>
            <w:tcW w:w="1026" w:type="dxa"/>
            <w:vAlign w:val="center"/>
          </w:tcPr>
          <w:p w14:paraId="189E398B" w14:textId="39E635D6" w:rsidR="00FF04C9" w:rsidRPr="00890249" w:rsidRDefault="008D0BF8" w:rsidP="008D0BF8">
            <w:pPr>
              <w:spacing w:before="0" w:after="160" w:line="259" w:lineRule="auto"/>
              <w:jc w:val="center"/>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03</w:t>
            </w:r>
            <w:r w:rsidR="006212AF" w:rsidRPr="00890249">
              <w:rPr>
                <w:rFonts w:asciiTheme="minorHAnsi" w:eastAsia="Times New Roman" w:hAnsiTheme="minorHAnsi" w:cstheme="minorHAnsi"/>
                <w:iCs/>
                <w:noProof/>
                <w:sz w:val="20"/>
              </w:rPr>
              <w:t xml:space="preserve"> </w:t>
            </w:r>
            <w:r w:rsidRPr="00890249">
              <w:rPr>
                <w:rFonts w:asciiTheme="minorHAnsi" w:eastAsia="Times New Roman" w:hAnsiTheme="minorHAnsi" w:cstheme="minorHAnsi"/>
                <w:iCs/>
                <w:noProof/>
                <w:sz w:val="20"/>
              </w:rPr>
              <w:t xml:space="preserve">Projekty </w:t>
            </w:r>
            <w:r>
              <w:rPr>
                <w:rFonts w:asciiTheme="minorHAnsi" w:eastAsia="Times New Roman" w:hAnsiTheme="minorHAnsi" w:cstheme="minorHAnsi"/>
                <w:iCs/>
                <w:noProof/>
                <w:sz w:val="20"/>
              </w:rPr>
              <w:t>neutralne w kwestii równouprawnienia płci</w:t>
            </w:r>
          </w:p>
        </w:tc>
        <w:tc>
          <w:tcPr>
            <w:tcW w:w="2323" w:type="dxa"/>
            <w:vAlign w:val="center"/>
          </w:tcPr>
          <w:p w14:paraId="09125960" w14:textId="5B2403D5" w:rsidR="00FF04C9" w:rsidRPr="00890249" w:rsidRDefault="008D0BF8" w:rsidP="0073766A">
            <w:pPr>
              <w:spacing w:before="0" w:after="160" w:line="259" w:lineRule="auto"/>
              <w:jc w:val="right"/>
              <w:rPr>
                <w:rFonts w:asciiTheme="minorHAnsi" w:eastAsia="Times New Roman" w:hAnsiTheme="minorHAnsi" w:cstheme="minorHAnsi"/>
                <w:b/>
                <w:iCs/>
                <w:noProof/>
                <w:sz w:val="20"/>
                <w:szCs w:val="22"/>
                <w:lang w:eastAsia="en-US" w:bidi="ar-SA"/>
              </w:rPr>
            </w:pPr>
            <w:r>
              <w:rPr>
                <w:rFonts w:asciiTheme="minorHAnsi" w:eastAsia="Times New Roman" w:hAnsiTheme="minorHAnsi" w:cstheme="minorHAnsi"/>
                <w:iCs/>
                <w:noProof/>
                <w:sz w:val="20"/>
              </w:rPr>
              <w:t>40 842 740</w:t>
            </w:r>
          </w:p>
        </w:tc>
      </w:tr>
    </w:tbl>
    <w:p w14:paraId="093005F1" w14:textId="77777777" w:rsidR="003D1822" w:rsidRPr="00890249" w:rsidRDefault="003D1822" w:rsidP="00BD498B">
      <w:pPr>
        <w:spacing w:before="0" w:after="160" w:line="259" w:lineRule="auto"/>
        <w:jc w:val="left"/>
        <w:rPr>
          <w:rFonts w:asciiTheme="minorHAnsi" w:eastAsiaTheme="minorHAnsi" w:hAnsiTheme="minorHAnsi" w:cstheme="minorHAnsi"/>
          <w:sz w:val="22"/>
          <w:szCs w:val="22"/>
          <w:lang w:eastAsia="en-US" w:bidi="ar-SA"/>
        </w:rPr>
      </w:pPr>
    </w:p>
    <w:p w14:paraId="1260B151" w14:textId="77777777" w:rsidR="00B852D1" w:rsidRPr="00890249" w:rsidRDefault="003D1822">
      <w:pPr>
        <w:spacing w:before="0" w:after="160" w:line="259" w:lineRule="auto"/>
        <w:jc w:val="left"/>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br w:type="page"/>
      </w:r>
    </w:p>
    <w:p w14:paraId="313AC71A" w14:textId="77777777" w:rsidR="00DC4F78" w:rsidRPr="00AC1BD0" w:rsidRDefault="00ED740D" w:rsidP="00AC1BD0">
      <w:pPr>
        <w:pStyle w:val="Nagwek1"/>
        <w:numPr>
          <w:ilvl w:val="0"/>
          <w:numId w:val="0"/>
        </w:numPr>
        <w:ind w:left="360" w:hanging="360"/>
      </w:pPr>
      <w:bookmarkStart w:id="27" w:name="_Toc188266918"/>
      <w:r w:rsidRPr="00AC1BD0">
        <w:lastRenderedPageBreak/>
        <w:t>2.A CEL SZCZEGÓŁOW</w:t>
      </w:r>
      <w:r w:rsidR="0007175C" w:rsidRPr="00AC1BD0">
        <w:t>Y DOTYCZĄC</w:t>
      </w:r>
      <w:r w:rsidRPr="00AC1BD0">
        <w:t>Y PRZECIWDZIAŁANIA DEPRYWACJI MA</w:t>
      </w:r>
      <w:r w:rsidR="0007175C" w:rsidRPr="00AC1BD0">
        <w:t>TERIALNEJ</w:t>
      </w:r>
      <w:bookmarkEnd w:id="27"/>
    </w:p>
    <w:p w14:paraId="6D2A4FEA" w14:textId="77777777" w:rsidR="0093433C" w:rsidRPr="00890249" w:rsidRDefault="00DC4F78" w:rsidP="00890249">
      <w:pPr>
        <w:pStyle w:val="Tekstpodstawowy"/>
        <w:rPr>
          <w:rFonts w:asciiTheme="minorHAnsi" w:hAnsiTheme="minorHAnsi" w:cstheme="minorHAnsi"/>
          <w:noProof/>
        </w:rPr>
      </w:pPr>
      <w:r w:rsidRPr="00890249">
        <w:rPr>
          <w:rFonts w:asciiTheme="minorHAnsi" w:hAnsiTheme="minorHAnsi" w:cstheme="minorHAnsi"/>
          <w:noProof/>
        </w:rPr>
        <w:t>Nie dotyczy.</w:t>
      </w:r>
    </w:p>
    <w:p w14:paraId="1D2EF1FC" w14:textId="77777777" w:rsidR="00953D72" w:rsidRPr="00A27C86" w:rsidRDefault="00953D72" w:rsidP="00AC1BD0">
      <w:pPr>
        <w:pStyle w:val="Nagwek3"/>
        <w:rPr>
          <w:noProof/>
        </w:rPr>
      </w:pPr>
      <w:bookmarkStart w:id="28" w:name="_Toc114257099"/>
      <w:bookmarkStart w:id="29" w:name="_Toc188266919"/>
      <w:r w:rsidRPr="00A27C86">
        <w:rPr>
          <w:noProof/>
        </w:rPr>
        <w:t>2.2.1.A PRIORYTET POMOCY TECHNICZNEJ - EFRR</w:t>
      </w:r>
      <w:bookmarkEnd w:id="28"/>
      <w:bookmarkEnd w:id="29"/>
    </w:p>
    <w:p w14:paraId="2D061A0E" w14:textId="77777777" w:rsidR="00953D72" w:rsidRPr="00890249" w:rsidRDefault="00953D72" w:rsidP="00953D72">
      <w:pPr>
        <w:spacing w:before="240" w:after="240"/>
        <w:rPr>
          <w:rFonts w:asciiTheme="minorHAnsi" w:hAnsiTheme="minorHAnsi" w:cstheme="minorHAnsi"/>
          <w:b/>
          <w:noProof/>
          <w:sz w:val="22"/>
        </w:rPr>
      </w:pPr>
      <w:r w:rsidRPr="00890249">
        <w:rPr>
          <w:rFonts w:asciiTheme="minorHAnsi" w:hAnsiTheme="minorHAnsi" w:cstheme="minorHAnsi"/>
          <w:b/>
          <w:noProof/>
          <w:sz w:val="22"/>
        </w:rPr>
        <w:t>2.2.1.1. Interwencja w ramach Funduszy</w:t>
      </w:r>
    </w:p>
    <w:p w14:paraId="5E2245D4" w14:textId="77777777" w:rsidR="00953D72" w:rsidRPr="00A27C86" w:rsidRDefault="00953D72" w:rsidP="00953D72">
      <w:pPr>
        <w:rPr>
          <w:rFonts w:asciiTheme="minorHAnsi" w:hAnsiTheme="minorHAnsi" w:cstheme="minorHAnsi"/>
          <w:b/>
          <w:noProof/>
          <w:color w:val="2F5496" w:themeColor="accent5" w:themeShade="BF"/>
          <w:sz w:val="22"/>
          <w:szCs w:val="22"/>
        </w:rPr>
      </w:pPr>
      <w:r w:rsidRPr="00A27C86">
        <w:rPr>
          <w:rFonts w:asciiTheme="minorHAnsi" w:hAnsiTheme="minorHAnsi" w:cstheme="minorHAnsi"/>
          <w:b/>
          <w:noProof/>
          <w:color w:val="2F5496" w:themeColor="accent5" w:themeShade="BF"/>
          <w:sz w:val="22"/>
          <w:szCs w:val="22"/>
        </w:rPr>
        <w:t>Powiązane rodzaje działań</w:t>
      </w:r>
    </w:p>
    <w:p w14:paraId="2EF0BE5A" w14:textId="77777777"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Celem PT jest wspieranie realizacji FEO 2021-2027</w:t>
      </w:r>
      <w:r w:rsidRPr="00890249">
        <w:rPr>
          <w:rFonts w:asciiTheme="minorHAnsi" w:hAnsiTheme="minorHAnsi" w:cstheme="minorHAnsi"/>
          <w:noProof/>
          <w:sz w:val="22"/>
          <w:szCs w:val="22"/>
          <w:vertAlign w:val="superscript"/>
        </w:rPr>
        <w:footnoteReference w:id="234"/>
      </w:r>
      <w:r w:rsidRPr="00890249">
        <w:rPr>
          <w:rFonts w:asciiTheme="minorHAnsi" w:hAnsiTheme="minorHAnsi" w:cstheme="minorHAnsi"/>
          <w:noProof/>
          <w:sz w:val="22"/>
          <w:szCs w:val="22"/>
        </w:rPr>
        <w:t>.</w:t>
      </w:r>
    </w:p>
    <w:p w14:paraId="64C345E7" w14:textId="77777777"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Cel ten zostanie osiągnięty poprzez m.in:</w:t>
      </w:r>
    </w:p>
    <w:p w14:paraId="325DAC80" w14:textId="77777777" w:rsidR="00CF1B00" w:rsidRPr="00890249" w:rsidRDefault="00CF1B00" w:rsidP="009F296A">
      <w:pPr>
        <w:pStyle w:val="Tekstpodstawowy"/>
        <w:numPr>
          <w:ilvl w:val="0"/>
          <w:numId w:val="167"/>
        </w:numPr>
        <w:rPr>
          <w:rFonts w:asciiTheme="minorHAnsi" w:hAnsiTheme="minorHAnsi" w:cstheme="minorHAnsi"/>
          <w:noProof/>
          <w:sz w:val="22"/>
          <w:szCs w:val="22"/>
        </w:rPr>
      </w:pPr>
      <w:r w:rsidRPr="00890249">
        <w:rPr>
          <w:rFonts w:asciiTheme="minorHAnsi" w:hAnsiTheme="minorHAnsi" w:cstheme="minorHAnsi"/>
          <w:noProof/>
          <w:sz w:val="22"/>
          <w:szCs w:val="22"/>
        </w:rPr>
        <w:t>utrzymanie sprawnego i skutecznego syst. zarządzania, w tym zapewnienie odpowiedniego potencjału administracyjnego instytucji FEO;</w:t>
      </w:r>
    </w:p>
    <w:p w14:paraId="4EAF6E76" w14:textId="77777777" w:rsidR="00CF1B00" w:rsidRPr="00890249" w:rsidRDefault="00CF1B00" w:rsidP="009F296A">
      <w:pPr>
        <w:pStyle w:val="Tekstpodstawowy"/>
        <w:numPr>
          <w:ilvl w:val="0"/>
          <w:numId w:val="167"/>
        </w:numPr>
        <w:rPr>
          <w:rFonts w:asciiTheme="minorHAnsi" w:hAnsiTheme="minorHAnsi" w:cstheme="minorHAnsi"/>
          <w:noProof/>
          <w:sz w:val="22"/>
          <w:szCs w:val="22"/>
        </w:rPr>
      </w:pPr>
      <w:r w:rsidRPr="00890249">
        <w:rPr>
          <w:rFonts w:asciiTheme="minorHAnsi" w:hAnsiTheme="minorHAnsi" w:cstheme="minorHAnsi"/>
          <w:noProof/>
          <w:sz w:val="22"/>
          <w:szCs w:val="22"/>
        </w:rPr>
        <w:t xml:space="preserve">stosowanie przejrzystych procesów i procedur na każdym etapie wdrażania FEO; </w:t>
      </w:r>
    </w:p>
    <w:p w14:paraId="3B2D750B" w14:textId="77777777" w:rsidR="00CF1B00" w:rsidRPr="00890249" w:rsidRDefault="00CF1B00" w:rsidP="009F296A">
      <w:pPr>
        <w:pStyle w:val="Tekstpodstawowy"/>
        <w:numPr>
          <w:ilvl w:val="0"/>
          <w:numId w:val="167"/>
        </w:numPr>
        <w:rPr>
          <w:rFonts w:asciiTheme="minorHAnsi" w:hAnsiTheme="minorHAnsi" w:cstheme="minorHAnsi"/>
          <w:noProof/>
          <w:sz w:val="22"/>
          <w:szCs w:val="22"/>
        </w:rPr>
      </w:pPr>
      <w:r w:rsidRPr="00890249">
        <w:rPr>
          <w:rFonts w:asciiTheme="minorHAnsi" w:hAnsiTheme="minorHAnsi" w:cstheme="minorHAnsi"/>
          <w:noProof/>
          <w:sz w:val="22"/>
          <w:szCs w:val="22"/>
        </w:rPr>
        <w:t>wspieranie beneficjentów Programu (w tym potencjalnych) w aplikowaniu i realizacji projektów;</w:t>
      </w:r>
    </w:p>
    <w:p w14:paraId="59EFE81C" w14:textId="5E66ED0D" w:rsidR="00CF1B00" w:rsidRPr="00890249" w:rsidRDefault="00CF1B00" w:rsidP="009F296A">
      <w:pPr>
        <w:pStyle w:val="Tekstpodstawowy"/>
        <w:numPr>
          <w:ilvl w:val="0"/>
          <w:numId w:val="167"/>
        </w:numPr>
        <w:rPr>
          <w:rFonts w:asciiTheme="minorHAnsi" w:hAnsiTheme="minorHAnsi" w:cstheme="minorHAnsi"/>
          <w:noProof/>
          <w:sz w:val="22"/>
          <w:szCs w:val="22"/>
        </w:rPr>
      </w:pPr>
      <w:r w:rsidRPr="00890249">
        <w:rPr>
          <w:rFonts w:asciiTheme="minorHAnsi" w:hAnsiTheme="minorHAnsi" w:cstheme="minorHAnsi"/>
          <w:noProof/>
          <w:sz w:val="22"/>
          <w:szCs w:val="22"/>
        </w:rPr>
        <w:t>prowadzenie działań informacyjno-promocyjnych o FEO i zapewnienie widoczności PS, ro</w:t>
      </w:r>
      <w:r w:rsidR="00953D72" w:rsidRPr="00890249">
        <w:rPr>
          <w:rFonts w:asciiTheme="minorHAnsi" w:hAnsiTheme="minorHAnsi" w:cstheme="minorHAnsi"/>
          <w:noProof/>
          <w:sz w:val="22"/>
          <w:szCs w:val="22"/>
        </w:rPr>
        <w:t>li i </w:t>
      </w:r>
      <w:r w:rsidRPr="00890249">
        <w:rPr>
          <w:rFonts w:asciiTheme="minorHAnsi" w:hAnsiTheme="minorHAnsi" w:cstheme="minorHAnsi"/>
          <w:noProof/>
          <w:sz w:val="22"/>
          <w:szCs w:val="22"/>
        </w:rPr>
        <w:t xml:space="preserve">znaczenia FE dla regionu; </w:t>
      </w:r>
    </w:p>
    <w:p w14:paraId="63A84E17" w14:textId="4F4C25BB" w:rsidR="00CF1B00" w:rsidRPr="00890249" w:rsidRDefault="00CF1B00" w:rsidP="009F296A">
      <w:pPr>
        <w:pStyle w:val="Tekstpodstawowy"/>
        <w:numPr>
          <w:ilvl w:val="0"/>
          <w:numId w:val="167"/>
        </w:numPr>
        <w:rPr>
          <w:rFonts w:asciiTheme="minorHAnsi" w:hAnsiTheme="minorHAnsi" w:cstheme="minorHAnsi"/>
          <w:noProof/>
          <w:sz w:val="22"/>
          <w:szCs w:val="22"/>
        </w:rPr>
      </w:pPr>
      <w:r w:rsidRPr="00890249">
        <w:rPr>
          <w:rFonts w:asciiTheme="minorHAnsi" w:hAnsiTheme="minorHAnsi" w:cstheme="minorHAnsi"/>
          <w:noProof/>
          <w:sz w:val="22"/>
          <w:szCs w:val="22"/>
        </w:rPr>
        <w:t>przestrzeganie przez strony zaangażowane we w</w:t>
      </w:r>
      <w:r w:rsidR="00953D72" w:rsidRPr="00890249">
        <w:rPr>
          <w:rFonts w:asciiTheme="minorHAnsi" w:hAnsiTheme="minorHAnsi" w:cstheme="minorHAnsi"/>
          <w:noProof/>
          <w:sz w:val="22"/>
          <w:szCs w:val="22"/>
        </w:rPr>
        <w:t>drażanie FEO  postanowień KPP i </w:t>
      </w:r>
      <w:r w:rsidRPr="00890249">
        <w:rPr>
          <w:rFonts w:asciiTheme="minorHAnsi" w:hAnsiTheme="minorHAnsi" w:cstheme="minorHAnsi"/>
          <w:noProof/>
          <w:sz w:val="22"/>
          <w:szCs w:val="22"/>
        </w:rPr>
        <w:t>prawidłową realizację ZH, ze szczególnym uwzględnieniem barier i potrzeb osób z grup narażonych na dyskryminację.</w:t>
      </w:r>
    </w:p>
    <w:p w14:paraId="4AC8B2FA" w14:textId="77777777"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Działania te obejmą, m.in.:</w:t>
      </w:r>
    </w:p>
    <w:p w14:paraId="10870CDF" w14:textId="77777777" w:rsidR="00CF1B00" w:rsidRPr="00890249" w:rsidRDefault="00CF1B00" w:rsidP="009F296A">
      <w:pPr>
        <w:pStyle w:val="Tekstpodstawowy"/>
        <w:numPr>
          <w:ilvl w:val="0"/>
          <w:numId w:val="148"/>
        </w:numPr>
        <w:rPr>
          <w:rFonts w:asciiTheme="minorHAnsi" w:hAnsiTheme="minorHAnsi" w:cstheme="minorHAnsi"/>
          <w:b/>
          <w:i/>
          <w:noProof/>
          <w:sz w:val="22"/>
          <w:szCs w:val="22"/>
        </w:rPr>
      </w:pPr>
      <w:r w:rsidRPr="00890249">
        <w:rPr>
          <w:rFonts w:asciiTheme="minorHAnsi" w:hAnsiTheme="minorHAnsi" w:cstheme="minorHAnsi"/>
          <w:b/>
          <w:i/>
          <w:noProof/>
          <w:sz w:val="22"/>
          <w:szCs w:val="22"/>
        </w:rPr>
        <w:t>Wsparcie instytucji FEO w zarządzaniu zasobami ludzkimi (ZZL) i wzmocnienie ich potencjału administracyjnego</w:t>
      </w:r>
      <w:r w:rsidRPr="00890249">
        <w:rPr>
          <w:rFonts w:asciiTheme="minorHAnsi" w:hAnsiTheme="minorHAnsi" w:cstheme="minorHAnsi"/>
          <w:b/>
          <w:i/>
          <w:noProof/>
          <w:sz w:val="22"/>
          <w:szCs w:val="22"/>
          <w:vertAlign w:val="superscript"/>
        </w:rPr>
        <w:footnoteReference w:id="235"/>
      </w:r>
    </w:p>
    <w:p w14:paraId="280577A4" w14:textId="66735FFB"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opracowanie i wdrożenie planu ZZL</w:t>
      </w:r>
      <w:r w:rsidRPr="00890249">
        <w:rPr>
          <w:rFonts w:asciiTheme="minorHAnsi" w:hAnsiTheme="minorHAnsi" w:cstheme="minorHAnsi"/>
          <w:noProof/>
          <w:sz w:val="22"/>
          <w:szCs w:val="22"/>
          <w:vertAlign w:val="superscript"/>
        </w:rPr>
        <w:footnoteReference w:id="236"/>
      </w:r>
      <w:r w:rsidRPr="00890249">
        <w:rPr>
          <w:rFonts w:asciiTheme="minorHAnsi" w:hAnsiTheme="minorHAnsi" w:cstheme="minorHAnsi"/>
          <w:noProof/>
          <w:sz w:val="22"/>
          <w:szCs w:val="22"/>
        </w:rPr>
        <w:t>, który m.in.: określi obowiązki instytucjonalne; zapewni wykwalifikowaną kadrę kierowniczą posiadają</w:t>
      </w:r>
      <w:r w:rsidR="00A27C86">
        <w:rPr>
          <w:rFonts w:asciiTheme="minorHAnsi" w:hAnsiTheme="minorHAnsi" w:cstheme="minorHAnsi"/>
          <w:noProof/>
          <w:sz w:val="22"/>
          <w:szCs w:val="22"/>
        </w:rPr>
        <w:t>cą wiedzę z zarządz. zespołem i </w:t>
      </w:r>
      <w:r w:rsidRPr="00890249">
        <w:rPr>
          <w:rFonts w:asciiTheme="minorHAnsi" w:hAnsiTheme="minorHAnsi" w:cstheme="minorHAnsi"/>
          <w:noProof/>
          <w:sz w:val="22"/>
          <w:szCs w:val="22"/>
        </w:rPr>
        <w:t>różnorodnością, umiejętności interpersonalne i przywódcze; przestrzeganie norm etycznych;</w:t>
      </w:r>
    </w:p>
    <w:p w14:paraId="74CBA3FE"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utrzymanie/rekrutacja wykwalifikowanego personelu IZ i IP</w:t>
      </w:r>
      <w:r w:rsidRPr="00890249">
        <w:rPr>
          <w:rFonts w:asciiTheme="minorHAnsi" w:hAnsiTheme="minorHAnsi" w:cstheme="minorHAnsi"/>
          <w:noProof/>
          <w:sz w:val="22"/>
          <w:szCs w:val="22"/>
        </w:rPr>
        <w:t>, w tym m.in: finansowanie wynagrodzeń</w:t>
      </w:r>
      <w:r w:rsidRPr="00890249">
        <w:rPr>
          <w:rFonts w:asciiTheme="minorHAnsi" w:hAnsiTheme="minorHAnsi" w:cstheme="minorHAnsi"/>
          <w:bCs/>
          <w:noProof/>
          <w:sz w:val="22"/>
          <w:szCs w:val="22"/>
        </w:rPr>
        <w:t>;</w:t>
      </w:r>
      <w:r w:rsidRPr="00890249">
        <w:rPr>
          <w:rFonts w:asciiTheme="minorHAnsi" w:hAnsiTheme="minorHAnsi" w:cstheme="minorHAnsi"/>
          <w:noProof/>
          <w:sz w:val="22"/>
          <w:szCs w:val="22"/>
        </w:rPr>
        <w:t xml:space="preserve"> zapewnienie przejrzystych ścieżek kariery i rozwoju kompet. zawodowych; promowanie elastycznych form pracy, np. upowszechnienie pracy zdalnej;</w:t>
      </w:r>
    </w:p>
    <w:p w14:paraId="435F4A2C" w14:textId="41E557F2"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szkolenia i podnoszenie kwalifikacji w zakresie wdrażania FE</w:t>
      </w:r>
      <w:r w:rsidRPr="00890249">
        <w:rPr>
          <w:rFonts w:asciiTheme="minorHAnsi" w:hAnsiTheme="minorHAnsi" w:cstheme="minorHAnsi"/>
          <w:noProof/>
          <w:sz w:val="22"/>
          <w:szCs w:val="22"/>
          <w:lang w:val="pl"/>
        </w:rPr>
        <w:t>, m.in.: uproszczenia, zmniejszanie obciążeń admin., poprawa jakości świadczonyc</w:t>
      </w:r>
      <w:r w:rsidR="00A27C86">
        <w:rPr>
          <w:rFonts w:asciiTheme="minorHAnsi" w:hAnsiTheme="minorHAnsi" w:cstheme="minorHAnsi"/>
          <w:noProof/>
          <w:sz w:val="22"/>
          <w:szCs w:val="22"/>
          <w:lang w:val="pl"/>
        </w:rPr>
        <w:t>h usług, stosowanie zielonych i </w:t>
      </w:r>
      <w:r w:rsidRPr="00890249">
        <w:rPr>
          <w:rFonts w:asciiTheme="minorHAnsi" w:hAnsiTheme="minorHAnsi" w:cstheme="minorHAnsi"/>
          <w:noProof/>
          <w:sz w:val="22"/>
          <w:szCs w:val="22"/>
          <w:lang w:val="pl"/>
        </w:rPr>
        <w:t>społecznych zamówień, ochrona bioróżnorodności, ZH;</w:t>
      </w:r>
    </w:p>
    <w:p w14:paraId="39AD6069"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utrzymanie wsparcia organizacyjnego</w:t>
      </w:r>
      <w:r w:rsidRPr="00890249">
        <w:rPr>
          <w:rFonts w:asciiTheme="minorHAnsi" w:hAnsiTheme="minorHAnsi" w:cstheme="minorHAnsi"/>
          <w:noProof/>
          <w:sz w:val="22"/>
          <w:szCs w:val="22"/>
        </w:rPr>
        <w:t xml:space="preserve"> </w:t>
      </w:r>
      <w:r w:rsidRPr="00890249">
        <w:rPr>
          <w:rFonts w:asciiTheme="minorHAnsi" w:hAnsiTheme="minorHAnsi" w:cstheme="minorHAnsi"/>
          <w:b/>
          <w:noProof/>
          <w:sz w:val="22"/>
          <w:szCs w:val="22"/>
        </w:rPr>
        <w:t>dla IZ i IP</w:t>
      </w:r>
      <w:r w:rsidRPr="00890249">
        <w:rPr>
          <w:rFonts w:asciiTheme="minorHAnsi" w:hAnsiTheme="minorHAnsi" w:cstheme="minorHAnsi"/>
          <w:noProof/>
          <w:sz w:val="22"/>
          <w:szCs w:val="22"/>
        </w:rPr>
        <w:t>, w tym: zabezpieczenie powierzchni biurowych i kosztów eksploatacji, doposażanie stanowisk pracy.</w:t>
      </w:r>
    </w:p>
    <w:p w14:paraId="1D70A22D" w14:textId="77777777" w:rsidR="00CF1B00" w:rsidRPr="00890249" w:rsidRDefault="00CF1B00" w:rsidP="009F296A">
      <w:pPr>
        <w:pStyle w:val="Tekstpodstawowy"/>
        <w:numPr>
          <w:ilvl w:val="0"/>
          <w:numId w:val="148"/>
        </w:numPr>
        <w:rPr>
          <w:rFonts w:asciiTheme="minorHAnsi" w:hAnsiTheme="minorHAnsi" w:cstheme="minorHAnsi"/>
          <w:b/>
          <w:i/>
          <w:noProof/>
          <w:sz w:val="22"/>
          <w:szCs w:val="22"/>
        </w:rPr>
      </w:pPr>
      <w:r w:rsidRPr="00890249">
        <w:rPr>
          <w:rFonts w:asciiTheme="minorHAnsi" w:hAnsiTheme="minorHAnsi" w:cstheme="minorHAnsi"/>
          <w:b/>
          <w:i/>
          <w:noProof/>
          <w:sz w:val="22"/>
          <w:szCs w:val="22"/>
        </w:rPr>
        <w:t>Wsparcie skutecznych procedur i procesów we wdrażaniu Programu</w:t>
      </w:r>
    </w:p>
    <w:p w14:paraId="050A58CA"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Stosowanie przejrzystego procesu zarządz. finansowego i kontroli, m.in.: w realizacji budżetu FEO</w:t>
      </w:r>
      <w:r w:rsidRPr="00890249">
        <w:rPr>
          <w:rFonts w:asciiTheme="minorHAnsi" w:hAnsiTheme="minorHAnsi" w:cstheme="minorHAnsi"/>
          <w:noProof/>
          <w:sz w:val="22"/>
          <w:szCs w:val="22"/>
        </w:rPr>
        <w:t xml:space="preserve"> (w tym ukończenie zadań związanych z zamknięciem persp.  2014-2020 oraz </w:t>
      </w:r>
      <w:r w:rsidRPr="00890249">
        <w:rPr>
          <w:rFonts w:asciiTheme="minorHAnsi" w:hAnsiTheme="minorHAnsi" w:cstheme="minorHAnsi"/>
          <w:noProof/>
          <w:sz w:val="22"/>
          <w:szCs w:val="22"/>
        </w:rPr>
        <w:lastRenderedPageBreak/>
        <w:t>przygotowanie persp. po 2027 r.); zapewnienie środków na wykonywanie podstawowych obowiązków IZ i IP, tj. przygotowanie, programowanie, organizację naboru, ocenę i wybór projektów, weryfikację płatności,</w:t>
      </w:r>
      <w:r w:rsidRPr="00890249" w:rsidDel="00D13CBA">
        <w:rPr>
          <w:rFonts w:asciiTheme="minorHAnsi" w:hAnsiTheme="minorHAnsi" w:cstheme="minorHAnsi"/>
          <w:noProof/>
          <w:sz w:val="22"/>
          <w:szCs w:val="22"/>
        </w:rPr>
        <w:t xml:space="preserve"> </w:t>
      </w:r>
      <w:r w:rsidRPr="00890249">
        <w:rPr>
          <w:rFonts w:asciiTheme="minorHAnsi" w:hAnsiTheme="minorHAnsi" w:cstheme="minorHAnsi"/>
          <w:noProof/>
          <w:sz w:val="22"/>
          <w:szCs w:val="22"/>
        </w:rPr>
        <w:t>monitoring, ewaluację, księgowanie wydatków, certyfikację, audyt i kontrolę FEO (w tym funkcjon. KM), rozpatrywanie skarg i odwołań</w:t>
      </w:r>
      <w:r w:rsidRPr="00890249">
        <w:rPr>
          <w:rFonts w:asciiTheme="minorHAnsi" w:hAnsiTheme="minorHAnsi" w:cstheme="minorHAnsi"/>
          <w:noProof/>
          <w:sz w:val="22"/>
          <w:szCs w:val="22"/>
          <w:vertAlign w:val="superscript"/>
        </w:rPr>
        <w:footnoteReference w:id="237"/>
      </w:r>
      <w:r w:rsidRPr="00890249">
        <w:rPr>
          <w:rFonts w:asciiTheme="minorHAnsi" w:hAnsiTheme="minorHAnsi" w:cstheme="minorHAnsi"/>
          <w:noProof/>
          <w:sz w:val="22"/>
          <w:szCs w:val="22"/>
        </w:rPr>
        <w:t>;</w:t>
      </w:r>
    </w:p>
    <w:p w14:paraId="78FCF8F3"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lang w:val="pl"/>
        </w:rPr>
        <w:t>utrzymanie syst. informatycznych</w:t>
      </w:r>
      <w:r w:rsidRPr="00890249">
        <w:rPr>
          <w:rFonts w:asciiTheme="minorHAnsi" w:hAnsiTheme="minorHAnsi" w:cstheme="minorHAnsi"/>
          <w:noProof/>
          <w:sz w:val="22"/>
          <w:szCs w:val="22"/>
          <w:lang w:val="pl"/>
        </w:rPr>
        <w:t xml:space="preserve"> (wraz z niezbędną infrastrukturą teleinformatyczną), z uwzgl. zasad dostępności cyfrowej;</w:t>
      </w:r>
    </w:p>
    <w:p w14:paraId="1BE76BA1"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finansowanie specjalist. analiz i studiów, ekspertyz i opinii prawnych, a także badań ewaluacyjnych niezbędnych do realiz. FEO</w:t>
      </w:r>
      <w:r w:rsidRPr="00890249">
        <w:rPr>
          <w:rFonts w:asciiTheme="minorHAnsi" w:hAnsiTheme="minorHAnsi" w:cstheme="minorHAnsi"/>
          <w:noProof/>
          <w:sz w:val="22"/>
          <w:szCs w:val="22"/>
        </w:rPr>
        <w:t>;</w:t>
      </w:r>
    </w:p>
    <w:p w14:paraId="1818C1F4" w14:textId="7456D92D"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stosowanie przejrzystych i konkurencyjnych procesów zamówień publ. z odpowiednimi syst. kontroli wewn</w:t>
      </w:r>
      <w:r w:rsidRPr="00890249">
        <w:rPr>
          <w:rFonts w:asciiTheme="minorHAnsi" w:hAnsiTheme="minorHAnsi" w:cstheme="minorHAnsi"/>
          <w:noProof/>
          <w:sz w:val="22"/>
          <w:szCs w:val="22"/>
        </w:rPr>
        <w:t xml:space="preserve">. </w:t>
      </w:r>
      <w:r w:rsidRPr="00890249">
        <w:rPr>
          <w:rFonts w:asciiTheme="minorHAnsi" w:hAnsiTheme="minorHAnsi" w:cstheme="minorHAnsi"/>
          <w:noProof/>
          <w:sz w:val="22"/>
          <w:szCs w:val="22"/>
          <w:lang w:val="pl"/>
        </w:rPr>
        <w:t>IZ i beneficjenci będą promować strategiczne wykorzystanie zamówień publ. do wspierania celów PS, w tym stosowanie kryteriów związanych z jakością i kosztami cyklu życia produktu i usług, kryteria ekologiczne i społeczne, a także innowacyjne</w:t>
      </w:r>
      <w:r w:rsidRPr="00890249">
        <w:rPr>
          <w:rFonts w:asciiTheme="minorHAnsi" w:hAnsiTheme="minorHAnsi" w:cstheme="minorHAnsi"/>
          <w:noProof/>
          <w:sz w:val="22"/>
          <w:szCs w:val="22"/>
          <w:vertAlign w:val="superscript"/>
          <w:lang w:val="pl"/>
        </w:rPr>
        <w:footnoteReference w:id="238"/>
      </w:r>
      <w:r w:rsidRPr="00890249">
        <w:rPr>
          <w:rFonts w:asciiTheme="minorHAnsi" w:hAnsiTheme="minorHAnsi" w:cstheme="minorHAnsi"/>
          <w:noProof/>
          <w:sz w:val="22"/>
          <w:szCs w:val="22"/>
          <w:lang w:val="pl"/>
        </w:rPr>
        <w:t>. Przy wyborze wykonawcy usług szkoleniowych będą stosowane kr</w:t>
      </w:r>
      <w:r w:rsidR="00953D72" w:rsidRPr="00890249">
        <w:rPr>
          <w:rFonts w:asciiTheme="minorHAnsi" w:hAnsiTheme="minorHAnsi" w:cstheme="minorHAnsi"/>
          <w:noProof/>
          <w:sz w:val="22"/>
          <w:szCs w:val="22"/>
          <w:lang w:val="pl"/>
        </w:rPr>
        <w:t>yteria wiedzy i doświadczenia w </w:t>
      </w:r>
      <w:r w:rsidRPr="00890249">
        <w:rPr>
          <w:rFonts w:asciiTheme="minorHAnsi" w:hAnsiTheme="minorHAnsi" w:cstheme="minorHAnsi"/>
          <w:noProof/>
          <w:sz w:val="22"/>
          <w:szCs w:val="22"/>
          <w:lang w:val="pl"/>
        </w:rPr>
        <w:t>przedmiocie szkolenia</w:t>
      </w:r>
    </w:p>
    <w:p w14:paraId="08D5658A" w14:textId="4C00F11D"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rPr>
        <w:t>zapobieganie, wykrywanie, korygowanie i raportowani</w:t>
      </w:r>
      <w:r w:rsidR="00953D72" w:rsidRPr="00890249">
        <w:rPr>
          <w:rFonts w:asciiTheme="minorHAnsi" w:hAnsiTheme="minorHAnsi" w:cstheme="minorHAnsi"/>
          <w:b/>
          <w:noProof/>
          <w:sz w:val="22"/>
          <w:szCs w:val="22"/>
        </w:rPr>
        <w:t>e w obszarze nieprawidłowości i </w:t>
      </w:r>
      <w:r w:rsidRPr="00890249">
        <w:rPr>
          <w:rFonts w:asciiTheme="minorHAnsi" w:hAnsiTheme="minorHAnsi" w:cstheme="minorHAnsi"/>
          <w:b/>
          <w:noProof/>
          <w:sz w:val="22"/>
          <w:szCs w:val="22"/>
        </w:rPr>
        <w:t>nadużyć finansowych oraz korupcji</w:t>
      </w:r>
      <w:r w:rsidRPr="00890249">
        <w:rPr>
          <w:rFonts w:asciiTheme="minorHAnsi" w:hAnsiTheme="minorHAnsi" w:cstheme="minorHAnsi"/>
          <w:noProof/>
          <w:sz w:val="22"/>
          <w:szCs w:val="22"/>
        </w:rPr>
        <w:t xml:space="preserve">. IZ będzie </w:t>
      </w:r>
      <w:r w:rsidR="00953D72" w:rsidRPr="00890249">
        <w:rPr>
          <w:rFonts w:asciiTheme="minorHAnsi" w:hAnsiTheme="minorHAnsi" w:cstheme="minorHAnsi"/>
          <w:noProof/>
          <w:sz w:val="22"/>
          <w:szCs w:val="22"/>
        </w:rPr>
        <w:t>posiadać i stosować skuteczne i </w:t>
      </w:r>
      <w:r w:rsidRPr="00890249">
        <w:rPr>
          <w:rFonts w:asciiTheme="minorHAnsi" w:hAnsiTheme="minorHAnsi" w:cstheme="minorHAnsi"/>
          <w:noProof/>
          <w:sz w:val="22"/>
          <w:szCs w:val="22"/>
        </w:rPr>
        <w:t>proporcjonalne środki i procedury zwalczania nadużyć finans., uwzględniające stwierdzone ryzyka, jak przewidziano w art. 74 ust. 1 lit. c) i lit. d) rozporz. 2021/1060. Będą kontynuowane mechanizmy stosowane w latach ubiegłych, m.in. zwiększenie przejrzystości, zaangaż społeczeństwa obywatelskiego, organizacji typu watch-dog, ocena ryzyka, działania edukacyjne. IZ zapewni działania zapobiegawcze:</w:t>
      </w:r>
    </w:p>
    <w:p w14:paraId="7DA525F0" w14:textId="77777777" w:rsidR="00CF1B00" w:rsidRPr="00890249" w:rsidRDefault="00CF1B00" w:rsidP="009F296A">
      <w:pPr>
        <w:pStyle w:val="Tekstpodstawowy"/>
        <w:numPr>
          <w:ilvl w:val="0"/>
          <w:numId w:val="168"/>
        </w:numPr>
        <w:rPr>
          <w:rFonts w:asciiTheme="minorHAnsi" w:hAnsiTheme="minorHAnsi" w:cstheme="minorHAnsi"/>
          <w:noProof/>
          <w:sz w:val="22"/>
          <w:szCs w:val="22"/>
        </w:rPr>
      </w:pPr>
      <w:r w:rsidRPr="00890249">
        <w:rPr>
          <w:rFonts w:asciiTheme="minorHAnsi" w:hAnsiTheme="minorHAnsi" w:cstheme="minorHAnsi"/>
          <w:noProof/>
          <w:sz w:val="22"/>
          <w:szCs w:val="22"/>
        </w:rPr>
        <w:t xml:space="preserve">zgłaszanie i aktualizowanie nieprawidłowości w syst. IMS; wzmocnienie procedur kontroli w celu unikania konfliktu interesów, np. zwiększenie przejrzystości łańcucha podwykonawców, uwzględniając weryfikację struktury właścicielskiej beneficjentów, wykonawców oraz ekspertów oceniających i nadzorujących projekty; </w:t>
      </w:r>
    </w:p>
    <w:p w14:paraId="43AD5AFA" w14:textId="77777777" w:rsidR="00CF1B00" w:rsidRPr="00890249" w:rsidRDefault="00CF1B00" w:rsidP="009F296A">
      <w:pPr>
        <w:pStyle w:val="Tekstpodstawowy"/>
        <w:numPr>
          <w:ilvl w:val="0"/>
          <w:numId w:val="168"/>
        </w:numPr>
        <w:rPr>
          <w:rFonts w:asciiTheme="minorHAnsi" w:hAnsiTheme="minorHAnsi" w:cstheme="minorHAnsi"/>
          <w:noProof/>
          <w:sz w:val="22"/>
          <w:szCs w:val="22"/>
        </w:rPr>
      </w:pPr>
      <w:r w:rsidRPr="00890249">
        <w:rPr>
          <w:rFonts w:asciiTheme="minorHAnsi" w:hAnsiTheme="minorHAnsi" w:cstheme="minorHAnsi"/>
          <w:noProof/>
          <w:sz w:val="22"/>
          <w:szCs w:val="22"/>
        </w:rPr>
        <w:t>utworzenie systemu rejestracji i kontroli przy wyborze projektów w celu zachowania odpowiedniej ścieżki audytu;</w:t>
      </w:r>
    </w:p>
    <w:p w14:paraId="6C880D26" w14:textId="77777777" w:rsidR="00CF1B00" w:rsidRPr="00890249" w:rsidRDefault="00CF1B00" w:rsidP="009F296A">
      <w:pPr>
        <w:pStyle w:val="Tekstpodstawowy"/>
        <w:numPr>
          <w:ilvl w:val="0"/>
          <w:numId w:val="168"/>
        </w:numPr>
        <w:rPr>
          <w:rFonts w:asciiTheme="minorHAnsi" w:hAnsiTheme="minorHAnsi" w:cstheme="minorHAnsi"/>
          <w:noProof/>
          <w:sz w:val="22"/>
          <w:szCs w:val="22"/>
        </w:rPr>
      </w:pPr>
      <w:r w:rsidRPr="00890249">
        <w:rPr>
          <w:rFonts w:asciiTheme="minorHAnsi" w:hAnsiTheme="minorHAnsi" w:cstheme="minorHAnsi"/>
          <w:noProof/>
          <w:sz w:val="22"/>
          <w:szCs w:val="22"/>
        </w:rPr>
        <w:t>istnienie mechanizmu oznaczania i wykluczania z dofinansowania osób/podmiotów stanowiących zagrożenie dla interesów UE;</w:t>
      </w:r>
    </w:p>
    <w:p w14:paraId="3A6D4CF6" w14:textId="77777777" w:rsidR="00CF1B00" w:rsidRPr="00890249" w:rsidRDefault="00CF1B00" w:rsidP="009F296A">
      <w:pPr>
        <w:pStyle w:val="Tekstpodstawowy"/>
        <w:numPr>
          <w:ilvl w:val="0"/>
          <w:numId w:val="168"/>
        </w:numPr>
        <w:rPr>
          <w:rFonts w:asciiTheme="minorHAnsi" w:hAnsiTheme="minorHAnsi" w:cstheme="minorHAnsi"/>
          <w:noProof/>
          <w:sz w:val="22"/>
          <w:szCs w:val="22"/>
        </w:rPr>
      </w:pPr>
      <w:r w:rsidRPr="00890249">
        <w:rPr>
          <w:rFonts w:asciiTheme="minorHAnsi" w:hAnsiTheme="minorHAnsi" w:cstheme="minorHAnsi"/>
          <w:noProof/>
          <w:sz w:val="22"/>
          <w:szCs w:val="22"/>
        </w:rPr>
        <w:t>uwzględnianie nowych ryzyk, np. związanych ze zmianą zasad wydatkowania FE;</w:t>
      </w:r>
    </w:p>
    <w:p w14:paraId="0E2E5169" w14:textId="77777777" w:rsidR="00CF1B00" w:rsidRPr="00890249" w:rsidRDefault="00CF1B00" w:rsidP="009F296A">
      <w:pPr>
        <w:pStyle w:val="Tekstpodstawowy"/>
        <w:numPr>
          <w:ilvl w:val="0"/>
          <w:numId w:val="168"/>
        </w:numPr>
        <w:rPr>
          <w:rFonts w:asciiTheme="minorHAnsi" w:hAnsiTheme="minorHAnsi" w:cstheme="minorHAnsi"/>
          <w:noProof/>
          <w:sz w:val="22"/>
          <w:szCs w:val="22"/>
        </w:rPr>
      </w:pPr>
      <w:r w:rsidRPr="00890249">
        <w:rPr>
          <w:rFonts w:asciiTheme="minorHAnsi" w:hAnsiTheme="minorHAnsi" w:cstheme="minorHAnsi"/>
          <w:noProof/>
          <w:sz w:val="22"/>
          <w:szCs w:val="22"/>
          <w:lang w:val="pl"/>
        </w:rPr>
        <w:t>wykorzystanie dostępnych narzędzi data mining, w tym Arachne lub podobnego narzędzia informat. oraz narzędzi mających na celu wykrywanie podejrzeń nadużyć finansowych, plagiatu;</w:t>
      </w:r>
    </w:p>
    <w:p w14:paraId="21F5ED08" w14:textId="77777777" w:rsidR="00CF1B00" w:rsidRPr="00890249" w:rsidRDefault="00CF1B00" w:rsidP="009F296A">
      <w:pPr>
        <w:pStyle w:val="Tekstpodstawowy"/>
        <w:numPr>
          <w:ilvl w:val="0"/>
          <w:numId w:val="168"/>
        </w:numPr>
        <w:rPr>
          <w:rFonts w:asciiTheme="minorHAnsi" w:hAnsiTheme="minorHAnsi" w:cstheme="minorHAnsi"/>
          <w:noProof/>
          <w:sz w:val="22"/>
          <w:szCs w:val="22"/>
        </w:rPr>
      </w:pPr>
      <w:r w:rsidRPr="00890249">
        <w:rPr>
          <w:rFonts w:asciiTheme="minorHAnsi" w:hAnsiTheme="minorHAnsi" w:cstheme="minorHAnsi"/>
          <w:noProof/>
          <w:sz w:val="22"/>
          <w:szCs w:val="22"/>
        </w:rPr>
        <w:t>Stosowanie paktów na rzecz uczciwości w zasadnych przypadkach. Wdrażanie tych paktów będzie konsultowane z KM</w:t>
      </w:r>
      <w:r w:rsidRPr="00890249">
        <w:rPr>
          <w:rFonts w:asciiTheme="minorHAnsi" w:hAnsiTheme="minorHAnsi" w:cstheme="minorHAnsi"/>
          <w:noProof/>
          <w:sz w:val="22"/>
          <w:szCs w:val="22"/>
          <w:vertAlign w:val="superscript"/>
        </w:rPr>
        <w:footnoteReference w:id="239"/>
      </w:r>
      <w:r w:rsidRPr="00890249">
        <w:rPr>
          <w:rFonts w:asciiTheme="minorHAnsi" w:hAnsiTheme="minorHAnsi" w:cstheme="minorHAnsi"/>
          <w:noProof/>
          <w:sz w:val="22"/>
          <w:szCs w:val="22"/>
        </w:rPr>
        <w:t>.</w:t>
      </w:r>
    </w:p>
    <w:p w14:paraId="7293151C" w14:textId="77777777" w:rsidR="00CF1B00" w:rsidRPr="00890249" w:rsidRDefault="00CF1B00" w:rsidP="009F296A">
      <w:pPr>
        <w:pStyle w:val="Tekstpodstawowy"/>
        <w:numPr>
          <w:ilvl w:val="0"/>
          <w:numId w:val="148"/>
        </w:numPr>
        <w:rPr>
          <w:rFonts w:asciiTheme="minorHAnsi" w:hAnsiTheme="minorHAnsi" w:cstheme="minorHAnsi"/>
          <w:b/>
          <w:i/>
          <w:noProof/>
          <w:sz w:val="22"/>
          <w:szCs w:val="22"/>
        </w:rPr>
      </w:pPr>
      <w:r w:rsidRPr="00890249">
        <w:rPr>
          <w:rFonts w:asciiTheme="minorHAnsi" w:hAnsiTheme="minorHAnsi" w:cstheme="minorHAnsi"/>
          <w:b/>
          <w:i/>
          <w:noProof/>
          <w:sz w:val="22"/>
          <w:szCs w:val="22"/>
        </w:rPr>
        <w:t>Wsparcie beneficjentów i potencjalnych beneficjentów FEO</w:t>
      </w:r>
    </w:p>
    <w:p w14:paraId="0F9DBEC6" w14:textId="12A8FB22" w:rsidR="00CF1B00" w:rsidRPr="00890249" w:rsidRDefault="00CF1B00" w:rsidP="009F296A">
      <w:pPr>
        <w:pStyle w:val="Tekstpodstawowy"/>
        <w:numPr>
          <w:ilvl w:val="0"/>
          <w:numId w:val="147"/>
        </w:numPr>
        <w:rPr>
          <w:rFonts w:asciiTheme="minorHAnsi" w:hAnsiTheme="minorHAnsi" w:cstheme="minorHAnsi"/>
          <w:b/>
          <w:noProof/>
          <w:sz w:val="22"/>
          <w:szCs w:val="22"/>
          <w:lang w:val="pl"/>
        </w:rPr>
      </w:pPr>
      <w:r w:rsidRPr="00890249">
        <w:rPr>
          <w:rFonts w:asciiTheme="minorHAnsi" w:hAnsiTheme="minorHAnsi" w:cstheme="minorHAnsi"/>
          <w:b/>
          <w:noProof/>
          <w:sz w:val="22"/>
          <w:szCs w:val="22"/>
          <w:lang w:val="pl"/>
        </w:rPr>
        <w:t>rozwój kompetencji niezbędnych do skutecznego aplikowania o FE</w:t>
      </w:r>
      <w:r w:rsidR="00A27C86">
        <w:rPr>
          <w:rFonts w:asciiTheme="minorHAnsi" w:hAnsiTheme="minorHAnsi" w:cstheme="minorHAnsi"/>
          <w:noProof/>
          <w:sz w:val="22"/>
          <w:szCs w:val="22"/>
          <w:lang w:val="pl"/>
        </w:rPr>
        <w:t>, prowadzenia i </w:t>
      </w:r>
      <w:r w:rsidRPr="00890249">
        <w:rPr>
          <w:rFonts w:asciiTheme="minorHAnsi" w:hAnsiTheme="minorHAnsi" w:cstheme="minorHAnsi"/>
          <w:noProof/>
          <w:sz w:val="22"/>
          <w:szCs w:val="22"/>
          <w:lang w:val="pl"/>
        </w:rPr>
        <w:t>rozliczania projektów, np. organizowanie specjalist. szkoleń, pomoc w dostosowaniu działań do założeń EGD i zasady DNSH;</w:t>
      </w:r>
    </w:p>
    <w:p w14:paraId="31AC5F1D" w14:textId="77777777" w:rsidR="00CF1B00" w:rsidRPr="00890249" w:rsidRDefault="00CF1B00" w:rsidP="009F296A">
      <w:pPr>
        <w:pStyle w:val="Tekstpodstawowy"/>
        <w:numPr>
          <w:ilvl w:val="0"/>
          <w:numId w:val="147"/>
        </w:numPr>
        <w:rPr>
          <w:rFonts w:asciiTheme="minorHAnsi" w:hAnsiTheme="minorHAnsi" w:cstheme="minorHAnsi"/>
          <w:noProof/>
          <w:sz w:val="22"/>
          <w:szCs w:val="22"/>
          <w:lang w:val="pl"/>
        </w:rPr>
      </w:pPr>
      <w:r w:rsidRPr="00890249">
        <w:rPr>
          <w:rFonts w:asciiTheme="minorHAnsi" w:hAnsiTheme="minorHAnsi" w:cstheme="minorHAnsi"/>
          <w:b/>
          <w:noProof/>
          <w:sz w:val="22"/>
          <w:szCs w:val="22"/>
          <w:lang w:val="pl"/>
        </w:rPr>
        <w:lastRenderedPageBreak/>
        <w:t xml:space="preserve">podnoszenie wiedzy na temat wdrażania ZH </w:t>
      </w:r>
      <w:r w:rsidRPr="00890249">
        <w:rPr>
          <w:rFonts w:asciiTheme="minorHAnsi" w:hAnsiTheme="minorHAnsi" w:cstheme="minorHAnsi"/>
          <w:noProof/>
          <w:sz w:val="22"/>
          <w:szCs w:val="22"/>
          <w:lang w:val="pl"/>
        </w:rPr>
        <w:t>w realizowanych projektach, w tym niedyskryminacji, szczególnie dla kadry w instytucjach z obsz. edukacji, zdrowia i pomocy społ. w zakresie przeciwdz. i zwalczania dyskryminacji osób i grup narażonych/ dyskryminowanych.</w:t>
      </w:r>
    </w:p>
    <w:p w14:paraId="3CC9A351" w14:textId="77777777" w:rsidR="00CF1B00" w:rsidRPr="00890249" w:rsidRDefault="00CF1B00" w:rsidP="009F296A">
      <w:pPr>
        <w:pStyle w:val="Tekstpodstawowy"/>
        <w:numPr>
          <w:ilvl w:val="0"/>
          <w:numId w:val="148"/>
        </w:numPr>
        <w:rPr>
          <w:rFonts w:asciiTheme="minorHAnsi" w:hAnsiTheme="minorHAnsi" w:cstheme="minorHAnsi"/>
          <w:i/>
          <w:noProof/>
          <w:sz w:val="22"/>
          <w:szCs w:val="22"/>
        </w:rPr>
      </w:pPr>
      <w:r w:rsidRPr="00890249">
        <w:rPr>
          <w:rFonts w:asciiTheme="minorHAnsi" w:hAnsiTheme="minorHAnsi" w:cstheme="minorHAnsi"/>
          <w:b/>
          <w:i/>
          <w:iCs/>
          <w:noProof/>
          <w:sz w:val="22"/>
          <w:szCs w:val="22"/>
          <w:lang w:val="pl"/>
        </w:rPr>
        <w:t>Wsparcie funkcjonowania komitetów, GR i doradczych, partnerów</w:t>
      </w:r>
    </w:p>
    <w:p w14:paraId="1E8B34B7"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lang w:val="pl"/>
        </w:rPr>
        <w:t>obsługa prac KM i GR powoływanych przez KM</w:t>
      </w:r>
      <w:r w:rsidRPr="00890249">
        <w:rPr>
          <w:rFonts w:asciiTheme="minorHAnsi" w:hAnsiTheme="minorHAnsi" w:cstheme="minorHAnsi"/>
          <w:noProof/>
          <w:sz w:val="22"/>
          <w:szCs w:val="22"/>
          <w:lang w:val="pl"/>
        </w:rPr>
        <w:t>, w tym GR ds. monitorowania ZH, w skład której wejdą przedstawiciele CSOs zrzesz. osoby z grup narażonych na dyskryminację lub zajmujących się równouprawnieniem danej grupy, a także wsparcie grup doradczych zaangaż. we wdrażanie FEO, w tym członków KM reprez. partnerów społ.-gospod. oraz CSOs (art. 8 ust. 1 CPR). Finansowane będą m.in.: koszty organizacji posiedzeń, ekspertyzy, szkolenia, prace przygotowawcze niezbędne do realiz. FEO.</w:t>
      </w:r>
    </w:p>
    <w:p w14:paraId="5D722599" w14:textId="4D4EED6F"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b/>
          <w:noProof/>
          <w:sz w:val="22"/>
          <w:szCs w:val="22"/>
          <w:lang w:val="pl"/>
        </w:rPr>
        <w:t>pomoc w realizacji ZH</w:t>
      </w:r>
      <w:r w:rsidRPr="00890249">
        <w:rPr>
          <w:rFonts w:asciiTheme="minorHAnsi" w:hAnsiTheme="minorHAnsi" w:cstheme="minorHAnsi"/>
          <w:noProof/>
          <w:sz w:val="22"/>
          <w:szCs w:val="22"/>
          <w:lang w:val="pl"/>
        </w:rPr>
        <w:t>, ze szczególnym uwzgl. barier i potrzeb osób z grup narażonych na dyskryminację, m.in.: pomoc ekspercka, szkolenia i konferencje tematyczne, produkcja mater. informacyjno-edukac., a także audyt istniej. rozwiązań i ocena ich skuteczności dla wypracowania narzędzi i mechanizmów skutecz. wdrażania horyzont. zasad równego traktowania, niedyskryminacji i poszanowania KPP</w:t>
      </w:r>
      <w:r w:rsidRPr="00890249">
        <w:rPr>
          <w:rFonts w:asciiTheme="minorHAnsi" w:hAnsiTheme="minorHAnsi" w:cstheme="minorHAnsi"/>
          <w:noProof/>
          <w:sz w:val="22"/>
          <w:szCs w:val="22"/>
        </w:rPr>
        <w:t xml:space="preserve">; </w:t>
      </w:r>
      <w:r w:rsidR="006904C6" w:rsidRPr="00037393">
        <w:rPr>
          <w:rFonts w:asciiTheme="minorHAnsi" w:hAnsiTheme="minorHAnsi" w:cstheme="minorHAnsi"/>
          <w:noProof/>
          <w:sz w:val="22"/>
          <w:szCs w:val="22"/>
        </w:rPr>
        <w:t>powołanie Koordynatorów zasad równościowych i Koordynatorów ds. KPP w IZ i IP</w:t>
      </w:r>
      <w:r w:rsidRPr="00890249">
        <w:rPr>
          <w:rFonts w:asciiTheme="minorHAnsi" w:hAnsiTheme="minorHAnsi" w:cstheme="minorHAnsi"/>
          <w:noProof/>
          <w:sz w:val="22"/>
          <w:szCs w:val="22"/>
        </w:rPr>
        <w:t>;</w:t>
      </w:r>
    </w:p>
    <w:p w14:paraId="7F19459B" w14:textId="77777777" w:rsidR="00CF1B00" w:rsidRPr="00890249" w:rsidRDefault="00CF1B00" w:rsidP="009F296A">
      <w:pPr>
        <w:pStyle w:val="Tekstpodstawowy"/>
        <w:numPr>
          <w:ilvl w:val="0"/>
          <w:numId w:val="147"/>
        </w:numPr>
        <w:rPr>
          <w:rFonts w:asciiTheme="minorHAnsi" w:hAnsiTheme="minorHAnsi" w:cstheme="minorHAnsi"/>
          <w:noProof/>
          <w:sz w:val="22"/>
          <w:szCs w:val="22"/>
        </w:rPr>
      </w:pPr>
      <w:r w:rsidRPr="00890249">
        <w:rPr>
          <w:rFonts w:asciiTheme="minorHAnsi" w:hAnsiTheme="minorHAnsi" w:cstheme="minorHAnsi"/>
          <w:noProof/>
          <w:sz w:val="22"/>
          <w:szCs w:val="22"/>
        </w:rPr>
        <w:t>stosowanie monitoringu i ewaluacji, wdrażanie uproszczeń administracyjnych i skuteczne komunikowanie się z otoczeniem.</w:t>
      </w:r>
    </w:p>
    <w:p w14:paraId="07904226" w14:textId="77777777" w:rsidR="00CF1B00" w:rsidRPr="00890249" w:rsidRDefault="00CF1B00" w:rsidP="009F296A">
      <w:pPr>
        <w:pStyle w:val="Tekstpodstawowy"/>
        <w:numPr>
          <w:ilvl w:val="0"/>
          <w:numId w:val="148"/>
        </w:numPr>
        <w:rPr>
          <w:rFonts w:asciiTheme="minorHAnsi" w:hAnsiTheme="minorHAnsi" w:cstheme="minorHAnsi"/>
          <w:noProof/>
          <w:sz w:val="22"/>
          <w:szCs w:val="22"/>
        </w:rPr>
      </w:pPr>
      <w:r w:rsidRPr="00890249">
        <w:rPr>
          <w:rFonts w:asciiTheme="minorHAnsi" w:hAnsiTheme="minorHAnsi" w:cstheme="minorHAnsi"/>
          <w:b/>
          <w:i/>
          <w:noProof/>
          <w:sz w:val="22"/>
          <w:szCs w:val="22"/>
        </w:rPr>
        <w:t xml:space="preserve">Stworzenie spójnego systemu informacji i komunikacji </w:t>
      </w:r>
      <w:r w:rsidRPr="00890249" w:rsidDel="000364B3">
        <w:rPr>
          <w:rFonts w:asciiTheme="minorHAnsi" w:hAnsiTheme="minorHAnsi" w:cstheme="minorHAnsi"/>
          <w:noProof/>
          <w:sz w:val="22"/>
          <w:szCs w:val="22"/>
        </w:rPr>
        <w:t xml:space="preserve"> </w:t>
      </w:r>
    </w:p>
    <w:p w14:paraId="44466294" w14:textId="1E4CAEE3" w:rsidR="00CF1B00" w:rsidRPr="00890249" w:rsidRDefault="00CF1B00" w:rsidP="00CF1B00">
      <w:pPr>
        <w:pStyle w:val="Tekstpodstawowy"/>
        <w:rPr>
          <w:rFonts w:asciiTheme="minorHAnsi" w:hAnsiTheme="minorHAnsi" w:cstheme="minorHAnsi"/>
          <w:bCs/>
          <w:noProof/>
          <w:sz w:val="22"/>
          <w:szCs w:val="22"/>
        </w:rPr>
      </w:pPr>
      <w:r w:rsidRPr="00890249">
        <w:rPr>
          <w:rFonts w:asciiTheme="minorHAnsi" w:hAnsiTheme="minorHAnsi" w:cstheme="minorHAnsi"/>
          <w:noProof/>
          <w:sz w:val="22"/>
          <w:szCs w:val="22"/>
        </w:rPr>
        <w:t>Działania komunikacyjne są prowadzone z uwzględ. zasad dostępności, równości szans i niedyskryminacji, postępującej cyfryzacji i EGD. Podstawową formą informowania przez IZ/IP oraz przygotowania, produkcji, dystrybucji publikacji, materiałów promoc. i brandingowych, będzie forma cyfrowa. Wydruk materiałów informac. i promocyjnych zostanie ogr</w:t>
      </w:r>
      <w:r w:rsidR="005E270C" w:rsidRPr="00890249">
        <w:rPr>
          <w:rFonts w:asciiTheme="minorHAnsi" w:hAnsiTheme="minorHAnsi" w:cstheme="minorHAnsi"/>
          <w:noProof/>
          <w:sz w:val="22"/>
          <w:szCs w:val="22"/>
        </w:rPr>
        <w:t>aniczony do niezbęd. minimum, a </w:t>
      </w:r>
      <w:r w:rsidRPr="00890249">
        <w:rPr>
          <w:rFonts w:asciiTheme="minorHAnsi" w:hAnsiTheme="minorHAnsi" w:cstheme="minorHAnsi"/>
          <w:noProof/>
          <w:sz w:val="22"/>
          <w:szCs w:val="22"/>
        </w:rPr>
        <w:t>zastosowane materiały będą w jak największym stopniu ekologiczne</w:t>
      </w:r>
      <w:r w:rsidRPr="00890249">
        <w:rPr>
          <w:rFonts w:asciiTheme="minorHAnsi" w:hAnsiTheme="minorHAnsi" w:cstheme="minorHAnsi"/>
          <w:bCs/>
          <w:noProof/>
          <w:sz w:val="22"/>
          <w:szCs w:val="22"/>
        </w:rPr>
        <w:t xml:space="preserve">. Samodzielnie gadżety nie są narzędziem promocji FE. </w:t>
      </w:r>
    </w:p>
    <w:p w14:paraId="5B409923" w14:textId="350D7974"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Przewidywane wsparcie będzie służyć realizacji ZH, ze szczeg. uwzględ</w:t>
      </w:r>
      <w:r w:rsidR="005E270C" w:rsidRPr="00890249">
        <w:rPr>
          <w:rFonts w:asciiTheme="minorHAnsi" w:hAnsiTheme="minorHAnsi" w:cstheme="minorHAnsi"/>
          <w:noProof/>
          <w:sz w:val="22"/>
          <w:szCs w:val="22"/>
        </w:rPr>
        <w:t>nieniem barier i potrzeb osób z </w:t>
      </w:r>
      <w:r w:rsidRPr="00890249">
        <w:rPr>
          <w:rFonts w:asciiTheme="minorHAnsi" w:hAnsiTheme="minorHAnsi" w:cstheme="minorHAnsi"/>
          <w:noProof/>
          <w:sz w:val="22"/>
          <w:szCs w:val="22"/>
        </w:rPr>
        <w:t>grup narażonych na dyskryminację przez wsparcie eksperckie, szkolenia i konferencje tematyczne, produkcję materiałów informacyjno-edukacyjnych, kampanie</w:t>
      </w:r>
      <w:r w:rsidRPr="00890249">
        <w:rPr>
          <w:rFonts w:asciiTheme="minorHAnsi" w:hAnsiTheme="minorHAnsi" w:cstheme="minorHAnsi"/>
          <w:noProof/>
          <w:sz w:val="22"/>
          <w:szCs w:val="22"/>
          <w:vertAlign w:val="superscript"/>
        </w:rPr>
        <w:footnoteReference w:id="240"/>
      </w:r>
      <w:r w:rsidRPr="00890249">
        <w:rPr>
          <w:rFonts w:asciiTheme="minorHAnsi" w:hAnsiTheme="minorHAnsi" w:cstheme="minorHAnsi"/>
          <w:noProof/>
          <w:sz w:val="22"/>
          <w:szCs w:val="22"/>
        </w:rPr>
        <w:t>.</w:t>
      </w:r>
    </w:p>
    <w:p w14:paraId="1F7320EE" w14:textId="60F92C1C"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Priorytetowe będą funkcje komunikacyjne. Pracownicy działów komunikacji będą pełnić aktywną rolę we wdrażaniuFEO oraz stale będą podnosić swoje kompetencje.</w:t>
      </w:r>
    </w:p>
    <w:p w14:paraId="1EC314B8" w14:textId="77777777"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 xml:space="preserve">Realizacja zadań finansowanych z PT będzie koordynowana z komponentami PTFE na szczeblu krajowym i w pozostałych programach, tak aby zoptymalizować wydatkowanie środków. </w:t>
      </w:r>
    </w:p>
    <w:p w14:paraId="048399A3" w14:textId="77777777" w:rsidR="005E270C" w:rsidRPr="00890249" w:rsidRDefault="005E270C" w:rsidP="005E270C">
      <w:pPr>
        <w:rPr>
          <w:rFonts w:asciiTheme="minorHAnsi" w:hAnsiTheme="minorHAnsi" w:cstheme="minorHAnsi"/>
          <w:sz w:val="22"/>
          <w:szCs w:val="22"/>
        </w:rPr>
      </w:pPr>
      <w:r w:rsidRPr="00890249">
        <w:rPr>
          <w:rFonts w:asciiTheme="minorHAnsi" w:hAnsiTheme="minorHAnsi" w:cstheme="minorHAnsi"/>
          <w:b/>
          <w:noProof/>
          <w:color w:val="2F5496"/>
          <w:sz w:val="22"/>
          <w:szCs w:val="22"/>
        </w:rPr>
        <w:t>Główne grupy docelowe</w:t>
      </w:r>
    </w:p>
    <w:p w14:paraId="3DCEEEEE" w14:textId="77777777" w:rsidR="00CF1B00" w:rsidRPr="00890249" w:rsidRDefault="00CF1B00" w:rsidP="00CF1B00">
      <w:pPr>
        <w:pStyle w:val="Tekstpodstawowy"/>
        <w:rPr>
          <w:rFonts w:asciiTheme="minorHAnsi" w:hAnsiTheme="minorHAnsi" w:cstheme="minorHAnsi"/>
          <w:noProof/>
          <w:sz w:val="22"/>
          <w:szCs w:val="22"/>
        </w:rPr>
      </w:pPr>
      <w:r w:rsidRPr="00890249">
        <w:rPr>
          <w:rFonts w:asciiTheme="minorHAnsi" w:hAnsiTheme="minorHAnsi" w:cstheme="minorHAnsi"/>
          <w:noProof/>
          <w:sz w:val="22"/>
          <w:szCs w:val="22"/>
        </w:rPr>
        <w:t>Grupami docelowymi dla PT są przede wszystkim pracownicy IZ i IP, zaangażowani we wdrażanie FEO, jak również beneficjenci, potencjalni beneficjenci i partnerzy, o których mowa w art. 8 ust. 1 Rozp. ogólnego.</w:t>
      </w:r>
    </w:p>
    <w:p w14:paraId="36F506B1" w14:textId="5C5B517B" w:rsidR="00DC4F78" w:rsidRPr="00A27C86" w:rsidRDefault="005E270C" w:rsidP="00A27C86">
      <w:pPr>
        <w:spacing w:before="0" w:after="160" w:line="259" w:lineRule="auto"/>
        <w:jc w:val="left"/>
        <w:rPr>
          <w:rFonts w:asciiTheme="minorHAnsi" w:hAnsiTheme="minorHAnsi" w:cstheme="minorHAnsi"/>
          <w:noProof/>
          <w:sz w:val="22"/>
          <w:szCs w:val="22"/>
        </w:rPr>
      </w:pPr>
      <w:r w:rsidRPr="00890249">
        <w:rPr>
          <w:rFonts w:asciiTheme="minorHAnsi" w:hAnsiTheme="minorHAnsi" w:cstheme="minorHAnsi"/>
          <w:noProof/>
          <w:sz w:val="22"/>
          <w:szCs w:val="22"/>
        </w:rPr>
        <w:br w:type="page"/>
      </w:r>
      <w:r w:rsidR="00CF1B00" w:rsidRPr="00890249">
        <w:rPr>
          <w:rFonts w:asciiTheme="minorHAnsi" w:hAnsiTheme="minorHAnsi" w:cstheme="minorHAnsi"/>
          <w:b/>
          <w:noProof/>
          <w:sz w:val="22"/>
          <w:szCs w:val="22"/>
        </w:rPr>
        <w:lastRenderedPageBreak/>
        <w:t>2.2.1.2. Wskaźniki</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692"/>
        <w:gridCol w:w="969"/>
        <w:gridCol w:w="964"/>
        <w:gridCol w:w="2903"/>
        <w:gridCol w:w="776"/>
        <w:gridCol w:w="1049"/>
        <w:gridCol w:w="1016"/>
      </w:tblGrid>
      <w:tr w:rsidR="00EF20C7" w:rsidRPr="00890249" w14:paraId="295C4A43" w14:textId="77777777" w:rsidTr="00890249">
        <w:trPr>
          <w:cantSplit/>
          <w:trHeight w:val="557"/>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83D15" w14:textId="078109FC" w:rsidR="00B72154" w:rsidRPr="00890249" w:rsidRDefault="00EF20C7" w:rsidP="00890249">
            <w:pPr>
              <w:pStyle w:val="Tekstpodstawowy"/>
              <w:rPr>
                <w:rFonts w:asciiTheme="minorHAnsi" w:hAnsiTheme="minorHAnsi" w:cstheme="minorHAnsi"/>
                <w:noProof/>
                <w:sz w:val="18"/>
                <w:szCs w:val="16"/>
              </w:rPr>
            </w:pPr>
            <w:bookmarkStart w:id="30" w:name="_Toc31270925"/>
            <w:r w:rsidRPr="00890249">
              <w:rPr>
                <w:rFonts w:asciiTheme="minorHAnsi" w:hAnsiTheme="minorHAnsi" w:cstheme="minorHAnsi"/>
                <w:b/>
                <w:noProof/>
                <w:sz w:val="20"/>
              </w:rPr>
              <w:t>Tabela 2: Wskaźniki produktu</w:t>
            </w:r>
          </w:p>
        </w:tc>
      </w:tr>
      <w:tr w:rsidR="00EF20C7" w:rsidRPr="00890249" w14:paraId="44405D47" w14:textId="77777777" w:rsidTr="00890249">
        <w:trPr>
          <w:cantSplit/>
          <w:trHeight w:val="1647"/>
        </w:trPr>
        <w:tc>
          <w:tcPr>
            <w:tcW w:w="2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499BB17"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Priorytet</w:t>
            </w:r>
          </w:p>
        </w:tc>
        <w:tc>
          <w:tcPr>
            <w:tcW w:w="3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8AB3786"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Fundusz</w:t>
            </w:r>
          </w:p>
        </w:tc>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4B7DE52C"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Kategoria regionu</w:t>
            </w:r>
          </w:p>
        </w:tc>
        <w:tc>
          <w:tcPr>
            <w:tcW w:w="5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37CDAC7D"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Nr identyfikacyjny [5]</w:t>
            </w:r>
          </w:p>
        </w:tc>
        <w:tc>
          <w:tcPr>
            <w:tcW w:w="1632"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85F19A4"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Wskaźnik [255]</w:t>
            </w:r>
          </w:p>
        </w:tc>
        <w:tc>
          <w:tcPr>
            <w:tcW w:w="4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3678770"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Jednostka miary</w:t>
            </w:r>
          </w:p>
        </w:tc>
        <w:tc>
          <w:tcPr>
            <w:tcW w:w="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5C3ABE1"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pośredni (2024)</w:t>
            </w:r>
          </w:p>
        </w:tc>
        <w:tc>
          <w:tcPr>
            <w:tcW w:w="5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4EA5A88F" w14:textId="77777777" w:rsidR="00EF20C7" w:rsidRPr="00890249" w:rsidRDefault="00EF20C7" w:rsidP="00003C73">
            <w:pPr>
              <w:spacing w:line="256" w:lineRule="auto"/>
              <w:ind w:left="113" w:right="113"/>
              <w:jc w:val="center"/>
              <w:rPr>
                <w:rFonts w:asciiTheme="minorHAnsi" w:hAnsiTheme="minorHAnsi" w:cstheme="minorHAnsi"/>
                <w:noProof/>
                <w:sz w:val="18"/>
                <w:szCs w:val="16"/>
              </w:rPr>
            </w:pPr>
            <w:r w:rsidRPr="00890249">
              <w:rPr>
                <w:rFonts w:asciiTheme="minorHAnsi" w:hAnsiTheme="minorHAnsi" w:cstheme="minorHAnsi"/>
                <w:noProof/>
                <w:sz w:val="18"/>
                <w:szCs w:val="16"/>
              </w:rPr>
              <w:t>Cel (2029)</w:t>
            </w:r>
          </w:p>
        </w:tc>
      </w:tr>
      <w:tr w:rsidR="00EF20C7" w:rsidRPr="00890249" w14:paraId="21B3C00A" w14:textId="77777777" w:rsidTr="00890249">
        <w:trPr>
          <w:trHeight w:val="34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732C6" w14:textId="77777777" w:rsidR="00EF20C7" w:rsidRPr="00890249" w:rsidRDefault="00EF20C7" w:rsidP="0090617F">
            <w:pPr>
              <w:spacing w:line="256" w:lineRule="auto"/>
              <w:rPr>
                <w:rFonts w:asciiTheme="minorHAnsi" w:hAnsiTheme="minorHAnsi" w:cstheme="minorHAnsi"/>
                <w:i/>
                <w:noProof/>
                <w:sz w:val="18"/>
                <w:szCs w:val="16"/>
              </w:rPr>
            </w:pPr>
            <w:r w:rsidRPr="00890249">
              <w:rPr>
                <w:rFonts w:asciiTheme="minorHAnsi" w:hAnsiTheme="minorHAnsi" w:cstheme="minorHAnsi"/>
                <w:i/>
                <w:noProof/>
                <w:sz w:val="18"/>
                <w:szCs w:val="16"/>
              </w:rPr>
              <w:t>PT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3C8CB"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AFF1E"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304A06E7" w14:textId="7C68D02D" w:rsidR="00EF20C7" w:rsidRPr="00890249" w:rsidRDefault="00875C92" w:rsidP="003C3EBC">
            <w:pPr>
              <w:spacing w:line="256" w:lineRule="auto"/>
              <w:jc w:val="center"/>
              <w:rPr>
                <w:rFonts w:asciiTheme="minorHAnsi" w:hAnsiTheme="minorHAnsi" w:cstheme="minorHAnsi"/>
                <w:i/>
                <w:noProof/>
                <w:sz w:val="18"/>
                <w:szCs w:val="16"/>
              </w:rPr>
            </w:pPr>
            <w:r w:rsidRPr="00890249">
              <w:rPr>
                <w:rFonts w:asciiTheme="minorHAnsi" w:hAnsiTheme="minorHAnsi" w:cstheme="minorHAnsi"/>
                <w:color w:val="000000"/>
                <w:sz w:val="18"/>
                <w:szCs w:val="18"/>
              </w:rPr>
              <w:t>PLRO150</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F7A011" w14:textId="77777777" w:rsidR="00EF20C7" w:rsidRPr="00890249" w:rsidRDefault="00EF20C7" w:rsidP="0090617F">
            <w:pPr>
              <w:spacing w:line="256" w:lineRule="auto"/>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uczestników form szkoleniowych dla instytucji</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45EFB"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87C7C81" w14:textId="67F7898C" w:rsidR="00EF20C7" w:rsidRPr="00890249" w:rsidRDefault="006904C6" w:rsidP="00F84ECD">
            <w:pPr>
              <w:spacing w:line="256" w:lineRule="auto"/>
              <w:jc w:val="center"/>
              <w:rPr>
                <w:rFonts w:asciiTheme="minorHAnsi" w:hAnsiTheme="minorHAnsi" w:cstheme="minorHAnsi"/>
                <w:i/>
                <w:noProof/>
                <w:sz w:val="18"/>
                <w:szCs w:val="16"/>
              </w:rPr>
            </w:pPr>
            <w:r>
              <w:rPr>
                <w:rFonts w:asciiTheme="minorHAnsi" w:hAnsiTheme="minorHAnsi" w:cstheme="minorHAnsi"/>
                <w:color w:val="000000"/>
                <w:sz w:val="18"/>
                <w:szCs w:val="18"/>
              </w:rPr>
              <w:t>280</w:t>
            </w:r>
          </w:p>
        </w:tc>
        <w:tc>
          <w:tcPr>
            <w:tcW w:w="571" w:type="pct"/>
            <w:tcBorders>
              <w:top w:val="single" w:sz="4" w:space="0" w:color="auto"/>
              <w:left w:val="nil"/>
              <w:bottom w:val="single" w:sz="4" w:space="0" w:color="auto"/>
              <w:right w:val="single" w:sz="4" w:space="0" w:color="auto"/>
            </w:tcBorders>
            <w:shd w:val="clear" w:color="auto" w:fill="auto"/>
            <w:vAlign w:val="center"/>
          </w:tcPr>
          <w:p w14:paraId="3AC138FB" w14:textId="1F7F6B68" w:rsidR="00EF20C7" w:rsidRPr="00890249" w:rsidRDefault="00EF20C7" w:rsidP="00017A48">
            <w:pPr>
              <w:spacing w:line="256" w:lineRule="auto"/>
              <w:jc w:val="center"/>
              <w:rPr>
                <w:rFonts w:asciiTheme="minorHAnsi" w:hAnsiTheme="minorHAnsi" w:cstheme="minorHAnsi"/>
                <w:i/>
                <w:noProof/>
                <w:sz w:val="18"/>
                <w:szCs w:val="16"/>
              </w:rPr>
            </w:pPr>
            <w:r w:rsidRPr="00890249">
              <w:rPr>
                <w:rFonts w:asciiTheme="minorHAnsi" w:hAnsiTheme="minorHAnsi" w:cstheme="minorHAnsi"/>
                <w:color w:val="000000"/>
                <w:sz w:val="18"/>
                <w:szCs w:val="18"/>
              </w:rPr>
              <w:t>1 000</w:t>
            </w:r>
          </w:p>
        </w:tc>
      </w:tr>
      <w:tr w:rsidR="00EF20C7" w:rsidRPr="00890249" w14:paraId="61E03B99" w14:textId="77777777" w:rsidTr="00890249">
        <w:trPr>
          <w:trHeight w:val="332"/>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B04B8" w14:textId="77777777" w:rsidR="00EF20C7" w:rsidRPr="00890249" w:rsidRDefault="00EF20C7" w:rsidP="0090617F">
            <w:pPr>
              <w:spacing w:line="256" w:lineRule="auto"/>
              <w:rPr>
                <w:rFonts w:asciiTheme="minorHAnsi" w:hAnsiTheme="minorHAnsi" w:cstheme="minorHAnsi"/>
                <w:i/>
                <w:noProof/>
                <w:sz w:val="18"/>
                <w:szCs w:val="16"/>
              </w:rPr>
            </w:pPr>
            <w:r w:rsidRPr="00890249">
              <w:rPr>
                <w:rFonts w:asciiTheme="minorHAnsi" w:hAnsiTheme="minorHAnsi" w:cstheme="minorHAnsi"/>
                <w:i/>
                <w:noProof/>
                <w:sz w:val="18"/>
                <w:szCs w:val="16"/>
              </w:rPr>
              <w:t>PT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0CC73"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04E2A"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42837ACC" w14:textId="764847F3" w:rsidR="00EF20C7" w:rsidRPr="00890249" w:rsidRDefault="00EF20C7" w:rsidP="003C3EBC">
            <w:pPr>
              <w:spacing w:line="256" w:lineRule="auto"/>
              <w:jc w:val="center"/>
              <w:rPr>
                <w:rFonts w:asciiTheme="minorHAnsi" w:hAnsiTheme="minorHAnsi" w:cstheme="minorHAnsi"/>
                <w:i/>
                <w:noProof/>
                <w:sz w:val="18"/>
                <w:szCs w:val="16"/>
              </w:rPr>
            </w:pPr>
            <w:r w:rsidRPr="00890249">
              <w:rPr>
                <w:rFonts w:asciiTheme="minorHAnsi" w:hAnsiTheme="minorHAnsi" w:cstheme="minorHAnsi"/>
                <w:color w:val="000000"/>
                <w:sz w:val="18"/>
                <w:szCs w:val="18"/>
              </w:rPr>
              <w:t>PLRO155</w:t>
            </w:r>
          </w:p>
        </w:tc>
        <w:tc>
          <w:tcPr>
            <w:tcW w:w="1632" w:type="pct"/>
            <w:tcBorders>
              <w:top w:val="single" w:sz="4" w:space="0" w:color="auto"/>
              <w:left w:val="single" w:sz="4" w:space="0" w:color="auto"/>
              <w:bottom w:val="single" w:sz="4" w:space="0" w:color="auto"/>
              <w:right w:val="single" w:sz="4" w:space="0" w:color="auto"/>
            </w:tcBorders>
            <w:shd w:val="clear" w:color="auto" w:fill="auto"/>
            <w:hideMark/>
          </w:tcPr>
          <w:p w14:paraId="490AC045" w14:textId="77777777" w:rsidR="00EF20C7" w:rsidRPr="00890249" w:rsidRDefault="00EF20C7" w:rsidP="0090617F">
            <w:pPr>
              <w:spacing w:line="256" w:lineRule="auto"/>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uczestników form szkoleniowych dla beneficjentów</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F00F1"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90" w:type="pct"/>
            <w:tcBorders>
              <w:top w:val="nil"/>
              <w:left w:val="single" w:sz="4" w:space="0" w:color="auto"/>
              <w:bottom w:val="single" w:sz="4" w:space="0" w:color="auto"/>
              <w:right w:val="single" w:sz="4" w:space="0" w:color="auto"/>
            </w:tcBorders>
            <w:shd w:val="clear" w:color="auto" w:fill="auto"/>
            <w:vAlign w:val="center"/>
          </w:tcPr>
          <w:p w14:paraId="6F53EA46" w14:textId="1E64B1FA" w:rsidR="00EF20C7" w:rsidRPr="00890249" w:rsidRDefault="00873E76" w:rsidP="0090617F">
            <w:pPr>
              <w:spacing w:line="256" w:lineRule="auto"/>
              <w:jc w:val="center"/>
              <w:rPr>
                <w:rFonts w:asciiTheme="minorHAnsi" w:hAnsiTheme="minorHAnsi" w:cstheme="minorHAnsi"/>
                <w:noProof/>
                <w:sz w:val="18"/>
                <w:szCs w:val="16"/>
              </w:rPr>
            </w:pPr>
            <w:r>
              <w:rPr>
                <w:rFonts w:asciiTheme="minorHAnsi" w:hAnsiTheme="minorHAnsi" w:cstheme="minorHAnsi"/>
                <w:color w:val="000000"/>
                <w:sz w:val="18"/>
                <w:szCs w:val="18"/>
              </w:rPr>
              <w:t>140</w:t>
            </w:r>
          </w:p>
        </w:tc>
        <w:tc>
          <w:tcPr>
            <w:tcW w:w="571" w:type="pct"/>
            <w:tcBorders>
              <w:top w:val="nil"/>
              <w:left w:val="nil"/>
              <w:bottom w:val="single" w:sz="4" w:space="0" w:color="auto"/>
              <w:right w:val="single" w:sz="4" w:space="0" w:color="auto"/>
            </w:tcBorders>
            <w:shd w:val="clear" w:color="auto" w:fill="auto"/>
            <w:vAlign w:val="center"/>
          </w:tcPr>
          <w:p w14:paraId="014F7FA3" w14:textId="180C8FCD" w:rsidR="00EF20C7" w:rsidRPr="00890249" w:rsidRDefault="00873E76" w:rsidP="00F84ECD">
            <w:pPr>
              <w:spacing w:line="256" w:lineRule="auto"/>
              <w:jc w:val="center"/>
              <w:rPr>
                <w:rFonts w:asciiTheme="minorHAnsi" w:hAnsiTheme="minorHAnsi" w:cstheme="minorHAnsi"/>
                <w:noProof/>
                <w:sz w:val="18"/>
                <w:szCs w:val="16"/>
              </w:rPr>
            </w:pPr>
            <w:r>
              <w:rPr>
                <w:rFonts w:asciiTheme="minorHAnsi" w:hAnsiTheme="minorHAnsi" w:cstheme="minorHAnsi"/>
                <w:color w:val="000000"/>
                <w:sz w:val="18"/>
                <w:szCs w:val="18"/>
              </w:rPr>
              <w:t>2 500</w:t>
            </w:r>
          </w:p>
        </w:tc>
      </w:tr>
      <w:tr w:rsidR="00EF20C7" w:rsidRPr="00890249" w14:paraId="68F91073" w14:textId="77777777" w:rsidTr="00890249">
        <w:trPr>
          <w:trHeight w:val="332"/>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B3CF0" w14:textId="77777777" w:rsidR="00EF20C7" w:rsidRPr="00890249" w:rsidRDefault="00EF20C7" w:rsidP="0090617F">
            <w:pPr>
              <w:spacing w:line="256" w:lineRule="auto"/>
              <w:rPr>
                <w:rFonts w:asciiTheme="minorHAnsi" w:hAnsiTheme="minorHAnsi" w:cstheme="minorHAnsi"/>
                <w:i/>
                <w:noProof/>
                <w:sz w:val="18"/>
                <w:szCs w:val="16"/>
              </w:rPr>
            </w:pPr>
            <w:r w:rsidRPr="00890249">
              <w:rPr>
                <w:rFonts w:asciiTheme="minorHAnsi" w:hAnsiTheme="minorHAnsi" w:cstheme="minorHAnsi"/>
                <w:i/>
                <w:noProof/>
                <w:sz w:val="18"/>
                <w:szCs w:val="16"/>
              </w:rPr>
              <w:t>PT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BF1F"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i/>
                <w:noProof/>
                <w:sz w:val="18"/>
                <w:szCs w:val="16"/>
              </w:rPr>
              <w:t>EFRR</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9CC86"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noProof/>
                <w:sz w:val="18"/>
              </w:rPr>
              <w:t>słabiej rozwinięte</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7F65D" w14:textId="4DFD26F1" w:rsidR="00EF20C7" w:rsidRPr="00890249" w:rsidRDefault="00EF20C7" w:rsidP="0090617F">
            <w:pPr>
              <w:spacing w:line="256" w:lineRule="auto"/>
              <w:jc w:val="center"/>
              <w:rPr>
                <w:rFonts w:asciiTheme="minorHAnsi" w:hAnsiTheme="minorHAnsi" w:cstheme="minorHAnsi"/>
                <w:i/>
                <w:sz w:val="18"/>
                <w:szCs w:val="16"/>
              </w:rPr>
            </w:pPr>
            <w:r w:rsidRPr="00890249">
              <w:rPr>
                <w:rFonts w:asciiTheme="minorHAnsi" w:hAnsiTheme="minorHAnsi" w:cstheme="minorHAnsi"/>
                <w:color w:val="000000"/>
                <w:sz w:val="18"/>
                <w:szCs w:val="18"/>
              </w:rPr>
              <w:t>PLRO158</w:t>
            </w:r>
          </w:p>
        </w:tc>
        <w:tc>
          <w:tcPr>
            <w:tcW w:w="1632" w:type="pct"/>
            <w:tcBorders>
              <w:top w:val="single" w:sz="4" w:space="0" w:color="auto"/>
              <w:left w:val="single" w:sz="4" w:space="0" w:color="auto"/>
              <w:bottom w:val="single" w:sz="4" w:space="0" w:color="auto"/>
              <w:right w:val="single" w:sz="4" w:space="0" w:color="auto"/>
            </w:tcBorders>
            <w:shd w:val="clear" w:color="auto" w:fill="auto"/>
            <w:hideMark/>
          </w:tcPr>
          <w:p w14:paraId="690324C6" w14:textId="77777777" w:rsidR="00EF20C7" w:rsidRPr="00890249" w:rsidRDefault="00EF20C7" w:rsidP="0090617F">
            <w:pPr>
              <w:spacing w:line="256" w:lineRule="auto"/>
              <w:jc w:val="left"/>
              <w:rPr>
                <w:rFonts w:asciiTheme="minorHAnsi" w:hAnsiTheme="minorHAnsi" w:cstheme="minorHAnsi"/>
                <w:i/>
                <w:noProof/>
                <w:sz w:val="18"/>
                <w:szCs w:val="16"/>
              </w:rPr>
            </w:pPr>
            <w:r w:rsidRPr="00890249">
              <w:rPr>
                <w:rFonts w:asciiTheme="minorHAnsi" w:hAnsiTheme="minorHAnsi" w:cstheme="minorHAnsi"/>
                <w:i/>
                <w:noProof/>
                <w:sz w:val="18"/>
                <w:szCs w:val="16"/>
              </w:rPr>
              <w:t>Liczba działań informacyjno-promocyjnych o szerokim zasięgu</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6BBB6" w14:textId="77777777" w:rsidR="00EF20C7" w:rsidRPr="00890249" w:rsidRDefault="00EF20C7" w:rsidP="0090617F">
            <w:pPr>
              <w:spacing w:line="256" w:lineRule="auto"/>
              <w:jc w:val="center"/>
              <w:rPr>
                <w:rFonts w:asciiTheme="minorHAnsi" w:hAnsiTheme="minorHAnsi" w:cstheme="minorHAnsi"/>
                <w:i/>
                <w:noProof/>
                <w:sz w:val="18"/>
                <w:szCs w:val="16"/>
              </w:rPr>
            </w:pPr>
            <w:r w:rsidRPr="00890249">
              <w:rPr>
                <w:rFonts w:asciiTheme="minorHAnsi" w:hAnsiTheme="minorHAnsi" w:cstheme="minorHAnsi"/>
                <w:i/>
                <w:noProof/>
                <w:sz w:val="18"/>
                <w:szCs w:val="16"/>
              </w:rPr>
              <w:t>szt.</w:t>
            </w:r>
          </w:p>
        </w:tc>
        <w:tc>
          <w:tcPr>
            <w:tcW w:w="590" w:type="pct"/>
            <w:tcBorders>
              <w:top w:val="nil"/>
              <w:left w:val="single" w:sz="4" w:space="0" w:color="auto"/>
              <w:bottom w:val="single" w:sz="4" w:space="0" w:color="auto"/>
              <w:right w:val="single" w:sz="4" w:space="0" w:color="auto"/>
            </w:tcBorders>
            <w:shd w:val="clear" w:color="auto" w:fill="auto"/>
            <w:vAlign w:val="center"/>
          </w:tcPr>
          <w:p w14:paraId="6F7C11A7" w14:textId="77777777" w:rsidR="00EF20C7" w:rsidRPr="00890249" w:rsidRDefault="00EF20C7" w:rsidP="0090617F">
            <w:pPr>
              <w:spacing w:line="256" w:lineRule="auto"/>
              <w:jc w:val="center"/>
              <w:rPr>
                <w:rFonts w:asciiTheme="minorHAnsi" w:hAnsiTheme="minorHAnsi" w:cstheme="minorHAnsi"/>
                <w:noProof/>
                <w:sz w:val="18"/>
                <w:szCs w:val="16"/>
              </w:rPr>
            </w:pPr>
            <w:r w:rsidRPr="00890249">
              <w:rPr>
                <w:rFonts w:asciiTheme="minorHAnsi" w:hAnsiTheme="minorHAnsi" w:cstheme="minorHAnsi"/>
                <w:color w:val="000000"/>
                <w:sz w:val="18"/>
                <w:szCs w:val="18"/>
              </w:rPr>
              <w:t>0</w:t>
            </w:r>
          </w:p>
        </w:tc>
        <w:tc>
          <w:tcPr>
            <w:tcW w:w="571" w:type="pct"/>
            <w:tcBorders>
              <w:top w:val="nil"/>
              <w:left w:val="nil"/>
              <w:bottom w:val="single" w:sz="4" w:space="0" w:color="auto"/>
              <w:right w:val="single" w:sz="4" w:space="0" w:color="auto"/>
            </w:tcBorders>
            <w:shd w:val="clear" w:color="auto" w:fill="auto"/>
            <w:vAlign w:val="center"/>
          </w:tcPr>
          <w:p w14:paraId="05BE1A06" w14:textId="03CBDA86" w:rsidR="00EF20C7" w:rsidRPr="00890249" w:rsidRDefault="00EF20C7" w:rsidP="0090617F">
            <w:pPr>
              <w:spacing w:line="256" w:lineRule="auto"/>
              <w:jc w:val="center"/>
              <w:rPr>
                <w:rFonts w:asciiTheme="minorHAnsi" w:hAnsiTheme="minorHAnsi" w:cstheme="minorHAnsi"/>
                <w:noProof/>
                <w:sz w:val="18"/>
                <w:szCs w:val="16"/>
              </w:rPr>
            </w:pPr>
            <w:r w:rsidRPr="00890249">
              <w:rPr>
                <w:rFonts w:asciiTheme="minorHAnsi" w:hAnsiTheme="minorHAnsi" w:cstheme="minorHAnsi"/>
                <w:color w:val="000000"/>
                <w:sz w:val="18"/>
                <w:szCs w:val="18"/>
              </w:rPr>
              <w:t>5</w:t>
            </w:r>
          </w:p>
        </w:tc>
      </w:tr>
    </w:tbl>
    <w:p w14:paraId="35F8F56D" w14:textId="77777777" w:rsidR="001C6AFB" w:rsidRPr="00890249" w:rsidRDefault="001C6AFB" w:rsidP="000458C6">
      <w:pPr>
        <w:spacing w:before="0" w:after="0"/>
        <w:jc w:val="left"/>
        <w:rPr>
          <w:rFonts w:asciiTheme="minorHAnsi" w:hAnsiTheme="minorHAnsi" w:cstheme="minorHAnsi"/>
        </w:rPr>
      </w:pPr>
    </w:p>
    <w:p w14:paraId="61BE3D82" w14:textId="77777777" w:rsidR="0058418C" w:rsidRPr="00A27C86" w:rsidRDefault="0058418C" w:rsidP="0058418C">
      <w:pPr>
        <w:spacing w:before="0" w:after="0"/>
        <w:jc w:val="left"/>
        <w:rPr>
          <w:rFonts w:asciiTheme="minorHAnsi" w:eastAsia="Times New Roman" w:hAnsiTheme="minorHAnsi" w:cstheme="minorHAnsi"/>
          <w:b/>
          <w:noProof/>
          <w:sz w:val="22"/>
        </w:rPr>
      </w:pPr>
      <w:r w:rsidRPr="00A27C86">
        <w:rPr>
          <w:rFonts w:asciiTheme="minorHAnsi" w:eastAsia="Times New Roman" w:hAnsiTheme="minorHAnsi" w:cstheme="minorHAnsi"/>
          <w:b/>
          <w:noProof/>
          <w:sz w:val="22"/>
        </w:rPr>
        <w:t>2.2.1.3. Indykatywny podział zaprogramowanych zasobów (UE) według rodzaju interwencji</w:t>
      </w:r>
    </w:p>
    <w:p w14:paraId="42B1C2DC" w14:textId="77777777" w:rsidR="000458C6" w:rsidRPr="00890249" w:rsidRDefault="000458C6" w:rsidP="000458C6">
      <w:pPr>
        <w:spacing w:before="0" w:after="0"/>
        <w:jc w:val="left"/>
        <w:rPr>
          <w:rFonts w:asciiTheme="minorHAnsi" w:hAnsiTheme="minorHAnsi" w:cstheme="minorHAnsi"/>
          <w:b/>
          <w:i/>
          <w:noProof/>
          <w:color w:val="FF0000"/>
          <w:sz w:val="22"/>
          <w:szCs w:val="22"/>
        </w:rPr>
      </w:pPr>
    </w:p>
    <w:tbl>
      <w:tblPr>
        <w:tblStyle w:val="Tabela-Siatka"/>
        <w:tblW w:w="9180" w:type="dxa"/>
        <w:tblLook w:val="04A0" w:firstRow="1" w:lastRow="0" w:firstColumn="1" w:lastColumn="0" w:noHBand="0" w:noVBand="1"/>
      </w:tblPr>
      <w:tblGrid>
        <w:gridCol w:w="1285"/>
        <w:gridCol w:w="897"/>
        <w:gridCol w:w="1187"/>
        <w:gridCol w:w="2017"/>
        <w:gridCol w:w="3794"/>
      </w:tblGrid>
      <w:tr w:rsidR="00D212AB" w:rsidRPr="00890249" w14:paraId="7915B589" w14:textId="77777777" w:rsidTr="00BE0394">
        <w:tc>
          <w:tcPr>
            <w:tcW w:w="9180" w:type="dxa"/>
            <w:gridSpan w:val="5"/>
            <w:tcBorders>
              <w:bottom w:val="single" w:sz="4" w:space="0" w:color="auto"/>
            </w:tcBorders>
            <w:shd w:val="clear" w:color="auto" w:fill="D9D9D9" w:themeFill="background1" w:themeFillShade="D9"/>
            <w:vAlign w:val="center"/>
          </w:tcPr>
          <w:p w14:paraId="1E3BD98D" w14:textId="3E8AFA88" w:rsidR="001C6AFB" w:rsidRPr="00890249" w:rsidRDefault="001C6AFB" w:rsidP="003C3EBC">
            <w:pPr>
              <w:rPr>
                <w:rFonts w:asciiTheme="minorHAnsi" w:hAnsiTheme="minorHAnsi" w:cstheme="minorHAnsi"/>
                <w:b/>
                <w:noProof/>
                <w:sz w:val="20"/>
              </w:rPr>
            </w:pPr>
            <w:r w:rsidRPr="00890249">
              <w:rPr>
                <w:rFonts w:asciiTheme="minorHAnsi" w:hAnsiTheme="minorHAnsi" w:cstheme="minorHAnsi"/>
                <w:b/>
                <w:noProof/>
                <w:sz w:val="20"/>
              </w:rPr>
              <w:t xml:space="preserve">Tabela </w:t>
            </w:r>
            <w:r w:rsidR="003C3EBC" w:rsidRPr="00890249">
              <w:rPr>
                <w:rFonts w:asciiTheme="minorHAnsi" w:hAnsiTheme="minorHAnsi" w:cstheme="minorHAnsi"/>
                <w:b/>
                <w:noProof/>
                <w:sz w:val="20"/>
              </w:rPr>
              <w:t>4</w:t>
            </w:r>
            <w:r w:rsidRPr="00890249">
              <w:rPr>
                <w:rFonts w:asciiTheme="minorHAnsi" w:hAnsiTheme="minorHAnsi" w:cstheme="minorHAnsi"/>
                <w:b/>
                <w:noProof/>
                <w:sz w:val="20"/>
              </w:rPr>
              <w:t>: Wymiar 1 – zakres interwencji</w:t>
            </w:r>
          </w:p>
        </w:tc>
      </w:tr>
      <w:tr w:rsidR="006E472C" w:rsidRPr="00890249" w14:paraId="5DA28300" w14:textId="77777777" w:rsidTr="00890249">
        <w:tc>
          <w:tcPr>
            <w:tcW w:w="0" w:type="auto"/>
            <w:tcBorders>
              <w:bottom w:val="single" w:sz="4" w:space="0" w:color="auto"/>
            </w:tcBorders>
            <w:shd w:val="clear" w:color="auto" w:fill="F2F2F2" w:themeFill="background1" w:themeFillShade="F2"/>
            <w:vAlign w:val="center"/>
          </w:tcPr>
          <w:p w14:paraId="50E23544"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Nr priorytetu</w:t>
            </w:r>
          </w:p>
        </w:tc>
        <w:tc>
          <w:tcPr>
            <w:tcW w:w="0" w:type="auto"/>
            <w:tcBorders>
              <w:bottom w:val="single" w:sz="4" w:space="0" w:color="auto"/>
            </w:tcBorders>
            <w:shd w:val="clear" w:color="auto" w:fill="F2F2F2" w:themeFill="background1" w:themeFillShade="F2"/>
            <w:vAlign w:val="center"/>
          </w:tcPr>
          <w:p w14:paraId="11224C25" w14:textId="77777777" w:rsidR="001C6AFB" w:rsidRPr="00890249" w:rsidRDefault="001C6AFB" w:rsidP="006E472C">
            <w:pPr>
              <w:spacing w:after="160" w:line="259" w:lineRule="auto"/>
              <w:jc w:val="center"/>
              <w:rPr>
                <w:rFonts w:asciiTheme="minorHAnsi" w:hAnsiTheme="minorHAnsi" w:cstheme="minorHAnsi"/>
                <w:b/>
                <w:noProof/>
                <w:sz w:val="20"/>
              </w:rPr>
            </w:pPr>
            <w:r w:rsidRPr="00890249">
              <w:rPr>
                <w:rFonts w:asciiTheme="minorHAnsi" w:hAnsiTheme="minorHAnsi" w:cstheme="minorHAnsi"/>
                <w:b/>
                <w:noProof/>
                <w:sz w:val="20"/>
              </w:rPr>
              <w:t>Fundusz</w:t>
            </w:r>
          </w:p>
        </w:tc>
        <w:tc>
          <w:tcPr>
            <w:tcW w:w="1187" w:type="dxa"/>
            <w:tcBorders>
              <w:bottom w:val="single" w:sz="4" w:space="0" w:color="auto"/>
            </w:tcBorders>
            <w:shd w:val="clear" w:color="auto" w:fill="F2F2F2" w:themeFill="background1" w:themeFillShade="F2"/>
            <w:vAlign w:val="center"/>
          </w:tcPr>
          <w:p w14:paraId="6BCFE422" w14:textId="77777777" w:rsidR="001C6AFB" w:rsidRPr="00890249" w:rsidRDefault="001C6AFB" w:rsidP="006E472C">
            <w:pPr>
              <w:spacing w:after="160" w:line="259" w:lineRule="auto"/>
              <w:jc w:val="center"/>
              <w:rPr>
                <w:rFonts w:asciiTheme="minorHAnsi" w:hAnsiTheme="minorHAnsi" w:cstheme="minorHAnsi"/>
                <w:b/>
                <w:noProof/>
                <w:sz w:val="20"/>
              </w:rPr>
            </w:pPr>
            <w:r w:rsidRPr="00890249">
              <w:rPr>
                <w:rFonts w:asciiTheme="minorHAnsi" w:hAnsiTheme="minorHAnsi" w:cstheme="minorHAnsi"/>
                <w:b/>
                <w:noProof/>
                <w:sz w:val="20"/>
              </w:rPr>
              <w:t>Kategoria regionu</w:t>
            </w:r>
          </w:p>
        </w:tc>
        <w:tc>
          <w:tcPr>
            <w:tcW w:w="2017" w:type="dxa"/>
            <w:tcBorders>
              <w:bottom w:val="single" w:sz="4" w:space="0" w:color="auto"/>
            </w:tcBorders>
            <w:shd w:val="clear" w:color="auto" w:fill="F2F2F2" w:themeFill="background1" w:themeFillShade="F2"/>
            <w:vAlign w:val="center"/>
          </w:tcPr>
          <w:p w14:paraId="216FCB23" w14:textId="77777777" w:rsidR="001C6AFB" w:rsidRPr="00890249" w:rsidRDefault="001C6AFB" w:rsidP="00D212AB">
            <w:pPr>
              <w:spacing w:after="160" w:line="259" w:lineRule="auto"/>
              <w:jc w:val="center"/>
              <w:rPr>
                <w:rFonts w:asciiTheme="minorHAnsi" w:hAnsiTheme="minorHAnsi" w:cstheme="minorHAnsi"/>
                <w:b/>
                <w:noProof/>
                <w:sz w:val="20"/>
              </w:rPr>
            </w:pPr>
            <w:r w:rsidRPr="00890249">
              <w:rPr>
                <w:rFonts w:asciiTheme="minorHAnsi" w:hAnsiTheme="minorHAnsi" w:cstheme="minorHAnsi"/>
                <w:b/>
                <w:noProof/>
                <w:sz w:val="20"/>
              </w:rPr>
              <w:t>Kod</w:t>
            </w:r>
          </w:p>
        </w:tc>
        <w:tc>
          <w:tcPr>
            <w:tcW w:w="3794" w:type="dxa"/>
            <w:tcBorders>
              <w:bottom w:val="single" w:sz="4" w:space="0" w:color="auto"/>
            </w:tcBorders>
            <w:shd w:val="clear" w:color="auto" w:fill="F2F2F2" w:themeFill="background1" w:themeFillShade="F2"/>
            <w:vAlign w:val="center"/>
          </w:tcPr>
          <w:p w14:paraId="58D0CF03" w14:textId="77777777" w:rsidR="001C6AFB" w:rsidRPr="00890249" w:rsidRDefault="001C6AFB" w:rsidP="00D212AB">
            <w:pPr>
              <w:spacing w:after="160" w:line="259" w:lineRule="auto"/>
              <w:jc w:val="center"/>
              <w:rPr>
                <w:rFonts w:asciiTheme="minorHAnsi" w:hAnsiTheme="minorHAnsi" w:cstheme="minorHAnsi"/>
                <w:b/>
                <w:noProof/>
                <w:sz w:val="20"/>
              </w:rPr>
            </w:pPr>
            <w:r w:rsidRPr="00890249">
              <w:rPr>
                <w:rFonts w:asciiTheme="minorHAnsi" w:hAnsiTheme="minorHAnsi" w:cstheme="minorHAnsi"/>
                <w:b/>
                <w:noProof/>
                <w:sz w:val="20"/>
              </w:rPr>
              <w:t>Kwota (w EUR)</w:t>
            </w:r>
          </w:p>
        </w:tc>
      </w:tr>
      <w:tr w:rsidR="008174D5" w:rsidRPr="00890249" w14:paraId="2D9BACD2" w14:textId="77777777" w:rsidTr="00890249">
        <w:tc>
          <w:tcPr>
            <w:tcW w:w="0" w:type="auto"/>
            <w:shd w:val="clear" w:color="auto" w:fill="auto"/>
            <w:vAlign w:val="center"/>
          </w:tcPr>
          <w:p w14:paraId="3E8879D5" w14:textId="77777777" w:rsidR="008174D5" w:rsidRPr="00890249" w:rsidRDefault="008174D5" w:rsidP="008174D5">
            <w:pPr>
              <w:spacing w:after="160" w:line="259" w:lineRule="auto"/>
              <w:jc w:val="center"/>
              <w:rPr>
                <w:rFonts w:asciiTheme="minorHAnsi" w:hAnsiTheme="minorHAnsi" w:cstheme="minorHAnsi"/>
                <w:b/>
                <w:sz w:val="20"/>
                <w:lang w:eastAsia="en-US"/>
              </w:rPr>
            </w:pPr>
          </w:p>
        </w:tc>
        <w:tc>
          <w:tcPr>
            <w:tcW w:w="0" w:type="auto"/>
            <w:shd w:val="clear" w:color="auto" w:fill="auto"/>
            <w:vAlign w:val="center"/>
          </w:tcPr>
          <w:p w14:paraId="14B6AA43" w14:textId="77777777" w:rsidR="008174D5" w:rsidRPr="00890249" w:rsidRDefault="008174D5" w:rsidP="008174D5">
            <w:pPr>
              <w:spacing w:after="160" w:line="259" w:lineRule="auto"/>
              <w:jc w:val="center"/>
              <w:rPr>
                <w:rFonts w:asciiTheme="minorHAnsi" w:hAnsiTheme="minorHAnsi" w:cstheme="minorHAnsi"/>
                <w:b/>
                <w:sz w:val="20"/>
                <w:lang w:eastAsia="en-US"/>
              </w:rPr>
            </w:pPr>
            <w:r w:rsidRPr="00890249">
              <w:rPr>
                <w:rFonts w:asciiTheme="minorHAnsi" w:eastAsia="Times New Roman" w:hAnsiTheme="minorHAnsi" w:cstheme="minorHAnsi"/>
                <w:iCs/>
                <w:noProof/>
                <w:sz w:val="20"/>
              </w:rPr>
              <w:t>EFRR</w:t>
            </w:r>
          </w:p>
        </w:tc>
        <w:tc>
          <w:tcPr>
            <w:tcW w:w="1187" w:type="dxa"/>
            <w:shd w:val="clear" w:color="auto" w:fill="auto"/>
            <w:vAlign w:val="center"/>
          </w:tcPr>
          <w:p w14:paraId="3EAE8390" w14:textId="77777777" w:rsidR="008174D5" w:rsidRPr="00890249" w:rsidRDefault="008174D5" w:rsidP="008174D5">
            <w:pPr>
              <w:spacing w:after="160" w:line="259" w:lineRule="auto"/>
              <w:jc w:val="center"/>
              <w:rPr>
                <w:rFonts w:asciiTheme="minorHAnsi" w:hAnsiTheme="minorHAnsi" w:cstheme="minorHAnsi"/>
                <w:b/>
                <w:sz w:val="20"/>
                <w:lang w:eastAsia="en-US"/>
              </w:rPr>
            </w:pPr>
          </w:p>
        </w:tc>
        <w:tc>
          <w:tcPr>
            <w:tcW w:w="2017" w:type="dxa"/>
            <w:shd w:val="clear" w:color="auto" w:fill="auto"/>
            <w:vAlign w:val="center"/>
          </w:tcPr>
          <w:p w14:paraId="47FA0022" w14:textId="77777777" w:rsidR="008174D5" w:rsidRPr="00890249" w:rsidRDefault="00875C92" w:rsidP="008174D5">
            <w:pPr>
              <w:spacing w:after="160" w:line="259" w:lineRule="auto"/>
              <w:jc w:val="center"/>
              <w:rPr>
                <w:rFonts w:asciiTheme="minorHAnsi" w:hAnsiTheme="minorHAnsi" w:cstheme="minorHAnsi"/>
                <w:sz w:val="20"/>
                <w:lang w:eastAsia="en-US"/>
              </w:rPr>
            </w:pPr>
            <w:r w:rsidRPr="00890249">
              <w:rPr>
                <w:rFonts w:asciiTheme="minorHAnsi" w:hAnsiTheme="minorHAnsi" w:cstheme="minorHAnsi"/>
                <w:sz w:val="20"/>
                <w:lang w:eastAsia="en-US"/>
              </w:rPr>
              <w:t>179 Informacja i komunikacja</w:t>
            </w:r>
          </w:p>
        </w:tc>
        <w:tc>
          <w:tcPr>
            <w:tcW w:w="3794" w:type="dxa"/>
            <w:shd w:val="clear" w:color="auto" w:fill="auto"/>
            <w:vAlign w:val="center"/>
          </w:tcPr>
          <w:p w14:paraId="5CE3E381" w14:textId="74BA018E" w:rsidR="008174D5" w:rsidRPr="00890249" w:rsidRDefault="0017633E" w:rsidP="008174D5">
            <w:pPr>
              <w:spacing w:after="160" w:line="259" w:lineRule="auto"/>
              <w:jc w:val="center"/>
              <w:rPr>
                <w:rFonts w:asciiTheme="minorHAnsi" w:hAnsiTheme="minorHAnsi" w:cstheme="minorHAnsi"/>
                <w:b/>
                <w:sz w:val="20"/>
                <w:lang w:eastAsia="en-US"/>
              </w:rPr>
            </w:pPr>
            <w:r w:rsidRPr="00890249">
              <w:rPr>
                <w:rFonts w:asciiTheme="minorHAnsi" w:hAnsiTheme="minorHAnsi" w:cstheme="minorHAnsi"/>
                <w:b/>
                <w:sz w:val="20"/>
              </w:rPr>
              <w:t>958 423</w:t>
            </w:r>
          </w:p>
        </w:tc>
      </w:tr>
      <w:tr w:rsidR="008174D5" w:rsidRPr="00890249" w14:paraId="49DFC57F" w14:textId="77777777" w:rsidTr="00890249">
        <w:trPr>
          <w:trHeight w:hRule="exact" w:val="1564"/>
        </w:trPr>
        <w:tc>
          <w:tcPr>
            <w:tcW w:w="0" w:type="auto"/>
            <w:shd w:val="clear" w:color="auto" w:fill="auto"/>
            <w:vAlign w:val="center"/>
          </w:tcPr>
          <w:p w14:paraId="4841CFC7" w14:textId="77777777" w:rsidR="008174D5" w:rsidRPr="00890249" w:rsidRDefault="008174D5" w:rsidP="008174D5">
            <w:pPr>
              <w:spacing w:line="259" w:lineRule="auto"/>
              <w:rPr>
                <w:rFonts w:asciiTheme="minorHAnsi" w:hAnsiTheme="minorHAnsi" w:cstheme="minorHAnsi"/>
                <w:iCs/>
                <w:sz w:val="20"/>
                <w:lang w:eastAsia="en-US"/>
              </w:rPr>
            </w:pPr>
          </w:p>
        </w:tc>
        <w:tc>
          <w:tcPr>
            <w:tcW w:w="0" w:type="auto"/>
            <w:shd w:val="clear" w:color="auto" w:fill="auto"/>
            <w:vAlign w:val="center"/>
          </w:tcPr>
          <w:p w14:paraId="1FCCD6D1" w14:textId="77777777" w:rsidR="008174D5" w:rsidRPr="00890249" w:rsidRDefault="008174D5" w:rsidP="008174D5">
            <w:pPr>
              <w:spacing w:line="259" w:lineRule="auto"/>
              <w:jc w:val="center"/>
              <w:rPr>
                <w:rFonts w:asciiTheme="minorHAnsi" w:hAnsiTheme="minorHAnsi" w:cstheme="minorHAnsi"/>
                <w:b/>
                <w:iCs/>
                <w:sz w:val="20"/>
              </w:rPr>
            </w:pPr>
            <w:r w:rsidRPr="00890249">
              <w:rPr>
                <w:rFonts w:asciiTheme="minorHAnsi" w:eastAsia="Times New Roman" w:hAnsiTheme="minorHAnsi" w:cstheme="minorHAnsi"/>
                <w:iCs/>
                <w:noProof/>
                <w:sz w:val="20"/>
              </w:rPr>
              <w:t>EFRR</w:t>
            </w:r>
          </w:p>
        </w:tc>
        <w:tc>
          <w:tcPr>
            <w:tcW w:w="1187" w:type="dxa"/>
            <w:shd w:val="clear" w:color="auto" w:fill="auto"/>
            <w:vAlign w:val="center"/>
          </w:tcPr>
          <w:p w14:paraId="1059DB62" w14:textId="77777777" w:rsidR="008174D5" w:rsidRPr="00890249" w:rsidRDefault="008174D5" w:rsidP="008174D5">
            <w:pPr>
              <w:spacing w:line="259" w:lineRule="auto"/>
              <w:rPr>
                <w:rFonts w:asciiTheme="minorHAnsi" w:hAnsiTheme="minorHAnsi" w:cstheme="minorHAnsi"/>
                <w:b/>
                <w:iCs/>
                <w:sz w:val="20"/>
                <w:lang w:eastAsia="en-US"/>
              </w:rPr>
            </w:pPr>
          </w:p>
        </w:tc>
        <w:tc>
          <w:tcPr>
            <w:tcW w:w="2017" w:type="dxa"/>
            <w:shd w:val="clear" w:color="auto" w:fill="auto"/>
            <w:vAlign w:val="center"/>
          </w:tcPr>
          <w:p w14:paraId="6241EEB4" w14:textId="77777777" w:rsidR="008174D5" w:rsidRPr="00890249" w:rsidRDefault="00875C92" w:rsidP="008174D5">
            <w:pPr>
              <w:spacing w:line="259" w:lineRule="auto"/>
              <w:jc w:val="center"/>
              <w:rPr>
                <w:rFonts w:asciiTheme="minorHAnsi" w:hAnsiTheme="minorHAnsi" w:cstheme="minorHAnsi"/>
                <w:iCs/>
                <w:sz w:val="20"/>
                <w:lang w:eastAsia="en-US"/>
              </w:rPr>
            </w:pPr>
            <w:r w:rsidRPr="00890249">
              <w:rPr>
                <w:rFonts w:asciiTheme="minorHAnsi" w:hAnsiTheme="minorHAnsi" w:cstheme="minorHAnsi"/>
                <w:iCs/>
                <w:sz w:val="20"/>
              </w:rPr>
              <w:t xml:space="preserve">180 Przygotowanie, wdrażanie monitorowanie i kontrola </w:t>
            </w:r>
          </w:p>
        </w:tc>
        <w:tc>
          <w:tcPr>
            <w:tcW w:w="3794" w:type="dxa"/>
            <w:shd w:val="clear" w:color="auto" w:fill="auto"/>
            <w:vAlign w:val="center"/>
          </w:tcPr>
          <w:p w14:paraId="166F60C3" w14:textId="34F565FE" w:rsidR="008174D5" w:rsidRPr="00890249" w:rsidRDefault="000E457E" w:rsidP="008174D5">
            <w:pPr>
              <w:spacing w:line="259" w:lineRule="auto"/>
              <w:jc w:val="center"/>
              <w:rPr>
                <w:rFonts w:asciiTheme="minorHAnsi" w:hAnsiTheme="minorHAnsi" w:cstheme="minorHAnsi"/>
                <w:b/>
                <w:iCs/>
                <w:sz w:val="20"/>
                <w:lang w:eastAsia="en-US"/>
              </w:rPr>
            </w:pPr>
            <w:r>
              <w:rPr>
                <w:rFonts w:asciiTheme="minorHAnsi" w:hAnsiTheme="minorHAnsi" w:cstheme="minorHAnsi"/>
                <w:b/>
                <w:iCs/>
                <w:sz w:val="20"/>
              </w:rPr>
              <w:t>27 7</w:t>
            </w:r>
            <w:r w:rsidR="000C0A23">
              <w:rPr>
                <w:rFonts w:asciiTheme="minorHAnsi" w:hAnsiTheme="minorHAnsi" w:cstheme="minorHAnsi"/>
                <w:b/>
                <w:iCs/>
                <w:sz w:val="20"/>
              </w:rPr>
              <w:t>0</w:t>
            </w:r>
            <w:r>
              <w:rPr>
                <w:rFonts w:asciiTheme="minorHAnsi" w:hAnsiTheme="minorHAnsi" w:cstheme="minorHAnsi"/>
                <w:b/>
                <w:iCs/>
                <w:sz w:val="20"/>
              </w:rPr>
              <w:t>5 409</w:t>
            </w:r>
          </w:p>
        </w:tc>
      </w:tr>
      <w:tr w:rsidR="008174D5" w:rsidRPr="00890249" w14:paraId="2A647E1A" w14:textId="77777777" w:rsidTr="00890249">
        <w:trPr>
          <w:trHeight w:hRule="exact" w:val="1274"/>
        </w:trPr>
        <w:tc>
          <w:tcPr>
            <w:tcW w:w="0" w:type="auto"/>
            <w:shd w:val="clear" w:color="auto" w:fill="auto"/>
            <w:vAlign w:val="center"/>
          </w:tcPr>
          <w:p w14:paraId="28A87CDE" w14:textId="77777777" w:rsidR="008174D5" w:rsidRPr="00890249" w:rsidRDefault="008174D5" w:rsidP="008174D5">
            <w:pPr>
              <w:spacing w:line="259" w:lineRule="auto"/>
              <w:rPr>
                <w:rFonts w:asciiTheme="minorHAnsi" w:hAnsiTheme="minorHAnsi" w:cstheme="minorHAnsi"/>
                <w:iCs/>
                <w:sz w:val="20"/>
                <w:lang w:eastAsia="en-US"/>
              </w:rPr>
            </w:pPr>
          </w:p>
        </w:tc>
        <w:tc>
          <w:tcPr>
            <w:tcW w:w="0" w:type="auto"/>
            <w:shd w:val="clear" w:color="auto" w:fill="auto"/>
            <w:vAlign w:val="center"/>
          </w:tcPr>
          <w:p w14:paraId="62CB216B" w14:textId="77777777" w:rsidR="008174D5" w:rsidRPr="00890249" w:rsidRDefault="008174D5" w:rsidP="008174D5">
            <w:pPr>
              <w:spacing w:line="259" w:lineRule="auto"/>
              <w:jc w:val="center"/>
              <w:rPr>
                <w:rFonts w:asciiTheme="minorHAnsi" w:hAnsiTheme="minorHAnsi" w:cstheme="minorHAnsi"/>
                <w:b/>
                <w:iCs/>
                <w:sz w:val="20"/>
              </w:rPr>
            </w:pPr>
            <w:r w:rsidRPr="00890249">
              <w:rPr>
                <w:rFonts w:asciiTheme="minorHAnsi" w:eastAsia="Times New Roman" w:hAnsiTheme="minorHAnsi" w:cstheme="minorHAnsi"/>
                <w:iCs/>
                <w:noProof/>
                <w:sz w:val="20"/>
              </w:rPr>
              <w:t>EFRR</w:t>
            </w:r>
          </w:p>
        </w:tc>
        <w:tc>
          <w:tcPr>
            <w:tcW w:w="1187" w:type="dxa"/>
            <w:shd w:val="clear" w:color="auto" w:fill="auto"/>
            <w:vAlign w:val="center"/>
          </w:tcPr>
          <w:p w14:paraId="25CDFEBB" w14:textId="77777777" w:rsidR="008174D5" w:rsidRPr="00890249" w:rsidRDefault="008174D5" w:rsidP="008174D5">
            <w:pPr>
              <w:spacing w:line="259" w:lineRule="auto"/>
              <w:rPr>
                <w:rFonts w:asciiTheme="minorHAnsi" w:hAnsiTheme="minorHAnsi" w:cstheme="minorHAnsi"/>
                <w:b/>
                <w:iCs/>
                <w:sz w:val="20"/>
                <w:lang w:eastAsia="en-US"/>
              </w:rPr>
            </w:pPr>
          </w:p>
        </w:tc>
        <w:tc>
          <w:tcPr>
            <w:tcW w:w="2017" w:type="dxa"/>
            <w:shd w:val="clear" w:color="auto" w:fill="auto"/>
            <w:vAlign w:val="center"/>
          </w:tcPr>
          <w:p w14:paraId="6AB2253F" w14:textId="77777777" w:rsidR="008174D5" w:rsidRPr="00890249" w:rsidRDefault="00875C92" w:rsidP="008174D5">
            <w:pPr>
              <w:spacing w:line="259" w:lineRule="auto"/>
              <w:jc w:val="center"/>
              <w:rPr>
                <w:rFonts w:asciiTheme="minorHAnsi" w:hAnsiTheme="minorHAnsi" w:cstheme="minorHAnsi"/>
                <w:iCs/>
                <w:sz w:val="20"/>
                <w:lang w:eastAsia="en-US"/>
              </w:rPr>
            </w:pPr>
            <w:r w:rsidRPr="00890249">
              <w:rPr>
                <w:rFonts w:asciiTheme="minorHAnsi" w:hAnsiTheme="minorHAnsi" w:cstheme="minorHAnsi"/>
                <w:iCs/>
                <w:sz w:val="20"/>
              </w:rPr>
              <w:t>181 Ewaluacja i badania, gromadzenie danych</w:t>
            </w:r>
          </w:p>
        </w:tc>
        <w:tc>
          <w:tcPr>
            <w:tcW w:w="3794" w:type="dxa"/>
            <w:shd w:val="clear" w:color="auto" w:fill="auto"/>
            <w:vAlign w:val="center"/>
          </w:tcPr>
          <w:p w14:paraId="4F4BCF82" w14:textId="41C8EF8C" w:rsidR="008174D5" w:rsidRPr="00890249" w:rsidRDefault="0017633E" w:rsidP="008174D5">
            <w:pPr>
              <w:spacing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rPr>
              <w:t>245 556</w:t>
            </w:r>
          </w:p>
        </w:tc>
      </w:tr>
      <w:tr w:rsidR="008174D5" w:rsidRPr="00890249" w14:paraId="49450D1B" w14:textId="77777777" w:rsidTr="00890249">
        <w:trPr>
          <w:trHeight w:hRule="exact" w:val="2129"/>
        </w:trPr>
        <w:tc>
          <w:tcPr>
            <w:tcW w:w="0" w:type="auto"/>
            <w:shd w:val="clear" w:color="auto" w:fill="auto"/>
            <w:vAlign w:val="center"/>
          </w:tcPr>
          <w:p w14:paraId="6C46770C" w14:textId="77777777" w:rsidR="008174D5" w:rsidRPr="00890249" w:rsidRDefault="008174D5" w:rsidP="008174D5">
            <w:pPr>
              <w:rPr>
                <w:rFonts w:asciiTheme="minorHAnsi" w:hAnsiTheme="minorHAnsi" w:cstheme="minorHAnsi"/>
                <w:iCs/>
                <w:sz w:val="20"/>
                <w:lang w:eastAsia="en-US"/>
              </w:rPr>
            </w:pPr>
          </w:p>
        </w:tc>
        <w:tc>
          <w:tcPr>
            <w:tcW w:w="0" w:type="auto"/>
            <w:shd w:val="clear" w:color="auto" w:fill="auto"/>
            <w:vAlign w:val="center"/>
          </w:tcPr>
          <w:p w14:paraId="6651EBC3" w14:textId="77777777" w:rsidR="008174D5" w:rsidRPr="00890249" w:rsidRDefault="008174D5" w:rsidP="008174D5">
            <w:pPr>
              <w:spacing w:line="259" w:lineRule="auto"/>
              <w:jc w:val="center"/>
              <w:rPr>
                <w:rFonts w:asciiTheme="minorHAnsi" w:hAnsiTheme="minorHAnsi" w:cstheme="minorHAnsi"/>
                <w:b/>
                <w:iCs/>
                <w:sz w:val="20"/>
              </w:rPr>
            </w:pPr>
            <w:r w:rsidRPr="00890249">
              <w:rPr>
                <w:rFonts w:asciiTheme="minorHAnsi" w:eastAsia="Times New Roman" w:hAnsiTheme="minorHAnsi" w:cstheme="minorHAnsi"/>
                <w:iCs/>
                <w:noProof/>
                <w:sz w:val="20"/>
              </w:rPr>
              <w:t>EFRR</w:t>
            </w:r>
          </w:p>
        </w:tc>
        <w:tc>
          <w:tcPr>
            <w:tcW w:w="1187" w:type="dxa"/>
            <w:shd w:val="clear" w:color="auto" w:fill="auto"/>
            <w:vAlign w:val="center"/>
          </w:tcPr>
          <w:p w14:paraId="6FCE80F6" w14:textId="77777777" w:rsidR="008174D5" w:rsidRPr="00890249" w:rsidRDefault="008174D5" w:rsidP="008174D5">
            <w:pPr>
              <w:rPr>
                <w:rFonts w:asciiTheme="minorHAnsi" w:hAnsiTheme="minorHAnsi" w:cstheme="minorHAnsi"/>
                <w:b/>
                <w:iCs/>
                <w:sz w:val="20"/>
                <w:lang w:eastAsia="en-US"/>
              </w:rPr>
            </w:pPr>
          </w:p>
        </w:tc>
        <w:tc>
          <w:tcPr>
            <w:tcW w:w="2017" w:type="dxa"/>
            <w:shd w:val="clear" w:color="auto" w:fill="auto"/>
            <w:vAlign w:val="center"/>
          </w:tcPr>
          <w:p w14:paraId="60365780" w14:textId="77777777" w:rsidR="008174D5" w:rsidRPr="00890249" w:rsidRDefault="00875C92" w:rsidP="008174D5">
            <w:pPr>
              <w:jc w:val="center"/>
              <w:rPr>
                <w:rFonts w:asciiTheme="minorHAnsi" w:hAnsiTheme="minorHAnsi" w:cstheme="minorHAnsi"/>
                <w:iCs/>
                <w:sz w:val="20"/>
                <w:lang w:eastAsia="en-US"/>
              </w:rPr>
            </w:pPr>
            <w:r w:rsidRPr="00890249">
              <w:rPr>
                <w:rFonts w:asciiTheme="minorHAnsi" w:hAnsiTheme="minorHAnsi" w:cstheme="minorHAnsi"/>
                <w:iCs/>
                <w:sz w:val="20"/>
              </w:rPr>
              <w:t>182 Wzmocnienie potencjału instytucji państwa członkowskiego, beneficjantów i odpowiednich partnerów</w:t>
            </w:r>
          </w:p>
        </w:tc>
        <w:tc>
          <w:tcPr>
            <w:tcW w:w="3794" w:type="dxa"/>
            <w:shd w:val="clear" w:color="auto" w:fill="auto"/>
            <w:vAlign w:val="center"/>
          </w:tcPr>
          <w:p w14:paraId="1FC7A657" w14:textId="549A95F1" w:rsidR="008174D5" w:rsidRPr="00890249" w:rsidRDefault="0017633E" w:rsidP="008174D5">
            <w:pPr>
              <w:jc w:val="center"/>
              <w:rPr>
                <w:rFonts w:asciiTheme="minorHAnsi" w:hAnsiTheme="minorHAnsi" w:cstheme="minorHAnsi"/>
                <w:b/>
                <w:iCs/>
                <w:sz w:val="20"/>
                <w:lang w:eastAsia="en-US"/>
              </w:rPr>
            </w:pPr>
            <w:r w:rsidRPr="00890249">
              <w:rPr>
                <w:rFonts w:asciiTheme="minorHAnsi" w:hAnsiTheme="minorHAnsi" w:cstheme="minorHAnsi"/>
                <w:b/>
                <w:iCs/>
                <w:sz w:val="20"/>
              </w:rPr>
              <w:t>354 171</w:t>
            </w:r>
          </w:p>
        </w:tc>
      </w:tr>
    </w:tbl>
    <w:p w14:paraId="791492CE" w14:textId="77777777" w:rsidR="001C6AFB" w:rsidRPr="00890249" w:rsidRDefault="001C6AFB" w:rsidP="001C6AFB">
      <w:pPr>
        <w:rPr>
          <w:rFonts w:asciiTheme="minorHAnsi" w:hAnsiTheme="minorHAnsi" w:cstheme="minorHAnsi"/>
          <w:b/>
          <w:iCs/>
          <w:sz w:val="18"/>
          <w:szCs w:val="18"/>
        </w:rPr>
      </w:pPr>
    </w:p>
    <w:p w14:paraId="08355377" w14:textId="77777777" w:rsidR="00295939" w:rsidRPr="00890249" w:rsidRDefault="00295939" w:rsidP="001C6AFB">
      <w:pPr>
        <w:rPr>
          <w:rFonts w:asciiTheme="minorHAnsi" w:hAnsiTheme="minorHAnsi" w:cstheme="minorHAnsi"/>
          <w:b/>
          <w:iCs/>
          <w:sz w:val="18"/>
          <w:szCs w:val="18"/>
        </w:rPr>
      </w:pPr>
    </w:p>
    <w:tbl>
      <w:tblPr>
        <w:tblStyle w:val="Tabela-Siatka"/>
        <w:tblW w:w="0" w:type="auto"/>
        <w:tblLook w:val="04A0" w:firstRow="1" w:lastRow="0" w:firstColumn="1" w:lastColumn="0" w:noHBand="0" w:noVBand="1"/>
      </w:tblPr>
      <w:tblGrid>
        <w:gridCol w:w="1586"/>
        <w:gridCol w:w="1371"/>
        <w:gridCol w:w="1422"/>
        <w:gridCol w:w="2039"/>
        <w:gridCol w:w="2643"/>
      </w:tblGrid>
      <w:tr w:rsidR="00D212AB" w:rsidRPr="00890249" w14:paraId="2C8A507D" w14:textId="77777777" w:rsidTr="00044CE1">
        <w:tc>
          <w:tcPr>
            <w:tcW w:w="9180" w:type="dxa"/>
            <w:gridSpan w:val="5"/>
            <w:tcBorders>
              <w:bottom w:val="single" w:sz="4" w:space="0" w:color="auto"/>
            </w:tcBorders>
            <w:shd w:val="clear" w:color="auto" w:fill="D9D9D9" w:themeFill="background1" w:themeFillShade="D9"/>
            <w:vAlign w:val="center"/>
          </w:tcPr>
          <w:p w14:paraId="2550EC69" w14:textId="5F191A0A" w:rsidR="001C6AFB" w:rsidRPr="00890249" w:rsidRDefault="001C6AFB" w:rsidP="00F252CF">
            <w:pPr>
              <w:rPr>
                <w:rFonts w:asciiTheme="minorHAnsi" w:hAnsiTheme="minorHAnsi" w:cstheme="minorHAnsi"/>
                <w:b/>
                <w:noProof/>
                <w:sz w:val="20"/>
              </w:rPr>
            </w:pPr>
            <w:bookmarkStart w:id="31" w:name="_Hlk188592597"/>
            <w:r w:rsidRPr="00890249">
              <w:rPr>
                <w:rFonts w:asciiTheme="minorHAnsi" w:hAnsiTheme="minorHAnsi" w:cstheme="minorHAnsi"/>
                <w:b/>
                <w:noProof/>
                <w:sz w:val="20"/>
              </w:rPr>
              <w:t xml:space="preserve">Tabela </w:t>
            </w:r>
            <w:r w:rsidR="00F252CF" w:rsidRPr="00890249">
              <w:rPr>
                <w:rFonts w:asciiTheme="minorHAnsi" w:hAnsiTheme="minorHAnsi" w:cstheme="minorHAnsi"/>
                <w:b/>
                <w:noProof/>
                <w:sz w:val="20"/>
              </w:rPr>
              <w:t>7</w:t>
            </w:r>
            <w:r w:rsidRPr="00890249">
              <w:rPr>
                <w:rFonts w:asciiTheme="minorHAnsi" w:hAnsiTheme="minorHAnsi" w:cstheme="minorHAnsi"/>
                <w:b/>
                <w:noProof/>
                <w:sz w:val="20"/>
              </w:rPr>
              <w:t xml:space="preserve">: Wymiar </w:t>
            </w:r>
            <w:r w:rsidR="00F252CF" w:rsidRPr="00890249">
              <w:rPr>
                <w:rFonts w:asciiTheme="minorHAnsi" w:hAnsiTheme="minorHAnsi" w:cstheme="minorHAnsi"/>
                <w:b/>
                <w:noProof/>
                <w:sz w:val="20"/>
              </w:rPr>
              <w:t xml:space="preserve">6 </w:t>
            </w:r>
            <w:r w:rsidRPr="00890249">
              <w:rPr>
                <w:rFonts w:asciiTheme="minorHAnsi" w:hAnsiTheme="minorHAnsi" w:cstheme="minorHAnsi"/>
                <w:b/>
                <w:noProof/>
                <w:sz w:val="20"/>
              </w:rPr>
              <w:t xml:space="preserve">– </w:t>
            </w:r>
            <w:r w:rsidR="00F252CF" w:rsidRPr="00890249">
              <w:rPr>
                <w:rFonts w:asciiTheme="minorHAnsi" w:hAnsiTheme="minorHAnsi" w:cstheme="minorHAnsi"/>
                <w:b/>
                <w:noProof/>
                <w:sz w:val="20"/>
              </w:rPr>
              <w:t>uzupełniające obszary tematyczne</w:t>
            </w:r>
            <w:r w:rsidRPr="00890249">
              <w:rPr>
                <w:rFonts w:asciiTheme="minorHAnsi" w:hAnsiTheme="minorHAnsi" w:cstheme="minorHAnsi"/>
                <w:b/>
                <w:noProof/>
                <w:sz w:val="20"/>
              </w:rPr>
              <w:t xml:space="preserve"> EFS+</w:t>
            </w:r>
          </w:p>
        </w:tc>
      </w:tr>
      <w:tr w:rsidR="00D212AB" w:rsidRPr="00890249" w14:paraId="323EC6EB" w14:textId="77777777" w:rsidTr="00890249">
        <w:tc>
          <w:tcPr>
            <w:tcW w:w="1599" w:type="dxa"/>
            <w:tcBorders>
              <w:bottom w:val="single" w:sz="4" w:space="0" w:color="auto"/>
            </w:tcBorders>
            <w:shd w:val="clear" w:color="auto" w:fill="F2F2F2" w:themeFill="background1" w:themeFillShade="F2"/>
            <w:vAlign w:val="center"/>
          </w:tcPr>
          <w:p w14:paraId="513E84CE"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Nr priorytetu</w:t>
            </w:r>
          </w:p>
        </w:tc>
        <w:tc>
          <w:tcPr>
            <w:tcW w:w="1384" w:type="dxa"/>
            <w:tcBorders>
              <w:bottom w:val="single" w:sz="4" w:space="0" w:color="auto"/>
            </w:tcBorders>
            <w:shd w:val="clear" w:color="auto" w:fill="F2F2F2" w:themeFill="background1" w:themeFillShade="F2"/>
            <w:vAlign w:val="center"/>
          </w:tcPr>
          <w:p w14:paraId="6679B1EB"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Fundusz</w:t>
            </w:r>
          </w:p>
        </w:tc>
        <w:tc>
          <w:tcPr>
            <w:tcW w:w="1433" w:type="dxa"/>
            <w:tcBorders>
              <w:bottom w:val="single" w:sz="4" w:space="0" w:color="auto"/>
            </w:tcBorders>
            <w:shd w:val="clear" w:color="auto" w:fill="F2F2F2" w:themeFill="background1" w:themeFillShade="F2"/>
            <w:vAlign w:val="center"/>
          </w:tcPr>
          <w:p w14:paraId="65AB7177"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Kategoria regionu</w:t>
            </w:r>
          </w:p>
        </w:tc>
        <w:tc>
          <w:tcPr>
            <w:tcW w:w="2071" w:type="dxa"/>
            <w:tcBorders>
              <w:bottom w:val="single" w:sz="4" w:space="0" w:color="auto"/>
            </w:tcBorders>
            <w:shd w:val="clear" w:color="auto" w:fill="F2F2F2" w:themeFill="background1" w:themeFillShade="F2"/>
            <w:vAlign w:val="center"/>
          </w:tcPr>
          <w:p w14:paraId="7D2CCE0D"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Kod</w:t>
            </w:r>
          </w:p>
        </w:tc>
        <w:tc>
          <w:tcPr>
            <w:tcW w:w="2693" w:type="dxa"/>
            <w:tcBorders>
              <w:bottom w:val="single" w:sz="4" w:space="0" w:color="auto"/>
            </w:tcBorders>
            <w:shd w:val="clear" w:color="auto" w:fill="F2F2F2" w:themeFill="background1" w:themeFillShade="F2"/>
            <w:vAlign w:val="center"/>
          </w:tcPr>
          <w:p w14:paraId="3AE9B12C"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Kwota (w EUR)</w:t>
            </w:r>
          </w:p>
        </w:tc>
      </w:tr>
      <w:tr w:rsidR="0043657F" w:rsidRPr="00890249" w14:paraId="435F2B88" w14:textId="77777777" w:rsidTr="00890249">
        <w:trPr>
          <w:trHeight w:hRule="exact" w:val="539"/>
        </w:trPr>
        <w:tc>
          <w:tcPr>
            <w:tcW w:w="1599" w:type="dxa"/>
            <w:shd w:val="clear" w:color="auto" w:fill="auto"/>
            <w:vAlign w:val="center"/>
          </w:tcPr>
          <w:p w14:paraId="2D61E85C" w14:textId="77777777" w:rsidR="0043657F" w:rsidRPr="00890249" w:rsidRDefault="0043657F" w:rsidP="0043657F">
            <w:pPr>
              <w:spacing w:after="160"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lang w:eastAsia="en-US"/>
              </w:rPr>
              <w:t>-</w:t>
            </w:r>
          </w:p>
        </w:tc>
        <w:tc>
          <w:tcPr>
            <w:tcW w:w="1384" w:type="dxa"/>
            <w:shd w:val="clear" w:color="auto" w:fill="auto"/>
            <w:vAlign w:val="center"/>
          </w:tcPr>
          <w:p w14:paraId="201BD3BC" w14:textId="77777777" w:rsidR="0043657F" w:rsidRPr="00890249" w:rsidRDefault="0043657F" w:rsidP="0043657F">
            <w:pPr>
              <w:spacing w:after="160"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lang w:eastAsia="en-US"/>
              </w:rPr>
              <w:t>-</w:t>
            </w:r>
          </w:p>
        </w:tc>
        <w:tc>
          <w:tcPr>
            <w:tcW w:w="1433" w:type="dxa"/>
            <w:shd w:val="clear" w:color="auto" w:fill="auto"/>
            <w:vAlign w:val="center"/>
          </w:tcPr>
          <w:p w14:paraId="6696A39E" w14:textId="77777777" w:rsidR="0043657F" w:rsidRPr="00890249" w:rsidRDefault="0043657F" w:rsidP="0043657F">
            <w:pPr>
              <w:spacing w:after="160"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lang w:eastAsia="en-US"/>
              </w:rPr>
              <w:t>-</w:t>
            </w:r>
          </w:p>
        </w:tc>
        <w:tc>
          <w:tcPr>
            <w:tcW w:w="2071" w:type="dxa"/>
            <w:shd w:val="clear" w:color="auto" w:fill="auto"/>
            <w:vAlign w:val="center"/>
          </w:tcPr>
          <w:p w14:paraId="3C0FD9D0" w14:textId="77777777" w:rsidR="0043657F" w:rsidRPr="00890249" w:rsidRDefault="0043657F" w:rsidP="0043657F">
            <w:pPr>
              <w:spacing w:after="160" w:line="259" w:lineRule="auto"/>
              <w:jc w:val="center"/>
              <w:rPr>
                <w:rFonts w:asciiTheme="minorHAnsi" w:hAnsiTheme="minorHAnsi" w:cstheme="minorHAnsi"/>
                <w:iCs/>
                <w:sz w:val="20"/>
                <w:lang w:eastAsia="en-US"/>
              </w:rPr>
            </w:pPr>
            <w:r w:rsidRPr="00890249">
              <w:rPr>
                <w:rFonts w:asciiTheme="minorHAnsi" w:hAnsiTheme="minorHAnsi" w:cstheme="minorHAnsi"/>
                <w:iCs/>
                <w:sz w:val="20"/>
                <w:lang w:eastAsia="en-US"/>
              </w:rPr>
              <w:t>09 Nie dotyczy</w:t>
            </w:r>
          </w:p>
        </w:tc>
        <w:tc>
          <w:tcPr>
            <w:tcW w:w="2693" w:type="dxa"/>
            <w:shd w:val="clear" w:color="auto" w:fill="auto"/>
            <w:vAlign w:val="center"/>
          </w:tcPr>
          <w:p w14:paraId="4723CC3D" w14:textId="25BD6264" w:rsidR="0043657F" w:rsidRPr="00890249" w:rsidRDefault="0080556F" w:rsidP="00890249">
            <w:pPr>
              <w:spacing w:before="0" w:after="0" w:line="259" w:lineRule="auto"/>
              <w:jc w:val="center"/>
              <w:rPr>
                <w:rFonts w:asciiTheme="minorHAnsi" w:hAnsiTheme="minorHAnsi" w:cstheme="minorHAnsi"/>
                <w:b/>
                <w:iCs/>
                <w:sz w:val="20"/>
                <w:lang w:eastAsia="en-US"/>
              </w:rPr>
            </w:pPr>
            <w:r>
              <w:rPr>
                <w:rFonts w:asciiTheme="minorHAnsi" w:hAnsiTheme="minorHAnsi" w:cstheme="minorHAnsi"/>
                <w:b/>
                <w:iCs/>
                <w:sz w:val="20"/>
                <w:lang w:eastAsia="en-US"/>
              </w:rPr>
              <w:t>-</w:t>
            </w:r>
          </w:p>
        </w:tc>
      </w:tr>
      <w:bookmarkEnd w:id="31"/>
    </w:tbl>
    <w:p w14:paraId="3515E569" w14:textId="77777777" w:rsidR="000458C6" w:rsidRPr="00890249" w:rsidRDefault="000458C6" w:rsidP="001C6AFB">
      <w:pPr>
        <w:rPr>
          <w:rFonts w:asciiTheme="minorHAnsi" w:hAnsiTheme="minorHAnsi" w:cstheme="minorHAnsi"/>
        </w:rPr>
      </w:pPr>
    </w:p>
    <w:tbl>
      <w:tblPr>
        <w:tblStyle w:val="Tabela-Siatka"/>
        <w:tblW w:w="0" w:type="auto"/>
        <w:tblLook w:val="04A0" w:firstRow="1" w:lastRow="0" w:firstColumn="1" w:lastColumn="0" w:noHBand="0" w:noVBand="1"/>
      </w:tblPr>
      <w:tblGrid>
        <w:gridCol w:w="1582"/>
        <w:gridCol w:w="1368"/>
        <w:gridCol w:w="1420"/>
        <w:gridCol w:w="2061"/>
        <w:gridCol w:w="2630"/>
      </w:tblGrid>
      <w:tr w:rsidR="00F252CF" w:rsidRPr="00890249" w14:paraId="651A0D0C" w14:textId="77777777" w:rsidTr="00890249">
        <w:tc>
          <w:tcPr>
            <w:tcW w:w="9180" w:type="dxa"/>
            <w:gridSpan w:val="5"/>
            <w:tcBorders>
              <w:bottom w:val="single" w:sz="4" w:space="0" w:color="auto"/>
            </w:tcBorders>
            <w:shd w:val="clear" w:color="auto" w:fill="D9D9D9" w:themeFill="background1" w:themeFillShade="D9"/>
            <w:vAlign w:val="center"/>
          </w:tcPr>
          <w:p w14:paraId="240EC14B" w14:textId="77777777" w:rsidR="00F252CF" w:rsidRPr="00890249" w:rsidRDefault="00F252CF" w:rsidP="00F252CF">
            <w:pPr>
              <w:spacing w:before="0" w:after="160" w:line="259" w:lineRule="auto"/>
              <w:jc w:val="left"/>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Tabela 8: Wymiar 7 – wymiar „Równouprawnienie płci” w ramach EFS+, EFRR, Funduszu Spójności i FST</w:t>
            </w:r>
          </w:p>
        </w:tc>
      </w:tr>
      <w:tr w:rsidR="00F252CF" w:rsidRPr="00890249" w14:paraId="5E2D57D0" w14:textId="77777777" w:rsidTr="00890249">
        <w:tc>
          <w:tcPr>
            <w:tcW w:w="1599" w:type="dxa"/>
            <w:shd w:val="clear" w:color="auto" w:fill="F2F2F2" w:themeFill="background1" w:themeFillShade="F2"/>
            <w:vAlign w:val="center"/>
          </w:tcPr>
          <w:p w14:paraId="3373650B" w14:textId="77777777" w:rsidR="00B72154" w:rsidRPr="00890249" w:rsidRDefault="00F252CF"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Nr priorytetu</w:t>
            </w:r>
          </w:p>
        </w:tc>
        <w:tc>
          <w:tcPr>
            <w:tcW w:w="1384" w:type="dxa"/>
            <w:shd w:val="clear" w:color="auto" w:fill="F2F2F2" w:themeFill="background1" w:themeFillShade="F2"/>
            <w:vAlign w:val="center"/>
          </w:tcPr>
          <w:p w14:paraId="6CF82F1C" w14:textId="77777777" w:rsidR="00B72154" w:rsidRPr="00890249" w:rsidRDefault="00F252CF"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Fundusz</w:t>
            </w:r>
          </w:p>
        </w:tc>
        <w:tc>
          <w:tcPr>
            <w:tcW w:w="1433" w:type="dxa"/>
            <w:shd w:val="clear" w:color="auto" w:fill="F2F2F2" w:themeFill="background1" w:themeFillShade="F2"/>
            <w:vAlign w:val="center"/>
          </w:tcPr>
          <w:p w14:paraId="08343664" w14:textId="77777777" w:rsidR="00B72154" w:rsidRPr="00890249" w:rsidRDefault="00F252CF"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Kategoria regionu</w:t>
            </w:r>
          </w:p>
        </w:tc>
        <w:tc>
          <w:tcPr>
            <w:tcW w:w="2071" w:type="dxa"/>
            <w:shd w:val="clear" w:color="auto" w:fill="F2F2F2" w:themeFill="background1" w:themeFillShade="F2"/>
            <w:vAlign w:val="center"/>
          </w:tcPr>
          <w:p w14:paraId="56175F7C" w14:textId="77777777" w:rsidR="00B72154" w:rsidRPr="00890249" w:rsidRDefault="00F252CF"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Kod</w:t>
            </w:r>
          </w:p>
        </w:tc>
        <w:tc>
          <w:tcPr>
            <w:tcW w:w="2693" w:type="dxa"/>
            <w:shd w:val="clear" w:color="auto" w:fill="F2F2F2" w:themeFill="background1" w:themeFillShade="F2"/>
            <w:vAlign w:val="center"/>
          </w:tcPr>
          <w:p w14:paraId="59B70AFC" w14:textId="77777777" w:rsidR="00B72154" w:rsidRPr="00890249" w:rsidRDefault="00F252CF"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Kwota (w EUR)</w:t>
            </w:r>
          </w:p>
        </w:tc>
      </w:tr>
      <w:tr w:rsidR="0043657F" w:rsidRPr="00890249" w14:paraId="309A5B45" w14:textId="77777777" w:rsidTr="008C67B3">
        <w:trPr>
          <w:trHeight w:hRule="exact" w:val="1386"/>
        </w:trPr>
        <w:tc>
          <w:tcPr>
            <w:tcW w:w="1599" w:type="dxa"/>
            <w:shd w:val="clear" w:color="auto" w:fill="auto"/>
            <w:vAlign w:val="center"/>
          </w:tcPr>
          <w:p w14:paraId="0C8EA07B" w14:textId="77777777" w:rsidR="0043657F" w:rsidRPr="00890249" w:rsidRDefault="0043657F" w:rsidP="0043657F">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iCs/>
                <w:sz w:val="20"/>
                <w:szCs w:val="22"/>
                <w:lang w:eastAsia="en-US"/>
              </w:rPr>
              <w:t>-</w:t>
            </w:r>
          </w:p>
        </w:tc>
        <w:tc>
          <w:tcPr>
            <w:tcW w:w="1384" w:type="dxa"/>
            <w:shd w:val="clear" w:color="auto" w:fill="auto"/>
            <w:vAlign w:val="center"/>
          </w:tcPr>
          <w:p w14:paraId="56AF40F6" w14:textId="77777777" w:rsidR="0043657F" w:rsidRPr="00890249" w:rsidRDefault="0043657F" w:rsidP="0043657F">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iCs/>
                <w:sz w:val="20"/>
                <w:szCs w:val="22"/>
                <w:lang w:eastAsia="en-US"/>
              </w:rPr>
              <w:t>-</w:t>
            </w:r>
          </w:p>
        </w:tc>
        <w:tc>
          <w:tcPr>
            <w:tcW w:w="1433" w:type="dxa"/>
            <w:shd w:val="clear" w:color="auto" w:fill="auto"/>
            <w:vAlign w:val="center"/>
          </w:tcPr>
          <w:p w14:paraId="1C5BF2A3" w14:textId="77777777" w:rsidR="0043657F" w:rsidRPr="00890249" w:rsidRDefault="0043657F" w:rsidP="0043657F">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iCs/>
                <w:sz w:val="20"/>
                <w:szCs w:val="22"/>
                <w:lang w:eastAsia="en-US"/>
              </w:rPr>
              <w:t>-</w:t>
            </w:r>
          </w:p>
        </w:tc>
        <w:tc>
          <w:tcPr>
            <w:tcW w:w="2071" w:type="dxa"/>
            <w:shd w:val="clear" w:color="auto" w:fill="auto"/>
            <w:vAlign w:val="center"/>
          </w:tcPr>
          <w:p w14:paraId="0E7825D1" w14:textId="7B81793A" w:rsidR="0043657F" w:rsidRPr="00890249" w:rsidRDefault="0043657F" w:rsidP="008C67B3">
            <w:pPr>
              <w:spacing w:before="0" w:after="160" w:line="259" w:lineRule="auto"/>
              <w:jc w:val="center"/>
              <w:rPr>
                <w:rFonts w:asciiTheme="minorHAnsi" w:hAnsiTheme="minorHAnsi" w:cstheme="minorHAnsi"/>
                <w:b/>
                <w:iCs/>
                <w:sz w:val="20"/>
                <w:szCs w:val="22"/>
                <w:lang w:eastAsia="en-US"/>
              </w:rPr>
            </w:pPr>
            <w:r w:rsidRPr="003B5F4E">
              <w:rPr>
                <w:rFonts w:asciiTheme="minorHAnsi" w:hAnsiTheme="minorHAnsi" w:cstheme="minorHAnsi"/>
                <w:iCs/>
                <w:sz w:val="20"/>
                <w:szCs w:val="22"/>
                <w:lang w:eastAsia="en-US"/>
              </w:rPr>
              <w:t>0</w:t>
            </w:r>
            <w:r w:rsidR="008C67B3" w:rsidRPr="003B5F4E">
              <w:rPr>
                <w:rFonts w:asciiTheme="minorHAnsi" w:hAnsiTheme="minorHAnsi" w:cstheme="minorHAnsi"/>
                <w:iCs/>
                <w:sz w:val="20"/>
                <w:szCs w:val="22"/>
                <w:lang w:eastAsia="en-US"/>
              </w:rPr>
              <w:t>2</w:t>
            </w:r>
            <w:r w:rsidRPr="00890249">
              <w:rPr>
                <w:rFonts w:asciiTheme="minorHAnsi" w:hAnsiTheme="minorHAnsi" w:cstheme="minorHAnsi"/>
                <w:b/>
                <w:iCs/>
                <w:sz w:val="20"/>
                <w:szCs w:val="22"/>
                <w:lang w:eastAsia="en-US"/>
              </w:rPr>
              <w:t xml:space="preserve"> </w:t>
            </w:r>
            <w:r w:rsidR="008C67B3">
              <w:rPr>
                <w:rFonts w:asciiTheme="minorHAnsi" w:hAnsiTheme="minorHAnsi" w:cstheme="minorHAnsi"/>
                <w:iCs/>
                <w:sz w:val="20"/>
                <w:lang w:eastAsia="en-US"/>
              </w:rPr>
              <w:t>Projekty uwzględniające kwestie równouprawnienia płci</w:t>
            </w:r>
          </w:p>
        </w:tc>
        <w:tc>
          <w:tcPr>
            <w:tcW w:w="2693" w:type="dxa"/>
            <w:shd w:val="clear" w:color="auto" w:fill="auto"/>
            <w:vAlign w:val="center"/>
          </w:tcPr>
          <w:p w14:paraId="324F8B28" w14:textId="6D746167" w:rsidR="0043657F" w:rsidRPr="00890249" w:rsidRDefault="000E457E" w:rsidP="00890249">
            <w:pPr>
              <w:spacing w:before="0" w:after="0" w:line="259" w:lineRule="auto"/>
              <w:jc w:val="center"/>
              <w:rPr>
                <w:rFonts w:asciiTheme="minorHAnsi" w:hAnsiTheme="minorHAnsi" w:cstheme="minorHAnsi"/>
                <w:b/>
                <w:iCs/>
                <w:sz w:val="20"/>
                <w:szCs w:val="22"/>
                <w:lang w:eastAsia="en-US"/>
              </w:rPr>
            </w:pPr>
            <w:r w:rsidRPr="000E457E">
              <w:rPr>
                <w:rFonts w:asciiTheme="minorHAnsi" w:hAnsiTheme="minorHAnsi" w:cstheme="minorHAnsi"/>
                <w:b/>
                <w:iCs/>
                <w:sz w:val="20"/>
                <w:lang w:eastAsia="en-US"/>
              </w:rPr>
              <w:t>29 263 559</w:t>
            </w:r>
          </w:p>
        </w:tc>
      </w:tr>
    </w:tbl>
    <w:p w14:paraId="2CAC2276" w14:textId="77777777" w:rsidR="00F252CF" w:rsidRPr="00890249" w:rsidRDefault="00F252CF" w:rsidP="00F252CF">
      <w:pPr>
        <w:spacing w:before="0" w:after="160" w:line="259" w:lineRule="auto"/>
        <w:jc w:val="left"/>
        <w:rPr>
          <w:rFonts w:asciiTheme="minorHAnsi" w:hAnsiTheme="minorHAnsi" w:cstheme="minorHAnsi"/>
          <w:sz w:val="22"/>
          <w:szCs w:val="22"/>
          <w:lang w:eastAsia="en-US" w:bidi="ar-SA"/>
        </w:rPr>
      </w:pPr>
    </w:p>
    <w:p w14:paraId="62B2CBC7" w14:textId="77777777" w:rsidR="001C6AFB" w:rsidRPr="00890249" w:rsidRDefault="000458C6" w:rsidP="000458C6">
      <w:pPr>
        <w:spacing w:before="0" w:after="160" w:line="259" w:lineRule="auto"/>
        <w:jc w:val="left"/>
        <w:rPr>
          <w:rFonts w:asciiTheme="minorHAnsi" w:hAnsiTheme="minorHAnsi" w:cstheme="minorHAnsi"/>
        </w:rPr>
      </w:pPr>
      <w:r w:rsidRPr="00890249">
        <w:rPr>
          <w:rFonts w:asciiTheme="minorHAnsi" w:hAnsiTheme="minorHAnsi" w:cstheme="minorHAnsi"/>
        </w:rPr>
        <w:br w:type="page"/>
      </w:r>
    </w:p>
    <w:p w14:paraId="7253103C" w14:textId="573E5E02" w:rsidR="001C6AFB" w:rsidRPr="00890249" w:rsidRDefault="001C6AFB" w:rsidP="00AC1BD0">
      <w:pPr>
        <w:pStyle w:val="Nagwek3"/>
        <w:rPr>
          <w:color w:val="auto"/>
          <w:szCs w:val="22"/>
        </w:rPr>
      </w:pPr>
      <w:bookmarkStart w:id="32" w:name="_Toc188266920"/>
      <w:bookmarkEnd w:id="30"/>
      <w:r w:rsidRPr="00890249">
        <w:rPr>
          <w:noProof/>
        </w:rPr>
        <w:lastRenderedPageBreak/>
        <w:t>2.</w:t>
      </w:r>
      <w:r w:rsidR="000A4000" w:rsidRPr="00890249">
        <w:rPr>
          <w:noProof/>
        </w:rPr>
        <w:t>2.1</w:t>
      </w:r>
      <w:r w:rsidRPr="00890249">
        <w:rPr>
          <w:noProof/>
        </w:rPr>
        <w:t>.B PRIORYTET POMOCY TECHNICZNEJ – EFS+</w:t>
      </w:r>
      <w:bookmarkEnd w:id="32"/>
    </w:p>
    <w:p w14:paraId="776C51E3" w14:textId="77777777" w:rsidR="0058418C" w:rsidRPr="00890249" w:rsidRDefault="0058418C" w:rsidP="005E270C">
      <w:pPr>
        <w:pStyle w:val="Nagwek6"/>
        <w:spacing w:before="120" w:after="120"/>
        <w:rPr>
          <w:rFonts w:asciiTheme="minorHAnsi" w:hAnsiTheme="minorHAnsi" w:cstheme="minorHAnsi"/>
          <w:b/>
          <w:color w:val="auto"/>
          <w:sz w:val="22"/>
          <w:szCs w:val="22"/>
        </w:rPr>
      </w:pPr>
      <w:r w:rsidRPr="00890249">
        <w:rPr>
          <w:rFonts w:asciiTheme="minorHAnsi" w:hAnsiTheme="minorHAnsi" w:cstheme="minorHAnsi"/>
          <w:b/>
          <w:color w:val="auto"/>
          <w:sz w:val="22"/>
          <w:szCs w:val="22"/>
        </w:rPr>
        <w:t>2.2.1.1. Interwencja w ramach Funduszy</w:t>
      </w:r>
    </w:p>
    <w:p w14:paraId="118E6CE0" w14:textId="77777777" w:rsidR="0058418C" w:rsidRPr="00890249" w:rsidRDefault="0058418C" w:rsidP="005E270C">
      <w:pPr>
        <w:pStyle w:val="Nagwek6"/>
        <w:spacing w:before="120" w:after="120"/>
        <w:rPr>
          <w:rFonts w:asciiTheme="minorHAnsi" w:hAnsiTheme="minorHAnsi" w:cstheme="minorHAnsi"/>
          <w:b/>
          <w:color w:val="auto"/>
          <w:sz w:val="22"/>
          <w:szCs w:val="22"/>
        </w:rPr>
      </w:pPr>
      <w:r w:rsidRPr="00890249">
        <w:rPr>
          <w:rFonts w:asciiTheme="minorHAnsi" w:hAnsiTheme="minorHAnsi" w:cstheme="minorHAnsi"/>
          <w:b/>
          <w:color w:val="auto"/>
          <w:sz w:val="22"/>
          <w:szCs w:val="22"/>
        </w:rPr>
        <w:t>Powiązane rodzaje działań</w:t>
      </w:r>
    </w:p>
    <w:p w14:paraId="1FF38726" w14:textId="77777777" w:rsidR="0058418C" w:rsidRPr="00890249" w:rsidRDefault="0058418C" w:rsidP="0058418C">
      <w:pPr>
        <w:pStyle w:val="Nagwek6"/>
        <w:rPr>
          <w:rFonts w:asciiTheme="minorHAnsi" w:hAnsiTheme="minorHAnsi" w:cstheme="minorHAnsi"/>
          <w:color w:val="auto"/>
          <w:sz w:val="22"/>
          <w:szCs w:val="22"/>
        </w:rPr>
      </w:pPr>
      <w:r w:rsidRPr="00890249">
        <w:rPr>
          <w:rFonts w:asciiTheme="minorHAnsi" w:hAnsiTheme="minorHAnsi" w:cstheme="minorHAnsi"/>
          <w:color w:val="auto"/>
          <w:sz w:val="22"/>
          <w:szCs w:val="22"/>
        </w:rPr>
        <w:t>Celem PT jest wspieranie realizacji FEO 2021-2027</w:t>
      </w:r>
      <w:r w:rsidRPr="00890249">
        <w:rPr>
          <w:rFonts w:asciiTheme="minorHAnsi" w:hAnsiTheme="minorHAnsi" w:cstheme="minorHAnsi"/>
          <w:color w:val="auto"/>
          <w:sz w:val="22"/>
          <w:szCs w:val="22"/>
          <w:vertAlign w:val="superscript"/>
        </w:rPr>
        <w:footnoteReference w:id="241"/>
      </w:r>
      <w:r w:rsidRPr="00890249">
        <w:rPr>
          <w:rFonts w:asciiTheme="minorHAnsi" w:hAnsiTheme="minorHAnsi" w:cstheme="minorHAnsi"/>
          <w:color w:val="auto"/>
          <w:sz w:val="22"/>
          <w:szCs w:val="22"/>
        </w:rPr>
        <w:t>.</w:t>
      </w:r>
    </w:p>
    <w:p w14:paraId="5C947201" w14:textId="77777777" w:rsidR="0058418C" w:rsidRPr="00890249" w:rsidRDefault="0058418C" w:rsidP="0058418C">
      <w:pPr>
        <w:pStyle w:val="Nagwek6"/>
        <w:rPr>
          <w:rFonts w:asciiTheme="minorHAnsi" w:hAnsiTheme="minorHAnsi" w:cstheme="minorHAnsi"/>
          <w:color w:val="auto"/>
          <w:sz w:val="22"/>
          <w:szCs w:val="22"/>
        </w:rPr>
      </w:pPr>
      <w:r w:rsidRPr="00890249">
        <w:rPr>
          <w:rFonts w:asciiTheme="minorHAnsi" w:hAnsiTheme="minorHAnsi" w:cstheme="minorHAnsi"/>
          <w:color w:val="auto"/>
          <w:sz w:val="22"/>
          <w:szCs w:val="22"/>
        </w:rPr>
        <w:t>Cel ten zostanie osiągnięty poprzez m.in:</w:t>
      </w:r>
    </w:p>
    <w:p w14:paraId="45E668DB" w14:textId="77777777" w:rsidR="0058418C" w:rsidRPr="00890249" w:rsidRDefault="0058418C" w:rsidP="009F296A">
      <w:pPr>
        <w:pStyle w:val="Nagwek6"/>
        <w:numPr>
          <w:ilvl w:val="0"/>
          <w:numId w:val="167"/>
        </w:numPr>
        <w:rPr>
          <w:rFonts w:asciiTheme="minorHAnsi" w:hAnsiTheme="minorHAnsi" w:cstheme="minorHAnsi"/>
          <w:color w:val="auto"/>
          <w:sz w:val="22"/>
          <w:szCs w:val="22"/>
        </w:rPr>
      </w:pPr>
      <w:r w:rsidRPr="00890249">
        <w:rPr>
          <w:rFonts w:asciiTheme="minorHAnsi" w:hAnsiTheme="minorHAnsi" w:cstheme="minorHAnsi"/>
          <w:color w:val="auto"/>
          <w:sz w:val="22"/>
          <w:szCs w:val="22"/>
        </w:rPr>
        <w:t>utrzymanie sprawnego i skutecznego syst. zarządzania, w tym zapewnienie odpowiedniego potencjału administracyjnego instytucji FEO;</w:t>
      </w:r>
    </w:p>
    <w:p w14:paraId="335160E4" w14:textId="77777777" w:rsidR="0058418C" w:rsidRPr="00890249" w:rsidRDefault="0058418C" w:rsidP="009F296A">
      <w:pPr>
        <w:pStyle w:val="Nagwek6"/>
        <w:numPr>
          <w:ilvl w:val="0"/>
          <w:numId w:val="167"/>
        </w:numPr>
        <w:rPr>
          <w:rFonts w:asciiTheme="minorHAnsi" w:hAnsiTheme="minorHAnsi" w:cstheme="minorHAnsi"/>
          <w:color w:val="auto"/>
          <w:sz w:val="22"/>
          <w:szCs w:val="22"/>
        </w:rPr>
      </w:pPr>
      <w:r w:rsidRPr="00890249">
        <w:rPr>
          <w:rFonts w:asciiTheme="minorHAnsi" w:hAnsiTheme="minorHAnsi" w:cstheme="minorHAnsi"/>
          <w:color w:val="auto"/>
          <w:sz w:val="22"/>
          <w:szCs w:val="22"/>
        </w:rPr>
        <w:t xml:space="preserve">stosowanie przejrzystych procesów i procedur na każdym etapie wdrażania FEO; </w:t>
      </w:r>
    </w:p>
    <w:p w14:paraId="53FEE1AB" w14:textId="77777777" w:rsidR="0058418C" w:rsidRPr="00890249" w:rsidRDefault="0058418C" w:rsidP="009F296A">
      <w:pPr>
        <w:pStyle w:val="Nagwek6"/>
        <w:numPr>
          <w:ilvl w:val="0"/>
          <w:numId w:val="167"/>
        </w:numPr>
        <w:rPr>
          <w:rFonts w:asciiTheme="minorHAnsi" w:hAnsiTheme="minorHAnsi" w:cstheme="minorHAnsi"/>
          <w:color w:val="auto"/>
          <w:sz w:val="22"/>
          <w:szCs w:val="22"/>
        </w:rPr>
      </w:pPr>
      <w:r w:rsidRPr="00890249">
        <w:rPr>
          <w:rFonts w:asciiTheme="minorHAnsi" w:hAnsiTheme="minorHAnsi" w:cstheme="minorHAnsi"/>
          <w:color w:val="auto"/>
          <w:sz w:val="22"/>
          <w:szCs w:val="22"/>
        </w:rPr>
        <w:t>wspieranie beneficjentów Programu (w tym potencjalnych) w aplikowaniu i realizacji projektów;</w:t>
      </w:r>
    </w:p>
    <w:p w14:paraId="74244AF7" w14:textId="3D547E54" w:rsidR="0058418C" w:rsidRPr="00890249" w:rsidRDefault="0058418C" w:rsidP="009F296A">
      <w:pPr>
        <w:pStyle w:val="Nagwek6"/>
        <w:numPr>
          <w:ilvl w:val="0"/>
          <w:numId w:val="167"/>
        </w:numPr>
        <w:rPr>
          <w:rFonts w:asciiTheme="minorHAnsi" w:hAnsiTheme="minorHAnsi" w:cstheme="minorHAnsi"/>
          <w:color w:val="auto"/>
          <w:sz w:val="22"/>
          <w:szCs w:val="22"/>
        </w:rPr>
      </w:pPr>
      <w:r w:rsidRPr="00890249">
        <w:rPr>
          <w:rFonts w:asciiTheme="minorHAnsi" w:hAnsiTheme="minorHAnsi" w:cstheme="minorHAnsi"/>
          <w:color w:val="auto"/>
          <w:sz w:val="22"/>
          <w:szCs w:val="22"/>
        </w:rPr>
        <w:t>prowadzenie działań informacyjno-promocyjnych o FEO i zap</w:t>
      </w:r>
      <w:r w:rsidR="005E270C" w:rsidRPr="00890249">
        <w:rPr>
          <w:rFonts w:asciiTheme="minorHAnsi" w:hAnsiTheme="minorHAnsi" w:cstheme="minorHAnsi"/>
          <w:color w:val="auto"/>
          <w:sz w:val="22"/>
          <w:szCs w:val="22"/>
        </w:rPr>
        <w:t>ewnienie widoczności PS, roli i </w:t>
      </w:r>
      <w:r w:rsidRPr="00890249">
        <w:rPr>
          <w:rFonts w:asciiTheme="minorHAnsi" w:hAnsiTheme="minorHAnsi" w:cstheme="minorHAnsi"/>
          <w:color w:val="auto"/>
          <w:sz w:val="22"/>
          <w:szCs w:val="22"/>
        </w:rPr>
        <w:t xml:space="preserve">znaczenia FE dla regionu; </w:t>
      </w:r>
    </w:p>
    <w:p w14:paraId="2F5CCA83" w14:textId="448C9A79" w:rsidR="0058418C" w:rsidRPr="00890249" w:rsidRDefault="0058418C" w:rsidP="009F296A">
      <w:pPr>
        <w:pStyle w:val="Nagwek6"/>
        <w:numPr>
          <w:ilvl w:val="0"/>
          <w:numId w:val="167"/>
        </w:numPr>
        <w:rPr>
          <w:rFonts w:asciiTheme="minorHAnsi" w:hAnsiTheme="minorHAnsi" w:cstheme="minorHAnsi"/>
          <w:color w:val="auto"/>
          <w:sz w:val="22"/>
          <w:szCs w:val="22"/>
        </w:rPr>
      </w:pPr>
      <w:r w:rsidRPr="00890249">
        <w:rPr>
          <w:rFonts w:asciiTheme="minorHAnsi" w:hAnsiTheme="minorHAnsi" w:cstheme="minorHAnsi"/>
          <w:color w:val="auto"/>
          <w:sz w:val="22"/>
          <w:szCs w:val="22"/>
        </w:rPr>
        <w:t>przestrzeganie przez strony zaangażowane we wdrażanie FEO  postanowień K</w:t>
      </w:r>
      <w:r w:rsidR="005E270C" w:rsidRPr="00890249">
        <w:rPr>
          <w:rFonts w:asciiTheme="minorHAnsi" w:hAnsiTheme="minorHAnsi" w:cstheme="minorHAnsi"/>
          <w:color w:val="auto"/>
          <w:sz w:val="22"/>
          <w:szCs w:val="22"/>
        </w:rPr>
        <w:t>PP i </w:t>
      </w:r>
      <w:r w:rsidRPr="00890249">
        <w:rPr>
          <w:rFonts w:asciiTheme="minorHAnsi" w:hAnsiTheme="minorHAnsi" w:cstheme="minorHAnsi"/>
          <w:color w:val="auto"/>
          <w:sz w:val="22"/>
          <w:szCs w:val="22"/>
        </w:rPr>
        <w:t>prawidłową realizację ZH, ze szczególnym uwzględnieniem barier i potrzeb osób z grup narażonych na dyskryminację).</w:t>
      </w:r>
    </w:p>
    <w:p w14:paraId="15D1C2E8" w14:textId="77777777" w:rsidR="0058418C" w:rsidRPr="00890249" w:rsidRDefault="0058418C" w:rsidP="0058418C">
      <w:pPr>
        <w:pStyle w:val="Nagwek6"/>
        <w:rPr>
          <w:rFonts w:asciiTheme="minorHAnsi" w:hAnsiTheme="minorHAnsi" w:cstheme="minorHAnsi"/>
          <w:color w:val="auto"/>
          <w:sz w:val="22"/>
          <w:szCs w:val="22"/>
        </w:rPr>
      </w:pPr>
      <w:r w:rsidRPr="00890249">
        <w:rPr>
          <w:rFonts w:asciiTheme="minorHAnsi" w:hAnsiTheme="minorHAnsi" w:cstheme="minorHAnsi"/>
          <w:color w:val="auto"/>
          <w:sz w:val="22"/>
          <w:szCs w:val="22"/>
        </w:rPr>
        <w:t>Działania te obejmą, m.in.:</w:t>
      </w:r>
    </w:p>
    <w:p w14:paraId="2B2F046A" w14:textId="77777777" w:rsidR="0058418C" w:rsidRPr="00890249" w:rsidRDefault="0058418C" w:rsidP="009F296A">
      <w:pPr>
        <w:pStyle w:val="Nagwek6"/>
        <w:numPr>
          <w:ilvl w:val="0"/>
          <w:numId w:val="169"/>
        </w:numPr>
        <w:rPr>
          <w:rFonts w:asciiTheme="minorHAnsi" w:hAnsiTheme="minorHAnsi" w:cstheme="minorHAnsi"/>
          <w:b/>
          <w:i/>
          <w:color w:val="auto"/>
          <w:sz w:val="22"/>
          <w:szCs w:val="22"/>
        </w:rPr>
      </w:pPr>
      <w:r w:rsidRPr="00890249">
        <w:rPr>
          <w:rFonts w:asciiTheme="minorHAnsi" w:hAnsiTheme="minorHAnsi" w:cstheme="minorHAnsi"/>
          <w:b/>
          <w:i/>
          <w:color w:val="auto"/>
          <w:sz w:val="22"/>
          <w:szCs w:val="22"/>
        </w:rPr>
        <w:t>Wsparcie instytucji FEO w zarządzaniu zasobami ludzkimi (ZZL) i wzmocnienie ich potencjału administracyjnego</w:t>
      </w:r>
      <w:r w:rsidRPr="00890249">
        <w:rPr>
          <w:rFonts w:asciiTheme="minorHAnsi" w:hAnsiTheme="minorHAnsi" w:cstheme="minorHAnsi"/>
          <w:b/>
          <w:i/>
          <w:color w:val="auto"/>
          <w:sz w:val="22"/>
          <w:szCs w:val="22"/>
          <w:vertAlign w:val="superscript"/>
        </w:rPr>
        <w:footnoteReference w:id="242"/>
      </w:r>
    </w:p>
    <w:p w14:paraId="45C930F2" w14:textId="76A8814B"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opracowanie i wdrożenie planu ZZL</w:t>
      </w:r>
      <w:r w:rsidRPr="00890249">
        <w:rPr>
          <w:rFonts w:asciiTheme="minorHAnsi" w:hAnsiTheme="minorHAnsi" w:cstheme="minorHAnsi"/>
          <w:color w:val="auto"/>
          <w:sz w:val="22"/>
          <w:szCs w:val="22"/>
          <w:vertAlign w:val="superscript"/>
        </w:rPr>
        <w:footnoteReference w:id="243"/>
      </w:r>
      <w:r w:rsidRPr="00890249">
        <w:rPr>
          <w:rFonts w:asciiTheme="minorHAnsi" w:hAnsiTheme="minorHAnsi" w:cstheme="minorHAnsi"/>
          <w:color w:val="auto"/>
          <w:sz w:val="22"/>
          <w:szCs w:val="22"/>
        </w:rPr>
        <w:t>, który m.in.: określi obowiązki instytucjonalne; zapewni wykwalifikowaną kadrę kierowniczą posiadają</w:t>
      </w:r>
      <w:r w:rsidR="005E270C" w:rsidRPr="00890249">
        <w:rPr>
          <w:rFonts w:asciiTheme="minorHAnsi" w:hAnsiTheme="minorHAnsi" w:cstheme="minorHAnsi"/>
          <w:color w:val="auto"/>
          <w:sz w:val="22"/>
          <w:szCs w:val="22"/>
        </w:rPr>
        <w:t>cą wiedzę z zarządz. zespołem i </w:t>
      </w:r>
      <w:r w:rsidRPr="00890249">
        <w:rPr>
          <w:rFonts w:asciiTheme="minorHAnsi" w:hAnsiTheme="minorHAnsi" w:cstheme="minorHAnsi"/>
          <w:color w:val="auto"/>
          <w:sz w:val="22"/>
          <w:szCs w:val="22"/>
        </w:rPr>
        <w:t>różnorodnością, umiejętności interpersonalne i przywódcze; przestrzeganie norm etycznych;</w:t>
      </w:r>
    </w:p>
    <w:p w14:paraId="526796F8"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utrzymanie/rekrutacja wykwalifikowanego personelu IZ i IP</w:t>
      </w:r>
      <w:r w:rsidRPr="00890249">
        <w:rPr>
          <w:rFonts w:asciiTheme="minorHAnsi" w:hAnsiTheme="minorHAnsi" w:cstheme="minorHAnsi"/>
          <w:color w:val="auto"/>
          <w:sz w:val="22"/>
          <w:szCs w:val="22"/>
        </w:rPr>
        <w:t>, w tym m.in: finansowanie wynagrodzeń</w:t>
      </w:r>
      <w:r w:rsidRPr="00890249">
        <w:rPr>
          <w:rFonts w:asciiTheme="minorHAnsi" w:hAnsiTheme="minorHAnsi" w:cstheme="minorHAnsi"/>
          <w:bCs/>
          <w:color w:val="auto"/>
          <w:sz w:val="22"/>
          <w:szCs w:val="22"/>
        </w:rPr>
        <w:t>;</w:t>
      </w:r>
      <w:r w:rsidRPr="00890249">
        <w:rPr>
          <w:rFonts w:asciiTheme="minorHAnsi" w:hAnsiTheme="minorHAnsi" w:cstheme="minorHAnsi"/>
          <w:color w:val="auto"/>
          <w:sz w:val="22"/>
          <w:szCs w:val="22"/>
        </w:rPr>
        <w:t xml:space="preserve"> zapewnienie przejrzystych ścieżek kariery i rozwoju kompet. zawodowych; promowanie elastycznych form pracy, np. upowszechnienie pracy zdalnej;</w:t>
      </w:r>
    </w:p>
    <w:p w14:paraId="6B1786E0" w14:textId="41CB0EF9"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szkolenia i podnoszenie kwalifikacji w zakresie wdrażania FE</w:t>
      </w:r>
      <w:r w:rsidRPr="00890249">
        <w:rPr>
          <w:rFonts w:asciiTheme="minorHAnsi" w:hAnsiTheme="minorHAnsi" w:cstheme="minorHAnsi"/>
          <w:color w:val="auto"/>
          <w:sz w:val="22"/>
          <w:szCs w:val="22"/>
          <w:lang w:val="pl"/>
        </w:rPr>
        <w:t>, m.in.: uproszczenia, zmniejszanie obciążeń admin., poprawa jakości świadczonyc</w:t>
      </w:r>
      <w:r w:rsidR="00A27C86">
        <w:rPr>
          <w:rFonts w:asciiTheme="minorHAnsi" w:hAnsiTheme="minorHAnsi" w:cstheme="minorHAnsi"/>
          <w:color w:val="auto"/>
          <w:sz w:val="22"/>
          <w:szCs w:val="22"/>
          <w:lang w:val="pl"/>
        </w:rPr>
        <w:t>h usług, stosowanie zielonych i </w:t>
      </w:r>
      <w:r w:rsidRPr="00890249">
        <w:rPr>
          <w:rFonts w:asciiTheme="minorHAnsi" w:hAnsiTheme="minorHAnsi" w:cstheme="minorHAnsi"/>
          <w:color w:val="auto"/>
          <w:sz w:val="22"/>
          <w:szCs w:val="22"/>
          <w:lang w:val="pl"/>
        </w:rPr>
        <w:t>społecznych zamówień, ochrona bioróżnorodności, ZH;</w:t>
      </w:r>
    </w:p>
    <w:p w14:paraId="009E36F7"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utrzymanie wsparcia organizacyjnego</w:t>
      </w:r>
      <w:r w:rsidRPr="00890249">
        <w:rPr>
          <w:rFonts w:asciiTheme="minorHAnsi" w:hAnsiTheme="minorHAnsi" w:cstheme="minorHAnsi"/>
          <w:color w:val="auto"/>
          <w:sz w:val="22"/>
          <w:szCs w:val="22"/>
        </w:rPr>
        <w:t xml:space="preserve"> </w:t>
      </w:r>
      <w:r w:rsidRPr="00890249">
        <w:rPr>
          <w:rFonts w:asciiTheme="minorHAnsi" w:hAnsiTheme="minorHAnsi" w:cstheme="minorHAnsi"/>
          <w:b/>
          <w:color w:val="auto"/>
          <w:sz w:val="22"/>
          <w:szCs w:val="22"/>
        </w:rPr>
        <w:t>dla IZ i IP</w:t>
      </w:r>
      <w:r w:rsidRPr="00890249">
        <w:rPr>
          <w:rFonts w:asciiTheme="minorHAnsi" w:hAnsiTheme="minorHAnsi" w:cstheme="minorHAnsi"/>
          <w:color w:val="auto"/>
          <w:sz w:val="22"/>
          <w:szCs w:val="22"/>
        </w:rPr>
        <w:t>, w tym: zabezpieczenie powierzchni biurowych i kosztów eksploatacji, doposażanie stanowisk pracy.</w:t>
      </w:r>
    </w:p>
    <w:p w14:paraId="70CF2AA6" w14:textId="77777777" w:rsidR="0058418C" w:rsidRPr="00890249" w:rsidRDefault="0058418C" w:rsidP="009F296A">
      <w:pPr>
        <w:pStyle w:val="Nagwek6"/>
        <w:numPr>
          <w:ilvl w:val="0"/>
          <w:numId w:val="169"/>
        </w:numPr>
        <w:rPr>
          <w:rFonts w:asciiTheme="minorHAnsi" w:hAnsiTheme="minorHAnsi" w:cstheme="minorHAnsi"/>
          <w:b/>
          <w:i/>
          <w:color w:val="auto"/>
          <w:sz w:val="22"/>
          <w:szCs w:val="22"/>
        </w:rPr>
      </w:pPr>
      <w:r w:rsidRPr="00890249">
        <w:rPr>
          <w:rFonts w:asciiTheme="minorHAnsi" w:hAnsiTheme="minorHAnsi" w:cstheme="minorHAnsi"/>
          <w:b/>
          <w:i/>
          <w:color w:val="auto"/>
          <w:sz w:val="22"/>
          <w:szCs w:val="22"/>
        </w:rPr>
        <w:t>Wsparcie skutecznych procedur i procesów we wdrażaniu Programu</w:t>
      </w:r>
    </w:p>
    <w:p w14:paraId="56A41DA3"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Stosowanie przejrzystego procesu zarządz. finansowego i kontroli, m.in.: w realizacji budżetu FEO</w:t>
      </w:r>
      <w:r w:rsidRPr="00890249">
        <w:rPr>
          <w:rFonts w:asciiTheme="minorHAnsi" w:hAnsiTheme="minorHAnsi" w:cstheme="minorHAnsi"/>
          <w:color w:val="auto"/>
          <w:sz w:val="22"/>
          <w:szCs w:val="22"/>
        </w:rPr>
        <w:t xml:space="preserve"> (w tym ukończenie zadań związanych z zamknięciem persp.  2014-2020 oraz przygotowanie persp. po 2027 r.); zapewnienie środków na wykonywanie podstawowych obowiązków IZ i IP, tj. przygotowanie, programowanie, organizację naboru, ocenę i wybór projektów, weryfikację płatności,</w:t>
      </w:r>
      <w:r w:rsidRPr="00890249" w:rsidDel="00D13CBA">
        <w:rPr>
          <w:rFonts w:asciiTheme="minorHAnsi" w:hAnsiTheme="minorHAnsi" w:cstheme="minorHAnsi"/>
          <w:color w:val="auto"/>
          <w:sz w:val="22"/>
          <w:szCs w:val="22"/>
        </w:rPr>
        <w:t xml:space="preserve"> </w:t>
      </w:r>
      <w:r w:rsidRPr="00890249">
        <w:rPr>
          <w:rFonts w:asciiTheme="minorHAnsi" w:hAnsiTheme="minorHAnsi" w:cstheme="minorHAnsi"/>
          <w:color w:val="auto"/>
          <w:sz w:val="22"/>
          <w:szCs w:val="22"/>
        </w:rPr>
        <w:t>monitoring, ewaluację, księgowanie wydatków, certyfikację, audyt i kontrolę FEO (w tym funkcjon. KM), rozpatrywanie skarg i odwołań</w:t>
      </w:r>
      <w:r w:rsidRPr="00890249">
        <w:rPr>
          <w:rFonts w:asciiTheme="minorHAnsi" w:hAnsiTheme="minorHAnsi" w:cstheme="minorHAnsi"/>
          <w:color w:val="auto"/>
          <w:sz w:val="22"/>
          <w:szCs w:val="22"/>
          <w:vertAlign w:val="superscript"/>
        </w:rPr>
        <w:footnoteReference w:id="244"/>
      </w:r>
      <w:r w:rsidRPr="00890249">
        <w:rPr>
          <w:rFonts w:asciiTheme="minorHAnsi" w:hAnsiTheme="minorHAnsi" w:cstheme="minorHAnsi"/>
          <w:color w:val="auto"/>
          <w:sz w:val="22"/>
          <w:szCs w:val="22"/>
        </w:rPr>
        <w:t>;</w:t>
      </w:r>
    </w:p>
    <w:p w14:paraId="7111CF74"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lang w:val="pl"/>
        </w:rPr>
        <w:t>utrzymanie syst. informatycznych</w:t>
      </w:r>
      <w:r w:rsidRPr="00890249">
        <w:rPr>
          <w:rFonts w:asciiTheme="minorHAnsi" w:hAnsiTheme="minorHAnsi" w:cstheme="minorHAnsi"/>
          <w:color w:val="auto"/>
          <w:sz w:val="22"/>
          <w:szCs w:val="22"/>
          <w:lang w:val="pl"/>
        </w:rPr>
        <w:t xml:space="preserve"> (wraz z niezbędną infrastrukturą teleinformatyczną), z uwzgl. zasad dostępności cyfrowej;</w:t>
      </w:r>
    </w:p>
    <w:p w14:paraId="53507BCB"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finansowanie specjalist. analiz i studiów, ekspertyz i opinii prawnych, a także badań ewaluacyjnych niezbędnych do realiz. FEO</w:t>
      </w:r>
      <w:r w:rsidRPr="00890249">
        <w:rPr>
          <w:rFonts w:asciiTheme="minorHAnsi" w:hAnsiTheme="minorHAnsi" w:cstheme="minorHAnsi"/>
          <w:color w:val="auto"/>
          <w:sz w:val="22"/>
          <w:szCs w:val="22"/>
        </w:rPr>
        <w:t>;</w:t>
      </w:r>
    </w:p>
    <w:p w14:paraId="51A9EEE4" w14:textId="10BC5BA1"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stosowanie przejrzystych i konkurencyjnych procesów zamówień publ. z odpowiednimi syst. kontroli wewn</w:t>
      </w:r>
      <w:r w:rsidRPr="00890249">
        <w:rPr>
          <w:rFonts w:asciiTheme="minorHAnsi" w:hAnsiTheme="minorHAnsi" w:cstheme="minorHAnsi"/>
          <w:color w:val="auto"/>
          <w:sz w:val="22"/>
          <w:szCs w:val="22"/>
        </w:rPr>
        <w:t xml:space="preserve">. </w:t>
      </w:r>
      <w:r w:rsidRPr="00890249">
        <w:rPr>
          <w:rFonts w:asciiTheme="minorHAnsi" w:hAnsiTheme="minorHAnsi" w:cstheme="minorHAnsi"/>
          <w:color w:val="auto"/>
          <w:sz w:val="22"/>
          <w:szCs w:val="22"/>
          <w:lang w:val="pl"/>
        </w:rPr>
        <w:t>IZ i beneficjenci będą promować strategiczne wykorzystanie zamówień publ. do wspierania celów PS, w tym stosowanie kryteriów związanych z jakością i kosztami cyklu życia produktu i usług, kryteria ekologiczne i społeczne, a także innowacyjne</w:t>
      </w:r>
      <w:r w:rsidRPr="00890249">
        <w:rPr>
          <w:rFonts w:asciiTheme="minorHAnsi" w:hAnsiTheme="minorHAnsi" w:cstheme="minorHAnsi"/>
          <w:color w:val="auto"/>
          <w:sz w:val="22"/>
          <w:szCs w:val="22"/>
          <w:vertAlign w:val="superscript"/>
          <w:lang w:val="pl"/>
        </w:rPr>
        <w:footnoteReference w:id="245"/>
      </w:r>
      <w:r w:rsidRPr="00890249">
        <w:rPr>
          <w:rFonts w:asciiTheme="minorHAnsi" w:hAnsiTheme="minorHAnsi" w:cstheme="minorHAnsi"/>
          <w:color w:val="auto"/>
          <w:sz w:val="22"/>
          <w:szCs w:val="22"/>
          <w:lang w:val="pl"/>
        </w:rPr>
        <w:t>. Przy wyborze wykonawcy usług szkoleniowych będą stosowane kr</w:t>
      </w:r>
      <w:r w:rsidR="005E270C" w:rsidRPr="00890249">
        <w:rPr>
          <w:rFonts w:asciiTheme="minorHAnsi" w:hAnsiTheme="minorHAnsi" w:cstheme="minorHAnsi"/>
          <w:color w:val="auto"/>
          <w:sz w:val="22"/>
          <w:szCs w:val="22"/>
          <w:lang w:val="pl"/>
        </w:rPr>
        <w:t>yteria wiedzy i doświadczenia w </w:t>
      </w:r>
      <w:r w:rsidRPr="00890249">
        <w:rPr>
          <w:rFonts w:asciiTheme="minorHAnsi" w:hAnsiTheme="minorHAnsi" w:cstheme="minorHAnsi"/>
          <w:color w:val="auto"/>
          <w:sz w:val="22"/>
          <w:szCs w:val="22"/>
          <w:lang w:val="pl"/>
        </w:rPr>
        <w:t>przedmiocie szkolenia</w:t>
      </w:r>
    </w:p>
    <w:p w14:paraId="7F3E79FD" w14:textId="5FF19726"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lastRenderedPageBreak/>
        <w:t>zapobieganie, wykrywanie, korygowanie i raportowani</w:t>
      </w:r>
      <w:r w:rsidR="005E270C" w:rsidRPr="00890249">
        <w:rPr>
          <w:rFonts w:asciiTheme="minorHAnsi" w:hAnsiTheme="minorHAnsi" w:cstheme="minorHAnsi"/>
          <w:b/>
          <w:color w:val="auto"/>
          <w:sz w:val="22"/>
          <w:szCs w:val="22"/>
        </w:rPr>
        <w:t>e w obszarze nieprawidłowości i </w:t>
      </w:r>
      <w:r w:rsidRPr="00890249">
        <w:rPr>
          <w:rFonts w:asciiTheme="minorHAnsi" w:hAnsiTheme="minorHAnsi" w:cstheme="minorHAnsi"/>
          <w:b/>
          <w:color w:val="auto"/>
          <w:sz w:val="22"/>
          <w:szCs w:val="22"/>
        </w:rPr>
        <w:t>nadużyć finansowych oraz korupcji</w:t>
      </w:r>
      <w:r w:rsidRPr="00890249">
        <w:rPr>
          <w:rFonts w:asciiTheme="minorHAnsi" w:hAnsiTheme="minorHAnsi" w:cstheme="minorHAnsi"/>
          <w:color w:val="auto"/>
          <w:sz w:val="22"/>
          <w:szCs w:val="22"/>
        </w:rPr>
        <w:t>. IZ będzie posia</w:t>
      </w:r>
      <w:r w:rsidR="005E270C" w:rsidRPr="00890249">
        <w:rPr>
          <w:rFonts w:asciiTheme="minorHAnsi" w:hAnsiTheme="minorHAnsi" w:cstheme="minorHAnsi"/>
          <w:color w:val="auto"/>
          <w:sz w:val="22"/>
          <w:szCs w:val="22"/>
        </w:rPr>
        <w:t>dać i stosować skuteczne i </w:t>
      </w:r>
      <w:r w:rsidRPr="00890249">
        <w:rPr>
          <w:rFonts w:asciiTheme="minorHAnsi" w:hAnsiTheme="minorHAnsi" w:cstheme="minorHAnsi"/>
          <w:color w:val="auto"/>
          <w:sz w:val="22"/>
          <w:szCs w:val="22"/>
        </w:rPr>
        <w:t>proporcjonalne środki i procedury zwalczania nadużyć finans., uwzględniające stwierdzone ryzyka, jak przewidziano w art. 74 ust. 1 lit. c) i lit. d) rozporz. 2021/1060. Będą kontynuowane mechanizmy stosowane w latach ubiegłych, m.in. zwiększenie przejrzystości, zaangaż społeczeństwa obywatelskiego, organizacji typu watch-dog, ocena ryzyka, działania edukacyjne. IZ zapewni działania zapobiegawcze:</w:t>
      </w:r>
    </w:p>
    <w:p w14:paraId="1ADAE4F6" w14:textId="77777777" w:rsidR="0058418C" w:rsidRPr="00890249" w:rsidRDefault="0058418C" w:rsidP="009F296A">
      <w:pPr>
        <w:pStyle w:val="Nagwek6"/>
        <w:numPr>
          <w:ilvl w:val="0"/>
          <w:numId w:val="168"/>
        </w:numPr>
        <w:rPr>
          <w:rFonts w:asciiTheme="minorHAnsi" w:hAnsiTheme="minorHAnsi" w:cstheme="minorHAnsi"/>
          <w:color w:val="auto"/>
          <w:sz w:val="22"/>
          <w:szCs w:val="22"/>
        </w:rPr>
      </w:pPr>
      <w:r w:rsidRPr="00890249">
        <w:rPr>
          <w:rFonts w:asciiTheme="minorHAnsi" w:hAnsiTheme="minorHAnsi" w:cstheme="minorHAnsi"/>
          <w:color w:val="auto"/>
          <w:sz w:val="22"/>
          <w:szCs w:val="22"/>
        </w:rPr>
        <w:t xml:space="preserve">zgłaszanie i aktualizowanie nieprawidłowości w syst. IMS; wzmocnienie procedur kontroli w celu unikania konfliktu interesów, np. zwiększenie przejrzystości łańcucha podwykonawców, uwzględniając weryfikację struktury właścicielskiej beneficjentów, wykonawców oraz ekspertów oceniających i nadzorujących projekty; </w:t>
      </w:r>
    </w:p>
    <w:p w14:paraId="5A8E6331" w14:textId="77777777" w:rsidR="0058418C" w:rsidRPr="00890249" w:rsidRDefault="0058418C" w:rsidP="009F296A">
      <w:pPr>
        <w:pStyle w:val="Nagwek6"/>
        <w:numPr>
          <w:ilvl w:val="0"/>
          <w:numId w:val="168"/>
        </w:numPr>
        <w:rPr>
          <w:rFonts w:asciiTheme="minorHAnsi" w:hAnsiTheme="minorHAnsi" w:cstheme="minorHAnsi"/>
          <w:color w:val="auto"/>
          <w:sz w:val="22"/>
          <w:szCs w:val="22"/>
        </w:rPr>
      </w:pPr>
      <w:r w:rsidRPr="00890249">
        <w:rPr>
          <w:rFonts w:asciiTheme="minorHAnsi" w:hAnsiTheme="minorHAnsi" w:cstheme="minorHAnsi"/>
          <w:color w:val="auto"/>
          <w:sz w:val="22"/>
          <w:szCs w:val="22"/>
        </w:rPr>
        <w:t>utworzenie systemu rejestracji i kontroli przy wyborze projektów w celu zachowania odpowiedniej ścieżki audytu;</w:t>
      </w:r>
    </w:p>
    <w:p w14:paraId="238046FD" w14:textId="77777777" w:rsidR="0058418C" w:rsidRPr="00890249" w:rsidRDefault="0058418C" w:rsidP="009F296A">
      <w:pPr>
        <w:pStyle w:val="Nagwek6"/>
        <w:numPr>
          <w:ilvl w:val="0"/>
          <w:numId w:val="168"/>
        </w:numPr>
        <w:rPr>
          <w:rFonts w:asciiTheme="minorHAnsi" w:hAnsiTheme="minorHAnsi" w:cstheme="minorHAnsi"/>
          <w:color w:val="auto"/>
          <w:sz w:val="22"/>
          <w:szCs w:val="22"/>
        </w:rPr>
      </w:pPr>
      <w:r w:rsidRPr="00890249">
        <w:rPr>
          <w:rFonts w:asciiTheme="minorHAnsi" w:hAnsiTheme="minorHAnsi" w:cstheme="minorHAnsi"/>
          <w:color w:val="auto"/>
          <w:sz w:val="22"/>
          <w:szCs w:val="22"/>
        </w:rPr>
        <w:t>istnienie mechanizmu oznaczania i wykluczania z dofinansowania osób/podmiotów stanowiących zagrożenie dla interesów UE;</w:t>
      </w:r>
    </w:p>
    <w:p w14:paraId="0B3018E0" w14:textId="77777777" w:rsidR="0058418C" w:rsidRPr="00890249" w:rsidRDefault="0058418C" w:rsidP="009F296A">
      <w:pPr>
        <w:pStyle w:val="Nagwek6"/>
        <w:numPr>
          <w:ilvl w:val="0"/>
          <w:numId w:val="168"/>
        </w:numPr>
        <w:rPr>
          <w:rFonts w:asciiTheme="minorHAnsi" w:hAnsiTheme="minorHAnsi" w:cstheme="minorHAnsi"/>
          <w:color w:val="auto"/>
          <w:sz w:val="22"/>
          <w:szCs w:val="22"/>
        </w:rPr>
      </w:pPr>
      <w:r w:rsidRPr="00890249">
        <w:rPr>
          <w:rFonts w:asciiTheme="minorHAnsi" w:hAnsiTheme="minorHAnsi" w:cstheme="minorHAnsi"/>
          <w:color w:val="auto"/>
          <w:sz w:val="22"/>
          <w:szCs w:val="22"/>
        </w:rPr>
        <w:t>uwzględnianie nowych ryzyk, np. związanych ze zmianą zasad wydatkowania FE;</w:t>
      </w:r>
    </w:p>
    <w:p w14:paraId="4F370F5C" w14:textId="77777777" w:rsidR="0058418C" w:rsidRPr="00890249" w:rsidRDefault="0058418C" w:rsidP="009F296A">
      <w:pPr>
        <w:pStyle w:val="Nagwek6"/>
        <w:numPr>
          <w:ilvl w:val="0"/>
          <w:numId w:val="168"/>
        </w:numPr>
        <w:rPr>
          <w:rFonts w:asciiTheme="minorHAnsi" w:hAnsiTheme="minorHAnsi" w:cstheme="minorHAnsi"/>
          <w:color w:val="auto"/>
          <w:sz w:val="22"/>
          <w:szCs w:val="22"/>
        </w:rPr>
      </w:pPr>
      <w:r w:rsidRPr="00890249">
        <w:rPr>
          <w:rFonts w:asciiTheme="minorHAnsi" w:hAnsiTheme="minorHAnsi" w:cstheme="minorHAnsi"/>
          <w:color w:val="auto"/>
          <w:sz w:val="22"/>
          <w:szCs w:val="22"/>
          <w:lang w:val="pl"/>
        </w:rPr>
        <w:t>wykorzystanie dostępnych narzędzi data mining, w tym Arachne lub podobnego narzędzia informat. oraz narzędzi mających na celu wykrywanie podejrzeń nadużyć finansowych, plagiatu;</w:t>
      </w:r>
    </w:p>
    <w:p w14:paraId="0E5508ED" w14:textId="77777777" w:rsidR="0058418C" w:rsidRPr="00890249" w:rsidRDefault="0058418C" w:rsidP="009F296A">
      <w:pPr>
        <w:pStyle w:val="Nagwek6"/>
        <w:numPr>
          <w:ilvl w:val="0"/>
          <w:numId w:val="168"/>
        </w:numPr>
        <w:rPr>
          <w:rFonts w:asciiTheme="minorHAnsi" w:hAnsiTheme="minorHAnsi" w:cstheme="minorHAnsi"/>
          <w:color w:val="auto"/>
          <w:sz w:val="22"/>
          <w:szCs w:val="22"/>
        </w:rPr>
      </w:pPr>
      <w:r w:rsidRPr="00890249">
        <w:rPr>
          <w:rFonts w:asciiTheme="minorHAnsi" w:hAnsiTheme="minorHAnsi" w:cstheme="minorHAnsi"/>
          <w:color w:val="auto"/>
          <w:sz w:val="22"/>
          <w:szCs w:val="22"/>
        </w:rPr>
        <w:t>Stosowanie paktów na rzecz uczciwości w zasadnych przypadkach. Wdrażanie tych paktów będzie konsultowane z KM</w:t>
      </w:r>
      <w:r w:rsidRPr="00890249">
        <w:rPr>
          <w:rFonts w:asciiTheme="minorHAnsi" w:hAnsiTheme="minorHAnsi" w:cstheme="minorHAnsi"/>
          <w:color w:val="auto"/>
          <w:sz w:val="22"/>
          <w:szCs w:val="22"/>
          <w:vertAlign w:val="superscript"/>
        </w:rPr>
        <w:footnoteReference w:id="246"/>
      </w:r>
      <w:r w:rsidRPr="00890249">
        <w:rPr>
          <w:rFonts w:asciiTheme="minorHAnsi" w:hAnsiTheme="minorHAnsi" w:cstheme="minorHAnsi"/>
          <w:color w:val="auto"/>
          <w:sz w:val="22"/>
          <w:szCs w:val="22"/>
        </w:rPr>
        <w:t>.</w:t>
      </w:r>
    </w:p>
    <w:p w14:paraId="6F443107" w14:textId="77777777" w:rsidR="0058418C" w:rsidRPr="00890249" w:rsidRDefault="0058418C" w:rsidP="009F296A">
      <w:pPr>
        <w:pStyle w:val="Nagwek6"/>
        <w:numPr>
          <w:ilvl w:val="0"/>
          <w:numId w:val="169"/>
        </w:numPr>
        <w:rPr>
          <w:rFonts w:asciiTheme="minorHAnsi" w:hAnsiTheme="minorHAnsi" w:cstheme="minorHAnsi"/>
          <w:b/>
          <w:i/>
          <w:color w:val="auto"/>
          <w:sz w:val="22"/>
          <w:szCs w:val="22"/>
        </w:rPr>
      </w:pPr>
      <w:r w:rsidRPr="00890249">
        <w:rPr>
          <w:rFonts w:asciiTheme="minorHAnsi" w:hAnsiTheme="minorHAnsi" w:cstheme="minorHAnsi"/>
          <w:b/>
          <w:i/>
          <w:color w:val="auto"/>
          <w:sz w:val="22"/>
          <w:szCs w:val="22"/>
        </w:rPr>
        <w:t>Wsparcie beneficjentów i potencjalnych beneficjentów FEO</w:t>
      </w:r>
    </w:p>
    <w:p w14:paraId="2619DDF1" w14:textId="78BA091C" w:rsidR="0058418C" w:rsidRPr="00890249" w:rsidRDefault="0058418C" w:rsidP="009F296A">
      <w:pPr>
        <w:pStyle w:val="Nagwek6"/>
        <w:numPr>
          <w:ilvl w:val="0"/>
          <w:numId w:val="147"/>
        </w:numPr>
        <w:rPr>
          <w:rFonts w:asciiTheme="minorHAnsi" w:hAnsiTheme="minorHAnsi" w:cstheme="minorHAnsi"/>
          <w:b/>
          <w:color w:val="auto"/>
          <w:sz w:val="22"/>
          <w:szCs w:val="22"/>
        </w:rPr>
      </w:pPr>
      <w:r w:rsidRPr="00890249">
        <w:rPr>
          <w:rFonts w:asciiTheme="minorHAnsi" w:hAnsiTheme="minorHAnsi" w:cstheme="minorHAnsi"/>
          <w:b/>
          <w:color w:val="auto"/>
          <w:sz w:val="22"/>
          <w:szCs w:val="22"/>
        </w:rPr>
        <w:t>rozwój kompetencji niezbędnych do skutecznego aplikowania o FE</w:t>
      </w:r>
      <w:r w:rsidR="005E270C" w:rsidRPr="00890249">
        <w:rPr>
          <w:rFonts w:asciiTheme="minorHAnsi" w:hAnsiTheme="minorHAnsi" w:cstheme="minorHAnsi"/>
          <w:color w:val="auto"/>
          <w:sz w:val="22"/>
          <w:szCs w:val="22"/>
        </w:rPr>
        <w:t>, prowadzenia i </w:t>
      </w:r>
      <w:r w:rsidRPr="00890249">
        <w:rPr>
          <w:rFonts w:asciiTheme="minorHAnsi" w:hAnsiTheme="minorHAnsi" w:cstheme="minorHAnsi"/>
          <w:color w:val="auto"/>
          <w:sz w:val="22"/>
          <w:szCs w:val="22"/>
        </w:rPr>
        <w:t>rozliczania projektów, np. organizowanie specjalist. szkoleń, pomoc w dostosowaniu działań do założeń EGD i zasady DNSH;</w:t>
      </w:r>
    </w:p>
    <w:p w14:paraId="49643EE4"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rPr>
        <w:t xml:space="preserve">podnoszenie wiedzy na temat wdrażania ZH </w:t>
      </w:r>
      <w:r w:rsidRPr="00890249">
        <w:rPr>
          <w:rFonts w:asciiTheme="minorHAnsi" w:hAnsiTheme="minorHAnsi" w:cstheme="minorHAnsi"/>
          <w:color w:val="auto"/>
          <w:sz w:val="22"/>
          <w:szCs w:val="22"/>
        </w:rPr>
        <w:t>w realizowanych projektach, w tym niedyskryminacji, szczególnie dla kadry w instytucjach z obsz. edukacji, zdrowia i pomocy społ. w zakresie przeciwdz. i zwalczania dyskryminacji osób i grup narażonych/ dyskryminowanych.</w:t>
      </w:r>
    </w:p>
    <w:p w14:paraId="67AAA474" w14:textId="77777777" w:rsidR="00295939" w:rsidRPr="00890249" w:rsidRDefault="00295939" w:rsidP="00295939">
      <w:pPr>
        <w:rPr>
          <w:rFonts w:asciiTheme="minorHAnsi" w:hAnsiTheme="minorHAnsi" w:cstheme="minorHAnsi"/>
        </w:rPr>
      </w:pPr>
    </w:p>
    <w:p w14:paraId="25CD9097" w14:textId="77777777" w:rsidR="0058418C" w:rsidRPr="00890249" w:rsidRDefault="0058418C" w:rsidP="009F296A">
      <w:pPr>
        <w:pStyle w:val="Nagwek6"/>
        <w:numPr>
          <w:ilvl w:val="0"/>
          <w:numId w:val="169"/>
        </w:numPr>
        <w:rPr>
          <w:rFonts w:asciiTheme="minorHAnsi" w:hAnsiTheme="minorHAnsi" w:cstheme="minorHAnsi"/>
          <w:i/>
          <w:color w:val="auto"/>
          <w:sz w:val="22"/>
          <w:szCs w:val="22"/>
        </w:rPr>
      </w:pPr>
      <w:r w:rsidRPr="00890249">
        <w:rPr>
          <w:rFonts w:asciiTheme="minorHAnsi" w:hAnsiTheme="minorHAnsi" w:cstheme="minorHAnsi"/>
          <w:b/>
          <w:i/>
          <w:iCs/>
          <w:color w:val="auto"/>
          <w:sz w:val="22"/>
          <w:szCs w:val="22"/>
          <w:lang w:val="pl"/>
        </w:rPr>
        <w:lastRenderedPageBreak/>
        <w:t>Wsparcie funkcjonowania komitetów, GR i doradczych, partnerów</w:t>
      </w:r>
    </w:p>
    <w:p w14:paraId="5A30A993"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lang w:val="pl"/>
        </w:rPr>
        <w:t>obsługa prac KM i GR powoływanych przez KM</w:t>
      </w:r>
      <w:r w:rsidRPr="00890249">
        <w:rPr>
          <w:rFonts w:asciiTheme="minorHAnsi" w:hAnsiTheme="minorHAnsi" w:cstheme="minorHAnsi"/>
          <w:color w:val="auto"/>
          <w:sz w:val="22"/>
          <w:szCs w:val="22"/>
          <w:lang w:val="pl"/>
        </w:rPr>
        <w:t>, w tym GR ds. monitorowania ZH, w skład której wejdą przedstawiciele CSOs zrzesz. osoby z grup narażonych na dyskryminację lub zajmujących się równouprawnieniem danej grupy, a także wsparcie grup doradczych zaangaż. we wdrażanie FEO, w tym członków KM reprez. partnerów społ.-gospod. oraz CSOs (art. 8 ust. 1 CPR). Finansowane będą m.in.: koszty organizacji posiedzeń, ekspertyzy, szkolenia, prace przygotowawcze niezbędne do realiz. FEO.</w:t>
      </w:r>
    </w:p>
    <w:p w14:paraId="17E65980" w14:textId="53E75964"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b/>
          <w:color w:val="auto"/>
          <w:sz w:val="22"/>
          <w:szCs w:val="22"/>
          <w:lang w:val="pl"/>
        </w:rPr>
        <w:t>pomoc w realizacji ZH</w:t>
      </w:r>
      <w:r w:rsidRPr="00890249">
        <w:rPr>
          <w:rFonts w:asciiTheme="minorHAnsi" w:hAnsiTheme="minorHAnsi" w:cstheme="minorHAnsi"/>
          <w:color w:val="auto"/>
          <w:sz w:val="22"/>
          <w:szCs w:val="22"/>
          <w:lang w:val="pl"/>
        </w:rPr>
        <w:t>, ze szczególnym uwzgl. barier i potrzeb osób z grup narażonych na dyskryminację, m.in.: pomoc ekspercka, szkolenia i konferencje tematyczne, produkcja mater. informacyjno-edukac., a także audyt istniej. rozwiązań i ocena ich skuteczności dla wypracowania narzędzi i mechanizmów skutecz. wdrażania horyzont. zasad równego traktowania, niedyskryminacji i poszanowania KPP</w:t>
      </w:r>
      <w:r w:rsidRPr="00890249">
        <w:rPr>
          <w:rFonts w:asciiTheme="minorHAnsi" w:hAnsiTheme="minorHAnsi" w:cstheme="minorHAnsi"/>
          <w:color w:val="auto"/>
          <w:sz w:val="22"/>
          <w:szCs w:val="22"/>
        </w:rPr>
        <w:t xml:space="preserve">; </w:t>
      </w:r>
      <w:r w:rsidR="00873E76" w:rsidRPr="00037393">
        <w:rPr>
          <w:rFonts w:asciiTheme="minorHAnsi" w:hAnsiTheme="minorHAnsi" w:cstheme="minorHAnsi"/>
          <w:noProof/>
          <w:sz w:val="22"/>
          <w:szCs w:val="22"/>
        </w:rPr>
        <w:t>powołanie Koordynatorów zasad równościowych i Koordynatorów ds. KPP w IZ i IP</w:t>
      </w:r>
      <w:r w:rsidRPr="00890249">
        <w:rPr>
          <w:rFonts w:asciiTheme="minorHAnsi" w:hAnsiTheme="minorHAnsi" w:cstheme="minorHAnsi"/>
          <w:color w:val="auto"/>
          <w:sz w:val="22"/>
          <w:szCs w:val="22"/>
        </w:rPr>
        <w:t>;</w:t>
      </w:r>
    </w:p>
    <w:p w14:paraId="7B0448F5" w14:textId="77777777" w:rsidR="0058418C" w:rsidRPr="00890249" w:rsidRDefault="0058418C" w:rsidP="009F296A">
      <w:pPr>
        <w:pStyle w:val="Nagwek6"/>
        <w:numPr>
          <w:ilvl w:val="0"/>
          <w:numId w:val="147"/>
        </w:numPr>
        <w:rPr>
          <w:rFonts w:asciiTheme="minorHAnsi" w:hAnsiTheme="minorHAnsi" w:cstheme="minorHAnsi"/>
          <w:color w:val="auto"/>
          <w:sz w:val="22"/>
          <w:szCs w:val="22"/>
        </w:rPr>
      </w:pPr>
      <w:r w:rsidRPr="00890249">
        <w:rPr>
          <w:rFonts w:asciiTheme="minorHAnsi" w:hAnsiTheme="minorHAnsi" w:cstheme="minorHAnsi"/>
          <w:color w:val="auto"/>
          <w:sz w:val="22"/>
          <w:szCs w:val="22"/>
        </w:rPr>
        <w:t>stosowanie monitoringu i ewaluacji, wdrażanie uproszczeń administracyjnych i skuteczne komunikowanie się z otoczeniem.</w:t>
      </w:r>
    </w:p>
    <w:p w14:paraId="6E6FC774" w14:textId="77777777" w:rsidR="0058418C" w:rsidRPr="00890249" w:rsidRDefault="0058418C" w:rsidP="009F296A">
      <w:pPr>
        <w:pStyle w:val="Nagwek6"/>
        <w:numPr>
          <w:ilvl w:val="0"/>
          <w:numId w:val="169"/>
        </w:numPr>
        <w:rPr>
          <w:rFonts w:asciiTheme="minorHAnsi" w:hAnsiTheme="minorHAnsi" w:cstheme="minorHAnsi"/>
          <w:color w:val="auto"/>
          <w:sz w:val="22"/>
          <w:szCs w:val="22"/>
        </w:rPr>
      </w:pPr>
      <w:r w:rsidRPr="00890249">
        <w:rPr>
          <w:rFonts w:asciiTheme="minorHAnsi" w:hAnsiTheme="minorHAnsi" w:cstheme="minorHAnsi"/>
          <w:b/>
          <w:i/>
          <w:color w:val="auto"/>
          <w:sz w:val="22"/>
          <w:szCs w:val="22"/>
        </w:rPr>
        <w:t xml:space="preserve">Stworzenie spójnego systemu informacji i komunikacji </w:t>
      </w:r>
      <w:r w:rsidRPr="00890249" w:rsidDel="000364B3">
        <w:rPr>
          <w:rFonts w:asciiTheme="minorHAnsi" w:hAnsiTheme="minorHAnsi" w:cstheme="minorHAnsi"/>
          <w:color w:val="auto"/>
          <w:sz w:val="22"/>
          <w:szCs w:val="22"/>
        </w:rPr>
        <w:t xml:space="preserve"> </w:t>
      </w:r>
    </w:p>
    <w:p w14:paraId="51438F12" w14:textId="4611BB91" w:rsidR="0058418C" w:rsidRPr="00A27C86" w:rsidRDefault="0058418C" w:rsidP="00A27C86">
      <w:pPr>
        <w:rPr>
          <w:rFonts w:asciiTheme="minorHAnsi" w:hAnsiTheme="minorHAnsi" w:cstheme="minorHAnsi"/>
          <w:sz w:val="22"/>
        </w:rPr>
      </w:pPr>
      <w:r w:rsidRPr="00A27C86">
        <w:rPr>
          <w:rFonts w:asciiTheme="minorHAnsi" w:hAnsiTheme="minorHAnsi" w:cstheme="minorHAnsi"/>
          <w:sz w:val="22"/>
        </w:rPr>
        <w:t>Działania komunikacyjne są prowadzone z uwzględ. zasad dostępności, równości szans i niedyskryminacji, postępującej cyfryzacji i EGD. Podstawową formą informowania przez IZ/IP oraz przygotowania, produkcji, dystrybucji publikacji, materiałów promoc. i brandingowych, będzie forma cyfrowa. Wydruk materiałów informac. i promocyjnych zostanie ogr</w:t>
      </w:r>
      <w:r w:rsidR="00A27C86" w:rsidRPr="00A27C86">
        <w:rPr>
          <w:rFonts w:asciiTheme="minorHAnsi" w:hAnsiTheme="minorHAnsi" w:cstheme="minorHAnsi"/>
          <w:sz w:val="22"/>
        </w:rPr>
        <w:t>aniczony do niezbęd. minimum, a </w:t>
      </w:r>
      <w:r w:rsidRPr="00A27C86">
        <w:rPr>
          <w:rFonts w:asciiTheme="minorHAnsi" w:hAnsiTheme="minorHAnsi" w:cstheme="minorHAnsi"/>
          <w:sz w:val="22"/>
        </w:rPr>
        <w:t xml:space="preserve">zastosowane materiały będą w jak największym stopniu ekologiczne. Samodzielnie gadżety nie są narzędziem promocji FE. </w:t>
      </w:r>
    </w:p>
    <w:p w14:paraId="27D48EF7" w14:textId="7EFB85D0" w:rsidR="0058418C" w:rsidRPr="00A27C86" w:rsidRDefault="0058418C" w:rsidP="00A27C86">
      <w:pPr>
        <w:rPr>
          <w:rFonts w:asciiTheme="minorHAnsi" w:hAnsiTheme="minorHAnsi" w:cstheme="minorHAnsi"/>
          <w:sz w:val="22"/>
        </w:rPr>
      </w:pPr>
      <w:r w:rsidRPr="00A27C86">
        <w:rPr>
          <w:rFonts w:asciiTheme="minorHAnsi" w:hAnsiTheme="minorHAnsi" w:cstheme="minorHAnsi"/>
          <w:sz w:val="22"/>
        </w:rPr>
        <w:t>Przewidywane wsparcie będzie służyć realizacji ZH, ze szczeg. uwzględ</w:t>
      </w:r>
      <w:r w:rsidR="00A27C86" w:rsidRPr="00A27C86">
        <w:rPr>
          <w:rFonts w:asciiTheme="minorHAnsi" w:hAnsiTheme="minorHAnsi" w:cstheme="minorHAnsi"/>
          <w:sz w:val="22"/>
        </w:rPr>
        <w:t>nieniem barier i potrzeb osób z </w:t>
      </w:r>
      <w:r w:rsidRPr="00A27C86">
        <w:rPr>
          <w:rFonts w:asciiTheme="minorHAnsi" w:hAnsiTheme="minorHAnsi" w:cstheme="minorHAnsi"/>
          <w:sz w:val="22"/>
        </w:rPr>
        <w:t>grup narażonych na dyskryminację przez wsparcie eksperckie, szkolenia i konferencje tematyczne, produkcję materiałów informacyjno-edukacyjnych, kampanie</w:t>
      </w:r>
      <w:r w:rsidRPr="00A27C86">
        <w:rPr>
          <w:rFonts w:asciiTheme="minorHAnsi" w:hAnsiTheme="minorHAnsi" w:cstheme="minorHAnsi"/>
          <w:sz w:val="22"/>
        </w:rPr>
        <w:footnoteReference w:id="247"/>
      </w:r>
      <w:r w:rsidRPr="00A27C86">
        <w:rPr>
          <w:rFonts w:asciiTheme="minorHAnsi" w:hAnsiTheme="minorHAnsi" w:cstheme="minorHAnsi"/>
          <w:sz w:val="22"/>
        </w:rPr>
        <w:t>.</w:t>
      </w:r>
    </w:p>
    <w:p w14:paraId="054C364C" w14:textId="7F9E721D" w:rsidR="0058418C" w:rsidRPr="00A27C86" w:rsidRDefault="0058418C" w:rsidP="00A27C86">
      <w:pPr>
        <w:rPr>
          <w:rFonts w:asciiTheme="minorHAnsi" w:hAnsiTheme="minorHAnsi" w:cstheme="minorHAnsi"/>
          <w:sz w:val="22"/>
        </w:rPr>
      </w:pPr>
      <w:r w:rsidRPr="00A27C86">
        <w:rPr>
          <w:rFonts w:asciiTheme="minorHAnsi" w:hAnsiTheme="minorHAnsi" w:cstheme="minorHAnsi"/>
          <w:sz w:val="22"/>
        </w:rPr>
        <w:t>Priorytetowe będą funkcje komunikacyjne. Pracownicy działów komunikacji będą pełnić aktywną rolę we wdrażaniu</w:t>
      </w:r>
      <w:r w:rsidR="00A27C86">
        <w:rPr>
          <w:rFonts w:asciiTheme="minorHAnsi" w:hAnsiTheme="minorHAnsi" w:cstheme="minorHAnsi"/>
          <w:sz w:val="22"/>
        </w:rPr>
        <w:t xml:space="preserve"> </w:t>
      </w:r>
      <w:r w:rsidRPr="00A27C86">
        <w:rPr>
          <w:rFonts w:asciiTheme="minorHAnsi" w:hAnsiTheme="minorHAnsi" w:cstheme="minorHAnsi"/>
          <w:sz w:val="22"/>
        </w:rPr>
        <w:t>FEO oraz stale b</w:t>
      </w:r>
      <w:r w:rsidR="00A27C86">
        <w:rPr>
          <w:rFonts w:asciiTheme="minorHAnsi" w:hAnsiTheme="minorHAnsi" w:cstheme="minorHAnsi"/>
          <w:sz w:val="22"/>
        </w:rPr>
        <w:t>ędą podnosić swoje kompetencje.</w:t>
      </w:r>
    </w:p>
    <w:p w14:paraId="3B5F50A4" w14:textId="6A1C2C6B" w:rsidR="0058418C" w:rsidRPr="00890249" w:rsidRDefault="0058418C" w:rsidP="0058418C">
      <w:pPr>
        <w:pStyle w:val="Nagwek6"/>
        <w:rPr>
          <w:rFonts w:asciiTheme="minorHAnsi" w:hAnsiTheme="minorHAnsi" w:cstheme="minorHAnsi"/>
          <w:color w:val="auto"/>
          <w:sz w:val="22"/>
          <w:szCs w:val="22"/>
        </w:rPr>
      </w:pPr>
      <w:r w:rsidRPr="00890249">
        <w:rPr>
          <w:rFonts w:asciiTheme="minorHAnsi" w:hAnsiTheme="minorHAnsi" w:cstheme="minorHAnsi"/>
          <w:color w:val="auto"/>
          <w:sz w:val="22"/>
          <w:szCs w:val="22"/>
        </w:rPr>
        <w:t xml:space="preserve">Realizacja zadań finansowanych z PT będzie koordynowana z komponentami PTFE na szczeblu krajowym i w pozostałych programach, tak aby zoptymalizować wydatkowanie środków. </w:t>
      </w:r>
    </w:p>
    <w:p w14:paraId="547A1248" w14:textId="77777777" w:rsidR="005E270C" w:rsidRPr="00890249" w:rsidRDefault="005E270C" w:rsidP="005E270C">
      <w:pPr>
        <w:rPr>
          <w:rFonts w:asciiTheme="minorHAnsi" w:hAnsiTheme="minorHAnsi" w:cstheme="minorHAnsi"/>
          <w:sz w:val="22"/>
          <w:szCs w:val="22"/>
        </w:rPr>
      </w:pPr>
      <w:r w:rsidRPr="00890249">
        <w:rPr>
          <w:rFonts w:asciiTheme="minorHAnsi" w:hAnsiTheme="minorHAnsi" w:cstheme="minorHAnsi"/>
          <w:b/>
          <w:noProof/>
          <w:color w:val="2F5496"/>
          <w:sz w:val="22"/>
          <w:szCs w:val="22"/>
        </w:rPr>
        <w:t>Główne grupy docelowe</w:t>
      </w:r>
    </w:p>
    <w:p w14:paraId="315368D9" w14:textId="77777777" w:rsidR="0058418C" w:rsidRPr="00890249" w:rsidRDefault="0058418C" w:rsidP="0058418C">
      <w:pPr>
        <w:pStyle w:val="Nagwek6"/>
        <w:rPr>
          <w:rFonts w:asciiTheme="minorHAnsi" w:hAnsiTheme="minorHAnsi" w:cstheme="minorHAnsi"/>
          <w:color w:val="auto"/>
          <w:sz w:val="22"/>
          <w:szCs w:val="22"/>
        </w:rPr>
      </w:pPr>
      <w:r w:rsidRPr="00890249">
        <w:rPr>
          <w:rFonts w:asciiTheme="minorHAnsi" w:hAnsiTheme="minorHAnsi" w:cstheme="minorHAnsi"/>
          <w:color w:val="auto"/>
          <w:sz w:val="22"/>
          <w:szCs w:val="22"/>
        </w:rPr>
        <w:t>Grupami docelowymi dla PT są przede wszystkim pracownicy IZ i IP, zaangażowani we wdrażanie FEO, jak również beneficjenci, potencjalni beneficjenci i partnerzy, o których mowa w art. 8 ust. 1 Rozp. ogólnego.</w:t>
      </w:r>
    </w:p>
    <w:p w14:paraId="67EA0F5E" w14:textId="77777777" w:rsidR="0058418C" w:rsidRPr="00890249" w:rsidRDefault="0058418C" w:rsidP="0058418C">
      <w:pPr>
        <w:pStyle w:val="Nagwek6"/>
        <w:rPr>
          <w:rFonts w:asciiTheme="minorHAnsi" w:hAnsiTheme="minorHAnsi" w:cstheme="minorHAnsi"/>
          <w:sz w:val="22"/>
          <w:szCs w:val="22"/>
        </w:rPr>
      </w:pPr>
    </w:p>
    <w:p w14:paraId="74D1F151" w14:textId="77777777" w:rsidR="000C780E" w:rsidRPr="00890249" w:rsidRDefault="000C780E" w:rsidP="000C780E">
      <w:pPr>
        <w:rPr>
          <w:rFonts w:asciiTheme="minorHAnsi" w:hAnsiTheme="minorHAnsi" w:cstheme="minorHAnsi"/>
        </w:rPr>
      </w:pPr>
    </w:p>
    <w:p w14:paraId="3523B892" w14:textId="77777777" w:rsidR="000C780E" w:rsidRPr="00890249" w:rsidRDefault="000C780E" w:rsidP="000C780E">
      <w:pPr>
        <w:rPr>
          <w:rFonts w:asciiTheme="minorHAnsi" w:hAnsiTheme="minorHAnsi" w:cstheme="minorHAnsi"/>
        </w:rPr>
      </w:pPr>
    </w:p>
    <w:p w14:paraId="366C9487" w14:textId="77777777" w:rsidR="000C780E" w:rsidRPr="00890249" w:rsidRDefault="000C780E" w:rsidP="000C780E">
      <w:pPr>
        <w:rPr>
          <w:rFonts w:asciiTheme="minorHAnsi" w:hAnsiTheme="minorHAnsi" w:cstheme="minorHAnsi"/>
        </w:rPr>
      </w:pPr>
    </w:p>
    <w:p w14:paraId="7E8AD090" w14:textId="77777777" w:rsidR="000C780E" w:rsidRPr="00890249" w:rsidRDefault="000C780E" w:rsidP="000C780E">
      <w:pPr>
        <w:rPr>
          <w:rFonts w:asciiTheme="minorHAnsi" w:hAnsiTheme="minorHAnsi" w:cstheme="minorHAnsi"/>
        </w:rPr>
      </w:pPr>
    </w:p>
    <w:p w14:paraId="2E701621" w14:textId="77777777" w:rsidR="000C780E" w:rsidRPr="00890249" w:rsidRDefault="000C780E" w:rsidP="000C780E">
      <w:pPr>
        <w:rPr>
          <w:rFonts w:asciiTheme="minorHAnsi" w:hAnsiTheme="minorHAnsi" w:cstheme="minorHAnsi"/>
        </w:rPr>
      </w:pPr>
    </w:p>
    <w:p w14:paraId="34862161" w14:textId="77777777" w:rsidR="000C780E" w:rsidRPr="00890249" w:rsidRDefault="000C780E" w:rsidP="000C780E">
      <w:pPr>
        <w:rPr>
          <w:rFonts w:asciiTheme="minorHAnsi" w:hAnsiTheme="minorHAnsi" w:cstheme="minorHAnsi"/>
        </w:rPr>
      </w:pPr>
    </w:p>
    <w:p w14:paraId="12CB44A4" w14:textId="77777777" w:rsidR="005E270C" w:rsidRPr="00890249" w:rsidRDefault="005E270C" w:rsidP="000C780E">
      <w:pPr>
        <w:rPr>
          <w:rFonts w:asciiTheme="minorHAnsi" w:hAnsiTheme="minorHAnsi" w:cstheme="minorHAnsi"/>
        </w:rPr>
      </w:pPr>
    </w:p>
    <w:p w14:paraId="1B14FD4E" w14:textId="77777777" w:rsidR="005E270C" w:rsidRPr="00890249" w:rsidRDefault="005E270C" w:rsidP="000C780E">
      <w:pPr>
        <w:rPr>
          <w:rFonts w:asciiTheme="minorHAnsi" w:hAnsiTheme="minorHAnsi" w:cstheme="minorHAnsi"/>
        </w:rPr>
      </w:pPr>
    </w:p>
    <w:p w14:paraId="6EE1DA6A" w14:textId="636A0D82" w:rsidR="0093433C" w:rsidRPr="00890249" w:rsidRDefault="005E270C">
      <w:pPr>
        <w:rPr>
          <w:rFonts w:asciiTheme="minorHAnsi" w:hAnsiTheme="minorHAnsi" w:cstheme="minorHAnsi"/>
          <w:lang w:eastAsia="en-US" w:bidi="ar-SA"/>
        </w:rPr>
      </w:pPr>
      <w:r w:rsidRPr="00890249">
        <w:rPr>
          <w:rFonts w:asciiTheme="minorHAnsi" w:hAnsiTheme="minorHAnsi" w:cstheme="minorHAnsi"/>
          <w:b/>
          <w:noProof/>
          <w:sz w:val="22"/>
        </w:rPr>
        <w:t>2.2.1.2. Wskaźniki</w:t>
      </w:r>
    </w:p>
    <w:tbl>
      <w:tblP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694"/>
        <w:gridCol w:w="968"/>
        <w:gridCol w:w="968"/>
        <w:gridCol w:w="2627"/>
        <w:gridCol w:w="775"/>
        <w:gridCol w:w="1049"/>
        <w:gridCol w:w="1026"/>
      </w:tblGrid>
      <w:tr w:rsidR="00AE4B4F" w:rsidRPr="00890249" w14:paraId="4DFF0B35" w14:textId="77777777" w:rsidTr="00890249">
        <w:trPr>
          <w:cantSplit/>
          <w:trHeight w:val="440"/>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754DB" w14:textId="77777777" w:rsidR="00B72154" w:rsidRPr="00890249" w:rsidRDefault="00AE4B4F" w:rsidP="00890249">
            <w:pPr>
              <w:spacing w:line="256" w:lineRule="auto"/>
              <w:jc w:val="left"/>
              <w:rPr>
                <w:rFonts w:asciiTheme="minorHAnsi" w:hAnsiTheme="minorHAnsi" w:cstheme="minorHAnsi"/>
                <w:noProof/>
                <w:sz w:val="18"/>
                <w:szCs w:val="18"/>
              </w:rPr>
            </w:pPr>
            <w:r w:rsidRPr="00890249">
              <w:rPr>
                <w:rFonts w:asciiTheme="minorHAnsi" w:hAnsiTheme="minorHAnsi" w:cstheme="minorHAnsi"/>
                <w:b/>
                <w:noProof/>
                <w:sz w:val="20"/>
              </w:rPr>
              <w:t>Tabela 2: Wskaźniki produktu</w:t>
            </w:r>
          </w:p>
        </w:tc>
      </w:tr>
      <w:tr w:rsidR="00AE4B4F" w:rsidRPr="00890249" w14:paraId="489913A3" w14:textId="77777777" w:rsidTr="00890249">
        <w:trPr>
          <w:cantSplit/>
          <w:trHeight w:val="1647"/>
        </w:trPr>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4C5DCC31"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Priorytet</w:t>
            </w:r>
          </w:p>
        </w:tc>
        <w:tc>
          <w:tcPr>
            <w:tcW w:w="4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456F48C5"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Fundusz</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94786A8"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Kategoria regionu</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805B3C0"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Nr identyfikacyjny [5]</w:t>
            </w:r>
          </w:p>
        </w:tc>
        <w:tc>
          <w:tcPr>
            <w:tcW w:w="1523"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DCD829F"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Wskaźnik [255]</w:t>
            </w:r>
          </w:p>
        </w:tc>
        <w:tc>
          <w:tcPr>
            <w:tcW w:w="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5018FE9A"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Jednostka miary</w:t>
            </w:r>
          </w:p>
        </w:tc>
        <w:tc>
          <w:tcPr>
            <w:tcW w:w="6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69EC4910"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Cel pośredni (2024)</w:t>
            </w:r>
          </w:p>
        </w:tc>
        <w:tc>
          <w:tcPr>
            <w:tcW w:w="5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28BBD2F7" w14:textId="77777777" w:rsidR="00AE4B4F" w:rsidRPr="00890249" w:rsidRDefault="00AE4B4F" w:rsidP="00003C73">
            <w:pPr>
              <w:spacing w:line="256" w:lineRule="auto"/>
              <w:ind w:left="113" w:right="113"/>
              <w:jc w:val="center"/>
              <w:rPr>
                <w:rFonts w:asciiTheme="minorHAnsi" w:hAnsiTheme="minorHAnsi" w:cstheme="minorHAnsi"/>
                <w:noProof/>
                <w:sz w:val="18"/>
                <w:szCs w:val="18"/>
              </w:rPr>
            </w:pPr>
            <w:r w:rsidRPr="00890249">
              <w:rPr>
                <w:rFonts w:asciiTheme="minorHAnsi" w:hAnsiTheme="minorHAnsi" w:cstheme="minorHAnsi"/>
                <w:noProof/>
                <w:sz w:val="18"/>
                <w:szCs w:val="18"/>
              </w:rPr>
              <w:t>Cel (2029)</w:t>
            </w:r>
          </w:p>
        </w:tc>
      </w:tr>
      <w:tr w:rsidR="00AE4B4F" w:rsidRPr="00890249" w14:paraId="3769B7E0" w14:textId="77777777" w:rsidTr="00890249">
        <w:trPr>
          <w:trHeight w:val="34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3401D" w14:textId="77777777" w:rsidR="00AE4B4F" w:rsidRPr="00890249" w:rsidRDefault="00AE4B4F" w:rsidP="008174D5">
            <w:pPr>
              <w:spacing w:line="256" w:lineRule="auto"/>
              <w:rPr>
                <w:rFonts w:asciiTheme="minorHAnsi" w:hAnsiTheme="minorHAnsi" w:cstheme="minorHAnsi"/>
                <w:i/>
                <w:noProof/>
                <w:sz w:val="18"/>
                <w:szCs w:val="18"/>
              </w:rPr>
            </w:pPr>
            <w:r w:rsidRPr="00890249">
              <w:rPr>
                <w:rFonts w:asciiTheme="minorHAnsi" w:hAnsiTheme="minorHAnsi" w:cstheme="minorHAnsi"/>
                <w:i/>
                <w:noProof/>
                <w:sz w:val="18"/>
                <w:szCs w:val="18"/>
              </w:rPr>
              <w:t>PT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F6197"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EFS+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FBB83"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noProof/>
                <w:sz w:val="18"/>
                <w:szCs w:val="18"/>
              </w:rPr>
              <w:t>słabiej rozwinięte</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0C6992BE" w14:textId="7695109C" w:rsidR="00AE4B4F" w:rsidRPr="00890249" w:rsidRDefault="00AE4B4F" w:rsidP="00AE4B4F">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PLRO150</w:t>
            </w: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F4A21" w14:textId="77777777" w:rsidR="00AE4B4F" w:rsidRPr="00890249" w:rsidRDefault="00AE4B4F" w:rsidP="008174D5">
            <w:pPr>
              <w:spacing w:line="256" w:lineRule="auto"/>
              <w:jc w:val="left"/>
              <w:rPr>
                <w:rFonts w:asciiTheme="minorHAnsi" w:hAnsiTheme="minorHAnsi" w:cstheme="minorHAnsi"/>
                <w:i/>
                <w:noProof/>
                <w:sz w:val="18"/>
                <w:szCs w:val="18"/>
              </w:rPr>
            </w:pPr>
            <w:r w:rsidRPr="00890249">
              <w:rPr>
                <w:rFonts w:asciiTheme="minorHAnsi" w:hAnsiTheme="minorHAnsi" w:cstheme="minorHAnsi"/>
                <w:i/>
                <w:noProof/>
                <w:sz w:val="18"/>
                <w:szCs w:val="18"/>
              </w:rPr>
              <w:t>Liczba uczestników form szkoleniowych dla instytucji</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BBC4A"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2CB336BB"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color w:val="000000"/>
                <w:sz w:val="18"/>
                <w:szCs w:val="18"/>
              </w:rPr>
              <w:t>165</w:t>
            </w:r>
          </w:p>
        </w:tc>
        <w:tc>
          <w:tcPr>
            <w:tcW w:w="595" w:type="pct"/>
            <w:tcBorders>
              <w:top w:val="single" w:sz="4" w:space="0" w:color="auto"/>
              <w:left w:val="nil"/>
              <w:bottom w:val="single" w:sz="4" w:space="0" w:color="auto"/>
              <w:right w:val="single" w:sz="4" w:space="0" w:color="auto"/>
            </w:tcBorders>
            <w:shd w:val="clear" w:color="auto" w:fill="auto"/>
            <w:vAlign w:val="center"/>
          </w:tcPr>
          <w:p w14:paraId="72476139"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color w:val="000000"/>
                <w:sz w:val="18"/>
                <w:szCs w:val="18"/>
              </w:rPr>
              <w:t>165</w:t>
            </w:r>
          </w:p>
        </w:tc>
      </w:tr>
      <w:tr w:rsidR="00AE4B4F" w:rsidRPr="00890249" w14:paraId="5FE15BC7" w14:textId="77777777" w:rsidTr="00890249">
        <w:trPr>
          <w:trHeight w:val="332"/>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FE311" w14:textId="77777777" w:rsidR="00AE4B4F" w:rsidRPr="00890249" w:rsidRDefault="00AE4B4F" w:rsidP="008174D5">
            <w:pPr>
              <w:spacing w:line="256" w:lineRule="auto"/>
              <w:rPr>
                <w:rFonts w:asciiTheme="minorHAnsi" w:hAnsiTheme="minorHAnsi" w:cstheme="minorHAnsi"/>
                <w:i/>
                <w:noProof/>
                <w:sz w:val="18"/>
                <w:szCs w:val="18"/>
              </w:rPr>
            </w:pPr>
            <w:r w:rsidRPr="00890249">
              <w:rPr>
                <w:rFonts w:asciiTheme="minorHAnsi" w:hAnsiTheme="minorHAnsi" w:cstheme="minorHAnsi"/>
                <w:i/>
                <w:noProof/>
                <w:sz w:val="18"/>
                <w:szCs w:val="18"/>
              </w:rPr>
              <w:t>PT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6E315"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EFS+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289A6"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noProof/>
                <w:sz w:val="18"/>
                <w:szCs w:val="18"/>
              </w:rPr>
              <w:t>słabiej rozwinięte</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14:paraId="2F978A3C" w14:textId="4FAB2F73"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PLRO155</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14:paraId="639EED0C" w14:textId="77777777" w:rsidR="00AE4B4F" w:rsidRPr="00890249" w:rsidRDefault="00AE4B4F" w:rsidP="008174D5">
            <w:pPr>
              <w:spacing w:line="256" w:lineRule="auto"/>
              <w:jc w:val="left"/>
              <w:rPr>
                <w:rFonts w:asciiTheme="minorHAnsi" w:hAnsiTheme="minorHAnsi" w:cstheme="minorHAnsi"/>
                <w:i/>
                <w:noProof/>
                <w:sz w:val="18"/>
                <w:szCs w:val="18"/>
              </w:rPr>
            </w:pPr>
            <w:r w:rsidRPr="00890249">
              <w:rPr>
                <w:rFonts w:asciiTheme="minorHAnsi" w:hAnsiTheme="minorHAnsi" w:cstheme="minorHAnsi"/>
                <w:i/>
                <w:noProof/>
                <w:sz w:val="18"/>
                <w:szCs w:val="18"/>
              </w:rPr>
              <w:t>Liczba uczestników form szkoleniowych dla beneficjentów</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8C99D"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7D5B6738" w14:textId="6D5D356E" w:rsidR="00AE4B4F" w:rsidRPr="00890249" w:rsidRDefault="00873E76" w:rsidP="008174D5">
            <w:pPr>
              <w:spacing w:line="256" w:lineRule="auto"/>
              <w:jc w:val="center"/>
              <w:rPr>
                <w:rFonts w:asciiTheme="minorHAnsi" w:hAnsiTheme="minorHAnsi" w:cstheme="minorHAnsi"/>
                <w:noProof/>
                <w:sz w:val="18"/>
                <w:szCs w:val="18"/>
              </w:rPr>
            </w:pPr>
            <w:r>
              <w:rPr>
                <w:rFonts w:asciiTheme="minorHAnsi" w:hAnsiTheme="minorHAnsi" w:cstheme="minorHAnsi"/>
                <w:color w:val="000000"/>
                <w:sz w:val="18"/>
                <w:szCs w:val="18"/>
              </w:rPr>
              <w:t>8</w:t>
            </w:r>
            <w:r w:rsidR="00AE4B4F" w:rsidRPr="00890249">
              <w:rPr>
                <w:rFonts w:asciiTheme="minorHAnsi" w:hAnsiTheme="minorHAnsi" w:cstheme="minorHAnsi"/>
                <w:color w:val="000000"/>
                <w:sz w:val="18"/>
                <w:szCs w:val="18"/>
              </w:rPr>
              <w:t>00</w:t>
            </w:r>
          </w:p>
        </w:tc>
        <w:tc>
          <w:tcPr>
            <w:tcW w:w="595" w:type="pct"/>
            <w:tcBorders>
              <w:top w:val="single" w:sz="4" w:space="0" w:color="auto"/>
              <w:left w:val="nil"/>
              <w:bottom w:val="single" w:sz="4" w:space="0" w:color="auto"/>
              <w:right w:val="single" w:sz="4" w:space="0" w:color="auto"/>
            </w:tcBorders>
            <w:shd w:val="clear" w:color="auto" w:fill="auto"/>
            <w:vAlign w:val="center"/>
          </w:tcPr>
          <w:p w14:paraId="3693D1B8" w14:textId="2BD7B094" w:rsidR="00AE4B4F" w:rsidRPr="00890249" w:rsidRDefault="001B017C" w:rsidP="008174D5">
            <w:pPr>
              <w:spacing w:line="256" w:lineRule="auto"/>
              <w:jc w:val="center"/>
              <w:rPr>
                <w:rFonts w:asciiTheme="minorHAnsi" w:hAnsiTheme="minorHAnsi" w:cstheme="minorHAnsi"/>
                <w:noProof/>
                <w:sz w:val="18"/>
                <w:szCs w:val="18"/>
              </w:rPr>
            </w:pPr>
            <w:r>
              <w:rPr>
                <w:rFonts w:asciiTheme="minorHAnsi" w:hAnsiTheme="minorHAnsi" w:cstheme="minorHAnsi"/>
                <w:color w:val="000000"/>
                <w:sz w:val="18"/>
                <w:szCs w:val="18"/>
              </w:rPr>
              <w:t>8</w:t>
            </w:r>
            <w:r w:rsidR="00AE4B4F" w:rsidRPr="00890249">
              <w:rPr>
                <w:rFonts w:asciiTheme="minorHAnsi" w:hAnsiTheme="minorHAnsi" w:cstheme="minorHAnsi"/>
                <w:color w:val="000000"/>
                <w:sz w:val="18"/>
                <w:szCs w:val="18"/>
              </w:rPr>
              <w:t>00</w:t>
            </w:r>
          </w:p>
        </w:tc>
      </w:tr>
      <w:tr w:rsidR="00AE4B4F" w:rsidRPr="00890249" w14:paraId="3B7CCE54" w14:textId="77777777" w:rsidTr="00890249">
        <w:trPr>
          <w:trHeight w:val="332"/>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ADCA0" w14:textId="77777777" w:rsidR="00AE4B4F" w:rsidRPr="00890249" w:rsidRDefault="00AE4B4F" w:rsidP="008174D5">
            <w:pPr>
              <w:spacing w:line="256" w:lineRule="auto"/>
              <w:rPr>
                <w:rFonts w:asciiTheme="minorHAnsi" w:hAnsiTheme="minorHAnsi" w:cstheme="minorHAnsi"/>
                <w:i/>
                <w:noProof/>
                <w:sz w:val="18"/>
                <w:szCs w:val="18"/>
              </w:rPr>
            </w:pPr>
            <w:r w:rsidRPr="00890249">
              <w:rPr>
                <w:rFonts w:asciiTheme="minorHAnsi" w:hAnsiTheme="minorHAnsi" w:cstheme="minorHAnsi"/>
                <w:i/>
                <w:noProof/>
                <w:sz w:val="18"/>
                <w:szCs w:val="18"/>
              </w:rPr>
              <w:t>PT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EBF37"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EFS+</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A79B2"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noProof/>
                <w:sz w:val="18"/>
                <w:szCs w:val="18"/>
              </w:rPr>
              <w:t>słabiej rozwinięte</w:t>
            </w:r>
          </w:p>
        </w:tc>
        <w:tc>
          <w:tcPr>
            <w:tcW w:w="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B7DE7" w14:textId="75483580" w:rsidR="00AE4B4F" w:rsidRPr="00890249" w:rsidRDefault="00AE4B4F" w:rsidP="008174D5">
            <w:pPr>
              <w:spacing w:line="256" w:lineRule="auto"/>
              <w:jc w:val="center"/>
              <w:rPr>
                <w:rFonts w:asciiTheme="minorHAnsi" w:hAnsiTheme="minorHAnsi" w:cstheme="minorHAnsi"/>
                <w:i/>
                <w:sz w:val="18"/>
                <w:szCs w:val="18"/>
              </w:rPr>
            </w:pPr>
            <w:r w:rsidRPr="00890249">
              <w:rPr>
                <w:rFonts w:asciiTheme="minorHAnsi" w:hAnsiTheme="minorHAnsi" w:cstheme="minorHAnsi"/>
                <w:i/>
                <w:sz w:val="18"/>
                <w:szCs w:val="18"/>
              </w:rPr>
              <w:t>PLRO158</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14:paraId="6DF9D165" w14:textId="77777777" w:rsidR="00AE4B4F" w:rsidRPr="00890249" w:rsidRDefault="00AE4B4F" w:rsidP="008174D5">
            <w:pPr>
              <w:spacing w:line="256" w:lineRule="auto"/>
              <w:jc w:val="left"/>
              <w:rPr>
                <w:rFonts w:asciiTheme="minorHAnsi" w:hAnsiTheme="minorHAnsi" w:cstheme="minorHAnsi"/>
                <w:i/>
                <w:noProof/>
                <w:sz w:val="18"/>
                <w:szCs w:val="18"/>
              </w:rPr>
            </w:pPr>
            <w:r w:rsidRPr="00890249">
              <w:rPr>
                <w:rFonts w:asciiTheme="minorHAnsi" w:hAnsiTheme="minorHAnsi" w:cstheme="minorHAnsi"/>
                <w:i/>
                <w:noProof/>
                <w:sz w:val="18"/>
                <w:szCs w:val="18"/>
              </w:rPr>
              <w:t>Liczba działań informacyjno-promocyjnych o szerokim zasięgu</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2FEAA" w14:textId="77777777" w:rsidR="00AE4B4F" w:rsidRPr="00890249" w:rsidRDefault="00AE4B4F" w:rsidP="008174D5">
            <w:pPr>
              <w:spacing w:line="256" w:lineRule="auto"/>
              <w:jc w:val="center"/>
              <w:rPr>
                <w:rFonts w:asciiTheme="minorHAnsi" w:hAnsiTheme="minorHAnsi" w:cstheme="minorHAnsi"/>
                <w:i/>
                <w:noProof/>
                <w:sz w:val="18"/>
                <w:szCs w:val="18"/>
              </w:rPr>
            </w:pPr>
            <w:r w:rsidRPr="00890249">
              <w:rPr>
                <w:rFonts w:asciiTheme="minorHAnsi" w:hAnsiTheme="minorHAnsi" w:cstheme="minorHAnsi"/>
                <w:i/>
                <w:noProof/>
                <w:sz w:val="18"/>
                <w:szCs w:val="18"/>
              </w:rPr>
              <w:t>szt.</w:t>
            </w:r>
          </w:p>
        </w:tc>
        <w:tc>
          <w:tcPr>
            <w:tcW w:w="608" w:type="pct"/>
            <w:tcBorders>
              <w:top w:val="nil"/>
              <w:left w:val="single" w:sz="4" w:space="0" w:color="auto"/>
              <w:bottom w:val="single" w:sz="4" w:space="0" w:color="auto"/>
              <w:right w:val="single" w:sz="4" w:space="0" w:color="auto"/>
            </w:tcBorders>
            <w:shd w:val="clear" w:color="auto" w:fill="auto"/>
            <w:vAlign w:val="center"/>
          </w:tcPr>
          <w:p w14:paraId="565073AF" w14:textId="77777777" w:rsidR="00AE4B4F" w:rsidRPr="00890249" w:rsidRDefault="00AE4B4F" w:rsidP="008174D5">
            <w:pPr>
              <w:spacing w:line="256" w:lineRule="auto"/>
              <w:jc w:val="center"/>
              <w:rPr>
                <w:rFonts w:asciiTheme="minorHAnsi" w:hAnsiTheme="minorHAnsi" w:cstheme="minorHAnsi"/>
                <w:noProof/>
                <w:sz w:val="18"/>
                <w:szCs w:val="18"/>
              </w:rPr>
            </w:pPr>
            <w:r w:rsidRPr="00890249">
              <w:rPr>
                <w:rFonts w:asciiTheme="minorHAnsi" w:hAnsiTheme="minorHAnsi" w:cstheme="minorHAnsi"/>
                <w:color w:val="000000"/>
                <w:sz w:val="18"/>
                <w:szCs w:val="18"/>
              </w:rPr>
              <w:t>2</w:t>
            </w:r>
          </w:p>
        </w:tc>
        <w:tc>
          <w:tcPr>
            <w:tcW w:w="595" w:type="pct"/>
            <w:tcBorders>
              <w:top w:val="nil"/>
              <w:left w:val="nil"/>
              <w:bottom w:val="single" w:sz="4" w:space="0" w:color="auto"/>
              <w:right w:val="single" w:sz="4" w:space="0" w:color="auto"/>
            </w:tcBorders>
            <w:shd w:val="clear" w:color="auto" w:fill="auto"/>
            <w:vAlign w:val="center"/>
          </w:tcPr>
          <w:p w14:paraId="6772D5B1" w14:textId="77777777" w:rsidR="00AE4B4F" w:rsidRPr="00890249" w:rsidRDefault="00AE4B4F" w:rsidP="008174D5">
            <w:pPr>
              <w:spacing w:line="256" w:lineRule="auto"/>
              <w:jc w:val="center"/>
              <w:rPr>
                <w:rFonts w:asciiTheme="minorHAnsi" w:hAnsiTheme="minorHAnsi" w:cstheme="minorHAnsi"/>
                <w:noProof/>
                <w:sz w:val="18"/>
                <w:szCs w:val="18"/>
              </w:rPr>
            </w:pPr>
            <w:r w:rsidRPr="00890249">
              <w:rPr>
                <w:rFonts w:asciiTheme="minorHAnsi" w:hAnsiTheme="minorHAnsi" w:cstheme="minorHAnsi"/>
                <w:color w:val="000000"/>
                <w:sz w:val="18"/>
                <w:szCs w:val="18"/>
              </w:rPr>
              <w:t>2</w:t>
            </w:r>
          </w:p>
        </w:tc>
      </w:tr>
    </w:tbl>
    <w:p w14:paraId="3E043CFD" w14:textId="77777777" w:rsidR="001C6AFB" w:rsidRPr="00890249" w:rsidRDefault="001C6AFB" w:rsidP="000458C6">
      <w:pPr>
        <w:spacing w:before="0" w:after="0"/>
        <w:jc w:val="left"/>
        <w:rPr>
          <w:rFonts w:asciiTheme="minorHAnsi" w:hAnsiTheme="minorHAnsi" w:cstheme="minorHAnsi"/>
        </w:rPr>
      </w:pPr>
    </w:p>
    <w:p w14:paraId="43A492E5" w14:textId="77777777" w:rsidR="00AE4B4F" w:rsidRPr="00890249" w:rsidRDefault="00AE4B4F" w:rsidP="009A04CD">
      <w:pPr>
        <w:pStyle w:val="Nagwek6"/>
        <w:rPr>
          <w:rFonts w:asciiTheme="minorHAnsi" w:hAnsiTheme="minorHAnsi" w:cstheme="minorHAnsi"/>
          <w:b/>
          <w:color w:val="auto"/>
          <w:sz w:val="22"/>
          <w:szCs w:val="22"/>
        </w:rPr>
      </w:pPr>
    </w:p>
    <w:p w14:paraId="4DB70301" w14:textId="77777777" w:rsidR="009A04CD" w:rsidRPr="00890249" w:rsidRDefault="009A04CD" w:rsidP="009A04CD">
      <w:pPr>
        <w:spacing w:before="0" w:after="0"/>
        <w:jc w:val="left"/>
        <w:rPr>
          <w:rFonts w:asciiTheme="minorHAnsi" w:eastAsia="Times New Roman" w:hAnsiTheme="minorHAnsi" w:cstheme="minorHAnsi"/>
          <w:b/>
          <w:noProof/>
          <w:sz w:val="22"/>
        </w:rPr>
      </w:pPr>
      <w:r w:rsidRPr="00890249">
        <w:rPr>
          <w:rFonts w:asciiTheme="minorHAnsi" w:eastAsia="Times New Roman" w:hAnsiTheme="minorHAnsi" w:cstheme="minorHAnsi"/>
          <w:b/>
          <w:noProof/>
          <w:sz w:val="22"/>
        </w:rPr>
        <w:t>2.2.1.3. Indykatywny podział zaprogramowanych zasobów (UE) według rodzaju interwencji</w:t>
      </w:r>
    </w:p>
    <w:p w14:paraId="125E0F42" w14:textId="77777777" w:rsidR="001C007E" w:rsidRPr="00890249" w:rsidRDefault="001C007E" w:rsidP="001C007E">
      <w:pPr>
        <w:pStyle w:val="Akapitzlist"/>
        <w:spacing w:before="0" w:after="0"/>
        <w:ind w:left="1440"/>
        <w:rPr>
          <w:rFonts w:asciiTheme="minorHAnsi" w:eastAsia="Times New Roman" w:hAnsiTheme="minorHAnsi" w:cstheme="minorHAnsi"/>
          <w:b/>
          <w:noProof/>
        </w:rPr>
      </w:pPr>
    </w:p>
    <w:tbl>
      <w:tblPr>
        <w:tblStyle w:val="Tabela-Siatka"/>
        <w:tblW w:w="9180" w:type="dxa"/>
        <w:tblLook w:val="04A0" w:firstRow="1" w:lastRow="0" w:firstColumn="1" w:lastColumn="0" w:noHBand="0" w:noVBand="1"/>
      </w:tblPr>
      <w:tblGrid>
        <w:gridCol w:w="1295"/>
        <w:gridCol w:w="897"/>
        <w:gridCol w:w="1651"/>
        <w:gridCol w:w="1544"/>
        <w:gridCol w:w="3793"/>
      </w:tblGrid>
      <w:tr w:rsidR="00D212AB" w:rsidRPr="00890249" w14:paraId="7DE73FF1" w14:textId="77777777" w:rsidTr="00BE0394">
        <w:tc>
          <w:tcPr>
            <w:tcW w:w="9180" w:type="dxa"/>
            <w:gridSpan w:val="5"/>
            <w:tcBorders>
              <w:bottom w:val="single" w:sz="4" w:space="0" w:color="auto"/>
            </w:tcBorders>
            <w:shd w:val="clear" w:color="auto" w:fill="D9D9D9" w:themeFill="background1" w:themeFillShade="D9"/>
            <w:vAlign w:val="center"/>
          </w:tcPr>
          <w:p w14:paraId="3E7732DE" w14:textId="6E3970D3" w:rsidR="001C6AFB" w:rsidRPr="00890249" w:rsidRDefault="001C6AFB" w:rsidP="00AE4B4F">
            <w:pPr>
              <w:rPr>
                <w:rFonts w:asciiTheme="minorHAnsi" w:hAnsiTheme="minorHAnsi" w:cstheme="minorHAnsi"/>
                <w:b/>
                <w:noProof/>
                <w:sz w:val="20"/>
              </w:rPr>
            </w:pPr>
            <w:r w:rsidRPr="00890249">
              <w:rPr>
                <w:rFonts w:asciiTheme="minorHAnsi" w:hAnsiTheme="minorHAnsi" w:cstheme="minorHAnsi"/>
                <w:b/>
                <w:noProof/>
                <w:sz w:val="20"/>
              </w:rPr>
              <w:t xml:space="preserve">Tabela </w:t>
            </w:r>
            <w:r w:rsidR="00AE4B4F" w:rsidRPr="00890249">
              <w:rPr>
                <w:rFonts w:asciiTheme="minorHAnsi" w:hAnsiTheme="minorHAnsi" w:cstheme="minorHAnsi"/>
                <w:b/>
                <w:noProof/>
                <w:sz w:val="20"/>
              </w:rPr>
              <w:t>4</w:t>
            </w:r>
            <w:r w:rsidRPr="00890249">
              <w:rPr>
                <w:rFonts w:asciiTheme="minorHAnsi" w:hAnsiTheme="minorHAnsi" w:cstheme="minorHAnsi"/>
                <w:b/>
                <w:noProof/>
                <w:sz w:val="20"/>
              </w:rPr>
              <w:t>: Wymiar 1 – zakres interwencji</w:t>
            </w:r>
          </w:p>
        </w:tc>
      </w:tr>
      <w:tr w:rsidR="006E472C" w:rsidRPr="00890249" w14:paraId="58021AD8" w14:textId="77777777" w:rsidTr="008174D5">
        <w:tc>
          <w:tcPr>
            <w:tcW w:w="0" w:type="auto"/>
            <w:tcBorders>
              <w:bottom w:val="single" w:sz="4" w:space="0" w:color="auto"/>
            </w:tcBorders>
            <w:shd w:val="clear" w:color="auto" w:fill="F2F2F2" w:themeFill="background1" w:themeFillShade="F2"/>
            <w:vAlign w:val="center"/>
          </w:tcPr>
          <w:p w14:paraId="2B8D03D4"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Nr priorytetu</w:t>
            </w:r>
          </w:p>
        </w:tc>
        <w:tc>
          <w:tcPr>
            <w:tcW w:w="0" w:type="auto"/>
            <w:tcBorders>
              <w:bottom w:val="single" w:sz="4" w:space="0" w:color="auto"/>
            </w:tcBorders>
            <w:shd w:val="clear" w:color="auto" w:fill="F2F2F2" w:themeFill="background1" w:themeFillShade="F2"/>
            <w:vAlign w:val="center"/>
          </w:tcPr>
          <w:p w14:paraId="5BD8987B"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Fundusz</w:t>
            </w:r>
          </w:p>
        </w:tc>
        <w:tc>
          <w:tcPr>
            <w:tcW w:w="0" w:type="auto"/>
            <w:tcBorders>
              <w:bottom w:val="single" w:sz="4" w:space="0" w:color="auto"/>
            </w:tcBorders>
            <w:shd w:val="clear" w:color="auto" w:fill="F2F2F2" w:themeFill="background1" w:themeFillShade="F2"/>
            <w:vAlign w:val="center"/>
          </w:tcPr>
          <w:p w14:paraId="1F5E96EE"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Kategoria regionu</w:t>
            </w:r>
          </w:p>
        </w:tc>
        <w:tc>
          <w:tcPr>
            <w:tcW w:w="1475" w:type="dxa"/>
            <w:tcBorders>
              <w:bottom w:val="single" w:sz="4" w:space="0" w:color="auto"/>
            </w:tcBorders>
            <w:shd w:val="clear" w:color="auto" w:fill="F2F2F2" w:themeFill="background1" w:themeFillShade="F2"/>
            <w:vAlign w:val="center"/>
          </w:tcPr>
          <w:p w14:paraId="0AD0DFB0"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Kod</w:t>
            </w:r>
          </w:p>
        </w:tc>
        <w:tc>
          <w:tcPr>
            <w:tcW w:w="3793" w:type="dxa"/>
            <w:tcBorders>
              <w:bottom w:val="single" w:sz="4" w:space="0" w:color="auto"/>
            </w:tcBorders>
            <w:shd w:val="clear" w:color="auto" w:fill="F2F2F2" w:themeFill="background1" w:themeFillShade="F2"/>
            <w:vAlign w:val="center"/>
          </w:tcPr>
          <w:p w14:paraId="0A221166"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Kwota (w EUR)</w:t>
            </w:r>
          </w:p>
        </w:tc>
      </w:tr>
      <w:tr w:rsidR="005F434B" w:rsidRPr="00890249" w14:paraId="3D8C7867" w14:textId="77777777" w:rsidTr="008174D5">
        <w:tc>
          <w:tcPr>
            <w:tcW w:w="0" w:type="auto"/>
            <w:shd w:val="clear" w:color="auto" w:fill="auto"/>
            <w:vAlign w:val="center"/>
          </w:tcPr>
          <w:p w14:paraId="63CCB16D" w14:textId="77777777" w:rsidR="005F434B" w:rsidRPr="00890249" w:rsidRDefault="005F434B" w:rsidP="005F434B">
            <w:pPr>
              <w:spacing w:after="160" w:line="259" w:lineRule="auto"/>
              <w:jc w:val="center"/>
              <w:rPr>
                <w:rFonts w:asciiTheme="minorHAnsi" w:hAnsiTheme="minorHAnsi" w:cstheme="minorHAnsi"/>
                <w:b/>
                <w:sz w:val="20"/>
                <w:lang w:eastAsia="en-US"/>
              </w:rPr>
            </w:pPr>
          </w:p>
        </w:tc>
        <w:tc>
          <w:tcPr>
            <w:tcW w:w="0" w:type="auto"/>
            <w:shd w:val="clear" w:color="auto" w:fill="auto"/>
            <w:vAlign w:val="center"/>
          </w:tcPr>
          <w:p w14:paraId="3EBF7E16" w14:textId="77777777" w:rsidR="005F434B" w:rsidRPr="00890249" w:rsidRDefault="005F434B" w:rsidP="005F434B">
            <w:pPr>
              <w:spacing w:after="160" w:line="259" w:lineRule="auto"/>
              <w:jc w:val="center"/>
              <w:rPr>
                <w:rFonts w:asciiTheme="minorHAnsi" w:hAnsiTheme="minorHAnsi" w:cstheme="minorHAnsi"/>
                <w:b/>
                <w:sz w:val="20"/>
                <w:lang w:eastAsia="en-US"/>
              </w:rPr>
            </w:pPr>
            <w:r w:rsidRPr="00890249">
              <w:rPr>
                <w:rFonts w:asciiTheme="minorHAnsi" w:eastAsia="Times New Roman" w:hAnsiTheme="minorHAnsi" w:cstheme="minorHAnsi"/>
                <w:iCs/>
                <w:noProof/>
                <w:sz w:val="20"/>
              </w:rPr>
              <w:t>EFS+</w:t>
            </w:r>
          </w:p>
        </w:tc>
        <w:tc>
          <w:tcPr>
            <w:tcW w:w="0" w:type="auto"/>
            <w:shd w:val="clear" w:color="auto" w:fill="auto"/>
            <w:vAlign w:val="center"/>
          </w:tcPr>
          <w:p w14:paraId="5354E383" w14:textId="77777777" w:rsidR="005F434B" w:rsidRPr="00890249" w:rsidRDefault="005F434B" w:rsidP="005F434B">
            <w:pPr>
              <w:spacing w:after="160" w:line="259" w:lineRule="auto"/>
              <w:jc w:val="center"/>
              <w:rPr>
                <w:rFonts w:asciiTheme="minorHAnsi" w:hAnsiTheme="minorHAnsi" w:cstheme="minorHAnsi"/>
                <w:b/>
                <w:sz w:val="20"/>
                <w:lang w:eastAsia="en-US"/>
              </w:rPr>
            </w:pPr>
          </w:p>
        </w:tc>
        <w:tc>
          <w:tcPr>
            <w:tcW w:w="1475" w:type="dxa"/>
            <w:shd w:val="clear" w:color="auto" w:fill="auto"/>
            <w:vAlign w:val="center"/>
          </w:tcPr>
          <w:p w14:paraId="7AA90A67" w14:textId="2CAA3C46" w:rsidR="005F434B" w:rsidRPr="00890249" w:rsidRDefault="005F434B" w:rsidP="005F434B">
            <w:pPr>
              <w:spacing w:after="160" w:line="259" w:lineRule="auto"/>
              <w:jc w:val="center"/>
              <w:rPr>
                <w:rFonts w:asciiTheme="minorHAnsi" w:hAnsiTheme="minorHAnsi" w:cstheme="minorHAnsi"/>
                <w:b/>
                <w:sz w:val="20"/>
                <w:lang w:eastAsia="en-US"/>
              </w:rPr>
            </w:pPr>
            <w:r w:rsidRPr="00890249">
              <w:rPr>
                <w:rFonts w:asciiTheme="minorHAnsi" w:hAnsiTheme="minorHAnsi" w:cstheme="minorHAnsi"/>
                <w:sz w:val="20"/>
                <w:lang w:eastAsia="en-US"/>
              </w:rPr>
              <w:t>179 Informacja i komunikacja</w:t>
            </w:r>
          </w:p>
        </w:tc>
        <w:tc>
          <w:tcPr>
            <w:tcW w:w="3793" w:type="dxa"/>
            <w:shd w:val="clear" w:color="auto" w:fill="auto"/>
            <w:vAlign w:val="center"/>
          </w:tcPr>
          <w:p w14:paraId="42010E40" w14:textId="19D71961" w:rsidR="005F434B" w:rsidRPr="00890249" w:rsidRDefault="005F434B" w:rsidP="005F434B">
            <w:pPr>
              <w:spacing w:after="160" w:line="259" w:lineRule="auto"/>
              <w:jc w:val="center"/>
              <w:rPr>
                <w:rFonts w:asciiTheme="minorHAnsi" w:hAnsiTheme="minorHAnsi" w:cstheme="minorHAnsi"/>
                <w:b/>
                <w:sz w:val="20"/>
                <w:lang w:eastAsia="en-US"/>
              </w:rPr>
            </w:pPr>
            <w:r w:rsidRPr="00890249">
              <w:rPr>
                <w:rFonts w:asciiTheme="minorHAnsi" w:hAnsiTheme="minorHAnsi" w:cstheme="minorHAnsi"/>
                <w:b/>
                <w:sz w:val="20"/>
              </w:rPr>
              <w:t>491 300</w:t>
            </w:r>
          </w:p>
        </w:tc>
      </w:tr>
      <w:tr w:rsidR="005F434B" w:rsidRPr="00890249" w14:paraId="235ECB5F" w14:textId="77777777" w:rsidTr="00890249">
        <w:trPr>
          <w:trHeight w:hRule="exact" w:val="1468"/>
        </w:trPr>
        <w:tc>
          <w:tcPr>
            <w:tcW w:w="0" w:type="auto"/>
            <w:shd w:val="clear" w:color="auto" w:fill="auto"/>
            <w:vAlign w:val="center"/>
          </w:tcPr>
          <w:p w14:paraId="50F3E860" w14:textId="77777777" w:rsidR="005F434B" w:rsidRPr="00890249" w:rsidRDefault="005F434B" w:rsidP="005F434B">
            <w:pPr>
              <w:spacing w:line="259" w:lineRule="auto"/>
              <w:rPr>
                <w:rFonts w:asciiTheme="minorHAnsi" w:hAnsiTheme="minorHAnsi" w:cstheme="minorHAnsi"/>
                <w:iCs/>
                <w:sz w:val="20"/>
                <w:lang w:eastAsia="en-US"/>
              </w:rPr>
            </w:pPr>
          </w:p>
        </w:tc>
        <w:tc>
          <w:tcPr>
            <w:tcW w:w="0" w:type="auto"/>
            <w:shd w:val="clear" w:color="auto" w:fill="auto"/>
            <w:vAlign w:val="center"/>
          </w:tcPr>
          <w:p w14:paraId="3826865D" w14:textId="77777777" w:rsidR="005F434B" w:rsidRPr="00890249" w:rsidRDefault="005F434B" w:rsidP="005F434B">
            <w:pPr>
              <w:spacing w:line="259" w:lineRule="auto"/>
              <w:jc w:val="center"/>
              <w:rPr>
                <w:rFonts w:asciiTheme="minorHAnsi" w:hAnsiTheme="minorHAnsi" w:cstheme="minorHAnsi"/>
                <w:b/>
                <w:iCs/>
                <w:sz w:val="20"/>
              </w:rPr>
            </w:pPr>
            <w:r w:rsidRPr="00890249">
              <w:rPr>
                <w:rFonts w:asciiTheme="minorHAnsi" w:eastAsia="Times New Roman" w:hAnsiTheme="minorHAnsi" w:cstheme="minorHAnsi"/>
                <w:iCs/>
                <w:noProof/>
                <w:sz w:val="20"/>
              </w:rPr>
              <w:t>EFS+</w:t>
            </w:r>
          </w:p>
        </w:tc>
        <w:tc>
          <w:tcPr>
            <w:tcW w:w="0" w:type="auto"/>
            <w:shd w:val="clear" w:color="auto" w:fill="auto"/>
            <w:vAlign w:val="center"/>
          </w:tcPr>
          <w:p w14:paraId="38FD6F4F" w14:textId="77777777" w:rsidR="005F434B" w:rsidRPr="00890249" w:rsidRDefault="005F434B" w:rsidP="005F434B">
            <w:pPr>
              <w:spacing w:line="259" w:lineRule="auto"/>
              <w:rPr>
                <w:rFonts w:asciiTheme="minorHAnsi" w:hAnsiTheme="minorHAnsi" w:cstheme="minorHAnsi"/>
                <w:b/>
                <w:iCs/>
                <w:sz w:val="20"/>
                <w:lang w:eastAsia="en-US"/>
              </w:rPr>
            </w:pPr>
          </w:p>
        </w:tc>
        <w:tc>
          <w:tcPr>
            <w:tcW w:w="1475" w:type="dxa"/>
            <w:shd w:val="clear" w:color="auto" w:fill="auto"/>
            <w:vAlign w:val="center"/>
          </w:tcPr>
          <w:p w14:paraId="6DA3F526" w14:textId="6BF570CF" w:rsidR="005F434B" w:rsidRPr="00890249" w:rsidRDefault="005F434B" w:rsidP="005F434B">
            <w:pPr>
              <w:spacing w:line="259" w:lineRule="auto"/>
              <w:jc w:val="center"/>
              <w:rPr>
                <w:rFonts w:asciiTheme="minorHAnsi" w:hAnsiTheme="minorHAnsi" w:cstheme="minorHAnsi"/>
                <w:b/>
                <w:iCs/>
                <w:sz w:val="20"/>
                <w:lang w:eastAsia="en-US"/>
              </w:rPr>
            </w:pPr>
            <w:r w:rsidRPr="00890249">
              <w:rPr>
                <w:rFonts w:asciiTheme="minorHAnsi" w:hAnsiTheme="minorHAnsi" w:cstheme="minorHAnsi"/>
                <w:iCs/>
                <w:sz w:val="20"/>
              </w:rPr>
              <w:t xml:space="preserve">180 Przygotowanie, wdrażanie monitorowanie i kontrola </w:t>
            </w:r>
          </w:p>
        </w:tc>
        <w:tc>
          <w:tcPr>
            <w:tcW w:w="3793" w:type="dxa"/>
            <w:shd w:val="clear" w:color="auto" w:fill="auto"/>
            <w:vAlign w:val="center"/>
          </w:tcPr>
          <w:p w14:paraId="4600AFA3" w14:textId="0C9DDBBC" w:rsidR="005F434B" w:rsidRPr="00890249" w:rsidRDefault="00535EC1" w:rsidP="005F434B">
            <w:pPr>
              <w:spacing w:line="259" w:lineRule="auto"/>
              <w:jc w:val="center"/>
              <w:rPr>
                <w:rFonts w:asciiTheme="minorHAnsi" w:hAnsiTheme="minorHAnsi" w:cstheme="minorHAnsi"/>
                <w:b/>
                <w:iCs/>
                <w:sz w:val="20"/>
                <w:lang w:eastAsia="en-US"/>
              </w:rPr>
            </w:pPr>
            <w:r>
              <w:rPr>
                <w:rFonts w:asciiTheme="minorHAnsi" w:hAnsiTheme="minorHAnsi" w:cstheme="minorHAnsi"/>
                <w:b/>
                <w:iCs/>
                <w:sz w:val="20"/>
              </w:rPr>
              <w:t>8 345 788</w:t>
            </w:r>
          </w:p>
        </w:tc>
      </w:tr>
      <w:tr w:rsidR="005F434B" w:rsidRPr="00890249" w14:paraId="66A77535" w14:textId="77777777" w:rsidTr="00890249">
        <w:trPr>
          <w:trHeight w:hRule="exact" w:val="1262"/>
        </w:trPr>
        <w:tc>
          <w:tcPr>
            <w:tcW w:w="0" w:type="auto"/>
            <w:shd w:val="clear" w:color="auto" w:fill="auto"/>
            <w:vAlign w:val="center"/>
          </w:tcPr>
          <w:p w14:paraId="06ACB61C" w14:textId="77777777" w:rsidR="005F434B" w:rsidRPr="00890249" w:rsidRDefault="005F434B" w:rsidP="005F434B">
            <w:pPr>
              <w:spacing w:line="259" w:lineRule="auto"/>
              <w:rPr>
                <w:rFonts w:asciiTheme="minorHAnsi" w:hAnsiTheme="minorHAnsi" w:cstheme="minorHAnsi"/>
                <w:iCs/>
                <w:sz w:val="20"/>
                <w:lang w:eastAsia="en-US"/>
              </w:rPr>
            </w:pPr>
          </w:p>
        </w:tc>
        <w:tc>
          <w:tcPr>
            <w:tcW w:w="0" w:type="auto"/>
            <w:shd w:val="clear" w:color="auto" w:fill="auto"/>
            <w:vAlign w:val="center"/>
          </w:tcPr>
          <w:p w14:paraId="2AD3054C" w14:textId="77777777" w:rsidR="005F434B" w:rsidRPr="00890249" w:rsidRDefault="005F434B" w:rsidP="005F434B">
            <w:pPr>
              <w:spacing w:line="259" w:lineRule="auto"/>
              <w:jc w:val="center"/>
              <w:rPr>
                <w:rFonts w:asciiTheme="minorHAnsi" w:hAnsiTheme="minorHAnsi" w:cstheme="minorHAnsi"/>
                <w:b/>
                <w:iCs/>
                <w:sz w:val="20"/>
              </w:rPr>
            </w:pPr>
            <w:r w:rsidRPr="00890249">
              <w:rPr>
                <w:rFonts w:asciiTheme="minorHAnsi" w:eastAsia="Times New Roman" w:hAnsiTheme="minorHAnsi" w:cstheme="minorHAnsi"/>
                <w:iCs/>
                <w:noProof/>
                <w:sz w:val="20"/>
              </w:rPr>
              <w:t>EFS+</w:t>
            </w:r>
          </w:p>
        </w:tc>
        <w:tc>
          <w:tcPr>
            <w:tcW w:w="0" w:type="auto"/>
            <w:shd w:val="clear" w:color="auto" w:fill="auto"/>
            <w:vAlign w:val="center"/>
          </w:tcPr>
          <w:p w14:paraId="7C7F0621" w14:textId="77777777" w:rsidR="005F434B" w:rsidRPr="00890249" w:rsidRDefault="005F434B" w:rsidP="005F434B">
            <w:pPr>
              <w:spacing w:line="259" w:lineRule="auto"/>
              <w:rPr>
                <w:rFonts w:asciiTheme="minorHAnsi" w:hAnsiTheme="minorHAnsi" w:cstheme="minorHAnsi"/>
                <w:b/>
                <w:iCs/>
                <w:sz w:val="20"/>
                <w:lang w:eastAsia="en-US"/>
              </w:rPr>
            </w:pPr>
          </w:p>
        </w:tc>
        <w:tc>
          <w:tcPr>
            <w:tcW w:w="1475" w:type="dxa"/>
            <w:shd w:val="clear" w:color="auto" w:fill="auto"/>
            <w:vAlign w:val="center"/>
          </w:tcPr>
          <w:p w14:paraId="301B11CE" w14:textId="05747943" w:rsidR="005F434B" w:rsidRPr="00890249" w:rsidRDefault="005F434B" w:rsidP="005F434B">
            <w:pPr>
              <w:spacing w:line="259" w:lineRule="auto"/>
              <w:jc w:val="center"/>
              <w:rPr>
                <w:rFonts w:asciiTheme="minorHAnsi" w:hAnsiTheme="minorHAnsi" w:cstheme="minorHAnsi"/>
                <w:b/>
                <w:iCs/>
                <w:sz w:val="20"/>
                <w:lang w:eastAsia="en-US"/>
              </w:rPr>
            </w:pPr>
            <w:r w:rsidRPr="00890249">
              <w:rPr>
                <w:rFonts w:asciiTheme="minorHAnsi" w:hAnsiTheme="minorHAnsi" w:cstheme="minorHAnsi"/>
                <w:iCs/>
                <w:sz w:val="20"/>
              </w:rPr>
              <w:t>181 Ewaluacja i badania, gromadzenie danych</w:t>
            </w:r>
          </w:p>
        </w:tc>
        <w:tc>
          <w:tcPr>
            <w:tcW w:w="3793" w:type="dxa"/>
            <w:shd w:val="clear" w:color="auto" w:fill="auto"/>
            <w:vAlign w:val="center"/>
          </w:tcPr>
          <w:p w14:paraId="1986E261" w14:textId="605CB031" w:rsidR="005F434B" w:rsidRPr="00890249" w:rsidRDefault="005F434B" w:rsidP="005F434B">
            <w:pPr>
              <w:spacing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rPr>
              <w:t>132 222</w:t>
            </w:r>
          </w:p>
        </w:tc>
      </w:tr>
      <w:tr w:rsidR="005F434B" w:rsidRPr="00890249" w14:paraId="37AFAEFB" w14:textId="77777777" w:rsidTr="00890249">
        <w:trPr>
          <w:trHeight w:hRule="exact" w:val="2557"/>
        </w:trPr>
        <w:tc>
          <w:tcPr>
            <w:tcW w:w="0" w:type="auto"/>
            <w:shd w:val="clear" w:color="auto" w:fill="auto"/>
            <w:vAlign w:val="center"/>
          </w:tcPr>
          <w:p w14:paraId="41486784" w14:textId="77777777" w:rsidR="005F434B" w:rsidRPr="00890249" w:rsidRDefault="005F434B" w:rsidP="005F434B">
            <w:pPr>
              <w:rPr>
                <w:rFonts w:asciiTheme="minorHAnsi" w:hAnsiTheme="minorHAnsi" w:cstheme="minorHAnsi"/>
                <w:iCs/>
                <w:sz w:val="20"/>
                <w:lang w:eastAsia="en-US"/>
              </w:rPr>
            </w:pPr>
          </w:p>
        </w:tc>
        <w:tc>
          <w:tcPr>
            <w:tcW w:w="0" w:type="auto"/>
            <w:shd w:val="clear" w:color="auto" w:fill="auto"/>
            <w:vAlign w:val="center"/>
          </w:tcPr>
          <w:p w14:paraId="11B8170F" w14:textId="77777777" w:rsidR="005F434B" w:rsidRPr="00890249" w:rsidRDefault="005F434B" w:rsidP="005F434B">
            <w:pPr>
              <w:spacing w:line="259" w:lineRule="auto"/>
              <w:jc w:val="center"/>
              <w:rPr>
                <w:rFonts w:asciiTheme="minorHAnsi" w:hAnsiTheme="minorHAnsi" w:cstheme="minorHAnsi"/>
                <w:b/>
                <w:iCs/>
                <w:sz w:val="20"/>
              </w:rPr>
            </w:pPr>
            <w:r w:rsidRPr="00890249">
              <w:rPr>
                <w:rFonts w:asciiTheme="minorHAnsi" w:eastAsia="Times New Roman" w:hAnsiTheme="minorHAnsi" w:cstheme="minorHAnsi"/>
                <w:iCs/>
                <w:noProof/>
                <w:sz w:val="20"/>
              </w:rPr>
              <w:t>EFS+</w:t>
            </w:r>
          </w:p>
        </w:tc>
        <w:tc>
          <w:tcPr>
            <w:tcW w:w="0" w:type="auto"/>
            <w:shd w:val="clear" w:color="auto" w:fill="auto"/>
            <w:vAlign w:val="center"/>
          </w:tcPr>
          <w:p w14:paraId="5E5967B3" w14:textId="77777777" w:rsidR="005F434B" w:rsidRPr="00890249" w:rsidRDefault="005F434B" w:rsidP="005F434B">
            <w:pPr>
              <w:rPr>
                <w:rFonts w:asciiTheme="minorHAnsi" w:hAnsiTheme="minorHAnsi" w:cstheme="minorHAnsi"/>
                <w:b/>
                <w:iCs/>
                <w:sz w:val="20"/>
                <w:lang w:eastAsia="en-US"/>
              </w:rPr>
            </w:pPr>
          </w:p>
        </w:tc>
        <w:tc>
          <w:tcPr>
            <w:tcW w:w="1475" w:type="dxa"/>
            <w:shd w:val="clear" w:color="auto" w:fill="auto"/>
            <w:vAlign w:val="center"/>
          </w:tcPr>
          <w:p w14:paraId="26EC2249" w14:textId="5EE0321F" w:rsidR="005F434B" w:rsidRPr="00890249" w:rsidRDefault="005F434B" w:rsidP="005F434B">
            <w:pPr>
              <w:jc w:val="center"/>
              <w:rPr>
                <w:rFonts w:asciiTheme="minorHAnsi" w:hAnsiTheme="minorHAnsi" w:cstheme="minorHAnsi"/>
                <w:b/>
                <w:iCs/>
                <w:sz w:val="20"/>
                <w:lang w:eastAsia="en-US"/>
              </w:rPr>
            </w:pPr>
            <w:r w:rsidRPr="00890249">
              <w:rPr>
                <w:rFonts w:asciiTheme="minorHAnsi" w:hAnsiTheme="minorHAnsi" w:cstheme="minorHAnsi"/>
                <w:iCs/>
                <w:sz w:val="20"/>
              </w:rPr>
              <w:t>182 Wzmocnienie potencjału instytucji państwa członkowskiego, beneficjantów i odpowiednich partnerów</w:t>
            </w:r>
          </w:p>
        </w:tc>
        <w:tc>
          <w:tcPr>
            <w:tcW w:w="3793" w:type="dxa"/>
            <w:shd w:val="clear" w:color="auto" w:fill="auto"/>
            <w:vAlign w:val="center"/>
          </w:tcPr>
          <w:p w14:paraId="4BEBFF58" w14:textId="59EFC5CC" w:rsidR="005F434B" w:rsidRPr="00890249" w:rsidRDefault="005F434B" w:rsidP="005F434B">
            <w:pPr>
              <w:jc w:val="center"/>
              <w:rPr>
                <w:rFonts w:asciiTheme="minorHAnsi" w:hAnsiTheme="minorHAnsi" w:cstheme="minorHAnsi"/>
                <w:b/>
                <w:iCs/>
                <w:sz w:val="20"/>
                <w:lang w:eastAsia="en-US"/>
              </w:rPr>
            </w:pPr>
            <w:r w:rsidRPr="00890249">
              <w:rPr>
                <w:rFonts w:asciiTheme="minorHAnsi" w:hAnsiTheme="minorHAnsi" w:cstheme="minorHAnsi"/>
                <w:b/>
                <w:iCs/>
                <w:sz w:val="20"/>
              </w:rPr>
              <w:t>502 383</w:t>
            </w:r>
          </w:p>
        </w:tc>
      </w:tr>
    </w:tbl>
    <w:p w14:paraId="69D8AF1E" w14:textId="77777777" w:rsidR="001C6AFB" w:rsidRPr="00890249" w:rsidRDefault="001C6AFB" w:rsidP="001C6AFB">
      <w:pPr>
        <w:rPr>
          <w:rFonts w:asciiTheme="minorHAnsi" w:hAnsiTheme="minorHAnsi" w:cstheme="minorHAnsi"/>
          <w:b/>
          <w:iCs/>
          <w:sz w:val="20"/>
        </w:rPr>
      </w:pPr>
    </w:p>
    <w:p w14:paraId="38C30D3B" w14:textId="77777777" w:rsidR="00736A3A" w:rsidRPr="00890249" w:rsidRDefault="00736A3A" w:rsidP="001C6AFB">
      <w:pPr>
        <w:rPr>
          <w:rFonts w:asciiTheme="minorHAnsi" w:hAnsiTheme="minorHAnsi" w:cstheme="minorHAnsi"/>
          <w:b/>
          <w:iCs/>
          <w:sz w:val="20"/>
        </w:rPr>
      </w:pPr>
    </w:p>
    <w:tbl>
      <w:tblPr>
        <w:tblStyle w:val="Tabela-Siatka"/>
        <w:tblW w:w="0" w:type="auto"/>
        <w:tblLook w:val="04A0" w:firstRow="1" w:lastRow="0" w:firstColumn="1" w:lastColumn="0" w:noHBand="0" w:noVBand="1"/>
      </w:tblPr>
      <w:tblGrid>
        <w:gridCol w:w="1572"/>
        <w:gridCol w:w="1360"/>
        <w:gridCol w:w="1413"/>
        <w:gridCol w:w="2073"/>
        <w:gridCol w:w="2643"/>
      </w:tblGrid>
      <w:tr w:rsidR="00D212AB" w:rsidRPr="00890249" w14:paraId="6EE01264" w14:textId="77777777" w:rsidTr="00BE0394">
        <w:tc>
          <w:tcPr>
            <w:tcW w:w="9180" w:type="dxa"/>
            <w:gridSpan w:val="5"/>
            <w:tcBorders>
              <w:bottom w:val="single" w:sz="4" w:space="0" w:color="auto"/>
            </w:tcBorders>
            <w:shd w:val="clear" w:color="auto" w:fill="D9D9D9" w:themeFill="background1" w:themeFillShade="D9"/>
            <w:vAlign w:val="center"/>
          </w:tcPr>
          <w:p w14:paraId="2DDF6986" w14:textId="7B14B33D" w:rsidR="001C6AFB" w:rsidRPr="00890249" w:rsidRDefault="001C6AFB" w:rsidP="000A3075">
            <w:pPr>
              <w:rPr>
                <w:rFonts w:asciiTheme="minorHAnsi" w:hAnsiTheme="minorHAnsi" w:cstheme="minorHAnsi"/>
                <w:b/>
                <w:noProof/>
                <w:sz w:val="20"/>
              </w:rPr>
            </w:pPr>
            <w:r w:rsidRPr="00890249">
              <w:rPr>
                <w:rFonts w:asciiTheme="minorHAnsi" w:hAnsiTheme="minorHAnsi" w:cstheme="minorHAnsi"/>
                <w:b/>
                <w:noProof/>
                <w:sz w:val="20"/>
              </w:rPr>
              <w:t xml:space="preserve">Tabela </w:t>
            </w:r>
            <w:r w:rsidR="000A3075" w:rsidRPr="00890249">
              <w:rPr>
                <w:rFonts w:asciiTheme="minorHAnsi" w:hAnsiTheme="minorHAnsi" w:cstheme="minorHAnsi"/>
                <w:b/>
                <w:noProof/>
                <w:sz w:val="20"/>
              </w:rPr>
              <w:t>7</w:t>
            </w:r>
            <w:r w:rsidRPr="00890249">
              <w:rPr>
                <w:rFonts w:asciiTheme="minorHAnsi" w:hAnsiTheme="minorHAnsi" w:cstheme="minorHAnsi"/>
                <w:b/>
                <w:noProof/>
                <w:sz w:val="20"/>
              </w:rPr>
              <w:t xml:space="preserve">: Wymiar </w:t>
            </w:r>
            <w:r w:rsidR="000A3075" w:rsidRPr="00890249">
              <w:rPr>
                <w:rFonts w:asciiTheme="minorHAnsi" w:hAnsiTheme="minorHAnsi" w:cstheme="minorHAnsi"/>
                <w:b/>
                <w:noProof/>
                <w:sz w:val="20"/>
              </w:rPr>
              <w:t xml:space="preserve">6 </w:t>
            </w:r>
            <w:r w:rsidRPr="00890249">
              <w:rPr>
                <w:rFonts w:asciiTheme="minorHAnsi" w:hAnsiTheme="minorHAnsi" w:cstheme="minorHAnsi"/>
                <w:b/>
                <w:noProof/>
                <w:sz w:val="20"/>
              </w:rPr>
              <w:t>–</w:t>
            </w:r>
            <w:r w:rsidR="000A3075" w:rsidRPr="00890249">
              <w:rPr>
                <w:rFonts w:asciiTheme="minorHAnsi" w:hAnsiTheme="minorHAnsi" w:cstheme="minorHAnsi"/>
                <w:b/>
                <w:noProof/>
                <w:sz w:val="20"/>
              </w:rPr>
              <w:t>uzupełniające obszary tematyczne</w:t>
            </w:r>
          </w:p>
        </w:tc>
      </w:tr>
      <w:tr w:rsidR="006E472C" w:rsidRPr="00890249" w14:paraId="0013954B" w14:textId="77777777" w:rsidTr="00890249">
        <w:tc>
          <w:tcPr>
            <w:tcW w:w="1586" w:type="dxa"/>
            <w:tcBorders>
              <w:bottom w:val="single" w:sz="4" w:space="0" w:color="auto"/>
            </w:tcBorders>
            <w:shd w:val="clear" w:color="auto" w:fill="F2F2F2" w:themeFill="background1" w:themeFillShade="F2"/>
            <w:vAlign w:val="center"/>
          </w:tcPr>
          <w:p w14:paraId="252E88EE"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Nr priorytetu</w:t>
            </w:r>
          </w:p>
        </w:tc>
        <w:tc>
          <w:tcPr>
            <w:tcW w:w="1372" w:type="dxa"/>
            <w:tcBorders>
              <w:bottom w:val="single" w:sz="4" w:space="0" w:color="auto"/>
            </w:tcBorders>
            <w:shd w:val="clear" w:color="auto" w:fill="F2F2F2" w:themeFill="background1" w:themeFillShade="F2"/>
            <w:vAlign w:val="center"/>
          </w:tcPr>
          <w:p w14:paraId="0547DD05"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Fundusz</w:t>
            </w:r>
          </w:p>
        </w:tc>
        <w:tc>
          <w:tcPr>
            <w:tcW w:w="1423" w:type="dxa"/>
            <w:tcBorders>
              <w:bottom w:val="single" w:sz="4" w:space="0" w:color="auto"/>
            </w:tcBorders>
            <w:shd w:val="clear" w:color="auto" w:fill="F2F2F2" w:themeFill="background1" w:themeFillShade="F2"/>
            <w:vAlign w:val="center"/>
          </w:tcPr>
          <w:p w14:paraId="30F6B207"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Kategoria regionu</w:t>
            </w:r>
          </w:p>
        </w:tc>
        <w:tc>
          <w:tcPr>
            <w:tcW w:w="2106" w:type="dxa"/>
            <w:tcBorders>
              <w:bottom w:val="single" w:sz="4" w:space="0" w:color="auto"/>
            </w:tcBorders>
            <w:shd w:val="clear" w:color="auto" w:fill="F2F2F2" w:themeFill="background1" w:themeFillShade="F2"/>
            <w:vAlign w:val="center"/>
          </w:tcPr>
          <w:p w14:paraId="03188CA4"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Kod</w:t>
            </w:r>
          </w:p>
        </w:tc>
        <w:tc>
          <w:tcPr>
            <w:tcW w:w="2693" w:type="dxa"/>
            <w:tcBorders>
              <w:bottom w:val="single" w:sz="4" w:space="0" w:color="auto"/>
            </w:tcBorders>
            <w:shd w:val="clear" w:color="auto" w:fill="F2F2F2" w:themeFill="background1" w:themeFillShade="F2"/>
            <w:vAlign w:val="center"/>
          </w:tcPr>
          <w:p w14:paraId="5FD817BD" w14:textId="77777777" w:rsidR="001C6AFB" w:rsidRPr="00890249" w:rsidRDefault="001C6AFB" w:rsidP="00482271">
            <w:pPr>
              <w:jc w:val="center"/>
              <w:rPr>
                <w:rFonts w:asciiTheme="minorHAnsi" w:hAnsiTheme="minorHAnsi" w:cstheme="minorHAnsi"/>
                <w:b/>
                <w:noProof/>
                <w:sz w:val="20"/>
              </w:rPr>
            </w:pPr>
            <w:r w:rsidRPr="00890249">
              <w:rPr>
                <w:rFonts w:asciiTheme="minorHAnsi" w:hAnsiTheme="minorHAnsi" w:cstheme="minorHAnsi"/>
                <w:b/>
                <w:noProof/>
                <w:sz w:val="20"/>
              </w:rPr>
              <w:t>Kwota (w EUR)</w:t>
            </w:r>
          </w:p>
        </w:tc>
      </w:tr>
      <w:tr w:rsidR="009A724D" w:rsidRPr="00890249" w14:paraId="18621B14" w14:textId="77777777" w:rsidTr="00890249">
        <w:trPr>
          <w:trHeight w:hRule="exact" w:val="539"/>
        </w:trPr>
        <w:tc>
          <w:tcPr>
            <w:tcW w:w="1586" w:type="dxa"/>
            <w:shd w:val="clear" w:color="auto" w:fill="auto"/>
            <w:vAlign w:val="center"/>
          </w:tcPr>
          <w:p w14:paraId="0A530A62" w14:textId="77777777" w:rsidR="009A724D" w:rsidRPr="00890249" w:rsidRDefault="009A724D" w:rsidP="009A724D">
            <w:pPr>
              <w:spacing w:after="160"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lang w:eastAsia="en-US"/>
              </w:rPr>
              <w:t>-</w:t>
            </w:r>
          </w:p>
        </w:tc>
        <w:tc>
          <w:tcPr>
            <w:tcW w:w="1372" w:type="dxa"/>
            <w:shd w:val="clear" w:color="auto" w:fill="auto"/>
            <w:vAlign w:val="center"/>
          </w:tcPr>
          <w:p w14:paraId="2EC2048E" w14:textId="77777777" w:rsidR="009A724D" w:rsidRPr="00890249" w:rsidRDefault="009A724D" w:rsidP="009A724D">
            <w:pPr>
              <w:spacing w:after="160"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lang w:eastAsia="en-US"/>
              </w:rPr>
              <w:t>-</w:t>
            </w:r>
          </w:p>
        </w:tc>
        <w:tc>
          <w:tcPr>
            <w:tcW w:w="1423" w:type="dxa"/>
            <w:shd w:val="clear" w:color="auto" w:fill="auto"/>
            <w:vAlign w:val="center"/>
          </w:tcPr>
          <w:p w14:paraId="6435907F" w14:textId="77777777" w:rsidR="009A724D" w:rsidRPr="00890249" w:rsidRDefault="009A724D" w:rsidP="009A724D">
            <w:pPr>
              <w:spacing w:after="160" w:line="259" w:lineRule="auto"/>
              <w:jc w:val="center"/>
              <w:rPr>
                <w:rFonts w:asciiTheme="minorHAnsi" w:hAnsiTheme="minorHAnsi" w:cstheme="minorHAnsi"/>
                <w:b/>
                <w:iCs/>
                <w:sz w:val="20"/>
                <w:lang w:eastAsia="en-US"/>
              </w:rPr>
            </w:pPr>
            <w:r w:rsidRPr="00890249">
              <w:rPr>
                <w:rFonts w:asciiTheme="minorHAnsi" w:hAnsiTheme="minorHAnsi" w:cstheme="minorHAnsi"/>
                <w:b/>
                <w:iCs/>
                <w:sz w:val="20"/>
                <w:lang w:eastAsia="en-US"/>
              </w:rPr>
              <w:t>-</w:t>
            </w:r>
          </w:p>
        </w:tc>
        <w:tc>
          <w:tcPr>
            <w:tcW w:w="2106" w:type="dxa"/>
            <w:shd w:val="clear" w:color="auto" w:fill="auto"/>
            <w:vAlign w:val="center"/>
          </w:tcPr>
          <w:p w14:paraId="75F548C0" w14:textId="77777777" w:rsidR="009A724D" w:rsidRPr="00890249" w:rsidRDefault="009A724D" w:rsidP="009A724D">
            <w:pPr>
              <w:spacing w:after="160" w:line="259" w:lineRule="auto"/>
              <w:jc w:val="center"/>
              <w:rPr>
                <w:rFonts w:asciiTheme="minorHAnsi" w:hAnsiTheme="minorHAnsi" w:cstheme="minorHAnsi"/>
                <w:iCs/>
                <w:sz w:val="20"/>
                <w:lang w:eastAsia="en-US"/>
              </w:rPr>
            </w:pPr>
            <w:r w:rsidRPr="00890249">
              <w:rPr>
                <w:rFonts w:asciiTheme="minorHAnsi" w:hAnsiTheme="minorHAnsi" w:cstheme="minorHAnsi"/>
                <w:iCs/>
                <w:sz w:val="20"/>
                <w:lang w:eastAsia="en-US"/>
              </w:rPr>
              <w:t>09 Nie dotyczy</w:t>
            </w:r>
          </w:p>
        </w:tc>
        <w:tc>
          <w:tcPr>
            <w:tcW w:w="2693" w:type="dxa"/>
            <w:shd w:val="clear" w:color="auto" w:fill="auto"/>
            <w:vAlign w:val="center"/>
          </w:tcPr>
          <w:p w14:paraId="5DF4EE2D" w14:textId="1F037718" w:rsidR="009A724D" w:rsidRPr="00890249" w:rsidRDefault="00535EC1" w:rsidP="00890249">
            <w:pPr>
              <w:spacing w:before="0" w:after="0" w:line="259" w:lineRule="auto"/>
              <w:jc w:val="center"/>
              <w:rPr>
                <w:rFonts w:asciiTheme="minorHAnsi" w:hAnsiTheme="minorHAnsi" w:cstheme="minorHAnsi"/>
                <w:b/>
                <w:iCs/>
                <w:sz w:val="20"/>
                <w:lang w:eastAsia="en-US"/>
              </w:rPr>
            </w:pPr>
            <w:r w:rsidRPr="00535EC1">
              <w:rPr>
                <w:rFonts w:asciiTheme="minorHAnsi" w:hAnsiTheme="minorHAnsi" w:cstheme="minorHAnsi"/>
                <w:b/>
                <w:iCs/>
                <w:sz w:val="20"/>
                <w:lang w:eastAsia="en-US"/>
              </w:rPr>
              <w:t>9 471 693</w:t>
            </w:r>
          </w:p>
        </w:tc>
      </w:tr>
    </w:tbl>
    <w:p w14:paraId="06B582DE" w14:textId="77777777" w:rsidR="00775700" w:rsidRPr="00890249" w:rsidRDefault="00775700" w:rsidP="00775700">
      <w:pPr>
        <w:spacing w:before="0" w:after="160" w:line="259" w:lineRule="auto"/>
        <w:jc w:val="left"/>
        <w:rPr>
          <w:rFonts w:asciiTheme="minorHAnsi" w:hAnsiTheme="minorHAnsi" w:cstheme="minorHAnsi"/>
          <w:sz w:val="22"/>
          <w:szCs w:val="22"/>
          <w:lang w:eastAsia="en-US" w:bidi="ar-SA"/>
        </w:rPr>
      </w:pPr>
    </w:p>
    <w:tbl>
      <w:tblPr>
        <w:tblStyle w:val="Tabela-Siatka"/>
        <w:tblW w:w="9180" w:type="dxa"/>
        <w:tblLook w:val="04A0" w:firstRow="1" w:lastRow="0" w:firstColumn="1" w:lastColumn="0" w:noHBand="0" w:noVBand="1"/>
      </w:tblPr>
      <w:tblGrid>
        <w:gridCol w:w="1599"/>
        <w:gridCol w:w="1384"/>
        <w:gridCol w:w="1433"/>
        <w:gridCol w:w="2071"/>
        <w:gridCol w:w="2693"/>
      </w:tblGrid>
      <w:tr w:rsidR="00775700" w:rsidRPr="00890249" w14:paraId="1402E56B" w14:textId="77777777" w:rsidTr="00890249">
        <w:tc>
          <w:tcPr>
            <w:tcW w:w="9180" w:type="dxa"/>
            <w:gridSpan w:val="5"/>
            <w:tcBorders>
              <w:bottom w:val="single" w:sz="4" w:space="0" w:color="auto"/>
            </w:tcBorders>
            <w:shd w:val="clear" w:color="auto" w:fill="D9D9D9" w:themeFill="background1" w:themeFillShade="D9"/>
            <w:vAlign w:val="center"/>
          </w:tcPr>
          <w:p w14:paraId="7C6A45C1" w14:textId="77777777" w:rsidR="00775700" w:rsidRPr="00890249" w:rsidRDefault="00775700" w:rsidP="00775700">
            <w:pPr>
              <w:spacing w:before="0" w:after="160" w:line="259" w:lineRule="auto"/>
              <w:jc w:val="left"/>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Tabela 8: Wymiar 7 – wymiar „Równouprawnienie płci” w ramach EFS+, EFRR, Funduszu Spójności i FST</w:t>
            </w:r>
          </w:p>
        </w:tc>
      </w:tr>
      <w:tr w:rsidR="00775700" w:rsidRPr="00890249" w14:paraId="446F8DC6" w14:textId="77777777" w:rsidTr="00775700">
        <w:tc>
          <w:tcPr>
            <w:tcW w:w="1599" w:type="dxa"/>
            <w:shd w:val="clear" w:color="auto" w:fill="F2F2F2" w:themeFill="background1" w:themeFillShade="F2"/>
            <w:vAlign w:val="center"/>
          </w:tcPr>
          <w:p w14:paraId="4E27E75A" w14:textId="77777777" w:rsidR="00B72154" w:rsidRPr="00890249" w:rsidRDefault="00775700"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Nr priorytetu</w:t>
            </w:r>
          </w:p>
        </w:tc>
        <w:tc>
          <w:tcPr>
            <w:tcW w:w="1384" w:type="dxa"/>
            <w:shd w:val="clear" w:color="auto" w:fill="F2F2F2" w:themeFill="background1" w:themeFillShade="F2"/>
            <w:vAlign w:val="center"/>
          </w:tcPr>
          <w:p w14:paraId="6BE34B59" w14:textId="77777777" w:rsidR="00B72154" w:rsidRPr="00890249" w:rsidRDefault="00775700"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Fundusz</w:t>
            </w:r>
          </w:p>
        </w:tc>
        <w:tc>
          <w:tcPr>
            <w:tcW w:w="1433" w:type="dxa"/>
            <w:shd w:val="clear" w:color="auto" w:fill="F2F2F2" w:themeFill="background1" w:themeFillShade="F2"/>
            <w:vAlign w:val="center"/>
          </w:tcPr>
          <w:p w14:paraId="09CE8581" w14:textId="77777777" w:rsidR="00B72154" w:rsidRPr="00890249" w:rsidRDefault="00775700"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Kategoria regionu</w:t>
            </w:r>
          </w:p>
        </w:tc>
        <w:tc>
          <w:tcPr>
            <w:tcW w:w="2071" w:type="dxa"/>
            <w:shd w:val="clear" w:color="auto" w:fill="F2F2F2" w:themeFill="background1" w:themeFillShade="F2"/>
            <w:vAlign w:val="center"/>
          </w:tcPr>
          <w:p w14:paraId="52E45631" w14:textId="77777777" w:rsidR="00B72154" w:rsidRPr="00890249" w:rsidRDefault="00775700"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Kod</w:t>
            </w:r>
          </w:p>
        </w:tc>
        <w:tc>
          <w:tcPr>
            <w:tcW w:w="2693" w:type="dxa"/>
            <w:shd w:val="clear" w:color="auto" w:fill="F2F2F2" w:themeFill="background1" w:themeFillShade="F2"/>
            <w:vAlign w:val="center"/>
          </w:tcPr>
          <w:p w14:paraId="1CCB75B6" w14:textId="77777777" w:rsidR="00B72154" w:rsidRPr="00890249" w:rsidRDefault="00775700" w:rsidP="00890249">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sz w:val="20"/>
                <w:szCs w:val="22"/>
                <w:lang w:eastAsia="en-US"/>
              </w:rPr>
              <w:t>Kwota (w EUR)</w:t>
            </w:r>
          </w:p>
        </w:tc>
      </w:tr>
      <w:tr w:rsidR="009A724D" w:rsidRPr="00890249" w14:paraId="5409A8A1" w14:textId="77777777" w:rsidTr="008C67B3">
        <w:trPr>
          <w:trHeight w:hRule="exact" w:val="1310"/>
        </w:trPr>
        <w:tc>
          <w:tcPr>
            <w:tcW w:w="1599" w:type="dxa"/>
            <w:shd w:val="clear" w:color="auto" w:fill="auto"/>
            <w:vAlign w:val="center"/>
          </w:tcPr>
          <w:p w14:paraId="069EC9C9" w14:textId="77777777" w:rsidR="009A724D" w:rsidRPr="00890249" w:rsidRDefault="009A724D" w:rsidP="009A724D">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iCs/>
                <w:sz w:val="20"/>
                <w:szCs w:val="22"/>
                <w:lang w:eastAsia="en-US"/>
              </w:rPr>
              <w:t>-</w:t>
            </w:r>
          </w:p>
        </w:tc>
        <w:tc>
          <w:tcPr>
            <w:tcW w:w="1384" w:type="dxa"/>
            <w:shd w:val="clear" w:color="auto" w:fill="auto"/>
            <w:vAlign w:val="center"/>
          </w:tcPr>
          <w:p w14:paraId="14AFEA3B" w14:textId="77777777" w:rsidR="009A724D" w:rsidRPr="00890249" w:rsidRDefault="009A724D" w:rsidP="009A724D">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iCs/>
                <w:sz w:val="20"/>
                <w:szCs w:val="22"/>
                <w:lang w:eastAsia="en-US"/>
              </w:rPr>
              <w:t>-</w:t>
            </w:r>
          </w:p>
        </w:tc>
        <w:tc>
          <w:tcPr>
            <w:tcW w:w="1433" w:type="dxa"/>
            <w:shd w:val="clear" w:color="auto" w:fill="auto"/>
            <w:vAlign w:val="center"/>
          </w:tcPr>
          <w:p w14:paraId="3BB9947A" w14:textId="77777777" w:rsidR="009A724D" w:rsidRPr="00890249" w:rsidRDefault="009A724D" w:rsidP="009A724D">
            <w:pPr>
              <w:spacing w:before="0" w:after="160" w:line="259" w:lineRule="auto"/>
              <w:jc w:val="center"/>
              <w:rPr>
                <w:rFonts w:asciiTheme="minorHAnsi" w:hAnsiTheme="minorHAnsi" w:cstheme="minorHAnsi"/>
                <w:b/>
                <w:iCs/>
                <w:sz w:val="20"/>
                <w:szCs w:val="22"/>
                <w:lang w:eastAsia="en-US"/>
              </w:rPr>
            </w:pPr>
            <w:r w:rsidRPr="00890249">
              <w:rPr>
                <w:rFonts w:asciiTheme="minorHAnsi" w:hAnsiTheme="minorHAnsi" w:cstheme="minorHAnsi"/>
                <w:b/>
                <w:iCs/>
                <w:sz w:val="20"/>
                <w:szCs w:val="22"/>
                <w:lang w:eastAsia="en-US"/>
              </w:rPr>
              <w:t>-</w:t>
            </w:r>
          </w:p>
        </w:tc>
        <w:tc>
          <w:tcPr>
            <w:tcW w:w="2071" w:type="dxa"/>
            <w:shd w:val="clear" w:color="auto" w:fill="auto"/>
            <w:vAlign w:val="center"/>
          </w:tcPr>
          <w:p w14:paraId="5981EB41" w14:textId="1BBED8A1" w:rsidR="009A724D" w:rsidRPr="00890249" w:rsidRDefault="008C67B3" w:rsidP="009A724D">
            <w:pPr>
              <w:spacing w:before="0" w:after="160" w:line="259" w:lineRule="auto"/>
              <w:jc w:val="center"/>
              <w:rPr>
                <w:rFonts w:asciiTheme="minorHAnsi" w:hAnsiTheme="minorHAnsi" w:cstheme="minorHAnsi"/>
                <w:b/>
                <w:iCs/>
                <w:sz w:val="20"/>
                <w:szCs w:val="22"/>
                <w:lang w:eastAsia="en-US"/>
              </w:rPr>
            </w:pPr>
            <w:r w:rsidRPr="003B5F4E">
              <w:rPr>
                <w:rFonts w:asciiTheme="minorHAnsi" w:hAnsiTheme="minorHAnsi" w:cstheme="minorHAnsi"/>
                <w:iCs/>
                <w:sz w:val="20"/>
                <w:szCs w:val="22"/>
                <w:lang w:eastAsia="en-US"/>
              </w:rPr>
              <w:t xml:space="preserve">02 </w:t>
            </w:r>
            <w:r>
              <w:rPr>
                <w:rFonts w:asciiTheme="minorHAnsi" w:hAnsiTheme="minorHAnsi" w:cstheme="minorHAnsi"/>
                <w:iCs/>
                <w:sz w:val="20"/>
                <w:lang w:eastAsia="en-US"/>
              </w:rPr>
              <w:t>Projekty uwzględniające kwestie równouprawnienia płci</w:t>
            </w:r>
          </w:p>
        </w:tc>
        <w:tc>
          <w:tcPr>
            <w:tcW w:w="2693" w:type="dxa"/>
            <w:shd w:val="clear" w:color="auto" w:fill="auto"/>
            <w:vAlign w:val="center"/>
          </w:tcPr>
          <w:p w14:paraId="682AFBC5" w14:textId="62FC853F" w:rsidR="009A724D" w:rsidRPr="00890249" w:rsidRDefault="00535EC1" w:rsidP="00890249">
            <w:pPr>
              <w:spacing w:before="0" w:after="0" w:line="259" w:lineRule="auto"/>
              <w:jc w:val="center"/>
              <w:rPr>
                <w:rFonts w:asciiTheme="minorHAnsi" w:hAnsiTheme="minorHAnsi" w:cstheme="minorHAnsi"/>
                <w:b/>
                <w:iCs/>
                <w:sz w:val="20"/>
                <w:szCs w:val="22"/>
                <w:lang w:eastAsia="en-US"/>
              </w:rPr>
            </w:pPr>
            <w:r w:rsidRPr="00535EC1">
              <w:rPr>
                <w:rFonts w:asciiTheme="minorHAnsi" w:hAnsiTheme="minorHAnsi" w:cstheme="minorHAnsi"/>
                <w:b/>
                <w:iCs/>
                <w:sz w:val="20"/>
                <w:lang w:eastAsia="en-US"/>
              </w:rPr>
              <w:t>9 471 693</w:t>
            </w:r>
          </w:p>
        </w:tc>
      </w:tr>
    </w:tbl>
    <w:p w14:paraId="11971031" w14:textId="77777777" w:rsidR="00775700" w:rsidRPr="00890249" w:rsidRDefault="00775700" w:rsidP="00775700">
      <w:pPr>
        <w:spacing w:before="0" w:after="160" w:line="259" w:lineRule="auto"/>
        <w:jc w:val="left"/>
        <w:rPr>
          <w:rFonts w:asciiTheme="minorHAnsi" w:hAnsiTheme="minorHAnsi" w:cstheme="minorHAnsi"/>
          <w:sz w:val="22"/>
          <w:szCs w:val="22"/>
          <w:lang w:eastAsia="en-US" w:bidi="ar-SA"/>
        </w:rPr>
      </w:pPr>
    </w:p>
    <w:p w14:paraId="6553DCE7" w14:textId="298909D5" w:rsidR="00604630" w:rsidRDefault="00604630" w:rsidP="00044CE1">
      <w:pPr>
        <w:pStyle w:val="Nagwek1"/>
        <w:numPr>
          <w:ilvl w:val="0"/>
          <w:numId w:val="0"/>
        </w:numPr>
        <w:rPr>
          <w:rFonts w:cstheme="minorHAnsi"/>
          <w:szCs w:val="24"/>
        </w:rPr>
      </w:pPr>
      <w:r>
        <w:rPr>
          <w:rFonts w:cstheme="minorHAnsi"/>
          <w:szCs w:val="24"/>
        </w:rPr>
        <w:br w:type="page"/>
      </w:r>
    </w:p>
    <w:p w14:paraId="5633595D" w14:textId="23CFB90D" w:rsidR="00604630" w:rsidRPr="00AC1BD0" w:rsidRDefault="00604630" w:rsidP="00604630">
      <w:pPr>
        <w:pStyle w:val="Nagwek1"/>
        <w:numPr>
          <w:ilvl w:val="0"/>
          <w:numId w:val="0"/>
        </w:numPr>
        <w:ind w:left="360" w:hanging="360"/>
      </w:pPr>
      <w:bookmarkStart w:id="33" w:name="_Toc188266921"/>
      <w:r w:rsidRPr="00AC1BD0">
        <w:lastRenderedPageBreak/>
        <w:t>2.</w:t>
      </w:r>
      <w:r w:rsidR="00CF32B0">
        <w:t>1</w:t>
      </w:r>
      <w:r w:rsidRPr="00AC1BD0">
        <w:t xml:space="preserve"> </w:t>
      </w:r>
      <w:r w:rsidR="00CF32B0">
        <w:t>PRIORYTETY INNE NIŻ POMOC TECHNICZNA</w:t>
      </w:r>
      <w:bookmarkEnd w:id="33"/>
    </w:p>
    <w:p w14:paraId="4905CADC" w14:textId="77777777" w:rsidR="00CF32B0" w:rsidRDefault="00CF32B0" w:rsidP="00604630">
      <w:pPr>
        <w:pStyle w:val="Nagwek3"/>
        <w:rPr>
          <w:noProof/>
        </w:rPr>
      </w:pPr>
    </w:p>
    <w:p w14:paraId="35FBAA5C" w14:textId="2654BC60" w:rsidR="00CF32B0" w:rsidRPr="002E492D" w:rsidRDefault="00CF32B0" w:rsidP="002E492D">
      <w:pPr>
        <w:pStyle w:val="Nagwek3"/>
        <w:rPr>
          <w:b w:val="0"/>
        </w:rPr>
      </w:pPr>
      <w:bookmarkStart w:id="34" w:name="_Toc188266922"/>
      <w:r w:rsidRPr="002E492D">
        <w:rPr>
          <w:rFonts w:eastAsia="Calibri"/>
        </w:rPr>
        <w:t>2.1.1</w:t>
      </w:r>
      <w:r w:rsidRPr="0029352A">
        <w:t xml:space="preserve">3 </w:t>
      </w:r>
      <w:r w:rsidRPr="002E492D">
        <w:rPr>
          <w:rFonts w:eastAsia="Calibri"/>
        </w:rPr>
        <w:t xml:space="preserve">FUNDUSZE EUROPEJSKIE NA RZECZ ODBUDOWY I ODPORNOŚCI OPOLSKIEGO PO POWODZI </w:t>
      </w:r>
      <w:r w:rsidR="003562CC">
        <w:rPr>
          <w:rFonts w:eastAsia="Calibri"/>
        </w:rPr>
        <w:t>(RESTORE)</w:t>
      </w:r>
      <w:bookmarkEnd w:id="34"/>
    </w:p>
    <w:tbl>
      <w:tblPr>
        <w:tblW w:w="9322" w:type="dxa"/>
        <w:tblLook w:val="04A0" w:firstRow="1" w:lastRow="0" w:firstColumn="1" w:lastColumn="0" w:noHBand="0" w:noVBand="1"/>
      </w:tblPr>
      <w:tblGrid>
        <w:gridCol w:w="9322"/>
      </w:tblGrid>
      <w:tr w:rsidR="00CF32B0" w:rsidRPr="00A4473F" w14:paraId="6A5EAC0C" w14:textId="77777777" w:rsidTr="00022FA5">
        <w:tc>
          <w:tcPr>
            <w:tcW w:w="9322" w:type="dxa"/>
          </w:tcPr>
          <w:p w14:paraId="12C35348" w14:textId="77777777" w:rsidR="00CF32B0" w:rsidRPr="00A4473F" w:rsidRDefault="00CF32B0" w:rsidP="00022FA5">
            <w:pPr>
              <w:spacing w:after="0"/>
              <w:rPr>
                <w:rFonts w:ascii="Calibri" w:hAnsi="Calibri" w:cs="Calibri"/>
                <w:noProof/>
                <w:sz w:val="20"/>
              </w:rPr>
            </w:pPr>
            <w:r w:rsidRPr="00A4473F">
              <w:rPr>
                <w:rFonts w:ascii="Calibri" w:hAnsi="Calibri" w:cs="Calibri"/>
                <w:noProof/>
                <w:sz w:val="20"/>
              </w:rPr>
              <w:fldChar w:fldCharType="begin">
                <w:ffData>
                  <w:name w:val=""/>
                  <w:enabled/>
                  <w:calcOnExit w:val="0"/>
                  <w:checkBox>
                    <w:sizeAuto/>
                    <w:default w:val="0"/>
                  </w:checkBox>
                </w:ffData>
              </w:fldChar>
            </w:r>
            <w:r w:rsidRPr="00A4473F">
              <w:rPr>
                <w:rFonts w:ascii="Calibri" w:hAnsi="Calibri" w:cs="Calibri"/>
                <w:noProof/>
                <w:sz w:val="20"/>
              </w:rPr>
              <w:instrText xml:space="preserve"> FORMCHECKBOX </w:instrText>
            </w:r>
            <w:r w:rsidRPr="00A4473F">
              <w:rPr>
                <w:rFonts w:ascii="Calibri" w:hAnsi="Calibri" w:cs="Calibri"/>
                <w:noProof/>
                <w:sz w:val="20"/>
              </w:rPr>
            </w:r>
            <w:r w:rsidRPr="00A4473F">
              <w:rPr>
                <w:rFonts w:ascii="Calibri" w:hAnsi="Calibri" w:cs="Calibri"/>
                <w:noProof/>
                <w:sz w:val="20"/>
              </w:rPr>
              <w:fldChar w:fldCharType="separate"/>
            </w:r>
            <w:r w:rsidRPr="00A4473F">
              <w:rPr>
                <w:rFonts w:ascii="Calibri" w:hAnsi="Calibri" w:cs="Calibri"/>
                <w:noProof/>
                <w:sz w:val="20"/>
              </w:rPr>
              <w:fldChar w:fldCharType="end"/>
            </w:r>
            <w:r w:rsidRPr="00A4473F">
              <w:rPr>
                <w:rFonts w:ascii="Calibri" w:hAnsi="Calibri" w:cs="Calibri"/>
                <w:noProof/>
                <w:sz w:val="20"/>
              </w:rPr>
              <w:t xml:space="preserve"> Ten priorytet dotyczy zatrudnienia ludzi młodych</w:t>
            </w:r>
          </w:p>
        </w:tc>
      </w:tr>
      <w:tr w:rsidR="00CF32B0" w:rsidRPr="00A4473F" w14:paraId="5DC85D3E" w14:textId="77777777" w:rsidTr="00022FA5">
        <w:tc>
          <w:tcPr>
            <w:tcW w:w="9322" w:type="dxa"/>
          </w:tcPr>
          <w:p w14:paraId="4CFB3FB8" w14:textId="77777777" w:rsidR="00CF32B0" w:rsidRPr="00A4473F" w:rsidRDefault="00CF32B0" w:rsidP="00022FA5">
            <w:pPr>
              <w:spacing w:after="0"/>
              <w:rPr>
                <w:rFonts w:ascii="Calibri" w:hAnsi="Calibri" w:cs="Calibri"/>
                <w:noProof/>
                <w:sz w:val="20"/>
              </w:rPr>
            </w:pPr>
            <w:r w:rsidRPr="00A4473F">
              <w:rPr>
                <w:rFonts w:ascii="Calibri" w:hAnsi="Calibri" w:cs="Calibri"/>
                <w:noProof/>
                <w:sz w:val="20"/>
              </w:rPr>
              <w:fldChar w:fldCharType="begin">
                <w:ffData>
                  <w:name w:val="Check2"/>
                  <w:enabled/>
                  <w:calcOnExit w:val="0"/>
                  <w:checkBox>
                    <w:sizeAuto/>
                    <w:default w:val="0"/>
                  </w:checkBox>
                </w:ffData>
              </w:fldChar>
            </w:r>
            <w:r w:rsidRPr="00A4473F">
              <w:rPr>
                <w:rFonts w:ascii="Calibri" w:hAnsi="Calibri" w:cs="Calibri"/>
                <w:noProof/>
                <w:sz w:val="20"/>
              </w:rPr>
              <w:instrText xml:space="preserve"> FORMCHECKBOX </w:instrText>
            </w:r>
            <w:r w:rsidRPr="00A4473F">
              <w:rPr>
                <w:rFonts w:ascii="Calibri" w:hAnsi="Calibri" w:cs="Calibri"/>
                <w:noProof/>
                <w:sz w:val="20"/>
              </w:rPr>
            </w:r>
            <w:r w:rsidRPr="00A4473F">
              <w:rPr>
                <w:rFonts w:ascii="Calibri" w:hAnsi="Calibri" w:cs="Calibri"/>
                <w:noProof/>
                <w:sz w:val="20"/>
              </w:rPr>
              <w:fldChar w:fldCharType="separate"/>
            </w:r>
            <w:r w:rsidRPr="00A4473F">
              <w:rPr>
                <w:rFonts w:ascii="Calibri" w:hAnsi="Calibri" w:cs="Calibri"/>
                <w:noProof/>
                <w:sz w:val="20"/>
              </w:rPr>
              <w:fldChar w:fldCharType="end"/>
            </w:r>
            <w:r w:rsidRPr="00A4473F">
              <w:rPr>
                <w:rFonts w:ascii="Calibri" w:hAnsi="Calibri" w:cs="Calibri"/>
                <w:noProof/>
                <w:sz w:val="20"/>
              </w:rPr>
              <w:t xml:space="preserve"> Ten priorytet dotyczy inowacyjnych działań społecznych</w:t>
            </w:r>
          </w:p>
        </w:tc>
      </w:tr>
      <w:tr w:rsidR="00CF32B0" w:rsidRPr="00A4473F" w14:paraId="31492E7D" w14:textId="77777777" w:rsidTr="00022FA5">
        <w:tc>
          <w:tcPr>
            <w:tcW w:w="9322" w:type="dxa"/>
          </w:tcPr>
          <w:p w14:paraId="6AAE06D6" w14:textId="77777777" w:rsidR="00CF32B0" w:rsidRPr="00A4473F" w:rsidRDefault="00CF32B0" w:rsidP="00022FA5">
            <w:pPr>
              <w:spacing w:after="0"/>
              <w:rPr>
                <w:rFonts w:ascii="Calibri" w:hAnsi="Calibri" w:cs="Calibri"/>
                <w:noProof/>
                <w:sz w:val="20"/>
              </w:rPr>
            </w:pPr>
            <w:r w:rsidRPr="00A4473F">
              <w:rPr>
                <w:rFonts w:ascii="Calibri" w:hAnsi="Calibri" w:cs="Calibri"/>
                <w:noProof/>
                <w:sz w:val="20"/>
              </w:rPr>
              <w:fldChar w:fldCharType="begin">
                <w:ffData>
                  <w:name w:val="Check2"/>
                  <w:enabled/>
                  <w:calcOnExit w:val="0"/>
                  <w:checkBox>
                    <w:sizeAuto/>
                    <w:default w:val="0"/>
                  </w:checkBox>
                </w:ffData>
              </w:fldChar>
            </w:r>
            <w:r w:rsidRPr="00A4473F">
              <w:rPr>
                <w:rFonts w:ascii="Calibri" w:hAnsi="Calibri" w:cs="Calibri"/>
                <w:noProof/>
                <w:sz w:val="20"/>
              </w:rPr>
              <w:instrText xml:space="preserve"> FORMCHECKBOX </w:instrText>
            </w:r>
            <w:r w:rsidRPr="00A4473F">
              <w:rPr>
                <w:rFonts w:ascii="Calibri" w:hAnsi="Calibri" w:cs="Calibri"/>
                <w:noProof/>
                <w:sz w:val="20"/>
              </w:rPr>
            </w:r>
            <w:r w:rsidRPr="00A4473F">
              <w:rPr>
                <w:rFonts w:ascii="Calibri" w:hAnsi="Calibri" w:cs="Calibri"/>
                <w:noProof/>
                <w:sz w:val="20"/>
              </w:rPr>
              <w:fldChar w:fldCharType="separate"/>
            </w:r>
            <w:r w:rsidRPr="00A4473F">
              <w:rPr>
                <w:rFonts w:ascii="Calibri" w:hAnsi="Calibri" w:cs="Calibri"/>
                <w:noProof/>
                <w:sz w:val="20"/>
              </w:rPr>
              <w:fldChar w:fldCharType="end"/>
            </w:r>
            <w:r w:rsidRPr="00A4473F">
              <w:rPr>
                <w:rFonts w:ascii="Calibri" w:hAnsi="Calibri" w:cs="Calibri"/>
                <w:noProof/>
                <w:sz w:val="20"/>
              </w:rPr>
              <w:t xml:space="preserve"> Ten priorytet dotyczy wsparcia dla osób najbardziej potrzebuj</w:t>
            </w:r>
            <w:r>
              <w:rPr>
                <w:rFonts w:ascii="Calibri" w:hAnsi="Calibri" w:cs="Calibri"/>
                <w:noProof/>
                <w:sz w:val="20"/>
              </w:rPr>
              <w:t>ą</w:t>
            </w:r>
            <w:r w:rsidRPr="00A4473F">
              <w:rPr>
                <w:rFonts w:ascii="Calibri" w:hAnsi="Calibri" w:cs="Calibri"/>
                <w:noProof/>
                <w:sz w:val="20"/>
              </w:rPr>
              <w:t>cych w ramach celu szczegółowego określonego w art. 4 ust. 1 lit. m) rozporządzenia w sprawie EFS+</w:t>
            </w:r>
          </w:p>
        </w:tc>
      </w:tr>
      <w:tr w:rsidR="00CF32B0" w:rsidRPr="00A4473F" w14:paraId="74B7DC4A" w14:textId="77777777" w:rsidTr="00022FA5">
        <w:tc>
          <w:tcPr>
            <w:tcW w:w="9322" w:type="dxa"/>
          </w:tcPr>
          <w:p w14:paraId="5F8936B8" w14:textId="77777777" w:rsidR="00CF32B0" w:rsidRPr="00A4473F" w:rsidRDefault="00CF32B0" w:rsidP="00022FA5">
            <w:pPr>
              <w:spacing w:after="0"/>
              <w:rPr>
                <w:rFonts w:ascii="Calibri" w:hAnsi="Calibri" w:cs="Calibri"/>
                <w:noProof/>
                <w:sz w:val="20"/>
              </w:rPr>
            </w:pPr>
            <w:r w:rsidRPr="00A4473F">
              <w:rPr>
                <w:rFonts w:ascii="Calibri" w:hAnsi="Calibri" w:cs="Calibri"/>
                <w:noProof/>
                <w:sz w:val="20"/>
              </w:rPr>
              <w:fldChar w:fldCharType="begin">
                <w:ffData>
                  <w:name w:val="Check2"/>
                  <w:enabled/>
                  <w:calcOnExit w:val="0"/>
                  <w:checkBox>
                    <w:sizeAuto/>
                    <w:default w:val="0"/>
                  </w:checkBox>
                </w:ffData>
              </w:fldChar>
            </w:r>
            <w:r w:rsidRPr="00A4473F">
              <w:rPr>
                <w:rFonts w:ascii="Calibri" w:hAnsi="Calibri" w:cs="Calibri"/>
                <w:noProof/>
                <w:sz w:val="20"/>
              </w:rPr>
              <w:instrText xml:space="preserve"> FORMCHECKBOX </w:instrText>
            </w:r>
            <w:r w:rsidRPr="00A4473F">
              <w:rPr>
                <w:rFonts w:ascii="Calibri" w:hAnsi="Calibri" w:cs="Calibri"/>
                <w:noProof/>
                <w:sz w:val="20"/>
              </w:rPr>
            </w:r>
            <w:r w:rsidRPr="00A4473F">
              <w:rPr>
                <w:rFonts w:ascii="Calibri" w:hAnsi="Calibri" w:cs="Calibri"/>
                <w:noProof/>
                <w:sz w:val="20"/>
              </w:rPr>
              <w:fldChar w:fldCharType="separate"/>
            </w:r>
            <w:r w:rsidRPr="00A4473F">
              <w:rPr>
                <w:rFonts w:ascii="Calibri" w:hAnsi="Calibri" w:cs="Calibri"/>
                <w:noProof/>
                <w:sz w:val="20"/>
              </w:rPr>
              <w:fldChar w:fldCharType="end"/>
            </w:r>
            <w:r w:rsidRPr="00A4473F">
              <w:rPr>
                <w:rFonts w:ascii="Calibri" w:hAnsi="Calibri" w:cs="Calibri"/>
                <w:noProof/>
                <w:sz w:val="20"/>
              </w:rPr>
              <w:t xml:space="preserve"> Ten priorytet dotyczy wsparcia dla osób najbardziej potrzebujacych w ramach celu szczegółowego określonego w art. 4 ust. 1 lit. l) rozporządzenia w sprawie EFS+</w:t>
            </w:r>
          </w:p>
          <w:p w14:paraId="2E050B5C" w14:textId="77777777" w:rsidR="00CF32B0" w:rsidRPr="00A4473F" w:rsidRDefault="00CF32B0" w:rsidP="00022FA5">
            <w:pPr>
              <w:spacing w:after="0"/>
              <w:rPr>
                <w:rFonts w:ascii="Calibri" w:hAnsi="Calibri" w:cs="Calibri"/>
                <w:noProof/>
                <w:sz w:val="20"/>
              </w:rPr>
            </w:pPr>
            <w:r w:rsidRPr="00A4473F">
              <w:rPr>
                <w:rFonts w:ascii="Calibri" w:hAnsi="Calibri" w:cs="Calibri"/>
                <w:noProof/>
                <w:sz w:val="20"/>
              </w:rPr>
              <w:fldChar w:fldCharType="begin">
                <w:ffData>
                  <w:name w:val="Check2"/>
                  <w:enabled/>
                  <w:calcOnExit w:val="0"/>
                  <w:checkBox>
                    <w:sizeAuto/>
                    <w:default w:val="0"/>
                  </w:checkBox>
                </w:ffData>
              </w:fldChar>
            </w:r>
            <w:r w:rsidRPr="00A4473F">
              <w:rPr>
                <w:rFonts w:ascii="Calibri" w:hAnsi="Calibri" w:cs="Calibri"/>
                <w:noProof/>
                <w:sz w:val="20"/>
              </w:rPr>
              <w:instrText xml:space="preserve"> FORMCHECKBOX </w:instrText>
            </w:r>
            <w:r w:rsidRPr="00A4473F">
              <w:rPr>
                <w:rFonts w:ascii="Calibri" w:hAnsi="Calibri" w:cs="Calibri"/>
                <w:noProof/>
                <w:sz w:val="20"/>
              </w:rPr>
            </w:r>
            <w:r w:rsidRPr="00A4473F">
              <w:rPr>
                <w:rFonts w:ascii="Calibri" w:hAnsi="Calibri" w:cs="Calibri"/>
                <w:noProof/>
                <w:sz w:val="20"/>
              </w:rPr>
              <w:fldChar w:fldCharType="separate"/>
            </w:r>
            <w:r w:rsidRPr="00A4473F">
              <w:rPr>
                <w:rFonts w:ascii="Calibri" w:hAnsi="Calibri" w:cs="Calibri"/>
                <w:noProof/>
                <w:sz w:val="20"/>
              </w:rPr>
              <w:fldChar w:fldCharType="end"/>
            </w:r>
            <w:r w:rsidRPr="00A4473F">
              <w:rPr>
                <w:rFonts w:ascii="Calibri" w:hAnsi="Calibri" w:cs="Calibri"/>
                <w:noProof/>
                <w:sz w:val="20"/>
              </w:rPr>
              <w:t xml:space="preserve"> Ten priorytet dotyczy celu szczegółowego w zakresie mobilności miejskiej określonego w art. 3 ust. 1 lit. b) ppkt (viii) rozporządzenia w sprawie EFRR i Funduszu Spójności</w:t>
            </w:r>
          </w:p>
          <w:p w14:paraId="12918C16" w14:textId="77777777" w:rsidR="00CF32B0" w:rsidRPr="00A4473F" w:rsidRDefault="00CF32B0" w:rsidP="00022FA5">
            <w:pPr>
              <w:spacing w:after="0"/>
              <w:rPr>
                <w:rFonts w:ascii="Calibri" w:hAnsi="Calibri" w:cs="Calibri"/>
                <w:noProof/>
                <w:sz w:val="20"/>
              </w:rPr>
            </w:pPr>
            <w:r w:rsidRPr="00A4473F">
              <w:rPr>
                <w:rFonts w:ascii="Calibri" w:hAnsi="Calibri" w:cs="Calibri"/>
                <w:noProof/>
                <w:sz w:val="20"/>
              </w:rPr>
              <w:fldChar w:fldCharType="begin">
                <w:ffData>
                  <w:name w:val="Check2"/>
                  <w:enabled/>
                  <w:calcOnExit w:val="0"/>
                  <w:checkBox>
                    <w:sizeAuto/>
                    <w:default w:val="0"/>
                  </w:checkBox>
                </w:ffData>
              </w:fldChar>
            </w:r>
            <w:r w:rsidRPr="00A4473F">
              <w:rPr>
                <w:rFonts w:ascii="Calibri" w:hAnsi="Calibri" w:cs="Calibri"/>
                <w:noProof/>
                <w:sz w:val="20"/>
              </w:rPr>
              <w:instrText xml:space="preserve"> FORMCHECKBOX </w:instrText>
            </w:r>
            <w:r w:rsidRPr="00A4473F">
              <w:rPr>
                <w:rFonts w:ascii="Calibri" w:hAnsi="Calibri" w:cs="Calibri"/>
                <w:noProof/>
                <w:sz w:val="20"/>
              </w:rPr>
            </w:r>
            <w:r w:rsidRPr="00A4473F">
              <w:rPr>
                <w:rFonts w:ascii="Calibri" w:hAnsi="Calibri" w:cs="Calibri"/>
                <w:noProof/>
                <w:sz w:val="20"/>
              </w:rPr>
              <w:fldChar w:fldCharType="separate"/>
            </w:r>
            <w:r w:rsidRPr="00A4473F">
              <w:rPr>
                <w:rFonts w:ascii="Calibri" w:hAnsi="Calibri" w:cs="Calibri"/>
                <w:noProof/>
                <w:sz w:val="20"/>
              </w:rPr>
              <w:fldChar w:fldCharType="end"/>
            </w:r>
            <w:r w:rsidRPr="00A4473F">
              <w:rPr>
                <w:rFonts w:ascii="Calibri" w:hAnsi="Calibri" w:cs="Calibri"/>
                <w:noProof/>
                <w:sz w:val="20"/>
              </w:rPr>
              <w:t xml:space="preserve"> Ten priorytet dotyczy celu szczegółowego w zakresie łączności cyfrowej określonej w art. 3 ust. 1 lit. a) ppkt (v) rozporządzenia w sprawie EFRR i Funduszu Spójności</w:t>
            </w:r>
          </w:p>
        </w:tc>
      </w:tr>
    </w:tbl>
    <w:p w14:paraId="4C8AFAD8" w14:textId="77777777" w:rsidR="00CF32B0" w:rsidRPr="00A4473F" w:rsidRDefault="00CF32B0" w:rsidP="00CF32B0">
      <w:pPr>
        <w:spacing w:after="200"/>
        <w:rPr>
          <w:rFonts w:ascii="Calibri" w:hAnsi="Calibri" w:cs="Calibri"/>
          <w:i/>
          <w:iCs/>
          <w:noProof/>
          <w:color w:val="44546A"/>
          <w:sz w:val="18"/>
          <w:szCs w:val="18"/>
        </w:rPr>
      </w:pPr>
    </w:p>
    <w:p w14:paraId="0AC602F8" w14:textId="26694A5C" w:rsidR="00CF32B0" w:rsidRPr="00A4473F" w:rsidRDefault="00CF32B0" w:rsidP="00CF32B0">
      <w:pPr>
        <w:shd w:val="clear" w:color="auto" w:fill="D0CECE"/>
        <w:spacing w:before="240" w:after="240"/>
        <w:rPr>
          <w:rFonts w:ascii="Calibri" w:hAnsi="Calibri" w:cs="Calibri"/>
          <w:b/>
          <w:noProof/>
        </w:rPr>
      </w:pPr>
      <w:r w:rsidRPr="00A4473F">
        <w:rPr>
          <w:rFonts w:ascii="Calibri" w:hAnsi="Calibri" w:cs="Calibri"/>
          <w:b/>
          <w:noProof/>
        </w:rPr>
        <w:t>2.1.1</w:t>
      </w:r>
      <w:r w:rsidR="00710A20">
        <w:rPr>
          <w:rFonts w:ascii="Calibri" w:hAnsi="Calibri" w:cs="Calibri"/>
          <w:b/>
          <w:noProof/>
        </w:rPr>
        <w:t>3</w:t>
      </w:r>
      <w:r w:rsidRPr="00A4473F">
        <w:rPr>
          <w:rFonts w:ascii="Calibri" w:hAnsi="Calibri" w:cs="Calibri"/>
          <w:b/>
          <w:noProof/>
        </w:rPr>
        <w:t>.1 (</w:t>
      </w:r>
      <w:r>
        <w:rPr>
          <w:rFonts w:ascii="Calibri" w:hAnsi="Calibri" w:cs="Calibri"/>
          <w:b/>
          <w:noProof/>
        </w:rPr>
        <w:t>x</w:t>
      </w:r>
      <w:r w:rsidRPr="00A4473F">
        <w:rPr>
          <w:rFonts w:ascii="Calibri" w:hAnsi="Calibri" w:cs="Calibri"/>
          <w:b/>
          <w:noProof/>
        </w:rPr>
        <w:t>) Cel szczegółowy</w:t>
      </w:r>
    </w:p>
    <w:p w14:paraId="4990746B" w14:textId="4AC6E474" w:rsidR="00CF32B0" w:rsidRPr="002E492D" w:rsidRDefault="00CF32B0" w:rsidP="00CF32B0">
      <w:pPr>
        <w:rPr>
          <w:rFonts w:ascii="Calibri" w:hAnsi="Calibri" w:cs="Calibri"/>
          <w:b/>
          <w:noProof/>
          <w:color w:val="2F5496"/>
        </w:rPr>
      </w:pPr>
      <w:r w:rsidRPr="00A4473F">
        <w:rPr>
          <w:rFonts w:ascii="Calibri" w:hAnsi="Calibri" w:cs="Calibri"/>
          <w:b/>
          <w:noProof/>
          <w:color w:val="2F5496"/>
        </w:rPr>
        <w:t>(</w:t>
      </w:r>
      <w:r>
        <w:rPr>
          <w:rFonts w:ascii="Calibri" w:hAnsi="Calibri" w:cs="Calibri"/>
          <w:b/>
          <w:noProof/>
          <w:color w:val="2F5496"/>
        </w:rPr>
        <w:t>x</w:t>
      </w:r>
      <w:r w:rsidRPr="00A4473F">
        <w:rPr>
          <w:rFonts w:ascii="Calibri" w:hAnsi="Calibri" w:cs="Calibri"/>
          <w:b/>
          <w:noProof/>
          <w:color w:val="2F5496"/>
        </w:rPr>
        <w:t>)</w:t>
      </w:r>
      <w:r>
        <w:rPr>
          <w:rFonts w:ascii="Calibri" w:hAnsi="Calibri" w:cs="Calibri"/>
          <w:b/>
          <w:noProof/>
          <w:color w:val="2F5496"/>
        </w:rPr>
        <w:t xml:space="preserve"> </w:t>
      </w:r>
      <w:r w:rsidRPr="002E492D">
        <w:rPr>
          <w:rFonts w:ascii="Calibri" w:hAnsi="Calibri" w:cs="Calibri"/>
          <w:b/>
          <w:noProof/>
          <w:color w:val="2F5496"/>
        </w:rPr>
        <w:t>Wspieranie inwestycji mających na celu odbudowę w odpowiedzi na klęskę żywiołową, która występuje między dniem 1 stycznia 2024 r. a dniem 31 grudnia 2025 r.</w:t>
      </w:r>
    </w:p>
    <w:p w14:paraId="696C970B" w14:textId="45CF0762" w:rsidR="00CF32B0" w:rsidRPr="00A4473F" w:rsidRDefault="00CF32B0" w:rsidP="00CF32B0">
      <w:pPr>
        <w:rPr>
          <w:rFonts w:ascii="Calibri" w:hAnsi="Calibri" w:cs="Calibri"/>
          <w:b/>
          <w:i/>
          <w:noProof/>
          <w:color w:val="2F5496"/>
        </w:rPr>
      </w:pPr>
    </w:p>
    <w:p w14:paraId="05EB6E9F" w14:textId="66025773" w:rsidR="00CF32B0" w:rsidRPr="00A4473F" w:rsidRDefault="00CF32B0" w:rsidP="00CF32B0">
      <w:pPr>
        <w:rPr>
          <w:rFonts w:ascii="Calibri" w:hAnsi="Calibri" w:cs="Calibri"/>
          <w:b/>
          <w:noProof/>
        </w:rPr>
      </w:pPr>
      <w:r w:rsidRPr="00A4473F">
        <w:rPr>
          <w:rFonts w:ascii="Calibri" w:hAnsi="Calibri" w:cs="Calibri"/>
          <w:b/>
          <w:noProof/>
        </w:rPr>
        <w:t>2.1.</w:t>
      </w:r>
      <w:r>
        <w:rPr>
          <w:rFonts w:ascii="Calibri" w:hAnsi="Calibri" w:cs="Calibri"/>
          <w:b/>
          <w:noProof/>
        </w:rPr>
        <w:t>1</w:t>
      </w:r>
      <w:r w:rsidR="00710A20">
        <w:rPr>
          <w:rFonts w:ascii="Calibri" w:hAnsi="Calibri" w:cs="Calibri"/>
          <w:b/>
          <w:noProof/>
        </w:rPr>
        <w:t>3</w:t>
      </w:r>
      <w:r w:rsidRPr="00A4473F">
        <w:rPr>
          <w:rFonts w:ascii="Calibri" w:hAnsi="Calibri" w:cs="Calibri"/>
          <w:b/>
          <w:noProof/>
        </w:rPr>
        <w:t>.1.1 (</w:t>
      </w:r>
      <w:r>
        <w:rPr>
          <w:rFonts w:ascii="Calibri" w:hAnsi="Calibri" w:cs="Calibri"/>
          <w:b/>
          <w:noProof/>
        </w:rPr>
        <w:t>x</w:t>
      </w:r>
      <w:r w:rsidRPr="00A4473F">
        <w:rPr>
          <w:rFonts w:ascii="Calibri" w:hAnsi="Calibri" w:cs="Calibri"/>
          <w:b/>
          <w:noProof/>
        </w:rPr>
        <w:t>) Interwencje w ramach funduszy</w:t>
      </w:r>
    </w:p>
    <w:p w14:paraId="33FF7346" w14:textId="77777777" w:rsidR="00CF32B0" w:rsidRDefault="00CF32B0" w:rsidP="00CF32B0">
      <w:pPr>
        <w:rPr>
          <w:rFonts w:ascii="Calibri" w:hAnsi="Calibri" w:cs="Calibri"/>
          <w:b/>
          <w:noProof/>
          <w:color w:val="C00000"/>
        </w:rPr>
      </w:pPr>
      <w:r w:rsidRPr="00A4473F">
        <w:rPr>
          <w:rFonts w:ascii="Calibri" w:hAnsi="Calibri" w:cs="Calibri"/>
          <w:b/>
          <w:noProof/>
          <w:color w:val="2F5496"/>
        </w:rPr>
        <w:t>Powiązane rodzaje działań</w:t>
      </w:r>
      <w:r>
        <w:rPr>
          <w:rFonts w:ascii="Calibri" w:hAnsi="Calibri" w:cs="Calibri"/>
          <w:b/>
          <w:noProof/>
          <w:color w:val="2F5496"/>
        </w:rPr>
        <w:t xml:space="preserve"> </w:t>
      </w:r>
    </w:p>
    <w:p w14:paraId="1FD1E750" w14:textId="77777777" w:rsidR="00CF32B0" w:rsidRPr="002E492D" w:rsidRDefault="00CF32B0" w:rsidP="002E492D">
      <w:pPr>
        <w:autoSpaceDE w:val="0"/>
        <w:autoSpaceDN w:val="0"/>
        <w:adjustRightInd w:val="0"/>
        <w:spacing w:before="0"/>
        <w:contextualSpacing/>
        <w:rPr>
          <w:rFonts w:asciiTheme="minorHAnsi" w:hAnsiTheme="minorHAnsi" w:cstheme="minorHAnsi"/>
          <w:sz w:val="22"/>
          <w:szCs w:val="22"/>
        </w:rPr>
      </w:pPr>
      <w:bookmarkStart w:id="35" w:name="_Hlk179543572"/>
      <w:r w:rsidRPr="002E492D">
        <w:rPr>
          <w:rFonts w:asciiTheme="minorHAnsi" w:hAnsiTheme="minorHAnsi" w:cstheme="minorHAnsi"/>
          <w:sz w:val="22"/>
          <w:szCs w:val="22"/>
        </w:rPr>
        <w:t xml:space="preserve">Powódź, która we wrześniu 2024 r. dotknęła południowo-zachodnią Polskę, w tym dużą część obszaru województwa opolskiego, dokonała potężnej skali zniszczeń. Potrzeby podmiotów i instytucji, które ucierpiały w wyniku powodzi są ogromne. Konieczne jest dokładne oszacowanie strat, odbudowa zniszczonej infrastruktury, czy też sprzętu i wyposażenia. Niniejszy cel szczegółowy dedykowany jest takim właśnie działaniom, aby naprawić wyrządzone powodzią szkody, czy też złagodzić jej negatywne skutki społeczno-gospodarcze i przywrócić funkcjonowanie podmiotom i instytucjom. </w:t>
      </w:r>
    </w:p>
    <w:p w14:paraId="52A3AAD3" w14:textId="77777777" w:rsidR="00CF32B0" w:rsidRPr="002E492D" w:rsidRDefault="00CF32B0" w:rsidP="002E492D">
      <w:pPr>
        <w:autoSpaceDE w:val="0"/>
        <w:autoSpaceDN w:val="0"/>
        <w:adjustRightInd w:val="0"/>
        <w:spacing w:before="0"/>
        <w:contextualSpacing/>
        <w:rPr>
          <w:rFonts w:asciiTheme="minorHAnsi" w:hAnsiTheme="minorHAnsi" w:cstheme="minorHAnsi"/>
          <w:sz w:val="22"/>
          <w:szCs w:val="22"/>
        </w:rPr>
      </w:pPr>
      <w:r w:rsidRPr="002E492D">
        <w:rPr>
          <w:rFonts w:asciiTheme="minorHAnsi" w:hAnsiTheme="minorHAnsi" w:cstheme="minorHAnsi"/>
          <w:sz w:val="22"/>
          <w:szCs w:val="22"/>
        </w:rPr>
        <w:t>Niezbędne jest więc podjęcie działań w następujących obszarach:</w:t>
      </w:r>
    </w:p>
    <w:p w14:paraId="2030EFEC" w14:textId="1EE7ACCC" w:rsidR="00CF32B0" w:rsidRPr="002E492D" w:rsidRDefault="00CF32B0" w:rsidP="002E492D">
      <w:pPr>
        <w:numPr>
          <w:ilvl w:val="0"/>
          <w:numId w:val="184"/>
        </w:numPr>
        <w:autoSpaceDE w:val="0"/>
        <w:autoSpaceDN w:val="0"/>
        <w:adjustRightInd w:val="0"/>
        <w:spacing w:before="0"/>
        <w:contextualSpacing/>
        <w:rPr>
          <w:rFonts w:asciiTheme="minorHAnsi" w:hAnsiTheme="minorHAnsi" w:cstheme="minorHAnsi"/>
          <w:sz w:val="22"/>
          <w:szCs w:val="22"/>
        </w:rPr>
      </w:pPr>
      <w:r w:rsidRPr="002E492D">
        <w:rPr>
          <w:rFonts w:asciiTheme="minorHAnsi" w:hAnsiTheme="minorHAnsi" w:cstheme="minorHAnsi"/>
          <w:sz w:val="22"/>
          <w:szCs w:val="22"/>
        </w:rPr>
        <w:t>wsparcie dla ochotniczych straży pożarnych (OSP),</w:t>
      </w:r>
    </w:p>
    <w:p w14:paraId="1070FEBD" w14:textId="2657AFB2" w:rsidR="00CF32B0" w:rsidRPr="002E492D" w:rsidRDefault="00CF32B0" w:rsidP="002E492D">
      <w:pPr>
        <w:numPr>
          <w:ilvl w:val="0"/>
          <w:numId w:val="184"/>
        </w:numPr>
        <w:autoSpaceDE w:val="0"/>
        <w:autoSpaceDN w:val="0"/>
        <w:adjustRightInd w:val="0"/>
        <w:spacing w:before="0"/>
        <w:contextualSpacing/>
        <w:rPr>
          <w:rFonts w:asciiTheme="minorHAnsi" w:hAnsiTheme="minorHAnsi" w:cstheme="minorHAnsi"/>
          <w:sz w:val="22"/>
          <w:szCs w:val="22"/>
        </w:rPr>
      </w:pPr>
      <w:r w:rsidRPr="002E492D">
        <w:rPr>
          <w:rFonts w:asciiTheme="minorHAnsi" w:hAnsiTheme="minorHAnsi" w:cstheme="minorHAnsi"/>
          <w:sz w:val="22"/>
          <w:szCs w:val="22"/>
        </w:rPr>
        <w:t>infrastruktura drogowa – drogi wojewódzkie,</w:t>
      </w:r>
    </w:p>
    <w:p w14:paraId="59E94F82" w14:textId="5859A887" w:rsidR="00CF32B0" w:rsidRPr="002E492D" w:rsidRDefault="00CF32B0" w:rsidP="002E492D">
      <w:pPr>
        <w:numPr>
          <w:ilvl w:val="0"/>
          <w:numId w:val="184"/>
        </w:numPr>
        <w:autoSpaceDE w:val="0"/>
        <w:autoSpaceDN w:val="0"/>
        <w:adjustRightInd w:val="0"/>
        <w:spacing w:before="0"/>
        <w:contextualSpacing/>
        <w:rPr>
          <w:rFonts w:asciiTheme="minorHAnsi" w:hAnsiTheme="minorHAnsi" w:cstheme="minorHAnsi"/>
          <w:sz w:val="22"/>
          <w:szCs w:val="22"/>
        </w:rPr>
      </w:pPr>
      <w:r w:rsidRPr="002E492D">
        <w:rPr>
          <w:rFonts w:asciiTheme="minorHAnsi" w:hAnsiTheme="minorHAnsi" w:cstheme="minorHAnsi"/>
          <w:sz w:val="22"/>
          <w:szCs w:val="22"/>
        </w:rPr>
        <w:t xml:space="preserve">infrastruktura </w:t>
      </w:r>
      <w:r w:rsidR="003B7802">
        <w:rPr>
          <w:rFonts w:asciiTheme="minorHAnsi" w:hAnsiTheme="minorHAnsi" w:cstheme="minorHAnsi"/>
          <w:sz w:val="22"/>
          <w:szCs w:val="22"/>
        </w:rPr>
        <w:t>społeczno-</w:t>
      </w:r>
      <w:r w:rsidRPr="002E492D">
        <w:rPr>
          <w:rFonts w:asciiTheme="minorHAnsi" w:hAnsiTheme="minorHAnsi" w:cstheme="minorHAnsi"/>
          <w:sz w:val="22"/>
          <w:szCs w:val="22"/>
        </w:rPr>
        <w:t>publiczn</w:t>
      </w:r>
      <w:r w:rsidR="003B7802">
        <w:rPr>
          <w:rFonts w:asciiTheme="minorHAnsi" w:hAnsiTheme="minorHAnsi" w:cstheme="minorHAnsi"/>
          <w:sz w:val="22"/>
          <w:szCs w:val="22"/>
        </w:rPr>
        <w:t xml:space="preserve">a, </w:t>
      </w:r>
      <w:bookmarkStart w:id="36" w:name="_Hlk189549651"/>
      <w:r w:rsidR="00F243A5">
        <w:rPr>
          <w:rFonts w:asciiTheme="minorHAnsi" w:hAnsiTheme="minorHAnsi" w:cstheme="minorHAnsi"/>
          <w:sz w:val="22"/>
          <w:szCs w:val="22"/>
        </w:rPr>
        <w:t>w tym drogi lokalne</w:t>
      </w:r>
      <w:r w:rsidR="003B7802">
        <w:rPr>
          <w:rFonts w:asciiTheme="minorHAnsi" w:hAnsiTheme="minorHAnsi" w:cstheme="minorHAnsi"/>
          <w:sz w:val="22"/>
          <w:szCs w:val="22"/>
        </w:rPr>
        <w:t xml:space="preserve"> </w:t>
      </w:r>
      <w:r w:rsidR="00315594">
        <w:rPr>
          <w:rFonts w:asciiTheme="minorHAnsi" w:hAnsiTheme="minorHAnsi" w:cstheme="minorHAnsi"/>
          <w:sz w:val="22"/>
          <w:szCs w:val="22"/>
        </w:rPr>
        <w:t xml:space="preserve">prowadzące </w:t>
      </w:r>
      <w:r w:rsidR="003B7802">
        <w:rPr>
          <w:rFonts w:asciiTheme="minorHAnsi" w:hAnsiTheme="minorHAnsi" w:cstheme="minorHAnsi"/>
          <w:sz w:val="22"/>
          <w:szCs w:val="22"/>
        </w:rPr>
        <w:t xml:space="preserve">do </w:t>
      </w:r>
      <w:r w:rsidR="00315594">
        <w:rPr>
          <w:rFonts w:asciiTheme="minorHAnsi" w:hAnsiTheme="minorHAnsi" w:cstheme="minorHAnsi"/>
          <w:sz w:val="22"/>
          <w:szCs w:val="22"/>
        </w:rPr>
        <w:t>obiektów świadczących</w:t>
      </w:r>
      <w:r w:rsidR="003B7802">
        <w:rPr>
          <w:rFonts w:asciiTheme="minorHAnsi" w:hAnsiTheme="minorHAnsi" w:cstheme="minorHAnsi"/>
          <w:sz w:val="22"/>
          <w:szCs w:val="22"/>
        </w:rPr>
        <w:t xml:space="preserve"> usług</w:t>
      </w:r>
      <w:r w:rsidR="00315594">
        <w:rPr>
          <w:rFonts w:asciiTheme="minorHAnsi" w:hAnsiTheme="minorHAnsi" w:cstheme="minorHAnsi"/>
          <w:sz w:val="22"/>
          <w:szCs w:val="22"/>
        </w:rPr>
        <w:t>i</w:t>
      </w:r>
      <w:r w:rsidR="003B7802">
        <w:rPr>
          <w:rFonts w:asciiTheme="minorHAnsi" w:hAnsiTheme="minorHAnsi" w:cstheme="minorHAnsi"/>
          <w:sz w:val="22"/>
          <w:szCs w:val="22"/>
        </w:rPr>
        <w:t xml:space="preserve"> społeczn</w:t>
      </w:r>
      <w:r w:rsidR="00315594">
        <w:rPr>
          <w:rFonts w:asciiTheme="minorHAnsi" w:hAnsiTheme="minorHAnsi" w:cstheme="minorHAnsi"/>
          <w:sz w:val="22"/>
          <w:szCs w:val="22"/>
        </w:rPr>
        <w:t>e</w:t>
      </w:r>
      <w:bookmarkEnd w:id="36"/>
      <w:r w:rsidR="00606D90">
        <w:rPr>
          <w:rFonts w:asciiTheme="minorHAnsi" w:hAnsiTheme="minorHAnsi" w:cstheme="minorHAnsi"/>
          <w:sz w:val="22"/>
          <w:szCs w:val="22"/>
        </w:rPr>
        <w:t xml:space="preserve"> (np. edukacyjne, zdrowotne, społeczne, kulturalne)</w:t>
      </w:r>
    </w:p>
    <w:p w14:paraId="669C0691" w14:textId="77777777" w:rsidR="00CF32B0" w:rsidRPr="002E492D" w:rsidRDefault="00CF32B0" w:rsidP="002E492D">
      <w:pPr>
        <w:spacing w:before="0"/>
        <w:contextualSpacing/>
        <w:rPr>
          <w:rFonts w:asciiTheme="minorHAnsi" w:hAnsiTheme="minorHAnsi" w:cstheme="minorHAnsi"/>
          <w:b/>
          <w:bCs/>
          <w:sz w:val="22"/>
          <w:szCs w:val="22"/>
        </w:rPr>
      </w:pPr>
    </w:p>
    <w:p w14:paraId="0AB4C870" w14:textId="77777777" w:rsidR="00CF32B0" w:rsidRPr="002E492D" w:rsidRDefault="00CF32B0" w:rsidP="002E492D">
      <w:pPr>
        <w:spacing w:before="0"/>
        <w:contextualSpacing/>
        <w:rPr>
          <w:rFonts w:asciiTheme="minorHAnsi" w:hAnsiTheme="minorHAnsi" w:cstheme="minorHAnsi"/>
          <w:sz w:val="22"/>
          <w:szCs w:val="22"/>
        </w:rPr>
      </w:pPr>
      <w:r w:rsidRPr="002E492D">
        <w:rPr>
          <w:rFonts w:asciiTheme="minorHAnsi" w:hAnsiTheme="minorHAnsi" w:cstheme="minorHAnsi"/>
          <w:b/>
          <w:bCs/>
          <w:sz w:val="22"/>
          <w:szCs w:val="22"/>
        </w:rPr>
        <w:t xml:space="preserve">Odbudowa będzie realizowana z uwzględnieniem poniższych założeń: </w:t>
      </w:r>
    </w:p>
    <w:p w14:paraId="547A2968" w14:textId="77777777" w:rsidR="00CF32B0" w:rsidRPr="002E492D" w:rsidRDefault="00CF32B0" w:rsidP="002E492D">
      <w:pPr>
        <w:pStyle w:val="Akapitzlist"/>
        <w:numPr>
          <w:ilvl w:val="0"/>
          <w:numId w:val="183"/>
        </w:numPr>
        <w:spacing w:before="0"/>
        <w:contextualSpacing w:val="0"/>
        <w:rPr>
          <w:rFonts w:asciiTheme="minorHAnsi" w:hAnsiTheme="minorHAnsi" w:cstheme="minorHAnsi"/>
          <w:sz w:val="22"/>
          <w:szCs w:val="22"/>
        </w:rPr>
      </w:pPr>
      <w:r w:rsidRPr="002E492D">
        <w:rPr>
          <w:rFonts w:asciiTheme="minorHAnsi" w:hAnsiTheme="minorHAnsi" w:cstheme="minorHAnsi"/>
          <w:sz w:val="22"/>
          <w:szCs w:val="22"/>
        </w:rPr>
        <w:t xml:space="preserve">brak wymogu zgodności inwestycji </w:t>
      </w:r>
      <w:bookmarkStart w:id="37" w:name="_Hlk179890068"/>
      <w:r w:rsidRPr="002E492D">
        <w:rPr>
          <w:rFonts w:asciiTheme="minorHAnsi" w:hAnsiTheme="minorHAnsi" w:cstheme="minorHAnsi"/>
          <w:sz w:val="22"/>
          <w:szCs w:val="22"/>
        </w:rPr>
        <w:t xml:space="preserve">drogowej </w:t>
      </w:r>
      <w:bookmarkEnd w:id="37"/>
      <w:r w:rsidRPr="002E492D">
        <w:rPr>
          <w:rFonts w:asciiTheme="minorHAnsi" w:hAnsiTheme="minorHAnsi" w:cstheme="minorHAnsi"/>
          <w:sz w:val="22"/>
          <w:szCs w:val="22"/>
        </w:rPr>
        <w:t xml:space="preserve">z </w:t>
      </w:r>
      <w:r w:rsidRPr="002E492D">
        <w:rPr>
          <w:rFonts w:asciiTheme="minorHAnsi" w:hAnsiTheme="minorHAnsi" w:cstheme="minorHAnsi"/>
          <w:i/>
          <w:iCs/>
          <w:sz w:val="22"/>
          <w:szCs w:val="22"/>
        </w:rPr>
        <w:t>Planem Transportowym Województwa Opolskiego 2030</w:t>
      </w:r>
      <w:r w:rsidRPr="002E492D">
        <w:rPr>
          <w:rFonts w:asciiTheme="minorHAnsi" w:hAnsiTheme="minorHAnsi" w:cstheme="minorHAnsi"/>
          <w:sz w:val="22"/>
          <w:szCs w:val="22"/>
        </w:rPr>
        <w:t xml:space="preserve"> oraz </w:t>
      </w:r>
      <w:r w:rsidRPr="002E492D">
        <w:rPr>
          <w:rFonts w:asciiTheme="minorHAnsi" w:hAnsiTheme="minorHAnsi" w:cstheme="minorHAnsi"/>
          <w:i/>
          <w:iCs/>
          <w:sz w:val="22"/>
          <w:szCs w:val="22"/>
        </w:rPr>
        <w:t>Planami Zrównoważonej Mobilności Miejskiej</w:t>
      </w:r>
      <w:r w:rsidRPr="002E492D">
        <w:rPr>
          <w:rFonts w:asciiTheme="minorHAnsi" w:hAnsiTheme="minorHAnsi" w:cstheme="minorHAnsi"/>
          <w:sz w:val="22"/>
          <w:szCs w:val="22"/>
        </w:rPr>
        <w:t xml:space="preserve"> lub innymi właściwymi dokumentami planowania mobilności miejskiej/rozwoju dróg powiatowych, gminnych, </w:t>
      </w:r>
    </w:p>
    <w:p w14:paraId="6D9367E0" w14:textId="77777777" w:rsidR="00CF32B0" w:rsidRPr="002E492D" w:rsidRDefault="00CF32B0" w:rsidP="002E492D">
      <w:pPr>
        <w:pStyle w:val="Akapitzlist"/>
        <w:numPr>
          <w:ilvl w:val="0"/>
          <w:numId w:val="183"/>
        </w:numPr>
        <w:spacing w:before="0"/>
        <w:contextualSpacing w:val="0"/>
        <w:rPr>
          <w:rFonts w:asciiTheme="minorHAnsi" w:hAnsiTheme="minorHAnsi" w:cstheme="minorHAnsi"/>
          <w:sz w:val="22"/>
          <w:szCs w:val="22"/>
        </w:rPr>
      </w:pPr>
      <w:r w:rsidRPr="002E492D">
        <w:rPr>
          <w:rFonts w:asciiTheme="minorHAnsi" w:hAnsiTheme="minorHAnsi" w:cstheme="minorHAnsi"/>
          <w:sz w:val="22"/>
          <w:szCs w:val="22"/>
        </w:rPr>
        <w:t xml:space="preserve">brak wymogu ukierunkowania inwestycji drogowych na poprawę dostępności transportowej ośrodków regionalnych i subregionalnych do infrastruktury sieciowej i węzłowej TEN-T, jak </w:t>
      </w:r>
      <w:r w:rsidRPr="002E492D">
        <w:rPr>
          <w:rFonts w:asciiTheme="minorHAnsi" w:hAnsiTheme="minorHAnsi" w:cstheme="minorHAnsi"/>
          <w:sz w:val="22"/>
          <w:szCs w:val="22"/>
        </w:rPr>
        <w:br/>
        <w:t xml:space="preserve">i również do rozwoju publicznego transportu zbiorowego, </w:t>
      </w:r>
    </w:p>
    <w:p w14:paraId="498C87BE" w14:textId="77777777" w:rsidR="00710A20" w:rsidRDefault="00CF32B0" w:rsidP="003B4B7A">
      <w:pPr>
        <w:pStyle w:val="Akapitzlist"/>
        <w:numPr>
          <w:ilvl w:val="0"/>
          <w:numId w:val="183"/>
        </w:numPr>
        <w:spacing w:before="0"/>
        <w:ind w:left="709" w:hanging="357"/>
        <w:contextualSpacing w:val="0"/>
        <w:rPr>
          <w:rFonts w:asciiTheme="minorHAnsi" w:hAnsiTheme="minorHAnsi" w:cstheme="minorHAnsi"/>
          <w:sz w:val="22"/>
          <w:szCs w:val="22"/>
        </w:rPr>
      </w:pPr>
      <w:r w:rsidRPr="002E492D">
        <w:rPr>
          <w:rFonts w:asciiTheme="minorHAnsi" w:hAnsiTheme="minorHAnsi" w:cstheme="minorHAnsi"/>
          <w:sz w:val="22"/>
          <w:szCs w:val="22"/>
        </w:rPr>
        <w:lastRenderedPageBreak/>
        <w:t xml:space="preserve">brak wymogu zgodności inwestycji w infrastrukturę dla niezmotoryzowanych z </w:t>
      </w:r>
      <w:r w:rsidRPr="002E492D">
        <w:rPr>
          <w:rFonts w:asciiTheme="minorHAnsi" w:hAnsiTheme="minorHAnsi" w:cstheme="minorHAnsi"/>
          <w:i/>
          <w:iCs/>
          <w:sz w:val="22"/>
          <w:szCs w:val="22"/>
        </w:rPr>
        <w:t>Planami Zrównoważonej Mobilności Miejskiej</w:t>
      </w:r>
      <w:r w:rsidRPr="002E492D">
        <w:rPr>
          <w:rFonts w:asciiTheme="minorHAnsi" w:hAnsiTheme="minorHAnsi" w:cstheme="minorHAnsi"/>
          <w:sz w:val="22"/>
          <w:szCs w:val="22"/>
        </w:rPr>
        <w:t xml:space="preserve"> lub innymi właściwymi dokumentami planowania mobilności miejskiej,</w:t>
      </w:r>
    </w:p>
    <w:p w14:paraId="16D67EB1" w14:textId="14E5A8E1" w:rsidR="00CF32B0" w:rsidRPr="002E492D" w:rsidRDefault="00CF32B0" w:rsidP="002E492D">
      <w:pPr>
        <w:pStyle w:val="Akapitzlist"/>
        <w:numPr>
          <w:ilvl w:val="0"/>
          <w:numId w:val="183"/>
        </w:numPr>
        <w:spacing w:before="0"/>
        <w:ind w:left="709" w:hanging="357"/>
        <w:contextualSpacing w:val="0"/>
        <w:rPr>
          <w:rFonts w:asciiTheme="minorHAnsi" w:hAnsiTheme="minorHAnsi" w:cstheme="minorHAnsi"/>
          <w:sz w:val="22"/>
          <w:szCs w:val="22"/>
        </w:rPr>
      </w:pPr>
      <w:r w:rsidRPr="002E492D">
        <w:rPr>
          <w:rFonts w:asciiTheme="minorHAnsi" w:hAnsiTheme="minorHAnsi" w:cstheme="minorHAnsi"/>
          <w:sz w:val="22"/>
          <w:szCs w:val="22"/>
        </w:rPr>
        <w:t>wsparcie dedykowane Ochotniczym Strażom Pożarnym dotyczy zarówno jednostek ujętych, jak i nieujętych w Krajowym Systemie Ratowniczo-Gaśniczym,</w:t>
      </w:r>
    </w:p>
    <w:p w14:paraId="3DC6FD3B" w14:textId="77777777" w:rsidR="00CF32B0" w:rsidRPr="002E492D" w:rsidRDefault="00CF32B0" w:rsidP="002E492D">
      <w:pPr>
        <w:numPr>
          <w:ilvl w:val="0"/>
          <w:numId w:val="183"/>
        </w:numPr>
        <w:spacing w:before="0"/>
        <w:rPr>
          <w:rFonts w:asciiTheme="minorHAnsi" w:hAnsiTheme="minorHAnsi" w:cstheme="minorHAnsi"/>
          <w:sz w:val="22"/>
          <w:szCs w:val="22"/>
        </w:rPr>
      </w:pPr>
      <w:r w:rsidRPr="002E492D">
        <w:rPr>
          <w:rFonts w:asciiTheme="minorHAnsi" w:hAnsiTheme="minorHAnsi" w:cstheme="minorHAnsi"/>
          <w:sz w:val="22"/>
          <w:szCs w:val="22"/>
        </w:rPr>
        <w:t>brak ograniczeń w zakresie wspierania żłobków na poziomie regionalnym,</w:t>
      </w:r>
    </w:p>
    <w:p w14:paraId="15ED8B5D" w14:textId="77777777" w:rsidR="00CF32B0" w:rsidRPr="002E492D" w:rsidRDefault="00CF32B0" w:rsidP="002E492D">
      <w:pPr>
        <w:numPr>
          <w:ilvl w:val="0"/>
          <w:numId w:val="183"/>
        </w:numPr>
        <w:spacing w:before="0"/>
        <w:rPr>
          <w:rFonts w:asciiTheme="minorHAnsi" w:hAnsiTheme="minorHAnsi" w:cstheme="minorHAnsi"/>
          <w:sz w:val="22"/>
          <w:szCs w:val="22"/>
        </w:rPr>
      </w:pPr>
      <w:r w:rsidRPr="002E492D">
        <w:rPr>
          <w:rFonts w:asciiTheme="minorHAnsi" w:hAnsiTheme="minorHAnsi" w:cstheme="minorHAnsi"/>
          <w:sz w:val="22"/>
          <w:szCs w:val="22"/>
        </w:rPr>
        <w:t>brak ograniczeń w zakresie wsparcia infrastruktury szkolnej i wyposażenia (np. boiska, hale, sale gimnastyczne), tj. m.in. brak konieczności analizy potrzeb, powiązania z interwencjami realizowanymi w ramach EFS+, integracji dzieci z grup znajdujących się w niekorzystnej sytuacji oraz warunku, że wsparcie jest elementem projektu,</w:t>
      </w:r>
    </w:p>
    <w:p w14:paraId="43B7969E" w14:textId="11D7B745" w:rsidR="00CF32B0" w:rsidRPr="002E492D" w:rsidRDefault="00CF32B0" w:rsidP="002E492D">
      <w:pPr>
        <w:pStyle w:val="Akapitzlist"/>
        <w:numPr>
          <w:ilvl w:val="0"/>
          <w:numId w:val="183"/>
        </w:numPr>
        <w:spacing w:before="0"/>
        <w:contextualSpacing w:val="0"/>
        <w:rPr>
          <w:rFonts w:asciiTheme="minorHAnsi" w:hAnsiTheme="minorHAnsi" w:cstheme="minorHAnsi"/>
          <w:sz w:val="22"/>
          <w:szCs w:val="22"/>
        </w:rPr>
      </w:pPr>
      <w:bookmarkStart w:id="38" w:name="_Hlk179974588"/>
      <w:r w:rsidRPr="002E492D">
        <w:rPr>
          <w:rFonts w:asciiTheme="minorHAnsi" w:hAnsiTheme="minorHAnsi" w:cstheme="minorHAnsi"/>
          <w:color w:val="000000"/>
          <w:sz w:val="22"/>
          <w:szCs w:val="22"/>
        </w:rPr>
        <w:t xml:space="preserve">brak innych ograniczeń w zakresie działań opisanych w niniejszym cs, a dotyczących </w:t>
      </w:r>
      <w:r w:rsidR="006B219E">
        <w:rPr>
          <w:rFonts w:asciiTheme="minorHAnsi" w:hAnsiTheme="minorHAnsi" w:cstheme="minorHAnsi"/>
          <w:color w:val="000000"/>
          <w:sz w:val="22"/>
          <w:szCs w:val="22"/>
        </w:rPr>
        <w:t>pozostałych</w:t>
      </w:r>
      <w:r w:rsidRPr="002E492D">
        <w:rPr>
          <w:rFonts w:asciiTheme="minorHAnsi" w:hAnsiTheme="minorHAnsi" w:cstheme="minorHAnsi"/>
          <w:color w:val="000000"/>
          <w:sz w:val="22"/>
          <w:szCs w:val="22"/>
        </w:rPr>
        <w:t xml:space="preserve"> celów szczegółowych niniejszego programu i Umowy Partnerstwa, w ramach uzasadnionych wypadków uzgodnionych przez Komitet Monitorujący.</w:t>
      </w:r>
    </w:p>
    <w:p w14:paraId="751A016A" w14:textId="77777777" w:rsidR="00CF32B0" w:rsidRPr="002E492D" w:rsidRDefault="00CF32B0" w:rsidP="002E492D">
      <w:pPr>
        <w:pStyle w:val="Akapitzlist"/>
        <w:spacing w:before="0"/>
        <w:contextualSpacing w:val="0"/>
        <w:rPr>
          <w:rFonts w:asciiTheme="minorHAnsi" w:hAnsiTheme="minorHAnsi" w:cstheme="minorHAnsi"/>
          <w:sz w:val="22"/>
          <w:szCs w:val="22"/>
        </w:rPr>
      </w:pPr>
    </w:p>
    <w:bookmarkEnd w:id="38"/>
    <w:p w14:paraId="28FB6C7D" w14:textId="77777777" w:rsidR="00CF32B0" w:rsidRPr="002E492D" w:rsidRDefault="00CF32B0" w:rsidP="002E492D">
      <w:pPr>
        <w:shd w:val="clear" w:color="auto" w:fill="D9D9D9" w:themeFill="background1" w:themeFillShade="D9"/>
        <w:spacing w:before="0"/>
        <w:rPr>
          <w:rFonts w:asciiTheme="minorHAnsi" w:hAnsiTheme="minorHAnsi" w:cstheme="minorHAnsi"/>
          <w:b/>
          <w:bCs/>
          <w:sz w:val="22"/>
          <w:szCs w:val="22"/>
        </w:rPr>
      </w:pPr>
      <w:r w:rsidRPr="002E492D">
        <w:rPr>
          <w:rFonts w:asciiTheme="minorHAnsi" w:hAnsiTheme="minorHAnsi" w:cstheme="minorHAnsi"/>
          <w:b/>
          <w:bCs/>
          <w:sz w:val="22"/>
          <w:szCs w:val="22"/>
        </w:rPr>
        <w:t xml:space="preserve">Wsparcie dla OSP: </w:t>
      </w:r>
    </w:p>
    <w:p w14:paraId="507DC689" w14:textId="77777777" w:rsidR="00CF32B0" w:rsidRPr="002E492D" w:rsidRDefault="00CF32B0" w:rsidP="002E492D">
      <w:pPr>
        <w:spacing w:before="0"/>
        <w:rPr>
          <w:rFonts w:asciiTheme="minorHAnsi" w:hAnsiTheme="minorHAnsi" w:cstheme="minorHAnsi"/>
          <w:sz w:val="22"/>
          <w:szCs w:val="22"/>
        </w:rPr>
      </w:pPr>
      <w:r w:rsidRPr="002E492D">
        <w:rPr>
          <w:rFonts w:asciiTheme="minorHAnsi" w:hAnsiTheme="minorHAnsi" w:cstheme="minorHAnsi"/>
          <w:sz w:val="22"/>
          <w:szCs w:val="22"/>
        </w:rPr>
        <w:t>Ochotnicze Straże Pożarne odgrywają kluczową rolę w systemie ratownictwa, również w czasie powodzi, podczas której ratują życie i mienie ludzkie. Walka z żywiołem, a także skutki powodzi spowodowały znaczne straty wśród tych podmiotów. Dotyczy to utraconych lub też zniszczonych w wyniku prowadzonych podczas powodzi akcji, jak również wystąpienia samej powodzi: samochodów ratowniczo-gaśniczych, sprzętu i wyposażenia. Ale również dotyczy to zniszczonej na skutek wystąpienia samej powodzi infrastruktury OSP, np. remiz strażackich.</w:t>
      </w:r>
    </w:p>
    <w:p w14:paraId="0436486B" w14:textId="77777777" w:rsidR="00CF32B0" w:rsidRPr="002E492D" w:rsidRDefault="00CF32B0" w:rsidP="002E492D">
      <w:pPr>
        <w:spacing w:before="0"/>
        <w:rPr>
          <w:rFonts w:asciiTheme="minorHAnsi" w:hAnsiTheme="minorHAnsi" w:cstheme="minorHAnsi"/>
          <w:sz w:val="22"/>
          <w:szCs w:val="22"/>
        </w:rPr>
      </w:pPr>
      <w:r w:rsidRPr="002E492D">
        <w:rPr>
          <w:rFonts w:asciiTheme="minorHAnsi" w:hAnsiTheme="minorHAnsi" w:cstheme="minorHAnsi"/>
          <w:sz w:val="22"/>
          <w:szCs w:val="22"/>
        </w:rPr>
        <w:t xml:space="preserve">Wsparcie będzie ukierunkowane na odbudowę infrastruktury OSP poprzez finansowanie prac budowlanych, a także odtworzenia zniszczonych, bądź zakupu nowych samochodów ratowniczo-gaśniczych, sprzętu i wyposażenia. Dopuszcza się budowę nowej infrastruktury, jeżeli jej odtworzenie w dotychczasowym miejscu jest nieuzasadnione np. z powodu zagrożenia potencjalnymi klęskami żywiołowymi. </w:t>
      </w:r>
    </w:p>
    <w:p w14:paraId="3184F1C3" w14:textId="77777777" w:rsidR="00CF32B0" w:rsidRPr="002E492D" w:rsidRDefault="00CF32B0" w:rsidP="002E492D">
      <w:pPr>
        <w:spacing w:before="0"/>
        <w:rPr>
          <w:rFonts w:asciiTheme="minorHAnsi" w:hAnsiTheme="minorHAnsi" w:cstheme="minorHAnsi"/>
          <w:sz w:val="22"/>
          <w:szCs w:val="22"/>
        </w:rPr>
      </w:pPr>
    </w:p>
    <w:p w14:paraId="543B84DB" w14:textId="16E754DE" w:rsidR="00CF32B0" w:rsidRPr="002E492D" w:rsidRDefault="00CF32B0" w:rsidP="002E492D">
      <w:pPr>
        <w:shd w:val="clear" w:color="auto" w:fill="D9D9D9" w:themeFill="background1" w:themeFillShade="D9"/>
        <w:spacing w:before="0"/>
        <w:rPr>
          <w:rFonts w:asciiTheme="minorHAnsi" w:hAnsiTheme="minorHAnsi" w:cstheme="minorHAnsi"/>
          <w:b/>
          <w:bCs/>
          <w:sz w:val="22"/>
          <w:szCs w:val="22"/>
        </w:rPr>
      </w:pPr>
      <w:bookmarkStart w:id="39" w:name="_Hlk179782890"/>
      <w:r w:rsidRPr="002E492D">
        <w:rPr>
          <w:rFonts w:asciiTheme="minorHAnsi" w:hAnsiTheme="minorHAnsi" w:cstheme="minorHAnsi"/>
          <w:b/>
          <w:bCs/>
          <w:sz w:val="22"/>
          <w:szCs w:val="22"/>
        </w:rPr>
        <w:t>Infrastruktura drogowa</w:t>
      </w:r>
      <w:r w:rsidR="00876084">
        <w:rPr>
          <w:rFonts w:asciiTheme="minorHAnsi" w:hAnsiTheme="minorHAnsi" w:cstheme="minorHAnsi"/>
          <w:b/>
          <w:bCs/>
          <w:sz w:val="22"/>
          <w:szCs w:val="22"/>
        </w:rPr>
        <w:t xml:space="preserve"> – drogi wojewódzkie</w:t>
      </w:r>
      <w:r w:rsidRPr="002E492D">
        <w:rPr>
          <w:rFonts w:asciiTheme="minorHAnsi" w:hAnsiTheme="minorHAnsi" w:cstheme="minorHAnsi"/>
          <w:b/>
          <w:bCs/>
          <w:sz w:val="22"/>
          <w:szCs w:val="22"/>
        </w:rPr>
        <w:t>:</w:t>
      </w:r>
    </w:p>
    <w:bookmarkEnd w:id="39"/>
    <w:p w14:paraId="0A64962F" w14:textId="77777777" w:rsidR="00CF32B0" w:rsidRPr="002E492D" w:rsidRDefault="00CF32B0" w:rsidP="002E492D">
      <w:pPr>
        <w:spacing w:before="0"/>
        <w:rPr>
          <w:rFonts w:asciiTheme="minorHAnsi" w:hAnsiTheme="minorHAnsi" w:cstheme="minorHAnsi"/>
          <w:color w:val="FF0000"/>
          <w:sz w:val="22"/>
          <w:szCs w:val="22"/>
        </w:rPr>
      </w:pPr>
      <w:r w:rsidRPr="002E492D">
        <w:rPr>
          <w:rFonts w:asciiTheme="minorHAnsi" w:hAnsiTheme="minorHAnsi" w:cstheme="minorHAnsi"/>
          <w:sz w:val="22"/>
          <w:szCs w:val="22"/>
        </w:rPr>
        <w:t xml:space="preserve">Stan infrastruktury drogowej wpływa na codzienne życie mieszkańców oraz na funkcjonowanie lokalnych gospodarek. Na terenach dotkniętych powodzią nastąpiły potężne zniszczenia w tym obszarze. W trakcie powodzi uszkodzeniu uległy oprócz odcinków dróg wojewódzkich także mosty i przepusty. </w:t>
      </w:r>
    </w:p>
    <w:p w14:paraId="4FE24DA2" w14:textId="77777777" w:rsidR="00CF32B0" w:rsidRPr="002E492D" w:rsidRDefault="00CF32B0" w:rsidP="002E492D">
      <w:pPr>
        <w:spacing w:before="0"/>
        <w:rPr>
          <w:rFonts w:asciiTheme="minorHAnsi" w:hAnsiTheme="minorHAnsi" w:cstheme="minorHAnsi"/>
          <w:sz w:val="22"/>
          <w:szCs w:val="22"/>
        </w:rPr>
      </w:pPr>
      <w:r w:rsidRPr="002E492D">
        <w:rPr>
          <w:rFonts w:asciiTheme="minorHAnsi" w:hAnsiTheme="minorHAnsi" w:cstheme="minorHAnsi"/>
          <w:sz w:val="22"/>
          <w:szCs w:val="22"/>
        </w:rPr>
        <w:t>Odbudowa zniszczonych w wyniku powodzi dróg jest kluczowa dla funkcjonowania społeczności, w tym przedsiębiorstw. Realizacja inwestycji na drogach wojewódzkich po powodzi jest niezbędna dla przywrócenia sprawności komunikacyjnej, zapewnienia bezpieczeństwa oraz zrównoważonego rozwoju regionów dotkniętych powodzią. Poprawa infrastruktury drogowej zwiększy dostępność do rynków, co przyczyni się do odbudowy lokalnej gospodarki, w tym zatrudnienia.</w:t>
      </w:r>
      <w:bookmarkStart w:id="40" w:name="_Hlk179786491"/>
    </w:p>
    <w:p w14:paraId="37C92169" w14:textId="77777777" w:rsidR="00CF32B0" w:rsidRPr="002E492D" w:rsidRDefault="00CF32B0" w:rsidP="002E492D">
      <w:pPr>
        <w:spacing w:before="0"/>
        <w:rPr>
          <w:rFonts w:asciiTheme="minorHAnsi" w:hAnsiTheme="minorHAnsi" w:cstheme="minorHAnsi"/>
          <w:sz w:val="22"/>
          <w:szCs w:val="22"/>
        </w:rPr>
      </w:pPr>
    </w:p>
    <w:p w14:paraId="3A137FA7" w14:textId="7BB99FC2" w:rsidR="00CF32B0" w:rsidRPr="002E492D" w:rsidRDefault="003B7802" w:rsidP="002E492D">
      <w:pPr>
        <w:shd w:val="clear" w:color="auto" w:fill="D9D9D9" w:themeFill="background1" w:themeFillShade="D9"/>
        <w:spacing w:before="0"/>
        <w:rPr>
          <w:rFonts w:asciiTheme="minorHAnsi" w:hAnsiTheme="minorHAnsi" w:cstheme="minorHAnsi"/>
          <w:b/>
          <w:bCs/>
          <w:sz w:val="22"/>
          <w:szCs w:val="22"/>
        </w:rPr>
      </w:pPr>
      <w:r>
        <w:rPr>
          <w:rFonts w:asciiTheme="minorHAnsi" w:hAnsiTheme="minorHAnsi" w:cstheme="minorHAnsi"/>
          <w:b/>
          <w:bCs/>
          <w:sz w:val="22"/>
          <w:szCs w:val="22"/>
        </w:rPr>
        <w:t>I</w:t>
      </w:r>
      <w:r w:rsidRPr="002E492D">
        <w:rPr>
          <w:rFonts w:asciiTheme="minorHAnsi" w:hAnsiTheme="minorHAnsi" w:cstheme="minorHAnsi"/>
          <w:b/>
          <w:bCs/>
          <w:sz w:val="22"/>
          <w:szCs w:val="22"/>
        </w:rPr>
        <w:t xml:space="preserve">nfrastruktura społeczno-publiczna, w tym drogi lokalne </w:t>
      </w:r>
      <w:r w:rsidR="00931652">
        <w:rPr>
          <w:rFonts w:asciiTheme="minorHAnsi" w:hAnsiTheme="minorHAnsi" w:cstheme="minorHAnsi"/>
          <w:b/>
          <w:bCs/>
          <w:sz w:val="22"/>
          <w:szCs w:val="22"/>
        </w:rPr>
        <w:t>prowadzące do obiektów świadczących usługi społeczne</w:t>
      </w:r>
      <w:r w:rsidR="00CF32B0" w:rsidRPr="002E492D">
        <w:rPr>
          <w:rFonts w:asciiTheme="minorHAnsi" w:hAnsiTheme="minorHAnsi" w:cstheme="minorHAnsi"/>
          <w:b/>
          <w:bCs/>
          <w:sz w:val="22"/>
          <w:szCs w:val="22"/>
        </w:rPr>
        <w:t xml:space="preserve">: </w:t>
      </w:r>
    </w:p>
    <w:bookmarkEnd w:id="40"/>
    <w:p w14:paraId="19150096" w14:textId="2CB228F2" w:rsidR="00CF32B0" w:rsidRPr="002E492D" w:rsidRDefault="00CF32B0" w:rsidP="002E492D">
      <w:pPr>
        <w:spacing w:before="0"/>
        <w:rPr>
          <w:rFonts w:asciiTheme="minorHAnsi" w:hAnsiTheme="minorHAnsi" w:cstheme="minorHAnsi"/>
          <w:sz w:val="22"/>
          <w:szCs w:val="22"/>
          <w:shd w:val="clear" w:color="auto" w:fill="FFFFFF"/>
        </w:rPr>
      </w:pPr>
      <w:r w:rsidRPr="002E492D">
        <w:rPr>
          <w:rFonts w:asciiTheme="minorHAnsi" w:hAnsiTheme="minorHAnsi" w:cstheme="minorHAnsi"/>
          <w:sz w:val="22"/>
          <w:szCs w:val="22"/>
        </w:rPr>
        <w:t xml:space="preserve">Na Opolszczyźnie powódź spowodowała m.in. zniszczenia infrastruktury </w:t>
      </w:r>
      <w:r w:rsidR="00931652">
        <w:rPr>
          <w:rFonts w:asciiTheme="minorHAnsi" w:hAnsiTheme="minorHAnsi" w:cstheme="minorHAnsi"/>
          <w:sz w:val="22"/>
          <w:szCs w:val="22"/>
        </w:rPr>
        <w:t>społeczno-</w:t>
      </w:r>
      <w:r w:rsidRPr="002E492D">
        <w:rPr>
          <w:rFonts w:asciiTheme="minorHAnsi" w:hAnsiTheme="minorHAnsi" w:cstheme="minorHAnsi"/>
          <w:sz w:val="22"/>
          <w:szCs w:val="22"/>
        </w:rPr>
        <w:t xml:space="preserve">publicznej będącej w zasobach JST. Dotyczy to np. budynków, sprzętu i wyposażenia urzędów, infrastruktury edukacyjnej (np. żłobków, ośrodków wychowania przedszkolnego, szkół i placówek kształcenia ogólnego / zawodowego, szkół specjalnych oraz MOW-ów, MOS-ów, SOSW-ów, czy też społecznej (np. </w:t>
      </w:r>
      <w:r w:rsidRPr="002E492D">
        <w:rPr>
          <w:rFonts w:asciiTheme="minorHAnsi" w:hAnsiTheme="minorHAnsi" w:cstheme="minorHAnsi"/>
          <w:noProof/>
          <w:sz w:val="22"/>
          <w:szCs w:val="22"/>
        </w:rPr>
        <w:t xml:space="preserve">mieszania wspomagane / interwencyjne, domy dziennego pobytu, placówki wsparcia dziennego (np. świetlice </w:t>
      </w:r>
      <w:r w:rsidRPr="002E492D">
        <w:rPr>
          <w:rFonts w:asciiTheme="minorHAnsi" w:hAnsiTheme="minorHAnsi" w:cstheme="minorHAnsi"/>
          <w:noProof/>
          <w:sz w:val="22"/>
          <w:szCs w:val="22"/>
        </w:rPr>
        <w:lastRenderedPageBreak/>
        <w:t>teraupeutyczno-opiekuńcze), WTZ, ŚDS, placówki pieczy zastępczej, schronisko dla osób bezdomnych,)</w:t>
      </w:r>
      <w:r w:rsidR="00375FC0">
        <w:rPr>
          <w:rFonts w:asciiTheme="minorHAnsi" w:hAnsiTheme="minorHAnsi" w:cstheme="minorHAnsi"/>
          <w:noProof/>
          <w:sz w:val="22"/>
          <w:szCs w:val="22"/>
        </w:rPr>
        <w:t>.</w:t>
      </w:r>
    </w:p>
    <w:p w14:paraId="55C448F1" w14:textId="75BDD123" w:rsidR="00CF32B0" w:rsidRDefault="00CF32B0">
      <w:pPr>
        <w:spacing w:before="0"/>
        <w:rPr>
          <w:rFonts w:asciiTheme="minorHAnsi" w:hAnsiTheme="minorHAnsi" w:cstheme="minorHAnsi"/>
          <w:sz w:val="22"/>
          <w:szCs w:val="22"/>
        </w:rPr>
      </w:pPr>
      <w:r w:rsidRPr="002E492D">
        <w:rPr>
          <w:rFonts w:asciiTheme="minorHAnsi" w:hAnsiTheme="minorHAnsi" w:cstheme="minorHAnsi"/>
          <w:sz w:val="22"/>
          <w:szCs w:val="22"/>
        </w:rPr>
        <w:t xml:space="preserve">Wsparcie będzie ukierunkowane na odbudowę infrastruktury poprzez finansowanie prac budowlanych, a także odtworzenia zniszczonego, bądź zakupu nowego sprzętu i wyposażenia. Dopuszcza się budowę nowej infrastruktury, jeżeli jej odtworzenie w dotychczasowym miejscu jest nieuzasadnione np. z powodu zagrożenia potencjalnymi klęskami żywiołowymi. </w:t>
      </w:r>
      <w:bookmarkEnd w:id="35"/>
    </w:p>
    <w:p w14:paraId="39787960" w14:textId="043F4302" w:rsidR="00A725A6" w:rsidRDefault="00931652" w:rsidP="00A725A6">
      <w:pPr>
        <w:rPr>
          <w:rFonts w:asciiTheme="minorHAnsi" w:hAnsiTheme="minorHAnsi" w:cstheme="minorHAnsi"/>
          <w:sz w:val="22"/>
          <w:szCs w:val="18"/>
        </w:rPr>
      </w:pPr>
      <w:bookmarkStart w:id="41" w:name="_Hlk189480764"/>
      <w:r>
        <w:rPr>
          <w:rFonts w:asciiTheme="minorHAnsi" w:hAnsiTheme="minorHAnsi" w:cstheme="minorHAnsi"/>
          <w:sz w:val="22"/>
          <w:szCs w:val="18"/>
        </w:rPr>
        <w:t>W</w:t>
      </w:r>
      <w:r w:rsidR="00A725A6" w:rsidRPr="002E492D">
        <w:rPr>
          <w:rFonts w:asciiTheme="minorHAnsi" w:hAnsiTheme="minorHAnsi" w:cstheme="minorHAnsi"/>
          <w:sz w:val="22"/>
          <w:szCs w:val="18"/>
        </w:rPr>
        <w:t xml:space="preserve"> ramach interwencji wspierane będą </w:t>
      </w:r>
      <w:r>
        <w:rPr>
          <w:rFonts w:asciiTheme="minorHAnsi" w:hAnsiTheme="minorHAnsi" w:cstheme="minorHAnsi"/>
          <w:sz w:val="22"/>
          <w:szCs w:val="18"/>
        </w:rPr>
        <w:t xml:space="preserve">także </w:t>
      </w:r>
      <w:r w:rsidR="00A725A6" w:rsidRPr="002E492D">
        <w:rPr>
          <w:rFonts w:asciiTheme="minorHAnsi" w:hAnsiTheme="minorHAnsi" w:cstheme="minorHAnsi"/>
          <w:sz w:val="22"/>
          <w:szCs w:val="18"/>
        </w:rPr>
        <w:t xml:space="preserve">przedsięwzięcia polegające na przebudowie, remoncie i/lub modernizacji dróg lokalnych </w:t>
      </w:r>
      <w:r w:rsidR="00A725A6">
        <w:rPr>
          <w:rFonts w:asciiTheme="minorHAnsi" w:hAnsiTheme="minorHAnsi" w:cstheme="minorHAnsi"/>
          <w:sz w:val="22"/>
          <w:szCs w:val="18"/>
        </w:rPr>
        <w:t>(powiatowych i gminnych)</w:t>
      </w:r>
      <w:r w:rsidR="00375FC0">
        <w:rPr>
          <w:rFonts w:asciiTheme="minorHAnsi" w:hAnsiTheme="minorHAnsi" w:cstheme="minorHAnsi"/>
          <w:sz w:val="22"/>
          <w:szCs w:val="18"/>
        </w:rPr>
        <w:t xml:space="preserve">, </w:t>
      </w:r>
      <w:r>
        <w:rPr>
          <w:rFonts w:asciiTheme="minorHAnsi" w:hAnsiTheme="minorHAnsi" w:cstheme="minorHAnsi"/>
          <w:sz w:val="22"/>
          <w:szCs w:val="18"/>
        </w:rPr>
        <w:t>które prowadzą do</w:t>
      </w:r>
      <w:r w:rsidR="00A725A6" w:rsidRPr="002E492D">
        <w:rPr>
          <w:rFonts w:asciiTheme="minorHAnsi" w:hAnsiTheme="minorHAnsi" w:cstheme="minorHAnsi"/>
          <w:sz w:val="22"/>
          <w:szCs w:val="18"/>
        </w:rPr>
        <w:t xml:space="preserve"> obiektów </w:t>
      </w:r>
      <w:r>
        <w:rPr>
          <w:rFonts w:asciiTheme="minorHAnsi" w:hAnsiTheme="minorHAnsi" w:cstheme="minorHAnsi"/>
          <w:sz w:val="22"/>
          <w:szCs w:val="18"/>
        </w:rPr>
        <w:t xml:space="preserve">świadczących usługi społeczne (np. </w:t>
      </w:r>
      <w:r w:rsidR="00A725A6" w:rsidRPr="002E492D">
        <w:rPr>
          <w:rFonts w:asciiTheme="minorHAnsi" w:hAnsiTheme="minorHAnsi" w:cstheme="minorHAnsi"/>
          <w:sz w:val="22"/>
          <w:szCs w:val="18"/>
        </w:rPr>
        <w:t>edukacyjne, społeczne, zdrowotne</w:t>
      </w:r>
      <w:r>
        <w:rPr>
          <w:rFonts w:asciiTheme="minorHAnsi" w:hAnsiTheme="minorHAnsi" w:cstheme="minorHAnsi"/>
          <w:sz w:val="22"/>
          <w:szCs w:val="18"/>
        </w:rPr>
        <w:t>, kulturalne)</w:t>
      </w:r>
      <w:r w:rsidR="00A725A6" w:rsidRPr="002E492D">
        <w:rPr>
          <w:rFonts w:asciiTheme="minorHAnsi" w:hAnsiTheme="minorHAnsi" w:cstheme="minorHAnsi"/>
          <w:sz w:val="22"/>
          <w:szCs w:val="18"/>
        </w:rPr>
        <w:t xml:space="preserve">. </w:t>
      </w:r>
      <w:r w:rsidR="006E755D">
        <w:rPr>
          <w:rFonts w:asciiTheme="minorHAnsi" w:hAnsiTheme="minorHAnsi" w:cstheme="minorHAnsi"/>
          <w:sz w:val="22"/>
          <w:szCs w:val="18"/>
        </w:rPr>
        <w:t>Inwestycje</w:t>
      </w:r>
      <w:r w:rsidR="00A725A6" w:rsidRPr="002E492D">
        <w:rPr>
          <w:rFonts w:asciiTheme="minorHAnsi" w:hAnsiTheme="minorHAnsi" w:cstheme="minorHAnsi"/>
          <w:sz w:val="22"/>
          <w:szCs w:val="18"/>
        </w:rPr>
        <w:t xml:space="preserve"> z </w:t>
      </w:r>
      <w:r>
        <w:rPr>
          <w:rFonts w:asciiTheme="minorHAnsi" w:hAnsiTheme="minorHAnsi" w:cstheme="minorHAnsi"/>
          <w:sz w:val="22"/>
          <w:szCs w:val="18"/>
        </w:rPr>
        <w:t xml:space="preserve">niniejszego </w:t>
      </w:r>
      <w:r w:rsidR="00A725A6" w:rsidRPr="002E492D">
        <w:rPr>
          <w:rFonts w:asciiTheme="minorHAnsi" w:hAnsiTheme="minorHAnsi" w:cstheme="minorHAnsi"/>
          <w:sz w:val="22"/>
          <w:szCs w:val="18"/>
        </w:rPr>
        <w:t xml:space="preserve">obszaru ukierunkowane będą na odtworzenie po powodzi możliwości komunikacyjnych do </w:t>
      </w:r>
      <w:r>
        <w:rPr>
          <w:rFonts w:asciiTheme="minorHAnsi" w:hAnsiTheme="minorHAnsi" w:cstheme="minorHAnsi"/>
          <w:sz w:val="22"/>
          <w:szCs w:val="18"/>
        </w:rPr>
        <w:t xml:space="preserve">ww. </w:t>
      </w:r>
      <w:r w:rsidR="00A725A6" w:rsidRPr="002E492D">
        <w:rPr>
          <w:rFonts w:asciiTheme="minorHAnsi" w:hAnsiTheme="minorHAnsi" w:cstheme="minorHAnsi"/>
          <w:sz w:val="22"/>
          <w:szCs w:val="18"/>
        </w:rPr>
        <w:t>obiektów</w:t>
      </w:r>
      <w:r>
        <w:rPr>
          <w:rFonts w:asciiTheme="minorHAnsi" w:hAnsiTheme="minorHAnsi" w:cstheme="minorHAnsi"/>
          <w:sz w:val="22"/>
          <w:szCs w:val="18"/>
        </w:rPr>
        <w:t xml:space="preserve">. </w:t>
      </w:r>
    </w:p>
    <w:bookmarkEnd w:id="41"/>
    <w:p w14:paraId="60777B7A" w14:textId="77777777" w:rsidR="00931652" w:rsidRDefault="00931652" w:rsidP="00931652">
      <w:pPr>
        <w:spacing w:before="0"/>
        <w:rPr>
          <w:rFonts w:asciiTheme="minorHAnsi" w:hAnsiTheme="minorHAnsi" w:cstheme="minorHAnsi"/>
          <w:b/>
          <w:bCs/>
          <w:noProof/>
          <w:sz w:val="22"/>
          <w:szCs w:val="22"/>
        </w:rPr>
      </w:pPr>
    </w:p>
    <w:p w14:paraId="39D9A53B" w14:textId="62C8D5CE" w:rsidR="00CF32B0" w:rsidRPr="002E492D" w:rsidRDefault="00CF32B0" w:rsidP="002E492D">
      <w:pPr>
        <w:spacing w:before="0"/>
        <w:rPr>
          <w:rFonts w:asciiTheme="minorHAnsi" w:hAnsiTheme="minorHAnsi" w:cstheme="minorHAnsi"/>
          <w:b/>
          <w:bCs/>
          <w:noProof/>
          <w:sz w:val="22"/>
          <w:szCs w:val="22"/>
        </w:rPr>
      </w:pPr>
      <w:r w:rsidRPr="002E492D">
        <w:rPr>
          <w:rFonts w:asciiTheme="minorHAnsi" w:hAnsiTheme="minorHAnsi" w:cstheme="minorHAnsi"/>
          <w:b/>
          <w:bCs/>
          <w:noProof/>
          <w:sz w:val="22"/>
          <w:szCs w:val="22"/>
        </w:rPr>
        <w:t>Planowane typy przedsięwzięć:</w:t>
      </w:r>
    </w:p>
    <w:p w14:paraId="612B7B01" w14:textId="77777777" w:rsidR="00CF32B0" w:rsidRDefault="00CF32B0" w:rsidP="002E492D">
      <w:pPr>
        <w:pStyle w:val="Akapitzlist"/>
        <w:numPr>
          <w:ilvl w:val="0"/>
          <w:numId w:val="189"/>
        </w:numPr>
        <w:spacing w:before="0"/>
        <w:ind w:left="426"/>
        <w:contextualSpacing w:val="0"/>
        <w:rPr>
          <w:rFonts w:asciiTheme="minorHAnsi" w:hAnsiTheme="minorHAnsi" w:cstheme="minorHAnsi"/>
          <w:noProof/>
          <w:sz w:val="22"/>
          <w:szCs w:val="22"/>
        </w:rPr>
      </w:pPr>
      <w:r w:rsidRPr="002E492D">
        <w:rPr>
          <w:rFonts w:asciiTheme="minorHAnsi" w:hAnsiTheme="minorHAnsi" w:cstheme="minorHAnsi"/>
          <w:noProof/>
          <w:sz w:val="22"/>
          <w:szCs w:val="22"/>
        </w:rPr>
        <w:t>budowa / przebudowa / modernizacja dróg wojewódzkich wraz z niezbędną infrastrukturą towarzyszącą (w tym mostów, przepustów),</w:t>
      </w:r>
    </w:p>
    <w:p w14:paraId="085E1CF1" w14:textId="5CFA9665" w:rsidR="00CF32B0" w:rsidRPr="002E492D" w:rsidRDefault="00CF32B0" w:rsidP="002E492D">
      <w:pPr>
        <w:pStyle w:val="Akapitzlist"/>
        <w:numPr>
          <w:ilvl w:val="0"/>
          <w:numId w:val="189"/>
        </w:numPr>
        <w:spacing w:before="0"/>
        <w:ind w:left="426"/>
        <w:contextualSpacing w:val="0"/>
        <w:rPr>
          <w:rFonts w:asciiTheme="minorHAnsi" w:hAnsiTheme="minorHAnsi" w:cstheme="minorHAnsi"/>
          <w:noProof/>
          <w:sz w:val="22"/>
          <w:szCs w:val="22"/>
        </w:rPr>
      </w:pPr>
      <w:r w:rsidRPr="002E492D">
        <w:rPr>
          <w:rFonts w:asciiTheme="minorHAnsi" w:hAnsiTheme="minorHAnsi" w:cstheme="minorHAnsi"/>
          <w:noProof/>
          <w:sz w:val="22"/>
          <w:szCs w:val="22"/>
        </w:rPr>
        <w:t xml:space="preserve">inwestycje w infrastrukturę OSP, np. remiz strażackich m.in. w zakresie budowy, odbudowy, remontu, przebudowy zniszczonych w wyniku powodzi budynków, </w:t>
      </w:r>
    </w:p>
    <w:p w14:paraId="29FC4F8A" w14:textId="77777777" w:rsidR="002E492D" w:rsidRDefault="00CF32B0" w:rsidP="002E492D">
      <w:pPr>
        <w:pStyle w:val="Akapitzlist"/>
        <w:numPr>
          <w:ilvl w:val="0"/>
          <w:numId w:val="189"/>
        </w:numPr>
        <w:spacing w:before="0"/>
        <w:ind w:left="426"/>
        <w:contextualSpacing w:val="0"/>
        <w:rPr>
          <w:rFonts w:asciiTheme="minorHAnsi" w:hAnsiTheme="minorHAnsi" w:cstheme="minorHAnsi"/>
          <w:noProof/>
          <w:sz w:val="22"/>
          <w:szCs w:val="22"/>
        </w:rPr>
      </w:pPr>
      <w:r w:rsidRPr="002E492D">
        <w:rPr>
          <w:rFonts w:asciiTheme="minorHAnsi" w:hAnsiTheme="minorHAnsi" w:cstheme="minorHAnsi"/>
          <w:noProof/>
          <w:sz w:val="22"/>
          <w:szCs w:val="22"/>
        </w:rPr>
        <w:t xml:space="preserve">odtworzenie gotowości bojowej jednostek OSP poprzez naprawę, zakup samochodów ratowniczo-gaśniczych oraz sprzętu i wyposażenia do prowadzenia akcji m.in. ratowniczych i usuwania skutków zjawisk katastrofalnych, </w:t>
      </w:r>
    </w:p>
    <w:p w14:paraId="32AA1A68" w14:textId="7F843511" w:rsidR="002E492D" w:rsidRDefault="00CF32B0" w:rsidP="002E492D">
      <w:pPr>
        <w:pStyle w:val="Akapitzlist"/>
        <w:numPr>
          <w:ilvl w:val="0"/>
          <w:numId w:val="189"/>
        </w:numPr>
        <w:spacing w:before="0"/>
        <w:ind w:left="426"/>
        <w:contextualSpacing w:val="0"/>
        <w:rPr>
          <w:rFonts w:asciiTheme="minorHAnsi" w:hAnsiTheme="minorHAnsi" w:cstheme="minorHAnsi"/>
          <w:noProof/>
          <w:sz w:val="22"/>
          <w:szCs w:val="22"/>
        </w:rPr>
      </w:pPr>
      <w:r w:rsidRPr="002E492D">
        <w:rPr>
          <w:rFonts w:asciiTheme="minorHAnsi" w:hAnsiTheme="minorHAnsi" w:cstheme="minorHAnsi"/>
          <w:noProof/>
          <w:sz w:val="22"/>
          <w:szCs w:val="22"/>
        </w:rPr>
        <w:t xml:space="preserve">inwestycje w infrastrukturę </w:t>
      </w:r>
      <w:r w:rsidR="006E755D" w:rsidRPr="002E492D">
        <w:rPr>
          <w:rFonts w:asciiTheme="minorHAnsi" w:hAnsiTheme="minorHAnsi" w:cstheme="minorHAnsi"/>
          <w:noProof/>
          <w:sz w:val="22"/>
          <w:szCs w:val="22"/>
        </w:rPr>
        <w:t>społeczo-publiczną</w:t>
      </w:r>
      <w:r w:rsidRPr="002E492D">
        <w:rPr>
          <w:rFonts w:asciiTheme="minorHAnsi" w:hAnsiTheme="minorHAnsi" w:cstheme="minorHAnsi"/>
          <w:noProof/>
          <w:sz w:val="22"/>
          <w:szCs w:val="22"/>
        </w:rPr>
        <w:t xml:space="preserve"> będąc</w:t>
      </w:r>
      <w:r w:rsidR="006E755D" w:rsidRPr="002E492D">
        <w:rPr>
          <w:rFonts w:asciiTheme="minorHAnsi" w:hAnsiTheme="minorHAnsi" w:cstheme="minorHAnsi"/>
          <w:noProof/>
          <w:sz w:val="22"/>
          <w:szCs w:val="22"/>
        </w:rPr>
        <w:t>ą</w:t>
      </w:r>
      <w:r w:rsidRPr="002E492D">
        <w:rPr>
          <w:rFonts w:asciiTheme="minorHAnsi" w:hAnsiTheme="minorHAnsi" w:cstheme="minorHAnsi"/>
          <w:noProof/>
          <w:sz w:val="22"/>
          <w:szCs w:val="22"/>
        </w:rPr>
        <w:t xml:space="preserve"> w zasobach JST m.in. w zakresie budowy, odbudowy, remontu, przebudowy zniszczonych w wyniku powodzi budynków, a także naprawa, zakup sprzętu i wyposażenia – dotyczy to m.in. urzędów, żłobków, ośrodków wychowania przedszkolnego, szkół / placówek kształcenia ogólnego, zawodowego i ustawicznego oraz OPS-ów, domów kultury, bibliotek, świetlic</w:t>
      </w:r>
      <w:r w:rsidR="006E755D" w:rsidRPr="002E492D">
        <w:rPr>
          <w:rFonts w:asciiTheme="minorHAnsi" w:hAnsiTheme="minorHAnsi" w:cstheme="minorHAnsi"/>
          <w:noProof/>
          <w:sz w:val="22"/>
          <w:szCs w:val="22"/>
        </w:rPr>
        <w:t>,</w:t>
      </w:r>
      <w:r w:rsidR="002E492D" w:rsidRPr="00F62734">
        <w:rPr>
          <w:rFonts w:asciiTheme="minorHAnsi" w:hAnsiTheme="minorHAnsi" w:cstheme="minorHAnsi"/>
          <w:noProof/>
          <w:sz w:val="22"/>
          <w:szCs w:val="22"/>
        </w:rPr>
        <w:t>budowa / przebudowa / modernizacja dróg lokalnych (powiatowych i gminnych) wraz z infrastrukturą towarzyszącą – prowadzących</w:t>
      </w:r>
      <w:r w:rsidR="002E492D" w:rsidRPr="00F62734">
        <w:rPr>
          <w:rFonts w:asciiTheme="minorHAnsi" w:hAnsiTheme="minorHAnsi" w:cstheme="minorHAnsi"/>
          <w:sz w:val="22"/>
          <w:szCs w:val="22"/>
        </w:rPr>
        <w:t xml:space="preserve"> do obiektów świadczących usługi społeczne</w:t>
      </w:r>
      <w:r w:rsidR="002E492D" w:rsidRPr="00F62734">
        <w:rPr>
          <w:rFonts w:asciiTheme="minorHAnsi" w:hAnsiTheme="minorHAnsi" w:cstheme="minorHAnsi"/>
          <w:noProof/>
          <w:sz w:val="22"/>
          <w:szCs w:val="22"/>
        </w:rPr>
        <w:t>.</w:t>
      </w:r>
    </w:p>
    <w:p w14:paraId="2994694A" w14:textId="77777777" w:rsidR="00CF32B0" w:rsidRPr="002E492D" w:rsidRDefault="00CF32B0" w:rsidP="002E492D">
      <w:pPr>
        <w:pStyle w:val="Tekstpodstawowy"/>
        <w:spacing w:before="0"/>
        <w:rPr>
          <w:rFonts w:asciiTheme="minorHAnsi" w:hAnsiTheme="minorHAnsi" w:cstheme="minorHAnsi"/>
          <w:noProof/>
          <w:sz w:val="22"/>
          <w:szCs w:val="22"/>
        </w:rPr>
      </w:pPr>
      <w:r w:rsidRPr="002E492D">
        <w:rPr>
          <w:rFonts w:asciiTheme="minorHAnsi" w:hAnsiTheme="minorHAnsi" w:cstheme="minorHAnsi"/>
          <w:noProof/>
          <w:sz w:val="22"/>
          <w:szCs w:val="22"/>
        </w:rPr>
        <w:t xml:space="preserve">Realizowane  przedsięwzięcia są zgodne z zasadą DNSH. Ze względu na ich charakter przyjmuje się, że nie mają negatywnego wpływu na środowisko. </w:t>
      </w:r>
    </w:p>
    <w:p w14:paraId="3D97FAAC" w14:textId="77777777" w:rsidR="00CF32B0" w:rsidRPr="002E492D" w:rsidRDefault="00CF32B0" w:rsidP="002E492D">
      <w:pPr>
        <w:spacing w:before="0"/>
        <w:rPr>
          <w:rFonts w:asciiTheme="minorHAnsi" w:hAnsiTheme="minorHAnsi" w:cstheme="minorHAnsi"/>
          <w:b/>
          <w:noProof/>
          <w:color w:val="2F5496"/>
          <w:sz w:val="22"/>
          <w:szCs w:val="22"/>
        </w:rPr>
      </w:pPr>
      <w:r w:rsidRPr="002E492D">
        <w:rPr>
          <w:rFonts w:asciiTheme="minorHAnsi" w:hAnsiTheme="minorHAnsi" w:cstheme="minorHAnsi"/>
          <w:b/>
          <w:noProof/>
          <w:color w:val="2F5496"/>
          <w:sz w:val="22"/>
          <w:szCs w:val="22"/>
        </w:rPr>
        <w:t>Główne grupy docelowe</w:t>
      </w:r>
    </w:p>
    <w:p w14:paraId="4B02DD99" w14:textId="727DF21F" w:rsidR="00CF32B0" w:rsidRPr="002E492D" w:rsidRDefault="005F409A" w:rsidP="002E492D">
      <w:pPr>
        <w:spacing w:before="0"/>
        <w:rPr>
          <w:rFonts w:asciiTheme="minorHAnsi" w:hAnsiTheme="minorHAnsi" w:cstheme="minorHAnsi"/>
          <w:noProof/>
          <w:sz w:val="22"/>
          <w:szCs w:val="22"/>
        </w:rPr>
      </w:pPr>
      <w:r>
        <w:rPr>
          <w:rFonts w:asciiTheme="minorHAnsi" w:hAnsiTheme="minorHAnsi" w:cstheme="minorHAnsi"/>
          <w:noProof/>
          <w:sz w:val="22"/>
          <w:szCs w:val="22"/>
        </w:rPr>
        <w:t>J</w:t>
      </w:r>
      <w:r w:rsidR="00CF32B0" w:rsidRPr="002E492D">
        <w:rPr>
          <w:rFonts w:asciiTheme="minorHAnsi" w:hAnsiTheme="minorHAnsi" w:cstheme="minorHAnsi"/>
          <w:noProof/>
          <w:sz w:val="22"/>
          <w:szCs w:val="22"/>
        </w:rPr>
        <w:t>ednostki samorządu terytorialnego, jednostki organizacyjne jednostek samorządu terytorialnego, turyści, przedsiębiorcy, mieszkańcy regionu, Ochotnicze Straże Pożarne.</w:t>
      </w:r>
    </w:p>
    <w:p w14:paraId="2D0BC587" w14:textId="77777777" w:rsidR="00CF32B0" w:rsidRPr="002E492D" w:rsidRDefault="00CF32B0" w:rsidP="002E492D">
      <w:pPr>
        <w:spacing w:before="0"/>
        <w:rPr>
          <w:rFonts w:asciiTheme="minorHAnsi" w:hAnsiTheme="minorHAnsi" w:cstheme="minorHAnsi"/>
          <w:b/>
          <w:noProof/>
          <w:color w:val="2F5496"/>
          <w:sz w:val="22"/>
          <w:szCs w:val="22"/>
        </w:rPr>
      </w:pPr>
      <w:r w:rsidRPr="002E492D">
        <w:rPr>
          <w:rFonts w:asciiTheme="minorHAnsi" w:hAnsiTheme="minorHAnsi" w:cstheme="minorHAnsi"/>
          <w:b/>
          <w:noProof/>
          <w:color w:val="2F5496"/>
          <w:sz w:val="22"/>
          <w:szCs w:val="22"/>
        </w:rPr>
        <w:t>Działania na rzecz zapewnienia równości, włączenia społecznego i niedyskryminacji</w:t>
      </w:r>
    </w:p>
    <w:p w14:paraId="37A5940D" w14:textId="77777777" w:rsidR="00CF32B0" w:rsidRPr="002E492D" w:rsidRDefault="00CF32B0" w:rsidP="002E492D">
      <w:pPr>
        <w:spacing w:before="0"/>
        <w:rPr>
          <w:rFonts w:asciiTheme="minorHAnsi" w:hAnsiTheme="minorHAnsi" w:cstheme="minorHAnsi"/>
          <w:sz w:val="22"/>
          <w:szCs w:val="22"/>
        </w:rPr>
      </w:pPr>
      <w:bookmarkStart w:id="42" w:name="_Hlk179783587"/>
      <w:r w:rsidRPr="002E492D">
        <w:rPr>
          <w:rFonts w:asciiTheme="minorHAnsi" w:hAnsiTheme="minorHAnsi" w:cstheme="minorHAnsi"/>
          <w:noProof/>
          <w:sz w:val="22"/>
          <w:szCs w:val="22"/>
        </w:rPr>
        <w:t xml:space="preserve">Wszędzie tam, gdzie będzie to możliwe, interwencje zaplanowane w obszarze działań naprawczych po powodzi na terenie województwa opolskiego, będą </w:t>
      </w:r>
      <w:r w:rsidRPr="002E492D">
        <w:rPr>
          <w:rFonts w:asciiTheme="minorHAnsi" w:hAnsiTheme="minorHAnsi" w:cstheme="minorHAnsi"/>
          <w:sz w:val="22"/>
          <w:szCs w:val="22"/>
        </w:rPr>
        <w:t>realizowane z poszanowaniem praw człowieka określonych w Karcie Praw Podstawowych Unii Europejskiej, w tym m.in.: niedyskryminacją, równością kobiet i mężczyzn, integracją osób niepełnosprawnych, a d</w:t>
      </w:r>
      <w:r w:rsidRPr="002E492D">
        <w:rPr>
          <w:rFonts w:asciiTheme="minorHAnsi" w:hAnsiTheme="minorHAnsi" w:cstheme="minorHAnsi"/>
          <w:noProof/>
          <w:sz w:val="22"/>
          <w:szCs w:val="22"/>
        </w:rPr>
        <w:t>ziałania obejmować będą m.in. konieczność zapewnienia równego dostępu do produktów, rezultatów projektu dla wszystkich odbiorców poprzez wymóg zasady uniwersalnego projektowania.</w:t>
      </w:r>
    </w:p>
    <w:bookmarkEnd w:id="42"/>
    <w:p w14:paraId="7A833357" w14:textId="77777777" w:rsidR="00CF32B0" w:rsidRPr="002E492D" w:rsidRDefault="00CF32B0" w:rsidP="002E492D">
      <w:pPr>
        <w:spacing w:before="0"/>
        <w:rPr>
          <w:rFonts w:asciiTheme="minorHAnsi" w:hAnsiTheme="minorHAnsi" w:cstheme="minorHAnsi"/>
          <w:b/>
          <w:noProof/>
          <w:color w:val="2F5496"/>
          <w:sz w:val="22"/>
          <w:szCs w:val="22"/>
        </w:rPr>
      </w:pPr>
      <w:r w:rsidRPr="002E492D">
        <w:rPr>
          <w:rFonts w:asciiTheme="minorHAnsi" w:hAnsiTheme="minorHAnsi" w:cstheme="minorHAnsi"/>
          <w:b/>
          <w:noProof/>
          <w:color w:val="2F5496"/>
          <w:sz w:val="22"/>
          <w:szCs w:val="22"/>
        </w:rPr>
        <w:t>Wskazanie konkretnych terytoriów objętych wsparciem, z uwzględnieniem planowanego wykorzystania narzędzi terytorialnych</w:t>
      </w:r>
    </w:p>
    <w:p w14:paraId="68067088" w14:textId="77777777" w:rsidR="00CF32B0" w:rsidRPr="002E492D" w:rsidRDefault="00CF32B0" w:rsidP="002E492D">
      <w:pPr>
        <w:spacing w:before="0"/>
        <w:rPr>
          <w:rFonts w:asciiTheme="minorHAnsi" w:hAnsiTheme="minorHAnsi" w:cstheme="minorHAnsi"/>
          <w:noProof/>
          <w:sz w:val="22"/>
          <w:szCs w:val="22"/>
        </w:rPr>
      </w:pPr>
      <w:r w:rsidRPr="002E492D">
        <w:rPr>
          <w:rFonts w:asciiTheme="minorHAnsi" w:hAnsiTheme="minorHAnsi" w:cstheme="minorHAnsi"/>
          <w:noProof/>
          <w:sz w:val="22"/>
          <w:szCs w:val="22"/>
        </w:rPr>
        <w:t xml:space="preserve">Wsparciem zostanie objęty obszar województwa dotknięty powodzią. </w:t>
      </w:r>
    </w:p>
    <w:p w14:paraId="67740A56" w14:textId="77777777" w:rsidR="00CF32B0" w:rsidRPr="002E492D" w:rsidRDefault="00CF32B0" w:rsidP="002E492D">
      <w:pPr>
        <w:spacing w:before="0"/>
        <w:rPr>
          <w:rFonts w:asciiTheme="minorHAnsi" w:hAnsiTheme="minorHAnsi" w:cstheme="minorHAnsi"/>
          <w:b/>
          <w:noProof/>
          <w:color w:val="2F5496"/>
          <w:sz w:val="22"/>
          <w:szCs w:val="22"/>
        </w:rPr>
      </w:pPr>
      <w:r w:rsidRPr="002E492D">
        <w:rPr>
          <w:rFonts w:asciiTheme="minorHAnsi" w:hAnsiTheme="minorHAnsi" w:cstheme="minorHAnsi"/>
          <w:b/>
          <w:noProof/>
          <w:color w:val="2F5496"/>
          <w:sz w:val="22"/>
          <w:szCs w:val="22"/>
        </w:rPr>
        <w:t>Działania międzyregionalne, transgraniczne i transnarodowe</w:t>
      </w:r>
    </w:p>
    <w:p w14:paraId="21A4D26A" w14:textId="77777777" w:rsidR="00CF32B0" w:rsidRPr="002E492D" w:rsidRDefault="00CF32B0" w:rsidP="002E492D">
      <w:pPr>
        <w:spacing w:before="0"/>
        <w:rPr>
          <w:rFonts w:asciiTheme="minorHAnsi" w:hAnsiTheme="minorHAnsi" w:cstheme="minorHAnsi"/>
          <w:noProof/>
          <w:sz w:val="22"/>
          <w:szCs w:val="22"/>
        </w:rPr>
      </w:pPr>
      <w:r w:rsidRPr="002E492D">
        <w:rPr>
          <w:rFonts w:asciiTheme="minorHAnsi" w:hAnsiTheme="minorHAnsi" w:cstheme="minorHAnsi"/>
          <w:noProof/>
          <w:sz w:val="22"/>
          <w:szCs w:val="22"/>
        </w:rPr>
        <w:lastRenderedPageBreak/>
        <w:t>Wszędzie tam, gdzie będzie to możliwe, interwencje zaplanowane w obszarze działań naprawczych po powodzi na terenie województwa opolskiego, będą przyczyniać się do poprawy jakości życia poprzez zwiększanie dostępności do usług edukacyjnych i społecznych, wysokiej jakości miejsc pracy oraz odbudowy infrastruktury drogowej, w tym na pograniczu polsko-czeskim, które w sposób szczególny ucierpiało w skutek powodzi.</w:t>
      </w:r>
    </w:p>
    <w:p w14:paraId="4B28F0B1" w14:textId="77777777" w:rsidR="00CF32B0" w:rsidRPr="002E492D" w:rsidRDefault="00CF32B0" w:rsidP="002E492D">
      <w:pPr>
        <w:spacing w:before="0"/>
        <w:rPr>
          <w:rFonts w:asciiTheme="minorHAnsi" w:hAnsiTheme="minorHAnsi" w:cstheme="minorHAnsi"/>
          <w:noProof/>
          <w:sz w:val="22"/>
          <w:szCs w:val="22"/>
        </w:rPr>
      </w:pPr>
      <w:r w:rsidRPr="002E492D">
        <w:rPr>
          <w:rFonts w:asciiTheme="minorHAnsi" w:hAnsiTheme="minorHAnsi" w:cstheme="minorHAnsi"/>
          <w:noProof/>
          <w:sz w:val="22"/>
          <w:szCs w:val="22"/>
        </w:rPr>
        <w:t>Wszędzie tam gdzie będzie to możliwe, wsparcie popowodziowe będzie się uzupełniać, a zarazem powodować efekt synergii z interwencją wskazaną w programach współpracy transgranicznej Interreg Czechy-Polska 2021-2027 oraz Interreg Region Morza Bałtyckiego 2021-2027.</w:t>
      </w:r>
    </w:p>
    <w:p w14:paraId="1EA3B35A" w14:textId="75542CD1" w:rsidR="00CF32B0" w:rsidRPr="002E492D" w:rsidRDefault="00CF32B0" w:rsidP="002E492D">
      <w:pPr>
        <w:spacing w:before="0"/>
        <w:rPr>
          <w:rFonts w:asciiTheme="minorHAnsi" w:hAnsiTheme="minorHAnsi" w:cstheme="minorHAnsi"/>
          <w:b/>
          <w:noProof/>
          <w:color w:val="2F5496"/>
          <w:sz w:val="22"/>
          <w:szCs w:val="22"/>
        </w:rPr>
      </w:pPr>
      <w:r w:rsidRPr="002E492D">
        <w:rPr>
          <w:rFonts w:asciiTheme="minorHAnsi" w:hAnsiTheme="minorHAnsi" w:cstheme="minorHAnsi"/>
          <w:noProof/>
          <w:sz w:val="22"/>
          <w:szCs w:val="22"/>
        </w:rPr>
        <w:t xml:space="preserve"> </w:t>
      </w:r>
      <w:r w:rsidRPr="002E492D">
        <w:rPr>
          <w:rFonts w:asciiTheme="minorHAnsi" w:hAnsiTheme="minorHAnsi" w:cstheme="minorHAnsi"/>
          <w:b/>
          <w:noProof/>
          <w:color w:val="2F5496"/>
          <w:sz w:val="22"/>
          <w:szCs w:val="22"/>
        </w:rPr>
        <w:t>Planowane wykorzystanie instrumentów finansowych</w:t>
      </w:r>
    </w:p>
    <w:p w14:paraId="526D2AB8" w14:textId="77777777" w:rsidR="00CF32B0" w:rsidRPr="002E492D" w:rsidRDefault="00CF32B0" w:rsidP="002E492D">
      <w:pPr>
        <w:spacing w:before="0"/>
        <w:rPr>
          <w:rFonts w:asciiTheme="minorHAnsi" w:hAnsiTheme="minorHAnsi" w:cstheme="minorHAnsi"/>
          <w:bCs/>
          <w:noProof/>
          <w:sz w:val="22"/>
          <w:szCs w:val="22"/>
        </w:rPr>
      </w:pPr>
      <w:r w:rsidRPr="002E492D">
        <w:rPr>
          <w:rFonts w:asciiTheme="minorHAnsi" w:hAnsiTheme="minorHAnsi" w:cstheme="minorHAnsi"/>
          <w:bCs/>
          <w:noProof/>
          <w:sz w:val="22"/>
          <w:szCs w:val="22"/>
        </w:rPr>
        <w:t xml:space="preserve">Obszary planowane do wsparcie obejmują działania mające na celu wsparcie popowodziowe realizowane w ogólnym interesie publicznym, tj. uznane jako niezbędne i mające szczególne znaczenie dla funkcjonowania społeczności lokalnej / regionalnej oraz warunkujące realizację jej istotnych potrzeb. </w:t>
      </w:r>
    </w:p>
    <w:p w14:paraId="410CA970" w14:textId="77777777" w:rsidR="00CF32B0" w:rsidRPr="002E492D" w:rsidRDefault="00CF32B0" w:rsidP="002E492D">
      <w:pPr>
        <w:spacing w:before="0"/>
        <w:rPr>
          <w:rFonts w:asciiTheme="minorHAnsi" w:hAnsiTheme="minorHAnsi" w:cstheme="minorHAnsi"/>
          <w:bCs/>
          <w:noProof/>
          <w:sz w:val="22"/>
          <w:szCs w:val="22"/>
        </w:rPr>
      </w:pPr>
      <w:r w:rsidRPr="002E492D">
        <w:rPr>
          <w:rFonts w:asciiTheme="minorHAnsi" w:hAnsiTheme="minorHAnsi" w:cstheme="minorHAnsi"/>
          <w:bCs/>
          <w:noProof/>
          <w:sz w:val="22"/>
          <w:szCs w:val="22"/>
        </w:rPr>
        <w:t xml:space="preserve">W związku z powyzszym zidentyfikowane potrzeby inwestycyjne sfinansowane zostaną w formie dotacji. </w:t>
      </w:r>
    </w:p>
    <w:p w14:paraId="1DCD0A4D" w14:textId="77777777" w:rsidR="00CF32B0" w:rsidRPr="002E492D" w:rsidRDefault="00CF32B0" w:rsidP="002E492D">
      <w:pPr>
        <w:spacing w:before="0"/>
        <w:rPr>
          <w:rFonts w:asciiTheme="minorHAnsi" w:hAnsiTheme="minorHAnsi" w:cstheme="minorHAnsi"/>
          <w:b/>
          <w:noProof/>
          <w:sz w:val="22"/>
          <w:szCs w:val="22"/>
        </w:rPr>
      </w:pPr>
      <w:r w:rsidRPr="002E492D">
        <w:rPr>
          <w:rFonts w:asciiTheme="minorHAnsi" w:hAnsiTheme="minorHAnsi" w:cstheme="minorHAnsi"/>
          <w:b/>
          <w:noProof/>
          <w:sz w:val="22"/>
          <w:szCs w:val="22"/>
        </w:rPr>
        <w:br w:type="page"/>
      </w:r>
    </w:p>
    <w:p w14:paraId="5E10F2EE" w14:textId="65CBAFB1" w:rsidR="00CF32B0" w:rsidRDefault="00CF32B0" w:rsidP="00CF32B0">
      <w:pPr>
        <w:spacing w:before="240" w:after="240"/>
        <w:rPr>
          <w:rFonts w:ascii="Calibri" w:hAnsi="Calibri" w:cs="Calibri"/>
          <w:b/>
          <w:noProof/>
        </w:rPr>
      </w:pPr>
      <w:r w:rsidRPr="00A4473F">
        <w:rPr>
          <w:rFonts w:ascii="Calibri" w:hAnsi="Calibri" w:cs="Calibri"/>
          <w:b/>
          <w:noProof/>
        </w:rPr>
        <w:lastRenderedPageBreak/>
        <w:t>2.1.1</w:t>
      </w:r>
      <w:r w:rsidR="00710A20">
        <w:rPr>
          <w:rFonts w:ascii="Calibri" w:hAnsi="Calibri" w:cs="Calibri"/>
          <w:b/>
          <w:noProof/>
        </w:rPr>
        <w:t>3</w:t>
      </w:r>
      <w:r w:rsidRPr="00A4473F">
        <w:rPr>
          <w:rFonts w:ascii="Calibri" w:hAnsi="Calibri" w:cs="Calibri"/>
          <w:b/>
          <w:noProof/>
        </w:rPr>
        <w:t>.1.2 (</w:t>
      </w:r>
      <w:r w:rsidR="00710A20">
        <w:rPr>
          <w:rFonts w:ascii="Calibri" w:hAnsi="Calibri" w:cs="Calibri"/>
          <w:b/>
          <w:noProof/>
        </w:rPr>
        <w:t>x</w:t>
      </w:r>
      <w:r w:rsidRPr="00A4473F">
        <w:rPr>
          <w:rFonts w:ascii="Calibri" w:hAnsi="Calibri" w:cs="Calibri"/>
          <w:b/>
          <w:noProof/>
        </w:rPr>
        <w:t>) Wskaźniki</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969"/>
        <w:gridCol w:w="692"/>
        <w:gridCol w:w="967"/>
        <w:gridCol w:w="830"/>
        <w:gridCol w:w="2212"/>
        <w:gridCol w:w="830"/>
        <w:gridCol w:w="1245"/>
        <w:gridCol w:w="1368"/>
      </w:tblGrid>
      <w:tr w:rsidR="00CF32B0" w:rsidRPr="00710A20" w14:paraId="1B5C70BE" w14:textId="77777777" w:rsidTr="00022FA5">
        <w:trPr>
          <w:trHeight w:val="425"/>
          <w:tblHeader/>
        </w:trPr>
        <w:tc>
          <w:tcPr>
            <w:tcW w:w="5000" w:type="pct"/>
            <w:gridSpan w:val="9"/>
            <w:shd w:val="clear" w:color="auto" w:fill="D9D9D9" w:themeFill="background1" w:themeFillShade="D9"/>
          </w:tcPr>
          <w:p w14:paraId="4B446ED3" w14:textId="77777777" w:rsidR="00CF32B0" w:rsidRPr="00F62734" w:rsidRDefault="00CF32B0" w:rsidP="00022FA5">
            <w:pPr>
              <w:rPr>
                <w:rFonts w:asciiTheme="minorHAnsi" w:hAnsiTheme="minorHAnsi" w:cstheme="minorHAnsi"/>
                <w:b/>
                <w:noProof/>
                <w:sz w:val="20"/>
              </w:rPr>
            </w:pPr>
            <w:r w:rsidRPr="00F62734">
              <w:rPr>
                <w:rFonts w:asciiTheme="minorHAnsi" w:hAnsiTheme="minorHAnsi" w:cstheme="minorHAnsi"/>
                <w:b/>
                <w:noProof/>
                <w:sz w:val="20"/>
              </w:rPr>
              <w:t>Tabela 2: Wskaźniki produktu</w:t>
            </w:r>
          </w:p>
        </w:tc>
      </w:tr>
      <w:tr w:rsidR="00710A20" w:rsidRPr="00710A20" w14:paraId="5671535F" w14:textId="77777777" w:rsidTr="00710A20">
        <w:trPr>
          <w:cantSplit/>
          <w:trHeight w:val="1647"/>
          <w:tblHeader/>
        </w:trPr>
        <w:tc>
          <w:tcPr>
            <w:tcW w:w="270" w:type="pct"/>
            <w:shd w:val="clear" w:color="auto" w:fill="F2F2F2" w:themeFill="background1" w:themeFillShade="F2"/>
            <w:textDirection w:val="btLr"/>
            <w:vAlign w:val="center"/>
          </w:tcPr>
          <w:p w14:paraId="445DE591"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Priorytet</w:t>
            </w:r>
          </w:p>
        </w:tc>
        <w:tc>
          <w:tcPr>
            <w:tcW w:w="503" w:type="pct"/>
            <w:shd w:val="clear" w:color="auto" w:fill="F2F2F2" w:themeFill="background1" w:themeFillShade="F2"/>
            <w:textDirection w:val="btLr"/>
            <w:vAlign w:val="center"/>
          </w:tcPr>
          <w:p w14:paraId="613CBC86"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Cel szczegółowy (cel „Zatrudnienie i wzrost”) lub obszar wsparcia (EFMR)</w:t>
            </w:r>
          </w:p>
        </w:tc>
        <w:tc>
          <w:tcPr>
            <w:tcW w:w="359" w:type="pct"/>
            <w:shd w:val="clear" w:color="auto" w:fill="F2F2F2" w:themeFill="background1" w:themeFillShade="F2"/>
            <w:textDirection w:val="btLr"/>
            <w:vAlign w:val="center"/>
          </w:tcPr>
          <w:p w14:paraId="72193A24"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Fundusz</w:t>
            </w:r>
          </w:p>
        </w:tc>
        <w:tc>
          <w:tcPr>
            <w:tcW w:w="502" w:type="pct"/>
            <w:shd w:val="clear" w:color="auto" w:fill="F2F2F2" w:themeFill="background1" w:themeFillShade="F2"/>
            <w:textDirection w:val="btLr"/>
            <w:vAlign w:val="center"/>
          </w:tcPr>
          <w:p w14:paraId="4CD872A2"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Kategoria regionu</w:t>
            </w:r>
          </w:p>
        </w:tc>
        <w:tc>
          <w:tcPr>
            <w:tcW w:w="431" w:type="pct"/>
            <w:shd w:val="clear" w:color="auto" w:fill="F2F2F2" w:themeFill="background1" w:themeFillShade="F2"/>
            <w:textDirection w:val="btLr"/>
            <w:vAlign w:val="center"/>
          </w:tcPr>
          <w:p w14:paraId="26B29EEC"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Nr identyfikacyjny [5]</w:t>
            </w:r>
          </w:p>
        </w:tc>
        <w:tc>
          <w:tcPr>
            <w:tcW w:w="1148" w:type="pct"/>
            <w:shd w:val="clear" w:color="auto" w:fill="F2F2F2" w:themeFill="background1" w:themeFillShade="F2"/>
            <w:textDirection w:val="btLr"/>
            <w:vAlign w:val="center"/>
          </w:tcPr>
          <w:p w14:paraId="2D87970E"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Wskaźnik [255]</w:t>
            </w:r>
          </w:p>
        </w:tc>
        <w:tc>
          <w:tcPr>
            <w:tcW w:w="431" w:type="pct"/>
            <w:shd w:val="clear" w:color="auto" w:fill="F2F2F2" w:themeFill="background1" w:themeFillShade="F2"/>
            <w:textDirection w:val="btLr"/>
            <w:vAlign w:val="center"/>
          </w:tcPr>
          <w:p w14:paraId="45BACD53"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Jednostka miary</w:t>
            </w:r>
          </w:p>
        </w:tc>
        <w:tc>
          <w:tcPr>
            <w:tcW w:w="646" w:type="pct"/>
            <w:shd w:val="clear" w:color="auto" w:fill="F2F2F2" w:themeFill="background1" w:themeFillShade="F2"/>
            <w:textDirection w:val="btLr"/>
            <w:vAlign w:val="center"/>
          </w:tcPr>
          <w:p w14:paraId="2A63CFCE"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Cel pośredni (2024)</w:t>
            </w:r>
          </w:p>
        </w:tc>
        <w:tc>
          <w:tcPr>
            <w:tcW w:w="710" w:type="pct"/>
            <w:shd w:val="clear" w:color="auto" w:fill="F2F2F2" w:themeFill="background1" w:themeFillShade="F2"/>
            <w:textDirection w:val="btLr"/>
            <w:vAlign w:val="center"/>
          </w:tcPr>
          <w:p w14:paraId="5227E5D4"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szCs w:val="16"/>
              </w:rPr>
              <w:t>Cel (2029)</w:t>
            </w:r>
          </w:p>
        </w:tc>
      </w:tr>
      <w:tr w:rsidR="00CB67FE" w:rsidRPr="00710A20" w14:paraId="1FFB0D6E" w14:textId="77777777" w:rsidTr="00F62734">
        <w:trPr>
          <w:trHeight w:val="340"/>
        </w:trPr>
        <w:tc>
          <w:tcPr>
            <w:tcW w:w="270" w:type="pct"/>
            <w:vAlign w:val="center"/>
          </w:tcPr>
          <w:p w14:paraId="0FBCD919" w14:textId="77777777" w:rsidR="00CB67FE" w:rsidRPr="00F62734" w:rsidRDefault="00CB67FE" w:rsidP="00CB67FE">
            <w:pPr>
              <w:rPr>
                <w:rFonts w:asciiTheme="minorHAnsi" w:hAnsiTheme="minorHAnsi" w:cstheme="minorHAnsi"/>
                <w:i/>
                <w:noProof/>
                <w:sz w:val="18"/>
                <w:szCs w:val="16"/>
              </w:rPr>
            </w:pPr>
            <w:r w:rsidRPr="00F62734">
              <w:rPr>
                <w:rFonts w:asciiTheme="minorHAnsi" w:hAnsiTheme="minorHAnsi" w:cstheme="minorHAnsi"/>
                <w:i/>
                <w:noProof/>
                <w:sz w:val="18"/>
                <w:szCs w:val="16"/>
              </w:rPr>
              <w:t>CP</w:t>
            </w:r>
          </w:p>
        </w:tc>
        <w:tc>
          <w:tcPr>
            <w:tcW w:w="503" w:type="pct"/>
            <w:vAlign w:val="center"/>
          </w:tcPr>
          <w:p w14:paraId="5AE15C3D" w14:textId="77777777" w:rsidR="00CB67FE" w:rsidRPr="00F62734" w:rsidRDefault="00CB67FE" w:rsidP="00CB67FE">
            <w:pPr>
              <w:jc w:val="center"/>
              <w:rPr>
                <w:rFonts w:asciiTheme="minorHAnsi" w:hAnsiTheme="minorHAnsi" w:cstheme="minorHAnsi"/>
                <w:i/>
                <w:noProof/>
                <w:sz w:val="18"/>
                <w:szCs w:val="18"/>
              </w:rPr>
            </w:pPr>
          </w:p>
        </w:tc>
        <w:tc>
          <w:tcPr>
            <w:tcW w:w="359" w:type="pct"/>
            <w:vAlign w:val="center"/>
          </w:tcPr>
          <w:p w14:paraId="129C66EE"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noProof/>
                <w:sz w:val="18"/>
                <w:szCs w:val="16"/>
              </w:rPr>
              <w:t>EFRR</w:t>
            </w:r>
          </w:p>
        </w:tc>
        <w:tc>
          <w:tcPr>
            <w:tcW w:w="502" w:type="pct"/>
            <w:vAlign w:val="center"/>
          </w:tcPr>
          <w:p w14:paraId="152578FA" w14:textId="77777777" w:rsidR="00CB67FE" w:rsidRPr="00F62734" w:rsidRDefault="00CB67FE" w:rsidP="00CB67FE">
            <w:pPr>
              <w:jc w:val="center"/>
              <w:rPr>
                <w:rFonts w:asciiTheme="minorHAnsi" w:eastAsia="Times New Roman" w:hAnsiTheme="minorHAnsi" w:cstheme="minorHAnsi"/>
                <w:iCs/>
                <w:noProof/>
                <w:sz w:val="18"/>
              </w:rPr>
            </w:pPr>
            <w:r w:rsidRPr="00F62734">
              <w:rPr>
                <w:rFonts w:asciiTheme="minorHAnsi" w:eastAsia="Times New Roman" w:hAnsiTheme="minorHAnsi" w:cstheme="minorHAnsi"/>
                <w:iCs/>
                <w:noProof/>
                <w:sz w:val="18"/>
              </w:rPr>
              <w:t>Słabiej rozwinięte</w:t>
            </w:r>
          </w:p>
        </w:tc>
        <w:tc>
          <w:tcPr>
            <w:tcW w:w="431" w:type="pct"/>
            <w:vAlign w:val="center"/>
          </w:tcPr>
          <w:p w14:paraId="599ED15B" w14:textId="77777777" w:rsidR="00CB67FE" w:rsidRPr="00F62734" w:rsidRDefault="00CB67FE" w:rsidP="00CB67FE">
            <w:pPr>
              <w:jc w:val="center"/>
              <w:rPr>
                <w:rFonts w:asciiTheme="minorHAnsi" w:hAnsiTheme="minorHAnsi" w:cstheme="minorHAnsi"/>
                <w:i/>
                <w:sz w:val="18"/>
                <w:szCs w:val="18"/>
              </w:rPr>
            </w:pPr>
            <w:r w:rsidRPr="00F62734">
              <w:rPr>
                <w:rFonts w:asciiTheme="minorHAnsi" w:hAnsiTheme="minorHAnsi" w:cstheme="minorHAnsi"/>
                <w:i/>
                <w:sz w:val="18"/>
                <w:szCs w:val="16"/>
              </w:rPr>
              <w:t>PLRO041</w:t>
            </w:r>
          </w:p>
        </w:tc>
        <w:tc>
          <w:tcPr>
            <w:tcW w:w="1148" w:type="pct"/>
            <w:shd w:val="clear" w:color="auto" w:fill="auto"/>
            <w:vAlign w:val="center"/>
          </w:tcPr>
          <w:p w14:paraId="3CD2754A" w14:textId="77777777" w:rsidR="00CB67FE" w:rsidRPr="00F62734" w:rsidRDefault="00CB67FE" w:rsidP="00F62734">
            <w:pPr>
              <w:jc w:val="left"/>
              <w:rPr>
                <w:rFonts w:asciiTheme="minorHAnsi" w:hAnsiTheme="minorHAnsi" w:cstheme="minorHAnsi"/>
                <w:i/>
                <w:sz w:val="18"/>
                <w:szCs w:val="18"/>
              </w:rPr>
            </w:pPr>
            <w:r w:rsidRPr="00F62734">
              <w:rPr>
                <w:rFonts w:asciiTheme="minorHAnsi" w:hAnsiTheme="minorHAnsi" w:cstheme="minorHAnsi"/>
                <w:i/>
                <w:sz w:val="18"/>
                <w:szCs w:val="16"/>
              </w:rPr>
              <w:t>Liczba jednostek służb ratowniczych doposażonych w sprzęt do prowadzenia akcji ratowniczych i usuwania skutków katastrof</w:t>
            </w:r>
          </w:p>
        </w:tc>
        <w:tc>
          <w:tcPr>
            <w:tcW w:w="431" w:type="pct"/>
            <w:vAlign w:val="center"/>
          </w:tcPr>
          <w:p w14:paraId="70EA5A91" w14:textId="77777777" w:rsidR="00CB67FE" w:rsidRPr="00F62734" w:rsidDel="00EA0876"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noProof/>
                <w:sz w:val="18"/>
                <w:szCs w:val="16"/>
              </w:rPr>
              <w:t>szt.</w:t>
            </w:r>
          </w:p>
        </w:tc>
        <w:tc>
          <w:tcPr>
            <w:tcW w:w="646" w:type="pct"/>
            <w:shd w:val="clear" w:color="auto" w:fill="auto"/>
            <w:vAlign w:val="center"/>
          </w:tcPr>
          <w:p w14:paraId="69A15FD7" w14:textId="52761A54"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nd</w:t>
            </w:r>
          </w:p>
        </w:tc>
        <w:tc>
          <w:tcPr>
            <w:tcW w:w="710" w:type="pct"/>
            <w:shd w:val="clear" w:color="auto" w:fill="auto"/>
            <w:vAlign w:val="center"/>
          </w:tcPr>
          <w:p w14:paraId="6EE69BFC" w14:textId="17DCE8CD"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6</w:t>
            </w:r>
          </w:p>
        </w:tc>
      </w:tr>
      <w:tr w:rsidR="00CB67FE" w:rsidRPr="00710A20" w14:paraId="6160A64D" w14:textId="77777777" w:rsidTr="00F62734">
        <w:trPr>
          <w:trHeight w:val="332"/>
        </w:trPr>
        <w:tc>
          <w:tcPr>
            <w:tcW w:w="270" w:type="pct"/>
            <w:vAlign w:val="center"/>
          </w:tcPr>
          <w:p w14:paraId="7D3F0A9A" w14:textId="77777777" w:rsidR="00CB67FE" w:rsidRPr="00F62734" w:rsidRDefault="00CB67FE" w:rsidP="00CB67FE">
            <w:pPr>
              <w:rPr>
                <w:rFonts w:asciiTheme="minorHAnsi" w:hAnsiTheme="minorHAnsi" w:cstheme="minorHAnsi"/>
                <w:i/>
                <w:noProof/>
                <w:sz w:val="18"/>
                <w:szCs w:val="16"/>
              </w:rPr>
            </w:pPr>
            <w:r w:rsidRPr="00F62734">
              <w:rPr>
                <w:rFonts w:asciiTheme="minorHAnsi" w:hAnsiTheme="minorHAnsi" w:cstheme="minorHAnsi"/>
                <w:i/>
                <w:noProof/>
                <w:sz w:val="18"/>
                <w:szCs w:val="16"/>
              </w:rPr>
              <w:t>CP</w:t>
            </w:r>
          </w:p>
        </w:tc>
        <w:tc>
          <w:tcPr>
            <w:tcW w:w="503" w:type="pct"/>
            <w:vAlign w:val="center"/>
          </w:tcPr>
          <w:p w14:paraId="7686A762" w14:textId="77777777" w:rsidR="00CB67FE" w:rsidRPr="00F62734" w:rsidRDefault="00CB67FE" w:rsidP="00CB67FE">
            <w:pPr>
              <w:jc w:val="center"/>
              <w:rPr>
                <w:rFonts w:asciiTheme="minorHAnsi" w:hAnsiTheme="minorHAnsi" w:cstheme="minorHAnsi"/>
                <w:i/>
                <w:noProof/>
                <w:sz w:val="18"/>
                <w:szCs w:val="18"/>
              </w:rPr>
            </w:pPr>
          </w:p>
        </w:tc>
        <w:tc>
          <w:tcPr>
            <w:tcW w:w="359" w:type="pct"/>
            <w:vAlign w:val="center"/>
          </w:tcPr>
          <w:p w14:paraId="26D05B1B"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noProof/>
                <w:sz w:val="18"/>
                <w:szCs w:val="16"/>
              </w:rPr>
              <w:t>EFRR</w:t>
            </w:r>
          </w:p>
        </w:tc>
        <w:tc>
          <w:tcPr>
            <w:tcW w:w="502" w:type="pct"/>
            <w:vAlign w:val="center"/>
          </w:tcPr>
          <w:p w14:paraId="2243E211"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eastAsia="Times New Roman" w:hAnsiTheme="minorHAnsi" w:cstheme="minorHAnsi"/>
                <w:iCs/>
                <w:noProof/>
                <w:sz w:val="18"/>
              </w:rPr>
              <w:t>Słabiej rozwinięte</w:t>
            </w:r>
          </w:p>
        </w:tc>
        <w:tc>
          <w:tcPr>
            <w:tcW w:w="431" w:type="pct"/>
            <w:vAlign w:val="center"/>
          </w:tcPr>
          <w:p w14:paraId="2144760D"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sz w:val="18"/>
                <w:szCs w:val="16"/>
              </w:rPr>
              <w:t>RCO046</w:t>
            </w:r>
          </w:p>
        </w:tc>
        <w:tc>
          <w:tcPr>
            <w:tcW w:w="1148" w:type="pct"/>
            <w:shd w:val="clear" w:color="auto" w:fill="auto"/>
            <w:vAlign w:val="center"/>
          </w:tcPr>
          <w:p w14:paraId="5A719C53" w14:textId="77777777" w:rsidR="00CB67FE" w:rsidRPr="00F62734" w:rsidRDefault="00CB67FE" w:rsidP="00F62734">
            <w:pPr>
              <w:jc w:val="left"/>
              <w:rPr>
                <w:rFonts w:asciiTheme="minorHAnsi" w:hAnsiTheme="minorHAnsi" w:cstheme="minorHAnsi"/>
                <w:i/>
                <w:noProof/>
                <w:sz w:val="18"/>
                <w:szCs w:val="18"/>
              </w:rPr>
            </w:pPr>
            <w:r w:rsidRPr="00F62734">
              <w:rPr>
                <w:rFonts w:asciiTheme="minorHAnsi" w:hAnsiTheme="minorHAnsi" w:cstheme="minorHAnsi"/>
                <w:i/>
                <w:sz w:val="18"/>
                <w:szCs w:val="16"/>
              </w:rPr>
              <w:t>Długość dróg przebudowanych lub zmodernizowanych poza TEN-T</w:t>
            </w:r>
          </w:p>
        </w:tc>
        <w:tc>
          <w:tcPr>
            <w:tcW w:w="431" w:type="pct"/>
            <w:vAlign w:val="center"/>
          </w:tcPr>
          <w:p w14:paraId="5387008E"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noProof/>
                <w:sz w:val="18"/>
                <w:szCs w:val="16"/>
              </w:rPr>
              <w:t>km</w:t>
            </w:r>
          </w:p>
        </w:tc>
        <w:tc>
          <w:tcPr>
            <w:tcW w:w="646" w:type="pct"/>
            <w:shd w:val="clear" w:color="auto" w:fill="auto"/>
            <w:vAlign w:val="center"/>
          </w:tcPr>
          <w:p w14:paraId="7D2D30B5" w14:textId="10DBC39D"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nd</w:t>
            </w:r>
          </w:p>
        </w:tc>
        <w:tc>
          <w:tcPr>
            <w:tcW w:w="710" w:type="pct"/>
            <w:shd w:val="clear" w:color="auto" w:fill="auto"/>
            <w:vAlign w:val="center"/>
          </w:tcPr>
          <w:p w14:paraId="49B289E3" w14:textId="753D230D" w:rsidR="00CB67FE" w:rsidRPr="00F62734" w:rsidRDefault="00E97D52" w:rsidP="00CB67FE">
            <w:pPr>
              <w:jc w:val="center"/>
              <w:rPr>
                <w:rFonts w:asciiTheme="minorHAnsi" w:hAnsiTheme="minorHAnsi" w:cstheme="minorHAnsi"/>
                <w:noProof/>
                <w:sz w:val="18"/>
                <w:szCs w:val="16"/>
              </w:rPr>
            </w:pPr>
            <w:r>
              <w:rPr>
                <w:rFonts w:ascii="Calibri" w:hAnsi="Calibri" w:cs="Calibri"/>
                <w:noProof/>
                <w:sz w:val="18"/>
                <w:szCs w:val="16"/>
              </w:rPr>
              <w:t>30</w:t>
            </w:r>
          </w:p>
        </w:tc>
      </w:tr>
      <w:tr w:rsidR="00CB67FE" w:rsidRPr="00710A20" w14:paraId="5A2255B9" w14:textId="77777777" w:rsidTr="00F62734">
        <w:trPr>
          <w:trHeight w:val="332"/>
        </w:trPr>
        <w:tc>
          <w:tcPr>
            <w:tcW w:w="270" w:type="pct"/>
            <w:vAlign w:val="center"/>
          </w:tcPr>
          <w:p w14:paraId="53D8B3D5" w14:textId="77777777" w:rsidR="00CB67FE" w:rsidRPr="00F62734" w:rsidRDefault="00CB67FE" w:rsidP="00CB67FE">
            <w:pPr>
              <w:rPr>
                <w:rFonts w:asciiTheme="minorHAnsi" w:hAnsiTheme="minorHAnsi" w:cstheme="minorHAnsi"/>
                <w:i/>
                <w:noProof/>
                <w:sz w:val="18"/>
                <w:szCs w:val="16"/>
              </w:rPr>
            </w:pPr>
            <w:r w:rsidRPr="00F62734">
              <w:rPr>
                <w:rFonts w:asciiTheme="minorHAnsi" w:hAnsiTheme="minorHAnsi" w:cstheme="minorHAnsi"/>
                <w:i/>
                <w:noProof/>
                <w:sz w:val="18"/>
                <w:szCs w:val="16"/>
              </w:rPr>
              <w:t>CP</w:t>
            </w:r>
          </w:p>
        </w:tc>
        <w:tc>
          <w:tcPr>
            <w:tcW w:w="503" w:type="pct"/>
            <w:vAlign w:val="center"/>
          </w:tcPr>
          <w:p w14:paraId="3B77E6BE" w14:textId="77777777" w:rsidR="00CB67FE" w:rsidRPr="00F62734" w:rsidRDefault="00CB67FE" w:rsidP="00CB67FE">
            <w:pPr>
              <w:jc w:val="center"/>
              <w:rPr>
                <w:rFonts w:asciiTheme="minorHAnsi" w:hAnsiTheme="minorHAnsi" w:cstheme="minorHAnsi"/>
                <w:i/>
                <w:noProof/>
                <w:sz w:val="18"/>
                <w:szCs w:val="18"/>
              </w:rPr>
            </w:pPr>
          </w:p>
        </w:tc>
        <w:tc>
          <w:tcPr>
            <w:tcW w:w="359" w:type="pct"/>
            <w:vAlign w:val="center"/>
          </w:tcPr>
          <w:p w14:paraId="01DBE43D"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noProof/>
                <w:sz w:val="18"/>
                <w:szCs w:val="16"/>
              </w:rPr>
              <w:t>EFRR</w:t>
            </w:r>
          </w:p>
        </w:tc>
        <w:tc>
          <w:tcPr>
            <w:tcW w:w="502" w:type="pct"/>
            <w:vAlign w:val="center"/>
          </w:tcPr>
          <w:p w14:paraId="6BCFAA23" w14:textId="77777777" w:rsidR="00CB67FE" w:rsidRPr="00F62734" w:rsidRDefault="00CB67FE" w:rsidP="00CB67FE">
            <w:pPr>
              <w:jc w:val="center"/>
              <w:rPr>
                <w:rFonts w:asciiTheme="minorHAnsi" w:eastAsia="Times New Roman" w:hAnsiTheme="minorHAnsi" w:cstheme="minorHAnsi"/>
                <w:iCs/>
                <w:noProof/>
                <w:sz w:val="18"/>
              </w:rPr>
            </w:pPr>
            <w:r w:rsidRPr="00F62734">
              <w:rPr>
                <w:rFonts w:asciiTheme="minorHAnsi" w:eastAsia="Times New Roman" w:hAnsiTheme="minorHAnsi" w:cstheme="minorHAnsi"/>
                <w:iCs/>
                <w:noProof/>
                <w:sz w:val="18"/>
              </w:rPr>
              <w:t>Słabiej rozwinięte</w:t>
            </w:r>
          </w:p>
        </w:tc>
        <w:tc>
          <w:tcPr>
            <w:tcW w:w="431" w:type="pct"/>
            <w:vAlign w:val="center"/>
          </w:tcPr>
          <w:p w14:paraId="18BEE07A" w14:textId="77777777" w:rsidR="00CB67FE" w:rsidRPr="00F62734" w:rsidRDefault="00CB67FE" w:rsidP="00CB67FE">
            <w:pPr>
              <w:jc w:val="center"/>
              <w:rPr>
                <w:rFonts w:asciiTheme="minorHAnsi" w:hAnsiTheme="minorHAnsi" w:cstheme="minorHAnsi"/>
                <w:i/>
                <w:sz w:val="18"/>
                <w:szCs w:val="18"/>
              </w:rPr>
            </w:pPr>
            <w:r w:rsidRPr="00F62734">
              <w:rPr>
                <w:rFonts w:asciiTheme="minorHAnsi" w:hAnsiTheme="minorHAnsi" w:cstheme="minorHAnsi"/>
                <w:i/>
                <w:sz w:val="18"/>
                <w:szCs w:val="18"/>
              </w:rPr>
              <w:t>-</w:t>
            </w:r>
          </w:p>
        </w:tc>
        <w:tc>
          <w:tcPr>
            <w:tcW w:w="1148" w:type="pct"/>
            <w:shd w:val="clear" w:color="auto" w:fill="auto"/>
            <w:vAlign w:val="center"/>
          </w:tcPr>
          <w:p w14:paraId="6DB6781E" w14:textId="77777777" w:rsidR="00CB67FE" w:rsidRPr="00F62734" w:rsidRDefault="00CB67FE" w:rsidP="00F62734">
            <w:pPr>
              <w:jc w:val="left"/>
              <w:rPr>
                <w:rFonts w:asciiTheme="minorHAnsi" w:hAnsiTheme="minorHAnsi" w:cstheme="minorHAnsi"/>
                <w:i/>
                <w:sz w:val="18"/>
                <w:szCs w:val="18"/>
              </w:rPr>
            </w:pPr>
            <w:r w:rsidRPr="00F62734">
              <w:rPr>
                <w:rFonts w:asciiTheme="minorHAnsi" w:hAnsiTheme="minorHAnsi" w:cstheme="minorHAnsi"/>
                <w:i/>
                <w:sz w:val="18"/>
                <w:szCs w:val="18"/>
              </w:rPr>
              <w:t>Liczba odbudowanych/wyremontowanych budynków użyteczności publicznej</w:t>
            </w:r>
            <w:r w:rsidRPr="00F62734">
              <w:rPr>
                <w:rFonts w:asciiTheme="minorHAnsi" w:hAnsiTheme="minorHAnsi" w:cstheme="minorHAnsi"/>
              </w:rPr>
              <w:t xml:space="preserve"> </w:t>
            </w:r>
            <w:r w:rsidRPr="00F62734">
              <w:rPr>
                <w:rFonts w:asciiTheme="minorHAnsi" w:hAnsiTheme="minorHAnsi" w:cstheme="minorHAnsi"/>
                <w:i/>
                <w:sz w:val="18"/>
                <w:szCs w:val="18"/>
              </w:rPr>
              <w:t>zniszczonych w wyniku powodzi</w:t>
            </w:r>
          </w:p>
        </w:tc>
        <w:tc>
          <w:tcPr>
            <w:tcW w:w="431" w:type="pct"/>
            <w:vAlign w:val="center"/>
          </w:tcPr>
          <w:p w14:paraId="0C2B01E6" w14:textId="77777777" w:rsidR="00CB67FE" w:rsidRPr="00F62734" w:rsidRDefault="00CB67FE" w:rsidP="00CB67FE">
            <w:pPr>
              <w:jc w:val="center"/>
              <w:rPr>
                <w:rFonts w:asciiTheme="minorHAnsi" w:hAnsiTheme="minorHAnsi" w:cstheme="minorHAnsi"/>
                <w:i/>
                <w:noProof/>
                <w:sz w:val="18"/>
                <w:szCs w:val="18"/>
              </w:rPr>
            </w:pPr>
            <w:r w:rsidRPr="00F62734">
              <w:rPr>
                <w:rFonts w:asciiTheme="minorHAnsi" w:hAnsiTheme="minorHAnsi" w:cstheme="minorHAnsi"/>
                <w:i/>
                <w:noProof/>
                <w:sz w:val="18"/>
                <w:szCs w:val="18"/>
              </w:rPr>
              <w:t>szt.</w:t>
            </w:r>
          </w:p>
        </w:tc>
        <w:tc>
          <w:tcPr>
            <w:tcW w:w="646" w:type="pct"/>
            <w:shd w:val="clear" w:color="auto" w:fill="auto"/>
            <w:vAlign w:val="center"/>
          </w:tcPr>
          <w:p w14:paraId="68F496B7" w14:textId="4EF8B0D1"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nd</w:t>
            </w:r>
          </w:p>
        </w:tc>
        <w:tc>
          <w:tcPr>
            <w:tcW w:w="710" w:type="pct"/>
            <w:shd w:val="clear" w:color="auto" w:fill="auto"/>
            <w:vAlign w:val="center"/>
          </w:tcPr>
          <w:p w14:paraId="0A46D33C" w14:textId="35A411BA"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20</w:t>
            </w:r>
          </w:p>
        </w:tc>
      </w:tr>
    </w:tbl>
    <w:p w14:paraId="723F8B7F" w14:textId="77777777" w:rsidR="00CF32B0" w:rsidRDefault="00CF32B0" w:rsidP="00CF32B0">
      <w:pPr>
        <w:spacing w:before="240" w:after="240"/>
        <w:rPr>
          <w:rFonts w:ascii="Calibri" w:hAnsi="Calibri" w:cs="Calibri"/>
          <w:b/>
          <w:noProof/>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49"/>
        <w:gridCol w:w="691"/>
        <w:gridCol w:w="1003"/>
        <w:gridCol w:w="772"/>
        <w:gridCol w:w="1378"/>
        <w:gridCol w:w="969"/>
        <w:gridCol w:w="554"/>
        <w:gridCol w:w="592"/>
        <w:gridCol w:w="558"/>
        <w:gridCol w:w="604"/>
        <w:gridCol w:w="1262"/>
      </w:tblGrid>
      <w:tr w:rsidR="00CF32B0" w:rsidRPr="00710A20" w14:paraId="075EFE27" w14:textId="77777777" w:rsidTr="00022FA5">
        <w:trPr>
          <w:trHeight w:val="480"/>
        </w:trPr>
        <w:tc>
          <w:tcPr>
            <w:tcW w:w="5000" w:type="pct"/>
            <w:gridSpan w:val="12"/>
            <w:shd w:val="clear" w:color="auto" w:fill="D9D9D9"/>
          </w:tcPr>
          <w:p w14:paraId="0AD7798E" w14:textId="77777777" w:rsidR="00CF32B0" w:rsidRPr="00F62734" w:rsidRDefault="00CF32B0" w:rsidP="00022FA5">
            <w:pPr>
              <w:rPr>
                <w:rFonts w:asciiTheme="minorHAnsi" w:hAnsiTheme="minorHAnsi" w:cstheme="minorHAnsi"/>
                <w:b/>
                <w:noProof/>
                <w:sz w:val="16"/>
                <w:szCs w:val="16"/>
              </w:rPr>
            </w:pPr>
            <w:r w:rsidRPr="00F62734">
              <w:rPr>
                <w:rFonts w:asciiTheme="minorHAnsi" w:hAnsiTheme="minorHAnsi" w:cstheme="minorHAnsi"/>
                <w:b/>
                <w:noProof/>
                <w:sz w:val="20"/>
              </w:rPr>
              <w:t>Tabela 3: Wskaźniki rezultatów</w:t>
            </w:r>
          </w:p>
        </w:tc>
      </w:tr>
      <w:tr w:rsidR="00CF32B0" w:rsidRPr="00710A20" w14:paraId="63A61AC9" w14:textId="77777777" w:rsidTr="00022FA5">
        <w:trPr>
          <w:cantSplit/>
          <w:trHeight w:val="1768"/>
        </w:trPr>
        <w:tc>
          <w:tcPr>
            <w:tcW w:w="268" w:type="pct"/>
            <w:shd w:val="clear" w:color="auto" w:fill="F2F2F2"/>
            <w:textDirection w:val="btLr"/>
            <w:vAlign w:val="center"/>
          </w:tcPr>
          <w:p w14:paraId="6248CF2B"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Priorytet</w:t>
            </w:r>
          </w:p>
        </w:tc>
        <w:tc>
          <w:tcPr>
            <w:tcW w:w="388" w:type="pct"/>
            <w:shd w:val="clear" w:color="auto" w:fill="F2F2F2"/>
            <w:textDirection w:val="btLr"/>
            <w:vAlign w:val="center"/>
          </w:tcPr>
          <w:p w14:paraId="1E409CE2"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Cel szczegółowy (cel „Zatrudnienie i wzrost”) lub obszar wsparcia (EFMR)</w:t>
            </w:r>
          </w:p>
        </w:tc>
        <w:tc>
          <w:tcPr>
            <w:tcW w:w="358" w:type="pct"/>
            <w:shd w:val="clear" w:color="auto" w:fill="F2F2F2"/>
            <w:textDirection w:val="btLr"/>
            <w:vAlign w:val="center"/>
          </w:tcPr>
          <w:p w14:paraId="2FCF5209"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Fundusz</w:t>
            </w:r>
          </w:p>
        </w:tc>
        <w:tc>
          <w:tcPr>
            <w:tcW w:w="520" w:type="pct"/>
            <w:shd w:val="clear" w:color="auto" w:fill="F2F2F2"/>
            <w:textDirection w:val="btLr"/>
            <w:vAlign w:val="center"/>
          </w:tcPr>
          <w:p w14:paraId="3F8AE522"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Kategoria regionu</w:t>
            </w:r>
          </w:p>
        </w:tc>
        <w:tc>
          <w:tcPr>
            <w:tcW w:w="400" w:type="pct"/>
            <w:shd w:val="clear" w:color="auto" w:fill="F2F2F2"/>
            <w:textDirection w:val="btLr"/>
            <w:vAlign w:val="center"/>
          </w:tcPr>
          <w:p w14:paraId="4E85163A"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Nr identyfikacyjny [5]</w:t>
            </w:r>
          </w:p>
        </w:tc>
        <w:tc>
          <w:tcPr>
            <w:tcW w:w="714" w:type="pct"/>
            <w:shd w:val="clear" w:color="auto" w:fill="F2F2F2"/>
            <w:textDirection w:val="btLr"/>
            <w:vAlign w:val="center"/>
          </w:tcPr>
          <w:p w14:paraId="62B296D8"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Wskaźnik [255]</w:t>
            </w:r>
          </w:p>
        </w:tc>
        <w:tc>
          <w:tcPr>
            <w:tcW w:w="502" w:type="pct"/>
            <w:shd w:val="clear" w:color="auto" w:fill="F2F2F2"/>
            <w:textDirection w:val="btLr"/>
            <w:vAlign w:val="center"/>
          </w:tcPr>
          <w:p w14:paraId="7851CC42"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Jednostka miary</w:t>
            </w:r>
          </w:p>
        </w:tc>
        <w:tc>
          <w:tcPr>
            <w:tcW w:w="287" w:type="pct"/>
            <w:shd w:val="clear" w:color="auto" w:fill="F2F2F2"/>
            <w:textDirection w:val="btLr"/>
            <w:vAlign w:val="center"/>
          </w:tcPr>
          <w:p w14:paraId="7516007A"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Wartość bazowa lub wartość odniesienia</w:t>
            </w:r>
          </w:p>
        </w:tc>
        <w:tc>
          <w:tcPr>
            <w:tcW w:w="307" w:type="pct"/>
            <w:shd w:val="clear" w:color="auto" w:fill="F2F2F2"/>
            <w:textDirection w:val="btLr"/>
            <w:vAlign w:val="center"/>
          </w:tcPr>
          <w:p w14:paraId="681D35F0"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Rok referencyjny</w:t>
            </w:r>
          </w:p>
        </w:tc>
        <w:tc>
          <w:tcPr>
            <w:tcW w:w="289" w:type="pct"/>
            <w:shd w:val="clear" w:color="auto" w:fill="F2F2F2"/>
            <w:textDirection w:val="btLr"/>
            <w:vAlign w:val="center"/>
          </w:tcPr>
          <w:p w14:paraId="43AB2E80"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Cel (2029)</w:t>
            </w:r>
          </w:p>
        </w:tc>
        <w:tc>
          <w:tcPr>
            <w:tcW w:w="313" w:type="pct"/>
            <w:shd w:val="clear" w:color="auto" w:fill="F2F2F2"/>
            <w:textDirection w:val="btLr"/>
            <w:vAlign w:val="center"/>
          </w:tcPr>
          <w:p w14:paraId="1923B713" w14:textId="77777777" w:rsidR="00CF32B0" w:rsidRPr="00F62734" w:rsidRDefault="00CF32B0" w:rsidP="00022FA5">
            <w:pPr>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Źródło danych [200]</w:t>
            </w:r>
          </w:p>
        </w:tc>
        <w:tc>
          <w:tcPr>
            <w:tcW w:w="654" w:type="pct"/>
            <w:shd w:val="clear" w:color="auto" w:fill="F2F2F2"/>
            <w:textDirection w:val="btLr"/>
            <w:vAlign w:val="center"/>
          </w:tcPr>
          <w:p w14:paraId="0A330DD3" w14:textId="77777777" w:rsidR="00CF32B0" w:rsidRPr="00F62734" w:rsidRDefault="00CF32B0" w:rsidP="00022FA5">
            <w:pPr>
              <w:spacing w:after="0"/>
              <w:ind w:left="113" w:right="113"/>
              <w:jc w:val="center"/>
              <w:rPr>
                <w:rFonts w:asciiTheme="minorHAnsi" w:hAnsiTheme="minorHAnsi" w:cstheme="minorHAnsi"/>
                <w:noProof/>
                <w:sz w:val="18"/>
                <w:szCs w:val="16"/>
              </w:rPr>
            </w:pPr>
            <w:r w:rsidRPr="00F62734">
              <w:rPr>
                <w:rFonts w:asciiTheme="minorHAnsi" w:hAnsiTheme="minorHAnsi" w:cstheme="minorHAnsi"/>
                <w:noProof/>
                <w:sz w:val="18"/>
              </w:rPr>
              <w:t>Uwagi [200]</w:t>
            </w:r>
          </w:p>
        </w:tc>
      </w:tr>
      <w:tr w:rsidR="00CB67FE" w:rsidRPr="00710A20" w14:paraId="7DFD0F7D" w14:textId="77777777" w:rsidTr="00022FA5">
        <w:trPr>
          <w:trHeight w:val="434"/>
        </w:trPr>
        <w:tc>
          <w:tcPr>
            <w:tcW w:w="268" w:type="pct"/>
            <w:vAlign w:val="center"/>
          </w:tcPr>
          <w:p w14:paraId="765E87A1" w14:textId="77777777" w:rsidR="00CB67FE" w:rsidRPr="00F62734" w:rsidRDefault="00CB67FE" w:rsidP="00CB67FE">
            <w:pPr>
              <w:jc w:val="center"/>
              <w:rPr>
                <w:rFonts w:asciiTheme="minorHAnsi" w:hAnsiTheme="minorHAnsi" w:cstheme="minorHAnsi"/>
                <w:i/>
                <w:noProof/>
                <w:sz w:val="18"/>
                <w:szCs w:val="16"/>
              </w:rPr>
            </w:pPr>
            <w:r w:rsidRPr="00F62734">
              <w:rPr>
                <w:rFonts w:asciiTheme="minorHAnsi" w:hAnsiTheme="minorHAnsi" w:cstheme="minorHAnsi"/>
                <w:i/>
                <w:noProof/>
                <w:sz w:val="18"/>
                <w:szCs w:val="16"/>
              </w:rPr>
              <w:t>CP2</w:t>
            </w:r>
          </w:p>
        </w:tc>
        <w:tc>
          <w:tcPr>
            <w:tcW w:w="388" w:type="pct"/>
            <w:vAlign w:val="center"/>
          </w:tcPr>
          <w:p w14:paraId="238619EF" w14:textId="77777777" w:rsidR="00CB67FE" w:rsidRPr="00F62734" w:rsidRDefault="00CB67FE" w:rsidP="00CB67FE">
            <w:pPr>
              <w:jc w:val="center"/>
              <w:rPr>
                <w:rFonts w:asciiTheme="minorHAnsi" w:hAnsiTheme="minorHAnsi" w:cstheme="minorHAnsi"/>
                <w:i/>
                <w:noProof/>
                <w:sz w:val="18"/>
                <w:szCs w:val="16"/>
              </w:rPr>
            </w:pPr>
          </w:p>
        </w:tc>
        <w:tc>
          <w:tcPr>
            <w:tcW w:w="358" w:type="pct"/>
            <w:vAlign w:val="center"/>
          </w:tcPr>
          <w:p w14:paraId="6A9DB5C5" w14:textId="77777777" w:rsidR="00CB67FE" w:rsidRPr="00F62734" w:rsidRDefault="00CB67FE" w:rsidP="00CB67FE">
            <w:pPr>
              <w:jc w:val="center"/>
              <w:rPr>
                <w:rFonts w:asciiTheme="minorHAnsi" w:hAnsiTheme="minorHAnsi" w:cstheme="minorHAnsi"/>
                <w:i/>
                <w:noProof/>
                <w:sz w:val="18"/>
                <w:szCs w:val="16"/>
              </w:rPr>
            </w:pPr>
            <w:r w:rsidRPr="00F62734">
              <w:rPr>
                <w:rFonts w:asciiTheme="minorHAnsi" w:hAnsiTheme="minorHAnsi" w:cstheme="minorHAnsi"/>
                <w:i/>
                <w:noProof/>
                <w:sz w:val="18"/>
                <w:szCs w:val="16"/>
              </w:rPr>
              <w:t>EFRR</w:t>
            </w:r>
          </w:p>
        </w:tc>
        <w:tc>
          <w:tcPr>
            <w:tcW w:w="520" w:type="pct"/>
            <w:vAlign w:val="center"/>
          </w:tcPr>
          <w:p w14:paraId="3F533F80" w14:textId="77777777" w:rsidR="00CB67FE" w:rsidRPr="00F62734" w:rsidRDefault="00CB67FE" w:rsidP="00CB67FE">
            <w:pPr>
              <w:jc w:val="center"/>
              <w:rPr>
                <w:rFonts w:asciiTheme="minorHAnsi" w:hAnsiTheme="minorHAnsi" w:cstheme="minorHAnsi"/>
                <w:i/>
                <w:noProof/>
                <w:sz w:val="18"/>
                <w:szCs w:val="16"/>
              </w:rPr>
            </w:pPr>
            <w:r w:rsidRPr="00F62734">
              <w:rPr>
                <w:rFonts w:asciiTheme="minorHAnsi" w:eastAsia="Times New Roman" w:hAnsiTheme="minorHAnsi" w:cstheme="minorHAnsi"/>
                <w:iCs/>
                <w:noProof/>
                <w:sz w:val="18"/>
              </w:rPr>
              <w:t>Słabiej rozwinięte</w:t>
            </w:r>
          </w:p>
        </w:tc>
        <w:tc>
          <w:tcPr>
            <w:tcW w:w="400" w:type="pct"/>
            <w:vAlign w:val="center"/>
          </w:tcPr>
          <w:p w14:paraId="77B7F1C8" w14:textId="77777777" w:rsidR="00CB67FE" w:rsidRPr="00F62734" w:rsidRDefault="00CB67FE" w:rsidP="00CB67FE">
            <w:pPr>
              <w:jc w:val="center"/>
              <w:rPr>
                <w:rFonts w:asciiTheme="minorHAnsi" w:hAnsiTheme="minorHAnsi" w:cstheme="minorHAnsi"/>
                <w:i/>
                <w:noProof/>
                <w:sz w:val="18"/>
                <w:szCs w:val="16"/>
              </w:rPr>
            </w:pPr>
            <w:r w:rsidRPr="00F62734">
              <w:rPr>
                <w:rFonts w:asciiTheme="minorHAnsi" w:hAnsiTheme="minorHAnsi" w:cstheme="minorHAnsi"/>
                <w:i/>
                <w:noProof/>
                <w:sz w:val="18"/>
                <w:szCs w:val="16"/>
              </w:rPr>
              <w:t>RCR036</w:t>
            </w:r>
          </w:p>
        </w:tc>
        <w:tc>
          <w:tcPr>
            <w:tcW w:w="714" w:type="pct"/>
            <w:shd w:val="clear" w:color="auto" w:fill="auto"/>
            <w:vAlign w:val="center"/>
          </w:tcPr>
          <w:p w14:paraId="66C36F27" w14:textId="77777777" w:rsidR="00CB67FE" w:rsidRPr="00F62734" w:rsidRDefault="00CB67FE" w:rsidP="00F62734">
            <w:pPr>
              <w:jc w:val="left"/>
              <w:rPr>
                <w:rFonts w:asciiTheme="minorHAnsi" w:hAnsiTheme="minorHAnsi" w:cstheme="minorHAnsi"/>
                <w:i/>
                <w:noProof/>
                <w:sz w:val="18"/>
                <w:szCs w:val="16"/>
              </w:rPr>
            </w:pPr>
            <w:r w:rsidRPr="00F62734">
              <w:rPr>
                <w:rFonts w:asciiTheme="minorHAnsi" w:hAnsiTheme="minorHAnsi" w:cstheme="minorHAnsi"/>
                <w:i/>
                <w:noProof/>
                <w:sz w:val="18"/>
                <w:szCs w:val="16"/>
              </w:rPr>
              <w:t>Ludność odnosząca korzyści ze środków ochrony przed niekontrolowanymi pożarami</w:t>
            </w:r>
          </w:p>
        </w:tc>
        <w:tc>
          <w:tcPr>
            <w:tcW w:w="502" w:type="pct"/>
            <w:vAlign w:val="center"/>
          </w:tcPr>
          <w:p w14:paraId="728C21C7" w14:textId="77777777" w:rsidR="00CB67FE" w:rsidRPr="00F62734" w:rsidRDefault="00CB67FE" w:rsidP="00CB67FE">
            <w:pPr>
              <w:jc w:val="center"/>
              <w:rPr>
                <w:rFonts w:asciiTheme="minorHAnsi" w:hAnsiTheme="minorHAnsi" w:cstheme="minorHAnsi"/>
                <w:i/>
                <w:noProof/>
                <w:sz w:val="18"/>
                <w:szCs w:val="16"/>
              </w:rPr>
            </w:pPr>
            <w:r w:rsidRPr="00F62734">
              <w:rPr>
                <w:rFonts w:asciiTheme="minorHAnsi" w:hAnsiTheme="minorHAnsi" w:cstheme="minorHAnsi"/>
                <w:i/>
                <w:noProof/>
                <w:sz w:val="18"/>
                <w:szCs w:val="16"/>
              </w:rPr>
              <w:t>os.</w:t>
            </w:r>
          </w:p>
        </w:tc>
        <w:tc>
          <w:tcPr>
            <w:tcW w:w="287" w:type="pct"/>
            <w:vAlign w:val="center"/>
          </w:tcPr>
          <w:p w14:paraId="04F8BDBE" w14:textId="77777777" w:rsidR="00CB67FE" w:rsidRPr="00F62734" w:rsidRDefault="00CB67FE" w:rsidP="00CB67FE">
            <w:pPr>
              <w:jc w:val="center"/>
              <w:rPr>
                <w:rFonts w:asciiTheme="minorHAnsi" w:hAnsiTheme="minorHAnsi" w:cstheme="minorHAnsi"/>
                <w:noProof/>
                <w:sz w:val="18"/>
                <w:szCs w:val="16"/>
              </w:rPr>
            </w:pPr>
            <w:r w:rsidRPr="00F62734">
              <w:rPr>
                <w:rFonts w:asciiTheme="minorHAnsi" w:hAnsiTheme="minorHAnsi" w:cstheme="minorHAnsi"/>
                <w:noProof/>
                <w:sz w:val="18"/>
                <w:szCs w:val="16"/>
              </w:rPr>
              <w:t>nd</w:t>
            </w:r>
          </w:p>
        </w:tc>
        <w:tc>
          <w:tcPr>
            <w:tcW w:w="307" w:type="pct"/>
            <w:vAlign w:val="center"/>
          </w:tcPr>
          <w:p w14:paraId="5593CB9C" w14:textId="77777777" w:rsidR="00CB67FE" w:rsidRPr="00F62734" w:rsidRDefault="00CB67FE" w:rsidP="00CB67FE">
            <w:pPr>
              <w:jc w:val="center"/>
              <w:rPr>
                <w:rFonts w:asciiTheme="minorHAnsi" w:hAnsiTheme="minorHAnsi" w:cstheme="minorHAnsi"/>
                <w:noProof/>
                <w:sz w:val="18"/>
                <w:szCs w:val="16"/>
              </w:rPr>
            </w:pPr>
            <w:r w:rsidRPr="00F62734">
              <w:rPr>
                <w:rFonts w:asciiTheme="minorHAnsi" w:hAnsiTheme="minorHAnsi" w:cstheme="minorHAnsi"/>
                <w:b/>
                <w:noProof/>
                <w:sz w:val="18"/>
                <w:szCs w:val="16"/>
              </w:rPr>
              <w:t>nd</w:t>
            </w:r>
          </w:p>
        </w:tc>
        <w:tc>
          <w:tcPr>
            <w:tcW w:w="289" w:type="pct"/>
            <w:shd w:val="clear" w:color="auto" w:fill="auto"/>
            <w:vAlign w:val="center"/>
          </w:tcPr>
          <w:p w14:paraId="21F6F23F" w14:textId="5DE7C471"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50 000</w:t>
            </w:r>
          </w:p>
        </w:tc>
        <w:tc>
          <w:tcPr>
            <w:tcW w:w="313" w:type="pct"/>
            <w:shd w:val="clear" w:color="auto" w:fill="auto"/>
            <w:vAlign w:val="center"/>
          </w:tcPr>
          <w:p w14:paraId="19B814CF" w14:textId="1F681C49" w:rsidR="00CB67FE" w:rsidRPr="00F62734" w:rsidRDefault="00CB67FE" w:rsidP="00CB67FE">
            <w:pPr>
              <w:spacing w:line="480" w:lineRule="auto"/>
              <w:jc w:val="center"/>
              <w:rPr>
                <w:rFonts w:asciiTheme="minorHAnsi" w:hAnsiTheme="minorHAnsi" w:cstheme="minorHAnsi"/>
                <w:noProof/>
                <w:sz w:val="18"/>
                <w:szCs w:val="16"/>
              </w:rPr>
            </w:pPr>
            <w:r>
              <w:rPr>
                <w:rFonts w:ascii="Calibri" w:hAnsi="Calibri" w:cs="Calibri"/>
                <w:noProof/>
                <w:sz w:val="18"/>
                <w:szCs w:val="16"/>
              </w:rPr>
              <w:t>IZ</w:t>
            </w:r>
          </w:p>
        </w:tc>
        <w:tc>
          <w:tcPr>
            <w:tcW w:w="654" w:type="pct"/>
            <w:vAlign w:val="center"/>
          </w:tcPr>
          <w:p w14:paraId="46030C56" w14:textId="7811F24F" w:rsidR="00CB67FE" w:rsidRPr="00F62734" w:rsidRDefault="00CB67FE" w:rsidP="00CB67FE">
            <w:pPr>
              <w:jc w:val="center"/>
              <w:rPr>
                <w:rFonts w:asciiTheme="minorHAnsi" w:hAnsiTheme="minorHAnsi" w:cstheme="minorHAnsi"/>
                <w:noProof/>
                <w:sz w:val="18"/>
                <w:szCs w:val="16"/>
              </w:rPr>
            </w:pPr>
            <w:r>
              <w:rPr>
                <w:rFonts w:ascii="Calibri" w:hAnsi="Calibri" w:cs="Calibri"/>
                <w:noProof/>
                <w:sz w:val="18"/>
                <w:szCs w:val="16"/>
              </w:rPr>
              <w:t>nd</w:t>
            </w:r>
          </w:p>
        </w:tc>
      </w:tr>
    </w:tbl>
    <w:p w14:paraId="70481CDA" w14:textId="346A9E2F" w:rsidR="00CF32B0" w:rsidRPr="00A4473F" w:rsidRDefault="00CF32B0" w:rsidP="00CF32B0">
      <w:pPr>
        <w:spacing w:before="240" w:after="240"/>
        <w:rPr>
          <w:rFonts w:ascii="Calibri" w:hAnsi="Calibri" w:cs="Calibri"/>
          <w:b/>
          <w:noProof/>
        </w:rPr>
      </w:pPr>
      <w:r w:rsidRPr="00A4473F">
        <w:rPr>
          <w:rFonts w:ascii="Calibri" w:hAnsi="Calibri" w:cs="Calibri"/>
          <w:b/>
          <w:noProof/>
        </w:rPr>
        <w:t>2.1.1</w:t>
      </w:r>
      <w:r w:rsidR="0029352A">
        <w:rPr>
          <w:rFonts w:ascii="Calibri" w:hAnsi="Calibri" w:cs="Calibri"/>
          <w:b/>
          <w:noProof/>
        </w:rPr>
        <w:t>3</w:t>
      </w:r>
      <w:r w:rsidRPr="00A4473F">
        <w:rPr>
          <w:rFonts w:ascii="Calibri" w:hAnsi="Calibri" w:cs="Calibri"/>
          <w:b/>
          <w:noProof/>
        </w:rPr>
        <w:t>.1.3 (</w:t>
      </w:r>
      <w:r w:rsidR="0029352A">
        <w:rPr>
          <w:rFonts w:ascii="Calibri" w:hAnsi="Calibri" w:cs="Calibri"/>
          <w:b/>
          <w:noProof/>
        </w:rPr>
        <w:t>x</w:t>
      </w:r>
      <w:r w:rsidRPr="00A4473F">
        <w:rPr>
          <w:rFonts w:ascii="Calibri" w:hAnsi="Calibri" w:cs="Calibri"/>
          <w:b/>
          <w:noProof/>
        </w:rPr>
        <w:t>) Orientacyjny podział zasobów programu (UE) według rodzaju interwencji</w:t>
      </w:r>
    </w:p>
    <w:tbl>
      <w:tblPr>
        <w:tblStyle w:val="Tabela-Siatka"/>
        <w:tblW w:w="9664" w:type="dxa"/>
        <w:tblLayout w:type="fixed"/>
        <w:tblLook w:val="04A0" w:firstRow="1" w:lastRow="0" w:firstColumn="1" w:lastColumn="0" w:noHBand="0" w:noVBand="1"/>
      </w:tblPr>
      <w:tblGrid>
        <w:gridCol w:w="1129"/>
        <w:gridCol w:w="822"/>
        <w:gridCol w:w="1134"/>
        <w:gridCol w:w="1134"/>
        <w:gridCol w:w="3544"/>
        <w:gridCol w:w="1871"/>
        <w:gridCol w:w="30"/>
      </w:tblGrid>
      <w:tr w:rsidR="00CF32B0" w:rsidRPr="00A4473F" w14:paraId="09E3C6E0" w14:textId="77777777" w:rsidTr="00F62734">
        <w:tc>
          <w:tcPr>
            <w:tcW w:w="9664" w:type="dxa"/>
            <w:gridSpan w:val="7"/>
            <w:shd w:val="clear" w:color="auto" w:fill="D9D9D9"/>
          </w:tcPr>
          <w:p w14:paraId="1987CD82" w14:textId="77777777" w:rsidR="00CF32B0" w:rsidRPr="00A4473F" w:rsidRDefault="00CF32B0" w:rsidP="00022FA5">
            <w:pPr>
              <w:rPr>
                <w:rFonts w:ascii="Calibri" w:eastAsia="Times New Roman" w:hAnsi="Calibri" w:cs="Calibri"/>
                <w:b/>
                <w:iCs/>
                <w:noProof/>
                <w:sz w:val="20"/>
              </w:rPr>
            </w:pPr>
            <w:r w:rsidRPr="00A4473F">
              <w:rPr>
                <w:rFonts w:ascii="Calibri" w:hAnsi="Calibri" w:cs="Calibri"/>
                <w:b/>
                <w:noProof/>
                <w:sz w:val="20"/>
              </w:rPr>
              <w:t>Tabela 4: Wymiar 1 – zakres interwencji</w:t>
            </w:r>
          </w:p>
        </w:tc>
      </w:tr>
      <w:tr w:rsidR="00CF32B0" w:rsidRPr="00A4473F" w14:paraId="0978B091" w14:textId="77777777" w:rsidTr="00F62734">
        <w:trPr>
          <w:gridAfter w:val="1"/>
          <w:wAfter w:w="30" w:type="dxa"/>
        </w:trPr>
        <w:tc>
          <w:tcPr>
            <w:tcW w:w="1129" w:type="dxa"/>
            <w:shd w:val="clear" w:color="auto" w:fill="F2F2F2"/>
            <w:vAlign w:val="center"/>
          </w:tcPr>
          <w:p w14:paraId="02514044"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lastRenderedPageBreak/>
              <w:t>Nr priorytetu</w:t>
            </w:r>
          </w:p>
        </w:tc>
        <w:tc>
          <w:tcPr>
            <w:tcW w:w="822" w:type="dxa"/>
            <w:shd w:val="clear" w:color="auto" w:fill="F2F2F2"/>
            <w:vAlign w:val="center"/>
          </w:tcPr>
          <w:p w14:paraId="021B2FB9"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Fundusz</w:t>
            </w:r>
          </w:p>
        </w:tc>
        <w:tc>
          <w:tcPr>
            <w:tcW w:w="1134" w:type="dxa"/>
            <w:shd w:val="clear" w:color="auto" w:fill="F2F2F2"/>
            <w:vAlign w:val="center"/>
          </w:tcPr>
          <w:p w14:paraId="68027678"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Kategoria regionu</w:t>
            </w:r>
          </w:p>
        </w:tc>
        <w:tc>
          <w:tcPr>
            <w:tcW w:w="1134" w:type="dxa"/>
            <w:shd w:val="clear" w:color="auto" w:fill="F2F2F2"/>
            <w:vAlign w:val="center"/>
          </w:tcPr>
          <w:p w14:paraId="4187B527"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Cel szczegółowy</w:t>
            </w:r>
          </w:p>
        </w:tc>
        <w:tc>
          <w:tcPr>
            <w:tcW w:w="3544" w:type="dxa"/>
            <w:shd w:val="clear" w:color="auto" w:fill="F2F2F2"/>
            <w:vAlign w:val="center"/>
          </w:tcPr>
          <w:p w14:paraId="0E3D6A05"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Kod</w:t>
            </w:r>
          </w:p>
        </w:tc>
        <w:tc>
          <w:tcPr>
            <w:tcW w:w="1871" w:type="dxa"/>
            <w:shd w:val="clear" w:color="auto" w:fill="F2F2F2"/>
            <w:vAlign w:val="center"/>
          </w:tcPr>
          <w:p w14:paraId="6518F4EA"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Kwota (w EUR)</w:t>
            </w:r>
          </w:p>
        </w:tc>
      </w:tr>
      <w:tr w:rsidR="00D01D1F" w:rsidRPr="00A4473F" w14:paraId="092774EF" w14:textId="77777777" w:rsidTr="00F62734">
        <w:trPr>
          <w:gridAfter w:val="1"/>
          <w:wAfter w:w="30" w:type="dxa"/>
        </w:trPr>
        <w:tc>
          <w:tcPr>
            <w:tcW w:w="1129" w:type="dxa"/>
            <w:vMerge w:val="restart"/>
            <w:shd w:val="clear" w:color="auto" w:fill="F2F2F2"/>
            <w:vAlign w:val="center"/>
          </w:tcPr>
          <w:p w14:paraId="2979CC44" w14:textId="19AF91C5" w:rsidR="00D01D1F" w:rsidRPr="00A4473F" w:rsidRDefault="00D01D1F" w:rsidP="00D01D1F">
            <w:pPr>
              <w:jc w:val="center"/>
              <w:rPr>
                <w:rFonts w:ascii="Calibri" w:hAnsi="Calibri" w:cs="Calibri"/>
                <w:b/>
                <w:noProof/>
                <w:sz w:val="20"/>
              </w:rPr>
            </w:pPr>
            <w:r w:rsidRPr="00A4473F">
              <w:rPr>
                <w:rFonts w:ascii="Calibri" w:eastAsia="Times New Roman" w:hAnsi="Calibri" w:cs="Calibri"/>
                <w:iCs/>
                <w:noProof/>
                <w:sz w:val="20"/>
              </w:rPr>
              <w:t xml:space="preserve">CP </w:t>
            </w:r>
            <w:r>
              <w:rPr>
                <w:rFonts w:ascii="Calibri" w:eastAsia="Times New Roman" w:hAnsi="Calibri" w:cs="Calibri"/>
                <w:iCs/>
                <w:noProof/>
                <w:sz w:val="20"/>
              </w:rPr>
              <w:t>2</w:t>
            </w:r>
          </w:p>
        </w:tc>
        <w:tc>
          <w:tcPr>
            <w:tcW w:w="822" w:type="dxa"/>
            <w:vMerge w:val="restart"/>
            <w:shd w:val="clear" w:color="auto" w:fill="F2F2F2"/>
            <w:vAlign w:val="center"/>
          </w:tcPr>
          <w:p w14:paraId="409E2678" w14:textId="7703208E" w:rsidR="00D01D1F" w:rsidRPr="00A4473F" w:rsidRDefault="00D01D1F" w:rsidP="00D01D1F">
            <w:pPr>
              <w:jc w:val="center"/>
              <w:rPr>
                <w:rFonts w:ascii="Calibri" w:hAnsi="Calibri" w:cs="Calibri"/>
                <w:b/>
                <w:noProof/>
                <w:sz w:val="20"/>
              </w:rPr>
            </w:pPr>
            <w:r w:rsidRPr="00A4473F">
              <w:rPr>
                <w:rFonts w:ascii="Calibri" w:eastAsia="Times New Roman" w:hAnsi="Calibri" w:cs="Calibri"/>
                <w:iCs/>
                <w:noProof/>
                <w:sz w:val="20"/>
              </w:rPr>
              <w:t>EFRR</w:t>
            </w:r>
          </w:p>
        </w:tc>
        <w:tc>
          <w:tcPr>
            <w:tcW w:w="1134" w:type="dxa"/>
            <w:vMerge w:val="restart"/>
            <w:shd w:val="clear" w:color="auto" w:fill="F2F2F2"/>
            <w:vAlign w:val="center"/>
          </w:tcPr>
          <w:p w14:paraId="0E36944D" w14:textId="17CFD357" w:rsidR="00D01D1F" w:rsidRPr="00A4473F" w:rsidRDefault="00D01D1F" w:rsidP="00D01D1F">
            <w:pPr>
              <w:jc w:val="center"/>
              <w:rPr>
                <w:rFonts w:ascii="Calibri" w:hAnsi="Calibri" w:cs="Calibri"/>
                <w:b/>
                <w:noProof/>
                <w:sz w:val="20"/>
              </w:rPr>
            </w:pPr>
            <w:r w:rsidRPr="00A4473F">
              <w:rPr>
                <w:rFonts w:ascii="Calibri" w:eastAsia="Times New Roman" w:hAnsi="Calibri" w:cs="Calibri"/>
                <w:iCs/>
                <w:noProof/>
                <w:sz w:val="20"/>
              </w:rPr>
              <w:t>Słabiej rozwinięte</w:t>
            </w:r>
          </w:p>
        </w:tc>
        <w:tc>
          <w:tcPr>
            <w:tcW w:w="1134" w:type="dxa"/>
            <w:vMerge w:val="restart"/>
            <w:shd w:val="clear" w:color="auto" w:fill="F2F2F2"/>
            <w:vAlign w:val="center"/>
          </w:tcPr>
          <w:p w14:paraId="5EE4051E" w14:textId="0097B505" w:rsidR="00D01D1F" w:rsidRPr="00A4473F" w:rsidRDefault="00D01D1F" w:rsidP="00D01D1F">
            <w:pPr>
              <w:jc w:val="center"/>
              <w:rPr>
                <w:rFonts w:ascii="Calibri" w:hAnsi="Calibri" w:cs="Calibri"/>
                <w:b/>
                <w:noProof/>
                <w:sz w:val="20"/>
              </w:rPr>
            </w:pPr>
            <w:r>
              <w:rPr>
                <w:rFonts w:ascii="Calibri" w:eastAsia="Times New Roman" w:hAnsi="Calibri" w:cs="Calibri"/>
                <w:iCs/>
                <w:noProof/>
                <w:sz w:val="20"/>
              </w:rPr>
              <w:t>x</w:t>
            </w:r>
          </w:p>
        </w:tc>
        <w:tc>
          <w:tcPr>
            <w:tcW w:w="3544" w:type="dxa"/>
            <w:shd w:val="clear" w:color="auto" w:fill="F2F2F2"/>
            <w:vAlign w:val="center"/>
          </w:tcPr>
          <w:p w14:paraId="6CA5441C" w14:textId="086DEDFB" w:rsidR="00D01D1F" w:rsidRPr="00F62734" w:rsidRDefault="00D01D1F" w:rsidP="00F62734">
            <w:pPr>
              <w:jc w:val="left"/>
              <w:rPr>
                <w:rFonts w:ascii="Calibri" w:hAnsi="Calibri" w:cs="Calibri"/>
                <w:bCs/>
                <w:noProof/>
                <w:sz w:val="20"/>
              </w:rPr>
            </w:pPr>
          </w:p>
        </w:tc>
        <w:tc>
          <w:tcPr>
            <w:tcW w:w="1871" w:type="dxa"/>
          </w:tcPr>
          <w:p w14:paraId="1B32DBD0" w14:textId="0AA5FE7F" w:rsidR="00D01D1F" w:rsidRPr="00A4473F" w:rsidRDefault="00D01D1F" w:rsidP="00F62734">
            <w:pPr>
              <w:jc w:val="right"/>
              <w:rPr>
                <w:rFonts w:ascii="Calibri" w:hAnsi="Calibri" w:cs="Calibri"/>
                <w:b/>
                <w:noProof/>
                <w:sz w:val="20"/>
              </w:rPr>
            </w:pPr>
          </w:p>
        </w:tc>
      </w:tr>
      <w:tr w:rsidR="00D01D1F" w:rsidRPr="00A4473F" w14:paraId="12E97B59" w14:textId="77777777" w:rsidTr="00F62734">
        <w:trPr>
          <w:gridAfter w:val="1"/>
          <w:wAfter w:w="30" w:type="dxa"/>
        </w:trPr>
        <w:tc>
          <w:tcPr>
            <w:tcW w:w="1129" w:type="dxa"/>
            <w:vMerge/>
            <w:shd w:val="clear" w:color="auto" w:fill="F2F2F2"/>
            <w:vAlign w:val="center"/>
          </w:tcPr>
          <w:p w14:paraId="1B811408" w14:textId="717B13B2"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41EA25E3" w14:textId="08671E54"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4EBC4B08" w14:textId="0193A28E"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28975C62" w14:textId="06F78D4E" w:rsidR="00D01D1F" w:rsidRPr="00A4473F" w:rsidRDefault="00D01D1F" w:rsidP="00D01D1F">
            <w:pPr>
              <w:jc w:val="center"/>
              <w:rPr>
                <w:rFonts w:ascii="Calibri" w:hAnsi="Calibri" w:cs="Calibri"/>
                <w:b/>
                <w:noProof/>
                <w:sz w:val="20"/>
              </w:rPr>
            </w:pPr>
          </w:p>
        </w:tc>
        <w:tc>
          <w:tcPr>
            <w:tcW w:w="3544" w:type="dxa"/>
            <w:shd w:val="clear" w:color="auto" w:fill="F2F2F2"/>
            <w:vAlign w:val="center"/>
          </w:tcPr>
          <w:p w14:paraId="51BFD359" w14:textId="4B238104" w:rsidR="00D01D1F" w:rsidRPr="00F62734" w:rsidRDefault="00D01D1F" w:rsidP="00F62734">
            <w:pPr>
              <w:jc w:val="left"/>
              <w:rPr>
                <w:rFonts w:ascii="Calibri" w:hAnsi="Calibri" w:cs="Calibri"/>
                <w:bCs/>
                <w:noProof/>
                <w:sz w:val="20"/>
              </w:rPr>
            </w:pPr>
            <w:r w:rsidRPr="00D01D1F">
              <w:rPr>
                <w:rFonts w:ascii="Calibri" w:hAnsi="Calibri" w:cs="Calibri"/>
                <w:b/>
                <w:noProof/>
                <w:sz w:val="20"/>
              </w:rPr>
              <w:t>058</w:t>
            </w:r>
            <w:r w:rsidRPr="00F62734">
              <w:rPr>
                <w:rFonts w:ascii="Calibri" w:hAnsi="Calibri" w:cs="Calibri"/>
                <w:bCs/>
                <w:noProof/>
                <w:sz w:val="20"/>
              </w:rPr>
              <w:t xml:space="preserve">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w:t>
            </w:r>
          </w:p>
        </w:tc>
        <w:tc>
          <w:tcPr>
            <w:tcW w:w="1871" w:type="dxa"/>
          </w:tcPr>
          <w:p w14:paraId="471BDC91" w14:textId="71FEC20F" w:rsidR="00D01D1F" w:rsidRPr="00A4473F" w:rsidRDefault="00D01D1F" w:rsidP="00F62734">
            <w:pPr>
              <w:jc w:val="right"/>
              <w:rPr>
                <w:rFonts w:ascii="Calibri" w:hAnsi="Calibri" w:cs="Calibri"/>
                <w:b/>
                <w:noProof/>
                <w:sz w:val="20"/>
              </w:rPr>
            </w:pPr>
            <w:r w:rsidRPr="00121616">
              <w:rPr>
                <w:rFonts w:ascii="Calibri" w:eastAsia="Times New Roman" w:hAnsi="Calibri" w:cs="Calibri"/>
                <w:iCs/>
                <w:noProof/>
                <w:sz w:val="20"/>
              </w:rPr>
              <w:t>7 000 000</w:t>
            </w:r>
          </w:p>
        </w:tc>
      </w:tr>
      <w:tr w:rsidR="00D01D1F" w:rsidRPr="00A4473F" w14:paraId="4449D368" w14:textId="77777777" w:rsidTr="00F62734">
        <w:trPr>
          <w:gridAfter w:val="1"/>
          <w:wAfter w:w="30" w:type="dxa"/>
        </w:trPr>
        <w:tc>
          <w:tcPr>
            <w:tcW w:w="1129" w:type="dxa"/>
            <w:vMerge/>
            <w:shd w:val="clear" w:color="auto" w:fill="F2F2F2"/>
            <w:vAlign w:val="center"/>
          </w:tcPr>
          <w:p w14:paraId="4D55DE45" w14:textId="26903966"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723CC91E" w14:textId="00130DD1"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20FC6BC0" w14:textId="2798F288"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0EBE754D" w14:textId="1B7ECB8A" w:rsidR="00D01D1F" w:rsidRPr="00A4473F" w:rsidRDefault="00D01D1F" w:rsidP="00D01D1F">
            <w:pPr>
              <w:jc w:val="center"/>
              <w:rPr>
                <w:rFonts w:ascii="Calibri" w:hAnsi="Calibri" w:cs="Calibri"/>
                <w:b/>
                <w:noProof/>
                <w:sz w:val="20"/>
              </w:rPr>
            </w:pPr>
          </w:p>
        </w:tc>
        <w:tc>
          <w:tcPr>
            <w:tcW w:w="3544" w:type="dxa"/>
          </w:tcPr>
          <w:p w14:paraId="3BA6C890" w14:textId="69D75E5B" w:rsidR="00D01D1F" w:rsidRPr="00A4473F" w:rsidRDefault="00D01D1F" w:rsidP="00F62734">
            <w:pPr>
              <w:jc w:val="left"/>
              <w:rPr>
                <w:rFonts w:ascii="Calibri" w:hAnsi="Calibri" w:cs="Calibri"/>
                <w:b/>
                <w:noProof/>
                <w:sz w:val="20"/>
              </w:rPr>
            </w:pPr>
            <w:r w:rsidRPr="005940A7">
              <w:rPr>
                <w:rFonts w:ascii="Calibri" w:eastAsia="Times New Roman" w:hAnsi="Calibri" w:cs="Calibri"/>
                <w:b/>
                <w:bCs/>
                <w:iCs/>
                <w:noProof/>
                <w:color w:val="000000"/>
                <w:sz w:val="20"/>
              </w:rPr>
              <w:t xml:space="preserve">093 </w:t>
            </w:r>
            <w:r w:rsidRPr="00121616">
              <w:rPr>
                <w:rFonts w:ascii="Calibri" w:eastAsia="Times New Roman" w:hAnsi="Calibri" w:cs="Calibri"/>
                <w:iCs/>
                <w:noProof/>
                <w:color w:val="000000"/>
                <w:sz w:val="20"/>
              </w:rPr>
              <w:t>Inne drogi przebudowane lub zmodernizowane (autostrady, drogi krajowe, regionalne lub lokalne)</w:t>
            </w:r>
          </w:p>
        </w:tc>
        <w:tc>
          <w:tcPr>
            <w:tcW w:w="1871" w:type="dxa"/>
          </w:tcPr>
          <w:p w14:paraId="086921FE" w14:textId="6795F69C" w:rsidR="00D01D1F" w:rsidRPr="00A4473F" w:rsidRDefault="00A52F1E" w:rsidP="00F62734">
            <w:pPr>
              <w:jc w:val="right"/>
              <w:rPr>
                <w:rFonts w:ascii="Calibri" w:hAnsi="Calibri" w:cs="Calibri"/>
                <w:b/>
                <w:noProof/>
                <w:sz w:val="20"/>
              </w:rPr>
            </w:pPr>
            <w:r>
              <w:rPr>
                <w:rFonts w:ascii="Calibri" w:eastAsia="Times New Roman" w:hAnsi="Calibri" w:cs="Calibri"/>
                <w:iCs/>
                <w:noProof/>
                <w:sz w:val="20"/>
              </w:rPr>
              <w:t>57 530 000</w:t>
            </w:r>
          </w:p>
        </w:tc>
      </w:tr>
      <w:tr w:rsidR="00D01D1F" w:rsidRPr="00A4473F" w14:paraId="1E7D0F93" w14:textId="77777777" w:rsidTr="00F62734">
        <w:trPr>
          <w:gridAfter w:val="1"/>
          <w:wAfter w:w="30" w:type="dxa"/>
        </w:trPr>
        <w:tc>
          <w:tcPr>
            <w:tcW w:w="1129" w:type="dxa"/>
            <w:vMerge/>
            <w:shd w:val="clear" w:color="auto" w:fill="F2F2F2"/>
            <w:vAlign w:val="center"/>
          </w:tcPr>
          <w:p w14:paraId="32C33F38" w14:textId="51FEFA47"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075D05EA" w14:textId="6B96371D"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16B888D3" w14:textId="093A16BB"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4065BD93" w14:textId="6AC9EC6E" w:rsidR="00D01D1F" w:rsidRPr="00A4473F" w:rsidRDefault="00D01D1F" w:rsidP="00D01D1F">
            <w:pPr>
              <w:jc w:val="center"/>
              <w:rPr>
                <w:rFonts w:ascii="Calibri" w:hAnsi="Calibri" w:cs="Calibri"/>
                <w:b/>
                <w:noProof/>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A268FB7" w14:textId="064BC67E" w:rsidR="00D01D1F" w:rsidRPr="00A4473F" w:rsidRDefault="00D01D1F" w:rsidP="00F62734">
            <w:pPr>
              <w:jc w:val="left"/>
              <w:rPr>
                <w:rFonts w:ascii="Calibri" w:hAnsi="Calibri" w:cs="Calibri"/>
                <w:b/>
                <w:noProof/>
                <w:sz w:val="20"/>
              </w:rPr>
            </w:pPr>
            <w:r w:rsidRPr="00121616">
              <w:rPr>
                <w:rFonts w:ascii="Calibri" w:hAnsi="Calibri" w:cs="Calibri"/>
                <w:b/>
                <w:bCs/>
                <w:color w:val="000000"/>
                <w:sz w:val="20"/>
              </w:rPr>
              <w:t xml:space="preserve">121 </w:t>
            </w:r>
            <w:r w:rsidRPr="00121616">
              <w:rPr>
                <w:rFonts w:ascii="Calibri" w:hAnsi="Calibri" w:cs="Calibri"/>
                <w:color w:val="000000"/>
                <w:sz w:val="20"/>
              </w:rPr>
              <w:t>Infrastruktura na potrzeby wczesnej edukacji</w:t>
            </w:r>
            <w:r>
              <w:rPr>
                <w:rFonts w:ascii="Calibri" w:hAnsi="Calibri" w:cs="Calibri"/>
                <w:color w:val="000000"/>
                <w:sz w:val="20"/>
              </w:rPr>
              <w:t xml:space="preserve"> </w:t>
            </w:r>
            <w:r w:rsidRPr="00121616">
              <w:rPr>
                <w:rFonts w:ascii="Calibri" w:hAnsi="Calibri" w:cs="Calibri"/>
                <w:color w:val="000000"/>
                <w:sz w:val="20"/>
              </w:rPr>
              <w:t>i opieki nad dzieckiem</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46414C1" w14:textId="06A354EB" w:rsidR="00D01D1F" w:rsidRPr="00A4473F" w:rsidRDefault="00D01D1F" w:rsidP="00F62734">
            <w:pPr>
              <w:jc w:val="right"/>
              <w:rPr>
                <w:rFonts w:ascii="Calibri" w:hAnsi="Calibri" w:cs="Calibri"/>
                <w:b/>
                <w:noProof/>
                <w:sz w:val="20"/>
              </w:rPr>
            </w:pPr>
            <w:r w:rsidRPr="00121616">
              <w:rPr>
                <w:rFonts w:ascii="Calibri" w:hAnsi="Calibri" w:cs="Calibri"/>
                <w:sz w:val="20"/>
              </w:rPr>
              <w:t>4 660 000</w:t>
            </w:r>
          </w:p>
        </w:tc>
      </w:tr>
      <w:tr w:rsidR="00D01D1F" w:rsidRPr="00A4473F" w14:paraId="685E2CD9" w14:textId="77777777" w:rsidTr="00F62734">
        <w:trPr>
          <w:gridAfter w:val="1"/>
          <w:wAfter w:w="30" w:type="dxa"/>
        </w:trPr>
        <w:tc>
          <w:tcPr>
            <w:tcW w:w="1129" w:type="dxa"/>
            <w:vMerge/>
            <w:shd w:val="clear" w:color="auto" w:fill="F2F2F2"/>
            <w:vAlign w:val="center"/>
          </w:tcPr>
          <w:p w14:paraId="31DC179F" w14:textId="1FDD60E8"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6382F92A" w14:textId="77614042"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329DA842" w14:textId="011EB96A"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654CCA4F" w14:textId="4839A815" w:rsidR="00D01D1F" w:rsidRPr="00A4473F" w:rsidRDefault="00D01D1F" w:rsidP="00D01D1F">
            <w:pPr>
              <w:jc w:val="center"/>
              <w:rPr>
                <w:rFonts w:ascii="Calibri" w:hAnsi="Calibri" w:cs="Calibri"/>
                <w:b/>
                <w:noProof/>
                <w:sz w:val="20"/>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4DFA2CD6" w14:textId="240A85CC" w:rsidR="00D01D1F" w:rsidRPr="00A4473F" w:rsidRDefault="00D01D1F" w:rsidP="00F62734">
            <w:pPr>
              <w:jc w:val="left"/>
              <w:rPr>
                <w:rFonts w:ascii="Calibri" w:hAnsi="Calibri" w:cs="Calibri"/>
                <w:b/>
                <w:noProof/>
                <w:sz w:val="20"/>
              </w:rPr>
            </w:pPr>
            <w:r w:rsidRPr="00121616">
              <w:rPr>
                <w:rFonts w:ascii="Calibri" w:hAnsi="Calibri" w:cs="Calibri"/>
                <w:b/>
                <w:bCs/>
                <w:color w:val="000000"/>
                <w:sz w:val="20"/>
              </w:rPr>
              <w:t xml:space="preserve">122 </w:t>
            </w:r>
            <w:r w:rsidRPr="00121616">
              <w:rPr>
                <w:rFonts w:ascii="Calibri" w:hAnsi="Calibri" w:cs="Calibri"/>
                <w:color w:val="000000"/>
                <w:sz w:val="20"/>
              </w:rPr>
              <w:t>Infrastruktura na potrzeby szkolnictwa</w:t>
            </w:r>
            <w:r>
              <w:rPr>
                <w:rFonts w:ascii="Calibri" w:hAnsi="Calibri" w:cs="Calibri"/>
                <w:color w:val="000000"/>
                <w:sz w:val="20"/>
              </w:rPr>
              <w:t xml:space="preserve"> </w:t>
            </w:r>
            <w:r w:rsidRPr="00121616">
              <w:rPr>
                <w:rFonts w:ascii="Calibri" w:hAnsi="Calibri" w:cs="Calibri"/>
                <w:color w:val="000000"/>
                <w:sz w:val="20"/>
              </w:rPr>
              <w:t xml:space="preserve">podstawowego i średniego </w:t>
            </w:r>
          </w:p>
        </w:tc>
        <w:tc>
          <w:tcPr>
            <w:tcW w:w="1871" w:type="dxa"/>
            <w:tcBorders>
              <w:top w:val="nil"/>
              <w:left w:val="single" w:sz="4" w:space="0" w:color="auto"/>
              <w:bottom w:val="single" w:sz="4" w:space="0" w:color="auto"/>
              <w:right w:val="single" w:sz="4" w:space="0" w:color="auto"/>
            </w:tcBorders>
            <w:shd w:val="clear" w:color="auto" w:fill="auto"/>
            <w:vAlign w:val="center"/>
          </w:tcPr>
          <w:p w14:paraId="1196FC6A" w14:textId="42FD7E35" w:rsidR="00D01D1F" w:rsidRPr="00A4473F" w:rsidRDefault="00D01D1F" w:rsidP="00F62734">
            <w:pPr>
              <w:jc w:val="right"/>
              <w:rPr>
                <w:rFonts w:ascii="Calibri" w:hAnsi="Calibri" w:cs="Calibri"/>
                <w:b/>
                <w:noProof/>
                <w:sz w:val="20"/>
              </w:rPr>
            </w:pPr>
            <w:r w:rsidRPr="00121616">
              <w:rPr>
                <w:rFonts w:ascii="Calibri" w:hAnsi="Calibri" w:cs="Calibri"/>
                <w:sz w:val="20"/>
              </w:rPr>
              <w:t>4 660 000</w:t>
            </w:r>
          </w:p>
        </w:tc>
      </w:tr>
      <w:tr w:rsidR="00D01D1F" w:rsidRPr="00A4473F" w14:paraId="5F562B67" w14:textId="77777777" w:rsidTr="00F62734">
        <w:trPr>
          <w:gridAfter w:val="1"/>
          <w:wAfter w:w="30" w:type="dxa"/>
        </w:trPr>
        <w:tc>
          <w:tcPr>
            <w:tcW w:w="1129" w:type="dxa"/>
            <w:vMerge/>
            <w:shd w:val="clear" w:color="auto" w:fill="F2F2F2"/>
            <w:vAlign w:val="center"/>
          </w:tcPr>
          <w:p w14:paraId="15742869" w14:textId="27646073"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243EFC45" w14:textId="7A3D3916"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1F60986B" w14:textId="69EDF4FC"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57C400EF" w14:textId="4BA62A72" w:rsidR="00D01D1F" w:rsidRPr="00A4473F" w:rsidRDefault="00D01D1F" w:rsidP="00D01D1F">
            <w:pPr>
              <w:jc w:val="center"/>
              <w:rPr>
                <w:rFonts w:ascii="Calibri" w:hAnsi="Calibri" w:cs="Calibri"/>
                <w:b/>
                <w:noProof/>
                <w:sz w:val="20"/>
              </w:rPr>
            </w:pPr>
          </w:p>
        </w:tc>
        <w:tc>
          <w:tcPr>
            <w:tcW w:w="3544" w:type="dxa"/>
            <w:tcBorders>
              <w:top w:val="nil"/>
              <w:left w:val="single" w:sz="4" w:space="0" w:color="auto"/>
              <w:bottom w:val="nil"/>
              <w:right w:val="single" w:sz="4" w:space="0" w:color="auto"/>
            </w:tcBorders>
            <w:shd w:val="clear" w:color="auto" w:fill="auto"/>
            <w:vAlign w:val="center"/>
          </w:tcPr>
          <w:p w14:paraId="1564B648" w14:textId="42BBBB86" w:rsidR="00D01D1F" w:rsidRPr="00A4473F" w:rsidRDefault="00D01D1F" w:rsidP="00F62734">
            <w:pPr>
              <w:jc w:val="left"/>
              <w:rPr>
                <w:rFonts w:ascii="Calibri" w:hAnsi="Calibri" w:cs="Calibri"/>
                <w:b/>
                <w:noProof/>
                <w:sz w:val="20"/>
              </w:rPr>
            </w:pPr>
            <w:r w:rsidRPr="00121616">
              <w:rPr>
                <w:rFonts w:ascii="Calibri" w:hAnsi="Calibri" w:cs="Calibri"/>
                <w:b/>
                <w:bCs/>
                <w:color w:val="000000"/>
                <w:sz w:val="20"/>
              </w:rPr>
              <w:t xml:space="preserve">124 </w:t>
            </w:r>
            <w:r w:rsidRPr="00121616">
              <w:rPr>
                <w:rFonts w:ascii="Calibri" w:hAnsi="Calibri" w:cs="Calibri"/>
                <w:color w:val="000000"/>
                <w:sz w:val="20"/>
              </w:rPr>
              <w:t>Infrastruktura na potrzeby kształcenia i szkolenia</w:t>
            </w:r>
            <w:r>
              <w:rPr>
                <w:rFonts w:ascii="Calibri" w:hAnsi="Calibri" w:cs="Calibri"/>
                <w:color w:val="000000"/>
                <w:sz w:val="20"/>
              </w:rPr>
              <w:t xml:space="preserve"> </w:t>
            </w:r>
            <w:r w:rsidRPr="00121616">
              <w:rPr>
                <w:rFonts w:ascii="Calibri" w:hAnsi="Calibri" w:cs="Calibri"/>
                <w:color w:val="000000"/>
                <w:sz w:val="20"/>
              </w:rPr>
              <w:t xml:space="preserve">zawodowego oraz edukacji dorosłych </w:t>
            </w:r>
          </w:p>
        </w:tc>
        <w:tc>
          <w:tcPr>
            <w:tcW w:w="1871" w:type="dxa"/>
            <w:tcBorders>
              <w:top w:val="nil"/>
              <w:left w:val="single" w:sz="4" w:space="0" w:color="auto"/>
              <w:bottom w:val="single" w:sz="4" w:space="0" w:color="auto"/>
              <w:right w:val="single" w:sz="4" w:space="0" w:color="auto"/>
            </w:tcBorders>
            <w:shd w:val="clear" w:color="auto" w:fill="auto"/>
            <w:vAlign w:val="center"/>
          </w:tcPr>
          <w:p w14:paraId="53B19962" w14:textId="11DF91FF" w:rsidR="00D01D1F" w:rsidRPr="00A4473F" w:rsidRDefault="00D01D1F" w:rsidP="00F62734">
            <w:pPr>
              <w:jc w:val="right"/>
              <w:rPr>
                <w:rFonts w:ascii="Calibri" w:hAnsi="Calibri" w:cs="Calibri"/>
                <w:b/>
                <w:noProof/>
                <w:sz w:val="20"/>
              </w:rPr>
            </w:pPr>
            <w:r w:rsidRPr="00121616">
              <w:rPr>
                <w:rFonts w:ascii="Calibri" w:hAnsi="Calibri" w:cs="Calibri"/>
                <w:sz w:val="20"/>
              </w:rPr>
              <w:t>4 660 000</w:t>
            </w:r>
          </w:p>
        </w:tc>
      </w:tr>
      <w:tr w:rsidR="00D01D1F" w:rsidRPr="00A4473F" w14:paraId="02F05781" w14:textId="77777777" w:rsidTr="00F62734">
        <w:trPr>
          <w:gridAfter w:val="1"/>
          <w:wAfter w:w="30" w:type="dxa"/>
        </w:trPr>
        <w:tc>
          <w:tcPr>
            <w:tcW w:w="1129" w:type="dxa"/>
            <w:vMerge/>
            <w:shd w:val="clear" w:color="auto" w:fill="F2F2F2"/>
            <w:vAlign w:val="center"/>
          </w:tcPr>
          <w:p w14:paraId="57D304DD" w14:textId="66F612B7"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556E6C59" w14:textId="31344FAC"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083F78EA" w14:textId="3A15841C"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060E4FAD" w14:textId="6FEEB796" w:rsidR="00D01D1F" w:rsidRPr="00A4473F" w:rsidRDefault="00D01D1F" w:rsidP="00D01D1F">
            <w:pPr>
              <w:jc w:val="center"/>
              <w:rPr>
                <w:rFonts w:ascii="Calibri" w:hAnsi="Calibri" w:cs="Calibri"/>
                <w:b/>
                <w:noProof/>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1348D5" w14:textId="3715EA68" w:rsidR="00D01D1F" w:rsidRPr="00A4473F" w:rsidRDefault="00D01D1F" w:rsidP="00F62734">
            <w:pPr>
              <w:jc w:val="left"/>
              <w:rPr>
                <w:rFonts w:ascii="Calibri" w:hAnsi="Calibri" w:cs="Calibri"/>
                <w:b/>
                <w:noProof/>
                <w:sz w:val="20"/>
              </w:rPr>
            </w:pPr>
            <w:r w:rsidRPr="00121616">
              <w:rPr>
                <w:rFonts w:ascii="Calibri" w:hAnsi="Calibri" w:cs="Calibri"/>
                <w:b/>
                <w:bCs/>
                <w:color w:val="000000"/>
                <w:sz w:val="20"/>
              </w:rPr>
              <w:t xml:space="preserve">126 </w:t>
            </w:r>
            <w:r w:rsidRPr="00121616">
              <w:rPr>
                <w:rFonts w:ascii="Calibri" w:hAnsi="Calibri" w:cs="Calibri"/>
                <w:color w:val="000000"/>
                <w:sz w:val="20"/>
              </w:rPr>
              <w:t>Infrastruktura mieszkaniowa (inna niż dla</w:t>
            </w:r>
            <w:r>
              <w:rPr>
                <w:rFonts w:ascii="Calibri" w:hAnsi="Calibri" w:cs="Calibri"/>
                <w:color w:val="000000"/>
                <w:sz w:val="20"/>
              </w:rPr>
              <w:t xml:space="preserve"> </w:t>
            </w:r>
            <w:r w:rsidRPr="00121616">
              <w:rPr>
                <w:rFonts w:ascii="Calibri" w:hAnsi="Calibri" w:cs="Calibri"/>
                <w:color w:val="000000"/>
                <w:sz w:val="20"/>
              </w:rPr>
              <w:t>migrantów, uchodźców i osób objętych ochroną</w:t>
            </w:r>
            <w:r>
              <w:rPr>
                <w:rFonts w:ascii="Calibri" w:hAnsi="Calibri" w:cs="Calibri"/>
                <w:color w:val="000000"/>
                <w:sz w:val="20"/>
              </w:rPr>
              <w:t xml:space="preserve"> </w:t>
            </w:r>
            <w:r w:rsidRPr="00121616">
              <w:rPr>
                <w:rFonts w:ascii="Calibri" w:hAnsi="Calibri" w:cs="Calibri"/>
                <w:color w:val="000000"/>
                <w:sz w:val="20"/>
              </w:rPr>
              <w:t>międzynarodową lub ubiegających się o nią)</w:t>
            </w:r>
          </w:p>
        </w:tc>
        <w:tc>
          <w:tcPr>
            <w:tcW w:w="1871" w:type="dxa"/>
            <w:tcBorders>
              <w:top w:val="nil"/>
              <w:left w:val="single" w:sz="4" w:space="0" w:color="auto"/>
              <w:bottom w:val="single" w:sz="4" w:space="0" w:color="auto"/>
              <w:right w:val="single" w:sz="4" w:space="0" w:color="auto"/>
            </w:tcBorders>
            <w:shd w:val="clear" w:color="auto" w:fill="auto"/>
            <w:vAlign w:val="center"/>
          </w:tcPr>
          <w:p w14:paraId="74DDFAED" w14:textId="48F095D7" w:rsidR="00D01D1F" w:rsidRPr="00A4473F" w:rsidRDefault="00D01D1F" w:rsidP="00F62734">
            <w:pPr>
              <w:jc w:val="right"/>
              <w:rPr>
                <w:rFonts w:ascii="Calibri" w:hAnsi="Calibri" w:cs="Calibri"/>
                <w:b/>
                <w:noProof/>
                <w:sz w:val="20"/>
              </w:rPr>
            </w:pPr>
            <w:r w:rsidRPr="00121616">
              <w:rPr>
                <w:rFonts w:ascii="Calibri" w:hAnsi="Calibri" w:cs="Calibri"/>
                <w:sz w:val="20"/>
              </w:rPr>
              <w:t>4 660 000</w:t>
            </w:r>
          </w:p>
        </w:tc>
      </w:tr>
      <w:tr w:rsidR="00D01D1F" w:rsidRPr="00A4473F" w14:paraId="74D41744" w14:textId="77777777" w:rsidTr="00F62734">
        <w:trPr>
          <w:gridAfter w:val="1"/>
          <w:wAfter w:w="30" w:type="dxa"/>
        </w:trPr>
        <w:tc>
          <w:tcPr>
            <w:tcW w:w="1129" w:type="dxa"/>
            <w:vMerge/>
            <w:shd w:val="clear" w:color="auto" w:fill="F2F2F2"/>
            <w:vAlign w:val="center"/>
          </w:tcPr>
          <w:p w14:paraId="62856C8C" w14:textId="34ED9624" w:rsidR="00D01D1F" w:rsidRPr="00A4473F" w:rsidRDefault="00D01D1F" w:rsidP="00D01D1F">
            <w:pPr>
              <w:jc w:val="center"/>
              <w:rPr>
                <w:rFonts w:ascii="Calibri" w:hAnsi="Calibri" w:cs="Calibri"/>
                <w:b/>
                <w:noProof/>
                <w:sz w:val="20"/>
              </w:rPr>
            </w:pPr>
          </w:p>
        </w:tc>
        <w:tc>
          <w:tcPr>
            <w:tcW w:w="822" w:type="dxa"/>
            <w:vMerge/>
            <w:shd w:val="clear" w:color="auto" w:fill="F2F2F2"/>
            <w:vAlign w:val="center"/>
          </w:tcPr>
          <w:p w14:paraId="33A232A4" w14:textId="2C03D34E"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707D9A1D" w14:textId="2B4C31A0" w:rsidR="00D01D1F" w:rsidRPr="00A4473F" w:rsidRDefault="00D01D1F" w:rsidP="00D01D1F">
            <w:pPr>
              <w:jc w:val="center"/>
              <w:rPr>
                <w:rFonts w:ascii="Calibri" w:hAnsi="Calibri" w:cs="Calibri"/>
                <w:b/>
                <w:noProof/>
                <w:sz w:val="20"/>
              </w:rPr>
            </w:pPr>
          </w:p>
        </w:tc>
        <w:tc>
          <w:tcPr>
            <w:tcW w:w="1134" w:type="dxa"/>
            <w:vMerge/>
            <w:shd w:val="clear" w:color="auto" w:fill="F2F2F2"/>
            <w:vAlign w:val="center"/>
          </w:tcPr>
          <w:p w14:paraId="1D8E30E4" w14:textId="5CA99C9E" w:rsidR="00D01D1F" w:rsidRPr="00A4473F" w:rsidRDefault="00D01D1F" w:rsidP="00D01D1F">
            <w:pPr>
              <w:jc w:val="center"/>
              <w:rPr>
                <w:rFonts w:ascii="Calibri" w:hAnsi="Calibri" w:cs="Calibri"/>
                <w:b/>
                <w:noProof/>
                <w:sz w:val="20"/>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72F65319" w14:textId="5ECE72BE" w:rsidR="00D01D1F" w:rsidRPr="00A4473F" w:rsidRDefault="00D01D1F" w:rsidP="00F62734">
            <w:pPr>
              <w:jc w:val="left"/>
              <w:rPr>
                <w:rFonts w:ascii="Calibri" w:hAnsi="Calibri" w:cs="Calibri"/>
                <w:b/>
                <w:noProof/>
                <w:sz w:val="20"/>
              </w:rPr>
            </w:pPr>
            <w:r w:rsidRPr="00121616">
              <w:rPr>
                <w:rFonts w:ascii="Calibri" w:hAnsi="Calibri" w:cs="Calibri"/>
                <w:b/>
                <w:bCs/>
                <w:color w:val="000000"/>
                <w:sz w:val="20"/>
              </w:rPr>
              <w:t xml:space="preserve">127 </w:t>
            </w:r>
            <w:r w:rsidRPr="00121616">
              <w:rPr>
                <w:rFonts w:ascii="Calibri" w:hAnsi="Calibri" w:cs="Calibri"/>
                <w:color w:val="000000"/>
                <w:sz w:val="20"/>
              </w:rPr>
              <w:t>Pozostała infrastruktura społeczna przyczyniająca</w:t>
            </w:r>
            <w:r w:rsidRPr="00121616">
              <w:rPr>
                <w:rFonts w:ascii="Calibri" w:hAnsi="Calibri" w:cs="Calibri"/>
                <w:color w:val="000000"/>
                <w:sz w:val="20"/>
              </w:rPr>
              <w:br/>
              <w:t>się do włączenia społecznego</w:t>
            </w:r>
          </w:p>
        </w:tc>
        <w:tc>
          <w:tcPr>
            <w:tcW w:w="1871" w:type="dxa"/>
            <w:tcBorders>
              <w:top w:val="nil"/>
              <w:left w:val="single" w:sz="4" w:space="0" w:color="auto"/>
              <w:bottom w:val="single" w:sz="4" w:space="0" w:color="auto"/>
              <w:right w:val="single" w:sz="4" w:space="0" w:color="auto"/>
            </w:tcBorders>
            <w:shd w:val="clear" w:color="auto" w:fill="auto"/>
            <w:vAlign w:val="center"/>
          </w:tcPr>
          <w:p w14:paraId="6EDECFBA" w14:textId="50B12768" w:rsidR="00D01D1F" w:rsidRPr="00A4473F" w:rsidRDefault="00D01D1F" w:rsidP="00F62734">
            <w:pPr>
              <w:jc w:val="right"/>
              <w:rPr>
                <w:rFonts w:ascii="Calibri" w:hAnsi="Calibri" w:cs="Calibri"/>
                <w:b/>
                <w:noProof/>
                <w:sz w:val="20"/>
              </w:rPr>
            </w:pPr>
            <w:r w:rsidRPr="00121616">
              <w:rPr>
                <w:rFonts w:ascii="Calibri" w:hAnsi="Calibri" w:cs="Calibri"/>
                <w:sz w:val="20"/>
              </w:rPr>
              <w:t>4 660 000</w:t>
            </w:r>
          </w:p>
        </w:tc>
      </w:tr>
      <w:tr w:rsidR="00D01D1F" w:rsidRPr="00A4473F" w14:paraId="7DE3FB2C" w14:textId="77777777" w:rsidTr="00F62734">
        <w:trPr>
          <w:trHeight w:val="566"/>
        </w:trPr>
        <w:tc>
          <w:tcPr>
            <w:tcW w:w="1129" w:type="dxa"/>
            <w:vMerge/>
            <w:vAlign w:val="center"/>
          </w:tcPr>
          <w:p w14:paraId="761A724E" w14:textId="2CDE6D88" w:rsidR="00D01D1F" w:rsidRPr="00A4473F" w:rsidRDefault="00D01D1F" w:rsidP="00D01D1F">
            <w:pPr>
              <w:jc w:val="center"/>
              <w:rPr>
                <w:rFonts w:ascii="Calibri" w:eastAsia="Times New Roman" w:hAnsi="Calibri" w:cs="Calibri"/>
                <w:iCs/>
                <w:noProof/>
                <w:sz w:val="20"/>
              </w:rPr>
            </w:pPr>
          </w:p>
        </w:tc>
        <w:tc>
          <w:tcPr>
            <w:tcW w:w="822" w:type="dxa"/>
            <w:vMerge/>
            <w:vAlign w:val="center"/>
          </w:tcPr>
          <w:p w14:paraId="6FA00D0C" w14:textId="3782C077" w:rsidR="00D01D1F" w:rsidRPr="00A4473F" w:rsidRDefault="00D01D1F" w:rsidP="00D01D1F">
            <w:pPr>
              <w:jc w:val="center"/>
              <w:rPr>
                <w:rFonts w:ascii="Calibri" w:eastAsia="Times New Roman" w:hAnsi="Calibri" w:cs="Calibri"/>
                <w:iCs/>
                <w:noProof/>
                <w:sz w:val="20"/>
              </w:rPr>
            </w:pPr>
          </w:p>
        </w:tc>
        <w:tc>
          <w:tcPr>
            <w:tcW w:w="1134" w:type="dxa"/>
            <w:vMerge/>
            <w:vAlign w:val="center"/>
          </w:tcPr>
          <w:p w14:paraId="6A218928" w14:textId="71D3F4E3" w:rsidR="00D01D1F" w:rsidRPr="00A4473F" w:rsidRDefault="00D01D1F" w:rsidP="00D01D1F">
            <w:pPr>
              <w:jc w:val="center"/>
              <w:rPr>
                <w:rFonts w:ascii="Calibri" w:eastAsia="Times New Roman" w:hAnsi="Calibri" w:cs="Calibri"/>
                <w:iCs/>
                <w:noProof/>
                <w:sz w:val="20"/>
              </w:rPr>
            </w:pPr>
          </w:p>
        </w:tc>
        <w:tc>
          <w:tcPr>
            <w:tcW w:w="1134" w:type="dxa"/>
            <w:vMerge/>
            <w:vAlign w:val="center"/>
          </w:tcPr>
          <w:p w14:paraId="2397B0DB" w14:textId="43C3A371" w:rsidR="00D01D1F" w:rsidRPr="00A4473F" w:rsidRDefault="00D01D1F" w:rsidP="00D01D1F">
            <w:pPr>
              <w:jc w:val="center"/>
              <w:rPr>
                <w:rFonts w:ascii="Calibri" w:eastAsia="Times New Roman" w:hAnsi="Calibri" w:cs="Calibri"/>
                <w:iCs/>
                <w:noProof/>
                <w:sz w:val="20"/>
              </w:rPr>
            </w:pPr>
          </w:p>
        </w:tc>
        <w:tc>
          <w:tcPr>
            <w:tcW w:w="3544" w:type="dxa"/>
          </w:tcPr>
          <w:p w14:paraId="0D687590" w14:textId="706C172F" w:rsidR="00D01D1F" w:rsidRPr="00F62734" w:rsidRDefault="00D01D1F" w:rsidP="00D01D1F">
            <w:pPr>
              <w:autoSpaceDE w:val="0"/>
              <w:autoSpaceDN w:val="0"/>
              <w:adjustRightInd w:val="0"/>
              <w:rPr>
                <w:rFonts w:ascii="Calibri" w:hAnsi="Calibri" w:cs="Calibri"/>
                <w:color w:val="000000"/>
                <w:sz w:val="20"/>
                <w:szCs w:val="24"/>
              </w:rPr>
            </w:pPr>
          </w:p>
        </w:tc>
        <w:tc>
          <w:tcPr>
            <w:tcW w:w="1901" w:type="dxa"/>
            <w:gridSpan w:val="2"/>
          </w:tcPr>
          <w:p w14:paraId="7B72CB08" w14:textId="7DC25FD4" w:rsidR="00D01D1F" w:rsidRPr="00D96723" w:rsidRDefault="00D01D1F" w:rsidP="00D01D1F">
            <w:pPr>
              <w:jc w:val="right"/>
              <w:rPr>
                <w:rFonts w:ascii="Calibri" w:eastAsia="Times New Roman" w:hAnsi="Calibri" w:cs="Calibri"/>
                <w:iCs/>
                <w:noProof/>
                <w:sz w:val="20"/>
                <w:highlight w:val="yellow"/>
              </w:rPr>
            </w:pPr>
          </w:p>
        </w:tc>
      </w:tr>
    </w:tbl>
    <w:p w14:paraId="2E27BE32" w14:textId="77777777" w:rsidR="00CF32B0" w:rsidRPr="00A4473F" w:rsidRDefault="00CF32B0" w:rsidP="00CF32B0">
      <w:pPr>
        <w:rPr>
          <w:rFonts w:ascii="Calibri" w:hAnsi="Calibri" w:cs="Calibri"/>
          <w:b/>
          <w:noProof/>
          <w:color w:val="2F5496"/>
        </w:rPr>
      </w:pPr>
    </w:p>
    <w:tbl>
      <w:tblPr>
        <w:tblStyle w:val="Tabela-Siatka"/>
        <w:tblW w:w="9634" w:type="dxa"/>
        <w:tblLook w:val="04A0" w:firstRow="1" w:lastRow="0" w:firstColumn="1" w:lastColumn="0" w:noHBand="0" w:noVBand="1"/>
      </w:tblPr>
      <w:tblGrid>
        <w:gridCol w:w="1064"/>
        <w:gridCol w:w="916"/>
        <w:gridCol w:w="1134"/>
        <w:gridCol w:w="1276"/>
        <w:gridCol w:w="3402"/>
        <w:gridCol w:w="1842"/>
      </w:tblGrid>
      <w:tr w:rsidR="00CF32B0" w:rsidRPr="00A4473F" w14:paraId="4CEF9E8D" w14:textId="77777777" w:rsidTr="00022FA5">
        <w:tc>
          <w:tcPr>
            <w:tcW w:w="9634" w:type="dxa"/>
            <w:gridSpan w:val="6"/>
            <w:shd w:val="clear" w:color="auto" w:fill="D9D9D9"/>
          </w:tcPr>
          <w:p w14:paraId="45B85DB4" w14:textId="77777777" w:rsidR="00CF32B0" w:rsidRPr="00A4473F" w:rsidRDefault="00CF32B0" w:rsidP="00022FA5">
            <w:pPr>
              <w:rPr>
                <w:rFonts w:ascii="Calibri" w:eastAsia="Times New Roman" w:hAnsi="Calibri" w:cs="Calibri"/>
                <w:b/>
                <w:iCs/>
                <w:noProof/>
                <w:sz w:val="20"/>
              </w:rPr>
            </w:pPr>
            <w:r w:rsidRPr="00A4473F">
              <w:rPr>
                <w:rFonts w:ascii="Calibri" w:hAnsi="Calibri" w:cs="Calibri"/>
                <w:b/>
                <w:noProof/>
                <w:sz w:val="20"/>
              </w:rPr>
              <w:t>Tabela 5: Wymiar 2 – forma finansowania</w:t>
            </w:r>
          </w:p>
        </w:tc>
      </w:tr>
      <w:tr w:rsidR="00CF32B0" w:rsidRPr="00A4473F" w14:paraId="1EC0F7CC" w14:textId="77777777" w:rsidTr="00022FA5">
        <w:tc>
          <w:tcPr>
            <w:tcW w:w="1064" w:type="dxa"/>
            <w:shd w:val="clear" w:color="auto" w:fill="F2F2F2"/>
          </w:tcPr>
          <w:p w14:paraId="1FA27119"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Nr priorytetu</w:t>
            </w:r>
          </w:p>
        </w:tc>
        <w:tc>
          <w:tcPr>
            <w:tcW w:w="916" w:type="dxa"/>
            <w:shd w:val="clear" w:color="auto" w:fill="F2F2F2"/>
          </w:tcPr>
          <w:p w14:paraId="35D998CF"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Fundusz</w:t>
            </w:r>
          </w:p>
        </w:tc>
        <w:tc>
          <w:tcPr>
            <w:tcW w:w="1134" w:type="dxa"/>
            <w:shd w:val="clear" w:color="auto" w:fill="F2F2F2"/>
          </w:tcPr>
          <w:p w14:paraId="77C81709"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Kategoria regionu</w:t>
            </w:r>
          </w:p>
        </w:tc>
        <w:tc>
          <w:tcPr>
            <w:tcW w:w="1276" w:type="dxa"/>
            <w:shd w:val="clear" w:color="auto" w:fill="F2F2F2"/>
          </w:tcPr>
          <w:p w14:paraId="5228AC4E"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Cel szczegółowy</w:t>
            </w:r>
          </w:p>
        </w:tc>
        <w:tc>
          <w:tcPr>
            <w:tcW w:w="3402" w:type="dxa"/>
            <w:shd w:val="clear" w:color="auto" w:fill="F2F2F2"/>
          </w:tcPr>
          <w:p w14:paraId="7D6705DF"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Kod</w:t>
            </w:r>
          </w:p>
        </w:tc>
        <w:tc>
          <w:tcPr>
            <w:tcW w:w="1842" w:type="dxa"/>
            <w:shd w:val="clear" w:color="auto" w:fill="F2F2F2"/>
          </w:tcPr>
          <w:p w14:paraId="74593E89"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Kwota (w EUR)</w:t>
            </w:r>
          </w:p>
        </w:tc>
      </w:tr>
      <w:tr w:rsidR="00CF32B0" w:rsidRPr="00A4473F" w14:paraId="0ECCA77D" w14:textId="77777777" w:rsidTr="00022FA5">
        <w:trPr>
          <w:trHeight w:val="769"/>
        </w:trPr>
        <w:tc>
          <w:tcPr>
            <w:tcW w:w="1064" w:type="dxa"/>
            <w:vAlign w:val="center"/>
          </w:tcPr>
          <w:p w14:paraId="6BEF017B" w14:textId="77777777" w:rsidR="00CF32B0" w:rsidRPr="00A4473F" w:rsidRDefault="00CF32B0" w:rsidP="00022FA5">
            <w:pPr>
              <w:jc w:val="center"/>
              <w:rPr>
                <w:rFonts w:ascii="Calibri" w:eastAsia="Times New Roman" w:hAnsi="Calibri" w:cs="Calibri"/>
                <w:b/>
                <w:iCs/>
                <w:noProof/>
                <w:sz w:val="20"/>
              </w:rPr>
            </w:pPr>
            <w:r w:rsidRPr="00A4473F">
              <w:rPr>
                <w:rFonts w:ascii="Calibri" w:eastAsia="Times New Roman" w:hAnsi="Calibri" w:cs="Calibri"/>
                <w:iCs/>
                <w:noProof/>
                <w:sz w:val="20"/>
              </w:rPr>
              <w:t xml:space="preserve">CP </w:t>
            </w:r>
            <w:r>
              <w:rPr>
                <w:rFonts w:ascii="Calibri" w:eastAsia="Times New Roman" w:hAnsi="Calibri" w:cs="Calibri"/>
                <w:iCs/>
                <w:noProof/>
                <w:sz w:val="20"/>
              </w:rPr>
              <w:t>2</w:t>
            </w:r>
          </w:p>
        </w:tc>
        <w:tc>
          <w:tcPr>
            <w:tcW w:w="916" w:type="dxa"/>
            <w:vAlign w:val="center"/>
          </w:tcPr>
          <w:p w14:paraId="4B18CA9D" w14:textId="77777777" w:rsidR="00CF32B0" w:rsidRPr="00A4473F" w:rsidRDefault="00CF32B0" w:rsidP="00022FA5">
            <w:pPr>
              <w:ind w:left="-184" w:firstLine="184"/>
              <w:jc w:val="center"/>
              <w:rPr>
                <w:rFonts w:ascii="Calibri" w:eastAsia="Times New Roman" w:hAnsi="Calibri" w:cs="Calibri"/>
                <w:b/>
                <w:iCs/>
                <w:noProof/>
                <w:sz w:val="20"/>
              </w:rPr>
            </w:pPr>
            <w:r w:rsidRPr="00A4473F">
              <w:rPr>
                <w:rFonts w:ascii="Calibri" w:eastAsia="Times New Roman" w:hAnsi="Calibri" w:cs="Calibri"/>
                <w:iCs/>
                <w:noProof/>
                <w:sz w:val="20"/>
              </w:rPr>
              <w:t>EFRR</w:t>
            </w:r>
          </w:p>
        </w:tc>
        <w:tc>
          <w:tcPr>
            <w:tcW w:w="1134" w:type="dxa"/>
            <w:vAlign w:val="center"/>
          </w:tcPr>
          <w:p w14:paraId="1121B77D" w14:textId="77777777" w:rsidR="00CF32B0" w:rsidRPr="00A4473F" w:rsidRDefault="00CF32B0" w:rsidP="00022FA5">
            <w:pPr>
              <w:jc w:val="center"/>
              <w:rPr>
                <w:rFonts w:ascii="Calibri" w:eastAsia="Times New Roman" w:hAnsi="Calibri" w:cs="Calibri"/>
                <w:b/>
                <w:iCs/>
                <w:noProof/>
                <w:sz w:val="20"/>
              </w:rPr>
            </w:pPr>
            <w:r w:rsidRPr="00A4473F">
              <w:rPr>
                <w:rFonts w:ascii="Calibri" w:eastAsia="Times New Roman" w:hAnsi="Calibri" w:cs="Calibri"/>
                <w:iCs/>
                <w:noProof/>
                <w:sz w:val="20"/>
              </w:rPr>
              <w:t>Słabiej rozwinięte</w:t>
            </w:r>
          </w:p>
        </w:tc>
        <w:tc>
          <w:tcPr>
            <w:tcW w:w="1276" w:type="dxa"/>
            <w:vAlign w:val="center"/>
          </w:tcPr>
          <w:p w14:paraId="5588F0B4" w14:textId="24E34EAA" w:rsidR="00CF32B0" w:rsidRPr="00746E7A" w:rsidRDefault="00D01D1F" w:rsidP="00022FA5">
            <w:pPr>
              <w:jc w:val="center"/>
              <w:rPr>
                <w:rFonts w:ascii="Calibri" w:eastAsia="Times New Roman" w:hAnsi="Calibri" w:cs="Calibri"/>
                <w:bCs/>
                <w:iCs/>
                <w:noProof/>
                <w:sz w:val="20"/>
              </w:rPr>
            </w:pPr>
            <w:r>
              <w:rPr>
                <w:rFonts w:ascii="Calibri" w:eastAsia="Times New Roman" w:hAnsi="Calibri" w:cs="Calibri"/>
                <w:bCs/>
                <w:iCs/>
                <w:noProof/>
                <w:sz w:val="20"/>
              </w:rPr>
              <w:t>x</w:t>
            </w:r>
          </w:p>
        </w:tc>
        <w:tc>
          <w:tcPr>
            <w:tcW w:w="3402" w:type="dxa"/>
            <w:vAlign w:val="center"/>
          </w:tcPr>
          <w:p w14:paraId="01870F5F" w14:textId="77777777" w:rsidR="00CF32B0" w:rsidRPr="00A4473F" w:rsidRDefault="00CF32B0" w:rsidP="00022FA5">
            <w:pPr>
              <w:autoSpaceDE w:val="0"/>
              <w:autoSpaceDN w:val="0"/>
              <w:adjustRightInd w:val="0"/>
              <w:rPr>
                <w:rFonts w:ascii="Calibri" w:hAnsi="Calibri" w:cs="Calibri"/>
                <w:color w:val="000000"/>
                <w:sz w:val="20"/>
                <w:szCs w:val="24"/>
              </w:rPr>
            </w:pPr>
            <w:r w:rsidRPr="00BE4B91">
              <w:rPr>
                <w:rFonts w:ascii="Calibri" w:eastAsia="Times New Roman" w:hAnsi="Calibri" w:cs="Calibri"/>
                <w:b/>
                <w:bCs/>
                <w:iCs/>
                <w:noProof/>
                <w:color w:val="000000"/>
                <w:sz w:val="20"/>
              </w:rPr>
              <w:t>01</w:t>
            </w:r>
            <w:r w:rsidRPr="00A4473F">
              <w:rPr>
                <w:rFonts w:ascii="Calibri" w:eastAsia="Times New Roman" w:hAnsi="Calibri" w:cs="Calibri"/>
                <w:iCs/>
                <w:noProof/>
                <w:color w:val="000000"/>
                <w:sz w:val="20"/>
              </w:rPr>
              <w:t xml:space="preserve"> </w:t>
            </w:r>
            <w:r w:rsidRPr="00A4473F">
              <w:rPr>
                <w:rFonts w:ascii="Calibri" w:hAnsi="Calibri" w:cs="Calibri"/>
                <w:color w:val="000000"/>
                <w:sz w:val="20"/>
              </w:rPr>
              <w:t xml:space="preserve">Dotacja </w:t>
            </w:r>
          </w:p>
        </w:tc>
        <w:tc>
          <w:tcPr>
            <w:tcW w:w="1842" w:type="dxa"/>
            <w:vAlign w:val="center"/>
          </w:tcPr>
          <w:p w14:paraId="35656B28" w14:textId="3F4D92F8" w:rsidR="00CF32B0" w:rsidRPr="00A4473F" w:rsidRDefault="00293183" w:rsidP="00022FA5">
            <w:pPr>
              <w:jc w:val="right"/>
              <w:rPr>
                <w:rFonts w:ascii="Calibri" w:eastAsia="Times New Roman" w:hAnsi="Calibri" w:cs="Calibri"/>
                <w:iCs/>
                <w:noProof/>
                <w:sz w:val="20"/>
              </w:rPr>
            </w:pPr>
            <w:r>
              <w:rPr>
                <w:rFonts w:ascii="Calibri" w:eastAsia="Times New Roman" w:hAnsi="Calibri" w:cs="Calibri"/>
                <w:iCs/>
                <w:noProof/>
                <w:sz w:val="20"/>
              </w:rPr>
              <w:t>87 830 000</w:t>
            </w:r>
          </w:p>
        </w:tc>
      </w:tr>
    </w:tbl>
    <w:p w14:paraId="5C423010" w14:textId="77777777" w:rsidR="00CF32B0" w:rsidRDefault="00CF32B0" w:rsidP="00CF32B0"/>
    <w:p w14:paraId="723AC4DA" w14:textId="77777777" w:rsidR="00CF32B0" w:rsidRPr="00A4473F" w:rsidRDefault="00CF32B0" w:rsidP="00CF32B0">
      <w:pPr>
        <w:rPr>
          <w:rFonts w:ascii="Calibri" w:hAnsi="Calibri" w:cs="Calibri"/>
          <w:b/>
          <w:noProof/>
          <w:color w:val="FF0000"/>
        </w:rPr>
      </w:pPr>
    </w:p>
    <w:tbl>
      <w:tblPr>
        <w:tblStyle w:val="Tabela-Siatka4"/>
        <w:tblW w:w="9634" w:type="dxa"/>
        <w:tblLook w:val="04A0" w:firstRow="1" w:lastRow="0" w:firstColumn="1" w:lastColumn="0" w:noHBand="0" w:noVBand="1"/>
      </w:tblPr>
      <w:tblGrid>
        <w:gridCol w:w="1064"/>
        <w:gridCol w:w="916"/>
        <w:gridCol w:w="1134"/>
        <w:gridCol w:w="1276"/>
        <w:gridCol w:w="3402"/>
        <w:gridCol w:w="1842"/>
      </w:tblGrid>
      <w:tr w:rsidR="00CF32B0" w:rsidRPr="00A4473F" w14:paraId="1206D121" w14:textId="77777777" w:rsidTr="00022FA5">
        <w:tc>
          <w:tcPr>
            <w:tcW w:w="9634" w:type="dxa"/>
            <w:gridSpan w:val="6"/>
            <w:shd w:val="clear" w:color="auto" w:fill="D9D9D9"/>
          </w:tcPr>
          <w:p w14:paraId="539EE6BD" w14:textId="77777777" w:rsidR="00CF32B0" w:rsidRPr="00A4473F" w:rsidRDefault="00CF32B0" w:rsidP="00022FA5">
            <w:pPr>
              <w:rPr>
                <w:rFonts w:ascii="Calibri" w:eastAsia="Times New Roman" w:hAnsi="Calibri" w:cs="Calibri"/>
                <w:b/>
                <w:iCs/>
                <w:noProof/>
                <w:sz w:val="20"/>
              </w:rPr>
            </w:pPr>
            <w:r w:rsidRPr="00A4473F">
              <w:rPr>
                <w:rFonts w:ascii="Calibri" w:hAnsi="Calibri" w:cs="Calibri"/>
                <w:b/>
                <w:noProof/>
                <w:sz w:val="20"/>
              </w:rPr>
              <w:lastRenderedPageBreak/>
              <w:t xml:space="preserve">Tabela </w:t>
            </w:r>
            <w:r>
              <w:rPr>
                <w:rFonts w:ascii="Calibri" w:hAnsi="Calibri" w:cs="Calibri"/>
                <w:b/>
                <w:noProof/>
                <w:sz w:val="20"/>
              </w:rPr>
              <w:t>6</w:t>
            </w:r>
            <w:r w:rsidRPr="00A4473F">
              <w:rPr>
                <w:rFonts w:ascii="Calibri" w:hAnsi="Calibri" w:cs="Calibri"/>
                <w:b/>
                <w:noProof/>
                <w:sz w:val="20"/>
              </w:rPr>
              <w:t xml:space="preserve">: Wymiar </w:t>
            </w:r>
            <w:r>
              <w:rPr>
                <w:rFonts w:ascii="Calibri" w:hAnsi="Calibri" w:cs="Calibri"/>
                <w:b/>
                <w:noProof/>
                <w:sz w:val="20"/>
              </w:rPr>
              <w:t>3</w:t>
            </w:r>
            <w:r w:rsidRPr="00A4473F">
              <w:rPr>
                <w:rFonts w:ascii="Calibri" w:hAnsi="Calibri" w:cs="Calibri"/>
                <w:b/>
                <w:noProof/>
                <w:sz w:val="20"/>
              </w:rPr>
              <w:t xml:space="preserve"> – terytorialny mechanizm realizacji i ukierunkowanie terytorialne</w:t>
            </w:r>
          </w:p>
        </w:tc>
      </w:tr>
      <w:tr w:rsidR="00CF32B0" w:rsidRPr="00A4473F" w14:paraId="3488F8AF" w14:textId="77777777" w:rsidTr="00022FA5">
        <w:tc>
          <w:tcPr>
            <w:tcW w:w="1064" w:type="dxa"/>
            <w:shd w:val="clear" w:color="auto" w:fill="F2F2F2"/>
          </w:tcPr>
          <w:p w14:paraId="2A91AB1E"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Nr priorytetu</w:t>
            </w:r>
          </w:p>
        </w:tc>
        <w:tc>
          <w:tcPr>
            <w:tcW w:w="916" w:type="dxa"/>
            <w:shd w:val="clear" w:color="auto" w:fill="F2F2F2"/>
          </w:tcPr>
          <w:p w14:paraId="315E665B"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Fundusz</w:t>
            </w:r>
          </w:p>
        </w:tc>
        <w:tc>
          <w:tcPr>
            <w:tcW w:w="1134" w:type="dxa"/>
            <w:shd w:val="clear" w:color="auto" w:fill="F2F2F2"/>
          </w:tcPr>
          <w:p w14:paraId="0D897D57"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Kategoria regionu</w:t>
            </w:r>
          </w:p>
        </w:tc>
        <w:tc>
          <w:tcPr>
            <w:tcW w:w="1276" w:type="dxa"/>
            <w:shd w:val="clear" w:color="auto" w:fill="F2F2F2"/>
          </w:tcPr>
          <w:p w14:paraId="6E9A22A2"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Cel szczegółowy</w:t>
            </w:r>
          </w:p>
        </w:tc>
        <w:tc>
          <w:tcPr>
            <w:tcW w:w="3402" w:type="dxa"/>
            <w:shd w:val="clear" w:color="auto" w:fill="F2F2F2"/>
          </w:tcPr>
          <w:p w14:paraId="2A2F8B40"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Kod</w:t>
            </w:r>
          </w:p>
        </w:tc>
        <w:tc>
          <w:tcPr>
            <w:tcW w:w="1842" w:type="dxa"/>
            <w:shd w:val="clear" w:color="auto" w:fill="F2F2F2"/>
          </w:tcPr>
          <w:p w14:paraId="7CFDED63"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Kwota (w EUR)</w:t>
            </w:r>
          </w:p>
        </w:tc>
      </w:tr>
      <w:tr w:rsidR="00CF32B0" w:rsidRPr="00A4473F" w14:paraId="166D3A5A" w14:textId="77777777" w:rsidTr="00022FA5">
        <w:trPr>
          <w:trHeight w:val="683"/>
        </w:trPr>
        <w:tc>
          <w:tcPr>
            <w:tcW w:w="1064" w:type="dxa"/>
            <w:vAlign w:val="center"/>
          </w:tcPr>
          <w:p w14:paraId="05B92606" w14:textId="77777777" w:rsidR="00CF32B0" w:rsidRPr="00A4473F" w:rsidRDefault="00CF32B0" w:rsidP="00022FA5">
            <w:pPr>
              <w:jc w:val="center"/>
              <w:rPr>
                <w:rFonts w:ascii="Calibri" w:eastAsia="Times New Roman" w:hAnsi="Calibri" w:cs="Calibri"/>
                <w:b/>
                <w:iCs/>
                <w:noProof/>
                <w:sz w:val="20"/>
              </w:rPr>
            </w:pPr>
            <w:r w:rsidRPr="00A4473F">
              <w:rPr>
                <w:rFonts w:ascii="Calibri" w:eastAsia="Times New Roman" w:hAnsi="Calibri" w:cs="Calibri"/>
                <w:iCs/>
                <w:noProof/>
                <w:sz w:val="20"/>
              </w:rPr>
              <w:t xml:space="preserve">CP </w:t>
            </w:r>
            <w:r>
              <w:rPr>
                <w:rFonts w:ascii="Calibri" w:eastAsia="Times New Roman" w:hAnsi="Calibri" w:cs="Calibri"/>
                <w:iCs/>
                <w:noProof/>
                <w:sz w:val="20"/>
              </w:rPr>
              <w:t>2</w:t>
            </w:r>
          </w:p>
        </w:tc>
        <w:tc>
          <w:tcPr>
            <w:tcW w:w="916" w:type="dxa"/>
            <w:vAlign w:val="center"/>
          </w:tcPr>
          <w:p w14:paraId="2AF45C7E" w14:textId="77777777" w:rsidR="00CF32B0" w:rsidRPr="00A4473F" w:rsidRDefault="00CF32B0" w:rsidP="00022FA5">
            <w:pPr>
              <w:jc w:val="center"/>
              <w:rPr>
                <w:rFonts w:ascii="Calibri" w:eastAsia="Times New Roman" w:hAnsi="Calibri" w:cs="Calibri"/>
                <w:b/>
                <w:iCs/>
                <w:noProof/>
                <w:sz w:val="20"/>
              </w:rPr>
            </w:pPr>
            <w:r w:rsidRPr="00A4473F">
              <w:rPr>
                <w:rFonts w:ascii="Calibri" w:eastAsia="Times New Roman" w:hAnsi="Calibri" w:cs="Calibri"/>
                <w:iCs/>
                <w:noProof/>
                <w:sz w:val="20"/>
              </w:rPr>
              <w:t>EFRR</w:t>
            </w:r>
          </w:p>
        </w:tc>
        <w:tc>
          <w:tcPr>
            <w:tcW w:w="1134" w:type="dxa"/>
            <w:vAlign w:val="center"/>
          </w:tcPr>
          <w:p w14:paraId="7B8D1CF8" w14:textId="77777777" w:rsidR="00CF32B0" w:rsidRPr="00A4473F" w:rsidRDefault="00CF32B0" w:rsidP="00022FA5">
            <w:pPr>
              <w:jc w:val="center"/>
              <w:rPr>
                <w:rFonts w:ascii="Calibri" w:eastAsia="Times New Roman" w:hAnsi="Calibri" w:cs="Calibri"/>
                <w:b/>
                <w:iCs/>
                <w:noProof/>
                <w:sz w:val="20"/>
              </w:rPr>
            </w:pPr>
            <w:r w:rsidRPr="00A4473F">
              <w:rPr>
                <w:rFonts w:ascii="Calibri" w:eastAsia="Times New Roman" w:hAnsi="Calibri" w:cs="Calibri"/>
                <w:iCs/>
                <w:noProof/>
                <w:sz w:val="20"/>
              </w:rPr>
              <w:t>Słabiej rozwinięte</w:t>
            </w:r>
          </w:p>
        </w:tc>
        <w:tc>
          <w:tcPr>
            <w:tcW w:w="1276" w:type="dxa"/>
            <w:vAlign w:val="center"/>
          </w:tcPr>
          <w:p w14:paraId="6F9D5612" w14:textId="1E0C0B50" w:rsidR="00CF32B0" w:rsidRPr="00BE4B91" w:rsidRDefault="00D01D1F" w:rsidP="00022FA5">
            <w:pPr>
              <w:jc w:val="center"/>
              <w:rPr>
                <w:rFonts w:ascii="Calibri" w:eastAsia="Times New Roman" w:hAnsi="Calibri" w:cs="Calibri"/>
                <w:bCs/>
                <w:iCs/>
                <w:noProof/>
                <w:sz w:val="20"/>
              </w:rPr>
            </w:pPr>
            <w:r>
              <w:rPr>
                <w:rFonts w:ascii="Calibri" w:eastAsia="Times New Roman" w:hAnsi="Calibri" w:cs="Calibri"/>
                <w:bCs/>
                <w:iCs/>
                <w:noProof/>
                <w:sz w:val="20"/>
              </w:rPr>
              <w:t>x</w:t>
            </w:r>
          </w:p>
        </w:tc>
        <w:tc>
          <w:tcPr>
            <w:tcW w:w="3402" w:type="dxa"/>
            <w:vAlign w:val="center"/>
          </w:tcPr>
          <w:p w14:paraId="01FBD3AC" w14:textId="77777777" w:rsidR="00CF32B0" w:rsidRPr="00A4473F" w:rsidRDefault="00CF32B0" w:rsidP="00022FA5">
            <w:pPr>
              <w:autoSpaceDE w:val="0"/>
              <w:autoSpaceDN w:val="0"/>
              <w:adjustRightInd w:val="0"/>
              <w:rPr>
                <w:rFonts w:ascii="Calibri" w:hAnsi="Calibri" w:cs="Calibri"/>
                <w:color w:val="000000"/>
                <w:sz w:val="20"/>
                <w:szCs w:val="24"/>
              </w:rPr>
            </w:pPr>
            <w:r w:rsidRPr="00A4473F">
              <w:rPr>
                <w:rFonts w:ascii="Calibri" w:eastAsia="Times New Roman" w:hAnsi="Calibri" w:cs="Calibri"/>
                <w:b/>
                <w:iCs/>
                <w:noProof/>
                <w:color w:val="000000"/>
                <w:sz w:val="20"/>
              </w:rPr>
              <w:t xml:space="preserve">33 </w:t>
            </w:r>
            <w:r w:rsidRPr="00A4473F">
              <w:rPr>
                <w:rFonts w:ascii="Calibri" w:hAnsi="Calibri" w:cs="Calibri"/>
                <w:color w:val="000000"/>
                <w:sz w:val="20"/>
              </w:rPr>
              <w:t xml:space="preserve">Brak ukierunkowania terytorialnego </w:t>
            </w:r>
          </w:p>
        </w:tc>
        <w:tc>
          <w:tcPr>
            <w:tcW w:w="1842" w:type="dxa"/>
            <w:vAlign w:val="center"/>
          </w:tcPr>
          <w:p w14:paraId="34F42CF3" w14:textId="4F1AC006" w:rsidR="00CF32B0" w:rsidRPr="00BE4B91" w:rsidRDefault="00293183" w:rsidP="00022FA5">
            <w:pPr>
              <w:jc w:val="right"/>
              <w:rPr>
                <w:rFonts w:ascii="Calibri" w:eastAsia="Times New Roman" w:hAnsi="Calibri" w:cs="Calibri"/>
                <w:bCs/>
                <w:iCs/>
                <w:noProof/>
                <w:sz w:val="20"/>
              </w:rPr>
            </w:pPr>
            <w:r>
              <w:rPr>
                <w:rFonts w:ascii="Calibri" w:eastAsia="Times New Roman" w:hAnsi="Calibri" w:cs="Calibri"/>
                <w:iCs/>
                <w:noProof/>
                <w:sz w:val="20"/>
              </w:rPr>
              <w:t>87 830 000</w:t>
            </w:r>
          </w:p>
        </w:tc>
      </w:tr>
    </w:tbl>
    <w:p w14:paraId="77645187" w14:textId="77777777" w:rsidR="00CF32B0" w:rsidRPr="00A4473F" w:rsidRDefault="00CF32B0" w:rsidP="00CF32B0">
      <w:pPr>
        <w:spacing w:after="0"/>
        <w:rPr>
          <w:rFonts w:ascii="Calibri" w:eastAsia="Times New Roman" w:hAnsi="Calibri" w:cs="Calibri"/>
          <w:b/>
          <w:iCs/>
          <w:noProof/>
          <w:szCs w:val="24"/>
        </w:rPr>
      </w:pPr>
    </w:p>
    <w:tbl>
      <w:tblPr>
        <w:tblStyle w:val="Tabela-Siatka"/>
        <w:tblW w:w="9634" w:type="dxa"/>
        <w:tblLook w:val="04A0" w:firstRow="1" w:lastRow="0" w:firstColumn="1" w:lastColumn="0" w:noHBand="0" w:noVBand="1"/>
      </w:tblPr>
      <w:tblGrid>
        <w:gridCol w:w="1065"/>
        <w:gridCol w:w="915"/>
        <w:gridCol w:w="1134"/>
        <w:gridCol w:w="1276"/>
        <w:gridCol w:w="3402"/>
        <w:gridCol w:w="1842"/>
      </w:tblGrid>
      <w:tr w:rsidR="00CF32B0" w:rsidRPr="00A4473F" w14:paraId="219DC915" w14:textId="77777777" w:rsidTr="00022FA5">
        <w:tc>
          <w:tcPr>
            <w:tcW w:w="9634" w:type="dxa"/>
            <w:gridSpan w:val="6"/>
            <w:shd w:val="clear" w:color="auto" w:fill="D9D9D9"/>
          </w:tcPr>
          <w:p w14:paraId="5E98A925" w14:textId="77777777" w:rsidR="00CF32B0" w:rsidRPr="00A4473F" w:rsidRDefault="00CF32B0" w:rsidP="00022FA5">
            <w:pPr>
              <w:rPr>
                <w:rFonts w:ascii="Calibri" w:eastAsia="Times New Roman" w:hAnsi="Calibri" w:cs="Calibri"/>
                <w:b/>
                <w:iCs/>
                <w:noProof/>
                <w:sz w:val="20"/>
              </w:rPr>
            </w:pPr>
            <w:r w:rsidRPr="00A4473F">
              <w:rPr>
                <w:rFonts w:ascii="Calibri" w:hAnsi="Calibri" w:cs="Calibri"/>
                <w:b/>
                <w:noProof/>
                <w:sz w:val="20"/>
              </w:rPr>
              <w:t>Tabela 7: Wymiar 6 – uzupełniajace obszary tematyczne EFS+</w:t>
            </w:r>
          </w:p>
        </w:tc>
      </w:tr>
      <w:tr w:rsidR="00CF32B0" w:rsidRPr="00A4473F" w14:paraId="48532E8B" w14:textId="77777777" w:rsidTr="00022FA5">
        <w:tc>
          <w:tcPr>
            <w:tcW w:w="1065" w:type="dxa"/>
            <w:shd w:val="clear" w:color="auto" w:fill="F2F2F2"/>
          </w:tcPr>
          <w:p w14:paraId="3D37FFE6"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Nr priorytetu</w:t>
            </w:r>
          </w:p>
        </w:tc>
        <w:tc>
          <w:tcPr>
            <w:tcW w:w="915" w:type="dxa"/>
            <w:shd w:val="clear" w:color="auto" w:fill="F2F2F2"/>
          </w:tcPr>
          <w:p w14:paraId="2860E928"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Fundusz</w:t>
            </w:r>
          </w:p>
        </w:tc>
        <w:tc>
          <w:tcPr>
            <w:tcW w:w="1134" w:type="dxa"/>
            <w:shd w:val="clear" w:color="auto" w:fill="F2F2F2"/>
          </w:tcPr>
          <w:p w14:paraId="28DD6BC4"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Kategoria regionu</w:t>
            </w:r>
          </w:p>
        </w:tc>
        <w:tc>
          <w:tcPr>
            <w:tcW w:w="1276" w:type="dxa"/>
            <w:shd w:val="clear" w:color="auto" w:fill="F2F2F2"/>
          </w:tcPr>
          <w:p w14:paraId="517BF593"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Cel szczegółowy</w:t>
            </w:r>
          </w:p>
        </w:tc>
        <w:tc>
          <w:tcPr>
            <w:tcW w:w="3402" w:type="dxa"/>
            <w:shd w:val="clear" w:color="auto" w:fill="F2F2F2"/>
          </w:tcPr>
          <w:p w14:paraId="1B88EB29"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Kod</w:t>
            </w:r>
          </w:p>
        </w:tc>
        <w:tc>
          <w:tcPr>
            <w:tcW w:w="1842" w:type="dxa"/>
            <w:shd w:val="clear" w:color="auto" w:fill="F2F2F2"/>
          </w:tcPr>
          <w:p w14:paraId="6EB246CE" w14:textId="77777777" w:rsidR="00CF32B0" w:rsidRPr="00A4473F" w:rsidRDefault="00CF32B0" w:rsidP="00022FA5">
            <w:pPr>
              <w:jc w:val="center"/>
              <w:rPr>
                <w:rFonts w:ascii="Calibri" w:eastAsia="Times New Roman" w:hAnsi="Calibri" w:cs="Calibri"/>
                <w:b/>
                <w:iCs/>
                <w:noProof/>
                <w:sz w:val="20"/>
              </w:rPr>
            </w:pPr>
            <w:r w:rsidRPr="00A4473F">
              <w:rPr>
                <w:rFonts w:ascii="Calibri" w:hAnsi="Calibri" w:cs="Calibri"/>
                <w:b/>
                <w:noProof/>
                <w:sz w:val="20"/>
              </w:rPr>
              <w:t>Kwota</w:t>
            </w:r>
            <w:r>
              <w:rPr>
                <w:rFonts w:ascii="Calibri" w:hAnsi="Calibri" w:cs="Calibri"/>
                <w:b/>
                <w:noProof/>
                <w:sz w:val="20"/>
              </w:rPr>
              <w:t xml:space="preserve"> </w:t>
            </w:r>
            <w:r w:rsidRPr="00A4473F">
              <w:rPr>
                <w:rFonts w:ascii="Calibri" w:hAnsi="Calibri" w:cs="Calibri"/>
                <w:b/>
                <w:noProof/>
                <w:sz w:val="20"/>
              </w:rPr>
              <w:t>(w EUR)</w:t>
            </w:r>
          </w:p>
        </w:tc>
      </w:tr>
      <w:tr w:rsidR="00CF32B0" w:rsidRPr="00A4473F" w14:paraId="49EBF9BA" w14:textId="77777777" w:rsidTr="00022FA5">
        <w:tc>
          <w:tcPr>
            <w:tcW w:w="1065" w:type="dxa"/>
            <w:vAlign w:val="center"/>
          </w:tcPr>
          <w:p w14:paraId="3A2D5EF1" w14:textId="77777777" w:rsidR="00CF32B0" w:rsidRPr="00A4473F" w:rsidRDefault="00CF32B0" w:rsidP="00022FA5">
            <w:pPr>
              <w:jc w:val="center"/>
              <w:rPr>
                <w:rFonts w:ascii="Calibri" w:eastAsia="Times New Roman" w:hAnsi="Calibri" w:cs="Calibri"/>
                <w:b/>
                <w:iCs/>
                <w:noProof/>
                <w:sz w:val="20"/>
              </w:rPr>
            </w:pPr>
            <w:r w:rsidRPr="00A4473F">
              <w:rPr>
                <w:rFonts w:ascii="Calibri" w:eastAsia="Times New Roman" w:hAnsi="Calibri" w:cs="Calibri"/>
                <w:iCs/>
                <w:noProof/>
                <w:sz w:val="20"/>
              </w:rPr>
              <w:t xml:space="preserve">CP </w:t>
            </w:r>
            <w:r>
              <w:rPr>
                <w:rFonts w:ascii="Calibri" w:eastAsia="Times New Roman" w:hAnsi="Calibri" w:cs="Calibri"/>
                <w:iCs/>
                <w:noProof/>
                <w:sz w:val="20"/>
              </w:rPr>
              <w:t>2</w:t>
            </w:r>
          </w:p>
        </w:tc>
        <w:tc>
          <w:tcPr>
            <w:tcW w:w="915" w:type="dxa"/>
            <w:vAlign w:val="center"/>
          </w:tcPr>
          <w:p w14:paraId="79A01239" w14:textId="77777777" w:rsidR="00CF32B0" w:rsidRPr="00A4473F" w:rsidRDefault="00CF32B0" w:rsidP="00022FA5">
            <w:pPr>
              <w:rPr>
                <w:rFonts w:ascii="Calibri" w:eastAsia="Times New Roman" w:hAnsi="Calibri" w:cs="Calibri"/>
                <w:b/>
                <w:iCs/>
                <w:noProof/>
                <w:sz w:val="20"/>
              </w:rPr>
            </w:pPr>
            <w:r w:rsidRPr="00A4473F">
              <w:rPr>
                <w:rFonts w:ascii="Calibri" w:eastAsia="Times New Roman" w:hAnsi="Calibri" w:cs="Calibri"/>
                <w:iCs/>
                <w:noProof/>
                <w:sz w:val="20"/>
              </w:rPr>
              <w:t>EFRR</w:t>
            </w:r>
          </w:p>
        </w:tc>
        <w:tc>
          <w:tcPr>
            <w:tcW w:w="1134" w:type="dxa"/>
            <w:vAlign w:val="center"/>
          </w:tcPr>
          <w:p w14:paraId="0CE80A46" w14:textId="77777777" w:rsidR="00CF32B0" w:rsidRPr="00A4473F" w:rsidRDefault="00CF32B0" w:rsidP="00022FA5">
            <w:pPr>
              <w:rPr>
                <w:rFonts w:ascii="Calibri" w:eastAsia="Times New Roman" w:hAnsi="Calibri" w:cs="Calibri"/>
                <w:b/>
                <w:iCs/>
                <w:noProof/>
                <w:sz w:val="20"/>
              </w:rPr>
            </w:pPr>
            <w:r w:rsidRPr="00A4473F">
              <w:rPr>
                <w:rFonts w:ascii="Calibri" w:eastAsia="Times New Roman" w:hAnsi="Calibri" w:cs="Calibri"/>
                <w:iCs/>
                <w:noProof/>
                <w:sz w:val="20"/>
              </w:rPr>
              <w:t>Słabiej rozwini</w:t>
            </w:r>
            <w:r>
              <w:rPr>
                <w:rFonts w:ascii="Calibri" w:eastAsia="Times New Roman" w:hAnsi="Calibri" w:cs="Calibri"/>
                <w:iCs/>
                <w:noProof/>
                <w:sz w:val="20"/>
              </w:rPr>
              <w:t>ę</w:t>
            </w:r>
            <w:r w:rsidRPr="00A4473F">
              <w:rPr>
                <w:rFonts w:ascii="Calibri" w:eastAsia="Times New Roman" w:hAnsi="Calibri" w:cs="Calibri"/>
                <w:iCs/>
                <w:noProof/>
                <w:sz w:val="20"/>
              </w:rPr>
              <w:t>te</w:t>
            </w:r>
          </w:p>
        </w:tc>
        <w:tc>
          <w:tcPr>
            <w:tcW w:w="1276" w:type="dxa"/>
          </w:tcPr>
          <w:p w14:paraId="3CDED2C2" w14:textId="77777777" w:rsidR="00CF32B0" w:rsidRPr="00BE4B91" w:rsidRDefault="00CF32B0" w:rsidP="00022FA5">
            <w:pPr>
              <w:jc w:val="center"/>
              <w:rPr>
                <w:rFonts w:ascii="Calibri" w:eastAsia="Times New Roman" w:hAnsi="Calibri" w:cs="Calibri"/>
                <w:bCs/>
                <w:iCs/>
                <w:noProof/>
                <w:sz w:val="20"/>
              </w:rPr>
            </w:pPr>
            <w:r w:rsidRPr="00BE4B91">
              <w:rPr>
                <w:rFonts w:ascii="Calibri" w:eastAsia="Times New Roman" w:hAnsi="Calibri" w:cs="Calibri"/>
                <w:bCs/>
                <w:iCs/>
                <w:noProof/>
                <w:sz w:val="20"/>
              </w:rPr>
              <w:t>-</w:t>
            </w:r>
          </w:p>
        </w:tc>
        <w:tc>
          <w:tcPr>
            <w:tcW w:w="3402" w:type="dxa"/>
          </w:tcPr>
          <w:p w14:paraId="4B482036" w14:textId="77777777" w:rsidR="00CF32B0" w:rsidRPr="00BE4B91" w:rsidRDefault="00CF32B0" w:rsidP="00022FA5">
            <w:pPr>
              <w:jc w:val="center"/>
              <w:rPr>
                <w:rFonts w:ascii="Calibri" w:eastAsia="Times New Roman" w:hAnsi="Calibri" w:cs="Calibri"/>
                <w:bCs/>
                <w:iCs/>
                <w:noProof/>
                <w:sz w:val="20"/>
              </w:rPr>
            </w:pPr>
            <w:r w:rsidRPr="00BE4B91">
              <w:rPr>
                <w:rFonts w:ascii="Calibri" w:eastAsia="Times New Roman" w:hAnsi="Calibri" w:cs="Calibri"/>
                <w:bCs/>
                <w:iCs/>
                <w:noProof/>
                <w:sz w:val="20"/>
              </w:rPr>
              <w:t>-</w:t>
            </w:r>
          </w:p>
        </w:tc>
        <w:tc>
          <w:tcPr>
            <w:tcW w:w="1842" w:type="dxa"/>
          </w:tcPr>
          <w:p w14:paraId="29089940" w14:textId="77777777" w:rsidR="00CF32B0" w:rsidRPr="00BE4B91" w:rsidRDefault="00CF32B0" w:rsidP="00022FA5">
            <w:pPr>
              <w:jc w:val="center"/>
              <w:rPr>
                <w:rFonts w:ascii="Calibri" w:eastAsia="Times New Roman" w:hAnsi="Calibri" w:cs="Calibri"/>
                <w:bCs/>
                <w:iCs/>
                <w:noProof/>
                <w:sz w:val="20"/>
              </w:rPr>
            </w:pPr>
            <w:r w:rsidRPr="00BE4B91">
              <w:rPr>
                <w:rFonts w:ascii="Calibri" w:eastAsia="Times New Roman" w:hAnsi="Calibri" w:cs="Calibri"/>
                <w:bCs/>
                <w:iCs/>
                <w:noProof/>
                <w:sz w:val="20"/>
              </w:rPr>
              <w:t>-</w:t>
            </w:r>
          </w:p>
        </w:tc>
      </w:tr>
    </w:tbl>
    <w:p w14:paraId="7CD8275D" w14:textId="77777777" w:rsidR="00CF32B0" w:rsidRPr="00A4473F" w:rsidRDefault="00CF32B0" w:rsidP="00CF32B0">
      <w:pPr>
        <w:spacing w:after="240"/>
        <w:rPr>
          <w:rFonts w:ascii="Calibri" w:hAnsi="Calibri" w:cs="Calibri"/>
          <w:b/>
          <w:noProof/>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916"/>
        <w:gridCol w:w="1134"/>
        <w:gridCol w:w="1276"/>
        <w:gridCol w:w="3402"/>
        <w:gridCol w:w="1842"/>
      </w:tblGrid>
      <w:tr w:rsidR="00CF32B0" w:rsidRPr="00746E7A" w14:paraId="2550A098" w14:textId="77777777" w:rsidTr="00022FA5">
        <w:tc>
          <w:tcPr>
            <w:tcW w:w="9634" w:type="dxa"/>
            <w:gridSpan w:val="6"/>
            <w:shd w:val="clear" w:color="auto" w:fill="D9D9D9"/>
          </w:tcPr>
          <w:p w14:paraId="0B6B0FFA" w14:textId="77777777" w:rsidR="00CF32B0" w:rsidRPr="00A4473F" w:rsidRDefault="00CF32B0" w:rsidP="00022FA5">
            <w:pPr>
              <w:rPr>
                <w:rFonts w:ascii="Calibri" w:hAnsi="Calibri" w:cs="Calibri"/>
                <w:b/>
                <w:noProof/>
                <w:sz w:val="20"/>
              </w:rPr>
            </w:pPr>
            <w:r w:rsidRPr="00A4473F">
              <w:rPr>
                <w:rFonts w:ascii="Calibri" w:hAnsi="Calibri" w:cs="Calibri"/>
                <w:b/>
                <w:noProof/>
                <w:sz w:val="20"/>
              </w:rPr>
              <w:t>Tabela 8: Wymiar 7 – wymiar „Równouprawnienie płci” w ramach EFS+, EFRR, Fundusz Spójności i FST</w:t>
            </w:r>
          </w:p>
        </w:tc>
      </w:tr>
      <w:tr w:rsidR="00CF32B0" w:rsidRPr="00746E7A" w14:paraId="02C94143" w14:textId="77777777" w:rsidTr="00022FA5">
        <w:tc>
          <w:tcPr>
            <w:tcW w:w="1064" w:type="dxa"/>
            <w:shd w:val="clear" w:color="auto" w:fill="F2F2F2"/>
          </w:tcPr>
          <w:p w14:paraId="212DB898" w14:textId="77777777" w:rsidR="00CF32B0" w:rsidRPr="00746E7A" w:rsidRDefault="00CF32B0" w:rsidP="00022FA5">
            <w:pPr>
              <w:jc w:val="center"/>
              <w:rPr>
                <w:rFonts w:ascii="Calibri" w:hAnsi="Calibri" w:cs="Calibri"/>
                <w:b/>
                <w:noProof/>
                <w:sz w:val="20"/>
              </w:rPr>
            </w:pPr>
            <w:r w:rsidRPr="00A4473F">
              <w:rPr>
                <w:rFonts w:ascii="Calibri" w:hAnsi="Calibri" w:cs="Calibri"/>
                <w:b/>
                <w:noProof/>
                <w:sz w:val="20"/>
              </w:rPr>
              <w:t>Nr priorytetu</w:t>
            </w:r>
          </w:p>
        </w:tc>
        <w:tc>
          <w:tcPr>
            <w:tcW w:w="916" w:type="dxa"/>
            <w:shd w:val="clear" w:color="auto" w:fill="F2F2F2"/>
          </w:tcPr>
          <w:p w14:paraId="720F5CBB" w14:textId="77777777" w:rsidR="00CF32B0" w:rsidRPr="00746E7A" w:rsidRDefault="00CF32B0" w:rsidP="00022FA5">
            <w:pPr>
              <w:jc w:val="center"/>
              <w:rPr>
                <w:rFonts w:ascii="Calibri" w:hAnsi="Calibri" w:cs="Calibri"/>
                <w:b/>
                <w:noProof/>
                <w:sz w:val="20"/>
              </w:rPr>
            </w:pPr>
            <w:r w:rsidRPr="00A4473F">
              <w:rPr>
                <w:rFonts w:ascii="Calibri" w:hAnsi="Calibri" w:cs="Calibri"/>
                <w:b/>
                <w:noProof/>
                <w:sz w:val="20"/>
              </w:rPr>
              <w:t>Fundusz</w:t>
            </w:r>
          </w:p>
        </w:tc>
        <w:tc>
          <w:tcPr>
            <w:tcW w:w="1134" w:type="dxa"/>
            <w:shd w:val="clear" w:color="auto" w:fill="F2F2F2"/>
          </w:tcPr>
          <w:p w14:paraId="52657701" w14:textId="77777777" w:rsidR="00CF32B0" w:rsidRPr="00746E7A" w:rsidRDefault="00CF32B0" w:rsidP="00022FA5">
            <w:pPr>
              <w:jc w:val="center"/>
              <w:rPr>
                <w:rFonts w:ascii="Calibri" w:hAnsi="Calibri" w:cs="Calibri"/>
                <w:b/>
                <w:noProof/>
                <w:sz w:val="20"/>
              </w:rPr>
            </w:pPr>
            <w:r w:rsidRPr="00A4473F">
              <w:rPr>
                <w:rFonts w:ascii="Calibri" w:hAnsi="Calibri" w:cs="Calibri"/>
                <w:b/>
                <w:noProof/>
                <w:sz w:val="20"/>
              </w:rPr>
              <w:t>Kategoria regionu</w:t>
            </w:r>
          </w:p>
        </w:tc>
        <w:tc>
          <w:tcPr>
            <w:tcW w:w="1276" w:type="dxa"/>
            <w:shd w:val="clear" w:color="auto" w:fill="F2F2F2"/>
          </w:tcPr>
          <w:p w14:paraId="199351FC" w14:textId="77777777" w:rsidR="00CF32B0" w:rsidRPr="00746E7A" w:rsidRDefault="00CF32B0" w:rsidP="00022FA5">
            <w:pPr>
              <w:jc w:val="center"/>
              <w:rPr>
                <w:rFonts w:ascii="Calibri" w:hAnsi="Calibri" w:cs="Calibri"/>
                <w:b/>
                <w:noProof/>
                <w:sz w:val="20"/>
              </w:rPr>
            </w:pPr>
            <w:r w:rsidRPr="00A4473F">
              <w:rPr>
                <w:rFonts w:ascii="Calibri" w:hAnsi="Calibri" w:cs="Calibri"/>
                <w:b/>
                <w:noProof/>
                <w:sz w:val="20"/>
              </w:rPr>
              <w:t>Cel szczegółowy</w:t>
            </w:r>
          </w:p>
        </w:tc>
        <w:tc>
          <w:tcPr>
            <w:tcW w:w="3402" w:type="dxa"/>
            <w:shd w:val="clear" w:color="auto" w:fill="F2F2F2"/>
          </w:tcPr>
          <w:p w14:paraId="43BCE43F" w14:textId="77777777" w:rsidR="00CF32B0" w:rsidRPr="00746E7A" w:rsidRDefault="00CF32B0" w:rsidP="00022FA5">
            <w:pPr>
              <w:jc w:val="center"/>
              <w:rPr>
                <w:rFonts w:ascii="Calibri" w:hAnsi="Calibri" w:cs="Calibri"/>
                <w:b/>
                <w:noProof/>
                <w:sz w:val="20"/>
              </w:rPr>
            </w:pPr>
            <w:r w:rsidRPr="00A4473F">
              <w:rPr>
                <w:rFonts w:ascii="Calibri" w:hAnsi="Calibri" w:cs="Calibri"/>
                <w:b/>
                <w:noProof/>
                <w:sz w:val="20"/>
              </w:rPr>
              <w:t>Kod</w:t>
            </w:r>
          </w:p>
        </w:tc>
        <w:tc>
          <w:tcPr>
            <w:tcW w:w="1842" w:type="dxa"/>
            <w:shd w:val="clear" w:color="auto" w:fill="F2F2F2"/>
          </w:tcPr>
          <w:p w14:paraId="408D2B77" w14:textId="77777777" w:rsidR="00CF32B0" w:rsidRPr="00746E7A" w:rsidRDefault="00CF32B0" w:rsidP="00022FA5">
            <w:pPr>
              <w:jc w:val="center"/>
              <w:rPr>
                <w:rFonts w:ascii="Calibri" w:hAnsi="Calibri" w:cs="Calibri"/>
                <w:b/>
                <w:noProof/>
                <w:sz w:val="20"/>
              </w:rPr>
            </w:pPr>
            <w:r w:rsidRPr="00A4473F">
              <w:rPr>
                <w:rFonts w:ascii="Calibri" w:hAnsi="Calibri" w:cs="Calibri"/>
                <w:b/>
                <w:noProof/>
                <w:sz w:val="20"/>
              </w:rPr>
              <w:t>Kwota (w EUR)</w:t>
            </w:r>
          </w:p>
        </w:tc>
      </w:tr>
      <w:tr w:rsidR="00CF32B0" w:rsidRPr="00746E7A" w14:paraId="74989E8D" w14:textId="77777777" w:rsidTr="00022FA5">
        <w:tc>
          <w:tcPr>
            <w:tcW w:w="1064" w:type="dxa"/>
            <w:vAlign w:val="center"/>
          </w:tcPr>
          <w:p w14:paraId="7DD95052" w14:textId="77777777" w:rsidR="00CF32B0" w:rsidRPr="00746E7A" w:rsidRDefault="00CF32B0" w:rsidP="00022FA5">
            <w:pPr>
              <w:jc w:val="center"/>
              <w:rPr>
                <w:rFonts w:ascii="Calibri" w:hAnsi="Calibri" w:cs="Calibri"/>
                <w:bCs/>
                <w:noProof/>
                <w:sz w:val="20"/>
              </w:rPr>
            </w:pPr>
            <w:r w:rsidRPr="00746E7A">
              <w:rPr>
                <w:rFonts w:ascii="Calibri" w:hAnsi="Calibri" w:cs="Calibri"/>
                <w:bCs/>
                <w:noProof/>
                <w:sz w:val="20"/>
              </w:rPr>
              <w:t xml:space="preserve">CP </w:t>
            </w:r>
            <w:r>
              <w:rPr>
                <w:rFonts w:ascii="Calibri" w:hAnsi="Calibri" w:cs="Calibri"/>
                <w:bCs/>
                <w:noProof/>
                <w:sz w:val="20"/>
              </w:rPr>
              <w:t>2</w:t>
            </w:r>
          </w:p>
        </w:tc>
        <w:tc>
          <w:tcPr>
            <w:tcW w:w="916" w:type="dxa"/>
            <w:vAlign w:val="center"/>
          </w:tcPr>
          <w:p w14:paraId="14EB67B5" w14:textId="77777777" w:rsidR="00CF32B0" w:rsidRPr="00746E7A" w:rsidRDefault="00CF32B0" w:rsidP="00022FA5">
            <w:pPr>
              <w:jc w:val="center"/>
              <w:rPr>
                <w:rFonts w:ascii="Calibri" w:hAnsi="Calibri" w:cs="Calibri"/>
                <w:bCs/>
                <w:noProof/>
                <w:sz w:val="20"/>
              </w:rPr>
            </w:pPr>
            <w:r w:rsidRPr="00746E7A">
              <w:rPr>
                <w:rFonts w:ascii="Calibri" w:hAnsi="Calibri" w:cs="Calibri"/>
                <w:bCs/>
                <w:noProof/>
                <w:sz w:val="20"/>
              </w:rPr>
              <w:t>EFRR</w:t>
            </w:r>
          </w:p>
        </w:tc>
        <w:tc>
          <w:tcPr>
            <w:tcW w:w="1134" w:type="dxa"/>
            <w:vAlign w:val="center"/>
          </w:tcPr>
          <w:p w14:paraId="25F6565C" w14:textId="77777777" w:rsidR="00CF32B0" w:rsidRPr="00746E7A" w:rsidRDefault="00CF32B0" w:rsidP="00022FA5">
            <w:pPr>
              <w:jc w:val="center"/>
              <w:rPr>
                <w:rFonts w:ascii="Calibri" w:hAnsi="Calibri" w:cs="Calibri"/>
                <w:bCs/>
                <w:noProof/>
                <w:sz w:val="20"/>
              </w:rPr>
            </w:pPr>
            <w:r w:rsidRPr="00746E7A">
              <w:rPr>
                <w:rFonts w:ascii="Calibri" w:hAnsi="Calibri" w:cs="Calibri"/>
                <w:bCs/>
                <w:noProof/>
                <w:sz w:val="20"/>
              </w:rPr>
              <w:t>Słabiej rozwini</w:t>
            </w:r>
            <w:r>
              <w:rPr>
                <w:rFonts w:ascii="Calibri" w:hAnsi="Calibri" w:cs="Calibri"/>
                <w:bCs/>
                <w:noProof/>
                <w:sz w:val="20"/>
              </w:rPr>
              <w:t>ę</w:t>
            </w:r>
            <w:r w:rsidRPr="00746E7A">
              <w:rPr>
                <w:rFonts w:ascii="Calibri" w:hAnsi="Calibri" w:cs="Calibri"/>
                <w:bCs/>
                <w:noProof/>
                <w:sz w:val="20"/>
              </w:rPr>
              <w:t>te</w:t>
            </w:r>
          </w:p>
        </w:tc>
        <w:tc>
          <w:tcPr>
            <w:tcW w:w="1276" w:type="dxa"/>
            <w:shd w:val="clear" w:color="auto" w:fill="auto"/>
            <w:vAlign w:val="center"/>
          </w:tcPr>
          <w:p w14:paraId="765BC576" w14:textId="5045765A" w:rsidR="00CF32B0" w:rsidRPr="00746E7A" w:rsidRDefault="00D01D1F" w:rsidP="00022FA5">
            <w:pPr>
              <w:jc w:val="center"/>
              <w:rPr>
                <w:rFonts w:ascii="Calibri" w:hAnsi="Calibri" w:cs="Calibri"/>
                <w:bCs/>
                <w:noProof/>
                <w:sz w:val="20"/>
              </w:rPr>
            </w:pPr>
            <w:r>
              <w:rPr>
                <w:rFonts w:ascii="Calibri" w:hAnsi="Calibri" w:cs="Calibri"/>
                <w:bCs/>
                <w:noProof/>
                <w:sz w:val="20"/>
              </w:rPr>
              <w:t>x</w:t>
            </w:r>
          </w:p>
        </w:tc>
        <w:tc>
          <w:tcPr>
            <w:tcW w:w="3402" w:type="dxa"/>
            <w:shd w:val="clear" w:color="auto" w:fill="auto"/>
            <w:vAlign w:val="center"/>
          </w:tcPr>
          <w:p w14:paraId="39B328FE" w14:textId="77777777" w:rsidR="00CF32B0" w:rsidRPr="00746E7A" w:rsidRDefault="00CF32B0" w:rsidP="00022FA5">
            <w:pPr>
              <w:rPr>
                <w:rFonts w:ascii="Calibri" w:hAnsi="Calibri" w:cs="Calibri"/>
                <w:bCs/>
                <w:noProof/>
                <w:sz w:val="20"/>
              </w:rPr>
            </w:pPr>
            <w:r w:rsidRPr="00726799">
              <w:rPr>
                <w:rFonts w:ascii="Calibri" w:hAnsi="Calibri" w:cs="Calibri"/>
                <w:b/>
                <w:noProof/>
                <w:sz w:val="20"/>
              </w:rPr>
              <w:t>03</w:t>
            </w:r>
            <w:r w:rsidRPr="00746E7A">
              <w:rPr>
                <w:rFonts w:ascii="Calibri" w:hAnsi="Calibri" w:cs="Calibri"/>
                <w:bCs/>
                <w:noProof/>
                <w:sz w:val="20"/>
              </w:rPr>
              <w:t xml:space="preserve"> Projekty neutralne w kwestii równouprawnienia płci</w:t>
            </w:r>
          </w:p>
        </w:tc>
        <w:tc>
          <w:tcPr>
            <w:tcW w:w="1842" w:type="dxa"/>
            <w:shd w:val="clear" w:color="auto" w:fill="auto"/>
            <w:vAlign w:val="center"/>
          </w:tcPr>
          <w:p w14:paraId="29386C1F" w14:textId="13DA422D" w:rsidR="00CF32B0" w:rsidRPr="00746E7A" w:rsidRDefault="00293183" w:rsidP="00022FA5">
            <w:pPr>
              <w:jc w:val="right"/>
              <w:rPr>
                <w:rFonts w:ascii="Calibri" w:hAnsi="Calibri" w:cs="Calibri"/>
                <w:bCs/>
                <w:noProof/>
                <w:sz w:val="20"/>
              </w:rPr>
            </w:pPr>
            <w:r>
              <w:rPr>
                <w:rFonts w:ascii="Calibri" w:eastAsia="Times New Roman" w:hAnsi="Calibri" w:cs="Calibri"/>
                <w:iCs/>
                <w:noProof/>
                <w:sz w:val="20"/>
              </w:rPr>
              <w:t>87 830 000</w:t>
            </w:r>
          </w:p>
        </w:tc>
      </w:tr>
    </w:tbl>
    <w:p w14:paraId="1E077765" w14:textId="77777777" w:rsidR="00CF32B0" w:rsidRDefault="00CF32B0" w:rsidP="00CF32B0"/>
    <w:p w14:paraId="17E78518" w14:textId="61FFA234" w:rsidR="00CF32B0" w:rsidRPr="00CF32B0" w:rsidRDefault="00604630" w:rsidP="00CF32B0">
      <w:pPr>
        <w:pStyle w:val="Nagwek1"/>
        <w:numPr>
          <w:ilvl w:val="0"/>
          <w:numId w:val="0"/>
        </w:numPr>
        <w:rPr>
          <w:rFonts w:cstheme="minorHAnsi"/>
          <w:szCs w:val="24"/>
        </w:rPr>
      </w:pPr>
      <w:r>
        <w:rPr>
          <w:rFonts w:cstheme="minorHAnsi"/>
          <w:szCs w:val="24"/>
        </w:rPr>
        <w:br w:type="page"/>
      </w:r>
    </w:p>
    <w:p w14:paraId="576581D6" w14:textId="77777777" w:rsidR="00124599" w:rsidRPr="00890249" w:rsidRDefault="00124599" w:rsidP="00044CE1">
      <w:pPr>
        <w:pStyle w:val="Nagwek1"/>
        <w:numPr>
          <w:ilvl w:val="0"/>
          <w:numId w:val="0"/>
        </w:numPr>
        <w:rPr>
          <w:rFonts w:cstheme="minorHAnsi"/>
          <w:szCs w:val="24"/>
        </w:rPr>
        <w:sectPr w:rsidR="00124599" w:rsidRPr="00890249" w:rsidSect="005B4910">
          <w:footerReference w:type="default" r:id="rId14"/>
          <w:headerReference w:type="first" r:id="rId15"/>
          <w:footerReference w:type="first" r:id="rId16"/>
          <w:pgSz w:w="11906" w:h="16838"/>
          <w:pgMar w:top="1417" w:right="1417" w:bottom="1417" w:left="1418" w:header="708" w:footer="708" w:gutter="0"/>
          <w:cols w:space="708"/>
          <w:titlePg/>
          <w:docGrid w:linePitch="360"/>
        </w:sectPr>
      </w:pPr>
    </w:p>
    <w:p w14:paraId="5D4E6448" w14:textId="537EBC68" w:rsidR="00385B19" w:rsidRPr="00AC1BD0" w:rsidRDefault="007440D3" w:rsidP="00AC1BD0">
      <w:pPr>
        <w:pStyle w:val="Nagwek1"/>
      </w:pPr>
      <w:bookmarkStart w:id="45" w:name="_Toc188266923"/>
      <w:r w:rsidRPr="00AC1BD0">
        <w:lastRenderedPageBreak/>
        <w:t>PLAN FINANSOWY</w:t>
      </w:r>
      <w:bookmarkEnd w:id="45"/>
      <w:r w:rsidR="002B414A" w:rsidRPr="00AC1BD0">
        <w:t xml:space="preserve"> </w:t>
      </w:r>
    </w:p>
    <w:tbl>
      <w:tblPr>
        <w:tblStyle w:val="Tabela-Siatka"/>
        <w:tblW w:w="14218" w:type="dxa"/>
        <w:tblLook w:val="04A0" w:firstRow="1" w:lastRow="0" w:firstColumn="1" w:lastColumn="0" w:noHBand="0" w:noVBand="1"/>
      </w:tblPr>
      <w:tblGrid>
        <w:gridCol w:w="987"/>
        <w:gridCol w:w="331"/>
        <w:gridCol w:w="1081"/>
        <w:gridCol w:w="51"/>
        <w:gridCol w:w="756"/>
        <w:gridCol w:w="1249"/>
        <w:gridCol w:w="1101"/>
        <w:gridCol w:w="1101"/>
        <w:gridCol w:w="1101"/>
        <w:gridCol w:w="1304"/>
        <w:gridCol w:w="1300"/>
        <w:gridCol w:w="1300"/>
        <w:gridCol w:w="1300"/>
        <w:gridCol w:w="1256"/>
      </w:tblGrid>
      <w:tr w:rsidR="00D3644E" w:rsidRPr="00890249" w14:paraId="33B1FF6E" w14:textId="77777777" w:rsidTr="00890249">
        <w:trPr>
          <w:trHeight w:val="423"/>
        </w:trPr>
        <w:tc>
          <w:tcPr>
            <w:tcW w:w="1331" w:type="dxa"/>
            <w:gridSpan w:val="2"/>
            <w:shd w:val="clear" w:color="auto" w:fill="D9D9D9" w:themeFill="background1" w:themeFillShade="D9"/>
          </w:tcPr>
          <w:p w14:paraId="14DD9888" w14:textId="77777777" w:rsidR="00D3644E" w:rsidRPr="00890249" w:rsidRDefault="00D3644E" w:rsidP="000F16D1">
            <w:pPr>
              <w:rPr>
                <w:rFonts w:asciiTheme="minorHAnsi" w:hAnsiTheme="minorHAnsi" w:cstheme="minorHAnsi"/>
                <w:b/>
                <w:noProof/>
                <w:sz w:val="20"/>
              </w:rPr>
            </w:pPr>
          </w:p>
        </w:tc>
        <w:tc>
          <w:tcPr>
            <w:tcW w:w="1146" w:type="dxa"/>
            <w:shd w:val="clear" w:color="auto" w:fill="D9D9D9" w:themeFill="background1" w:themeFillShade="D9"/>
          </w:tcPr>
          <w:p w14:paraId="4D8A8CC0" w14:textId="77777777" w:rsidR="00D3644E" w:rsidRPr="00890249" w:rsidRDefault="00D3644E" w:rsidP="000F16D1">
            <w:pPr>
              <w:rPr>
                <w:rFonts w:asciiTheme="minorHAnsi" w:hAnsiTheme="minorHAnsi" w:cstheme="minorHAnsi"/>
                <w:b/>
                <w:noProof/>
                <w:sz w:val="20"/>
              </w:rPr>
            </w:pPr>
          </w:p>
        </w:tc>
        <w:tc>
          <w:tcPr>
            <w:tcW w:w="11741" w:type="dxa"/>
            <w:gridSpan w:val="11"/>
            <w:shd w:val="clear" w:color="auto" w:fill="D9D9D9" w:themeFill="background1" w:themeFillShade="D9"/>
          </w:tcPr>
          <w:p w14:paraId="2369FA3F" w14:textId="5C01D663" w:rsidR="00D3644E" w:rsidRPr="00890249" w:rsidRDefault="00D3644E" w:rsidP="000F16D1">
            <w:pPr>
              <w:rPr>
                <w:rFonts w:asciiTheme="minorHAnsi" w:hAnsiTheme="minorHAnsi" w:cstheme="minorHAnsi"/>
                <w:noProof/>
                <w:sz w:val="20"/>
              </w:rPr>
            </w:pPr>
            <w:r w:rsidRPr="00890249">
              <w:rPr>
                <w:rFonts w:asciiTheme="minorHAnsi" w:hAnsiTheme="minorHAnsi" w:cstheme="minorHAnsi"/>
                <w:b/>
                <w:noProof/>
                <w:sz w:val="20"/>
              </w:rPr>
              <w:t>Tabela 10: Środki finansowe w rozbiciu na poszczególne lata</w:t>
            </w:r>
          </w:p>
        </w:tc>
      </w:tr>
      <w:tr w:rsidR="00D3644E" w:rsidRPr="00890249" w14:paraId="4D7A352E" w14:textId="77777777" w:rsidTr="00D3644E">
        <w:trPr>
          <w:trHeight w:val="432"/>
        </w:trPr>
        <w:tc>
          <w:tcPr>
            <w:tcW w:w="986" w:type="dxa"/>
            <w:shd w:val="clear" w:color="auto" w:fill="F2F2F2" w:themeFill="background1" w:themeFillShade="F2"/>
          </w:tcPr>
          <w:p w14:paraId="4EA0EFCF" w14:textId="77777777" w:rsidR="00D3644E" w:rsidRPr="00890249" w:rsidRDefault="00D3644E" w:rsidP="000F16D1">
            <w:pPr>
              <w:rPr>
                <w:rFonts w:asciiTheme="minorHAnsi" w:hAnsiTheme="minorHAnsi" w:cstheme="minorHAnsi"/>
                <w:b/>
                <w:noProof/>
                <w:sz w:val="20"/>
                <w:szCs w:val="18"/>
              </w:rPr>
            </w:pPr>
            <w:r w:rsidRPr="00890249">
              <w:rPr>
                <w:rFonts w:asciiTheme="minorHAnsi" w:hAnsiTheme="minorHAnsi" w:cstheme="minorHAnsi"/>
                <w:b/>
                <w:noProof/>
                <w:sz w:val="20"/>
              </w:rPr>
              <w:t>Fundusz</w:t>
            </w:r>
          </w:p>
        </w:tc>
        <w:tc>
          <w:tcPr>
            <w:tcW w:w="1542" w:type="dxa"/>
            <w:gridSpan w:val="3"/>
            <w:shd w:val="clear" w:color="auto" w:fill="F2F2F2" w:themeFill="background1" w:themeFillShade="F2"/>
          </w:tcPr>
          <w:p w14:paraId="0F1CB1AB"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Kategoria regionu</w:t>
            </w:r>
          </w:p>
        </w:tc>
        <w:tc>
          <w:tcPr>
            <w:tcW w:w="833" w:type="dxa"/>
            <w:shd w:val="clear" w:color="auto" w:fill="F2F2F2" w:themeFill="background1" w:themeFillShade="F2"/>
          </w:tcPr>
          <w:p w14:paraId="5AD89BF3"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2021</w:t>
            </w:r>
          </w:p>
        </w:tc>
        <w:tc>
          <w:tcPr>
            <w:tcW w:w="1266" w:type="dxa"/>
            <w:shd w:val="clear" w:color="auto" w:fill="F2F2F2" w:themeFill="background1" w:themeFillShade="F2"/>
          </w:tcPr>
          <w:p w14:paraId="42E3A746"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2022</w:t>
            </w:r>
          </w:p>
        </w:tc>
        <w:tc>
          <w:tcPr>
            <w:tcW w:w="1234" w:type="dxa"/>
            <w:shd w:val="clear" w:color="auto" w:fill="F2F2F2" w:themeFill="background1" w:themeFillShade="F2"/>
          </w:tcPr>
          <w:p w14:paraId="3294F4C8"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2023</w:t>
            </w:r>
          </w:p>
        </w:tc>
        <w:tc>
          <w:tcPr>
            <w:tcW w:w="1233" w:type="dxa"/>
            <w:shd w:val="clear" w:color="auto" w:fill="F2F2F2" w:themeFill="background1" w:themeFillShade="F2"/>
          </w:tcPr>
          <w:p w14:paraId="177F7A05"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2024</w:t>
            </w:r>
          </w:p>
        </w:tc>
        <w:tc>
          <w:tcPr>
            <w:tcW w:w="1234" w:type="dxa"/>
            <w:shd w:val="clear" w:color="auto" w:fill="F2F2F2" w:themeFill="background1" w:themeFillShade="F2"/>
          </w:tcPr>
          <w:p w14:paraId="1078D1BC"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2025</w:t>
            </w:r>
          </w:p>
        </w:tc>
        <w:tc>
          <w:tcPr>
            <w:tcW w:w="1307" w:type="dxa"/>
            <w:shd w:val="clear" w:color="auto" w:fill="F2F2F2" w:themeFill="background1" w:themeFillShade="F2"/>
          </w:tcPr>
          <w:p w14:paraId="3E83135A"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2026</w:t>
            </w:r>
          </w:p>
          <w:p w14:paraId="0612CA74" w14:textId="5FC59A0C"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bez kwot elastyczności</w:t>
            </w:r>
          </w:p>
        </w:tc>
        <w:tc>
          <w:tcPr>
            <w:tcW w:w="1300" w:type="dxa"/>
            <w:shd w:val="clear" w:color="auto" w:fill="F2F2F2" w:themeFill="background1" w:themeFillShade="F2"/>
          </w:tcPr>
          <w:p w14:paraId="2FD50D9B"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2026</w:t>
            </w:r>
          </w:p>
          <w:p w14:paraId="450B6CFE" w14:textId="1B77C043"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kwota elastyczności</w:t>
            </w:r>
          </w:p>
        </w:tc>
        <w:tc>
          <w:tcPr>
            <w:tcW w:w="1234" w:type="dxa"/>
            <w:shd w:val="clear" w:color="auto" w:fill="F2F2F2" w:themeFill="background1" w:themeFillShade="F2"/>
          </w:tcPr>
          <w:p w14:paraId="27F04FE4"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2027</w:t>
            </w:r>
          </w:p>
          <w:p w14:paraId="19ED7D9D" w14:textId="589A23D1"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bez kwot elastyczności</w:t>
            </w:r>
          </w:p>
        </w:tc>
        <w:tc>
          <w:tcPr>
            <w:tcW w:w="772" w:type="dxa"/>
            <w:shd w:val="clear" w:color="auto" w:fill="F2F2F2" w:themeFill="background1" w:themeFillShade="F2"/>
          </w:tcPr>
          <w:p w14:paraId="1C8BED29" w14:textId="77777777"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2027</w:t>
            </w:r>
          </w:p>
          <w:p w14:paraId="44E0AE76" w14:textId="33619743"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kwota elastyczności</w:t>
            </w:r>
          </w:p>
        </w:tc>
        <w:tc>
          <w:tcPr>
            <w:tcW w:w="1271" w:type="dxa"/>
            <w:shd w:val="clear" w:color="auto" w:fill="F2F2F2" w:themeFill="background1" w:themeFillShade="F2"/>
          </w:tcPr>
          <w:p w14:paraId="46F8AFB9" w14:textId="57467418" w:rsidR="00D3644E" w:rsidRPr="00890249" w:rsidRDefault="00D3644E" w:rsidP="000F16D1">
            <w:pPr>
              <w:rPr>
                <w:rFonts w:asciiTheme="minorHAnsi" w:hAnsiTheme="minorHAnsi" w:cstheme="minorHAnsi"/>
                <w:b/>
                <w:noProof/>
                <w:sz w:val="20"/>
              </w:rPr>
            </w:pPr>
            <w:r w:rsidRPr="00890249">
              <w:rPr>
                <w:rFonts w:asciiTheme="minorHAnsi" w:hAnsiTheme="minorHAnsi" w:cstheme="minorHAnsi"/>
                <w:b/>
                <w:noProof/>
                <w:sz w:val="20"/>
              </w:rPr>
              <w:t xml:space="preserve">Ogółem </w:t>
            </w:r>
          </w:p>
        </w:tc>
      </w:tr>
      <w:tr w:rsidR="00D3644E" w:rsidRPr="00890249" w14:paraId="39E07B05" w14:textId="77777777" w:rsidTr="00D3644E">
        <w:trPr>
          <w:trHeight w:val="498"/>
        </w:trPr>
        <w:tc>
          <w:tcPr>
            <w:tcW w:w="986" w:type="dxa"/>
            <w:vMerge w:val="restart"/>
          </w:tcPr>
          <w:p w14:paraId="645711E8" w14:textId="77777777" w:rsidR="00D3644E" w:rsidRPr="00890249" w:rsidRDefault="00D3644E" w:rsidP="000F16D1">
            <w:pPr>
              <w:rPr>
                <w:rFonts w:asciiTheme="minorHAnsi" w:hAnsiTheme="minorHAnsi" w:cstheme="minorHAnsi"/>
                <w:noProof/>
                <w:sz w:val="20"/>
                <w:szCs w:val="18"/>
              </w:rPr>
            </w:pPr>
            <w:r w:rsidRPr="00890249">
              <w:rPr>
                <w:rFonts w:asciiTheme="minorHAnsi" w:hAnsiTheme="minorHAnsi" w:cstheme="minorHAnsi"/>
                <w:noProof/>
                <w:sz w:val="20"/>
              </w:rPr>
              <w:t>EFRR</w:t>
            </w:r>
          </w:p>
        </w:tc>
        <w:tc>
          <w:tcPr>
            <w:tcW w:w="1542" w:type="dxa"/>
            <w:gridSpan w:val="3"/>
          </w:tcPr>
          <w:p w14:paraId="7B56D635" w14:textId="77777777" w:rsidR="00D3644E" w:rsidRPr="00890249" w:rsidRDefault="00D3644E" w:rsidP="000F16D1">
            <w:pP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833" w:type="dxa"/>
          </w:tcPr>
          <w:p w14:paraId="4D64A2CB" w14:textId="77777777" w:rsidR="00D3644E" w:rsidRPr="00890249" w:rsidRDefault="00D3644E" w:rsidP="000F16D1">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28C6232F" w14:textId="654C2423"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 xml:space="preserve">110 122 385 </w:t>
            </w:r>
          </w:p>
        </w:tc>
        <w:tc>
          <w:tcPr>
            <w:tcW w:w="1234" w:type="dxa"/>
          </w:tcPr>
          <w:p w14:paraId="544088F5" w14:textId="35135132"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 xml:space="preserve">114 263 682 </w:t>
            </w:r>
          </w:p>
        </w:tc>
        <w:tc>
          <w:tcPr>
            <w:tcW w:w="1233" w:type="dxa"/>
          </w:tcPr>
          <w:p w14:paraId="4AD2F266" w14:textId="411EB605"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119 167 753</w:t>
            </w:r>
          </w:p>
        </w:tc>
        <w:tc>
          <w:tcPr>
            <w:tcW w:w="1234" w:type="dxa"/>
          </w:tcPr>
          <w:p w14:paraId="19AA1344" w14:textId="082B3D88"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124 271 340</w:t>
            </w:r>
          </w:p>
        </w:tc>
        <w:tc>
          <w:tcPr>
            <w:tcW w:w="1307" w:type="dxa"/>
          </w:tcPr>
          <w:p w14:paraId="2CB1D3DF" w14:textId="574ECDB7"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54 180 129</w:t>
            </w:r>
          </w:p>
        </w:tc>
        <w:tc>
          <w:tcPr>
            <w:tcW w:w="1300" w:type="dxa"/>
          </w:tcPr>
          <w:p w14:paraId="466CDC46" w14:textId="372965E8" w:rsidR="00D3644E" w:rsidRPr="00890249" w:rsidRDefault="00A206E9">
            <w:pPr>
              <w:jc w:val="right"/>
              <w:rPr>
                <w:rFonts w:asciiTheme="minorHAnsi" w:hAnsiTheme="minorHAnsi" w:cstheme="minorHAnsi"/>
                <w:noProof/>
                <w:sz w:val="20"/>
              </w:rPr>
            </w:pPr>
            <w:r>
              <w:rPr>
                <w:rFonts w:asciiTheme="minorHAnsi" w:hAnsiTheme="minorHAnsi" w:cstheme="minorHAnsi"/>
                <w:noProof/>
                <w:sz w:val="20"/>
              </w:rPr>
              <w:t>75 877 636</w:t>
            </w:r>
          </w:p>
        </w:tc>
        <w:tc>
          <w:tcPr>
            <w:tcW w:w="1234" w:type="dxa"/>
          </w:tcPr>
          <w:p w14:paraId="3D19E662" w14:textId="0536D654"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56 964 426</w:t>
            </w:r>
          </w:p>
        </w:tc>
        <w:tc>
          <w:tcPr>
            <w:tcW w:w="772" w:type="dxa"/>
          </w:tcPr>
          <w:p w14:paraId="42C14946" w14:textId="4A37398A" w:rsidR="00D3644E" w:rsidRPr="00890249" w:rsidRDefault="009F4201">
            <w:pPr>
              <w:jc w:val="right"/>
              <w:rPr>
                <w:rFonts w:asciiTheme="minorHAnsi" w:hAnsiTheme="minorHAnsi" w:cstheme="minorHAnsi"/>
                <w:noProof/>
                <w:sz w:val="20"/>
              </w:rPr>
            </w:pPr>
            <w:r>
              <w:rPr>
                <w:rFonts w:asciiTheme="minorHAnsi" w:hAnsiTheme="minorHAnsi" w:cstheme="minorHAnsi"/>
                <w:noProof/>
                <w:sz w:val="20"/>
              </w:rPr>
              <w:t>69 309 812</w:t>
            </w:r>
          </w:p>
        </w:tc>
        <w:tc>
          <w:tcPr>
            <w:tcW w:w="1271" w:type="dxa"/>
          </w:tcPr>
          <w:p w14:paraId="25A8054F" w14:textId="43A74F2E" w:rsidR="00D3644E" w:rsidRPr="00890249" w:rsidRDefault="00D43636" w:rsidP="00890249">
            <w:pPr>
              <w:jc w:val="right"/>
              <w:rPr>
                <w:rFonts w:asciiTheme="minorHAnsi" w:hAnsiTheme="minorHAnsi" w:cstheme="minorHAnsi"/>
                <w:noProof/>
                <w:sz w:val="20"/>
              </w:rPr>
            </w:pPr>
            <w:r>
              <w:rPr>
                <w:rFonts w:asciiTheme="minorHAnsi" w:hAnsiTheme="minorHAnsi" w:cstheme="minorHAnsi"/>
                <w:noProof/>
                <w:sz w:val="20"/>
              </w:rPr>
              <w:t>734 472 270</w:t>
            </w:r>
          </w:p>
        </w:tc>
      </w:tr>
      <w:tr w:rsidR="00D3644E" w:rsidRPr="00890249" w14:paraId="23FD139A" w14:textId="77777777" w:rsidTr="00D3644E">
        <w:trPr>
          <w:trHeight w:val="564"/>
        </w:trPr>
        <w:tc>
          <w:tcPr>
            <w:tcW w:w="986" w:type="dxa"/>
            <w:vMerge/>
          </w:tcPr>
          <w:p w14:paraId="73DC480E" w14:textId="77777777" w:rsidR="00D3644E" w:rsidRPr="00890249" w:rsidRDefault="00D3644E" w:rsidP="00522CF0">
            <w:pPr>
              <w:rPr>
                <w:rFonts w:asciiTheme="minorHAnsi" w:hAnsiTheme="minorHAnsi" w:cstheme="minorHAnsi"/>
                <w:noProof/>
                <w:sz w:val="20"/>
                <w:szCs w:val="18"/>
              </w:rPr>
            </w:pPr>
          </w:p>
        </w:tc>
        <w:tc>
          <w:tcPr>
            <w:tcW w:w="1542" w:type="dxa"/>
            <w:gridSpan w:val="3"/>
          </w:tcPr>
          <w:p w14:paraId="64C527B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Lepiej rozwinięte</w:t>
            </w:r>
          </w:p>
        </w:tc>
        <w:tc>
          <w:tcPr>
            <w:tcW w:w="833" w:type="dxa"/>
          </w:tcPr>
          <w:p w14:paraId="7A9251CD"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5A59250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28ED50D6"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3342E16F"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27CF21F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5055BA05"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36244DF7" w14:textId="188354CC"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03CE36C0" w14:textId="594B3B06"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7C0F2126" w14:textId="54C90EFD"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19170A91" w14:textId="0C24D514"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1A417ABD" w14:textId="77777777" w:rsidTr="00D3644E">
        <w:trPr>
          <w:trHeight w:val="661"/>
        </w:trPr>
        <w:tc>
          <w:tcPr>
            <w:tcW w:w="986" w:type="dxa"/>
            <w:vMerge/>
          </w:tcPr>
          <w:p w14:paraId="3EE5B3E4" w14:textId="77777777" w:rsidR="00D3644E" w:rsidRPr="00890249" w:rsidRDefault="00D3644E" w:rsidP="00522CF0">
            <w:pPr>
              <w:rPr>
                <w:rFonts w:asciiTheme="minorHAnsi" w:hAnsiTheme="minorHAnsi" w:cstheme="minorHAnsi"/>
                <w:noProof/>
                <w:sz w:val="20"/>
                <w:szCs w:val="18"/>
              </w:rPr>
            </w:pPr>
          </w:p>
        </w:tc>
        <w:tc>
          <w:tcPr>
            <w:tcW w:w="1542" w:type="dxa"/>
            <w:gridSpan w:val="3"/>
          </w:tcPr>
          <w:p w14:paraId="0D330D78"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W okresie przejściowym</w:t>
            </w:r>
          </w:p>
        </w:tc>
        <w:tc>
          <w:tcPr>
            <w:tcW w:w="833" w:type="dxa"/>
          </w:tcPr>
          <w:p w14:paraId="7A986DB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44B4E283"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6A6292E1"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62A9B307"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234605F6"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505F6FDB"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2447FDA5" w14:textId="0158E6A9"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7852F4F4" w14:textId="29CFCF14"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6B3C5D8E" w14:textId="4050F373"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218C3106" w14:textId="6B77BA8B"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23FBD167" w14:textId="77777777" w:rsidTr="00D3644E">
        <w:trPr>
          <w:trHeight w:val="784"/>
        </w:trPr>
        <w:tc>
          <w:tcPr>
            <w:tcW w:w="986" w:type="dxa"/>
            <w:vMerge/>
          </w:tcPr>
          <w:p w14:paraId="5D0E6A0B" w14:textId="77777777" w:rsidR="00D3644E" w:rsidRPr="00890249" w:rsidRDefault="00D3644E" w:rsidP="00522CF0">
            <w:pPr>
              <w:rPr>
                <w:rFonts w:asciiTheme="minorHAnsi" w:hAnsiTheme="minorHAnsi" w:cstheme="minorHAnsi"/>
                <w:noProof/>
                <w:sz w:val="20"/>
                <w:szCs w:val="18"/>
              </w:rPr>
            </w:pPr>
          </w:p>
        </w:tc>
        <w:tc>
          <w:tcPr>
            <w:tcW w:w="1542" w:type="dxa"/>
            <w:gridSpan w:val="3"/>
          </w:tcPr>
          <w:p w14:paraId="0D07097B"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Najbardziej oddalone lub północne słabo zaludnione</w:t>
            </w:r>
          </w:p>
        </w:tc>
        <w:tc>
          <w:tcPr>
            <w:tcW w:w="833" w:type="dxa"/>
          </w:tcPr>
          <w:p w14:paraId="6203733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39682CBF"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6C896976"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6E9FB80B"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006478A8"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297585D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6F65282C" w14:textId="4A959EFC"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1C9C8DE2" w14:textId="78DA7270"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3114BFB4" w14:textId="7C98600F"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3CFBD3DE" w14:textId="05DE028E"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5D69852A" w14:textId="77777777" w:rsidTr="00D3644E">
        <w:trPr>
          <w:trHeight w:val="423"/>
        </w:trPr>
        <w:tc>
          <w:tcPr>
            <w:tcW w:w="986" w:type="dxa"/>
          </w:tcPr>
          <w:p w14:paraId="0E9D2986" w14:textId="77777777" w:rsidR="00D3644E" w:rsidRPr="00890249" w:rsidRDefault="00D3644E" w:rsidP="00522CF0">
            <w:pPr>
              <w:rPr>
                <w:rFonts w:asciiTheme="minorHAnsi" w:hAnsiTheme="minorHAnsi" w:cstheme="minorHAnsi"/>
                <w:noProof/>
                <w:sz w:val="20"/>
                <w:szCs w:val="18"/>
              </w:rPr>
            </w:pPr>
            <w:r w:rsidRPr="00890249">
              <w:rPr>
                <w:rFonts w:asciiTheme="minorHAnsi" w:hAnsiTheme="minorHAnsi" w:cstheme="minorHAnsi"/>
                <w:noProof/>
                <w:sz w:val="20"/>
              </w:rPr>
              <w:t>Ogółem</w:t>
            </w:r>
          </w:p>
        </w:tc>
        <w:tc>
          <w:tcPr>
            <w:tcW w:w="1542" w:type="dxa"/>
            <w:gridSpan w:val="3"/>
          </w:tcPr>
          <w:p w14:paraId="3E4EA9A2" w14:textId="77777777" w:rsidR="00D3644E" w:rsidRPr="00890249" w:rsidRDefault="00D3644E" w:rsidP="00522CF0">
            <w:pPr>
              <w:rPr>
                <w:rFonts w:asciiTheme="minorHAnsi" w:hAnsiTheme="minorHAnsi" w:cstheme="minorHAnsi"/>
                <w:noProof/>
                <w:sz w:val="20"/>
              </w:rPr>
            </w:pPr>
          </w:p>
        </w:tc>
        <w:tc>
          <w:tcPr>
            <w:tcW w:w="833" w:type="dxa"/>
          </w:tcPr>
          <w:p w14:paraId="6ACE8F47"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115B986C" w14:textId="23C8F6C3"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110 122 385</w:t>
            </w:r>
          </w:p>
        </w:tc>
        <w:tc>
          <w:tcPr>
            <w:tcW w:w="1234" w:type="dxa"/>
          </w:tcPr>
          <w:p w14:paraId="01F32401" w14:textId="6FAF4AB0"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114 263 682</w:t>
            </w:r>
          </w:p>
        </w:tc>
        <w:tc>
          <w:tcPr>
            <w:tcW w:w="1233" w:type="dxa"/>
          </w:tcPr>
          <w:p w14:paraId="67B8F9C0" w14:textId="32D13674"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119 167 753</w:t>
            </w:r>
          </w:p>
        </w:tc>
        <w:tc>
          <w:tcPr>
            <w:tcW w:w="1234" w:type="dxa"/>
          </w:tcPr>
          <w:p w14:paraId="3E522E38" w14:textId="13EC6812"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124 271 340</w:t>
            </w:r>
          </w:p>
        </w:tc>
        <w:tc>
          <w:tcPr>
            <w:tcW w:w="1307" w:type="dxa"/>
          </w:tcPr>
          <w:p w14:paraId="71C3E14C" w14:textId="7E90DCB9"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54 180 129</w:t>
            </w:r>
          </w:p>
        </w:tc>
        <w:tc>
          <w:tcPr>
            <w:tcW w:w="1300" w:type="dxa"/>
          </w:tcPr>
          <w:p w14:paraId="55A2AF99" w14:textId="4B690F78" w:rsidR="00D3644E" w:rsidRPr="00890249" w:rsidRDefault="00D3644E">
            <w:pPr>
              <w:jc w:val="right"/>
              <w:rPr>
                <w:rFonts w:asciiTheme="minorHAnsi" w:hAnsiTheme="minorHAnsi" w:cstheme="minorHAnsi"/>
                <w:noProof/>
                <w:sz w:val="20"/>
              </w:rPr>
            </w:pPr>
            <w:r w:rsidRPr="00890249">
              <w:rPr>
                <w:rFonts w:asciiTheme="minorHAnsi" w:hAnsiTheme="minorHAnsi" w:cstheme="minorHAnsi"/>
                <w:noProof/>
                <w:sz w:val="20"/>
              </w:rPr>
              <w:t>54 180 129</w:t>
            </w:r>
          </w:p>
        </w:tc>
        <w:tc>
          <w:tcPr>
            <w:tcW w:w="1234" w:type="dxa"/>
          </w:tcPr>
          <w:p w14:paraId="02A72157" w14:textId="1670B24D"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56 964 426</w:t>
            </w:r>
          </w:p>
        </w:tc>
        <w:tc>
          <w:tcPr>
            <w:tcW w:w="772" w:type="dxa"/>
          </w:tcPr>
          <w:p w14:paraId="3AC242E9" w14:textId="075EDBDA" w:rsidR="00D3644E" w:rsidRPr="00890249" w:rsidRDefault="00D3644E">
            <w:pPr>
              <w:jc w:val="right"/>
              <w:rPr>
                <w:rFonts w:asciiTheme="minorHAnsi" w:hAnsiTheme="minorHAnsi" w:cstheme="minorHAnsi"/>
                <w:noProof/>
                <w:sz w:val="20"/>
              </w:rPr>
            </w:pPr>
            <w:r w:rsidRPr="00890249">
              <w:rPr>
                <w:rFonts w:asciiTheme="minorHAnsi" w:hAnsiTheme="minorHAnsi" w:cstheme="minorHAnsi"/>
                <w:noProof/>
                <w:sz w:val="20"/>
              </w:rPr>
              <w:t>56 964 426</w:t>
            </w:r>
          </w:p>
        </w:tc>
        <w:tc>
          <w:tcPr>
            <w:tcW w:w="1271" w:type="dxa"/>
          </w:tcPr>
          <w:p w14:paraId="60B6BC7A" w14:textId="040B2620"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690 114 270</w:t>
            </w:r>
          </w:p>
        </w:tc>
      </w:tr>
      <w:tr w:rsidR="00D3644E" w:rsidRPr="00890249" w14:paraId="05E1FBB9" w14:textId="77777777" w:rsidTr="00D3644E">
        <w:trPr>
          <w:trHeight w:val="539"/>
        </w:trPr>
        <w:tc>
          <w:tcPr>
            <w:tcW w:w="986" w:type="dxa"/>
            <w:vMerge w:val="restart"/>
          </w:tcPr>
          <w:p w14:paraId="34267BDE" w14:textId="77777777" w:rsidR="00D3644E" w:rsidRPr="00890249" w:rsidRDefault="00D3644E" w:rsidP="00522CF0">
            <w:pPr>
              <w:rPr>
                <w:rFonts w:asciiTheme="minorHAnsi" w:hAnsiTheme="minorHAnsi" w:cstheme="minorHAnsi"/>
                <w:noProof/>
                <w:sz w:val="20"/>
                <w:szCs w:val="18"/>
              </w:rPr>
            </w:pPr>
            <w:r w:rsidRPr="00890249">
              <w:rPr>
                <w:rFonts w:asciiTheme="minorHAnsi" w:hAnsiTheme="minorHAnsi" w:cstheme="minorHAnsi"/>
                <w:noProof/>
                <w:sz w:val="20"/>
              </w:rPr>
              <w:t>EFS+</w:t>
            </w:r>
          </w:p>
        </w:tc>
        <w:tc>
          <w:tcPr>
            <w:tcW w:w="1542" w:type="dxa"/>
            <w:gridSpan w:val="3"/>
          </w:tcPr>
          <w:p w14:paraId="436AC4C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Słabiej rozwinięte</w:t>
            </w:r>
          </w:p>
        </w:tc>
        <w:tc>
          <w:tcPr>
            <w:tcW w:w="833" w:type="dxa"/>
          </w:tcPr>
          <w:p w14:paraId="720C9515"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67C031B3" w14:textId="7C74E8A5"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44 099 055</w:t>
            </w:r>
          </w:p>
        </w:tc>
        <w:tc>
          <w:tcPr>
            <w:tcW w:w="1234" w:type="dxa"/>
          </w:tcPr>
          <w:p w14:paraId="533F8F98" w14:textId="2C0DF662"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45 757 528</w:t>
            </w:r>
          </w:p>
        </w:tc>
        <w:tc>
          <w:tcPr>
            <w:tcW w:w="1233" w:type="dxa"/>
          </w:tcPr>
          <w:p w14:paraId="4874A5D1" w14:textId="2EB1CB92"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47 720 289</w:t>
            </w:r>
          </w:p>
        </w:tc>
        <w:tc>
          <w:tcPr>
            <w:tcW w:w="1234" w:type="dxa"/>
          </w:tcPr>
          <w:p w14:paraId="3E0A1679" w14:textId="75DB5BD4"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49 764 947</w:t>
            </w:r>
          </w:p>
        </w:tc>
        <w:tc>
          <w:tcPr>
            <w:tcW w:w="1307" w:type="dxa"/>
          </w:tcPr>
          <w:p w14:paraId="240CE7BE" w14:textId="7B5ED244"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21 697 507</w:t>
            </w:r>
          </w:p>
        </w:tc>
        <w:tc>
          <w:tcPr>
            <w:tcW w:w="1300" w:type="dxa"/>
          </w:tcPr>
          <w:p w14:paraId="325AB2F7" w14:textId="73C4C4CE" w:rsidR="00D3644E" w:rsidRPr="00890249" w:rsidRDefault="00A206E9">
            <w:pPr>
              <w:jc w:val="right"/>
              <w:rPr>
                <w:rFonts w:asciiTheme="minorHAnsi" w:hAnsiTheme="minorHAnsi" w:cstheme="minorHAnsi"/>
                <w:noProof/>
                <w:sz w:val="20"/>
              </w:rPr>
            </w:pPr>
            <w:r>
              <w:rPr>
                <w:rFonts w:asciiTheme="minorHAnsi" w:hAnsiTheme="minorHAnsi" w:cstheme="minorHAnsi"/>
                <w:noProof/>
                <w:sz w:val="20"/>
              </w:rPr>
              <w:t> -</w:t>
            </w:r>
          </w:p>
        </w:tc>
        <w:tc>
          <w:tcPr>
            <w:tcW w:w="1234" w:type="dxa"/>
          </w:tcPr>
          <w:p w14:paraId="1E2317F3" w14:textId="7FB57D73"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22 815 297</w:t>
            </w:r>
          </w:p>
        </w:tc>
        <w:tc>
          <w:tcPr>
            <w:tcW w:w="772" w:type="dxa"/>
          </w:tcPr>
          <w:p w14:paraId="5E4D0728" w14:textId="5EBF15BC" w:rsidR="00D3644E" w:rsidRPr="00890249" w:rsidRDefault="00A206E9">
            <w:pPr>
              <w:jc w:val="right"/>
              <w:rPr>
                <w:rFonts w:asciiTheme="minorHAnsi" w:hAnsiTheme="minorHAnsi" w:cstheme="minorHAnsi"/>
                <w:noProof/>
                <w:sz w:val="20"/>
              </w:rPr>
            </w:pPr>
            <w:r>
              <w:rPr>
                <w:rFonts w:asciiTheme="minorHAnsi" w:hAnsiTheme="minorHAnsi" w:cstheme="minorHAnsi"/>
                <w:noProof/>
                <w:sz w:val="20"/>
              </w:rPr>
              <w:t>10 469 911</w:t>
            </w:r>
          </w:p>
        </w:tc>
        <w:tc>
          <w:tcPr>
            <w:tcW w:w="1271" w:type="dxa"/>
          </w:tcPr>
          <w:p w14:paraId="435A9A65" w14:textId="63B1B3B9" w:rsidR="00D3644E" w:rsidRPr="00890249" w:rsidRDefault="00A206E9" w:rsidP="00890249">
            <w:pPr>
              <w:jc w:val="right"/>
              <w:rPr>
                <w:rFonts w:asciiTheme="minorHAnsi" w:hAnsiTheme="minorHAnsi" w:cstheme="minorHAnsi"/>
                <w:noProof/>
                <w:sz w:val="20"/>
              </w:rPr>
            </w:pPr>
            <w:r>
              <w:rPr>
                <w:rFonts w:asciiTheme="minorHAnsi" w:hAnsiTheme="minorHAnsi" w:cstheme="minorHAnsi"/>
                <w:noProof/>
                <w:sz w:val="20"/>
              </w:rPr>
              <w:t>232 009 427</w:t>
            </w:r>
          </w:p>
        </w:tc>
      </w:tr>
      <w:tr w:rsidR="00D3644E" w:rsidRPr="00890249" w14:paraId="61D1CCD8" w14:textId="77777777" w:rsidTr="00D3644E">
        <w:trPr>
          <w:trHeight w:val="605"/>
        </w:trPr>
        <w:tc>
          <w:tcPr>
            <w:tcW w:w="986" w:type="dxa"/>
            <w:vMerge/>
          </w:tcPr>
          <w:p w14:paraId="49829251" w14:textId="77777777" w:rsidR="00D3644E" w:rsidRPr="00890249" w:rsidRDefault="00D3644E" w:rsidP="00522CF0">
            <w:pPr>
              <w:rPr>
                <w:rFonts w:asciiTheme="minorHAnsi" w:hAnsiTheme="minorHAnsi" w:cstheme="minorHAnsi"/>
                <w:noProof/>
                <w:sz w:val="20"/>
                <w:szCs w:val="18"/>
              </w:rPr>
            </w:pPr>
          </w:p>
        </w:tc>
        <w:tc>
          <w:tcPr>
            <w:tcW w:w="1542" w:type="dxa"/>
            <w:gridSpan w:val="3"/>
          </w:tcPr>
          <w:p w14:paraId="31340A6A"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Lepiej rozwinięte</w:t>
            </w:r>
          </w:p>
        </w:tc>
        <w:tc>
          <w:tcPr>
            <w:tcW w:w="833" w:type="dxa"/>
          </w:tcPr>
          <w:p w14:paraId="348047F2"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3854D4A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296FA872"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3B9DEEB6"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34DB9907"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678A845F"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2C8BC1CB" w14:textId="31FBD021"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480520C1" w14:textId="5C9072AA"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60C84CBD" w14:textId="456038BD"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07C669B4" w14:textId="4C187188"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1C385439" w14:textId="77777777" w:rsidTr="00D3644E">
        <w:trPr>
          <w:trHeight w:val="557"/>
        </w:trPr>
        <w:tc>
          <w:tcPr>
            <w:tcW w:w="986" w:type="dxa"/>
            <w:vMerge/>
          </w:tcPr>
          <w:p w14:paraId="48AC6BFC" w14:textId="77777777" w:rsidR="00D3644E" w:rsidRPr="00890249" w:rsidRDefault="00D3644E" w:rsidP="00522CF0">
            <w:pPr>
              <w:rPr>
                <w:rFonts w:asciiTheme="minorHAnsi" w:hAnsiTheme="minorHAnsi" w:cstheme="minorHAnsi"/>
                <w:noProof/>
                <w:sz w:val="20"/>
                <w:szCs w:val="18"/>
                <w:highlight w:val="yellow"/>
              </w:rPr>
            </w:pPr>
          </w:p>
        </w:tc>
        <w:tc>
          <w:tcPr>
            <w:tcW w:w="1542" w:type="dxa"/>
            <w:gridSpan w:val="3"/>
          </w:tcPr>
          <w:p w14:paraId="19B78382"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W okresie przejściowym</w:t>
            </w:r>
          </w:p>
        </w:tc>
        <w:tc>
          <w:tcPr>
            <w:tcW w:w="833" w:type="dxa"/>
          </w:tcPr>
          <w:p w14:paraId="303CC75A"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26B89938"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12DAC4CD"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6DBC9C93"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77CFA4C4"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73F0ECA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0C1488E2" w14:textId="246C487F"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7CB3FA2A" w14:textId="08966104"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2AED9AC8" w14:textId="176D912A"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1F911751" w14:textId="7F34E2CC"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6DC2D642" w14:textId="77777777" w:rsidTr="00D3644E">
        <w:trPr>
          <w:trHeight w:val="551"/>
        </w:trPr>
        <w:tc>
          <w:tcPr>
            <w:tcW w:w="986" w:type="dxa"/>
            <w:vMerge/>
          </w:tcPr>
          <w:p w14:paraId="3803C15C" w14:textId="77777777" w:rsidR="00D3644E" w:rsidRPr="00890249" w:rsidRDefault="00D3644E" w:rsidP="00522CF0">
            <w:pPr>
              <w:rPr>
                <w:rFonts w:asciiTheme="minorHAnsi" w:hAnsiTheme="minorHAnsi" w:cstheme="minorHAnsi"/>
                <w:noProof/>
                <w:sz w:val="20"/>
                <w:szCs w:val="18"/>
                <w:highlight w:val="yellow"/>
              </w:rPr>
            </w:pPr>
          </w:p>
        </w:tc>
        <w:tc>
          <w:tcPr>
            <w:tcW w:w="1542" w:type="dxa"/>
            <w:gridSpan w:val="3"/>
          </w:tcPr>
          <w:p w14:paraId="031DB82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Najbardziej oddalone</w:t>
            </w:r>
          </w:p>
        </w:tc>
        <w:tc>
          <w:tcPr>
            <w:tcW w:w="833" w:type="dxa"/>
          </w:tcPr>
          <w:p w14:paraId="262F29FB"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7A6A4C4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5AFD9603"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4D70D6EB"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7CF1C97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62C9C63F"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0281C447" w14:textId="6926070D"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71C742C3" w14:textId="0AD402F2"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55FDFD24" w14:textId="6166BE50"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045937EB" w14:textId="7857A912"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3FEB1DAC" w14:textId="77777777" w:rsidTr="00D3644E">
        <w:trPr>
          <w:trHeight w:val="437"/>
        </w:trPr>
        <w:tc>
          <w:tcPr>
            <w:tcW w:w="986" w:type="dxa"/>
          </w:tcPr>
          <w:p w14:paraId="66A2A267" w14:textId="77777777" w:rsidR="00D3644E" w:rsidRPr="00890249" w:rsidRDefault="00D3644E" w:rsidP="00522CF0">
            <w:pPr>
              <w:rPr>
                <w:rFonts w:asciiTheme="minorHAnsi" w:hAnsiTheme="minorHAnsi" w:cstheme="minorHAnsi"/>
                <w:noProof/>
                <w:sz w:val="20"/>
                <w:szCs w:val="18"/>
              </w:rPr>
            </w:pPr>
            <w:r w:rsidRPr="00890249">
              <w:rPr>
                <w:rFonts w:asciiTheme="minorHAnsi" w:hAnsiTheme="minorHAnsi" w:cstheme="minorHAnsi"/>
                <w:noProof/>
                <w:sz w:val="20"/>
              </w:rPr>
              <w:t xml:space="preserve">Ogółem </w:t>
            </w:r>
          </w:p>
        </w:tc>
        <w:tc>
          <w:tcPr>
            <w:tcW w:w="1542" w:type="dxa"/>
            <w:gridSpan w:val="3"/>
          </w:tcPr>
          <w:p w14:paraId="083D3026" w14:textId="77777777" w:rsidR="00D3644E" w:rsidRPr="00890249" w:rsidRDefault="00D3644E" w:rsidP="00522CF0">
            <w:pPr>
              <w:rPr>
                <w:rFonts w:asciiTheme="minorHAnsi" w:hAnsiTheme="minorHAnsi" w:cstheme="minorHAnsi"/>
                <w:noProof/>
                <w:sz w:val="20"/>
              </w:rPr>
            </w:pPr>
          </w:p>
        </w:tc>
        <w:tc>
          <w:tcPr>
            <w:tcW w:w="833" w:type="dxa"/>
          </w:tcPr>
          <w:p w14:paraId="2E6CD668"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206A1AE4" w14:textId="77844541"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44 099 055</w:t>
            </w:r>
          </w:p>
        </w:tc>
        <w:tc>
          <w:tcPr>
            <w:tcW w:w="1234" w:type="dxa"/>
          </w:tcPr>
          <w:p w14:paraId="21965EC4" w14:textId="2861D2DD"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45 757 528</w:t>
            </w:r>
          </w:p>
        </w:tc>
        <w:tc>
          <w:tcPr>
            <w:tcW w:w="1233" w:type="dxa"/>
          </w:tcPr>
          <w:p w14:paraId="20BE590D" w14:textId="4BE332B0"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47 720 289</w:t>
            </w:r>
          </w:p>
        </w:tc>
        <w:tc>
          <w:tcPr>
            <w:tcW w:w="1234" w:type="dxa"/>
          </w:tcPr>
          <w:p w14:paraId="416B0504" w14:textId="661C71F0"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49 764 947</w:t>
            </w:r>
          </w:p>
        </w:tc>
        <w:tc>
          <w:tcPr>
            <w:tcW w:w="1307" w:type="dxa"/>
          </w:tcPr>
          <w:p w14:paraId="41AC3442" w14:textId="6C4BE285"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21 697 507</w:t>
            </w:r>
          </w:p>
        </w:tc>
        <w:tc>
          <w:tcPr>
            <w:tcW w:w="1300" w:type="dxa"/>
          </w:tcPr>
          <w:p w14:paraId="688BE4D6" w14:textId="6CEC9908" w:rsidR="00D3644E" w:rsidRPr="00890249" w:rsidRDefault="00D3644E">
            <w:pPr>
              <w:jc w:val="right"/>
              <w:rPr>
                <w:rFonts w:asciiTheme="minorHAnsi" w:hAnsiTheme="minorHAnsi" w:cstheme="minorHAnsi"/>
                <w:noProof/>
                <w:sz w:val="20"/>
              </w:rPr>
            </w:pPr>
            <w:r w:rsidRPr="00890249">
              <w:rPr>
                <w:rFonts w:asciiTheme="minorHAnsi" w:hAnsiTheme="minorHAnsi" w:cstheme="minorHAnsi"/>
                <w:noProof/>
                <w:sz w:val="20"/>
              </w:rPr>
              <w:t>21 697 507</w:t>
            </w:r>
          </w:p>
        </w:tc>
        <w:tc>
          <w:tcPr>
            <w:tcW w:w="1234" w:type="dxa"/>
          </w:tcPr>
          <w:p w14:paraId="065D9E99" w14:textId="363DFC75"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22 815 297</w:t>
            </w:r>
          </w:p>
        </w:tc>
        <w:tc>
          <w:tcPr>
            <w:tcW w:w="772" w:type="dxa"/>
          </w:tcPr>
          <w:p w14:paraId="72F99FDE" w14:textId="72D5D465" w:rsidR="00D3644E" w:rsidRPr="00890249" w:rsidRDefault="00D3644E">
            <w:pPr>
              <w:jc w:val="right"/>
              <w:rPr>
                <w:rFonts w:asciiTheme="minorHAnsi" w:hAnsiTheme="minorHAnsi" w:cstheme="minorHAnsi"/>
                <w:noProof/>
                <w:sz w:val="20"/>
              </w:rPr>
            </w:pPr>
            <w:r w:rsidRPr="00890249">
              <w:rPr>
                <w:rFonts w:asciiTheme="minorHAnsi" w:hAnsiTheme="minorHAnsi" w:cstheme="minorHAnsi"/>
                <w:noProof/>
                <w:sz w:val="20"/>
              </w:rPr>
              <w:t>22 815 297</w:t>
            </w:r>
          </w:p>
        </w:tc>
        <w:tc>
          <w:tcPr>
            <w:tcW w:w="1271" w:type="dxa"/>
          </w:tcPr>
          <w:p w14:paraId="509A0628" w14:textId="030ADCF7" w:rsidR="00D3644E" w:rsidRPr="00890249" w:rsidRDefault="00D3644E" w:rsidP="00890249">
            <w:pPr>
              <w:jc w:val="right"/>
              <w:rPr>
                <w:rFonts w:asciiTheme="minorHAnsi" w:hAnsiTheme="minorHAnsi" w:cstheme="minorHAnsi"/>
                <w:noProof/>
                <w:sz w:val="20"/>
              </w:rPr>
            </w:pPr>
            <w:r w:rsidRPr="00890249">
              <w:rPr>
                <w:rFonts w:asciiTheme="minorHAnsi" w:hAnsiTheme="minorHAnsi" w:cstheme="minorHAnsi"/>
                <w:noProof/>
                <w:sz w:val="20"/>
              </w:rPr>
              <w:t xml:space="preserve">276 367 427 </w:t>
            </w:r>
          </w:p>
        </w:tc>
      </w:tr>
      <w:tr w:rsidR="00D3644E" w:rsidRPr="00890249" w14:paraId="16BF65C1" w14:textId="77777777" w:rsidTr="00D3644E">
        <w:trPr>
          <w:trHeight w:val="608"/>
        </w:trPr>
        <w:tc>
          <w:tcPr>
            <w:tcW w:w="986" w:type="dxa"/>
          </w:tcPr>
          <w:p w14:paraId="39DE33F7" w14:textId="77777777" w:rsidR="00D3644E" w:rsidRPr="00890249" w:rsidRDefault="00D3644E" w:rsidP="00522CF0">
            <w:pPr>
              <w:rPr>
                <w:rFonts w:asciiTheme="minorHAnsi" w:hAnsiTheme="minorHAnsi" w:cstheme="minorHAnsi"/>
                <w:noProof/>
                <w:sz w:val="20"/>
                <w:szCs w:val="18"/>
              </w:rPr>
            </w:pPr>
            <w:r w:rsidRPr="00890249">
              <w:rPr>
                <w:rFonts w:asciiTheme="minorHAnsi" w:hAnsiTheme="minorHAnsi" w:cstheme="minorHAnsi"/>
                <w:noProof/>
                <w:sz w:val="20"/>
              </w:rPr>
              <w:t>Fundusz Spójności</w:t>
            </w:r>
          </w:p>
        </w:tc>
        <w:tc>
          <w:tcPr>
            <w:tcW w:w="1542" w:type="dxa"/>
            <w:gridSpan w:val="3"/>
          </w:tcPr>
          <w:p w14:paraId="1C7C5476"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nie dotyczy</w:t>
            </w:r>
          </w:p>
        </w:tc>
        <w:tc>
          <w:tcPr>
            <w:tcW w:w="833" w:type="dxa"/>
          </w:tcPr>
          <w:p w14:paraId="68C10284"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4F8A5F03"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0A6BE6D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6884478F"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35BA174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3F1C194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22DBD6A0" w14:textId="4BB7BC0B"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340340EB" w14:textId="59D6DCA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06087AE6" w14:textId="10421FEE"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7BDE35B5" w14:textId="6D76EA54"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369EA60E" w14:textId="77777777" w:rsidTr="00D3644E">
        <w:trPr>
          <w:trHeight w:val="423"/>
        </w:trPr>
        <w:tc>
          <w:tcPr>
            <w:tcW w:w="986" w:type="dxa"/>
          </w:tcPr>
          <w:p w14:paraId="47AF607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EFMR</w:t>
            </w:r>
          </w:p>
        </w:tc>
        <w:tc>
          <w:tcPr>
            <w:tcW w:w="1542" w:type="dxa"/>
            <w:gridSpan w:val="3"/>
          </w:tcPr>
          <w:p w14:paraId="2E14E71D"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nie dotyczy</w:t>
            </w:r>
          </w:p>
        </w:tc>
        <w:tc>
          <w:tcPr>
            <w:tcW w:w="833" w:type="dxa"/>
          </w:tcPr>
          <w:p w14:paraId="72F2FF4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6F373189"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33743534"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0C29DD0B"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3D11979C"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66F20061"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4083F02F" w14:textId="62B5E0D0"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6D0578BB" w14:textId="66C57770"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03268CBC" w14:textId="53CF9D0A"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05F58291" w14:textId="0E5F9011"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r w:rsidR="00D3644E" w:rsidRPr="00890249" w14:paraId="3F830652" w14:textId="77777777" w:rsidTr="00D3644E">
        <w:trPr>
          <w:trHeight w:val="437"/>
        </w:trPr>
        <w:tc>
          <w:tcPr>
            <w:tcW w:w="986" w:type="dxa"/>
          </w:tcPr>
          <w:p w14:paraId="7F553575"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 xml:space="preserve">Ogółem </w:t>
            </w:r>
          </w:p>
        </w:tc>
        <w:tc>
          <w:tcPr>
            <w:tcW w:w="1542" w:type="dxa"/>
            <w:gridSpan w:val="3"/>
          </w:tcPr>
          <w:p w14:paraId="02F0C98F" w14:textId="77777777" w:rsidR="00D3644E" w:rsidRPr="00890249" w:rsidRDefault="00D3644E" w:rsidP="00522CF0">
            <w:pPr>
              <w:rPr>
                <w:rFonts w:asciiTheme="minorHAnsi" w:hAnsiTheme="minorHAnsi" w:cstheme="minorHAnsi"/>
                <w:noProof/>
                <w:sz w:val="20"/>
              </w:rPr>
            </w:pPr>
          </w:p>
        </w:tc>
        <w:tc>
          <w:tcPr>
            <w:tcW w:w="833" w:type="dxa"/>
          </w:tcPr>
          <w:p w14:paraId="6A7136C2"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66" w:type="dxa"/>
          </w:tcPr>
          <w:p w14:paraId="144E9915"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265374A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3" w:type="dxa"/>
          </w:tcPr>
          <w:p w14:paraId="6AADE83A"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2CB2EB90"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7" w:type="dxa"/>
          </w:tcPr>
          <w:p w14:paraId="6703BBC4" w14:textId="77777777"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300" w:type="dxa"/>
          </w:tcPr>
          <w:p w14:paraId="052025A6" w14:textId="767E7E33"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34" w:type="dxa"/>
          </w:tcPr>
          <w:p w14:paraId="154740D9" w14:textId="20A21584"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772" w:type="dxa"/>
          </w:tcPr>
          <w:p w14:paraId="6B088042" w14:textId="5EC86F95"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c>
          <w:tcPr>
            <w:tcW w:w="1271" w:type="dxa"/>
          </w:tcPr>
          <w:p w14:paraId="698F74DC" w14:textId="78F1B061" w:rsidR="00D3644E" w:rsidRPr="00890249" w:rsidRDefault="00D3644E" w:rsidP="00522CF0">
            <w:pPr>
              <w:rPr>
                <w:rFonts w:asciiTheme="minorHAnsi" w:hAnsiTheme="minorHAnsi" w:cstheme="minorHAnsi"/>
                <w:noProof/>
                <w:sz w:val="20"/>
              </w:rPr>
            </w:pPr>
            <w:r w:rsidRPr="00890249">
              <w:rPr>
                <w:rFonts w:asciiTheme="minorHAnsi" w:hAnsiTheme="minorHAnsi" w:cstheme="minorHAnsi"/>
                <w:noProof/>
                <w:sz w:val="20"/>
              </w:rPr>
              <w:t>0</w:t>
            </w:r>
          </w:p>
        </w:tc>
      </w:tr>
    </w:tbl>
    <w:p w14:paraId="1707808B" w14:textId="77777777" w:rsidR="0093433C" w:rsidRPr="00890249" w:rsidRDefault="002C620C" w:rsidP="00890249">
      <w:pPr>
        <w:pStyle w:val="Legenda"/>
        <w:rPr>
          <w:rFonts w:asciiTheme="minorHAnsi" w:hAnsiTheme="minorHAnsi" w:cstheme="minorHAnsi"/>
          <w:noProof/>
        </w:rPr>
      </w:pPr>
      <w:r w:rsidRPr="00890249">
        <w:rPr>
          <w:rFonts w:asciiTheme="minorHAnsi" w:hAnsiTheme="minorHAnsi" w:cstheme="minorHAnsi"/>
          <w:noProof/>
        </w:rPr>
        <w:t>W odniesieniu do celu „Zatrudnienie i wzrost”:</w:t>
      </w:r>
    </w:p>
    <w:tbl>
      <w:tblPr>
        <w:tblW w:w="14481" w:type="dxa"/>
        <w:tblLayout w:type="fixed"/>
        <w:tblCellMar>
          <w:left w:w="70" w:type="dxa"/>
          <w:right w:w="70" w:type="dxa"/>
        </w:tblCellMar>
        <w:tblLook w:val="04A0" w:firstRow="1" w:lastRow="0" w:firstColumn="1" w:lastColumn="0" w:noHBand="0" w:noVBand="1"/>
      </w:tblPr>
      <w:tblGrid>
        <w:gridCol w:w="931"/>
        <w:gridCol w:w="1203"/>
        <w:gridCol w:w="1338"/>
        <w:gridCol w:w="1071"/>
        <w:gridCol w:w="1305"/>
        <w:gridCol w:w="1025"/>
        <w:gridCol w:w="1144"/>
        <w:gridCol w:w="1071"/>
        <w:gridCol w:w="1069"/>
        <w:gridCol w:w="1069"/>
        <w:gridCol w:w="1071"/>
        <w:gridCol w:w="1069"/>
        <w:gridCol w:w="1115"/>
      </w:tblGrid>
      <w:tr w:rsidR="008619AA" w:rsidRPr="00890249" w14:paraId="1B80AF0E" w14:textId="77777777" w:rsidTr="0001216F">
        <w:trPr>
          <w:trHeight w:val="657"/>
        </w:trPr>
        <w:tc>
          <w:tcPr>
            <w:tcW w:w="931"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15EE3D1" w14:textId="7A33FE40"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Numer celu polityki lub celu szczegół</w:t>
            </w:r>
            <w:r w:rsidR="001206F6">
              <w:rPr>
                <w:rFonts w:asciiTheme="minorHAnsi" w:eastAsia="Times New Roman" w:hAnsiTheme="minorHAnsi" w:cstheme="minorHAnsi"/>
                <w:b/>
                <w:bCs/>
                <w:color w:val="000000"/>
                <w:sz w:val="16"/>
                <w:szCs w:val="16"/>
                <w:lang w:bidi="ar-SA"/>
              </w:rPr>
              <w:t>o</w:t>
            </w:r>
            <w:r w:rsidRPr="00890249">
              <w:rPr>
                <w:rFonts w:asciiTheme="minorHAnsi" w:eastAsia="Times New Roman" w:hAnsiTheme="minorHAnsi" w:cstheme="minorHAnsi"/>
                <w:b/>
                <w:bCs/>
                <w:color w:val="000000"/>
                <w:sz w:val="16"/>
                <w:szCs w:val="16"/>
                <w:lang w:bidi="ar-SA"/>
              </w:rPr>
              <w:t>wego FST lub pomocy technicznej</w:t>
            </w:r>
          </w:p>
        </w:tc>
        <w:tc>
          <w:tcPr>
            <w:tcW w:w="1203"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0569D38"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Priorytet</w:t>
            </w:r>
          </w:p>
        </w:tc>
        <w:tc>
          <w:tcPr>
            <w:tcW w:w="133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5DA5472"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Podstawa obliczenia wsparcia unijnego (łączne koszty kwalifikowalne lub wkład publiczny)</w:t>
            </w:r>
          </w:p>
        </w:tc>
        <w:tc>
          <w:tcPr>
            <w:tcW w:w="1071"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63E670DA"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Fundusz</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A845A6D"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Kategoria regionu*</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28DCB68"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Wkład Unii (a)=(g)+(h)</w:t>
            </w:r>
          </w:p>
        </w:tc>
        <w:tc>
          <w:tcPr>
            <w:tcW w:w="2215"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74C13D61"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Podział wkładu Unii</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45CA1F5"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Wkład krajowy (b)=(c)+(d)</w:t>
            </w:r>
          </w:p>
        </w:tc>
        <w:tc>
          <w:tcPr>
            <w:tcW w:w="2140" w:type="dxa"/>
            <w:gridSpan w:val="2"/>
            <w:tcBorders>
              <w:top w:val="single" w:sz="4" w:space="0" w:color="auto"/>
              <w:left w:val="nil"/>
              <w:bottom w:val="single" w:sz="4" w:space="0" w:color="auto"/>
              <w:right w:val="single" w:sz="4" w:space="0" w:color="auto"/>
            </w:tcBorders>
            <w:shd w:val="clear" w:color="000000" w:fill="DDEBF7"/>
            <w:vAlign w:val="center"/>
            <w:hideMark/>
          </w:tcPr>
          <w:p w14:paraId="60BE073F"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Indykatywny podział wkładu krajowego</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528F485"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Ogółem</w:t>
            </w:r>
            <w:r w:rsidRPr="00890249">
              <w:rPr>
                <w:rFonts w:asciiTheme="minorHAnsi" w:eastAsia="Times New Roman" w:hAnsiTheme="minorHAnsi" w:cstheme="minorHAnsi"/>
                <w:b/>
                <w:bCs/>
                <w:color w:val="000000"/>
                <w:sz w:val="16"/>
                <w:szCs w:val="16"/>
                <w:lang w:bidi="ar-SA"/>
              </w:rPr>
              <w:br/>
              <w:t>(e)=(a)+(b)</w:t>
            </w:r>
          </w:p>
        </w:tc>
        <w:tc>
          <w:tcPr>
            <w:tcW w:w="111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F397D17"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Stopa dofinansowania (f)=(a)/(e )</w:t>
            </w:r>
          </w:p>
        </w:tc>
      </w:tr>
      <w:tr w:rsidR="00A0615B" w:rsidRPr="00890249" w14:paraId="0EBF9B39" w14:textId="77777777" w:rsidTr="00716E8E">
        <w:trPr>
          <w:trHeight w:val="494"/>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2C85B71"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B68D019"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0F0424F4"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071" w:type="dxa"/>
            <w:vMerge/>
            <w:tcBorders>
              <w:top w:val="single" w:sz="4" w:space="0" w:color="auto"/>
              <w:left w:val="single" w:sz="4" w:space="0" w:color="auto"/>
              <w:bottom w:val="single" w:sz="4" w:space="0" w:color="000000"/>
              <w:right w:val="single" w:sz="4" w:space="0" w:color="auto"/>
            </w:tcBorders>
            <w:vAlign w:val="center"/>
            <w:hideMark/>
          </w:tcPr>
          <w:p w14:paraId="2D0A5E43"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01CEFDF8"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7CF1CD76"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144" w:type="dxa"/>
            <w:tcBorders>
              <w:top w:val="nil"/>
              <w:left w:val="nil"/>
              <w:bottom w:val="single" w:sz="4" w:space="0" w:color="auto"/>
              <w:right w:val="single" w:sz="4" w:space="0" w:color="auto"/>
            </w:tcBorders>
            <w:shd w:val="clear" w:color="000000" w:fill="DDEBF7"/>
            <w:vAlign w:val="center"/>
            <w:hideMark/>
          </w:tcPr>
          <w:p w14:paraId="636414D0"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Wkład Unii pomniejszony o kwotę elastyczności (g)</w:t>
            </w:r>
          </w:p>
        </w:tc>
        <w:tc>
          <w:tcPr>
            <w:tcW w:w="1071" w:type="dxa"/>
            <w:tcBorders>
              <w:top w:val="nil"/>
              <w:left w:val="nil"/>
              <w:bottom w:val="single" w:sz="4" w:space="0" w:color="auto"/>
              <w:right w:val="single" w:sz="4" w:space="0" w:color="auto"/>
            </w:tcBorders>
            <w:shd w:val="clear" w:color="000000" w:fill="DDEBF7"/>
            <w:vAlign w:val="center"/>
            <w:hideMark/>
          </w:tcPr>
          <w:p w14:paraId="117F6487"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Kwota elastyczności (h)</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5F405746"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069" w:type="dxa"/>
            <w:tcBorders>
              <w:top w:val="nil"/>
              <w:left w:val="nil"/>
              <w:bottom w:val="single" w:sz="4" w:space="0" w:color="auto"/>
              <w:right w:val="single" w:sz="4" w:space="0" w:color="auto"/>
            </w:tcBorders>
            <w:shd w:val="clear" w:color="000000" w:fill="DDEBF7"/>
            <w:noWrap/>
            <w:vAlign w:val="center"/>
            <w:hideMark/>
          </w:tcPr>
          <w:p w14:paraId="4260F62A" w14:textId="52CB95A5"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 xml:space="preserve">publiczny </w:t>
            </w:r>
            <w:r w:rsidR="0093433C" w:rsidRPr="00890249">
              <w:rPr>
                <w:rFonts w:asciiTheme="minorHAnsi" w:eastAsia="Times New Roman" w:hAnsiTheme="minorHAnsi" w:cstheme="minorHAnsi"/>
                <w:b/>
                <w:bCs/>
                <w:color w:val="000000"/>
                <w:sz w:val="16"/>
                <w:szCs w:val="16"/>
                <w:lang w:bidi="ar-SA"/>
              </w:rPr>
              <w:t>©</w:t>
            </w:r>
          </w:p>
        </w:tc>
        <w:tc>
          <w:tcPr>
            <w:tcW w:w="1071" w:type="dxa"/>
            <w:tcBorders>
              <w:top w:val="nil"/>
              <w:left w:val="nil"/>
              <w:bottom w:val="single" w:sz="4" w:space="0" w:color="auto"/>
              <w:right w:val="single" w:sz="4" w:space="0" w:color="auto"/>
            </w:tcBorders>
            <w:shd w:val="clear" w:color="000000" w:fill="DDEBF7"/>
            <w:noWrap/>
            <w:vAlign w:val="center"/>
            <w:hideMark/>
          </w:tcPr>
          <w:p w14:paraId="1CD08C04" w14:textId="77777777" w:rsidR="00B57E08" w:rsidRPr="00890249" w:rsidRDefault="00B57E08" w:rsidP="00B57E08">
            <w:pPr>
              <w:spacing w:before="0" w:after="0"/>
              <w:jc w:val="center"/>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prywatny (d)</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0798385E"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75B7297D" w14:textId="77777777" w:rsidR="00B57E08" w:rsidRPr="00890249" w:rsidRDefault="00B57E08" w:rsidP="00B57E08">
            <w:pPr>
              <w:spacing w:before="0" w:after="0"/>
              <w:jc w:val="left"/>
              <w:rPr>
                <w:rFonts w:asciiTheme="minorHAnsi" w:eastAsia="Times New Roman" w:hAnsiTheme="minorHAnsi" w:cstheme="minorHAnsi"/>
                <w:b/>
                <w:bCs/>
                <w:color w:val="000000"/>
                <w:sz w:val="16"/>
                <w:szCs w:val="16"/>
                <w:lang w:bidi="ar-SA"/>
              </w:rPr>
            </w:pPr>
          </w:p>
        </w:tc>
      </w:tr>
      <w:tr w:rsidR="00B57E08" w:rsidRPr="00890249" w14:paraId="6E037411" w14:textId="77777777" w:rsidTr="00890249">
        <w:trPr>
          <w:trHeight w:val="650"/>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7B28217" w14:textId="77777777" w:rsidR="00B57E08" w:rsidRPr="00890249" w:rsidRDefault="00B57E08" w:rsidP="00B57E08">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CP 1</w:t>
            </w:r>
          </w:p>
        </w:tc>
        <w:tc>
          <w:tcPr>
            <w:tcW w:w="1203" w:type="dxa"/>
            <w:tcBorders>
              <w:top w:val="nil"/>
              <w:left w:val="nil"/>
              <w:bottom w:val="single" w:sz="4" w:space="0" w:color="auto"/>
              <w:right w:val="single" w:sz="4" w:space="0" w:color="auto"/>
            </w:tcBorders>
            <w:shd w:val="clear" w:color="auto" w:fill="auto"/>
            <w:vAlign w:val="center"/>
            <w:hideMark/>
          </w:tcPr>
          <w:p w14:paraId="4635A8E3" w14:textId="04F80B49" w:rsidR="00B57E08" w:rsidRPr="00890249" w:rsidRDefault="0001216F" w:rsidP="00E127B6">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1 </w:t>
            </w:r>
            <w:r w:rsidR="00E127B6" w:rsidRPr="00890249">
              <w:rPr>
                <w:rFonts w:asciiTheme="minorHAnsi" w:eastAsia="Times New Roman" w:hAnsiTheme="minorHAnsi" w:cstheme="minorHAnsi"/>
                <w:color w:val="000000"/>
                <w:sz w:val="16"/>
                <w:szCs w:val="16"/>
                <w:lang w:bidi="ar-SA"/>
              </w:rPr>
              <w:t>Fundusze Europejskie na rzecz wzrostu Innowacyjności i Konkurencyjności Opolskiego</w:t>
            </w:r>
          </w:p>
        </w:tc>
        <w:tc>
          <w:tcPr>
            <w:tcW w:w="1338" w:type="dxa"/>
            <w:tcBorders>
              <w:top w:val="nil"/>
              <w:left w:val="nil"/>
              <w:bottom w:val="single" w:sz="4" w:space="0" w:color="auto"/>
              <w:right w:val="single" w:sz="4" w:space="0" w:color="auto"/>
            </w:tcBorders>
            <w:shd w:val="clear" w:color="auto" w:fill="auto"/>
            <w:vAlign w:val="center"/>
            <w:hideMark/>
          </w:tcPr>
          <w:p w14:paraId="139CE1F6" w14:textId="77777777" w:rsidR="00B57E08" w:rsidRPr="00890249" w:rsidRDefault="00B57E08"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04955783" w14:textId="77777777" w:rsidR="00B57E08" w:rsidRPr="00890249" w:rsidRDefault="00B57E08"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hideMark/>
          </w:tcPr>
          <w:p w14:paraId="704AF874" w14:textId="77777777" w:rsidR="00B57E08" w:rsidRPr="00890249" w:rsidRDefault="00B57E08"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072A7F5E" w14:textId="05081BFD" w:rsidR="00B57E08" w:rsidRPr="00890249" w:rsidRDefault="00A4405C">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98 600 000</w:t>
            </w:r>
          </w:p>
        </w:tc>
        <w:tc>
          <w:tcPr>
            <w:tcW w:w="1144" w:type="dxa"/>
            <w:tcBorders>
              <w:top w:val="nil"/>
              <w:left w:val="nil"/>
              <w:bottom w:val="single" w:sz="4" w:space="0" w:color="auto"/>
              <w:right w:val="single" w:sz="4" w:space="0" w:color="auto"/>
            </w:tcBorders>
            <w:shd w:val="clear" w:color="auto" w:fill="auto"/>
            <w:noWrap/>
            <w:vAlign w:val="center"/>
            <w:hideMark/>
          </w:tcPr>
          <w:p w14:paraId="0464EB21" w14:textId="160A2D44" w:rsidR="00B57E08" w:rsidRPr="00890249" w:rsidRDefault="00334CB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91 352 763</w:t>
            </w:r>
          </w:p>
        </w:tc>
        <w:tc>
          <w:tcPr>
            <w:tcW w:w="1071" w:type="dxa"/>
            <w:tcBorders>
              <w:top w:val="nil"/>
              <w:left w:val="nil"/>
              <w:bottom w:val="single" w:sz="4" w:space="0" w:color="auto"/>
              <w:right w:val="single" w:sz="4" w:space="0" w:color="auto"/>
            </w:tcBorders>
            <w:shd w:val="clear" w:color="auto" w:fill="auto"/>
            <w:noWrap/>
            <w:vAlign w:val="center"/>
            <w:hideMark/>
          </w:tcPr>
          <w:p w14:paraId="2E9D0A62" w14:textId="3EC5E49D" w:rsidR="00B57E08" w:rsidRPr="00890249" w:rsidRDefault="00334CB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7 247 237</w:t>
            </w:r>
          </w:p>
        </w:tc>
        <w:tc>
          <w:tcPr>
            <w:tcW w:w="1069" w:type="dxa"/>
            <w:tcBorders>
              <w:top w:val="nil"/>
              <w:left w:val="nil"/>
              <w:bottom w:val="single" w:sz="4" w:space="0" w:color="auto"/>
              <w:right w:val="single" w:sz="4" w:space="0" w:color="auto"/>
            </w:tcBorders>
            <w:shd w:val="clear" w:color="auto" w:fill="auto"/>
            <w:noWrap/>
            <w:vAlign w:val="center"/>
            <w:hideMark/>
          </w:tcPr>
          <w:p w14:paraId="59A430AF" w14:textId="5AEC3778" w:rsidR="00B57E08" w:rsidRPr="00890249" w:rsidRDefault="00A4405C">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17 400 001</w:t>
            </w:r>
          </w:p>
        </w:tc>
        <w:tc>
          <w:tcPr>
            <w:tcW w:w="1069" w:type="dxa"/>
            <w:tcBorders>
              <w:top w:val="nil"/>
              <w:left w:val="nil"/>
              <w:bottom w:val="single" w:sz="4" w:space="0" w:color="auto"/>
              <w:right w:val="single" w:sz="4" w:space="0" w:color="auto"/>
            </w:tcBorders>
            <w:shd w:val="clear" w:color="auto" w:fill="auto"/>
            <w:noWrap/>
            <w:vAlign w:val="center"/>
            <w:hideMark/>
          </w:tcPr>
          <w:p w14:paraId="0AEC96AC" w14:textId="5DA17A39" w:rsidR="00B57E08" w:rsidRPr="00890249" w:rsidRDefault="00A4405C">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6 502 940</w:t>
            </w:r>
          </w:p>
        </w:tc>
        <w:tc>
          <w:tcPr>
            <w:tcW w:w="1071" w:type="dxa"/>
            <w:tcBorders>
              <w:top w:val="nil"/>
              <w:left w:val="nil"/>
              <w:bottom w:val="single" w:sz="4" w:space="0" w:color="auto"/>
              <w:right w:val="single" w:sz="4" w:space="0" w:color="auto"/>
            </w:tcBorders>
            <w:shd w:val="clear" w:color="auto" w:fill="auto"/>
            <w:noWrap/>
            <w:vAlign w:val="center"/>
            <w:hideMark/>
          </w:tcPr>
          <w:p w14:paraId="315D09F2" w14:textId="61463743" w:rsidR="00B57E08" w:rsidRPr="00890249" w:rsidRDefault="00A4405C">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10 897 061</w:t>
            </w:r>
          </w:p>
        </w:tc>
        <w:tc>
          <w:tcPr>
            <w:tcW w:w="1069" w:type="dxa"/>
            <w:tcBorders>
              <w:top w:val="nil"/>
              <w:left w:val="nil"/>
              <w:bottom w:val="single" w:sz="4" w:space="0" w:color="auto"/>
              <w:right w:val="single" w:sz="4" w:space="0" w:color="auto"/>
            </w:tcBorders>
            <w:shd w:val="clear" w:color="auto" w:fill="auto"/>
            <w:noWrap/>
            <w:vAlign w:val="center"/>
            <w:hideMark/>
          </w:tcPr>
          <w:p w14:paraId="59534B00" w14:textId="5B7304F9" w:rsidR="00B57E08" w:rsidRPr="00890249" w:rsidRDefault="00A4405C">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116 000 001</w:t>
            </w:r>
          </w:p>
        </w:tc>
        <w:tc>
          <w:tcPr>
            <w:tcW w:w="1115" w:type="dxa"/>
            <w:tcBorders>
              <w:top w:val="nil"/>
              <w:left w:val="nil"/>
              <w:bottom w:val="single" w:sz="4" w:space="0" w:color="auto"/>
              <w:right w:val="single" w:sz="4" w:space="0" w:color="auto"/>
            </w:tcBorders>
            <w:shd w:val="clear" w:color="auto" w:fill="auto"/>
            <w:noWrap/>
            <w:vAlign w:val="center"/>
            <w:hideMark/>
          </w:tcPr>
          <w:p w14:paraId="6B7120C7" w14:textId="77777777" w:rsidR="00B57E08" w:rsidRPr="00890249" w:rsidRDefault="00B57E08"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120A66" w:rsidRPr="00890249" w14:paraId="1C1E3A78" w14:textId="77777777" w:rsidTr="00890249">
        <w:trPr>
          <w:trHeight w:val="910"/>
        </w:trPr>
        <w:tc>
          <w:tcPr>
            <w:tcW w:w="931" w:type="dxa"/>
            <w:vMerge w:val="restart"/>
            <w:tcBorders>
              <w:top w:val="nil"/>
              <w:left w:val="single" w:sz="4" w:space="0" w:color="auto"/>
              <w:right w:val="single" w:sz="4" w:space="0" w:color="auto"/>
            </w:tcBorders>
            <w:shd w:val="clear" w:color="auto" w:fill="auto"/>
            <w:noWrap/>
            <w:vAlign w:val="center"/>
            <w:hideMark/>
          </w:tcPr>
          <w:p w14:paraId="1588A118" w14:textId="77777777" w:rsidR="00120A66" w:rsidRPr="00890249" w:rsidRDefault="00120A66" w:rsidP="00B57E08">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CP 2</w:t>
            </w:r>
          </w:p>
        </w:tc>
        <w:tc>
          <w:tcPr>
            <w:tcW w:w="1203" w:type="dxa"/>
            <w:tcBorders>
              <w:top w:val="nil"/>
              <w:left w:val="nil"/>
              <w:bottom w:val="single" w:sz="4" w:space="0" w:color="auto"/>
              <w:right w:val="single" w:sz="4" w:space="0" w:color="auto"/>
            </w:tcBorders>
            <w:shd w:val="clear" w:color="auto" w:fill="auto"/>
            <w:vAlign w:val="center"/>
            <w:hideMark/>
          </w:tcPr>
          <w:p w14:paraId="3598E55E" w14:textId="20211262" w:rsidR="00120A66" w:rsidRPr="00890249" w:rsidRDefault="0001216F" w:rsidP="00EA2452">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2 </w:t>
            </w:r>
            <w:r w:rsidR="00EA2452" w:rsidRPr="00890249">
              <w:rPr>
                <w:rFonts w:asciiTheme="minorHAnsi" w:hAnsiTheme="minorHAnsi" w:cstheme="minorHAnsi"/>
              </w:rPr>
              <w:t xml:space="preserve"> </w:t>
            </w:r>
            <w:r w:rsidR="00EA2452" w:rsidRPr="00890249">
              <w:rPr>
                <w:rFonts w:asciiTheme="minorHAnsi" w:eastAsia="Times New Roman" w:hAnsiTheme="minorHAnsi" w:cstheme="minorHAnsi"/>
                <w:color w:val="000000"/>
                <w:sz w:val="16"/>
                <w:szCs w:val="16"/>
              </w:rPr>
              <w:t>Fundusze Europejskie dla czystej energii I ochrony środowiska naturalnego w Województwie Opolskim</w:t>
            </w:r>
          </w:p>
        </w:tc>
        <w:tc>
          <w:tcPr>
            <w:tcW w:w="1338" w:type="dxa"/>
            <w:tcBorders>
              <w:top w:val="nil"/>
              <w:left w:val="nil"/>
              <w:bottom w:val="single" w:sz="4" w:space="0" w:color="auto"/>
              <w:right w:val="single" w:sz="4" w:space="0" w:color="auto"/>
            </w:tcBorders>
            <w:shd w:val="clear" w:color="auto" w:fill="auto"/>
            <w:vAlign w:val="center"/>
            <w:hideMark/>
          </w:tcPr>
          <w:p w14:paraId="45A42436" w14:textId="77777777" w:rsidR="00120A66" w:rsidRPr="00890249" w:rsidRDefault="00120A66"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450DF605" w14:textId="77777777" w:rsidR="00120A66" w:rsidRPr="00890249" w:rsidRDefault="00120A66"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hideMark/>
          </w:tcPr>
          <w:p w14:paraId="43A405D1" w14:textId="77777777" w:rsidR="00120A66" w:rsidRPr="00890249" w:rsidRDefault="00120A66"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06800144" w14:textId="6692B5AC" w:rsidR="00120A66" w:rsidRPr="00890249" w:rsidRDefault="0069179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138 935 971</w:t>
            </w:r>
          </w:p>
        </w:tc>
        <w:tc>
          <w:tcPr>
            <w:tcW w:w="1144" w:type="dxa"/>
            <w:tcBorders>
              <w:top w:val="nil"/>
              <w:left w:val="nil"/>
              <w:bottom w:val="single" w:sz="4" w:space="0" w:color="auto"/>
              <w:right w:val="single" w:sz="4" w:space="0" w:color="auto"/>
            </w:tcBorders>
            <w:shd w:val="clear" w:color="auto" w:fill="auto"/>
            <w:noWrap/>
            <w:vAlign w:val="center"/>
            <w:hideMark/>
          </w:tcPr>
          <w:p w14:paraId="77BD351D" w14:textId="255072EF" w:rsidR="00120A66"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136 647 902</w:t>
            </w:r>
          </w:p>
        </w:tc>
        <w:tc>
          <w:tcPr>
            <w:tcW w:w="1071" w:type="dxa"/>
            <w:tcBorders>
              <w:top w:val="nil"/>
              <w:left w:val="nil"/>
              <w:bottom w:val="single" w:sz="4" w:space="0" w:color="auto"/>
              <w:right w:val="single" w:sz="4" w:space="0" w:color="auto"/>
            </w:tcBorders>
            <w:shd w:val="clear" w:color="auto" w:fill="auto"/>
            <w:noWrap/>
            <w:vAlign w:val="center"/>
            <w:hideMark/>
          </w:tcPr>
          <w:p w14:paraId="30AB8835" w14:textId="705B7258" w:rsidR="00120A66" w:rsidRPr="00890249" w:rsidRDefault="0069179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2 288 069</w:t>
            </w:r>
          </w:p>
        </w:tc>
        <w:tc>
          <w:tcPr>
            <w:tcW w:w="1069" w:type="dxa"/>
            <w:tcBorders>
              <w:top w:val="nil"/>
              <w:left w:val="nil"/>
              <w:bottom w:val="single" w:sz="4" w:space="0" w:color="auto"/>
              <w:right w:val="single" w:sz="4" w:space="0" w:color="auto"/>
            </w:tcBorders>
            <w:shd w:val="clear" w:color="auto" w:fill="auto"/>
            <w:noWrap/>
            <w:vAlign w:val="center"/>
            <w:hideMark/>
          </w:tcPr>
          <w:p w14:paraId="3F9517AB" w14:textId="7F3E99DE" w:rsidR="00120A66" w:rsidRPr="00890249" w:rsidRDefault="0069179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24 518 116</w:t>
            </w:r>
          </w:p>
        </w:tc>
        <w:tc>
          <w:tcPr>
            <w:tcW w:w="1069" w:type="dxa"/>
            <w:tcBorders>
              <w:top w:val="nil"/>
              <w:left w:val="nil"/>
              <w:bottom w:val="single" w:sz="4" w:space="0" w:color="auto"/>
              <w:right w:val="single" w:sz="4" w:space="0" w:color="auto"/>
            </w:tcBorders>
            <w:shd w:val="clear" w:color="auto" w:fill="auto"/>
            <w:noWrap/>
            <w:vAlign w:val="center"/>
            <w:hideMark/>
          </w:tcPr>
          <w:p w14:paraId="55B9E0B9" w14:textId="1FA1DC40" w:rsidR="00120A66" w:rsidRPr="00890249" w:rsidRDefault="0069179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17 844 150</w:t>
            </w:r>
          </w:p>
        </w:tc>
        <w:tc>
          <w:tcPr>
            <w:tcW w:w="1071" w:type="dxa"/>
            <w:tcBorders>
              <w:top w:val="nil"/>
              <w:left w:val="nil"/>
              <w:bottom w:val="single" w:sz="4" w:space="0" w:color="auto"/>
              <w:right w:val="single" w:sz="4" w:space="0" w:color="auto"/>
            </w:tcBorders>
            <w:shd w:val="clear" w:color="auto" w:fill="auto"/>
            <w:noWrap/>
            <w:vAlign w:val="center"/>
            <w:hideMark/>
          </w:tcPr>
          <w:p w14:paraId="56EEFEBC" w14:textId="1F8B4DCE" w:rsidR="00120A66" w:rsidRPr="00890249" w:rsidRDefault="0069179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6 673 966</w:t>
            </w:r>
          </w:p>
        </w:tc>
        <w:tc>
          <w:tcPr>
            <w:tcW w:w="1069" w:type="dxa"/>
            <w:tcBorders>
              <w:top w:val="nil"/>
              <w:left w:val="nil"/>
              <w:bottom w:val="single" w:sz="4" w:space="0" w:color="auto"/>
              <w:right w:val="single" w:sz="4" w:space="0" w:color="auto"/>
            </w:tcBorders>
            <w:shd w:val="clear" w:color="auto" w:fill="auto"/>
            <w:noWrap/>
            <w:vAlign w:val="center"/>
            <w:hideMark/>
          </w:tcPr>
          <w:p w14:paraId="29AF50DC" w14:textId="3E34A769" w:rsidR="00120A66" w:rsidRPr="00890249" w:rsidRDefault="0069179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163 454 087</w:t>
            </w:r>
          </w:p>
        </w:tc>
        <w:tc>
          <w:tcPr>
            <w:tcW w:w="1115" w:type="dxa"/>
            <w:tcBorders>
              <w:top w:val="nil"/>
              <w:left w:val="nil"/>
              <w:bottom w:val="single" w:sz="4" w:space="0" w:color="auto"/>
              <w:right w:val="single" w:sz="4" w:space="0" w:color="auto"/>
            </w:tcBorders>
            <w:shd w:val="clear" w:color="auto" w:fill="auto"/>
            <w:noWrap/>
            <w:vAlign w:val="center"/>
            <w:hideMark/>
          </w:tcPr>
          <w:p w14:paraId="45BDC43D" w14:textId="77777777" w:rsidR="00120A66" w:rsidRPr="00890249" w:rsidRDefault="00120A66"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120A66" w:rsidRPr="00890249" w14:paraId="7ED88E2F" w14:textId="77777777" w:rsidTr="00890249">
        <w:trPr>
          <w:trHeight w:val="533"/>
        </w:trPr>
        <w:tc>
          <w:tcPr>
            <w:tcW w:w="931" w:type="dxa"/>
            <w:vMerge/>
            <w:tcBorders>
              <w:left w:val="single" w:sz="4" w:space="0" w:color="auto"/>
              <w:bottom w:val="single" w:sz="4" w:space="0" w:color="auto"/>
              <w:right w:val="single" w:sz="4" w:space="0" w:color="auto"/>
            </w:tcBorders>
            <w:shd w:val="clear" w:color="auto" w:fill="auto"/>
            <w:noWrap/>
            <w:vAlign w:val="center"/>
          </w:tcPr>
          <w:p w14:paraId="4EB5CD0F" w14:textId="77777777" w:rsidR="00120A66" w:rsidRPr="00890249" w:rsidRDefault="00120A66" w:rsidP="00B57E08">
            <w:pPr>
              <w:spacing w:before="0" w:after="0"/>
              <w:jc w:val="center"/>
              <w:rPr>
                <w:rFonts w:asciiTheme="minorHAnsi" w:eastAsia="Times New Roman" w:hAnsiTheme="minorHAnsi" w:cstheme="minorHAnsi"/>
                <w:color w:val="000000"/>
                <w:sz w:val="16"/>
                <w:szCs w:val="16"/>
                <w:lang w:bidi="ar-SA"/>
              </w:rPr>
            </w:pPr>
          </w:p>
        </w:tc>
        <w:tc>
          <w:tcPr>
            <w:tcW w:w="1203" w:type="dxa"/>
            <w:tcBorders>
              <w:top w:val="nil"/>
              <w:left w:val="nil"/>
              <w:bottom w:val="single" w:sz="4" w:space="0" w:color="auto"/>
              <w:right w:val="single" w:sz="4" w:space="0" w:color="auto"/>
            </w:tcBorders>
            <w:shd w:val="clear" w:color="auto" w:fill="auto"/>
            <w:vAlign w:val="center"/>
          </w:tcPr>
          <w:p w14:paraId="2F888C85" w14:textId="713FDAB9" w:rsidR="00120A66" w:rsidRPr="00890249" w:rsidRDefault="0001216F" w:rsidP="00173C56">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3 </w:t>
            </w:r>
            <w:r w:rsidR="00173C56" w:rsidRPr="00890249">
              <w:rPr>
                <w:rFonts w:asciiTheme="minorHAnsi" w:hAnsiTheme="minorHAnsi" w:cstheme="minorHAnsi"/>
              </w:rPr>
              <w:t xml:space="preserve"> </w:t>
            </w:r>
            <w:r w:rsidR="00173C56" w:rsidRPr="00890249">
              <w:rPr>
                <w:rFonts w:asciiTheme="minorHAnsi" w:eastAsia="Times New Roman" w:hAnsiTheme="minorHAnsi" w:cstheme="minorHAnsi"/>
                <w:color w:val="000000"/>
                <w:sz w:val="16"/>
                <w:szCs w:val="16"/>
                <w:lang w:bidi="ar-SA"/>
              </w:rPr>
              <w:t xml:space="preserve">Fundusze Europejskie na zrównoważony transport </w:t>
            </w:r>
            <w:r w:rsidR="00173C56" w:rsidRPr="00890249">
              <w:rPr>
                <w:rFonts w:asciiTheme="minorHAnsi" w:eastAsia="Times New Roman" w:hAnsiTheme="minorHAnsi" w:cstheme="minorHAnsi"/>
                <w:color w:val="000000"/>
                <w:sz w:val="16"/>
                <w:szCs w:val="16"/>
                <w:lang w:bidi="ar-SA"/>
              </w:rPr>
              <w:lastRenderedPageBreak/>
              <w:t xml:space="preserve">miejski opolskiego </w:t>
            </w:r>
          </w:p>
        </w:tc>
        <w:tc>
          <w:tcPr>
            <w:tcW w:w="1338" w:type="dxa"/>
            <w:tcBorders>
              <w:top w:val="nil"/>
              <w:left w:val="nil"/>
              <w:bottom w:val="single" w:sz="4" w:space="0" w:color="auto"/>
              <w:right w:val="single" w:sz="4" w:space="0" w:color="auto"/>
            </w:tcBorders>
            <w:shd w:val="clear" w:color="auto" w:fill="auto"/>
            <w:vAlign w:val="center"/>
          </w:tcPr>
          <w:p w14:paraId="24839C84" w14:textId="77777777" w:rsidR="00120A66" w:rsidRPr="00890249" w:rsidRDefault="00120A66"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lastRenderedPageBreak/>
              <w:t>łączne koszty kwalifikowalne</w:t>
            </w:r>
          </w:p>
        </w:tc>
        <w:tc>
          <w:tcPr>
            <w:tcW w:w="1071" w:type="dxa"/>
            <w:tcBorders>
              <w:top w:val="nil"/>
              <w:left w:val="nil"/>
              <w:bottom w:val="single" w:sz="4" w:space="0" w:color="auto"/>
              <w:right w:val="single" w:sz="4" w:space="0" w:color="auto"/>
            </w:tcBorders>
            <w:shd w:val="clear" w:color="auto" w:fill="auto"/>
            <w:noWrap/>
            <w:vAlign w:val="center"/>
          </w:tcPr>
          <w:p w14:paraId="68183164" w14:textId="77777777" w:rsidR="00120A66" w:rsidRPr="00890249" w:rsidRDefault="00120A66"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tcPr>
          <w:p w14:paraId="032BC770" w14:textId="77777777" w:rsidR="00120A66" w:rsidRPr="00890249" w:rsidRDefault="00120A66"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tcPr>
          <w:p w14:paraId="418EBBB3" w14:textId="77777777" w:rsidR="00120A66" w:rsidRPr="00890249" w:rsidRDefault="00120A66"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120 500 000</w:t>
            </w:r>
          </w:p>
        </w:tc>
        <w:tc>
          <w:tcPr>
            <w:tcW w:w="1144" w:type="dxa"/>
            <w:tcBorders>
              <w:top w:val="nil"/>
              <w:left w:val="nil"/>
              <w:bottom w:val="single" w:sz="4" w:space="0" w:color="auto"/>
              <w:right w:val="single" w:sz="4" w:space="0" w:color="auto"/>
            </w:tcBorders>
            <w:shd w:val="clear" w:color="auto" w:fill="auto"/>
            <w:noWrap/>
            <w:vAlign w:val="center"/>
          </w:tcPr>
          <w:p w14:paraId="1BC39BB9" w14:textId="1FD695D8" w:rsidR="00120A66" w:rsidRPr="00890249" w:rsidRDefault="003A1D01" w:rsidP="00FC7921">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101 093 186</w:t>
            </w:r>
          </w:p>
        </w:tc>
        <w:tc>
          <w:tcPr>
            <w:tcW w:w="1071" w:type="dxa"/>
            <w:tcBorders>
              <w:top w:val="nil"/>
              <w:left w:val="nil"/>
              <w:bottom w:val="single" w:sz="4" w:space="0" w:color="auto"/>
              <w:right w:val="single" w:sz="4" w:space="0" w:color="auto"/>
            </w:tcBorders>
            <w:shd w:val="clear" w:color="auto" w:fill="auto"/>
            <w:noWrap/>
            <w:vAlign w:val="center"/>
          </w:tcPr>
          <w:p w14:paraId="3A39BC95" w14:textId="5A191CFB" w:rsidR="00120A66" w:rsidRPr="00890249" w:rsidRDefault="003A1D01"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19 406 814</w:t>
            </w:r>
          </w:p>
        </w:tc>
        <w:tc>
          <w:tcPr>
            <w:tcW w:w="1069" w:type="dxa"/>
            <w:tcBorders>
              <w:top w:val="nil"/>
              <w:left w:val="nil"/>
              <w:bottom w:val="single" w:sz="4" w:space="0" w:color="auto"/>
              <w:right w:val="single" w:sz="4" w:space="0" w:color="auto"/>
            </w:tcBorders>
            <w:shd w:val="clear" w:color="auto" w:fill="auto"/>
            <w:noWrap/>
            <w:vAlign w:val="center"/>
          </w:tcPr>
          <w:p w14:paraId="540478B1" w14:textId="77777777" w:rsidR="00120A66" w:rsidRPr="00890249" w:rsidRDefault="00120A66" w:rsidP="00FC7921">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21 264 706</w:t>
            </w:r>
          </w:p>
        </w:tc>
        <w:tc>
          <w:tcPr>
            <w:tcW w:w="1069" w:type="dxa"/>
            <w:tcBorders>
              <w:top w:val="nil"/>
              <w:left w:val="nil"/>
              <w:bottom w:val="single" w:sz="4" w:space="0" w:color="auto"/>
              <w:right w:val="single" w:sz="4" w:space="0" w:color="auto"/>
            </w:tcBorders>
            <w:shd w:val="clear" w:color="auto" w:fill="auto"/>
            <w:noWrap/>
            <w:vAlign w:val="center"/>
          </w:tcPr>
          <w:p w14:paraId="4A9712F7" w14:textId="1079AA38" w:rsidR="00120A66" w:rsidRPr="00890249" w:rsidRDefault="00A4527D"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14 885 294</w:t>
            </w:r>
          </w:p>
        </w:tc>
        <w:tc>
          <w:tcPr>
            <w:tcW w:w="1071" w:type="dxa"/>
            <w:tcBorders>
              <w:top w:val="nil"/>
              <w:left w:val="nil"/>
              <w:bottom w:val="single" w:sz="4" w:space="0" w:color="auto"/>
              <w:right w:val="single" w:sz="4" w:space="0" w:color="auto"/>
            </w:tcBorders>
            <w:shd w:val="clear" w:color="auto" w:fill="auto"/>
            <w:noWrap/>
            <w:vAlign w:val="center"/>
          </w:tcPr>
          <w:p w14:paraId="20BF6074" w14:textId="127A2E30" w:rsidR="00120A66" w:rsidRPr="00890249" w:rsidRDefault="00A4527D"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6 379 412</w:t>
            </w:r>
          </w:p>
        </w:tc>
        <w:tc>
          <w:tcPr>
            <w:tcW w:w="1069" w:type="dxa"/>
            <w:tcBorders>
              <w:top w:val="nil"/>
              <w:left w:val="nil"/>
              <w:bottom w:val="single" w:sz="4" w:space="0" w:color="auto"/>
              <w:right w:val="single" w:sz="4" w:space="0" w:color="auto"/>
            </w:tcBorders>
            <w:shd w:val="clear" w:color="auto" w:fill="auto"/>
            <w:noWrap/>
            <w:vAlign w:val="center"/>
          </w:tcPr>
          <w:p w14:paraId="68E409FF" w14:textId="77777777" w:rsidR="00120A66" w:rsidRPr="00890249" w:rsidRDefault="00120A66" w:rsidP="00FC7921">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141 764 706</w:t>
            </w:r>
          </w:p>
        </w:tc>
        <w:tc>
          <w:tcPr>
            <w:tcW w:w="1115" w:type="dxa"/>
            <w:tcBorders>
              <w:top w:val="nil"/>
              <w:left w:val="nil"/>
              <w:bottom w:val="single" w:sz="4" w:space="0" w:color="auto"/>
              <w:right w:val="single" w:sz="4" w:space="0" w:color="auto"/>
            </w:tcBorders>
            <w:shd w:val="clear" w:color="auto" w:fill="auto"/>
            <w:noWrap/>
            <w:vAlign w:val="center"/>
          </w:tcPr>
          <w:p w14:paraId="0F605CE6" w14:textId="77777777" w:rsidR="00120A66" w:rsidRPr="00890249" w:rsidRDefault="00120A66"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B57E08" w:rsidRPr="00890249" w14:paraId="18272120" w14:textId="77777777" w:rsidTr="00A0615B">
        <w:trPr>
          <w:trHeight w:val="802"/>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54D3AED6" w14:textId="77777777" w:rsidR="00B57E08" w:rsidRPr="00890249" w:rsidRDefault="00B57E08" w:rsidP="00B57E08">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CP 3</w:t>
            </w:r>
          </w:p>
        </w:tc>
        <w:tc>
          <w:tcPr>
            <w:tcW w:w="1203" w:type="dxa"/>
            <w:tcBorders>
              <w:top w:val="nil"/>
              <w:left w:val="nil"/>
              <w:bottom w:val="single" w:sz="4" w:space="0" w:color="auto"/>
              <w:right w:val="single" w:sz="4" w:space="0" w:color="auto"/>
            </w:tcBorders>
            <w:shd w:val="clear" w:color="auto" w:fill="auto"/>
            <w:vAlign w:val="center"/>
            <w:hideMark/>
          </w:tcPr>
          <w:p w14:paraId="57E73B0E" w14:textId="6C1D6093" w:rsidR="00B57E08" w:rsidRPr="00890249" w:rsidRDefault="0001216F" w:rsidP="00173C56">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4 </w:t>
            </w:r>
            <w:r w:rsidR="00173C56" w:rsidRPr="00890249">
              <w:rPr>
                <w:rFonts w:asciiTheme="minorHAnsi" w:eastAsia="Times New Roman" w:hAnsiTheme="minorHAnsi" w:cstheme="minorHAnsi"/>
                <w:color w:val="000000"/>
                <w:sz w:val="16"/>
                <w:szCs w:val="16"/>
                <w:lang w:bidi="ar-SA"/>
              </w:rPr>
              <w:t>Fundusze Europejskie na rzecz spójności i dostępności komunikacyjnej opolskiego</w:t>
            </w:r>
          </w:p>
        </w:tc>
        <w:tc>
          <w:tcPr>
            <w:tcW w:w="1338" w:type="dxa"/>
            <w:tcBorders>
              <w:top w:val="nil"/>
              <w:left w:val="nil"/>
              <w:bottom w:val="single" w:sz="4" w:space="0" w:color="auto"/>
              <w:right w:val="single" w:sz="4" w:space="0" w:color="auto"/>
            </w:tcBorders>
            <w:shd w:val="clear" w:color="auto" w:fill="auto"/>
            <w:vAlign w:val="center"/>
            <w:hideMark/>
          </w:tcPr>
          <w:p w14:paraId="5CD176D4" w14:textId="77777777" w:rsidR="00B57E08" w:rsidRPr="00890249" w:rsidRDefault="00B57E08"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6AC88EAF" w14:textId="77777777" w:rsidR="00B57E08" w:rsidRPr="00890249" w:rsidRDefault="00B57E08"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hideMark/>
          </w:tcPr>
          <w:p w14:paraId="2B16D074" w14:textId="77777777" w:rsidR="00B57E08" w:rsidRPr="00890249" w:rsidRDefault="00B57E08"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2547B5CE" w14:textId="77777777" w:rsidR="00B57E08" w:rsidRPr="00890249" w:rsidRDefault="00B57E08"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117 700 000</w:t>
            </w:r>
          </w:p>
        </w:tc>
        <w:tc>
          <w:tcPr>
            <w:tcW w:w="1144" w:type="dxa"/>
            <w:tcBorders>
              <w:top w:val="nil"/>
              <w:left w:val="nil"/>
              <w:bottom w:val="single" w:sz="4" w:space="0" w:color="auto"/>
              <w:right w:val="single" w:sz="4" w:space="0" w:color="auto"/>
            </w:tcBorders>
            <w:shd w:val="clear" w:color="auto" w:fill="auto"/>
            <w:noWrap/>
            <w:vAlign w:val="center"/>
            <w:hideMark/>
          </w:tcPr>
          <w:p w14:paraId="4B165423" w14:textId="5C1FFF55" w:rsidR="00B57E08" w:rsidRPr="00890249" w:rsidRDefault="003A1D01"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98 744 134</w:t>
            </w:r>
          </w:p>
        </w:tc>
        <w:tc>
          <w:tcPr>
            <w:tcW w:w="1071" w:type="dxa"/>
            <w:tcBorders>
              <w:top w:val="nil"/>
              <w:left w:val="nil"/>
              <w:bottom w:val="single" w:sz="4" w:space="0" w:color="auto"/>
              <w:right w:val="single" w:sz="4" w:space="0" w:color="auto"/>
            </w:tcBorders>
            <w:shd w:val="clear" w:color="auto" w:fill="auto"/>
            <w:noWrap/>
            <w:vAlign w:val="center"/>
            <w:hideMark/>
          </w:tcPr>
          <w:p w14:paraId="32A69450" w14:textId="755C368A" w:rsidR="00B57E08" w:rsidRPr="00890249" w:rsidRDefault="003A1D01"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18 955 866</w:t>
            </w:r>
          </w:p>
        </w:tc>
        <w:tc>
          <w:tcPr>
            <w:tcW w:w="1069" w:type="dxa"/>
            <w:tcBorders>
              <w:top w:val="nil"/>
              <w:left w:val="nil"/>
              <w:bottom w:val="single" w:sz="4" w:space="0" w:color="auto"/>
              <w:right w:val="single" w:sz="4" w:space="0" w:color="auto"/>
            </w:tcBorders>
            <w:shd w:val="clear" w:color="auto" w:fill="auto"/>
            <w:noWrap/>
            <w:vAlign w:val="center"/>
            <w:hideMark/>
          </w:tcPr>
          <w:p w14:paraId="3B94937C" w14:textId="28931E24" w:rsidR="00B57E08" w:rsidRPr="00890249" w:rsidRDefault="00A4527D"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20 770 590</w:t>
            </w:r>
          </w:p>
        </w:tc>
        <w:tc>
          <w:tcPr>
            <w:tcW w:w="1069" w:type="dxa"/>
            <w:tcBorders>
              <w:top w:val="nil"/>
              <w:left w:val="nil"/>
              <w:bottom w:val="single" w:sz="4" w:space="0" w:color="auto"/>
              <w:right w:val="single" w:sz="4" w:space="0" w:color="auto"/>
            </w:tcBorders>
            <w:shd w:val="clear" w:color="auto" w:fill="auto"/>
            <w:noWrap/>
            <w:vAlign w:val="center"/>
            <w:hideMark/>
          </w:tcPr>
          <w:p w14:paraId="4DEACE64" w14:textId="2177C5D6" w:rsidR="00B57E08" w:rsidRPr="00890249" w:rsidRDefault="00A4527D"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19 888 237</w:t>
            </w:r>
          </w:p>
        </w:tc>
        <w:tc>
          <w:tcPr>
            <w:tcW w:w="1071" w:type="dxa"/>
            <w:tcBorders>
              <w:top w:val="nil"/>
              <w:left w:val="nil"/>
              <w:bottom w:val="single" w:sz="4" w:space="0" w:color="auto"/>
              <w:right w:val="single" w:sz="4" w:space="0" w:color="auto"/>
            </w:tcBorders>
            <w:shd w:val="clear" w:color="auto" w:fill="auto"/>
            <w:noWrap/>
            <w:vAlign w:val="center"/>
            <w:hideMark/>
          </w:tcPr>
          <w:p w14:paraId="43FCC412" w14:textId="0AED5D57" w:rsidR="00B57E08" w:rsidRPr="00890249" w:rsidRDefault="00A4527D"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882 353</w:t>
            </w:r>
          </w:p>
        </w:tc>
        <w:tc>
          <w:tcPr>
            <w:tcW w:w="1069" w:type="dxa"/>
            <w:tcBorders>
              <w:top w:val="nil"/>
              <w:left w:val="nil"/>
              <w:bottom w:val="single" w:sz="4" w:space="0" w:color="auto"/>
              <w:right w:val="single" w:sz="4" w:space="0" w:color="auto"/>
            </w:tcBorders>
            <w:shd w:val="clear" w:color="auto" w:fill="auto"/>
            <w:noWrap/>
            <w:vAlign w:val="center"/>
            <w:hideMark/>
          </w:tcPr>
          <w:p w14:paraId="52FAB60A" w14:textId="61A56DF4" w:rsidR="00B57E08" w:rsidRPr="00890249" w:rsidRDefault="00A4527D"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138 470 590</w:t>
            </w:r>
          </w:p>
        </w:tc>
        <w:tc>
          <w:tcPr>
            <w:tcW w:w="1115" w:type="dxa"/>
            <w:tcBorders>
              <w:top w:val="nil"/>
              <w:left w:val="nil"/>
              <w:bottom w:val="single" w:sz="4" w:space="0" w:color="auto"/>
              <w:right w:val="single" w:sz="4" w:space="0" w:color="auto"/>
            </w:tcBorders>
            <w:shd w:val="clear" w:color="auto" w:fill="auto"/>
            <w:noWrap/>
            <w:vAlign w:val="center"/>
            <w:hideMark/>
          </w:tcPr>
          <w:p w14:paraId="77266CC1" w14:textId="77777777" w:rsidR="00B57E08" w:rsidRPr="00890249" w:rsidRDefault="00B57E08"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C6AF0" w:rsidRPr="00890249" w14:paraId="7909981B" w14:textId="77777777" w:rsidTr="005C6AF0">
        <w:trPr>
          <w:trHeight w:val="606"/>
        </w:trPr>
        <w:tc>
          <w:tcPr>
            <w:tcW w:w="931" w:type="dxa"/>
            <w:vMerge w:val="restart"/>
            <w:tcBorders>
              <w:top w:val="nil"/>
              <w:left w:val="single" w:sz="4" w:space="0" w:color="auto"/>
              <w:right w:val="single" w:sz="4" w:space="0" w:color="auto"/>
            </w:tcBorders>
            <w:shd w:val="clear" w:color="auto" w:fill="auto"/>
            <w:noWrap/>
            <w:vAlign w:val="center"/>
            <w:hideMark/>
          </w:tcPr>
          <w:p w14:paraId="302E8997" w14:textId="77777777" w:rsidR="005C6AF0" w:rsidRPr="00890249" w:rsidRDefault="005C6AF0" w:rsidP="00B57E08">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CP 4</w:t>
            </w:r>
          </w:p>
        </w:tc>
        <w:tc>
          <w:tcPr>
            <w:tcW w:w="1203" w:type="dxa"/>
            <w:tcBorders>
              <w:top w:val="nil"/>
              <w:left w:val="nil"/>
              <w:bottom w:val="single" w:sz="4" w:space="0" w:color="auto"/>
              <w:right w:val="single" w:sz="4" w:space="0" w:color="auto"/>
            </w:tcBorders>
            <w:shd w:val="clear" w:color="auto" w:fill="auto"/>
            <w:vAlign w:val="center"/>
            <w:hideMark/>
          </w:tcPr>
          <w:p w14:paraId="04612BD8" w14:textId="2278268C" w:rsidR="005C6AF0" w:rsidRPr="00890249" w:rsidRDefault="005C6AF0" w:rsidP="008B081F">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5 </w:t>
            </w:r>
            <w:r w:rsidR="008B081F" w:rsidRPr="00890249">
              <w:rPr>
                <w:rFonts w:asciiTheme="minorHAnsi" w:eastAsia="Times New Roman" w:hAnsiTheme="minorHAnsi" w:cstheme="minorHAnsi"/>
                <w:color w:val="000000"/>
                <w:sz w:val="16"/>
                <w:szCs w:val="16"/>
                <w:lang w:bidi="ar-SA"/>
              </w:rPr>
              <w:t>Fundusze Europejskie wspierające Opolski rynek pracy i edukację</w:t>
            </w:r>
          </w:p>
        </w:tc>
        <w:tc>
          <w:tcPr>
            <w:tcW w:w="1338" w:type="dxa"/>
            <w:tcBorders>
              <w:top w:val="nil"/>
              <w:left w:val="nil"/>
              <w:bottom w:val="single" w:sz="4" w:space="0" w:color="auto"/>
              <w:right w:val="single" w:sz="4" w:space="0" w:color="auto"/>
            </w:tcBorders>
            <w:shd w:val="clear" w:color="auto" w:fill="auto"/>
            <w:vAlign w:val="center"/>
            <w:hideMark/>
          </w:tcPr>
          <w:p w14:paraId="1EDBA39C" w14:textId="77777777" w:rsidR="005C6AF0" w:rsidRPr="00890249" w:rsidRDefault="005C6AF0"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6B205C9B" w14:textId="77777777" w:rsidR="005C6AF0" w:rsidRPr="00890249" w:rsidRDefault="005C6AF0"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EFS+</w:t>
            </w:r>
          </w:p>
        </w:tc>
        <w:tc>
          <w:tcPr>
            <w:tcW w:w="1305" w:type="dxa"/>
            <w:tcBorders>
              <w:top w:val="nil"/>
              <w:left w:val="nil"/>
              <w:bottom w:val="single" w:sz="4" w:space="0" w:color="auto"/>
              <w:right w:val="single" w:sz="4" w:space="0" w:color="auto"/>
            </w:tcBorders>
            <w:shd w:val="clear" w:color="auto" w:fill="auto"/>
            <w:vAlign w:val="center"/>
            <w:hideMark/>
          </w:tcPr>
          <w:p w14:paraId="538D8458" w14:textId="77777777" w:rsidR="005C6AF0" w:rsidRPr="00890249" w:rsidRDefault="005C6AF0" w:rsidP="00B57E08">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771AFC4E" w14:textId="01C51BB0" w:rsidR="005C6AF0"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121 320 000</w:t>
            </w:r>
          </w:p>
        </w:tc>
        <w:tc>
          <w:tcPr>
            <w:tcW w:w="1144" w:type="dxa"/>
            <w:tcBorders>
              <w:top w:val="nil"/>
              <w:left w:val="nil"/>
              <w:bottom w:val="single" w:sz="4" w:space="0" w:color="auto"/>
              <w:right w:val="single" w:sz="4" w:space="0" w:color="auto"/>
            </w:tcBorders>
            <w:shd w:val="clear" w:color="auto" w:fill="auto"/>
            <w:noWrap/>
            <w:vAlign w:val="center"/>
            <w:hideMark/>
          </w:tcPr>
          <w:p w14:paraId="614E4275" w14:textId="01C3F034" w:rsidR="005C6AF0"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121 320 000</w:t>
            </w:r>
          </w:p>
        </w:tc>
        <w:tc>
          <w:tcPr>
            <w:tcW w:w="1071" w:type="dxa"/>
            <w:tcBorders>
              <w:top w:val="nil"/>
              <w:left w:val="nil"/>
              <w:bottom w:val="single" w:sz="4" w:space="0" w:color="auto"/>
              <w:right w:val="single" w:sz="4" w:space="0" w:color="auto"/>
            </w:tcBorders>
            <w:shd w:val="clear" w:color="auto" w:fill="auto"/>
            <w:noWrap/>
            <w:vAlign w:val="center"/>
            <w:hideMark/>
          </w:tcPr>
          <w:p w14:paraId="125861BE" w14:textId="54E2B663" w:rsidR="005C6AF0" w:rsidRPr="00890249" w:rsidRDefault="00FC2319" w:rsidP="00B57E08">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0</w:t>
            </w:r>
          </w:p>
        </w:tc>
        <w:tc>
          <w:tcPr>
            <w:tcW w:w="1069" w:type="dxa"/>
            <w:tcBorders>
              <w:top w:val="nil"/>
              <w:left w:val="nil"/>
              <w:bottom w:val="single" w:sz="4" w:space="0" w:color="auto"/>
              <w:right w:val="single" w:sz="4" w:space="0" w:color="auto"/>
            </w:tcBorders>
            <w:shd w:val="clear" w:color="auto" w:fill="auto"/>
            <w:noWrap/>
            <w:vAlign w:val="center"/>
            <w:hideMark/>
          </w:tcPr>
          <w:p w14:paraId="63AA6454" w14:textId="187BC6FC" w:rsidR="005C6AF0"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21 409 422</w:t>
            </w:r>
          </w:p>
        </w:tc>
        <w:tc>
          <w:tcPr>
            <w:tcW w:w="1069" w:type="dxa"/>
            <w:tcBorders>
              <w:top w:val="nil"/>
              <w:left w:val="nil"/>
              <w:bottom w:val="single" w:sz="4" w:space="0" w:color="auto"/>
              <w:right w:val="single" w:sz="4" w:space="0" w:color="auto"/>
            </w:tcBorders>
            <w:shd w:val="clear" w:color="auto" w:fill="auto"/>
            <w:noWrap/>
            <w:vAlign w:val="center"/>
            <w:hideMark/>
          </w:tcPr>
          <w:p w14:paraId="1AD7CE19" w14:textId="5F8D6745" w:rsidR="005C6AF0"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19 510 243</w:t>
            </w:r>
          </w:p>
        </w:tc>
        <w:tc>
          <w:tcPr>
            <w:tcW w:w="1071" w:type="dxa"/>
            <w:tcBorders>
              <w:top w:val="nil"/>
              <w:left w:val="nil"/>
              <w:bottom w:val="single" w:sz="4" w:space="0" w:color="auto"/>
              <w:right w:val="single" w:sz="4" w:space="0" w:color="auto"/>
            </w:tcBorders>
            <w:shd w:val="clear" w:color="auto" w:fill="auto"/>
            <w:noWrap/>
            <w:vAlign w:val="center"/>
            <w:hideMark/>
          </w:tcPr>
          <w:p w14:paraId="640A57EB" w14:textId="4EBFA4F9" w:rsidR="005C6AF0"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1 899 179</w:t>
            </w:r>
          </w:p>
        </w:tc>
        <w:tc>
          <w:tcPr>
            <w:tcW w:w="1069" w:type="dxa"/>
            <w:tcBorders>
              <w:top w:val="nil"/>
              <w:left w:val="nil"/>
              <w:bottom w:val="single" w:sz="4" w:space="0" w:color="auto"/>
              <w:right w:val="single" w:sz="4" w:space="0" w:color="auto"/>
            </w:tcBorders>
            <w:shd w:val="clear" w:color="auto" w:fill="auto"/>
            <w:noWrap/>
            <w:vAlign w:val="center"/>
            <w:hideMark/>
          </w:tcPr>
          <w:p w14:paraId="7BDBAD1B" w14:textId="2928B54E" w:rsidR="005C6AF0"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142 729 422</w:t>
            </w:r>
          </w:p>
        </w:tc>
        <w:tc>
          <w:tcPr>
            <w:tcW w:w="1115" w:type="dxa"/>
            <w:tcBorders>
              <w:top w:val="nil"/>
              <w:left w:val="nil"/>
              <w:bottom w:val="single" w:sz="4" w:space="0" w:color="auto"/>
              <w:right w:val="single" w:sz="4" w:space="0" w:color="auto"/>
            </w:tcBorders>
            <w:shd w:val="clear" w:color="auto" w:fill="auto"/>
            <w:noWrap/>
            <w:vAlign w:val="center"/>
            <w:hideMark/>
          </w:tcPr>
          <w:p w14:paraId="358CE3BD" w14:textId="77777777" w:rsidR="005C6AF0" w:rsidRPr="00890249" w:rsidRDefault="005C6AF0" w:rsidP="00B57E08">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53CAB9AC" w14:textId="77777777" w:rsidTr="005C6AF0">
        <w:trPr>
          <w:trHeight w:val="606"/>
        </w:trPr>
        <w:tc>
          <w:tcPr>
            <w:tcW w:w="931" w:type="dxa"/>
            <w:vMerge/>
            <w:tcBorders>
              <w:top w:val="nil"/>
              <w:left w:val="single" w:sz="4" w:space="0" w:color="auto"/>
              <w:right w:val="single" w:sz="4" w:space="0" w:color="auto"/>
            </w:tcBorders>
            <w:shd w:val="clear" w:color="auto" w:fill="auto"/>
            <w:noWrap/>
            <w:vAlign w:val="center"/>
          </w:tcPr>
          <w:p w14:paraId="001D4AD5"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p>
        </w:tc>
        <w:tc>
          <w:tcPr>
            <w:tcW w:w="1203" w:type="dxa"/>
            <w:tcBorders>
              <w:top w:val="nil"/>
              <w:left w:val="nil"/>
              <w:bottom w:val="single" w:sz="4" w:space="0" w:color="auto"/>
              <w:right w:val="single" w:sz="4" w:space="0" w:color="auto"/>
            </w:tcBorders>
            <w:shd w:val="clear" w:color="auto" w:fill="auto"/>
            <w:vAlign w:val="center"/>
          </w:tcPr>
          <w:p w14:paraId="7ECC8D24"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6 Fundusze Europejskie wspierające włączenie społeczne w Opolskim</w:t>
            </w:r>
          </w:p>
        </w:tc>
        <w:tc>
          <w:tcPr>
            <w:tcW w:w="1338" w:type="dxa"/>
            <w:tcBorders>
              <w:top w:val="nil"/>
              <w:left w:val="nil"/>
              <w:bottom w:val="single" w:sz="4" w:space="0" w:color="auto"/>
              <w:right w:val="single" w:sz="4" w:space="0" w:color="auto"/>
            </w:tcBorders>
            <w:shd w:val="clear" w:color="auto" w:fill="auto"/>
            <w:vAlign w:val="center"/>
          </w:tcPr>
          <w:p w14:paraId="084F8E07"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tcPr>
          <w:p w14:paraId="6F084C47"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EFS+</w:t>
            </w:r>
          </w:p>
        </w:tc>
        <w:tc>
          <w:tcPr>
            <w:tcW w:w="1305" w:type="dxa"/>
            <w:tcBorders>
              <w:top w:val="nil"/>
              <w:left w:val="nil"/>
              <w:bottom w:val="single" w:sz="4" w:space="0" w:color="auto"/>
              <w:right w:val="single" w:sz="4" w:space="0" w:color="auto"/>
            </w:tcBorders>
            <w:shd w:val="clear" w:color="auto" w:fill="auto"/>
            <w:vAlign w:val="center"/>
          </w:tcPr>
          <w:p w14:paraId="2C63204D"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tcPr>
          <w:p w14:paraId="71DB0203" w14:textId="19C04ACE"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41 000 000</w:t>
            </w:r>
          </w:p>
        </w:tc>
        <w:tc>
          <w:tcPr>
            <w:tcW w:w="1144" w:type="dxa"/>
            <w:tcBorders>
              <w:top w:val="nil"/>
              <w:left w:val="nil"/>
              <w:bottom w:val="single" w:sz="4" w:space="0" w:color="auto"/>
              <w:right w:val="single" w:sz="4" w:space="0" w:color="auto"/>
            </w:tcBorders>
            <w:shd w:val="clear" w:color="auto" w:fill="auto"/>
            <w:noWrap/>
            <w:vAlign w:val="center"/>
          </w:tcPr>
          <w:p w14:paraId="79E91756" w14:textId="5582BAC0"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41 000 000</w:t>
            </w:r>
          </w:p>
        </w:tc>
        <w:tc>
          <w:tcPr>
            <w:tcW w:w="1071" w:type="dxa"/>
            <w:tcBorders>
              <w:top w:val="nil"/>
              <w:left w:val="nil"/>
              <w:bottom w:val="single" w:sz="4" w:space="0" w:color="auto"/>
              <w:right w:val="single" w:sz="4" w:space="0" w:color="auto"/>
            </w:tcBorders>
            <w:shd w:val="clear" w:color="auto" w:fill="auto"/>
            <w:noWrap/>
            <w:vAlign w:val="center"/>
          </w:tcPr>
          <w:p w14:paraId="7E312DF5" w14:textId="13434A78" w:rsidR="00570C57" w:rsidRPr="00890249" w:rsidRDefault="000D6A11"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0</w:t>
            </w:r>
          </w:p>
        </w:tc>
        <w:tc>
          <w:tcPr>
            <w:tcW w:w="1069" w:type="dxa"/>
            <w:tcBorders>
              <w:top w:val="nil"/>
              <w:left w:val="nil"/>
              <w:bottom w:val="single" w:sz="4" w:space="0" w:color="auto"/>
              <w:right w:val="single" w:sz="4" w:space="0" w:color="auto"/>
            </w:tcBorders>
            <w:shd w:val="clear" w:color="auto" w:fill="auto"/>
            <w:noWrap/>
            <w:vAlign w:val="center"/>
          </w:tcPr>
          <w:p w14:paraId="3FBD099D" w14:textId="178CA00F" w:rsidR="00570C57" w:rsidRPr="00890249" w:rsidRDefault="000D6A11"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7 235 295</w:t>
            </w:r>
          </w:p>
        </w:tc>
        <w:tc>
          <w:tcPr>
            <w:tcW w:w="1069" w:type="dxa"/>
            <w:tcBorders>
              <w:top w:val="nil"/>
              <w:left w:val="nil"/>
              <w:bottom w:val="single" w:sz="4" w:space="0" w:color="auto"/>
              <w:right w:val="single" w:sz="4" w:space="0" w:color="auto"/>
            </w:tcBorders>
            <w:shd w:val="clear" w:color="auto" w:fill="auto"/>
            <w:noWrap/>
            <w:vAlign w:val="center"/>
          </w:tcPr>
          <w:p w14:paraId="52269E61" w14:textId="08E51759" w:rsidR="00570C57" w:rsidRPr="00890249" w:rsidRDefault="000D6A11"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6 511 766</w:t>
            </w:r>
          </w:p>
        </w:tc>
        <w:tc>
          <w:tcPr>
            <w:tcW w:w="1071" w:type="dxa"/>
            <w:tcBorders>
              <w:top w:val="nil"/>
              <w:left w:val="nil"/>
              <w:bottom w:val="single" w:sz="4" w:space="0" w:color="auto"/>
              <w:right w:val="single" w:sz="4" w:space="0" w:color="auto"/>
            </w:tcBorders>
            <w:shd w:val="clear" w:color="auto" w:fill="auto"/>
            <w:noWrap/>
            <w:vAlign w:val="center"/>
          </w:tcPr>
          <w:p w14:paraId="2E96E0FB" w14:textId="57BD7823" w:rsidR="00570C57" w:rsidRPr="00890249" w:rsidRDefault="000D6A11"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723 529</w:t>
            </w:r>
          </w:p>
        </w:tc>
        <w:tc>
          <w:tcPr>
            <w:tcW w:w="1069" w:type="dxa"/>
            <w:tcBorders>
              <w:top w:val="nil"/>
              <w:left w:val="nil"/>
              <w:bottom w:val="single" w:sz="4" w:space="0" w:color="auto"/>
              <w:right w:val="single" w:sz="4" w:space="0" w:color="auto"/>
            </w:tcBorders>
            <w:shd w:val="clear" w:color="auto" w:fill="auto"/>
            <w:noWrap/>
            <w:vAlign w:val="center"/>
          </w:tcPr>
          <w:p w14:paraId="6D41CCAE" w14:textId="1AB6C982" w:rsidR="00570C57" w:rsidRPr="00890249" w:rsidRDefault="000D6A11"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48 235 295</w:t>
            </w:r>
          </w:p>
        </w:tc>
        <w:tc>
          <w:tcPr>
            <w:tcW w:w="1115" w:type="dxa"/>
            <w:tcBorders>
              <w:top w:val="nil"/>
              <w:left w:val="nil"/>
              <w:bottom w:val="single" w:sz="4" w:space="0" w:color="auto"/>
              <w:right w:val="single" w:sz="4" w:space="0" w:color="auto"/>
            </w:tcBorders>
            <w:shd w:val="clear" w:color="auto" w:fill="auto"/>
            <w:noWrap/>
            <w:vAlign w:val="center"/>
          </w:tcPr>
          <w:p w14:paraId="105624B4" w14:textId="77777777" w:rsidR="00570C57" w:rsidRPr="00890249" w:rsidRDefault="0094531C"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5AC63D7E" w14:textId="77777777" w:rsidTr="005C6AF0">
        <w:trPr>
          <w:trHeight w:val="606"/>
        </w:trPr>
        <w:tc>
          <w:tcPr>
            <w:tcW w:w="931" w:type="dxa"/>
            <w:vMerge/>
            <w:tcBorders>
              <w:top w:val="nil"/>
              <w:left w:val="single" w:sz="4" w:space="0" w:color="auto"/>
              <w:right w:val="single" w:sz="4" w:space="0" w:color="auto"/>
            </w:tcBorders>
            <w:shd w:val="clear" w:color="auto" w:fill="auto"/>
            <w:noWrap/>
            <w:vAlign w:val="center"/>
          </w:tcPr>
          <w:p w14:paraId="2341E2BD"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p>
        </w:tc>
        <w:tc>
          <w:tcPr>
            <w:tcW w:w="1203" w:type="dxa"/>
            <w:tcBorders>
              <w:top w:val="nil"/>
              <w:left w:val="nil"/>
              <w:bottom w:val="single" w:sz="4" w:space="0" w:color="auto"/>
              <w:right w:val="single" w:sz="4" w:space="0" w:color="auto"/>
            </w:tcBorders>
            <w:shd w:val="clear" w:color="auto" w:fill="auto"/>
            <w:vAlign w:val="center"/>
          </w:tcPr>
          <w:p w14:paraId="31A42BAD"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7 Fundusze Europejskie  wspierające usługi społeczne i zdrowotne w Opolskim</w:t>
            </w:r>
          </w:p>
        </w:tc>
        <w:tc>
          <w:tcPr>
            <w:tcW w:w="1338" w:type="dxa"/>
            <w:tcBorders>
              <w:top w:val="nil"/>
              <w:left w:val="nil"/>
              <w:bottom w:val="single" w:sz="4" w:space="0" w:color="auto"/>
              <w:right w:val="single" w:sz="4" w:space="0" w:color="auto"/>
            </w:tcBorders>
            <w:shd w:val="clear" w:color="auto" w:fill="auto"/>
            <w:vAlign w:val="center"/>
          </w:tcPr>
          <w:p w14:paraId="022C5C79"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tcPr>
          <w:p w14:paraId="7AE45283"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EFS+</w:t>
            </w:r>
          </w:p>
        </w:tc>
        <w:tc>
          <w:tcPr>
            <w:tcW w:w="1305" w:type="dxa"/>
            <w:tcBorders>
              <w:top w:val="nil"/>
              <w:left w:val="nil"/>
              <w:bottom w:val="single" w:sz="4" w:space="0" w:color="auto"/>
              <w:right w:val="single" w:sz="4" w:space="0" w:color="auto"/>
            </w:tcBorders>
            <w:shd w:val="clear" w:color="auto" w:fill="auto"/>
            <w:vAlign w:val="center"/>
          </w:tcPr>
          <w:p w14:paraId="243E7384"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tcPr>
          <w:p w14:paraId="0AE2462E" w14:textId="2127BFF6"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57 217 734</w:t>
            </w:r>
          </w:p>
        </w:tc>
        <w:tc>
          <w:tcPr>
            <w:tcW w:w="1144" w:type="dxa"/>
            <w:tcBorders>
              <w:top w:val="nil"/>
              <w:left w:val="nil"/>
              <w:bottom w:val="single" w:sz="4" w:space="0" w:color="auto"/>
              <w:right w:val="single" w:sz="4" w:space="0" w:color="auto"/>
            </w:tcBorders>
            <w:shd w:val="clear" w:color="auto" w:fill="auto"/>
            <w:noWrap/>
            <w:vAlign w:val="center"/>
          </w:tcPr>
          <w:p w14:paraId="25AB012B" w14:textId="0CFBF20C" w:rsidR="00570C57" w:rsidRPr="00890249" w:rsidRDefault="00FC2319">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48 551 689</w:t>
            </w:r>
          </w:p>
        </w:tc>
        <w:tc>
          <w:tcPr>
            <w:tcW w:w="1071" w:type="dxa"/>
            <w:tcBorders>
              <w:top w:val="nil"/>
              <w:left w:val="nil"/>
              <w:bottom w:val="single" w:sz="4" w:space="0" w:color="auto"/>
              <w:right w:val="single" w:sz="4" w:space="0" w:color="auto"/>
            </w:tcBorders>
            <w:shd w:val="clear" w:color="auto" w:fill="auto"/>
            <w:noWrap/>
            <w:vAlign w:val="center"/>
          </w:tcPr>
          <w:p w14:paraId="2C5899C7" w14:textId="5A3B8C17" w:rsidR="00C0555B"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8 666 045</w:t>
            </w:r>
          </w:p>
        </w:tc>
        <w:tc>
          <w:tcPr>
            <w:tcW w:w="1069" w:type="dxa"/>
            <w:tcBorders>
              <w:top w:val="nil"/>
              <w:left w:val="nil"/>
              <w:bottom w:val="single" w:sz="4" w:space="0" w:color="auto"/>
              <w:right w:val="single" w:sz="4" w:space="0" w:color="auto"/>
            </w:tcBorders>
            <w:shd w:val="clear" w:color="auto" w:fill="auto"/>
            <w:noWrap/>
            <w:vAlign w:val="center"/>
          </w:tcPr>
          <w:p w14:paraId="5E1021E3" w14:textId="397A39F4"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10 097 248</w:t>
            </w:r>
          </w:p>
        </w:tc>
        <w:tc>
          <w:tcPr>
            <w:tcW w:w="1069" w:type="dxa"/>
            <w:tcBorders>
              <w:top w:val="nil"/>
              <w:left w:val="nil"/>
              <w:bottom w:val="single" w:sz="4" w:space="0" w:color="auto"/>
              <w:right w:val="single" w:sz="4" w:space="0" w:color="auto"/>
            </w:tcBorders>
            <w:shd w:val="clear" w:color="auto" w:fill="auto"/>
            <w:noWrap/>
            <w:vAlign w:val="center"/>
          </w:tcPr>
          <w:p w14:paraId="2BF0DCF4" w14:textId="210E1930"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7 068 074</w:t>
            </w:r>
          </w:p>
        </w:tc>
        <w:tc>
          <w:tcPr>
            <w:tcW w:w="1071" w:type="dxa"/>
            <w:tcBorders>
              <w:top w:val="nil"/>
              <w:left w:val="nil"/>
              <w:bottom w:val="single" w:sz="4" w:space="0" w:color="auto"/>
              <w:right w:val="single" w:sz="4" w:space="0" w:color="auto"/>
            </w:tcBorders>
            <w:shd w:val="clear" w:color="auto" w:fill="auto"/>
            <w:noWrap/>
            <w:vAlign w:val="center"/>
          </w:tcPr>
          <w:p w14:paraId="52594E29" w14:textId="34E90E38"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3 029 174</w:t>
            </w:r>
          </w:p>
        </w:tc>
        <w:tc>
          <w:tcPr>
            <w:tcW w:w="1069" w:type="dxa"/>
            <w:tcBorders>
              <w:top w:val="nil"/>
              <w:left w:val="nil"/>
              <w:bottom w:val="single" w:sz="4" w:space="0" w:color="auto"/>
              <w:right w:val="single" w:sz="4" w:space="0" w:color="auto"/>
            </w:tcBorders>
            <w:shd w:val="clear" w:color="auto" w:fill="auto"/>
            <w:noWrap/>
            <w:vAlign w:val="center"/>
          </w:tcPr>
          <w:p w14:paraId="47186CB6" w14:textId="6BD354A1" w:rsidR="00570C57" w:rsidRPr="00890249" w:rsidRDefault="000D6A11">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67 314 982</w:t>
            </w:r>
          </w:p>
        </w:tc>
        <w:tc>
          <w:tcPr>
            <w:tcW w:w="1115" w:type="dxa"/>
            <w:tcBorders>
              <w:top w:val="nil"/>
              <w:left w:val="nil"/>
              <w:bottom w:val="single" w:sz="4" w:space="0" w:color="auto"/>
              <w:right w:val="single" w:sz="4" w:space="0" w:color="auto"/>
            </w:tcBorders>
            <w:shd w:val="clear" w:color="auto" w:fill="auto"/>
            <w:noWrap/>
            <w:vAlign w:val="center"/>
          </w:tcPr>
          <w:p w14:paraId="0F0F5896" w14:textId="77777777" w:rsidR="00570C57" w:rsidRPr="00890249" w:rsidRDefault="0094531C"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7236CAE9" w14:textId="77777777" w:rsidTr="005C6AF0">
        <w:trPr>
          <w:trHeight w:val="640"/>
        </w:trPr>
        <w:tc>
          <w:tcPr>
            <w:tcW w:w="931" w:type="dxa"/>
            <w:vMerge/>
            <w:tcBorders>
              <w:left w:val="single" w:sz="4" w:space="0" w:color="auto"/>
              <w:right w:val="single" w:sz="4" w:space="0" w:color="auto"/>
            </w:tcBorders>
            <w:shd w:val="clear" w:color="auto" w:fill="auto"/>
            <w:noWrap/>
            <w:vAlign w:val="center"/>
          </w:tcPr>
          <w:p w14:paraId="02320429"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p>
        </w:tc>
        <w:tc>
          <w:tcPr>
            <w:tcW w:w="1203" w:type="dxa"/>
            <w:tcBorders>
              <w:top w:val="nil"/>
              <w:left w:val="nil"/>
              <w:bottom w:val="single" w:sz="4" w:space="0" w:color="auto"/>
              <w:right w:val="single" w:sz="4" w:space="0" w:color="auto"/>
            </w:tcBorders>
            <w:shd w:val="clear" w:color="auto" w:fill="auto"/>
            <w:vAlign w:val="center"/>
          </w:tcPr>
          <w:p w14:paraId="53D65643" w14:textId="4537C4FC" w:rsidR="00570C57" w:rsidRPr="00890249" w:rsidRDefault="00570C57" w:rsidP="002B1189">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8 Europejski Budżet </w:t>
            </w:r>
            <w:r w:rsidR="00173C56" w:rsidRPr="00890249">
              <w:rPr>
                <w:rFonts w:asciiTheme="minorHAnsi" w:eastAsia="Times New Roman" w:hAnsiTheme="minorHAnsi" w:cstheme="minorHAnsi"/>
                <w:color w:val="000000"/>
                <w:sz w:val="16"/>
                <w:szCs w:val="16"/>
                <w:lang w:bidi="ar-SA"/>
              </w:rPr>
              <w:t xml:space="preserve">dla społeczeństwa </w:t>
            </w:r>
            <w:r w:rsidR="002B1189" w:rsidRPr="00890249">
              <w:rPr>
                <w:rFonts w:asciiTheme="minorHAnsi" w:eastAsia="Times New Roman" w:hAnsiTheme="minorHAnsi" w:cstheme="minorHAnsi"/>
                <w:color w:val="000000"/>
                <w:sz w:val="16"/>
                <w:szCs w:val="16"/>
                <w:lang w:bidi="ar-SA"/>
              </w:rPr>
              <w:t>Opolskiego</w:t>
            </w:r>
          </w:p>
        </w:tc>
        <w:tc>
          <w:tcPr>
            <w:tcW w:w="1338" w:type="dxa"/>
            <w:tcBorders>
              <w:top w:val="nil"/>
              <w:left w:val="nil"/>
              <w:bottom w:val="single" w:sz="4" w:space="0" w:color="auto"/>
              <w:right w:val="single" w:sz="4" w:space="0" w:color="auto"/>
            </w:tcBorders>
            <w:shd w:val="clear" w:color="auto" w:fill="auto"/>
            <w:vAlign w:val="center"/>
          </w:tcPr>
          <w:p w14:paraId="60B8191D"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tcPr>
          <w:p w14:paraId="11A8570A"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EFS+</w:t>
            </w:r>
          </w:p>
        </w:tc>
        <w:tc>
          <w:tcPr>
            <w:tcW w:w="1305" w:type="dxa"/>
            <w:tcBorders>
              <w:top w:val="nil"/>
              <w:left w:val="nil"/>
              <w:bottom w:val="single" w:sz="4" w:space="0" w:color="auto"/>
              <w:right w:val="single" w:sz="4" w:space="0" w:color="auto"/>
            </w:tcBorders>
            <w:shd w:val="clear" w:color="auto" w:fill="auto"/>
            <w:vAlign w:val="center"/>
          </w:tcPr>
          <w:p w14:paraId="021FC486"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tcPr>
          <w:p w14:paraId="17C2EA66" w14:textId="25629FF9"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3 000 000</w:t>
            </w:r>
          </w:p>
        </w:tc>
        <w:tc>
          <w:tcPr>
            <w:tcW w:w="1144" w:type="dxa"/>
            <w:tcBorders>
              <w:top w:val="nil"/>
              <w:left w:val="nil"/>
              <w:bottom w:val="single" w:sz="4" w:space="0" w:color="auto"/>
              <w:right w:val="single" w:sz="4" w:space="0" w:color="auto"/>
            </w:tcBorders>
            <w:shd w:val="clear" w:color="auto" w:fill="auto"/>
            <w:noWrap/>
            <w:vAlign w:val="center"/>
          </w:tcPr>
          <w:p w14:paraId="2BA71ADB" w14:textId="539FD41F"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3 000 000</w:t>
            </w:r>
          </w:p>
        </w:tc>
        <w:tc>
          <w:tcPr>
            <w:tcW w:w="1071" w:type="dxa"/>
            <w:tcBorders>
              <w:top w:val="nil"/>
              <w:left w:val="nil"/>
              <w:bottom w:val="single" w:sz="4" w:space="0" w:color="auto"/>
              <w:right w:val="single" w:sz="4" w:space="0" w:color="auto"/>
            </w:tcBorders>
            <w:shd w:val="clear" w:color="auto" w:fill="auto"/>
            <w:noWrap/>
            <w:vAlign w:val="center"/>
          </w:tcPr>
          <w:p w14:paraId="44BE1F32" w14:textId="359979BC"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0</w:t>
            </w:r>
          </w:p>
        </w:tc>
        <w:tc>
          <w:tcPr>
            <w:tcW w:w="1069" w:type="dxa"/>
            <w:tcBorders>
              <w:top w:val="nil"/>
              <w:left w:val="nil"/>
              <w:bottom w:val="single" w:sz="4" w:space="0" w:color="auto"/>
              <w:right w:val="single" w:sz="4" w:space="0" w:color="auto"/>
            </w:tcBorders>
            <w:shd w:val="clear" w:color="auto" w:fill="auto"/>
            <w:noWrap/>
            <w:vAlign w:val="center"/>
          </w:tcPr>
          <w:p w14:paraId="4CBFA09F" w14:textId="5BDFFE48"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529 412</w:t>
            </w:r>
          </w:p>
        </w:tc>
        <w:tc>
          <w:tcPr>
            <w:tcW w:w="1069" w:type="dxa"/>
            <w:tcBorders>
              <w:top w:val="nil"/>
              <w:left w:val="nil"/>
              <w:bottom w:val="single" w:sz="4" w:space="0" w:color="auto"/>
              <w:right w:val="single" w:sz="4" w:space="0" w:color="auto"/>
            </w:tcBorders>
            <w:shd w:val="clear" w:color="auto" w:fill="auto"/>
            <w:noWrap/>
            <w:vAlign w:val="center"/>
          </w:tcPr>
          <w:p w14:paraId="6E81DD55" w14:textId="3B2AF9F5"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502 941</w:t>
            </w:r>
          </w:p>
        </w:tc>
        <w:tc>
          <w:tcPr>
            <w:tcW w:w="1071" w:type="dxa"/>
            <w:tcBorders>
              <w:top w:val="nil"/>
              <w:left w:val="nil"/>
              <w:bottom w:val="single" w:sz="4" w:space="0" w:color="auto"/>
              <w:right w:val="single" w:sz="4" w:space="0" w:color="auto"/>
            </w:tcBorders>
            <w:shd w:val="clear" w:color="auto" w:fill="auto"/>
            <w:noWrap/>
            <w:vAlign w:val="center"/>
          </w:tcPr>
          <w:p w14:paraId="07150376" w14:textId="7AC3F1C2"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26 471</w:t>
            </w:r>
          </w:p>
        </w:tc>
        <w:tc>
          <w:tcPr>
            <w:tcW w:w="1069" w:type="dxa"/>
            <w:tcBorders>
              <w:top w:val="nil"/>
              <w:left w:val="nil"/>
              <w:bottom w:val="single" w:sz="4" w:space="0" w:color="auto"/>
              <w:right w:val="single" w:sz="4" w:space="0" w:color="auto"/>
            </w:tcBorders>
            <w:shd w:val="clear" w:color="auto" w:fill="auto"/>
            <w:noWrap/>
            <w:vAlign w:val="center"/>
          </w:tcPr>
          <w:p w14:paraId="4C3289D4" w14:textId="4A1EA3CD"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3 529 412</w:t>
            </w:r>
          </w:p>
        </w:tc>
        <w:tc>
          <w:tcPr>
            <w:tcW w:w="1115" w:type="dxa"/>
            <w:tcBorders>
              <w:top w:val="nil"/>
              <w:left w:val="nil"/>
              <w:bottom w:val="single" w:sz="4" w:space="0" w:color="auto"/>
              <w:right w:val="single" w:sz="4" w:space="0" w:color="auto"/>
            </w:tcBorders>
            <w:shd w:val="clear" w:color="auto" w:fill="auto"/>
            <w:noWrap/>
            <w:vAlign w:val="center"/>
          </w:tcPr>
          <w:p w14:paraId="49DE5A30"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2DF69EED" w14:textId="77777777" w:rsidTr="0001216F">
        <w:trPr>
          <w:trHeight w:val="640"/>
        </w:trPr>
        <w:tc>
          <w:tcPr>
            <w:tcW w:w="931" w:type="dxa"/>
            <w:vMerge/>
            <w:tcBorders>
              <w:left w:val="single" w:sz="4" w:space="0" w:color="auto"/>
              <w:bottom w:val="single" w:sz="4" w:space="0" w:color="auto"/>
              <w:right w:val="single" w:sz="4" w:space="0" w:color="auto"/>
            </w:tcBorders>
            <w:shd w:val="clear" w:color="auto" w:fill="auto"/>
            <w:noWrap/>
            <w:vAlign w:val="center"/>
          </w:tcPr>
          <w:p w14:paraId="3B1346EE"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p>
        </w:tc>
        <w:tc>
          <w:tcPr>
            <w:tcW w:w="1203" w:type="dxa"/>
            <w:tcBorders>
              <w:top w:val="nil"/>
              <w:left w:val="nil"/>
              <w:bottom w:val="single" w:sz="4" w:space="0" w:color="auto"/>
              <w:right w:val="single" w:sz="4" w:space="0" w:color="auto"/>
            </w:tcBorders>
            <w:shd w:val="clear" w:color="auto" w:fill="auto"/>
            <w:vAlign w:val="center"/>
          </w:tcPr>
          <w:p w14:paraId="6D94DCB8"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9 Fundusze Europejskie wspierające inwestycje społeczne w Opolskim</w:t>
            </w:r>
          </w:p>
        </w:tc>
        <w:tc>
          <w:tcPr>
            <w:tcW w:w="1338" w:type="dxa"/>
            <w:tcBorders>
              <w:top w:val="nil"/>
              <w:left w:val="nil"/>
              <w:bottom w:val="single" w:sz="4" w:space="0" w:color="auto"/>
              <w:right w:val="single" w:sz="4" w:space="0" w:color="auto"/>
            </w:tcBorders>
            <w:shd w:val="clear" w:color="auto" w:fill="auto"/>
            <w:vAlign w:val="center"/>
          </w:tcPr>
          <w:p w14:paraId="02E46AE5" w14:textId="77777777" w:rsidR="00570C57" w:rsidRPr="00890249" w:rsidRDefault="00875C92"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tcPr>
          <w:p w14:paraId="0FE583F9" w14:textId="77777777" w:rsidR="00570C57" w:rsidRPr="00890249" w:rsidRDefault="00875C92"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tcPr>
          <w:p w14:paraId="7304A473" w14:textId="77777777" w:rsidR="00570C57" w:rsidRPr="00890249" w:rsidRDefault="00875C92"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tcPr>
          <w:p w14:paraId="1425BB14" w14:textId="0BE258F0" w:rsidR="00570C57" w:rsidRPr="00890249" w:rsidRDefault="0069179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55 000 000</w:t>
            </w:r>
          </w:p>
        </w:tc>
        <w:tc>
          <w:tcPr>
            <w:tcW w:w="1144" w:type="dxa"/>
            <w:tcBorders>
              <w:top w:val="nil"/>
              <w:left w:val="nil"/>
              <w:bottom w:val="single" w:sz="4" w:space="0" w:color="auto"/>
              <w:right w:val="single" w:sz="4" w:space="0" w:color="auto"/>
            </w:tcBorders>
            <w:shd w:val="clear" w:color="auto" w:fill="auto"/>
            <w:noWrap/>
            <w:vAlign w:val="center"/>
          </w:tcPr>
          <w:p w14:paraId="0686A5F1" w14:textId="057A9375"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46 142 119</w:t>
            </w:r>
          </w:p>
        </w:tc>
        <w:tc>
          <w:tcPr>
            <w:tcW w:w="1071" w:type="dxa"/>
            <w:tcBorders>
              <w:top w:val="nil"/>
              <w:left w:val="nil"/>
              <w:bottom w:val="single" w:sz="4" w:space="0" w:color="auto"/>
              <w:right w:val="single" w:sz="4" w:space="0" w:color="auto"/>
            </w:tcBorders>
            <w:shd w:val="clear" w:color="auto" w:fill="auto"/>
            <w:noWrap/>
            <w:vAlign w:val="center"/>
          </w:tcPr>
          <w:p w14:paraId="7698C073" w14:textId="4A779FAF" w:rsidR="00570C57" w:rsidRPr="00890249" w:rsidRDefault="0069179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8 857 881</w:t>
            </w:r>
          </w:p>
        </w:tc>
        <w:tc>
          <w:tcPr>
            <w:tcW w:w="1069" w:type="dxa"/>
            <w:tcBorders>
              <w:top w:val="nil"/>
              <w:left w:val="nil"/>
              <w:bottom w:val="single" w:sz="4" w:space="0" w:color="auto"/>
              <w:right w:val="single" w:sz="4" w:space="0" w:color="auto"/>
            </w:tcBorders>
            <w:shd w:val="clear" w:color="auto" w:fill="auto"/>
            <w:noWrap/>
            <w:vAlign w:val="center"/>
          </w:tcPr>
          <w:p w14:paraId="5D1BFAEE" w14:textId="6A35CE8B" w:rsidR="00570C57" w:rsidRPr="00890249" w:rsidRDefault="00691799" w:rsidP="00163A58">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9 705 88</w:t>
            </w:r>
            <w:r w:rsidR="007A725E">
              <w:rPr>
                <w:rFonts w:asciiTheme="minorHAnsi" w:eastAsia="Times New Roman" w:hAnsiTheme="minorHAnsi" w:cstheme="minorHAnsi"/>
                <w:color w:val="000000"/>
                <w:sz w:val="16"/>
                <w:szCs w:val="16"/>
                <w:lang w:bidi="ar-SA"/>
              </w:rPr>
              <w:t>3</w:t>
            </w:r>
          </w:p>
        </w:tc>
        <w:tc>
          <w:tcPr>
            <w:tcW w:w="1069" w:type="dxa"/>
            <w:tcBorders>
              <w:top w:val="nil"/>
              <w:left w:val="nil"/>
              <w:bottom w:val="single" w:sz="4" w:space="0" w:color="auto"/>
              <w:right w:val="single" w:sz="4" w:space="0" w:color="auto"/>
            </w:tcBorders>
            <w:shd w:val="clear" w:color="auto" w:fill="auto"/>
            <w:noWrap/>
            <w:vAlign w:val="center"/>
          </w:tcPr>
          <w:p w14:paraId="15765FBE" w14:textId="2D419FC3" w:rsidR="00570C57" w:rsidRPr="00890249" w:rsidRDefault="0069179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7 976 47</w:t>
            </w:r>
            <w:r w:rsidR="007A725E">
              <w:rPr>
                <w:rFonts w:asciiTheme="minorHAnsi" w:eastAsia="Times New Roman" w:hAnsiTheme="minorHAnsi" w:cstheme="minorHAnsi"/>
                <w:color w:val="000000"/>
                <w:sz w:val="16"/>
                <w:szCs w:val="16"/>
                <w:lang w:bidi="ar-SA"/>
              </w:rPr>
              <w:t>2</w:t>
            </w:r>
          </w:p>
        </w:tc>
        <w:tc>
          <w:tcPr>
            <w:tcW w:w="1071" w:type="dxa"/>
            <w:tcBorders>
              <w:top w:val="nil"/>
              <w:left w:val="nil"/>
              <w:bottom w:val="single" w:sz="4" w:space="0" w:color="auto"/>
              <w:right w:val="single" w:sz="4" w:space="0" w:color="auto"/>
            </w:tcBorders>
            <w:shd w:val="clear" w:color="auto" w:fill="auto"/>
            <w:noWrap/>
            <w:vAlign w:val="center"/>
          </w:tcPr>
          <w:p w14:paraId="7943C959" w14:textId="499AB995"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1 729 411</w:t>
            </w:r>
          </w:p>
        </w:tc>
        <w:tc>
          <w:tcPr>
            <w:tcW w:w="1069" w:type="dxa"/>
            <w:tcBorders>
              <w:top w:val="nil"/>
              <w:left w:val="nil"/>
              <w:bottom w:val="single" w:sz="4" w:space="0" w:color="auto"/>
              <w:right w:val="single" w:sz="4" w:space="0" w:color="auto"/>
            </w:tcBorders>
            <w:shd w:val="clear" w:color="auto" w:fill="auto"/>
            <w:noWrap/>
            <w:vAlign w:val="center"/>
          </w:tcPr>
          <w:p w14:paraId="3890468E" w14:textId="4FCE5661" w:rsidR="00570C57" w:rsidRPr="00890249" w:rsidRDefault="00691799" w:rsidP="00163A58">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64 705 88</w:t>
            </w:r>
            <w:r w:rsidR="007A725E">
              <w:rPr>
                <w:rFonts w:asciiTheme="minorHAnsi" w:eastAsia="Times New Roman" w:hAnsiTheme="minorHAnsi" w:cstheme="minorHAnsi"/>
                <w:color w:val="000000"/>
                <w:sz w:val="16"/>
                <w:szCs w:val="16"/>
                <w:lang w:bidi="ar-SA"/>
              </w:rPr>
              <w:t>3</w:t>
            </w:r>
          </w:p>
        </w:tc>
        <w:tc>
          <w:tcPr>
            <w:tcW w:w="1115" w:type="dxa"/>
            <w:tcBorders>
              <w:top w:val="nil"/>
              <w:left w:val="nil"/>
              <w:bottom w:val="single" w:sz="4" w:space="0" w:color="auto"/>
              <w:right w:val="single" w:sz="4" w:space="0" w:color="auto"/>
            </w:tcBorders>
            <w:shd w:val="clear" w:color="auto" w:fill="auto"/>
            <w:noWrap/>
            <w:vAlign w:val="center"/>
          </w:tcPr>
          <w:p w14:paraId="11EF8CBB"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5DD03F87" w14:textId="77777777" w:rsidTr="00890249">
        <w:trPr>
          <w:trHeight w:val="706"/>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693BBE64"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CP 5</w:t>
            </w:r>
          </w:p>
        </w:tc>
        <w:tc>
          <w:tcPr>
            <w:tcW w:w="1203" w:type="dxa"/>
            <w:tcBorders>
              <w:top w:val="nil"/>
              <w:left w:val="nil"/>
              <w:bottom w:val="single" w:sz="4" w:space="0" w:color="auto"/>
              <w:right w:val="single" w:sz="4" w:space="0" w:color="auto"/>
            </w:tcBorders>
            <w:shd w:val="clear" w:color="auto" w:fill="auto"/>
            <w:vAlign w:val="center"/>
            <w:hideMark/>
          </w:tcPr>
          <w:p w14:paraId="3403E96E" w14:textId="52C67476" w:rsidR="00570C57" w:rsidRPr="00890249" w:rsidRDefault="00570C57" w:rsidP="00173C56">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xml:space="preserve">10 </w:t>
            </w:r>
            <w:r w:rsidR="00173C56" w:rsidRPr="00890249">
              <w:rPr>
                <w:rFonts w:asciiTheme="minorHAnsi" w:eastAsia="Times New Roman" w:hAnsiTheme="minorHAnsi" w:cstheme="minorHAnsi"/>
                <w:color w:val="000000"/>
                <w:sz w:val="16"/>
                <w:szCs w:val="16"/>
                <w:lang w:bidi="ar-SA"/>
              </w:rPr>
              <w:t xml:space="preserve"> Fundusze Europejskie na wzmacnianie potencjałów endogenicznych Opolskiego</w:t>
            </w:r>
          </w:p>
        </w:tc>
        <w:tc>
          <w:tcPr>
            <w:tcW w:w="1338" w:type="dxa"/>
            <w:tcBorders>
              <w:top w:val="nil"/>
              <w:left w:val="nil"/>
              <w:bottom w:val="single" w:sz="4" w:space="0" w:color="auto"/>
              <w:right w:val="single" w:sz="4" w:space="0" w:color="auto"/>
            </w:tcBorders>
            <w:shd w:val="clear" w:color="auto" w:fill="auto"/>
            <w:vAlign w:val="center"/>
            <w:hideMark/>
          </w:tcPr>
          <w:p w14:paraId="151EF868"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602C6048"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hideMark/>
          </w:tcPr>
          <w:p w14:paraId="21769455"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5D25431D"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86 642 740</w:t>
            </w:r>
          </w:p>
        </w:tc>
        <w:tc>
          <w:tcPr>
            <w:tcW w:w="1144" w:type="dxa"/>
            <w:tcBorders>
              <w:top w:val="nil"/>
              <w:left w:val="nil"/>
              <w:bottom w:val="single" w:sz="4" w:space="0" w:color="auto"/>
              <w:right w:val="single" w:sz="4" w:space="0" w:color="auto"/>
            </w:tcBorders>
            <w:shd w:val="clear" w:color="auto" w:fill="auto"/>
            <w:noWrap/>
            <w:vAlign w:val="center"/>
            <w:hideMark/>
          </w:tcPr>
          <w:p w14:paraId="798C9F40" w14:textId="226EA5F7" w:rsidR="00570C57" w:rsidRPr="00890249" w:rsidRDefault="00033673"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72 688 720</w:t>
            </w:r>
          </w:p>
        </w:tc>
        <w:tc>
          <w:tcPr>
            <w:tcW w:w="1071" w:type="dxa"/>
            <w:tcBorders>
              <w:top w:val="nil"/>
              <w:left w:val="nil"/>
              <w:bottom w:val="single" w:sz="4" w:space="0" w:color="auto"/>
              <w:right w:val="single" w:sz="4" w:space="0" w:color="auto"/>
            </w:tcBorders>
            <w:shd w:val="clear" w:color="auto" w:fill="auto"/>
            <w:noWrap/>
            <w:vAlign w:val="center"/>
            <w:hideMark/>
          </w:tcPr>
          <w:p w14:paraId="22C653C9" w14:textId="09E1B912" w:rsidR="00570C57" w:rsidRPr="00890249" w:rsidRDefault="00033673"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13 954 020</w:t>
            </w:r>
          </w:p>
        </w:tc>
        <w:tc>
          <w:tcPr>
            <w:tcW w:w="1069" w:type="dxa"/>
            <w:tcBorders>
              <w:top w:val="nil"/>
              <w:left w:val="nil"/>
              <w:bottom w:val="single" w:sz="4" w:space="0" w:color="auto"/>
              <w:right w:val="single" w:sz="4" w:space="0" w:color="auto"/>
            </w:tcBorders>
            <w:shd w:val="clear" w:color="auto" w:fill="auto"/>
            <w:noWrap/>
            <w:vAlign w:val="center"/>
            <w:hideMark/>
          </w:tcPr>
          <w:p w14:paraId="2D891179" w14:textId="68B93EFD" w:rsidR="00570C57" w:rsidRPr="00890249" w:rsidRDefault="008F1AFB"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15 289 89</w:t>
            </w:r>
            <w:r w:rsidR="00D52680" w:rsidRPr="00890249">
              <w:rPr>
                <w:rFonts w:asciiTheme="minorHAnsi" w:eastAsia="Times New Roman" w:hAnsiTheme="minorHAnsi" w:cstheme="minorHAnsi"/>
                <w:color w:val="000000"/>
                <w:sz w:val="16"/>
                <w:szCs w:val="16"/>
                <w:lang w:bidi="ar-SA"/>
              </w:rPr>
              <w:t>8</w:t>
            </w:r>
            <w:r w:rsidR="00570C57" w:rsidRPr="00890249">
              <w:rPr>
                <w:rFonts w:asciiTheme="minorHAnsi" w:eastAsia="Times New Roman" w:hAnsiTheme="minorHAnsi" w:cstheme="minorHAnsi"/>
                <w:color w:val="000000"/>
                <w:sz w:val="16"/>
                <w:szCs w:val="16"/>
                <w:lang w:bidi="ar-SA"/>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14:paraId="7E70256C" w14:textId="5CA25073" w:rsidR="00570C57" w:rsidRPr="00890249" w:rsidRDefault="008F1AFB"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12 618 767</w:t>
            </w:r>
            <w:r w:rsidR="00570C57" w:rsidRPr="00890249">
              <w:rPr>
                <w:rFonts w:asciiTheme="minorHAnsi" w:eastAsia="Times New Roman" w:hAnsiTheme="minorHAnsi" w:cstheme="minorHAnsi"/>
                <w:color w:val="000000"/>
                <w:sz w:val="16"/>
                <w:szCs w:val="16"/>
                <w:lang w:bidi="ar-SA"/>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2F58919A" w14:textId="3062A586" w:rsidR="00570C57" w:rsidRPr="00890249" w:rsidRDefault="008F1AFB"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2 671 13</w:t>
            </w:r>
            <w:r w:rsidR="00D52680" w:rsidRPr="00890249">
              <w:rPr>
                <w:rFonts w:asciiTheme="minorHAnsi" w:eastAsia="Times New Roman" w:hAnsiTheme="minorHAnsi" w:cstheme="minorHAnsi"/>
                <w:color w:val="000000"/>
                <w:sz w:val="16"/>
                <w:szCs w:val="16"/>
                <w:lang w:bidi="ar-SA"/>
              </w:rPr>
              <w:t>1</w:t>
            </w:r>
          </w:p>
        </w:tc>
        <w:tc>
          <w:tcPr>
            <w:tcW w:w="1069" w:type="dxa"/>
            <w:tcBorders>
              <w:top w:val="nil"/>
              <w:left w:val="nil"/>
              <w:bottom w:val="single" w:sz="4" w:space="0" w:color="auto"/>
              <w:right w:val="single" w:sz="4" w:space="0" w:color="auto"/>
            </w:tcBorders>
            <w:shd w:val="clear" w:color="auto" w:fill="auto"/>
            <w:noWrap/>
            <w:vAlign w:val="center"/>
            <w:hideMark/>
          </w:tcPr>
          <w:p w14:paraId="73D6940A" w14:textId="67BFCC7F" w:rsidR="00570C57" w:rsidRPr="00890249" w:rsidRDefault="008F1AFB"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101 932 63</w:t>
            </w:r>
            <w:r w:rsidR="00D52680" w:rsidRPr="00890249">
              <w:rPr>
                <w:rFonts w:asciiTheme="minorHAnsi" w:eastAsia="Times New Roman" w:hAnsiTheme="minorHAnsi" w:cstheme="minorHAnsi"/>
                <w:color w:val="000000"/>
                <w:sz w:val="16"/>
                <w:szCs w:val="16"/>
                <w:lang w:bidi="ar-SA"/>
              </w:rPr>
              <w:t>8</w:t>
            </w:r>
          </w:p>
        </w:tc>
        <w:tc>
          <w:tcPr>
            <w:tcW w:w="1115" w:type="dxa"/>
            <w:tcBorders>
              <w:top w:val="nil"/>
              <w:left w:val="nil"/>
              <w:bottom w:val="single" w:sz="4" w:space="0" w:color="auto"/>
              <w:right w:val="single" w:sz="4" w:space="0" w:color="auto"/>
            </w:tcBorders>
            <w:shd w:val="clear" w:color="auto" w:fill="auto"/>
            <w:noWrap/>
            <w:vAlign w:val="center"/>
            <w:hideMark/>
          </w:tcPr>
          <w:p w14:paraId="09FA2E56"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22FA30A1" w14:textId="77777777" w:rsidTr="00890249">
        <w:trPr>
          <w:trHeight w:val="561"/>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19221748"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PT</w:t>
            </w:r>
          </w:p>
        </w:tc>
        <w:tc>
          <w:tcPr>
            <w:tcW w:w="1203" w:type="dxa"/>
            <w:tcBorders>
              <w:top w:val="nil"/>
              <w:left w:val="nil"/>
              <w:bottom w:val="single" w:sz="4" w:space="0" w:color="auto"/>
              <w:right w:val="single" w:sz="4" w:space="0" w:color="auto"/>
            </w:tcBorders>
            <w:shd w:val="clear" w:color="auto" w:fill="auto"/>
            <w:noWrap/>
            <w:vAlign w:val="center"/>
            <w:hideMark/>
          </w:tcPr>
          <w:p w14:paraId="4BE3D496" w14:textId="4415077E"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11 Pomoc Techniczna</w:t>
            </w:r>
          </w:p>
        </w:tc>
        <w:tc>
          <w:tcPr>
            <w:tcW w:w="1338" w:type="dxa"/>
            <w:tcBorders>
              <w:top w:val="nil"/>
              <w:left w:val="nil"/>
              <w:bottom w:val="single" w:sz="4" w:space="0" w:color="auto"/>
              <w:right w:val="single" w:sz="4" w:space="0" w:color="auto"/>
            </w:tcBorders>
            <w:shd w:val="clear" w:color="auto" w:fill="auto"/>
            <w:vAlign w:val="center"/>
            <w:hideMark/>
          </w:tcPr>
          <w:p w14:paraId="7E5F5781"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2AACE7FA"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hideMark/>
          </w:tcPr>
          <w:p w14:paraId="464C1BE4"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70D6CAE6" w14:textId="39D4AB7E"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29 263 559</w:t>
            </w:r>
          </w:p>
        </w:tc>
        <w:tc>
          <w:tcPr>
            <w:tcW w:w="1144" w:type="dxa"/>
            <w:tcBorders>
              <w:top w:val="nil"/>
              <w:left w:val="nil"/>
              <w:bottom w:val="single" w:sz="4" w:space="0" w:color="auto"/>
              <w:right w:val="single" w:sz="4" w:space="0" w:color="auto"/>
            </w:tcBorders>
            <w:shd w:val="clear" w:color="auto" w:fill="auto"/>
            <w:noWrap/>
            <w:vAlign w:val="center"/>
            <w:hideMark/>
          </w:tcPr>
          <w:p w14:paraId="7B32C7EC" w14:textId="2EC3DBF6" w:rsidR="00570C57" w:rsidRPr="00890249" w:rsidRDefault="006664AF"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23 100 891</w:t>
            </w:r>
          </w:p>
        </w:tc>
        <w:tc>
          <w:tcPr>
            <w:tcW w:w="1071" w:type="dxa"/>
            <w:tcBorders>
              <w:top w:val="nil"/>
              <w:left w:val="nil"/>
              <w:bottom w:val="single" w:sz="4" w:space="0" w:color="auto"/>
              <w:right w:val="single" w:sz="4" w:space="0" w:color="auto"/>
            </w:tcBorders>
            <w:shd w:val="clear" w:color="auto" w:fill="auto"/>
            <w:noWrap/>
            <w:vAlign w:val="center"/>
            <w:hideMark/>
          </w:tcPr>
          <w:p w14:paraId="662C9800" w14:textId="2ADA4861" w:rsidR="00570C57" w:rsidRPr="00890249" w:rsidRDefault="006664AF"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6 162 668</w:t>
            </w:r>
          </w:p>
        </w:tc>
        <w:tc>
          <w:tcPr>
            <w:tcW w:w="1069" w:type="dxa"/>
            <w:tcBorders>
              <w:top w:val="nil"/>
              <w:left w:val="nil"/>
              <w:bottom w:val="single" w:sz="4" w:space="0" w:color="auto"/>
              <w:right w:val="single" w:sz="4" w:space="0" w:color="auto"/>
            </w:tcBorders>
            <w:shd w:val="clear" w:color="auto" w:fill="auto"/>
            <w:noWrap/>
            <w:vAlign w:val="center"/>
            <w:hideMark/>
          </w:tcPr>
          <w:p w14:paraId="57D02E29" w14:textId="13178D2E"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5 164 158</w:t>
            </w:r>
          </w:p>
        </w:tc>
        <w:tc>
          <w:tcPr>
            <w:tcW w:w="1069" w:type="dxa"/>
            <w:tcBorders>
              <w:top w:val="nil"/>
              <w:left w:val="nil"/>
              <w:bottom w:val="single" w:sz="4" w:space="0" w:color="auto"/>
              <w:right w:val="single" w:sz="4" w:space="0" w:color="auto"/>
            </w:tcBorders>
            <w:shd w:val="clear" w:color="auto" w:fill="auto"/>
            <w:noWrap/>
            <w:vAlign w:val="center"/>
            <w:hideMark/>
          </w:tcPr>
          <w:p w14:paraId="3BBFA45B" w14:textId="098FCC52" w:rsidR="00570C57" w:rsidRPr="00890249" w:rsidRDefault="00FC2319"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5 164 158</w:t>
            </w:r>
          </w:p>
        </w:tc>
        <w:tc>
          <w:tcPr>
            <w:tcW w:w="1071" w:type="dxa"/>
            <w:tcBorders>
              <w:top w:val="nil"/>
              <w:left w:val="nil"/>
              <w:bottom w:val="single" w:sz="4" w:space="0" w:color="auto"/>
              <w:right w:val="single" w:sz="4" w:space="0" w:color="auto"/>
            </w:tcBorders>
            <w:shd w:val="clear" w:color="auto" w:fill="auto"/>
            <w:noWrap/>
            <w:vAlign w:val="center"/>
            <w:hideMark/>
          </w:tcPr>
          <w:p w14:paraId="4210F972"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0</w:t>
            </w:r>
          </w:p>
        </w:tc>
        <w:tc>
          <w:tcPr>
            <w:tcW w:w="1069" w:type="dxa"/>
            <w:tcBorders>
              <w:top w:val="nil"/>
              <w:left w:val="nil"/>
              <w:bottom w:val="single" w:sz="4" w:space="0" w:color="auto"/>
              <w:right w:val="single" w:sz="4" w:space="0" w:color="auto"/>
            </w:tcBorders>
            <w:shd w:val="clear" w:color="auto" w:fill="auto"/>
            <w:noWrap/>
            <w:vAlign w:val="center"/>
            <w:hideMark/>
          </w:tcPr>
          <w:p w14:paraId="203E61B5" w14:textId="6C9E1883" w:rsidR="00570C57" w:rsidRPr="00890249" w:rsidRDefault="00DC6AE0"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34 427 717</w:t>
            </w:r>
          </w:p>
        </w:tc>
        <w:tc>
          <w:tcPr>
            <w:tcW w:w="1115" w:type="dxa"/>
            <w:tcBorders>
              <w:top w:val="nil"/>
              <w:left w:val="nil"/>
              <w:bottom w:val="single" w:sz="4" w:space="0" w:color="auto"/>
              <w:right w:val="single" w:sz="4" w:space="0" w:color="auto"/>
            </w:tcBorders>
            <w:shd w:val="clear" w:color="auto" w:fill="auto"/>
            <w:noWrap/>
            <w:vAlign w:val="center"/>
            <w:hideMark/>
          </w:tcPr>
          <w:p w14:paraId="143727AF"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570C57" w:rsidRPr="00890249" w14:paraId="68F3187D" w14:textId="77777777" w:rsidTr="00890249">
        <w:trPr>
          <w:trHeight w:val="693"/>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14:paraId="732851F9" w14:textId="77777777" w:rsidR="00570C57" w:rsidRPr="00890249" w:rsidRDefault="00570C57" w:rsidP="00570C57">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lastRenderedPageBreak/>
              <w:t>PT</w:t>
            </w:r>
          </w:p>
        </w:tc>
        <w:tc>
          <w:tcPr>
            <w:tcW w:w="1203" w:type="dxa"/>
            <w:tcBorders>
              <w:top w:val="nil"/>
              <w:left w:val="nil"/>
              <w:bottom w:val="single" w:sz="4" w:space="0" w:color="auto"/>
              <w:right w:val="single" w:sz="4" w:space="0" w:color="auto"/>
            </w:tcBorders>
            <w:shd w:val="clear" w:color="auto" w:fill="auto"/>
            <w:noWrap/>
            <w:vAlign w:val="center"/>
            <w:hideMark/>
          </w:tcPr>
          <w:p w14:paraId="6CDDB437" w14:textId="3C733820"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12 Pomoc Techniczna</w:t>
            </w:r>
          </w:p>
        </w:tc>
        <w:tc>
          <w:tcPr>
            <w:tcW w:w="1338" w:type="dxa"/>
            <w:tcBorders>
              <w:top w:val="nil"/>
              <w:left w:val="nil"/>
              <w:bottom w:val="single" w:sz="4" w:space="0" w:color="auto"/>
              <w:right w:val="single" w:sz="4" w:space="0" w:color="auto"/>
            </w:tcBorders>
            <w:shd w:val="clear" w:color="auto" w:fill="auto"/>
            <w:vAlign w:val="center"/>
            <w:hideMark/>
          </w:tcPr>
          <w:p w14:paraId="10579E71"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hideMark/>
          </w:tcPr>
          <w:p w14:paraId="0C65FD4A"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EFS+</w:t>
            </w:r>
          </w:p>
        </w:tc>
        <w:tc>
          <w:tcPr>
            <w:tcW w:w="1305" w:type="dxa"/>
            <w:tcBorders>
              <w:top w:val="nil"/>
              <w:left w:val="nil"/>
              <w:bottom w:val="single" w:sz="4" w:space="0" w:color="auto"/>
              <w:right w:val="single" w:sz="4" w:space="0" w:color="auto"/>
            </w:tcBorders>
            <w:shd w:val="clear" w:color="auto" w:fill="auto"/>
            <w:vAlign w:val="center"/>
            <w:hideMark/>
          </w:tcPr>
          <w:p w14:paraId="3FB2C81D" w14:textId="77777777" w:rsidR="00570C57" w:rsidRPr="00890249" w:rsidRDefault="00570C57" w:rsidP="00570C57">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nil"/>
              <w:left w:val="nil"/>
              <w:bottom w:val="single" w:sz="4" w:space="0" w:color="auto"/>
              <w:right w:val="single" w:sz="4" w:space="0" w:color="auto"/>
            </w:tcBorders>
            <w:shd w:val="clear" w:color="auto" w:fill="auto"/>
            <w:noWrap/>
            <w:vAlign w:val="center"/>
            <w:hideMark/>
          </w:tcPr>
          <w:p w14:paraId="48B3DE45" w14:textId="081F58AC" w:rsidR="00570C57" w:rsidRPr="00890249" w:rsidRDefault="00DC6AE0"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9 471 693</w:t>
            </w:r>
          </w:p>
        </w:tc>
        <w:tc>
          <w:tcPr>
            <w:tcW w:w="1144" w:type="dxa"/>
            <w:tcBorders>
              <w:top w:val="nil"/>
              <w:left w:val="nil"/>
              <w:bottom w:val="single" w:sz="4" w:space="0" w:color="auto"/>
              <w:right w:val="single" w:sz="4" w:space="0" w:color="auto"/>
            </w:tcBorders>
            <w:shd w:val="clear" w:color="auto" w:fill="auto"/>
            <w:noWrap/>
            <w:vAlign w:val="center"/>
            <w:hideMark/>
          </w:tcPr>
          <w:p w14:paraId="3762DFD3" w14:textId="3599745C" w:rsidR="00570C57" w:rsidRPr="00890249" w:rsidRDefault="006664AF"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9 395 827</w:t>
            </w:r>
          </w:p>
        </w:tc>
        <w:tc>
          <w:tcPr>
            <w:tcW w:w="1071" w:type="dxa"/>
            <w:tcBorders>
              <w:top w:val="nil"/>
              <w:left w:val="nil"/>
              <w:bottom w:val="single" w:sz="4" w:space="0" w:color="auto"/>
              <w:right w:val="single" w:sz="4" w:space="0" w:color="auto"/>
            </w:tcBorders>
            <w:shd w:val="clear" w:color="auto" w:fill="auto"/>
            <w:noWrap/>
            <w:vAlign w:val="center"/>
            <w:hideMark/>
          </w:tcPr>
          <w:p w14:paraId="67316490" w14:textId="5B11B7E6" w:rsidR="00570C57" w:rsidRPr="00890249" w:rsidRDefault="006664AF"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75 866</w:t>
            </w:r>
          </w:p>
        </w:tc>
        <w:tc>
          <w:tcPr>
            <w:tcW w:w="1069" w:type="dxa"/>
            <w:tcBorders>
              <w:top w:val="nil"/>
              <w:left w:val="nil"/>
              <w:bottom w:val="single" w:sz="4" w:space="0" w:color="auto"/>
              <w:right w:val="single" w:sz="4" w:space="0" w:color="auto"/>
            </w:tcBorders>
            <w:shd w:val="clear" w:color="auto" w:fill="auto"/>
            <w:noWrap/>
            <w:vAlign w:val="center"/>
            <w:hideMark/>
          </w:tcPr>
          <w:p w14:paraId="6CEBCA04" w14:textId="51C8E186" w:rsidR="00570C57" w:rsidRPr="00890249" w:rsidRDefault="00DC6AE0"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1 671 476</w:t>
            </w:r>
          </w:p>
        </w:tc>
        <w:tc>
          <w:tcPr>
            <w:tcW w:w="1069" w:type="dxa"/>
            <w:tcBorders>
              <w:top w:val="nil"/>
              <w:left w:val="nil"/>
              <w:bottom w:val="single" w:sz="4" w:space="0" w:color="auto"/>
              <w:right w:val="single" w:sz="4" w:space="0" w:color="auto"/>
            </w:tcBorders>
            <w:shd w:val="clear" w:color="auto" w:fill="auto"/>
            <w:noWrap/>
            <w:vAlign w:val="center"/>
            <w:hideMark/>
          </w:tcPr>
          <w:p w14:paraId="2CB1F643" w14:textId="2280ABE5" w:rsidR="00570C57" w:rsidRPr="00890249" w:rsidRDefault="00DC6AE0"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1 671 476</w:t>
            </w:r>
          </w:p>
        </w:tc>
        <w:tc>
          <w:tcPr>
            <w:tcW w:w="1071" w:type="dxa"/>
            <w:tcBorders>
              <w:top w:val="nil"/>
              <w:left w:val="nil"/>
              <w:bottom w:val="single" w:sz="4" w:space="0" w:color="auto"/>
              <w:right w:val="single" w:sz="4" w:space="0" w:color="auto"/>
            </w:tcBorders>
            <w:shd w:val="clear" w:color="auto" w:fill="auto"/>
            <w:noWrap/>
            <w:vAlign w:val="center"/>
            <w:hideMark/>
          </w:tcPr>
          <w:p w14:paraId="42413717"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0</w:t>
            </w:r>
          </w:p>
        </w:tc>
        <w:tc>
          <w:tcPr>
            <w:tcW w:w="1069" w:type="dxa"/>
            <w:tcBorders>
              <w:top w:val="nil"/>
              <w:left w:val="nil"/>
              <w:bottom w:val="single" w:sz="4" w:space="0" w:color="auto"/>
              <w:right w:val="single" w:sz="4" w:space="0" w:color="auto"/>
            </w:tcBorders>
            <w:shd w:val="clear" w:color="auto" w:fill="auto"/>
            <w:noWrap/>
            <w:vAlign w:val="center"/>
            <w:hideMark/>
          </w:tcPr>
          <w:p w14:paraId="5AEB4386" w14:textId="3D4F3E58" w:rsidR="00570C57" w:rsidRPr="00890249" w:rsidRDefault="00DC6AE0" w:rsidP="00570C57">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11 143 169</w:t>
            </w:r>
          </w:p>
        </w:tc>
        <w:tc>
          <w:tcPr>
            <w:tcW w:w="1115" w:type="dxa"/>
            <w:tcBorders>
              <w:top w:val="nil"/>
              <w:left w:val="nil"/>
              <w:bottom w:val="single" w:sz="4" w:space="0" w:color="auto"/>
              <w:right w:val="single" w:sz="4" w:space="0" w:color="auto"/>
            </w:tcBorders>
            <w:shd w:val="clear" w:color="auto" w:fill="auto"/>
            <w:noWrap/>
            <w:vAlign w:val="center"/>
            <w:hideMark/>
          </w:tcPr>
          <w:p w14:paraId="0E8A412D" w14:textId="77777777" w:rsidR="00570C57" w:rsidRPr="00890249" w:rsidRDefault="00570C57" w:rsidP="00570C57">
            <w:pPr>
              <w:spacing w:before="0" w:after="0"/>
              <w:jc w:val="righ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85%</w:t>
            </w:r>
          </w:p>
        </w:tc>
      </w:tr>
      <w:tr w:rsidR="00DC6AE0" w:rsidRPr="00890249" w14:paraId="2E70B7AD" w14:textId="77777777" w:rsidTr="00F62734">
        <w:trPr>
          <w:trHeight w:val="693"/>
        </w:trPr>
        <w:tc>
          <w:tcPr>
            <w:tcW w:w="931" w:type="dxa"/>
            <w:tcBorders>
              <w:top w:val="nil"/>
              <w:left w:val="single" w:sz="4" w:space="0" w:color="auto"/>
              <w:bottom w:val="single" w:sz="4" w:space="0" w:color="auto"/>
              <w:right w:val="single" w:sz="4" w:space="0" w:color="auto"/>
            </w:tcBorders>
            <w:shd w:val="clear" w:color="auto" w:fill="auto"/>
            <w:noWrap/>
            <w:vAlign w:val="center"/>
          </w:tcPr>
          <w:p w14:paraId="5270C076" w14:textId="26CC7597" w:rsidR="00DC6AE0" w:rsidRPr="00890249" w:rsidRDefault="00DC6AE0" w:rsidP="00DC6AE0">
            <w:pPr>
              <w:spacing w:before="0" w:after="0"/>
              <w:jc w:val="center"/>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CP2</w:t>
            </w:r>
          </w:p>
        </w:tc>
        <w:tc>
          <w:tcPr>
            <w:tcW w:w="1203" w:type="dxa"/>
            <w:tcBorders>
              <w:top w:val="nil"/>
              <w:left w:val="nil"/>
              <w:bottom w:val="single" w:sz="4" w:space="0" w:color="auto"/>
              <w:right w:val="single" w:sz="4" w:space="0" w:color="auto"/>
            </w:tcBorders>
            <w:shd w:val="clear" w:color="auto" w:fill="auto"/>
            <w:noWrap/>
            <w:vAlign w:val="center"/>
          </w:tcPr>
          <w:p w14:paraId="4A945837" w14:textId="2EA71C6E"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13 Powódź</w:t>
            </w:r>
          </w:p>
        </w:tc>
        <w:tc>
          <w:tcPr>
            <w:tcW w:w="1338" w:type="dxa"/>
            <w:tcBorders>
              <w:top w:val="nil"/>
              <w:left w:val="nil"/>
              <w:bottom w:val="single" w:sz="4" w:space="0" w:color="auto"/>
              <w:right w:val="single" w:sz="4" w:space="0" w:color="auto"/>
            </w:tcBorders>
            <w:shd w:val="clear" w:color="auto" w:fill="auto"/>
            <w:vAlign w:val="center"/>
          </w:tcPr>
          <w:p w14:paraId="38091EA8" w14:textId="0C53AD8E"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łączne koszty kwalifikowalne</w:t>
            </w:r>
          </w:p>
        </w:tc>
        <w:tc>
          <w:tcPr>
            <w:tcW w:w="1071" w:type="dxa"/>
            <w:tcBorders>
              <w:top w:val="nil"/>
              <w:left w:val="nil"/>
              <w:bottom w:val="single" w:sz="4" w:space="0" w:color="auto"/>
              <w:right w:val="single" w:sz="4" w:space="0" w:color="auto"/>
            </w:tcBorders>
            <w:shd w:val="clear" w:color="auto" w:fill="auto"/>
            <w:noWrap/>
            <w:vAlign w:val="center"/>
          </w:tcPr>
          <w:p w14:paraId="50E9E35B" w14:textId="7B4B3823"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EFRR</w:t>
            </w:r>
          </w:p>
        </w:tc>
        <w:tc>
          <w:tcPr>
            <w:tcW w:w="1305" w:type="dxa"/>
            <w:tcBorders>
              <w:top w:val="nil"/>
              <w:left w:val="nil"/>
              <w:bottom w:val="single" w:sz="4" w:space="0" w:color="auto"/>
              <w:right w:val="single" w:sz="4" w:space="0" w:color="auto"/>
            </w:tcBorders>
            <w:shd w:val="clear" w:color="auto" w:fill="auto"/>
            <w:vAlign w:val="center"/>
          </w:tcPr>
          <w:p w14:paraId="37C3E91C" w14:textId="35EE7067"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Słabiej rozwinięty</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D2A2D9" w14:textId="24177AC1"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87 830 000</w:t>
            </w:r>
          </w:p>
        </w:tc>
        <w:tc>
          <w:tcPr>
            <w:tcW w:w="1144" w:type="dxa"/>
            <w:tcBorders>
              <w:top w:val="single" w:sz="4" w:space="0" w:color="000000"/>
              <w:left w:val="nil"/>
              <w:bottom w:val="single" w:sz="4" w:space="0" w:color="000000"/>
              <w:right w:val="single" w:sz="4" w:space="0" w:color="000000"/>
            </w:tcBorders>
            <w:shd w:val="clear" w:color="auto" w:fill="auto"/>
            <w:noWrap/>
            <w:vAlign w:val="center"/>
          </w:tcPr>
          <w:p w14:paraId="38BE4A34" w14:textId="33CD0E36"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17 787 107</w:t>
            </w:r>
          </w:p>
        </w:tc>
        <w:tc>
          <w:tcPr>
            <w:tcW w:w="1071" w:type="dxa"/>
            <w:tcBorders>
              <w:top w:val="single" w:sz="4" w:space="0" w:color="000000"/>
              <w:left w:val="nil"/>
              <w:bottom w:val="single" w:sz="4" w:space="0" w:color="000000"/>
              <w:right w:val="single" w:sz="4" w:space="0" w:color="000000"/>
            </w:tcBorders>
            <w:shd w:val="clear" w:color="auto" w:fill="auto"/>
            <w:noWrap/>
            <w:vAlign w:val="center"/>
          </w:tcPr>
          <w:p w14:paraId="773191F7" w14:textId="5CA70E20"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70 042 893</w:t>
            </w:r>
          </w:p>
        </w:tc>
        <w:tc>
          <w:tcPr>
            <w:tcW w:w="1069" w:type="dxa"/>
            <w:tcBorders>
              <w:top w:val="single" w:sz="4" w:space="0" w:color="000000"/>
              <w:left w:val="nil"/>
              <w:bottom w:val="single" w:sz="4" w:space="0" w:color="000000"/>
              <w:right w:val="single" w:sz="4" w:space="0" w:color="000000"/>
            </w:tcBorders>
            <w:shd w:val="clear" w:color="auto" w:fill="auto"/>
            <w:noWrap/>
            <w:vAlign w:val="center"/>
          </w:tcPr>
          <w:p w14:paraId="43B9B235" w14:textId="0FD5B9AB"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4 622 633</w:t>
            </w:r>
          </w:p>
        </w:tc>
        <w:tc>
          <w:tcPr>
            <w:tcW w:w="1069" w:type="dxa"/>
            <w:tcBorders>
              <w:top w:val="single" w:sz="4" w:space="0" w:color="000000"/>
              <w:left w:val="nil"/>
              <w:bottom w:val="single" w:sz="4" w:space="0" w:color="000000"/>
              <w:right w:val="single" w:sz="4" w:space="0" w:color="000000"/>
            </w:tcBorders>
            <w:shd w:val="clear" w:color="auto" w:fill="auto"/>
            <w:noWrap/>
            <w:vAlign w:val="center"/>
          </w:tcPr>
          <w:p w14:paraId="45F6704C" w14:textId="15409902"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3 466 975</w:t>
            </w:r>
          </w:p>
        </w:tc>
        <w:tc>
          <w:tcPr>
            <w:tcW w:w="1071" w:type="dxa"/>
            <w:tcBorders>
              <w:top w:val="single" w:sz="4" w:space="0" w:color="000000"/>
              <w:left w:val="nil"/>
              <w:bottom w:val="single" w:sz="4" w:space="0" w:color="000000"/>
              <w:right w:val="single" w:sz="4" w:space="0" w:color="000000"/>
            </w:tcBorders>
            <w:shd w:val="clear" w:color="auto" w:fill="auto"/>
            <w:noWrap/>
            <w:vAlign w:val="center"/>
          </w:tcPr>
          <w:p w14:paraId="1A3EF3AC" w14:textId="6A3AAAEE"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1 155 658</w:t>
            </w:r>
          </w:p>
        </w:tc>
        <w:tc>
          <w:tcPr>
            <w:tcW w:w="1069" w:type="dxa"/>
            <w:tcBorders>
              <w:top w:val="single" w:sz="4" w:space="0" w:color="000000"/>
              <w:left w:val="nil"/>
              <w:bottom w:val="single" w:sz="4" w:space="0" w:color="000000"/>
              <w:right w:val="single" w:sz="4" w:space="0" w:color="000000"/>
            </w:tcBorders>
            <w:shd w:val="clear" w:color="auto" w:fill="auto"/>
            <w:noWrap/>
            <w:vAlign w:val="center"/>
          </w:tcPr>
          <w:p w14:paraId="7C16BBB6" w14:textId="67BC580E" w:rsidR="00DC6AE0" w:rsidRPr="00DC6AE0" w:rsidRDefault="00A4405C" w:rsidP="00DC6AE0">
            <w:pPr>
              <w:spacing w:before="0" w:after="0"/>
              <w:jc w:val="right"/>
              <w:rPr>
                <w:rFonts w:asciiTheme="minorHAnsi" w:eastAsia="Times New Roman" w:hAnsiTheme="minorHAnsi" w:cstheme="minorHAnsi"/>
                <w:color w:val="000000"/>
                <w:sz w:val="16"/>
                <w:szCs w:val="16"/>
                <w:lang w:bidi="ar-SA"/>
              </w:rPr>
            </w:pPr>
            <w:r>
              <w:rPr>
                <w:rFonts w:ascii="Calibri" w:hAnsi="Calibri" w:cs="Calibri"/>
                <w:color w:val="000000"/>
                <w:sz w:val="16"/>
                <w:szCs w:val="16"/>
              </w:rPr>
              <w:t>92 452 633</w:t>
            </w:r>
          </w:p>
        </w:tc>
        <w:tc>
          <w:tcPr>
            <w:tcW w:w="1115" w:type="dxa"/>
            <w:tcBorders>
              <w:top w:val="nil"/>
              <w:left w:val="nil"/>
              <w:bottom w:val="single" w:sz="4" w:space="0" w:color="auto"/>
              <w:right w:val="single" w:sz="4" w:space="0" w:color="auto"/>
            </w:tcBorders>
            <w:shd w:val="clear" w:color="auto" w:fill="auto"/>
            <w:noWrap/>
            <w:vAlign w:val="center"/>
          </w:tcPr>
          <w:p w14:paraId="0F2C3818" w14:textId="5BCC7F92" w:rsidR="00DC6AE0" w:rsidRPr="00890249" w:rsidRDefault="00DC6AE0" w:rsidP="00DC6AE0">
            <w:pPr>
              <w:spacing w:before="0" w:after="0"/>
              <w:jc w:val="right"/>
              <w:rPr>
                <w:rFonts w:asciiTheme="minorHAnsi" w:eastAsia="Times New Roman" w:hAnsiTheme="minorHAnsi" w:cstheme="minorHAnsi"/>
                <w:color w:val="000000"/>
                <w:sz w:val="16"/>
                <w:szCs w:val="16"/>
                <w:lang w:bidi="ar-SA"/>
              </w:rPr>
            </w:pPr>
            <w:r>
              <w:rPr>
                <w:rFonts w:asciiTheme="minorHAnsi" w:eastAsia="Times New Roman" w:hAnsiTheme="minorHAnsi" w:cstheme="minorHAnsi"/>
                <w:color w:val="000000"/>
                <w:sz w:val="16"/>
                <w:szCs w:val="16"/>
                <w:lang w:bidi="ar-SA"/>
              </w:rPr>
              <w:t>95%</w:t>
            </w:r>
          </w:p>
        </w:tc>
      </w:tr>
      <w:tr w:rsidR="00DC6AE0" w:rsidRPr="00890249" w14:paraId="1DAC5B03" w14:textId="77777777" w:rsidTr="00890249">
        <w:trPr>
          <w:trHeight w:val="410"/>
        </w:trPr>
        <w:tc>
          <w:tcPr>
            <w:tcW w:w="9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FF55A4" w14:textId="77777777" w:rsidR="00DC6AE0" w:rsidRPr="00890249" w:rsidRDefault="00DC6AE0" w:rsidP="00DC6AE0">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12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85536F" w14:textId="77777777"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EC7E2" w14:textId="77777777" w:rsidR="00DC6AE0" w:rsidRPr="00890249" w:rsidRDefault="00DC6AE0" w:rsidP="00DC6AE0">
            <w:pPr>
              <w:spacing w:before="0" w:after="0"/>
              <w:jc w:val="lef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EFRR ogółem</w:t>
            </w:r>
          </w:p>
        </w:tc>
        <w:tc>
          <w:tcPr>
            <w:tcW w:w="13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A6D4A2" w14:textId="77777777" w:rsidR="00DC6AE0" w:rsidRPr="00890249" w:rsidRDefault="00DC6AE0" w:rsidP="00DC6AE0">
            <w:pPr>
              <w:spacing w:before="0" w:after="0"/>
              <w:jc w:val="lef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Słabiej rozwinięty</w:t>
            </w:r>
          </w:p>
        </w:tc>
        <w:tc>
          <w:tcPr>
            <w:tcW w:w="10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383926" w14:textId="3F8B0AFF"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734 472 270</w:t>
            </w:r>
          </w:p>
        </w:tc>
        <w:tc>
          <w:tcPr>
            <w:tcW w:w="11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F528AB" w14:textId="1A8B5A60" w:rsidR="00DC6AE0" w:rsidRPr="00890249" w:rsidRDefault="00334CB9"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587 556 822</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25F500" w14:textId="5889B0EF" w:rsidR="00DC6AE0" w:rsidRPr="00890249" w:rsidRDefault="00334CB9"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146 915 448</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34C26B" w14:textId="3B2D6BAC" w:rsidR="00DC6AE0" w:rsidRPr="00890249" w:rsidRDefault="00A4405C"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118 735 98</w:t>
            </w:r>
            <w:r w:rsidR="007A725E">
              <w:rPr>
                <w:rFonts w:asciiTheme="minorHAnsi" w:eastAsia="Times New Roman" w:hAnsiTheme="minorHAnsi" w:cstheme="minorHAnsi"/>
                <w:b/>
                <w:bCs/>
                <w:color w:val="000000"/>
                <w:sz w:val="16"/>
                <w:szCs w:val="16"/>
                <w:lang w:bidi="ar-SA"/>
              </w:rPr>
              <w:t>5</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1325F0" w14:textId="6634C18F" w:rsidR="00DC6AE0" w:rsidRPr="00890249" w:rsidRDefault="00A3610E"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88 346 99</w:t>
            </w:r>
            <w:r w:rsidR="007A725E">
              <w:rPr>
                <w:rFonts w:asciiTheme="minorHAnsi" w:eastAsia="Times New Roman" w:hAnsiTheme="minorHAnsi" w:cstheme="minorHAnsi"/>
                <w:b/>
                <w:bCs/>
                <w:color w:val="000000"/>
                <w:sz w:val="16"/>
                <w:szCs w:val="16"/>
                <w:lang w:bidi="ar-SA"/>
              </w:rPr>
              <w:t>3</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A35951" w14:textId="47058002" w:rsidR="00DC6AE0" w:rsidRPr="00890249" w:rsidRDefault="00A3610E"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30 388 992</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A673FB" w14:textId="7F0CAD55" w:rsidR="00DC6AE0" w:rsidRPr="00890249" w:rsidRDefault="00A4405C"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853 208 25</w:t>
            </w:r>
            <w:r w:rsidR="007A725E">
              <w:rPr>
                <w:rFonts w:asciiTheme="minorHAnsi" w:eastAsia="Times New Roman" w:hAnsiTheme="minorHAnsi" w:cstheme="minorHAnsi"/>
                <w:b/>
                <w:bCs/>
                <w:color w:val="000000"/>
                <w:sz w:val="16"/>
                <w:szCs w:val="16"/>
                <w:lang w:bidi="ar-SA"/>
              </w:rPr>
              <w:t>5</w:t>
            </w:r>
          </w:p>
        </w:tc>
        <w:tc>
          <w:tcPr>
            <w:tcW w:w="111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BC5241" w14:textId="77777777"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 -</w:t>
            </w:r>
          </w:p>
        </w:tc>
      </w:tr>
      <w:tr w:rsidR="00DC6AE0" w:rsidRPr="00890249" w14:paraId="002CB8BC" w14:textId="77777777" w:rsidTr="00890249">
        <w:trPr>
          <w:trHeight w:val="416"/>
        </w:trPr>
        <w:tc>
          <w:tcPr>
            <w:tcW w:w="9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2C3BEE" w14:textId="77777777" w:rsidR="00DC6AE0" w:rsidRPr="00890249" w:rsidRDefault="00DC6AE0" w:rsidP="00DC6AE0">
            <w:pPr>
              <w:spacing w:before="0" w:after="0"/>
              <w:jc w:val="center"/>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12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04225B" w14:textId="77777777"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A6D181" w14:textId="77777777" w:rsidR="00DC6AE0" w:rsidRPr="00890249" w:rsidRDefault="00DC6AE0" w:rsidP="00DC6AE0">
            <w:pPr>
              <w:spacing w:before="0" w:after="0"/>
              <w:jc w:val="lef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EFS+ ogółem</w:t>
            </w:r>
          </w:p>
        </w:tc>
        <w:tc>
          <w:tcPr>
            <w:tcW w:w="13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C0108A" w14:textId="77777777" w:rsidR="00DC6AE0" w:rsidRPr="00890249" w:rsidRDefault="00DC6AE0" w:rsidP="00DC6AE0">
            <w:pPr>
              <w:spacing w:before="0" w:after="0"/>
              <w:jc w:val="lef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Słabiej rozwinięty</w:t>
            </w:r>
          </w:p>
        </w:tc>
        <w:tc>
          <w:tcPr>
            <w:tcW w:w="10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474D55" w14:textId="246287B2"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232 009 427</w:t>
            </w:r>
          </w:p>
        </w:tc>
        <w:tc>
          <w:tcPr>
            <w:tcW w:w="11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6E8F7E" w14:textId="72FC8E34" w:rsidR="00DC6AE0" w:rsidRPr="00890249" w:rsidRDefault="003E0558"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223 267 516</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83B7E8" w14:textId="5DE85939" w:rsidR="00DC6AE0" w:rsidRPr="00890249" w:rsidRDefault="003E0558"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8 741 911</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32FEAD" w14:textId="35B3D51F"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40 942 853</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60D997" w14:textId="4F03D1F0" w:rsidR="00DC6AE0" w:rsidRPr="00890249" w:rsidRDefault="003E0558"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35 264 500</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8825D0" w14:textId="6099CF8F" w:rsidR="00DC6AE0" w:rsidRPr="00890249" w:rsidRDefault="003E0558"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5 678 353</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1F59A1" w14:textId="07BC85F5"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272 952 280</w:t>
            </w:r>
          </w:p>
        </w:tc>
        <w:tc>
          <w:tcPr>
            <w:tcW w:w="111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BE50C0" w14:textId="77777777"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 -</w:t>
            </w:r>
          </w:p>
        </w:tc>
      </w:tr>
      <w:tr w:rsidR="00DC6AE0" w:rsidRPr="00890249" w14:paraId="7E48D944" w14:textId="77777777" w:rsidTr="00890249">
        <w:trPr>
          <w:trHeight w:val="421"/>
        </w:trPr>
        <w:tc>
          <w:tcPr>
            <w:tcW w:w="93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B7B5C0" w14:textId="77777777"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12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C45C17" w14:textId="77777777"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240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0DE8AD" w14:textId="77777777" w:rsidR="00DC6AE0" w:rsidRPr="00890249" w:rsidRDefault="00DC6AE0" w:rsidP="00DC6AE0">
            <w:pPr>
              <w:spacing w:before="0" w:after="0"/>
              <w:jc w:val="lef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Suma całkowita</w:t>
            </w:r>
          </w:p>
        </w:tc>
        <w:tc>
          <w:tcPr>
            <w:tcW w:w="13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A3F450" w14:textId="77777777" w:rsidR="00DC6AE0" w:rsidRPr="00890249" w:rsidRDefault="00DC6AE0" w:rsidP="00DC6AE0">
            <w:pPr>
              <w:spacing w:before="0" w:after="0"/>
              <w:jc w:val="left"/>
              <w:rPr>
                <w:rFonts w:asciiTheme="minorHAnsi" w:eastAsia="Times New Roman" w:hAnsiTheme="minorHAnsi" w:cstheme="minorHAnsi"/>
                <w:color w:val="000000"/>
                <w:sz w:val="16"/>
                <w:szCs w:val="16"/>
                <w:lang w:bidi="ar-SA"/>
              </w:rPr>
            </w:pPr>
            <w:r w:rsidRPr="00890249">
              <w:rPr>
                <w:rFonts w:asciiTheme="minorHAnsi" w:eastAsia="Times New Roman" w:hAnsiTheme="minorHAnsi" w:cstheme="minorHAnsi"/>
                <w:color w:val="000000"/>
                <w:sz w:val="16"/>
                <w:szCs w:val="16"/>
                <w:lang w:bidi="ar-SA"/>
              </w:rPr>
              <w:t> -</w:t>
            </w:r>
          </w:p>
        </w:tc>
        <w:tc>
          <w:tcPr>
            <w:tcW w:w="10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E07522" w14:textId="0F42EBCA"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966 481 697</w:t>
            </w:r>
          </w:p>
        </w:tc>
        <w:tc>
          <w:tcPr>
            <w:tcW w:w="11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FA6B8D" w14:textId="666BB5C8" w:rsidR="00DC6AE0" w:rsidRPr="00890249" w:rsidRDefault="00334CB9"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810 824 338</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FCBDA9" w14:textId="4D29B92F" w:rsidR="00DC6AE0" w:rsidRPr="00890249" w:rsidRDefault="00334CB9"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155 657 359</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04FA81" w14:textId="53D6EB12" w:rsidR="00DC6AE0" w:rsidRPr="00890249" w:rsidRDefault="00A4405C"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159 678 83</w:t>
            </w:r>
            <w:r w:rsidR="007A725E">
              <w:rPr>
                <w:rFonts w:asciiTheme="minorHAnsi" w:eastAsia="Times New Roman" w:hAnsiTheme="minorHAnsi" w:cstheme="minorHAnsi"/>
                <w:b/>
                <w:bCs/>
                <w:color w:val="000000"/>
                <w:sz w:val="16"/>
                <w:szCs w:val="16"/>
                <w:lang w:bidi="ar-SA"/>
              </w:rPr>
              <w:t>8</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0ACEE1" w14:textId="3FDED506" w:rsidR="00DC6AE0" w:rsidRPr="00890249" w:rsidRDefault="00A3610E"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123 611 49</w:t>
            </w:r>
            <w:r w:rsidR="007A725E">
              <w:rPr>
                <w:rFonts w:asciiTheme="minorHAnsi" w:eastAsia="Times New Roman" w:hAnsiTheme="minorHAnsi" w:cstheme="minorHAnsi"/>
                <w:b/>
                <w:bCs/>
                <w:color w:val="000000"/>
                <w:sz w:val="16"/>
                <w:szCs w:val="16"/>
                <w:lang w:bidi="ar-SA"/>
              </w:rPr>
              <w:t>3</w:t>
            </w:r>
          </w:p>
        </w:tc>
        <w:tc>
          <w:tcPr>
            <w:tcW w:w="10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AF4110" w14:textId="375E2ADB" w:rsidR="00DC6AE0" w:rsidRPr="00890249" w:rsidRDefault="00A3610E"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36 067 345</w:t>
            </w:r>
          </w:p>
        </w:tc>
        <w:tc>
          <w:tcPr>
            <w:tcW w:w="10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5FECE9" w14:textId="0571B338" w:rsidR="00DC6AE0" w:rsidRPr="00890249" w:rsidRDefault="00A4405C" w:rsidP="00DC6AE0">
            <w:pPr>
              <w:spacing w:before="0" w:after="0"/>
              <w:jc w:val="right"/>
              <w:rPr>
                <w:rFonts w:asciiTheme="minorHAnsi" w:eastAsia="Times New Roman" w:hAnsiTheme="minorHAnsi" w:cstheme="minorHAnsi"/>
                <w:b/>
                <w:bCs/>
                <w:color w:val="000000"/>
                <w:sz w:val="16"/>
                <w:szCs w:val="16"/>
                <w:lang w:bidi="ar-SA"/>
              </w:rPr>
            </w:pPr>
            <w:r>
              <w:rPr>
                <w:rFonts w:asciiTheme="minorHAnsi" w:eastAsia="Times New Roman" w:hAnsiTheme="minorHAnsi" w:cstheme="minorHAnsi"/>
                <w:b/>
                <w:bCs/>
                <w:color w:val="000000"/>
                <w:sz w:val="16"/>
                <w:szCs w:val="16"/>
                <w:lang w:bidi="ar-SA"/>
              </w:rPr>
              <w:t>1 126 160 53</w:t>
            </w:r>
            <w:r w:rsidR="007A725E">
              <w:rPr>
                <w:rFonts w:asciiTheme="minorHAnsi" w:eastAsia="Times New Roman" w:hAnsiTheme="minorHAnsi" w:cstheme="minorHAnsi"/>
                <w:b/>
                <w:bCs/>
                <w:color w:val="000000"/>
                <w:sz w:val="16"/>
                <w:szCs w:val="16"/>
                <w:lang w:bidi="ar-SA"/>
              </w:rPr>
              <w:t>5</w:t>
            </w:r>
          </w:p>
        </w:tc>
        <w:tc>
          <w:tcPr>
            <w:tcW w:w="111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108846" w14:textId="77777777" w:rsidR="00DC6AE0" w:rsidRPr="00890249" w:rsidRDefault="00DC6AE0" w:rsidP="00DC6AE0">
            <w:pPr>
              <w:spacing w:before="0" w:after="0"/>
              <w:jc w:val="right"/>
              <w:rPr>
                <w:rFonts w:asciiTheme="minorHAnsi" w:eastAsia="Times New Roman" w:hAnsiTheme="minorHAnsi" w:cstheme="minorHAnsi"/>
                <w:b/>
                <w:bCs/>
                <w:color w:val="000000"/>
                <w:sz w:val="16"/>
                <w:szCs w:val="16"/>
                <w:lang w:bidi="ar-SA"/>
              </w:rPr>
            </w:pPr>
            <w:r w:rsidRPr="00890249">
              <w:rPr>
                <w:rFonts w:asciiTheme="minorHAnsi" w:eastAsia="Times New Roman" w:hAnsiTheme="minorHAnsi" w:cstheme="minorHAnsi"/>
                <w:b/>
                <w:bCs/>
                <w:color w:val="000000"/>
                <w:sz w:val="16"/>
                <w:szCs w:val="16"/>
                <w:lang w:bidi="ar-SA"/>
              </w:rPr>
              <w:t>- </w:t>
            </w:r>
          </w:p>
        </w:tc>
      </w:tr>
    </w:tbl>
    <w:p w14:paraId="4BC3FF03" w14:textId="77777777" w:rsidR="0042765C" w:rsidRPr="00890249" w:rsidRDefault="0042765C" w:rsidP="00124599">
      <w:pPr>
        <w:spacing w:before="0" w:after="160" w:line="259" w:lineRule="auto"/>
        <w:jc w:val="left"/>
        <w:rPr>
          <w:rFonts w:asciiTheme="minorHAnsi" w:eastAsia="Times New Roman" w:hAnsiTheme="minorHAnsi" w:cstheme="minorHAnsi"/>
          <w:noProof/>
          <w:szCs w:val="24"/>
        </w:rPr>
      </w:pPr>
    </w:p>
    <w:p w14:paraId="0BF4D196" w14:textId="77777777" w:rsidR="0093433C" w:rsidRPr="00890249" w:rsidRDefault="00B57E08" w:rsidP="00890249">
      <w:pPr>
        <w:pStyle w:val="Tekstpodstawowy"/>
        <w:rPr>
          <w:rStyle w:val="markedcontent"/>
          <w:rFonts w:asciiTheme="minorHAnsi" w:hAnsiTheme="minorHAnsi" w:cstheme="minorHAnsi"/>
          <w:sz w:val="18"/>
          <w:szCs w:val="22"/>
        </w:rPr>
      </w:pPr>
      <w:r w:rsidRPr="00890249">
        <w:rPr>
          <w:rFonts w:asciiTheme="minorHAnsi" w:eastAsia="Times New Roman" w:hAnsiTheme="minorHAnsi" w:cstheme="minorHAnsi"/>
          <w:noProof/>
          <w:sz w:val="22"/>
        </w:rPr>
        <w:t>*</w:t>
      </w:r>
      <w:r w:rsidRPr="00890249">
        <w:rPr>
          <w:rStyle w:val="markedcontent"/>
          <w:rFonts w:asciiTheme="minorHAnsi" w:hAnsiTheme="minorHAnsi" w:cstheme="minorHAnsi"/>
          <w:sz w:val="18"/>
          <w:szCs w:val="22"/>
        </w:rPr>
        <w:t>W odniesieniu do EFRR: regiony słabiej rozwinięte, w okresie przejściowym, lepiej rozwinięte i, w stosownych przypadkach, szczególna alokacja dla najbardziej oddalonych i słabo zaludnionych regionów północnych. W odniesieniu do EFS+: regiony słabiej rozwinięte,</w:t>
      </w:r>
      <w:r w:rsidR="001371D9" w:rsidRPr="00890249">
        <w:rPr>
          <w:rStyle w:val="markedcontent"/>
          <w:rFonts w:asciiTheme="minorHAnsi" w:hAnsiTheme="minorHAnsi" w:cstheme="minorHAnsi"/>
          <w:sz w:val="18"/>
          <w:szCs w:val="22"/>
        </w:rPr>
        <w:t xml:space="preserve"> </w:t>
      </w:r>
      <w:r w:rsidRPr="00890249">
        <w:rPr>
          <w:rStyle w:val="markedcontent"/>
          <w:rFonts w:asciiTheme="minorHAnsi" w:hAnsiTheme="minorHAnsi" w:cstheme="minorHAnsi"/>
          <w:sz w:val="18"/>
          <w:szCs w:val="22"/>
        </w:rPr>
        <w:t>w okresie przejściowym, lepiej rozwinięte i, w stosownych przypadkach, dodatkowa alokacja dla regionów najbardziej oddalonych. W odniesieniu do Funduszu Spójności: nie dotyczy. W przypadku pomocy technicznej zastosowanie kategorii regionu zależy od wyboru funduszu.</w:t>
      </w:r>
    </w:p>
    <w:p w14:paraId="59E649F5" w14:textId="77777777" w:rsidR="00B57E08" w:rsidRPr="00890249" w:rsidRDefault="00B57E08" w:rsidP="00124599">
      <w:pPr>
        <w:spacing w:before="0" w:after="160" w:line="259" w:lineRule="auto"/>
        <w:jc w:val="left"/>
        <w:rPr>
          <w:rFonts w:asciiTheme="minorHAnsi" w:eastAsia="Times New Roman" w:hAnsiTheme="minorHAnsi" w:cstheme="minorHAnsi"/>
          <w:i/>
          <w:noProof/>
          <w:szCs w:val="24"/>
        </w:rPr>
      </w:pPr>
    </w:p>
    <w:p w14:paraId="72B0305D" w14:textId="1D6DD0BC" w:rsidR="00D76BA6" w:rsidRDefault="000D05A1">
      <w:pPr>
        <w:spacing w:before="0" w:after="160" w:line="259" w:lineRule="auto"/>
        <w:jc w:val="left"/>
        <w:rPr>
          <w:rFonts w:asciiTheme="minorHAnsi" w:eastAsia="Times New Roman" w:hAnsiTheme="minorHAnsi" w:cstheme="minorHAnsi"/>
          <w:i/>
          <w:noProof/>
          <w:szCs w:val="24"/>
        </w:rPr>
      </w:pPr>
      <w:r w:rsidRPr="00890249">
        <w:rPr>
          <w:rFonts w:asciiTheme="minorHAnsi" w:eastAsia="Times New Roman" w:hAnsiTheme="minorHAnsi" w:cstheme="minorHAnsi"/>
          <w:i/>
          <w:noProof/>
          <w:szCs w:val="24"/>
        </w:rPr>
        <w:br w:type="page"/>
      </w:r>
      <w:r w:rsidR="00D76BA6">
        <w:rPr>
          <w:rFonts w:asciiTheme="minorHAnsi" w:eastAsia="Times New Roman" w:hAnsiTheme="minorHAnsi" w:cstheme="minorHAnsi"/>
          <w:i/>
          <w:noProof/>
          <w:szCs w:val="24"/>
        </w:rPr>
        <w:lastRenderedPageBreak/>
        <w:br w:type="page"/>
      </w:r>
    </w:p>
    <w:p w14:paraId="18ED7DDD" w14:textId="77777777" w:rsidR="000D05A1" w:rsidRPr="00890249" w:rsidRDefault="000D05A1">
      <w:pPr>
        <w:spacing w:before="0" w:after="160" w:line="259" w:lineRule="auto"/>
        <w:jc w:val="left"/>
        <w:rPr>
          <w:rFonts w:asciiTheme="minorHAnsi" w:eastAsia="Times New Roman" w:hAnsiTheme="minorHAnsi" w:cstheme="minorHAnsi"/>
          <w:i/>
          <w:noProof/>
          <w:szCs w:val="24"/>
        </w:rPr>
        <w:sectPr w:rsidR="000D05A1" w:rsidRPr="00890249" w:rsidSect="00B5712B">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418" w:bottom="1418" w:left="1418" w:header="709" w:footer="709" w:gutter="0"/>
          <w:cols w:space="708"/>
          <w:titlePg/>
          <w:docGrid w:linePitch="360"/>
        </w:sectPr>
      </w:pPr>
    </w:p>
    <w:p w14:paraId="6C3C635B" w14:textId="77777777" w:rsidR="007063EC" w:rsidRPr="00890249" w:rsidRDefault="007063EC" w:rsidP="00E923F3">
      <w:pPr>
        <w:rPr>
          <w:rFonts w:asciiTheme="minorHAnsi" w:hAnsiTheme="minorHAnsi" w:cstheme="minorHAnsi"/>
        </w:rPr>
      </w:pPr>
    </w:p>
    <w:p w14:paraId="573B1210" w14:textId="77777777" w:rsidR="005E270C" w:rsidRPr="00890249" w:rsidRDefault="005E270C" w:rsidP="005E270C">
      <w:pPr>
        <w:rPr>
          <w:rFonts w:asciiTheme="minorHAnsi" w:hAnsiTheme="minorHAnsi" w:cstheme="minorHAnsi"/>
          <w:b/>
          <w:color w:val="003399"/>
          <w:szCs w:val="24"/>
        </w:rPr>
      </w:pPr>
      <w:bookmarkStart w:id="46" w:name="_Toc114257102"/>
      <w:r w:rsidRPr="00890249">
        <w:rPr>
          <w:rFonts w:asciiTheme="minorHAnsi" w:hAnsiTheme="minorHAnsi" w:cstheme="minorHAnsi"/>
          <w:b/>
          <w:color w:val="003399"/>
        </w:rPr>
        <w:t>3.A PRZESUNIĘCIA I WKŁADY</w:t>
      </w:r>
      <w:bookmarkEnd w:id="46"/>
      <w:r w:rsidRPr="00890249">
        <w:rPr>
          <w:rFonts w:asciiTheme="minorHAnsi" w:hAnsiTheme="minorHAnsi" w:cstheme="minorHAnsi"/>
          <w:b/>
          <w:bCs/>
          <w:noProof/>
          <w:vertAlign w:val="superscript"/>
        </w:rPr>
        <w:footnoteReference w:id="248"/>
      </w:r>
    </w:p>
    <w:p w14:paraId="1030DDBC" w14:textId="77777777" w:rsidR="005E270C" w:rsidRPr="00890249" w:rsidRDefault="005E270C" w:rsidP="005E270C">
      <w:pPr>
        <w:spacing w:before="240" w:after="240"/>
        <w:rPr>
          <w:rFonts w:asciiTheme="minorHAnsi" w:hAnsiTheme="minorHAnsi" w:cstheme="minorHAnsi"/>
          <w:noProof/>
          <w:sz w:val="22"/>
          <w:szCs w:val="22"/>
        </w:rPr>
      </w:pPr>
      <w:r w:rsidRPr="00890249">
        <w:rPr>
          <w:rFonts w:asciiTheme="minorHAnsi" w:hAnsiTheme="minorHAnsi" w:cstheme="minorHAnsi"/>
          <w:noProof/>
          <w:sz w:val="22"/>
          <w:szCs w:val="22"/>
        </w:rPr>
        <w:t>Nie dotyczy.</w:t>
      </w:r>
    </w:p>
    <w:p w14:paraId="3DB73AAE" w14:textId="77777777" w:rsidR="005E270C" w:rsidRDefault="005E270C" w:rsidP="00AC1BD0">
      <w:pPr>
        <w:pStyle w:val="Nagwek1"/>
        <w:numPr>
          <w:ilvl w:val="0"/>
          <w:numId w:val="0"/>
        </w:numPr>
        <w:ind w:left="360" w:hanging="360"/>
      </w:pPr>
      <w:bookmarkStart w:id="47" w:name="_Toc114257103"/>
      <w:bookmarkStart w:id="48" w:name="_Toc188266924"/>
      <w:r w:rsidRPr="00EE43C5">
        <w:t>3.1 ŚRODKI FINANSOWE W ROZBICIU NA POSZCZEGÓLNE LATA</w:t>
      </w:r>
      <w:bookmarkEnd w:id="47"/>
      <w:bookmarkEnd w:id="48"/>
    </w:p>
    <w:p w14:paraId="41349A34" w14:textId="54AEE6DA" w:rsidR="005E270C" w:rsidRPr="00890249" w:rsidRDefault="00AC1BD0" w:rsidP="00AC1BD0">
      <w:pPr>
        <w:pStyle w:val="Nagwek1"/>
        <w:numPr>
          <w:ilvl w:val="0"/>
          <w:numId w:val="0"/>
        </w:numPr>
        <w:ind w:left="360" w:hanging="360"/>
        <w:rPr>
          <w:rFonts w:cstheme="minorHAnsi"/>
          <w:b w:val="0"/>
          <w:color w:val="003399"/>
        </w:rPr>
      </w:pPr>
      <w:bookmarkStart w:id="49" w:name="_Toc188266925"/>
      <w:r>
        <w:t>3.2 ŁĄCZNE ŚRODKI FINANSOWE W PODZIALE NA POSZCZEGÓLNE FUNDUSZE ORAZ WSPÓŁFINANSOWANIE KRAJOWE</w:t>
      </w:r>
      <w:r w:rsidR="005E270C" w:rsidRPr="00AC1BD0">
        <w:rPr>
          <w:rFonts w:cstheme="minorHAnsi"/>
          <w:bCs/>
          <w:noProof/>
          <w:vertAlign w:val="superscript"/>
        </w:rPr>
        <w:footnoteReference w:id="249"/>
      </w:r>
      <w:bookmarkEnd w:id="49"/>
    </w:p>
    <w:p w14:paraId="702D5389" w14:textId="215EE9FB" w:rsidR="00A27C86" w:rsidRDefault="00A27C86">
      <w:pPr>
        <w:spacing w:before="0" w:after="160" w:line="259" w:lineRule="auto"/>
        <w:jc w:val="left"/>
        <w:rPr>
          <w:rFonts w:asciiTheme="minorHAnsi" w:eastAsiaTheme="majorEastAsia" w:hAnsiTheme="minorHAnsi" w:cstheme="minorHAnsi"/>
          <w:b/>
          <w:color w:val="003399"/>
        </w:rPr>
      </w:pPr>
      <w:r>
        <w:rPr>
          <w:rFonts w:asciiTheme="minorHAnsi" w:eastAsiaTheme="majorEastAsia" w:hAnsiTheme="minorHAnsi" w:cstheme="minorHAnsi"/>
          <w:b/>
          <w:color w:val="003399"/>
        </w:rPr>
        <w:br w:type="page"/>
      </w:r>
    </w:p>
    <w:p w14:paraId="5142F955" w14:textId="77777777" w:rsidR="005E270C" w:rsidRDefault="005E270C" w:rsidP="00F40309">
      <w:pPr>
        <w:spacing w:before="0" w:after="160" w:line="259" w:lineRule="auto"/>
        <w:jc w:val="left"/>
        <w:rPr>
          <w:rFonts w:asciiTheme="minorHAnsi" w:eastAsiaTheme="majorEastAsia" w:hAnsiTheme="minorHAnsi" w:cstheme="minorHAnsi"/>
          <w:b/>
          <w:color w:val="003399"/>
        </w:rPr>
      </w:pPr>
    </w:p>
    <w:p w14:paraId="201D5BFE" w14:textId="77777777" w:rsidR="00A27C86" w:rsidRPr="00890249" w:rsidRDefault="00A27C86" w:rsidP="00F40309">
      <w:pPr>
        <w:spacing w:before="0" w:after="160" w:line="259" w:lineRule="auto"/>
        <w:jc w:val="left"/>
        <w:rPr>
          <w:rFonts w:asciiTheme="minorHAnsi" w:eastAsiaTheme="majorEastAsia" w:hAnsiTheme="minorHAnsi" w:cstheme="minorHAnsi"/>
          <w:b/>
          <w:color w:val="003399"/>
        </w:rPr>
        <w:sectPr w:rsidR="00A27C86" w:rsidRPr="00890249" w:rsidSect="000D05A1">
          <w:pgSz w:w="11906" w:h="16838"/>
          <w:pgMar w:top="1418" w:right="1418" w:bottom="1418" w:left="1418" w:header="709" w:footer="709" w:gutter="0"/>
          <w:cols w:space="708"/>
          <w:titlePg/>
          <w:docGrid w:linePitch="360"/>
        </w:sectPr>
      </w:pPr>
    </w:p>
    <w:p w14:paraId="1F73FC7C" w14:textId="708A54FE" w:rsidR="0093433C" w:rsidRPr="00890249" w:rsidRDefault="0093433C" w:rsidP="00890249">
      <w:pPr>
        <w:pStyle w:val="Tekstpodstawowy"/>
        <w:rPr>
          <w:rFonts w:asciiTheme="minorHAnsi" w:hAnsiTheme="minorHAnsi" w:cstheme="minorHAnsi"/>
        </w:rPr>
      </w:pPr>
    </w:p>
    <w:p w14:paraId="365EBFBF" w14:textId="77777777" w:rsidR="00C818DD" w:rsidRPr="00AC1BD0" w:rsidRDefault="0075335D" w:rsidP="00AC1BD0">
      <w:pPr>
        <w:pStyle w:val="Nagwek1"/>
      </w:pPr>
      <w:bookmarkStart w:id="50" w:name="_Toc188266926"/>
      <w:r w:rsidRPr="00AC1BD0">
        <w:t>WARUNKI PODSTAWOWE</w:t>
      </w:r>
      <w:bookmarkEnd w:id="50"/>
    </w:p>
    <w:p w14:paraId="727E56C7" w14:textId="77777777" w:rsidR="0093433C" w:rsidRPr="00890249" w:rsidRDefault="001C5764" w:rsidP="00890249">
      <w:pPr>
        <w:pStyle w:val="Nagwek6"/>
        <w:rPr>
          <w:rFonts w:asciiTheme="minorHAnsi" w:hAnsiTheme="minorHAnsi" w:cstheme="minorHAnsi"/>
          <w:noProof/>
        </w:rPr>
      </w:pPr>
      <w:r w:rsidRPr="00890249">
        <w:rPr>
          <w:rFonts w:asciiTheme="minorHAnsi" w:hAnsiTheme="minorHAnsi" w:cstheme="minorHAnsi"/>
          <w:noProof/>
          <w:color w:val="auto"/>
        </w:rPr>
        <w:t>Tabela 12: Warunki podstawowe</w:t>
      </w:r>
    </w:p>
    <w:tbl>
      <w:tblPr>
        <w:tblStyle w:val="Tabela-Siatka3"/>
        <w:tblW w:w="15735" w:type="dxa"/>
        <w:tblInd w:w="-856" w:type="dxa"/>
        <w:tblLayout w:type="fixed"/>
        <w:tblLook w:val="04A0" w:firstRow="1" w:lastRow="0" w:firstColumn="1" w:lastColumn="0" w:noHBand="0" w:noVBand="1"/>
      </w:tblPr>
      <w:tblGrid>
        <w:gridCol w:w="1560"/>
        <w:gridCol w:w="709"/>
        <w:gridCol w:w="1843"/>
        <w:gridCol w:w="1559"/>
        <w:gridCol w:w="2551"/>
        <w:gridCol w:w="1134"/>
        <w:gridCol w:w="3402"/>
        <w:gridCol w:w="2977"/>
      </w:tblGrid>
      <w:tr w:rsidR="00E8684E" w:rsidRPr="00890249" w14:paraId="6D12EED4" w14:textId="77777777" w:rsidTr="00F62734">
        <w:trPr>
          <w:cantSplit/>
          <w:trHeight w:val="1134"/>
          <w:tblHeader/>
        </w:trPr>
        <w:tc>
          <w:tcPr>
            <w:tcW w:w="1560" w:type="dxa"/>
            <w:shd w:val="clear" w:color="auto" w:fill="D9D9D9" w:themeFill="background1" w:themeFillShade="D9"/>
            <w:vAlign w:val="center"/>
          </w:tcPr>
          <w:p w14:paraId="62A5A226" w14:textId="77777777" w:rsidR="00E8684E" w:rsidRPr="00890249" w:rsidRDefault="00E8684E" w:rsidP="00E8684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Warunki podstawowe</w:t>
            </w:r>
          </w:p>
        </w:tc>
        <w:tc>
          <w:tcPr>
            <w:tcW w:w="709" w:type="dxa"/>
            <w:shd w:val="clear" w:color="auto" w:fill="D9D9D9" w:themeFill="background1" w:themeFillShade="D9"/>
            <w:textDirection w:val="btLr"/>
            <w:vAlign w:val="center"/>
          </w:tcPr>
          <w:p w14:paraId="074A754F" w14:textId="77777777" w:rsidR="00E8684E" w:rsidRPr="00890249" w:rsidRDefault="00E8684E" w:rsidP="00E8684E">
            <w:pPr>
              <w:ind w:left="113" w:right="113"/>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Fundusz</w:t>
            </w:r>
          </w:p>
        </w:tc>
        <w:tc>
          <w:tcPr>
            <w:tcW w:w="1843" w:type="dxa"/>
            <w:shd w:val="clear" w:color="auto" w:fill="D9D9D9" w:themeFill="background1" w:themeFillShade="D9"/>
            <w:vAlign w:val="center"/>
          </w:tcPr>
          <w:p w14:paraId="4E830195" w14:textId="77777777" w:rsidR="00E8684E" w:rsidRPr="00890249" w:rsidRDefault="00E8684E" w:rsidP="00E8684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Cel szczegółowy</w:t>
            </w:r>
          </w:p>
          <w:p w14:paraId="12E09F94" w14:textId="77777777" w:rsidR="00E8684E" w:rsidRPr="00890249" w:rsidRDefault="00E8684E" w:rsidP="00E8684E">
            <w:pPr>
              <w:jc w:val="center"/>
              <w:rPr>
                <w:rFonts w:asciiTheme="minorHAnsi" w:eastAsia="Times New Roman" w:hAnsiTheme="minorHAnsi" w:cstheme="minorHAnsi"/>
                <w:b/>
                <w:iCs/>
                <w:noProof/>
                <w:sz w:val="20"/>
              </w:rPr>
            </w:pPr>
            <w:r w:rsidRPr="00890249">
              <w:rPr>
                <w:rFonts w:asciiTheme="minorHAnsi" w:hAnsiTheme="minorHAnsi" w:cstheme="minorHAnsi"/>
                <w:noProof/>
                <w:sz w:val="20"/>
              </w:rPr>
              <w:t>(nie dotyczy EFMRA)</w:t>
            </w:r>
          </w:p>
        </w:tc>
        <w:tc>
          <w:tcPr>
            <w:tcW w:w="1559" w:type="dxa"/>
            <w:shd w:val="clear" w:color="auto" w:fill="D9D9D9" w:themeFill="background1" w:themeFillShade="D9"/>
            <w:vAlign w:val="center"/>
          </w:tcPr>
          <w:p w14:paraId="4E569A33" w14:textId="77777777" w:rsidR="00E8684E" w:rsidRPr="00890249" w:rsidRDefault="00E8684E" w:rsidP="00E8684E">
            <w:pPr>
              <w:jc w:val="center"/>
              <w:rPr>
                <w:rFonts w:asciiTheme="minorHAnsi" w:hAnsiTheme="minorHAnsi" w:cstheme="minorHAnsi"/>
                <w:b/>
                <w:noProof/>
                <w:sz w:val="20"/>
              </w:rPr>
            </w:pPr>
            <w:r w:rsidRPr="00890249">
              <w:rPr>
                <w:rFonts w:asciiTheme="minorHAnsi" w:hAnsiTheme="minorHAnsi" w:cstheme="minorHAnsi"/>
                <w:b/>
                <w:noProof/>
                <w:sz w:val="20"/>
              </w:rPr>
              <w:t>Spełnienie warunku podstawowego</w:t>
            </w:r>
          </w:p>
        </w:tc>
        <w:tc>
          <w:tcPr>
            <w:tcW w:w="2551" w:type="dxa"/>
            <w:shd w:val="clear" w:color="auto" w:fill="D9D9D9" w:themeFill="background1" w:themeFillShade="D9"/>
            <w:vAlign w:val="center"/>
          </w:tcPr>
          <w:p w14:paraId="6B668186" w14:textId="77777777" w:rsidR="00E8684E" w:rsidRPr="00890249" w:rsidRDefault="00E8684E" w:rsidP="00E8684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Kryteria</w:t>
            </w:r>
          </w:p>
        </w:tc>
        <w:tc>
          <w:tcPr>
            <w:tcW w:w="1134" w:type="dxa"/>
            <w:shd w:val="clear" w:color="auto" w:fill="D9D9D9" w:themeFill="background1" w:themeFillShade="D9"/>
            <w:vAlign w:val="center"/>
          </w:tcPr>
          <w:p w14:paraId="5683DA34" w14:textId="77777777" w:rsidR="00E8684E" w:rsidRPr="00890249" w:rsidRDefault="00E8684E" w:rsidP="00E8684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Spełnienie kryteriów</w:t>
            </w:r>
          </w:p>
        </w:tc>
        <w:tc>
          <w:tcPr>
            <w:tcW w:w="3402" w:type="dxa"/>
            <w:shd w:val="clear" w:color="auto" w:fill="D9D9D9" w:themeFill="background1" w:themeFillShade="D9"/>
            <w:vAlign w:val="center"/>
          </w:tcPr>
          <w:p w14:paraId="1B56E5B8" w14:textId="77777777" w:rsidR="00E8684E" w:rsidRPr="00890249" w:rsidRDefault="00E8684E" w:rsidP="00E8684E">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Odniesienie do odpowiednich dokumentów</w:t>
            </w:r>
          </w:p>
        </w:tc>
        <w:tc>
          <w:tcPr>
            <w:tcW w:w="2977" w:type="dxa"/>
            <w:shd w:val="clear" w:color="auto" w:fill="D9D9D9" w:themeFill="background1" w:themeFillShade="D9"/>
            <w:vAlign w:val="center"/>
          </w:tcPr>
          <w:p w14:paraId="6FB77BBD" w14:textId="77777777" w:rsidR="00E8684E" w:rsidRPr="00890249" w:rsidRDefault="00E8684E" w:rsidP="00325D70">
            <w:pPr>
              <w:jc w:val="center"/>
              <w:rPr>
                <w:rFonts w:asciiTheme="minorHAnsi" w:eastAsia="Times New Roman" w:hAnsiTheme="minorHAnsi" w:cstheme="minorHAnsi"/>
                <w:b/>
                <w:iCs/>
                <w:noProof/>
                <w:sz w:val="20"/>
              </w:rPr>
            </w:pPr>
            <w:r w:rsidRPr="00890249">
              <w:rPr>
                <w:rFonts w:asciiTheme="minorHAnsi" w:hAnsiTheme="minorHAnsi" w:cstheme="minorHAnsi"/>
                <w:b/>
                <w:noProof/>
                <w:sz w:val="20"/>
              </w:rPr>
              <w:t>Uzasadnienie</w:t>
            </w:r>
          </w:p>
        </w:tc>
      </w:tr>
      <w:tr w:rsidR="00E8684E" w:rsidRPr="00890249" w14:paraId="62BAB668" w14:textId="77777777" w:rsidTr="00F62734">
        <w:tc>
          <w:tcPr>
            <w:tcW w:w="1560" w:type="dxa"/>
            <w:vMerge w:val="restart"/>
          </w:tcPr>
          <w:p w14:paraId="0A612DE2"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Skuteczne</w:t>
            </w:r>
            <w:r w:rsidRPr="00890249">
              <w:rPr>
                <w:rFonts w:asciiTheme="minorHAnsi" w:hAnsiTheme="minorHAnsi" w:cstheme="minorHAnsi"/>
                <w:noProof/>
                <w:sz w:val="20"/>
              </w:rPr>
              <w:t xml:space="preserve"> mechanizmy monitorowania rynku zamówień publicznych</w:t>
            </w:r>
          </w:p>
        </w:tc>
        <w:tc>
          <w:tcPr>
            <w:tcW w:w="709" w:type="dxa"/>
            <w:vMerge w:val="restart"/>
          </w:tcPr>
          <w:p w14:paraId="4D29FC1C" w14:textId="77777777" w:rsidR="00E8684E" w:rsidRPr="00890249" w:rsidRDefault="00E8684E" w:rsidP="00E8684E">
            <w:pPr>
              <w:jc w:val="left"/>
              <w:rPr>
                <w:rFonts w:asciiTheme="minorHAnsi" w:hAnsiTheme="minorHAnsi" w:cstheme="minorHAnsi"/>
                <w:bCs/>
                <w:sz w:val="20"/>
                <w:lang w:val="en-GB"/>
              </w:rPr>
            </w:pPr>
            <w:r w:rsidRPr="00890249">
              <w:rPr>
                <w:rFonts w:asciiTheme="minorHAnsi" w:hAnsiTheme="minorHAnsi" w:cstheme="minorHAnsi"/>
                <w:bCs/>
                <w:sz w:val="20"/>
                <w:lang w:val="en-GB"/>
              </w:rPr>
              <w:t>EFRR</w:t>
            </w:r>
          </w:p>
          <w:p w14:paraId="5EB9A32C" w14:textId="77777777" w:rsidR="00E8684E" w:rsidRPr="00890249" w:rsidRDefault="00E8684E" w:rsidP="00E8684E">
            <w:pPr>
              <w:jc w:val="left"/>
              <w:rPr>
                <w:rFonts w:asciiTheme="minorHAnsi" w:hAnsiTheme="minorHAnsi" w:cstheme="minorHAnsi"/>
                <w:bCs/>
                <w:sz w:val="20"/>
                <w:lang w:val="en-GB"/>
              </w:rPr>
            </w:pPr>
            <w:r w:rsidRPr="00890249">
              <w:rPr>
                <w:rFonts w:asciiTheme="minorHAnsi" w:hAnsiTheme="minorHAnsi" w:cstheme="minorHAnsi"/>
                <w:bCs/>
                <w:sz w:val="20"/>
                <w:lang w:val="en-GB"/>
              </w:rPr>
              <w:t>EFS+</w:t>
            </w:r>
          </w:p>
          <w:p w14:paraId="12B5C97F"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val="restart"/>
          </w:tcPr>
          <w:p w14:paraId="62FFBFF0"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t>Warunek mający zastosowanie do wszystkich celów szczegółowych</w:t>
            </w:r>
          </w:p>
        </w:tc>
        <w:tc>
          <w:tcPr>
            <w:tcW w:w="1559" w:type="dxa"/>
            <w:vMerge w:val="restart"/>
          </w:tcPr>
          <w:p w14:paraId="087339E0"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Tak</w:t>
            </w:r>
          </w:p>
          <w:p w14:paraId="477FF821" w14:textId="5381BC91"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bCs/>
                <w:sz w:val="20"/>
              </w:rPr>
              <w:t>Warunek podstawowy został spełniony na podstawie art. 83 i 84 dyrektywy 2014/24/UE oraz art. 99 i 100 dyrektywy 2014/25/UE) Urząd Zamówień Publicznych (dalej UZP</w:t>
            </w:r>
            <w:r w:rsidR="004D02A1">
              <w:rPr>
                <w:rFonts w:asciiTheme="minorHAnsi" w:hAnsiTheme="minorHAnsi" w:cstheme="minorHAnsi"/>
                <w:bCs/>
                <w:sz w:val="20"/>
              </w:rPr>
              <w:t>)</w:t>
            </w:r>
          </w:p>
        </w:tc>
        <w:tc>
          <w:tcPr>
            <w:tcW w:w="2551" w:type="dxa"/>
          </w:tcPr>
          <w:p w14:paraId="135ED4D8"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Istnienie mechanizmów monitorowania obejmujących wszystkie umowy w sprawie zamówień publicznych oraz postępowania w sprawie tych zamówień w ramach Funduszy zgodnie z prawodawstwem Unii dotyczącym zamówień.</w:t>
            </w:r>
          </w:p>
          <w:p w14:paraId="3818278E"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Wymóg ten obejmuje:</w:t>
            </w:r>
          </w:p>
          <w:p w14:paraId="11B23833"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1</w:t>
            </w:r>
          </w:p>
          <w:p w14:paraId="7D22A62F"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tc>
        <w:tc>
          <w:tcPr>
            <w:tcW w:w="1134" w:type="dxa"/>
            <w:vMerge w:val="restart"/>
          </w:tcPr>
          <w:p w14:paraId="354E58FA"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vMerge w:val="restart"/>
          </w:tcPr>
          <w:p w14:paraId="35D74E5B" w14:textId="77777777" w:rsidR="004D02A1" w:rsidRPr="004D02A1" w:rsidRDefault="004D02A1" w:rsidP="004D02A1">
            <w:pPr>
              <w:jc w:val="left"/>
              <w:rPr>
                <w:rFonts w:asciiTheme="minorHAnsi" w:hAnsiTheme="minorHAnsi" w:cstheme="minorHAnsi"/>
                <w:bCs/>
                <w:sz w:val="20"/>
              </w:rPr>
            </w:pPr>
            <w:r w:rsidRPr="004D02A1">
              <w:rPr>
                <w:rFonts w:asciiTheme="minorHAnsi" w:hAnsiTheme="minorHAnsi" w:cstheme="minorHAnsi"/>
                <w:bCs/>
                <w:sz w:val="20"/>
              </w:rPr>
              <w:t>Warunek spełniony poprzez Ustawę z dnia 11 września 2019 r. - Prawo zamówień publicznych</w:t>
            </w:r>
            <w:r w:rsidRPr="004D02A1" w:rsidDel="00CB3B88">
              <w:rPr>
                <w:rFonts w:asciiTheme="minorHAnsi" w:hAnsiTheme="minorHAnsi" w:cstheme="minorHAnsi"/>
                <w:bCs/>
                <w:sz w:val="20"/>
              </w:rPr>
              <w:t xml:space="preserve"> </w:t>
            </w:r>
            <w:r w:rsidRPr="004D02A1">
              <w:rPr>
                <w:rFonts w:asciiTheme="minorHAnsi" w:hAnsiTheme="minorHAnsi" w:cstheme="minorHAnsi"/>
                <w:bCs/>
                <w:sz w:val="20"/>
              </w:rPr>
              <w:t xml:space="preserve">(Dz.U. 2019 poz. 2019) oraz Rozporządzenia Ministra Rozwoju i Finansów z dnia 15 grudnia 2016 r. w sprawie informacji zawartych w rocznym sprawozdaniu o udzielonych zamówieniach, jego wzoru oraz sposobu przekazywania (Dz. U. 2016 poz. 2038). Zgodnie z Art.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 dane pochodzące z bazy TED (Tenders Electronic Daily będącej „Suplementem do Dziennika Urzędowego Unii Europejskiej") oraz informacje o wynikach kontroli  prowadzonych przez Prezesa UZP. </w:t>
            </w:r>
          </w:p>
          <w:p w14:paraId="610E9B11" w14:textId="163934CF" w:rsidR="00E8684E" w:rsidRPr="00890249" w:rsidRDefault="004D02A1" w:rsidP="00E8684E">
            <w:pPr>
              <w:jc w:val="left"/>
              <w:rPr>
                <w:rFonts w:asciiTheme="minorHAnsi" w:hAnsiTheme="minorHAnsi" w:cstheme="minorHAnsi"/>
                <w:bCs/>
                <w:sz w:val="20"/>
              </w:rPr>
            </w:pPr>
            <w:r w:rsidRPr="004D02A1">
              <w:rPr>
                <w:rFonts w:asciiTheme="minorHAnsi" w:hAnsiTheme="minorHAnsi" w:cstheme="minorHAnsi"/>
                <w:bCs/>
                <w:sz w:val="20"/>
              </w:rPr>
              <w:lastRenderedPageBreak/>
              <w:t xml:space="preserve">UZP ma dostęp do wszystkich danych wymaganych w ramach warunkowości podstawowej łącznie z danymi dotyczącymi finalnej ceny po wykonaniu zamówienia. W przypadku podejrzenia zmowy przetargowej, UZP przekazuje informację w tym zakresie do UOKiK, z którym na podstawie odrębnego porozumienia realizowana jest współpraca obu instytucji i wymiana informacji. </w:t>
            </w:r>
          </w:p>
          <w:p w14:paraId="085FB565"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Link do ustawy:</w:t>
            </w:r>
            <w:r w:rsidRPr="00890249">
              <w:rPr>
                <w:rFonts w:asciiTheme="minorHAnsi" w:hAnsiTheme="minorHAnsi" w:cstheme="minorHAnsi"/>
                <w:b/>
                <w:sz w:val="20"/>
              </w:rPr>
              <w:t xml:space="preserve"> </w:t>
            </w:r>
            <w:hyperlink w:history="1">
              <w:r w:rsidRPr="00890249">
                <w:rPr>
                  <w:rFonts w:asciiTheme="minorHAnsi" w:hAnsiTheme="minorHAnsi" w:cstheme="minorHAnsi"/>
                  <w:b/>
                  <w:bCs/>
                  <w:color w:val="0000FF"/>
                  <w:sz w:val="20"/>
                  <w:u w:val="single"/>
                </w:rPr>
                <w:t>http://isap.sejm.gov.pl/isap.nsf/download.xsp/WDU20190002019/U/D20192019Lj.pdf</w:t>
              </w:r>
            </w:hyperlink>
            <w:r w:rsidRPr="00890249">
              <w:rPr>
                <w:rFonts w:asciiTheme="minorHAnsi" w:hAnsiTheme="minorHAnsi" w:cstheme="minorHAnsi"/>
                <w:b/>
                <w:bCs/>
                <w:sz w:val="20"/>
              </w:rPr>
              <w:t xml:space="preserve"> </w:t>
            </w:r>
          </w:p>
          <w:p w14:paraId="3E39C792" w14:textId="77777777" w:rsidR="004D02A1" w:rsidRPr="00F62734" w:rsidRDefault="004D02A1" w:rsidP="004D02A1">
            <w:pPr>
              <w:rPr>
                <w:rFonts w:ascii="Calibri" w:hAnsi="Calibri" w:cs="Calibri"/>
                <w:b/>
                <w:bCs/>
                <w:sz w:val="20"/>
              </w:rPr>
            </w:pPr>
            <w:r w:rsidRPr="00F62734">
              <w:rPr>
                <w:rFonts w:ascii="Calibri" w:hAnsi="Calibri" w:cs="Calibri"/>
                <w:b/>
                <w:bCs/>
                <w:sz w:val="20"/>
              </w:rPr>
              <w:t>Link do rocznych sprawozdań z funkcjonowania systemu zamówień publicznych:</w:t>
            </w:r>
          </w:p>
          <w:p w14:paraId="49AA0906" w14:textId="77777777" w:rsidR="004D02A1" w:rsidRPr="00F62734" w:rsidRDefault="004D02A1" w:rsidP="004D02A1">
            <w:pPr>
              <w:rPr>
                <w:rFonts w:ascii="Calibri" w:hAnsi="Calibri" w:cs="Calibri"/>
                <w:b/>
                <w:bCs/>
                <w:sz w:val="20"/>
              </w:rPr>
            </w:pPr>
            <w:r w:rsidRPr="00F62734">
              <w:rPr>
                <w:rFonts w:ascii="Calibri" w:hAnsi="Calibri" w:cs="Calibri"/>
                <w:b/>
                <w:bCs/>
                <w:sz w:val="20"/>
              </w:rPr>
              <w:t>https://www.gov.pl/web/uzp/sprawozdania-o-funkcjonowaniu-systemu-zamowien-publicznych</w:t>
            </w:r>
          </w:p>
          <w:p w14:paraId="5ABE8B7A" w14:textId="77777777" w:rsidR="00E8684E" w:rsidRPr="00890249" w:rsidRDefault="00E8684E" w:rsidP="00E8684E">
            <w:pPr>
              <w:jc w:val="left"/>
              <w:rPr>
                <w:rFonts w:asciiTheme="minorHAnsi" w:hAnsiTheme="minorHAnsi" w:cstheme="minorHAnsi"/>
                <w:bCs/>
                <w:color w:val="000000"/>
                <w:sz w:val="20"/>
              </w:rPr>
            </w:pPr>
          </w:p>
        </w:tc>
        <w:tc>
          <w:tcPr>
            <w:tcW w:w="2977" w:type="dxa"/>
          </w:tcPr>
          <w:p w14:paraId="5AF9B277" w14:textId="77777777" w:rsidR="00553C6F"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lastRenderedPageBreak/>
              <w:t>Kryterium 1.</w:t>
            </w:r>
            <w:r w:rsidRPr="00890249">
              <w:rPr>
                <w:rFonts w:asciiTheme="minorHAnsi" w:hAnsiTheme="minorHAnsi" w:cstheme="minorHAnsi"/>
                <w:sz w:val="20"/>
              </w:rPr>
              <w:t xml:space="preserve"> </w:t>
            </w:r>
          </w:p>
          <w:p w14:paraId="384075B1" w14:textId="77777777" w:rsidR="004B59D6" w:rsidRPr="00890249" w:rsidRDefault="004B59D6" w:rsidP="00325D70">
            <w:pPr>
              <w:spacing w:after="0"/>
              <w:jc w:val="left"/>
              <w:rPr>
                <w:rFonts w:asciiTheme="minorHAnsi" w:hAnsiTheme="minorHAnsi" w:cstheme="minorHAnsi"/>
                <w:b/>
                <w:bCs/>
                <w:sz w:val="20"/>
              </w:rPr>
            </w:pPr>
            <w:r w:rsidRPr="00890249">
              <w:rPr>
                <w:rFonts w:asciiTheme="minorHAnsi" w:hAnsiTheme="minorHAnsi" w:cstheme="minorHAnsi"/>
                <w:bCs/>
                <w:sz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r w:rsidRPr="00890249">
              <w:rPr>
                <w:rFonts w:asciiTheme="minorHAnsi" w:hAnsiTheme="minorHAnsi" w:cstheme="minorHAnsi"/>
                <w:b/>
                <w:bCs/>
                <w:sz w:val="20"/>
              </w:rPr>
              <w:t>.</w:t>
            </w:r>
          </w:p>
          <w:p w14:paraId="5D9CC83D" w14:textId="78BA6FDF" w:rsidR="00E8684E" w:rsidRPr="00890249" w:rsidRDefault="00E8684E" w:rsidP="00325D70">
            <w:pPr>
              <w:jc w:val="left"/>
              <w:rPr>
                <w:rFonts w:asciiTheme="minorHAnsi" w:hAnsiTheme="minorHAnsi" w:cstheme="minorHAnsi"/>
                <w:noProof/>
                <w:sz w:val="20"/>
              </w:rPr>
            </w:pPr>
          </w:p>
        </w:tc>
      </w:tr>
      <w:tr w:rsidR="00E8684E" w:rsidRPr="00890249" w14:paraId="77B1AEC4" w14:textId="77777777" w:rsidTr="00F62734">
        <w:tc>
          <w:tcPr>
            <w:tcW w:w="1560" w:type="dxa"/>
            <w:vMerge/>
          </w:tcPr>
          <w:p w14:paraId="2FF4A35A"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572B78EE"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39CB1602"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3F181282"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198ADF85"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2</w:t>
            </w:r>
          </w:p>
          <w:p w14:paraId="7FADA011"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Rozwiązania mające zapewnić, by dane obejmowały co najmniej następujące elementy: </w:t>
            </w:r>
          </w:p>
          <w:p w14:paraId="42E2B991"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a) jakość i natężenie konkurencji: nazwiska/nazwy zwycięskich oferentów, liczba oferentów na początku postępowania oraz wartość umowy;</w:t>
            </w:r>
          </w:p>
          <w:p w14:paraId="0EF5C03A"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b) informacja o ostatecznej cenie po zakończeniu postępowania i o udziale MŚP jako bezpośrednich oferentów, w przypadku gdy systemy krajowe podają takie informacje</w:t>
            </w:r>
          </w:p>
        </w:tc>
        <w:tc>
          <w:tcPr>
            <w:tcW w:w="1134" w:type="dxa"/>
            <w:vMerge/>
          </w:tcPr>
          <w:p w14:paraId="04DC2EAA" w14:textId="77777777" w:rsidR="00E8684E" w:rsidRPr="00890249" w:rsidRDefault="00E8684E" w:rsidP="00E8684E">
            <w:pPr>
              <w:jc w:val="left"/>
              <w:rPr>
                <w:rFonts w:asciiTheme="minorHAnsi" w:hAnsiTheme="minorHAnsi" w:cstheme="minorHAnsi"/>
                <w:noProof/>
                <w:sz w:val="20"/>
              </w:rPr>
            </w:pPr>
          </w:p>
        </w:tc>
        <w:tc>
          <w:tcPr>
            <w:tcW w:w="3402" w:type="dxa"/>
            <w:vMerge/>
          </w:tcPr>
          <w:p w14:paraId="0DF6EF13" w14:textId="77777777" w:rsidR="00E8684E" w:rsidRPr="00890249" w:rsidRDefault="00E8684E" w:rsidP="00E8684E">
            <w:pPr>
              <w:jc w:val="left"/>
              <w:rPr>
                <w:rFonts w:asciiTheme="minorHAnsi" w:hAnsiTheme="minorHAnsi" w:cstheme="minorHAnsi"/>
                <w:noProof/>
                <w:sz w:val="20"/>
              </w:rPr>
            </w:pPr>
          </w:p>
        </w:tc>
        <w:tc>
          <w:tcPr>
            <w:tcW w:w="2977" w:type="dxa"/>
          </w:tcPr>
          <w:p w14:paraId="57A99DB5" w14:textId="77777777" w:rsidR="00553C6F"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2.</w:t>
            </w:r>
            <w:r w:rsidRPr="00890249">
              <w:rPr>
                <w:rFonts w:asciiTheme="minorHAnsi" w:hAnsiTheme="minorHAnsi" w:cstheme="minorHAnsi"/>
                <w:sz w:val="20"/>
              </w:rPr>
              <w:t xml:space="preserve"> </w:t>
            </w:r>
          </w:p>
          <w:p w14:paraId="21140BD0" w14:textId="77777777" w:rsidR="004B59D6" w:rsidRPr="00890249" w:rsidRDefault="004B59D6" w:rsidP="00325D70">
            <w:pPr>
              <w:spacing w:after="0"/>
              <w:jc w:val="left"/>
              <w:rPr>
                <w:rFonts w:asciiTheme="minorHAnsi" w:hAnsiTheme="minorHAnsi" w:cstheme="minorHAnsi"/>
                <w:bCs/>
                <w:sz w:val="20"/>
              </w:rPr>
            </w:pPr>
            <w:r w:rsidRPr="00890249">
              <w:rPr>
                <w:rFonts w:asciiTheme="minorHAnsi" w:hAnsiTheme="minorHAnsi" w:cstheme="minorHAnsi"/>
                <w:bCs/>
                <w:sz w:val="20"/>
              </w:rPr>
              <w:t>UZP posiada dostęp do wszystkich danych wymaganych w ramach warunkowości podstawowej (dane pochodzą z bazy TED prowadzonej przez KE  ze sprawozdań rocznych przedkładanych Prezesowi UZP przez zamawiających oraz bazy BZP</w:t>
            </w:r>
          </w:p>
          <w:p w14:paraId="1915E2FC" w14:textId="223D4797" w:rsidR="00E8684E" w:rsidRPr="00890249" w:rsidRDefault="00E8684E" w:rsidP="00325D70">
            <w:pPr>
              <w:jc w:val="left"/>
              <w:rPr>
                <w:rFonts w:asciiTheme="minorHAnsi" w:hAnsiTheme="minorHAnsi" w:cstheme="minorHAnsi"/>
                <w:bCs/>
                <w:sz w:val="20"/>
              </w:rPr>
            </w:pPr>
          </w:p>
        </w:tc>
      </w:tr>
      <w:tr w:rsidR="00E8684E" w:rsidRPr="00890249" w14:paraId="7C6B93A6" w14:textId="77777777" w:rsidTr="00F62734">
        <w:tc>
          <w:tcPr>
            <w:tcW w:w="1560" w:type="dxa"/>
            <w:vMerge/>
          </w:tcPr>
          <w:p w14:paraId="768A9182"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3CFD0F41"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533F0129"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331C65DA"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637C1B82"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3</w:t>
            </w:r>
          </w:p>
          <w:p w14:paraId="2B3836B9"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Rozwiązania mające zapewnić monitorowanie i analizę danych przez właściwe organy krajowe zgodnie z art. 83 ust. 2 dyrektywy 2014/24/UE i art. 99 ust. 2 dyrektywy </w:t>
            </w:r>
          </w:p>
          <w:p w14:paraId="269831A6" w14:textId="77777777" w:rsidR="00E8684E" w:rsidRPr="00890249" w:rsidRDefault="00E8684E" w:rsidP="00E8684E">
            <w:pPr>
              <w:jc w:val="left"/>
              <w:rPr>
                <w:rFonts w:asciiTheme="minorHAnsi" w:hAnsiTheme="minorHAnsi" w:cstheme="minorHAnsi"/>
                <w:sz w:val="20"/>
                <w:highlight w:val="green"/>
              </w:rPr>
            </w:pPr>
            <w:r w:rsidRPr="00890249">
              <w:rPr>
                <w:rFonts w:asciiTheme="minorHAnsi" w:hAnsiTheme="minorHAnsi" w:cstheme="minorHAnsi"/>
                <w:sz w:val="20"/>
              </w:rPr>
              <w:t>2014/25/UE</w:t>
            </w:r>
          </w:p>
        </w:tc>
        <w:tc>
          <w:tcPr>
            <w:tcW w:w="1134" w:type="dxa"/>
            <w:vMerge/>
          </w:tcPr>
          <w:p w14:paraId="37B569FF" w14:textId="77777777" w:rsidR="00E8684E" w:rsidRPr="00890249" w:rsidRDefault="00E8684E" w:rsidP="00E8684E">
            <w:pPr>
              <w:jc w:val="left"/>
              <w:rPr>
                <w:rFonts w:asciiTheme="minorHAnsi" w:hAnsiTheme="minorHAnsi" w:cstheme="minorHAnsi"/>
                <w:noProof/>
                <w:sz w:val="20"/>
              </w:rPr>
            </w:pPr>
          </w:p>
        </w:tc>
        <w:tc>
          <w:tcPr>
            <w:tcW w:w="3402" w:type="dxa"/>
            <w:vMerge/>
          </w:tcPr>
          <w:p w14:paraId="45B03A6C" w14:textId="77777777" w:rsidR="00E8684E" w:rsidRPr="00890249" w:rsidRDefault="00E8684E" w:rsidP="00E8684E">
            <w:pPr>
              <w:jc w:val="left"/>
              <w:rPr>
                <w:rFonts w:asciiTheme="minorHAnsi" w:hAnsiTheme="minorHAnsi" w:cstheme="minorHAnsi"/>
                <w:noProof/>
                <w:sz w:val="20"/>
              </w:rPr>
            </w:pPr>
          </w:p>
        </w:tc>
        <w:tc>
          <w:tcPr>
            <w:tcW w:w="2977" w:type="dxa"/>
          </w:tcPr>
          <w:p w14:paraId="14BE1276" w14:textId="77777777" w:rsidR="00553C6F"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
                <w:bCs/>
                <w:sz w:val="20"/>
              </w:rPr>
              <w:t>Kryteria 3</w:t>
            </w:r>
            <w:r w:rsidRPr="00890249">
              <w:rPr>
                <w:rFonts w:asciiTheme="minorHAnsi" w:hAnsiTheme="minorHAnsi" w:cstheme="minorHAnsi"/>
                <w:bCs/>
                <w:sz w:val="20"/>
              </w:rPr>
              <w:t xml:space="preserve"> </w:t>
            </w:r>
          </w:p>
          <w:p w14:paraId="01A0445F" w14:textId="14B8A78E" w:rsidR="00E8684E" w:rsidRPr="00890249" w:rsidRDefault="004B59D6" w:rsidP="00325D70">
            <w:pPr>
              <w:jc w:val="left"/>
              <w:rPr>
                <w:rFonts w:asciiTheme="minorHAnsi" w:hAnsiTheme="minorHAnsi" w:cstheme="minorHAnsi"/>
                <w:noProof/>
                <w:sz w:val="20"/>
              </w:rPr>
            </w:pPr>
            <w:r w:rsidRPr="00890249">
              <w:rPr>
                <w:rFonts w:asciiTheme="minorHAnsi" w:hAnsiTheme="minorHAnsi" w:cstheme="minorHAnsi"/>
                <w:bCs/>
                <w:sz w:val="20"/>
              </w:rPr>
              <w:t xml:space="preserve">Zgodnie z obowiązkami wynikającymi z dyrektyw, UZP przygotowuje co 3 lata sprawozdania z monitorowania sytemu zamówień publicznych oparte o dane otrzymywane od zamawiających w rocznych sprawozdaniach o udzielonych zamówieniach publicznych, dane </w:t>
            </w:r>
            <w:r w:rsidRPr="00890249">
              <w:rPr>
                <w:rFonts w:asciiTheme="minorHAnsi" w:hAnsiTheme="minorHAnsi" w:cstheme="minorHAnsi"/>
                <w:bCs/>
                <w:sz w:val="20"/>
              </w:rPr>
              <w:lastRenderedPageBreak/>
              <w:t>pochodzące z TED oraz informacje o wynikach kontroli prowadzonych przez Prezesa UZP</w:t>
            </w:r>
          </w:p>
        </w:tc>
      </w:tr>
      <w:tr w:rsidR="00E8684E" w:rsidRPr="00890249" w14:paraId="7DB409B9" w14:textId="77777777" w:rsidTr="00F62734">
        <w:tc>
          <w:tcPr>
            <w:tcW w:w="1560" w:type="dxa"/>
            <w:vMerge/>
          </w:tcPr>
          <w:p w14:paraId="460C4EC7"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6136F6E4"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4AA776D"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6AB447F8"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2139D7DA"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4</w:t>
            </w:r>
          </w:p>
          <w:p w14:paraId="431A891B"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Rozwiązania mające zapewnić, by wyniki analiz były udostępniane publicznie zgodnie z art. 83 ust. 3 dyrektywy 2014/24/UE oraz art. 99 ust. 3 dyrektywy 2014/25/UE</w:t>
            </w:r>
          </w:p>
        </w:tc>
        <w:tc>
          <w:tcPr>
            <w:tcW w:w="1134" w:type="dxa"/>
            <w:vMerge/>
          </w:tcPr>
          <w:p w14:paraId="6C0AB283" w14:textId="77777777" w:rsidR="00E8684E" w:rsidRPr="00890249" w:rsidRDefault="00E8684E" w:rsidP="00E8684E">
            <w:pPr>
              <w:jc w:val="left"/>
              <w:rPr>
                <w:rFonts w:asciiTheme="minorHAnsi" w:hAnsiTheme="minorHAnsi" w:cstheme="minorHAnsi"/>
                <w:noProof/>
                <w:sz w:val="20"/>
              </w:rPr>
            </w:pPr>
          </w:p>
        </w:tc>
        <w:tc>
          <w:tcPr>
            <w:tcW w:w="3402" w:type="dxa"/>
            <w:vMerge/>
          </w:tcPr>
          <w:p w14:paraId="716F4665" w14:textId="77777777" w:rsidR="00E8684E" w:rsidRPr="00890249" w:rsidRDefault="00E8684E" w:rsidP="00E8684E">
            <w:pPr>
              <w:jc w:val="left"/>
              <w:rPr>
                <w:rFonts w:asciiTheme="minorHAnsi" w:hAnsiTheme="minorHAnsi" w:cstheme="minorHAnsi"/>
                <w:noProof/>
                <w:sz w:val="20"/>
              </w:rPr>
            </w:pPr>
          </w:p>
        </w:tc>
        <w:tc>
          <w:tcPr>
            <w:tcW w:w="2977" w:type="dxa"/>
          </w:tcPr>
          <w:p w14:paraId="54EC85CE" w14:textId="77777777" w:rsidR="00F56994"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
                <w:sz w:val="20"/>
              </w:rPr>
              <w:t>Kryterium 4.</w:t>
            </w:r>
            <w:r w:rsidRPr="00890249">
              <w:rPr>
                <w:rFonts w:asciiTheme="minorHAnsi" w:hAnsiTheme="minorHAnsi" w:cstheme="minorHAnsi"/>
                <w:bCs/>
                <w:sz w:val="20"/>
              </w:rPr>
              <w:t xml:space="preserve"> </w:t>
            </w:r>
          </w:p>
          <w:p w14:paraId="10D60615" w14:textId="77777777" w:rsidR="00E8684E" w:rsidRPr="00890249" w:rsidRDefault="004B59D6" w:rsidP="00325D70">
            <w:pPr>
              <w:jc w:val="left"/>
              <w:rPr>
                <w:rFonts w:asciiTheme="minorHAnsi" w:hAnsiTheme="minorHAnsi" w:cstheme="minorHAnsi"/>
                <w:noProof/>
                <w:sz w:val="20"/>
              </w:rPr>
            </w:pPr>
            <w:r w:rsidRPr="00890249">
              <w:rPr>
                <w:rFonts w:asciiTheme="minorHAnsi" w:hAnsiTheme="minorHAnsi" w:cstheme="minorHAnsi"/>
                <w:bCs/>
                <w:sz w:val="20"/>
              </w:rPr>
              <w:t xml:space="preserve">UZP publikuje na swojej stronie roczne raporty z funkcjonowania systemu zamówień publicznych oraz okresowe Biuletyny Informacyjne. </w:t>
            </w:r>
          </w:p>
        </w:tc>
      </w:tr>
      <w:tr w:rsidR="00E8684E" w:rsidRPr="00890249" w14:paraId="4124AF26" w14:textId="77777777" w:rsidTr="00F62734">
        <w:tc>
          <w:tcPr>
            <w:tcW w:w="1560" w:type="dxa"/>
            <w:vMerge/>
          </w:tcPr>
          <w:p w14:paraId="7EE603F3"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59328A52"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02F14E2D"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7E50B46A"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79263CD2"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5</w:t>
            </w:r>
          </w:p>
          <w:p w14:paraId="4AF82DDD"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Rozwiązania mające zapewnić, by wszelkie informacje wskazujące na przypadki podejrzewanej zmowy przetargowej były przekazywane właściwym organom krajowym zgodnie z art. 83 ust. 2 dyrektywy 2014/24/UE oraz art. 99 ust. 2 dyrektywy 2014/25/UE</w:t>
            </w:r>
          </w:p>
        </w:tc>
        <w:tc>
          <w:tcPr>
            <w:tcW w:w="1134" w:type="dxa"/>
            <w:vMerge/>
          </w:tcPr>
          <w:p w14:paraId="2E044E94" w14:textId="77777777" w:rsidR="00E8684E" w:rsidRPr="00890249" w:rsidRDefault="00E8684E" w:rsidP="00E8684E">
            <w:pPr>
              <w:jc w:val="left"/>
              <w:rPr>
                <w:rFonts w:asciiTheme="minorHAnsi" w:hAnsiTheme="minorHAnsi" w:cstheme="minorHAnsi"/>
                <w:noProof/>
                <w:sz w:val="20"/>
              </w:rPr>
            </w:pPr>
          </w:p>
        </w:tc>
        <w:tc>
          <w:tcPr>
            <w:tcW w:w="3402" w:type="dxa"/>
            <w:vMerge/>
          </w:tcPr>
          <w:p w14:paraId="76474EB1" w14:textId="77777777" w:rsidR="00E8684E" w:rsidRPr="00890249" w:rsidRDefault="00E8684E" w:rsidP="00E8684E">
            <w:pPr>
              <w:jc w:val="left"/>
              <w:rPr>
                <w:rFonts w:asciiTheme="minorHAnsi" w:hAnsiTheme="minorHAnsi" w:cstheme="minorHAnsi"/>
                <w:noProof/>
                <w:sz w:val="20"/>
              </w:rPr>
            </w:pPr>
          </w:p>
        </w:tc>
        <w:tc>
          <w:tcPr>
            <w:tcW w:w="2977" w:type="dxa"/>
          </w:tcPr>
          <w:p w14:paraId="28A2CEB8" w14:textId="77777777" w:rsidR="00F56994" w:rsidRPr="00890249" w:rsidRDefault="00875C92" w:rsidP="00325D70">
            <w:pPr>
              <w:jc w:val="left"/>
              <w:rPr>
                <w:rFonts w:asciiTheme="minorHAnsi" w:hAnsiTheme="minorHAnsi" w:cstheme="minorHAnsi"/>
                <w:b/>
                <w:sz w:val="20"/>
              </w:rPr>
            </w:pPr>
            <w:r w:rsidRPr="00890249">
              <w:rPr>
                <w:rFonts w:asciiTheme="minorHAnsi" w:hAnsiTheme="minorHAnsi" w:cstheme="minorHAnsi"/>
                <w:b/>
                <w:sz w:val="20"/>
              </w:rPr>
              <w:t>Kryterium 5.</w:t>
            </w:r>
          </w:p>
          <w:p w14:paraId="08E12A69" w14:textId="77777777" w:rsidR="00E8684E" w:rsidRPr="00890249" w:rsidRDefault="004B59D6" w:rsidP="00325D70">
            <w:pPr>
              <w:jc w:val="left"/>
              <w:rPr>
                <w:rFonts w:asciiTheme="minorHAnsi" w:hAnsiTheme="minorHAnsi" w:cstheme="minorHAnsi"/>
                <w:noProof/>
                <w:sz w:val="20"/>
              </w:rPr>
            </w:pPr>
            <w:r w:rsidRPr="00890249">
              <w:rPr>
                <w:rFonts w:asciiTheme="minorHAnsi" w:hAnsiTheme="minorHAnsi" w:cstheme="minorHAnsi"/>
                <w:bCs/>
                <w:sz w:val="20"/>
              </w:rPr>
              <w:t>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w:t>
            </w:r>
            <w:r w:rsidRPr="00890249">
              <w:rPr>
                <w:rFonts w:asciiTheme="minorHAnsi" w:hAnsiTheme="minorHAnsi" w:cstheme="minorHAnsi"/>
              </w:rPr>
              <w:t xml:space="preserve"> </w:t>
            </w:r>
            <w:r w:rsidRPr="00890249">
              <w:rPr>
                <w:rFonts w:asciiTheme="minorHAnsi" w:hAnsiTheme="minorHAnsi" w:cstheme="minorHAnsi"/>
                <w:bCs/>
                <w:sz w:val="20"/>
              </w:rPr>
              <w:t xml:space="preserve">Niezależnie od powyższego instytucje oraz podmioty zamawiające mogą bezpośrednio zwrócić się do </w:t>
            </w:r>
            <w:r w:rsidRPr="00890249">
              <w:rPr>
                <w:rFonts w:asciiTheme="minorHAnsi" w:hAnsiTheme="minorHAnsi" w:cstheme="minorHAnsi"/>
                <w:bCs/>
                <w:sz w:val="20"/>
              </w:rPr>
              <w:lastRenderedPageBreak/>
              <w:t>UOKIK w przypadku podejrzenia zmowy przetargowej.</w:t>
            </w:r>
          </w:p>
        </w:tc>
      </w:tr>
      <w:tr w:rsidR="00E8684E" w:rsidRPr="00890249" w14:paraId="4B549772" w14:textId="77777777" w:rsidTr="00F62734">
        <w:tc>
          <w:tcPr>
            <w:tcW w:w="1560" w:type="dxa"/>
            <w:vMerge w:val="restart"/>
          </w:tcPr>
          <w:p w14:paraId="376016B4"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noProof/>
                <w:sz w:val="20"/>
              </w:rPr>
              <w:lastRenderedPageBreak/>
              <w:t>Narzędzia i zdolności umożliwiające skuteczne stosowanie zasad pomocy państwa</w:t>
            </w:r>
          </w:p>
        </w:tc>
        <w:tc>
          <w:tcPr>
            <w:tcW w:w="709" w:type="dxa"/>
            <w:vMerge w:val="restart"/>
          </w:tcPr>
          <w:p w14:paraId="7C53BF52"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EFRR,</w:t>
            </w:r>
          </w:p>
          <w:p w14:paraId="33DF9504"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EFS+</w:t>
            </w:r>
          </w:p>
        </w:tc>
        <w:tc>
          <w:tcPr>
            <w:tcW w:w="1843" w:type="dxa"/>
            <w:vMerge w:val="restart"/>
          </w:tcPr>
          <w:p w14:paraId="23648768"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Warunek mający zastosowanie do wszystkich celów szczegółowych</w:t>
            </w:r>
          </w:p>
        </w:tc>
        <w:tc>
          <w:tcPr>
            <w:tcW w:w="1559" w:type="dxa"/>
            <w:vMerge w:val="restart"/>
          </w:tcPr>
          <w:p w14:paraId="62AB6929"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Tak</w:t>
            </w:r>
          </w:p>
          <w:p w14:paraId="64EE3591" w14:textId="77777777" w:rsidR="00E8684E" w:rsidRPr="00890249" w:rsidRDefault="00E8684E" w:rsidP="00E8684E">
            <w:pPr>
              <w:jc w:val="left"/>
              <w:rPr>
                <w:rFonts w:asciiTheme="minorHAnsi" w:hAnsiTheme="minorHAnsi" w:cstheme="minorHAnsi"/>
                <w:sz w:val="20"/>
              </w:rPr>
            </w:pPr>
          </w:p>
          <w:p w14:paraId="2189D631"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Cs/>
                <w:sz w:val="20"/>
              </w:rPr>
              <w:t>Warunek podstawowy został spełniony</w:t>
            </w:r>
            <w:r w:rsidRPr="00890249">
              <w:rPr>
                <w:rFonts w:asciiTheme="minorHAnsi" w:hAnsiTheme="minorHAnsi" w:cstheme="minorHAnsi"/>
                <w:sz w:val="20"/>
              </w:rPr>
              <w:t>, zgodnie z art. 31b pkt 2) Ustawy z dnia 30 kwietnia 2004 r. o postępowaniu w sprawach dotyczących pomocy publicznej (Dz. U. z 2018 r., poz. 362).</w:t>
            </w:r>
          </w:p>
          <w:p w14:paraId="3FEAD976"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2FA55E88"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Instytucje zarządzające dysponują narzędziami i zdolnościami </w:t>
            </w:r>
          </w:p>
          <w:p w14:paraId="76285900"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umożliwiającymi im weryfikację zgodności z zasadami pomocy </w:t>
            </w:r>
          </w:p>
          <w:p w14:paraId="04EB4DCA"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państwa:</w:t>
            </w:r>
          </w:p>
          <w:p w14:paraId="5213EA5D" w14:textId="77777777" w:rsidR="00E8684E" w:rsidRPr="00890249" w:rsidRDefault="00E8684E" w:rsidP="00E8684E">
            <w:pPr>
              <w:jc w:val="left"/>
              <w:rPr>
                <w:rFonts w:asciiTheme="minorHAnsi" w:hAnsiTheme="minorHAnsi" w:cstheme="minorHAnsi"/>
                <w:b/>
                <w:bCs/>
                <w:sz w:val="20"/>
              </w:rPr>
            </w:pPr>
          </w:p>
          <w:p w14:paraId="6112E386"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1</w:t>
            </w:r>
          </w:p>
          <w:p w14:paraId="2CAF818B"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W odniesieniu do przedsiębiorstw znajdujących się w trudnej sytuacji oraz objętych wymogiem odzyskania pomocy</w:t>
            </w:r>
          </w:p>
        </w:tc>
        <w:tc>
          <w:tcPr>
            <w:tcW w:w="1134" w:type="dxa"/>
            <w:vMerge w:val="restart"/>
          </w:tcPr>
          <w:p w14:paraId="6409809E"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vMerge w:val="restart"/>
          </w:tcPr>
          <w:p w14:paraId="5B982668" w14:textId="77777777" w:rsidR="00E8684E" w:rsidRPr="00890249" w:rsidRDefault="00E8684E" w:rsidP="00E8684E">
            <w:pPr>
              <w:jc w:val="left"/>
              <w:rPr>
                <w:rFonts w:asciiTheme="minorHAnsi" w:hAnsiTheme="minorHAnsi" w:cstheme="minorHAnsi"/>
                <w:bCs/>
                <w:noProof/>
                <w:sz w:val="20"/>
              </w:rPr>
            </w:pPr>
            <w:r w:rsidRPr="00890249">
              <w:rPr>
                <w:rFonts w:asciiTheme="minorHAnsi" w:hAnsiTheme="minorHAnsi" w:cstheme="minorHAnsi"/>
                <w:bCs/>
                <w:noProof/>
                <w:sz w:val="20"/>
              </w:rPr>
              <w:t xml:space="preserve">Spełnienie warunku zapewnia: </w:t>
            </w:r>
          </w:p>
          <w:p w14:paraId="77064B08"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bCs/>
                <w:noProof/>
                <w:sz w:val="20"/>
              </w:rPr>
              <w:t xml:space="preserve">ustawa z dnia 30 kwietnia 2004 r. o postępowaniu w sprawach dotyczących pomocy publicznej (Dz. U. z 2018 r., poz. 362) Zgodnie z art. 31b pkt 2) ustawy Prezes UOKiK ma obowiązek ogłaszania w Biuletynie Informacji Publicznej na stronie internetowej informacji o decyzjach KE dotyczących zwrotu pomocy publicznej. Jednocześnie, zgodnie z art. 37 ust. 5 ustawy, podmioty udzielające pomocy mają obowiązek uzyskać od przedsiębiorców ubiegających się o pomoc publiczną informacje umożliwiające stwierdzenie, czy dany przedsiębiorca znajduje się w trudnej sytuacji na dzień udzielenia pomocy. Funkcję krajowego organu ds. pomocy państwa, odpowiedzialnego za skuteczne wdrażanie i stosowanie unijnych przepisów w zakresie pomocy publicznej, pełni Prezes UOKiK (a w zakresie pomocy publicznej w sektorze rolnym i rybołówstwa - Minister Rolnictwa i Rozwoju Wsi). Zgodnie z ww. ustawą, Prezes UOKiK opiniuje projekty programów pomocowych i </w:t>
            </w:r>
            <w:r w:rsidRPr="00890249">
              <w:rPr>
                <w:rFonts w:asciiTheme="minorHAnsi" w:hAnsiTheme="minorHAnsi" w:cstheme="minorHAnsi"/>
                <w:bCs/>
                <w:noProof/>
                <w:sz w:val="20"/>
              </w:rPr>
              <w:lastRenderedPageBreak/>
              <w:t>pomocy indywidualnej, w tym projekty finansowane w ramach środków strukturalnych, notyfikuje je KE, reprezentuje rząd polski w postępowaniu przez Komisją oraz monitoruje pomoc publiczną udzielaną przedsiębiorcom. Ustawa reguluje także obowiązki w zakresie monitorowania pomocy udzielanej polskim przedsiębiorcom, tj.: gromadzenia, przetwarzania oraz przekazywana informacji związanych z pomocą publiczną.</w:t>
            </w:r>
            <w:r w:rsidRPr="00890249">
              <w:rPr>
                <w:rFonts w:asciiTheme="minorHAnsi" w:hAnsiTheme="minorHAnsi" w:cstheme="minorHAnsi"/>
                <w:noProof/>
                <w:sz w:val="20"/>
              </w:rPr>
              <w:t xml:space="preserve"> </w:t>
            </w:r>
          </w:p>
          <w:p w14:paraId="47795749" w14:textId="77777777" w:rsidR="00E8684E" w:rsidRPr="00890249" w:rsidRDefault="00E8684E" w:rsidP="00E8684E">
            <w:pPr>
              <w:jc w:val="left"/>
              <w:rPr>
                <w:rFonts w:asciiTheme="minorHAnsi" w:hAnsiTheme="minorHAnsi" w:cstheme="minorHAnsi"/>
                <w:b/>
                <w:noProof/>
                <w:sz w:val="20"/>
              </w:rPr>
            </w:pPr>
            <w:r w:rsidRPr="00890249">
              <w:rPr>
                <w:rFonts w:asciiTheme="minorHAnsi" w:hAnsiTheme="minorHAnsi" w:cstheme="minorHAnsi"/>
                <w:b/>
                <w:noProof/>
                <w:sz w:val="20"/>
              </w:rPr>
              <w:t xml:space="preserve">Link do ustawy : </w:t>
            </w:r>
            <w:hyperlink w:history="1">
              <w:r w:rsidRPr="00890249">
                <w:rPr>
                  <w:rFonts w:asciiTheme="minorHAnsi" w:hAnsiTheme="minorHAnsi" w:cstheme="minorHAnsi"/>
                  <w:b/>
                  <w:noProof/>
                  <w:color w:val="0000FF"/>
                  <w:sz w:val="20"/>
                  <w:u w:val="single"/>
                </w:rPr>
                <w:t>http://isap.sejm.gov.pl/isap.nsf/download.xsp/WDU20041231291/U/D20041291Lj.pdf</w:t>
              </w:r>
            </w:hyperlink>
          </w:p>
        </w:tc>
        <w:tc>
          <w:tcPr>
            <w:tcW w:w="2977" w:type="dxa"/>
          </w:tcPr>
          <w:p w14:paraId="15165C38" w14:textId="77777777" w:rsidR="00B72154"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lastRenderedPageBreak/>
              <w:t>Kryterium 1.</w:t>
            </w:r>
            <w:r w:rsidRPr="00890249">
              <w:rPr>
                <w:rFonts w:asciiTheme="minorHAnsi" w:hAnsiTheme="minorHAnsi" w:cstheme="minorHAnsi"/>
                <w:sz w:val="20"/>
              </w:rPr>
              <w:t xml:space="preserve"> </w:t>
            </w:r>
          </w:p>
          <w:p w14:paraId="15DC9BE0" w14:textId="77777777" w:rsidR="00B72154"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Zgodnie z art. 31b pkt 2) ustawy</w:t>
            </w:r>
            <w:r w:rsidRPr="00890249">
              <w:rPr>
                <w:rFonts w:asciiTheme="minorHAnsi" w:hAnsiTheme="minorHAnsi" w:cstheme="minorHAnsi"/>
                <w:sz w:val="20"/>
              </w:rPr>
              <w:t xml:space="preserve"> </w:t>
            </w:r>
            <w:r w:rsidRPr="00890249">
              <w:rPr>
                <w:rFonts w:asciiTheme="minorHAnsi" w:hAnsiTheme="minorHAnsi" w:cstheme="minorHAnsi"/>
                <w:bCs/>
                <w:sz w:val="20"/>
              </w:rPr>
              <w:t xml:space="preserve">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w:t>
            </w:r>
            <w:r w:rsidRPr="00890249">
              <w:rPr>
                <w:rFonts w:asciiTheme="minorHAnsi" w:hAnsiTheme="minorHAnsi" w:cstheme="minorHAnsi"/>
                <w:bCs/>
                <w:sz w:val="20"/>
              </w:rPr>
              <w:lastRenderedPageBreak/>
              <w:t>zgodnie z przepisami o rachunkowości, na podstawie których weryfikowana jest poprawność przedstawianych danych.</w:t>
            </w:r>
            <w:r w:rsidRPr="00890249">
              <w:rPr>
                <w:rFonts w:asciiTheme="minorHAnsi" w:hAnsiTheme="minorHAnsi" w:cstheme="minorHAnsi"/>
                <w:sz w:val="20"/>
              </w:rPr>
              <w:t xml:space="preserve"> W</w:t>
            </w:r>
            <w:r w:rsidRPr="00890249">
              <w:rPr>
                <w:rFonts w:asciiTheme="minorHAnsi" w:hAnsiTheme="minorHAnsi" w:cstheme="minorHAnsi"/>
                <w:bCs/>
                <w:sz w:val="20"/>
              </w:rPr>
              <w:t xml:space="preserve">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E8684E" w:rsidRPr="00890249" w14:paraId="738EFF16" w14:textId="77777777" w:rsidTr="00F62734">
        <w:tc>
          <w:tcPr>
            <w:tcW w:w="1560" w:type="dxa"/>
            <w:vMerge/>
          </w:tcPr>
          <w:p w14:paraId="0742DDAA"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2B3E6FCB"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5537898"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3E461B63"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22957956" w14:textId="77777777" w:rsidR="00E8684E" w:rsidRPr="00890249" w:rsidRDefault="00E8684E" w:rsidP="00E8684E">
            <w:pPr>
              <w:jc w:val="left"/>
              <w:rPr>
                <w:rFonts w:asciiTheme="minorHAnsi" w:hAnsiTheme="minorHAnsi" w:cstheme="minorHAnsi"/>
                <w:b/>
                <w:bCs/>
                <w:noProof/>
                <w:sz w:val="20"/>
              </w:rPr>
            </w:pPr>
            <w:r w:rsidRPr="00890249">
              <w:rPr>
                <w:rFonts w:asciiTheme="minorHAnsi" w:hAnsiTheme="minorHAnsi" w:cstheme="minorHAnsi"/>
                <w:b/>
                <w:bCs/>
                <w:noProof/>
                <w:sz w:val="20"/>
              </w:rPr>
              <w:t>Kryterium 2</w:t>
            </w:r>
          </w:p>
          <w:p w14:paraId="5B5C9FF2" w14:textId="77777777" w:rsidR="00E8684E" w:rsidRPr="00890249" w:rsidRDefault="00E8684E" w:rsidP="00E8684E">
            <w:pPr>
              <w:jc w:val="left"/>
              <w:rPr>
                <w:rFonts w:asciiTheme="minorHAnsi" w:hAnsiTheme="minorHAnsi" w:cstheme="minorHAnsi"/>
                <w:b/>
                <w:bCs/>
                <w:noProof/>
                <w:sz w:val="20"/>
              </w:rPr>
            </w:pPr>
            <w:r w:rsidRPr="00890249">
              <w:rPr>
                <w:rFonts w:asciiTheme="minorHAnsi" w:hAnsiTheme="minorHAnsi" w:cstheme="minorHAnsi"/>
                <w:noProof/>
                <w:sz w:val="20"/>
              </w:rPr>
              <w:t>Poprzez dostęp do specjalistycznych porad i wytycznych w kwestiach pomocy państwa udzielanych przez ekspertów ds. pomocy państwa z podmiotów lokalnych lub krajowych</w:t>
            </w:r>
          </w:p>
        </w:tc>
        <w:tc>
          <w:tcPr>
            <w:tcW w:w="1134" w:type="dxa"/>
            <w:vMerge/>
          </w:tcPr>
          <w:p w14:paraId="0B71009A" w14:textId="77777777" w:rsidR="00E8684E" w:rsidRPr="00890249" w:rsidRDefault="00E8684E" w:rsidP="00E8684E">
            <w:pPr>
              <w:jc w:val="left"/>
              <w:rPr>
                <w:rFonts w:asciiTheme="minorHAnsi" w:hAnsiTheme="minorHAnsi" w:cstheme="minorHAnsi"/>
                <w:noProof/>
                <w:sz w:val="20"/>
              </w:rPr>
            </w:pPr>
          </w:p>
        </w:tc>
        <w:tc>
          <w:tcPr>
            <w:tcW w:w="3402" w:type="dxa"/>
            <w:vMerge/>
          </w:tcPr>
          <w:p w14:paraId="0930C6D3" w14:textId="77777777" w:rsidR="00E8684E" w:rsidRPr="00890249" w:rsidRDefault="00E8684E" w:rsidP="00E8684E">
            <w:pPr>
              <w:jc w:val="left"/>
              <w:rPr>
                <w:rFonts w:asciiTheme="minorHAnsi" w:hAnsiTheme="minorHAnsi" w:cstheme="minorHAnsi"/>
                <w:noProof/>
                <w:sz w:val="20"/>
              </w:rPr>
            </w:pPr>
          </w:p>
        </w:tc>
        <w:tc>
          <w:tcPr>
            <w:tcW w:w="2977" w:type="dxa"/>
          </w:tcPr>
          <w:p w14:paraId="2F484CF1" w14:textId="77777777" w:rsidR="00A33AE3" w:rsidRPr="00890249" w:rsidRDefault="00875C92" w:rsidP="00325D70">
            <w:pPr>
              <w:jc w:val="left"/>
              <w:rPr>
                <w:rFonts w:asciiTheme="minorHAnsi" w:hAnsiTheme="minorHAnsi" w:cstheme="minorHAnsi"/>
                <w:sz w:val="20"/>
              </w:rPr>
            </w:pPr>
            <w:r w:rsidRPr="00890249">
              <w:rPr>
                <w:rFonts w:asciiTheme="minorHAnsi" w:hAnsiTheme="minorHAnsi" w:cstheme="minorHAnsi"/>
                <w:b/>
                <w:bCs/>
                <w:sz w:val="20"/>
              </w:rPr>
              <w:t>Kryterium 2.</w:t>
            </w:r>
            <w:r w:rsidRPr="00890249">
              <w:rPr>
                <w:rFonts w:asciiTheme="minorHAnsi" w:hAnsiTheme="minorHAnsi" w:cstheme="minorHAnsi"/>
                <w:sz w:val="20"/>
              </w:rPr>
              <w:t xml:space="preserve"> </w:t>
            </w:r>
          </w:p>
          <w:p w14:paraId="03BC8D8D" w14:textId="3CFFB1E0" w:rsidR="00E8684E"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w:t>
            </w:r>
            <w:r w:rsidRPr="00890249">
              <w:rPr>
                <w:rFonts w:asciiTheme="minorHAnsi" w:hAnsiTheme="minorHAnsi" w:cstheme="minorHAnsi"/>
                <w:bCs/>
                <w:sz w:val="20"/>
              </w:rPr>
              <w:lastRenderedPageBreak/>
              <w:t>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MFiPR, opracowują horyzontalne interpretacje dotyczące udzielania pomocy publicznej.</w:t>
            </w:r>
          </w:p>
        </w:tc>
      </w:tr>
      <w:tr w:rsidR="00E8684E" w:rsidRPr="00890249" w14:paraId="53A3B4FE" w14:textId="77777777" w:rsidTr="00F62734">
        <w:tc>
          <w:tcPr>
            <w:tcW w:w="1560" w:type="dxa"/>
            <w:vMerge w:val="restart"/>
          </w:tcPr>
          <w:p w14:paraId="4FDCD6EB"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lastRenderedPageBreak/>
              <w:t xml:space="preserve">Skuteczne stosowanie i wdrażanie Karty praw podstawowych </w:t>
            </w:r>
          </w:p>
        </w:tc>
        <w:tc>
          <w:tcPr>
            <w:tcW w:w="709" w:type="dxa"/>
            <w:vMerge w:val="restart"/>
          </w:tcPr>
          <w:p w14:paraId="662DCCCF"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EFRR,</w:t>
            </w:r>
          </w:p>
          <w:p w14:paraId="0617206E"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t>EFS+</w:t>
            </w:r>
          </w:p>
        </w:tc>
        <w:tc>
          <w:tcPr>
            <w:tcW w:w="1843" w:type="dxa"/>
            <w:vMerge w:val="restart"/>
          </w:tcPr>
          <w:p w14:paraId="4043DFC5"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t>Warunek mający zastosowanie do wszystkich celów szczegółowych</w:t>
            </w:r>
          </w:p>
        </w:tc>
        <w:tc>
          <w:tcPr>
            <w:tcW w:w="1559" w:type="dxa"/>
            <w:vMerge w:val="restart"/>
          </w:tcPr>
          <w:p w14:paraId="06EC712C" w14:textId="2BAB94BC" w:rsidR="00E8684E" w:rsidRPr="00890249" w:rsidRDefault="001F45D5" w:rsidP="00E8684E">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t>Tak</w:t>
            </w:r>
          </w:p>
        </w:tc>
        <w:tc>
          <w:tcPr>
            <w:tcW w:w="2551" w:type="dxa"/>
          </w:tcPr>
          <w:p w14:paraId="37BE47FA"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Istnienie skutecznych mechanizmów służących zapewnieniu </w:t>
            </w:r>
          </w:p>
          <w:p w14:paraId="19DC14FE"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lastRenderedPageBreak/>
              <w:t xml:space="preserve">zgodności z Kartą praw podstawowych Unii Europejskiej </w:t>
            </w:r>
          </w:p>
          <w:p w14:paraId="2B1E1F94" w14:textId="77777777" w:rsidR="00E8684E" w:rsidRPr="00890249" w:rsidRDefault="00E8684E" w:rsidP="00E8684E">
            <w:pPr>
              <w:jc w:val="left"/>
              <w:rPr>
                <w:rFonts w:asciiTheme="minorHAnsi" w:hAnsiTheme="minorHAnsi" w:cstheme="minorHAnsi"/>
                <w:sz w:val="20"/>
                <w:highlight w:val="yellow"/>
              </w:rPr>
            </w:pPr>
            <w:r w:rsidRPr="00890249">
              <w:rPr>
                <w:rFonts w:asciiTheme="minorHAnsi" w:hAnsiTheme="minorHAnsi" w:cstheme="minorHAnsi"/>
                <w:sz w:val="20"/>
              </w:rPr>
              <w:t>(zwaną dalej „Kartą”), które obejmują:</w:t>
            </w:r>
          </w:p>
          <w:p w14:paraId="3DAE394C" w14:textId="77777777" w:rsidR="00E8684E" w:rsidRPr="00890249" w:rsidRDefault="00E8684E" w:rsidP="00E8684E">
            <w:pPr>
              <w:jc w:val="left"/>
              <w:rPr>
                <w:rFonts w:asciiTheme="minorHAnsi" w:hAnsiTheme="minorHAnsi" w:cstheme="minorHAnsi"/>
                <w:b/>
                <w:bCs/>
                <w:sz w:val="20"/>
                <w:highlight w:val="yellow"/>
              </w:rPr>
            </w:pPr>
          </w:p>
          <w:p w14:paraId="5FD8EBDA"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1</w:t>
            </w:r>
          </w:p>
          <w:p w14:paraId="1FDD02D5" w14:textId="77777777" w:rsidR="00E8684E" w:rsidRPr="00890249" w:rsidRDefault="00E8684E" w:rsidP="00E8684E">
            <w:pPr>
              <w:jc w:val="left"/>
              <w:rPr>
                <w:rFonts w:asciiTheme="minorHAnsi" w:hAnsiTheme="minorHAnsi" w:cstheme="minorHAnsi"/>
                <w:b/>
                <w:bCs/>
                <w:sz w:val="20"/>
                <w:highlight w:val="yellow"/>
              </w:rPr>
            </w:pPr>
          </w:p>
          <w:p w14:paraId="7CC269C9"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Ustalenia mające zapewnić zgodność programów wspieranych z Funduszy i ich wdrażania z odpowiednimi postanowieniami Karty</w:t>
            </w:r>
          </w:p>
          <w:p w14:paraId="49613E01" w14:textId="77777777" w:rsidR="00E8684E" w:rsidRPr="00890249" w:rsidRDefault="00E8684E" w:rsidP="00E8684E">
            <w:pPr>
              <w:jc w:val="left"/>
              <w:rPr>
                <w:rFonts w:asciiTheme="minorHAnsi" w:hAnsiTheme="minorHAnsi" w:cstheme="minorHAnsi"/>
                <w:noProof/>
                <w:sz w:val="20"/>
              </w:rPr>
            </w:pPr>
          </w:p>
        </w:tc>
        <w:tc>
          <w:tcPr>
            <w:tcW w:w="1134" w:type="dxa"/>
            <w:vMerge w:val="restart"/>
          </w:tcPr>
          <w:p w14:paraId="32947B1D" w14:textId="7075B83A" w:rsidR="00E8684E" w:rsidRPr="00890249" w:rsidRDefault="00FB0328" w:rsidP="00E8684E">
            <w:pPr>
              <w:jc w:val="left"/>
              <w:rPr>
                <w:rFonts w:asciiTheme="minorHAnsi" w:hAnsiTheme="minorHAnsi" w:cstheme="minorHAnsi"/>
                <w:noProof/>
                <w:sz w:val="20"/>
              </w:rPr>
            </w:pPr>
            <w:r>
              <w:rPr>
                <w:rFonts w:asciiTheme="minorHAnsi" w:hAnsiTheme="minorHAnsi" w:cstheme="minorHAnsi"/>
                <w:noProof/>
                <w:sz w:val="20"/>
              </w:rPr>
              <w:lastRenderedPageBreak/>
              <w:t>Tak</w:t>
            </w:r>
          </w:p>
        </w:tc>
        <w:tc>
          <w:tcPr>
            <w:tcW w:w="3402" w:type="dxa"/>
            <w:vMerge w:val="restart"/>
          </w:tcPr>
          <w:p w14:paraId="52E035EB" w14:textId="1DD23A65" w:rsidR="001F45D5" w:rsidRDefault="001F45D5" w:rsidP="00E8684E">
            <w:pPr>
              <w:jc w:val="left"/>
              <w:rPr>
                <w:rFonts w:asciiTheme="minorHAnsi" w:hAnsiTheme="minorHAnsi" w:cstheme="minorHAnsi"/>
                <w:bCs/>
                <w:sz w:val="20"/>
              </w:rPr>
            </w:pPr>
            <w:r w:rsidRPr="001F45D5">
              <w:rPr>
                <w:rFonts w:asciiTheme="minorHAnsi" w:hAnsiTheme="minorHAnsi" w:cstheme="minorHAnsi"/>
                <w:bCs/>
                <w:sz w:val="20"/>
              </w:rPr>
              <w:t xml:space="preserve">W celu spełnienia warunku wypracowano jednolitą procedurę określającą obowiązki wszystkich instytucji zaangażowanych we wdrażanie programów operacyjnych w </w:t>
            </w:r>
            <w:r w:rsidRPr="001F45D5">
              <w:rPr>
                <w:rFonts w:asciiTheme="minorHAnsi" w:hAnsiTheme="minorHAnsi" w:cstheme="minorHAnsi"/>
                <w:bCs/>
                <w:sz w:val="20"/>
              </w:rPr>
              <w:lastRenderedPageBreak/>
              <w:t xml:space="preserve">zakresie zapewnienia ich zgodności z Kartą Praw Podstawowych (KPP). Procedura obejmuje monitorowanie, przygotowanie i zgłaszanie podejrzeń o niezgodności projektów z KPP i dotyczy wszystkich programów realizowanych w ramach wskazanych 8 funduszy.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KPP w zależności od charakteru sprawy właściwa instytucja przekazuje zgłoszenie naruszenia do odpowiednich służb, tj. RPO, PIP, Rzecznika Praw Pacjenta lub/i właściwych organów ścigania. IZ Programu przygotowuje roczną zbiorczą informację o wszystkich </w:t>
            </w:r>
            <w:r w:rsidRPr="001F45D5">
              <w:rPr>
                <w:rFonts w:asciiTheme="minorHAnsi" w:hAnsiTheme="minorHAnsi" w:cstheme="minorHAnsi"/>
                <w:bCs/>
                <w:sz w:val="20"/>
              </w:rPr>
              <w:lastRenderedPageBreak/>
              <w:t>zgłoszeniach dotyczących niezgodności projektów z KPP, w celu rozpatrzenia przez KM Programu oraz prowadzi w politykę informacyjną w ww. obszarze. KM podejmuje decyzję o podjęciu właściwych działań zaradczych w odniesieniu do zgłoszonych przypadków.</w:t>
            </w:r>
          </w:p>
          <w:p w14:paraId="30285529" w14:textId="17A1B721" w:rsidR="001F45D5" w:rsidRDefault="001F45D5" w:rsidP="00E8684E">
            <w:pPr>
              <w:jc w:val="left"/>
              <w:rPr>
                <w:rFonts w:asciiTheme="minorHAnsi" w:hAnsiTheme="minorHAnsi" w:cstheme="minorHAnsi"/>
                <w:b/>
                <w:sz w:val="20"/>
              </w:rPr>
            </w:pPr>
            <w:r>
              <w:rPr>
                <w:rFonts w:asciiTheme="minorHAnsi" w:hAnsiTheme="minorHAnsi" w:cstheme="minorHAnsi"/>
                <w:b/>
                <w:sz w:val="20"/>
              </w:rPr>
              <w:t>Kryterium 1</w:t>
            </w:r>
          </w:p>
          <w:p w14:paraId="024AD7B8" w14:textId="77777777" w:rsidR="001F45D5" w:rsidRPr="00F62734" w:rsidRDefault="001F45D5" w:rsidP="001F45D5">
            <w:pPr>
              <w:spacing w:after="0"/>
              <w:rPr>
                <w:rFonts w:asciiTheme="minorHAnsi" w:hAnsiTheme="minorHAnsi" w:cstheme="minorHAnsi"/>
                <w:sz w:val="20"/>
              </w:rPr>
            </w:pPr>
            <w:r w:rsidRPr="00F62734">
              <w:rPr>
                <w:rFonts w:asciiTheme="minorHAnsi" w:hAnsiTheme="minorHAnsi" w:cstheme="minorHAnsi"/>
                <w:sz w:val="20"/>
              </w:rPr>
              <w:t>W celu spełnienia warunku opracowano dokument pn. samoocena spełnienia warunku: skuteczne stosowanie i wdrażanie Karty praw podstawowych w 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rozporządzeniem ogólnym (rozporządzenie PE i Rady nr 1060/2021 z dnia 24 czerwca 2021 r.).</w:t>
            </w:r>
          </w:p>
          <w:p w14:paraId="2E16505A" w14:textId="66AA6B65" w:rsidR="001F45D5" w:rsidRPr="00F62734" w:rsidRDefault="001F45D5" w:rsidP="001F45D5">
            <w:pPr>
              <w:jc w:val="left"/>
              <w:rPr>
                <w:rFonts w:asciiTheme="minorHAnsi" w:hAnsiTheme="minorHAnsi" w:cstheme="minorHAnsi"/>
                <w:sz w:val="20"/>
              </w:rPr>
            </w:pPr>
            <w:r w:rsidRPr="001F45D5">
              <w:rPr>
                <w:rFonts w:asciiTheme="minorHAnsi" w:hAnsiTheme="minorHAnsi" w:cstheme="minorHAnsi"/>
                <w:b/>
                <w:bCs/>
                <w:sz w:val="20"/>
              </w:rPr>
              <w:t xml:space="preserve">Kryterium 2 </w:t>
            </w:r>
          </w:p>
          <w:p w14:paraId="2915639D" w14:textId="77777777" w:rsidR="001F45D5" w:rsidRPr="001F45D5" w:rsidRDefault="001F45D5" w:rsidP="001F45D5">
            <w:pPr>
              <w:jc w:val="left"/>
              <w:rPr>
                <w:rFonts w:asciiTheme="minorHAnsi" w:hAnsiTheme="minorHAnsi" w:cstheme="minorHAnsi"/>
                <w:b/>
                <w:bCs/>
                <w:sz w:val="20"/>
              </w:rPr>
            </w:pPr>
            <w:r w:rsidRPr="00F62734">
              <w:rPr>
                <w:rFonts w:asciiTheme="minorHAnsi" w:hAnsiTheme="minorHAnsi" w:cstheme="minorHAnsi"/>
                <w:sz w:val="20"/>
              </w:rPr>
              <w:t xml:space="preserve">W celu spełnienia warunku wypracowano jednolitą ramową procedurę określającą obowiązki </w:t>
            </w:r>
            <w:r w:rsidRPr="00F62734">
              <w:rPr>
                <w:rFonts w:asciiTheme="minorHAnsi" w:hAnsiTheme="minorHAnsi" w:cstheme="minorHAnsi"/>
                <w:sz w:val="20"/>
              </w:rPr>
              <w:lastRenderedPageBreak/>
              <w:t>wszystkich instytucji zaangażowanych we wdrażanie wszystkich 8 programów w zakresie zapewnienia ich zgodności z Kartą Praw Podstawowych (KPP), wspomnianą w kontekście kryterium 1. Procedura obejmuje również zgłaszanie podejrzeń o niezgodności projektów z KPP</w:t>
            </w:r>
            <w:r w:rsidRPr="001F45D5">
              <w:rPr>
                <w:rFonts w:asciiTheme="minorHAnsi" w:hAnsiTheme="minorHAnsi" w:cstheme="minorHAnsi"/>
                <w:b/>
                <w:bCs/>
                <w:sz w:val="20"/>
              </w:rPr>
              <w:t>.</w:t>
            </w:r>
          </w:p>
          <w:p w14:paraId="19323445" w14:textId="77777777" w:rsidR="001F45D5" w:rsidRPr="00F62734" w:rsidRDefault="001F45D5" w:rsidP="00E8684E">
            <w:pPr>
              <w:jc w:val="left"/>
              <w:rPr>
                <w:rFonts w:asciiTheme="minorHAnsi" w:hAnsiTheme="minorHAnsi" w:cstheme="minorHAnsi"/>
                <w:b/>
                <w:sz w:val="20"/>
              </w:rPr>
            </w:pPr>
          </w:p>
          <w:p w14:paraId="0543DDB5" w14:textId="30D2A2D8" w:rsidR="00E8684E" w:rsidRPr="00890249" w:rsidRDefault="00E8684E" w:rsidP="00E8684E">
            <w:pPr>
              <w:jc w:val="left"/>
              <w:rPr>
                <w:rFonts w:asciiTheme="minorHAnsi" w:hAnsiTheme="minorHAnsi" w:cstheme="minorHAnsi"/>
                <w:b/>
                <w:sz w:val="20"/>
              </w:rPr>
            </w:pPr>
          </w:p>
        </w:tc>
        <w:tc>
          <w:tcPr>
            <w:tcW w:w="2977" w:type="dxa"/>
          </w:tcPr>
          <w:p w14:paraId="179D17E3" w14:textId="77777777" w:rsidR="00E8684E" w:rsidRPr="00890249" w:rsidRDefault="00E8684E" w:rsidP="00325D70">
            <w:pPr>
              <w:jc w:val="left"/>
              <w:rPr>
                <w:rFonts w:asciiTheme="minorHAnsi" w:hAnsiTheme="minorHAnsi" w:cstheme="minorHAnsi"/>
                <w:sz w:val="20"/>
              </w:rPr>
            </w:pPr>
            <w:r w:rsidRPr="00890249">
              <w:rPr>
                <w:rFonts w:asciiTheme="minorHAnsi" w:hAnsiTheme="minorHAnsi" w:cstheme="minorHAnsi"/>
                <w:b/>
                <w:bCs/>
                <w:sz w:val="20"/>
              </w:rPr>
              <w:lastRenderedPageBreak/>
              <w:t>Kryterium 1.</w:t>
            </w:r>
            <w:r w:rsidRPr="00890249">
              <w:rPr>
                <w:rFonts w:asciiTheme="minorHAnsi" w:hAnsiTheme="minorHAnsi" w:cstheme="minorHAnsi"/>
                <w:sz w:val="20"/>
              </w:rPr>
              <w:t xml:space="preserve"> </w:t>
            </w:r>
          </w:p>
          <w:p w14:paraId="6A2877E8" w14:textId="77777777" w:rsidR="001F45D5" w:rsidRPr="001F45D5" w:rsidRDefault="001F45D5" w:rsidP="001F45D5">
            <w:pPr>
              <w:spacing w:after="0"/>
              <w:jc w:val="left"/>
              <w:rPr>
                <w:rFonts w:asciiTheme="minorHAnsi" w:hAnsiTheme="minorHAnsi" w:cstheme="minorHAnsi"/>
                <w:sz w:val="20"/>
              </w:rPr>
            </w:pPr>
            <w:r w:rsidRPr="001F45D5">
              <w:rPr>
                <w:rFonts w:asciiTheme="minorHAnsi" w:hAnsiTheme="minorHAnsi" w:cstheme="minorHAnsi"/>
                <w:sz w:val="20"/>
              </w:rPr>
              <w:t xml:space="preserve">Jednolita procedura dotyczy weryfikacji zgodności z KPP na każdym etapie wdrażania programu, w tym od złożenia </w:t>
            </w:r>
            <w:r w:rsidRPr="001F45D5">
              <w:rPr>
                <w:rFonts w:asciiTheme="minorHAnsi" w:hAnsiTheme="minorHAnsi" w:cstheme="minorHAnsi"/>
                <w:sz w:val="20"/>
              </w:rPr>
              <w:lastRenderedPageBreak/>
              <w:t>wniosku o dofinansowanie, jak i w 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p w14:paraId="1918488B" w14:textId="19DCFC6D" w:rsidR="00E8684E" w:rsidRPr="00890249" w:rsidRDefault="00E8684E" w:rsidP="00F62734">
            <w:pPr>
              <w:spacing w:after="0"/>
              <w:jc w:val="left"/>
              <w:rPr>
                <w:rFonts w:asciiTheme="minorHAnsi" w:hAnsiTheme="minorHAnsi" w:cstheme="minorHAnsi"/>
                <w:noProof/>
                <w:sz w:val="20"/>
              </w:rPr>
            </w:pPr>
          </w:p>
        </w:tc>
      </w:tr>
      <w:tr w:rsidR="00E8684E" w:rsidRPr="00890249" w14:paraId="42358C8C" w14:textId="77777777" w:rsidTr="00F62734">
        <w:tc>
          <w:tcPr>
            <w:tcW w:w="1560" w:type="dxa"/>
            <w:vMerge/>
          </w:tcPr>
          <w:p w14:paraId="4A6357F7"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60327F3D"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0C481F34"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5E1D1C7"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03398880"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2</w:t>
            </w:r>
          </w:p>
          <w:p w14:paraId="51365BBC"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Rozwiązania dotyczące zgłaszania komitetowi monitorującemu przypadków niezgodności operacji wspieranych z Funduszy z Kartą oraz skarg o nieprzestrzeganie Karty złożonych zgodnie z rozwiązaniami przyjętymi na mocy art. 69 ust. 7.</w:t>
            </w:r>
          </w:p>
        </w:tc>
        <w:tc>
          <w:tcPr>
            <w:tcW w:w="1134" w:type="dxa"/>
            <w:vMerge/>
          </w:tcPr>
          <w:p w14:paraId="2D6A0ED9" w14:textId="77777777" w:rsidR="00E8684E" w:rsidRPr="00890249" w:rsidRDefault="00E8684E" w:rsidP="00E8684E">
            <w:pPr>
              <w:jc w:val="left"/>
              <w:rPr>
                <w:rFonts w:asciiTheme="minorHAnsi" w:hAnsiTheme="minorHAnsi" w:cstheme="minorHAnsi"/>
                <w:noProof/>
                <w:sz w:val="20"/>
              </w:rPr>
            </w:pPr>
          </w:p>
        </w:tc>
        <w:tc>
          <w:tcPr>
            <w:tcW w:w="3402" w:type="dxa"/>
            <w:vMerge/>
          </w:tcPr>
          <w:p w14:paraId="58C85340" w14:textId="77777777" w:rsidR="00E8684E" w:rsidRPr="00890249" w:rsidRDefault="00E8684E" w:rsidP="00E8684E">
            <w:pPr>
              <w:jc w:val="left"/>
              <w:rPr>
                <w:rFonts w:asciiTheme="minorHAnsi" w:hAnsiTheme="minorHAnsi" w:cstheme="minorHAnsi"/>
                <w:noProof/>
                <w:sz w:val="20"/>
              </w:rPr>
            </w:pPr>
          </w:p>
        </w:tc>
        <w:tc>
          <w:tcPr>
            <w:tcW w:w="2977" w:type="dxa"/>
          </w:tcPr>
          <w:p w14:paraId="182EB5D7" w14:textId="77777777" w:rsidR="00E8684E" w:rsidRDefault="00E8684E" w:rsidP="00325D70">
            <w:pPr>
              <w:jc w:val="left"/>
              <w:rPr>
                <w:rFonts w:asciiTheme="minorHAnsi" w:hAnsiTheme="minorHAnsi" w:cstheme="minorHAnsi"/>
                <w:b/>
                <w:bCs/>
                <w:sz w:val="20"/>
              </w:rPr>
            </w:pPr>
            <w:r w:rsidRPr="00890249">
              <w:rPr>
                <w:rFonts w:asciiTheme="minorHAnsi" w:hAnsiTheme="minorHAnsi" w:cstheme="minorHAnsi"/>
                <w:b/>
                <w:bCs/>
                <w:sz w:val="20"/>
              </w:rPr>
              <w:t>Kryterium 2</w:t>
            </w:r>
          </w:p>
          <w:p w14:paraId="3BC3B51A" w14:textId="24C48515" w:rsidR="001F45D5" w:rsidRPr="00F62734" w:rsidRDefault="001F45D5" w:rsidP="00325D70">
            <w:pPr>
              <w:jc w:val="left"/>
              <w:rPr>
                <w:rFonts w:asciiTheme="minorHAnsi" w:hAnsiTheme="minorHAnsi" w:cstheme="minorHAnsi"/>
                <w:sz w:val="20"/>
              </w:rPr>
            </w:pPr>
            <w:r w:rsidRPr="001F45D5">
              <w:rPr>
                <w:rFonts w:asciiTheme="minorHAnsi" w:hAnsiTheme="minorHAnsi" w:cstheme="minorHAnsi"/>
                <w:sz w:val="20"/>
              </w:rPr>
              <w:t xml:space="preserve">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w:t>
            </w:r>
            <w:r w:rsidRPr="001F45D5">
              <w:rPr>
                <w:rFonts w:asciiTheme="minorHAnsi" w:hAnsiTheme="minorHAnsi" w:cstheme="minorHAnsi"/>
                <w:sz w:val="20"/>
              </w:rPr>
              <w:lastRenderedPageBreak/>
              <w:t>IZGW i FBW istnieje właściwy odpowiednik). Właściwa instytucja dokonuje analizy, podejmuje czynności weryfikujące stan faktyczny i rozstrzyga o zasadności zgłoszenia. IZ programu odpowiedzialna jest również za prowadzenie polityki informacyjnej w ww. obszarze.</w:t>
            </w:r>
          </w:p>
          <w:p w14:paraId="280E2887" w14:textId="4148492D" w:rsidR="00E8684E" w:rsidRPr="00890249" w:rsidRDefault="00E8684E" w:rsidP="00325D70">
            <w:pPr>
              <w:jc w:val="left"/>
              <w:rPr>
                <w:rFonts w:asciiTheme="minorHAnsi" w:hAnsiTheme="minorHAnsi" w:cstheme="minorHAnsi"/>
                <w:noProof/>
                <w:sz w:val="20"/>
              </w:rPr>
            </w:pPr>
          </w:p>
        </w:tc>
      </w:tr>
      <w:tr w:rsidR="00E8684E" w:rsidRPr="00890249" w14:paraId="441EBD9B" w14:textId="77777777" w:rsidTr="00F62734">
        <w:tc>
          <w:tcPr>
            <w:tcW w:w="1560" w:type="dxa"/>
            <w:vMerge w:val="restart"/>
          </w:tcPr>
          <w:p w14:paraId="1B5DB7F8" w14:textId="77777777" w:rsidR="00E8684E" w:rsidRPr="00890249" w:rsidRDefault="08EE4CF2"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Wdrażanie i stosowanie Konwencji ONZ o prawach osób niepełnosprawnych zgodnie z decyzją Rady 2010/48/WE</w:t>
            </w:r>
            <w:r w:rsidR="00E8684E" w:rsidRPr="00890249">
              <w:rPr>
                <w:rFonts w:asciiTheme="minorHAnsi" w:hAnsiTheme="minorHAnsi" w:cstheme="minorHAnsi"/>
                <w:b/>
                <w:bCs/>
                <w:sz w:val="20"/>
                <w:vertAlign w:val="superscript"/>
              </w:rPr>
              <w:footnoteReference w:id="250"/>
            </w:r>
          </w:p>
        </w:tc>
        <w:tc>
          <w:tcPr>
            <w:tcW w:w="709" w:type="dxa"/>
            <w:vMerge w:val="restart"/>
          </w:tcPr>
          <w:p w14:paraId="75676827"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EFRR,</w:t>
            </w:r>
          </w:p>
          <w:p w14:paraId="1B138FD0"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EFS+</w:t>
            </w:r>
          </w:p>
        </w:tc>
        <w:tc>
          <w:tcPr>
            <w:tcW w:w="1843" w:type="dxa"/>
            <w:vMerge w:val="restart"/>
          </w:tcPr>
          <w:p w14:paraId="5880EAEA"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Warunek mający zastosowanie do wszystkich celów szczegółowych</w:t>
            </w:r>
          </w:p>
        </w:tc>
        <w:tc>
          <w:tcPr>
            <w:tcW w:w="1559" w:type="dxa"/>
            <w:vMerge w:val="restart"/>
          </w:tcPr>
          <w:p w14:paraId="64C0F05E" w14:textId="3857BC69" w:rsidR="00E8684E" w:rsidRPr="00890249" w:rsidRDefault="006756F3"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2551" w:type="dxa"/>
          </w:tcPr>
          <w:p w14:paraId="58D22C6D"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Istnienie krajowych ram zapewniających realizację Konwencji o prawach osób niepełnosprawnych, które obejmują:</w:t>
            </w:r>
          </w:p>
          <w:p w14:paraId="11FF291E" w14:textId="77777777" w:rsidR="00E8684E" w:rsidRPr="00890249" w:rsidRDefault="00E8684E" w:rsidP="00E8684E">
            <w:pPr>
              <w:jc w:val="left"/>
              <w:rPr>
                <w:rFonts w:asciiTheme="minorHAnsi" w:hAnsiTheme="minorHAnsi" w:cstheme="minorHAnsi"/>
                <w:b/>
                <w:bCs/>
                <w:sz w:val="20"/>
              </w:rPr>
            </w:pPr>
          </w:p>
          <w:p w14:paraId="04D91D5F"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1</w:t>
            </w:r>
          </w:p>
          <w:p w14:paraId="18488534"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Cele ogólne obejmujące wymierne wartości docelowe, mechanizmy gromadzenia danych i monitorowania</w:t>
            </w:r>
          </w:p>
        </w:tc>
        <w:tc>
          <w:tcPr>
            <w:tcW w:w="1134" w:type="dxa"/>
            <w:vMerge w:val="restart"/>
          </w:tcPr>
          <w:p w14:paraId="312ADE81" w14:textId="18E3E06A" w:rsidR="00E8684E" w:rsidRPr="00890249" w:rsidRDefault="006756F3"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vMerge w:val="restart"/>
          </w:tcPr>
          <w:p w14:paraId="70BFC43E" w14:textId="4E3D0703" w:rsidR="002F4D6C" w:rsidRPr="002F4D6C" w:rsidRDefault="002F4D6C" w:rsidP="002F4D6C">
            <w:pPr>
              <w:jc w:val="left"/>
              <w:rPr>
                <w:rFonts w:asciiTheme="minorHAnsi" w:hAnsiTheme="minorHAnsi" w:cstheme="minorHAnsi"/>
                <w:bCs/>
                <w:noProof/>
                <w:sz w:val="20"/>
              </w:rPr>
            </w:pPr>
            <w:r w:rsidRPr="002F4D6C">
              <w:rPr>
                <w:rFonts w:asciiTheme="minorHAnsi" w:hAnsiTheme="minorHAnsi" w:cstheme="minorHAnsi"/>
                <w:bCs/>
                <w:noProof/>
                <w:sz w:val="20"/>
              </w:rPr>
              <w:t xml:space="preserve">Warunek spełniony jest poprzez przyjęcie Strategii na rzecz Osób z Niepełnosprawnościami 2021-2030 przyjętej Uchwałą nr 27 Rady Ministrów z dnia 16 lutego 2021 r. oraz przyjętą w dniu 7.06.2022 r. Strategią rozwoju usług społecznych, polityka publiczna do roku 2030 (z perspektywą do 2035 r.). Strategia rozwoju usług społecznych zakłada realizację procesu deinstytucjonalizacji, czyli przechodzenia od opieki o charakterze instytucjonalnym do opieki świadczonej w środowisku rodzinnym i społeczności lokalnej. Usługi społeczne będą koncentrować się na rodzinie i </w:t>
            </w:r>
            <w:r w:rsidRPr="002F4D6C">
              <w:rPr>
                <w:rFonts w:asciiTheme="minorHAnsi" w:hAnsiTheme="minorHAnsi" w:cstheme="minorHAnsi"/>
                <w:bCs/>
                <w:noProof/>
                <w:sz w:val="20"/>
              </w:rPr>
              <w:lastRenderedPageBreak/>
              <w:t>dzieciach, seniorach, osobach z niepełnosprawnościami oraz osobach z zaburzeniami psychicznymi i w kryzysie bezdomności. W ramach zapewnienia wsparcia dla osób z niepełnosprawnościami zaplanowano działania z zakresu wspierania niezależności i zaplanowano wdrożenie systemowej usługi mieszkalnictwa wspomaganego (Cel szczegółowy nr 3). Rozwijane będą mieszkania wspomagane z koszykiem zróżnicowanych usług oraz będą podejmowane działania z zakresu rozwoju i upowszechniania Centrów Opiekuńczo-Mieszkalnych.</w:t>
            </w:r>
          </w:p>
          <w:p w14:paraId="07D884F3" w14:textId="2F3D5FB5" w:rsidR="002F4D6C" w:rsidRPr="002F4D6C" w:rsidRDefault="002F4D6C" w:rsidP="002F4D6C">
            <w:pPr>
              <w:jc w:val="left"/>
              <w:rPr>
                <w:rFonts w:asciiTheme="minorHAnsi" w:hAnsiTheme="minorHAnsi" w:cstheme="minorHAnsi"/>
                <w:bCs/>
                <w:noProof/>
                <w:sz w:val="20"/>
              </w:rPr>
            </w:pPr>
            <w:r w:rsidRPr="002F4D6C">
              <w:rPr>
                <w:rFonts w:asciiTheme="minorHAnsi" w:hAnsiTheme="minorHAnsi" w:cstheme="minorHAnsi"/>
                <w:b/>
                <w:bCs/>
                <w:noProof/>
                <w:sz w:val="20"/>
              </w:rPr>
              <w:t>Link do dokument</w:t>
            </w:r>
            <w:r>
              <w:rPr>
                <w:rFonts w:asciiTheme="minorHAnsi" w:hAnsiTheme="minorHAnsi" w:cstheme="minorHAnsi"/>
                <w:b/>
                <w:bCs/>
                <w:noProof/>
                <w:sz w:val="20"/>
              </w:rPr>
              <w:t>ów</w:t>
            </w:r>
            <w:r w:rsidRPr="002F4D6C">
              <w:rPr>
                <w:rFonts w:asciiTheme="minorHAnsi" w:hAnsiTheme="minorHAnsi" w:cstheme="minorHAnsi"/>
                <w:b/>
                <w:bCs/>
                <w:noProof/>
                <w:sz w:val="20"/>
              </w:rPr>
              <w:t>:</w:t>
            </w:r>
          </w:p>
          <w:p w14:paraId="18710CA9" w14:textId="77777777" w:rsidR="002F4D6C" w:rsidRPr="002F4D6C" w:rsidRDefault="002F4D6C" w:rsidP="002F4D6C">
            <w:pPr>
              <w:jc w:val="left"/>
              <w:rPr>
                <w:rFonts w:asciiTheme="minorHAnsi" w:hAnsiTheme="minorHAnsi" w:cstheme="minorHAnsi"/>
                <w:bCs/>
                <w:noProof/>
                <w:sz w:val="20"/>
              </w:rPr>
            </w:pPr>
            <w:hyperlink r:id="rId23" w:history="1">
              <w:r w:rsidRPr="002F4D6C">
                <w:rPr>
                  <w:rStyle w:val="Hipercze"/>
                  <w:rFonts w:asciiTheme="minorHAnsi" w:hAnsiTheme="minorHAnsi" w:cstheme="minorHAnsi"/>
                  <w:b/>
                  <w:bCs/>
                  <w:noProof/>
                  <w:sz w:val="20"/>
                </w:rPr>
                <w:t>https://dziennikustaw.gov.pl/MP/2021/218/M2021000021801.pdf</w:t>
              </w:r>
            </w:hyperlink>
            <w:r w:rsidRPr="002F4D6C">
              <w:rPr>
                <w:rFonts w:asciiTheme="minorHAnsi" w:hAnsiTheme="minorHAnsi" w:cstheme="minorHAnsi"/>
                <w:b/>
                <w:bCs/>
                <w:noProof/>
                <w:sz w:val="20"/>
              </w:rPr>
              <w:t xml:space="preserve">   </w:t>
            </w:r>
          </w:p>
          <w:p w14:paraId="3A01D9D8" w14:textId="440332F7" w:rsidR="002F4D6C" w:rsidRPr="002F4D6C" w:rsidRDefault="002F4D6C" w:rsidP="002F4D6C">
            <w:pPr>
              <w:jc w:val="left"/>
              <w:rPr>
                <w:rFonts w:asciiTheme="minorHAnsi" w:hAnsiTheme="minorHAnsi" w:cstheme="minorHAnsi"/>
                <w:bCs/>
                <w:noProof/>
                <w:sz w:val="20"/>
              </w:rPr>
            </w:pPr>
            <w:hyperlink r:id="rId24" w:history="1">
              <w:r w:rsidRPr="002F4D6C">
                <w:rPr>
                  <w:rStyle w:val="Hipercze"/>
                  <w:rFonts w:asciiTheme="minorHAnsi" w:hAnsiTheme="minorHAnsi" w:cstheme="minorHAnsi"/>
                  <w:b/>
                  <w:bCs/>
                  <w:noProof/>
                  <w:sz w:val="20"/>
                </w:rPr>
                <w:t>https://isap.sejm.gov.pl/isap.nsf/download.xsp/WMP20220000767/O/M20220767.pdf</w:t>
              </w:r>
            </w:hyperlink>
            <w:r w:rsidRPr="002F4D6C">
              <w:rPr>
                <w:rFonts w:asciiTheme="minorHAnsi" w:hAnsiTheme="minorHAnsi" w:cstheme="minorHAnsi"/>
                <w:b/>
                <w:bCs/>
                <w:noProof/>
                <w:sz w:val="20"/>
              </w:rPr>
              <w:t xml:space="preserve"> </w:t>
            </w:r>
          </w:p>
          <w:p w14:paraId="740F0E94" w14:textId="77777777" w:rsidR="002F4D6C" w:rsidRPr="002F4D6C" w:rsidRDefault="002F4D6C" w:rsidP="002F4D6C">
            <w:pPr>
              <w:jc w:val="left"/>
              <w:rPr>
                <w:rFonts w:asciiTheme="minorHAnsi" w:hAnsiTheme="minorHAnsi" w:cstheme="minorHAnsi"/>
                <w:bCs/>
                <w:noProof/>
                <w:sz w:val="20"/>
              </w:rPr>
            </w:pPr>
            <w:r w:rsidRPr="002F4D6C">
              <w:rPr>
                <w:rFonts w:asciiTheme="minorHAnsi" w:hAnsiTheme="minorHAnsi" w:cstheme="minorHAnsi"/>
                <w:bCs/>
                <w:noProof/>
                <w:sz w:val="20"/>
              </w:rPr>
              <w:t xml:space="preserve">W zakresie zgodności przygotowania i wdrażania programów współfinansowanych w ramach 8 funduszy z postanowieniami Konwencji o prawach osób niepełnosprawnych (KPON), w tym zgłaszania komitetowi </w:t>
            </w:r>
            <w:r w:rsidRPr="002F4D6C">
              <w:rPr>
                <w:rFonts w:asciiTheme="minorHAnsi" w:hAnsiTheme="minorHAnsi" w:cstheme="minorHAnsi"/>
                <w:bCs/>
                <w:noProof/>
                <w:sz w:val="20"/>
              </w:rPr>
              <w:lastRenderedPageBreak/>
              <w:t xml:space="preserve">monitorującemu przypadków niezgodności operacji wspieranych przez fundusze z KPON, przyjęto jednolitą procedurę na poziomie umowy partnerstwa oraz dla każdego z programów. </w:t>
            </w:r>
          </w:p>
          <w:p w14:paraId="336FC712" w14:textId="710C7B26" w:rsidR="00BA42CE" w:rsidRDefault="002F4D6C" w:rsidP="00E8684E">
            <w:pPr>
              <w:jc w:val="left"/>
              <w:rPr>
                <w:rFonts w:asciiTheme="minorHAnsi" w:hAnsiTheme="minorHAnsi" w:cstheme="minorHAnsi"/>
                <w:bCs/>
                <w:noProof/>
                <w:sz w:val="20"/>
              </w:rPr>
            </w:pPr>
            <w:r w:rsidRPr="002F4D6C">
              <w:rPr>
                <w:rFonts w:asciiTheme="minorHAnsi" w:hAnsiTheme="minorHAnsi" w:cstheme="minorHAnsi"/>
                <w:bCs/>
                <w:noProof/>
                <w:sz w:val="20"/>
              </w:rPr>
              <w:t xml:space="preserve">Procedura dotyczy weryfikacji zgodności z KPON zarówno na etapie złożenia wniosku o dofinansowanie jak i w trakcie realizacji projektów. Podejrzenia o niezgodności projektów i/lub działań Beneficjenta lub IP/IW/IZ z KPON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KPON w zależności od charakteru sprawy właściwa instytucja przekazuje zgłoszenie naruszenia do odpowiednich służb, tj. RPO, PIP, Rzecznika Praw Pacjenta lub/i właściwych organów ścigania. IZ Programu przygotowuje roczną </w:t>
            </w:r>
            <w:r w:rsidRPr="002F4D6C">
              <w:rPr>
                <w:rFonts w:asciiTheme="minorHAnsi" w:hAnsiTheme="minorHAnsi" w:cstheme="minorHAnsi"/>
                <w:bCs/>
                <w:noProof/>
                <w:sz w:val="20"/>
              </w:rPr>
              <w:lastRenderedPageBreak/>
              <w:t>zbiorczą informację o wszystkich zgłoszeniach dotyczących niezgodności projektów z KPON, w celu rozpatrzenia i akceptacji przez KM Programu oraz prowadzi w politykę informacyjną w ww. obszarze. KM podejmuje decyzję o podjęciu właściwych działań zaradczych w odniesieniu do zgłoszonych przypadków.</w:t>
            </w:r>
          </w:p>
          <w:p w14:paraId="42DBC221" w14:textId="394879FD" w:rsidR="00E8684E" w:rsidRPr="00890249" w:rsidRDefault="00E8684E" w:rsidP="00BA42CE">
            <w:pPr>
              <w:jc w:val="left"/>
              <w:rPr>
                <w:rFonts w:asciiTheme="minorHAnsi" w:hAnsiTheme="minorHAnsi" w:cstheme="minorHAnsi"/>
                <w:noProof/>
                <w:sz w:val="20"/>
              </w:rPr>
            </w:pPr>
          </w:p>
        </w:tc>
        <w:tc>
          <w:tcPr>
            <w:tcW w:w="2977" w:type="dxa"/>
          </w:tcPr>
          <w:p w14:paraId="03B347A1" w14:textId="77777777" w:rsidR="00E8684E" w:rsidRPr="00890249" w:rsidRDefault="00E8684E" w:rsidP="00325D70">
            <w:pPr>
              <w:jc w:val="left"/>
              <w:rPr>
                <w:rFonts w:asciiTheme="minorHAnsi" w:hAnsiTheme="minorHAnsi" w:cstheme="minorHAnsi"/>
                <w:b/>
                <w:bCs/>
                <w:sz w:val="20"/>
              </w:rPr>
            </w:pPr>
            <w:r w:rsidRPr="00890249">
              <w:rPr>
                <w:rFonts w:asciiTheme="minorHAnsi" w:hAnsiTheme="minorHAnsi" w:cstheme="minorHAnsi"/>
                <w:b/>
                <w:bCs/>
                <w:sz w:val="20"/>
              </w:rPr>
              <w:lastRenderedPageBreak/>
              <w:t xml:space="preserve">Kryterium 1 </w:t>
            </w:r>
          </w:p>
          <w:p w14:paraId="0FCFA496"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w:t>
            </w:r>
            <w:r w:rsidRPr="00890249">
              <w:rPr>
                <w:rFonts w:asciiTheme="minorHAnsi" w:hAnsiTheme="minorHAnsi" w:cstheme="minorHAnsi"/>
                <w:bCs/>
                <w:sz w:val="20"/>
              </w:rPr>
              <w:lastRenderedPageBreak/>
              <w:t>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14:paraId="2BE9D1B4" w14:textId="77777777" w:rsidR="00E8684E" w:rsidRPr="00890249" w:rsidRDefault="008D2B18" w:rsidP="00325D70">
            <w:pPr>
              <w:spacing w:after="0"/>
              <w:jc w:val="left"/>
              <w:rPr>
                <w:rFonts w:asciiTheme="minorHAnsi" w:hAnsiTheme="minorHAnsi" w:cstheme="minorHAnsi"/>
                <w:b/>
                <w:bCs/>
                <w:sz w:val="20"/>
              </w:rPr>
            </w:pPr>
            <w:r w:rsidRPr="00890249">
              <w:rPr>
                <w:rFonts w:asciiTheme="minorHAnsi" w:hAnsiTheme="minorHAnsi" w:cstheme="minorHAnsi"/>
                <w:bCs/>
                <w:sz w:val="20"/>
              </w:rPr>
              <w:t>Przyjęcie i wdrożenie SRUS umożliwia zatem realizację celów w obszarze deinstytucjonalizacji wskazanych w Strategii na rzecz Osób z Niepełnosprawnościami 2021-2030 oraz zapewni monitoring realizacji wskaźników dotyczących tego obszaru dla OzN.</w:t>
            </w:r>
          </w:p>
        </w:tc>
      </w:tr>
      <w:tr w:rsidR="00E8684E" w:rsidRPr="00890249" w14:paraId="6B5201F3" w14:textId="77777777" w:rsidTr="00F62734">
        <w:tc>
          <w:tcPr>
            <w:tcW w:w="1560" w:type="dxa"/>
            <w:vMerge/>
          </w:tcPr>
          <w:p w14:paraId="6A5CCDA1"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05499007"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72271DA7"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61A989F3"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401E19E7"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2</w:t>
            </w:r>
          </w:p>
          <w:p w14:paraId="5DD4789A"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Rozwiązania mające zapewnić, by w ramach przygotowywania i wdrażania programów odpowiednio zostały odzwierciedlone polityka, prawodawstwo i normy w zakresie dostępności</w:t>
            </w:r>
          </w:p>
        </w:tc>
        <w:tc>
          <w:tcPr>
            <w:tcW w:w="1134" w:type="dxa"/>
            <w:vMerge/>
          </w:tcPr>
          <w:p w14:paraId="3B2382F0" w14:textId="77777777" w:rsidR="00E8684E" w:rsidRPr="00890249" w:rsidRDefault="00E8684E" w:rsidP="00E8684E">
            <w:pPr>
              <w:jc w:val="left"/>
              <w:rPr>
                <w:rFonts w:asciiTheme="minorHAnsi" w:hAnsiTheme="minorHAnsi" w:cstheme="minorHAnsi"/>
                <w:noProof/>
                <w:sz w:val="20"/>
              </w:rPr>
            </w:pPr>
          </w:p>
        </w:tc>
        <w:tc>
          <w:tcPr>
            <w:tcW w:w="3402" w:type="dxa"/>
            <w:vMerge/>
          </w:tcPr>
          <w:p w14:paraId="5C63069B" w14:textId="77777777" w:rsidR="00E8684E" w:rsidRPr="00890249" w:rsidRDefault="00E8684E" w:rsidP="00E8684E">
            <w:pPr>
              <w:jc w:val="left"/>
              <w:rPr>
                <w:rFonts w:asciiTheme="minorHAnsi" w:hAnsiTheme="minorHAnsi" w:cstheme="minorHAnsi"/>
                <w:noProof/>
                <w:sz w:val="20"/>
              </w:rPr>
            </w:pPr>
          </w:p>
        </w:tc>
        <w:tc>
          <w:tcPr>
            <w:tcW w:w="2977" w:type="dxa"/>
          </w:tcPr>
          <w:p w14:paraId="5E0144D8" w14:textId="48C2842C" w:rsidR="00E8684E" w:rsidRPr="00890249" w:rsidRDefault="00E8684E" w:rsidP="00325D70">
            <w:pPr>
              <w:jc w:val="left"/>
              <w:rPr>
                <w:rFonts w:asciiTheme="minorHAnsi" w:hAnsiTheme="minorHAnsi" w:cstheme="minorHAnsi"/>
                <w:b/>
                <w:bCs/>
                <w:sz w:val="20"/>
              </w:rPr>
            </w:pPr>
            <w:r w:rsidRPr="00890249">
              <w:rPr>
                <w:rFonts w:asciiTheme="minorHAnsi" w:hAnsiTheme="minorHAnsi" w:cstheme="minorHAnsi"/>
                <w:b/>
                <w:bCs/>
                <w:sz w:val="20"/>
              </w:rPr>
              <w:t xml:space="preserve">Kryterium 2 </w:t>
            </w:r>
          </w:p>
          <w:p w14:paraId="71BAF8D1"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 xml:space="preserve">Kryterium zostanie spełnione poprzez zobowiązanie IZ do realizacji następujących działań: </w:t>
            </w:r>
          </w:p>
          <w:p w14:paraId="2CE86EC6"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(1)</w:t>
            </w:r>
            <w:r w:rsidRPr="00890249">
              <w:rPr>
                <w:rFonts w:asciiTheme="minorHAnsi" w:hAnsiTheme="minorHAnsi" w:cstheme="minorHAnsi"/>
                <w:bCs/>
                <w:sz w:val="20"/>
              </w:rPr>
              <w:tab/>
              <w:t>wskazania konkretnych artykułów KPON związanych z zakresem wsparcia planowanym do realizacji w ramach programu,</w:t>
            </w:r>
          </w:p>
          <w:p w14:paraId="6BEE7DB7"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(2)</w:t>
            </w:r>
            <w:r w:rsidRPr="00890249">
              <w:rPr>
                <w:rFonts w:asciiTheme="minorHAnsi" w:hAnsiTheme="minorHAnsi" w:cstheme="minorHAnsi"/>
                <w:bCs/>
                <w:sz w:val="20"/>
              </w:rPr>
              <w:tab/>
              <w:t xml:space="preserve">zapewnienia zgodności z KPON wszelkich procesów i </w:t>
            </w:r>
            <w:r w:rsidRPr="00890249">
              <w:rPr>
                <w:rFonts w:asciiTheme="minorHAnsi" w:hAnsiTheme="minorHAnsi" w:cstheme="minorHAnsi"/>
                <w:bCs/>
                <w:sz w:val="20"/>
              </w:rPr>
              <w:lastRenderedPageBreak/>
              <w:t>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3759C2E0"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(3)</w:t>
            </w:r>
            <w:r w:rsidRPr="00890249">
              <w:rPr>
                <w:rFonts w:asciiTheme="minorHAnsi" w:hAnsiTheme="minorHAnsi" w:cstheme="minorHAnsi"/>
                <w:bCs/>
                <w:sz w:val="20"/>
              </w:rPr>
              <w:tab/>
              <w:t>oceny projektów pod kątem kryterium dotyczącego zgodności z KPON,</w:t>
            </w:r>
          </w:p>
          <w:p w14:paraId="0995ECB6"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(4)</w:t>
            </w:r>
            <w:r w:rsidRPr="00890249">
              <w:rPr>
                <w:rFonts w:asciiTheme="minorHAnsi" w:hAnsiTheme="minorHAnsi" w:cstheme="minorHAnsi"/>
                <w:bCs/>
                <w:sz w:val="20"/>
              </w:rPr>
              <w:tab/>
              <w:t>zapewnienia stosowania standardów dostępności poprzez Wytyczne określające standardy zapewniania dostępności w inwestycjach finansowanych w ramach polityki spójności,</w:t>
            </w:r>
          </w:p>
          <w:p w14:paraId="57A6B3B8"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(5)</w:t>
            </w:r>
            <w:r w:rsidRPr="00890249">
              <w:rPr>
                <w:rFonts w:asciiTheme="minorHAnsi" w:hAnsiTheme="minorHAnsi" w:cstheme="minorHAnsi"/>
                <w:bCs/>
                <w:sz w:val="20"/>
              </w:rPr>
              <w:tab/>
              <w:t>realizacji działań informacyjnych/świadomościowych związanych z przestrzeganiem KPON,</w:t>
            </w:r>
          </w:p>
          <w:p w14:paraId="31497D20" w14:textId="77777777" w:rsidR="00E8684E"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(6)</w:t>
            </w:r>
            <w:r w:rsidRPr="00890249">
              <w:rPr>
                <w:rFonts w:asciiTheme="minorHAnsi" w:hAnsiTheme="minorHAnsi" w:cstheme="minorHAnsi"/>
                <w:bCs/>
                <w:sz w:val="20"/>
              </w:rPr>
              <w:tab/>
              <w:t xml:space="preserve">wprowadzenia do systemu realizacji programu procedury zgłaszania podejrzeń i </w:t>
            </w:r>
            <w:r w:rsidRPr="00890249">
              <w:rPr>
                <w:rFonts w:asciiTheme="minorHAnsi" w:hAnsiTheme="minorHAnsi" w:cstheme="minorHAnsi"/>
                <w:bCs/>
                <w:sz w:val="20"/>
              </w:rPr>
              <w:lastRenderedPageBreak/>
              <w:t>skarg dotyczących niezgodności interwencji/działań z KPON.</w:t>
            </w:r>
          </w:p>
        </w:tc>
      </w:tr>
      <w:tr w:rsidR="00E8684E" w:rsidRPr="00890249" w14:paraId="3C13EF3F" w14:textId="77777777" w:rsidTr="00F62734">
        <w:tc>
          <w:tcPr>
            <w:tcW w:w="1560" w:type="dxa"/>
            <w:vMerge/>
          </w:tcPr>
          <w:p w14:paraId="4421B280"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5BC9AFA4"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636409EE"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0FDDEA1F"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4F6B6800"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3</w:t>
            </w:r>
          </w:p>
          <w:p w14:paraId="66819F70"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Rozwiązania dotyczące sprawozdawania komitetowi </w:t>
            </w:r>
          </w:p>
          <w:p w14:paraId="15CE8AEB"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monitorującemu przypadków niezgodności operacji wspieranych z Funduszy z Konwencją oraz skarg o nieprzestrzeganie Konwencji złożonych zgodnie z rozwiązaniami przyjętymi na mocy art. 69 ust. 7.</w:t>
            </w:r>
          </w:p>
        </w:tc>
        <w:tc>
          <w:tcPr>
            <w:tcW w:w="1134" w:type="dxa"/>
            <w:vMerge/>
          </w:tcPr>
          <w:p w14:paraId="2FB41D2F" w14:textId="77777777" w:rsidR="00E8684E" w:rsidRPr="00890249" w:rsidRDefault="00E8684E" w:rsidP="00E8684E">
            <w:pPr>
              <w:jc w:val="left"/>
              <w:rPr>
                <w:rFonts w:asciiTheme="minorHAnsi" w:hAnsiTheme="minorHAnsi" w:cstheme="minorHAnsi"/>
                <w:noProof/>
                <w:sz w:val="20"/>
              </w:rPr>
            </w:pPr>
          </w:p>
        </w:tc>
        <w:tc>
          <w:tcPr>
            <w:tcW w:w="3402" w:type="dxa"/>
            <w:vMerge/>
          </w:tcPr>
          <w:p w14:paraId="2BD05650" w14:textId="77777777" w:rsidR="00E8684E" w:rsidRPr="00890249" w:rsidRDefault="00E8684E" w:rsidP="00E8684E">
            <w:pPr>
              <w:jc w:val="left"/>
              <w:rPr>
                <w:rFonts w:asciiTheme="minorHAnsi" w:hAnsiTheme="minorHAnsi" w:cstheme="minorHAnsi"/>
                <w:noProof/>
                <w:sz w:val="20"/>
              </w:rPr>
            </w:pPr>
          </w:p>
        </w:tc>
        <w:tc>
          <w:tcPr>
            <w:tcW w:w="2977" w:type="dxa"/>
          </w:tcPr>
          <w:p w14:paraId="55AC4BC3" w14:textId="01504B37" w:rsidR="002126AC" w:rsidRDefault="002126AC" w:rsidP="00325D70">
            <w:pPr>
              <w:spacing w:after="0"/>
              <w:jc w:val="left"/>
              <w:rPr>
                <w:rFonts w:asciiTheme="minorHAnsi" w:hAnsiTheme="minorHAnsi" w:cstheme="minorHAnsi"/>
                <w:bCs/>
                <w:sz w:val="20"/>
              </w:rPr>
            </w:pPr>
            <w:r w:rsidRPr="002126AC">
              <w:rPr>
                <w:rFonts w:asciiTheme="minorHAnsi" w:hAnsiTheme="minorHAnsi" w:cstheme="minorHAnsi"/>
                <w:b/>
                <w:bCs/>
                <w:sz w:val="20"/>
              </w:rPr>
              <w:t>Kryterium 3</w:t>
            </w:r>
          </w:p>
          <w:p w14:paraId="728C046A" w14:textId="65B7C2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Kryterium zostanie spełnione poprzez wprowadzenie obowiązkowego rocznego raportowania Komitetowi Monitorującemu o zgłoszonych przypadkach niezgodności interwencji/działań z KPON</w:t>
            </w:r>
            <w:r w:rsidRPr="00890249">
              <w:rPr>
                <w:rFonts w:asciiTheme="minorHAnsi" w:hAnsiTheme="minorHAnsi" w:cstheme="minorHAnsi"/>
              </w:rPr>
              <w:t xml:space="preserve"> </w:t>
            </w:r>
            <w:r w:rsidRPr="00890249">
              <w:rPr>
                <w:rFonts w:asciiTheme="minorHAnsi" w:hAnsiTheme="minorHAnsi" w:cstheme="minorHAnsi"/>
                <w:bCs/>
                <w:sz w:val="20"/>
              </w:rPr>
              <w:t>oraz skargach na nieprzestrzeganie KPON.</w:t>
            </w:r>
          </w:p>
          <w:p w14:paraId="0092500C" w14:textId="77777777" w:rsidR="008D2B18" w:rsidRPr="00890249" w:rsidRDefault="008D2B18" w:rsidP="00325D70">
            <w:pPr>
              <w:spacing w:after="0"/>
              <w:jc w:val="left"/>
              <w:rPr>
                <w:rFonts w:asciiTheme="minorHAnsi" w:hAnsiTheme="minorHAnsi" w:cstheme="minorHAnsi"/>
                <w:bCs/>
                <w:sz w:val="20"/>
              </w:rPr>
            </w:pPr>
            <w:r w:rsidRPr="00890249">
              <w:rPr>
                <w:rFonts w:asciiTheme="minorHAnsi" w:hAnsiTheme="minorHAnsi" w:cstheme="minorHAnsi"/>
                <w:bCs/>
                <w:sz w:val="20"/>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08158174" w14:textId="77777777" w:rsidR="00E8684E" w:rsidRPr="00890249" w:rsidRDefault="008D2B18" w:rsidP="00325D70">
            <w:pPr>
              <w:jc w:val="left"/>
              <w:rPr>
                <w:rFonts w:asciiTheme="minorHAnsi" w:hAnsiTheme="minorHAnsi" w:cstheme="minorHAnsi"/>
                <w:noProof/>
                <w:sz w:val="20"/>
              </w:rPr>
            </w:pPr>
            <w:r w:rsidRPr="00890249">
              <w:rPr>
                <w:rFonts w:asciiTheme="minorHAnsi" w:hAnsiTheme="minorHAnsi" w:cstheme="minorHAnsi"/>
                <w:bCs/>
                <w:sz w:val="20"/>
              </w:rPr>
              <w:t xml:space="preserve">Zakres prerogatyw KM w tym względzie zostanie określony w regulaminie KM, w oparciu o </w:t>
            </w:r>
            <w:r w:rsidRPr="00890249">
              <w:rPr>
                <w:rFonts w:asciiTheme="minorHAnsi" w:hAnsiTheme="minorHAnsi" w:cstheme="minorHAnsi"/>
                <w:bCs/>
                <w:sz w:val="20"/>
              </w:rPr>
              <w:lastRenderedPageBreak/>
              <w:t>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tc>
      </w:tr>
      <w:tr w:rsidR="00E8684E" w:rsidRPr="00890249" w14:paraId="74D75008" w14:textId="77777777" w:rsidTr="00F62734">
        <w:tc>
          <w:tcPr>
            <w:tcW w:w="15735" w:type="dxa"/>
            <w:gridSpan w:val="8"/>
            <w:shd w:val="clear" w:color="auto" w:fill="FFD966" w:themeFill="accent4" w:themeFillTint="99"/>
          </w:tcPr>
          <w:p w14:paraId="63CE1A64" w14:textId="77777777" w:rsidR="00E8684E" w:rsidRPr="00890249" w:rsidRDefault="00E8684E" w:rsidP="00325D70">
            <w:pPr>
              <w:jc w:val="left"/>
              <w:rPr>
                <w:rFonts w:asciiTheme="minorHAnsi" w:hAnsiTheme="minorHAnsi" w:cstheme="minorHAnsi"/>
                <w:b/>
                <w:noProof/>
                <w:sz w:val="20"/>
              </w:rPr>
            </w:pPr>
            <w:r w:rsidRPr="00890249">
              <w:rPr>
                <w:rFonts w:asciiTheme="minorHAnsi" w:hAnsiTheme="minorHAnsi" w:cstheme="minorHAnsi"/>
                <w:b/>
                <w:noProof/>
                <w:sz w:val="20"/>
              </w:rPr>
              <w:lastRenderedPageBreak/>
              <w:t xml:space="preserve">Tematyczne warunki podstawowe </w:t>
            </w:r>
          </w:p>
        </w:tc>
      </w:tr>
      <w:tr w:rsidR="00E8684E" w:rsidRPr="00890249" w14:paraId="010CE6A3" w14:textId="77777777" w:rsidTr="00F62734">
        <w:tc>
          <w:tcPr>
            <w:tcW w:w="1560" w:type="dxa"/>
            <w:vMerge w:val="restart"/>
          </w:tcPr>
          <w:p w14:paraId="03263DB8"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1.1.Dobre zarządzanie krajową lub regionalną strategią inteligentnej specjalizacji </w:t>
            </w:r>
          </w:p>
          <w:p w14:paraId="6D1A643A" w14:textId="77777777" w:rsidR="00E8684E" w:rsidRPr="00890249" w:rsidRDefault="00E8684E" w:rsidP="00E8684E">
            <w:pPr>
              <w:jc w:val="left"/>
              <w:rPr>
                <w:rFonts w:asciiTheme="minorHAnsi" w:hAnsiTheme="minorHAnsi" w:cstheme="minorHAnsi"/>
                <w:b/>
                <w:sz w:val="20"/>
              </w:rPr>
            </w:pPr>
            <w:r w:rsidRPr="00890249">
              <w:rPr>
                <w:rFonts w:asciiTheme="minorHAnsi" w:hAnsiTheme="minorHAnsi" w:cstheme="minorHAnsi"/>
                <w:b/>
                <w:sz w:val="20"/>
              </w:rPr>
              <w:t xml:space="preserve">(Poziom krajowy) </w:t>
            </w:r>
          </w:p>
        </w:tc>
        <w:tc>
          <w:tcPr>
            <w:tcW w:w="709" w:type="dxa"/>
            <w:vMerge w:val="restart"/>
          </w:tcPr>
          <w:p w14:paraId="2884019B" w14:textId="77777777" w:rsidR="00E8684E" w:rsidRPr="00890249" w:rsidRDefault="00E8684E" w:rsidP="00E8684E">
            <w:pPr>
              <w:jc w:val="left"/>
              <w:rPr>
                <w:rFonts w:asciiTheme="minorHAnsi" w:hAnsiTheme="minorHAnsi" w:cstheme="minorHAnsi"/>
                <w:sz w:val="20"/>
                <w:lang w:val="en-GB"/>
              </w:rPr>
            </w:pPr>
            <w:r w:rsidRPr="00890249">
              <w:rPr>
                <w:rFonts w:asciiTheme="minorHAnsi" w:hAnsiTheme="minorHAnsi" w:cstheme="minorHAnsi"/>
                <w:sz w:val="20"/>
                <w:lang w:val="en-GB"/>
              </w:rPr>
              <w:t>EFRR</w:t>
            </w:r>
          </w:p>
          <w:p w14:paraId="6B3E5D84" w14:textId="77777777" w:rsidR="00E8684E" w:rsidRPr="00890249" w:rsidRDefault="00E8684E" w:rsidP="00E8684E">
            <w:pPr>
              <w:jc w:val="left"/>
              <w:rPr>
                <w:rFonts w:asciiTheme="minorHAnsi" w:hAnsiTheme="minorHAnsi" w:cstheme="minorHAnsi"/>
                <w:sz w:val="20"/>
                <w:lang w:val="en-GB"/>
              </w:rPr>
            </w:pPr>
          </w:p>
        </w:tc>
        <w:tc>
          <w:tcPr>
            <w:tcW w:w="1843" w:type="dxa"/>
            <w:vMerge w:val="restart"/>
          </w:tcPr>
          <w:p w14:paraId="5296725C"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Rozwijanie i wzmacnianie zdolności badawczych i innowacyjnych  oraz wykorzystywanie zaawansowanych technologii</w:t>
            </w:r>
          </w:p>
          <w:p w14:paraId="70AE125A" w14:textId="77777777" w:rsidR="00E8684E" w:rsidRPr="00890249" w:rsidRDefault="00E8684E" w:rsidP="00E8684E">
            <w:pPr>
              <w:jc w:val="left"/>
              <w:rPr>
                <w:rFonts w:asciiTheme="minorHAnsi" w:hAnsiTheme="minorHAnsi" w:cstheme="minorHAnsi"/>
                <w:b/>
                <w:bCs/>
                <w:i/>
                <w:sz w:val="20"/>
                <w:u w:val="single"/>
              </w:rPr>
            </w:pPr>
            <w:r w:rsidRPr="00890249">
              <w:rPr>
                <w:rFonts w:asciiTheme="minorHAnsi" w:hAnsiTheme="minorHAnsi" w:cstheme="minorHAnsi"/>
                <w:sz w:val="20"/>
              </w:rPr>
              <w:t xml:space="preserve">Rozwijanie umiejętności w zakresie inteligentnej </w:t>
            </w:r>
            <w:r w:rsidRPr="00890249">
              <w:rPr>
                <w:rFonts w:asciiTheme="minorHAnsi" w:hAnsiTheme="minorHAnsi" w:cstheme="minorHAnsi"/>
                <w:sz w:val="20"/>
              </w:rPr>
              <w:lastRenderedPageBreak/>
              <w:t>specjalizacji, transformacji przemysłowej i przedsiębiorczości</w:t>
            </w:r>
          </w:p>
        </w:tc>
        <w:tc>
          <w:tcPr>
            <w:tcW w:w="1559" w:type="dxa"/>
            <w:vMerge w:val="restart"/>
          </w:tcPr>
          <w:p w14:paraId="61030C37"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tc>
        <w:tc>
          <w:tcPr>
            <w:tcW w:w="2551" w:type="dxa"/>
          </w:tcPr>
          <w:p w14:paraId="4CF88E32"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1</w:t>
            </w:r>
          </w:p>
          <w:p w14:paraId="7673E36F"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Aktualna analiza wyzwań związanych z upowszechnianiem innowacji oraz cyfryzacją.</w:t>
            </w:r>
          </w:p>
        </w:tc>
        <w:tc>
          <w:tcPr>
            <w:tcW w:w="1134" w:type="dxa"/>
            <w:vMerge w:val="restart"/>
          </w:tcPr>
          <w:p w14:paraId="56E92045"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vMerge w:val="restart"/>
          </w:tcPr>
          <w:p w14:paraId="4887D626" w14:textId="77777777" w:rsidR="00E8684E" w:rsidRPr="00890249" w:rsidRDefault="00E8684E" w:rsidP="00E8684E">
            <w:pPr>
              <w:jc w:val="left"/>
              <w:rPr>
                <w:rFonts w:asciiTheme="minorHAnsi" w:hAnsiTheme="minorHAnsi" w:cstheme="minorHAnsi"/>
                <w:b/>
                <w:bCs/>
                <w:noProof/>
                <w:sz w:val="20"/>
              </w:rPr>
            </w:pPr>
            <w:r w:rsidRPr="00890249">
              <w:rPr>
                <w:rFonts w:asciiTheme="minorHAnsi" w:hAnsiTheme="minorHAnsi" w:cstheme="minorHAnsi"/>
                <w:b/>
                <w:bCs/>
                <w:noProof/>
                <w:sz w:val="20"/>
              </w:rPr>
              <w:t>Na poziomie regionalnym spełnienie warunku wykazywane będzie wraz z przekazaniem programów regionalnych.</w:t>
            </w:r>
          </w:p>
          <w:p w14:paraId="1E2F5CE7"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bCs/>
                <w:noProof/>
                <w:sz w:val="20"/>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w:t>
            </w:r>
            <w:r w:rsidRPr="00890249">
              <w:rPr>
                <w:rFonts w:asciiTheme="minorHAnsi" w:hAnsiTheme="minorHAnsi" w:cstheme="minorHAnsi"/>
                <w:bCs/>
                <w:noProof/>
                <w:sz w:val="20"/>
              </w:rPr>
              <w:lastRenderedPageBreak/>
              <w:t xml:space="preserve">Inteligentnych Specjalizacjach (RIS)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890249">
              <w:rPr>
                <w:rFonts w:asciiTheme="minorHAnsi" w:hAnsiTheme="minorHAnsi" w:cstheme="minorHAnsi"/>
                <w:noProof/>
                <w:sz w:val="20"/>
              </w:rPr>
              <w:t xml:space="preserve">Jako element ciągłego procesu przedsiębiorczego odkrywania oraz monitorowania inteligentnych specjalizacji prowadzone są prace związane z aktualizacją dokumentu kierunkowego KIS, kontynuowane są prace związane z rozbudową i zasilaniem danymi narzędzia interaktywnego do monitorowania 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w:t>
            </w:r>
            <w:r w:rsidRPr="00890249">
              <w:rPr>
                <w:rFonts w:asciiTheme="minorHAnsi" w:hAnsiTheme="minorHAnsi" w:cstheme="minorHAnsi"/>
                <w:noProof/>
                <w:sz w:val="20"/>
              </w:rPr>
              <w:lastRenderedPageBreak/>
              <w:t>metodologii w zakresie map drogowych w obszarach KIS.</w:t>
            </w:r>
          </w:p>
          <w:p w14:paraId="1A0BCF61"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Za najważniejsze transformacje które musi skutecznie przejść polska gospodarka uznano: budowę gospodarki o obiegu zamkniętym, rozwój przemysłu 4.0, cyfryzację przedsiębiorstw i gospodarkę neutralną klimatycznie. </w:t>
            </w:r>
          </w:p>
          <w:p w14:paraId="521F7E53" w14:textId="77777777" w:rsidR="00E8684E" w:rsidRPr="00890249" w:rsidRDefault="00E8684E" w:rsidP="00E8684E">
            <w:pPr>
              <w:jc w:val="left"/>
              <w:rPr>
                <w:rFonts w:asciiTheme="minorHAnsi" w:hAnsiTheme="minorHAnsi" w:cstheme="minorHAnsi"/>
                <w:bCs/>
                <w:noProof/>
                <w:sz w:val="20"/>
              </w:rPr>
            </w:pPr>
            <w:r w:rsidRPr="00890249">
              <w:rPr>
                <w:rFonts w:asciiTheme="minorHAnsi" w:hAnsiTheme="minorHAnsi" w:cstheme="minorHAnsi"/>
                <w:noProof/>
                <w:sz w:val="20"/>
              </w:rPr>
              <w:t>W każdym z ww. obszarów podejmowanych jest szereg działań opisanych odpowiednio m.in. w  SOR, Mapie GOZ, Polityce Przemysłowej Polski, ustawie o Fundacji Platforma Przemysłu Przyszłości, programach Mój Prąd i Czyste Powietrze, koncepcji procesu standaryzacji Hubów Innowacji Cyfrowych, Polityce SI, Polityce Danych, koncepcji Szkoły Głównej Kompetencji Cyfrowych oraz Strategii Transformacji do Gospodarki Neutralnej Klimatycznie.</w:t>
            </w:r>
          </w:p>
          <w:p w14:paraId="1D3E17F0" w14:textId="77777777" w:rsidR="00E8684E" w:rsidRPr="00890249" w:rsidRDefault="00E8684E" w:rsidP="00E8684E">
            <w:pPr>
              <w:jc w:val="left"/>
              <w:rPr>
                <w:rFonts w:asciiTheme="minorHAnsi" w:hAnsiTheme="minorHAnsi" w:cstheme="minorHAnsi"/>
                <w:bCs/>
                <w:noProof/>
                <w:sz w:val="20"/>
              </w:rPr>
            </w:pPr>
            <w:r w:rsidRPr="00890249">
              <w:rPr>
                <w:rFonts w:asciiTheme="minorHAnsi" w:hAnsiTheme="minorHAnsi" w:cstheme="minorHAnsi"/>
                <w:bCs/>
                <w:noProof/>
                <w:sz w:val="20"/>
              </w:rPr>
              <w:t xml:space="preserve">Ponadto w celu spełnienia warunku promowana jest współpraca międzyregionalna i ponadnarodowa w obszarach inteligentnych specjalizacji (np. Partnerstwa S3 przy KE, Interreg, EIT, Horyzont 2020, Innovoucher, TravelGrants, projekty Grupy Wyszehradzkiej, TeamNet, bilateralne </w:t>
            </w:r>
            <w:r w:rsidRPr="00890249">
              <w:rPr>
                <w:rFonts w:asciiTheme="minorHAnsi" w:hAnsiTheme="minorHAnsi" w:cstheme="minorHAnsi"/>
                <w:bCs/>
                <w:noProof/>
                <w:sz w:val="20"/>
              </w:rPr>
              <w:lastRenderedPageBreak/>
              <w:t>projekty akceleracyjne), a także internacjonalizacja polskich firm np.: Umiędzynarodowienie Krajowych Klastrów Kluczowych, Brand, Go to Brand, Poland Prize, Polskie Mosty Technologiczne, Granty na Eurogranty.</w:t>
            </w:r>
          </w:p>
          <w:p w14:paraId="7229073C" w14:textId="77777777" w:rsidR="00E8684E" w:rsidRPr="00890249" w:rsidRDefault="00E8684E" w:rsidP="00E8684E">
            <w:pPr>
              <w:shd w:val="clear" w:color="auto" w:fill="D9D9D9" w:themeFill="background1" w:themeFillShade="D9"/>
              <w:spacing w:after="0"/>
              <w:jc w:val="left"/>
              <w:rPr>
                <w:rFonts w:asciiTheme="minorHAnsi" w:hAnsiTheme="minorHAnsi" w:cstheme="minorHAnsi"/>
                <w:b/>
                <w:bCs/>
                <w:sz w:val="20"/>
              </w:rPr>
            </w:pPr>
            <w:r w:rsidRPr="00890249">
              <w:rPr>
                <w:rFonts w:asciiTheme="minorHAnsi" w:hAnsiTheme="minorHAnsi" w:cstheme="minorHAnsi"/>
                <w:b/>
                <w:bCs/>
                <w:sz w:val="20"/>
              </w:rPr>
              <w:t>Kryterium 1</w:t>
            </w:r>
          </w:p>
          <w:p w14:paraId="78CDB03B"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Strategia na rzecz Odpowiedzialnego Rozwoju- Ministerstwo Rozwoju i Technologii</w:t>
            </w:r>
          </w:p>
          <w:p w14:paraId="05EEAD1D" w14:textId="1E604D99" w:rsidR="002F4D6C" w:rsidRPr="002F4D6C" w:rsidRDefault="002F4D6C" w:rsidP="002F4D6C">
            <w:pPr>
              <w:spacing w:after="0"/>
              <w:jc w:val="left"/>
              <w:rPr>
                <w:rFonts w:asciiTheme="minorHAnsi" w:hAnsiTheme="minorHAnsi" w:cstheme="minorHAnsi"/>
                <w:b/>
                <w:bCs/>
                <w:sz w:val="20"/>
              </w:rPr>
            </w:pPr>
            <w:hyperlink r:id="rId25" w:history="1">
              <w:r w:rsidRPr="002F4D6C">
                <w:rPr>
                  <w:rStyle w:val="Hipercze"/>
                  <w:rFonts w:asciiTheme="minorHAnsi" w:hAnsiTheme="minorHAnsi" w:cstheme="minorHAnsi"/>
                  <w:b/>
                  <w:bCs/>
                  <w:sz w:val="20"/>
                </w:rPr>
                <w:t>https://www.gov.pl/web/fundusze-regiony/informacje-o-strategii-na-rzecz-odpowiedzialnego-rozwoju</w:t>
              </w:r>
            </w:hyperlink>
            <w:r>
              <w:rPr>
                <w:rFonts w:asciiTheme="minorHAnsi" w:hAnsiTheme="minorHAnsi" w:cstheme="minorHAnsi"/>
                <w:b/>
                <w:bCs/>
                <w:sz w:val="20"/>
              </w:rPr>
              <w:t xml:space="preserve"> </w:t>
            </w:r>
            <w:r w:rsidRPr="002F4D6C">
              <w:rPr>
                <w:rFonts w:asciiTheme="minorHAnsi" w:hAnsiTheme="minorHAnsi" w:cstheme="minorHAnsi"/>
                <w:b/>
                <w:bCs/>
                <w:sz w:val="20"/>
              </w:rPr>
              <w:t xml:space="preserve"> </w:t>
            </w:r>
            <w:r>
              <w:rPr>
                <w:rFonts w:asciiTheme="minorHAnsi" w:hAnsiTheme="minorHAnsi" w:cstheme="minorHAnsi"/>
                <w:b/>
                <w:bCs/>
                <w:sz w:val="20"/>
              </w:rPr>
              <w:t xml:space="preserve"> </w:t>
            </w:r>
          </w:p>
          <w:p w14:paraId="3073F7BF"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Strategia Produktywności - Ministerstwo Rozwoju i Technologii</w:t>
            </w:r>
          </w:p>
          <w:p w14:paraId="6BF4156E" w14:textId="000814F7" w:rsidR="002F4D6C" w:rsidRPr="002F4D6C" w:rsidRDefault="002F4D6C" w:rsidP="002F4D6C">
            <w:pPr>
              <w:spacing w:after="0"/>
              <w:jc w:val="left"/>
              <w:rPr>
                <w:rFonts w:asciiTheme="minorHAnsi" w:hAnsiTheme="minorHAnsi" w:cstheme="minorHAnsi"/>
                <w:b/>
                <w:bCs/>
                <w:sz w:val="20"/>
              </w:rPr>
            </w:pPr>
            <w:hyperlink r:id="rId26" w:history="1">
              <w:r w:rsidRPr="00140B69">
                <w:rPr>
                  <w:rStyle w:val="Hipercze"/>
                  <w:rFonts w:asciiTheme="minorHAnsi" w:hAnsiTheme="minorHAnsi" w:cstheme="minorHAnsi"/>
                  <w:b/>
                  <w:bCs/>
                  <w:sz w:val="20"/>
                </w:rPr>
                <w:t>https://www.gov.pl/web/rozwoj-technologia/strategia-produktywnosci-2031</w:t>
              </w:r>
            </w:hyperlink>
            <w:r>
              <w:rPr>
                <w:rFonts w:asciiTheme="minorHAnsi" w:hAnsiTheme="minorHAnsi" w:cstheme="minorHAnsi"/>
                <w:b/>
                <w:bCs/>
                <w:sz w:val="20"/>
              </w:rPr>
              <w:t xml:space="preserve"> </w:t>
            </w:r>
          </w:p>
          <w:p w14:paraId="0DE6FBE6"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Strategia Cyberbezpieczeństwa Rzeczypospolitej Polskiej na lata 2019-2024 – Ministerstwo Cyfryzacji</w:t>
            </w:r>
          </w:p>
          <w:p w14:paraId="715A5F6C" w14:textId="7C992745" w:rsidR="002F4D6C" w:rsidRPr="002F4D6C" w:rsidRDefault="002F4D6C" w:rsidP="002F4D6C">
            <w:pPr>
              <w:spacing w:after="0"/>
              <w:jc w:val="left"/>
              <w:rPr>
                <w:rFonts w:asciiTheme="minorHAnsi" w:hAnsiTheme="minorHAnsi" w:cstheme="minorHAnsi"/>
                <w:b/>
                <w:bCs/>
                <w:sz w:val="20"/>
              </w:rPr>
            </w:pPr>
            <w:hyperlink r:id="rId27" w:history="1">
              <w:r w:rsidRPr="00140B69">
                <w:rPr>
                  <w:rStyle w:val="Hipercze"/>
                  <w:rFonts w:asciiTheme="minorHAnsi" w:hAnsiTheme="minorHAnsi" w:cstheme="minorHAnsi"/>
                  <w:b/>
                  <w:bCs/>
                  <w:sz w:val="20"/>
                </w:rPr>
                <w:t>https://www.gov.pl/web/cyfryzacja/strategia-cyberbezpieczenstwa-rzeczypospolitej-polskiej-na-lata-2019-2024</w:t>
              </w:r>
            </w:hyperlink>
            <w:r>
              <w:rPr>
                <w:rFonts w:asciiTheme="minorHAnsi" w:hAnsiTheme="minorHAnsi" w:cstheme="minorHAnsi"/>
                <w:b/>
                <w:bCs/>
                <w:sz w:val="20"/>
              </w:rPr>
              <w:t xml:space="preserve"> </w:t>
            </w:r>
          </w:p>
          <w:p w14:paraId="330BAD45"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 xml:space="preserve">Raport Organizacji Współpracy Gospodarczej i Rozwoju – OECD </w:t>
            </w:r>
            <w:r w:rsidRPr="002F4D6C">
              <w:rPr>
                <w:rFonts w:asciiTheme="minorHAnsi" w:hAnsiTheme="minorHAnsi" w:cstheme="minorHAnsi"/>
                <w:b/>
                <w:bCs/>
                <w:sz w:val="20"/>
              </w:rPr>
              <w:lastRenderedPageBreak/>
              <w:t xml:space="preserve">Economic Survey Poland z 2018 r., którego tematem przewodnim było wzmocnienie innowacyjności w Polsce - OECD </w:t>
            </w:r>
          </w:p>
          <w:p w14:paraId="6202ED6E" w14:textId="3EE41405" w:rsidR="002F4D6C" w:rsidRPr="002F4D6C" w:rsidRDefault="002F4D6C" w:rsidP="002F4D6C">
            <w:pPr>
              <w:spacing w:after="0"/>
              <w:jc w:val="left"/>
              <w:rPr>
                <w:rFonts w:asciiTheme="minorHAnsi" w:hAnsiTheme="minorHAnsi" w:cstheme="minorHAnsi"/>
                <w:b/>
                <w:bCs/>
                <w:sz w:val="20"/>
              </w:rPr>
            </w:pPr>
            <w:hyperlink r:id="rId28" w:history="1">
              <w:r w:rsidRPr="00140B69">
                <w:rPr>
                  <w:rStyle w:val="Hipercze"/>
                  <w:rFonts w:asciiTheme="minorHAnsi" w:hAnsiTheme="minorHAnsi" w:cstheme="minorHAnsi"/>
                  <w:b/>
                  <w:bCs/>
                  <w:sz w:val="20"/>
                </w:rPr>
                <w:t>https://www.oecd-ilibrary.org/economics/oecd-economic-surveys-poland-2018_eco_surveys-pol-2018-en</w:t>
              </w:r>
            </w:hyperlink>
            <w:r>
              <w:rPr>
                <w:rFonts w:asciiTheme="minorHAnsi" w:hAnsiTheme="minorHAnsi" w:cstheme="minorHAnsi"/>
                <w:b/>
                <w:bCs/>
                <w:sz w:val="20"/>
              </w:rPr>
              <w:t xml:space="preserve"> </w:t>
            </w:r>
            <w:r w:rsidRPr="002F4D6C">
              <w:rPr>
                <w:rFonts w:asciiTheme="minorHAnsi" w:hAnsiTheme="minorHAnsi" w:cstheme="minorHAnsi"/>
                <w:b/>
                <w:bCs/>
                <w:sz w:val="20"/>
              </w:rPr>
              <w:t xml:space="preserve"> </w:t>
            </w:r>
            <w:r>
              <w:rPr>
                <w:rFonts w:asciiTheme="minorHAnsi" w:hAnsiTheme="minorHAnsi" w:cstheme="minorHAnsi"/>
                <w:b/>
                <w:bCs/>
                <w:sz w:val="20"/>
              </w:rPr>
              <w:t xml:space="preserve"> </w:t>
            </w:r>
          </w:p>
          <w:p w14:paraId="255B8C19"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oraz z 2023 r., poświęconego w głównej mierze transformacji cyfrowej</w:t>
            </w:r>
          </w:p>
          <w:p w14:paraId="441A6D94" w14:textId="002BEA5D" w:rsidR="002F4D6C" w:rsidRPr="002F4D6C" w:rsidRDefault="002F4D6C" w:rsidP="002F4D6C">
            <w:pPr>
              <w:spacing w:after="0"/>
              <w:jc w:val="left"/>
              <w:rPr>
                <w:rFonts w:asciiTheme="minorHAnsi" w:hAnsiTheme="minorHAnsi" w:cstheme="minorHAnsi"/>
                <w:b/>
                <w:bCs/>
                <w:sz w:val="20"/>
              </w:rPr>
            </w:pPr>
            <w:hyperlink r:id="rId29" w:history="1">
              <w:r w:rsidRPr="00140B69">
                <w:rPr>
                  <w:rStyle w:val="Hipercze"/>
                  <w:rFonts w:asciiTheme="minorHAnsi" w:hAnsiTheme="minorHAnsi" w:cstheme="minorHAnsi"/>
                  <w:b/>
                  <w:bCs/>
                  <w:sz w:val="20"/>
                </w:rPr>
                <w:t>https://www.oecd-ilibrary.org/docserver/6fc99a4b-en.pdf?expires=1727721058&amp;id=id&amp;accname=guest&amp;checksum=A63727B127B200DEFF10BE2C66C0B810</w:t>
              </w:r>
            </w:hyperlink>
            <w:r>
              <w:rPr>
                <w:rFonts w:asciiTheme="minorHAnsi" w:hAnsiTheme="minorHAnsi" w:cstheme="minorHAnsi"/>
                <w:b/>
                <w:bCs/>
                <w:sz w:val="20"/>
              </w:rPr>
              <w:t xml:space="preserve"> </w:t>
            </w:r>
          </w:p>
          <w:p w14:paraId="44EAA015"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Smart Industry Polska 2016-2021 -  Ministerstwo Rozwoju i Technologii</w:t>
            </w:r>
          </w:p>
          <w:p w14:paraId="01573058" w14:textId="0A0C67DC" w:rsidR="002F4D6C" w:rsidRPr="002F4D6C" w:rsidRDefault="002F4D6C" w:rsidP="002F4D6C">
            <w:pPr>
              <w:spacing w:after="0"/>
              <w:jc w:val="left"/>
              <w:rPr>
                <w:rFonts w:asciiTheme="minorHAnsi" w:hAnsiTheme="minorHAnsi" w:cstheme="minorHAnsi"/>
                <w:b/>
                <w:bCs/>
                <w:sz w:val="20"/>
              </w:rPr>
            </w:pPr>
            <w:hyperlink r:id="rId30" w:history="1">
              <w:r w:rsidRPr="002F4D6C">
                <w:rPr>
                  <w:rStyle w:val="Hipercze"/>
                  <w:rFonts w:asciiTheme="minorHAnsi" w:hAnsiTheme="minorHAnsi" w:cstheme="minorHAnsi"/>
                  <w:b/>
                  <w:bCs/>
                  <w:sz w:val="20"/>
                </w:rPr>
                <w:t>https://www.siemens.com/pl/pl/o-firmie/raporty-siemens/raporty.html</w:t>
              </w:r>
            </w:hyperlink>
          </w:p>
          <w:p w14:paraId="08E6455D"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Analizy dot. digitalizacji i przemysłu 4.0 będące podstawą działań FPPP - Fundacja Platforma Przemysłu Przyszłości</w:t>
            </w:r>
          </w:p>
          <w:p w14:paraId="04FFA667" w14:textId="14DA6E0D" w:rsidR="002F4D6C" w:rsidRPr="002F4D6C" w:rsidRDefault="002F4D6C" w:rsidP="002F4D6C">
            <w:pPr>
              <w:spacing w:after="0"/>
              <w:jc w:val="left"/>
              <w:rPr>
                <w:rFonts w:asciiTheme="minorHAnsi" w:hAnsiTheme="minorHAnsi" w:cstheme="minorHAnsi"/>
                <w:b/>
                <w:bCs/>
                <w:sz w:val="20"/>
              </w:rPr>
            </w:pPr>
            <w:hyperlink r:id="rId31" w:history="1">
              <w:r w:rsidRPr="00140B69">
                <w:rPr>
                  <w:rStyle w:val="Hipercze"/>
                  <w:rFonts w:asciiTheme="minorHAnsi" w:hAnsiTheme="minorHAnsi" w:cstheme="minorHAnsi"/>
                  <w:b/>
                  <w:bCs/>
                  <w:sz w:val="20"/>
                </w:rPr>
                <w:t>https://przemyslprzyszlosci.gov.pl/baza-wiedzy/biblioteka-4-0/</w:t>
              </w:r>
            </w:hyperlink>
            <w:r>
              <w:rPr>
                <w:rFonts w:asciiTheme="minorHAnsi" w:hAnsiTheme="minorHAnsi" w:cstheme="minorHAnsi"/>
                <w:b/>
                <w:bCs/>
                <w:sz w:val="20"/>
              </w:rPr>
              <w:t xml:space="preserve"> </w:t>
            </w:r>
          </w:p>
          <w:p w14:paraId="5E9F8370" w14:textId="77777777" w:rsidR="002F4D6C" w:rsidRPr="002F4D6C" w:rsidRDefault="002F4D6C" w:rsidP="002F4D6C">
            <w:pPr>
              <w:spacing w:after="0"/>
              <w:jc w:val="left"/>
              <w:rPr>
                <w:rFonts w:asciiTheme="minorHAnsi" w:hAnsiTheme="minorHAnsi" w:cstheme="minorHAnsi"/>
                <w:b/>
                <w:bCs/>
                <w:sz w:val="20"/>
              </w:rPr>
            </w:pPr>
            <w:r w:rsidRPr="002F4D6C">
              <w:rPr>
                <w:rFonts w:asciiTheme="minorHAnsi" w:hAnsiTheme="minorHAnsi" w:cstheme="minorHAnsi"/>
                <w:b/>
                <w:bCs/>
                <w:sz w:val="20"/>
              </w:rPr>
              <w:t xml:space="preserve">Analizy wskazujące bariery i potrzeby przedsiębiorstw w zakresie rozwoju </w:t>
            </w:r>
            <w:r w:rsidRPr="002F4D6C">
              <w:rPr>
                <w:rFonts w:asciiTheme="minorHAnsi" w:hAnsiTheme="minorHAnsi" w:cstheme="minorHAnsi"/>
                <w:b/>
                <w:bCs/>
                <w:sz w:val="20"/>
              </w:rPr>
              <w:lastRenderedPageBreak/>
              <w:t xml:space="preserve">innowacji i transformacji cyfrowej zlecane przez MRiT – Ministerstwo Rozwoju i Technologii </w:t>
            </w:r>
          </w:p>
          <w:p w14:paraId="68B65B0F" w14:textId="1E30F540" w:rsidR="00E8684E" w:rsidRPr="00890249" w:rsidRDefault="002F4D6C" w:rsidP="00AD38EF">
            <w:pPr>
              <w:spacing w:after="0"/>
              <w:jc w:val="left"/>
              <w:rPr>
                <w:rFonts w:asciiTheme="minorHAnsi" w:hAnsiTheme="minorHAnsi" w:cstheme="minorHAnsi"/>
                <w:b/>
                <w:bCs/>
                <w:sz w:val="20"/>
              </w:rPr>
            </w:pPr>
            <w:r w:rsidRPr="002F4D6C">
              <w:rPr>
                <w:rFonts w:asciiTheme="minorHAnsi" w:hAnsiTheme="minorHAnsi" w:cstheme="minorHAnsi"/>
                <w:b/>
                <w:bCs/>
                <w:sz w:val="20"/>
              </w:rPr>
              <w:t>Smart.gov.pl</w:t>
            </w:r>
            <w:r>
              <w:rPr>
                <w:rFonts w:asciiTheme="minorHAnsi" w:hAnsiTheme="minorHAnsi" w:cstheme="minorHAnsi"/>
                <w:b/>
                <w:bCs/>
                <w:sz w:val="20"/>
              </w:rPr>
              <w:t xml:space="preserve">   </w:t>
            </w:r>
            <w:r w:rsidRPr="002F4D6C">
              <w:rPr>
                <w:rFonts w:asciiTheme="minorHAnsi" w:hAnsiTheme="minorHAnsi" w:cstheme="minorHAnsi"/>
                <w:b/>
                <w:bCs/>
                <w:sz w:val="20"/>
              </w:rPr>
              <w:t xml:space="preserve"> </w:t>
            </w:r>
          </w:p>
          <w:p w14:paraId="36D02CA3" w14:textId="77777777" w:rsidR="00E8684E" w:rsidRPr="00890249" w:rsidRDefault="00E8684E" w:rsidP="00E8684E">
            <w:pPr>
              <w:shd w:val="clear" w:color="auto" w:fill="D9D9D9" w:themeFill="background1" w:themeFillShade="D9"/>
              <w:jc w:val="left"/>
              <w:rPr>
                <w:rFonts w:asciiTheme="minorHAnsi" w:hAnsiTheme="minorHAnsi" w:cstheme="minorHAnsi"/>
                <w:bCs/>
                <w:noProof/>
                <w:sz w:val="20"/>
              </w:rPr>
            </w:pPr>
            <w:r w:rsidRPr="00890249">
              <w:rPr>
                <w:rFonts w:asciiTheme="minorHAnsi" w:hAnsiTheme="minorHAnsi" w:cstheme="minorHAnsi"/>
                <w:bCs/>
                <w:noProof/>
                <w:sz w:val="20"/>
              </w:rPr>
              <w:t>Kryterium 2</w:t>
            </w:r>
          </w:p>
          <w:p w14:paraId="6B4D290D" w14:textId="77777777" w:rsidR="00E8684E" w:rsidRPr="00890249" w:rsidRDefault="00E8684E" w:rsidP="00E8684E">
            <w:pPr>
              <w:spacing w:after="0"/>
              <w:jc w:val="left"/>
              <w:rPr>
                <w:rFonts w:asciiTheme="minorHAnsi" w:hAnsiTheme="minorHAnsi" w:cstheme="minorHAnsi"/>
                <w:b/>
                <w:bCs/>
                <w:sz w:val="20"/>
              </w:rPr>
            </w:pPr>
            <w:r w:rsidRPr="00890249">
              <w:rPr>
                <w:rFonts w:asciiTheme="minorHAnsi" w:hAnsiTheme="minorHAnsi" w:cstheme="minorHAnsi"/>
                <w:b/>
                <w:bCs/>
                <w:sz w:val="20"/>
              </w:rPr>
              <w:t>Dokument Krajowa Inteligentna Specjalizacja -  Ministerstwo Rozwoju, Pracy i Technologii</w:t>
            </w:r>
          </w:p>
          <w:p w14:paraId="0A2CCEA3" w14:textId="77777777" w:rsidR="00E8684E" w:rsidRPr="00890249" w:rsidRDefault="00E8684E" w:rsidP="00E8684E">
            <w:pPr>
              <w:spacing w:after="0"/>
              <w:jc w:val="left"/>
              <w:rPr>
                <w:rFonts w:asciiTheme="minorHAnsi" w:hAnsiTheme="minorHAnsi" w:cstheme="minorHAnsi"/>
                <w:b/>
                <w:bCs/>
                <w:sz w:val="20"/>
              </w:rPr>
            </w:pPr>
            <w:hyperlink r:id="rId32" w:history="1">
              <w:r w:rsidRPr="00890249">
                <w:rPr>
                  <w:rFonts w:asciiTheme="minorHAnsi" w:hAnsiTheme="minorHAnsi" w:cstheme="minorHAnsi"/>
                  <w:b/>
                  <w:bCs/>
                  <w:color w:val="0000FF"/>
                  <w:sz w:val="20"/>
                  <w:u w:val="single"/>
                </w:rPr>
                <w:t>https://smart.gov.pl</w:t>
              </w:r>
            </w:hyperlink>
            <w:r w:rsidRPr="00890249">
              <w:rPr>
                <w:rFonts w:asciiTheme="minorHAnsi" w:hAnsiTheme="minorHAnsi" w:cstheme="minorHAnsi"/>
                <w:b/>
                <w:bCs/>
                <w:sz w:val="20"/>
              </w:rPr>
              <w:t xml:space="preserve"> </w:t>
            </w:r>
          </w:p>
          <w:p w14:paraId="740000E1" w14:textId="77777777" w:rsidR="00E8684E" w:rsidRPr="00890249" w:rsidRDefault="00E8684E" w:rsidP="00E8684E">
            <w:pPr>
              <w:shd w:val="clear" w:color="auto" w:fill="D9D9D9" w:themeFill="background1" w:themeFillShade="D9"/>
              <w:jc w:val="left"/>
              <w:rPr>
                <w:rFonts w:asciiTheme="minorHAnsi" w:hAnsiTheme="minorHAnsi" w:cstheme="minorHAnsi"/>
                <w:bCs/>
                <w:noProof/>
                <w:sz w:val="20"/>
              </w:rPr>
            </w:pPr>
            <w:r w:rsidRPr="00890249">
              <w:rPr>
                <w:rFonts w:asciiTheme="minorHAnsi" w:hAnsiTheme="minorHAnsi" w:cstheme="minorHAnsi"/>
                <w:bCs/>
                <w:noProof/>
                <w:sz w:val="20"/>
              </w:rPr>
              <w:t>Kryterium 3</w:t>
            </w:r>
          </w:p>
          <w:p w14:paraId="7DAED364" w14:textId="77777777" w:rsidR="00B9084C" w:rsidRPr="00B9084C" w:rsidRDefault="00B9084C" w:rsidP="00B9084C">
            <w:pPr>
              <w:spacing w:after="0"/>
              <w:jc w:val="left"/>
              <w:rPr>
                <w:rFonts w:asciiTheme="minorHAnsi" w:hAnsiTheme="minorHAnsi" w:cstheme="minorHAnsi"/>
                <w:b/>
                <w:bCs/>
                <w:sz w:val="20"/>
              </w:rPr>
            </w:pPr>
            <w:r w:rsidRPr="00B9084C">
              <w:rPr>
                <w:rFonts w:asciiTheme="minorHAnsi" w:hAnsiTheme="minorHAnsi" w:cstheme="minorHAnsi"/>
                <w:b/>
                <w:bCs/>
                <w:sz w:val="20"/>
              </w:rPr>
              <w:t>Dokument Krajowa Inteligentna Specjalizacja - Ministerstwo Rozwoju i Technologii</w:t>
            </w:r>
          </w:p>
          <w:p w14:paraId="36F09106" w14:textId="70291CFC" w:rsidR="00B9084C" w:rsidRPr="00B9084C" w:rsidRDefault="00B9084C" w:rsidP="00B9084C">
            <w:pPr>
              <w:spacing w:after="0"/>
              <w:jc w:val="left"/>
              <w:rPr>
                <w:rFonts w:asciiTheme="minorHAnsi" w:hAnsiTheme="minorHAnsi" w:cstheme="minorHAnsi"/>
                <w:b/>
                <w:bCs/>
                <w:sz w:val="20"/>
              </w:rPr>
            </w:pPr>
            <w:hyperlink r:id="rId33"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r w:rsidRPr="00B9084C">
              <w:rPr>
                <w:rFonts w:asciiTheme="minorHAnsi" w:hAnsiTheme="minorHAnsi" w:cstheme="minorHAnsi"/>
                <w:b/>
                <w:bCs/>
                <w:sz w:val="20"/>
              </w:rPr>
              <w:t xml:space="preserve"> </w:t>
            </w:r>
          </w:p>
          <w:p w14:paraId="45F86A06" w14:textId="77777777" w:rsidR="00B9084C" w:rsidRPr="00B9084C" w:rsidRDefault="00B9084C" w:rsidP="00B9084C">
            <w:pPr>
              <w:spacing w:after="0"/>
              <w:jc w:val="left"/>
              <w:rPr>
                <w:rFonts w:asciiTheme="minorHAnsi" w:hAnsiTheme="minorHAnsi" w:cstheme="minorHAnsi"/>
                <w:b/>
                <w:bCs/>
                <w:sz w:val="20"/>
              </w:rPr>
            </w:pPr>
            <w:r w:rsidRPr="00B9084C">
              <w:rPr>
                <w:rFonts w:asciiTheme="minorHAnsi" w:hAnsiTheme="minorHAnsi" w:cstheme="minorHAnsi"/>
                <w:b/>
                <w:bCs/>
                <w:sz w:val="20"/>
              </w:rPr>
              <w:t>Strona internetowa dot. KIS  - Ministerstwo Rozwoju i Technologii</w:t>
            </w:r>
          </w:p>
          <w:p w14:paraId="66082FA9" w14:textId="28D22527" w:rsidR="00B9084C" w:rsidRPr="00B9084C" w:rsidRDefault="00B9084C" w:rsidP="00B9084C">
            <w:pPr>
              <w:spacing w:after="0"/>
              <w:jc w:val="left"/>
              <w:rPr>
                <w:rFonts w:asciiTheme="minorHAnsi" w:hAnsiTheme="minorHAnsi" w:cstheme="minorHAnsi"/>
                <w:b/>
                <w:bCs/>
                <w:sz w:val="20"/>
              </w:rPr>
            </w:pPr>
            <w:hyperlink r:id="rId34"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r w:rsidRPr="00B9084C">
              <w:rPr>
                <w:rFonts w:asciiTheme="minorHAnsi" w:hAnsiTheme="minorHAnsi" w:cstheme="minorHAnsi"/>
                <w:b/>
                <w:bCs/>
                <w:sz w:val="20"/>
              </w:rPr>
              <w:t xml:space="preserve"> </w:t>
            </w:r>
          </w:p>
          <w:p w14:paraId="63194B2C" w14:textId="77777777" w:rsidR="00B9084C" w:rsidRPr="00B9084C" w:rsidRDefault="00B9084C" w:rsidP="00B9084C">
            <w:pPr>
              <w:spacing w:after="0"/>
              <w:jc w:val="left"/>
              <w:rPr>
                <w:rFonts w:asciiTheme="minorHAnsi" w:hAnsiTheme="minorHAnsi" w:cstheme="minorHAnsi"/>
                <w:b/>
                <w:bCs/>
                <w:sz w:val="20"/>
              </w:rPr>
            </w:pPr>
            <w:r w:rsidRPr="00B9084C">
              <w:rPr>
                <w:rFonts w:asciiTheme="minorHAnsi" w:hAnsiTheme="minorHAnsi" w:cstheme="minorHAnsi"/>
                <w:b/>
                <w:bCs/>
                <w:sz w:val="20"/>
              </w:rPr>
              <w:t>Narzędzie informatyczne SmartRadar - Ministerstwo Rozwoju i Technologii</w:t>
            </w:r>
          </w:p>
          <w:p w14:paraId="5C65BC96" w14:textId="41770096" w:rsidR="00B9084C" w:rsidRPr="00B9084C" w:rsidRDefault="00B9084C" w:rsidP="00B9084C">
            <w:pPr>
              <w:spacing w:after="0"/>
              <w:jc w:val="left"/>
              <w:rPr>
                <w:rFonts w:asciiTheme="minorHAnsi" w:hAnsiTheme="minorHAnsi" w:cstheme="minorHAnsi"/>
                <w:b/>
                <w:bCs/>
                <w:sz w:val="20"/>
              </w:rPr>
            </w:pPr>
            <w:hyperlink r:id="rId35" w:history="1">
              <w:r w:rsidRPr="00140B69">
                <w:rPr>
                  <w:rStyle w:val="Hipercze"/>
                  <w:rFonts w:asciiTheme="minorHAnsi" w:hAnsiTheme="minorHAnsi" w:cstheme="minorHAnsi"/>
                  <w:b/>
                  <w:bCs/>
                  <w:sz w:val="20"/>
                </w:rPr>
                <w:t>https://smartradar.smart.gov.pl/</w:t>
              </w:r>
            </w:hyperlink>
            <w:r>
              <w:rPr>
                <w:rFonts w:asciiTheme="minorHAnsi" w:hAnsiTheme="minorHAnsi" w:cstheme="minorHAnsi"/>
                <w:b/>
                <w:bCs/>
                <w:sz w:val="20"/>
              </w:rPr>
              <w:t xml:space="preserve"> </w:t>
            </w:r>
          </w:p>
          <w:p w14:paraId="4600AC05" w14:textId="77777777" w:rsidR="00B9084C" w:rsidRPr="00B9084C" w:rsidRDefault="00B9084C" w:rsidP="00B9084C">
            <w:pPr>
              <w:spacing w:after="0"/>
              <w:jc w:val="left"/>
              <w:rPr>
                <w:rFonts w:asciiTheme="minorHAnsi" w:hAnsiTheme="minorHAnsi" w:cstheme="minorHAnsi"/>
                <w:b/>
                <w:bCs/>
                <w:sz w:val="20"/>
              </w:rPr>
            </w:pPr>
            <w:r w:rsidRPr="00B9084C">
              <w:rPr>
                <w:rFonts w:asciiTheme="minorHAnsi" w:hAnsiTheme="minorHAnsi" w:cstheme="minorHAnsi"/>
                <w:b/>
                <w:bCs/>
                <w:sz w:val="20"/>
              </w:rPr>
              <w:t>Ewaluacja ex-ante i mid-term projektu pozakonkursowego - Polska Agencja Rozwoju Przedsiębiorczości</w:t>
            </w:r>
          </w:p>
          <w:p w14:paraId="22D41A61" w14:textId="1AA599FF" w:rsidR="00B9084C" w:rsidRPr="00B9084C" w:rsidRDefault="00B9084C" w:rsidP="00B9084C">
            <w:pPr>
              <w:spacing w:after="0"/>
              <w:jc w:val="left"/>
              <w:rPr>
                <w:rFonts w:asciiTheme="minorHAnsi" w:hAnsiTheme="minorHAnsi" w:cstheme="minorHAnsi"/>
                <w:b/>
                <w:bCs/>
                <w:sz w:val="20"/>
              </w:rPr>
            </w:pPr>
            <w:r w:rsidRPr="00B9084C">
              <w:rPr>
                <w:rFonts w:asciiTheme="minorHAnsi" w:hAnsiTheme="minorHAnsi" w:cstheme="minorHAnsi"/>
                <w:b/>
                <w:bCs/>
                <w:sz w:val="20"/>
              </w:rPr>
              <w:t xml:space="preserve"> </w:t>
            </w:r>
            <w:hyperlink r:id="rId36"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r w:rsidRPr="00B9084C">
              <w:rPr>
                <w:rFonts w:asciiTheme="minorHAnsi" w:hAnsiTheme="minorHAnsi" w:cstheme="minorHAnsi"/>
                <w:b/>
                <w:bCs/>
                <w:sz w:val="20"/>
              </w:rPr>
              <w:t xml:space="preserve"> </w:t>
            </w:r>
          </w:p>
          <w:p w14:paraId="3E04B78E" w14:textId="77777777" w:rsidR="00B9084C" w:rsidRPr="00B9084C" w:rsidRDefault="00B9084C" w:rsidP="00B9084C">
            <w:pPr>
              <w:spacing w:after="0"/>
              <w:jc w:val="left"/>
              <w:rPr>
                <w:rFonts w:asciiTheme="minorHAnsi" w:hAnsiTheme="minorHAnsi" w:cstheme="minorHAnsi"/>
                <w:b/>
                <w:bCs/>
                <w:sz w:val="20"/>
              </w:rPr>
            </w:pPr>
            <w:r w:rsidRPr="00B9084C">
              <w:rPr>
                <w:rFonts w:asciiTheme="minorHAnsi" w:hAnsiTheme="minorHAnsi" w:cstheme="minorHAnsi"/>
                <w:b/>
                <w:bCs/>
                <w:sz w:val="20"/>
              </w:rPr>
              <w:lastRenderedPageBreak/>
              <w:t>Ewaluacja wsparcia w ramach PO IR w zakresie krajowych inteligentnych specjalizacji - Ministerstwo Funduszy i Polityki Regionalnej</w:t>
            </w:r>
          </w:p>
          <w:p w14:paraId="3013C885" w14:textId="03C8C514" w:rsidR="00B9084C" w:rsidRDefault="00B9084C" w:rsidP="00E8684E">
            <w:pPr>
              <w:spacing w:after="0"/>
              <w:jc w:val="left"/>
              <w:rPr>
                <w:rFonts w:asciiTheme="minorHAnsi" w:hAnsiTheme="minorHAnsi" w:cstheme="minorHAnsi"/>
                <w:b/>
                <w:bCs/>
                <w:sz w:val="20"/>
              </w:rPr>
            </w:pPr>
            <w:hyperlink r:id="rId37" w:history="1">
              <w:r w:rsidRPr="00140B69">
                <w:rPr>
                  <w:rStyle w:val="Hipercze"/>
                  <w:rFonts w:asciiTheme="minorHAnsi" w:hAnsiTheme="minorHAnsi" w:cstheme="minorHAnsi"/>
                  <w:b/>
                  <w:bCs/>
                  <w:sz w:val="20"/>
                </w:rPr>
                <w:t>https://www.ewaluacja.gov.pl/strony/badania-i-analizy/wyniki-badan-ewaluacyjnych/badania-ewaluacyjne/ewaluacja-wsparcia-w-ramach-po-ir-w-zakresie-krajowych-inteligentnych-specjalizacji/</w:t>
              </w:r>
            </w:hyperlink>
            <w:r>
              <w:rPr>
                <w:rFonts w:asciiTheme="minorHAnsi" w:hAnsiTheme="minorHAnsi" w:cstheme="minorHAnsi"/>
                <w:b/>
                <w:bCs/>
                <w:sz w:val="20"/>
              </w:rPr>
              <w:t xml:space="preserve"> </w:t>
            </w:r>
          </w:p>
          <w:p w14:paraId="3C58A11B" w14:textId="77777777" w:rsidR="00E8684E" w:rsidRPr="00890249" w:rsidRDefault="00E8684E" w:rsidP="00E8684E">
            <w:pPr>
              <w:shd w:val="clear" w:color="auto" w:fill="D9D9D9" w:themeFill="background1" w:themeFillShade="D9"/>
              <w:jc w:val="left"/>
              <w:rPr>
                <w:rFonts w:asciiTheme="minorHAnsi" w:hAnsiTheme="minorHAnsi" w:cstheme="minorHAnsi"/>
                <w:bCs/>
                <w:noProof/>
                <w:sz w:val="20"/>
              </w:rPr>
            </w:pPr>
            <w:r w:rsidRPr="00890249">
              <w:rPr>
                <w:rFonts w:asciiTheme="minorHAnsi" w:hAnsiTheme="minorHAnsi" w:cstheme="minorHAnsi"/>
                <w:bCs/>
                <w:noProof/>
                <w:sz w:val="20"/>
              </w:rPr>
              <w:t xml:space="preserve">Kryterium 4 </w:t>
            </w:r>
          </w:p>
          <w:p w14:paraId="52F341C2"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Dokument Krajowa Inteligentna Specjalizacja-  Ministerstwo Rozwoju i Technologii</w:t>
            </w:r>
          </w:p>
          <w:p w14:paraId="592E802C" w14:textId="46F04517" w:rsidR="00F54B09" w:rsidRPr="00F54B09" w:rsidRDefault="00F54B09" w:rsidP="00F54B09">
            <w:pPr>
              <w:spacing w:after="0"/>
              <w:jc w:val="left"/>
              <w:rPr>
                <w:rFonts w:asciiTheme="minorHAnsi" w:hAnsiTheme="minorHAnsi" w:cstheme="minorHAnsi"/>
                <w:b/>
                <w:bCs/>
                <w:sz w:val="20"/>
              </w:rPr>
            </w:pPr>
            <w:hyperlink r:id="rId38"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r w:rsidRPr="00F54B09">
              <w:rPr>
                <w:rFonts w:asciiTheme="minorHAnsi" w:hAnsiTheme="minorHAnsi" w:cstheme="minorHAnsi"/>
                <w:b/>
                <w:bCs/>
                <w:sz w:val="20"/>
              </w:rPr>
              <w:t xml:space="preserve"> </w:t>
            </w:r>
          </w:p>
          <w:p w14:paraId="67F809E0"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Regulamin Grup Roboczych ds. krajowej inteligentnej specjalizacji z dnia 26 kwietnia 2024 r.  - Ministerstwo Rozwoju i Technologii</w:t>
            </w:r>
          </w:p>
          <w:p w14:paraId="319FB3D0" w14:textId="1677C57F" w:rsidR="00F54B09" w:rsidRPr="00F54B09" w:rsidRDefault="00F54B09" w:rsidP="00F54B09">
            <w:pPr>
              <w:spacing w:after="0"/>
              <w:jc w:val="left"/>
              <w:rPr>
                <w:rFonts w:asciiTheme="minorHAnsi" w:hAnsiTheme="minorHAnsi" w:cstheme="minorHAnsi"/>
                <w:b/>
                <w:bCs/>
                <w:sz w:val="20"/>
              </w:rPr>
            </w:pPr>
            <w:hyperlink r:id="rId39"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r w:rsidRPr="00F54B09">
              <w:rPr>
                <w:rFonts w:asciiTheme="minorHAnsi" w:hAnsiTheme="minorHAnsi" w:cstheme="minorHAnsi"/>
                <w:b/>
                <w:bCs/>
                <w:sz w:val="20"/>
              </w:rPr>
              <w:t xml:space="preserve"> </w:t>
            </w:r>
          </w:p>
          <w:p w14:paraId="56C1F972"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 xml:space="preserve">Analizy w zakresie identyfikacji trendów rozwojowych, potrzeb i barier rozwojowych w zakresie rozwoju branż i technologii m.in. analizy branżowe, analizy foresight, Business Technology Roadmaps – Ministerstwo Rozwoju I Technologii/ </w:t>
            </w:r>
            <w:r w:rsidRPr="00F54B09">
              <w:rPr>
                <w:rFonts w:asciiTheme="minorHAnsi" w:hAnsiTheme="minorHAnsi" w:cstheme="minorHAnsi"/>
                <w:b/>
                <w:bCs/>
                <w:sz w:val="20"/>
              </w:rPr>
              <w:lastRenderedPageBreak/>
              <w:t xml:space="preserve">Polska Agencja Rozwoju Przedsiębiorczości </w:t>
            </w:r>
          </w:p>
          <w:p w14:paraId="6018DA0B" w14:textId="414B0492" w:rsidR="00F54B09" w:rsidRDefault="00F54B09" w:rsidP="00E8684E">
            <w:pPr>
              <w:spacing w:after="0"/>
              <w:jc w:val="left"/>
              <w:rPr>
                <w:rFonts w:asciiTheme="minorHAnsi" w:hAnsiTheme="minorHAnsi" w:cstheme="minorHAnsi"/>
                <w:b/>
                <w:bCs/>
                <w:sz w:val="20"/>
              </w:rPr>
            </w:pPr>
            <w:hyperlink r:id="rId40"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p>
          <w:p w14:paraId="116AB4AD" w14:textId="77777777" w:rsidR="00E8684E" w:rsidRPr="00890249" w:rsidRDefault="00E8684E" w:rsidP="00E8684E">
            <w:pPr>
              <w:shd w:val="clear" w:color="auto" w:fill="D9D9D9" w:themeFill="background1" w:themeFillShade="D9"/>
              <w:jc w:val="left"/>
              <w:rPr>
                <w:rFonts w:asciiTheme="minorHAnsi" w:hAnsiTheme="minorHAnsi" w:cstheme="minorHAnsi"/>
                <w:bCs/>
                <w:noProof/>
                <w:sz w:val="20"/>
              </w:rPr>
            </w:pPr>
            <w:r w:rsidRPr="00890249">
              <w:rPr>
                <w:rFonts w:asciiTheme="minorHAnsi" w:hAnsiTheme="minorHAnsi" w:cstheme="minorHAnsi"/>
                <w:bCs/>
                <w:noProof/>
                <w:sz w:val="20"/>
              </w:rPr>
              <w:t xml:space="preserve">Kryterium 5 </w:t>
            </w:r>
          </w:p>
          <w:p w14:paraId="73295CA8"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Zarządzenie Prezesa Rady Ministrów w sprawie utworzenia Rady ds. Innowacyjności z późn. zm., - Ministerstwo Rozwoju i Technologii</w:t>
            </w:r>
          </w:p>
          <w:p w14:paraId="14D47D4A" w14:textId="12D837EF" w:rsidR="00F54B09" w:rsidRPr="00F54B09" w:rsidRDefault="00257075" w:rsidP="00F54B09">
            <w:pPr>
              <w:spacing w:after="0"/>
              <w:jc w:val="left"/>
              <w:rPr>
                <w:rFonts w:asciiTheme="minorHAnsi" w:hAnsiTheme="minorHAnsi" w:cstheme="minorHAnsi"/>
                <w:b/>
                <w:bCs/>
                <w:sz w:val="20"/>
              </w:rPr>
            </w:pPr>
            <w:hyperlink r:id="rId41" w:history="1">
              <w:r w:rsidRPr="00140B69">
                <w:rPr>
                  <w:rStyle w:val="Hipercze"/>
                  <w:rFonts w:asciiTheme="minorHAnsi" w:hAnsiTheme="minorHAnsi" w:cstheme="minorHAnsi"/>
                  <w:b/>
                  <w:bCs/>
                  <w:sz w:val="20"/>
                </w:rPr>
                <w:t>https://isap.sejm.gov.pl/isap.nsf/download.xsp/WMP20160000063/O/M20160063.pdf</w:t>
              </w:r>
            </w:hyperlink>
            <w:r>
              <w:rPr>
                <w:rFonts w:asciiTheme="minorHAnsi" w:hAnsiTheme="minorHAnsi" w:cstheme="minorHAnsi"/>
                <w:b/>
                <w:bCs/>
                <w:sz w:val="20"/>
              </w:rPr>
              <w:t xml:space="preserve"> </w:t>
            </w:r>
          </w:p>
          <w:p w14:paraId="36D734DC"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Ustawa z dnia 4 listopada 2016 r. o zmianie niektórych ustaw określających warunki prowadzenia działalności innowacyjnej -Ministerstwo Rozwoju i Technologii</w:t>
            </w:r>
          </w:p>
          <w:p w14:paraId="79139F81" w14:textId="5D9EFAB1" w:rsidR="00F54B09" w:rsidRPr="00F54B09" w:rsidRDefault="00257075" w:rsidP="00F54B09">
            <w:pPr>
              <w:spacing w:after="0"/>
              <w:jc w:val="left"/>
              <w:rPr>
                <w:rFonts w:asciiTheme="minorHAnsi" w:hAnsiTheme="minorHAnsi" w:cstheme="minorHAnsi"/>
                <w:b/>
                <w:bCs/>
                <w:sz w:val="20"/>
              </w:rPr>
            </w:pPr>
            <w:hyperlink r:id="rId42" w:history="1">
              <w:r w:rsidRPr="00140B69">
                <w:rPr>
                  <w:rStyle w:val="Hipercze"/>
                  <w:rFonts w:asciiTheme="minorHAnsi" w:hAnsiTheme="minorHAnsi" w:cstheme="minorHAnsi"/>
                  <w:b/>
                  <w:bCs/>
                  <w:sz w:val="20"/>
                </w:rPr>
                <w:t>https://isap.sejm.gov.pl/isap.nsf/download.xsp/WDU20160001933/T/D20161933L.pdf</w:t>
              </w:r>
            </w:hyperlink>
            <w:r>
              <w:rPr>
                <w:rFonts w:asciiTheme="minorHAnsi" w:hAnsiTheme="minorHAnsi" w:cstheme="minorHAnsi"/>
                <w:b/>
                <w:bCs/>
                <w:sz w:val="20"/>
              </w:rPr>
              <w:t xml:space="preserve"> </w:t>
            </w:r>
          </w:p>
          <w:p w14:paraId="00DB11ED"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Ustawa z dnia 9 listopada 2017 r. o zmianie niektórych ustaw w celu poprawy otoczenia prawnego działalności innowacyjnej -Ministerstwo Rozwoju i Technologii</w:t>
            </w:r>
          </w:p>
          <w:p w14:paraId="6F4B6086" w14:textId="45D7AA42" w:rsidR="00F54B09" w:rsidRPr="00F54B09" w:rsidRDefault="00257075" w:rsidP="00F54B09">
            <w:pPr>
              <w:spacing w:after="0"/>
              <w:jc w:val="left"/>
              <w:rPr>
                <w:rFonts w:asciiTheme="minorHAnsi" w:hAnsiTheme="minorHAnsi" w:cstheme="minorHAnsi"/>
                <w:b/>
                <w:bCs/>
                <w:sz w:val="20"/>
              </w:rPr>
            </w:pPr>
            <w:hyperlink r:id="rId43" w:history="1">
              <w:r w:rsidRPr="00140B69">
                <w:rPr>
                  <w:rStyle w:val="Hipercze"/>
                  <w:rFonts w:asciiTheme="minorHAnsi" w:hAnsiTheme="minorHAnsi" w:cstheme="minorHAnsi"/>
                  <w:b/>
                  <w:bCs/>
                  <w:sz w:val="20"/>
                </w:rPr>
                <w:t>https://isap.sejm.gov.pl/isap.nsf/download.xsp/WDU20170002201/T/D20172201L.pdf</w:t>
              </w:r>
            </w:hyperlink>
            <w:r>
              <w:rPr>
                <w:rFonts w:asciiTheme="minorHAnsi" w:hAnsiTheme="minorHAnsi" w:cstheme="minorHAnsi"/>
                <w:b/>
                <w:bCs/>
                <w:sz w:val="20"/>
              </w:rPr>
              <w:t xml:space="preserve"> </w:t>
            </w:r>
          </w:p>
          <w:p w14:paraId="39C2F40F"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lastRenderedPageBreak/>
              <w:t>Program Ministra na lata 2019 – 2021 Przemysł 4.0 - ustanowiony na podstawie art. 21a ustawy z dnia 30 maja 2008 r. o niektórych formach wspierania działalności innowacyjnej (Dz. U. z 2018 r. poz. 141, z późn. zm.) - Ministerstwo Rozwoju i Technologii</w:t>
            </w:r>
          </w:p>
          <w:p w14:paraId="0719C0BD" w14:textId="62FE59B1" w:rsidR="00F54B09" w:rsidRPr="00F54B09" w:rsidRDefault="00257075" w:rsidP="00F54B09">
            <w:pPr>
              <w:spacing w:after="0"/>
              <w:jc w:val="left"/>
              <w:rPr>
                <w:rFonts w:asciiTheme="minorHAnsi" w:hAnsiTheme="minorHAnsi" w:cstheme="minorHAnsi"/>
                <w:b/>
                <w:bCs/>
                <w:sz w:val="20"/>
              </w:rPr>
            </w:pPr>
            <w:hyperlink r:id="rId44" w:history="1">
              <w:r w:rsidRPr="00140B69">
                <w:rPr>
                  <w:rStyle w:val="Hipercze"/>
                  <w:rFonts w:asciiTheme="minorHAnsi" w:hAnsiTheme="minorHAnsi" w:cstheme="minorHAnsi"/>
                  <w:b/>
                  <w:bCs/>
                  <w:sz w:val="20"/>
                </w:rPr>
                <w:t>https://www.gov.pl/web/rozwoj-praca-technologia/przemysl-4-0</w:t>
              </w:r>
            </w:hyperlink>
            <w:r>
              <w:rPr>
                <w:rFonts w:asciiTheme="minorHAnsi" w:hAnsiTheme="minorHAnsi" w:cstheme="minorHAnsi"/>
                <w:b/>
                <w:bCs/>
                <w:sz w:val="20"/>
              </w:rPr>
              <w:t xml:space="preserve"> </w:t>
            </w:r>
            <w:r w:rsidR="00F54B09" w:rsidRPr="00F54B09">
              <w:rPr>
                <w:rFonts w:asciiTheme="minorHAnsi" w:hAnsiTheme="minorHAnsi" w:cstheme="minorHAnsi"/>
                <w:b/>
                <w:bCs/>
                <w:sz w:val="20"/>
              </w:rPr>
              <w:t xml:space="preserve"> </w:t>
            </w:r>
          </w:p>
          <w:p w14:paraId="0203CB9C"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Ustawa z dnia 18 marca 2018 r. Prawo o Szkolnictwie Wyższym i Nauce - Ministerstwo Nauki i Szkolnictwa Wyższego</w:t>
            </w:r>
          </w:p>
          <w:p w14:paraId="66A6D4F2" w14:textId="1584D5CD" w:rsidR="00F54B09" w:rsidRPr="00F54B09" w:rsidRDefault="00257075" w:rsidP="00F54B09">
            <w:pPr>
              <w:spacing w:after="0"/>
              <w:jc w:val="left"/>
              <w:rPr>
                <w:rFonts w:asciiTheme="minorHAnsi" w:hAnsiTheme="minorHAnsi" w:cstheme="minorHAnsi"/>
                <w:b/>
                <w:bCs/>
                <w:sz w:val="20"/>
              </w:rPr>
            </w:pPr>
            <w:hyperlink r:id="rId45" w:history="1">
              <w:r w:rsidRPr="00140B69">
                <w:rPr>
                  <w:rStyle w:val="Hipercze"/>
                  <w:rFonts w:asciiTheme="minorHAnsi" w:hAnsiTheme="minorHAnsi" w:cstheme="minorHAnsi"/>
                  <w:b/>
                  <w:bCs/>
                  <w:sz w:val="20"/>
                </w:rPr>
                <w:t>https://isap.sejm.gov.pl/isap.nsf/download.xsp/WDU20180001668/T/D20181668L.pdf</w:t>
              </w:r>
            </w:hyperlink>
            <w:r>
              <w:rPr>
                <w:rFonts w:asciiTheme="minorHAnsi" w:hAnsiTheme="minorHAnsi" w:cstheme="minorHAnsi"/>
                <w:b/>
                <w:bCs/>
                <w:sz w:val="20"/>
              </w:rPr>
              <w:t xml:space="preserve"> </w:t>
            </w:r>
          </w:p>
          <w:p w14:paraId="29442760"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Ustawa z dnia 21 lutego 2019 r. o Sieci Badawczej Łukasiewicz - Ministerstwo Rozwoju i Technologii</w:t>
            </w:r>
          </w:p>
          <w:p w14:paraId="36A76817" w14:textId="27ADBA1D" w:rsidR="00F54B09" w:rsidRPr="00F54B09" w:rsidRDefault="00257075" w:rsidP="00F54B09">
            <w:pPr>
              <w:spacing w:after="0"/>
              <w:jc w:val="left"/>
              <w:rPr>
                <w:rFonts w:asciiTheme="minorHAnsi" w:hAnsiTheme="minorHAnsi" w:cstheme="minorHAnsi"/>
                <w:b/>
                <w:bCs/>
                <w:sz w:val="20"/>
              </w:rPr>
            </w:pPr>
            <w:hyperlink r:id="rId46" w:history="1">
              <w:r w:rsidRPr="00140B69">
                <w:rPr>
                  <w:rStyle w:val="Hipercze"/>
                  <w:rFonts w:asciiTheme="minorHAnsi" w:hAnsiTheme="minorHAnsi" w:cstheme="minorHAnsi"/>
                  <w:b/>
                  <w:bCs/>
                  <w:sz w:val="20"/>
                </w:rPr>
                <w:t>https://isap.sejm.gov.pl/isap.nsf/download.xsp/WDU20190000534/T/D20190534L.pdf</w:t>
              </w:r>
            </w:hyperlink>
            <w:r>
              <w:rPr>
                <w:rFonts w:asciiTheme="minorHAnsi" w:hAnsiTheme="minorHAnsi" w:cstheme="minorHAnsi"/>
                <w:b/>
                <w:bCs/>
                <w:sz w:val="20"/>
              </w:rPr>
              <w:t xml:space="preserve"> </w:t>
            </w:r>
          </w:p>
          <w:p w14:paraId="4F510881"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Strategia na rzecz Odpowiedzialnego Rozwoju - Ministerstwo Funduszy i Polityki Regionalnej</w:t>
            </w:r>
          </w:p>
          <w:p w14:paraId="72C02802" w14:textId="7649EF4B" w:rsidR="00F54B09" w:rsidRPr="00F54B09" w:rsidRDefault="00257075" w:rsidP="00F54B09">
            <w:pPr>
              <w:spacing w:after="0"/>
              <w:jc w:val="left"/>
              <w:rPr>
                <w:rFonts w:asciiTheme="minorHAnsi" w:hAnsiTheme="minorHAnsi" w:cstheme="minorHAnsi"/>
                <w:b/>
                <w:bCs/>
                <w:sz w:val="20"/>
              </w:rPr>
            </w:pPr>
            <w:hyperlink r:id="rId47" w:history="1">
              <w:r w:rsidRPr="00140B69">
                <w:rPr>
                  <w:rStyle w:val="Hipercze"/>
                  <w:rFonts w:asciiTheme="minorHAnsi" w:hAnsiTheme="minorHAnsi" w:cstheme="minorHAnsi"/>
                  <w:b/>
                  <w:bCs/>
                  <w:sz w:val="20"/>
                </w:rPr>
                <w:t>https://www.gov.pl/web/fundusze-regiony/informacje-o-strategii-na-rzecz-odpowiedzialnego-rozwoju</w:t>
              </w:r>
            </w:hyperlink>
            <w:r>
              <w:rPr>
                <w:rFonts w:asciiTheme="minorHAnsi" w:hAnsiTheme="minorHAnsi" w:cstheme="minorHAnsi"/>
                <w:b/>
                <w:bCs/>
                <w:sz w:val="20"/>
              </w:rPr>
              <w:t xml:space="preserve"> </w:t>
            </w:r>
            <w:r w:rsidR="00F54B09" w:rsidRPr="00F54B09">
              <w:rPr>
                <w:rFonts w:asciiTheme="minorHAnsi" w:hAnsiTheme="minorHAnsi" w:cstheme="minorHAnsi"/>
                <w:b/>
                <w:bCs/>
                <w:sz w:val="20"/>
              </w:rPr>
              <w:t xml:space="preserve"> </w:t>
            </w:r>
          </w:p>
          <w:p w14:paraId="50CBCB30"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lastRenderedPageBreak/>
              <w:t>Strategia Produktywności - Ministerstwo Rozwoju i Technologii</w:t>
            </w:r>
          </w:p>
          <w:p w14:paraId="353ED105" w14:textId="1976C96B" w:rsidR="00F54B09" w:rsidRPr="00F54B09" w:rsidRDefault="009C5B9E" w:rsidP="00F54B09">
            <w:pPr>
              <w:spacing w:after="0"/>
              <w:jc w:val="left"/>
              <w:rPr>
                <w:rFonts w:asciiTheme="minorHAnsi" w:hAnsiTheme="minorHAnsi" w:cstheme="minorHAnsi"/>
                <w:b/>
                <w:bCs/>
                <w:sz w:val="20"/>
              </w:rPr>
            </w:pPr>
            <w:hyperlink r:id="rId48" w:history="1">
              <w:r w:rsidRPr="009C5B9E">
                <w:rPr>
                  <w:rStyle w:val="Hipercze"/>
                  <w:rFonts w:asciiTheme="minorHAnsi" w:hAnsiTheme="minorHAnsi" w:cstheme="minorHAnsi"/>
                  <w:b/>
                  <w:bCs/>
                  <w:sz w:val="20"/>
                </w:rPr>
                <w:t>https://www.gov.pl/web/rozwoj-technologia/strategia-produktywnosci-2031</w:t>
              </w:r>
            </w:hyperlink>
            <w:r w:rsidR="00257075">
              <w:rPr>
                <w:rFonts w:asciiTheme="minorHAnsi" w:hAnsiTheme="minorHAnsi" w:cstheme="minorHAnsi"/>
                <w:b/>
                <w:bCs/>
                <w:sz w:val="20"/>
              </w:rPr>
              <w:t xml:space="preserve"> </w:t>
            </w:r>
          </w:p>
          <w:p w14:paraId="45E58BD3"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Krajowe Klastry Kluczowe – lista, konkurs na KKK  - Ministerstwo Rozwoju i Technologii</w:t>
            </w:r>
          </w:p>
          <w:p w14:paraId="123203C8" w14:textId="3F3F5715" w:rsidR="00F54B09" w:rsidRPr="00F54B09" w:rsidRDefault="00257075" w:rsidP="00F54B09">
            <w:pPr>
              <w:spacing w:after="0"/>
              <w:jc w:val="left"/>
              <w:rPr>
                <w:rFonts w:asciiTheme="minorHAnsi" w:hAnsiTheme="minorHAnsi" w:cstheme="minorHAnsi"/>
                <w:b/>
                <w:bCs/>
                <w:sz w:val="20"/>
              </w:rPr>
            </w:pPr>
            <w:hyperlink r:id="rId49" w:history="1">
              <w:r w:rsidRPr="00140B69">
                <w:rPr>
                  <w:rStyle w:val="Hipercze"/>
                  <w:rFonts w:asciiTheme="minorHAnsi" w:hAnsiTheme="minorHAnsi" w:cstheme="minorHAnsi"/>
                  <w:b/>
                  <w:bCs/>
                  <w:sz w:val="20"/>
                </w:rPr>
                <w:t>https://www.gov.pl/web/rozwoj/lista-kkk</w:t>
              </w:r>
            </w:hyperlink>
            <w:r>
              <w:rPr>
                <w:rFonts w:asciiTheme="minorHAnsi" w:hAnsiTheme="minorHAnsi" w:cstheme="minorHAnsi"/>
                <w:b/>
                <w:bCs/>
                <w:sz w:val="20"/>
              </w:rPr>
              <w:t xml:space="preserve"> </w:t>
            </w:r>
            <w:r w:rsidR="00F54B09" w:rsidRPr="00F54B09">
              <w:rPr>
                <w:rFonts w:asciiTheme="minorHAnsi" w:hAnsiTheme="minorHAnsi" w:cstheme="minorHAnsi"/>
                <w:b/>
                <w:bCs/>
                <w:sz w:val="20"/>
              </w:rPr>
              <w:t xml:space="preserve"> </w:t>
            </w:r>
          </w:p>
          <w:p w14:paraId="23C7D93D"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Kierunki rozwoju polityki klastrowej po 2020 r.- Ministerstwo Rozwoju i Technologii</w:t>
            </w:r>
          </w:p>
          <w:p w14:paraId="44E5BADF" w14:textId="255E3DE7" w:rsidR="00F54B09" w:rsidRPr="00F54B09" w:rsidRDefault="00257075" w:rsidP="00F54B09">
            <w:pPr>
              <w:spacing w:after="0"/>
              <w:jc w:val="left"/>
              <w:rPr>
                <w:rFonts w:asciiTheme="minorHAnsi" w:hAnsiTheme="minorHAnsi" w:cstheme="minorHAnsi"/>
                <w:b/>
                <w:bCs/>
                <w:sz w:val="20"/>
              </w:rPr>
            </w:pPr>
            <w:hyperlink r:id="rId50" w:history="1">
              <w:r w:rsidRPr="00140B69">
                <w:rPr>
                  <w:rStyle w:val="Hipercze"/>
                  <w:rFonts w:asciiTheme="minorHAnsi" w:hAnsiTheme="minorHAnsi" w:cstheme="minorHAnsi"/>
                  <w:b/>
                  <w:bCs/>
                  <w:sz w:val="20"/>
                </w:rPr>
                <w:t>https://www.gov.pl/web/rozwoj-praca-technologia/krajowe-klastry-kluczowe</w:t>
              </w:r>
            </w:hyperlink>
            <w:r>
              <w:rPr>
                <w:rFonts w:asciiTheme="minorHAnsi" w:hAnsiTheme="minorHAnsi" w:cstheme="minorHAnsi"/>
                <w:b/>
                <w:bCs/>
                <w:sz w:val="20"/>
              </w:rPr>
              <w:t xml:space="preserve"> </w:t>
            </w:r>
            <w:r w:rsidR="00F54B09" w:rsidRPr="00F54B09">
              <w:rPr>
                <w:rFonts w:asciiTheme="minorHAnsi" w:hAnsiTheme="minorHAnsi" w:cstheme="minorHAnsi"/>
                <w:b/>
                <w:bCs/>
                <w:sz w:val="20"/>
              </w:rPr>
              <w:t xml:space="preserve"> </w:t>
            </w:r>
          </w:p>
          <w:p w14:paraId="3C3EE251"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 xml:space="preserve">Konkurs dot. rozwoju potencjału koordynatorów KKK - Polska Agencja Rozwoju Przedsiębiorczości </w:t>
            </w:r>
          </w:p>
          <w:p w14:paraId="18DF1D94" w14:textId="0526B5C3" w:rsidR="00257075" w:rsidRDefault="00257075" w:rsidP="00F54B09">
            <w:pPr>
              <w:spacing w:after="0"/>
              <w:jc w:val="left"/>
              <w:rPr>
                <w:rFonts w:asciiTheme="minorHAnsi" w:hAnsiTheme="minorHAnsi" w:cstheme="minorHAnsi"/>
                <w:b/>
                <w:bCs/>
                <w:sz w:val="20"/>
              </w:rPr>
            </w:pPr>
            <w:hyperlink r:id="rId51" w:history="1">
              <w:r w:rsidRPr="00140B69">
                <w:rPr>
                  <w:rStyle w:val="Hipercze"/>
                  <w:rFonts w:asciiTheme="minorHAnsi" w:hAnsiTheme="minorHAnsi" w:cstheme="minorHAnsi"/>
                  <w:b/>
                  <w:bCs/>
                  <w:sz w:val="20"/>
                </w:rPr>
                <w:t>https://www.parp.gov.pl/component/grants/grants/rozwoj-potencjalu-koordynatorow-krajowych-klastrow-kluczowych</w:t>
              </w:r>
            </w:hyperlink>
            <w:r>
              <w:rPr>
                <w:rFonts w:asciiTheme="minorHAnsi" w:hAnsiTheme="minorHAnsi" w:cstheme="minorHAnsi"/>
                <w:b/>
                <w:bCs/>
                <w:sz w:val="20"/>
              </w:rPr>
              <w:t xml:space="preserve"> </w:t>
            </w:r>
            <w:r w:rsidR="00F54B09" w:rsidRPr="00F54B09" w:rsidDel="00D207CE">
              <w:rPr>
                <w:rFonts w:asciiTheme="minorHAnsi" w:hAnsiTheme="minorHAnsi" w:cstheme="minorHAnsi"/>
                <w:b/>
                <w:bCs/>
                <w:sz w:val="20"/>
              </w:rPr>
              <w:t xml:space="preserve"> </w:t>
            </w:r>
            <w:r w:rsidR="00F54B09" w:rsidRPr="00F54B09">
              <w:rPr>
                <w:rFonts w:asciiTheme="minorHAnsi" w:hAnsiTheme="minorHAnsi" w:cstheme="minorHAnsi"/>
                <w:b/>
                <w:bCs/>
                <w:sz w:val="20"/>
              </w:rPr>
              <w:t xml:space="preserve"> </w:t>
            </w:r>
          </w:p>
          <w:p w14:paraId="537D0714" w14:textId="043FA665"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 xml:space="preserve">Analiza potencjału Ośrodków Innowacji akredytowanych przez Ministerstwo Przedsiębiorczości i Technologii do świadczenia usług w </w:t>
            </w:r>
            <w:r w:rsidRPr="00F54B09">
              <w:rPr>
                <w:rFonts w:asciiTheme="minorHAnsi" w:hAnsiTheme="minorHAnsi" w:cstheme="minorHAnsi"/>
                <w:b/>
                <w:bCs/>
                <w:sz w:val="20"/>
              </w:rPr>
              <w:lastRenderedPageBreak/>
              <w:t>zakresie Industry 4.0 - Ministerstwo Rozwoju i Technologii</w:t>
            </w:r>
          </w:p>
          <w:p w14:paraId="7E85794E" w14:textId="0FDDF254" w:rsidR="00F54B09" w:rsidRPr="00F54B09" w:rsidRDefault="00257075" w:rsidP="00F54B09">
            <w:pPr>
              <w:spacing w:after="0"/>
              <w:jc w:val="left"/>
              <w:rPr>
                <w:rFonts w:asciiTheme="minorHAnsi" w:hAnsiTheme="minorHAnsi" w:cstheme="minorHAnsi"/>
                <w:b/>
                <w:bCs/>
                <w:sz w:val="20"/>
              </w:rPr>
            </w:pPr>
            <w:hyperlink r:id="rId52" w:history="1">
              <w:r w:rsidRPr="00140B69">
                <w:rPr>
                  <w:rStyle w:val="Hipercze"/>
                  <w:rFonts w:asciiTheme="minorHAnsi" w:hAnsiTheme="minorHAnsi" w:cstheme="minorHAnsi"/>
                  <w:b/>
                  <w:bCs/>
                  <w:sz w:val="20"/>
                </w:rPr>
                <w:t>https://www.gov.pl/web/rozwoj-technologia/raporty-dotyczace-instytucji-otoczenia-biznesu</w:t>
              </w:r>
            </w:hyperlink>
            <w:r>
              <w:rPr>
                <w:rFonts w:asciiTheme="minorHAnsi" w:hAnsiTheme="minorHAnsi" w:cstheme="minorHAnsi"/>
                <w:b/>
                <w:bCs/>
                <w:sz w:val="20"/>
              </w:rPr>
              <w:t xml:space="preserve"> </w:t>
            </w:r>
          </w:p>
          <w:p w14:paraId="618BACE1"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 xml:space="preserve">- Analiza potencjału ośrodków innowacji i ich wpływu na realizację założeń (koncepcji) inteligentnych specjalizacji w Polsce - Ministerstwo Rozwoju i Technologii/Polska Agencja Rozwoju Przedsiębiorczości </w:t>
            </w:r>
          </w:p>
          <w:p w14:paraId="46742435" w14:textId="57B2147C"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 xml:space="preserve"> </w:t>
            </w:r>
            <w:hyperlink r:id="rId53" w:history="1">
              <w:r w:rsidR="00257075" w:rsidRPr="00140B69">
                <w:rPr>
                  <w:rStyle w:val="Hipercze"/>
                  <w:rFonts w:asciiTheme="minorHAnsi" w:hAnsiTheme="minorHAnsi" w:cstheme="minorHAnsi"/>
                  <w:b/>
                  <w:bCs/>
                  <w:sz w:val="20"/>
                </w:rPr>
                <w:t>https://www.gov.pl/web/rozwoj-technologia/raporty-dotyczace-instytucji-otoczenia-biznesu</w:t>
              </w:r>
            </w:hyperlink>
            <w:r w:rsidR="00257075">
              <w:rPr>
                <w:rFonts w:asciiTheme="minorHAnsi" w:hAnsiTheme="minorHAnsi" w:cstheme="minorHAnsi"/>
                <w:b/>
                <w:bCs/>
                <w:sz w:val="20"/>
              </w:rPr>
              <w:t xml:space="preserve"> </w:t>
            </w:r>
          </w:p>
          <w:p w14:paraId="709DD161" w14:textId="77777777" w:rsidR="00F54B09" w:rsidRPr="00F54B09" w:rsidRDefault="00F54B09" w:rsidP="00F54B09">
            <w:pPr>
              <w:spacing w:after="0"/>
              <w:jc w:val="left"/>
              <w:rPr>
                <w:rFonts w:asciiTheme="minorHAnsi" w:hAnsiTheme="minorHAnsi" w:cstheme="minorHAnsi"/>
                <w:b/>
                <w:bCs/>
                <w:sz w:val="20"/>
              </w:rPr>
            </w:pPr>
            <w:r w:rsidRPr="00F54B09">
              <w:rPr>
                <w:rFonts w:asciiTheme="minorHAnsi" w:hAnsiTheme="minorHAnsi" w:cstheme="minorHAnsi"/>
                <w:b/>
                <w:bCs/>
                <w:sz w:val="20"/>
              </w:rPr>
              <w:t>Dokument Krajowa Inteligenta Specjalizacja - Ministerstwo Rozwoju i Technologii</w:t>
            </w:r>
          </w:p>
          <w:p w14:paraId="306F9CF7" w14:textId="35F2D676" w:rsidR="00E8684E" w:rsidRPr="00890249" w:rsidRDefault="00257075" w:rsidP="00F54B09">
            <w:pPr>
              <w:spacing w:after="0"/>
              <w:jc w:val="left"/>
              <w:rPr>
                <w:rFonts w:asciiTheme="minorHAnsi" w:hAnsiTheme="minorHAnsi" w:cstheme="minorHAnsi"/>
                <w:b/>
                <w:bCs/>
                <w:sz w:val="20"/>
              </w:rPr>
            </w:pPr>
            <w:hyperlink r:id="rId54"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p>
          <w:p w14:paraId="44E58AB2" w14:textId="77777777" w:rsidR="00E8684E" w:rsidRPr="00890249" w:rsidRDefault="00E8684E" w:rsidP="00E8684E">
            <w:pPr>
              <w:shd w:val="clear" w:color="auto" w:fill="D9D9D9" w:themeFill="background1" w:themeFillShade="D9"/>
              <w:jc w:val="left"/>
              <w:rPr>
                <w:rFonts w:asciiTheme="minorHAnsi" w:hAnsiTheme="minorHAnsi" w:cstheme="minorHAnsi"/>
                <w:bCs/>
                <w:noProof/>
                <w:sz w:val="20"/>
              </w:rPr>
            </w:pPr>
            <w:r w:rsidRPr="00890249">
              <w:rPr>
                <w:rFonts w:asciiTheme="minorHAnsi" w:hAnsiTheme="minorHAnsi" w:cstheme="minorHAnsi"/>
                <w:bCs/>
                <w:noProof/>
                <w:sz w:val="20"/>
              </w:rPr>
              <w:t xml:space="preserve">Kryterium 6 </w:t>
            </w:r>
          </w:p>
          <w:p w14:paraId="6E59CBB3"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Fundacja Platforma Przemysłu Przyszłości</w:t>
            </w:r>
          </w:p>
          <w:p w14:paraId="39844ABD" w14:textId="77777777" w:rsidR="009C5B9E" w:rsidRDefault="009C5B9E" w:rsidP="009C5B9E">
            <w:pPr>
              <w:spacing w:after="0"/>
              <w:jc w:val="left"/>
              <w:rPr>
                <w:rFonts w:asciiTheme="minorHAnsi" w:hAnsiTheme="minorHAnsi" w:cstheme="minorHAnsi"/>
                <w:b/>
                <w:bCs/>
                <w:sz w:val="20"/>
              </w:rPr>
            </w:pPr>
            <w:hyperlink r:id="rId55" w:history="1">
              <w:r w:rsidRPr="00140B69">
                <w:rPr>
                  <w:rStyle w:val="Hipercze"/>
                  <w:rFonts w:asciiTheme="minorHAnsi" w:hAnsiTheme="minorHAnsi" w:cstheme="minorHAnsi"/>
                  <w:b/>
                  <w:bCs/>
                  <w:sz w:val="20"/>
                </w:rPr>
                <w:t>www.fppp.gov.pl</w:t>
              </w:r>
            </w:hyperlink>
            <w:r>
              <w:rPr>
                <w:rFonts w:asciiTheme="minorHAnsi" w:hAnsiTheme="minorHAnsi" w:cstheme="minorHAnsi"/>
                <w:b/>
                <w:bCs/>
                <w:sz w:val="20"/>
              </w:rPr>
              <w:t xml:space="preserve"> </w:t>
            </w:r>
            <w:r w:rsidRPr="009C5B9E">
              <w:rPr>
                <w:rFonts w:asciiTheme="minorHAnsi" w:hAnsiTheme="minorHAnsi" w:cstheme="minorHAnsi"/>
                <w:b/>
                <w:bCs/>
                <w:sz w:val="20"/>
              </w:rPr>
              <w:t xml:space="preserve"> </w:t>
            </w:r>
          </w:p>
          <w:p w14:paraId="05E88F16" w14:textId="1508CF69" w:rsidR="009C5B9E" w:rsidRPr="009C5B9E" w:rsidRDefault="009C5B9E" w:rsidP="009C5B9E">
            <w:pPr>
              <w:spacing w:after="0"/>
              <w:jc w:val="left"/>
              <w:rPr>
                <w:rFonts w:asciiTheme="minorHAnsi" w:hAnsiTheme="minorHAnsi" w:cstheme="minorHAnsi"/>
                <w:b/>
                <w:bCs/>
                <w:sz w:val="20"/>
              </w:rPr>
            </w:pPr>
            <w:hyperlink r:id="rId56" w:history="1">
              <w:r w:rsidRPr="00140B69">
                <w:rPr>
                  <w:rStyle w:val="Hipercze"/>
                  <w:rFonts w:asciiTheme="minorHAnsi" w:hAnsiTheme="minorHAnsi" w:cstheme="minorHAnsi"/>
                  <w:b/>
                  <w:bCs/>
                  <w:sz w:val="20"/>
                </w:rPr>
                <w:t>https://sip.lex.pl/akty-prawne/dzu-dziennik-ustaw/fundacja-platforma-przemyslu-przyszlosci-18812863</w:t>
              </w:r>
            </w:hyperlink>
            <w:r>
              <w:rPr>
                <w:rFonts w:asciiTheme="minorHAnsi" w:hAnsiTheme="minorHAnsi" w:cstheme="minorHAnsi"/>
                <w:b/>
                <w:bCs/>
                <w:sz w:val="20"/>
              </w:rPr>
              <w:t xml:space="preserve"> </w:t>
            </w:r>
          </w:p>
          <w:p w14:paraId="45C5F89D"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 xml:space="preserve">Mapa drogowa transformacji w kierunku gospodarki o obiegu </w:t>
            </w:r>
            <w:r w:rsidRPr="009C5B9E">
              <w:rPr>
                <w:rFonts w:asciiTheme="minorHAnsi" w:hAnsiTheme="minorHAnsi" w:cstheme="minorHAnsi"/>
                <w:b/>
                <w:bCs/>
                <w:sz w:val="20"/>
              </w:rPr>
              <w:lastRenderedPageBreak/>
              <w:t>zamkniętym -  Ministerstwo Rozwoju i Technologii</w:t>
            </w:r>
          </w:p>
          <w:p w14:paraId="56DF6CA9" w14:textId="77777777" w:rsidR="009C5B9E" w:rsidRPr="009C5B9E" w:rsidRDefault="009C5B9E" w:rsidP="009C5B9E">
            <w:pPr>
              <w:spacing w:after="0"/>
              <w:jc w:val="left"/>
              <w:rPr>
                <w:rFonts w:asciiTheme="minorHAnsi" w:hAnsiTheme="minorHAnsi" w:cstheme="minorHAnsi"/>
                <w:b/>
                <w:bCs/>
                <w:sz w:val="20"/>
              </w:rPr>
            </w:pPr>
            <w:hyperlink r:id="rId57" w:history="1">
              <w:r w:rsidRPr="009C5B9E">
                <w:rPr>
                  <w:rStyle w:val="Hipercze"/>
                  <w:rFonts w:asciiTheme="minorHAnsi" w:hAnsiTheme="minorHAnsi" w:cstheme="minorHAnsi"/>
                  <w:b/>
                  <w:bCs/>
                  <w:sz w:val="20"/>
                </w:rPr>
                <w:t>https://www.gov.pl/web/rozwoj-technologia/rada-ministrow-przyjela-projekt-mapy-drogowej-goz</w:t>
              </w:r>
            </w:hyperlink>
          </w:p>
          <w:p w14:paraId="54587020" w14:textId="77777777" w:rsidR="009C5B9E" w:rsidRPr="009C5B9E" w:rsidRDefault="009C5B9E" w:rsidP="009C5B9E">
            <w:pPr>
              <w:spacing w:after="0"/>
              <w:jc w:val="left"/>
              <w:rPr>
                <w:rFonts w:asciiTheme="minorHAnsi" w:hAnsiTheme="minorHAnsi" w:cstheme="minorHAnsi"/>
                <w:b/>
                <w:bCs/>
                <w:sz w:val="20"/>
              </w:rPr>
            </w:pPr>
            <w:hyperlink r:id="rId58" w:history="1">
              <w:r w:rsidRPr="009C5B9E">
                <w:rPr>
                  <w:rStyle w:val="Hipercze"/>
                  <w:rFonts w:asciiTheme="minorHAnsi" w:hAnsiTheme="minorHAnsi" w:cstheme="minorHAnsi"/>
                  <w:b/>
                  <w:bCs/>
                  <w:sz w:val="20"/>
                </w:rPr>
                <w:t>https://www.gov.pl/web/ncbr/kpo-goz</w:t>
              </w:r>
            </w:hyperlink>
          </w:p>
          <w:p w14:paraId="5FD26892" w14:textId="082E7782" w:rsidR="009C5B9E" w:rsidRPr="009C5B9E" w:rsidRDefault="009C5B9E" w:rsidP="009C5B9E">
            <w:pPr>
              <w:spacing w:after="0"/>
              <w:jc w:val="left"/>
              <w:rPr>
                <w:rFonts w:asciiTheme="minorHAnsi" w:hAnsiTheme="minorHAnsi" w:cstheme="minorHAnsi"/>
                <w:b/>
                <w:bCs/>
                <w:sz w:val="20"/>
              </w:rPr>
            </w:pPr>
            <w:hyperlink r:id="rId59" w:history="1">
              <w:r w:rsidRPr="00140B69">
                <w:rPr>
                  <w:rStyle w:val="Hipercze"/>
                  <w:rFonts w:asciiTheme="minorHAnsi" w:hAnsiTheme="minorHAnsi" w:cstheme="minorHAnsi"/>
                  <w:b/>
                  <w:bCs/>
                  <w:sz w:val="20"/>
                </w:rPr>
                <w:t>https://kpo.parp.gov.pl/component/content/article/86924:uzyskaj-dofinansowanie-na-rozwoj-ekoinnowacyjnosci-w-swoim-biznesie-parp-wspiera-inwestycje-w-goz</w:t>
              </w:r>
            </w:hyperlink>
            <w:r>
              <w:rPr>
                <w:rFonts w:asciiTheme="minorHAnsi" w:hAnsiTheme="minorHAnsi" w:cstheme="minorHAnsi"/>
                <w:b/>
                <w:bCs/>
                <w:sz w:val="20"/>
              </w:rPr>
              <w:t xml:space="preserve"> </w:t>
            </w:r>
          </w:p>
          <w:p w14:paraId="260286ED"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Standaryzacja Hubów Innowacji Cyfrowych - Ministerstwo Rozwoju i Technologii</w:t>
            </w:r>
          </w:p>
          <w:p w14:paraId="49FEFC6D" w14:textId="65C18BEA" w:rsidR="009C5B9E" w:rsidRPr="009C5B9E" w:rsidRDefault="009C5B9E" w:rsidP="009C5B9E">
            <w:pPr>
              <w:spacing w:after="0"/>
              <w:jc w:val="left"/>
              <w:rPr>
                <w:rFonts w:asciiTheme="minorHAnsi" w:hAnsiTheme="minorHAnsi" w:cstheme="minorHAnsi"/>
                <w:b/>
                <w:bCs/>
                <w:sz w:val="20"/>
              </w:rPr>
            </w:pPr>
            <w:hyperlink r:id="rId60" w:history="1">
              <w:r w:rsidRPr="00140B69">
                <w:rPr>
                  <w:rStyle w:val="Hipercze"/>
                  <w:rFonts w:asciiTheme="minorHAnsi" w:hAnsiTheme="minorHAnsi" w:cstheme="minorHAnsi"/>
                  <w:b/>
                  <w:bCs/>
                  <w:sz w:val="20"/>
                </w:rPr>
                <w:t>https://www.gov.pl/web/rozwoj/mpit-oglasza-konkurs-dla-hubow-innowacji-cyfrowych</w:t>
              </w:r>
            </w:hyperlink>
            <w:r>
              <w:rPr>
                <w:rFonts w:asciiTheme="minorHAnsi" w:hAnsiTheme="minorHAnsi" w:cstheme="minorHAnsi"/>
                <w:b/>
                <w:bCs/>
                <w:sz w:val="20"/>
              </w:rPr>
              <w:t xml:space="preserve"> </w:t>
            </w:r>
            <w:r w:rsidRPr="009C5B9E">
              <w:rPr>
                <w:rFonts w:asciiTheme="minorHAnsi" w:hAnsiTheme="minorHAnsi" w:cstheme="minorHAnsi"/>
                <w:b/>
                <w:bCs/>
                <w:sz w:val="20"/>
              </w:rPr>
              <w:t xml:space="preserve"> </w:t>
            </w:r>
          </w:p>
          <w:p w14:paraId="5626C2A1"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Narodowy Plan Szerokopasmowy  - Ministerstwo Cyfryzacji</w:t>
            </w:r>
          </w:p>
          <w:p w14:paraId="28057CF2" w14:textId="44D4EE96" w:rsidR="009C5B9E" w:rsidRPr="009C5B9E" w:rsidRDefault="009C5B9E" w:rsidP="009C5B9E">
            <w:pPr>
              <w:spacing w:after="0"/>
              <w:jc w:val="left"/>
              <w:rPr>
                <w:rFonts w:asciiTheme="minorHAnsi" w:hAnsiTheme="minorHAnsi" w:cstheme="minorHAnsi"/>
                <w:b/>
                <w:bCs/>
                <w:sz w:val="20"/>
              </w:rPr>
            </w:pPr>
            <w:hyperlink r:id="rId61" w:history="1">
              <w:r w:rsidRPr="00140B69">
                <w:rPr>
                  <w:rStyle w:val="Hipercze"/>
                  <w:rFonts w:asciiTheme="minorHAnsi" w:hAnsiTheme="minorHAnsi" w:cstheme="minorHAnsi"/>
                  <w:b/>
                  <w:bCs/>
                  <w:sz w:val="20"/>
                </w:rPr>
                <w:t>https://www.gov.pl/web/cyfryzacja/narodowy-plan-szerokopasmowy---zaktualizowany</w:t>
              </w:r>
            </w:hyperlink>
            <w:r>
              <w:rPr>
                <w:rFonts w:asciiTheme="minorHAnsi" w:hAnsiTheme="minorHAnsi" w:cstheme="minorHAnsi"/>
                <w:b/>
                <w:bCs/>
                <w:sz w:val="20"/>
              </w:rPr>
              <w:t xml:space="preserve"> </w:t>
            </w:r>
            <w:r w:rsidRPr="009C5B9E">
              <w:rPr>
                <w:rFonts w:asciiTheme="minorHAnsi" w:hAnsiTheme="minorHAnsi" w:cstheme="minorHAnsi"/>
                <w:b/>
                <w:bCs/>
                <w:sz w:val="20"/>
              </w:rPr>
              <w:t xml:space="preserve"> </w:t>
            </w:r>
          </w:p>
          <w:p w14:paraId="75971D50"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Polityka SI - Ministerstwo Cyfryzacji</w:t>
            </w:r>
          </w:p>
          <w:p w14:paraId="2DAE288F" w14:textId="73887D44" w:rsidR="009C5B9E" w:rsidRPr="009C5B9E" w:rsidRDefault="009C5B9E" w:rsidP="009C5B9E">
            <w:pPr>
              <w:spacing w:after="0"/>
              <w:jc w:val="left"/>
              <w:rPr>
                <w:rFonts w:asciiTheme="minorHAnsi" w:hAnsiTheme="minorHAnsi" w:cstheme="minorHAnsi"/>
                <w:b/>
                <w:bCs/>
                <w:sz w:val="20"/>
              </w:rPr>
            </w:pPr>
            <w:hyperlink r:id="rId62" w:history="1">
              <w:r w:rsidRPr="00140B69">
                <w:rPr>
                  <w:rStyle w:val="Hipercze"/>
                  <w:rFonts w:asciiTheme="minorHAnsi" w:hAnsiTheme="minorHAnsi" w:cstheme="minorHAnsi"/>
                  <w:b/>
                  <w:bCs/>
                  <w:sz w:val="20"/>
                </w:rPr>
                <w:t>https://isap.sejm.gov.pl/isap.nsf/DocDetails.xsp?id=WMP20210000023</w:t>
              </w:r>
            </w:hyperlink>
            <w:r>
              <w:rPr>
                <w:rFonts w:asciiTheme="minorHAnsi" w:hAnsiTheme="minorHAnsi" w:cstheme="minorHAnsi"/>
                <w:b/>
                <w:bCs/>
                <w:sz w:val="20"/>
              </w:rPr>
              <w:t xml:space="preserve"> </w:t>
            </w:r>
          </w:p>
          <w:p w14:paraId="0D56D2B7"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lastRenderedPageBreak/>
              <w:t>Program Otwierania Danych na lata 2021 - 2027  - Ministerstwo Cyfryzacji</w:t>
            </w:r>
          </w:p>
          <w:p w14:paraId="2CD5F636" w14:textId="2F94B4F8" w:rsidR="009C5B9E" w:rsidRPr="009C5B9E" w:rsidRDefault="009C5B9E" w:rsidP="009C5B9E">
            <w:pPr>
              <w:spacing w:after="0"/>
              <w:jc w:val="left"/>
              <w:rPr>
                <w:rFonts w:asciiTheme="minorHAnsi" w:hAnsiTheme="minorHAnsi" w:cstheme="minorHAnsi"/>
                <w:b/>
                <w:bCs/>
                <w:sz w:val="20"/>
              </w:rPr>
            </w:pPr>
            <w:hyperlink r:id="rId63" w:history="1">
              <w:r w:rsidRPr="00140B69">
                <w:rPr>
                  <w:rStyle w:val="Hipercze"/>
                  <w:rFonts w:asciiTheme="minorHAnsi" w:hAnsiTheme="minorHAnsi" w:cstheme="minorHAnsi"/>
                  <w:b/>
                  <w:bCs/>
                  <w:sz w:val="20"/>
                </w:rPr>
                <w:t>https://www.gov.pl/web/cyfryzacja/otwarte-dane-publiczne</w:t>
              </w:r>
            </w:hyperlink>
            <w:r>
              <w:rPr>
                <w:rFonts w:asciiTheme="minorHAnsi" w:hAnsiTheme="minorHAnsi" w:cstheme="minorHAnsi"/>
                <w:b/>
                <w:bCs/>
                <w:sz w:val="20"/>
              </w:rPr>
              <w:t xml:space="preserve"> </w:t>
            </w:r>
          </w:p>
          <w:p w14:paraId="27535275"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 xml:space="preserve">Strategia Transformacji do Gospodarki Neutralnej Klimatycznie -  Ministerstwo Klimatu i Środowiska </w:t>
            </w:r>
          </w:p>
          <w:p w14:paraId="428F0801"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Krajowy plan na rzecz energii i klimatu na lata 2021-2030 - Ministerstwo Klimatu i Środowiska</w:t>
            </w:r>
          </w:p>
          <w:p w14:paraId="0432DC5E" w14:textId="2A057BB0" w:rsidR="009C5B9E" w:rsidRPr="009C5B9E" w:rsidRDefault="009C5B9E" w:rsidP="009C5B9E">
            <w:pPr>
              <w:spacing w:after="0"/>
              <w:jc w:val="left"/>
              <w:rPr>
                <w:rFonts w:asciiTheme="minorHAnsi" w:hAnsiTheme="minorHAnsi" w:cstheme="minorHAnsi"/>
                <w:b/>
                <w:bCs/>
                <w:sz w:val="20"/>
              </w:rPr>
            </w:pPr>
            <w:hyperlink r:id="rId64" w:history="1">
              <w:r w:rsidRPr="00140B69">
                <w:rPr>
                  <w:rStyle w:val="Hipercze"/>
                  <w:rFonts w:asciiTheme="minorHAnsi" w:hAnsiTheme="minorHAnsi" w:cstheme="minorHAnsi"/>
                  <w:b/>
                  <w:bCs/>
                  <w:sz w:val="20"/>
                </w:rPr>
                <w:t>https://www.gov.pl/web/klimat/krajowy-plan-na-rzecz-energii-i-klimatu</w:t>
              </w:r>
            </w:hyperlink>
            <w:r>
              <w:rPr>
                <w:rFonts w:asciiTheme="minorHAnsi" w:hAnsiTheme="minorHAnsi" w:cstheme="minorHAnsi"/>
                <w:b/>
                <w:bCs/>
                <w:sz w:val="20"/>
              </w:rPr>
              <w:t xml:space="preserve"> </w:t>
            </w:r>
          </w:p>
          <w:p w14:paraId="2E3CB8FF"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Moj prąd, Czyste powietrze - Ministerstwo Klimatu i Środowiska/Narodowy Fundusz Ochrony Środowiska i Gospodarki Wodnej</w:t>
            </w:r>
          </w:p>
          <w:p w14:paraId="6A91E6FA" w14:textId="27B2A8D6"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 xml:space="preserve">https://mojprad.gov.pl/, </w:t>
            </w:r>
            <w:hyperlink r:id="rId65" w:history="1">
              <w:r w:rsidRPr="00140B69">
                <w:rPr>
                  <w:rStyle w:val="Hipercze"/>
                  <w:rFonts w:asciiTheme="minorHAnsi" w:hAnsiTheme="minorHAnsi" w:cstheme="minorHAnsi"/>
                  <w:b/>
                  <w:bCs/>
                  <w:sz w:val="20"/>
                </w:rPr>
                <w:t>http://www.czystepowietrze.gov.pl/</w:t>
              </w:r>
            </w:hyperlink>
            <w:r>
              <w:rPr>
                <w:rFonts w:asciiTheme="minorHAnsi" w:hAnsiTheme="minorHAnsi" w:cstheme="minorHAnsi"/>
                <w:b/>
                <w:bCs/>
                <w:sz w:val="20"/>
              </w:rPr>
              <w:t xml:space="preserve"> </w:t>
            </w:r>
            <w:r w:rsidRPr="009C5B9E">
              <w:rPr>
                <w:rFonts w:asciiTheme="minorHAnsi" w:hAnsiTheme="minorHAnsi" w:cstheme="minorHAnsi"/>
                <w:b/>
                <w:bCs/>
                <w:sz w:val="20"/>
              </w:rPr>
              <w:t xml:space="preserve"> </w:t>
            </w:r>
          </w:p>
          <w:p w14:paraId="7A56E493"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 xml:space="preserve">Plan Rozwoju Elektromobilności  - Ministerstwo Klimatu i Środowiska </w:t>
            </w:r>
          </w:p>
          <w:p w14:paraId="728BE0D9" w14:textId="4DEE904D" w:rsidR="009C5B9E" w:rsidRPr="009C5B9E" w:rsidRDefault="009C5B9E" w:rsidP="009C5B9E">
            <w:pPr>
              <w:spacing w:after="0"/>
              <w:jc w:val="left"/>
              <w:rPr>
                <w:rFonts w:asciiTheme="minorHAnsi" w:hAnsiTheme="minorHAnsi" w:cstheme="minorHAnsi"/>
                <w:b/>
                <w:bCs/>
                <w:sz w:val="20"/>
              </w:rPr>
            </w:pPr>
            <w:hyperlink r:id="rId66" w:history="1">
              <w:r w:rsidRPr="00140B69">
                <w:rPr>
                  <w:rStyle w:val="Hipercze"/>
                  <w:rFonts w:asciiTheme="minorHAnsi" w:hAnsiTheme="minorHAnsi" w:cstheme="minorHAnsi"/>
                  <w:b/>
                  <w:bCs/>
                  <w:sz w:val="20"/>
                </w:rPr>
                <w:t>https://www.gov.pl/web/klimat/elektromobilnosc</w:t>
              </w:r>
            </w:hyperlink>
            <w:r>
              <w:rPr>
                <w:rFonts w:asciiTheme="minorHAnsi" w:hAnsiTheme="minorHAnsi" w:cstheme="minorHAnsi"/>
                <w:b/>
                <w:bCs/>
                <w:sz w:val="20"/>
              </w:rPr>
              <w:t xml:space="preserve"> </w:t>
            </w:r>
          </w:p>
          <w:p w14:paraId="7B3DD200" w14:textId="77777777" w:rsidR="009C5B9E" w:rsidRPr="009C5B9E" w:rsidRDefault="009C5B9E" w:rsidP="009C5B9E">
            <w:pPr>
              <w:spacing w:after="0"/>
              <w:jc w:val="left"/>
              <w:rPr>
                <w:rFonts w:asciiTheme="minorHAnsi" w:hAnsiTheme="minorHAnsi" w:cstheme="minorHAnsi"/>
                <w:b/>
                <w:bCs/>
                <w:sz w:val="20"/>
              </w:rPr>
            </w:pPr>
            <w:r w:rsidRPr="009C5B9E">
              <w:rPr>
                <w:rFonts w:asciiTheme="minorHAnsi" w:hAnsiTheme="minorHAnsi" w:cstheme="minorHAnsi"/>
                <w:b/>
                <w:bCs/>
                <w:sz w:val="20"/>
              </w:rPr>
              <w:t>Mapa drogowa GOZ  - Ministerstwo Rozwoju i Technologii</w:t>
            </w:r>
          </w:p>
          <w:p w14:paraId="32DE7EE7" w14:textId="6DD03131" w:rsidR="009C5B9E" w:rsidRDefault="009C5B9E" w:rsidP="00E8684E">
            <w:pPr>
              <w:spacing w:after="0"/>
              <w:jc w:val="left"/>
              <w:rPr>
                <w:rFonts w:asciiTheme="minorHAnsi" w:hAnsiTheme="minorHAnsi" w:cstheme="minorHAnsi"/>
                <w:b/>
                <w:bCs/>
                <w:sz w:val="20"/>
              </w:rPr>
            </w:pPr>
            <w:hyperlink r:id="rId67" w:history="1">
              <w:r w:rsidRPr="00140B69">
                <w:rPr>
                  <w:rStyle w:val="Hipercze"/>
                  <w:rFonts w:asciiTheme="minorHAnsi" w:hAnsiTheme="minorHAnsi" w:cstheme="minorHAnsi"/>
                  <w:b/>
                  <w:bCs/>
                  <w:sz w:val="20"/>
                </w:rPr>
                <w:t>https://www.gov.pl/web/rozwoj-praca-technologia/rada-ministrow-przyjela-projekt-mapy-drogowej-goz</w:t>
              </w:r>
            </w:hyperlink>
            <w:r>
              <w:rPr>
                <w:rFonts w:asciiTheme="minorHAnsi" w:hAnsiTheme="minorHAnsi" w:cstheme="minorHAnsi"/>
                <w:b/>
                <w:bCs/>
                <w:sz w:val="20"/>
              </w:rPr>
              <w:t xml:space="preserve"> </w:t>
            </w:r>
          </w:p>
          <w:p w14:paraId="0D3F670E" w14:textId="77777777" w:rsidR="00E8684E" w:rsidRPr="00890249" w:rsidRDefault="00E8684E" w:rsidP="00E8684E">
            <w:pPr>
              <w:shd w:val="clear" w:color="auto" w:fill="D9D9D9" w:themeFill="background1" w:themeFillShade="D9"/>
              <w:jc w:val="left"/>
              <w:rPr>
                <w:rFonts w:asciiTheme="minorHAnsi" w:hAnsiTheme="minorHAnsi" w:cstheme="minorHAnsi"/>
                <w:bCs/>
                <w:noProof/>
                <w:sz w:val="20"/>
              </w:rPr>
            </w:pPr>
            <w:r w:rsidRPr="00890249">
              <w:rPr>
                <w:rFonts w:asciiTheme="minorHAnsi" w:hAnsiTheme="minorHAnsi" w:cstheme="minorHAnsi"/>
                <w:bCs/>
                <w:noProof/>
                <w:sz w:val="20"/>
              </w:rPr>
              <w:t>Kryterium 7</w:t>
            </w:r>
          </w:p>
          <w:p w14:paraId="34D6E888" w14:textId="77777777" w:rsidR="00103CB4" w:rsidRPr="00103CB4" w:rsidRDefault="00103CB4" w:rsidP="00F62734">
            <w:pPr>
              <w:spacing w:after="0"/>
              <w:ind w:left="1"/>
              <w:jc w:val="left"/>
              <w:rPr>
                <w:rFonts w:asciiTheme="minorHAnsi" w:hAnsiTheme="minorHAnsi" w:cstheme="minorHAnsi"/>
                <w:b/>
                <w:bCs/>
                <w:sz w:val="20"/>
              </w:rPr>
            </w:pPr>
            <w:r w:rsidRPr="00103CB4">
              <w:rPr>
                <w:rFonts w:asciiTheme="minorHAnsi" w:hAnsiTheme="minorHAnsi" w:cstheme="minorHAnsi"/>
                <w:b/>
                <w:bCs/>
                <w:sz w:val="20"/>
              </w:rPr>
              <w:t xml:space="preserve">Informacja o udziale polskich podmiotów m.in. w partnerstwach ponadnarodowych S3 oraz projektach międzynarodowych w ramach programu Horyzont 2020/Europa - Komisja Europejska/Ministerstwo Rozwoju i Technologii/Krajowy Punkt Kontaktowy/Sieć Badawcza Łukasiewicz - Branżowe Punkty Kontaktowe PR Horyzont 2020/Horyzont Europa </w:t>
            </w:r>
          </w:p>
          <w:p w14:paraId="64FD1467" w14:textId="77777777" w:rsidR="004F35B4" w:rsidRDefault="004F35B4" w:rsidP="004F35B4">
            <w:pPr>
              <w:spacing w:after="0"/>
              <w:ind w:left="1"/>
              <w:jc w:val="left"/>
              <w:rPr>
                <w:rFonts w:asciiTheme="minorHAnsi" w:hAnsiTheme="minorHAnsi" w:cstheme="minorHAnsi"/>
                <w:b/>
                <w:bCs/>
                <w:sz w:val="20"/>
              </w:rPr>
            </w:pPr>
            <w:hyperlink r:id="rId68" w:history="1">
              <w:r w:rsidRPr="004F35B4">
                <w:rPr>
                  <w:rStyle w:val="Hipercze"/>
                  <w:rFonts w:asciiTheme="minorHAnsi" w:hAnsiTheme="minorHAnsi" w:cstheme="minorHAnsi"/>
                  <w:b/>
                  <w:bCs/>
                  <w:sz w:val="20"/>
                </w:rPr>
                <w:t>https://s3platform.jrc.ec.europa.eu/thematic-platforms</w:t>
              </w:r>
            </w:hyperlink>
            <w:r w:rsidR="00103CB4" w:rsidRPr="00103CB4">
              <w:rPr>
                <w:rFonts w:asciiTheme="minorHAnsi" w:hAnsiTheme="minorHAnsi" w:cstheme="minorHAnsi"/>
                <w:b/>
                <w:bCs/>
                <w:sz w:val="20"/>
              </w:rPr>
              <w:t xml:space="preserve"> </w:t>
            </w:r>
            <w:hyperlink r:id="rId69" w:history="1">
              <w:r w:rsidRPr="00140B69">
                <w:rPr>
                  <w:rStyle w:val="Hipercze"/>
                  <w:rFonts w:asciiTheme="minorHAnsi" w:hAnsiTheme="minorHAnsi" w:cstheme="minorHAnsi"/>
                  <w:b/>
                  <w:bCs/>
                  <w:sz w:val="20"/>
                </w:rPr>
                <w:t>https://smart.gov.pl</w:t>
              </w:r>
            </w:hyperlink>
            <w:r>
              <w:rPr>
                <w:rFonts w:asciiTheme="minorHAnsi" w:hAnsiTheme="minorHAnsi" w:cstheme="minorHAnsi"/>
                <w:b/>
                <w:bCs/>
                <w:sz w:val="20"/>
              </w:rPr>
              <w:t xml:space="preserve"> </w:t>
            </w:r>
            <w:r w:rsidR="00103CB4" w:rsidRPr="00103CB4">
              <w:rPr>
                <w:rFonts w:asciiTheme="minorHAnsi" w:hAnsiTheme="minorHAnsi" w:cstheme="minorHAnsi"/>
                <w:b/>
                <w:bCs/>
                <w:sz w:val="20"/>
              </w:rPr>
              <w:t xml:space="preserve"> </w:t>
            </w:r>
            <w:hyperlink r:id="rId70" w:history="1">
              <w:r w:rsidRPr="00140B69">
                <w:rPr>
                  <w:rStyle w:val="Hipercze"/>
                  <w:rFonts w:asciiTheme="minorHAnsi" w:hAnsiTheme="minorHAnsi" w:cstheme="minorHAnsi"/>
                  <w:b/>
                  <w:bCs/>
                  <w:sz w:val="20"/>
                </w:rPr>
                <w:t>https://www.kpk.gov.pl/analizy-i-statystyki</w:t>
              </w:r>
            </w:hyperlink>
          </w:p>
          <w:p w14:paraId="2167EB26" w14:textId="502531E0" w:rsidR="00103CB4" w:rsidRPr="00103CB4" w:rsidRDefault="004F35B4" w:rsidP="00F62734">
            <w:pPr>
              <w:spacing w:after="0"/>
              <w:ind w:left="1"/>
              <w:jc w:val="left"/>
              <w:rPr>
                <w:rFonts w:asciiTheme="minorHAnsi" w:hAnsiTheme="minorHAnsi" w:cstheme="minorHAnsi"/>
                <w:b/>
                <w:bCs/>
                <w:sz w:val="20"/>
              </w:rPr>
            </w:pPr>
            <w:hyperlink r:id="rId71" w:history="1">
              <w:r w:rsidRPr="00140B69">
                <w:rPr>
                  <w:rStyle w:val="Hipercze"/>
                  <w:rFonts w:asciiTheme="minorHAnsi" w:hAnsiTheme="minorHAnsi" w:cstheme="minorHAnsi"/>
                  <w:b/>
                  <w:bCs/>
                  <w:sz w:val="20"/>
                </w:rPr>
                <w:t>https://orgmasz.pl/branzowe-punkty-kontaktowe-bpk/</w:t>
              </w:r>
            </w:hyperlink>
            <w:r>
              <w:rPr>
                <w:rFonts w:asciiTheme="minorHAnsi" w:hAnsiTheme="minorHAnsi" w:cstheme="minorHAnsi"/>
                <w:b/>
                <w:bCs/>
                <w:sz w:val="20"/>
              </w:rPr>
              <w:t xml:space="preserve"> </w:t>
            </w:r>
          </w:p>
          <w:p w14:paraId="2AB4DB36" w14:textId="0792606B" w:rsidR="00103CB4" w:rsidRPr="00103CB4" w:rsidRDefault="00103CB4" w:rsidP="00F62734">
            <w:pPr>
              <w:spacing w:after="0"/>
              <w:ind w:left="1"/>
              <w:jc w:val="left"/>
              <w:rPr>
                <w:rFonts w:asciiTheme="minorHAnsi" w:hAnsiTheme="minorHAnsi" w:cstheme="minorHAnsi"/>
                <w:b/>
                <w:bCs/>
                <w:sz w:val="20"/>
              </w:rPr>
            </w:pPr>
            <w:r w:rsidRPr="00103CB4">
              <w:rPr>
                <w:rFonts w:asciiTheme="minorHAnsi" w:hAnsiTheme="minorHAnsi" w:cstheme="minorHAnsi"/>
                <w:b/>
                <w:bCs/>
                <w:sz w:val="20"/>
              </w:rPr>
              <w:t>Konkursy dla przedsiębiorstw</w:t>
            </w:r>
            <w:r w:rsidR="004F35B4">
              <w:rPr>
                <w:rFonts w:asciiTheme="minorHAnsi" w:hAnsiTheme="minorHAnsi" w:cstheme="minorHAnsi"/>
                <w:b/>
                <w:bCs/>
                <w:sz w:val="20"/>
              </w:rPr>
              <w:t xml:space="preserve"> </w:t>
            </w:r>
            <w:r w:rsidRPr="00103CB4">
              <w:rPr>
                <w:rFonts w:asciiTheme="minorHAnsi" w:hAnsiTheme="minorHAnsi" w:cstheme="minorHAnsi"/>
                <w:b/>
                <w:bCs/>
                <w:sz w:val="20"/>
              </w:rPr>
              <w:t>uruchamiane w ramach poszczególnych programów w zakresie internacjonalizacji i współpracy międzynarodowej</w:t>
            </w:r>
          </w:p>
          <w:p w14:paraId="774A6840" w14:textId="77777777" w:rsidR="00103CB4" w:rsidRPr="00103CB4" w:rsidRDefault="00103CB4" w:rsidP="00F62734">
            <w:pPr>
              <w:spacing w:after="0"/>
              <w:jc w:val="left"/>
              <w:rPr>
                <w:rFonts w:asciiTheme="minorHAnsi" w:hAnsiTheme="minorHAnsi" w:cstheme="minorHAnsi"/>
                <w:b/>
                <w:bCs/>
                <w:sz w:val="20"/>
              </w:rPr>
            </w:pPr>
            <w:r w:rsidRPr="00103CB4">
              <w:rPr>
                <w:rFonts w:asciiTheme="minorHAnsi" w:hAnsiTheme="minorHAnsi" w:cstheme="minorHAnsi"/>
                <w:b/>
                <w:bCs/>
                <w:sz w:val="20"/>
              </w:rPr>
              <w:lastRenderedPageBreak/>
              <w:t xml:space="preserve">Ministerstwo Funduszy i Polityki Regionalnej </w:t>
            </w:r>
          </w:p>
          <w:p w14:paraId="7C8E63F2" w14:textId="0AF12F3A" w:rsidR="00103CB4" w:rsidRPr="00103CB4" w:rsidRDefault="004F35B4" w:rsidP="00F62734">
            <w:pPr>
              <w:spacing w:after="0"/>
              <w:ind w:left="143" w:hanging="142"/>
              <w:jc w:val="left"/>
              <w:rPr>
                <w:rFonts w:asciiTheme="minorHAnsi" w:hAnsiTheme="minorHAnsi" w:cstheme="minorHAnsi"/>
                <w:b/>
                <w:bCs/>
                <w:sz w:val="20"/>
              </w:rPr>
            </w:pPr>
            <w:hyperlink r:id="rId72" w:history="1">
              <w:r w:rsidRPr="00140B69">
                <w:rPr>
                  <w:rStyle w:val="Hipercze"/>
                  <w:rFonts w:asciiTheme="minorHAnsi" w:hAnsiTheme="minorHAnsi" w:cstheme="minorHAnsi"/>
                  <w:b/>
                  <w:bCs/>
                  <w:sz w:val="20"/>
                </w:rPr>
                <w:t>https://www.interregeurope.eu/in-my-country/poland/</w:t>
              </w:r>
            </w:hyperlink>
            <w:r>
              <w:rPr>
                <w:rFonts w:asciiTheme="minorHAnsi" w:hAnsiTheme="minorHAnsi" w:cstheme="minorHAnsi"/>
                <w:b/>
                <w:bCs/>
                <w:sz w:val="20"/>
              </w:rPr>
              <w:t xml:space="preserve"> </w:t>
            </w:r>
            <w:r w:rsidR="00103CB4" w:rsidRPr="00103CB4">
              <w:rPr>
                <w:rFonts w:asciiTheme="minorHAnsi" w:hAnsiTheme="minorHAnsi" w:cstheme="minorHAnsi"/>
                <w:b/>
                <w:bCs/>
                <w:sz w:val="20"/>
              </w:rPr>
              <w:t xml:space="preserve"> </w:t>
            </w:r>
          </w:p>
          <w:p w14:paraId="7D9D2F20" w14:textId="77777777" w:rsidR="00103CB4" w:rsidRPr="00103CB4" w:rsidRDefault="00103CB4" w:rsidP="00F62734">
            <w:pPr>
              <w:spacing w:after="0"/>
              <w:ind w:left="143" w:hanging="142"/>
              <w:jc w:val="left"/>
              <w:rPr>
                <w:rFonts w:asciiTheme="minorHAnsi" w:hAnsiTheme="minorHAnsi" w:cstheme="minorHAnsi"/>
                <w:b/>
                <w:bCs/>
                <w:sz w:val="20"/>
              </w:rPr>
            </w:pPr>
            <w:r w:rsidRPr="00103CB4">
              <w:rPr>
                <w:rFonts w:asciiTheme="minorHAnsi" w:hAnsiTheme="minorHAnsi" w:cstheme="minorHAnsi"/>
                <w:b/>
                <w:bCs/>
                <w:sz w:val="20"/>
              </w:rPr>
              <w:t>Krajowy Punkt Kontaktowy PR Horyzont 2020/Horyzont Europa</w:t>
            </w:r>
          </w:p>
          <w:p w14:paraId="1225D457" w14:textId="56C7AB8C" w:rsidR="00103CB4" w:rsidRPr="00103CB4" w:rsidRDefault="004F35B4" w:rsidP="00F62734">
            <w:pPr>
              <w:spacing w:after="0"/>
              <w:ind w:left="1"/>
              <w:jc w:val="left"/>
              <w:rPr>
                <w:rFonts w:asciiTheme="minorHAnsi" w:hAnsiTheme="minorHAnsi" w:cstheme="minorHAnsi"/>
                <w:b/>
                <w:bCs/>
                <w:sz w:val="20"/>
              </w:rPr>
            </w:pPr>
            <w:hyperlink r:id="rId73" w:history="1">
              <w:r w:rsidRPr="00140B69">
                <w:rPr>
                  <w:rStyle w:val="Hipercze"/>
                  <w:rFonts w:asciiTheme="minorHAnsi" w:hAnsiTheme="minorHAnsi" w:cstheme="minorHAnsi"/>
                  <w:b/>
                  <w:bCs/>
                  <w:sz w:val="20"/>
                </w:rPr>
                <w:t>https://www.kpk.gov.pl/inne-programy/horyzont-2020</w:t>
              </w:r>
            </w:hyperlink>
            <w:r>
              <w:rPr>
                <w:rFonts w:asciiTheme="minorHAnsi" w:hAnsiTheme="minorHAnsi" w:cstheme="minorHAnsi"/>
                <w:b/>
                <w:bCs/>
                <w:sz w:val="20"/>
              </w:rPr>
              <w:t xml:space="preserve"> </w:t>
            </w:r>
            <w:hyperlink r:id="rId74" w:history="1">
              <w:r w:rsidRPr="00140B69">
                <w:rPr>
                  <w:rStyle w:val="Hipercze"/>
                  <w:rFonts w:asciiTheme="minorHAnsi" w:hAnsiTheme="minorHAnsi" w:cstheme="minorHAnsi"/>
                  <w:b/>
                  <w:bCs/>
                  <w:sz w:val="20"/>
                </w:rPr>
                <w:t>https://www.kpk.gov.pl/horyzont-europa</w:t>
              </w:r>
            </w:hyperlink>
            <w:r>
              <w:rPr>
                <w:rFonts w:asciiTheme="minorHAnsi" w:hAnsiTheme="minorHAnsi" w:cstheme="minorHAnsi"/>
                <w:b/>
                <w:bCs/>
                <w:sz w:val="20"/>
              </w:rPr>
              <w:t xml:space="preserve"> </w:t>
            </w:r>
          </w:p>
          <w:p w14:paraId="504FCEDE" w14:textId="0F4DD3AA" w:rsidR="00103CB4" w:rsidRPr="00103CB4" w:rsidRDefault="00103CB4" w:rsidP="00F62734">
            <w:pPr>
              <w:spacing w:after="0"/>
              <w:ind w:left="1"/>
              <w:jc w:val="left"/>
              <w:rPr>
                <w:rFonts w:asciiTheme="minorHAnsi" w:hAnsiTheme="minorHAnsi" w:cstheme="minorHAnsi"/>
                <w:b/>
                <w:bCs/>
                <w:sz w:val="20"/>
              </w:rPr>
            </w:pPr>
            <w:r w:rsidRPr="00103CB4">
              <w:rPr>
                <w:rFonts w:asciiTheme="minorHAnsi" w:hAnsiTheme="minorHAnsi" w:cstheme="minorHAnsi"/>
                <w:b/>
                <w:bCs/>
                <w:sz w:val="20"/>
              </w:rPr>
              <w:t>Polska Agencja Rozwoju</w:t>
            </w:r>
            <w:r w:rsidR="00D446B1">
              <w:rPr>
                <w:rFonts w:asciiTheme="minorHAnsi" w:hAnsiTheme="minorHAnsi" w:cstheme="minorHAnsi"/>
                <w:b/>
                <w:bCs/>
                <w:sz w:val="20"/>
              </w:rPr>
              <w:t xml:space="preserve"> </w:t>
            </w:r>
            <w:r w:rsidRPr="00103CB4">
              <w:rPr>
                <w:rFonts w:asciiTheme="minorHAnsi" w:hAnsiTheme="minorHAnsi" w:cstheme="minorHAnsi"/>
                <w:b/>
                <w:bCs/>
                <w:sz w:val="20"/>
              </w:rPr>
              <w:t>Przedsiębiorczości</w:t>
            </w:r>
          </w:p>
          <w:p w14:paraId="20BFFC82" w14:textId="09A57A27" w:rsidR="00103CB4" w:rsidRPr="00103CB4" w:rsidRDefault="00D446B1" w:rsidP="00F62734">
            <w:pPr>
              <w:spacing w:after="0"/>
              <w:ind w:left="143" w:hanging="142"/>
              <w:jc w:val="left"/>
              <w:rPr>
                <w:rFonts w:asciiTheme="minorHAnsi" w:hAnsiTheme="minorHAnsi" w:cstheme="minorHAnsi"/>
                <w:b/>
                <w:bCs/>
                <w:sz w:val="20"/>
              </w:rPr>
            </w:pPr>
            <w:hyperlink r:id="rId75" w:history="1">
              <w:r w:rsidRPr="00140B69">
                <w:rPr>
                  <w:rStyle w:val="Hipercze"/>
                  <w:rFonts w:asciiTheme="minorHAnsi" w:hAnsiTheme="minorHAnsi" w:cstheme="minorHAnsi"/>
                  <w:b/>
                  <w:bCs/>
                  <w:sz w:val="20"/>
                </w:rPr>
                <w:t>https://www.parp.gov.pl/component/grants/grants/innovoucher</w:t>
              </w:r>
            </w:hyperlink>
            <w:r>
              <w:rPr>
                <w:rFonts w:asciiTheme="minorHAnsi" w:hAnsiTheme="minorHAnsi" w:cstheme="minorHAnsi"/>
                <w:b/>
                <w:bCs/>
                <w:sz w:val="20"/>
              </w:rPr>
              <w:t xml:space="preserve"> </w:t>
            </w:r>
            <w:r w:rsidR="00103CB4" w:rsidRPr="00103CB4">
              <w:rPr>
                <w:rFonts w:asciiTheme="minorHAnsi" w:hAnsiTheme="minorHAnsi" w:cstheme="minorHAnsi"/>
                <w:b/>
                <w:bCs/>
                <w:sz w:val="20"/>
              </w:rPr>
              <w:t xml:space="preserve"> </w:t>
            </w:r>
          </w:p>
          <w:p w14:paraId="0046C340" w14:textId="406D80BE" w:rsidR="00103CB4" w:rsidRPr="00103CB4" w:rsidRDefault="00D446B1" w:rsidP="00F62734">
            <w:pPr>
              <w:spacing w:after="0"/>
              <w:ind w:left="143" w:hanging="142"/>
              <w:jc w:val="left"/>
              <w:rPr>
                <w:rFonts w:asciiTheme="minorHAnsi" w:hAnsiTheme="minorHAnsi" w:cstheme="minorHAnsi"/>
                <w:b/>
                <w:bCs/>
                <w:sz w:val="20"/>
              </w:rPr>
            </w:pPr>
            <w:hyperlink r:id="rId76" w:history="1">
              <w:r w:rsidRPr="00140B69">
                <w:rPr>
                  <w:rStyle w:val="Hipercze"/>
                  <w:rFonts w:asciiTheme="minorHAnsi" w:hAnsiTheme="minorHAnsi" w:cstheme="minorHAnsi"/>
                  <w:b/>
                  <w:bCs/>
                  <w:sz w:val="20"/>
                </w:rPr>
                <w:t>https://www.parp.gov.pl/component/grants/grants/wsparcie-na-utworzenie-partnerstwa</w:t>
              </w:r>
            </w:hyperlink>
            <w:r>
              <w:rPr>
                <w:rFonts w:asciiTheme="minorHAnsi" w:hAnsiTheme="minorHAnsi" w:cstheme="minorHAnsi"/>
                <w:b/>
                <w:bCs/>
                <w:sz w:val="20"/>
              </w:rPr>
              <w:t xml:space="preserve"> </w:t>
            </w:r>
            <w:r w:rsidR="00103CB4" w:rsidRPr="00103CB4">
              <w:rPr>
                <w:rFonts w:asciiTheme="minorHAnsi" w:hAnsiTheme="minorHAnsi" w:cstheme="minorHAnsi"/>
                <w:b/>
                <w:bCs/>
                <w:sz w:val="20"/>
              </w:rPr>
              <w:t xml:space="preserve"> </w:t>
            </w:r>
          </w:p>
          <w:p w14:paraId="35BD0E52" w14:textId="361F7583" w:rsidR="00103CB4" w:rsidRPr="00103CB4" w:rsidRDefault="00D446B1" w:rsidP="00F62734">
            <w:pPr>
              <w:spacing w:after="0"/>
              <w:ind w:left="143" w:hanging="142"/>
              <w:jc w:val="left"/>
              <w:rPr>
                <w:rFonts w:asciiTheme="minorHAnsi" w:hAnsiTheme="minorHAnsi" w:cstheme="minorHAnsi"/>
                <w:b/>
                <w:bCs/>
                <w:sz w:val="20"/>
              </w:rPr>
            </w:pPr>
            <w:hyperlink r:id="rId77" w:history="1">
              <w:r w:rsidRPr="00140B69">
                <w:rPr>
                  <w:rStyle w:val="Hipercze"/>
                  <w:rFonts w:asciiTheme="minorHAnsi" w:hAnsiTheme="minorHAnsi" w:cstheme="minorHAnsi"/>
                  <w:b/>
                  <w:bCs/>
                  <w:sz w:val="20"/>
                </w:rPr>
                <w:t>https://www.parp.gov.pl/component/grants/grants/startup-booster-poland---oferta-dla-startupow</w:t>
              </w:r>
            </w:hyperlink>
            <w:r>
              <w:rPr>
                <w:rFonts w:asciiTheme="minorHAnsi" w:hAnsiTheme="minorHAnsi" w:cstheme="minorHAnsi"/>
                <w:b/>
                <w:bCs/>
                <w:sz w:val="20"/>
              </w:rPr>
              <w:t xml:space="preserve"> </w:t>
            </w:r>
          </w:p>
          <w:p w14:paraId="63C3469E" w14:textId="77777777" w:rsidR="00103CB4" w:rsidRPr="00103CB4" w:rsidRDefault="00103CB4" w:rsidP="00F62734">
            <w:pPr>
              <w:spacing w:after="0"/>
              <w:jc w:val="left"/>
              <w:rPr>
                <w:rFonts w:asciiTheme="minorHAnsi" w:hAnsiTheme="minorHAnsi" w:cstheme="minorHAnsi"/>
                <w:b/>
                <w:bCs/>
                <w:sz w:val="20"/>
              </w:rPr>
            </w:pPr>
            <w:r w:rsidRPr="00103CB4">
              <w:rPr>
                <w:rFonts w:asciiTheme="minorHAnsi" w:hAnsiTheme="minorHAnsi" w:cstheme="minorHAnsi"/>
                <w:b/>
                <w:bCs/>
                <w:sz w:val="20"/>
              </w:rPr>
              <w:t>Polska Agencja Inwestycji i Handlu</w:t>
            </w:r>
          </w:p>
          <w:p w14:paraId="1CA433FD" w14:textId="40D2F592" w:rsidR="00103CB4" w:rsidRPr="00103CB4" w:rsidRDefault="00D446B1" w:rsidP="00F62734">
            <w:pPr>
              <w:spacing w:after="0"/>
              <w:ind w:left="143" w:hanging="142"/>
              <w:jc w:val="left"/>
              <w:rPr>
                <w:rFonts w:asciiTheme="minorHAnsi" w:hAnsiTheme="minorHAnsi" w:cstheme="minorHAnsi"/>
                <w:b/>
                <w:bCs/>
                <w:sz w:val="20"/>
              </w:rPr>
            </w:pPr>
            <w:hyperlink r:id="rId78" w:history="1">
              <w:r w:rsidRPr="00140B69">
                <w:rPr>
                  <w:rStyle w:val="Hipercze"/>
                  <w:rFonts w:asciiTheme="minorHAnsi" w:hAnsiTheme="minorHAnsi" w:cstheme="minorHAnsi"/>
                  <w:b/>
                  <w:bCs/>
                  <w:sz w:val="20"/>
                </w:rPr>
                <w:t>https://www.paih.gov.pl/pmt</w:t>
              </w:r>
            </w:hyperlink>
            <w:r>
              <w:rPr>
                <w:rFonts w:asciiTheme="minorHAnsi" w:hAnsiTheme="minorHAnsi" w:cstheme="minorHAnsi"/>
                <w:b/>
                <w:bCs/>
                <w:sz w:val="20"/>
              </w:rPr>
              <w:t xml:space="preserve"> </w:t>
            </w:r>
            <w:r w:rsidR="00103CB4" w:rsidRPr="00103CB4">
              <w:rPr>
                <w:rFonts w:asciiTheme="minorHAnsi" w:hAnsiTheme="minorHAnsi" w:cstheme="minorHAnsi"/>
                <w:b/>
                <w:bCs/>
                <w:sz w:val="20"/>
              </w:rPr>
              <w:t xml:space="preserve"> </w:t>
            </w:r>
          </w:p>
          <w:p w14:paraId="626B3C5C" w14:textId="77777777" w:rsidR="00103CB4" w:rsidRPr="00103CB4" w:rsidRDefault="00103CB4" w:rsidP="00F62734">
            <w:pPr>
              <w:spacing w:after="0"/>
              <w:ind w:left="143" w:hanging="142"/>
              <w:jc w:val="left"/>
              <w:rPr>
                <w:rFonts w:asciiTheme="minorHAnsi" w:hAnsiTheme="minorHAnsi" w:cstheme="minorHAnsi"/>
                <w:b/>
                <w:bCs/>
                <w:sz w:val="20"/>
              </w:rPr>
            </w:pPr>
            <w:r w:rsidRPr="00103CB4">
              <w:rPr>
                <w:rFonts w:asciiTheme="minorHAnsi" w:hAnsiTheme="minorHAnsi" w:cstheme="minorHAnsi"/>
                <w:b/>
                <w:bCs/>
                <w:sz w:val="20"/>
              </w:rPr>
              <w:t>Ministerstwo Edukacji i Nauki</w:t>
            </w:r>
          </w:p>
          <w:p w14:paraId="22B2929E" w14:textId="1E72D17D" w:rsidR="00103CB4" w:rsidRPr="00103CB4" w:rsidRDefault="00D446B1" w:rsidP="00F62734">
            <w:pPr>
              <w:spacing w:after="0"/>
              <w:ind w:left="143" w:hanging="142"/>
              <w:jc w:val="left"/>
              <w:rPr>
                <w:rFonts w:asciiTheme="minorHAnsi" w:hAnsiTheme="minorHAnsi" w:cstheme="minorHAnsi"/>
                <w:b/>
                <w:bCs/>
                <w:sz w:val="20"/>
              </w:rPr>
            </w:pPr>
            <w:hyperlink r:id="rId79" w:history="1">
              <w:r w:rsidRPr="00140B69">
                <w:rPr>
                  <w:rStyle w:val="Hipercze"/>
                  <w:rFonts w:asciiTheme="minorHAnsi" w:hAnsiTheme="minorHAnsi" w:cstheme="minorHAnsi"/>
                  <w:b/>
                  <w:bCs/>
                  <w:sz w:val="20"/>
                </w:rPr>
                <w:t>https://www.gov.pl/web/nauka/granty-na-granty-promocja-jakosci-iii</w:t>
              </w:r>
            </w:hyperlink>
            <w:r>
              <w:rPr>
                <w:rFonts w:asciiTheme="minorHAnsi" w:hAnsiTheme="minorHAnsi" w:cstheme="minorHAnsi"/>
                <w:b/>
                <w:bCs/>
                <w:sz w:val="20"/>
              </w:rPr>
              <w:t xml:space="preserve"> </w:t>
            </w:r>
            <w:r w:rsidR="00103CB4" w:rsidRPr="00103CB4">
              <w:rPr>
                <w:rFonts w:asciiTheme="minorHAnsi" w:hAnsiTheme="minorHAnsi" w:cstheme="minorHAnsi"/>
                <w:b/>
                <w:bCs/>
                <w:sz w:val="20"/>
              </w:rPr>
              <w:t xml:space="preserve"> </w:t>
            </w:r>
          </w:p>
          <w:p w14:paraId="37AF8A6B" w14:textId="77777777" w:rsidR="00103CB4" w:rsidRPr="00103CB4" w:rsidRDefault="00103CB4" w:rsidP="00F62734">
            <w:pPr>
              <w:spacing w:after="0"/>
              <w:ind w:left="143" w:hanging="142"/>
              <w:jc w:val="left"/>
              <w:rPr>
                <w:rFonts w:asciiTheme="minorHAnsi" w:hAnsiTheme="minorHAnsi" w:cstheme="minorHAnsi"/>
                <w:b/>
                <w:bCs/>
                <w:sz w:val="20"/>
              </w:rPr>
            </w:pPr>
            <w:r w:rsidRPr="00103CB4">
              <w:rPr>
                <w:rFonts w:asciiTheme="minorHAnsi" w:hAnsiTheme="minorHAnsi" w:cstheme="minorHAnsi"/>
                <w:b/>
                <w:bCs/>
                <w:sz w:val="20"/>
              </w:rPr>
              <w:lastRenderedPageBreak/>
              <w:t>Fundacja na rzecz Nauki Polskiej</w:t>
            </w:r>
          </w:p>
          <w:p w14:paraId="7228FAFF" w14:textId="4554D218" w:rsidR="00E8684E" w:rsidRPr="00890249" w:rsidRDefault="00D446B1" w:rsidP="00F62734">
            <w:pPr>
              <w:spacing w:after="0"/>
              <w:jc w:val="left"/>
              <w:rPr>
                <w:rFonts w:asciiTheme="minorHAnsi" w:hAnsiTheme="minorHAnsi" w:cstheme="minorHAnsi"/>
                <w:b/>
                <w:bCs/>
                <w:sz w:val="20"/>
              </w:rPr>
            </w:pPr>
            <w:hyperlink r:id="rId80" w:history="1">
              <w:r w:rsidRPr="00140B69">
                <w:rPr>
                  <w:rStyle w:val="Hipercze"/>
                  <w:rFonts w:asciiTheme="minorHAnsi" w:hAnsiTheme="minorHAnsi" w:cstheme="minorHAnsi"/>
                  <w:b/>
                  <w:bCs/>
                  <w:sz w:val="20"/>
                </w:rPr>
                <w:t>https://www.fnp.org.pl/oferta/miedzynarodowe-agendy-badawcze-mab/</w:t>
              </w:r>
            </w:hyperlink>
            <w:r>
              <w:rPr>
                <w:rFonts w:asciiTheme="minorHAnsi" w:hAnsiTheme="minorHAnsi" w:cstheme="minorHAnsi"/>
                <w:b/>
                <w:bCs/>
                <w:sz w:val="20"/>
              </w:rPr>
              <w:t xml:space="preserve"> </w:t>
            </w:r>
          </w:p>
        </w:tc>
        <w:tc>
          <w:tcPr>
            <w:tcW w:w="2977" w:type="dxa"/>
          </w:tcPr>
          <w:p w14:paraId="2931F8BB" w14:textId="77777777" w:rsidR="00E8684E" w:rsidRPr="00890249" w:rsidRDefault="00E8684E" w:rsidP="00325D70">
            <w:pPr>
              <w:jc w:val="left"/>
              <w:rPr>
                <w:rFonts w:asciiTheme="minorHAnsi" w:hAnsiTheme="minorHAnsi" w:cstheme="minorHAnsi"/>
                <w:b/>
                <w:bCs/>
                <w:sz w:val="20"/>
              </w:rPr>
            </w:pPr>
            <w:r w:rsidRPr="00890249">
              <w:rPr>
                <w:rFonts w:asciiTheme="minorHAnsi" w:hAnsiTheme="minorHAnsi" w:cstheme="minorHAnsi"/>
                <w:b/>
                <w:bCs/>
                <w:sz w:val="20"/>
              </w:rPr>
              <w:lastRenderedPageBreak/>
              <w:t>Kryterium 1. Spełnione poprzez:</w:t>
            </w:r>
          </w:p>
          <w:p w14:paraId="266B9913" w14:textId="77777777" w:rsidR="00447B24" w:rsidRPr="00447B24" w:rsidRDefault="00447B24" w:rsidP="00447B24">
            <w:pPr>
              <w:spacing w:before="0" w:after="0" w:line="276" w:lineRule="auto"/>
              <w:jc w:val="left"/>
              <w:rPr>
                <w:rFonts w:asciiTheme="minorHAnsi" w:hAnsiTheme="minorHAnsi" w:cstheme="minorHAnsi"/>
                <w:bCs/>
                <w:sz w:val="20"/>
              </w:rPr>
            </w:pPr>
            <w:r w:rsidRPr="00447B24">
              <w:rPr>
                <w:rFonts w:asciiTheme="minorHAnsi" w:hAnsiTheme="minorHAnsi" w:cstheme="minorHAnsi"/>
                <w:bCs/>
                <w:sz w:val="20"/>
              </w:rPr>
              <w:t>1. Wyzwania w zakresie rozwoju innowacyjności zidentyfikowano w Strategii na rzecz Odpowiedzialnego Rozwoju oraz Strategii Produktywności (w ramach opisu celu dotyczącego trwałego wzrostu gospodarczego opartego coraz silniej o wiedzę, dane i doskonałość organizacyjną), a także w Strategii Produktywności 2030.</w:t>
            </w:r>
          </w:p>
          <w:p w14:paraId="08DC4054" w14:textId="77777777" w:rsidR="00447B24" w:rsidRPr="00447B24" w:rsidRDefault="00447B24" w:rsidP="00447B24">
            <w:pPr>
              <w:spacing w:before="0" w:after="0" w:line="276" w:lineRule="auto"/>
              <w:jc w:val="left"/>
              <w:rPr>
                <w:rFonts w:asciiTheme="minorHAnsi" w:hAnsiTheme="minorHAnsi" w:cstheme="minorHAnsi"/>
                <w:bCs/>
                <w:sz w:val="20"/>
              </w:rPr>
            </w:pPr>
            <w:r w:rsidRPr="00447B24">
              <w:rPr>
                <w:rFonts w:asciiTheme="minorHAnsi" w:hAnsiTheme="minorHAnsi" w:cstheme="minorHAnsi"/>
                <w:bCs/>
                <w:sz w:val="20"/>
              </w:rPr>
              <w:lastRenderedPageBreak/>
              <w:t xml:space="preserve">2. Bieżąca identyfikacja i analiza barier odbywa się w ramach posiedzeń Rady ds. Innowacyjności </w:t>
            </w:r>
          </w:p>
          <w:p w14:paraId="049C8281" w14:textId="77777777" w:rsidR="00447B24" w:rsidRPr="00447B24" w:rsidRDefault="00447B24" w:rsidP="00447B24">
            <w:pPr>
              <w:spacing w:before="0" w:after="0" w:line="276" w:lineRule="auto"/>
              <w:jc w:val="left"/>
              <w:rPr>
                <w:rFonts w:asciiTheme="minorHAnsi" w:hAnsiTheme="minorHAnsi" w:cstheme="minorHAnsi"/>
                <w:bCs/>
                <w:sz w:val="20"/>
              </w:rPr>
            </w:pPr>
            <w:r w:rsidRPr="00447B24">
              <w:rPr>
                <w:rFonts w:asciiTheme="minorHAnsi" w:hAnsiTheme="minorHAnsi" w:cstheme="minorHAnsi"/>
                <w:bCs/>
                <w:sz w:val="20"/>
              </w:rPr>
              <w:t xml:space="preserve">3. Analizy specjalistyczne w zakresie barier oraz potrzeb rozwojowych różnych podmiotów uczestniczących w procesie przedsiębiorczego odkrywania oraz w transferze i dyfuzji innowacji (np. resortów i agencji wykonawczych, Grup Roboczych ds. Krajowych Inteligentnych Specjalizacji, ośrodków innowacji, DIH) oraz analizy barier dotyczące poszczególnych zagadnień tematycznych jak np. dot. transformacji cyfrowej </w:t>
            </w:r>
          </w:p>
          <w:p w14:paraId="5E6325C9" w14:textId="24A8CA88" w:rsidR="00447B24" w:rsidRDefault="00447B24" w:rsidP="00325D70">
            <w:pPr>
              <w:spacing w:before="0" w:after="0" w:line="276" w:lineRule="auto"/>
              <w:jc w:val="left"/>
              <w:rPr>
                <w:rFonts w:asciiTheme="minorHAnsi" w:hAnsiTheme="minorHAnsi" w:cstheme="minorHAnsi"/>
                <w:bCs/>
                <w:sz w:val="20"/>
              </w:rPr>
            </w:pPr>
            <w:r w:rsidRPr="00447B24">
              <w:rPr>
                <w:rFonts w:asciiTheme="minorHAnsi" w:hAnsiTheme="minorHAnsi" w:cstheme="minorHAnsi"/>
                <w:bCs/>
                <w:sz w:val="20"/>
              </w:rPr>
              <w:t xml:space="preserve">4. Analiza barier przeprowadzana na poziomie regionalnym  w celu uwzględnienia rozwiązań w działaniach podejmowanych na poziomie krajowym m.in. we współpracy z </w:t>
            </w:r>
            <w:r w:rsidR="00AD38EF" w:rsidRPr="00447B24">
              <w:rPr>
                <w:rFonts w:asciiTheme="minorHAnsi" w:hAnsiTheme="minorHAnsi" w:cstheme="minorHAnsi"/>
                <w:bCs/>
                <w:sz w:val="20"/>
              </w:rPr>
              <w:t>Urzędami</w:t>
            </w:r>
            <w:r w:rsidRPr="00447B24">
              <w:rPr>
                <w:rFonts w:asciiTheme="minorHAnsi" w:hAnsiTheme="minorHAnsi" w:cstheme="minorHAnsi"/>
                <w:bCs/>
                <w:sz w:val="20"/>
              </w:rPr>
              <w:t xml:space="preserve"> Marszałkowskimi</w:t>
            </w:r>
          </w:p>
          <w:p w14:paraId="532D045B" w14:textId="24ADAF5F" w:rsidR="00712AA1" w:rsidRPr="00890249" w:rsidRDefault="00712AA1" w:rsidP="00325D70">
            <w:pPr>
              <w:spacing w:line="276" w:lineRule="auto"/>
              <w:jc w:val="left"/>
              <w:rPr>
                <w:rFonts w:asciiTheme="minorHAnsi" w:hAnsiTheme="minorHAnsi" w:cstheme="minorHAnsi"/>
                <w:bCs/>
                <w:sz w:val="20"/>
              </w:rPr>
            </w:pPr>
          </w:p>
        </w:tc>
      </w:tr>
      <w:tr w:rsidR="00E8684E" w:rsidRPr="00890249" w14:paraId="284EA790" w14:textId="77777777" w:rsidTr="00F62734">
        <w:tc>
          <w:tcPr>
            <w:tcW w:w="1560" w:type="dxa"/>
            <w:vMerge/>
          </w:tcPr>
          <w:p w14:paraId="66F8AAF1" w14:textId="77777777" w:rsidR="00E8684E" w:rsidRPr="00890249" w:rsidRDefault="00E8684E" w:rsidP="00E8684E">
            <w:pPr>
              <w:jc w:val="left"/>
              <w:rPr>
                <w:rFonts w:asciiTheme="minorHAnsi" w:hAnsiTheme="minorHAnsi" w:cstheme="minorHAnsi"/>
                <w:sz w:val="20"/>
              </w:rPr>
            </w:pPr>
          </w:p>
        </w:tc>
        <w:tc>
          <w:tcPr>
            <w:tcW w:w="709" w:type="dxa"/>
            <w:vMerge/>
          </w:tcPr>
          <w:p w14:paraId="6CC2D470" w14:textId="77777777" w:rsidR="00E8684E" w:rsidRPr="00890249" w:rsidRDefault="00E8684E" w:rsidP="00E8684E">
            <w:pPr>
              <w:jc w:val="left"/>
              <w:rPr>
                <w:rFonts w:asciiTheme="minorHAnsi" w:hAnsiTheme="minorHAnsi" w:cstheme="minorHAnsi"/>
                <w:sz w:val="20"/>
              </w:rPr>
            </w:pPr>
          </w:p>
        </w:tc>
        <w:tc>
          <w:tcPr>
            <w:tcW w:w="1843" w:type="dxa"/>
            <w:vMerge/>
          </w:tcPr>
          <w:p w14:paraId="095CBFC8" w14:textId="77777777" w:rsidR="00E8684E" w:rsidRPr="00890249" w:rsidRDefault="00E8684E" w:rsidP="00E8684E">
            <w:pPr>
              <w:jc w:val="left"/>
              <w:rPr>
                <w:rFonts w:asciiTheme="minorHAnsi" w:hAnsiTheme="minorHAnsi" w:cstheme="minorHAnsi"/>
                <w:sz w:val="20"/>
              </w:rPr>
            </w:pPr>
          </w:p>
        </w:tc>
        <w:tc>
          <w:tcPr>
            <w:tcW w:w="1559" w:type="dxa"/>
            <w:vMerge/>
          </w:tcPr>
          <w:p w14:paraId="46360F22"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22EF5D07"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2</w:t>
            </w:r>
          </w:p>
          <w:p w14:paraId="53D08891"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Istnienie właściwej regionalnej lub krajowej instytucji lub podmiotu odpowiedzialnego za zarządzanie strategią inteligentnej specjalizacji.</w:t>
            </w:r>
          </w:p>
        </w:tc>
        <w:tc>
          <w:tcPr>
            <w:tcW w:w="1134" w:type="dxa"/>
            <w:vMerge/>
          </w:tcPr>
          <w:p w14:paraId="02141745" w14:textId="77777777" w:rsidR="00E8684E" w:rsidRPr="00890249" w:rsidRDefault="00E8684E" w:rsidP="00E8684E">
            <w:pPr>
              <w:jc w:val="left"/>
              <w:rPr>
                <w:rFonts w:asciiTheme="minorHAnsi" w:hAnsiTheme="minorHAnsi" w:cstheme="minorHAnsi"/>
                <w:noProof/>
                <w:sz w:val="20"/>
              </w:rPr>
            </w:pPr>
          </w:p>
        </w:tc>
        <w:tc>
          <w:tcPr>
            <w:tcW w:w="3402" w:type="dxa"/>
            <w:vMerge/>
          </w:tcPr>
          <w:p w14:paraId="57CD5774" w14:textId="77777777" w:rsidR="00E8684E" w:rsidRPr="00890249" w:rsidRDefault="00E8684E" w:rsidP="00E8684E">
            <w:pPr>
              <w:jc w:val="left"/>
              <w:rPr>
                <w:rFonts w:asciiTheme="minorHAnsi" w:hAnsiTheme="minorHAnsi" w:cstheme="minorHAnsi"/>
                <w:noProof/>
                <w:sz w:val="20"/>
              </w:rPr>
            </w:pPr>
          </w:p>
        </w:tc>
        <w:tc>
          <w:tcPr>
            <w:tcW w:w="2977" w:type="dxa"/>
          </w:tcPr>
          <w:p w14:paraId="7BA0EF7B" w14:textId="77777777" w:rsidR="00E8684E" w:rsidRPr="00890249" w:rsidRDefault="00E8684E" w:rsidP="00325D70">
            <w:pPr>
              <w:jc w:val="left"/>
              <w:rPr>
                <w:rFonts w:asciiTheme="minorHAnsi" w:hAnsiTheme="minorHAnsi" w:cstheme="minorHAnsi"/>
                <w:b/>
                <w:bCs/>
                <w:sz w:val="20"/>
              </w:rPr>
            </w:pPr>
            <w:r w:rsidRPr="00890249">
              <w:rPr>
                <w:rFonts w:asciiTheme="minorHAnsi" w:hAnsiTheme="minorHAnsi" w:cstheme="minorHAnsi"/>
                <w:b/>
                <w:bCs/>
                <w:sz w:val="20"/>
              </w:rPr>
              <w:t xml:space="preserve">Kryterium 2. Spełnione poprzez: </w:t>
            </w:r>
          </w:p>
          <w:p w14:paraId="70F43EFF" w14:textId="5A9A2F06" w:rsidR="00B9084C" w:rsidRPr="00F62734" w:rsidRDefault="00B9084C" w:rsidP="00F62734">
            <w:pPr>
              <w:pStyle w:val="Akapitzlist"/>
              <w:numPr>
                <w:ilvl w:val="0"/>
                <w:numId w:val="173"/>
              </w:numPr>
              <w:spacing w:before="100"/>
              <w:ind w:left="289"/>
              <w:rPr>
                <w:rFonts w:asciiTheme="minorHAnsi" w:eastAsia="Times New Roman" w:hAnsiTheme="minorHAnsi" w:cstheme="minorHAnsi"/>
                <w:noProof/>
                <w:color w:val="000000"/>
                <w:sz w:val="20"/>
                <w:szCs w:val="24"/>
              </w:rPr>
            </w:pPr>
            <w:r w:rsidRPr="00F62734">
              <w:rPr>
                <w:rFonts w:asciiTheme="minorHAnsi" w:eastAsia="Times New Roman" w:hAnsiTheme="minorHAnsi" w:cstheme="minorHAnsi"/>
                <w:noProof/>
                <w:color w:val="000000"/>
                <w:sz w:val="20"/>
                <w:szCs w:val="24"/>
              </w:rPr>
              <w:t xml:space="preserve">Minister wł. ds. gospodarki posiada kompetencje w zakresie zadań dot. inteligentnej specjalizacji-tworzenie koncepcji, wdrażanie, proces przedsiębiorczego odkrywania, monitorowanie, ewaluacja. </w:t>
            </w:r>
          </w:p>
          <w:p w14:paraId="6521B4E5" w14:textId="45E0E8A2" w:rsidR="00B9084C" w:rsidRPr="00F62734" w:rsidRDefault="00B9084C" w:rsidP="00F62734">
            <w:pPr>
              <w:pStyle w:val="Akapitzlist"/>
              <w:numPr>
                <w:ilvl w:val="0"/>
                <w:numId w:val="173"/>
              </w:numPr>
              <w:spacing w:before="100" w:after="0"/>
              <w:ind w:left="289"/>
              <w:rPr>
                <w:rFonts w:asciiTheme="minorHAnsi" w:eastAsia="Times New Roman" w:hAnsiTheme="minorHAnsi" w:cstheme="minorHAnsi"/>
                <w:noProof/>
                <w:color w:val="000000"/>
                <w:sz w:val="20"/>
                <w:szCs w:val="24"/>
              </w:rPr>
            </w:pPr>
            <w:r w:rsidRPr="00F62734">
              <w:rPr>
                <w:rFonts w:asciiTheme="minorHAnsi" w:eastAsia="Times New Roman" w:hAnsiTheme="minorHAnsi" w:cstheme="minorHAnsi"/>
                <w:noProof/>
                <w:color w:val="000000"/>
                <w:sz w:val="20"/>
                <w:szCs w:val="24"/>
              </w:rPr>
              <w:t>Minister wł. ds. gospodarki koordynuje i monitoruje krajowe i regionalne inteligentne specjalizacji oraz inicjuje współpracę zagraniczną w tym zakresie.</w:t>
            </w:r>
          </w:p>
          <w:p w14:paraId="5925A38F" w14:textId="3FA17936" w:rsidR="00B9084C" w:rsidRPr="00F62734" w:rsidRDefault="00B9084C" w:rsidP="00F62734">
            <w:pPr>
              <w:pStyle w:val="Akapitzlist"/>
              <w:numPr>
                <w:ilvl w:val="0"/>
                <w:numId w:val="173"/>
              </w:numPr>
              <w:spacing w:before="100" w:after="0"/>
              <w:ind w:left="289"/>
              <w:rPr>
                <w:rFonts w:asciiTheme="minorHAnsi" w:eastAsia="Times New Roman" w:hAnsiTheme="minorHAnsi" w:cstheme="minorHAnsi"/>
                <w:noProof/>
                <w:color w:val="000000"/>
                <w:sz w:val="20"/>
                <w:szCs w:val="24"/>
              </w:rPr>
            </w:pPr>
            <w:r w:rsidRPr="00F62734">
              <w:rPr>
                <w:rFonts w:asciiTheme="minorHAnsi" w:eastAsia="Times New Roman" w:hAnsiTheme="minorHAnsi" w:cstheme="minorHAnsi"/>
                <w:noProof/>
                <w:color w:val="000000"/>
                <w:sz w:val="20"/>
                <w:szCs w:val="24"/>
              </w:rPr>
              <w:t xml:space="preserve">Prowadzenie przez Ministra wł. ds. gospodarki polityki innowacyjnej, technologicznej i przemysłowej, m.in. koordynacja prac Rady ds. Innowacyjności ( program Start In Poland, koordynacja Rady Centrum Łukasiewicz, aprobata sprawozdań, planów działalności strategii, kieruków dzialalności Sieci Badawczej Łukasiewicz, ulga na B+R, ulga IP Box, ulga na prototyp i na robotyzację, Akademia Menadżera Innowacji, </w:t>
            </w:r>
            <w:r w:rsidRPr="00F62734">
              <w:rPr>
                <w:rFonts w:asciiTheme="minorHAnsi" w:eastAsia="Times New Roman" w:hAnsiTheme="minorHAnsi" w:cstheme="minorHAnsi"/>
                <w:noProof/>
                <w:color w:val="000000"/>
                <w:sz w:val="20"/>
                <w:szCs w:val="24"/>
              </w:rPr>
              <w:lastRenderedPageBreak/>
              <w:t>Reforma nauki, doktoraty wdrożeniowe, testy i pilotaże instrumentów w projekcie InnoLAB, Mapa GOZ), wskazywanie kluczowych technologii dla rozwoju społeczno-gospodarczego kraju oraz tworzenie technologicznych map drogowych i planów rozwoju technologii.</w:t>
            </w:r>
          </w:p>
          <w:p w14:paraId="201078D0" w14:textId="63D4E38F" w:rsidR="00B9084C" w:rsidRPr="00F62734" w:rsidRDefault="00B9084C" w:rsidP="00F62734">
            <w:pPr>
              <w:pStyle w:val="Akapitzlist"/>
              <w:numPr>
                <w:ilvl w:val="0"/>
                <w:numId w:val="173"/>
              </w:numPr>
              <w:spacing w:after="0"/>
              <w:ind w:left="289"/>
              <w:rPr>
                <w:rFonts w:asciiTheme="minorHAnsi" w:hAnsiTheme="minorHAnsi" w:cstheme="minorHAnsi"/>
                <w:b/>
                <w:bCs/>
                <w:sz w:val="20"/>
              </w:rPr>
            </w:pPr>
            <w:r w:rsidRPr="00F62734">
              <w:rPr>
                <w:rFonts w:asciiTheme="minorHAnsi" w:eastAsia="Times New Roman" w:hAnsiTheme="minorHAnsi" w:cstheme="minorHAnsi"/>
                <w:noProof/>
                <w:color w:val="000000"/>
                <w:sz w:val="20"/>
                <w:szCs w:val="24"/>
              </w:rPr>
              <w:t xml:space="preserve">Wskazanie przez RM.Ministra wł. ds. gospodarki do koordynowania KIS w dokumencie Krajowa Inteligentna Specjalizacja. </w:t>
            </w:r>
          </w:p>
          <w:p w14:paraId="68103991" w14:textId="0F624368" w:rsidR="00AD520B" w:rsidRPr="00890249" w:rsidRDefault="00AD520B" w:rsidP="009F296A">
            <w:pPr>
              <w:numPr>
                <w:ilvl w:val="0"/>
                <w:numId w:val="93"/>
              </w:numPr>
              <w:spacing w:before="0" w:after="0" w:line="276" w:lineRule="auto"/>
              <w:ind w:left="263" w:hanging="142"/>
              <w:jc w:val="left"/>
              <w:rPr>
                <w:rFonts w:asciiTheme="minorHAnsi" w:hAnsiTheme="minorHAnsi" w:cstheme="minorHAnsi"/>
                <w:bCs/>
                <w:sz w:val="20"/>
              </w:rPr>
            </w:pPr>
          </w:p>
          <w:p w14:paraId="4BE19645" w14:textId="4D16756B" w:rsidR="00B72154" w:rsidRPr="00890249" w:rsidRDefault="00B72154" w:rsidP="00F62734">
            <w:pPr>
              <w:numPr>
                <w:ilvl w:val="0"/>
                <w:numId w:val="93"/>
              </w:numPr>
              <w:spacing w:before="0" w:after="0" w:line="276" w:lineRule="auto"/>
              <w:ind w:left="263" w:hanging="142"/>
              <w:jc w:val="left"/>
              <w:rPr>
                <w:rFonts w:asciiTheme="minorHAnsi" w:hAnsiTheme="minorHAnsi" w:cstheme="minorHAnsi"/>
              </w:rPr>
            </w:pPr>
          </w:p>
        </w:tc>
      </w:tr>
      <w:tr w:rsidR="00E8684E" w:rsidRPr="00890249" w14:paraId="3CD51086" w14:textId="77777777" w:rsidTr="00F62734">
        <w:tc>
          <w:tcPr>
            <w:tcW w:w="1560" w:type="dxa"/>
            <w:vMerge/>
          </w:tcPr>
          <w:p w14:paraId="6C7F18A0" w14:textId="77777777" w:rsidR="00E8684E" w:rsidRPr="00890249" w:rsidRDefault="00E8684E" w:rsidP="00E8684E">
            <w:pPr>
              <w:jc w:val="left"/>
              <w:rPr>
                <w:rFonts w:asciiTheme="minorHAnsi" w:hAnsiTheme="minorHAnsi" w:cstheme="minorHAnsi"/>
                <w:sz w:val="20"/>
              </w:rPr>
            </w:pPr>
          </w:p>
        </w:tc>
        <w:tc>
          <w:tcPr>
            <w:tcW w:w="709" w:type="dxa"/>
            <w:vMerge/>
          </w:tcPr>
          <w:p w14:paraId="62E09FBE" w14:textId="77777777" w:rsidR="00E8684E" w:rsidRPr="00890249" w:rsidRDefault="00E8684E" w:rsidP="00E8684E">
            <w:pPr>
              <w:jc w:val="left"/>
              <w:rPr>
                <w:rFonts w:asciiTheme="minorHAnsi" w:hAnsiTheme="minorHAnsi" w:cstheme="minorHAnsi"/>
                <w:sz w:val="20"/>
              </w:rPr>
            </w:pPr>
          </w:p>
        </w:tc>
        <w:tc>
          <w:tcPr>
            <w:tcW w:w="1843" w:type="dxa"/>
            <w:vMerge/>
          </w:tcPr>
          <w:p w14:paraId="5E5D3255" w14:textId="77777777" w:rsidR="00E8684E" w:rsidRPr="00890249" w:rsidRDefault="00E8684E" w:rsidP="00E8684E">
            <w:pPr>
              <w:jc w:val="left"/>
              <w:rPr>
                <w:rFonts w:asciiTheme="minorHAnsi" w:hAnsiTheme="minorHAnsi" w:cstheme="minorHAnsi"/>
                <w:sz w:val="20"/>
              </w:rPr>
            </w:pPr>
          </w:p>
        </w:tc>
        <w:tc>
          <w:tcPr>
            <w:tcW w:w="1559" w:type="dxa"/>
            <w:vMerge/>
          </w:tcPr>
          <w:p w14:paraId="3860DFD0"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77770ED8"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3</w:t>
            </w:r>
          </w:p>
          <w:p w14:paraId="2D815DF8"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Narzędzia monitorowania i ewaluacji w celu pomiaru realizacji celów strategii.</w:t>
            </w:r>
          </w:p>
        </w:tc>
        <w:tc>
          <w:tcPr>
            <w:tcW w:w="1134" w:type="dxa"/>
            <w:vMerge/>
          </w:tcPr>
          <w:p w14:paraId="56FEC357" w14:textId="77777777" w:rsidR="00E8684E" w:rsidRPr="00890249" w:rsidRDefault="00E8684E" w:rsidP="00E8684E">
            <w:pPr>
              <w:jc w:val="left"/>
              <w:rPr>
                <w:rFonts w:asciiTheme="minorHAnsi" w:hAnsiTheme="minorHAnsi" w:cstheme="minorHAnsi"/>
                <w:noProof/>
                <w:sz w:val="20"/>
              </w:rPr>
            </w:pPr>
          </w:p>
        </w:tc>
        <w:tc>
          <w:tcPr>
            <w:tcW w:w="3402" w:type="dxa"/>
            <w:vMerge/>
          </w:tcPr>
          <w:p w14:paraId="0698CF0E" w14:textId="77777777" w:rsidR="00E8684E" w:rsidRPr="00890249" w:rsidRDefault="00E8684E" w:rsidP="00E8684E">
            <w:pPr>
              <w:jc w:val="left"/>
              <w:rPr>
                <w:rFonts w:asciiTheme="minorHAnsi" w:hAnsiTheme="minorHAnsi" w:cstheme="minorHAnsi"/>
                <w:noProof/>
                <w:sz w:val="20"/>
              </w:rPr>
            </w:pPr>
          </w:p>
        </w:tc>
        <w:tc>
          <w:tcPr>
            <w:tcW w:w="2977" w:type="dxa"/>
          </w:tcPr>
          <w:p w14:paraId="2F4BF586" w14:textId="77777777" w:rsidR="00AD520B" w:rsidRPr="00890249" w:rsidRDefault="00875C92" w:rsidP="00325D70">
            <w:pPr>
              <w:spacing w:after="0"/>
              <w:ind w:left="213" w:hanging="142"/>
              <w:jc w:val="left"/>
              <w:rPr>
                <w:rFonts w:asciiTheme="minorHAnsi" w:hAnsiTheme="minorHAnsi" w:cstheme="minorHAnsi"/>
                <w:b/>
                <w:bCs/>
                <w:sz w:val="20"/>
              </w:rPr>
            </w:pPr>
            <w:r w:rsidRPr="00890249">
              <w:rPr>
                <w:rFonts w:asciiTheme="minorHAnsi" w:hAnsiTheme="minorHAnsi" w:cstheme="minorHAnsi"/>
                <w:b/>
                <w:bCs/>
                <w:sz w:val="20"/>
              </w:rPr>
              <w:t>Kryterium 3. Spełnione poprzez:</w:t>
            </w:r>
          </w:p>
          <w:p w14:paraId="13042820" w14:textId="19F1D0E5" w:rsidR="009076FD" w:rsidRPr="009076FD" w:rsidRDefault="009076FD" w:rsidP="009076FD">
            <w:pPr>
              <w:spacing w:before="0" w:after="0" w:line="276" w:lineRule="auto"/>
              <w:jc w:val="left"/>
              <w:rPr>
                <w:rFonts w:asciiTheme="minorHAnsi" w:hAnsiTheme="minorHAnsi" w:cstheme="minorHAnsi"/>
                <w:bCs/>
                <w:sz w:val="20"/>
              </w:rPr>
            </w:pPr>
            <w:r w:rsidRPr="009076FD">
              <w:rPr>
                <w:rFonts w:asciiTheme="minorHAnsi" w:hAnsiTheme="minorHAnsi" w:cstheme="minorHAnsi"/>
                <w:bCs/>
                <w:sz w:val="20"/>
              </w:rPr>
              <w:t xml:space="preserve">Stały monitoring inteligentnych specjalizacji w oparciu o dane z realizacji krajowych i regionalnych programów operacyjnych, Horyzont 2020/Europa, w tym z uwzględnieniem listy wskaźników wspólnych i listy wskaźników kluczowych, którego efektem jest informacja zarządcza m.in. o </w:t>
            </w:r>
            <w:r w:rsidRPr="009076FD">
              <w:rPr>
                <w:rFonts w:asciiTheme="minorHAnsi" w:hAnsiTheme="minorHAnsi" w:cstheme="minorHAnsi"/>
                <w:bCs/>
                <w:sz w:val="20"/>
              </w:rPr>
              <w:lastRenderedPageBreak/>
              <w:t>zgłaszanych i pozytywnie ocenionych projektach z poszczególnych KIS, o wskaźniku sukcesu oraz o zainteresowaniu poszczególnymi specjalizacjami.</w:t>
            </w:r>
          </w:p>
          <w:p w14:paraId="21841317" w14:textId="5E37BC6F" w:rsidR="009076FD" w:rsidRPr="009076FD" w:rsidRDefault="009076FD" w:rsidP="009076FD">
            <w:pPr>
              <w:spacing w:before="0" w:after="0" w:line="276" w:lineRule="auto"/>
              <w:jc w:val="left"/>
              <w:rPr>
                <w:rFonts w:asciiTheme="minorHAnsi" w:hAnsiTheme="minorHAnsi" w:cstheme="minorHAnsi"/>
                <w:bCs/>
                <w:sz w:val="20"/>
              </w:rPr>
            </w:pPr>
            <w:r w:rsidRPr="009076FD">
              <w:rPr>
                <w:rFonts w:asciiTheme="minorHAnsi" w:hAnsiTheme="minorHAnsi" w:cstheme="minorHAnsi"/>
                <w:bCs/>
                <w:sz w:val="20"/>
              </w:rPr>
              <w:t xml:space="preserve">Wykorzystanie narzędzia informatycznego Smart Radar agregującego dane dot. inteligentnych specjalizacji </w:t>
            </w:r>
          </w:p>
          <w:p w14:paraId="62DD2D6C" w14:textId="3A05ED17" w:rsidR="009076FD" w:rsidRPr="009076FD" w:rsidRDefault="009076FD" w:rsidP="009076FD">
            <w:pPr>
              <w:spacing w:before="0" w:after="0" w:line="276" w:lineRule="auto"/>
              <w:jc w:val="left"/>
              <w:rPr>
                <w:rFonts w:asciiTheme="minorHAnsi" w:hAnsiTheme="minorHAnsi" w:cstheme="minorHAnsi"/>
                <w:bCs/>
                <w:sz w:val="20"/>
              </w:rPr>
            </w:pPr>
            <w:r w:rsidRPr="009076FD">
              <w:rPr>
                <w:rFonts w:asciiTheme="minorHAnsi" w:hAnsiTheme="minorHAnsi" w:cstheme="minorHAnsi"/>
                <w:bCs/>
                <w:sz w:val="20"/>
              </w:rPr>
              <w:t>Prowadzenie monitoringu realizacji Strategii na rzecz Odpowiedzialnego Rozwoju (wskazujący na stopień osiągania celów S3 jakim jest wzrost innowacyjności) oraz Strategii Produktywności (w zakresie polityki technologicznej).</w:t>
            </w:r>
          </w:p>
          <w:p w14:paraId="5A2480CB" w14:textId="6602A703" w:rsidR="009076FD" w:rsidRPr="009076FD" w:rsidRDefault="009076FD" w:rsidP="009076FD">
            <w:pPr>
              <w:spacing w:before="0" w:after="0" w:line="276" w:lineRule="auto"/>
              <w:jc w:val="left"/>
              <w:rPr>
                <w:rFonts w:asciiTheme="minorHAnsi" w:hAnsiTheme="minorHAnsi" w:cstheme="minorHAnsi"/>
                <w:bCs/>
                <w:sz w:val="20"/>
              </w:rPr>
            </w:pPr>
            <w:r w:rsidRPr="009076FD">
              <w:rPr>
                <w:rFonts w:asciiTheme="minorHAnsi" w:hAnsiTheme="minorHAnsi" w:cstheme="minorHAnsi"/>
                <w:bCs/>
                <w:sz w:val="20"/>
              </w:rPr>
              <w:t>Działalność Grup Roboczych ds. KIS, Grupy Konsultacyjnej ds. KIS wywiady z przedsiębiorcami, spotkania grup focusowychB-Labs, S-Labs, ewaluacja projektu Monitoring KIS, ewaluacje i analizy tematyczne wykonywane przez PARP oraz Ministra wł. ds. gospodarki w ramach projektu Monitoring KIS.</w:t>
            </w:r>
          </w:p>
          <w:p w14:paraId="10821CA7" w14:textId="77777777" w:rsidR="009076FD" w:rsidRDefault="009076FD" w:rsidP="00325D70">
            <w:pPr>
              <w:spacing w:before="0" w:after="0" w:line="276" w:lineRule="auto"/>
              <w:jc w:val="left"/>
              <w:rPr>
                <w:rFonts w:asciiTheme="minorHAnsi" w:hAnsiTheme="minorHAnsi" w:cstheme="minorHAnsi"/>
                <w:bCs/>
                <w:sz w:val="20"/>
              </w:rPr>
            </w:pPr>
          </w:p>
          <w:p w14:paraId="22D7689D" w14:textId="077FC728" w:rsidR="00B72154" w:rsidRPr="00890249" w:rsidRDefault="00AD520B" w:rsidP="00325D70">
            <w:pPr>
              <w:spacing w:line="276" w:lineRule="auto"/>
              <w:jc w:val="left"/>
              <w:rPr>
                <w:rFonts w:asciiTheme="minorHAnsi" w:hAnsiTheme="minorHAnsi" w:cstheme="minorHAnsi"/>
                <w:b/>
                <w:bCs/>
                <w:sz w:val="20"/>
              </w:rPr>
            </w:pPr>
            <w:r w:rsidRPr="00890249">
              <w:rPr>
                <w:rFonts w:asciiTheme="minorHAnsi" w:hAnsiTheme="minorHAnsi" w:cstheme="minorHAnsi"/>
                <w:bCs/>
                <w:sz w:val="20"/>
              </w:rPr>
              <w:lastRenderedPageBreak/>
              <w:t xml:space="preserve"> </w:t>
            </w:r>
          </w:p>
        </w:tc>
      </w:tr>
      <w:tr w:rsidR="00E8684E" w:rsidRPr="00890249" w14:paraId="5FA242AC" w14:textId="77777777" w:rsidTr="00F62734">
        <w:tc>
          <w:tcPr>
            <w:tcW w:w="1560" w:type="dxa"/>
            <w:vMerge/>
          </w:tcPr>
          <w:p w14:paraId="54E7B514" w14:textId="77777777" w:rsidR="00E8684E" w:rsidRPr="00890249" w:rsidRDefault="00E8684E" w:rsidP="00E8684E">
            <w:pPr>
              <w:jc w:val="left"/>
              <w:rPr>
                <w:rFonts w:asciiTheme="minorHAnsi" w:hAnsiTheme="minorHAnsi" w:cstheme="minorHAnsi"/>
                <w:sz w:val="20"/>
              </w:rPr>
            </w:pPr>
          </w:p>
        </w:tc>
        <w:tc>
          <w:tcPr>
            <w:tcW w:w="709" w:type="dxa"/>
            <w:vMerge/>
          </w:tcPr>
          <w:p w14:paraId="581A9648" w14:textId="77777777" w:rsidR="00E8684E" w:rsidRPr="00890249" w:rsidRDefault="00E8684E" w:rsidP="00E8684E">
            <w:pPr>
              <w:jc w:val="left"/>
              <w:rPr>
                <w:rFonts w:asciiTheme="minorHAnsi" w:hAnsiTheme="minorHAnsi" w:cstheme="minorHAnsi"/>
                <w:sz w:val="20"/>
              </w:rPr>
            </w:pPr>
          </w:p>
        </w:tc>
        <w:tc>
          <w:tcPr>
            <w:tcW w:w="1843" w:type="dxa"/>
            <w:vMerge/>
          </w:tcPr>
          <w:p w14:paraId="0F043614" w14:textId="77777777" w:rsidR="00E8684E" w:rsidRPr="00890249" w:rsidRDefault="00E8684E" w:rsidP="00E8684E">
            <w:pPr>
              <w:jc w:val="left"/>
              <w:rPr>
                <w:rFonts w:asciiTheme="minorHAnsi" w:hAnsiTheme="minorHAnsi" w:cstheme="minorHAnsi"/>
                <w:sz w:val="20"/>
              </w:rPr>
            </w:pPr>
          </w:p>
        </w:tc>
        <w:tc>
          <w:tcPr>
            <w:tcW w:w="1559" w:type="dxa"/>
            <w:vMerge/>
          </w:tcPr>
          <w:p w14:paraId="2F9B62A7"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77245BC9"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4</w:t>
            </w:r>
          </w:p>
          <w:p w14:paraId="48E213EC"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Funkcjonowanie współpracy z zainteresowanymi stronami („proces przedsiębiorczego odkrywania”).</w:t>
            </w:r>
          </w:p>
        </w:tc>
        <w:tc>
          <w:tcPr>
            <w:tcW w:w="1134" w:type="dxa"/>
            <w:vMerge/>
          </w:tcPr>
          <w:p w14:paraId="24231FC6" w14:textId="77777777" w:rsidR="00E8684E" w:rsidRPr="00890249" w:rsidRDefault="00E8684E" w:rsidP="00E8684E">
            <w:pPr>
              <w:jc w:val="left"/>
              <w:rPr>
                <w:rFonts w:asciiTheme="minorHAnsi" w:hAnsiTheme="minorHAnsi" w:cstheme="minorHAnsi"/>
                <w:noProof/>
                <w:sz w:val="20"/>
              </w:rPr>
            </w:pPr>
          </w:p>
        </w:tc>
        <w:tc>
          <w:tcPr>
            <w:tcW w:w="3402" w:type="dxa"/>
            <w:vMerge/>
          </w:tcPr>
          <w:p w14:paraId="7286BD01" w14:textId="77777777" w:rsidR="00E8684E" w:rsidRPr="00890249" w:rsidRDefault="00E8684E" w:rsidP="00E8684E">
            <w:pPr>
              <w:jc w:val="left"/>
              <w:rPr>
                <w:rFonts w:asciiTheme="minorHAnsi" w:hAnsiTheme="minorHAnsi" w:cstheme="minorHAnsi"/>
                <w:noProof/>
                <w:sz w:val="20"/>
              </w:rPr>
            </w:pPr>
          </w:p>
        </w:tc>
        <w:tc>
          <w:tcPr>
            <w:tcW w:w="2977" w:type="dxa"/>
          </w:tcPr>
          <w:p w14:paraId="360DB38B" w14:textId="77777777" w:rsidR="00AD520B"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Kryterium 4. Spełnione poprzez:</w:t>
            </w:r>
          </w:p>
          <w:p w14:paraId="22A32E2E" w14:textId="1E896A17" w:rsidR="00F54B09" w:rsidRPr="00F54B09" w:rsidRDefault="00F54B09" w:rsidP="00F54B09">
            <w:pPr>
              <w:spacing w:before="0" w:after="0" w:line="276" w:lineRule="auto"/>
              <w:jc w:val="left"/>
              <w:rPr>
                <w:rFonts w:asciiTheme="minorHAnsi" w:hAnsiTheme="minorHAnsi" w:cstheme="minorHAnsi"/>
                <w:bCs/>
                <w:sz w:val="20"/>
              </w:rPr>
            </w:pPr>
            <w:r w:rsidRPr="00F54B09">
              <w:rPr>
                <w:rFonts w:asciiTheme="minorHAnsi" w:hAnsiTheme="minorHAnsi" w:cstheme="minorHAnsi"/>
                <w:bCs/>
                <w:sz w:val="20"/>
              </w:rPr>
              <w:t xml:space="preserve">Zapewnienie ciągłości prac Grup Roboczych ds. KIS z udziałem przedstawicieli przedsiębiorstw, jednostek naukowych, instytucji otoczenia biznesu, administracji publicznej oraz organizacji pozarządowych, skutkujące zmianami na liście i w opisach KIS w związku z analizą trendów rozwojowych, identyfikacją barier w realizacji inwestycji w określonych obszarach B+R, </w:t>
            </w:r>
          </w:p>
          <w:p w14:paraId="692F67F6" w14:textId="1998DF37" w:rsidR="00F54B09" w:rsidRPr="00F54B09" w:rsidRDefault="00F54B09" w:rsidP="00F54B09">
            <w:pPr>
              <w:spacing w:before="0" w:after="0" w:line="276" w:lineRule="auto"/>
              <w:jc w:val="left"/>
              <w:rPr>
                <w:rFonts w:asciiTheme="minorHAnsi" w:hAnsiTheme="minorHAnsi" w:cstheme="minorHAnsi"/>
                <w:bCs/>
                <w:sz w:val="20"/>
              </w:rPr>
            </w:pPr>
            <w:r w:rsidRPr="00F54B09">
              <w:rPr>
                <w:rFonts w:asciiTheme="minorHAnsi" w:hAnsiTheme="minorHAnsi" w:cstheme="minorHAnsi"/>
                <w:bCs/>
                <w:sz w:val="20"/>
              </w:rPr>
              <w:t>Funkcjonowanie Grupy Konsultacyjnej ds. KIS składającej się z przedstawicieli administracji centralnej i samorządowej oraz Prezydiów GR ds. KIS, zajmujących się polityką innowacyjnną i technologiczną oraz inteligentnymi specjalizacjami na poziomie krajowym i regionalnym.</w:t>
            </w:r>
          </w:p>
          <w:p w14:paraId="5AB42C9F" w14:textId="276134BD" w:rsidR="00F54B09" w:rsidRPr="00F54B09" w:rsidRDefault="00F54B09" w:rsidP="00F54B09">
            <w:pPr>
              <w:spacing w:before="0" w:after="0" w:line="276" w:lineRule="auto"/>
              <w:jc w:val="left"/>
              <w:rPr>
                <w:rFonts w:asciiTheme="minorHAnsi" w:hAnsiTheme="minorHAnsi" w:cstheme="minorHAnsi"/>
                <w:bCs/>
                <w:sz w:val="20"/>
              </w:rPr>
            </w:pPr>
            <w:r w:rsidRPr="00F54B09">
              <w:rPr>
                <w:rFonts w:asciiTheme="minorHAnsi" w:hAnsiTheme="minorHAnsi" w:cstheme="minorHAnsi"/>
                <w:bCs/>
                <w:sz w:val="20"/>
              </w:rPr>
              <w:t xml:space="preserve">Ciągła organizacja wywiadów z przedsiębiorcami i spotkań </w:t>
            </w:r>
            <w:r w:rsidRPr="00F54B09">
              <w:rPr>
                <w:rFonts w:asciiTheme="minorHAnsi" w:hAnsiTheme="minorHAnsi" w:cstheme="minorHAnsi"/>
                <w:bCs/>
                <w:sz w:val="20"/>
              </w:rPr>
              <w:lastRenderedPageBreak/>
              <w:t>fokusowych (tzw. B-labs i S-labs) z udziałem przedstawicieli przedsiębiorstw i jednostek naukowych, stanowiących element procesu przedsiębiorczego odkrywania</w:t>
            </w:r>
            <w:r w:rsidR="00587036">
              <w:rPr>
                <w:rFonts w:asciiTheme="minorHAnsi" w:hAnsiTheme="minorHAnsi" w:cstheme="minorHAnsi"/>
                <w:bCs/>
                <w:sz w:val="20"/>
              </w:rPr>
              <w:t>.</w:t>
            </w:r>
            <w:r w:rsidRPr="00F54B09">
              <w:rPr>
                <w:rFonts w:asciiTheme="minorHAnsi" w:hAnsiTheme="minorHAnsi" w:cstheme="minorHAnsi"/>
                <w:bCs/>
                <w:sz w:val="20"/>
              </w:rPr>
              <w:t xml:space="preserve"> </w:t>
            </w:r>
          </w:p>
          <w:p w14:paraId="0AB0E046" w14:textId="31270A97" w:rsidR="00F54B09" w:rsidRDefault="00F54B09" w:rsidP="00F54B09">
            <w:pPr>
              <w:spacing w:before="0" w:after="0" w:line="276" w:lineRule="auto"/>
              <w:jc w:val="left"/>
              <w:rPr>
                <w:rFonts w:asciiTheme="minorHAnsi" w:hAnsiTheme="minorHAnsi" w:cstheme="minorHAnsi"/>
                <w:bCs/>
                <w:sz w:val="20"/>
              </w:rPr>
            </w:pPr>
            <w:r w:rsidRPr="00F54B09">
              <w:rPr>
                <w:rFonts w:asciiTheme="minorHAnsi" w:hAnsiTheme="minorHAnsi" w:cstheme="minorHAnsi"/>
                <w:bCs/>
                <w:sz w:val="20"/>
              </w:rPr>
              <w:t>Planowane uruchomienie dedykowanych konkursów w ramach Ścieżki SMART  w FENG.</w:t>
            </w:r>
          </w:p>
          <w:p w14:paraId="6DE4050A" w14:textId="473A10C1" w:rsidR="00B72154" w:rsidRPr="00890249" w:rsidRDefault="00B72154" w:rsidP="00F62734">
            <w:pPr>
              <w:spacing w:before="0" w:after="0" w:line="276" w:lineRule="auto"/>
              <w:jc w:val="left"/>
              <w:rPr>
                <w:rFonts w:asciiTheme="minorHAnsi" w:hAnsiTheme="minorHAnsi" w:cstheme="minorHAnsi"/>
                <w:b/>
                <w:bCs/>
                <w:sz w:val="20"/>
              </w:rPr>
            </w:pPr>
          </w:p>
        </w:tc>
      </w:tr>
      <w:tr w:rsidR="00E8684E" w:rsidRPr="00890249" w14:paraId="403DE9FB" w14:textId="77777777" w:rsidTr="00F62734">
        <w:tc>
          <w:tcPr>
            <w:tcW w:w="1560" w:type="dxa"/>
            <w:vMerge/>
          </w:tcPr>
          <w:p w14:paraId="6EE4AC01" w14:textId="77777777" w:rsidR="00E8684E" w:rsidRPr="00890249" w:rsidRDefault="00E8684E" w:rsidP="00E8684E">
            <w:pPr>
              <w:jc w:val="left"/>
              <w:rPr>
                <w:rFonts w:asciiTheme="minorHAnsi" w:hAnsiTheme="minorHAnsi" w:cstheme="minorHAnsi"/>
                <w:sz w:val="20"/>
              </w:rPr>
            </w:pPr>
          </w:p>
        </w:tc>
        <w:tc>
          <w:tcPr>
            <w:tcW w:w="709" w:type="dxa"/>
            <w:vMerge/>
          </w:tcPr>
          <w:p w14:paraId="55A7954D" w14:textId="77777777" w:rsidR="00E8684E" w:rsidRPr="00890249" w:rsidRDefault="00E8684E" w:rsidP="00E8684E">
            <w:pPr>
              <w:jc w:val="left"/>
              <w:rPr>
                <w:rFonts w:asciiTheme="minorHAnsi" w:hAnsiTheme="minorHAnsi" w:cstheme="minorHAnsi"/>
                <w:sz w:val="20"/>
              </w:rPr>
            </w:pPr>
          </w:p>
        </w:tc>
        <w:tc>
          <w:tcPr>
            <w:tcW w:w="1843" w:type="dxa"/>
            <w:vMerge/>
          </w:tcPr>
          <w:p w14:paraId="19179D64" w14:textId="77777777" w:rsidR="00E8684E" w:rsidRPr="00890249" w:rsidRDefault="00E8684E" w:rsidP="00E8684E">
            <w:pPr>
              <w:jc w:val="left"/>
              <w:rPr>
                <w:rFonts w:asciiTheme="minorHAnsi" w:hAnsiTheme="minorHAnsi" w:cstheme="minorHAnsi"/>
                <w:sz w:val="20"/>
              </w:rPr>
            </w:pPr>
          </w:p>
        </w:tc>
        <w:tc>
          <w:tcPr>
            <w:tcW w:w="1559" w:type="dxa"/>
            <w:vMerge/>
          </w:tcPr>
          <w:p w14:paraId="39FDC6D1"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57C11053"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5</w:t>
            </w:r>
          </w:p>
          <w:p w14:paraId="249C162C"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Działania mające na celu poprawę krajowych lub regionalnych systemów badań i innowacji, w stosownych przypadkach.</w:t>
            </w:r>
          </w:p>
        </w:tc>
        <w:tc>
          <w:tcPr>
            <w:tcW w:w="1134" w:type="dxa"/>
            <w:vMerge/>
          </w:tcPr>
          <w:p w14:paraId="130B5D8B" w14:textId="77777777" w:rsidR="00E8684E" w:rsidRPr="00890249" w:rsidRDefault="00E8684E" w:rsidP="00E8684E">
            <w:pPr>
              <w:jc w:val="left"/>
              <w:rPr>
                <w:rFonts w:asciiTheme="minorHAnsi" w:hAnsiTheme="minorHAnsi" w:cstheme="minorHAnsi"/>
                <w:noProof/>
                <w:sz w:val="20"/>
              </w:rPr>
            </w:pPr>
          </w:p>
        </w:tc>
        <w:tc>
          <w:tcPr>
            <w:tcW w:w="3402" w:type="dxa"/>
            <w:vMerge/>
          </w:tcPr>
          <w:p w14:paraId="361062E1" w14:textId="77777777" w:rsidR="00E8684E" w:rsidRPr="00890249" w:rsidRDefault="00E8684E" w:rsidP="00E8684E">
            <w:pPr>
              <w:jc w:val="left"/>
              <w:rPr>
                <w:rFonts w:asciiTheme="minorHAnsi" w:hAnsiTheme="minorHAnsi" w:cstheme="minorHAnsi"/>
                <w:noProof/>
                <w:sz w:val="20"/>
              </w:rPr>
            </w:pPr>
          </w:p>
        </w:tc>
        <w:tc>
          <w:tcPr>
            <w:tcW w:w="2977" w:type="dxa"/>
          </w:tcPr>
          <w:p w14:paraId="2DAE3339" w14:textId="77777777" w:rsidR="00796A79"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5. </w:t>
            </w:r>
          </w:p>
          <w:p w14:paraId="0EEFD140" w14:textId="77777777" w:rsidR="00796A7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Spełnione poprzez:</w:t>
            </w:r>
          </w:p>
          <w:p w14:paraId="5A69F55D" w14:textId="5C5DAF1A" w:rsidR="00587036" w:rsidRPr="00F62734" w:rsidRDefault="00587036" w:rsidP="00F62734">
            <w:pPr>
              <w:spacing w:before="100" w:after="0"/>
              <w:ind w:left="13"/>
              <w:jc w:val="left"/>
              <w:rPr>
                <w:rFonts w:asciiTheme="minorHAnsi" w:eastAsia="Times New Roman" w:hAnsiTheme="minorHAnsi" w:cstheme="minorHAnsi"/>
                <w:noProof/>
                <w:color w:val="000000"/>
                <w:sz w:val="20"/>
                <w:szCs w:val="24"/>
              </w:rPr>
            </w:pPr>
            <w:r w:rsidRPr="00F62734">
              <w:rPr>
                <w:rFonts w:asciiTheme="minorHAnsi" w:eastAsia="Times New Roman" w:hAnsiTheme="minorHAnsi" w:cstheme="minorHAnsi"/>
                <w:noProof/>
                <w:color w:val="000000"/>
                <w:sz w:val="20"/>
                <w:szCs w:val="24"/>
              </w:rPr>
              <w:t>Przyjęcie rozwiązań legislacyjnych sprzyjających podejmowaniu i prowadzeniu działalności innowacyjnej, m.in. ustawy o innowacyjności, Konstytucja dla Biznesu, Ulga podatkowa na prace B+R, Prosta spółka akcyjna, Mały ZUS, Ulga podatkowa IP Box, ulga podatkowa na robotyzację, ulga podatkowa na prototyp, ustawa o Fundacji Platformy Przemysłu Przyszłości, zniesienie podwójnego opodatkowania funduszy VC.</w:t>
            </w:r>
          </w:p>
          <w:p w14:paraId="2DF6E59A" w14:textId="2265F4AB" w:rsidR="00587036" w:rsidRPr="00F62734" w:rsidRDefault="00587036" w:rsidP="00F62734">
            <w:pPr>
              <w:spacing w:before="100" w:after="0"/>
              <w:ind w:left="13"/>
              <w:jc w:val="left"/>
              <w:rPr>
                <w:rFonts w:asciiTheme="minorHAnsi" w:eastAsia="Times New Roman" w:hAnsiTheme="minorHAnsi" w:cstheme="minorHAnsi"/>
                <w:noProof/>
                <w:color w:val="000000"/>
                <w:sz w:val="20"/>
                <w:szCs w:val="24"/>
              </w:rPr>
            </w:pPr>
            <w:r w:rsidRPr="00F62734">
              <w:rPr>
                <w:rFonts w:asciiTheme="minorHAnsi" w:eastAsia="Times New Roman" w:hAnsiTheme="minorHAnsi" w:cstheme="minorHAnsi"/>
                <w:noProof/>
                <w:color w:val="000000"/>
                <w:sz w:val="20"/>
                <w:szCs w:val="24"/>
              </w:rPr>
              <w:t xml:space="preserve">Przyjęcie rozwiązań legislacyjnych umożliwiających reformę nauki - mi.in. ustawa Prawo o </w:t>
            </w:r>
            <w:r w:rsidRPr="00F62734">
              <w:rPr>
                <w:rFonts w:asciiTheme="minorHAnsi" w:eastAsia="Times New Roman" w:hAnsiTheme="minorHAnsi" w:cstheme="minorHAnsi"/>
                <w:noProof/>
                <w:color w:val="000000"/>
                <w:sz w:val="20"/>
                <w:szCs w:val="24"/>
              </w:rPr>
              <w:lastRenderedPageBreak/>
              <w:t>szkolnictwie wyższym i nauce, utworzenie Sieci badawczej Łukasiewicz (reforma instytutów badawczych).</w:t>
            </w:r>
          </w:p>
          <w:p w14:paraId="5E96B270" w14:textId="19A19834" w:rsidR="00587036" w:rsidRPr="00F62734" w:rsidRDefault="00587036" w:rsidP="00F62734">
            <w:pPr>
              <w:spacing w:before="100" w:after="0"/>
              <w:ind w:left="13"/>
              <w:jc w:val="left"/>
              <w:rPr>
                <w:rFonts w:asciiTheme="minorHAnsi" w:eastAsia="Times New Roman" w:hAnsiTheme="minorHAnsi" w:cstheme="minorHAnsi"/>
                <w:noProof/>
                <w:color w:val="000000"/>
                <w:sz w:val="20"/>
                <w:szCs w:val="24"/>
                <w:lang w:val="en-US"/>
              </w:rPr>
            </w:pPr>
            <w:r w:rsidRPr="00F62734">
              <w:rPr>
                <w:rFonts w:asciiTheme="minorHAnsi" w:eastAsia="Times New Roman" w:hAnsiTheme="minorHAnsi" w:cstheme="minorHAnsi"/>
                <w:noProof/>
                <w:color w:val="000000"/>
                <w:sz w:val="20"/>
                <w:szCs w:val="24"/>
              </w:rPr>
              <w:t xml:space="preserve">Działania koordynacyjne, zmierzające do zapewnienia synergii polityk na poziomie krajowym i regionalnym w ramach Rady ds. </w:t>
            </w:r>
            <w:r w:rsidRPr="00F62734">
              <w:rPr>
                <w:rFonts w:asciiTheme="minorHAnsi" w:eastAsia="Times New Roman" w:hAnsiTheme="minorHAnsi" w:cstheme="minorHAnsi"/>
                <w:noProof/>
                <w:color w:val="000000"/>
                <w:sz w:val="20"/>
                <w:szCs w:val="24"/>
                <w:lang w:val="en-US"/>
              </w:rPr>
              <w:t>Innowacyjności.</w:t>
            </w:r>
          </w:p>
          <w:p w14:paraId="7E87F138" w14:textId="1DE6CF2A" w:rsidR="00B72154" w:rsidRPr="00890249" w:rsidRDefault="00B72154" w:rsidP="00F62734">
            <w:pPr>
              <w:spacing w:before="0" w:after="0" w:line="276" w:lineRule="auto"/>
              <w:jc w:val="left"/>
              <w:rPr>
                <w:rFonts w:asciiTheme="minorHAnsi" w:hAnsiTheme="minorHAnsi" w:cstheme="minorHAnsi"/>
                <w:bCs/>
                <w:sz w:val="20"/>
              </w:rPr>
            </w:pPr>
          </w:p>
        </w:tc>
      </w:tr>
      <w:tr w:rsidR="00E8684E" w:rsidRPr="00890249" w14:paraId="02EEDB9F" w14:textId="77777777" w:rsidTr="00F62734">
        <w:tc>
          <w:tcPr>
            <w:tcW w:w="1560" w:type="dxa"/>
            <w:vMerge/>
          </w:tcPr>
          <w:p w14:paraId="224606BF" w14:textId="77777777" w:rsidR="00E8684E" w:rsidRPr="00890249" w:rsidRDefault="00E8684E" w:rsidP="00E8684E">
            <w:pPr>
              <w:jc w:val="left"/>
              <w:rPr>
                <w:rFonts w:asciiTheme="minorHAnsi" w:hAnsiTheme="minorHAnsi" w:cstheme="minorHAnsi"/>
                <w:sz w:val="20"/>
              </w:rPr>
            </w:pPr>
          </w:p>
        </w:tc>
        <w:tc>
          <w:tcPr>
            <w:tcW w:w="709" w:type="dxa"/>
            <w:vMerge/>
          </w:tcPr>
          <w:p w14:paraId="737D8894" w14:textId="77777777" w:rsidR="00E8684E" w:rsidRPr="00890249" w:rsidRDefault="00E8684E" w:rsidP="00E8684E">
            <w:pPr>
              <w:jc w:val="left"/>
              <w:rPr>
                <w:rFonts w:asciiTheme="minorHAnsi" w:hAnsiTheme="minorHAnsi" w:cstheme="minorHAnsi"/>
                <w:sz w:val="20"/>
              </w:rPr>
            </w:pPr>
          </w:p>
        </w:tc>
        <w:tc>
          <w:tcPr>
            <w:tcW w:w="1843" w:type="dxa"/>
            <w:vMerge/>
          </w:tcPr>
          <w:p w14:paraId="31ED82A3" w14:textId="77777777" w:rsidR="00E8684E" w:rsidRPr="00890249" w:rsidRDefault="00E8684E" w:rsidP="00E8684E">
            <w:pPr>
              <w:jc w:val="left"/>
              <w:rPr>
                <w:rFonts w:asciiTheme="minorHAnsi" w:hAnsiTheme="minorHAnsi" w:cstheme="minorHAnsi"/>
                <w:sz w:val="20"/>
              </w:rPr>
            </w:pPr>
          </w:p>
        </w:tc>
        <w:tc>
          <w:tcPr>
            <w:tcW w:w="1559" w:type="dxa"/>
            <w:vMerge/>
          </w:tcPr>
          <w:p w14:paraId="7FB97E34"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0A2B8CAD"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6</w:t>
            </w:r>
          </w:p>
          <w:p w14:paraId="43C07F05"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W stosownych przypadkach, działania wspierające transformację przemysłową.</w:t>
            </w:r>
          </w:p>
        </w:tc>
        <w:tc>
          <w:tcPr>
            <w:tcW w:w="1134" w:type="dxa"/>
            <w:vMerge/>
          </w:tcPr>
          <w:p w14:paraId="4AD5C92B" w14:textId="77777777" w:rsidR="00E8684E" w:rsidRPr="00890249" w:rsidRDefault="00E8684E" w:rsidP="00E8684E">
            <w:pPr>
              <w:jc w:val="left"/>
              <w:rPr>
                <w:rFonts w:asciiTheme="minorHAnsi" w:hAnsiTheme="minorHAnsi" w:cstheme="minorHAnsi"/>
                <w:noProof/>
                <w:sz w:val="20"/>
              </w:rPr>
            </w:pPr>
          </w:p>
        </w:tc>
        <w:tc>
          <w:tcPr>
            <w:tcW w:w="3402" w:type="dxa"/>
            <w:vMerge/>
          </w:tcPr>
          <w:p w14:paraId="0693551C" w14:textId="77777777" w:rsidR="00E8684E" w:rsidRPr="00890249" w:rsidRDefault="00E8684E" w:rsidP="00E8684E">
            <w:pPr>
              <w:jc w:val="left"/>
              <w:rPr>
                <w:rFonts w:asciiTheme="minorHAnsi" w:hAnsiTheme="minorHAnsi" w:cstheme="minorHAnsi"/>
                <w:noProof/>
                <w:sz w:val="20"/>
              </w:rPr>
            </w:pPr>
          </w:p>
        </w:tc>
        <w:tc>
          <w:tcPr>
            <w:tcW w:w="2977" w:type="dxa"/>
          </w:tcPr>
          <w:p w14:paraId="5D34C885" w14:textId="77777777" w:rsidR="00796A79"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6. </w:t>
            </w:r>
          </w:p>
          <w:p w14:paraId="4CFD7CBE" w14:textId="77777777" w:rsidR="00796A7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Spełnione poprzez:</w:t>
            </w:r>
          </w:p>
          <w:p w14:paraId="0218B7E1" w14:textId="77777777" w:rsidR="00B7008F" w:rsidRPr="00F62734" w:rsidRDefault="00B7008F" w:rsidP="00B7008F">
            <w:pPr>
              <w:spacing w:after="0"/>
              <w:rPr>
                <w:rFonts w:ascii="Calibri" w:hAnsi="Calibri" w:cs="Calibri"/>
                <w:sz w:val="20"/>
              </w:rPr>
            </w:pPr>
            <w:r w:rsidRPr="00F62734">
              <w:rPr>
                <w:rFonts w:ascii="Calibri" w:hAnsi="Calibri" w:cs="Calibri"/>
                <w:sz w:val="20"/>
              </w:rPr>
              <w:t>Transformację w kierunku:</w:t>
            </w:r>
          </w:p>
          <w:p w14:paraId="0952F162" w14:textId="77777777" w:rsidR="00B7008F" w:rsidRPr="00F62734" w:rsidRDefault="00B7008F" w:rsidP="00B7008F">
            <w:pPr>
              <w:spacing w:after="0"/>
              <w:rPr>
                <w:rFonts w:ascii="Calibri" w:hAnsi="Calibri" w:cs="Calibri"/>
                <w:sz w:val="20"/>
              </w:rPr>
            </w:pPr>
            <w:r w:rsidRPr="00F62734">
              <w:rPr>
                <w:rFonts w:ascii="Calibri" w:hAnsi="Calibri" w:cs="Calibri"/>
                <w:sz w:val="20"/>
              </w:rPr>
              <w:t>1. gospodarki o obiegu zamkniętym: wdrożenie Mapy drogowej GOZ, prace KIS ds. GOZ, działania dot. rozszerzonej odpowiedzialności producenta oraz śladu środowiskowego i ekoprojektowania, gospodarowanie surowcami, GreenTech JST, działania w KPO Inwestycje we wdrażanie technologii środowiskowych, w tym związanych z gospodarką o obiegu zamkniętym, reforma KPO dot. tworzenia ram dla rynku surowców wtórnych, Kredyt ekologiczny.</w:t>
            </w:r>
          </w:p>
          <w:p w14:paraId="4E02EA62" w14:textId="77777777" w:rsidR="00B7008F" w:rsidRPr="00F62734" w:rsidRDefault="00B7008F" w:rsidP="00B7008F">
            <w:pPr>
              <w:spacing w:after="0"/>
              <w:rPr>
                <w:rFonts w:ascii="Calibri" w:hAnsi="Calibri" w:cs="Calibri"/>
                <w:sz w:val="20"/>
              </w:rPr>
            </w:pPr>
            <w:r w:rsidRPr="00F62734">
              <w:rPr>
                <w:rFonts w:ascii="Calibri" w:hAnsi="Calibri" w:cs="Calibri"/>
                <w:sz w:val="20"/>
              </w:rPr>
              <w:lastRenderedPageBreak/>
              <w:t>2. przemysłu 4.0 oraz transformacja cyfrowa: FPPP - standaryzacja i integracja działań szkoleniowo-doradczych, Ulga podatkowa na robotyzację, tworzenie DIH i standaryzacja usług, EDIH), Komitet techniczny ds. sztucznej inteligencji, Polityka dla rozwoju Sztucznej Inteligencji w Polsce do 2020 r., Projekt ustawy o systemach sztucznej inteligencji, Doktorat wdrożeniowy, Projekt AI4Youth, AI Tech, Polityka danych, Program Otwierania Danych (2021–2027), Narodowy Plan Szerokopasmowy.</w:t>
            </w:r>
          </w:p>
          <w:p w14:paraId="644F72DB" w14:textId="74E17AA7" w:rsidR="00B7008F" w:rsidRPr="00F62734" w:rsidRDefault="00B7008F" w:rsidP="00F62734">
            <w:pPr>
              <w:spacing w:after="0"/>
              <w:rPr>
                <w:rFonts w:ascii="Calibri" w:hAnsi="Calibri" w:cs="Calibri"/>
                <w:sz w:val="20"/>
              </w:rPr>
            </w:pPr>
            <w:r w:rsidRPr="00F62734">
              <w:rPr>
                <w:rFonts w:ascii="Calibri" w:hAnsi="Calibri" w:cs="Calibri"/>
                <w:sz w:val="20"/>
              </w:rPr>
              <w:t>3. gospodarki neutralnej klimatycznie: Strategia Transformacji do Gospodarki Neutralnej Klimatycznie, KPEiK 2021-2030, Program Czyste Powietrze i Program Mój Prąd, Plan Rozwoju Elektromobilności.</w:t>
            </w:r>
          </w:p>
          <w:p w14:paraId="1EA033C5" w14:textId="39B16632" w:rsidR="00B72154" w:rsidRPr="00890249" w:rsidRDefault="00B72154" w:rsidP="00325D70">
            <w:pPr>
              <w:spacing w:line="276" w:lineRule="auto"/>
              <w:jc w:val="left"/>
              <w:rPr>
                <w:rFonts w:asciiTheme="minorHAnsi" w:hAnsiTheme="minorHAnsi" w:cstheme="minorHAnsi"/>
                <w:bCs/>
                <w:sz w:val="20"/>
              </w:rPr>
            </w:pPr>
          </w:p>
        </w:tc>
      </w:tr>
      <w:tr w:rsidR="00E8684E" w:rsidRPr="00890249" w14:paraId="7C58D386" w14:textId="77777777" w:rsidTr="00F62734">
        <w:tc>
          <w:tcPr>
            <w:tcW w:w="1560" w:type="dxa"/>
            <w:vMerge/>
          </w:tcPr>
          <w:p w14:paraId="206C0814" w14:textId="77777777" w:rsidR="00E8684E" w:rsidRPr="00890249" w:rsidRDefault="00E8684E" w:rsidP="00E8684E">
            <w:pPr>
              <w:jc w:val="left"/>
              <w:rPr>
                <w:rFonts w:asciiTheme="minorHAnsi" w:hAnsiTheme="minorHAnsi" w:cstheme="minorHAnsi"/>
                <w:sz w:val="20"/>
              </w:rPr>
            </w:pPr>
          </w:p>
        </w:tc>
        <w:tc>
          <w:tcPr>
            <w:tcW w:w="709" w:type="dxa"/>
            <w:vMerge/>
          </w:tcPr>
          <w:p w14:paraId="6B7EAC46" w14:textId="77777777" w:rsidR="00E8684E" w:rsidRPr="00890249" w:rsidRDefault="00E8684E" w:rsidP="00E8684E">
            <w:pPr>
              <w:jc w:val="left"/>
              <w:rPr>
                <w:rFonts w:asciiTheme="minorHAnsi" w:hAnsiTheme="minorHAnsi" w:cstheme="minorHAnsi"/>
                <w:sz w:val="20"/>
              </w:rPr>
            </w:pPr>
          </w:p>
        </w:tc>
        <w:tc>
          <w:tcPr>
            <w:tcW w:w="1843" w:type="dxa"/>
            <w:vMerge/>
          </w:tcPr>
          <w:p w14:paraId="75A3F56F" w14:textId="77777777" w:rsidR="00E8684E" w:rsidRPr="00890249" w:rsidRDefault="00E8684E" w:rsidP="00E8684E">
            <w:pPr>
              <w:jc w:val="left"/>
              <w:rPr>
                <w:rFonts w:asciiTheme="minorHAnsi" w:hAnsiTheme="minorHAnsi" w:cstheme="minorHAnsi"/>
                <w:sz w:val="20"/>
              </w:rPr>
            </w:pPr>
          </w:p>
        </w:tc>
        <w:tc>
          <w:tcPr>
            <w:tcW w:w="1559" w:type="dxa"/>
            <w:vMerge/>
          </w:tcPr>
          <w:p w14:paraId="2E0B94D8"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0D59DD24"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7</w:t>
            </w:r>
          </w:p>
          <w:p w14:paraId="4B856A2C"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sz w:val="20"/>
              </w:rPr>
              <w:t xml:space="preserve">Środki służące zacieśnieniu współpracy z partnerami spoza danego państwa członkowskiego w obszarach </w:t>
            </w:r>
            <w:r w:rsidRPr="00890249">
              <w:rPr>
                <w:rFonts w:asciiTheme="minorHAnsi" w:hAnsiTheme="minorHAnsi" w:cstheme="minorHAnsi"/>
                <w:sz w:val="20"/>
              </w:rPr>
              <w:lastRenderedPageBreak/>
              <w:t>priorytetowych wspieranych w ramach strategii inteligentnej specjalizacji.</w:t>
            </w:r>
          </w:p>
        </w:tc>
        <w:tc>
          <w:tcPr>
            <w:tcW w:w="1134" w:type="dxa"/>
            <w:vMerge/>
          </w:tcPr>
          <w:p w14:paraId="5846E762" w14:textId="77777777" w:rsidR="00E8684E" w:rsidRPr="00890249" w:rsidRDefault="00E8684E" w:rsidP="00E8684E">
            <w:pPr>
              <w:jc w:val="left"/>
              <w:rPr>
                <w:rFonts w:asciiTheme="minorHAnsi" w:hAnsiTheme="minorHAnsi" w:cstheme="minorHAnsi"/>
                <w:noProof/>
                <w:sz w:val="20"/>
              </w:rPr>
            </w:pPr>
          </w:p>
        </w:tc>
        <w:tc>
          <w:tcPr>
            <w:tcW w:w="3402" w:type="dxa"/>
            <w:vMerge/>
          </w:tcPr>
          <w:p w14:paraId="33278CCB" w14:textId="77777777" w:rsidR="00E8684E" w:rsidRPr="00890249" w:rsidRDefault="00E8684E" w:rsidP="00E8684E">
            <w:pPr>
              <w:jc w:val="left"/>
              <w:rPr>
                <w:rFonts w:asciiTheme="minorHAnsi" w:hAnsiTheme="minorHAnsi" w:cstheme="minorHAnsi"/>
                <w:noProof/>
                <w:sz w:val="20"/>
              </w:rPr>
            </w:pPr>
          </w:p>
        </w:tc>
        <w:tc>
          <w:tcPr>
            <w:tcW w:w="2977" w:type="dxa"/>
          </w:tcPr>
          <w:p w14:paraId="0F511AB2" w14:textId="77777777" w:rsidR="00796A79" w:rsidRPr="00890249" w:rsidRDefault="00875C92" w:rsidP="00F62734">
            <w:pPr>
              <w:spacing w:after="0"/>
              <w:jc w:val="left"/>
              <w:rPr>
                <w:rFonts w:asciiTheme="minorHAnsi" w:hAnsiTheme="minorHAnsi" w:cstheme="minorHAnsi"/>
                <w:b/>
                <w:bCs/>
                <w:sz w:val="20"/>
              </w:rPr>
            </w:pPr>
            <w:r w:rsidRPr="00890249">
              <w:rPr>
                <w:rFonts w:asciiTheme="minorHAnsi" w:hAnsiTheme="minorHAnsi" w:cstheme="minorHAnsi"/>
                <w:b/>
                <w:bCs/>
                <w:sz w:val="20"/>
              </w:rPr>
              <w:t>Kryterium 7. spełnione poprzez:</w:t>
            </w:r>
          </w:p>
          <w:p w14:paraId="46B0733A" w14:textId="77777777" w:rsidR="00D446B1" w:rsidRPr="00D446B1" w:rsidRDefault="00D446B1" w:rsidP="00D446B1">
            <w:pPr>
              <w:spacing w:before="0" w:after="0" w:line="276" w:lineRule="auto"/>
              <w:jc w:val="left"/>
              <w:rPr>
                <w:rFonts w:asciiTheme="minorHAnsi" w:hAnsiTheme="minorHAnsi" w:cstheme="minorHAnsi"/>
                <w:bCs/>
                <w:sz w:val="20"/>
              </w:rPr>
            </w:pPr>
            <w:r w:rsidRPr="00D446B1">
              <w:rPr>
                <w:rFonts w:asciiTheme="minorHAnsi" w:hAnsiTheme="minorHAnsi" w:cstheme="minorHAnsi"/>
                <w:bCs/>
                <w:sz w:val="20"/>
              </w:rPr>
              <w:t xml:space="preserve">1.Współpraca instytucjonalna w zakresie partnerstw międzynarodowych - wymiana wiedzy i dobrych praktyk, </w:t>
            </w:r>
            <w:r w:rsidRPr="00D446B1">
              <w:rPr>
                <w:rFonts w:asciiTheme="minorHAnsi" w:hAnsiTheme="minorHAnsi" w:cstheme="minorHAnsi"/>
                <w:bCs/>
                <w:sz w:val="20"/>
              </w:rPr>
              <w:lastRenderedPageBreak/>
              <w:t>wsparcie tworzenia partnerstw międzynarodowych, wsparcie umiędzynarodowienia przedsiębiorstw - Partnerstwa S3 przy KE, Interreg, EIT, Horyzont 2020/ Horyzont Europa, Innovoucher, TravelGrants, bilateralne projekty akceleracyjne, mechanizm IPCEI, program INNOGLOBO</w:t>
            </w:r>
          </w:p>
          <w:p w14:paraId="0509E74F" w14:textId="31B5F90F" w:rsidR="00D446B1" w:rsidRDefault="00D446B1" w:rsidP="00D446B1">
            <w:pPr>
              <w:spacing w:before="0" w:after="0" w:line="276" w:lineRule="auto"/>
              <w:jc w:val="left"/>
              <w:rPr>
                <w:rFonts w:asciiTheme="minorHAnsi" w:hAnsiTheme="minorHAnsi" w:cstheme="minorHAnsi"/>
                <w:bCs/>
                <w:sz w:val="20"/>
              </w:rPr>
            </w:pPr>
            <w:r w:rsidRPr="00D446B1">
              <w:rPr>
                <w:rFonts w:asciiTheme="minorHAnsi" w:hAnsiTheme="minorHAnsi" w:cstheme="minorHAnsi"/>
                <w:bCs/>
                <w:sz w:val="20"/>
              </w:rPr>
              <w:t>2. Instrumenty wsparcia ukierunkowane na internacjonalizację polskich firm wspierające współpracę z partnerami zagranicznymi – m.in.: Promocja Marki Innowacyjnych MŚP, Poland Prize, Polskie Mosty Technologiczne, Granty na Eurogranty, Międzynarodowe Agendy Badawcze, StartUp Booster Poland</w:t>
            </w:r>
          </w:p>
          <w:p w14:paraId="558221D5" w14:textId="23791189" w:rsidR="00B72154" w:rsidRPr="00890249" w:rsidRDefault="00B72154" w:rsidP="00F62734">
            <w:pPr>
              <w:spacing w:before="0" w:after="0" w:line="276" w:lineRule="auto"/>
              <w:jc w:val="left"/>
              <w:rPr>
                <w:rFonts w:asciiTheme="minorHAnsi" w:hAnsiTheme="minorHAnsi" w:cstheme="minorHAnsi"/>
                <w:b/>
                <w:bCs/>
                <w:sz w:val="20"/>
              </w:rPr>
            </w:pPr>
          </w:p>
        </w:tc>
      </w:tr>
      <w:tr w:rsidR="00E8684E" w:rsidRPr="00890249" w14:paraId="3A697E08" w14:textId="77777777" w:rsidTr="00F62734">
        <w:tc>
          <w:tcPr>
            <w:tcW w:w="1560" w:type="dxa"/>
            <w:vMerge w:val="restart"/>
            <w:shd w:val="clear" w:color="auto" w:fill="F2F2F2" w:themeFill="background1" w:themeFillShade="F2"/>
          </w:tcPr>
          <w:p w14:paraId="76B7B223" w14:textId="77777777" w:rsidR="00E8684E" w:rsidRPr="00890249" w:rsidRDefault="00E8684E" w:rsidP="00E8684E">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lastRenderedPageBreak/>
              <w:t>CP1</w:t>
            </w:r>
          </w:p>
          <w:p w14:paraId="0039EFAA"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1.1.Dobre zarządzanie krajową lub regionalną strategią inteligentnej specjalizacji </w:t>
            </w:r>
          </w:p>
          <w:p w14:paraId="49AC057A" w14:textId="77777777" w:rsidR="00E8684E" w:rsidRPr="00890249" w:rsidRDefault="00E8684E" w:rsidP="00E8684E">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(poziom regionalny) </w:t>
            </w:r>
          </w:p>
        </w:tc>
        <w:tc>
          <w:tcPr>
            <w:tcW w:w="709" w:type="dxa"/>
            <w:vMerge w:val="restart"/>
            <w:shd w:val="clear" w:color="auto" w:fill="F2F2F2" w:themeFill="background1" w:themeFillShade="F2"/>
          </w:tcPr>
          <w:p w14:paraId="675B066A"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EFRR </w:t>
            </w:r>
          </w:p>
        </w:tc>
        <w:tc>
          <w:tcPr>
            <w:tcW w:w="1843" w:type="dxa"/>
            <w:vMerge w:val="restart"/>
            <w:shd w:val="clear" w:color="auto" w:fill="F2F2F2" w:themeFill="background1" w:themeFillShade="F2"/>
          </w:tcPr>
          <w:p w14:paraId="2A120AB8" w14:textId="77777777" w:rsidR="00E8684E" w:rsidRPr="00890249" w:rsidRDefault="00E8684E" w:rsidP="00E8684E">
            <w:pPr>
              <w:spacing w:after="0"/>
              <w:jc w:val="left"/>
              <w:rPr>
                <w:rFonts w:asciiTheme="minorHAnsi" w:hAnsiTheme="minorHAnsi" w:cstheme="minorHAnsi"/>
                <w:sz w:val="20"/>
              </w:rPr>
            </w:pPr>
            <w:r w:rsidRPr="00890249">
              <w:rPr>
                <w:rFonts w:asciiTheme="minorHAnsi" w:hAnsiTheme="minorHAnsi" w:cstheme="minorHAnsi"/>
                <w:sz w:val="20"/>
              </w:rPr>
              <w:t>Rozwijanie i wzmacnianie zdolności badawczych i innowacyjnych  oraz wykorzystywanie zaawansowanych technologii</w:t>
            </w:r>
          </w:p>
          <w:p w14:paraId="1131F223" w14:textId="77777777" w:rsidR="00E8684E" w:rsidRPr="00890249" w:rsidRDefault="00E8684E" w:rsidP="00E8684E">
            <w:pPr>
              <w:spacing w:after="0"/>
              <w:rPr>
                <w:rFonts w:asciiTheme="minorHAnsi" w:hAnsiTheme="minorHAnsi" w:cstheme="minorHAnsi"/>
                <w:sz w:val="20"/>
              </w:rPr>
            </w:pPr>
          </w:p>
          <w:p w14:paraId="4422F285"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t>Rozwijanie umiejętności w zakresie inteligentnej specjalizacji, transformacji przemysłowej i przedsiębiorczości</w:t>
            </w:r>
          </w:p>
        </w:tc>
        <w:tc>
          <w:tcPr>
            <w:tcW w:w="1559" w:type="dxa"/>
            <w:vMerge w:val="restart"/>
            <w:shd w:val="clear" w:color="auto" w:fill="F2F2F2" w:themeFill="background1" w:themeFillShade="F2"/>
          </w:tcPr>
          <w:p w14:paraId="0BBEAEF0" w14:textId="0F6A7A38" w:rsidR="00E8684E" w:rsidRPr="00890249" w:rsidRDefault="00E77F5B"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2551" w:type="dxa"/>
            <w:shd w:val="clear" w:color="auto" w:fill="F2F2F2" w:themeFill="background1" w:themeFillShade="F2"/>
          </w:tcPr>
          <w:p w14:paraId="2D49DFC4"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1</w:t>
            </w:r>
          </w:p>
          <w:p w14:paraId="061A2CFC"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noProof/>
                <w:sz w:val="20"/>
              </w:rPr>
              <w:t>Aktualna analiza wyzwań dla dyfuzji innowacji oraz cyfryzacją</w:t>
            </w:r>
          </w:p>
        </w:tc>
        <w:tc>
          <w:tcPr>
            <w:tcW w:w="1134" w:type="dxa"/>
            <w:shd w:val="clear" w:color="auto" w:fill="F2F2F2" w:themeFill="background1" w:themeFillShade="F2"/>
          </w:tcPr>
          <w:p w14:paraId="353C7DAA" w14:textId="02DF69C0" w:rsidR="00E8684E" w:rsidRPr="00890249" w:rsidRDefault="00E77F5B" w:rsidP="00E8684E">
            <w:pPr>
              <w:jc w:val="left"/>
              <w:rPr>
                <w:rFonts w:asciiTheme="minorHAnsi" w:eastAsia="Times New Roman" w:hAnsiTheme="minorHAnsi" w:cstheme="minorHAnsi"/>
                <w:iCs/>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6CADAC7C" w14:textId="4FE88F1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W okresie 2012-2014 – w ramach prac nad SRWO do 2020 </w:t>
            </w:r>
            <w:r w:rsidR="00E77F5B" w:rsidRPr="00890249">
              <w:rPr>
                <w:rFonts w:asciiTheme="minorHAnsi" w:hAnsiTheme="minorHAnsi" w:cstheme="minorHAnsi"/>
                <w:noProof/>
                <w:sz w:val="20"/>
              </w:rPr>
              <w:t>r</w:t>
            </w:r>
            <w:r w:rsidRPr="00890249">
              <w:rPr>
                <w:rFonts w:asciiTheme="minorHAnsi" w:hAnsiTheme="minorHAnsi" w:cstheme="minorHAnsi"/>
                <w:noProof/>
                <w:sz w:val="20"/>
              </w:rPr>
              <w:t>. oraz w RSIWO do 2020 r. analiza wyzwań i barier związanych z dyfuzją innowacji była obszarem poddanym weryfikacji.</w:t>
            </w:r>
          </w:p>
          <w:p w14:paraId="665B09A6" w14:textId="27C642DF" w:rsidR="00256CD2" w:rsidRPr="00890249" w:rsidRDefault="00E8684E" w:rsidP="00E8684E">
            <w:pPr>
              <w:jc w:val="left"/>
              <w:rPr>
                <w:rFonts w:asciiTheme="minorHAnsi" w:hAnsiTheme="minorHAnsi" w:cstheme="minorHAnsi"/>
                <w:i/>
                <w:noProof/>
                <w:sz w:val="20"/>
              </w:rPr>
            </w:pPr>
            <w:r w:rsidRPr="00890249">
              <w:rPr>
                <w:rFonts w:asciiTheme="minorHAnsi" w:hAnsiTheme="minorHAnsi" w:cstheme="minorHAnsi"/>
                <w:i/>
                <w:noProof/>
                <w:sz w:val="20"/>
              </w:rPr>
              <w:t>Analiz</w:t>
            </w:r>
            <w:r w:rsidR="00256CD2" w:rsidRPr="00890249">
              <w:rPr>
                <w:rFonts w:asciiTheme="minorHAnsi" w:hAnsiTheme="minorHAnsi" w:cstheme="minorHAnsi"/>
                <w:i/>
                <w:noProof/>
                <w:sz w:val="20"/>
              </w:rPr>
              <w:t>a</w:t>
            </w:r>
            <w:r w:rsidRPr="00890249">
              <w:rPr>
                <w:rFonts w:asciiTheme="minorHAnsi" w:hAnsiTheme="minorHAnsi" w:cstheme="minorHAnsi"/>
                <w:i/>
                <w:noProof/>
                <w:sz w:val="20"/>
              </w:rPr>
              <w:t xml:space="preserve"> wdrażania RSIWO 2020</w:t>
            </w:r>
          </w:p>
          <w:p w14:paraId="09EFF6DE" w14:textId="1DA5577A"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W 2019 r.</w:t>
            </w:r>
            <w:r w:rsidR="00256CD2" w:rsidRPr="00890249">
              <w:rPr>
                <w:rFonts w:asciiTheme="minorHAnsi" w:hAnsiTheme="minorHAnsi" w:cstheme="minorHAnsi"/>
                <w:noProof/>
                <w:sz w:val="20"/>
              </w:rPr>
              <w:t>-</w:t>
            </w:r>
            <w:r w:rsidRPr="00890249">
              <w:rPr>
                <w:rFonts w:asciiTheme="minorHAnsi" w:hAnsiTheme="minorHAnsi" w:cstheme="minorHAnsi"/>
                <w:noProof/>
                <w:sz w:val="20"/>
              </w:rPr>
              <w:t xml:space="preserve"> aktualizacj</w:t>
            </w:r>
            <w:r w:rsidR="00256CD2" w:rsidRPr="00890249">
              <w:rPr>
                <w:rFonts w:asciiTheme="minorHAnsi" w:hAnsiTheme="minorHAnsi" w:cstheme="minorHAnsi"/>
                <w:noProof/>
                <w:sz w:val="20"/>
              </w:rPr>
              <w:t>a</w:t>
            </w:r>
            <w:r w:rsidRPr="00890249">
              <w:rPr>
                <w:rFonts w:asciiTheme="minorHAnsi" w:hAnsiTheme="minorHAnsi" w:cstheme="minorHAnsi"/>
                <w:noProof/>
                <w:sz w:val="20"/>
              </w:rPr>
              <w:t xml:space="preserve"> wyzwań i barier w ramach prac nad </w:t>
            </w:r>
            <w:r w:rsidR="00256CD2" w:rsidRPr="00890249">
              <w:rPr>
                <w:rFonts w:asciiTheme="minorHAnsi" w:hAnsiTheme="minorHAnsi" w:cstheme="minorHAnsi"/>
                <w:noProof/>
                <w:sz w:val="20"/>
              </w:rPr>
              <w:t>SRWO</w:t>
            </w:r>
            <w:r w:rsidRPr="00890249">
              <w:rPr>
                <w:rFonts w:asciiTheme="minorHAnsi" w:hAnsiTheme="minorHAnsi" w:cstheme="minorHAnsi"/>
                <w:noProof/>
                <w:sz w:val="20"/>
              </w:rPr>
              <w:t xml:space="preserve"> 2030 oraz RSIWO 2030. </w:t>
            </w:r>
          </w:p>
          <w:p w14:paraId="1BF0A7AA" w14:textId="77777777" w:rsidR="000C0A62" w:rsidRPr="00890249" w:rsidRDefault="000C0A62" w:rsidP="000C0A62">
            <w:pPr>
              <w:jc w:val="left"/>
              <w:rPr>
                <w:rFonts w:asciiTheme="minorHAnsi" w:hAnsiTheme="minorHAnsi" w:cstheme="minorHAnsi"/>
                <w:noProof/>
                <w:sz w:val="20"/>
              </w:rPr>
            </w:pPr>
            <w:hyperlink r:id="rId81" w:history="1">
              <w:r w:rsidRPr="00890249">
                <w:rPr>
                  <w:rStyle w:val="Hipercze"/>
                  <w:rFonts w:asciiTheme="minorHAnsi" w:eastAsia="Times New Roman" w:hAnsiTheme="minorHAnsi" w:cstheme="minorHAnsi"/>
                  <w:iCs/>
                  <w:noProof/>
                  <w:sz w:val="20"/>
                </w:rPr>
                <w:t>https://www.opolskie.pl/region/rozwoj-regionalny/strategia-rozwoju-wojewodztwa-opolskiego-opolskie-2030/</w:t>
              </w:r>
            </w:hyperlink>
          </w:p>
          <w:p w14:paraId="7BB03A44" w14:textId="2392F433" w:rsidR="00C932BA" w:rsidRPr="00890249" w:rsidRDefault="0089580C" w:rsidP="00E8684E">
            <w:pPr>
              <w:jc w:val="left"/>
              <w:rPr>
                <w:rFonts w:asciiTheme="minorHAnsi" w:hAnsiTheme="minorHAnsi" w:cstheme="minorHAnsi"/>
                <w:noProof/>
                <w:sz w:val="18"/>
              </w:rPr>
            </w:pPr>
            <w:hyperlink r:id="rId82" w:history="1">
              <w:r w:rsidRPr="00890249">
                <w:rPr>
                  <w:rStyle w:val="Hipercze"/>
                  <w:rFonts w:asciiTheme="minorHAnsi" w:hAnsiTheme="minorHAnsi" w:cstheme="minorHAnsi"/>
                  <w:noProof/>
                  <w:sz w:val="20"/>
                </w:rPr>
                <w:t>https://www.opolskie.pl/region/rozwoj-regionalny/</w:t>
              </w:r>
            </w:hyperlink>
          </w:p>
        </w:tc>
        <w:tc>
          <w:tcPr>
            <w:tcW w:w="2977" w:type="dxa"/>
            <w:shd w:val="clear" w:color="auto" w:fill="F2F2F2" w:themeFill="background1" w:themeFillShade="F2"/>
          </w:tcPr>
          <w:p w14:paraId="32B84D19"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Analiza wyzwań i wąskich gardeł na poziomie regionalnym jest prowadzona w woj. opolskim w trybie ciągłym (od roku 2014 ) w ramach prac nad opracowaniem kolejnych dokumentów strategicznych oraz działań monitoringowych procesu wdrażania RSIWO.</w:t>
            </w:r>
            <w:r w:rsidRPr="00890249" w:rsidDel="00D350AF">
              <w:rPr>
                <w:rFonts w:asciiTheme="minorHAnsi" w:hAnsiTheme="minorHAnsi" w:cstheme="minorHAnsi"/>
                <w:noProof/>
                <w:sz w:val="20"/>
              </w:rPr>
              <w:t xml:space="preserve"> </w:t>
            </w:r>
            <w:r w:rsidRPr="00890249">
              <w:rPr>
                <w:rFonts w:asciiTheme="minorHAnsi" w:hAnsiTheme="minorHAnsi" w:cstheme="minorHAnsi"/>
                <w:noProof/>
                <w:sz w:val="20"/>
              </w:rPr>
              <w:t>Otrzymane rezultaty wykazały, że zdefiniowane wąskie gardła dyfuzji innowacji dotyczą zarówno specjalizacji inteligentnych, jak i pozostałych branż.</w:t>
            </w:r>
          </w:p>
          <w:p w14:paraId="63727E70"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Kontynuacja procesu weryfikacji wyzwań i barier w rozwoju innowacji będzie prowadzona w ramach wdrażania i monitorowania RSIWO 2030 i bieżącego prowadzenia PPO. Szczególnie istotne będzie dalsze zaangażowanie aktorów regionalnego systemu innowacji, m.in. w ramach prac Grup Roboczych, Zespołów Zadaniowych, Komitetu </w:t>
            </w:r>
            <w:r w:rsidRPr="00890249">
              <w:rPr>
                <w:rFonts w:asciiTheme="minorHAnsi" w:hAnsiTheme="minorHAnsi" w:cstheme="minorHAnsi"/>
                <w:noProof/>
                <w:sz w:val="20"/>
              </w:rPr>
              <w:lastRenderedPageBreak/>
              <w:t xml:space="preserve">Sterującego IOB, które pełnią rolę opiniodawczo–doradczą dla ZWO. Pozwoli to na dostęp do bieżących informacji o stanie regionalnej gospodarki, w tym ewentualnych nowych kierunków i wyzwań mogących się pojawić w kolejnych latach. </w:t>
            </w:r>
          </w:p>
        </w:tc>
      </w:tr>
      <w:tr w:rsidR="00E8684E" w:rsidRPr="00890249" w14:paraId="13D6AA33" w14:textId="77777777" w:rsidTr="00F62734">
        <w:tc>
          <w:tcPr>
            <w:tcW w:w="1560" w:type="dxa"/>
            <w:vMerge/>
          </w:tcPr>
          <w:p w14:paraId="7C14CF98"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456D007E"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01B8A86F"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242268D1" w14:textId="77777777" w:rsidR="00E8684E" w:rsidRPr="00890249" w:rsidDel="00C31DFD" w:rsidRDefault="00E8684E" w:rsidP="00E8684E">
            <w:pPr>
              <w:jc w:val="left"/>
              <w:rPr>
                <w:rFonts w:asciiTheme="minorHAnsi" w:hAnsiTheme="minorHAnsi" w:cstheme="minorHAnsi"/>
                <w:noProof/>
                <w:sz w:val="20"/>
              </w:rPr>
            </w:pPr>
          </w:p>
        </w:tc>
        <w:tc>
          <w:tcPr>
            <w:tcW w:w="2551" w:type="dxa"/>
            <w:shd w:val="clear" w:color="auto" w:fill="F2F2F2" w:themeFill="background1" w:themeFillShade="F2"/>
          </w:tcPr>
          <w:p w14:paraId="571BE023"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2</w:t>
            </w:r>
          </w:p>
          <w:p w14:paraId="637270C2"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Istnienie właściwej regionalnej lub krajowej instytucji lub organu odpowiedzialnego za zarządzanie strategią inteligentnej specjalizacji</w:t>
            </w:r>
          </w:p>
        </w:tc>
        <w:tc>
          <w:tcPr>
            <w:tcW w:w="1134" w:type="dxa"/>
            <w:shd w:val="clear" w:color="auto" w:fill="F2F2F2" w:themeFill="background1" w:themeFillShade="F2"/>
          </w:tcPr>
          <w:p w14:paraId="385CBEB5"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0DDB8B1A" w14:textId="77777777" w:rsidR="008E6720" w:rsidRPr="008E6720" w:rsidRDefault="00982C8B" w:rsidP="00E8684E">
            <w:pPr>
              <w:jc w:val="left"/>
              <w:rPr>
                <w:rFonts w:asciiTheme="minorHAnsi" w:hAnsiTheme="minorHAnsi" w:cstheme="minorHAnsi"/>
                <w:noProof/>
                <w:sz w:val="20"/>
              </w:rPr>
            </w:pPr>
            <w:r w:rsidRPr="008E6720">
              <w:rPr>
                <w:rFonts w:asciiTheme="minorHAnsi" w:hAnsiTheme="minorHAnsi" w:cstheme="minorHAnsi"/>
                <w:noProof/>
                <w:sz w:val="20"/>
              </w:rPr>
              <w:t>Reg</w:t>
            </w:r>
            <w:r w:rsidR="008E6720" w:rsidRPr="008E6720">
              <w:rPr>
                <w:rFonts w:asciiTheme="minorHAnsi" w:hAnsiTheme="minorHAnsi" w:cstheme="minorHAnsi"/>
                <w:noProof/>
                <w:sz w:val="20"/>
              </w:rPr>
              <w:t>ulamin organizacyjny UMWO</w:t>
            </w:r>
          </w:p>
          <w:p w14:paraId="73ADA08E" w14:textId="32896C22" w:rsidR="00664D12" w:rsidRDefault="008E6720" w:rsidP="00E8684E">
            <w:pPr>
              <w:jc w:val="left"/>
              <w:rPr>
                <w:rFonts w:asciiTheme="minorHAnsi" w:hAnsiTheme="minorHAnsi" w:cstheme="minorHAnsi"/>
                <w:noProof/>
                <w:color w:val="1F4E79" w:themeColor="accent1" w:themeShade="80"/>
                <w:sz w:val="20"/>
                <w:u w:val="single"/>
              </w:rPr>
            </w:pPr>
            <w:hyperlink r:id="rId83" w:history="1">
              <w:r w:rsidRPr="007B53C4">
                <w:rPr>
                  <w:rStyle w:val="Hipercze"/>
                  <w:rFonts w:asciiTheme="minorHAnsi" w:hAnsiTheme="minorHAnsi" w:cstheme="minorHAnsi"/>
                  <w:noProof/>
                  <w:sz w:val="20"/>
                </w:rPr>
                <w:t>https://bip.opolskie.pl/wp-content/uploads/2022/01/Regulamin-organizacyjny-Urzędu-załącznik-do-Uchwały-nr-6969-2022-z-4-maja-2022-r..pdf</w:t>
              </w:r>
            </w:hyperlink>
          </w:p>
          <w:p w14:paraId="273D694E" w14:textId="77777777" w:rsidR="008E6720" w:rsidRDefault="008E6720" w:rsidP="00E8684E">
            <w:pPr>
              <w:jc w:val="left"/>
              <w:rPr>
                <w:rFonts w:asciiTheme="minorHAnsi" w:hAnsiTheme="minorHAnsi" w:cstheme="minorHAnsi"/>
                <w:noProof/>
                <w:color w:val="1F4E79" w:themeColor="accent1" w:themeShade="80"/>
                <w:sz w:val="20"/>
                <w:u w:val="single"/>
              </w:rPr>
            </w:pPr>
          </w:p>
          <w:p w14:paraId="5D0633A9" w14:textId="0177C88B" w:rsidR="008E6720" w:rsidRPr="008E6720" w:rsidRDefault="008E6720" w:rsidP="00E8684E">
            <w:pPr>
              <w:jc w:val="left"/>
              <w:rPr>
                <w:rFonts w:asciiTheme="minorHAnsi" w:hAnsiTheme="minorHAnsi" w:cstheme="minorHAnsi"/>
                <w:noProof/>
                <w:sz w:val="20"/>
              </w:rPr>
            </w:pPr>
            <w:r w:rsidRPr="008E6720">
              <w:rPr>
                <w:rFonts w:asciiTheme="minorHAnsi" w:hAnsiTheme="minorHAnsi" w:cstheme="minorHAnsi"/>
                <w:noProof/>
                <w:sz w:val="20"/>
              </w:rPr>
              <w:t xml:space="preserve">Regulamin organizacyjny </w:t>
            </w:r>
            <w:r>
              <w:rPr>
                <w:rFonts w:asciiTheme="minorHAnsi" w:hAnsiTheme="minorHAnsi" w:cstheme="minorHAnsi"/>
                <w:noProof/>
                <w:sz w:val="20"/>
              </w:rPr>
              <w:t xml:space="preserve">OCRG </w:t>
            </w:r>
          </w:p>
          <w:p w14:paraId="5EC833E8" w14:textId="748DAA07" w:rsidR="00E8684E" w:rsidRDefault="00664D12" w:rsidP="00E8684E">
            <w:pPr>
              <w:jc w:val="left"/>
              <w:rPr>
                <w:rFonts w:asciiTheme="minorHAnsi" w:hAnsiTheme="minorHAnsi" w:cstheme="minorHAnsi"/>
                <w:noProof/>
                <w:sz w:val="20"/>
              </w:rPr>
            </w:pPr>
            <w:hyperlink r:id="rId84" w:history="1">
              <w:r w:rsidRPr="007B53C4">
                <w:rPr>
                  <w:rStyle w:val="Hipercze"/>
                  <w:rFonts w:asciiTheme="minorHAnsi" w:hAnsiTheme="minorHAnsi" w:cstheme="minorHAnsi"/>
                  <w:noProof/>
                  <w:sz w:val="20"/>
                </w:rPr>
                <w:t>https://ocrg.opolskie.pl/media/system/bip/2022-01-01-REGULAMIN-ORGANIZACYJNY.pdf</w:t>
              </w:r>
            </w:hyperlink>
          </w:p>
          <w:p w14:paraId="590D05BC" w14:textId="25EF1FAB" w:rsidR="00664D12" w:rsidRPr="00243665" w:rsidDel="00436018" w:rsidRDefault="00664D12" w:rsidP="00E8684E">
            <w:pPr>
              <w:jc w:val="left"/>
              <w:rPr>
                <w:rFonts w:asciiTheme="minorHAnsi" w:hAnsiTheme="minorHAnsi" w:cstheme="minorHAnsi"/>
                <w:noProof/>
                <w:sz w:val="20"/>
              </w:rPr>
            </w:pPr>
          </w:p>
        </w:tc>
        <w:tc>
          <w:tcPr>
            <w:tcW w:w="2977" w:type="dxa"/>
            <w:shd w:val="clear" w:color="auto" w:fill="F2F2F2" w:themeFill="background1" w:themeFillShade="F2"/>
          </w:tcPr>
          <w:p w14:paraId="63A1F149" w14:textId="6499DFCA"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ZWO jest organem odpowiedzialnym za opracowanie i przyjęcie RSWO oraz za kreowanie polityki innowacyjnej. Zarząd sprawuje nadzór nad wdrażaniem celów RSIWO. </w:t>
            </w:r>
          </w:p>
          <w:p w14:paraId="35A92F8D" w14:textId="2519726D" w:rsidR="00D95EF7" w:rsidRDefault="00E8684E" w:rsidP="00664D12">
            <w:pPr>
              <w:jc w:val="left"/>
              <w:rPr>
                <w:rFonts w:asciiTheme="minorHAnsi" w:hAnsiTheme="minorHAnsi" w:cstheme="minorHAnsi"/>
                <w:noProof/>
                <w:sz w:val="20"/>
              </w:rPr>
            </w:pPr>
            <w:r w:rsidRPr="00890249">
              <w:rPr>
                <w:rFonts w:asciiTheme="minorHAnsi" w:hAnsiTheme="minorHAnsi" w:cstheme="minorHAnsi"/>
                <w:noProof/>
                <w:sz w:val="20"/>
              </w:rPr>
              <w:t>W procesie zarządzania i wdrażania RSIWO zaangażowane są także Departamenty UMWO takie jak: Departament Infrastruktury i Gospodarki (opracowywanie i wdrażanie sektorowej stra</w:t>
            </w:r>
            <w:r w:rsidR="00FF5B00">
              <w:rPr>
                <w:rFonts w:asciiTheme="minorHAnsi" w:hAnsiTheme="minorHAnsi" w:cstheme="minorHAnsi"/>
                <w:noProof/>
                <w:sz w:val="20"/>
              </w:rPr>
              <w:t>tegii oraz programów dot.</w:t>
            </w:r>
            <w:r w:rsidRPr="00890249">
              <w:rPr>
                <w:rFonts w:asciiTheme="minorHAnsi" w:hAnsiTheme="minorHAnsi" w:cstheme="minorHAnsi"/>
                <w:noProof/>
                <w:sz w:val="20"/>
              </w:rPr>
              <w:t xml:space="preserve"> rozwoju infrastruktury, wykonywanie czynności nadzoru wobec OCRG, Departament Polityki Regionalnej i Przestrzennej (koordynacja i realizacja zadań w ramach opracowania, monitorowania i upowszechnian</w:t>
            </w:r>
            <w:r w:rsidR="00FF5B00">
              <w:rPr>
                <w:rFonts w:asciiTheme="minorHAnsi" w:hAnsiTheme="minorHAnsi" w:cstheme="minorHAnsi"/>
                <w:noProof/>
                <w:sz w:val="20"/>
              </w:rPr>
              <w:t>ia strategii rozwoju woj.</w:t>
            </w:r>
            <w:r w:rsidRPr="00890249">
              <w:rPr>
                <w:rFonts w:asciiTheme="minorHAnsi" w:hAnsiTheme="minorHAnsi" w:cstheme="minorHAnsi"/>
                <w:noProof/>
                <w:sz w:val="20"/>
              </w:rPr>
              <w:t xml:space="preserve"> opolskiego) </w:t>
            </w:r>
            <w:r w:rsidRPr="00890249">
              <w:rPr>
                <w:rFonts w:asciiTheme="minorHAnsi" w:hAnsiTheme="minorHAnsi" w:cstheme="minorHAnsi"/>
                <w:noProof/>
                <w:sz w:val="20"/>
              </w:rPr>
              <w:lastRenderedPageBreak/>
              <w:t>Departament Funduszy Europejskich (koordynacja i opracowanie re</w:t>
            </w:r>
            <w:r w:rsidR="00FF5B00">
              <w:rPr>
                <w:rFonts w:asciiTheme="minorHAnsi" w:hAnsiTheme="minorHAnsi" w:cstheme="minorHAnsi"/>
                <w:noProof/>
                <w:sz w:val="20"/>
              </w:rPr>
              <w:t>gionalnych programów woj.</w:t>
            </w:r>
            <w:r w:rsidRPr="00890249">
              <w:rPr>
                <w:rFonts w:asciiTheme="minorHAnsi" w:hAnsiTheme="minorHAnsi" w:cstheme="minorHAnsi"/>
                <w:noProof/>
                <w:sz w:val="20"/>
              </w:rPr>
              <w:t xml:space="preserve"> opolskiego dla perspektyw finansowych UE oraz dokumentów niezbędnych do ich zarządzania i wdrażania.</w:t>
            </w:r>
          </w:p>
          <w:p w14:paraId="4B11DE2F" w14:textId="68EE7D05" w:rsidR="00664D12" w:rsidRDefault="00664D12" w:rsidP="00664D12">
            <w:pPr>
              <w:jc w:val="left"/>
              <w:rPr>
                <w:rFonts w:asciiTheme="minorHAnsi" w:hAnsiTheme="minorHAnsi" w:cstheme="minorHAnsi"/>
                <w:noProof/>
                <w:sz w:val="20"/>
              </w:rPr>
            </w:pPr>
            <w:r>
              <w:rPr>
                <w:rFonts w:asciiTheme="minorHAnsi" w:hAnsiTheme="minorHAnsi" w:cstheme="minorHAnsi"/>
                <w:noProof/>
                <w:sz w:val="20"/>
              </w:rPr>
              <w:t>W procesie zarządzania RSIWO zaangażowane jest w trybie ciagłym szerokie grono interesariuszy</w:t>
            </w:r>
            <w:r w:rsidR="00B90E90">
              <w:rPr>
                <w:rFonts w:asciiTheme="minorHAnsi" w:hAnsiTheme="minorHAnsi" w:cstheme="minorHAnsi"/>
                <w:noProof/>
                <w:sz w:val="20"/>
              </w:rPr>
              <w:t xml:space="preserve"> tj.</w:t>
            </w:r>
            <w:r w:rsidR="00723D3B">
              <w:rPr>
                <w:rFonts w:asciiTheme="minorHAnsi" w:hAnsiTheme="minorHAnsi" w:cstheme="minorHAnsi"/>
                <w:noProof/>
                <w:sz w:val="20"/>
              </w:rPr>
              <w:t>:</w:t>
            </w:r>
          </w:p>
          <w:p w14:paraId="2342299F" w14:textId="77777777" w:rsidR="00730D8E" w:rsidRPr="00730D8E" w:rsidRDefault="00730D8E" w:rsidP="009F296A">
            <w:pPr>
              <w:pStyle w:val="Akapitzlist"/>
              <w:numPr>
                <w:ilvl w:val="0"/>
                <w:numId w:val="172"/>
              </w:numPr>
              <w:ind w:left="289"/>
              <w:jc w:val="left"/>
              <w:rPr>
                <w:rFonts w:asciiTheme="minorHAnsi" w:hAnsiTheme="minorHAnsi" w:cstheme="minorHAnsi"/>
                <w:b/>
                <w:noProof/>
                <w:sz w:val="20"/>
              </w:rPr>
            </w:pPr>
            <w:r w:rsidRPr="00730D8E">
              <w:rPr>
                <w:rFonts w:asciiTheme="minorHAnsi" w:hAnsiTheme="minorHAnsi" w:cstheme="minorHAnsi"/>
                <w:b/>
                <w:noProof/>
                <w:sz w:val="20"/>
              </w:rPr>
              <w:t>Grupy robocze,</w:t>
            </w:r>
          </w:p>
          <w:p w14:paraId="4FFB40D9" w14:textId="77777777" w:rsidR="00730D8E" w:rsidRPr="00730D8E" w:rsidRDefault="00730D8E" w:rsidP="009F296A">
            <w:pPr>
              <w:pStyle w:val="Akapitzlist"/>
              <w:numPr>
                <w:ilvl w:val="0"/>
                <w:numId w:val="172"/>
              </w:numPr>
              <w:ind w:left="289"/>
              <w:jc w:val="left"/>
              <w:rPr>
                <w:rFonts w:asciiTheme="minorHAnsi" w:hAnsiTheme="minorHAnsi" w:cstheme="minorHAnsi"/>
                <w:b/>
                <w:noProof/>
                <w:sz w:val="20"/>
              </w:rPr>
            </w:pPr>
            <w:r w:rsidRPr="00730D8E">
              <w:rPr>
                <w:rFonts w:asciiTheme="minorHAnsi" w:hAnsiTheme="minorHAnsi" w:cstheme="minorHAnsi"/>
                <w:b/>
                <w:noProof/>
                <w:sz w:val="20"/>
              </w:rPr>
              <w:t>Klub150,</w:t>
            </w:r>
          </w:p>
          <w:p w14:paraId="4DDEDBD3" w14:textId="77777777" w:rsidR="00730D8E" w:rsidRDefault="00730D8E" w:rsidP="009F296A">
            <w:pPr>
              <w:pStyle w:val="Akapitzlist"/>
              <w:numPr>
                <w:ilvl w:val="0"/>
                <w:numId w:val="172"/>
              </w:numPr>
              <w:ind w:left="289"/>
              <w:jc w:val="left"/>
              <w:rPr>
                <w:rFonts w:asciiTheme="minorHAnsi" w:hAnsiTheme="minorHAnsi" w:cstheme="minorHAnsi"/>
                <w:noProof/>
                <w:sz w:val="20"/>
              </w:rPr>
            </w:pPr>
            <w:r w:rsidRPr="00730D8E">
              <w:rPr>
                <w:rFonts w:asciiTheme="minorHAnsi" w:hAnsiTheme="minorHAnsi" w:cstheme="minorHAnsi"/>
                <w:b/>
                <w:noProof/>
                <w:sz w:val="20"/>
              </w:rPr>
              <w:t>Zespół Ekspertów ds. RSIWO</w:t>
            </w:r>
            <w:r>
              <w:rPr>
                <w:rFonts w:asciiTheme="minorHAnsi" w:hAnsiTheme="minorHAnsi" w:cstheme="minorHAnsi"/>
                <w:noProof/>
                <w:sz w:val="20"/>
              </w:rPr>
              <w:t>.</w:t>
            </w:r>
          </w:p>
          <w:p w14:paraId="56B25E40" w14:textId="1C06DE00" w:rsidR="00730D8E" w:rsidRPr="00730D8E" w:rsidRDefault="002E53CD" w:rsidP="00D14B2E">
            <w:pPr>
              <w:ind w:left="-71"/>
              <w:jc w:val="left"/>
              <w:rPr>
                <w:rFonts w:asciiTheme="minorHAnsi" w:hAnsiTheme="minorHAnsi" w:cstheme="minorHAnsi"/>
                <w:noProof/>
                <w:sz w:val="20"/>
              </w:rPr>
            </w:pPr>
            <w:r>
              <w:rPr>
                <w:rFonts w:asciiTheme="minorHAnsi" w:hAnsiTheme="minorHAnsi" w:cstheme="minorHAnsi"/>
                <w:noProof/>
                <w:sz w:val="20"/>
              </w:rPr>
              <w:t xml:space="preserve">Do </w:t>
            </w:r>
            <w:r w:rsidR="00730D8E">
              <w:rPr>
                <w:rFonts w:asciiTheme="minorHAnsi" w:hAnsiTheme="minorHAnsi" w:cstheme="minorHAnsi"/>
                <w:noProof/>
                <w:sz w:val="20"/>
              </w:rPr>
              <w:t>poł</w:t>
            </w:r>
            <w:r w:rsidR="00B90E90">
              <w:rPr>
                <w:rFonts w:asciiTheme="minorHAnsi" w:hAnsiTheme="minorHAnsi" w:cstheme="minorHAnsi"/>
                <w:noProof/>
                <w:sz w:val="20"/>
              </w:rPr>
              <w:t>owy</w:t>
            </w:r>
            <w:r w:rsidR="00730D8E">
              <w:rPr>
                <w:rFonts w:asciiTheme="minorHAnsi" w:hAnsiTheme="minorHAnsi" w:cstheme="minorHAnsi"/>
                <w:noProof/>
                <w:sz w:val="20"/>
              </w:rPr>
              <w:t xml:space="preserve"> 2023r. powołane zostaną </w:t>
            </w:r>
            <w:r w:rsidR="00D14B2E">
              <w:rPr>
                <w:rFonts w:asciiTheme="minorHAnsi" w:hAnsiTheme="minorHAnsi" w:cstheme="minorHAnsi"/>
                <w:noProof/>
                <w:sz w:val="20"/>
              </w:rPr>
              <w:t>również</w:t>
            </w:r>
            <w:r w:rsidR="00730D8E">
              <w:rPr>
                <w:rFonts w:asciiTheme="minorHAnsi" w:hAnsiTheme="minorHAnsi" w:cstheme="minorHAnsi"/>
                <w:noProof/>
                <w:sz w:val="20"/>
              </w:rPr>
              <w:t xml:space="preserve"> </w:t>
            </w:r>
            <w:r w:rsidR="00730D8E" w:rsidRPr="00FF5B00">
              <w:rPr>
                <w:rFonts w:asciiTheme="minorHAnsi" w:hAnsiTheme="minorHAnsi" w:cstheme="minorHAnsi"/>
                <w:b/>
                <w:noProof/>
                <w:sz w:val="20"/>
              </w:rPr>
              <w:t>Zespoły Zadaniowe</w:t>
            </w:r>
            <w:r w:rsidR="00FF5B00">
              <w:rPr>
                <w:rFonts w:asciiTheme="minorHAnsi" w:hAnsiTheme="minorHAnsi" w:cstheme="minorHAnsi"/>
                <w:noProof/>
                <w:sz w:val="20"/>
              </w:rPr>
              <w:t>, gdzie koordynacja prac zostanie powierzona opolskim uczelniom oraz IOB w celu rozwoju współpracy interesariuszy.</w:t>
            </w:r>
          </w:p>
        </w:tc>
      </w:tr>
      <w:tr w:rsidR="00E8684E" w:rsidRPr="00890249" w14:paraId="3EB812D7" w14:textId="77777777" w:rsidTr="00F62734">
        <w:tc>
          <w:tcPr>
            <w:tcW w:w="1560" w:type="dxa"/>
            <w:vMerge/>
          </w:tcPr>
          <w:p w14:paraId="2D4C1E0D" w14:textId="79A401CB"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5C29A30D"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44610AC1"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59E67091" w14:textId="77777777" w:rsidR="00E8684E" w:rsidRPr="00890249" w:rsidDel="00C31DFD" w:rsidRDefault="00E8684E" w:rsidP="00E8684E">
            <w:pPr>
              <w:jc w:val="left"/>
              <w:rPr>
                <w:rFonts w:asciiTheme="minorHAnsi" w:hAnsiTheme="minorHAnsi" w:cstheme="minorHAnsi"/>
                <w:noProof/>
                <w:sz w:val="20"/>
              </w:rPr>
            </w:pPr>
          </w:p>
        </w:tc>
        <w:tc>
          <w:tcPr>
            <w:tcW w:w="2551" w:type="dxa"/>
            <w:shd w:val="clear" w:color="auto" w:fill="F2F2F2" w:themeFill="background1" w:themeFillShade="F2"/>
          </w:tcPr>
          <w:p w14:paraId="78795E70"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3</w:t>
            </w:r>
          </w:p>
          <w:p w14:paraId="6328E0E0"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Narzędzia monitorowania i ewaluacji w celu pomiaru realizacji celów strategii.</w:t>
            </w:r>
          </w:p>
        </w:tc>
        <w:tc>
          <w:tcPr>
            <w:tcW w:w="1134" w:type="dxa"/>
            <w:shd w:val="clear" w:color="auto" w:fill="F2F2F2" w:themeFill="background1" w:themeFillShade="F2"/>
          </w:tcPr>
          <w:p w14:paraId="3247EAAF"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63DFC0D6" w14:textId="40C6E8B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Analiza wdrażania RSIWO 2020 (2016)</w:t>
            </w:r>
          </w:p>
          <w:p w14:paraId="19F5AE95" w14:textId="77777777" w:rsidR="00C932BA"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Analiza trendów rozwojowych w obszarach inteligentnych specjalizacji województwa opolskiego (2017)</w:t>
            </w:r>
          </w:p>
          <w:p w14:paraId="31C185A0" w14:textId="77777777" w:rsidR="00C932BA"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Analiza stanu innowacyjności gospodarki województwa opolskiego (2018)</w:t>
            </w:r>
          </w:p>
          <w:p w14:paraId="25992F94" w14:textId="6B199884"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lastRenderedPageBreak/>
              <w:t>Efekty wsparcia konkurencyjności, innowacyjności i internacjonalizacji MŚP i rozwój potencjału jednostek naukowo-badawczych w województwie opolskim w perspektywie 2014-2020</w:t>
            </w:r>
          </w:p>
          <w:p w14:paraId="7D78C6CF" w14:textId="69751833" w:rsidR="0089580C" w:rsidRPr="00890249" w:rsidRDefault="0089580C" w:rsidP="00890249">
            <w:pPr>
              <w:rPr>
                <w:rFonts w:asciiTheme="minorHAnsi" w:hAnsiTheme="minorHAnsi" w:cstheme="minorHAnsi"/>
                <w:noProof/>
                <w:sz w:val="20"/>
              </w:rPr>
            </w:pPr>
            <w:hyperlink r:id="rId85" w:history="1">
              <w:r w:rsidRPr="00890249">
                <w:rPr>
                  <w:rStyle w:val="Hipercze"/>
                  <w:rFonts w:asciiTheme="minorHAnsi" w:hAnsiTheme="minorHAnsi" w:cstheme="minorHAnsi"/>
                  <w:noProof/>
                  <w:sz w:val="20"/>
                </w:rPr>
                <w:t>https://ocrg.opolskie.pl/opracowanie-przez-beneficjenta-dokumentu-strategicznego-wskazujacego-kierunki-rozwoju-wojewodztwa-opolskiego-dla-polityki-badawczo-rozwojowej-w-latach-2020-2026/</w:t>
              </w:r>
            </w:hyperlink>
          </w:p>
          <w:p w14:paraId="00C30481" w14:textId="1DEB948A" w:rsidR="00C932BA" w:rsidRPr="00890249" w:rsidDel="00436018" w:rsidRDefault="00C932BA" w:rsidP="00E8684E">
            <w:pPr>
              <w:jc w:val="left"/>
              <w:rPr>
                <w:rFonts w:asciiTheme="minorHAnsi" w:hAnsiTheme="minorHAnsi" w:cstheme="minorHAnsi"/>
                <w:noProof/>
                <w:sz w:val="20"/>
              </w:rPr>
            </w:pPr>
          </w:p>
        </w:tc>
        <w:tc>
          <w:tcPr>
            <w:tcW w:w="2977" w:type="dxa"/>
            <w:shd w:val="clear" w:color="auto" w:fill="F2F2F2" w:themeFill="background1" w:themeFillShade="F2"/>
          </w:tcPr>
          <w:p w14:paraId="54908421" w14:textId="3B7835F5"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lastRenderedPageBreak/>
              <w:t>Proces monitorowania RSIWO</w:t>
            </w:r>
            <w:r w:rsidR="00ED08A6">
              <w:rPr>
                <w:rFonts w:asciiTheme="minorHAnsi" w:hAnsiTheme="minorHAnsi" w:cstheme="minorHAnsi"/>
                <w:noProof/>
                <w:sz w:val="20"/>
              </w:rPr>
              <w:t xml:space="preserve"> 2020</w:t>
            </w:r>
            <w:r w:rsidRPr="00890249">
              <w:rPr>
                <w:rFonts w:asciiTheme="minorHAnsi" w:hAnsiTheme="minorHAnsi" w:cstheme="minorHAnsi"/>
                <w:noProof/>
                <w:sz w:val="20"/>
              </w:rPr>
              <w:t>, w tym inteligentnych specjalizacji jest prowadzony w regionie opolskim w trybie ciągłym w oparciu o usystematyzowane metody.</w:t>
            </w:r>
          </w:p>
          <w:p w14:paraId="4729D9D4" w14:textId="05B83640"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Opis systemu monitorowania i ewaluacji został zawarty w </w:t>
            </w:r>
            <w:r w:rsidRPr="00890249">
              <w:rPr>
                <w:rFonts w:asciiTheme="minorHAnsi" w:hAnsiTheme="minorHAnsi" w:cstheme="minorHAnsi"/>
                <w:noProof/>
                <w:sz w:val="20"/>
              </w:rPr>
              <w:lastRenderedPageBreak/>
              <w:t>dokumencie Strategii przyjętym przez ZWO w lipcu 2014 r. Struktura systemu zakłada weryfikację:</w:t>
            </w:r>
          </w:p>
          <w:p w14:paraId="2B967847" w14:textId="77777777" w:rsidR="00E8684E" w:rsidRPr="00890249" w:rsidRDefault="00E8684E" w:rsidP="009F296A">
            <w:pPr>
              <w:numPr>
                <w:ilvl w:val="0"/>
                <w:numId w:val="35"/>
              </w:numPr>
              <w:ind w:left="346" w:hanging="283"/>
              <w:jc w:val="left"/>
              <w:rPr>
                <w:rFonts w:asciiTheme="minorHAnsi" w:hAnsiTheme="minorHAnsi" w:cstheme="minorHAnsi"/>
                <w:noProof/>
                <w:sz w:val="20"/>
              </w:rPr>
            </w:pPr>
            <w:r w:rsidRPr="00890249">
              <w:rPr>
                <w:rFonts w:asciiTheme="minorHAnsi" w:hAnsiTheme="minorHAnsi" w:cstheme="minorHAnsi"/>
                <w:noProof/>
                <w:sz w:val="20"/>
              </w:rPr>
              <w:t xml:space="preserve">stopnia realizacji celów określonych w Strategii; </w:t>
            </w:r>
          </w:p>
          <w:p w14:paraId="4691029A" w14:textId="77777777" w:rsidR="00E8684E" w:rsidRPr="00890249" w:rsidRDefault="00E8684E" w:rsidP="009F296A">
            <w:pPr>
              <w:numPr>
                <w:ilvl w:val="0"/>
                <w:numId w:val="35"/>
              </w:numPr>
              <w:ind w:left="346" w:hanging="283"/>
              <w:jc w:val="left"/>
              <w:rPr>
                <w:rFonts w:asciiTheme="minorHAnsi" w:hAnsiTheme="minorHAnsi" w:cstheme="minorHAnsi"/>
                <w:noProof/>
                <w:sz w:val="20"/>
              </w:rPr>
            </w:pPr>
            <w:r w:rsidRPr="00890249">
              <w:rPr>
                <w:rFonts w:asciiTheme="minorHAnsi" w:hAnsiTheme="minorHAnsi" w:cstheme="minorHAnsi"/>
                <w:noProof/>
                <w:sz w:val="20"/>
              </w:rPr>
              <w:t xml:space="preserve">realizacji poszczególnych projektów w ramach Planu Działań do RSIWO 2020 oraz projektów wpisujących się w cele Strategii realizowanych w ramach innych programów pomocowych dostępnych w perspektywie finansowej 2014-2020. </w:t>
            </w:r>
          </w:p>
          <w:p w14:paraId="1A8B1564" w14:textId="77777777" w:rsidR="00E8684E"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W okresie 2014-2020 prowadzono stały monitoring wykorzystując do tego celu dane pochodzące z RPOWO 2014-2020, PO IR, PO WER, PO IŚ, statystyki publicznej, badań i analiz oraz pozyskane w ramach realizacji działań własnych (Grupy Robocze, ankiety). Monitoring stopnia realizacji celów RSIWO prowadzony jest w ujęciu rocznym. </w:t>
            </w:r>
          </w:p>
          <w:p w14:paraId="441D9A5F" w14:textId="64C04EEE" w:rsidR="00ED08A6" w:rsidRPr="00890249" w:rsidRDefault="00ED08A6" w:rsidP="00325D70">
            <w:pPr>
              <w:jc w:val="left"/>
              <w:rPr>
                <w:rFonts w:asciiTheme="minorHAnsi" w:hAnsiTheme="minorHAnsi" w:cstheme="minorHAnsi"/>
                <w:noProof/>
                <w:sz w:val="20"/>
              </w:rPr>
            </w:pPr>
            <w:r>
              <w:rPr>
                <w:rFonts w:asciiTheme="minorHAnsi" w:hAnsiTheme="minorHAnsi" w:cstheme="minorHAnsi"/>
                <w:noProof/>
                <w:sz w:val="20"/>
              </w:rPr>
              <w:t>S</w:t>
            </w:r>
            <w:r w:rsidRPr="00B21A78">
              <w:rPr>
                <w:rFonts w:asciiTheme="minorHAnsi" w:hAnsiTheme="minorHAnsi" w:cstheme="minorHAnsi"/>
                <w:noProof/>
                <w:sz w:val="20"/>
              </w:rPr>
              <w:t>ystem monitorowania i ewaluacji</w:t>
            </w:r>
            <w:r>
              <w:rPr>
                <w:rFonts w:asciiTheme="minorHAnsi" w:hAnsiTheme="minorHAnsi" w:cstheme="minorHAnsi"/>
                <w:noProof/>
                <w:sz w:val="20"/>
              </w:rPr>
              <w:t xml:space="preserve"> RSIWO 2030</w:t>
            </w:r>
            <w:r w:rsidRPr="00B21A78">
              <w:rPr>
                <w:rFonts w:asciiTheme="minorHAnsi" w:hAnsiTheme="minorHAnsi" w:cstheme="minorHAnsi"/>
                <w:noProof/>
                <w:sz w:val="20"/>
              </w:rPr>
              <w:t xml:space="preserve"> zakłada </w:t>
            </w:r>
            <w:r w:rsidRPr="00B21A78">
              <w:rPr>
                <w:rFonts w:asciiTheme="minorHAnsi" w:hAnsiTheme="minorHAnsi" w:cstheme="minorHAnsi"/>
                <w:noProof/>
                <w:sz w:val="20"/>
              </w:rPr>
              <w:lastRenderedPageBreak/>
              <w:t>opracowywanie raportów z monitoringu co 2 lata oraz badań ewaluacyjnych co 4 lata. Monitoring będzie ściśle skorelowany z prowadzeniem PPO, co ma na celu pozyskanie danych z dodatkowych źródeł.</w:t>
            </w:r>
          </w:p>
        </w:tc>
      </w:tr>
      <w:tr w:rsidR="00E8684E" w:rsidRPr="00890249" w14:paraId="00974341" w14:textId="77777777" w:rsidTr="00F62734">
        <w:tc>
          <w:tcPr>
            <w:tcW w:w="1560" w:type="dxa"/>
            <w:vMerge/>
          </w:tcPr>
          <w:p w14:paraId="36B7A443"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3E25763B"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3E3591BF"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28251DD6" w14:textId="77777777" w:rsidR="00E8684E" w:rsidRPr="00890249" w:rsidDel="00C31DFD" w:rsidRDefault="00E8684E" w:rsidP="00E8684E">
            <w:pPr>
              <w:jc w:val="left"/>
              <w:rPr>
                <w:rFonts w:asciiTheme="minorHAnsi" w:hAnsiTheme="minorHAnsi" w:cstheme="minorHAnsi"/>
                <w:noProof/>
                <w:sz w:val="20"/>
              </w:rPr>
            </w:pPr>
          </w:p>
        </w:tc>
        <w:tc>
          <w:tcPr>
            <w:tcW w:w="2551" w:type="dxa"/>
            <w:shd w:val="clear" w:color="auto" w:fill="F2F2F2" w:themeFill="background1" w:themeFillShade="F2"/>
          </w:tcPr>
          <w:p w14:paraId="32F65F3A"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4</w:t>
            </w:r>
          </w:p>
          <w:p w14:paraId="30B00EA9"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Funkcjonowanie współpracy  interesariuszy („proces przedsiębiorczego odkrywania”)</w:t>
            </w:r>
          </w:p>
        </w:tc>
        <w:tc>
          <w:tcPr>
            <w:tcW w:w="1134" w:type="dxa"/>
            <w:shd w:val="clear" w:color="auto" w:fill="F2F2F2" w:themeFill="background1" w:themeFillShade="F2"/>
          </w:tcPr>
          <w:p w14:paraId="6D2F3405"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5881AB41" w14:textId="26BA055D" w:rsidR="00C932BA" w:rsidRPr="00890249" w:rsidRDefault="00E8684E" w:rsidP="00C932BA">
            <w:pPr>
              <w:jc w:val="left"/>
              <w:rPr>
                <w:rFonts w:asciiTheme="minorHAnsi" w:hAnsiTheme="minorHAnsi" w:cstheme="minorHAnsi"/>
                <w:noProof/>
                <w:sz w:val="20"/>
              </w:rPr>
            </w:pPr>
            <w:r w:rsidRPr="00890249">
              <w:rPr>
                <w:rFonts w:asciiTheme="minorHAnsi" w:hAnsiTheme="minorHAnsi" w:cstheme="minorHAnsi"/>
                <w:noProof/>
                <w:sz w:val="20"/>
              </w:rPr>
              <w:t>Analiza wdrażania RSIWO 2020 (2016)</w:t>
            </w:r>
          </w:p>
          <w:p w14:paraId="307A85C0" w14:textId="60DA5E54" w:rsidR="00C932BA" w:rsidRPr="00890249" w:rsidRDefault="00E8684E" w:rsidP="00C932BA">
            <w:pPr>
              <w:jc w:val="left"/>
              <w:rPr>
                <w:rFonts w:asciiTheme="minorHAnsi" w:hAnsiTheme="minorHAnsi" w:cstheme="minorHAnsi"/>
                <w:noProof/>
                <w:sz w:val="20"/>
              </w:rPr>
            </w:pPr>
            <w:r w:rsidRPr="00890249">
              <w:rPr>
                <w:rFonts w:asciiTheme="minorHAnsi" w:hAnsiTheme="minorHAnsi" w:cstheme="minorHAnsi"/>
                <w:noProof/>
                <w:sz w:val="20"/>
              </w:rPr>
              <w:t>Analiza trendów rozwojowych w obszarach inteligentnych specjalizacji województwa opolskiego (2017)</w:t>
            </w:r>
          </w:p>
          <w:p w14:paraId="65FDB288" w14:textId="2238EB8C" w:rsidR="00C932BA" w:rsidRPr="00890249" w:rsidRDefault="00E8684E" w:rsidP="00C932BA">
            <w:pPr>
              <w:jc w:val="left"/>
              <w:rPr>
                <w:rFonts w:asciiTheme="minorHAnsi" w:hAnsiTheme="minorHAnsi" w:cstheme="minorHAnsi"/>
                <w:noProof/>
                <w:sz w:val="20"/>
              </w:rPr>
            </w:pPr>
            <w:r w:rsidRPr="00890249">
              <w:rPr>
                <w:rFonts w:asciiTheme="minorHAnsi" w:hAnsiTheme="minorHAnsi" w:cstheme="minorHAnsi"/>
                <w:noProof/>
                <w:sz w:val="20"/>
              </w:rPr>
              <w:t>Analiz stanu innowacyjności gospodarki województwa opolskiego (2018)</w:t>
            </w:r>
          </w:p>
          <w:p w14:paraId="5F37FDF2" w14:textId="77777777" w:rsidR="00E8684E" w:rsidRPr="00890249" w:rsidRDefault="00E8684E">
            <w:pPr>
              <w:jc w:val="left"/>
              <w:rPr>
                <w:rFonts w:asciiTheme="minorHAnsi" w:hAnsiTheme="minorHAnsi" w:cstheme="minorHAnsi"/>
                <w:noProof/>
                <w:sz w:val="20"/>
              </w:rPr>
            </w:pPr>
            <w:r w:rsidRPr="00890249">
              <w:rPr>
                <w:rFonts w:asciiTheme="minorHAnsi" w:hAnsiTheme="minorHAnsi" w:cstheme="minorHAnsi"/>
                <w:noProof/>
                <w:sz w:val="20"/>
              </w:rPr>
              <w:t>Analiza potencjału opolskich Instytucji Otoczenia Biznesu w regionalnym systemie innowacji (2020)</w:t>
            </w:r>
          </w:p>
          <w:p w14:paraId="22C8C362" w14:textId="77777777" w:rsidR="0089580C" w:rsidRPr="00890249" w:rsidRDefault="0089580C" w:rsidP="0089580C">
            <w:pPr>
              <w:rPr>
                <w:rFonts w:asciiTheme="minorHAnsi" w:hAnsiTheme="minorHAnsi" w:cstheme="minorHAnsi"/>
                <w:noProof/>
                <w:sz w:val="20"/>
              </w:rPr>
            </w:pPr>
            <w:hyperlink r:id="rId86" w:history="1">
              <w:r w:rsidRPr="00890249">
                <w:rPr>
                  <w:rStyle w:val="Hipercze"/>
                  <w:rFonts w:asciiTheme="minorHAnsi" w:hAnsiTheme="minorHAnsi" w:cstheme="minorHAnsi"/>
                  <w:noProof/>
                  <w:sz w:val="20"/>
                </w:rPr>
                <w:t>https://ocrg.opolskie.pl/opracowanie-przez-beneficjenta-dokumentu-strategicznego-wskazujacego-kierunki-rozwoju-wojewodztwa-opolskiego-dla-polityki-badawczo-rozwojowej-w-latach-2020-2026/</w:t>
              </w:r>
            </w:hyperlink>
          </w:p>
          <w:p w14:paraId="24A5C622" w14:textId="5EB19F45" w:rsidR="0089580C" w:rsidRPr="00890249" w:rsidDel="00436018" w:rsidRDefault="0089580C">
            <w:pPr>
              <w:jc w:val="left"/>
              <w:rPr>
                <w:rFonts w:asciiTheme="minorHAnsi" w:hAnsiTheme="minorHAnsi" w:cstheme="minorHAnsi"/>
                <w:noProof/>
                <w:sz w:val="20"/>
              </w:rPr>
            </w:pPr>
          </w:p>
        </w:tc>
        <w:tc>
          <w:tcPr>
            <w:tcW w:w="2977" w:type="dxa"/>
            <w:shd w:val="clear" w:color="auto" w:fill="F2F2F2" w:themeFill="background1" w:themeFillShade="F2"/>
          </w:tcPr>
          <w:p w14:paraId="06AEC226"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Opis Procesu Przedsiębiorczego Odkrywania znajduje się w dokumencie RSIWO 2030 w formie załącznika i zawiera szczegółowy opis planowanego systemu. Uaktualnione założenia PPO zostały opracowane w oparciu o doświadczenia płynące z jego realizacji w ramach perspektywy 2014-2020 i oceny jego skuteczności. </w:t>
            </w:r>
          </w:p>
          <w:p w14:paraId="795ADD54"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Proces PPO jest prowadzony </w:t>
            </w:r>
            <w:r w:rsidRPr="00890249">
              <w:rPr>
                <w:rFonts w:asciiTheme="minorHAnsi" w:hAnsiTheme="minorHAnsi" w:cstheme="minorHAnsi"/>
                <w:b/>
                <w:noProof/>
                <w:sz w:val="20"/>
              </w:rPr>
              <w:t>w trybie ciągłym</w:t>
            </w:r>
            <w:r w:rsidRPr="00890249">
              <w:rPr>
                <w:rFonts w:asciiTheme="minorHAnsi" w:hAnsiTheme="minorHAnsi" w:cstheme="minorHAnsi"/>
                <w:noProof/>
                <w:sz w:val="20"/>
              </w:rPr>
              <w:t xml:space="preserve"> i obejmuje szereg równolegle realizowanych inicjatyw mających na celu zaangażowanie jak najszerszych grup interesariuszy. </w:t>
            </w:r>
          </w:p>
          <w:p w14:paraId="2DE9E231"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 xml:space="preserve">W ramach PPO pojawiły się oddolne inicjatywy koordynowane przez Uniwersytet Opolski, Wyższą Zawodową Szkołę Medyczną w Opolu i Park Przemysłowy METLACHEM, które </w:t>
            </w:r>
            <w:r w:rsidRPr="00890249">
              <w:rPr>
                <w:rFonts w:asciiTheme="minorHAnsi" w:hAnsiTheme="minorHAnsi" w:cstheme="minorHAnsi"/>
                <w:noProof/>
                <w:sz w:val="20"/>
              </w:rPr>
              <w:lastRenderedPageBreak/>
              <w:t xml:space="preserve">zgromadziły </w:t>
            </w:r>
            <w:r w:rsidRPr="00890249">
              <w:rPr>
                <w:rFonts w:asciiTheme="minorHAnsi" w:hAnsiTheme="minorHAnsi" w:cstheme="minorHAnsi"/>
                <w:noProof/>
                <w:sz w:val="20"/>
              </w:rPr>
              <w:br/>
              <w:t>w efekcie liczne grono podmiotów zainteresowanych zacieśnieniem współpracy w ww. obszarach.</w:t>
            </w:r>
          </w:p>
        </w:tc>
      </w:tr>
      <w:tr w:rsidR="00E8684E" w:rsidRPr="00890249" w14:paraId="2B14FA24" w14:textId="77777777" w:rsidTr="00F62734">
        <w:tc>
          <w:tcPr>
            <w:tcW w:w="1560" w:type="dxa"/>
            <w:vMerge/>
          </w:tcPr>
          <w:p w14:paraId="45FBB2BC"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6404B0E2"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2302CA8F"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3D219E79" w14:textId="77777777" w:rsidR="00E8684E" w:rsidRPr="00890249" w:rsidDel="00C31DFD" w:rsidRDefault="00E8684E" w:rsidP="00E8684E">
            <w:pPr>
              <w:jc w:val="left"/>
              <w:rPr>
                <w:rFonts w:asciiTheme="minorHAnsi" w:hAnsiTheme="minorHAnsi" w:cstheme="minorHAnsi"/>
                <w:noProof/>
                <w:sz w:val="20"/>
              </w:rPr>
            </w:pPr>
          </w:p>
        </w:tc>
        <w:tc>
          <w:tcPr>
            <w:tcW w:w="2551" w:type="dxa"/>
            <w:shd w:val="clear" w:color="auto" w:fill="F2F2F2" w:themeFill="background1" w:themeFillShade="F2"/>
          </w:tcPr>
          <w:p w14:paraId="4DC96F95"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5</w:t>
            </w:r>
          </w:p>
          <w:p w14:paraId="43CA88FC"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Działania mające na celu poprawę krajowych lub regionalnych systemów badań i innowacji, w stosownych przypadkach.</w:t>
            </w:r>
          </w:p>
        </w:tc>
        <w:tc>
          <w:tcPr>
            <w:tcW w:w="1134" w:type="dxa"/>
            <w:shd w:val="clear" w:color="auto" w:fill="F2F2F2" w:themeFill="background1" w:themeFillShade="F2"/>
          </w:tcPr>
          <w:p w14:paraId="4BF60DED"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398129E5"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RSIWO 2030 </w:t>
            </w:r>
          </w:p>
          <w:p w14:paraId="2B310624" w14:textId="48847962" w:rsidR="00C932BA" w:rsidRPr="00890249" w:rsidDel="00436018" w:rsidRDefault="0089580C" w:rsidP="00E8684E">
            <w:pPr>
              <w:jc w:val="left"/>
              <w:rPr>
                <w:rFonts w:asciiTheme="minorHAnsi" w:hAnsiTheme="minorHAnsi" w:cstheme="minorHAnsi"/>
                <w:noProof/>
                <w:sz w:val="18"/>
              </w:rPr>
            </w:pPr>
            <w:hyperlink r:id="rId87" w:history="1">
              <w:r w:rsidRPr="00890249">
                <w:rPr>
                  <w:rStyle w:val="Hipercze"/>
                  <w:rFonts w:asciiTheme="minorHAnsi" w:hAnsiTheme="minorHAnsi" w:cstheme="minorHAnsi"/>
                  <w:noProof/>
                  <w:sz w:val="20"/>
                </w:rPr>
                <w:t>https://www.opolskie.pl/region/rozwoj-regionalny/</w:t>
              </w:r>
            </w:hyperlink>
          </w:p>
        </w:tc>
        <w:tc>
          <w:tcPr>
            <w:tcW w:w="2977" w:type="dxa"/>
            <w:shd w:val="clear" w:color="auto" w:fill="F2F2F2" w:themeFill="background1" w:themeFillShade="F2"/>
          </w:tcPr>
          <w:p w14:paraId="12C565A7"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Zarząd Województwa Opolskiego od kilkunastu lat prowadzi systemowe wsparcie regionalnego systemu innowacji wykorzystując zarówno środki z RPO WO 2007-2013, RPO WO 2014-2020, INTERREG jak również środki własne. W ramach tych działań należy wymienić, m.in.:</w:t>
            </w:r>
          </w:p>
          <w:p w14:paraId="39D97197"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t>Wspieranie potencjału usługowego regionalnych IOB,</w:t>
            </w:r>
          </w:p>
          <w:p w14:paraId="65E770FD"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t>Rozwijanie inicjatyw klastrowych i powiazań kooperacyjnych,</w:t>
            </w:r>
          </w:p>
          <w:p w14:paraId="7AE69085"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t>Uruchomienie systemu instrumentów zwrotnych i bezzwrotnych adresowanych do lokalnych MSP,</w:t>
            </w:r>
          </w:p>
          <w:p w14:paraId="7A432CC2"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t>Inicjowanie współpracy nauka-biznes,</w:t>
            </w:r>
          </w:p>
          <w:p w14:paraId="7E1904C9"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lastRenderedPageBreak/>
              <w:t>Animowanie działań na rzecz umiędzynarodowienia działalności przedsiębiorstw,</w:t>
            </w:r>
          </w:p>
          <w:p w14:paraId="20D98C08"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t xml:space="preserve">Sieciowanie współpracy regionalnych IOB, uczelni, organizacji badawczych i firm, </w:t>
            </w:r>
          </w:p>
          <w:p w14:paraId="54DDCFDE" w14:textId="77777777" w:rsidR="00E8684E" w:rsidRPr="00890249" w:rsidRDefault="00E8684E" w:rsidP="009F296A">
            <w:pPr>
              <w:numPr>
                <w:ilvl w:val="0"/>
                <w:numId w:val="36"/>
              </w:numPr>
              <w:ind w:left="346" w:hanging="283"/>
              <w:jc w:val="left"/>
              <w:rPr>
                <w:rFonts w:asciiTheme="minorHAnsi" w:hAnsiTheme="minorHAnsi" w:cstheme="minorHAnsi"/>
                <w:noProof/>
                <w:sz w:val="20"/>
              </w:rPr>
            </w:pPr>
            <w:r w:rsidRPr="00890249">
              <w:rPr>
                <w:rFonts w:asciiTheme="minorHAnsi" w:hAnsiTheme="minorHAnsi" w:cstheme="minorHAnsi"/>
                <w:noProof/>
                <w:sz w:val="20"/>
              </w:rPr>
              <w:t>Wykonywanie analiz opolskiego systemu innowacji i potencjału innowacyjnego regionalnej gospodarki.</w:t>
            </w:r>
          </w:p>
          <w:p w14:paraId="5C7C63FE"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Działania na rzecz rozwijania RSI będą nadal kontynuowane i rozwijane przez ZWO w kolejnych latach.</w:t>
            </w:r>
          </w:p>
        </w:tc>
      </w:tr>
      <w:tr w:rsidR="00E8684E" w:rsidRPr="00890249" w14:paraId="1386573E" w14:textId="77777777" w:rsidTr="00F62734">
        <w:tc>
          <w:tcPr>
            <w:tcW w:w="1560" w:type="dxa"/>
            <w:vMerge/>
          </w:tcPr>
          <w:p w14:paraId="5ECCFC03"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78ECDD1F"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31EBECE4"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2EBBFC5" w14:textId="77777777" w:rsidR="00E8684E" w:rsidRPr="00890249" w:rsidDel="00C31DFD" w:rsidRDefault="00E8684E" w:rsidP="00E8684E">
            <w:pPr>
              <w:jc w:val="left"/>
              <w:rPr>
                <w:rFonts w:asciiTheme="minorHAnsi" w:hAnsiTheme="minorHAnsi" w:cstheme="minorHAnsi"/>
                <w:noProof/>
                <w:sz w:val="20"/>
              </w:rPr>
            </w:pPr>
          </w:p>
        </w:tc>
        <w:tc>
          <w:tcPr>
            <w:tcW w:w="2551" w:type="dxa"/>
            <w:shd w:val="clear" w:color="auto" w:fill="F2F2F2" w:themeFill="background1" w:themeFillShade="F2"/>
          </w:tcPr>
          <w:p w14:paraId="6928B358" w14:textId="77777777" w:rsidR="00E8684E" w:rsidRPr="00890249" w:rsidRDefault="00E8684E" w:rsidP="00E8684E">
            <w:pPr>
              <w:jc w:val="left"/>
              <w:rPr>
                <w:rFonts w:asciiTheme="minorHAnsi" w:hAnsiTheme="minorHAnsi" w:cstheme="minorHAnsi"/>
                <w:noProof/>
                <w:sz w:val="20"/>
              </w:rPr>
            </w:pPr>
          </w:p>
          <w:p w14:paraId="59751B72"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6</w:t>
            </w:r>
          </w:p>
          <w:p w14:paraId="7CAAD481"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W stosownych przypadkach, działania wspierające transformację przemysłową.</w:t>
            </w:r>
          </w:p>
        </w:tc>
        <w:tc>
          <w:tcPr>
            <w:tcW w:w="1134" w:type="dxa"/>
            <w:shd w:val="clear" w:color="auto" w:fill="F2F2F2" w:themeFill="background1" w:themeFillShade="F2"/>
          </w:tcPr>
          <w:p w14:paraId="40A74EE0"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6D89C482" w14:textId="77777777" w:rsidR="00C932BA" w:rsidRPr="00890249" w:rsidRDefault="00C932BA" w:rsidP="00C932BA">
            <w:pPr>
              <w:jc w:val="left"/>
              <w:rPr>
                <w:rFonts w:asciiTheme="minorHAnsi" w:hAnsiTheme="minorHAnsi" w:cstheme="minorHAnsi"/>
                <w:noProof/>
                <w:sz w:val="20"/>
              </w:rPr>
            </w:pPr>
            <w:r w:rsidRPr="00890249">
              <w:rPr>
                <w:rFonts w:asciiTheme="minorHAnsi" w:hAnsiTheme="minorHAnsi" w:cstheme="minorHAnsi"/>
                <w:noProof/>
                <w:sz w:val="20"/>
              </w:rPr>
              <w:t>Strategia rozwoju województwa opolskiego – Opolskie 2030</w:t>
            </w:r>
          </w:p>
          <w:p w14:paraId="5944A6F6" w14:textId="4FFCFECE" w:rsidR="00C932BA" w:rsidRPr="00890249" w:rsidRDefault="00C932BA" w:rsidP="00C932BA">
            <w:pPr>
              <w:jc w:val="left"/>
              <w:rPr>
                <w:rFonts w:asciiTheme="minorHAnsi" w:hAnsiTheme="minorHAnsi" w:cstheme="minorHAnsi"/>
                <w:noProof/>
                <w:sz w:val="20"/>
              </w:rPr>
            </w:pPr>
            <w:hyperlink r:id="rId88" w:history="1">
              <w:r w:rsidRPr="00890249">
                <w:rPr>
                  <w:rStyle w:val="Hipercze"/>
                  <w:rFonts w:asciiTheme="minorHAnsi" w:eastAsia="Times New Roman" w:hAnsiTheme="minorHAnsi" w:cstheme="minorHAnsi"/>
                  <w:iCs/>
                  <w:noProof/>
                  <w:sz w:val="20"/>
                </w:rPr>
                <w:t>https://www.opolskie.pl/region/rozwoj-regionalny/strategia-rozwoju-wojewodztwa-opolskiego-opolskie-2030/</w:t>
              </w:r>
            </w:hyperlink>
          </w:p>
          <w:p w14:paraId="39C60F66" w14:textId="77777777" w:rsidR="00C932BA"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RSIWO 2030</w:t>
            </w:r>
          </w:p>
          <w:p w14:paraId="0DE970F1" w14:textId="77777777" w:rsidR="0089580C" w:rsidRPr="00890249" w:rsidRDefault="0089580C" w:rsidP="0089580C">
            <w:pPr>
              <w:jc w:val="left"/>
              <w:rPr>
                <w:rFonts w:asciiTheme="minorHAnsi" w:hAnsiTheme="minorHAnsi" w:cstheme="minorHAnsi"/>
                <w:noProof/>
                <w:sz w:val="18"/>
              </w:rPr>
            </w:pPr>
            <w:hyperlink r:id="rId89" w:history="1">
              <w:r w:rsidRPr="00890249">
                <w:rPr>
                  <w:rStyle w:val="Hipercze"/>
                  <w:rFonts w:asciiTheme="minorHAnsi" w:hAnsiTheme="minorHAnsi" w:cstheme="minorHAnsi"/>
                  <w:noProof/>
                  <w:sz w:val="20"/>
                </w:rPr>
                <w:t>https://www.opolskie.pl/region/rozwoj-regionalny/</w:t>
              </w:r>
            </w:hyperlink>
          </w:p>
          <w:p w14:paraId="3256594A"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Program ochrony powietrza dla województwa opolskiego</w:t>
            </w:r>
          </w:p>
          <w:p w14:paraId="2921A83D" w14:textId="117EA21F" w:rsidR="00E8684E" w:rsidRPr="00890249" w:rsidDel="00436018" w:rsidRDefault="00C932BA" w:rsidP="00E8684E">
            <w:pPr>
              <w:jc w:val="left"/>
              <w:rPr>
                <w:rFonts w:asciiTheme="minorHAnsi" w:hAnsiTheme="minorHAnsi" w:cstheme="minorHAnsi"/>
                <w:noProof/>
                <w:sz w:val="20"/>
              </w:rPr>
            </w:pPr>
            <w:hyperlink r:id="rId90" w:history="1">
              <w:r w:rsidRPr="00890249">
                <w:rPr>
                  <w:rStyle w:val="Hipercze"/>
                  <w:rFonts w:asciiTheme="minorHAnsi" w:hAnsiTheme="minorHAnsi" w:cstheme="minorHAnsi"/>
                  <w:noProof/>
                  <w:sz w:val="20"/>
                </w:rPr>
                <w:t>https://bip.opolskie.pl/2020/01/program-ochrony-powietrza-2020-r/</w:t>
              </w:r>
            </w:hyperlink>
            <w:r w:rsidRPr="00890249">
              <w:rPr>
                <w:rFonts w:asciiTheme="minorHAnsi" w:hAnsiTheme="minorHAnsi" w:cstheme="minorHAnsi"/>
                <w:noProof/>
                <w:sz w:val="20"/>
              </w:rPr>
              <w:t xml:space="preserve"> </w:t>
            </w:r>
          </w:p>
        </w:tc>
        <w:tc>
          <w:tcPr>
            <w:tcW w:w="2977" w:type="dxa"/>
            <w:shd w:val="clear" w:color="auto" w:fill="F2F2F2" w:themeFill="background1" w:themeFillShade="F2"/>
          </w:tcPr>
          <w:p w14:paraId="0B3FFFA2"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lastRenderedPageBreak/>
              <w:t>W odpowiedzi na główne wyzwania rozwojowe określone przez KE oraz trendy dominujące w gospodarce światowej ZWO inicjuje kierunki zmian w gospodarce regionu wpisujące się w szeroko rozumiane procesy transformacji gospodarczej.</w:t>
            </w:r>
          </w:p>
          <w:p w14:paraId="313EAAAA" w14:textId="77777777" w:rsidR="00E8684E" w:rsidRPr="00890249" w:rsidRDefault="00E8684E" w:rsidP="00325D70">
            <w:pPr>
              <w:jc w:val="left"/>
              <w:rPr>
                <w:rFonts w:asciiTheme="minorHAnsi" w:hAnsiTheme="minorHAnsi" w:cstheme="minorHAnsi"/>
                <w:noProof/>
                <w:sz w:val="20"/>
              </w:rPr>
            </w:pPr>
          </w:p>
          <w:p w14:paraId="4C261A2B"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b/>
                <w:noProof/>
                <w:sz w:val="20"/>
              </w:rPr>
              <w:t xml:space="preserve">W Strategii Opolskie 2030 </w:t>
            </w:r>
            <w:r w:rsidRPr="00890249">
              <w:rPr>
                <w:rFonts w:asciiTheme="minorHAnsi" w:hAnsiTheme="minorHAnsi" w:cstheme="minorHAnsi"/>
                <w:noProof/>
                <w:sz w:val="20"/>
              </w:rPr>
              <w:t xml:space="preserve">zaprogramowane zostały działania, które wychodzą </w:t>
            </w:r>
            <w:r w:rsidRPr="00890249">
              <w:rPr>
                <w:rFonts w:asciiTheme="minorHAnsi" w:hAnsiTheme="minorHAnsi" w:cstheme="minorHAnsi"/>
                <w:noProof/>
                <w:sz w:val="20"/>
              </w:rPr>
              <w:lastRenderedPageBreak/>
              <w:t>naprzeciw tym wyzwaniom, a mianowicie:</w:t>
            </w:r>
          </w:p>
          <w:p w14:paraId="6CC6B85D" w14:textId="77777777" w:rsidR="00E8684E" w:rsidRPr="00890249" w:rsidRDefault="00E8684E" w:rsidP="009F296A">
            <w:pPr>
              <w:numPr>
                <w:ilvl w:val="0"/>
                <w:numId w:val="38"/>
              </w:numPr>
              <w:ind w:left="204" w:hanging="141"/>
              <w:contextualSpacing/>
              <w:jc w:val="left"/>
              <w:rPr>
                <w:rFonts w:asciiTheme="minorHAnsi" w:hAnsiTheme="minorHAnsi" w:cstheme="minorHAnsi"/>
                <w:noProof/>
                <w:sz w:val="20"/>
              </w:rPr>
            </w:pPr>
            <w:r w:rsidRPr="00890249">
              <w:rPr>
                <w:rFonts w:asciiTheme="minorHAnsi" w:hAnsiTheme="minorHAnsi" w:cstheme="minorHAnsi"/>
                <w:noProof/>
                <w:sz w:val="20"/>
              </w:rPr>
              <w:t>Zielona Gospodarka</w:t>
            </w:r>
          </w:p>
          <w:p w14:paraId="1E9BB256" w14:textId="77777777" w:rsidR="00E8684E" w:rsidRPr="00890249" w:rsidRDefault="00E8684E" w:rsidP="009F296A">
            <w:pPr>
              <w:numPr>
                <w:ilvl w:val="0"/>
                <w:numId w:val="38"/>
              </w:numPr>
              <w:ind w:left="204" w:hanging="141"/>
              <w:contextualSpacing/>
              <w:jc w:val="left"/>
              <w:rPr>
                <w:rFonts w:asciiTheme="minorHAnsi" w:hAnsiTheme="minorHAnsi" w:cstheme="minorHAnsi"/>
                <w:noProof/>
                <w:sz w:val="20"/>
              </w:rPr>
            </w:pPr>
            <w:r w:rsidRPr="00890249">
              <w:rPr>
                <w:rFonts w:asciiTheme="minorHAnsi" w:hAnsiTheme="minorHAnsi" w:cstheme="minorHAnsi"/>
                <w:noProof/>
                <w:sz w:val="20"/>
              </w:rPr>
              <w:t>Gospodarka Obiegu Zamkniętego</w:t>
            </w:r>
          </w:p>
          <w:p w14:paraId="56154C1B" w14:textId="77777777" w:rsidR="00E8684E" w:rsidRPr="00890249" w:rsidRDefault="00E8684E" w:rsidP="009F296A">
            <w:pPr>
              <w:numPr>
                <w:ilvl w:val="0"/>
                <w:numId w:val="38"/>
              </w:numPr>
              <w:ind w:left="204" w:hanging="141"/>
              <w:contextualSpacing/>
              <w:jc w:val="left"/>
              <w:rPr>
                <w:rFonts w:asciiTheme="minorHAnsi" w:hAnsiTheme="minorHAnsi" w:cstheme="minorHAnsi"/>
                <w:noProof/>
                <w:sz w:val="20"/>
              </w:rPr>
            </w:pPr>
            <w:r w:rsidRPr="00890249">
              <w:rPr>
                <w:rFonts w:asciiTheme="minorHAnsi" w:hAnsiTheme="minorHAnsi" w:cstheme="minorHAnsi"/>
                <w:noProof/>
                <w:sz w:val="20"/>
              </w:rPr>
              <w:t>Przemysł 4.0 i Transformacja Cyfrowa</w:t>
            </w:r>
          </w:p>
          <w:p w14:paraId="0A1590DD" w14:textId="77777777" w:rsidR="00E8684E" w:rsidRPr="00890249" w:rsidRDefault="00E8684E" w:rsidP="00325D70">
            <w:pPr>
              <w:jc w:val="left"/>
              <w:rPr>
                <w:rFonts w:asciiTheme="minorHAnsi" w:hAnsiTheme="minorHAnsi" w:cstheme="minorHAnsi"/>
                <w:noProof/>
                <w:sz w:val="20"/>
              </w:rPr>
            </w:pPr>
          </w:p>
          <w:p w14:paraId="786314B8" w14:textId="77777777" w:rsidR="00E8684E" w:rsidRPr="00890249" w:rsidRDefault="00E8684E" w:rsidP="00325D70">
            <w:pPr>
              <w:jc w:val="left"/>
              <w:rPr>
                <w:rFonts w:asciiTheme="minorHAnsi" w:hAnsiTheme="minorHAnsi" w:cstheme="minorHAnsi"/>
                <w:noProof/>
                <w:sz w:val="20"/>
              </w:rPr>
            </w:pPr>
            <w:r w:rsidRPr="00890249">
              <w:rPr>
                <w:rFonts w:asciiTheme="minorHAnsi" w:hAnsiTheme="minorHAnsi" w:cstheme="minorHAnsi"/>
                <w:noProof/>
                <w:sz w:val="20"/>
              </w:rPr>
              <w:t>W perspektywie finansowej 2021-2027 planuje się następujące kierunki działań:</w:t>
            </w:r>
          </w:p>
          <w:p w14:paraId="0C1EDE05"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działania w zakresie efektywności energetycznej,</w:t>
            </w:r>
          </w:p>
          <w:p w14:paraId="17380D02"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promowanie odnawialnych źródeł energii,</w:t>
            </w:r>
          </w:p>
          <w:p w14:paraId="5C57B920"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działania w zakresie dostosowania do zmiany klimatu, zapobiegania ryzyku i odporności na klęski żywiołowe,</w:t>
            </w:r>
          </w:p>
          <w:p w14:paraId="2C65F1B1"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zrównoważona gospodarka wodna,</w:t>
            </w:r>
          </w:p>
          <w:p w14:paraId="5DF5F0CF"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wspieranie przechodzenia na gospodarkę o obiegu zamkniętym,</w:t>
            </w:r>
          </w:p>
          <w:p w14:paraId="3F24296A"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 xml:space="preserve">sprzyjanie bioróżnorodności i rozwojowi zielonej infrastruktury w środowisku </w:t>
            </w:r>
            <w:r w:rsidRPr="00890249">
              <w:rPr>
                <w:rFonts w:asciiTheme="minorHAnsi" w:hAnsiTheme="minorHAnsi" w:cstheme="minorHAnsi"/>
                <w:noProof/>
                <w:sz w:val="20"/>
              </w:rPr>
              <w:lastRenderedPageBreak/>
              <w:t>miejskim oraz zmniejszanie zanieczyszczenia,</w:t>
            </w:r>
          </w:p>
          <w:p w14:paraId="695596C8" w14:textId="77777777" w:rsidR="00E8684E" w:rsidRPr="00890249" w:rsidRDefault="00E8684E" w:rsidP="009F296A">
            <w:pPr>
              <w:numPr>
                <w:ilvl w:val="0"/>
                <w:numId w:val="39"/>
              </w:numPr>
              <w:ind w:left="204" w:hanging="141"/>
              <w:jc w:val="left"/>
              <w:rPr>
                <w:rFonts w:asciiTheme="minorHAnsi" w:hAnsiTheme="minorHAnsi" w:cstheme="minorHAnsi"/>
                <w:noProof/>
                <w:sz w:val="20"/>
              </w:rPr>
            </w:pPr>
            <w:r w:rsidRPr="00890249">
              <w:rPr>
                <w:rFonts w:asciiTheme="minorHAnsi" w:hAnsiTheme="minorHAnsi" w:cstheme="minorHAnsi"/>
                <w:noProof/>
                <w:sz w:val="20"/>
              </w:rPr>
              <w:t>wspieranie zrównoważonej multimodalnej mobilności miejskiej.</w:t>
            </w:r>
          </w:p>
        </w:tc>
      </w:tr>
      <w:tr w:rsidR="00E8684E" w:rsidRPr="00890249" w14:paraId="7D815B97" w14:textId="77777777" w:rsidTr="00F62734">
        <w:tc>
          <w:tcPr>
            <w:tcW w:w="1560" w:type="dxa"/>
            <w:vMerge/>
          </w:tcPr>
          <w:p w14:paraId="23CD9E2C"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2239BDC0"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C313855"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274AD698" w14:textId="77777777" w:rsidR="00E8684E" w:rsidRPr="00890249" w:rsidDel="00C31DFD" w:rsidRDefault="00E8684E" w:rsidP="00E8684E">
            <w:pPr>
              <w:jc w:val="left"/>
              <w:rPr>
                <w:rFonts w:asciiTheme="minorHAnsi" w:hAnsiTheme="minorHAnsi" w:cstheme="minorHAnsi"/>
                <w:noProof/>
                <w:sz w:val="20"/>
              </w:rPr>
            </w:pPr>
          </w:p>
        </w:tc>
        <w:tc>
          <w:tcPr>
            <w:tcW w:w="2551" w:type="dxa"/>
            <w:shd w:val="clear" w:color="auto" w:fill="F2F2F2" w:themeFill="background1" w:themeFillShade="F2"/>
          </w:tcPr>
          <w:p w14:paraId="7D174428"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Kryterium 7</w:t>
            </w:r>
          </w:p>
          <w:p w14:paraId="009EA28E"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Środki służące zacieśnieniu współpracy z partnerami spoza danego państwa członkowskiego w obszarach priorytetowych wspieranych w ramach strategii inteligentnej specjalizacji.</w:t>
            </w:r>
          </w:p>
        </w:tc>
        <w:tc>
          <w:tcPr>
            <w:tcW w:w="1134" w:type="dxa"/>
            <w:shd w:val="clear" w:color="auto" w:fill="F2F2F2" w:themeFill="background1" w:themeFillShade="F2"/>
          </w:tcPr>
          <w:p w14:paraId="60CEC3FA"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Tak</w:t>
            </w:r>
          </w:p>
        </w:tc>
        <w:tc>
          <w:tcPr>
            <w:tcW w:w="3402" w:type="dxa"/>
            <w:shd w:val="clear" w:color="auto" w:fill="F2F2F2" w:themeFill="background1" w:themeFillShade="F2"/>
          </w:tcPr>
          <w:p w14:paraId="774135F8"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RSIWO 2030 </w:t>
            </w:r>
          </w:p>
          <w:p w14:paraId="1BC062D5" w14:textId="729989CC" w:rsidR="00C932BA" w:rsidRPr="00890249" w:rsidDel="00436018" w:rsidRDefault="0089580C" w:rsidP="00E8684E">
            <w:pPr>
              <w:jc w:val="left"/>
              <w:rPr>
                <w:rFonts w:asciiTheme="minorHAnsi" w:hAnsiTheme="minorHAnsi" w:cstheme="minorHAnsi"/>
                <w:noProof/>
                <w:sz w:val="18"/>
              </w:rPr>
            </w:pPr>
            <w:hyperlink r:id="rId91" w:history="1">
              <w:r w:rsidRPr="00890249">
                <w:rPr>
                  <w:rStyle w:val="Hipercze"/>
                  <w:rFonts w:asciiTheme="minorHAnsi" w:hAnsiTheme="minorHAnsi" w:cstheme="minorHAnsi"/>
                  <w:noProof/>
                  <w:sz w:val="20"/>
                </w:rPr>
                <w:t>https://www.opolskie.pl/region/rozwoj-regionalny/</w:t>
              </w:r>
            </w:hyperlink>
          </w:p>
        </w:tc>
        <w:tc>
          <w:tcPr>
            <w:tcW w:w="2977" w:type="dxa"/>
            <w:shd w:val="clear" w:color="auto" w:fill="F2F2F2" w:themeFill="background1" w:themeFillShade="F2"/>
          </w:tcPr>
          <w:p w14:paraId="3E9C430C" w14:textId="45D7CBE7" w:rsidR="00E8684E" w:rsidRPr="00890249" w:rsidRDefault="002673AC" w:rsidP="00325D70">
            <w:pPr>
              <w:jc w:val="left"/>
              <w:rPr>
                <w:rFonts w:asciiTheme="minorHAnsi" w:hAnsiTheme="minorHAnsi" w:cstheme="minorHAnsi"/>
                <w:noProof/>
                <w:sz w:val="20"/>
              </w:rPr>
            </w:pPr>
            <w:r>
              <w:rPr>
                <w:rFonts w:asciiTheme="minorHAnsi" w:hAnsiTheme="minorHAnsi" w:cstheme="minorHAnsi"/>
                <w:noProof/>
                <w:sz w:val="20"/>
              </w:rPr>
              <w:t>ZWO</w:t>
            </w:r>
            <w:r w:rsidR="00E8684E" w:rsidRPr="00890249">
              <w:rPr>
                <w:rFonts w:asciiTheme="minorHAnsi" w:hAnsiTheme="minorHAnsi" w:cstheme="minorHAnsi"/>
                <w:noProof/>
                <w:sz w:val="20"/>
              </w:rPr>
              <w:t xml:space="preserve"> </w:t>
            </w:r>
            <w:r w:rsidR="00C932BA" w:rsidRPr="00890249">
              <w:rPr>
                <w:rFonts w:asciiTheme="minorHAnsi" w:hAnsiTheme="minorHAnsi" w:cstheme="minorHAnsi"/>
                <w:noProof/>
                <w:sz w:val="20"/>
              </w:rPr>
              <w:t>w do</w:t>
            </w:r>
            <w:r w:rsidR="00B64EC8">
              <w:rPr>
                <w:rFonts w:asciiTheme="minorHAnsi" w:hAnsiTheme="minorHAnsi" w:cstheme="minorHAnsi"/>
                <w:noProof/>
                <w:sz w:val="20"/>
              </w:rPr>
              <w:t>t</w:t>
            </w:r>
            <w:r w:rsidR="00C932BA" w:rsidRPr="00890249">
              <w:rPr>
                <w:rFonts w:asciiTheme="minorHAnsi" w:hAnsiTheme="minorHAnsi" w:cstheme="minorHAnsi"/>
                <w:noProof/>
                <w:sz w:val="20"/>
              </w:rPr>
              <w:t xml:space="preserve">ychczasowych </w:t>
            </w:r>
            <w:r>
              <w:rPr>
                <w:rFonts w:asciiTheme="minorHAnsi" w:hAnsiTheme="minorHAnsi" w:cstheme="minorHAnsi"/>
                <w:noProof/>
                <w:sz w:val="20"/>
              </w:rPr>
              <w:t>persp.</w:t>
            </w:r>
            <w:r w:rsidR="00C932BA" w:rsidRPr="00890249">
              <w:rPr>
                <w:rFonts w:asciiTheme="minorHAnsi" w:hAnsiTheme="minorHAnsi" w:cstheme="minorHAnsi"/>
                <w:noProof/>
                <w:sz w:val="20"/>
              </w:rPr>
              <w:t xml:space="preserve"> fin</w:t>
            </w:r>
            <w:r>
              <w:rPr>
                <w:rFonts w:asciiTheme="minorHAnsi" w:hAnsiTheme="minorHAnsi" w:cstheme="minorHAnsi"/>
                <w:noProof/>
                <w:sz w:val="20"/>
              </w:rPr>
              <w:t>.</w:t>
            </w:r>
            <w:r w:rsidR="00C932BA" w:rsidRPr="00890249">
              <w:rPr>
                <w:rFonts w:asciiTheme="minorHAnsi" w:hAnsiTheme="minorHAnsi" w:cstheme="minorHAnsi"/>
                <w:noProof/>
                <w:sz w:val="20"/>
              </w:rPr>
              <w:t xml:space="preserve"> UE</w:t>
            </w:r>
            <w:r w:rsidR="00E8684E" w:rsidRPr="00890249">
              <w:rPr>
                <w:rFonts w:asciiTheme="minorHAnsi" w:hAnsiTheme="minorHAnsi" w:cstheme="minorHAnsi"/>
                <w:noProof/>
                <w:sz w:val="20"/>
              </w:rPr>
              <w:t xml:space="preserve"> był </w:t>
            </w:r>
            <w:r>
              <w:rPr>
                <w:rFonts w:asciiTheme="minorHAnsi" w:hAnsiTheme="minorHAnsi" w:cstheme="minorHAnsi"/>
                <w:noProof/>
                <w:sz w:val="20"/>
              </w:rPr>
              <w:t>zaangażowany we wspieranie</w:t>
            </w:r>
            <w:r w:rsidR="00E8684E" w:rsidRPr="00890249">
              <w:rPr>
                <w:rFonts w:asciiTheme="minorHAnsi" w:hAnsiTheme="minorHAnsi" w:cstheme="minorHAnsi"/>
                <w:noProof/>
                <w:sz w:val="20"/>
              </w:rPr>
              <w:t xml:space="preserve"> inicjatyw międzynarodowych na rzecz rozwijania innowacyjności gospodarki. Analiza SWOT dla RSIWO 2030 jako jedną z szans rozwojowych wskazuje </w:t>
            </w:r>
            <w:r w:rsidR="00E8684E" w:rsidRPr="00890249">
              <w:rPr>
                <w:rFonts w:asciiTheme="minorHAnsi" w:hAnsiTheme="minorHAnsi" w:cstheme="minorHAnsi"/>
                <w:i/>
                <w:noProof/>
                <w:sz w:val="20"/>
              </w:rPr>
              <w:t>Współpracę naukowo-technologiczną oraz gospodarczą w wymiarze międzynarodowym</w:t>
            </w:r>
            <w:r w:rsidR="00E8684E" w:rsidRPr="00890249">
              <w:rPr>
                <w:rFonts w:asciiTheme="minorHAnsi" w:hAnsiTheme="minorHAnsi" w:cstheme="minorHAnsi"/>
                <w:noProof/>
                <w:sz w:val="20"/>
              </w:rPr>
              <w:t xml:space="preserve">. </w:t>
            </w:r>
          </w:p>
          <w:p w14:paraId="0BC4E9A5" w14:textId="3A962DDA" w:rsidR="00E8684E" w:rsidRPr="00890249" w:rsidRDefault="002673AC" w:rsidP="00325D70">
            <w:pPr>
              <w:jc w:val="left"/>
              <w:rPr>
                <w:rFonts w:asciiTheme="minorHAnsi" w:hAnsiTheme="minorHAnsi" w:cstheme="minorHAnsi"/>
                <w:noProof/>
                <w:sz w:val="20"/>
              </w:rPr>
            </w:pPr>
            <w:r>
              <w:rPr>
                <w:rFonts w:asciiTheme="minorHAnsi" w:hAnsiTheme="minorHAnsi" w:cstheme="minorHAnsi"/>
                <w:noProof/>
                <w:sz w:val="20"/>
              </w:rPr>
              <w:t>W persp.</w:t>
            </w:r>
            <w:r w:rsidR="00E8684E" w:rsidRPr="00890249">
              <w:rPr>
                <w:rFonts w:asciiTheme="minorHAnsi" w:hAnsiTheme="minorHAnsi" w:cstheme="minorHAnsi"/>
                <w:noProof/>
                <w:sz w:val="20"/>
              </w:rPr>
              <w:t xml:space="preserve"> </w:t>
            </w:r>
            <w:r w:rsidR="00C932BA" w:rsidRPr="00890249">
              <w:rPr>
                <w:rFonts w:asciiTheme="minorHAnsi" w:hAnsiTheme="minorHAnsi" w:cstheme="minorHAnsi"/>
                <w:noProof/>
                <w:sz w:val="20"/>
              </w:rPr>
              <w:t xml:space="preserve">2014-2020 </w:t>
            </w:r>
            <w:r w:rsidR="00E8684E" w:rsidRPr="00890249">
              <w:rPr>
                <w:rFonts w:asciiTheme="minorHAnsi" w:hAnsiTheme="minorHAnsi" w:cstheme="minorHAnsi"/>
                <w:noProof/>
                <w:sz w:val="20"/>
              </w:rPr>
              <w:t xml:space="preserve">można wymienić działania ZWO wspierające umiędzynarodowienie opolskich firm: </w:t>
            </w:r>
          </w:p>
          <w:p w14:paraId="1C4420F5" w14:textId="2B3AF7BB" w:rsidR="00E8684E" w:rsidRPr="00890249" w:rsidRDefault="00E8684E" w:rsidP="009F296A">
            <w:pPr>
              <w:numPr>
                <w:ilvl w:val="0"/>
                <w:numId w:val="37"/>
              </w:numPr>
              <w:ind w:left="204" w:hanging="204"/>
              <w:jc w:val="left"/>
              <w:rPr>
                <w:rFonts w:asciiTheme="minorHAnsi" w:hAnsiTheme="minorHAnsi" w:cstheme="minorHAnsi"/>
                <w:noProof/>
                <w:sz w:val="20"/>
              </w:rPr>
            </w:pPr>
            <w:r w:rsidRPr="00890249">
              <w:rPr>
                <w:rFonts w:asciiTheme="minorHAnsi" w:hAnsiTheme="minorHAnsi" w:cstheme="minorHAnsi"/>
                <w:noProof/>
                <w:sz w:val="20"/>
              </w:rPr>
              <w:t xml:space="preserve">Bieżąca współpraca </w:t>
            </w:r>
            <w:r w:rsidR="002673AC">
              <w:rPr>
                <w:rFonts w:asciiTheme="minorHAnsi" w:hAnsiTheme="minorHAnsi" w:cstheme="minorHAnsi"/>
                <w:noProof/>
                <w:sz w:val="20"/>
              </w:rPr>
              <w:t>SWO</w:t>
            </w:r>
            <w:r w:rsidRPr="00890249">
              <w:rPr>
                <w:rFonts w:asciiTheme="minorHAnsi" w:hAnsiTheme="minorHAnsi" w:cstheme="minorHAnsi"/>
                <w:noProof/>
                <w:sz w:val="20"/>
              </w:rPr>
              <w:t xml:space="preserve"> z regionami partnerskimi: organizacja targów, misji, giełd, forów gospodarc</w:t>
            </w:r>
            <w:r w:rsidR="002673AC">
              <w:rPr>
                <w:rFonts w:asciiTheme="minorHAnsi" w:hAnsiTheme="minorHAnsi" w:cstheme="minorHAnsi"/>
                <w:noProof/>
                <w:sz w:val="20"/>
              </w:rPr>
              <w:t>zych</w:t>
            </w:r>
          </w:p>
          <w:p w14:paraId="7CB10B73" w14:textId="77777777" w:rsidR="00E8684E" w:rsidRPr="00890249" w:rsidRDefault="00E8684E" w:rsidP="009F296A">
            <w:pPr>
              <w:numPr>
                <w:ilvl w:val="0"/>
                <w:numId w:val="37"/>
              </w:numPr>
              <w:ind w:left="204" w:hanging="204"/>
              <w:jc w:val="left"/>
              <w:rPr>
                <w:rFonts w:asciiTheme="minorHAnsi" w:hAnsiTheme="minorHAnsi" w:cstheme="minorHAnsi"/>
                <w:noProof/>
                <w:sz w:val="20"/>
              </w:rPr>
            </w:pPr>
            <w:r w:rsidRPr="00890249">
              <w:rPr>
                <w:rFonts w:asciiTheme="minorHAnsi" w:hAnsiTheme="minorHAnsi" w:cstheme="minorHAnsi"/>
                <w:noProof/>
                <w:sz w:val="20"/>
              </w:rPr>
              <w:t xml:space="preserve">Kooperacyjne Opolskie – profesjonalne otoczenie </w:t>
            </w:r>
            <w:r w:rsidRPr="00890249">
              <w:rPr>
                <w:rFonts w:asciiTheme="minorHAnsi" w:hAnsiTheme="minorHAnsi" w:cstheme="minorHAnsi"/>
                <w:noProof/>
                <w:sz w:val="20"/>
              </w:rPr>
              <w:lastRenderedPageBreak/>
              <w:t xml:space="preserve">biznesu, Etap I i II (od 2016 do teraz) - projekt  SWO </w:t>
            </w:r>
          </w:p>
          <w:p w14:paraId="2F1140AD" w14:textId="77777777" w:rsidR="00E8684E" w:rsidRPr="00890249" w:rsidRDefault="00E8684E" w:rsidP="009F296A">
            <w:pPr>
              <w:numPr>
                <w:ilvl w:val="0"/>
                <w:numId w:val="37"/>
              </w:numPr>
              <w:ind w:left="204" w:hanging="204"/>
              <w:jc w:val="left"/>
              <w:rPr>
                <w:rFonts w:asciiTheme="minorHAnsi" w:hAnsiTheme="minorHAnsi" w:cstheme="minorHAnsi"/>
                <w:noProof/>
                <w:sz w:val="20"/>
              </w:rPr>
            </w:pPr>
            <w:r w:rsidRPr="00890249">
              <w:rPr>
                <w:rFonts w:asciiTheme="minorHAnsi" w:hAnsiTheme="minorHAnsi" w:cstheme="minorHAnsi"/>
                <w:noProof/>
                <w:sz w:val="20"/>
              </w:rPr>
              <w:t xml:space="preserve">Wdrażanie projektu Invest in Opolskie </w:t>
            </w:r>
          </w:p>
          <w:p w14:paraId="43EAF71A" w14:textId="4C99518A" w:rsidR="00E8684E" w:rsidRPr="00890249" w:rsidRDefault="002673AC" w:rsidP="009F296A">
            <w:pPr>
              <w:numPr>
                <w:ilvl w:val="0"/>
                <w:numId w:val="37"/>
              </w:numPr>
              <w:ind w:left="204" w:hanging="204"/>
              <w:jc w:val="left"/>
              <w:rPr>
                <w:rFonts w:asciiTheme="minorHAnsi" w:hAnsiTheme="minorHAnsi" w:cstheme="minorHAnsi"/>
                <w:noProof/>
                <w:sz w:val="20"/>
              </w:rPr>
            </w:pPr>
            <w:r>
              <w:rPr>
                <w:rFonts w:asciiTheme="minorHAnsi" w:hAnsiTheme="minorHAnsi" w:cstheme="minorHAnsi"/>
                <w:noProof/>
                <w:sz w:val="20"/>
              </w:rPr>
              <w:t>Współpraca w ramach S3 Platform</w:t>
            </w:r>
          </w:p>
          <w:p w14:paraId="28167A83" w14:textId="380A3E6D" w:rsidR="00E8684E" w:rsidRPr="00890249" w:rsidRDefault="002673AC" w:rsidP="009F296A">
            <w:pPr>
              <w:numPr>
                <w:ilvl w:val="0"/>
                <w:numId w:val="37"/>
              </w:numPr>
              <w:ind w:left="204" w:hanging="204"/>
              <w:jc w:val="left"/>
              <w:rPr>
                <w:rFonts w:asciiTheme="minorHAnsi" w:hAnsiTheme="minorHAnsi" w:cstheme="minorHAnsi"/>
                <w:noProof/>
                <w:sz w:val="20"/>
              </w:rPr>
            </w:pPr>
            <w:r>
              <w:rPr>
                <w:rFonts w:asciiTheme="minorHAnsi" w:hAnsiTheme="minorHAnsi" w:cstheme="minorHAnsi"/>
                <w:noProof/>
                <w:sz w:val="20"/>
              </w:rPr>
              <w:t>Współpraca z Bankiem Światowym</w:t>
            </w:r>
          </w:p>
          <w:p w14:paraId="0166B3CF" w14:textId="1B90BAB7" w:rsidR="00E8684E" w:rsidRPr="00890249" w:rsidRDefault="00E8684E" w:rsidP="009F296A">
            <w:pPr>
              <w:numPr>
                <w:ilvl w:val="0"/>
                <w:numId w:val="37"/>
              </w:numPr>
              <w:ind w:left="204" w:hanging="204"/>
              <w:jc w:val="left"/>
              <w:rPr>
                <w:rFonts w:asciiTheme="minorHAnsi" w:hAnsiTheme="minorHAnsi" w:cstheme="minorHAnsi"/>
                <w:noProof/>
                <w:sz w:val="20"/>
              </w:rPr>
            </w:pPr>
            <w:r w:rsidRPr="00890249">
              <w:rPr>
                <w:rFonts w:asciiTheme="minorHAnsi" w:hAnsiTheme="minorHAnsi" w:cstheme="minorHAnsi"/>
                <w:noProof/>
                <w:sz w:val="20"/>
              </w:rPr>
              <w:t>Działania na rzecz zacieśniania współpracy międzynarodowej realizowane prze Biuro Wo</w:t>
            </w:r>
            <w:r w:rsidR="002673AC">
              <w:rPr>
                <w:rFonts w:asciiTheme="minorHAnsi" w:hAnsiTheme="minorHAnsi" w:cstheme="minorHAnsi"/>
                <w:noProof/>
                <w:sz w:val="20"/>
              </w:rPr>
              <w:t>jewództwa Opolskiego w Brukseli</w:t>
            </w:r>
          </w:p>
          <w:p w14:paraId="5C0CB2DC" w14:textId="77777777" w:rsidR="00E8684E" w:rsidRPr="00890249" w:rsidRDefault="00E8684E" w:rsidP="009F296A">
            <w:pPr>
              <w:numPr>
                <w:ilvl w:val="0"/>
                <w:numId w:val="37"/>
              </w:numPr>
              <w:ind w:left="204" w:hanging="204"/>
              <w:jc w:val="left"/>
              <w:rPr>
                <w:rFonts w:asciiTheme="minorHAnsi" w:hAnsiTheme="minorHAnsi" w:cstheme="minorHAnsi"/>
                <w:noProof/>
                <w:sz w:val="20"/>
              </w:rPr>
            </w:pPr>
            <w:r w:rsidRPr="00890249">
              <w:rPr>
                <w:rFonts w:asciiTheme="minorHAnsi" w:hAnsiTheme="minorHAnsi" w:cstheme="minorHAnsi"/>
                <w:noProof/>
                <w:sz w:val="20"/>
              </w:rPr>
              <w:t xml:space="preserve">Międzynarodowy projekt INDUCULT 2.0 </w:t>
            </w:r>
          </w:p>
          <w:p w14:paraId="6E3697A2" w14:textId="77777777" w:rsidR="00E8684E" w:rsidRPr="00890249" w:rsidRDefault="00E8684E" w:rsidP="009F296A">
            <w:pPr>
              <w:numPr>
                <w:ilvl w:val="0"/>
                <w:numId w:val="37"/>
              </w:numPr>
              <w:ind w:left="204" w:hanging="204"/>
              <w:jc w:val="left"/>
              <w:rPr>
                <w:rFonts w:asciiTheme="minorHAnsi" w:hAnsiTheme="minorHAnsi" w:cstheme="minorHAnsi"/>
                <w:noProof/>
                <w:sz w:val="20"/>
              </w:rPr>
            </w:pPr>
            <w:r w:rsidRPr="00890249">
              <w:rPr>
                <w:rFonts w:asciiTheme="minorHAnsi" w:hAnsiTheme="minorHAnsi" w:cstheme="minorHAnsi"/>
                <w:noProof/>
                <w:sz w:val="20"/>
              </w:rPr>
              <w:t xml:space="preserve">Międzynarodowy projekt E-COOL „Postawy przedsiębiorcze i kreatywne u młodych ludzi poprzez dynamizację kompetencji, metod nauczania i ekosystemu przedsiębiorczości” </w:t>
            </w:r>
          </w:p>
          <w:p w14:paraId="3F6414DE" w14:textId="02B62BE5" w:rsidR="00E8684E" w:rsidRPr="00890249" w:rsidRDefault="002673AC" w:rsidP="002673AC">
            <w:pPr>
              <w:jc w:val="left"/>
              <w:rPr>
                <w:rFonts w:asciiTheme="minorHAnsi" w:hAnsiTheme="minorHAnsi" w:cstheme="minorHAnsi"/>
                <w:noProof/>
                <w:sz w:val="20"/>
              </w:rPr>
            </w:pPr>
            <w:r>
              <w:rPr>
                <w:rFonts w:asciiTheme="minorHAnsi" w:hAnsiTheme="minorHAnsi" w:cstheme="minorHAnsi"/>
                <w:noProof/>
                <w:sz w:val="20"/>
              </w:rPr>
              <w:t>P</w:t>
            </w:r>
            <w:r w:rsidR="00E8684E" w:rsidRPr="00890249">
              <w:rPr>
                <w:rFonts w:asciiTheme="minorHAnsi" w:hAnsiTheme="minorHAnsi" w:cstheme="minorHAnsi"/>
                <w:noProof/>
                <w:sz w:val="20"/>
              </w:rPr>
              <w:t>lanowane są działania na rzecz zwiększania aktywności opolskich przedsiębior</w:t>
            </w:r>
            <w:r>
              <w:rPr>
                <w:rFonts w:asciiTheme="minorHAnsi" w:hAnsiTheme="minorHAnsi" w:cstheme="minorHAnsi"/>
                <w:noProof/>
                <w:sz w:val="20"/>
              </w:rPr>
              <w:t>stw na rynkach międzynarodowych</w:t>
            </w:r>
          </w:p>
        </w:tc>
      </w:tr>
      <w:tr w:rsidR="00E8684E" w:rsidRPr="00890249" w14:paraId="69C1D2B5" w14:textId="77777777" w:rsidTr="00F62734">
        <w:tc>
          <w:tcPr>
            <w:tcW w:w="1560" w:type="dxa"/>
            <w:vMerge w:val="restart"/>
          </w:tcPr>
          <w:p w14:paraId="66A3B2FA"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lastRenderedPageBreak/>
              <w:t>1.2.Krajowy lub regionalny plan sieci szerokopasmowej</w:t>
            </w:r>
          </w:p>
        </w:tc>
        <w:tc>
          <w:tcPr>
            <w:tcW w:w="709" w:type="dxa"/>
            <w:vMerge w:val="restart"/>
          </w:tcPr>
          <w:p w14:paraId="31161C3A" w14:textId="77777777" w:rsidR="00E8684E" w:rsidRPr="00890249" w:rsidRDefault="00E8684E" w:rsidP="00E8684E">
            <w:pPr>
              <w:jc w:val="left"/>
              <w:rPr>
                <w:rFonts w:asciiTheme="minorHAnsi" w:hAnsiTheme="minorHAnsi" w:cstheme="minorHAnsi"/>
                <w:sz w:val="20"/>
                <w:lang w:val="en-GB"/>
              </w:rPr>
            </w:pPr>
            <w:r w:rsidRPr="00890249">
              <w:rPr>
                <w:rFonts w:asciiTheme="minorHAnsi" w:hAnsiTheme="minorHAnsi" w:cstheme="minorHAnsi"/>
                <w:sz w:val="20"/>
                <w:lang w:val="en-GB"/>
              </w:rPr>
              <w:t>EFRR</w:t>
            </w:r>
          </w:p>
          <w:p w14:paraId="3845BD21" w14:textId="77777777" w:rsidR="00E8684E" w:rsidRPr="00890249" w:rsidRDefault="00E8684E" w:rsidP="00E8684E">
            <w:pPr>
              <w:jc w:val="left"/>
              <w:rPr>
                <w:rFonts w:asciiTheme="minorHAnsi" w:hAnsiTheme="minorHAnsi" w:cstheme="minorHAnsi"/>
                <w:sz w:val="20"/>
                <w:lang w:val="en-GB"/>
              </w:rPr>
            </w:pPr>
          </w:p>
        </w:tc>
        <w:tc>
          <w:tcPr>
            <w:tcW w:w="1843" w:type="dxa"/>
            <w:vMerge w:val="restart"/>
          </w:tcPr>
          <w:p w14:paraId="66756F95"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bCs/>
                <w:sz w:val="20"/>
              </w:rPr>
              <w:t>Udoskonalanie łączności cyfrowej</w:t>
            </w:r>
          </w:p>
        </w:tc>
        <w:tc>
          <w:tcPr>
            <w:tcW w:w="1559" w:type="dxa"/>
            <w:vMerge w:val="restart"/>
          </w:tcPr>
          <w:p w14:paraId="424683BE" w14:textId="77777777" w:rsidR="00E8684E" w:rsidRPr="00890249" w:rsidRDefault="00E8684E" w:rsidP="00E8684E">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Tak</w:t>
            </w:r>
          </w:p>
        </w:tc>
        <w:tc>
          <w:tcPr>
            <w:tcW w:w="2551" w:type="dxa"/>
          </w:tcPr>
          <w:p w14:paraId="2638D6FC"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Istnienie krajowego lub regionalnego planu w zakresie sieci szerokopasmowej, który obejmuje:</w:t>
            </w:r>
          </w:p>
          <w:p w14:paraId="6D9C358B" w14:textId="77777777" w:rsidR="00E8684E" w:rsidRPr="00890249" w:rsidRDefault="00E8684E" w:rsidP="00E8684E">
            <w:pPr>
              <w:jc w:val="left"/>
              <w:rPr>
                <w:rFonts w:asciiTheme="minorHAnsi" w:hAnsiTheme="minorHAnsi" w:cstheme="minorHAnsi"/>
                <w:sz w:val="20"/>
              </w:rPr>
            </w:pPr>
          </w:p>
          <w:p w14:paraId="1CBF17F3" w14:textId="77777777" w:rsidR="00E8684E" w:rsidRPr="00890249" w:rsidRDefault="00E8684E" w:rsidP="00E8684E">
            <w:pPr>
              <w:jc w:val="left"/>
              <w:rPr>
                <w:rFonts w:asciiTheme="minorHAnsi" w:hAnsiTheme="minorHAnsi" w:cstheme="minorHAnsi"/>
                <w:b/>
                <w:sz w:val="20"/>
              </w:rPr>
            </w:pPr>
            <w:r w:rsidRPr="00890249">
              <w:rPr>
                <w:rFonts w:asciiTheme="minorHAnsi" w:hAnsiTheme="minorHAnsi" w:cstheme="minorHAnsi"/>
                <w:b/>
                <w:sz w:val="20"/>
              </w:rPr>
              <w:t>Kryterium 1</w:t>
            </w:r>
          </w:p>
          <w:p w14:paraId="6A0681E4"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1. ocenę luki inwestycyjnej, którą należy zlikwidować, aby zapewnić wszystkim obywatelom Unii dostęp do sieci o bardzo dużej przepustowości przeprowadzoną w oparciu o:</w:t>
            </w:r>
          </w:p>
          <w:p w14:paraId="16B20603"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a) aktualną mapę istniejącej prywatnej i publicznej infrastruktury oraz jakości usług, z wykorzystaniem standardowych wskaźników mapowania infrastruktury szerokopasmowej;</w:t>
            </w:r>
          </w:p>
          <w:p w14:paraId="469D5012"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 b) konsultacje w sprawie planowanych inwestycji zgodnie z wymogami dotyczącymi pomocy państwa;</w:t>
            </w:r>
          </w:p>
        </w:tc>
        <w:tc>
          <w:tcPr>
            <w:tcW w:w="1134" w:type="dxa"/>
            <w:vMerge w:val="restart"/>
          </w:tcPr>
          <w:p w14:paraId="1C15981C" w14:textId="77777777" w:rsidR="00E8684E" w:rsidRPr="00890249" w:rsidRDefault="00E8684E" w:rsidP="00E8684E">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Tak</w:t>
            </w:r>
          </w:p>
        </w:tc>
        <w:tc>
          <w:tcPr>
            <w:tcW w:w="3402" w:type="dxa"/>
            <w:vMerge w:val="restart"/>
          </w:tcPr>
          <w:p w14:paraId="03792E49"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 xml:space="preserve">Spełniony. </w:t>
            </w:r>
          </w:p>
          <w:p w14:paraId="5AF15E44" w14:textId="77777777"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Spełnieniem warunku jest Narodowy Plan Szerokopasmowy (NPS) przyjęty uchwałą nr 27/2020 RM z dnia 10 marca 2020 r. NPS zgodnie z kryteriami zawiera:</w:t>
            </w:r>
          </w:p>
          <w:p w14:paraId="78BA35EF" w14:textId="77777777" w:rsidR="00B72154" w:rsidRPr="00890249" w:rsidRDefault="00E8684E" w:rsidP="009F296A">
            <w:pPr>
              <w:numPr>
                <w:ilvl w:val="0"/>
                <w:numId w:val="67"/>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oszacowanie luki inwestycyjnej w dostępie do sieci o bardzo dużej przepustowości z uwzględnieniem 3 scenariuszy:</w:t>
            </w:r>
            <w:r w:rsidRPr="00890249">
              <w:rPr>
                <w:rFonts w:asciiTheme="minorHAnsi" w:hAnsiTheme="minorHAnsi" w:cstheme="minorHAnsi"/>
                <w:sz w:val="20"/>
              </w:rPr>
              <w:t xml:space="preserve"> </w:t>
            </w:r>
            <w:r w:rsidRPr="00890249">
              <w:rPr>
                <w:rFonts w:asciiTheme="minorHAnsi" w:hAnsiTheme="minorHAnsi" w:cstheme="minorHAnsi"/>
                <w:bCs/>
                <w:sz w:val="20"/>
              </w:rPr>
              <w:t>1) bazowego - utrzymanie w latach 2018-2025 dotychczasowego potencjału inwestycyjnego w sieci szerokopasmowej 2) optymistycznego - zwiększenie w latach 2018-2025 komercyjnych nakładów na inwestycje w sieci szerokopasmowe i intensyfikację inwestycji komercyjnych 3) pesymistycznego - spadek w latach 2018-2025 komercyjnych nakładów na inwestycje w sieci szerokopasmowe i stopniową stagnację inwestycji komercyjnych,</w:t>
            </w:r>
          </w:p>
          <w:p w14:paraId="1AB40CDC" w14:textId="77777777" w:rsidR="00B72154" w:rsidRPr="00890249" w:rsidRDefault="00E8684E" w:rsidP="009F296A">
            <w:pPr>
              <w:numPr>
                <w:ilvl w:val="0"/>
                <w:numId w:val="67"/>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lastRenderedPageBreak/>
              <w:t>modele interwencji publicznych uzasadnionych różnymi modelami inwestycyjnymi, które zapewniają m.in. dostępność usług w sensie ekonomicznym i otwartość sieci, a także są dostosowane do różnych form i źródeł pomocy finansowej, adekwatnej do zidentyfikowanych zawodności rynku,</w:t>
            </w:r>
          </w:p>
          <w:p w14:paraId="085E114B" w14:textId="77777777" w:rsidR="00B72154" w:rsidRPr="00890249" w:rsidRDefault="00E8684E" w:rsidP="009F296A">
            <w:pPr>
              <w:numPr>
                <w:ilvl w:val="0"/>
                <w:numId w:val="67"/>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 xml:space="preserve"> opis środków służących podaży i popytowi, w tym bezpośrednio usprawniających inwestycje szerokopasmowe oraz wzmacniające wykorzystanie usług dostępu do sieci wysokich przepustowości,</w:t>
            </w:r>
          </w:p>
          <w:p w14:paraId="1BCA14A8" w14:textId="77777777" w:rsidR="00B72154" w:rsidRPr="00890249" w:rsidRDefault="00E8684E" w:rsidP="009F296A">
            <w:pPr>
              <w:numPr>
                <w:ilvl w:val="0"/>
                <w:numId w:val="67"/>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informacje o sposobach eksperckiego wsparcia interesariuszy inwestycji szerokopasmowych,</w:t>
            </w:r>
          </w:p>
          <w:p w14:paraId="0A366B5C" w14:textId="76A27FFF" w:rsidR="00E8684E" w:rsidRPr="00110F79" w:rsidRDefault="00E8684E" w:rsidP="00F62734">
            <w:pPr>
              <w:spacing w:line="276" w:lineRule="auto"/>
              <w:ind w:left="212"/>
              <w:jc w:val="left"/>
              <w:rPr>
                <w:rFonts w:asciiTheme="minorHAnsi" w:hAnsiTheme="minorHAnsi" w:cstheme="minorHAnsi"/>
                <w:bCs/>
                <w:sz w:val="20"/>
              </w:rPr>
            </w:pPr>
            <w:r w:rsidRPr="00890249">
              <w:rPr>
                <w:rFonts w:asciiTheme="minorHAnsi" w:hAnsiTheme="minorHAnsi" w:cstheme="minorHAnsi"/>
                <w:bCs/>
                <w:sz w:val="20"/>
              </w:rPr>
              <w:t xml:space="preserve">opis monitoringu postępów realizacji planu szerokopasmowego ze standardowymi wskaźnikami monitoringowymi, który prowadzi koordynator NPS we współpracy z </w:t>
            </w:r>
            <w:r w:rsidRPr="00890249">
              <w:rPr>
                <w:rFonts w:asciiTheme="minorHAnsi" w:hAnsiTheme="minorHAnsi" w:cstheme="minorHAnsi"/>
                <w:bCs/>
                <w:sz w:val="20"/>
              </w:rPr>
              <w:lastRenderedPageBreak/>
              <w:t>UKE jako regulatorem rynku telekomunikacyjnego.</w:t>
            </w:r>
          </w:p>
          <w:p w14:paraId="64C16FAD"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Link do dokumentu:</w:t>
            </w:r>
          </w:p>
          <w:p w14:paraId="6BE63615" w14:textId="77777777" w:rsidR="00E8684E" w:rsidRPr="00890249" w:rsidRDefault="00E8684E" w:rsidP="00E8684E">
            <w:pPr>
              <w:jc w:val="left"/>
              <w:rPr>
                <w:rFonts w:asciiTheme="minorHAnsi" w:hAnsiTheme="minorHAnsi" w:cstheme="minorHAnsi"/>
                <w:b/>
                <w:bCs/>
                <w:sz w:val="20"/>
              </w:rPr>
            </w:pPr>
            <w:hyperlink w:history="1">
              <w:r w:rsidRPr="00890249">
                <w:rPr>
                  <w:rFonts w:asciiTheme="minorHAnsi" w:hAnsiTheme="minorHAnsi" w:cstheme="minorHAnsi"/>
                  <w:b/>
                  <w:bCs/>
                  <w:color w:val="0000FF"/>
                  <w:sz w:val="20"/>
                  <w:u w:val="single"/>
                </w:rPr>
                <w:t>https://mc.bip.gov.pl/programy-realizowane-w-mc/narodowy-plan-szerokopasmowy.html</w:t>
              </w:r>
            </w:hyperlink>
          </w:p>
          <w:p w14:paraId="79B5B597"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4B046CB2"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b/>
                <w:bCs/>
                <w:sz w:val="20"/>
              </w:rPr>
              <w:lastRenderedPageBreak/>
              <w:t>Kryterium 1.</w:t>
            </w:r>
            <w:r w:rsidRPr="00890249">
              <w:rPr>
                <w:rFonts w:asciiTheme="minorHAnsi" w:hAnsiTheme="minorHAnsi" w:cstheme="minorHAnsi"/>
                <w:sz w:val="20"/>
              </w:rPr>
              <w:t xml:space="preserve"> </w:t>
            </w:r>
          </w:p>
          <w:p w14:paraId="03CAD8D6" w14:textId="77777777" w:rsidR="00A7732B" w:rsidRPr="00890249" w:rsidRDefault="00875C92" w:rsidP="00325D70">
            <w:pPr>
              <w:autoSpaceDE w:val="0"/>
              <w:autoSpaceDN w:val="0"/>
              <w:adjustRightInd w:val="0"/>
              <w:spacing w:after="0"/>
              <w:jc w:val="left"/>
              <w:rPr>
                <w:rFonts w:asciiTheme="minorHAnsi" w:hAnsiTheme="minorHAnsi" w:cstheme="minorHAnsi"/>
                <w:i/>
                <w:iCs/>
                <w:sz w:val="20"/>
              </w:rPr>
            </w:pPr>
            <w:r w:rsidRPr="00890249">
              <w:rPr>
                <w:rFonts w:asciiTheme="minorHAnsi" w:hAnsiTheme="minorHAnsi" w:cstheme="minorHAnsi"/>
                <w:i/>
                <w:iCs/>
                <w:sz w:val="20"/>
              </w:rPr>
              <w:t xml:space="preserve">Narodowy Plan Szerokopasmowy w zakresie zapewnienia stacjonarnego dostępu do internetu </w:t>
            </w:r>
            <w:r w:rsidRPr="00890249">
              <w:rPr>
                <w:rFonts w:asciiTheme="minorHAnsi" w:hAnsiTheme="minorHAnsi" w:cstheme="minorHAnsi"/>
                <w:sz w:val="20"/>
              </w:rPr>
              <w:t>wskazuje lukę</w:t>
            </w:r>
            <w:r w:rsidRPr="00890249">
              <w:rPr>
                <w:rFonts w:asciiTheme="minorHAnsi" w:hAnsiTheme="minorHAnsi" w:cstheme="minorHAnsi"/>
                <w:i/>
                <w:iCs/>
                <w:sz w:val="20"/>
              </w:rPr>
              <w:t xml:space="preserve"> </w:t>
            </w:r>
            <w:r w:rsidRPr="00890249">
              <w:rPr>
                <w:rFonts w:asciiTheme="minorHAnsi" w:hAnsiTheme="minorHAnsi" w:cstheme="minorHAnsi"/>
                <w:sz w:val="20"/>
              </w:rPr>
              <w:t>inwestycyjną i finansową spełnienia w Polsce następujących celów Europejskiej</w:t>
            </w:r>
            <w:r w:rsidRPr="00890249">
              <w:rPr>
                <w:rFonts w:asciiTheme="minorHAnsi" w:hAnsiTheme="minorHAnsi" w:cstheme="minorHAnsi"/>
                <w:i/>
                <w:iCs/>
                <w:sz w:val="20"/>
              </w:rPr>
              <w:t xml:space="preserve"> </w:t>
            </w:r>
            <w:r w:rsidRPr="00890249">
              <w:rPr>
                <w:rFonts w:asciiTheme="minorHAnsi" w:hAnsiTheme="minorHAnsi" w:cstheme="minorHAnsi"/>
                <w:sz w:val="20"/>
              </w:rPr>
              <w:t>Agendy Cyfrowej oraz Komunikatu ws. społeczeństwa gigabitowego (rozdział 3):</w:t>
            </w:r>
          </w:p>
          <w:p w14:paraId="17ED3A00"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t>a) powszechny dostęp do internetu o przepustowości co najmniej 30 Mb/s do</w:t>
            </w:r>
          </w:p>
          <w:p w14:paraId="02D6C495"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t>roku 2020,</w:t>
            </w:r>
          </w:p>
          <w:p w14:paraId="04402C8C"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t>b) dostęp do internetu o przepustowości co najmniej 100 Mb/s, z możliwością</w:t>
            </w:r>
          </w:p>
          <w:p w14:paraId="2CF9B4FB"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t>modernizacji do przepustowości mierzonych w Gb/s, dla wszystkich</w:t>
            </w:r>
          </w:p>
          <w:p w14:paraId="02A0BB8C"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t>gospodarstw domowych do roku 2025,</w:t>
            </w:r>
          </w:p>
          <w:p w14:paraId="6B47A131"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t>c) dostęp do internetu o przepustowości co najmniej 1 Gb/s dla wszystkich miejsc</w:t>
            </w:r>
          </w:p>
          <w:p w14:paraId="35FFC742" w14:textId="77777777" w:rsidR="00A7732B" w:rsidRPr="00890249" w:rsidRDefault="00875C92" w:rsidP="00325D70">
            <w:pPr>
              <w:autoSpaceDE w:val="0"/>
              <w:autoSpaceDN w:val="0"/>
              <w:adjustRightInd w:val="0"/>
              <w:spacing w:after="0"/>
              <w:jc w:val="left"/>
              <w:rPr>
                <w:rFonts w:asciiTheme="minorHAnsi" w:hAnsiTheme="minorHAnsi" w:cstheme="minorHAnsi"/>
                <w:sz w:val="20"/>
              </w:rPr>
            </w:pPr>
            <w:r w:rsidRPr="00890249">
              <w:rPr>
                <w:rFonts w:asciiTheme="minorHAnsi" w:hAnsiTheme="minorHAnsi" w:cstheme="minorHAnsi"/>
                <w:sz w:val="20"/>
              </w:rPr>
              <w:lastRenderedPageBreak/>
              <w:t>stanowiących główną siłę napędową rozwoju społeczno-gospodarczego do</w:t>
            </w:r>
          </w:p>
          <w:p w14:paraId="308BF7E2" w14:textId="77777777" w:rsidR="00A7732B"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sz w:val="20"/>
              </w:rPr>
              <w:t>roku 2025;</w:t>
            </w:r>
          </w:p>
          <w:p w14:paraId="04B168D4" w14:textId="77777777" w:rsidR="00A7732B"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sz w:val="20"/>
              </w:rPr>
              <w:t xml:space="preserve">d) </w:t>
            </w:r>
            <w:r w:rsidRPr="00890249">
              <w:rPr>
                <w:rFonts w:asciiTheme="minorHAnsi" w:hAnsiTheme="minorHAnsi" w:cstheme="minorHAnsi"/>
                <w:bCs/>
                <w:sz w:val="20"/>
              </w:rPr>
              <w:t>dostęp do w pełni rozwiniętych</w:t>
            </w:r>
            <w:r w:rsidRPr="00890249">
              <w:rPr>
                <w:rFonts w:asciiTheme="minorHAnsi" w:hAnsiTheme="minorHAnsi" w:cstheme="minorHAnsi"/>
                <w:sz w:val="20"/>
              </w:rPr>
              <w:t xml:space="preserve"> </w:t>
            </w:r>
            <w:r w:rsidRPr="00890249">
              <w:rPr>
                <w:rFonts w:asciiTheme="minorHAnsi" w:hAnsiTheme="minorHAnsi" w:cstheme="minorHAnsi"/>
                <w:bCs/>
                <w:sz w:val="20"/>
              </w:rPr>
              <w:t>komercyjnych usług w sieciach 5G w co najmniej 1 głównym mieście do 2020 roku</w:t>
            </w:r>
            <w:r w:rsidRPr="00890249">
              <w:rPr>
                <w:rFonts w:asciiTheme="minorHAnsi" w:hAnsiTheme="minorHAnsi" w:cstheme="minorHAnsi"/>
                <w:sz w:val="20"/>
              </w:rPr>
              <w:t xml:space="preserve"> </w:t>
            </w:r>
            <w:r w:rsidRPr="00890249">
              <w:rPr>
                <w:rFonts w:asciiTheme="minorHAnsi" w:hAnsiTheme="minorHAnsi" w:cstheme="minorHAnsi"/>
                <w:bCs/>
                <w:sz w:val="20"/>
              </w:rPr>
              <w:t>oraz dostęp do usług w sieciach 5G we wszystkich głównych obszarach miejskich</w:t>
            </w:r>
            <w:r w:rsidRPr="00890249">
              <w:rPr>
                <w:rFonts w:asciiTheme="minorHAnsi" w:hAnsiTheme="minorHAnsi" w:cstheme="minorHAnsi"/>
                <w:sz w:val="20"/>
              </w:rPr>
              <w:t xml:space="preserve"> </w:t>
            </w:r>
            <w:r w:rsidRPr="00890249">
              <w:rPr>
                <w:rFonts w:asciiTheme="minorHAnsi" w:hAnsiTheme="minorHAnsi" w:cstheme="minorHAnsi"/>
                <w:bCs/>
                <w:sz w:val="20"/>
              </w:rPr>
              <w:t>oraz wzdłuż głównych szlaków komunikacyjnych do roku 2025 (rozdział 4).</w:t>
            </w:r>
          </w:p>
          <w:p w14:paraId="3A33A15A" w14:textId="267D57E8" w:rsidR="00E8684E" w:rsidRPr="00890249" w:rsidRDefault="00E8684E" w:rsidP="00325D70">
            <w:pPr>
              <w:jc w:val="left"/>
              <w:rPr>
                <w:rFonts w:asciiTheme="minorHAnsi" w:hAnsiTheme="minorHAnsi" w:cstheme="minorHAnsi"/>
                <w:sz w:val="20"/>
              </w:rPr>
            </w:pPr>
          </w:p>
        </w:tc>
      </w:tr>
      <w:tr w:rsidR="00E8684E" w:rsidRPr="00890249" w14:paraId="31EBD3D0" w14:textId="77777777" w:rsidTr="00F62734">
        <w:tc>
          <w:tcPr>
            <w:tcW w:w="1560" w:type="dxa"/>
            <w:vMerge/>
          </w:tcPr>
          <w:p w14:paraId="4BBD61DD" w14:textId="77777777" w:rsidR="00E8684E" w:rsidRPr="00890249" w:rsidRDefault="00E8684E" w:rsidP="00E8684E">
            <w:pPr>
              <w:jc w:val="left"/>
              <w:rPr>
                <w:rFonts w:asciiTheme="minorHAnsi" w:hAnsiTheme="minorHAnsi" w:cstheme="minorHAnsi"/>
                <w:sz w:val="20"/>
              </w:rPr>
            </w:pPr>
          </w:p>
        </w:tc>
        <w:tc>
          <w:tcPr>
            <w:tcW w:w="709" w:type="dxa"/>
            <w:vMerge/>
          </w:tcPr>
          <w:p w14:paraId="3B603BA5" w14:textId="77777777" w:rsidR="00E8684E" w:rsidRPr="00890249" w:rsidRDefault="00E8684E" w:rsidP="00E8684E">
            <w:pPr>
              <w:jc w:val="left"/>
              <w:rPr>
                <w:rFonts w:asciiTheme="minorHAnsi" w:hAnsiTheme="minorHAnsi" w:cstheme="minorHAnsi"/>
                <w:sz w:val="20"/>
              </w:rPr>
            </w:pPr>
          </w:p>
        </w:tc>
        <w:tc>
          <w:tcPr>
            <w:tcW w:w="1843" w:type="dxa"/>
            <w:vMerge/>
          </w:tcPr>
          <w:p w14:paraId="75DCF30B" w14:textId="77777777" w:rsidR="00E8684E" w:rsidRPr="00890249" w:rsidRDefault="00E8684E" w:rsidP="00E8684E">
            <w:pPr>
              <w:jc w:val="left"/>
              <w:rPr>
                <w:rFonts w:asciiTheme="minorHAnsi" w:hAnsiTheme="minorHAnsi" w:cstheme="minorHAnsi"/>
                <w:bCs/>
                <w:sz w:val="20"/>
              </w:rPr>
            </w:pPr>
          </w:p>
        </w:tc>
        <w:tc>
          <w:tcPr>
            <w:tcW w:w="1559" w:type="dxa"/>
            <w:vMerge/>
          </w:tcPr>
          <w:p w14:paraId="3864DF7D"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10DE86DE" w14:textId="77777777" w:rsidR="00E8684E" w:rsidRPr="00890249" w:rsidRDefault="00E8684E" w:rsidP="00E8684E">
            <w:pPr>
              <w:jc w:val="left"/>
              <w:rPr>
                <w:rFonts w:asciiTheme="minorHAnsi" w:hAnsiTheme="minorHAnsi" w:cstheme="minorHAnsi"/>
                <w:b/>
                <w:sz w:val="20"/>
              </w:rPr>
            </w:pPr>
            <w:r w:rsidRPr="00890249">
              <w:rPr>
                <w:rFonts w:asciiTheme="minorHAnsi" w:hAnsiTheme="minorHAnsi" w:cstheme="minorHAnsi"/>
                <w:b/>
                <w:sz w:val="20"/>
              </w:rPr>
              <w:t>Kryterium 2</w:t>
            </w:r>
          </w:p>
          <w:p w14:paraId="43E8BEED"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2. uzasadnienie planowanej interwencji publicznej w oparciu o modele zrównoważonych inwestycji, które: </w:t>
            </w:r>
          </w:p>
          <w:p w14:paraId="52F1607D"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a) poprawiają przystępność cenową i dostęp do otwartych i perspektywicznych usług i infrastruktury wysokiej jakości;</w:t>
            </w:r>
          </w:p>
          <w:p w14:paraId="110F85D0"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lastRenderedPageBreak/>
              <w:t xml:space="preserve"> b) pozwalają dostosować formy pomocy finansowej do zidentyfikowanych niedoskonałości rynku; </w:t>
            </w:r>
          </w:p>
          <w:p w14:paraId="1B8D2D58"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c) umożliwiają komplementarne stosowanie różnych form finansowania ze źródeł unijnych, krajowych lub regionalnych; </w:t>
            </w:r>
          </w:p>
        </w:tc>
        <w:tc>
          <w:tcPr>
            <w:tcW w:w="1134" w:type="dxa"/>
            <w:vMerge/>
          </w:tcPr>
          <w:p w14:paraId="121145F7"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3BB5C2A9"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46F9B47F" w14:textId="77777777" w:rsidR="00A7732B"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2.</w:t>
            </w:r>
            <w:r w:rsidRPr="00890249">
              <w:rPr>
                <w:rFonts w:asciiTheme="minorHAnsi" w:hAnsiTheme="minorHAnsi" w:cstheme="minorHAnsi"/>
                <w:sz w:val="20"/>
              </w:rPr>
              <w:t xml:space="preserve"> </w:t>
            </w:r>
          </w:p>
          <w:p w14:paraId="10C35DA2" w14:textId="1293120C" w:rsidR="00E8684E" w:rsidRPr="00890249" w:rsidRDefault="00875C92" w:rsidP="00325D70">
            <w:pPr>
              <w:jc w:val="left"/>
              <w:rPr>
                <w:rFonts w:asciiTheme="minorHAnsi" w:hAnsiTheme="minorHAnsi" w:cstheme="minorHAnsi"/>
                <w:sz w:val="20"/>
              </w:rPr>
            </w:pPr>
            <w:r w:rsidRPr="00890249">
              <w:rPr>
                <w:rFonts w:asciiTheme="minorHAnsi" w:hAnsiTheme="minorHAnsi" w:cstheme="minorHAnsi"/>
                <w:sz w:val="20"/>
              </w:rPr>
              <w:t xml:space="preserve">NPS zawiera (rozdział 5) zapisy spełniające kryterium </w:t>
            </w:r>
            <w:r w:rsidRPr="00890249">
              <w:rPr>
                <w:rFonts w:asciiTheme="minorHAnsi" w:hAnsiTheme="minorHAnsi" w:cstheme="minorHAnsi"/>
                <w:bCs/>
                <w:sz w:val="20"/>
              </w:rPr>
              <w:t xml:space="preserve">w zakresie modeli interwencji publicznych uzasadnionych różnymi  modelami inwestycyjnymi, które zapewniają m.in. dostępność usług w sensie ekonomicznym i otwartość sieci, a także są dostosowane do różnych form i źródeł pomocy finansowej, adekwatnej do zidentyfikowanych zawodności rynku. Modele interwencji </w:t>
            </w:r>
            <w:r w:rsidRPr="00890249">
              <w:rPr>
                <w:rFonts w:asciiTheme="minorHAnsi" w:hAnsiTheme="minorHAnsi" w:cstheme="minorHAnsi"/>
                <w:bCs/>
                <w:sz w:val="20"/>
              </w:rPr>
              <w:lastRenderedPageBreak/>
              <w:t>publicznej zostały zdelimitowane w odniesieniu do źródła pochodzenia środków przeznaczonych na wsparcie inwestycji szerokopasmowych (środki europejskie/środki krajowe i quasi-komercyjne) oraz na formę wsparcia (bezzwrotna dotacja, instrumenty zwrotne i pomoc zwrotna, partnerstwo publiczno-prywatne oraz inwestycje kapitałowe).</w:t>
            </w:r>
          </w:p>
        </w:tc>
      </w:tr>
      <w:tr w:rsidR="00E8684E" w:rsidRPr="00890249" w14:paraId="3B80992E" w14:textId="77777777" w:rsidTr="00F62734">
        <w:tc>
          <w:tcPr>
            <w:tcW w:w="1560" w:type="dxa"/>
            <w:vMerge/>
          </w:tcPr>
          <w:p w14:paraId="3F29A2BC" w14:textId="77777777" w:rsidR="00E8684E" w:rsidRPr="00890249" w:rsidRDefault="00E8684E" w:rsidP="00E8684E">
            <w:pPr>
              <w:jc w:val="left"/>
              <w:rPr>
                <w:rFonts w:asciiTheme="minorHAnsi" w:hAnsiTheme="minorHAnsi" w:cstheme="minorHAnsi"/>
                <w:sz w:val="20"/>
              </w:rPr>
            </w:pPr>
          </w:p>
        </w:tc>
        <w:tc>
          <w:tcPr>
            <w:tcW w:w="709" w:type="dxa"/>
            <w:vMerge/>
          </w:tcPr>
          <w:p w14:paraId="3B54EDC6" w14:textId="77777777" w:rsidR="00E8684E" w:rsidRPr="00890249" w:rsidRDefault="00E8684E" w:rsidP="00E8684E">
            <w:pPr>
              <w:jc w:val="left"/>
              <w:rPr>
                <w:rFonts w:asciiTheme="minorHAnsi" w:hAnsiTheme="minorHAnsi" w:cstheme="minorHAnsi"/>
                <w:sz w:val="20"/>
              </w:rPr>
            </w:pPr>
          </w:p>
        </w:tc>
        <w:tc>
          <w:tcPr>
            <w:tcW w:w="1843" w:type="dxa"/>
            <w:vMerge/>
          </w:tcPr>
          <w:p w14:paraId="443298D9" w14:textId="77777777" w:rsidR="00E8684E" w:rsidRPr="00890249" w:rsidRDefault="00E8684E" w:rsidP="00E8684E">
            <w:pPr>
              <w:jc w:val="left"/>
              <w:rPr>
                <w:rFonts w:asciiTheme="minorHAnsi" w:hAnsiTheme="minorHAnsi" w:cstheme="minorHAnsi"/>
                <w:bCs/>
                <w:sz w:val="20"/>
              </w:rPr>
            </w:pPr>
          </w:p>
        </w:tc>
        <w:tc>
          <w:tcPr>
            <w:tcW w:w="1559" w:type="dxa"/>
            <w:vMerge/>
          </w:tcPr>
          <w:p w14:paraId="641EA774"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070AF931" w14:textId="77777777" w:rsidR="00E8684E" w:rsidRPr="00890249" w:rsidRDefault="00E8684E" w:rsidP="00E8684E">
            <w:pPr>
              <w:jc w:val="left"/>
              <w:rPr>
                <w:rFonts w:asciiTheme="minorHAnsi" w:hAnsiTheme="minorHAnsi" w:cstheme="minorHAnsi"/>
                <w:b/>
                <w:sz w:val="20"/>
              </w:rPr>
            </w:pPr>
            <w:r w:rsidRPr="00890249">
              <w:rPr>
                <w:rFonts w:asciiTheme="minorHAnsi" w:hAnsiTheme="minorHAnsi" w:cstheme="minorHAnsi"/>
                <w:b/>
                <w:sz w:val="20"/>
              </w:rPr>
              <w:t xml:space="preserve">Kryterium 3. </w:t>
            </w:r>
          </w:p>
          <w:p w14:paraId="4B067D6E"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3. działania wspierające popyt na sieci o bardzo dużej przepustowości i ich wykorzystanie, w tym działania mające na celu ułatwienie ich wprowadzania, w szczególności przez skuteczne wdrożenie dyrektywy Parlamentu Europejskiego i Rady 2014/61/UE; </w:t>
            </w:r>
          </w:p>
        </w:tc>
        <w:tc>
          <w:tcPr>
            <w:tcW w:w="1134" w:type="dxa"/>
            <w:vMerge/>
          </w:tcPr>
          <w:p w14:paraId="5306BA61"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4428F7C6"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72B64D47" w14:textId="77777777" w:rsidR="00A7732B" w:rsidRPr="00890249" w:rsidRDefault="00875C92" w:rsidP="00325D70">
            <w:pPr>
              <w:autoSpaceDE w:val="0"/>
              <w:autoSpaceDN w:val="0"/>
              <w:adjustRightInd w:val="0"/>
              <w:spacing w:after="0"/>
              <w:jc w:val="left"/>
              <w:rPr>
                <w:rFonts w:asciiTheme="minorHAnsi" w:hAnsiTheme="minorHAnsi" w:cstheme="minorHAnsi"/>
                <w:bCs/>
                <w:sz w:val="20"/>
              </w:rPr>
            </w:pPr>
            <w:r w:rsidRPr="00890249">
              <w:rPr>
                <w:rFonts w:asciiTheme="minorHAnsi" w:hAnsiTheme="minorHAnsi" w:cstheme="minorHAnsi"/>
                <w:b/>
                <w:bCs/>
                <w:sz w:val="20"/>
              </w:rPr>
              <w:t>Kryterium 3.</w:t>
            </w:r>
            <w:r w:rsidRPr="00890249">
              <w:rPr>
                <w:rFonts w:asciiTheme="minorHAnsi" w:hAnsiTheme="minorHAnsi" w:cstheme="minorHAnsi"/>
                <w:bCs/>
                <w:sz w:val="20"/>
              </w:rPr>
              <w:t xml:space="preserve"> </w:t>
            </w:r>
          </w:p>
          <w:p w14:paraId="10A8EC5E" w14:textId="505D9B49" w:rsidR="00E8684E" w:rsidRPr="00890249" w:rsidRDefault="00875C92" w:rsidP="00325D70">
            <w:pPr>
              <w:jc w:val="left"/>
              <w:rPr>
                <w:rFonts w:asciiTheme="minorHAnsi" w:hAnsiTheme="minorHAnsi" w:cstheme="minorHAnsi"/>
                <w:sz w:val="20"/>
              </w:rPr>
            </w:pPr>
            <w:r w:rsidRPr="00890249">
              <w:rPr>
                <w:rFonts w:asciiTheme="minorHAnsi" w:hAnsiTheme="minorHAnsi" w:cstheme="minorHAnsi"/>
                <w:bCs/>
                <w:sz w:val="20"/>
              </w:rPr>
              <w:t xml:space="preserve">NPS w rozdziale 5 i 6 zawiera opis środków służących podaży i popytowi, w tym bezpośrednio usprawniających inwestycje szerokopasmowe oraz wzmacniające wykorzystanie usług dostępu do sieci wysokich przepustowości. Działania wspierające inwestycje szerokopasmowe zostały skupione wokół eliminowania barier administracyjno-prawnych w telekomunikacyjnym procesie inwestycyjnym i działań o charakterze wykonawczym (od odpowiedzialnej aktywności regulacyjnej krajowego organu </w:t>
            </w:r>
            <w:r w:rsidRPr="00890249">
              <w:rPr>
                <w:rFonts w:asciiTheme="minorHAnsi" w:hAnsiTheme="minorHAnsi" w:cstheme="minorHAnsi"/>
                <w:bCs/>
                <w:sz w:val="20"/>
              </w:rPr>
              <w:lastRenderedPageBreak/>
              <w:t>regulacyjnego dla rynku telekomunikacyjnego – Prezesa Urzędu Komunikacji Elektronicznej – oraz organu ochrony konkurencji – Prezesa Urzędu Ochrony Konkurencji i Konsumentów – do ogólnokrajowych kampanii informacyjnych dotyczących inwestycji szerokopasmowych). Z kolei działania wspierające popyt na usługi dostępu do szybkiego internetu polegać będą m.in. na udostępnianiu narzędzi agregujących popyt, kampaniach społecznych wzmacniających świadomość korzyści płynących z korzystania z szybkiego internetu oraz ewentualnych działaniach finansowych, wspierających potrzebujących użytkowników końcowych w zapewnieniu możliwości korzystania z tych usług.</w:t>
            </w:r>
          </w:p>
        </w:tc>
      </w:tr>
      <w:tr w:rsidR="00E8684E" w:rsidRPr="00890249" w14:paraId="363CD95E" w14:textId="77777777" w:rsidTr="00F62734">
        <w:tc>
          <w:tcPr>
            <w:tcW w:w="1560" w:type="dxa"/>
            <w:vMerge/>
          </w:tcPr>
          <w:p w14:paraId="4F815B0B" w14:textId="77777777" w:rsidR="00E8684E" w:rsidRPr="00890249" w:rsidRDefault="00E8684E" w:rsidP="00E8684E">
            <w:pPr>
              <w:jc w:val="left"/>
              <w:rPr>
                <w:rFonts w:asciiTheme="minorHAnsi" w:hAnsiTheme="minorHAnsi" w:cstheme="minorHAnsi"/>
                <w:sz w:val="20"/>
              </w:rPr>
            </w:pPr>
          </w:p>
        </w:tc>
        <w:tc>
          <w:tcPr>
            <w:tcW w:w="709" w:type="dxa"/>
            <w:vMerge/>
          </w:tcPr>
          <w:p w14:paraId="308E8CF7" w14:textId="77777777" w:rsidR="00E8684E" w:rsidRPr="00890249" w:rsidRDefault="00E8684E" w:rsidP="00E8684E">
            <w:pPr>
              <w:jc w:val="left"/>
              <w:rPr>
                <w:rFonts w:asciiTheme="minorHAnsi" w:hAnsiTheme="minorHAnsi" w:cstheme="minorHAnsi"/>
                <w:sz w:val="20"/>
              </w:rPr>
            </w:pPr>
          </w:p>
        </w:tc>
        <w:tc>
          <w:tcPr>
            <w:tcW w:w="1843" w:type="dxa"/>
            <w:vMerge/>
          </w:tcPr>
          <w:p w14:paraId="67C29CA5" w14:textId="77777777" w:rsidR="00E8684E" w:rsidRPr="00890249" w:rsidRDefault="00E8684E" w:rsidP="00E8684E">
            <w:pPr>
              <w:jc w:val="left"/>
              <w:rPr>
                <w:rFonts w:asciiTheme="minorHAnsi" w:hAnsiTheme="minorHAnsi" w:cstheme="minorHAnsi"/>
                <w:bCs/>
                <w:sz w:val="20"/>
              </w:rPr>
            </w:pPr>
          </w:p>
        </w:tc>
        <w:tc>
          <w:tcPr>
            <w:tcW w:w="1559" w:type="dxa"/>
            <w:vMerge/>
          </w:tcPr>
          <w:p w14:paraId="300059A2"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187B60B7" w14:textId="77777777" w:rsidR="00E8684E" w:rsidRPr="00890249" w:rsidRDefault="00E8684E" w:rsidP="00E8684E">
            <w:pPr>
              <w:jc w:val="left"/>
              <w:rPr>
                <w:rFonts w:asciiTheme="minorHAnsi" w:hAnsiTheme="minorHAnsi" w:cstheme="minorHAnsi"/>
                <w:b/>
                <w:sz w:val="20"/>
              </w:rPr>
            </w:pPr>
            <w:r w:rsidRPr="00890249">
              <w:rPr>
                <w:rFonts w:asciiTheme="minorHAnsi" w:hAnsiTheme="minorHAnsi" w:cstheme="minorHAnsi"/>
                <w:b/>
                <w:sz w:val="20"/>
              </w:rPr>
              <w:t xml:space="preserve">Kryterium 4. </w:t>
            </w:r>
          </w:p>
          <w:p w14:paraId="5039FD2F"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4. mechanizmy pomocy technicznej i doradztwa specjalistycznego, takie jak biura kompetencji w zakresie łączności </w:t>
            </w:r>
            <w:r w:rsidRPr="00890249">
              <w:rPr>
                <w:rFonts w:asciiTheme="minorHAnsi" w:hAnsiTheme="minorHAnsi" w:cstheme="minorHAnsi"/>
                <w:sz w:val="20"/>
              </w:rPr>
              <w:lastRenderedPageBreak/>
              <w:t xml:space="preserve">szerokopasmowej, w celu wzmocnienia zdolności lokalnych zainteresowanych stron i udzielania doradztwa projektodawcom; </w:t>
            </w:r>
          </w:p>
        </w:tc>
        <w:tc>
          <w:tcPr>
            <w:tcW w:w="1134" w:type="dxa"/>
            <w:vMerge/>
          </w:tcPr>
          <w:p w14:paraId="5BB2D076"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75F41748"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302E0BE2" w14:textId="77777777" w:rsidR="00A7732B"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
                <w:bCs/>
                <w:sz w:val="20"/>
              </w:rPr>
              <w:t>Kryterium 4</w:t>
            </w:r>
            <w:r w:rsidRPr="00890249">
              <w:rPr>
                <w:rFonts w:asciiTheme="minorHAnsi" w:hAnsiTheme="minorHAnsi" w:cstheme="minorHAnsi"/>
                <w:bCs/>
                <w:sz w:val="20"/>
              </w:rPr>
              <w:t xml:space="preserve">. </w:t>
            </w:r>
          </w:p>
          <w:p w14:paraId="718AB823" w14:textId="77777777" w:rsidR="00A7732B"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 xml:space="preserve">Departament Telekomunikacji funkcjonujący w strukturze urzędu obsługującego ministra właściwego do spraw informatyzacji pełni funkcję </w:t>
            </w:r>
            <w:r w:rsidRPr="00890249">
              <w:rPr>
                <w:rFonts w:asciiTheme="minorHAnsi" w:hAnsiTheme="minorHAnsi" w:cstheme="minorHAnsi"/>
                <w:bCs/>
                <w:sz w:val="20"/>
              </w:rPr>
              <w:lastRenderedPageBreak/>
              <w:t>Broadband Competence Office i krajowego punktu kontaktowego do spraw rozwoju sieci szerokopasmowych.</w:t>
            </w:r>
          </w:p>
          <w:p w14:paraId="7C03BB7E" w14:textId="47305556" w:rsidR="00E8684E" w:rsidRPr="00890249" w:rsidRDefault="00E8684E" w:rsidP="00325D70">
            <w:pPr>
              <w:jc w:val="left"/>
              <w:rPr>
                <w:rFonts w:asciiTheme="minorHAnsi" w:hAnsiTheme="minorHAnsi" w:cstheme="minorHAnsi"/>
                <w:sz w:val="20"/>
              </w:rPr>
            </w:pPr>
          </w:p>
        </w:tc>
      </w:tr>
      <w:tr w:rsidR="00E8684E" w:rsidRPr="00890249" w14:paraId="66EE6261" w14:textId="77777777" w:rsidTr="00F62734">
        <w:tc>
          <w:tcPr>
            <w:tcW w:w="1560" w:type="dxa"/>
            <w:vMerge/>
          </w:tcPr>
          <w:p w14:paraId="576BCA15" w14:textId="77777777" w:rsidR="00E8684E" w:rsidRPr="00890249" w:rsidRDefault="00E8684E" w:rsidP="00E8684E">
            <w:pPr>
              <w:jc w:val="left"/>
              <w:rPr>
                <w:rFonts w:asciiTheme="minorHAnsi" w:hAnsiTheme="minorHAnsi" w:cstheme="minorHAnsi"/>
                <w:sz w:val="20"/>
              </w:rPr>
            </w:pPr>
          </w:p>
        </w:tc>
        <w:tc>
          <w:tcPr>
            <w:tcW w:w="709" w:type="dxa"/>
            <w:vMerge/>
          </w:tcPr>
          <w:p w14:paraId="5D3466C9" w14:textId="77777777" w:rsidR="00E8684E" w:rsidRPr="00890249" w:rsidRDefault="00E8684E" w:rsidP="00E8684E">
            <w:pPr>
              <w:jc w:val="left"/>
              <w:rPr>
                <w:rFonts w:asciiTheme="minorHAnsi" w:hAnsiTheme="minorHAnsi" w:cstheme="minorHAnsi"/>
                <w:sz w:val="20"/>
              </w:rPr>
            </w:pPr>
          </w:p>
        </w:tc>
        <w:tc>
          <w:tcPr>
            <w:tcW w:w="1843" w:type="dxa"/>
            <w:vMerge/>
          </w:tcPr>
          <w:p w14:paraId="3E582115" w14:textId="77777777" w:rsidR="00E8684E" w:rsidRPr="00890249" w:rsidRDefault="00E8684E" w:rsidP="00E8684E">
            <w:pPr>
              <w:jc w:val="left"/>
              <w:rPr>
                <w:rFonts w:asciiTheme="minorHAnsi" w:hAnsiTheme="minorHAnsi" w:cstheme="minorHAnsi"/>
                <w:bCs/>
                <w:sz w:val="20"/>
              </w:rPr>
            </w:pPr>
          </w:p>
        </w:tc>
        <w:tc>
          <w:tcPr>
            <w:tcW w:w="1559" w:type="dxa"/>
            <w:vMerge/>
          </w:tcPr>
          <w:p w14:paraId="55FA0A54"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746B2156" w14:textId="77777777" w:rsidR="00E8684E" w:rsidRPr="00890249" w:rsidRDefault="00E8684E" w:rsidP="00E8684E">
            <w:pPr>
              <w:jc w:val="left"/>
              <w:rPr>
                <w:rFonts w:asciiTheme="minorHAnsi" w:hAnsiTheme="minorHAnsi" w:cstheme="minorHAnsi"/>
                <w:b/>
                <w:sz w:val="20"/>
              </w:rPr>
            </w:pPr>
            <w:r w:rsidRPr="00890249">
              <w:rPr>
                <w:rFonts w:asciiTheme="minorHAnsi" w:hAnsiTheme="minorHAnsi" w:cstheme="minorHAnsi"/>
                <w:b/>
                <w:sz w:val="20"/>
              </w:rPr>
              <w:t>Kryterium 5</w:t>
            </w:r>
          </w:p>
          <w:p w14:paraId="4CEAE4DD"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sz w:val="20"/>
              </w:rPr>
              <w:t>5. mechanizm monitorowania oparty na standardowych wskaźnikach mapowania infrastruktury szerokopasmowej</w:t>
            </w:r>
            <w:r w:rsidRPr="00890249">
              <w:rPr>
                <w:rFonts w:asciiTheme="minorHAnsi" w:hAnsiTheme="minorHAnsi" w:cstheme="minorHAnsi"/>
                <w:b/>
                <w:bCs/>
                <w:sz w:val="20"/>
              </w:rPr>
              <w:t>.</w:t>
            </w:r>
          </w:p>
        </w:tc>
        <w:tc>
          <w:tcPr>
            <w:tcW w:w="1134" w:type="dxa"/>
            <w:vMerge/>
          </w:tcPr>
          <w:p w14:paraId="6A5ADF9A"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3B4117AC"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4B35FD92" w14:textId="77777777" w:rsidR="00A7732B"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Kryterium 5</w:t>
            </w:r>
          </w:p>
          <w:p w14:paraId="4BF090C3" w14:textId="65106F8A" w:rsidR="00E8684E" w:rsidRPr="00890249" w:rsidRDefault="00875C92" w:rsidP="00325D70">
            <w:pPr>
              <w:jc w:val="left"/>
              <w:rPr>
                <w:rFonts w:asciiTheme="minorHAnsi" w:eastAsia="Times New Roman" w:hAnsiTheme="minorHAnsi" w:cstheme="minorHAnsi"/>
                <w:iCs/>
                <w:noProof/>
                <w:sz w:val="20"/>
              </w:rPr>
            </w:pPr>
            <w:r w:rsidRPr="00890249">
              <w:rPr>
                <w:rFonts w:asciiTheme="minorHAnsi" w:hAnsiTheme="minorHAnsi" w:cstheme="minorHAnsi"/>
                <w:sz w:val="20"/>
              </w:rPr>
              <w:t>Monitoring będzie prowadzony przez koordynatora NPS we współpracy z regulatorem rynku telekomunikacyjnego – Prezesem Urzędu Komunikacji Elektronicznej przy użyciu standardowych wskaźników monitoringowych.</w:t>
            </w:r>
          </w:p>
        </w:tc>
      </w:tr>
      <w:tr w:rsidR="00E8684E" w:rsidRPr="00890249" w14:paraId="2FF8D888" w14:textId="77777777" w:rsidTr="00F62734">
        <w:trPr>
          <w:trHeight w:val="3884"/>
        </w:trPr>
        <w:tc>
          <w:tcPr>
            <w:tcW w:w="1560" w:type="dxa"/>
          </w:tcPr>
          <w:p w14:paraId="6240FF66"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lastRenderedPageBreak/>
              <w:t xml:space="preserve">2.1 </w:t>
            </w:r>
          </w:p>
          <w:p w14:paraId="7292D5ED"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Ramy strategicznej polityki na rzecz wsparcia renowacji budynków pod kątem efektywności energetycznej budynków mieszkalnych i niemieszkalnych </w:t>
            </w:r>
          </w:p>
          <w:p w14:paraId="0625D831" w14:textId="77777777" w:rsidR="00E8684E" w:rsidRPr="00890249" w:rsidRDefault="00E8684E" w:rsidP="00E8684E">
            <w:pPr>
              <w:jc w:val="left"/>
              <w:rPr>
                <w:rFonts w:asciiTheme="minorHAnsi" w:hAnsiTheme="minorHAnsi" w:cstheme="minorHAnsi"/>
                <w:sz w:val="20"/>
              </w:rPr>
            </w:pPr>
          </w:p>
        </w:tc>
        <w:tc>
          <w:tcPr>
            <w:tcW w:w="709" w:type="dxa"/>
          </w:tcPr>
          <w:p w14:paraId="74E38346"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EFRR, FS</w:t>
            </w:r>
          </w:p>
          <w:p w14:paraId="57300C77" w14:textId="77777777" w:rsidR="00E8684E" w:rsidRPr="00890249" w:rsidRDefault="00E8684E" w:rsidP="00E8684E">
            <w:pPr>
              <w:jc w:val="left"/>
              <w:rPr>
                <w:rFonts w:asciiTheme="minorHAnsi" w:hAnsiTheme="minorHAnsi" w:cstheme="minorHAnsi"/>
                <w:sz w:val="20"/>
                <w:lang w:val="en-GB"/>
              </w:rPr>
            </w:pPr>
          </w:p>
        </w:tc>
        <w:tc>
          <w:tcPr>
            <w:tcW w:w="1843" w:type="dxa"/>
          </w:tcPr>
          <w:p w14:paraId="695B0AC5"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Wspieranie efektywności energetycznej i redukcji emisji gazów cieplarnianych</w:t>
            </w:r>
          </w:p>
        </w:tc>
        <w:tc>
          <w:tcPr>
            <w:tcW w:w="1559" w:type="dxa"/>
          </w:tcPr>
          <w:p w14:paraId="64B903BA" w14:textId="4293EA42"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2551" w:type="dxa"/>
          </w:tcPr>
          <w:p w14:paraId="28D0E072" w14:textId="77777777" w:rsidR="00E8684E" w:rsidRPr="00890249" w:rsidRDefault="00E8684E" w:rsidP="00E8684E">
            <w:pPr>
              <w:jc w:val="left"/>
              <w:rPr>
                <w:rFonts w:asciiTheme="minorHAnsi" w:hAnsiTheme="minorHAnsi" w:cstheme="minorHAnsi"/>
                <w:b/>
                <w:noProof/>
                <w:sz w:val="20"/>
              </w:rPr>
            </w:pPr>
            <w:r w:rsidRPr="00890249">
              <w:rPr>
                <w:rFonts w:asciiTheme="minorHAnsi" w:hAnsiTheme="minorHAnsi" w:cstheme="minorHAnsi"/>
                <w:b/>
                <w:noProof/>
                <w:sz w:val="20"/>
              </w:rPr>
              <w:t>Kryterium 1</w:t>
            </w:r>
          </w:p>
          <w:p w14:paraId="703F4223"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Przyjęcie krajowej długoterminowej strategii renowacji na rzecz wsparcia renowacji krajowych zasobów budynków mieszkalnych i niemieszkalnych, zgodnie z wymogami dyrektywy Parlamentu Europejskiego i Rady (UE) 2018/8441; strategia ta: </w:t>
            </w:r>
          </w:p>
          <w:p w14:paraId="45D938EB" w14:textId="77777777" w:rsidR="00B72154" w:rsidRPr="00890249" w:rsidRDefault="00E8684E" w:rsidP="009F296A">
            <w:pPr>
              <w:numPr>
                <w:ilvl w:val="0"/>
                <w:numId w:val="68"/>
              </w:numPr>
              <w:ind w:left="317" w:hanging="283"/>
              <w:contextualSpacing/>
              <w:jc w:val="left"/>
              <w:rPr>
                <w:rFonts w:asciiTheme="minorHAnsi" w:hAnsiTheme="minorHAnsi" w:cstheme="minorHAnsi"/>
                <w:noProof/>
                <w:sz w:val="20"/>
              </w:rPr>
            </w:pPr>
            <w:r w:rsidRPr="00890249">
              <w:rPr>
                <w:rFonts w:asciiTheme="minorHAnsi" w:hAnsiTheme="minorHAnsi" w:cstheme="minorHAnsi"/>
                <w:noProof/>
                <w:sz w:val="20"/>
              </w:rPr>
              <w:t>zakłada szacunkowe cele pośrednie na lata 2030,2040 i 2050;</w:t>
            </w:r>
          </w:p>
          <w:p w14:paraId="3969611E" w14:textId="77777777" w:rsidR="00B72154" w:rsidRPr="00890249" w:rsidRDefault="00E8684E" w:rsidP="009F296A">
            <w:pPr>
              <w:numPr>
                <w:ilvl w:val="0"/>
                <w:numId w:val="68"/>
              </w:numPr>
              <w:ind w:left="317" w:hanging="283"/>
              <w:contextualSpacing/>
              <w:jc w:val="left"/>
              <w:rPr>
                <w:rFonts w:asciiTheme="minorHAnsi" w:hAnsiTheme="minorHAnsi" w:cstheme="minorHAnsi"/>
                <w:noProof/>
                <w:sz w:val="20"/>
              </w:rPr>
            </w:pPr>
            <w:r w:rsidRPr="00890249">
              <w:rPr>
                <w:rFonts w:asciiTheme="minorHAnsi" w:hAnsiTheme="minorHAnsi" w:cstheme="minorHAnsi"/>
                <w:noProof/>
                <w:sz w:val="20"/>
              </w:rPr>
              <w:t xml:space="preserve">przedstawia indykatywny zarys zasobów finansowych na wspieranie realizacji strategii; </w:t>
            </w:r>
          </w:p>
          <w:p w14:paraId="1ABF9C42" w14:textId="77777777" w:rsidR="00B72154" w:rsidRPr="00890249" w:rsidRDefault="00E8684E" w:rsidP="009F296A">
            <w:pPr>
              <w:numPr>
                <w:ilvl w:val="0"/>
                <w:numId w:val="68"/>
              </w:numPr>
              <w:ind w:left="317" w:hanging="283"/>
              <w:contextualSpacing/>
              <w:jc w:val="left"/>
              <w:rPr>
                <w:rFonts w:asciiTheme="minorHAnsi" w:hAnsiTheme="minorHAnsi" w:cstheme="minorHAnsi"/>
                <w:noProof/>
                <w:sz w:val="20"/>
              </w:rPr>
            </w:pPr>
            <w:r w:rsidRPr="00890249">
              <w:rPr>
                <w:rFonts w:asciiTheme="minorHAnsi" w:hAnsiTheme="minorHAnsi" w:cstheme="minorHAnsi"/>
                <w:noProof/>
                <w:sz w:val="20"/>
              </w:rPr>
              <w:t xml:space="preserve">określa skuteczne mechanizmy promowania inwestycji w renowację budynków. </w:t>
            </w:r>
          </w:p>
          <w:p w14:paraId="43DA5A15" w14:textId="77777777" w:rsidR="00E8684E" w:rsidRPr="00890249" w:rsidRDefault="00E8684E" w:rsidP="00E8684E">
            <w:pPr>
              <w:jc w:val="left"/>
              <w:rPr>
                <w:rFonts w:asciiTheme="minorHAnsi" w:hAnsiTheme="minorHAnsi" w:cstheme="minorHAnsi"/>
                <w:noProof/>
                <w:sz w:val="20"/>
              </w:rPr>
            </w:pPr>
          </w:p>
          <w:p w14:paraId="2ABEA3C2" w14:textId="77777777" w:rsidR="00E8684E" w:rsidRPr="00890249" w:rsidRDefault="00E8684E" w:rsidP="00E8684E">
            <w:pPr>
              <w:jc w:val="left"/>
              <w:rPr>
                <w:rFonts w:asciiTheme="minorHAnsi" w:hAnsiTheme="minorHAnsi" w:cstheme="minorHAnsi"/>
                <w:noProof/>
                <w:sz w:val="20"/>
              </w:rPr>
            </w:pPr>
          </w:p>
          <w:p w14:paraId="6E9D11EE" w14:textId="77777777" w:rsidR="00E8684E" w:rsidRPr="00890249" w:rsidRDefault="00E8684E" w:rsidP="00E8684E">
            <w:pPr>
              <w:jc w:val="left"/>
              <w:rPr>
                <w:rFonts w:asciiTheme="minorHAnsi" w:hAnsiTheme="minorHAnsi" w:cstheme="minorHAnsi"/>
                <w:noProof/>
                <w:sz w:val="20"/>
              </w:rPr>
            </w:pPr>
          </w:p>
          <w:p w14:paraId="1AC5CA1B" w14:textId="77777777" w:rsidR="00E8684E" w:rsidRPr="00890249" w:rsidRDefault="00E8684E" w:rsidP="00E8684E">
            <w:pPr>
              <w:jc w:val="left"/>
              <w:rPr>
                <w:rFonts w:asciiTheme="minorHAnsi" w:hAnsiTheme="minorHAnsi" w:cstheme="minorHAnsi"/>
                <w:noProof/>
                <w:sz w:val="20"/>
              </w:rPr>
            </w:pPr>
          </w:p>
          <w:p w14:paraId="30E71DFD" w14:textId="77777777" w:rsidR="00E8684E" w:rsidRPr="00890249" w:rsidRDefault="00E8684E" w:rsidP="00E8684E">
            <w:pPr>
              <w:jc w:val="left"/>
              <w:rPr>
                <w:rFonts w:asciiTheme="minorHAnsi" w:hAnsiTheme="minorHAnsi" w:cstheme="minorHAnsi"/>
                <w:noProof/>
                <w:sz w:val="20"/>
              </w:rPr>
            </w:pPr>
          </w:p>
          <w:p w14:paraId="2D7644E2" w14:textId="77777777" w:rsidR="00E8684E" w:rsidRPr="00890249" w:rsidRDefault="00E8684E" w:rsidP="00E8684E">
            <w:pPr>
              <w:jc w:val="left"/>
              <w:rPr>
                <w:rFonts w:asciiTheme="minorHAnsi" w:hAnsiTheme="minorHAnsi" w:cstheme="minorHAnsi"/>
                <w:noProof/>
                <w:sz w:val="20"/>
              </w:rPr>
            </w:pPr>
          </w:p>
          <w:p w14:paraId="2D3D6101" w14:textId="77777777" w:rsidR="00E8684E" w:rsidRPr="00890249" w:rsidRDefault="00E8684E" w:rsidP="00E8684E">
            <w:pPr>
              <w:jc w:val="left"/>
              <w:rPr>
                <w:rFonts w:asciiTheme="minorHAnsi" w:hAnsiTheme="minorHAnsi" w:cstheme="minorHAnsi"/>
                <w:noProof/>
                <w:sz w:val="20"/>
              </w:rPr>
            </w:pPr>
          </w:p>
          <w:p w14:paraId="26BF211B" w14:textId="77777777" w:rsidR="00E8684E" w:rsidRPr="00890249" w:rsidRDefault="00E8684E" w:rsidP="00E8684E">
            <w:pPr>
              <w:jc w:val="left"/>
              <w:rPr>
                <w:rFonts w:asciiTheme="minorHAnsi" w:hAnsiTheme="minorHAnsi" w:cstheme="minorHAnsi"/>
                <w:noProof/>
                <w:sz w:val="20"/>
              </w:rPr>
            </w:pPr>
          </w:p>
          <w:p w14:paraId="0D65D610" w14:textId="77777777" w:rsidR="00E8684E" w:rsidRPr="00890249" w:rsidRDefault="00E8684E" w:rsidP="00E8684E">
            <w:pPr>
              <w:jc w:val="left"/>
              <w:rPr>
                <w:rFonts w:asciiTheme="minorHAnsi" w:hAnsiTheme="minorHAnsi" w:cstheme="minorHAnsi"/>
                <w:b/>
                <w:noProof/>
                <w:sz w:val="20"/>
              </w:rPr>
            </w:pPr>
            <w:r w:rsidRPr="00890249">
              <w:rPr>
                <w:rFonts w:asciiTheme="minorHAnsi" w:hAnsiTheme="minorHAnsi" w:cstheme="minorHAnsi"/>
                <w:b/>
                <w:noProof/>
                <w:sz w:val="20"/>
              </w:rPr>
              <w:t>Kryterium 2</w:t>
            </w:r>
          </w:p>
          <w:p w14:paraId="16D1E1B5"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Działania na rzecz poprawy efektywności energetycznej w celu osiągnięcia wymaganych oszczędności energii. </w:t>
            </w:r>
          </w:p>
        </w:tc>
        <w:tc>
          <w:tcPr>
            <w:tcW w:w="1134" w:type="dxa"/>
          </w:tcPr>
          <w:p w14:paraId="0CCC9195" w14:textId="3F8EB9BF"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p w14:paraId="1EF9B6C8" w14:textId="77777777" w:rsidR="00E8684E" w:rsidRPr="00890249" w:rsidRDefault="00E8684E" w:rsidP="00E8684E">
            <w:pPr>
              <w:jc w:val="left"/>
              <w:rPr>
                <w:rFonts w:asciiTheme="minorHAnsi" w:eastAsia="Times New Roman" w:hAnsiTheme="minorHAnsi" w:cstheme="minorHAnsi"/>
                <w:iCs/>
                <w:noProof/>
                <w:sz w:val="20"/>
              </w:rPr>
            </w:pPr>
          </w:p>
          <w:p w14:paraId="6CE5CC3A" w14:textId="77777777" w:rsidR="00E8684E" w:rsidRPr="00890249" w:rsidRDefault="00E8684E" w:rsidP="00E8684E">
            <w:pPr>
              <w:jc w:val="left"/>
              <w:rPr>
                <w:rFonts w:asciiTheme="minorHAnsi" w:eastAsia="Times New Roman" w:hAnsiTheme="minorHAnsi" w:cstheme="minorHAnsi"/>
                <w:iCs/>
                <w:noProof/>
                <w:sz w:val="20"/>
              </w:rPr>
            </w:pPr>
          </w:p>
          <w:p w14:paraId="46D8C867" w14:textId="77777777" w:rsidR="00E8684E" w:rsidRPr="00890249" w:rsidRDefault="00E8684E" w:rsidP="00E8684E">
            <w:pPr>
              <w:jc w:val="left"/>
              <w:rPr>
                <w:rFonts w:asciiTheme="minorHAnsi" w:eastAsia="Times New Roman" w:hAnsiTheme="minorHAnsi" w:cstheme="minorHAnsi"/>
                <w:iCs/>
                <w:noProof/>
                <w:sz w:val="20"/>
              </w:rPr>
            </w:pPr>
          </w:p>
          <w:p w14:paraId="058CF0A9" w14:textId="77777777" w:rsidR="00E8684E" w:rsidRPr="00890249" w:rsidRDefault="00E8684E" w:rsidP="00E8684E">
            <w:pPr>
              <w:jc w:val="left"/>
              <w:rPr>
                <w:rFonts w:asciiTheme="minorHAnsi" w:eastAsia="Times New Roman" w:hAnsiTheme="minorHAnsi" w:cstheme="minorHAnsi"/>
                <w:iCs/>
                <w:noProof/>
                <w:sz w:val="20"/>
              </w:rPr>
            </w:pPr>
          </w:p>
          <w:p w14:paraId="0AF943B0" w14:textId="77777777" w:rsidR="00E8684E" w:rsidRPr="00890249" w:rsidRDefault="00E8684E" w:rsidP="00E8684E">
            <w:pPr>
              <w:jc w:val="left"/>
              <w:rPr>
                <w:rFonts w:asciiTheme="minorHAnsi" w:eastAsia="Times New Roman" w:hAnsiTheme="minorHAnsi" w:cstheme="minorHAnsi"/>
                <w:iCs/>
                <w:noProof/>
                <w:sz w:val="20"/>
              </w:rPr>
            </w:pPr>
          </w:p>
          <w:p w14:paraId="17A66492" w14:textId="77777777" w:rsidR="00E8684E" w:rsidRPr="00890249" w:rsidRDefault="00E8684E" w:rsidP="00E8684E">
            <w:pPr>
              <w:jc w:val="left"/>
              <w:rPr>
                <w:rFonts w:asciiTheme="minorHAnsi" w:eastAsia="Times New Roman" w:hAnsiTheme="minorHAnsi" w:cstheme="minorHAnsi"/>
                <w:iCs/>
                <w:noProof/>
                <w:sz w:val="20"/>
              </w:rPr>
            </w:pPr>
          </w:p>
          <w:p w14:paraId="656D0044" w14:textId="77777777" w:rsidR="00E8684E" w:rsidRPr="00890249" w:rsidRDefault="00E8684E" w:rsidP="00E8684E">
            <w:pPr>
              <w:jc w:val="left"/>
              <w:rPr>
                <w:rFonts w:asciiTheme="minorHAnsi" w:eastAsia="Times New Roman" w:hAnsiTheme="minorHAnsi" w:cstheme="minorHAnsi"/>
                <w:iCs/>
                <w:noProof/>
                <w:sz w:val="20"/>
              </w:rPr>
            </w:pPr>
          </w:p>
          <w:p w14:paraId="21B018A1" w14:textId="77777777" w:rsidR="00E8684E" w:rsidRPr="00890249" w:rsidRDefault="00E8684E" w:rsidP="00E8684E">
            <w:pPr>
              <w:jc w:val="left"/>
              <w:rPr>
                <w:rFonts w:asciiTheme="minorHAnsi" w:eastAsia="Times New Roman" w:hAnsiTheme="minorHAnsi" w:cstheme="minorHAnsi"/>
                <w:iCs/>
                <w:noProof/>
                <w:sz w:val="20"/>
              </w:rPr>
            </w:pPr>
          </w:p>
          <w:p w14:paraId="7BADAFDA" w14:textId="77777777" w:rsidR="00E8684E" w:rsidRPr="00890249" w:rsidRDefault="00E8684E" w:rsidP="00E8684E">
            <w:pPr>
              <w:jc w:val="left"/>
              <w:rPr>
                <w:rFonts w:asciiTheme="minorHAnsi" w:eastAsia="Times New Roman" w:hAnsiTheme="minorHAnsi" w:cstheme="minorHAnsi"/>
                <w:iCs/>
                <w:noProof/>
                <w:sz w:val="20"/>
              </w:rPr>
            </w:pPr>
          </w:p>
          <w:p w14:paraId="51403674" w14:textId="77777777" w:rsidR="00E8684E" w:rsidRPr="00890249" w:rsidRDefault="00E8684E" w:rsidP="00E8684E">
            <w:pPr>
              <w:jc w:val="left"/>
              <w:rPr>
                <w:rFonts w:asciiTheme="minorHAnsi" w:eastAsia="Times New Roman" w:hAnsiTheme="minorHAnsi" w:cstheme="minorHAnsi"/>
                <w:iCs/>
                <w:noProof/>
                <w:sz w:val="20"/>
              </w:rPr>
            </w:pPr>
          </w:p>
          <w:p w14:paraId="2775EE83" w14:textId="77777777" w:rsidR="00E8684E" w:rsidRPr="00890249" w:rsidRDefault="00E8684E" w:rsidP="00E8684E">
            <w:pPr>
              <w:jc w:val="left"/>
              <w:rPr>
                <w:rFonts w:asciiTheme="minorHAnsi" w:eastAsia="Times New Roman" w:hAnsiTheme="minorHAnsi" w:cstheme="minorHAnsi"/>
                <w:iCs/>
                <w:noProof/>
                <w:sz w:val="20"/>
              </w:rPr>
            </w:pPr>
          </w:p>
          <w:p w14:paraId="724BE06B" w14:textId="77777777" w:rsidR="00E8684E" w:rsidRPr="00890249" w:rsidRDefault="00E8684E" w:rsidP="00E8684E">
            <w:pPr>
              <w:jc w:val="left"/>
              <w:rPr>
                <w:rFonts w:asciiTheme="minorHAnsi" w:eastAsia="Times New Roman" w:hAnsiTheme="minorHAnsi" w:cstheme="minorHAnsi"/>
                <w:iCs/>
                <w:noProof/>
                <w:sz w:val="20"/>
              </w:rPr>
            </w:pPr>
          </w:p>
          <w:p w14:paraId="63ED57FD" w14:textId="77777777" w:rsidR="00E8684E" w:rsidRPr="00890249" w:rsidRDefault="00E8684E" w:rsidP="00E8684E">
            <w:pPr>
              <w:jc w:val="left"/>
              <w:rPr>
                <w:rFonts w:asciiTheme="minorHAnsi" w:eastAsia="Times New Roman" w:hAnsiTheme="minorHAnsi" w:cstheme="minorHAnsi"/>
                <w:iCs/>
                <w:noProof/>
                <w:sz w:val="20"/>
              </w:rPr>
            </w:pPr>
          </w:p>
          <w:p w14:paraId="23556D23" w14:textId="77777777" w:rsidR="00E8684E" w:rsidRPr="00890249" w:rsidRDefault="00E8684E" w:rsidP="00E8684E">
            <w:pPr>
              <w:jc w:val="left"/>
              <w:rPr>
                <w:rFonts w:asciiTheme="minorHAnsi" w:eastAsia="Times New Roman" w:hAnsiTheme="minorHAnsi" w:cstheme="minorHAnsi"/>
                <w:iCs/>
                <w:noProof/>
                <w:sz w:val="20"/>
              </w:rPr>
            </w:pPr>
          </w:p>
          <w:p w14:paraId="1F48A498" w14:textId="77777777" w:rsidR="00E8684E" w:rsidRPr="00890249" w:rsidRDefault="00E8684E" w:rsidP="00E8684E">
            <w:pPr>
              <w:jc w:val="left"/>
              <w:rPr>
                <w:rFonts w:asciiTheme="minorHAnsi" w:eastAsia="Times New Roman" w:hAnsiTheme="minorHAnsi" w:cstheme="minorHAnsi"/>
                <w:iCs/>
                <w:noProof/>
                <w:sz w:val="20"/>
              </w:rPr>
            </w:pPr>
          </w:p>
          <w:p w14:paraId="40DF1CA2" w14:textId="77777777" w:rsidR="00E8684E" w:rsidRPr="00890249" w:rsidRDefault="00E8684E" w:rsidP="00E8684E">
            <w:pPr>
              <w:jc w:val="left"/>
              <w:rPr>
                <w:rFonts w:asciiTheme="minorHAnsi" w:eastAsia="Times New Roman" w:hAnsiTheme="minorHAnsi" w:cstheme="minorHAnsi"/>
                <w:iCs/>
                <w:noProof/>
                <w:sz w:val="20"/>
              </w:rPr>
            </w:pPr>
          </w:p>
          <w:p w14:paraId="4A5A3C48" w14:textId="77777777" w:rsidR="00E8684E" w:rsidRPr="00890249" w:rsidRDefault="00E8684E" w:rsidP="00E8684E">
            <w:pPr>
              <w:jc w:val="left"/>
              <w:rPr>
                <w:rFonts w:asciiTheme="minorHAnsi" w:eastAsia="Times New Roman" w:hAnsiTheme="minorHAnsi" w:cstheme="minorHAnsi"/>
                <w:iCs/>
                <w:noProof/>
                <w:sz w:val="20"/>
              </w:rPr>
            </w:pPr>
          </w:p>
          <w:p w14:paraId="02C7704D" w14:textId="77777777" w:rsidR="00E8684E" w:rsidRPr="00890249" w:rsidRDefault="00E8684E" w:rsidP="00E8684E">
            <w:pPr>
              <w:jc w:val="left"/>
              <w:rPr>
                <w:rFonts w:asciiTheme="minorHAnsi" w:eastAsia="Times New Roman" w:hAnsiTheme="minorHAnsi" w:cstheme="minorHAnsi"/>
                <w:iCs/>
                <w:noProof/>
                <w:sz w:val="20"/>
              </w:rPr>
            </w:pPr>
          </w:p>
          <w:p w14:paraId="382BDACB" w14:textId="77777777" w:rsidR="00E8684E" w:rsidRPr="00890249" w:rsidRDefault="00E8684E" w:rsidP="00E8684E">
            <w:pPr>
              <w:jc w:val="left"/>
              <w:rPr>
                <w:rFonts w:asciiTheme="minorHAnsi" w:eastAsia="Times New Roman" w:hAnsiTheme="minorHAnsi" w:cstheme="minorHAnsi"/>
                <w:iCs/>
                <w:noProof/>
                <w:sz w:val="20"/>
              </w:rPr>
            </w:pPr>
          </w:p>
          <w:p w14:paraId="057566A8" w14:textId="77777777" w:rsidR="00E8684E" w:rsidRPr="00890249" w:rsidRDefault="00E8684E" w:rsidP="00E8684E">
            <w:pPr>
              <w:jc w:val="left"/>
              <w:rPr>
                <w:rFonts w:asciiTheme="minorHAnsi" w:eastAsia="Times New Roman" w:hAnsiTheme="minorHAnsi" w:cstheme="minorHAnsi"/>
                <w:iCs/>
                <w:noProof/>
                <w:sz w:val="20"/>
              </w:rPr>
            </w:pPr>
          </w:p>
          <w:p w14:paraId="03EFFB66" w14:textId="77777777" w:rsidR="00E8684E" w:rsidRPr="00890249" w:rsidRDefault="00E8684E" w:rsidP="00E8684E">
            <w:pPr>
              <w:jc w:val="left"/>
              <w:rPr>
                <w:rFonts w:asciiTheme="minorHAnsi" w:eastAsia="Times New Roman" w:hAnsiTheme="minorHAnsi" w:cstheme="minorHAnsi"/>
                <w:iCs/>
                <w:noProof/>
                <w:sz w:val="20"/>
              </w:rPr>
            </w:pPr>
          </w:p>
          <w:p w14:paraId="288C2CA8" w14:textId="77777777" w:rsidR="00E8684E" w:rsidRPr="00890249" w:rsidRDefault="00E8684E" w:rsidP="00E8684E">
            <w:pPr>
              <w:jc w:val="left"/>
              <w:rPr>
                <w:rFonts w:asciiTheme="minorHAnsi" w:eastAsia="Times New Roman" w:hAnsiTheme="minorHAnsi" w:cstheme="minorHAnsi"/>
                <w:iCs/>
                <w:noProof/>
                <w:sz w:val="20"/>
              </w:rPr>
            </w:pPr>
          </w:p>
          <w:p w14:paraId="2499F024" w14:textId="77777777" w:rsidR="00E8684E" w:rsidRPr="00890249" w:rsidRDefault="00E8684E" w:rsidP="00E8684E">
            <w:pPr>
              <w:jc w:val="left"/>
              <w:rPr>
                <w:rFonts w:asciiTheme="minorHAnsi" w:eastAsia="Times New Roman" w:hAnsiTheme="minorHAnsi" w:cstheme="minorHAnsi"/>
                <w:iCs/>
                <w:noProof/>
                <w:sz w:val="20"/>
              </w:rPr>
            </w:pPr>
          </w:p>
          <w:p w14:paraId="409E5704" w14:textId="77777777" w:rsidR="00E8684E" w:rsidRPr="00890249" w:rsidRDefault="00E8684E" w:rsidP="00E8684E">
            <w:pPr>
              <w:jc w:val="left"/>
              <w:rPr>
                <w:rFonts w:asciiTheme="minorHAnsi" w:eastAsia="Times New Roman" w:hAnsiTheme="minorHAnsi" w:cstheme="minorHAnsi"/>
                <w:iCs/>
                <w:noProof/>
                <w:sz w:val="20"/>
              </w:rPr>
            </w:pPr>
          </w:p>
          <w:p w14:paraId="157D084D"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3402" w:type="dxa"/>
          </w:tcPr>
          <w:p w14:paraId="78B42F43" w14:textId="53154190" w:rsidR="00E8684E" w:rsidRPr="00890249" w:rsidRDefault="006441FD" w:rsidP="00E8684E">
            <w:pPr>
              <w:jc w:val="left"/>
              <w:rPr>
                <w:rFonts w:asciiTheme="minorHAnsi" w:eastAsia="Times New Roman" w:hAnsiTheme="minorHAnsi" w:cstheme="minorHAnsi"/>
                <w:bCs/>
                <w:iCs/>
                <w:noProof/>
                <w:sz w:val="20"/>
              </w:rPr>
            </w:pPr>
            <w:r>
              <w:rPr>
                <w:rFonts w:asciiTheme="minorHAnsi" w:eastAsia="Times New Roman" w:hAnsiTheme="minorHAnsi" w:cstheme="minorHAnsi"/>
                <w:b/>
                <w:bCs/>
                <w:iCs/>
                <w:noProof/>
                <w:sz w:val="20"/>
              </w:rPr>
              <w:lastRenderedPageBreak/>
              <w:t>S</w:t>
            </w:r>
            <w:r w:rsidR="00E8684E" w:rsidRPr="00890249">
              <w:rPr>
                <w:rFonts w:asciiTheme="minorHAnsi" w:eastAsia="Times New Roman" w:hAnsiTheme="minorHAnsi" w:cstheme="minorHAnsi"/>
                <w:b/>
                <w:bCs/>
                <w:iCs/>
                <w:noProof/>
                <w:sz w:val="20"/>
              </w:rPr>
              <w:t>pełniony</w:t>
            </w:r>
            <w:r w:rsidR="00E8684E" w:rsidRPr="00890249">
              <w:rPr>
                <w:rFonts w:asciiTheme="minorHAnsi" w:eastAsia="Times New Roman" w:hAnsiTheme="minorHAnsi" w:cstheme="minorHAnsi"/>
                <w:bCs/>
                <w:iCs/>
                <w:noProof/>
                <w:sz w:val="20"/>
              </w:rPr>
              <w:t xml:space="preserve">. </w:t>
            </w:r>
          </w:p>
          <w:p w14:paraId="5AA0A2B1" w14:textId="3F701FD8" w:rsidR="0032402F" w:rsidRPr="00F62734" w:rsidRDefault="0032402F" w:rsidP="00F62734">
            <w:pPr>
              <w:spacing w:after="0"/>
              <w:rPr>
                <w:rFonts w:ascii="Calibri" w:hAnsi="Calibri" w:cs="Calibri"/>
                <w:bCs/>
                <w:sz w:val="20"/>
              </w:rPr>
            </w:pPr>
            <w:r w:rsidRPr="00F62734">
              <w:rPr>
                <w:rFonts w:ascii="Calibri" w:hAnsi="Calibri" w:cs="Calibri"/>
                <w:bCs/>
                <w:sz w:val="20"/>
              </w:rPr>
              <w:t>Spełnienie warunku stanowi Długoterminowa strategia renowacji budynków (DSRB) jako wymóg wynikający z art. 2a dyrektywy 2010/31/UE z dnia 19 maja 2010 r. w sprawie charakterystyki energetycznej budynków. W zakresie kryterium 2</w:t>
            </w:r>
            <w:r w:rsidRPr="00F62734">
              <w:rPr>
                <w:rFonts w:ascii="Calibri" w:hAnsi="Calibri" w:cs="Calibri"/>
              </w:rPr>
              <w:t xml:space="preserve"> </w:t>
            </w:r>
            <w:r w:rsidRPr="00F62734">
              <w:rPr>
                <w:rFonts w:ascii="Calibri" w:hAnsi="Calibri" w:cs="Calibri"/>
                <w:bCs/>
                <w:sz w:val="20"/>
              </w:rPr>
              <w:t xml:space="preserve">dotyczącego działań na rzecz poprawy efektywności energetycznej w celu osiągnięcia wymaganych oszczędności energii warunek należy uznać za spełniony w oparciu o przekazany do Komisji Europejskiej w dniu 30 grudnia 2019 r. Krajowy plan na rzecz energii i klimatu na lata 2021-2030. </w:t>
            </w:r>
          </w:p>
          <w:p w14:paraId="26CCC846" w14:textId="77777777" w:rsidR="0032402F" w:rsidRPr="0032402F" w:rsidRDefault="0032402F" w:rsidP="0032402F">
            <w:pPr>
              <w:jc w:val="left"/>
              <w:rPr>
                <w:rFonts w:asciiTheme="minorHAnsi" w:eastAsia="Times New Roman" w:hAnsiTheme="minorHAnsi" w:cstheme="minorHAnsi"/>
                <w:b/>
                <w:bCs/>
                <w:iCs/>
                <w:noProof/>
                <w:sz w:val="20"/>
              </w:rPr>
            </w:pPr>
            <w:r w:rsidRPr="0032402F">
              <w:rPr>
                <w:rFonts w:asciiTheme="minorHAnsi" w:eastAsia="Times New Roman" w:hAnsiTheme="minorHAnsi" w:cstheme="minorHAnsi"/>
                <w:b/>
                <w:bCs/>
                <w:iCs/>
                <w:noProof/>
                <w:sz w:val="20"/>
              </w:rPr>
              <w:t>Link do dokumentu:</w:t>
            </w:r>
          </w:p>
          <w:p w14:paraId="38C10AEB" w14:textId="192BF96D" w:rsidR="00E8684E" w:rsidRPr="00890249" w:rsidRDefault="0032402F" w:rsidP="0032402F">
            <w:pPr>
              <w:jc w:val="left"/>
              <w:rPr>
                <w:rFonts w:asciiTheme="minorHAnsi" w:eastAsia="Times New Roman" w:hAnsiTheme="minorHAnsi" w:cstheme="minorHAnsi"/>
                <w:b/>
                <w:bCs/>
                <w:iCs/>
                <w:noProof/>
                <w:sz w:val="20"/>
              </w:rPr>
            </w:pPr>
            <w:hyperlink w:history="1">
              <w:r w:rsidRPr="0032402F">
                <w:rPr>
                  <w:rStyle w:val="Hipercze"/>
                  <w:rFonts w:asciiTheme="minorHAnsi" w:eastAsia="Times New Roman" w:hAnsiTheme="minorHAnsi" w:cstheme="minorHAnsi"/>
                  <w:b/>
                  <w:bCs/>
                  <w:iCs/>
                  <w:noProof/>
                  <w:sz w:val="20"/>
                </w:rPr>
                <w:t>https://www.gov.pl/attachment/64841ec3-1e9c-49d9-85f7-2a58bead36b2</w:t>
              </w:r>
            </w:hyperlink>
          </w:p>
          <w:p w14:paraId="68D0A87D" w14:textId="77777777" w:rsidR="00E8684E" w:rsidRPr="00890249" w:rsidRDefault="00E8684E" w:rsidP="00110F79">
            <w:pPr>
              <w:jc w:val="left"/>
              <w:rPr>
                <w:rFonts w:asciiTheme="minorHAnsi" w:eastAsia="Times New Roman" w:hAnsiTheme="minorHAnsi" w:cstheme="minorHAnsi"/>
                <w:iCs/>
                <w:noProof/>
                <w:sz w:val="20"/>
              </w:rPr>
            </w:pPr>
          </w:p>
        </w:tc>
        <w:tc>
          <w:tcPr>
            <w:tcW w:w="2977" w:type="dxa"/>
          </w:tcPr>
          <w:p w14:paraId="27DCB168" w14:textId="27F689B7" w:rsidR="00A7732B" w:rsidRPr="00890249" w:rsidRDefault="00A7732B" w:rsidP="00325D70">
            <w:pPr>
              <w:spacing w:after="0"/>
              <w:jc w:val="left"/>
              <w:rPr>
                <w:rFonts w:asciiTheme="minorHAnsi" w:hAnsiTheme="minorHAnsi" w:cstheme="minorHAnsi"/>
                <w:b/>
                <w:bCs/>
                <w:sz w:val="20"/>
              </w:rPr>
            </w:pPr>
            <w:r w:rsidRPr="00890249">
              <w:rPr>
                <w:rFonts w:asciiTheme="minorHAnsi" w:hAnsiTheme="minorHAnsi" w:cstheme="minorHAnsi"/>
                <w:b/>
                <w:bCs/>
                <w:sz w:val="20"/>
              </w:rPr>
              <w:t>K</w:t>
            </w:r>
            <w:r w:rsidR="00771EEE">
              <w:rPr>
                <w:rFonts w:asciiTheme="minorHAnsi" w:hAnsiTheme="minorHAnsi" w:cstheme="minorHAnsi"/>
                <w:b/>
                <w:bCs/>
                <w:sz w:val="20"/>
              </w:rPr>
              <w:t>r</w:t>
            </w:r>
            <w:r w:rsidR="00875C92" w:rsidRPr="00890249">
              <w:rPr>
                <w:rFonts w:asciiTheme="minorHAnsi" w:hAnsiTheme="minorHAnsi" w:cstheme="minorHAnsi"/>
                <w:b/>
                <w:bCs/>
                <w:sz w:val="20"/>
              </w:rPr>
              <w:t>yterium 1.</w:t>
            </w:r>
          </w:p>
          <w:p w14:paraId="588EAF22" w14:textId="77777777" w:rsidR="00A7732B"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t>
            </w:r>
            <w:r w:rsidRPr="00890249">
              <w:rPr>
                <w:rFonts w:asciiTheme="minorHAnsi" w:hAnsiTheme="minorHAnsi" w:cstheme="minorHAnsi"/>
                <w:bCs/>
                <w:sz w:val="20"/>
              </w:rPr>
              <w:lastRenderedPageBreak/>
              <w:t>wypełnieniem wymogów wynikających z warunku 2.1, spełnia również wymagania nałożone art. 2a dyrektywy 2010/31/UE.</w:t>
            </w:r>
          </w:p>
          <w:p w14:paraId="2DB7BE49" w14:textId="77777777" w:rsidR="00E8684E" w:rsidRPr="00890249" w:rsidRDefault="00E8684E" w:rsidP="00325D70">
            <w:pPr>
              <w:tabs>
                <w:tab w:val="left" w:pos="900"/>
              </w:tabs>
              <w:jc w:val="left"/>
              <w:rPr>
                <w:rFonts w:asciiTheme="minorHAnsi" w:eastAsia="Times New Roman" w:hAnsiTheme="minorHAnsi" w:cstheme="minorHAnsi"/>
                <w:b/>
                <w:bCs/>
                <w:iCs/>
                <w:noProof/>
                <w:sz w:val="20"/>
              </w:rPr>
            </w:pPr>
          </w:p>
          <w:p w14:paraId="7D0BB6F4" w14:textId="77777777" w:rsidR="00A7732B" w:rsidRPr="00890249" w:rsidRDefault="00875C92" w:rsidP="00325D70">
            <w:pPr>
              <w:shd w:val="clear" w:color="auto" w:fill="FFFFFF"/>
              <w:spacing w:after="240"/>
              <w:jc w:val="left"/>
              <w:rPr>
                <w:rFonts w:asciiTheme="minorHAnsi" w:eastAsia="Times New Roman" w:hAnsiTheme="minorHAnsi" w:cstheme="minorHAnsi"/>
                <w:b/>
                <w:bCs/>
                <w:color w:val="000000"/>
                <w:sz w:val="20"/>
              </w:rPr>
            </w:pPr>
            <w:r w:rsidRPr="00890249">
              <w:rPr>
                <w:rFonts w:asciiTheme="minorHAnsi" w:eastAsia="Times New Roman" w:hAnsiTheme="minorHAnsi" w:cstheme="minorHAnsi"/>
                <w:b/>
                <w:bCs/>
                <w:color w:val="000000"/>
                <w:sz w:val="20"/>
              </w:rPr>
              <w:t>Kryterium 2</w:t>
            </w:r>
          </w:p>
          <w:p w14:paraId="7654D83F" w14:textId="5536EE87" w:rsidR="00E8684E" w:rsidRPr="00890249" w:rsidRDefault="00875C92" w:rsidP="00325D70">
            <w:pPr>
              <w:tabs>
                <w:tab w:val="left" w:pos="900"/>
              </w:tabs>
              <w:jc w:val="left"/>
              <w:rPr>
                <w:rFonts w:asciiTheme="minorHAnsi" w:eastAsia="Times New Roman" w:hAnsiTheme="minorHAnsi" w:cstheme="minorHAnsi"/>
                <w:b/>
                <w:bCs/>
                <w:iCs/>
                <w:noProof/>
                <w:sz w:val="20"/>
              </w:rPr>
            </w:pPr>
            <w:r w:rsidRPr="00890249">
              <w:rPr>
                <w:rFonts w:asciiTheme="minorHAnsi" w:hAnsiTheme="minorHAnsi" w:cstheme="minorHAnsi"/>
                <w:bCs/>
                <w:sz w:val="20"/>
              </w:rPr>
              <w:t>Kryterium dotyczące działań na rzecz poprawy efektywności energetycznej w celu osiągnięcia wymaganych oszczędności energii należy uznać za spełnione w oparciu o przekazany do Komisji Europejskiej w dniu 30 grudnia 2019 r. </w:t>
            </w:r>
            <w:r w:rsidRPr="00890249">
              <w:rPr>
                <w:rFonts w:asciiTheme="minorHAnsi" w:hAnsiTheme="minorHAnsi" w:cstheme="minorHAnsi"/>
                <w:bCs/>
                <w:i/>
                <w:iCs/>
                <w:sz w:val="20"/>
              </w:rPr>
              <w:t>Krajowy plan na rzecz energii i klimatu na lata 2021-2030.</w:t>
            </w:r>
            <w:r w:rsidRPr="00890249">
              <w:rPr>
                <w:rFonts w:asciiTheme="minorHAnsi" w:hAnsiTheme="minorHAnsi" w:cstheme="minorHAnsi"/>
                <w:bCs/>
                <w:sz w:val="20"/>
              </w:rPr>
              <w:t> Ponadto, w dniu 16 czerwca 2021 r., za pośrednictwem Stałego Przedstawiciela RP przy UE, przekazano do Dyrekcji Generalnej ds. Energii</w:t>
            </w:r>
            <w:r w:rsidRPr="00890249">
              <w:rPr>
                <w:rFonts w:asciiTheme="minorHAnsi" w:hAnsiTheme="minorHAnsi" w:cstheme="minorHAnsi"/>
                <w:bCs/>
                <w:i/>
                <w:iCs/>
                <w:sz w:val="20"/>
              </w:rPr>
              <w:t> (DG ENER) </w:t>
            </w:r>
            <w:r w:rsidRPr="00890249">
              <w:rPr>
                <w:rFonts w:asciiTheme="minorHAnsi" w:hAnsiTheme="minorHAnsi" w:cstheme="minorHAnsi"/>
                <w:bCs/>
                <w:sz w:val="20"/>
              </w:rPr>
              <w:t>Komisji Europejskiej dokument pn. </w:t>
            </w:r>
            <w:r w:rsidRPr="00890249">
              <w:rPr>
                <w:rFonts w:asciiTheme="minorHAnsi" w:hAnsiTheme="minorHAnsi" w:cstheme="minorHAnsi"/>
                <w:bCs/>
                <w:i/>
                <w:iCs/>
                <w:sz w:val="20"/>
              </w:rPr>
              <w:t>Informacja w sprawie metod i środków stosowanych w Polsce służących wdrożeniu art. 7, 7a i 7b dyrektywy 2012/27/UE w sprawie efektywności energetycznej</w:t>
            </w:r>
            <w:r w:rsidRPr="00890249">
              <w:rPr>
                <w:rFonts w:asciiTheme="minorHAnsi" w:hAnsiTheme="minorHAnsi" w:cstheme="minorHAnsi"/>
                <w:bCs/>
                <w:sz w:val="20"/>
              </w:rPr>
              <w:t xml:space="preserve"> - zawierający opis </w:t>
            </w:r>
            <w:r w:rsidRPr="00890249">
              <w:rPr>
                <w:rFonts w:asciiTheme="minorHAnsi" w:hAnsiTheme="minorHAnsi" w:cstheme="minorHAnsi"/>
                <w:bCs/>
                <w:sz w:val="20"/>
              </w:rPr>
              <w:lastRenderedPageBreak/>
              <w:t>szczegółowej metody funkcjonowania systemów zobowiązujących do efektywności energetycznej oraz alternatywnych środków z dziedziny polityki, o których mowa w art. 7a oraz 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E8684E" w:rsidRPr="00890249" w14:paraId="16B82AFC" w14:textId="77777777" w:rsidTr="00F62734">
        <w:tc>
          <w:tcPr>
            <w:tcW w:w="1560" w:type="dxa"/>
          </w:tcPr>
          <w:p w14:paraId="7897A5C1"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lastRenderedPageBreak/>
              <w:t>2.2</w:t>
            </w:r>
          </w:p>
          <w:p w14:paraId="6CBEE0D6"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Zarządzanie w sektorze energii </w:t>
            </w:r>
          </w:p>
        </w:tc>
        <w:tc>
          <w:tcPr>
            <w:tcW w:w="709" w:type="dxa"/>
          </w:tcPr>
          <w:p w14:paraId="71C4582B" w14:textId="77777777" w:rsidR="00E8684E" w:rsidRPr="00890249" w:rsidRDefault="00E8684E" w:rsidP="00E8684E">
            <w:pPr>
              <w:jc w:val="left"/>
              <w:rPr>
                <w:rFonts w:asciiTheme="minorHAnsi" w:hAnsiTheme="minorHAnsi" w:cstheme="minorHAnsi"/>
                <w:sz w:val="20"/>
                <w:lang w:val="en-GB"/>
              </w:rPr>
            </w:pPr>
            <w:r w:rsidRPr="00890249">
              <w:rPr>
                <w:rFonts w:asciiTheme="minorHAnsi" w:hAnsiTheme="minorHAnsi" w:cstheme="minorHAnsi"/>
                <w:sz w:val="20"/>
                <w:lang w:val="en-GB"/>
              </w:rPr>
              <w:t>EFRR, FS</w:t>
            </w:r>
          </w:p>
        </w:tc>
        <w:tc>
          <w:tcPr>
            <w:tcW w:w="1843" w:type="dxa"/>
          </w:tcPr>
          <w:p w14:paraId="14774F27" w14:textId="77777777"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Wspieranie efektywności energetycznej i redukcji emisji gazów cieplarnianych</w:t>
            </w:r>
          </w:p>
          <w:p w14:paraId="40244370" w14:textId="77777777" w:rsidR="00E8684E" w:rsidRPr="00890249" w:rsidRDefault="08EE4CF2" w:rsidP="00E8684E">
            <w:pPr>
              <w:jc w:val="left"/>
              <w:rPr>
                <w:rFonts w:asciiTheme="minorHAnsi" w:hAnsiTheme="minorHAnsi" w:cstheme="minorHAnsi"/>
                <w:bCs/>
                <w:sz w:val="20"/>
              </w:rPr>
            </w:pPr>
            <w:r w:rsidRPr="00890249">
              <w:rPr>
                <w:rFonts w:asciiTheme="minorHAnsi" w:hAnsiTheme="minorHAnsi" w:cstheme="minorHAnsi"/>
                <w:sz w:val="20"/>
              </w:rPr>
              <w:t xml:space="preserve">Wspieranie energii odnawialnej zgodnie z dyrektywą Parlamentu Europejskiego i </w:t>
            </w:r>
            <w:r w:rsidRPr="00890249">
              <w:rPr>
                <w:rFonts w:asciiTheme="minorHAnsi" w:hAnsiTheme="minorHAnsi" w:cstheme="minorHAnsi"/>
                <w:sz w:val="20"/>
              </w:rPr>
              <w:lastRenderedPageBreak/>
              <w:t>Rady (UE) 2018/2001</w:t>
            </w:r>
            <w:r w:rsidR="00E8684E" w:rsidRPr="00890249">
              <w:rPr>
                <w:rFonts w:asciiTheme="minorHAnsi" w:hAnsiTheme="minorHAnsi" w:cstheme="minorHAnsi"/>
                <w:b/>
                <w:bCs/>
                <w:sz w:val="20"/>
                <w:vertAlign w:val="superscript"/>
              </w:rPr>
              <w:footnoteReference w:id="251"/>
            </w:r>
            <w:r w:rsidRPr="00890249">
              <w:rPr>
                <w:rFonts w:asciiTheme="minorHAnsi" w:hAnsiTheme="minorHAnsi" w:cstheme="minorHAnsi"/>
                <w:sz w:val="20"/>
              </w:rPr>
              <w:t>, w tym określonymi w niej kryteriami zrównoważonego rozwoju</w:t>
            </w:r>
          </w:p>
        </w:tc>
        <w:tc>
          <w:tcPr>
            <w:tcW w:w="1559" w:type="dxa"/>
          </w:tcPr>
          <w:p w14:paraId="4A3C0956" w14:textId="37699AEB"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tc>
        <w:tc>
          <w:tcPr>
            <w:tcW w:w="2551" w:type="dxa"/>
          </w:tcPr>
          <w:p w14:paraId="7C3F066C"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Przedłożenie Komisji Zintegrowanego krajowego planu w dziedzinie energii i klimatu zgodnie z art. 3 rozporządzenia (UE) 2018/1999 i z zapewnieniem spójności z określonymi w porozumieniu paryskim długoterminowymi założeniami dotyczącymi redukcji emisji gazów </w:t>
            </w:r>
            <w:r w:rsidRPr="00890249">
              <w:rPr>
                <w:rFonts w:asciiTheme="minorHAnsi" w:hAnsiTheme="minorHAnsi" w:cstheme="minorHAnsi"/>
                <w:noProof/>
                <w:sz w:val="20"/>
              </w:rPr>
              <w:lastRenderedPageBreak/>
              <w:t xml:space="preserve">cieplarnianych; plan ten obejmuje: </w:t>
            </w:r>
          </w:p>
          <w:p w14:paraId="18E669CD" w14:textId="77777777" w:rsidR="00B72154" w:rsidRPr="00890249" w:rsidRDefault="00E8684E" w:rsidP="009F296A">
            <w:pPr>
              <w:numPr>
                <w:ilvl w:val="0"/>
                <w:numId w:val="70"/>
              </w:numPr>
              <w:ind w:left="175" w:hanging="175"/>
              <w:contextualSpacing/>
              <w:jc w:val="left"/>
              <w:rPr>
                <w:rFonts w:asciiTheme="minorHAnsi" w:hAnsiTheme="minorHAnsi" w:cstheme="minorHAnsi"/>
                <w:noProof/>
                <w:sz w:val="20"/>
              </w:rPr>
            </w:pPr>
            <w:r w:rsidRPr="00890249">
              <w:rPr>
                <w:rFonts w:asciiTheme="minorHAnsi" w:hAnsiTheme="minorHAnsi" w:cstheme="minorHAnsi"/>
                <w:noProof/>
                <w:sz w:val="20"/>
              </w:rPr>
              <w:t>wszystkie elementy wymagane we wzorze przestawionym w załączniku I do rozporządzenia (UE) 2018/1999</w:t>
            </w:r>
          </w:p>
          <w:p w14:paraId="5A75AE05" w14:textId="77777777" w:rsidR="00B72154" w:rsidRPr="00890249" w:rsidRDefault="00E8684E" w:rsidP="009F296A">
            <w:pPr>
              <w:numPr>
                <w:ilvl w:val="0"/>
                <w:numId w:val="70"/>
              </w:numPr>
              <w:ind w:left="175" w:hanging="175"/>
              <w:contextualSpacing/>
              <w:jc w:val="left"/>
              <w:rPr>
                <w:rFonts w:asciiTheme="minorHAnsi" w:hAnsiTheme="minorHAnsi" w:cstheme="minorHAnsi"/>
                <w:noProof/>
                <w:sz w:val="20"/>
              </w:rPr>
            </w:pPr>
            <w:r w:rsidRPr="00890249">
              <w:rPr>
                <w:rFonts w:asciiTheme="minorHAnsi" w:hAnsiTheme="minorHAnsi" w:cstheme="minorHAnsi"/>
                <w:noProof/>
                <w:sz w:val="20"/>
              </w:rPr>
              <w:t xml:space="preserve">zarys planoanych zasobów i mechanizmów finansowych w odniesieniu do środków promujących energię niskoemisyjną. </w:t>
            </w:r>
          </w:p>
        </w:tc>
        <w:tc>
          <w:tcPr>
            <w:tcW w:w="1134" w:type="dxa"/>
          </w:tcPr>
          <w:p w14:paraId="6FA1D9C5" w14:textId="6968F618"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tc>
        <w:tc>
          <w:tcPr>
            <w:tcW w:w="3402" w:type="dxa"/>
          </w:tcPr>
          <w:p w14:paraId="2F2C403F"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Uznany za spełniony</w:t>
            </w:r>
            <w:r w:rsidRPr="00890249">
              <w:rPr>
                <w:rFonts w:asciiTheme="minorHAnsi" w:hAnsiTheme="minorHAnsi" w:cstheme="minorHAnsi"/>
                <w:bCs/>
                <w:sz w:val="20"/>
              </w:rPr>
              <w:t xml:space="preserve"> </w:t>
            </w:r>
            <w:r w:rsidRPr="00890249">
              <w:rPr>
                <w:rFonts w:asciiTheme="minorHAnsi" w:hAnsiTheme="minorHAnsi" w:cstheme="minorHAnsi"/>
                <w:b/>
                <w:bCs/>
                <w:sz w:val="20"/>
              </w:rPr>
              <w:t>przez PL.</w:t>
            </w:r>
          </w:p>
          <w:p w14:paraId="4FA97718"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Cs/>
                <w:sz w:val="20"/>
              </w:rPr>
              <w:t>Przekazanie Komisji Europejskiej dn. 30 grudnia 2019 r. Krajowego planu na rzecz energii i klimatu na lata 2021-2030 (KPEiK), przyjętego</w:t>
            </w:r>
            <w:r w:rsidRPr="00890249">
              <w:rPr>
                <w:rFonts w:asciiTheme="minorHAnsi" w:hAnsiTheme="minorHAnsi" w:cstheme="minorHAnsi"/>
                <w:sz w:val="20"/>
              </w:rPr>
              <w:t xml:space="preserve"> </w:t>
            </w:r>
            <w:r w:rsidRPr="00890249">
              <w:rPr>
                <w:rFonts w:asciiTheme="minorHAnsi" w:hAnsiTheme="minorHAnsi" w:cstheme="minorHAnsi"/>
                <w:bCs/>
                <w:sz w:val="20"/>
              </w:rPr>
              <w:t xml:space="preserve">przez Komitet do Spraw Europejskich na posiedzeniu 18 grudnia 2019 r., wypełnia obowiązek nałożony na Polskę przepisami rozporządzenia Parlamentu Europejskiego i Rady (UE) 2018/1999 z dnia 11 grudnia 2018 r. w sprawie zarządzania unią energetyczną i </w:t>
            </w:r>
            <w:r w:rsidRPr="00890249">
              <w:rPr>
                <w:rFonts w:asciiTheme="minorHAnsi" w:hAnsiTheme="minorHAnsi" w:cstheme="minorHAnsi"/>
                <w:bCs/>
                <w:sz w:val="20"/>
              </w:rPr>
              <w:lastRenderedPageBreak/>
              <w:t>działaniami w dziedzinie klimatu.</w:t>
            </w:r>
            <w:r w:rsidRPr="00890249">
              <w:rPr>
                <w:rFonts w:asciiTheme="minorHAnsi" w:hAnsiTheme="minorHAnsi" w:cstheme="minorHAnsi"/>
                <w:sz w:val="20"/>
              </w:rPr>
              <w:t xml:space="preserve"> Informacja o przekazaniu KPEiK Komisji Europejskiej w dniu 30 grudnia 2019 r., została przyjęta przez Radę Ministrów dnia 28 czerwca 2021 r. </w:t>
            </w:r>
          </w:p>
          <w:p w14:paraId="334AB520" w14:textId="77777777"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KPEiK pozostaje spójny ze Strategią zrównoważonego rozwoju transportu do 2030 roku, Polityką ekologiczną Państwa 2030, Strategią zrównoważonego rozwoju wsi, rolnictwa i rybactwa 2030 oraz uwzględnia założeniami Polityki energetycznej Polski do 2040 r. KPEiK przedstawia założenia i cele oraz polityki i działania na rzecz realizacji 5 wymiarów unii energetycznej: Bezpieczeństwa energetycznego, Wewnętrznego rynku energii, Efektywności energetycznej, Obniżenia emisyjności, Badań naukowych, innowacji i konkurencyjności.</w:t>
            </w:r>
          </w:p>
          <w:p w14:paraId="54136B8F" w14:textId="77777777"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KPEiK wyznacza cele klimatyczno-energetyczne na 2030 r. .m.in.:</w:t>
            </w:r>
          </w:p>
          <w:p w14:paraId="08122C1D" w14:textId="77777777" w:rsidR="00B72154" w:rsidRPr="00890249" w:rsidRDefault="00E8684E" w:rsidP="009F296A">
            <w:pPr>
              <w:numPr>
                <w:ilvl w:val="0"/>
                <w:numId w:val="69"/>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 xml:space="preserve">7% redukcji emisji gazów cieplarnianych w sektorach nieobjętych systemem ETS </w:t>
            </w:r>
            <w:r w:rsidRPr="00890249">
              <w:rPr>
                <w:rFonts w:asciiTheme="minorHAnsi" w:hAnsiTheme="minorHAnsi" w:cstheme="minorHAnsi"/>
                <w:bCs/>
                <w:sz w:val="20"/>
              </w:rPr>
              <w:lastRenderedPageBreak/>
              <w:t>w porównaniu do poziomu w roku 2005,</w:t>
            </w:r>
          </w:p>
          <w:p w14:paraId="3C32FBE0" w14:textId="77777777" w:rsidR="00B72154" w:rsidRPr="00890249" w:rsidRDefault="00E8684E" w:rsidP="009F296A">
            <w:pPr>
              <w:numPr>
                <w:ilvl w:val="0"/>
                <w:numId w:val="69"/>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21-23% udziału OZE w finalnym zużyciu energii brutto (cel 23% będzie możliwy do osiągnięcia w sytuacji przyznania Polsce dodatkowych środków unijnych, w tym przeznaczonych na sprawiedliwą transformację), uwzględniając: 14% udziału OZE w transporcie i roczny wzrost udziału OZE w ciepłownictwie i chłodnictwie o 1,1 pkt. proc. średniorocznie.</w:t>
            </w:r>
          </w:p>
          <w:p w14:paraId="0AF581B7" w14:textId="77777777" w:rsidR="00B72154" w:rsidRPr="00890249" w:rsidRDefault="00E8684E" w:rsidP="009F296A">
            <w:pPr>
              <w:numPr>
                <w:ilvl w:val="0"/>
                <w:numId w:val="69"/>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wzrost efektywności energetycznej o 23% w porównaniu z prognozami PRIMES2007,</w:t>
            </w:r>
          </w:p>
          <w:p w14:paraId="099CFAD0" w14:textId="04B65A0C" w:rsidR="00E8684E" w:rsidRPr="00AD38EF" w:rsidRDefault="00E8684E" w:rsidP="00F62734">
            <w:pPr>
              <w:numPr>
                <w:ilvl w:val="0"/>
                <w:numId w:val="69"/>
              </w:numPr>
              <w:spacing w:line="276" w:lineRule="auto"/>
              <w:ind w:left="212" w:hanging="141"/>
              <w:jc w:val="left"/>
              <w:rPr>
                <w:rFonts w:asciiTheme="minorHAnsi" w:hAnsiTheme="minorHAnsi" w:cstheme="minorHAnsi"/>
                <w:bCs/>
                <w:sz w:val="20"/>
              </w:rPr>
            </w:pPr>
            <w:r w:rsidRPr="00890249">
              <w:rPr>
                <w:rFonts w:asciiTheme="minorHAnsi" w:hAnsiTheme="minorHAnsi" w:cstheme="minorHAnsi"/>
                <w:bCs/>
                <w:sz w:val="20"/>
              </w:rPr>
              <w:t>redukcję do 56-60% udziału węgla w produkcji energii elektrycznej.</w:t>
            </w:r>
          </w:p>
          <w:p w14:paraId="664EC45E" w14:textId="77777777" w:rsidR="00E8684E" w:rsidRPr="00890249" w:rsidRDefault="00E8684E" w:rsidP="00E8684E">
            <w:pPr>
              <w:jc w:val="left"/>
              <w:rPr>
                <w:rFonts w:asciiTheme="minorHAnsi" w:hAnsiTheme="minorHAnsi" w:cstheme="minorHAnsi"/>
                <w:b/>
                <w:bCs/>
                <w:sz w:val="20"/>
              </w:rPr>
            </w:pPr>
            <w:r w:rsidRPr="00890249">
              <w:rPr>
                <w:rFonts w:asciiTheme="minorHAnsi" w:hAnsiTheme="minorHAnsi" w:cstheme="minorHAnsi"/>
                <w:b/>
                <w:bCs/>
                <w:sz w:val="20"/>
              </w:rPr>
              <w:t>Link do dokumentu:</w:t>
            </w:r>
          </w:p>
          <w:p w14:paraId="2DBEA785" w14:textId="62A9283E" w:rsidR="00E8684E" w:rsidRPr="00890249" w:rsidRDefault="00E8684E" w:rsidP="00F62734">
            <w:pPr>
              <w:ind w:left="212"/>
              <w:jc w:val="left"/>
              <w:rPr>
                <w:rFonts w:asciiTheme="minorHAnsi" w:eastAsia="Times New Roman" w:hAnsiTheme="minorHAnsi" w:cstheme="minorHAnsi"/>
                <w:iCs/>
                <w:noProof/>
                <w:sz w:val="20"/>
              </w:rPr>
            </w:pPr>
            <w:hyperlink w:history="1">
              <w:r w:rsidRPr="00890249">
                <w:rPr>
                  <w:rFonts w:asciiTheme="minorHAnsi" w:hAnsiTheme="minorHAnsi" w:cstheme="minorHAnsi"/>
                  <w:b/>
                  <w:bCs/>
                  <w:color w:val="0000FF"/>
                  <w:sz w:val="20"/>
                  <w:u w:val="single"/>
                </w:rPr>
                <w:t>https://www.gov.pl/web/aktywa-panstwowe/krajowy-plan-na-rzecz-energii-i-klimatu-na-lata-2021-2030-przekazany-do-ke</w:t>
              </w:r>
            </w:hyperlink>
          </w:p>
        </w:tc>
        <w:tc>
          <w:tcPr>
            <w:tcW w:w="2977" w:type="dxa"/>
          </w:tcPr>
          <w:p w14:paraId="062D5530"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
                <w:bCs/>
                <w:sz w:val="20"/>
              </w:rPr>
              <w:lastRenderedPageBreak/>
              <w:t>Kryterium 1 i 2.</w:t>
            </w:r>
            <w:r w:rsidRPr="00890249">
              <w:rPr>
                <w:rFonts w:asciiTheme="minorHAnsi" w:hAnsiTheme="minorHAnsi" w:cstheme="minorHAnsi"/>
                <w:bCs/>
                <w:sz w:val="20"/>
              </w:rPr>
              <w:t xml:space="preserve"> </w:t>
            </w:r>
          </w:p>
          <w:p w14:paraId="1429CAF0"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KPEiK zawiera działania na rzecz realizacji 5 wymiarów unii energetycznej: Bezpieczeństwa energetycznego, Wewnętrznego rynku energii, Efektywności energetycznej, Obniżenia emisyjności, Badań naukowych, innowacji i konkurencyjności.</w:t>
            </w:r>
          </w:p>
          <w:p w14:paraId="225B0B04"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KPEiK wyznacza cele klimatyczno-energetyczne na 2030 r. :</w:t>
            </w:r>
          </w:p>
          <w:p w14:paraId="19C26A47"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lastRenderedPageBreak/>
              <w:t>•</w:t>
            </w:r>
            <w:r w:rsidRPr="00890249">
              <w:rPr>
                <w:rFonts w:asciiTheme="minorHAnsi" w:hAnsiTheme="minorHAnsi" w:cstheme="minorHAnsi"/>
                <w:bCs/>
                <w:sz w:val="20"/>
              </w:rPr>
              <w:tab/>
              <w:t>7% redukcji emisji gazów cieplarnianych w sektorach nieobjętych systemem ETS w porównaniu do 2005 r.,</w:t>
            </w:r>
          </w:p>
          <w:p w14:paraId="5273E6C1"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w:t>
            </w:r>
            <w:r w:rsidRPr="00890249">
              <w:rPr>
                <w:rFonts w:asciiTheme="minorHAnsi" w:hAnsiTheme="minorHAnsi" w:cstheme="minorHAnsi"/>
                <w:bCs/>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43686676"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w:t>
            </w:r>
            <w:r w:rsidRPr="00890249">
              <w:rPr>
                <w:rFonts w:asciiTheme="minorHAnsi" w:hAnsiTheme="minorHAnsi" w:cstheme="minorHAnsi"/>
                <w:bCs/>
                <w:sz w:val="20"/>
              </w:rPr>
              <w:tab/>
              <w:t>wzrost efektywności energetycznej o 23% w porównaniu z prognozami PRIMES2007,</w:t>
            </w:r>
          </w:p>
          <w:p w14:paraId="172F895F" w14:textId="77777777" w:rsidR="00013F86"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w:t>
            </w:r>
            <w:r w:rsidRPr="00890249">
              <w:rPr>
                <w:rFonts w:asciiTheme="minorHAnsi" w:hAnsiTheme="minorHAnsi" w:cstheme="minorHAnsi"/>
                <w:bCs/>
                <w:sz w:val="20"/>
              </w:rPr>
              <w:tab/>
              <w:t>redukcję do 56-60% udziału węgla w produkcji energii elektrycznej</w:t>
            </w:r>
          </w:p>
          <w:p w14:paraId="1D8BC959" w14:textId="5E42135B" w:rsidR="00E8684E"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Krajowe założenia i cele polskiej polityki energetyczno-klimatycznej szczegółowo opisane zostały w rozdziale drugim dokumentu, natomiast rozdział </w:t>
            </w:r>
            <w:r w:rsidRPr="00890249">
              <w:rPr>
                <w:rFonts w:asciiTheme="minorHAnsi" w:hAnsiTheme="minorHAnsi" w:cstheme="minorHAnsi"/>
                <w:bCs/>
                <w:sz w:val="20"/>
              </w:rPr>
              <w:lastRenderedPageBreak/>
              <w:t>trzeci wskazuje polityki i środki mające służyć ich realizacji. Analizę skutków planowanych polityk i środków przedstawiono w Załączniku nr 2 do KPEiK.</w:t>
            </w:r>
          </w:p>
        </w:tc>
      </w:tr>
      <w:tr w:rsidR="00E8684E" w:rsidRPr="00890249" w14:paraId="0116379D" w14:textId="77777777" w:rsidTr="00F62734">
        <w:trPr>
          <w:trHeight w:val="681"/>
        </w:trPr>
        <w:tc>
          <w:tcPr>
            <w:tcW w:w="1560" w:type="dxa"/>
            <w:vMerge w:val="restart"/>
          </w:tcPr>
          <w:p w14:paraId="3255BC3F"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noProof/>
                <w:sz w:val="20"/>
              </w:rPr>
              <w:lastRenderedPageBreak/>
              <w:t xml:space="preserve">2.3. Skuteczne wspieranie </w:t>
            </w:r>
            <w:r w:rsidRPr="00890249">
              <w:rPr>
                <w:rFonts w:asciiTheme="minorHAnsi" w:hAnsiTheme="minorHAnsi" w:cstheme="minorHAnsi"/>
                <w:noProof/>
                <w:sz w:val="20"/>
              </w:rPr>
              <w:lastRenderedPageBreak/>
              <w:t>wykorzystania energii odnawialnej w poszczególnych sektorach i w całej Unii</w:t>
            </w:r>
          </w:p>
        </w:tc>
        <w:tc>
          <w:tcPr>
            <w:tcW w:w="709" w:type="dxa"/>
            <w:vMerge w:val="restart"/>
          </w:tcPr>
          <w:p w14:paraId="1E23874B" w14:textId="77777777" w:rsidR="00E8684E" w:rsidRPr="00890249" w:rsidRDefault="00E8684E" w:rsidP="00E8684E">
            <w:pPr>
              <w:jc w:val="left"/>
              <w:rPr>
                <w:rFonts w:asciiTheme="minorHAnsi" w:hAnsiTheme="minorHAnsi" w:cstheme="minorHAnsi"/>
                <w:sz w:val="20"/>
                <w:lang w:val="en-GB"/>
              </w:rPr>
            </w:pPr>
            <w:r w:rsidRPr="00890249">
              <w:rPr>
                <w:rFonts w:asciiTheme="minorHAnsi" w:hAnsiTheme="minorHAnsi" w:cstheme="minorHAnsi"/>
                <w:sz w:val="20"/>
                <w:lang w:val="en-GB"/>
              </w:rPr>
              <w:lastRenderedPageBreak/>
              <w:t>EFRR, FS</w:t>
            </w:r>
          </w:p>
          <w:p w14:paraId="540A09E2" w14:textId="77777777" w:rsidR="00E8684E" w:rsidRPr="00890249" w:rsidRDefault="00E8684E" w:rsidP="00E8684E">
            <w:pPr>
              <w:jc w:val="left"/>
              <w:rPr>
                <w:rFonts w:asciiTheme="minorHAnsi" w:hAnsiTheme="minorHAnsi" w:cstheme="minorHAnsi"/>
                <w:sz w:val="20"/>
                <w:lang w:val="en-GB"/>
              </w:rPr>
            </w:pPr>
          </w:p>
        </w:tc>
        <w:tc>
          <w:tcPr>
            <w:tcW w:w="1843" w:type="dxa"/>
            <w:vMerge w:val="restart"/>
          </w:tcPr>
          <w:p w14:paraId="202A0170" w14:textId="77777777"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 xml:space="preserve">Wspieranie energii odnawialnej </w:t>
            </w:r>
            <w:r w:rsidRPr="00890249">
              <w:rPr>
                <w:rFonts w:asciiTheme="minorHAnsi" w:hAnsiTheme="minorHAnsi" w:cstheme="minorHAnsi"/>
                <w:bCs/>
                <w:sz w:val="20"/>
              </w:rPr>
              <w:lastRenderedPageBreak/>
              <w:t>zgodnie z dyrektywą Parlamentu Europejskiego i Rady (UE) 2018/2001, w tym określonymi w niej kryteriami zrównoważonego rozwoju</w:t>
            </w:r>
          </w:p>
        </w:tc>
        <w:tc>
          <w:tcPr>
            <w:tcW w:w="1559" w:type="dxa"/>
            <w:vMerge w:val="restart"/>
          </w:tcPr>
          <w:p w14:paraId="0685F378" w14:textId="27ED7A14"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tc>
        <w:tc>
          <w:tcPr>
            <w:tcW w:w="2551" w:type="dxa"/>
          </w:tcPr>
          <w:p w14:paraId="5BD9E489" w14:textId="77777777" w:rsidR="00E8684E" w:rsidRPr="00890249" w:rsidRDefault="00E8684E" w:rsidP="00E8684E">
            <w:pPr>
              <w:jc w:val="left"/>
              <w:rPr>
                <w:rFonts w:asciiTheme="minorHAnsi" w:hAnsiTheme="minorHAnsi" w:cstheme="minorHAnsi"/>
                <w:b/>
                <w:noProof/>
                <w:sz w:val="20"/>
              </w:rPr>
            </w:pPr>
            <w:r w:rsidRPr="00890249">
              <w:rPr>
                <w:rFonts w:asciiTheme="minorHAnsi" w:hAnsiTheme="minorHAnsi" w:cstheme="minorHAnsi"/>
                <w:b/>
                <w:noProof/>
                <w:sz w:val="20"/>
              </w:rPr>
              <w:t xml:space="preserve">Kryterium 1. </w:t>
            </w:r>
          </w:p>
          <w:p w14:paraId="51214079"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lastRenderedPageBreak/>
              <w:t>Zgodność z wiążącym krajowym celem dotyczącym energii odnawialnej na 2020 r. i z udziałem bazowym energii odnawialnej do 2030 r. lub podjęcia dodatkowych środkó</w:t>
            </w:r>
            <w:r w:rsidR="00875C92" w:rsidRPr="00890249">
              <w:rPr>
                <w:rFonts w:asciiTheme="minorHAnsi" w:hAnsiTheme="minorHAnsi" w:cstheme="minorHAnsi"/>
                <w:noProof/>
                <w:sz w:val="20"/>
              </w:rPr>
              <w:fldChar w:fldCharType="begin"/>
            </w:r>
            <w:r w:rsidRPr="00890249">
              <w:rPr>
                <w:rFonts w:asciiTheme="minorHAnsi" w:hAnsiTheme="minorHAnsi" w:cstheme="minorHAnsi"/>
                <w:noProof/>
                <w:sz w:val="20"/>
              </w:rPr>
              <w:instrText xml:space="preserve"> LISTNUM </w:instrText>
            </w:r>
            <w:r w:rsidR="00875C92" w:rsidRPr="00890249">
              <w:rPr>
                <w:rFonts w:asciiTheme="minorHAnsi" w:hAnsiTheme="minorHAnsi" w:cstheme="minorHAnsi"/>
                <w:noProof/>
                <w:sz w:val="20"/>
              </w:rPr>
              <w:fldChar w:fldCharType="end">
                <w:numberingChange w:id="51" w:author="Justyna Sobera" w:date="2025-02-24T15:03:00Z" w16du:dateUtc="2025-02-24T14:03:00Z" w:original=""/>
              </w:fldChar>
            </w:r>
            <w:r w:rsidRPr="00890249">
              <w:rPr>
                <w:rFonts w:asciiTheme="minorHAnsi" w:hAnsiTheme="minorHAnsi" w:cstheme="minorHAnsi"/>
                <w:noProof/>
                <w:sz w:val="20"/>
              </w:rPr>
              <w:t xml:space="preserve"> w przypadku gdy udział bazowy nie jest utrzymywany przez okres jednego roku zgodnie z dyrektywą (UE) 2018/2001 i rozporządzeniem (UE) 2018/1999  </w:t>
            </w:r>
          </w:p>
        </w:tc>
        <w:tc>
          <w:tcPr>
            <w:tcW w:w="1134" w:type="dxa"/>
            <w:vMerge w:val="restart"/>
          </w:tcPr>
          <w:p w14:paraId="03B34098" w14:textId="5C7119F2"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tc>
        <w:tc>
          <w:tcPr>
            <w:tcW w:w="3402" w:type="dxa"/>
            <w:vMerge w:val="restart"/>
          </w:tcPr>
          <w:p w14:paraId="544B0150" w14:textId="77777777" w:rsidR="00771EEE" w:rsidRPr="00F62734" w:rsidRDefault="00771EEE" w:rsidP="00771EEE">
            <w:pPr>
              <w:rPr>
                <w:rFonts w:asciiTheme="minorHAnsi" w:hAnsiTheme="minorHAnsi" w:cstheme="minorHAnsi"/>
                <w:bCs/>
                <w:sz w:val="20"/>
              </w:rPr>
            </w:pPr>
            <w:r w:rsidRPr="00F62734">
              <w:rPr>
                <w:rFonts w:asciiTheme="minorHAnsi" w:hAnsiTheme="minorHAnsi" w:cstheme="minorHAnsi"/>
                <w:bCs/>
                <w:sz w:val="20"/>
              </w:rPr>
              <w:t xml:space="preserve">Spełnieniem warunku jest osiągnięcie w Polsce udziału energii z OZE w </w:t>
            </w:r>
            <w:r w:rsidRPr="00F62734">
              <w:rPr>
                <w:rFonts w:asciiTheme="minorHAnsi" w:hAnsiTheme="minorHAnsi" w:cstheme="minorHAnsi"/>
                <w:bCs/>
                <w:sz w:val="20"/>
              </w:rPr>
              <w:lastRenderedPageBreak/>
              <w:t xml:space="preserve">końcowym zużyciu energii brutto w 2020 r na poziomie 15% lub podjęcie dodatkowych działań zaradczych dla utrzymania ścieżki osiągnięcia celu. Cel z 2020 roku stanowi poziom odniesienia do wyznaczenia celu na 2030 r. i obejmuje obszary: elektroenergetyki, transportu, ciepła i chłodu. </w:t>
            </w:r>
          </w:p>
          <w:p w14:paraId="5C7E3699" w14:textId="77777777" w:rsidR="00771EEE" w:rsidRPr="00F62734" w:rsidRDefault="00771EEE" w:rsidP="00771EEE">
            <w:pPr>
              <w:rPr>
                <w:rFonts w:asciiTheme="minorHAnsi" w:hAnsiTheme="minorHAnsi" w:cstheme="minorHAnsi"/>
                <w:bCs/>
                <w:sz w:val="20"/>
              </w:rPr>
            </w:pPr>
            <w:r w:rsidRPr="00F62734">
              <w:rPr>
                <w:rFonts w:asciiTheme="minorHAnsi" w:hAnsiTheme="minorHAnsi" w:cstheme="minorHAnsi"/>
                <w:bCs/>
                <w:sz w:val="20"/>
              </w:rPr>
              <w:t>Cel udziału OZE w elektroenergetyce ma być osiągnięty głównie w dzięki aukcjom OZE z lat 2018-2020 a także produkcji energii pozyskanej z realizacji programów "</w:t>
            </w:r>
            <w:r w:rsidRPr="00F62734">
              <w:rPr>
                <w:rFonts w:asciiTheme="minorHAnsi" w:hAnsiTheme="minorHAnsi" w:cstheme="minorHAnsi"/>
                <w:bCs/>
                <w:i/>
                <w:sz w:val="20"/>
              </w:rPr>
              <w:t>Mój Prąd</w:t>
            </w:r>
            <w:r w:rsidRPr="00F62734">
              <w:rPr>
                <w:rFonts w:asciiTheme="minorHAnsi" w:hAnsiTheme="minorHAnsi" w:cstheme="minorHAnsi"/>
                <w:bCs/>
                <w:sz w:val="20"/>
              </w:rPr>
              <w:t>", „Moja elektrownia wiatrowa” i "</w:t>
            </w:r>
            <w:r w:rsidRPr="00F62734">
              <w:rPr>
                <w:rFonts w:asciiTheme="minorHAnsi" w:hAnsiTheme="minorHAnsi" w:cstheme="minorHAnsi"/>
                <w:bCs/>
                <w:i/>
                <w:sz w:val="20"/>
              </w:rPr>
              <w:t>Energia Plus</w:t>
            </w:r>
            <w:r w:rsidRPr="00F62734">
              <w:rPr>
                <w:rFonts w:asciiTheme="minorHAnsi" w:hAnsiTheme="minorHAnsi" w:cstheme="minorHAnsi"/>
                <w:bCs/>
                <w:sz w:val="20"/>
              </w:rPr>
              <w:t xml:space="preserve">"”  i „Agroenergia”, „Energia dla wsi” a także „Czyste powietrze”.  </w:t>
            </w:r>
          </w:p>
          <w:p w14:paraId="710171EE" w14:textId="77777777" w:rsidR="00771EEE" w:rsidRPr="00F62734" w:rsidRDefault="00771EEE" w:rsidP="00771EEE">
            <w:pPr>
              <w:spacing w:after="0"/>
              <w:rPr>
                <w:rFonts w:asciiTheme="minorHAnsi" w:hAnsiTheme="minorHAnsi" w:cstheme="minorHAnsi"/>
                <w:bCs/>
                <w:sz w:val="20"/>
              </w:rPr>
            </w:pPr>
            <w:r w:rsidRPr="00F62734">
              <w:rPr>
                <w:rFonts w:asciiTheme="minorHAnsi" w:hAnsiTheme="minorHAnsi" w:cstheme="minorHAnsi"/>
                <w:bCs/>
                <w:sz w:val="20"/>
              </w:rPr>
              <w:t>W ramach przeprowadzonych środków zaradczych trzeba wymienić przede wszystkim:</w:t>
            </w:r>
          </w:p>
          <w:p w14:paraId="5F7CBC4F" w14:textId="77777777" w:rsidR="00771EEE" w:rsidRPr="00F62734" w:rsidRDefault="00771EEE" w:rsidP="00771EEE">
            <w:pPr>
              <w:spacing w:after="0"/>
              <w:rPr>
                <w:rFonts w:asciiTheme="minorHAnsi" w:hAnsiTheme="minorHAnsi" w:cstheme="minorHAnsi"/>
                <w:bCs/>
                <w:sz w:val="20"/>
              </w:rPr>
            </w:pPr>
            <w:r w:rsidRPr="00F62734">
              <w:rPr>
                <w:rFonts w:asciiTheme="minorHAnsi" w:hAnsiTheme="minorHAnsi" w:cstheme="minorHAnsi"/>
                <w:bCs/>
                <w:sz w:val="20"/>
              </w:rPr>
              <w:t>- znaczny wolumen energii przeznaczony i zakontraktowany w ramach aukcji, w szczególności w latach 2019-2020,</w:t>
            </w:r>
          </w:p>
          <w:p w14:paraId="713FC871" w14:textId="268736FC" w:rsidR="00771EEE" w:rsidRPr="00F62734" w:rsidRDefault="00771EEE" w:rsidP="00771EEE">
            <w:pPr>
              <w:spacing w:after="0"/>
              <w:rPr>
                <w:rFonts w:asciiTheme="minorHAnsi" w:hAnsiTheme="minorHAnsi" w:cstheme="minorHAnsi"/>
                <w:bCs/>
                <w:sz w:val="20"/>
              </w:rPr>
            </w:pPr>
            <w:r w:rsidRPr="00F62734">
              <w:rPr>
                <w:rFonts w:asciiTheme="minorHAnsi" w:hAnsiTheme="minorHAnsi" w:cstheme="minorHAnsi"/>
                <w:bCs/>
                <w:sz w:val="20"/>
              </w:rPr>
              <w:t>- wprowadzony w 2018 roku bardzo korzystny i unikalny system net-meteringu dla rozliczania prosumentów, tzw. system opustów.</w:t>
            </w:r>
          </w:p>
          <w:p w14:paraId="36F97862" w14:textId="77777777" w:rsidR="00771EEE" w:rsidRPr="00F62734" w:rsidRDefault="00771EEE" w:rsidP="00771EEE">
            <w:pPr>
              <w:rPr>
                <w:rFonts w:asciiTheme="minorHAnsi" w:hAnsiTheme="minorHAnsi" w:cstheme="minorHAnsi"/>
                <w:bCs/>
                <w:sz w:val="20"/>
              </w:rPr>
            </w:pPr>
            <w:r w:rsidRPr="00F62734">
              <w:rPr>
                <w:rFonts w:asciiTheme="minorHAnsi" w:hAnsiTheme="minorHAnsi" w:cstheme="minorHAnsi"/>
                <w:bCs/>
                <w:sz w:val="20"/>
              </w:rPr>
              <w:lastRenderedPageBreak/>
              <w:t xml:space="preserve">W celu osiągnięcia wymaganego poziomu udziału energii z OZE w elektroenergetyce kontynuowane będą obowiązujące mechanizmy wsparcia systemowego, takie jak system aukcyjny, systemy FiT/FiP oraz programy wsparcia inwestycyjnego źródeł OZE, zmodyfikowany zostanie dedykowany prosumentom model, co pozwoli na jego dostosowanie do wymagań regulacji wchodzących w skład pakietu „Czysta Energia dla Wszystkich Europejczyków”. </w:t>
            </w:r>
          </w:p>
          <w:p w14:paraId="1B8C1FA5" w14:textId="77777777" w:rsidR="00771EEE" w:rsidRPr="00F62734" w:rsidRDefault="00771EEE" w:rsidP="00771EEE">
            <w:pPr>
              <w:rPr>
                <w:rFonts w:asciiTheme="minorHAnsi" w:hAnsiTheme="minorHAnsi" w:cstheme="minorHAnsi"/>
                <w:b/>
                <w:bCs/>
                <w:sz w:val="20"/>
              </w:rPr>
            </w:pPr>
            <w:r w:rsidRPr="00F62734">
              <w:rPr>
                <w:rFonts w:asciiTheme="minorHAnsi" w:hAnsiTheme="minorHAnsi" w:cstheme="minorHAnsi"/>
                <w:b/>
                <w:bCs/>
                <w:sz w:val="20"/>
              </w:rPr>
              <w:t>Link do ustawy</w:t>
            </w:r>
            <w:r w:rsidRPr="00F62734">
              <w:rPr>
                <w:rFonts w:asciiTheme="minorHAnsi" w:hAnsiTheme="minorHAnsi" w:cstheme="minorHAnsi"/>
                <w:b/>
              </w:rPr>
              <w:t xml:space="preserve"> </w:t>
            </w:r>
            <w:r w:rsidRPr="00F62734">
              <w:rPr>
                <w:rFonts w:asciiTheme="minorHAnsi" w:hAnsiTheme="minorHAnsi" w:cstheme="minorHAnsi"/>
                <w:b/>
                <w:bCs/>
                <w:sz w:val="20"/>
              </w:rPr>
              <w:t>z dnia 20 lutego 2015 r. o odnawialnych źródłach energii (Dz.U. z 2020 r. poz. 261, z późn. zm.):</w:t>
            </w:r>
          </w:p>
          <w:p w14:paraId="45D31052" w14:textId="1D80F458" w:rsidR="00771EEE" w:rsidRPr="00F62734" w:rsidRDefault="00771EEE" w:rsidP="00F62734">
            <w:pPr>
              <w:rPr>
                <w:rFonts w:asciiTheme="minorHAnsi" w:hAnsiTheme="minorHAnsi" w:cstheme="minorHAnsi"/>
                <w:b/>
                <w:bCs/>
                <w:sz w:val="20"/>
              </w:rPr>
            </w:pPr>
            <w:hyperlink w:history="1">
              <w:r w:rsidRPr="00F62734">
                <w:rPr>
                  <w:rStyle w:val="Hipercze"/>
                  <w:rFonts w:asciiTheme="minorHAnsi" w:hAnsiTheme="minorHAnsi" w:cstheme="minorHAnsi"/>
                  <w:b/>
                  <w:bCs/>
                  <w:sz w:val="20"/>
                </w:rPr>
                <w:t>http://isap.sejm.gov.pl/isap.nsf/download.xsp/WDU20150000478/U/D20150478Lj.pdf</w:t>
              </w:r>
            </w:hyperlink>
          </w:p>
          <w:p w14:paraId="24212F9B" w14:textId="77777777" w:rsidR="00013F86" w:rsidRPr="00890249" w:rsidRDefault="00875C92" w:rsidP="00013F86">
            <w:pPr>
              <w:rPr>
                <w:rFonts w:asciiTheme="minorHAnsi" w:hAnsiTheme="minorHAnsi" w:cstheme="minorHAnsi"/>
                <w:sz w:val="20"/>
              </w:rPr>
            </w:pPr>
            <w:r w:rsidRPr="00890249">
              <w:rPr>
                <w:rFonts w:asciiTheme="minorHAnsi" w:hAnsiTheme="minorHAnsi" w:cstheme="minorHAnsi"/>
                <w:b/>
                <w:bCs/>
                <w:sz w:val="20"/>
              </w:rPr>
              <w:t>Kryterium 1.</w:t>
            </w:r>
            <w:r w:rsidRPr="00890249">
              <w:rPr>
                <w:rFonts w:asciiTheme="minorHAnsi" w:hAnsiTheme="minorHAnsi" w:cstheme="minorHAnsi"/>
                <w:sz w:val="20"/>
              </w:rPr>
              <w:t xml:space="preserve"> </w:t>
            </w:r>
          </w:p>
          <w:p w14:paraId="6BCE2D14" w14:textId="77777777" w:rsidR="00ED1BC6" w:rsidRPr="00ED1BC6" w:rsidRDefault="00ED1BC6" w:rsidP="00ED1BC6">
            <w:pPr>
              <w:rPr>
                <w:rFonts w:asciiTheme="minorHAnsi" w:hAnsiTheme="minorHAnsi" w:cstheme="minorHAnsi"/>
                <w:b/>
                <w:sz w:val="20"/>
              </w:rPr>
            </w:pPr>
            <w:r w:rsidRPr="00ED1BC6">
              <w:rPr>
                <w:rFonts w:asciiTheme="minorHAnsi" w:hAnsiTheme="minorHAnsi" w:cstheme="minorHAnsi"/>
                <w:b/>
                <w:sz w:val="20"/>
              </w:rPr>
              <w:t>Ustawa z dnia 20 lutego 2015 r. o odnawialnych źródłach energii (dalej: „ustawa OZE”):</w:t>
            </w:r>
          </w:p>
          <w:p w14:paraId="5FA45924" w14:textId="77777777" w:rsidR="00ED1BC6" w:rsidRPr="00ED1BC6" w:rsidRDefault="00ED1BC6" w:rsidP="00ED1BC6">
            <w:pPr>
              <w:rPr>
                <w:rFonts w:asciiTheme="minorHAnsi" w:hAnsiTheme="minorHAnsi" w:cstheme="minorHAnsi"/>
                <w:b/>
                <w:sz w:val="20"/>
                <w:u w:val="single"/>
              </w:rPr>
            </w:pPr>
            <w:hyperlink w:history="1">
              <w:r w:rsidRPr="00ED1BC6">
                <w:rPr>
                  <w:rStyle w:val="Hipercze"/>
                  <w:rFonts w:asciiTheme="minorHAnsi" w:hAnsiTheme="minorHAnsi" w:cstheme="minorHAnsi"/>
                  <w:b/>
                  <w:sz w:val="20"/>
                </w:rPr>
                <w:t>http://isap.sejm.gov.pl/isap.nsf/download.xsp/WDU20150000478/U/D20150478Lj.pdf</w:t>
              </w:r>
            </w:hyperlink>
          </w:p>
          <w:p w14:paraId="3EFCA41A" w14:textId="77777777" w:rsidR="00ED1BC6" w:rsidRPr="00ED1BC6" w:rsidRDefault="00ED1BC6" w:rsidP="00ED1BC6">
            <w:pPr>
              <w:rPr>
                <w:rFonts w:asciiTheme="minorHAnsi" w:hAnsiTheme="minorHAnsi" w:cstheme="minorHAnsi"/>
                <w:b/>
                <w:sz w:val="20"/>
              </w:rPr>
            </w:pPr>
            <w:r w:rsidRPr="00ED1BC6">
              <w:rPr>
                <w:rFonts w:asciiTheme="minorHAnsi" w:hAnsiTheme="minorHAnsi" w:cstheme="minorHAnsi"/>
                <w:b/>
                <w:sz w:val="20"/>
              </w:rPr>
              <w:t xml:space="preserve">Ustawa z dnia 17 września 2021 r. o zmianie ustawy o odnawialnych </w:t>
            </w:r>
            <w:r w:rsidRPr="00ED1BC6">
              <w:rPr>
                <w:rFonts w:asciiTheme="minorHAnsi" w:hAnsiTheme="minorHAnsi" w:cstheme="minorHAnsi"/>
                <w:b/>
                <w:sz w:val="20"/>
              </w:rPr>
              <w:lastRenderedPageBreak/>
              <w:t>źródłach energii oraz niektórych innych ustaw (Dz.U. z 2021 r. poz. 1873)</w:t>
            </w:r>
          </w:p>
          <w:p w14:paraId="2F54DADC" w14:textId="1735F081" w:rsidR="00ED1BC6" w:rsidRDefault="00ED1BC6" w:rsidP="00013F86">
            <w:pPr>
              <w:rPr>
                <w:rFonts w:asciiTheme="minorHAnsi" w:hAnsiTheme="minorHAnsi" w:cstheme="minorHAnsi"/>
                <w:b/>
                <w:sz w:val="20"/>
              </w:rPr>
            </w:pPr>
            <w:r w:rsidRPr="00ED1BC6">
              <w:rPr>
                <w:rFonts w:asciiTheme="minorHAnsi" w:hAnsiTheme="minorHAnsi" w:cstheme="minorHAnsi"/>
                <w:b/>
                <w:sz w:val="20"/>
              </w:rPr>
              <w:t>Ustawa z dnia 17 grudnia 2020 r. o promowaniu wytwarzania energii elektrycznej w morskich farmach wiatrowych (Dz. U. 2024 poz. 182)</w:t>
            </w:r>
          </w:p>
          <w:p w14:paraId="4CCD8D12" w14:textId="77777777" w:rsidR="00013F86" w:rsidRPr="00890249" w:rsidRDefault="00875C92" w:rsidP="00013F86">
            <w:pPr>
              <w:rPr>
                <w:rFonts w:asciiTheme="minorHAnsi" w:hAnsiTheme="minorHAnsi" w:cstheme="minorHAnsi"/>
                <w:b/>
                <w:bCs/>
                <w:sz w:val="20"/>
              </w:rPr>
            </w:pPr>
            <w:r w:rsidRPr="00890249">
              <w:rPr>
                <w:rFonts w:asciiTheme="minorHAnsi" w:hAnsiTheme="minorHAnsi" w:cstheme="minorHAnsi"/>
                <w:b/>
                <w:bCs/>
                <w:sz w:val="20"/>
              </w:rPr>
              <w:t xml:space="preserve">Kryterium 2. </w:t>
            </w:r>
          </w:p>
          <w:p w14:paraId="04A9B965" w14:textId="77777777" w:rsidR="00013F86" w:rsidRPr="00890249" w:rsidRDefault="00875C92" w:rsidP="00013F86">
            <w:pPr>
              <w:rPr>
                <w:rFonts w:asciiTheme="minorHAnsi" w:hAnsiTheme="minorHAnsi" w:cstheme="minorHAnsi"/>
                <w:b/>
                <w:bCs/>
                <w:sz w:val="20"/>
              </w:rPr>
            </w:pPr>
            <w:r w:rsidRPr="00890249">
              <w:rPr>
                <w:rFonts w:asciiTheme="minorHAnsi" w:hAnsiTheme="minorHAnsi" w:cstheme="minorHAnsi"/>
                <w:b/>
                <w:bCs/>
                <w:sz w:val="20"/>
              </w:rPr>
              <w:t>Rozporządzenie Ministra Energii z dnia 18 maja 2017 r. w sprawie szczegółowego zakresu obowiązku i warunków technicznych zakupu ciepła z odnawialnych źródeł energii oraz warunków przyłączenia instalacji do sieci (Dz. U. 2017 poz. 1084),</w:t>
            </w:r>
          </w:p>
          <w:p w14:paraId="3AF2BE21" w14:textId="08944447" w:rsidR="00E8684E" w:rsidRPr="00890249" w:rsidRDefault="00875C92" w:rsidP="00E8684E">
            <w:pPr>
              <w:jc w:val="left"/>
              <w:rPr>
                <w:rFonts w:asciiTheme="minorHAnsi" w:eastAsia="Times New Roman" w:hAnsiTheme="minorHAnsi" w:cstheme="minorHAnsi"/>
                <w:iCs/>
                <w:noProof/>
                <w:sz w:val="20"/>
              </w:rPr>
            </w:pPr>
            <w:hyperlink r:id="rId92" w:history="1">
              <w:r w:rsidRPr="00890249">
                <w:rPr>
                  <w:rStyle w:val="Hipercze"/>
                  <w:rFonts w:asciiTheme="minorHAnsi" w:hAnsiTheme="minorHAnsi" w:cstheme="minorHAnsi"/>
                  <w:b/>
                  <w:bCs/>
                  <w:sz w:val="20"/>
                </w:rPr>
                <w:t>http://isap.sejm.gov.pl/isap.nsf/download.xsp/WDU20170001084/O/D20171084.pdf</w:t>
              </w:r>
            </w:hyperlink>
            <w:r w:rsidRPr="00890249">
              <w:rPr>
                <w:rStyle w:val="Hipercze"/>
                <w:rFonts w:asciiTheme="minorHAnsi" w:hAnsiTheme="minorHAnsi" w:cstheme="minorHAnsi"/>
                <w:b/>
                <w:bCs/>
                <w:sz w:val="20"/>
              </w:rPr>
              <w:t xml:space="preserve"> </w:t>
            </w:r>
          </w:p>
        </w:tc>
        <w:tc>
          <w:tcPr>
            <w:tcW w:w="2977" w:type="dxa"/>
          </w:tcPr>
          <w:p w14:paraId="076961C3" w14:textId="77777777" w:rsidR="00013F86" w:rsidRPr="00890249" w:rsidRDefault="00875C92" w:rsidP="00325D70">
            <w:pPr>
              <w:jc w:val="left"/>
              <w:rPr>
                <w:rFonts w:asciiTheme="minorHAnsi" w:hAnsiTheme="minorHAnsi" w:cstheme="minorHAnsi"/>
                <w:sz w:val="20"/>
              </w:rPr>
            </w:pPr>
            <w:r w:rsidRPr="00890249">
              <w:rPr>
                <w:rFonts w:asciiTheme="minorHAnsi" w:hAnsiTheme="minorHAnsi" w:cstheme="minorHAnsi"/>
                <w:b/>
                <w:bCs/>
                <w:sz w:val="20"/>
              </w:rPr>
              <w:lastRenderedPageBreak/>
              <w:t>Kryterium 1.</w:t>
            </w:r>
            <w:r w:rsidRPr="00890249">
              <w:rPr>
                <w:rFonts w:asciiTheme="minorHAnsi" w:hAnsiTheme="minorHAnsi" w:cstheme="minorHAnsi"/>
                <w:sz w:val="20"/>
              </w:rPr>
              <w:t xml:space="preserve"> </w:t>
            </w:r>
          </w:p>
          <w:p w14:paraId="694323CF" w14:textId="77777777" w:rsidR="00ED1BC6" w:rsidRPr="00ED1BC6" w:rsidRDefault="00ED1BC6" w:rsidP="00ED1BC6">
            <w:pPr>
              <w:spacing w:after="0"/>
              <w:jc w:val="left"/>
              <w:rPr>
                <w:rFonts w:asciiTheme="minorHAnsi" w:hAnsiTheme="minorHAnsi" w:cstheme="minorHAnsi"/>
                <w:bCs/>
                <w:sz w:val="20"/>
              </w:rPr>
            </w:pPr>
            <w:r w:rsidRPr="00ED1BC6">
              <w:rPr>
                <w:rFonts w:asciiTheme="minorHAnsi" w:hAnsiTheme="minorHAnsi" w:cstheme="minorHAnsi"/>
                <w:bCs/>
                <w:sz w:val="20"/>
              </w:rPr>
              <w:lastRenderedPageBreak/>
              <w:t>Instrumenty służące osiągnięciu celu OZE:</w:t>
            </w:r>
          </w:p>
          <w:p w14:paraId="4FC1A3C0" w14:textId="77777777" w:rsidR="00ED1BC6" w:rsidRPr="00F62734" w:rsidRDefault="00ED1BC6" w:rsidP="00F62734">
            <w:pPr>
              <w:pStyle w:val="Akapitzlist"/>
              <w:numPr>
                <w:ilvl w:val="0"/>
                <w:numId w:val="69"/>
              </w:numPr>
              <w:spacing w:after="0"/>
              <w:ind w:left="439"/>
              <w:jc w:val="left"/>
              <w:rPr>
                <w:rFonts w:asciiTheme="minorHAnsi" w:hAnsiTheme="minorHAnsi" w:cstheme="minorHAnsi"/>
                <w:bCs/>
                <w:sz w:val="20"/>
              </w:rPr>
            </w:pPr>
            <w:r w:rsidRPr="00F62734">
              <w:rPr>
                <w:rFonts w:asciiTheme="minorHAnsi" w:hAnsiTheme="minorHAnsi" w:cstheme="minorHAnsi"/>
                <w:bCs/>
                <w:sz w:val="20"/>
              </w:rPr>
              <w:t>Główny mechanizm to aukcyjny system wsparcia. Na aukcjach OZE zakontraktowano w l. 2016-2018 - ok. 2000 MW, w 2019 r. – ok. 3000 MW, w 2020 - ok. 2500 MW, w 2021 r. - ok. 3900 MW. W l. 2022-2023 – ok. 1350 MW. Nowelizacja ustawy OZE przedłużyła udzielanie pomocy publicznej w systemie aukcyjnym oraz systemach FIT/FIP do 30.06.2047 r.</w:t>
            </w:r>
          </w:p>
          <w:p w14:paraId="52B3D7A3" w14:textId="77777777" w:rsidR="00ED1BC6" w:rsidRPr="00ED1BC6" w:rsidRDefault="00ED1BC6" w:rsidP="00F62734">
            <w:pPr>
              <w:numPr>
                <w:ilvl w:val="0"/>
                <w:numId w:val="178"/>
              </w:numPr>
              <w:spacing w:after="0"/>
              <w:ind w:left="297"/>
              <w:jc w:val="left"/>
              <w:rPr>
                <w:rFonts w:asciiTheme="minorHAnsi" w:hAnsiTheme="minorHAnsi" w:cstheme="minorHAnsi"/>
                <w:bCs/>
                <w:sz w:val="20"/>
              </w:rPr>
            </w:pPr>
            <w:r w:rsidRPr="00ED1BC6">
              <w:rPr>
                <w:rFonts w:asciiTheme="minorHAnsi" w:hAnsiTheme="minorHAnsi" w:cstheme="minorHAnsi"/>
                <w:bCs/>
                <w:sz w:val="20"/>
              </w:rPr>
              <w:t xml:space="preserve">Systemy cen i premii gwarantowanych FIT/FIP dedykowanych małym wytwórcom OZE w technologii biogazowej, biomasowej, biometanowej oraz hydroenergetycznej </w:t>
            </w:r>
          </w:p>
          <w:p w14:paraId="58646EB7" w14:textId="77777777" w:rsidR="00ED1BC6" w:rsidRPr="00ED1BC6" w:rsidRDefault="00ED1BC6" w:rsidP="00F62734">
            <w:pPr>
              <w:numPr>
                <w:ilvl w:val="0"/>
                <w:numId w:val="178"/>
              </w:numPr>
              <w:spacing w:after="0"/>
              <w:ind w:left="297"/>
              <w:jc w:val="left"/>
              <w:rPr>
                <w:rFonts w:asciiTheme="minorHAnsi" w:hAnsiTheme="minorHAnsi" w:cstheme="minorHAnsi"/>
                <w:bCs/>
                <w:sz w:val="20"/>
              </w:rPr>
            </w:pPr>
            <w:r w:rsidRPr="00ED1BC6">
              <w:rPr>
                <w:rFonts w:asciiTheme="minorHAnsi" w:hAnsiTheme="minorHAnsi" w:cstheme="minorHAnsi"/>
                <w:bCs/>
                <w:sz w:val="20"/>
              </w:rPr>
              <w:t xml:space="preserve">Prosumencki system opustów oparty o rozliczenia energii z mikroinstalacji w ramach net-meteringu, a także w oparciu o system wartościowy (tzw. net-billing) </w:t>
            </w:r>
          </w:p>
          <w:p w14:paraId="1FF84EE7" w14:textId="7086A1C3" w:rsidR="00ED1BC6" w:rsidRPr="00ED1BC6" w:rsidRDefault="00ED1BC6" w:rsidP="00F62734">
            <w:pPr>
              <w:numPr>
                <w:ilvl w:val="0"/>
                <w:numId w:val="178"/>
              </w:numPr>
              <w:spacing w:after="0"/>
              <w:ind w:left="297"/>
              <w:jc w:val="left"/>
              <w:rPr>
                <w:rFonts w:asciiTheme="minorHAnsi" w:hAnsiTheme="minorHAnsi" w:cstheme="minorHAnsi"/>
                <w:bCs/>
                <w:sz w:val="20"/>
              </w:rPr>
            </w:pPr>
            <w:r w:rsidRPr="00ED1BC6">
              <w:rPr>
                <w:rFonts w:asciiTheme="minorHAnsi" w:hAnsiTheme="minorHAnsi" w:cstheme="minorHAnsi"/>
                <w:bCs/>
                <w:sz w:val="20"/>
              </w:rPr>
              <w:lastRenderedPageBreak/>
              <w:t>Program "Mój Prąd" dotąd zapewnił wsparcie dla instalacji o mocy 3166 MW. We wrześniu 2024 r. rozpoczął się nabór do jego 6. edycji wraz z nowymi elementami - magazyny energii i „Moja elektrownia wiatrowa”</w:t>
            </w:r>
            <w:r>
              <w:rPr>
                <w:rFonts w:asciiTheme="minorHAnsi" w:hAnsiTheme="minorHAnsi" w:cstheme="minorHAnsi"/>
                <w:bCs/>
                <w:sz w:val="20"/>
              </w:rPr>
              <w:t>.</w:t>
            </w:r>
          </w:p>
          <w:p w14:paraId="13F7C764" w14:textId="7F750B0C" w:rsidR="00ED1BC6" w:rsidRPr="00ED1BC6" w:rsidRDefault="00ED1BC6" w:rsidP="00F62734">
            <w:pPr>
              <w:numPr>
                <w:ilvl w:val="0"/>
                <w:numId w:val="177"/>
              </w:numPr>
              <w:spacing w:after="0"/>
              <w:ind w:left="297"/>
              <w:jc w:val="left"/>
              <w:rPr>
                <w:rFonts w:asciiTheme="minorHAnsi" w:hAnsiTheme="minorHAnsi" w:cstheme="minorHAnsi"/>
                <w:bCs/>
                <w:sz w:val="20"/>
              </w:rPr>
            </w:pPr>
            <w:r w:rsidRPr="00ED1BC6">
              <w:rPr>
                <w:rFonts w:asciiTheme="minorHAnsi" w:hAnsiTheme="minorHAnsi" w:cstheme="minorHAnsi"/>
                <w:bCs/>
                <w:sz w:val="20"/>
              </w:rPr>
              <w:t>Programy "Energia Plus" dla przedsiębiorców oraz „Agroenergia” i ,,Energia dla Wsi” dla rolników</w:t>
            </w:r>
            <w:r>
              <w:rPr>
                <w:rFonts w:asciiTheme="minorHAnsi" w:hAnsiTheme="minorHAnsi" w:cstheme="minorHAnsi"/>
                <w:bCs/>
                <w:sz w:val="20"/>
              </w:rPr>
              <w:t>.</w:t>
            </w:r>
          </w:p>
          <w:p w14:paraId="4650F534" w14:textId="21FE79AB" w:rsidR="00ED1BC6" w:rsidRPr="00ED1BC6" w:rsidRDefault="00ED1BC6" w:rsidP="00F62734">
            <w:pPr>
              <w:numPr>
                <w:ilvl w:val="0"/>
                <w:numId w:val="177"/>
              </w:numPr>
              <w:spacing w:after="0"/>
              <w:ind w:left="297"/>
              <w:jc w:val="left"/>
              <w:rPr>
                <w:rFonts w:asciiTheme="minorHAnsi" w:hAnsiTheme="minorHAnsi" w:cstheme="minorHAnsi"/>
                <w:bCs/>
                <w:sz w:val="20"/>
              </w:rPr>
            </w:pPr>
            <w:r w:rsidRPr="00ED1BC6">
              <w:rPr>
                <w:rFonts w:asciiTheme="minorHAnsi" w:hAnsiTheme="minorHAnsi" w:cstheme="minorHAnsi"/>
                <w:bCs/>
                <w:sz w:val="20"/>
              </w:rPr>
              <w:t>Morskie farmy wiatrowe umożliwią skokowy przyrost mocy zainstalowanej OZE. Rozwój tej technologii stanowić centralny element osiągnięcia celów energetyczno-klimatycznych</w:t>
            </w:r>
            <w:r>
              <w:rPr>
                <w:rFonts w:asciiTheme="minorHAnsi" w:hAnsiTheme="minorHAnsi" w:cstheme="minorHAnsi"/>
                <w:bCs/>
                <w:sz w:val="20"/>
              </w:rPr>
              <w:t>.</w:t>
            </w:r>
          </w:p>
          <w:p w14:paraId="7D7809A0" w14:textId="61F03E34" w:rsidR="00B72154" w:rsidRPr="00890249" w:rsidRDefault="00B72154" w:rsidP="00325D70">
            <w:pPr>
              <w:spacing w:line="276" w:lineRule="auto"/>
              <w:jc w:val="left"/>
              <w:rPr>
                <w:rFonts w:asciiTheme="minorHAnsi" w:hAnsiTheme="minorHAnsi" w:cstheme="minorHAnsi"/>
                <w:bCs/>
                <w:sz w:val="20"/>
              </w:rPr>
            </w:pPr>
          </w:p>
        </w:tc>
      </w:tr>
      <w:tr w:rsidR="00E8684E" w:rsidRPr="00890249" w14:paraId="3FD7C1B2" w14:textId="77777777" w:rsidTr="00F62734">
        <w:tc>
          <w:tcPr>
            <w:tcW w:w="1560" w:type="dxa"/>
            <w:vMerge/>
          </w:tcPr>
          <w:p w14:paraId="4C603882" w14:textId="77777777" w:rsidR="00E8684E" w:rsidRPr="00890249" w:rsidRDefault="00E8684E" w:rsidP="00E8684E">
            <w:pPr>
              <w:jc w:val="left"/>
              <w:rPr>
                <w:rFonts w:asciiTheme="minorHAnsi" w:hAnsiTheme="minorHAnsi" w:cstheme="minorHAnsi"/>
                <w:sz w:val="20"/>
              </w:rPr>
            </w:pPr>
          </w:p>
        </w:tc>
        <w:tc>
          <w:tcPr>
            <w:tcW w:w="709" w:type="dxa"/>
            <w:vMerge/>
          </w:tcPr>
          <w:p w14:paraId="2264AF18" w14:textId="77777777" w:rsidR="00E8684E" w:rsidRPr="00890249" w:rsidRDefault="00E8684E" w:rsidP="00E8684E">
            <w:pPr>
              <w:jc w:val="left"/>
              <w:rPr>
                <w:rFonts w:asciiTheme="minorHAnsi" w:hAnsiTheme="minorHAnsi" w:cstheme="minorHAnsi"/>
                <w:sz w:val="20"/>
              </w:rPr>
            </w:pPr>
          </w:p>
        </w:tc>
        <w:tc>
          <w:tcPr>
            <w:tcW w:w="1843" w:type="dxa"/>
            <w:vMerge/>
          </w:tcPr>
          <w:p w14:paraId="0B9DDED3" w14:textId="77777777" w:rsidR="00E8684E" w:rsidRPr="00890249" w:rsidRDefault="00E8684E" w:rsidP="00E8684E">
            <w:pPr>
              <w:jc w:val="left"/>
              <w:rPr>
                <w:rFonts w:asciiTheme="minorHAnsi" w:hAnsiTheme="minorHAnsi" w:cstheme="minorHAnsi"/>
                <w:bCs/>
                <w:sz w:val="20"/>
              </w:rPr>
            </w:pPr>
          </w:p>
        </w:tc>
        <w:tc>
          <w:tcPr>
            <w:tcW w:w="1559" w:type="dxa"/>
            <w:vMerge/>
          </w:tcPr>
          <w:p w14:paraId="4279F37C"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5B7EA3AD" w14:textId="77777777" w:rsidR="00E8684E" w:rsidRPr="00890249" w:rsidRDefault="00E8684E" w:rsidP="00E8684E">
            <w:pPr>
              <w:jc w:val="left"/>
              <w:rPr>
                <w:rFonts w:asciiTheme="minorHAnsi" w:hAnsiTheme="minorHAnsi" w:cstheme="minorHAnsi"/>
                <w:b/>
                <w:noProof/>
                <w:sz w:val="20"/>
              </w:rPr>
            </w:pPr>
            <w:r w:rsidRPr="00890249">
              <w:rPr>
                <w:rFonts w:asciiTheme="minorHAnsi" w:hAnsiTheme="minorHAnsi" w:cstheme="minorHAnsi"/>
                <w:b/>
                <w:noProof/>
                <w:sz w:val="20"/>
              </w:rPr>
              <w:t>Kryterium 2</w:t>
            </w:r>
          </w:p>
          <w:p w14:paraId="245A1691"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noProof/>
                <w:sz w:val="20"/>
              </w:rPr>
              <w:t xml:space="preserve">Zgodnie z wymogami dyrektywy (UE) 2018/2001 i rozporządzenia (UE) 2018/1999 – zwiększenie udziału energii odnawialnej w sektorze ciepłownictwa i </w:t>
            </w:r>
            <w:r w:rsidRPr="00890249">
              <w:rPr>
                <w:rFonts w:asciiTheme="minorHAnsi" w:hAnsiTheme="minorHAnsi" w:cstheme="minorHAnsi"/>
                <w:noProof/>
                <w:sz w:val="20"/>
              </w:rPr>
              <w:lastRenderedPageBreak/>
              <w:t xml:space="preserve">chłodnictwa zgodnie z art. 23 dyrektywy (UE) 2018/2001. </w:t>
            </w:r>
          </w:p>
        </w:tc>
        <w:tc>
          <w:tcPr>
            <w:tcW w:w="1134" w:type="dxa"/>
            <w:vMerge/>
          </w:tcPr>
          <w:p w14:paraId="2F206FAD"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0A68FFC4"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1D37D5F5" w14:textId="77777777" w:rsidR="00013F86" w:rsidRPr="00890249" w:rsidRDefault="00875C92" w:rsidP="00325D70">
            <w:pPr>
              <w:jc w:val="left"/>
              <w:rPr>
                <w:rFonts w:asciiTheme="minorHAnsi" w:hAnsiTheme="minorHAnsi" w:cstheme="minorHAnsi"/>
                <w:b/>
                <w:bCs/>
                <w:sz w:val="20"/>
              </w:rPr>
            </w:pPr>
            <w:r w:rsidRPr="00890249">
              <w:rPr>
                <w:rFonts w:asciiTheme="minorHAnsi" w:hAnsiTheme="minorHAnsi" w:cstheme="minorHAnsi"/>
                <w:b/>
                <w:bCs/>
                <w:sz w:val="20"/>
              </w:rPr>
              <w:t xml:space="preserve">Kryterium 2. </w:t>
            </w:r>
          </w:p>
          <w:p w14:paraId="0217E196" w14:textId="77777777" w:rsidR="00013F86"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Promowaniu rozwoju OZE w zakresie produkcji ciepła i chłodu służą: </w:t>
            </w:r>
          </w:p>
          <w:p w14:paraId="6935F934" w14:textId="77777777" w:rsidR="00B72154" w:rsidRPr="00F62734" w:rsidRDefault="00875C92" w:rsidP="00F62734">
            <w:pPr>
              <w:pStyle w:val="Akapitzlist"/>
              <w:numPr>
                <w:ilvl w:val="0"/>
                <w:numId w:val="180"/>
              </w:numPr>
              <w:spacing w:before="0" w:after="200" w:line="276" w:lineRule="auto"/>
              <w:ind w:left="297" w:hanging="297"/>
              <w:jc w:val="left"/>
              <w:rPr>
                <w:rFonts w:asciiTheme="minorHAnsi" w:hAnsiTheme="minorHAnsi" w:cstheme="minorHAnsi"/>
                <w:bCs/>
                <w:sz w:val="20"/>
              </w:rPr>
            </w:pPr>
            <w:r w:rsidRPr="00F62734">
              <w:rPr>
                <w:rFonts w:asciiTheme="minorHAnsi" w:hAnsiTheme="minorHAnsi" w:cstheme="minorHAnsi"/>
                <w:bCs/>
                <w:sz w:val="20"/>
              </w:rPr>
              <w:t xml:space="preserve">Rozporządzenie Ministra Energii z dnia 18 maja 2017 r. </w:t>
            </w:r>
            <w:r w:rsidRPr="00F62734">
              <w:rPr>
                <w:rFonts w:asciiTheme="minorHAnsi" w:hAnsiTheme="minorHAnsi" w:cstheme="minorHAnsi"/>
                <w:bCs/>
                <w:sz w:val="20"/>
              </w:rPr>
              <w:lastRenderedPageBreak/>
              <w:t>w sprawie szczegółowego zakresu obowiązku i warunków technicznych zakupu ciepła z odnawialnych źródeł energii poszerzające katalog podmiotów zobowiązanych do zakupu ciepła z OZE.</w:t>
            </w:r>
          </w:p>
          <w:p w14:paraId="56A62532" w14:textId="77777777" w:rsidR="00B72154" w:rsidRPr="00F62734" w:rsidRDefault="00875C92" w:rsidP="00F62734">
            <w:pPr>
              <w:pStyle w:val="Akapitzlist"/>
              <w:numPr>
                <w:ilvl w:val="0"/>
                <w:numId w:val="180"/>
              </w:numPr>
              <w:spacing w:before="0" w:after="200" w:line="276" w:lineRule="auto"/>
              <w:ind w:left="297" w:hanging="297"/>
              <w:jc w:val="left"/>
              <w:rPr>
                <w:rFonts w:asciiTheme="minorHAnsi" w:hAnsiTheme="minorHAnsi" w:cstheme="minorHAnsi"/>
                <w:bCs/>
                <w:sz w:val="20"/>
              </w:rPr>
            </w:pPr>
            <w:r w:rsidRPr="00F62734">
              <w:rPr>
                <w:rFonts w:asciiTheme="minorHAnsi" w:hAnsiTheme="minorHAnsi" w:cstheme="minorHAnsi"/>
                <w:bCs/>
                <w:sz w:val="20"/>
              </w:rPr>
              <w:t>Program „Czyste Powietrze umożliwiający wymianę starych i nieefektywnych źródeł ciepła na paliwo stałe na nowoczesne źródła ciepła spełniające najwyższe normy i  termomodernizację budynków- kontynuacja do 2029 r.</w:t>
            </w:r>
          </w:p>
          <w:p w14:paraId="3EEDCFD2" w14:textId="77777777" w:rsidR="00B72154" w:rsidRPr="00F62734" w:rsidRDefault="00875C92" w:rsidP="00F62734">
            <w:pPr>
              <w:pStyle w:val="Akapitzlist"/>
              <w:numPr>
                <w:ilvl w:val="0"/>
                <w:numId w:val="180"/>
              </w:numPr>
              <w:spacing w:before="0" w:after="200" w:line="276" w:lineRule="auto"/>
              <w:ind w:left="297" w:hanging="297"/>
              <w:jc w:val="left"/>
              <w:rPr>
                <w:rFonts w:asciiTheme="minorHAnsi" w:hAnsiTheme="minorHAnsi" w:cstheme="minorHAnsi"/>
                <w:bCs/>
                <w:sz w:val="20"/>
              </w:rPr>
            </w:pPr>
            <w:r w:rsidRPr="00F62734">
              <w:rPr>
                <w:rFonts w:asciiTheme="minorHAnsi" w:hAnsiTheme="minorHAnsi" w:cstheme="minorHAnsi"/>
                <w:bCs/>
                <w:sz w:val="20"/>
              </w:rPr>
              <w:t xml:space="preserve">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w:t>
            </w:r>
            <w:r w:rsidRPr="00F62734">
              <w:rPr>
                <w:rFonts w:asciiTheme="minorHAnsi" w:hAnsiTheme="minorHAnsi" w:cstheme="minorHAnsi"/>
                <w:bCs/>
                <w:sz w:val="20"/>
              </w:rPr>
              <w:lastRenderedPageBreak/>
              <w:t>działań podejmowanych w tym obszarze w najbliższych latach.</w:t>
            </w:r>
          </w:p>
          <w:p w14:paraId="6C883149" w14:textId="588F4062" w:rsidR="00E8684E" w:rsidRPr="00F62734" w:rsidRDefault="00875C92" w:rsidP="00F62734">
            <w:pPr>
              <w:pStyle w:val="Akapitzlist"/>
              <w:numPr>
                <w:ilvl w:val="0"/>
                <w:numId w:val="180"/>
              </w:numPr>
              <w:ind w:left="297" w:hanging="297"/>
              <w:jc w:val="left"/>
              <w:rPr>
                <w:rFonts w:asciiTheme="minorHAnsi" w:eastAsia="Times New Roman" w:hAnsiTheme="minorHAnsi" w:cstheme="minorHAnsi"/>
                <w:iCs/>
                <w:noProof/>
                <w:sz w:val="20"/>
              </w:rPr>
            </w:pPr>
            <w:r w:rsidRPr="00F62734">
              <w:rPr>
                <w:rFonts w:asciiTheme="minorHAnsi" w:hAnsiTheme="minorHAnsi" w:cstheme="minorHAnsi"/>
                <w:bCs/>
                <w:sz w:val="20"/>
              </w:rPr>
              <w:t xml:space="preserve">Ponadto programy wsparcia inwestycyjnego w zakresie indywidualnych źródeł ciepła z OZE, takie jak program </w:t>
            </w:r>
            <w:r w:rsidR="0093433C" w:rsidRPr="00F62734">
              <w:rPr>
                <w:rFonts w:asciiTheme="minorHAnsi" w:hAnsiTheme="minorHAnsi" w:cstheme="minorHAnsi"/>
                <w:bCs/>
                <w:sz w:val="20"/>
              </w:rPr>
              <w:t>„</w:t>
            </w:r>
            <w:r w:rsidRPr="00F62734">
              <w:rPr>
                <w:rFonts w:asciiTheme="minorHAnsi" w:hAnsiTheme="minorHAnsi" w:cstheme="minorHAnsi"/>
                <w:bCs/>
                <w:sz w:val="20"/>
              </w:rPr>
              <w:t>Czyste powietrze</w:t>
            </w:r>
            <w:r w:rsidR="0093433C" w:rsidRPr="00F62734">
              <w:rPr>
                <w:rFonts w:asciiTheme="minorHAnsi" w:hAnsiTheme="minorHAnsi" w:cstheme="minorHAnsi"/>
                <w:bCs/>
                <w:sz w:val="20"/>
              </w:rPr>
              <w:t>”</w:t>
            </w:r>
            <w:r w:rsidRPr="00F62734">
              <w:rPr>
                <w:rFonts w:asciiTheme="minorHAnsi" w:hAnsiTheme="minorHAnsi" w:cstheme="minorHAnsi"/>
                <w:bCs/>
                <w:sz w:val="20"/>
              </w:rPr>
              <w:t xml:space="preserve"> oraz inne programy podlegać będą stosownym zmianom i udoskonaleniom, a zależności od potrzeb otrzymają komplementarne wsparcie.</w:t>
            </w:r>
          </w:p>
        </w:tc>
      </w:tr>
      <w:tr w:rsidR="00E8684E" w:rsidRPr="00890249" w14:paraId="430F5580" w14:textId="77777777" w:rsidTr="00F62734">
        <w:tc>
          <w:tcPr>
            <w:tcW w:w="1560" w:type="dxa"/>
            <w:vMerge w:val="restart"/>
          </w:tcPr>
          <w:p w14:paraId="532E8D06"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2.4.Skuteczne ramy zarządzania ryzykiem związanym z klęskami żywiołowymi i katastrofami.</w:t>
            </w:r>
          </w:p>
        </w:tc>
        <w:tc>
          <w:tcPr>
            <w:tcW w:w="709" w:type="dxa"/>
            <w:vMerge w:val="restart"/>
          </w:tcPr>
          <w:p w14:paraId="3BE50455"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EFRR, FS</w:t>
            </w:r>
          </w:p>
          <w:p w14:paraId="5BE412F5" w14:textId="77777777" w:rsidR="00E8684E" w:rsidRPr="00890249" w:rsidRDefault="00E8684E" w:rsidP="00E8684E">
            <w:pPr>
              <w:jc w:val="left"/>
              <w:rPr>
                <w:rFonts w:asciiTheme="minorHAnsi" w:hAnsiTheme="minorHAnsi" w:cstheme="minorHAnsi"/>
                <w:sz w:val="20"/>
              </w:rPr>
            </w:pPr>
          </w:p>
        </w:tc>
        <w:tc>
          <w:tcPr>
            <w:tcW w:w="1843" w:type="dxa"/>
            <w:vMerge w:val="restart"/>
          </w:tcPr>
          <w:p w14:paraId="57B8384A" w14:textId="77777777" w:rsidR="00E8684E" w:rsidRPr="00890249" w:rsidRDefault="00E8684E" w:rsidP="00E8684E">
            <w:pPr>
              <w:jc w:val="left"/>
              <w:rPr>
                <w:rFonts w:asciiTheme="minorHAnsi" w:hAnsiTheme="minorHAnsi" w:cstheme="minorHAnsi"/>
                <w:bCs/>
                <w:sz w:val="20"/>
                <w:highlight w:val="yellow"/>
              </w:rPr>
            </w:pPr>
            <w:r w:rsidRPr="00890249">
              <w:rPr>
                <w:rFonts w:asciiTheme="minorHAnsi" w:hAnsiTheme="minorHAnsi" w:cstheme="minorHAnsi"/>
                <w:bCs/>
                <w:sz w:val="20"/>
              </w:rPr>
              <w:t>Wspieranie przystosowania się do zmian klimatu i zapobiegania ryzyku związanemu z klęskami żywiołowymi i katastrofami, a także odporności, z uwzględnieniem podejścia ekosystemowego</w:t>
            </w:r>
          </w:p>
        </w:tc>
        <w:tc>
          <w:tcPr>
            <w:tcW w:w="1559" w:type="dxa"/>
            <w:vMerge w:val="restart"/>
          </w:tcPr>
          <w:p w14:paraId="51544F51" w14:textId="77777777" w:rsidR="00E8684E" w:rsidRPr="00890249" w:rsidRDefault="00E8684E" w:rsidP="00E8684E">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Tak</w:t>
            </w:r>
          </w:p>
        </w:tc>
        <w:tc>
          <w:tcPr>
            <w:tcW w:w="2551" w:type="dxa"/>
          </w:tcPr>
          <w:p w14:paraId="2A73A780"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Istnienie krajowego lub regionalnego planu zarządzania ryzykiem związanym z klęskami żywiołowymi i katastrofami i, opracowanego na podstawie ocen ryzyka, z uwzględnieniem prawdopodobnych skutków zmian klimatu i istniejących strategii na rzecz przystosowania się do zmian klimatu; plan ten obejmuje: </w:t>
            </w:r>
          </w:p>
          <w:p w14:paraId="31EDA182" w14:textId="77777777" w:rsidR="00E8684E" w:rsidRPr="00890249" w:rsidRDefault="00E8684E" w:rsidP="00E8684E">
            <w:pPr>
              <w:jc w:val="left"/>
              <w:rPr>
                <w:rFonts w:asciiTheme="minorHAnsi" w:hAnsiTheme="minorHAnsi" w:cstheme="minorHAnsi"/>
                <w:sz w:val="20"/>
              </w:rPr>
            </w:pPr>
          </w:p>
          <w:p w14:paraId="0459C110"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b/>
                <w:bCs/>
                <w:sz w:val="20"/>
              </w:rPr>
              <w:t>Kryterium 1.</w:t>
            </w:r>
            <w:r w:rsidRPr="00890249">
              <w:rPr>
                <w:rFonts w:asciiTheme="minorHAnsi" w:hAnsiTheme="minorHAnsi" w:cstheme="minorHAnsi"/>
                <w:sz w:val="20"/>
              </w:rPr>
              <w:t xml:space="preserve"> opis kluczowych ryzyk, </w:t>
            </w:r>
            <w:r w:rsidRPr="00890249">
              <w:rPr>
                <w:rFonts w:asciiTheme="minorHAnsi" w:hAnsiTheme="minorHAnsi" w:cstheme="minorHAnsi"/>
                <w:sz w:val="20"/>
              </w:rPr>
              <w:lastRenderedPageBreak/>
              <w:t>ocenionych zgodnie z art. 6 ust. 1 decyzji Parlamentu Europejskiego i Rady nr 1313/2013/UE1, odzwierciedlający bieżący profil ryzyka i jego ewolucję w orientacyjnym okresie 25–35 lat. Ocena opiera się – w przypadku ryzyk związanych z klimatem – na prognozach i scenariuszach dotyczących zmian klimatu</w:t>
            </w:r>
          </w:p>
        </w:tc>
        <w:tc>
          <w:tcPr>
            <w:tcW w:w="1134" w:type="dxa"/>
            <w:vMerge w:val="restart"/>
          </w:tcPr>
          <w:p w14:paraId="02502535" w14:textId="77777777" w:rsidR="00E8684E" w:rsidRPr="00890249" w:rsidRDefault="00E8684E" w:rsidP="00E8684E">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lastRenderedPageBreak/>
              <w:t>Tak</w:t>
            </w:r>
          </w:p>
        </w:tc>
        <w:tc>
          <w:tcPr>
            <w:tcW w:w="3402" w:type="dxa"/>
            <w:vMerge w:val="restart"/>
          </w:tcPr>
          <w:p w14:paraId="57B0240A" w14:textId="02A80045"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 xml:space="preserve">Spełnieniem warunku jest krajowy plan zarządzania ryzykiem </w:t>
            </w:r>
            <w:r w:rsidRPr="00890249">
              <w:rPr>
                <w:rFonts w:asciiTheme="minorHAnsi" w:hAnsiTheme="minorHAnsi" w:cstheme="minorHAnsi"/>
                <w:sz w:val="20"/>
              </w:rPr>
              <w:t>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w:t>
            </w:r>
            <w:r w:rsidRPr="00890249" w:rsidDel="006A559E">
              <w:rPr>
                <w:rFonts w:asciiTheme="minorHAnsi" w:hAnsiTheme="minorHAnsi" w:cstheme="minorHAnsi"/>
                <w:sz w:val="20"/>
              </w:rPr>
              <w:t xml:space="preserve"> </w:t>
            </w:r>
            <w:r w:rsidRPr="00890249">
              <w:rPr>
                <w:rFonts w:asciiTheme="minorHAnsi" w:hAnsiTheme="minorHAnsi" w:cstheme="minorHAnsi"/>
                <w:sz w:val="20"/>
              </w:rPr>
              <w:t>odpowiadające im zakresem przedmiotowy</w:t>
            </w:r>
            <w:r w:rsidR="00D17085">
              <w:rPr>
                <w:rFonts w:asciiTheme="minorHAnsi" w:hAnsiTheme="minorHAnsi" w:cstheme="minorHAnsi"/>
                <w:sz w:val="20"/>
              </w:rPr>
              <w:t>m</w:t>
            </w:r>
            <w:r w:rsidRPr="00890249">
              <w:rPr>
                <w:rFonts w:asciiTheme="minorHAnsi" w:hAnsiTheme="minorHAnsi" w:cstheme="minorHAnsi"/>
                <w:sz w:val="20"/>
              </w:rPr>
              <w:t>.</w:t>
            </w:r>
          </w:p>
        </w:tc>
        <w:tc>
          <w:tcPr>
            <w:tcW w:w="2977" w:type="dxa"/>
          </w:tcPr>
          <w:p w14:paraId="1B637FE9" w14:textId="77777777" w:rsidR="00DE39EF" w:rsidRPr="00890249" w:rsidRDefault="00875C92" w:rsidP="00325D70">
            <w:pPr>
              <w:jc w:val="left"/>
              <w:rPr>
                <w:rFonts w:asciiTheme="minorHAnsi" w:hAnsiTheme="minorHAnsi" w:cstheme="minorHAnsi"/>
                <w:b/>
                <w:bCs/>
                <w:sz w:val="20"/>
              </w:rPr>
            </w:pPr>
            <w:r w:rsidRPr="00890249">
              <w:rPr>
                <w:rFonts w:asciiTheme="minorHAnsi" w:hAnsiTheme="minorHAnsi" w:cstheme="minorHAnsi"/>
                <w:b/>
                <w:bCs/>
                <w:sz w:val="20"/>
              </w:rPr>
              <w:t>Kryterium 1.</w:t>
            </w:r>
          </w:p>
          <w:p w14:paraId="532EC3D1"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Streszczenie istotnych elementów krajowej oceny ryzyka zawiera w szczególności rozdziały opisujące:</w:t>
            </w:r>
          </w:p>
          <w:p w14:paraId="441B0F47"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1)</w:t>
            </w:r>
            <w:r w:rsidRPr="00890249">
              <w:rPr>
                <w:rFonts w:asciiTheme="minorHAnsi" w:hAnsiTheme="minorHAnsi" w:cstheme="minorHAnsi"/>
                <w:bCs/>
                <w:sz w:val="20"/>
              </w:rPr>
              <w:tab/>
              <w:t xml:space="preserve">identyfikację ryzyka, analizę oraz szacowanie, </w:t>
            </w:r>
          </w:p>
          <w:p w14:paraId="5D25F547"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2)</w:t>
            </w:r>
            <w:r w:rsidRPr="00890249">
              <w:rPr>
                <w:rFonts w:asciiTheme="minorHAnsi" w:hAnsiTheme="minorHAnsi" w:cstheme="minorHAnsi"/>
                <w:bCs/>
                <w:sz w:val="20"/>
              </w:rPr>
              <w:tab/>
              <w:t xml:space="preserve">typologię zagrożeń,  </w:t>
            </w:r>
          </w:p>
          <w:p w14:paraId="143F8082"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3)</w:t>
            </w:r>
            <w:r w:rsidRPr="00890249">
              <w:rPr>
                <w:rFonts w:asciiTheme="minorHAnsi" w:hAnsiTheme="minorHAnsi" w:cstheme="minorHAnsi"/>
                <w:bCs/>
                <w:sz w:val="20"/>
              </w:rPr>
              <w:tab/>
              <w:t>matrycę ryzyka,</w:t>
            </w:r>
          </w:p>
          <w:p w14:paraId="6331BB4A"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4)</w:t>
            </w:r>
            <w:r w:rsidRPr="00890249">
              <w:rPr>
                <w:rFonts w:asciiTheme="minorHAnsi" w:hAnsiTheme="minorHAnsi" w:cstheme="minorHAnsi"/>
                <w:bCs/>
                <w:sz w:val="20"/>
              </w:rPr>
              <w:tab/>
              <w:t>zagrożenia naturalne,</w:t>
            </w:r>
          </w:p>
          <w:p w14:paraId="05EAEB57" w14:textId="44A2DAE3"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5)</w:t>
            </w:r>
            <w:r w:rsidRPr="00890249">
              <w:rPr>
                <w:rFonts w:asciiTheme="minorHAnsi" w:hAnsiTheme="minorHAnsi" w:cstheme="minorHAnsi"/>
                <w:bCs/>
                <w:sz w:val="20"/>
              </w:rPr>
              <w:tab/>
              <w:t>zagrożenia cywilizacyjne i powodowane intencjonalną działalnością człowieka</w:t>
            </w:r>
            <w:r w:rsidR="00D17085">
              <w:rPr>
                <w:rFonts w:asciiTheme="minorHAnsi" w:hAnsiTheme="minorHAnsi" w:cstheme="minorHAnsi"/>
                <w:bCs/>
                <w:sz w:val="20"/>
              </w:rPr>
              <w:t>,</w:t>
            </w:r>
          </w:p>
          <w:p w14:paraId="2F12E72F" w14:textId="16CBB31A"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lastRenderedPageBreak/>
              <w:t>6)</w:t>
            </w:r>
            <w:r w:rsidRPr="00890249">
              <w:rPr>
                <w:rFonts w:asciiTheme="minorHAnsi" w:hAnsiTheme="minorHAnsi" w:cstheme="minorHAnsi"/>
                <w:bCs/>
                <w:sz w:val="20"/>
              </w:rPr>
              <w:tab/>
              <w:t>potencjalne skutki dla ludności, gospodarki, mienia infrastruktury i środowiska</w:t>
            </w:r>
            <w:r w:rsidR="00D17085">
              <w:rPr>
                <w:rFonts w:asciiTheme="minorHAnsi" w:hAnsiTheme="minorHAnsi" w:cstheme="minorHAnsi"/>
                <w:bCs/>
                <w:sz w:val="20"/>
              </w:rPr>
              <w:t xml:space="preserve"> </w:t>
            </w:r>
            <w:r w:rsidRPr="00890249">
              <w:rPr>
                <w:rFonts w:asciiTheme="minorHAnsi" w:hAnsiTheme="minorHAnsi" w:cstheme="minorHAnsi"/>
                <w:bCs/>
                <w:sz w:val="20"/>
              </w:rPr>
              <w:t>naturalnego;</w:t>
            </w:r>
          </w:p>
          <w:p w14:paraId="6C779801" w14:textId="77777777" w:rsidR="00E8684E" w:rsidRPr="00890249" w:rsidRDefault="00E8684E" w:rsidP="00325D70">
            <w:pPr>
              <w:ind w:firstLine="708"/>
              <w:jc w:val="left"/>
              <w:rPr>
                <w:rFonts w:asciiTheme="minorHAnsi" w:eastAsia="Times New Roman" w:hAnsiTheme="minorHAnsi" w:cstheme="minorHAnsi"/>
                <w:iCs/>
                <w:noProof/>
                <w:sz w:val="20"/>
              </w:rPr>
            </w:pPr>
          </w:p>
        </w:tc>
      </w:tr>
      <w:tr w:rsidR="00DE39EF" w:rsidRPr="00890249" w14:paraId="56B11CAA" w14:textId="77777777" w:rsidTr="00F62734">
        <w:trPr>
          <w:trHeight w:val="2099"/>
        </w:trPr>
        <w:tc>
          <w:tcPr>
            <w:tcW w:w="1560" w:type="dxa"/>
            <w:vMerge/>
          </w:tcPr>
          <w:p w14:paraId="3E4FF062" w14:textId="77777777" w:rsidR="00DE39EF" w:rsidRPr="00890249" w:rsidRDefault="00DE39EF" w:rsidP="00E8684E">
            <w:pPr>
              <w:jc w:val="left"/>
              <w:rPr>
                <w:rFonts w:asciiTheme="minorHAnsi" w:eastAsia="Times New Roman" w:hAnsiTheme="minorHAnsi" w:cstheme="minorHAnsi"/>
                <w:iCs/>
                <w:noProof/>
                <w:sz w:val="20"/>
              </w:rPr>
            </w:pPr>
          </w:p>
        </w:tc>
        <w:tc>
          <w:tcPr>
            <w:tcW w:w="709" w:type="dxa"/>
            <w:vMerge/>
          </w:tcPr>
          <w:p w14:paraId="1BC5B420" w14:textId="77777777" w:rsidR="00DE39EF" w:rsidRPr="00890249" w:rsidRDefault="00DE39EF" w:rsidP="00E8684E">
            <w:pPr>
              <w:jc w:val="left"/>
              <w:rPr>
                <w:rFonts w:asciiTheme="minorHAnsi" w:eastAsia="Times New Roman" w:hAnsiTheme="minorHAnsi" w:cstheme="minorHAnsi"/>
                <w:iCs/>
                <w:noProof/>
                <w:sz w:val="20"/>
              </w:rPr>
            </w:pPr>
          </w:p>
        </w:tc>
        <w:tc>
          <w:tcPr>
            <w:tcW w:w="1843" w:type="dxa"/>
            <w:vMerge/>
          </w:tcPr>
          <w:p w14:paraId="0A9BDEE9" w14:textId="77777777" w:rsidR="00DE39EF" w:rsidRPr="00890249" w:rsidRDefault="00DE39EF" w:rsidP="00E8684E">
            <w:pPr>
              <w:jc w:val="left"/>
              <w:rPr>
                <w:rFonts w:asciiTheme="minorHAnsi" w:eastAsia="Times New Roman" w:hAnsiTheme="minorHAnsi" w:cstheme="minorHAnsi"/>
                <w:iCs/>
                <w:noProof/>
                <w:sz w:val="20"/>
              </w:rPr>
            </w:pPr>
          </w:p>
        </w:tc>
        <w:tc>
          <w:tcPr>
            <w:tcW w:w="1559" w:type="dxa"/>
            <w:vMerge/>
          </w:tcPr>
          <w:p w14:paraId="18C3355D" w14:textId="77777777" w:rsidR="00DE39EF" w:rsidRPr="00890249" w:rsidRDefault="00DE39EF" w:rsidP="00E8684E">
            <w:pPr>
              <w:jc w:val="left"/>
              <w:rPr>
                <w:rFonts w:asciiTheme="minorHAnsi" w:eastAsia="Times New Roman" w:hAnsiTheme="minorHAnsi" w:cstheme="minorHAnsi"/>
                <w:iCs/>
                <w:noProof/>
                <w:sz w:val="20"/>
              </w:rPr>
            </w:pPr>
          </w:p>
        </w:tc>
        <w:tc>
          <w:tcPr>
            <w:tcW w:w="2551" w:type="dxa"/>
          </w:tcPr>
          <w:p w14:paraId="13E2E46A" w14:textId="77777777" w:rsidR="00DE39EF" w:rsidRPr="00890249" w:rsidRDefault="00DE39EF" w:rsidP="00E8684E">
            <w:pPr>
              <w:jc w:val="left"/>
              <w:rPr>
                <w:rFonts w:asciiTheme="minorHAnsi" w:hAnsiTheme="minorHAnsi" w:cstheme="minorHAnsi"/>
                <w:noProof/>
                <w:sz w:val="20"/>
              </w:rPr>
            </w:pPr>
            <w:r w:rsidRPr="00890249">
              <w:rPr>
                <w:rFonts w:asciiTheme="minorHAnsi" w:hAnsiTheme="minorHAnsi" w:cstheme="minorHAnsi"/>
                <w:b/>
                <w:bCs/>
                <w:sz w:val="20"/>
              </w:rPr>
              <w:t>Kryterium 2.</w:t>
            </w:r>
            <w:r w:rsidRPr="00890249">
              <w:rPr>
                <w:rFonts w:asciiTheme="minorHAnsi" w:hAnsiTheme="minorHAnsi" w:cstheme="minorHAnsi"/>
                <w:sz w:val="20"/>
              </w:rPr>
              <w:t xml:space="preserve"> opis środków w zakresie zapobiegania klęskom żywiołowym i katastrofom oraz gotowości i reagowania na klęski żywiołowe i katastrofy podejmowanych w odpowiedzi na zidentyfikowane kluczowe ryzyka. W odniesieniu do wspomnianych środków zostaną określone priorytety w zależności od danych ryzyk i ich wpływu na gospodarkę, braków w zakresie zdolności oraz skuteczności i wydajności, z uwzględnieniem </w:t>
            </w:r>
            <w:r w:rsidRPr="00890249">
              <w:rPr>
                <w:rFonts w:asciiTheme="minorHAnsi" w:hAnsiTheme="minorHAnsi" w:cstheme="minorHAnsi"/>
                <w:sz w:val="20"/>
              </w:rPr>
              <w:lastRenderedPageBreak/>
              <w:t>ewentualnych rozwiązań alternatywnych</w:t>
            </w:r>
          </w:p>
        </w:tc>
        <w:tc>
          <w:tcPr>
            <w:tcW w:w="1134" w:type="dxa"/>
            <w:vMerge/>
          </w:tcPr>
          <w:p w14:paraId="02616FC2" w14:textId="77777777" w:rsidR="00DE39EF" w:rsidRPr="00890249" w:rsidRDefault="00DE39EF" w:rsidP="00E8684E">
            <w:pPr>
              <w:jc w:val="left"/>
              <w:rPr>
                <w:rFonts w:asciiTheme="minorHAnsi" w:eastAsia="Times New Roman" w:hAnsiTheme="minorHAnsi" w:cstheme="minorHAnsi"/>
                <w:iCs/>
                <w:noProof/>
                <w:sz w:val="20"/>
              </w:rPr>
            </w:pPr>
          </w:p>
        </w:tc>
        <w:tc>
          <w:tcPr>
            <w:tcW w:w="3402" w:type="dxa"/>
            <w:vMerge/>
          </w:tcPr>
          <w:p w14:paraId="6F091042" w14:textId="77777777" w:rsidR="00DE39EF" w:rsidRPr="00890249" w:rsidRDefault="00DE39EF" w:rsidP="00E8684E">
            <w:pPr>
              <w:jc w:val="left"/>
              <w:rPr>
                <w:rFonts w:asciiTheme="minorHAnsi" w:eastAsia="Times New Roman" w:hAnsiTheme="minorHAnsi" w:cstheme="minorHAnsi"/>
                <w:iCs/>
                <w:noProof/>
                <w:sz w:val="20"/>
              </w:rPr>
            </w:pPr>
          </w:p>
        </w:tc>
        <w:tc>
          <w:tcPr>
            <w:tcW w:w="2977" w:type="dxa"/>
            <w:vMerge w:val="restart"/>
          </w:tcPr>
          <w:p w14:paraId="338464E8" w14:textId="4AFE9B83" w:rsidR="00DE39EF" w:rsidRPr="00890249" w:rsidRDefault="00DE39EF" w:rsidP="00325D70">
            <w:pPr>
              <w:jc w:val="left"/>
              <w:rPr>
                <w:rFonts w:asciiTheme="minorHAnsi" w:eastAsia="Times New Roman" w:hAnsiTheme="minorHAnsi" w:cstheme="minorHAnsi"/>
                <w:iCs/>
                <w:noProof/>
                <w:sz w:val="20"/>
              </w:rPr>
            </w:pPr>
          </w:p>
          <w:p w14:paraId="791FDFFC"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
                <w:bCs/>
                <w:sz w:val="20"/>
              </w:rPr>
              <w:t>Kryterium 2. i 3.</w:t>
            </w:r>
            <w:r w:rsidRPr="00890249">
              <w:rPr>
                <w:rFonts w:asciiTheme="minorHAnsi" w:hAnsiTheme="minorHAnsi" w:cstheme="minorHAnsi"/>
                <w:bCs/>
                <w:sz w:val="20"/>
              </w:rPr>
              <w:t xml:space="preserve"> </w:t>
            </w:r>
          </w:p>
          <w:p w14:paraId="56E0C03B"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Streszczenie istotnych elementów krajowej oceny zdolności zarządzania ryzykiem zawiera:</w:t>
            </w:r>
          </w:p>
          <w:p w14:paraId="073B70AD" w14:textId="3981CD4E"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1</w:t>
            </w:r>
            <w:r w:rsidR="00AD555E">
              <w:rPr>
                <w:rFonts w:asciiTheme="minorHAnsi" w:hAnsiTheme="minorHAnsi" w:cstheme="minorHAnsi"/>
                <w:bCs/>
                <w:sz w:val="20"/>
              </w:rPr>
              <w:t>)</w:t>
            </w:r>
            <w:r w:rsidRPr="00890249">
              <w:rPr>
                <w:rFonts w:asciiTheme="minorHAnsi" w:hAnsiTheme="minorHAnsi" w:cstheme="minorHAnsi"/>
                <w:bCs/>
                <w:sz w:val="20"/>
              </w:rPr>
              <w:t>cele strategiczne,</w:t>
            </w:r>
          </w:p>
          <w:p w14:paraId="0E5E5D24"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2)działania zmierzające do osiągnięcia celów strategicznych i redukcji ryzyka</w:t>
            </w:r>
          </w:p>
          <w:p w14:paraId="5527DBB5"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3)część A Krajowego Planu Zarządzania Kryzysowego (KPZK): charakterystykę zagrożeń i ich ocenę ryzyka, zadania i obowiązki uczestników zarządzania </w:t>
            </w:r>
            <w:r w:rsidRPr="00890249">
              <w:rPr>
                <w:rFonts w:asciiTheme="minorHAnsi" w:hAnsiTheme="minorHAnsi" w:cstheme="minorHAnsi"/>
                <w:bCs/>
                <w:sz w:val="20"/>
              </w:rPr>
              <w:lastRenderedPageBreak/>
              <w:t xml:space="preserve">kryzysowego dla faz: zapobieganie i przygotowanie </w:t>
            </w:r>
          </w:p>
          <w:p w14:paraId="7524A058"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4)część B KPZK : zadania i obowiązki uczestników zarządzania kryzysowego dla faz: reagowanie i odbudowa</w:t>
            </w:r>
          </w:p>
          <w:p w14:paraId="192837E6"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5)wdrażanie środków zapobiegania ryzyku i zapewnienia gotowości: </w:t>
            </w:r>
          </w:p>
          <w:p w14:paraId="36F523A2"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 współpraca między siłami uczestniczącymi  </w:t>
            </w:r>
          </w:p>
          <w:p w14:paraId="7564D6B7"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 zestawienie organów odpowiedzialnych na odp. poziomie administracyjnym kraju </w:t>
            </w:r>
          </w:p>
          <w:p w14:paraId="388E14A8"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-procedury zarządzania kryzysowego, w tym ochrony infrastruktury krytycznej, </w:t>
            </w:r>
          </w:p>
          <w:p w14:paraId="3DBB3358"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procedury organizacji łączności, monitorowania zagrożeń, informowania, ostrzegania i alarmowania</w:t>
            </w:r>
          </w:p>
          <w:p w14:paraId="51AD874B"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-komunikację ryzyka</w:t>
            </w:r>
          </w:p>
          <w:p w14:paraId="092C174D"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 xml:space="preserve">-organizację ratownictwa i opieki medycznej i ewakuacji z obszarów zagrożonych, </w:t>
            </w:r>
          </w:p>
          <w:p w14:paraId="7B868A49"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-zasady oraz tryb oceniania i dokumentowania szkód</w:t>
            </w:r>
          </w:p>
          <w:p w14:paraId="7373FDE4"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lastRenderedPageBreak/>
              <w:t>-procedury uruchamiania rezerw strategicznych</w:t>
            </w:r>
          </w:p>
          <w:p w14:paraId="43DFF8E8" w14:textId="77777777" w:rsidR="00DE39EF" w:rsidRPr="00890249" w:rsidRDefault="00875C92" w:rsidP="00325D70">
            <w:pPr>
              <w:jc w:val="left"/>
              <w:rPr>
                <w:rFonts w:asciiTheme="minorHAnsi" w:hAnsiTheme="minorHAnsi" w:cstheme="minorHAnsi"/>
                <w:bCs/>
                <w:sz w:val="20"/>
              </w:rPr>
            </w:pPr>
            <w:r w:rsidRPr="00890249">
              <w:rPr>
                <w:rFonts w:asciiTheme="minorHAnsi" w:hAnsiTheme="minorHAnsi" w:cstheme="minorHAnsi"/>
                <w:bCs/>
                <w:sz w:val="20"/>
              </w:rPr>
              <w:t>-priorytety ochrony i odtwarzania infrastruktury krytycznej</w:t>
            </w:r>
          </w:p>
          <w:p w14:paraId="4F1AEADE" w14:textId="7B96C908" w:rsidR="00DE39EF" w:rsidRPr="00890249" w:rsidRDefault="00875C92" w:rsidP="00325D70">
            <w:pPr>
              <w:jc w:val="left"/>
              <w:rPr>
                <w:rFonts w:asciiTheme="minorHAnsi" w:eastAsia="Times New Roman" w:hAnsiTheme="minorHAnsi" w:cstheme="minorHAnsi"/>
                <w:iCs/>
                <w:noProof/>
                <w:sz w:val="20"/>
              </w:rPr>
            </w:pPr>
            <w:r w:rsidRPr="00890249">
              <w:rPr>
                <w:rFonts w:asciiTheme="minorHAnsi" w:hAnsiTheme="minorHAnsi" w:cstheme="minorHAnsi"/>
                <w:bCs/>
                <w:sz w:val="20"/>
              </w:rPr>
              <w:t>-finansowanie.</w:t>
            </w:r>
          </w:p>
        </w:tc>
      </w:tr>
      <w:tr w:rsidR="00DE39EF" w:rsidRPr="00890249" w14:paraId="7F3EE91B" w14:textId="77777777" w:rsidTr="00F62734">
        <w:tc>
          <w:tcPr>
            <w:tcW w:w="1560" w:type="dxa"/>
            <w:vMerge/>
          </w:tcPr>
          <w:p w14:paraId="63A593AD" w14:textId="77777777" w:rsidR="00DE39EF" w:rsidRPr="00890249" w:rsidRDefault="00DE39EF" w:rsidP="00E8684E">
            <w:pPr>
              <w:jc w:val="left"/>
              <w:rPr>
                <w:rFonts w:asciiTheme="minorHAnsi" w:eastAsia="Times New Roman" w:hAnsiTheme="minorHAnsi" w:cstheme="minorHAnsi"/>
                <w:iCs/>
                <w:noProof/>
                <w:sz w:val="20"/>
              </w:rPr>
            </w:pPr>
          </w:p>
        </w:tc>
        <w:tc>
          <w:tcPr>
            <w:tcW w:w="709" w:type="dxa"/>
            <w:vMerge/>
          </w:tcPr>
          <w:p w14:paraId="621F3F98" w14:textId="77777777" w:rsidR="00DE39EF" w:rsidRPr="00890249" w:rsidRDefault="00DE39EF" w:rsidP="00E8684E">
            <w:pPr>
              <w:jc w:val="left"/>
              <w:rPr>
                <w:rFonts w:asciiTheme="minorHAnsi" w:eastAsia="Times New Roman" w:hAnsiTheme="minorHAnsi" w:cstheme="minorHAnsi"/>
                <w:iCs/>
                <w:noProof/>
                <w:sz w:val="20"/>
              </w:rPr>
            </w:pPr>
          </w:p>
        </w:tc>
        <w:tc>
          <w:tcPr>
            <w:tcW w:w="1843" w:type="dxa"/>
            <w:vMerge/>
          </w:tcPr>
          <w:p w14:paraId="63D78BB3" w14:textId="77777777" w:rsidR="00DE39EF" w:rsidRPr="00890249" w:rsidRDefault="00DE39EF" w:rsidP="00E8684E">
            <w:pPr>
              <w:jc w:val="left"/>
              <w:rPr>
                <w:rFonts w:asciiTheme="minorHAnsi" w:eastAsia="Times New Roman" w:hAnsiTheme="minorHAnsi" w:cstheme="minorHAnsi"/>
                <w:iCs/>
                <w:noProof/>
                <w:sz w:val="20"/>
              </w:rPr>
            </w:pPr>
          </w:p>
        </w:tc>
        <w:tc>
          <w:tcPr>
            <w:tcW w:w="1559" w:type="dxa"/>
            <w:vMerge/>
          </w:tcPr>
          <w:p w14:paraId="5F1737EE" w14:textId="77777777" w:rsidR="00DE39EF" w:rsidRPr="00890249" w:rsidRDefault="00DE39EF" w:rsidP="00E8684E">
            <w:pPr>
              <w:jc w:val="left"/>
              <w:rPr>
                <w:rFonts w:asciiTheme="minorHAnsi" w:eastAsia="Times New Roman" w:hAnsiTheme="minorHAnsi" w:cstheme="minorHAnsi"/>
                <w:iCs/>
                <w:noProof/>
                <w:sz w:val="20"/>
              </w:rPr>
            </w:pPr>
          </w:p>
        </w:tc>
        <w:tc>
          <w:tcPr>
            <w:tcW w:w="2551" w:type="dxa"/>
          </w:tcPr>
          <w:p w14:paraId="18C98080" w14:textId="77777777" w:rsidR="00DE39EF" w:rsidRPr="00890249" w:rsidRDefault="00DE39EF" w:rsidP="00E8684E">
            <w:pPr>
              <w:jc w:val="left"/>
              <w:rPr>
                <w:rFonts w:asciiTheme="minorHAnsi" w:hAnsiTheme="minorHAnsi" w:cstheme="minorHAnsi"/>
                <w:sz w:val="20"/>
              </w:rPr>
            </w:pPr>
            <w:r w:rsidRPr="00890249">
              <w:rPr>
                <w:rFonts w:asciiTheme="minorHAnsi" w:hAnsiTheme="minorHAnsi" w:cstheme="minorHAnsi"/>
                <w:b/>
                <w:bCs/>
                <w:sz w:val="20"/>
              </w:rPr>
              <w:t>Kryterium 3.</w:t>
            </w:r>
            <w:r w:rsidRPr="00890249">
              <w:rPr>
                <w:rFonts w:asciiTheme="minorHAnsi" w:hAnsiTheme="minorHAnsi" w:cstheme="minorHAnsi"/>
                <w:sz w:val="20"/>
              </w:rPr>
              <w:t xml:space="preserve"> </w:t>
            </w:r>
          </w:p>
          <w:p w14:paraId="05537C94" w14:textId="77777777" w:rsidR="00DE39EF" w:rsidRPr="00890249" w:rsidRDefault="00DE39EF" w:rsidP="00E8684E">
            <w:pPr>
              <w:jc w:val="left"/>
              <w:rPr>
                <w:rFonts w:asciiTheme="minorHAnsi" w:hAnsiTheme="minorHAnsi" w:cstheme="minorHAnsi"/>
                <w:sz w:val="20"/>
              </w:rPr>
            </w:pPr>
            <w:r w:rsidRPr="00890249">
              <w:rPr>
                <w:rFonts w:asciiTheme="minorHAnsi" w:hAnsiTheme="minorHAnsi" w:cstheme="minorHAnsi"/>
                <w:sz w:val="20"/>
              </w:rPr>
              <w:t xml:space="preserve">informacje na temat zasobów i mechanizmów finansowania dostępnych na pokrycie kosztów operacyjnych i kosztów utrzymania związanych z zapobieganiem klęskom żywiołowym i katastrofom oraz gotowością i reagowaniem na klęski żywiołowe i katastrofy </w:t>
            </w:r>
          </w:p>
          <w:p w14:paraId="6EDEF794" w14:textId="77777777" w:rsidR="00DE39EF" w:rsidRPr="00890249" w:rsidRDefault="00DE39EF" w:rsidP="00E8684E">
            <w:pPr>
              <w:jc w:val="left"/>
              <w:rPr>
                <w:rFonts w:asciiTheme="minorHAnsi" w:hAnsiTheme="minorHAnsi" w:cstheme="minorHAnsi"/>
                <w:noProof/>
                <w:sz w:val="20"/>
              </w:rPr>
            </w:pPr>
          </w:p>
        </w:tc>
        <w:tc>
          <w:tcPr>
            <w:tcW w:w="1134" w:type="dxa"/>
            <w:vMerge/>
          </w:tcPr>
          <w:p w14:paraId="7ACCE358" w14:textId="77777777" w:rsidR="00DE39EF" w:rsidRPr="00890249" w:rsidRDefault="00DE39EF" w:rsidP="00E8684E">
            <w:pPr>
              <w:jc w:val="left"/>
              <w:rPr>
                <w:rFonts w:asciiTheme="minorHAnsi" w:eastAsia="Times New Roman" w:hAnsiTheme="minorHAnsi" w:cstheme="minorHAnsi"/>
                <w:iCs/>
                <w:noProof/>
                <w:sz w:val="20"/>
              </w:rPr>
            </w:pPr>
          </w:p>
        </w:tc>
        <w:tc>
          <w:tcPr>
            <w:tcW w:w="3402" w:type="dxa"/>
            <w:vMerge/>
          </w:tcPr>
          <w:p w14:paraId="213AAD78" w14:textId="77777777" w:rsidR="00DE39EF" w:rsidRPr="00890249" w:rsidRDefault="00DE39EF" w:rsidP="00E8684E">
            <w:pPr>
              <w:jc w:val="left"/>
              <w:rPr>
                <w:rFonts w:asciiTheme="minorHAnsi" w:eastAsia="Times New Roman" w:hAnsiTheme="minorHAnsi" w:cstheme="minorHAnsi"/>
                <w:iCs/>
                <w:noProof/>
                <w:sz w:val="20"/>
              </w:rPr>
            </w:pPr>
          </w:p>
        </w:tc>
        <w:tc>
          <w:tcPr>
            <w:tcW w:w="2977" w:type="dxa"/>
            <w:vMerge/>
          </w:tcPr>
          <w:p w14:paraId="631D89DE" w14:textId="77777777" w:rsidR="00DE39EF" w:rsidRPr="00890249" w:rsidRDefault="00DE39EF" w:rsidP="00325D70">
            <w:pPr>
              <w:jc w:val="left"/>
              <w:rPr>
                <w:rFonts w:asciiTheme="minorHAnsi" w:eastAsia="Times New Roman" w:hAnsiTheme="minorHAnsi" w:cstheme="minorHAnsi"/>
                <w:iCs/>
                <w:noProof/>
                <w:sz w:val="20"/>
              </w:rPr>
            </w:pPr>
          </w:p>
        </w:tc>
      </w:tr>
      <w:tr w:rsidR="004B59D6" w:rsidRPr="00890249" w14:paraId="3006253A" w14:textId="77777777" w:rsidTr="00F62734">
        <w:trPr>
          <w:trHeight w:val="8194"/>
        </w:trPr>
        <w:tc>
          <w:tcPr>
            <w:tcW w:w="1560" w:type="dxa"/>
            <w:vMerge w:val="restart"/>
          </w:tcPr>
          <w:p w14:paraId="2B819A62" w14:textId="41CDCADB" w:rsidR="005F140E" w:rsidRDefault="004B59D6"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2.5. Aktualizowane planowanie koniecznych inwestycji w sektorze wodno-ściekowym</w:t>
            </w:r>
          </w:p>
          <w:p w14:paraId="6B84877E" w14:textId="77777777" w:rsidR="005F140E" w:rsidRPr="005F140E" w:rsidRDefault="005F140E" w:rsidP="005F140E">
            <w:pPr>
              <w:rPr>
                <w:rFonts w:asciiTheme="minorHAnsi" w:eastAsia="Times New Roman" w:hAnsiTheme="minorHAnsi" w:cstheme="minorHAnsi"/>
                <w:sz w:val="20"/>
              </w:rPr>
            </w:pPr>
          </w:p>
          <w:p w14:paraId="2BCF3130" w14:textId="77777777" w:rsidR="005F140E" w:rsidRPr="005F140E" w:rsidRDefault="005F140E" w:rsidP="005F140E">
            <w:pPr>
              <w:rPr>
                <w:rFonts w:asciiTheme="minorHAnsi" w:eastAsia="Times New Roman" w:hAnsiTheme="minorHAnsi" w:cstheme="minorHAnsi"/>
                <w:sz w:val="20"/>
              </w:rPr>
            </w:pPr>
          </w:p>
          <w:p w14:paraId="558B9C98" w14:textId="77777777" w:rsidR="005F140E" w:rsidRPr="005F140E" w:rsidRDefault="005F140E" w:rsidP="005F140E">
            <w:pPr>
              <w:rPr>
                <w:rFonts w:asciiTheme="minorHAnsi" w:eastAsia="Times New Roman" w:hAnsiTheme="minorHAnsi" w:cstheme="minorHAnsi"/>
                <w:sz w:val="20"/>
              </w:rPr>
            </w:pPr>
          </w:p>
          <w:p w14:paraId="64E34543" w14:textId="77777777" w:rsidR="005F140E" w:rsidRPr="005F140E" w:rsidRDefault="005F140E" w:rsidP="005F140E">
            <w:pPr>
              <w:rPr>
                <w:rFonts w:asciiTheme="minorHAnsi" w:eastAsia="Times New Roman" w:hAnsiTheme="minorHAnsi" w:cstheme="minorHAnsi"/>
                <w:sz w:val="20"/>
              </w:rPr>
            </w:pPr>
          </w:p>
          <w:p w14:paraId="55C3BEAE" w14:textId="77777777" w:rsidR="005F140E" w:rsidRPr="005F140E" w:rsidRDefault="005F140E" w:rsidP="005F140E">
            <w:pPr>
              <w:rPr>
                <w:rFonts w:asciiTheme="minorHAnsi" w:eastAsia="Times New Roman" w:hAnsiTheme="minorHAnsi" w:cstheme="minorHAnsi"/>
                <w:sz w:val="20"/>
              </w:rPr>
            </w:pPr>
          </w:p>
          <w:p w14:paraId="5E0EAC19" w14:textId="77777777" w:rsidR="005F140E" w:rsidRPr="005F140E" w:rsidRDefault="005F140E" w:rsidP="005F140E">
            <w:pPr>
              <w:rPr>
                <w:rFonts w:asciiTheme="minorHAnsi" w:eastAsia="Times New Roman" w:hAnsiTheme="minorHAnsi" w:cstheme="minorHAnsi"/>
                <w:sz w:val="20"/>
              </w:rPr>
            </w:pPr>
          </w:p>
          <w:p w14:paraId="693CF3EC" w14:textId="77777777" w:rsidR="005F140E" w:rsidRPr="005F140E" w:rsidRDefault="005F140E" w:rsidP="005F140E">
            <w:pPr>
              <w:rPr>
                <w:rFonts w:asciiTheme="minorHAnsi" w:eastAsia="Times New Roman" w:hAnsiTheme="minorHAnsi" w:cstheme="minorHAnsi"/>
                <w:sz w:val="20"/>
              </w:rPr>
            </w:pPr>
          </w:p>
          <w:p w14:paraId="137F8325" w14:textId="77777777" w:rsidR="005F140E" w:rsidRPr="005F140E" w:rsidRDefault="005F140E" w:rsidP="005F140E">
            <w:pPr>
              <w:rPr>
                <w:rFonts w:asciiTheme="minorHAnsi" w:eastAsia="Times New Roman" w:hAnsiTheme="minorHAnsi" w:cstheme="minorHAnsi"/>
                <w:sz w:val="20"/>
              </w:rPr>
            </w:pPr>
          </w:p>
          <w:p w14:paraId="0EEC15F1" w14:textId="62668EC2" w:rsidR="004B59D6" w:rsidRPr="005F140E" w:rsidRDefault="004B59D6" w:rsidP="005F140E">
            <w:pPr>
              <w:jc w:val="center"/>
              <w:rPr>
                <w:rFonts w:asciiTheme="minorHAnsi" w:eastAsia="Times New Roman" w:hAnsiTheme="minorHAnsi" w:cstheme="minorHAnsi"/>
                <w:sz w:val="20"/>
              </w:rPr>
            </w:pPr>
          </w:p>
        </w:tc>
        <w:tc>
          <w:tcPr>
            <w:tcW w:w="709" w:type="dxa"/>
            <w:vMerge w:val="restart"/>
          </w:tcPr>
          <w:p w14:paraId="260C78E5" w14:textId="77777777" w:rsidR="004B59D6" w:rsidRPr="00890249" w:rsidRDefault="004B59D6" w:rsidP="00E8684E">
            <w:pPr>
              <w:jc w:val="left"/>
              <w:rPr>
                <w:rFonts w:asciiTheme="minorHAnsi" w:hAnsiTheme="minorHAnsi" w:cstheme="minorHAnsi"/>
                <w:sz w:val="20"/>
                <w:lang w:val="en-GB"/>
              </w:rPr>
            </w:pPr>
            <w:r w:rsidRPr="00890249">
              <w:rPr>
                <w:rFonts w:asciiTheme="minorHAnsi" w:hAnsiTheme="minorHAnsi" w:cstheme="minorHAnsi"/>
                <w:sz w:val="20"/>
                <w:lang w:val="en-GB"/>
              </w:rPr>
              <w:t>EFRR, FS</w:t>
            </w:r>
          </w:p>
          <w:p w14:paraId="4786B41F" w14:textId="77777777" w:rsidR="004B59D6" w:rsidRPr="00890249" w:rsidRDefault="004B59D6" w:rsidP="00E8684E">
            <w:pPr>
              <w:tabs>
                <w:tab w:val="left" w:pos="705"/>
              </w:tabs>
              <w:jc w:val="left"/>
              <w:rPr>
                <w:rFonts w:asciiTheme="minorHAnsi" w:hAnsiTheme="minorHAnsi" w:cstheme="minorHAnsi"/>
                <w:sz w:val="20"/>
                <w:lang w:val="en-GB"/>
              </w:rPr>
            </w:pPr>
            <w:r w:rsidRPr="00890249">
              <w:rPr>
                <w:rFonts w:asciiTheme="minorHAnsi" w:hAnsiTheme="minorHAnsi" w:cstheme="minorHAnsi"/>
                <w:sz w:val="20"/>
                <w:lang w:val="en-GB"/>
              </w:rPr>
              <w:tab/>
            </w:r>
          </w:p>
        </w:tc>
        <w:tc>
          <w:tcPr>
            <w:tcW w:w="1843" w:type="dxa"/>
            <w:vMerge w:val="restart"/>
          </w:tcPr>
          <w:p w14:paraId="15B8D551" w14:textId="77777777" w:rsidR="004B59D6" w:rsidRPr="00890249" w:rsidRDefault="004B59D6" w:rsidP="00E8684E">
            <w:pPr>
              <w:jc w:val="left"/>
              <w:rPr>
                <w:rFonts w:asciiTheme="minorHAnsi" w:hAnsiTheme="minorHAnsi" w:cstheme="minorHAnsi"/>
                <w:bCs/>
                <w:sz w:val="20"/>
                <w:highlight w:val="yellow"/>
              </w:rPr>
            </w:pPr>
            <w:r w:rsidRPr="00890249">
              <w:rPr>
                <w:rFonts w:asciiTheme="minorHAnsi" w:hAnsiTheme="minorHAnsi" w:cstheme="minorHAnsi"/>
                <w:bCs/>
                <w:sz w:val="20"/>
              </w:rPr>
              <w:t>Wspieranie dostępu do wody oraz zrównoważonej gospodarki wodnej</w:t>
            </w:r>
          </w:p>
        </w:tc>
        <w:tc>
          <w:tcPr>
            <w:tcW w:w="1559" w:type="dxa"/>
            <w:vMerge w:val="restart"/>
          </w:tcPr>
          <w:p w14:paraId="6EDC45E9" w14:textId="0705D805" w:rsidR="004B59D6" w:rsidRPr="00890249" w:rsidRDefault="00BA7399" w:rsidP="00E8684E">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t>Tak</w:t>
            </w:r>
          </w:p>
        </w:tc>
        <w:tc>
          <w:tcPr>
            <w:tcW w:w="2551" w:type="dxa"/>
          </w:tcPr>
          <w:p w14:paraId="1372F269" w14:textId="77777777" w:rsidR="004B59D6" w:rsidRPr="00890249" w:rsidRDefault="004B59D6"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 xml:space="preserve">Dla każdego sektora lub obu tych sektorów istnieje krajowy plan inwestycji, który obejmuje: </w:t>
            </w:r>
          </w:p>
          <w:p w14:paraId="3BCA55E0" w14:textId="77777777" w:rsidR="004B59D6" w:rsidRPr="00890249" w:rsidRDefault="004B59D6" w:rsidP="00E8684E">
            <w:pPr>
              <w:autoSpaceDE w:val="0"/>
              <w:autoSpaceDN w:val="0"/>
              <w:adjustRightInd w:val="0"/>
              <w:jc w:val="left"/>
              <w:rPr>
                <w:rFonts w:asciiTheme="minorHAnsi" w:hAnsiTheme="minorHAnsi" w:cstheme="minorHAnsi"/>
                <w:b/>
                <w:bCs/>
                <w:color w:val="000000"/>
                <w:sz w:val="20"/>
              </w:rPr>
            </w:pPr>
          </w:p>
          <w:p w14:paraId="5C4D40E6" w14:textId="77777777" w:rsidR="004B59D6" w:rsidRPr="00890249" w:rsidRDefault="004B59D6"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b/>
                <w:bCs/>
                <w:color w:val="000000"/>
                <w:sz w:val="20"/>
              </w:rPr>
              <w:t>Kryterium 1.</w:t>
            </w:r>
            <w:r w:rsidRPr="00890249">
              <w:rPr>
                <w:rFonts w:asciiTheme="minorHAnsi" w:hAnsiTheme="minorHAnsi" w:cstheme="minorHAnsi"/>
                <w:color w:val="000000"/>
                <w:sz w:val="20"/>
              </w:rPr>
              <w:t xml:space="preserve"> ocenę obecnego stanu wdrożenia dyrektywy Rady 91/271/EWG1</w:t>
            </w:r>
            <w:r w:rsidRPr="00890249">
              <w:rPr>
                <w:rFonts w:asciiTheme="minorHAnsi" w:hAnsiTheme="minorHAnsi" w:cstheme="minorHAnsi"/>
                <w:b/>
                <w:bCs/>
                <w:color w:val="000000"/>
                <w:sz w:val="20"/>
              </w:rPr>
              <w:t xml:space="preserve"> </w:t>
            </w:r>
            <w:r w:rsidRPr="00890249">
              <w:rPr>
                <w:rFonts w:asciiTheme="minorHAnsi" w:hAnsiTheme="minorHAnsi" w:cstheme="minorHAnsi"/>
                <w:color w:val="000000"/>
                <w:sz w:val="20"/>
              </w:rPr>
              <w:t xml:space="preserve">i dyrektywy Rady 98/83/WE2; </w:t>
            </w:r>
          </w:p>
        </w:tc>
        <w:tc>
          <w:tcPr>
            <w:tcW w:w="1134" w:type="dxa"/>
            <w:vMerge w:val="restart"/>
          </w:tcPr>
          <w:p w14:paraId="1ABF9F2F" w14:textId="77777777" w:rsidR="004B59D6" w:rsidRPr="00890249" w:rsidRDefault="004B59D6"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TAK/NIE</w:t>
            </w:r>
          </w:p>
          <w:p w14:paraId="444A8991" w14:textId="77777777" w:rsidR="004B59D6" w:rsidRPr="00890249" w:rsidRDefault="004B59D6" w:rsidP="00E8684E">
            <w:pPr>
              <w:jc w:val="left"/>
              <w:rPr>
                <w:rFonts w:asciiTheme="minorHAnsi" w:hAnsiTheme="minorHAnsi" w:cstheme="minorHAnsi"/>
                <w:b/>
                <w:bCs/>
                <w:sz w:val="20"/>
              </w:rPr>
            </w:pPr>
            <w:r w:rsidRPr="00890249">
              <w:rPr>
                <w:rFonts w:asciiTheme="minorHAnsi" w:hAnsiTheme="minorHAnsi" w:cstheme="minorHAnsi"/>
                <w:sz w:val="20"/>
              </w:rPr>
              <w:t>Tak</w:t>
            </w:r>
          </w:p>
          <w:p w14:paraId="7A8C620E" w14:textId="77777777" w:rsidR="004B59D6" w:rsidRPr="00890249" w:rsidRDefault="004B59D6" w:rsidP="00E8684E">
            <w:pPr>
              <w:jc w:val="left"/>
              <w:rPr>
                <w:rFonts w:asciiTheme="minorHAnsi" w:hAnsiTheme="minorHAnsi" w:cstheme="minorHAnsi"/>
                <w:sz w:val="20"/>
              </w:rPr>
            </w:pPr>
            <w:r w:rsidRPr="00890249">
              <w:rPr>
                <w:rFonts w:asciiTheme="minorHAnsi" w:hAnsiTheme="minorHAnsi" w:cstheme="minorHAnsi"/>
                <w:sz w:val="20"/>
              </w:rPr>
              <w:t>Program inwestycyjny w zakresie poprawy jakości i ograniczenia strat wody przeznaczonej do spożycia przez ludzi</w:t>
            </w:r>
          </w:p>
          <w:p w14:paraId="769A9FE1" w14:textId="77777777" w:rsidR="004B59D6" w:rsidRPr="00890249" w:rsidRDefault="004B59D6" w:rsidP="00E8684E">
            <w:pPr>
              <w:jc w:val="left"/>
              <w:rPr>
                <w:rFonts w:asciiTheme="minorHAnsi" w:hAnsiTheme="minorHAnsi" w:cstheme="minorHAnsi"/>
                <w:sz w:val="20"/>
              </w:rPr>
            </w:pPr>
          </w:p>
          <w:p w14:paraId="24F4710D" w14:textId="77777777" w:rsidR="004B59D6" w:rsidRPr="00890249" w:rsidRDefault="004B59D6" w:rsidP="00E8684E">
            <w:pPr>
              <w:jc w:val="left"/>
              <w:rPr>
                <w:rFonts w:asciiTheme="minorHAnsi" w:hAnsiTheme="minorHAnsi" w:cstheme="minorHAnsi"/>
                <w:sz w:val="20"/>
              </w:rPr>
            </w:pPr>
          </w:p>
          <w:p w14:paraId="50A1D25E" w14:textId="063CF616" w:rsidR="004B59D6" w:rsidRPr="00890249" w:rsidRDefault="00A16F0A" w:rsidP="00E8684E">
            <w:pPr>
              <w:jc w:val="left"/>
              <w:rPr>
                <w:rFonts w:asciiTheme="minorHAnsi" w:hAnsiTheme="minorHAnsi" w:cstheme="minorHAnsi"/>
                <w:sz w:val="20"/>
              </w:rPr>
            </w:pPr>
            <w:r>
              <w:rPr>
                <w:rFonts w:asciiTheme="minorHAnsi" w:hAnsiTheme="minorHAnsi" w:cstheme="minorHAnsi"/>
                <w:sz w:val="20"/>
              </w:rPr>
              <w:t>Tak</w:t>
            </w:r>
          </w:p>
          <w:p w14:paraId="6B104766" w14:textId="77777777" w:rsidR="004B59D6" w:rsidRPr="00890249" w:rsidRDefault="004B59D6"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t>Krajowy Program Oczyszczania Ścieków komunalnych</w:t>
            </w:r>
          </w:p>
        </w:tc>
        <w:tc>
          <w:tcPr>
            <w:tcW w:w="3402" w:type="dxa"/>
            <w:vMerge w:val="restart"/>
          </w:tcPr>
          <w:p w14:paraId="10B1F9B6" w14:textId="77777777" w:rsidR="004B59D6" w:rsidRPr="00B87B2A" w:rsidRDefault="004B59D6" w:rsidP="00B87B2A">
            <w:pPr>
              <w:spacing w:before="0" w:after="0"/>
              <w:jc w:val="left"/>
              <w:rPr>
                <w:rFonts w:asciiTheme="minorHAnsi" w:hAnsiTheme="minorHAnsi" w:cstheme="minorHAnsi"/>
                <w:bCs/>
                <w:sz w:val="16"/>
                <w:szCs w:val="16"/>
              </w:rPr>
            </w:pPr>
            <w:r w:rsidRPr="00B87B2A">
              <w:rPr>
                <w:rFonts w:asciiTheme="minorHAnsi" w:hAnsiTheme="minorHAnsi" w:cstheme="minorHAnsi"/>
                <w:bCs/>
                <w:sz w:val="16"/>
                <w:szCs w:val="16"/>
              </w:rPr>
              <w:t>Spełnieniem warunku jest przygotowanie planu inwestycji, który obejmuje ocenę obecnego stanu wdrożenia dyrektywy (91/271/EWG)  dotyczącej oczyszczania ścieków komunalnych i dyrektywy w sprawie wody pitnej (98/83/WE), tj.:</w:t>
            </w:r>
          </w:p>
          <w:p w14:paraId="16C57231" w14:textId="79CF09E1" w:rsidR="004B59D6" w:rsidRPr="00B87B2A" w:rsidRDefault="004B59D6" w:rsidP="00B87B2A">
            <w:pPr>
              <w:spacing w:before="0" w:after="0"/>
              <w:ind w:left="147" w:hanging="142"/>
              <w:jc w:val="left"/>
              <w:rPr>
                <w:rFonts w:eastAsiaTheme="minorHAnsi"/>
                <w:sz w:val="16"/>
                <w:szCs w:val="16"/>
                <w:lang w:bidi="ar-SA"/>
              </w:rPr>
            </w:pPr>
            <w:r w:rsidRPr="00B87B2A">
              <w:rPr>
                <w:rFonts w:asciiTheme="minorHAnsi" w:hAnsiTheme="minorHAnsi" w:cstheme="minorHAnsi"/>
                <w:bCs/>
                <w:sz w:val="16"/>
                <w:szCs w:val="16"/>
              </w:rPr>
              <w:t>1. VI aktualizacji Krajowego Programu Oczyszczania Ścieków Komunalnych</w:t>
            </w:r>
            <w:r w:rsidR="00A16F0A" w:rsidRPr="00B87B2A">
              <w:rPr>
                <w:rFonts w:asciiTheme="minorHAnsi" w:hAnsiTheme="minorHAnsi" w:cstheme="minorHAnsi"/>
                <w:bCs/>
                <w:sz w:val="16"/>
                <w:szCs w:val="16"/>
              </w:rPr>
              <w:t xml:space="preserve"> </w:t>
            </w:r>
            <w:r w:rsidR="00A16F0A" w:rsidRPr="00B87B2A">
              <w:rPr>
                <w:rFonts w:asciiTheme="minorHAnsi" w:hAnsiTheme="minorHAnsi" w:cstheme="minorHAnsi"/>
                <w:sz w:val="16"/>
                <w:szCs w:val="16"/>
              </w:rPr>
              <w:t>(przyjętej przez Radę Ministrów 5 maja 2022 r.)</w:t>
            </w:r>
          </w:p>
          <w:p w14:paraId="2FBA88AF" w14:textId="77777777" w:rsidR="004B59D6" w:rsidRPr="00B87B2A" w:rsidRDefault="004B59D6" w:rsidP="00B87B2A">
            <w:pPr>
              <w:spacing w:before="0" w:after="0"/>
              <w:ind w:left="176" w:hanging="142"/>
              <w:jc w:val="left"/>
              <w:rPr>
                <w:rFonts w:asciiTheme="minorHAnsi" w:hAnsiTheme="minorHAnsi" w:cstheme="minorHAnsi"/>
                <w:bCs/>
                <w:sz w:val="16"/>
                <w:szCs w:val="16"/>
              </w:rPr>
            </w:pPr>
            <w:r w:rsidRPr="00B87B2A">
              <w:rPr>
                <w:rFonts w:asciiTheme="minorHAnsi" w:hAnsiTheme="minorHAnsi" w:cstheme="minorHAnsi"/>
                <w:bCs/>
                <w:sz w:val="16"/>
                <w:szCs w:val="16"/>
              </w:rPr>
              <w:t>2. Programu inwestycyjnego w zakresie poprawy jakości i ograniczenia strat wody przeznaczonej do spożycia przez ludzi</w:t>
            </w:r>
          </w:p>
          <w:p w14:paraId="221A74F9" w14:textId="4E8DF5F7" w:rsidR="004B59D6" w:rsidRPr="00B87B2A" w:rsidRDefault="004B59D6" w:rsidP="00B87B2A">
            <w:pPr>
              <w:spacing w:before="0" w:after="0"/>
              <w:jc w:val="left"/>
              <w:rPr>
                <w:rFonts w:asciiTheme="minorHAnsi" w:hAnsiTheme="minorHAnsi" w:cstheme="minorHAnsi"/>
                <w:bCs/>
                <w:sz w:val="16"/>
                <w:szCs w:val="16"/>
              </w:rPr>
            </w:pPr>
            <w:r w:rsidRPr="00B87B2A">
              <w:rPr>
                <w:rFonts w:asciiTheme="minorHAnsi" w:hAnsiTheme="minorHAnsi" w:cstheme="minorHAnsi"/>
                <w:bCs/>
                <w:sz w:val="16"/>
                <w:szCs w:val="16"/>
              </w:rPr>
              <w:t>Dokumenty obejmują m.in.:</w:t>
            </w:r>
          </w:p>
          <w:p w14:paraId="6C062E4D" w14:textId="77777777" w:rsidR="00B72154" w:rsidRPr="00B87B2A" w:rsidRDefault="004B59D6" w:rsidP="00B87B2A">
            <w:pPr>
              <w:numPr>
                <w:ilvl w:val="0"/>
                <w:numId w:val="71"/>
              </w:numPr>
              <w:spacing w:before="0" w:after="0" w:line="276" w:lineRule="auto"/>
              <w:ind w:left="176" w:hanging="142"/>
              <w:contextualSpacing/>
              <w:jc w:val="left"/>
              <w:rPr>
                <w:rFonts w:asciiTheme="minorHAnsi" w:hAnsiTheme="minorHAnsi" w:cstheme="minorHAnsi"/>
                <w:bCs/>
                <w:sz w:val="16"/>
                <w:szCs w:val="16"/>
              </w:rPr>
            </w:pPr>
            <w:r w:rsidRPr="00B87B2A">
              <w:rPr>
                <w:rFonts w:asciiTheme="minorHAnsi" w:hAnsiTheme="minorHAnsi" w:cstheme="minorHAnsi"/>
                <w:bCs/>
                <w:sz w:val="16"/>
                <w:szCs w:val="16"/>
              </w:rPr>
              <w:t>określenie i planowanie, w tym indykatywne szacunkowe dane finansowe, wszelkich inwestycji publicznych:</w:t>
            </w:r>
          </w:p>
          <w:p w14:paraId="442B2281" w14:textId="6BB95B4B" w:rsidR="004B59D6" w:rsidRPr="00B87B2A" w:rsidRDefault="004B59D6" w:rsidP="00B87B2A">
            <w:pPr>
              <w:spacing w:before="0" w:after="0"/>
              <w:contextualSpacing/>
              <w:jc w:val="left"/>
              <w:rPr>
                <w:rFonts w:asciiTheme="minorHAnsi" w:hAnsiTheme="minorHAnsi" w:cstheme="minorHAnsi"/>
                <w:bCs/>
                <w:sz w:val="16"/>
                <w:szCs w:val="16"/>
              </w:rPr>
            </w:pPr>
            <w:r w:rsidRPr="00B87B2A">
              <w:rPr>
                <w:rFonts w:asciiTheme="minorHAnsi" w:hAnsiTheme="minorHAnsi" w:cstheme="minorHAnsi"/>
                <w:bCs/>
                <w:sz w:val="16"/>
                <w:szCs w:val="16"/>
              </w:rPr>
              <w:t>a) wymaganych do wdrożenia</w:t>
            </w:r>
            <w:r w:rsidR="00A16F0A" w:rsidRPr="00B87B2A">
              <w:rPr>
                <w:rFonts w:asciiTheme="minorHAnsi" w:hAnsiTheme="minorHAnsi" w:cstheme="minorHAnsi"/>
                <w:bCs/>
                <w:sz w:val="16"/>
                <w:szCs w:val="16"/>
              </w:rPr>
              <w:t xml:space="preserve"> </w:t>
            </w:r>
            <w:r w:rsidRPr="00B87B2A">
              <w:rPr>
                <w:rFonts w:asciiTheme="minorHAnsi" w:hAnsiTheme="minorHAnsi" w:cstheme="minorHAnsi"/>
                <w:bCs/>
                <w:sz w:val="16"/>
                <w:szCs w:val="16"/>
              </w:rPr>
              <w:t xml:space="preserve">dyrektywy 91/271/EWG, </w:t>
            </w:r>
          </w:p>
          <w:p w14:paraId="45D7834F" w14:textId="77777777" w:rsidR="004B59D6" w:rsidRPr="00B87B2A" w:rsidRDefault="004B59D6" w:rsidP="00B87B2A">
            <w:pPr>
              <w:spacing w:before="0" w:after="0"/>
              <w:contextualSpacing/>
              <w:jc w:val="left"/>
              <w:rPr>
                <w:rFonts w:asciiTheme="minorHAnsi" w:hAnsiTheme="minorHAnsi" w:cstheme="minorHAnsi"/>
                <w:bCs/>
                <w:sz w:val="16"/>
                <w:szCs w:val="16"/>
              </w:rPr>
            </w:pPr>
            <w:r w:rsidRPr="00B87B2A">
              <w:rPr>
                <w:rFonts w:asciiTheme="minorHAnsi" w:hAnsiTheme="minorHAnsi" w:cstheme="minorHAnsi"/>
                <w:bCs/>
                <w:sz w:val="16"/>
                <w:szCs w:val="16"/>
              </w:rPr>
              <w:t>b) wymaganych do wdrożenia dyrektywy 98/83/WE;</w:t>
            </w:r>
          </w:p>
          <w:p w14:paraId="77D53C5F" w14:textId="40F03A04" w:rsidR="004B59D6" w:rsidRPr="00B87B2A" w:rsidRDefault="004B59D6" w:rsidP="00B87B2A">
            <w:pPr>
              <w:spacing w:before="0" w:after="0"/>
              <w:contextualSpacing/>
              <w:jc w:val="left"/>
              <w:rPr>
                <w:rFonts w:asciiTheme="minorHAnsi" w:hAnsiTheme="minorHAnsi" w:cstheme="minorHAnsi"/>
                <w:bCs/>
                <w:sz w:val="16"/>
                <w:szCs w:val="16"/>
              </w:rPr>
            </w:pPr>
            <w:r w:rsidRPr="00B87B2A">
              <w:rPr>
                <w:rFonts w:asciiTheme="minorHAnsi" w:hAnsiTheme="minorHAnsi" w:cstheme="minorHAnsi"/>
                <w:bCs/>
                <w:sz w:val="16"/>
                <w:szCs w:val="16"/>
              </w:rPr>
              <w:t>c) wymaganych, aby zaspokoić potrzeby wynikające z dyrektywy (UE) 2020/2184, w szczególności w odniesieniu do zmienionych parametrów jakości określonych w załączniku I do tej dyrektywy;</w:t>
            </w:r>
          </w:p>
          <w:p w14:paraId="24F9F5B6" w14:textId="5AEE8956" w:rsidR="0061075C" w:rsidRPr="00B87B2A" w:rsidRDefault="004B59D6" w:rsidP="00B87B2A">
            <w:pPr>
              <w:numPr>
                <w:ilvl w:val="0"/>
                <w:numId w:val="71"/>
              </w:numPr>
              <w:spacing w:line="276" w:lineRule="auto"/>
              <w:ind w:left="318" w:hanging="284"/>
              <w:contextualSpacing/>
              <w:jc w:val="left"/>
              <w:rPr>
                <w:rFonts w:asciiTheme="minorHAnsi" w:hAnsiTheme="minorHAnsi" w:cstheme="minorHAnsi"/>
                <w:bCs/>
                <w:sz w:val="16"/>
                <w:szCs w:val="16"/>
              </w:rPr>
            </w:pPr>
            <w:r w:rsidRPr="00B87B2A">
              <w:rPr>
                <w:rFonts w:asciiTheme="minorHAnsi" w:hAnsiTheme="minorHAnsi" w:cstheme="minorHAnsi"/>
                <w:bCs/>
                <w:sz w:val="16"/>
                <w:szCs w:val="16"/>
              </w:rPr>
              <w:t>oszacowanie inwestycji niezbędnych do odnowienia istniejącej infrastruktury wodno- ściekowej oraz</w:t>
            </w:r>
            <w:r w:rsidRPr="00B87B2A">
              <w:rPr>
                <w:rFonts w:asciiTheme="minorHAnsi" w:hAnsiTheme="minorHAnsi" w:cstheme="minorHAnsi"/>
                <w:sz w:val="16"/>
                <w:szCs w:val="16"/>
              </w:rPr>
              <w:t xml:space="preserve"> </w:t>
            </w:r>
            <w:r w:rsidRPr="00B87B2A">
              <w:rPr>
                <w:rFonts w:asciiTheme="minorHAnsi" w:hAnsiTheme="minorHAnsi" w:cstheme="minorHAnsi"/>
                <w:bCs/>
                <w:sz w:val="16"/>
                <w:szCs w:val="16"/>
              </w:rPr>
              <w:t>wskazanie potencjalnych źródeł finansowania publicznego o ile są one niezbędne</w:t>
            </w:r>
          </w:p>
          <w:p w14:paraId="1299E706" w14:textId="77777777" w:rsidR="0061075C" w:rsidRDefault="0061075C" w:rsidP="00B87B2A">
            <w:pPr>
              <w:jc w:val="left"/>
              <w:rPr>
                <w:rFonts w:asciiTheme="minorHAnsi" w:hAnsiTheme="minorHAnsi" w:cstheme="minorHAnsi"/>
                <w:bCs/>
                <w:sz w:val="16"/>
                <w:szCs w:val="16"/>
              </w:rPr>
            </w:pPr>
          </w:p>
          <w:p w14:paraId="6DEC9175" w14:textId="57BD4200" w:rsidR="006F481D" w:rsidRPr="00B87B2A" w:rsidRDefault="0061075C" w:rsidP="00B87B2A">
            <w:pPr>
              <w:jc w:val="left"/>
              <w:rPr>
                <w:rFonts w:asciiTheme="minorHAnsi" w:eastAsiaTheme="minorHAnsi" w:hAnsiTheme="minorHAnsi" w:cstheme="minorHAnsi"/>
                <w:sz w:val="16"/>
                <w:szCs w:val="16"/>
                <w:lang w:val="en-GB" w:bidi="ar-SA"/>
              </w:rPr>
            </w:pPr>
            <w:r w:rsidRPr="00B87B2A">
              <w:rPr>
                <w:rFonts w:asciiTheme="minorHAnsi" w:hAnsiTheme="minorHAnsi" w:cstheme="minorHAnsi"/>
                <w:bCs/>
                <w:sz w:val="16"/>
                <w:szCs w:val="16"/>
                <w:lang w:val="en-GB"/>
              </w:rPr>
              <w:t xml:space="preserve">Link: </w:t>
            </w:r>
            <w:hyperlink r:id="rId93" w:history="1">
              <w:r w:rsidRPr="00B87B2A">
                <w:rPr>
                  <w:rFonts w:asciiTheme="minorHAnsi" w:hAnsiTheme="minorHAnsi" w:cstheme="minorHAnsi"/>
                  <w:bCs/>
                  <w:sz w:val="16"/>
                  <w:szCs w:val="16"/>
                  <w:lang w:val="en-GB"/>
                </w:rPr>
                <w:t>https://www.gov.pl/attachment/a7096f8e-5961-4719-8c03-4b36cf61f56a</w:t>
              </w:r>
            </w:hyperlink>
            <w:r w:rsidR="004B59D6" w:rsidRPr="00B87B2A">
              <w:rPr>
                <w:rFonts w:asciiTheme="minorHAnsi" w:hAnsiTheme="minorHAnsi" w:cstheme="minorHAnsi"/>
                <w:bCs/>
                <w:sz w:val="16"/>
                <w:szCs w:val="16"/>
                <w:lang w:val="en-GB"/>
              </w:rPr>
              <w:t xml:space="preserve"> </w:t>
            </w:r>
            <w:hyperlink w:history="1"/>
            <w:r w:rsidR="006F481D" w:rsidRPr="00B87B2A">
              <w:rPr>
                <w:rFonts w:asciiTheme="minorHAnsi" w:hAnsiTheme="minorHAnsi" w:cstheme="minorHAnsi"/>
                <w:sz w:val="16"/>
                <w:szCs w:val="16"/>
                <w:lang w:val="en-GB"/>
              </w:rPr>
              <w:t xml:space="preserve"> </w:t>
            </w:r>
          </w:p>
          <w:p w14:paraId="5091A2F4" w14:textId="39349811" w:rsidR="004B59D6" w:rsidRPr="00B87B2A" w:rsidRDefault="004B59D6" w:rsidP="00E8684E">
            <w:pPr>
              <w:jc w:val="left"/>
              <w:rPr>
                <w:rFonts w:asciiTheme="minorHAnsi" w:hAnsiTheme="minorHAnsi" w:cstheme="minorHAnsi"/>
                <w:bCs/>
                <w:sz w:val="20"/>
                <w:lang w:val="en-GB"/>
              </w:rPr>
            </w:pPr>
          </w:p>
        </w:tc>
        <w:tc>
          <w:tcPr>
            <w:tcW w:w="2977" w:type="dxa"/>
          </w:tcPr>
          <w:p w14:paraId="7E254C45" w14:textId="1FA2B3DB" w:rsidR="004B59D6" w:rsidRPr="00890249" w:rsidRDefault="004B59D6" w:rsidP="00325D70">
            <w:pPr>
              <w:jc w:val="left"/>
              <w:rPr>
                <w:rFonts w:asciiTheme="minorHAnsi" w:eastAsia="Times New Roman" w:hAnsiTheme="minorHAnsi" w:cstheme="minorHAnsi"/>
                <w:iCs/>
                <w:noProof/>
                <w:sz w:val="20"/>
              </w:rPr>
            </w:pPr>
            <w:r w:rsidRPr="00F62734">
              <w:rPr>
                <w:rFonts w:asciiTheme="minorHAnsi" w:eastAsia="Times New Roman" w:hAnsiTheme="minorHAnsi" w:cstheme="minorHAnsi"/>
                <w:b/>
                <w:bCs/>
                <w:iCs/>
                <w:noProof/>
                <w:sz w:val="20"/>
              </w:rPr>
              <w:t>Kryterium 1</w:t>
            </w:r>
            <w:r w:rsidR="00AD555E" w:rsidRPr="00F62734">
              <w:rPr>
                <w:rFonts w:asciiTheme="minorHAnsi" w:eastAsia="Times New Roman" w:hAnsiTheme="minorHAnsi" w:cstheme="minorHAnsi"/>
                <w:b/>
                <w:bCs/>
                <w:iCs/>
                <w:noProof/>
                <w:sz w:val="20"/>
              </w:rPr>
              <w:t>.</w:t>
            </w:r>
            <w:r w:rsidRPr="00890249">
              <w:rPr>
                <w:rFonts w:asciiTheme="minorHAnsi" w:eastAsia="Times New Roman" w:hAnsiTheme="minorHAnsi" w:cstheme="minorHAnsi"/>
                <w:iCs/>
                <w:noProof/>
                <w:sz w:val="20"/>
              </w:rPr>
              <w:t xml:space="preserve"> </w:t>
            </w:r>
            <w:r w:rsidR="008D2B18" w:rsidRPr="00890249">
              <w:rPr>
                <w:rFonts w:asciiTheme="minorHAnsi" w:eastAsia="Times New Roman" w:hAnsiTheme="minorHAnsi" w:cstheme="minorHAnsi"/>
                <w:iCs/>
                <w:noProof/>
                <w:sz w:val="20"/>
              </w:rPr>
              <w:t>Spełnione</w:t>
            </w:r>
          </w:p>
          <w:p w14:paraId="77EBE6E7" w14:textId="77777777" w:rsidR="004B59D6" w:rsidRPr="00890249" w:rsidRDefault="004B59D6" w:rsidP="00325D70">
            <w:pPr>
              <w:spacing w:after="0"/>
              <w:jc w:val="left"/>
              <w:rPr>
                <w:rFonts w:asciiTheme="minorHAnsi" w:eastAsia="Times New Roman" w:hAnsiTheme="minorHAnsi" w:cstheme="minorHAnsi"/>
                <w:sz w:val="20"/>
              </w:rPr>
            </w:pPr>
            <w:r w:rsidRPr="00890249">
              <w:rPr>
                <w:rFonts w:asciiTheme="minorHAnsi" w:hAnsiTheme="minorHAnsi" w:cstheme="minorHAnsi"/>
                <w:sz w:val="20"/>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E8684E" w:rsidRPr="00890249" w14:paraId="75C4E192" w14:textId="77777777" w:rsidTr="00F62734">
        <w:tc>
          <w:tcPr>
            <w:tcW w:w="1560" w:type="dxa"/>
            <w:vMerge/>
          </w:tcPr>
          <w:p w14:paraId="76CEFEE7"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7E15E624"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292AE798"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6E037713"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15FC1156"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b/>
                <w:bCs/>
                <w:color w:val="000000"/>
                <w:sz w:val="20"/>
              </w:rPr>
              <w:t>Kryterium 2.</w:t>
            </w:r>
            <w:r w:rsidRPr="00890249">
              <w:rPr>
                <w:rFonts w:asciiTheme="minorHAnsi" w:hAnsiTheme="minorHAnsi" w:cstheme="minorHAnsi"/>
                <w:color w:val="000000"/>
                <w:sz w:val="20"/>
              </w:rPr>
              <w:t xml:space="preserve"> określenie i planowanie, w tym </w:t>
            </w:r>
            <w:r w:rsidRPr="00890249">
              <w:rPr>
                <w:rFonts w:asciiTheme="minorHAnsi" w:hAnsiTheme="minorHAnsi" w:cstheme="minorHAnsi"/>
                <w:color w:val="000000"/>
                <w:sz w:val="20"/>
              </w:rPr>
              <w:lastRenderedPageBreak/>
              <w:t>indykatywne szacunkowe dane finansowe, wszelkich inwestycji publicznych: a) wymaganych do wdrożenia dyrektywy 91/271/EWG, wraz z określeniem priorytetów ze względu na wielkość aglomeracji i wpływ na środowisko oraz z podziałem inwestycji na poszczególne aglomeracje b) wymaganych do wdrożenia dyrektywy 98/83/WE; c) wymaganych, aby zaspokoić potrzeby wynikające z dyrektywy (UE) 2020/2184</w:t>
            </w:r>
          </w:p>
        </w:tc>
        <w:tc>
          <w:tcPr>
            <w:tcW w:w="1134" w:type="dxa"/>
            <w:vMerge/>
          </w:tcPr>
          <w:p w14:paraId="0231C66B"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4A95B6DC"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6C94F468" w14:textId="0C1798F0" w:rsidR="00763C44"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2.</w:t>
            </w:r>
            <w:r w:rsidRPr="00890249">
              <w:rPr>
                <w:rFonts w:asciiTheme="minorHAnsi" w:hAnsiTheme="minorHAnsi" w:cstheme="minorHAnsi"/>
                <w:sz w:val="20"/>
              </w:rPr>
              <w:t xml:space="preserve"> </w:t>
            </w:r>
            <w:r w:rsidR="00A16F0A">
              <w:rPr>
                <w:rFonts w:asciiTheme="minorHAnsi" w:hAnsiTheme="minorHAnsi" w:cstheme="minorHAnsi"/>
                <w:sz w:val="20"/>
              </w:rPr>
              <w:t>Spełnione</w:t>
            </w:r>
          </w:p>
          <w:p w14:paraId="29712C80" w14:textId="77777777" w:rsidR="00B72154"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sz w:val="20"/>
              </w:rPr>
              <w:lastRenderedPageBreak/>
              <w:t>W AKPOŚK 2022 priorytetyzację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tc>
      </w:tr>
      <w:tr w:rsidR="00E8684E" w:rsidRPr="00890249" w14:paraId="7001241B" w14:textId="77777777" w:rsidTr="00F62734">
        <w:tc>
          <w:tcPr>
            <w:tcW w:w="1560" w:type="dxa"/>
            <w:vMerge/>
          </w:tcPr>
          <w:p w14:paraId="1D0E8B49"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52024310"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3BD3AAF5"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252534B"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6B52395D"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b/>
                <w:bCs/>
                <w:color w:val="000000"/>
                <w:sz w:val="20"/>
              </w:rPr>
              <w:t>Kryterium 3.</w:t>
            </w:r>
            <w:r w:rsidRPr="00890249">
              <w:rPr>
                <w:rFonts w:asciiTheme="minorHAnsi" w:hAnsiTheme="minorHAnsi" w:cstheme="minorHAnsi"/>
                <w:color w:val="000000"/>
                <w:sz w:val="20"/>
              </w:rPr>
              <w:t xml:space="preserve"> oszacowanie inwestycji niezbędnych do odnowienia istniejącej</w:t>
            </w:r>
          </w:p>
          <w:p w14:paraId="4C6F8BD0"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lastRenderedPageBreak/>
              <w:t>infrastruktury wodno-ściekowej, w tym sieci, w zależności od ich</w:t>
            </w:r>
          </w:p>
          <w:p w14:paraId="6E537B1C"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wieku i planów amortyzacji</w:t>
            </w:r>
          </w:p>
        </w:tc>
        <w:tc>
          <w:tcPr>
            <w:tcW w:w="1134" w:type="dxa"/>
            <w:vMerge/>
          </w:tcPr>
          <w:p w14:paraId="13A6C521"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7FE54273"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19333036" w14:textId="6A3C8F84" w:rsidR="00DD1065" w:rsidRPr="00890249" w:rsidRDefault="00DD1065" w:rsidP="00325D70">
            <w:pPr>
              <w:jc w:val="left"/>
              <w:rPr>
                <w:rFonts w:asciiTheme="minorHAnsi" w:eastAsia="Times New Roman" w:hAnsiTheme="minorHAnsi" w:cstheme="minorHAnsi"/>
                <w:iCs/>
                <w:noProof/>
                <w:sz w:val="20"/>
              </w:rPr>
            </w:pPr>
            <w:r w:rsidRPr="00890249">
              <w:rPr>
                <w:rFonts w:asciiTheme="minorHAnsi" w:eastAsia="Times New Roman" w:hAnsiTheme="minorHAnsi" w:cstheme="minorHAnsi"/>
                <w:b/>
                <w:bCs/>
                <w:iCs/>
                <w:noProof/>
                <w:sz w:val="20"/>
              </w:rPr>
              <w:t>Kryterium 3</w:t>
            </w:r>
            <w:r w:rsidR="00AD555E">
              <w:rPr>
                <w:rFonts w:asciiTheme="minorHAnsi" w:eastAsia="Times New Roman" w:hAnsiTheme="minorHAnsi" w:cstheme="minorHAnsi"/>
                <w:b/>
                <w:bCs/>
                <w:iCs/>
                <w:noProof/>
                <w:sz w:val="20"/>
              </w:rPr>
              <w:t>.</w:t>
            </w:r>
            <w:r w:rsidR="008D2B18" w:rsidRPr="00890249">
              <w:rPr>
                <w:rFonts w:asciiTheme="minorHAnsi" w:eastAsia="Times New Roman" w:hAnsiTheme="minorHAnsi" w:cstheme="minorHAnsi"/>
                <w:b/>
                <w:bCs/>
                <w:iCs/>
                <w:noProof/>
                <w:sz w:val="20"/>
              </w:rPr>
              <w:t xml:space="preserve"> </w:t>
            </w:r>
            <w:r w:rsidR="008D2B18" w:rsidRPr="00F62734">
              <w:rPr>
                <w:rFonts w:asciiTheme="minorHAnsi" w:eastAsia="Times New Roman" w:hAnsiTheme="minorHAnsi" w:cstheme="minorHAnsi"/>
                <w:iCs/>
                <w:noProof/>
                <w:sz w:val="20"/>
              </w:rPr>
              <w:t>Spełnione</w:t>
            </w:r>
          </w:p>
          <w:p w14:paraId="5BCD59F6" w14:textId="77777777" w:rsidR="00E8684E"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 xml:space="preserve">Informacje dotyczące odnowienia istniejącej infrastruktury kanalizacyjnej ujęte są w AKPOŚK </w:t>
            </w:r>
            <w:r w:rsidRPr="00890249">
              <w:rPr>
                <w:rFonts w:asciiTheme="minorHAnsi" w:hAnsiTheme="minorHAnsi" w:cstheme="minorHAnsi"/>
                <w:sz w:val="20"/>
              </w:rPr>
              <w:lastRenderedPageBreak/>
              <w:t xml:space="preserve">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 Szacunkowe koszty całkowite oszacowane na podstawie danych statystycznych ekstrapolowanych na obszary priorytetowe za pomocą wyznaczonego na podstawie ankietowania PWiK i gmin wskaźnika przeliczeniowego wyniosły ok. 44 mld złotych, w tym ok. 26 mld zł na inwestycje </w:t>
            </w:r>
            <w:r w:rsidRPr="00890249">
              <w:rPr>
                <w:rFonts w:asciiTheme="minorHAnsi" w:hAnsiTheme="minorHAnsi" w:cstheme="minorHAnsi"/>
                <w:sz w:val="20"/>
              </w:rPr>
              <w:lastRenderedPageBreak/>
              <w:t>związane z siecią dystrybucji (w tym modernizacji sieci).</w:t>
            </w:r>
          </w:p>
        </w:tc>
      </w:tr>
      <w:tr w:rsidR="00E8684E" w:rsidRPr="00890249" w14:paraId="27FD668C" w14:textId="77777777" w:rsidTr="00F62734">
        <w:tc>
          <w:tcPr>
            <w:tcW w:w="1560" w:type="dxa"/>
            <w:vMerge/>
          </w:tcPr>
          <w:p w14:paraId="76D315AB"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1AF336B0"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7F85B143"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6EE4170"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3D514752"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4.</w:t>
            </w:r>
            <w:r w:rsidRPr="00890249">
              <w:rPr>
                <w:rFonts w:asciiTheme="minorHAnsi" w:hAnsiTheme="minorHAnsi" w:cstheme="minorHAnsi"/>
                <w:sz w:val="20"/>
              </w:rPr>
              <w:t xml:space="preserve"> wskazanie potencjalnych źródeł finansowania publicznego, jeżeli są potrzebne w celu uzupełnienia opłat pobieranych od użytkowników</w:t>
            </w:r>
          </w:p>
        </w:tc>
        <w:tc>
          <w:tcPr>
            <w:tcW w:w="1134" w:type="dxa"/>
            <w:vMerge/>
          </w:tcPr>
          <w:p w14:paraId="7229E243"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4BDA1D80"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09AA8667" w14:textId="77777777" w:rsidR="00DD1065" w:rsidRPr="00890249" w:rsidRDefault="00DD1065" w:rsidP="00325D70">
            <w:pPr>
              <w:jc w:val="left"/>
              <w:rPr>
                <w:rFonts w:asciiTheme="minorHAnsi" w:eastAsia="Times New Roman" w:hAnsiTheme="minorHAnsi" w:cstheme="minorHAnsi"/>
                <w:iCs/>
                <w:noProof/>
                <w:sz w:val="20"/>
              </w:rPr>
            </w:pPr>
            <w:r w:rsidRPr="00890249">
              <w:rPr>
                <w:rFonts w:asciiTheme="minorHAnsi" w:eastAsia="Times New Roman" w:hAnsiTheme="minorHAnsi" w:cstheme="minorHAnsi"/>
                <w:b/>
                <w:bCs/>
                <w:iCs/>
                <w:noProof/>
                <w:sz w:val="20"/>
              </w:rPr>
              <w:t>Kryterium 4.</w:t>
            </w:r>
            <w:r w:rsidRPr="00890249">
              <w:rPr>
                <w:rFonts w:asciiTheme="minorHAnsi" w:eastAsia="Times New Roman" w:hAnsiTheme="minorHAnsi" w:cstheme="minorHAnsi"/>
                <w:iCs/>
                <w:noProof/>
                <w:sz w:val="20"/>
              </w:rPr>
              <w:t xml:space="preserve"> </w:t>
            </w:r>
            <w:r w:rsidR="008D2B18" w:rsidRPr="00890249">
              <w:rPr>
                <w:rFonts w:asciiTheme="minorHAnsi" w:eastAsia="Times New Roman" w:hAnsiTheme="minorHAnsi" w:cstheme="minorHAnsi"/>
                <w:iCs/>
                <w:noProof/>
                <w:sz w:val="20"/>
              </w:rPr>
              <w:t>Spełnione</w:t>
            </w:r>
          </w:p>
          <w:p w14:paraId="6DF2DB28"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 xml:space="preserve">Informacja o źródłach finansowania ujęta w rozdziale 12. (oraz w kolumnach 114-122 załącznika nr 3) przewiduje, że głównymi źródłami finansowania inwestycji ujętych w AKPOŚK 2022 będą: </w:t>
            </w:r>
          </w:p>
          <w:p w14:paraId="18CE8126"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1.</w:t>
            </w:r>
            <w:r w:rsidRPr="00890249">
              <w:rPr>
                <w:rFonts w:asciiTheme="minorHAnsi" w:hAnsiTheme="minorHAnsi" w:cstheme="minorHAnsi"/>
                <w:sz w:val="20"/>
              </w:rPr>
              <w:tab/>
              <w:t>środki unijne w ramach programów polityki:</w:t>
            </w:r>
          </w:p>
          <w:p w14:paraId="453D4CC5"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              Program Operacyjny Infrastruktura i Środowisko,</w:t>
            </w:r>
          </w:p>
          <w:p w14:paraId="5BB703B9"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              Program Fundusze Europejskie na Infrastrukturę, Klimat, Środowisko,</w:t>
            </w:r>
          </w:p>
          <w:p w14:paraId="1716A81A"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              Programy Regionalne,</w:t>
            </w:r>
          </w:p>
          <w:p w14:paraId="5B3BA364"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2.</w:t>
            </w:r>
            <w:r w:rsidRPr="00890249">
              <w:rPr>
                <w:rFonts w:asciiTheme="minorHAnsi" w:hAnsiTheme="minorHAnsi" w:cstheme="minorHAnsi"/>
                <w:sz w:val="20"/>
              </w:rPr>
              <w:tab/>
              <w:t>Rządowy Fundusz Polski Ład: Program Inwestycji Strategicznych,</w:t>
            </w:r>
          </w:p>
          <w:p w14:paraId="19F82B24"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3.</w:t>
            </w:r>
            <w:r w:rsidRPr="00890249">
              <w:rPr>
                <w:rFonts w:asciiTheme="minorHAnsi" w:hAnsiTheme="minorHAnsi" w:cstheme="minorHAnsi"/>
                <w:sz w:val="20"/>
              </w:rPr>
              <w:tab/>
              <w:t>krajowe fundusze ekologiczne: NFOŚGW i WFOŚGW</w:t>
            </w:r>
          </w:p>
          <w:p w14:paraId="609BC890" w14:textId="77777777" w:rsidR="004B59D6" w:rsidRPr="00890249" w:rsidRDefault="004B59D6" w:rsidP="00325D70">
            <w:pPr>
              <w:spacing w:after="0"/>
              <w:jc w:val="left"/>
              <w:rPr>
                <w:rFonts w:asciiTheme="minorHAnsi" w:hAnsiTheme="minorHAnsi" w:cstheme="minorHAnsi"/>
                <w:sz w:val="20"/>
              </w:rPr>
            </w:pPr>
            <w:r w:rsidRPr="00890249">
              <w:rPr>
                <w:rFonts w:asciiTheme="minorHAnsi" w:hAnsiTheme="minorHAnsi" w:cstheme="minorHAnsi"/>
                <w:sz w:val="20"/>
              </w:rPr>
              <w:t>4.</w:t>
            </w:r>
            <w:r w:rsidRPr="00890249">
              <w:rPr>
                <w:rFonts w:asciiTheme="minorHAnsi" w:hAnsiTheme="minorHAnsi" w:cstheme="minorHAnsi"/>
                <w:sz w:val="20"/>
              </w:rPr>
              <w:tab/>
              <w:t>środki własne gmin.</w:t>
            </w:r>
          </w:p>
          <w:p w14:paraId="536A16E6" w14:textId="77777777" w:rsidR="00E8684E" w:rsidRPr="00890249" w:rsidRDefault="004B59D6" w:rsidP="00325D70">
            <w:pPr>
              <w:jc w:val="left"/>
              <w:rPr>
                <w:rFonts w:asciiTheme="minorHAnsi" w:eastAsia="Times New Roman" w:hAnsiTheme="minorHAnsi" w:cstheme="minorHAnsi"/>
                <w:iCs/>
                <w:noProof/>
                <w:sz w:val="20"/>
              </w:rPr>
            </w:pPr>
            <w:r w:rsidRPr="00890249">
              <w:rPr>
                <w:rFonts w:asciiTheme="minorHAnsi" w:hAnsiTheme="minorHAnsi" w:cstheme="minorHAnsi"/>
                <w:sz w:val="20"/>
              </w:rPr>
              <w:t xml:space="preserve">W Planie Inwestycyjnym oceniono możliwości finansowania inwestycji z zysków </w:t>
            </w:r>
            <w:r w:rsidRPr="00890249">
              <w:rPr>
                <w:rFonts w:asciiTheme="minorHAnsi" w:hAnsiTheme="minorHAnsi" w:cstheme="minorHAnsi"/>
                <w:sz w:val="20"/>
              </w:rPr>
              <w:lastRenderedPageBreak/>
              <w:t>pochodzących z opłat od użytkowników oraz, w przypadku potrzeby ich uzupełnienia, wskazano możliwe źródła finansowania ze środków krajowych i zagranicznych. Publiczne fundusze krajowe pochodzą głównie z funduszy zarządzanych przez NFPŚGW i WFOŚGW oraz budżetów JST i budżetu centralnego. Głównymi środkami finansowania z zagranicznych źródeł są fundusze strukturalne i Fundusz Spójności. Inne zagraniczne źródła to środki np.: Mechanizmu finansowego EOG czy Norweskiego Mechanizmu Finansowego.</w:t>
            </w:r>
          </w:p>
        </w:tc>
      </w:tr>
      <w:tr w:rsidR="00E8684E" w:rsidRPr="00890249" w14:paraId="4C6848CE" w14:textId="77777777" w:rsidTr="00F62734">
        <w:tc>
          <w:tcPr>
            <w:tcW w:w="1560" w:type="dxa"/>
            <w:vMerge w:val="restart"/>
          </w:tcPr>
          <w:p w14:paraId="3F53DF67"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2.6. Aktualizowane planowanie w zakresie gospodarowania odpadami</w:t>
            </w:r>
          </w:p>
        </w:tc>
        <w:tc>
          <w:tcPr>
            <w:tcW w:w="709" w:type="dxa"/>
            <w:vMerge w:val="restart"/>
          </w:tcPr>
          <w:p w14:paraId="0FAE4465" w14:textId="77777777" w:rsidR="00E8684E" w:rsidRPr="00890249" w:rsidRDefault="00E8684E" w:rsidP="00E8684E">
            <w:pPr>
              <w:jc w:val="left"/>
              <w:rPr>
                <w:rFonts w:asciiTheme="minorHAnsi" w:hAnsiTheme="minorHAnsi" w:cstheme="minorHAnsi"/>
                <w:sz w:val="20"/>
                <w:lang w:val="en-GB"/>
              </w:rPr>
            </w:pPr>
            <w:r w:rsidRPr="00890249">
              <w:rPr>
                <w:rFonts w:asciiTheme="minorHAnsi" w:hAnsiTheme="minorHAnsi" w:cstheme="minorHAnsi"/>
                <w:sz w:val="20"/>
                <w:lang w:val="en-GB"/>
              </w:rPr>
              <w:t>EFRR, FS</w:t>
            </w:r>
          </w:p>
          <w:p w14:paraId="2B827F3B" w14:textId="77777777" w:rsidR="00E8684E" w:rsidRPr="00890249" w:rsidRDefault="00E8684E" w:rsidP="00E8684E">
            <w:pPr>
              <w:jc w:val="left"/>
              <w:rPr>
                <w:rFonts w:asciiTheme="minorHAnsi" w:hAnsiTheme="minorHAnsi" w:cstheme="minorHAnsi"/>
                <w:sz w:val="20"/>
                <w:lang w:val="en-GB"/>
              </w:rPr>
            </w:pPr>
          </w:p>
        </w:tc>
        <w:tc>
          <w:tcPr>
            <w:tcW w:w="1843" w:type="dxa"/>
            <w:vMerge w:val="restart"/>
          </w:tcPr>
          <w:p w14:paraId="4857B82D" w14:textId="77777777" w:rsidR="00E8684E" w:rsidRPr="00890249" w:rsidRDefault="00E8684E" w:rsidP="00E8684E">
            <w:pPr>
              <w:jc w:val="left"/>
              <w:rPr>
                <w:rFonts w:asciiTheme="minorHAnsi" w:hAnsiTheme="minorHAnsi" w:cstheme="minorHAnsi"/>
                <w:bCs/>
                <w:sz w:val="20"/>
                <w:highlight w:val="yellow"/>
              </w:rPr>
            </w:pPr>
            <w:r w:rsidRPr="00890249">
              <w:rPr>
                <w:rFonts w:asciiTheme="minorHAnsi" w:hAnsiTheme="minorHAnsi" w:cstheme="minorHAnsi"/>
                <w:bCs/>
                <w:sz w:val="20"/>
              </w:rPr>
              <w:t>Wspieranie  transformacji w kierunku  gospodarki o obiegu zamkniętym i gospodarki zasobooszczędnej</w:t>
            </w:r>
          </w:p>
        </w:tc>
        <w:tc>
          <w:tcPr>
            <w:tcW w:w="1559" w:type="dxa"/>
            <w:vMerge w:val="restart"/>
          </w:tcPr>
          <w:p w14:paraId="68416399"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2551" w:type="dxa"/>
          </w:tcPr>
          <w:p w14:paraId="2F96C8D6"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 xml:space="preserve">Istnienie planu (planów) gospodarowania odpadami, jak określono w art. 28 dyrektywy Parlamentu Europejskiego i Rady 2008/98/WE, obejmujący (obejmujące) całe terytorium państwa członkowskiego; plan ten obejmuje (plany te obejmują): </w:t>
            </w:r>
          </w:p>
          <w:p w14:paraId="46A394EE"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b/>
                <w:bCs/>
                <w:color w:val="000000"/>
                <w:sz w:val="20"/>
              </w:rPr>
              <w:lastRenderedPageBreak/>
              <w:t>Kryterium 1.</w:t>
            </w:r>
            <w:r w:rsidRPr="00890249">
              <w:rPr>
                <w:rFonts w:asciiTheme="minorHAnsi" w:hAnsiTheme="minorHAnsi" w:cstheme="minorHAnsi"/>
                <w:color w:val="000000"/>
                <w:sz w:val="20"/>
              </w:rPr>
              <w:t xml:space="preserve"> analizę bieżącej sytuacji w zakresie gospodarowania odpadami na danym obszarze geograficznym, w tym rodzaj, ilość i źródło powstających odpadów oraz ocenę kształtowania się tych danych w przyszłości, z uwzględnieniem spodziewanych skutków środków określonych w programie (programach) zapobiegania powstawaniu odpadów opracowanym (opracowanych) zgodnie z art. 29 dyrektywy 2008/98/WE</w:t>
            </w:r>
          </w:p>
        </w:tc>
        <w:tc>
          <w:tcPr>
            <w:tcW w:w="1134" w:type="dxa"/>
            <w:vMerge w:val="restart"/>
          </w:tcPr>
          <w:p w14:paraId="0C954A7A"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Tak</w:t>
            </w:r>
          </w:p>
        </w:tc>
        <w:tc>
          <w:tcPr>
            <w:tcW w:w="3402" w:type="dxa"/>
            <w:vMerge w:val="restart"/>
          </w:tcPr>
          <w:p w14:paraId="114AEE6C" w14:textId="77777777" w:rsidR="0098711E" w:rsidRPr="0098711E" w:rsidRDefault="0098711E" w:rsidP="0098711E">
            <w:pPr>
              <w:jc w:val="left"/>
              <w:rPr>
                <w:rFonts w:asciiTheme="minorHAnsi" w:eastAsia="Times New Roman" w:hAnsiTheme="minorHAnsi" w:cstheme="minorHAnsi"/>
                <w:bCs/>
                <w:iCs/>
                <w:noProof/>
                <w:sz w:val="20"/>
              </w:rPr>
            </w:pPr>
            <w:r w:rsidRPr="0098711E">
              <w:rPr>
                <w:rFonts w:asciiTheme="minorHAnsi" w:eastAsia="Times New Roman" w:hAnsiTheme="minorHAnsi" w:cstheme="minorHAnsi"/>
                <w:bCs/>
                <w:iCs/>
                <w:noProof/>
                <w:sz w:val="20"/>
              </w:rPr>
              <w:t>Warunek należy uznać za spełniony w oparciu o aktualny stan prawny oraz dokument strategiczny, tj. Krajowy Plan Gospodarki Odpadami.</w:t>
            </w:r>
          </w:p>
          <w:p w14:paraId="02A95193" w14:textId="77777777" w:rsidR="0098711E" w:rsidRPr="0098711E" w:rsidRDefault="0098711E" w:rsidP="0098711E">
            <w:pPr>
              <w:jc w:val="left"/>
              <w:rPr>
                <w:rFonts w:asciiTheme="minorHAnsi" w:eastAsia="Times New Roman" w:hAnsiTheme="minorHAnsi" w:cstheme="minorHAnsi"/>
                <w:bCs/>
                <w:iCs/>
                <w:noProof/>
                <w:sz w:val="20"/>
              </w:rPr>
            </w:pPr>
            <w:r w:rsidRPr="0098711E">
              <w:rPr>
                <w:rFonts w:asciiTheme="minorHAnsi" w:eastAsia="Times New Roman" w:hAnsiTheme="minorHAnsi" w:cstheme="minorHAnsi"/>
                <w:bCs/>
                <w:iCs/>
                <w:noProof/>
                <w:sz w:val="20"/>
              </w:rPr>
              <w:t xml:space="preserve">Do 12 lipca 2023 r obowiązywał Krajowy Plan Gospodarki Odpadami 2022 wraz z załącznikiem zawierającym ocenę luki inwestycyjnej. Obecnie od dnia 13 lipca 2023 r. </w:t>
            </w:r>
            <w:r w:rsidRPr="0098711E">
              <w:rPr>
                <w:rFonts w:asciiTheme="minorHAnsi" w:eastAsia="Times New Roman" w:hAnsiTheme="minorHAnsi" w:cstheme="minorHAnsi"/>
                <w:bCs/>
                <w:iCs/>
                <w:noProof/>
                <w:sz w:val="20"/>
              </w:rPr>
              <w:lastRenderedPageBreak/>
              <w:t xml:space="preserve">obowiązuje Krajowy plan gospodarki odpadami 2028. </w:t>
            </w:r>
          </w:p>
          <w:p w14:paraId="74EC033C" w14:textId="477E1ECF" w:rsidR="0098711E" w:rsidRPr="0098711E" w:rsidRDefault="0098711E" w:rsidP="0098711E">
            <w:pPr>
              <w:jc w:val="left"/>
              <w:rPr>
                <w:rFonts w:asciiTheme="minorHAnsi" w:eastAsia="Times New Roman" w:hAnsiTheme="minorHAnsi" w:cstheme="minorHAnsi"/>
                <w:bCs/>
                <w:iCs/>
                <w:noProof/>
                <w:sz w:val="20"/>
              </w:rPr>
            </w:pPr>
            <w:r w:rsidRPr="0098711E">
              <w:rPr>
                <w:rFonts w:asciiTheme="minorHAnsi" w:eastAsia="Times New Roman" w:hAnsiTheme="minorHAnsi" w:cstheme="minorHAnsi"/>
                <w:bCs/>
                <w:iCs/>
                <w:noProof/>
                <w:sz w:val="20"/>
              </w:rPr>
              <w:t xml:space="preserve">KPGO 2028 stanowi aktualizację KPGO 2022. Do opracowania KPGO 2028 punkt wyjścia stanowiły cele zawarte w dyrektywach Parlamentu Europejskiego w zakresie ciągłego ulepszania zasad gospodarki odpadami oraz zapobiegania powstawaniu odpadów. KPGO 2028 wskazuje kierunki polityki dotyczące zapobiegania powstawaniu odpadów oraz gospodarowania odpadami oraz określa środki i działania służące osiągnięciu wyznaczonych celów. </w:t>
            </w:r>
          </w:p>
          <w:p w14:paraId="1D44FE60" w14:textId="77777777" w:rsidR="0098711E" w:rsidRPr="0098711E" w:rsidRDefault="0098711E" w:rsidP="0098711E">
            <w:pPr>
              <w:jc w:val="left"/>
              <w:rPr>
                <w:rFonts w:asciiTheme="minorHAnsi" w:eastAsia="Times New Roman" w:hAnsiTheme="minorHAnsi" w:cstheme="minorHAnsi"/>
                <w:bCs/>
                <w:iCs/>
                <w:noProof/>
                <w:sz w:val="20"/>
              </w:rPr>
            </w:pPr>
            <w:r w:rsidRPr="0098711E">
              <w:rPr>
                <w:rFonts w:asciiTheme="minorHAnsi" w:eastAsia="Times New Roman" w:hAnsiTheme="minorHAnsi" w:cstheme="minorHAnsi"/>
                <w:bCs/>
                <w:iCs/>
                <w:noProof/>
                <w:sz w:val="20"/>
              </w:rPr>
              <w:t>Wobec czego  ciągłość spełnienia warunku została bezwzględnie zapewniona dla  perspektywy finansowej UE na lata 2021-2027.</w:t>
            </w:r>
          </w:p>
          <w:p w14:paraId="7ADF59CD"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Link do Krajowego planu gospodarki odpadami 2028</w:t>
            </w:r>
          </w:p>
          <w:p w14:paraId="6584FEC3" w14:textId="77777777" w:rsidR="0098711E" w:rsidRDefault="0098711E" w:rsidP="0098711E">
            <w:pPr>
              <w:jc w:val="left"/>
              <w:rPr>
                <w:rFonts w:asciiTheme="minorHAnsi" w:eastAsia="Times New Roman" w:hAnsiTheme="minorHAnsi" w:cstheme="minorHAnsi"/>
                <w:bCs/>
                <w:iCs/>
                <w:noProof/>
                <w:sz w:val="20"/>
              </w:rPr>
            </w:pPr>
            <w:hyperlink r:id="rId94" w:history="1">
              <w:r w:rsidRPr="0098711E">
                <w:rPr>
                  <w:rStyle w:val="Hipercze"/>
                  <w:rFonts w:asciiTheme="minorHAnsi" w:eastAsia="Times New Roman" w:hAnsiTheme="minorHAnsi" w:cstheme="minorHAnsi"/>
                  <w:bCs/>
                  <w:iCs/>
                  <w:noProof/>
                  <w:sz w:val="20"/>
                </w:rPr>
                <w:t>https://dziennikustaw.gov.pl/MP/2023/702</w:t>
              </w:r>
            </w:hyperlink>
          </w:p>
          <w:p w14:paraId="1044C792"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 xml:space="preserve">Kryterium 1. </w:t>
            </w:r>
          </w:p>
          <w:p w14:paraId="4800523A"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Spełnienie kryterium zapewnia : KPGO 2028, wraz z m.in. załącznikiem 2 do KPGO 2028.</w:t>
            </w:r>
          </w:p>
          <w:p w14:paraId="4F5F573B"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lastRenderedPageBreak/>
              <w:t>Link do Krajowego planu gospodarki odpadami 2028</w:t>
            </w:r>
          </w:p>
          <w:p w14:paraId="17A25C4F" w14:textId="77777777" w:rsidR="0098711E" w:rsidRPr="0098711E" w:rsidRDefault="0098711E" w:rsidP="0098711E">
            <w:pPr>
              <w:jc w:val="left"/>
              <w:rPr>
                <w:rFonts w:asciiTheme="minorHAnsi" w:eastAsia="Times New Roman" w:hAnsiTheme="minorHAnsi" w:cstheme="minorHAnsi"/>
                <w:b/>
                <w:bCs/>
                <w:iCs/>
                <w:noProof/>
                <w:sz w:val="20"/>
              </w:rPr>
            </w:pPr>
            <w:hyperlink r:id="rId95" w:history="1">
              <w:r w:rsidRPr="0098711E">
                <w:rPr>
                  <w:rStyle w:val="Hipercze"/>
                  <w:rFonts w:asciiTheme="minorHAnsi" w:eastAsia="Times New Roman" w:hAnsiTheme="minorHAnsi" w:cstheme="minorHAnsi"/>
                  <w:b/>
                  <w:bCs/>
                  <w:iCs/>
                  <w:noProof/>
                  <w:sz w:val="20"/>
                </w:rPr>
                <w:t>https://dziennikustaw.gov.pl/MP/2023/702</w:t>
              </w:r>
            </w:hyperlink>
          </w:p>
          <w:p w14:paraId="3142156C" w14:textId="604A0374"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Kryterium 2</w:t>
            </w:r>
            <w:r>
              <w:rPr>
                <w:rFonts w:asciiTheme="minorHAnsi" w:eastAsia="Times New Roman" w:hAnsiTheme="minorHAnsi" w:cstheme="minorHAnsi"/>
                <w:b/>
                <w:bCs/>
                <w:iCs/>
                <w:noProof/>
                <w:sz w:val="20"/>
              </w:rPr>
              <w:t>.</w:t>
            </w:r>
          </w:p>
          <w:p w14:paraId="14D069CC" w14:textId="77777777" w:rsidR="0098711E" w:rsidRPr="0098711E" w:rsidRDefault="0098711E" w:rsidP="0098711E">
            <w:pPr>
              <w:jc w:val="left"/>
              <w:rPr>
                <w:rFonts w:asciiTheme="minorHAnsi" w:eastAsia="Times New Roman" w:hAnsiTheme="minorHAnsi" w:cstheme="minorHAnsi"/>
                <w:bCs/>
                <w:iCs/>
                <w:noProof/>
                <w:sz w:val="20"/>
              </w:rPr>
            </w:pPr>
            <w:r w:rsidRPr="0098711E">
              <w:rPr>
                <w:rFonts w:asciiTheme="minorHAnsi" w:eastAsia="Times New Roman" w:hAnsiTheme="minorHAnsi" w:cstheme="minorHAnsi"/>
                <w:b/>
                <w:bCs/>
                <w:iCs/>
                <w:noProof/>
                <w:sz w:val="20"/>
              </w:rPr>
              <w:t>Spełnienie kryterium poprzez  KPGO 2028</w:t>
            </w:r>
          </w:p>
          <w:p w14:paraId="1A777B72"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Link do Krajowego planu gospodarki odpadami 2028</w:t>
            </w:r>
          </w:p>
          <w:p w14:paraId="74C79110" w14:textId="77777777" w:rsidR="0098711E" w:rsidRPr="0098711E" w:rsidRDefault="0098711E" w:rsidP="0098711E">
            <w:pPr>
              <w:jc w:val="left"/>
              <w:rPr>
                <w:rFonts w:asciiTheme="minorHAnsi" w:eastAsia="Times New Roman" w:hAnsiTheme="minorHAnsi" w:cstheme="minorHAnsi"/>
                <w:b/>
                <w:bCs/>
                <w:iCs/>
                <w:noProof/>
                <w:sz w:val="20"/>
              </w:rPr>
            </w:pPr>
            <w:hyperlink r:id="rId96" w:history="1">
              <w:r w:rsidRPr="0098711E">
                <w:rPr>
                  <w:rStyle w:val="Hipercze"/>
                  <w:rFonts w:asciiTheme="minorHAnsi" w:eastAsia="Times New Roman" w:hAnsiTheme="minorHAnsi" w:cstheme="minorHAnsi"/>
                  <w:b/>
                  <w:bCs/>
                  <w:iCs/>
                  <w:noProof/>
                  <w:sz w:val="20"/>
                </w:rPr>
                <w:t>https://dziennikustaw.gov.pl/MP/2023/702</w:t>
              </w:r>
            </w:hyperlink>
          </w:p>
          <w:p w14:paraId="27150C0C"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Link do rozporządzenia Ministra Środowiska z dnia 29 grudnia 2016 r. w sprawie szczegółowego sposobu selektywnego zbierania wybranych frakcji odpadów</w:t>
            </w:r>
          </w:p>
          <w:p w14:paraId="6D7BFE4D" w14:textId="77777777" w:rsidR="0098711E" w:rsidRPr="0098711E" w:rsidRDefault="0098711E" w:rsidP="0098711E">
            <w:pPr>
              <w:jc w:val="left"/>
              <w:rPr>
                <w:rFonts w:asciiTheme="minorHAnsi" w:eastAsia="Times New Roman" w:hAnsiTheme="minorHAnsi" w:cstheme="minorHAnsi"/>
                <w:b/>
                <w:bCs/>
                <w:iCs/>
                <w:noProof/>
                <w:sz w:val="20"/>
              </w:rPr>
            </w:pPr>
            <w:hyperlink r:id="rId97" w:history="1">
              <w:r w:rsidRPr="0098711E">
                <w:rPr>
                  <w:rStyle w:val="Hipercze"/>
                  <w:rFonts w:asciiTheme="minorHAnsi" w:eastAsia="Times New Roman" w:hAnsiTheme="minorHAnsi" w:cstheme="minorHAnsi"/>
                  <w:b/>
                  <w:bCs/>
                  <w:iCs/>
                  <w:noProof/>
                  <w:sz w:val="20"/>
                </w:rPr>
                <w:t>http://isap.sejm.gov.pl/isap.nsf/download.xsp/WDU20170000019/O/D20170019.pdf</w:t>
              </w:r>
            </w:hyperlink>
            <w:r w:rsidRPr="0098711E">
              <w:rPr>
                <w:rFonts w:asciiTheme="minorHAnsi" w:eastAsia="Times New Roman" w:hAnsiTheme="minorHAnsi" w:cstheme="minorHAnsi"/>
                <w:b/>
                <w:bCs/>
                <w:iCs/>
                <w:noProof/>
                <w:sz w:val="20"/>
              </w:rPr>
              <w:t xml:space="preserve"> </w:t>
            </w:r>
          </w:p>
          <w:p w14:paraId="48D7B6ED"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Link do rozporządzenia Ministra Klimatu i Środowiska z dnia 10 maja 2021 r. w sprawie sposobu selektywnego zbierania wybranych frakcji odpadów</w:t>
            </w:r>
          </w:p>
          <w:p w14:paraId="32B44F33" w14:textId="4E37D57B" w:rsidR="0098711E" w:rsidRPr="00F62734" w:rsidRDefault="0098711E" w:rsidP="0098711E">
            <w:pPr>
              <w:jc w:val="left"/>
              <w:rPr>
                <w:rFonts w:asciiTheme="minorHAnsi" w:eastAsia="Times New Roman" w:hAnsiTheme="minorHAnsi" w:cstheme="minorHAnsi"/>
                <w:b/>
                <w:bCs/>
                <w:iCs/>
                <w:noProof/>
                <w:sz w:val="20"/>
              </w:rPr>
            </w:pPr>
            <w:hyperlink r:id="rId98" w:history="1">
              <w:r w:rsidRPr="0098711E">
                <w:rPr>
                  <w:rStyle w:val="Hipercze"/>
                  <w:rFonts w:asciiTheme="minorHAnsi" w:eastAsia="Times New Roman" w:hAnsiTheme="minorHAnsi" w:cstheme="minorHAnsi"/>
                  <w:b/>
                  <w:bCs/>
                  <w:iCs/>
                  <w:noProof/>
                  <w:sz w:val="20"/>
                </w:rPr>
                <w:t>http://isap.sejm.gov.pl/isap.nsf/download.xsp/WDU20210000906/O/D20210906.pdf</w:t>
              </w:r>
            </w:hyperlink>
            <w:r>
              <w:rPr>
                <w:rFonts w:asciiTheme="minorHAnsi" w:eastAsia="Times New Roman" w:hAnsiTheme="minorHAnsi" w:cstheme="minorHAnsi"/>
                <w:b/>
                <w:bCs/>
                <w:iCs/>
                <w:noProof/>
                <w:sz w:val="20"/>
              </w:rPr>
              <w:t xml:space="preserve"> </w:t>
            </w:r>
          </w:p>
          <w:p w14:paraId="21C40FD7"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lastRenderedPageBreak/>
              <w:t>Kryterium 3.</w:t>
            </w:r>
          </w:p>
          <w:p w14:paraId="1B69EC8E" w14:textId="77777777" w:rsidR="0098711E" w:rsidRPr="0098711E" w:rsidRDefault="0098711E" w:rsidP="0098711E">
            <w:pPr>
              <w:jc w:val="left"/>
              <w:rPr>
                <w:rFonts w:asciiTheme="minorHAnsi" w:eastAsia="Times New Roman" w:hAnsiTheme="minorHAnsi" w:cstheme="minorHAnsi"/>
                <w:bCs/>
                <w:iCs/>
                <w:noProof/>
                <w:sz w:val="20"/>
              </w:rPr>
            </w:pPr>
            <w:r w:rsidRPr="0098711E">
              <w:rPr>
                <w:rFonts w:asciiTheme="minorHAnsi" w:eastAsia="Times New Roman" w:hAnsiTheme="minorHAnsi" w:cstheme="minorHAnsi"/>
                <w:b/>
                <w:bCs/>
                <w:iCs/>
                <w:noProof/>
                <w:sz w:val="20"/>
              </w:rPr>
              <w:t>Spełnione poprzez przyjęcie nowego załącznika do KPGO 2022</w:t>
            </w:r>
          </w:p>
          <w:p w14:paraId="49A4C419"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Link do aktualizacji KPGO  - Załącznik dot. luki inwestycyjnej</w:t>
            </w:r>
          </w:p>
          <w:p w14:paraId="5103DBFB" w14:textId="77777777" w:rsidR="0098711E" w:rsidRPr="0098711E" w:rsidRDefault="0098711E" w:rsidP="0098711E">
            <w:pPr>
              <w:jc w:val="left"/>
              <w:rPr>
                <w:rFonts w:asciiTheme="minorHAnsi" w:eastAsia="Times New Roman" w:hAnsiTheme="minorHAnsi" w:cstheme="minorHAnsi"/>
                <w:b/>
                <w:bCs/>
                <w:iCs/>
                <w:noProof/>
                <w:sz w:val="20"/>
              </w:rPr>
            </w:pPr>
            <w:hyperlink r:id="rId99" w:history="1">
              <w:r w:rsidRPr="0098711E">
                <w:rPr>
                  <w:rStyle w:val="Hipercze"/>
                  <w:rFonts w:asciiTheme="minorHAnsi" w:eastAsia="Times New Roman" w:hAnsiTheme="minorHAnsi" w:cstheme="minorHAnsi"/>
                  <w:b/>
                  <w:bCs/>
                  <w:iCs/>
                  <w:noProof/>
                  <w:sz w:val="20"/>
                </w:rPr>
                <w:t>http://isap.sejm.gov.pl/isap.nsf/download.xsp/WMP20210000509/O/M20210509.pdf</w:t>
              </w:r>
            </w:hyperlink>
          </w:p>
          <w:p w14:paraId="52298CCD" w14:textId="76912A40"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 xml:space="preserve">Kryterium 4. </w:t>
            </w:r>
          </w:p>
          <w:p w14:paraId="6EF5BDE3"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Spełnione poprzez poprzez art. 35 ust. 1 pkt 4 lit. c) ustawy o odpadach, KPGO 2028, załącznik nr 2 do KPGO 2-28, WPGO</w:t>
            </w:r>
          </w:p>
          <w:p w14:paraId="6482AFEA" w14:textId="77777777" w:rsidR="0098711E" w:rsidRPr="0098711E" w:rsidRDefault="0098711E" w:rsidP="0098711E">
            <w:pPr>
              <w:jc w:val="left"/>
              <w:rPr>
                <w:rFonts w:asciiTheme="minorHAnsi" w:eastAsia="Times New Roman" w:hAnsiTheme="minorHAnsi" w:cstheme="minorHAnsi"/>
                <w:b/>
                <w:bCs/>
                <w:iCs/>
                <w:noProof/>
                <w:sz w:val="20"/>
              </w:rPr>
            </w:pPr>
            <w:r w:rsidRPr="0098711E">
              <w:rPr>
                <w:rFonts w:asciiTheme="minorHAnsi" w:eastAsia="Times New Roman" w:hAnsiTheme="minorHAnsi" w:cstheme="minorHAnsi"/>
                <w:b/>
                <w:bCs/>
                <w:iCs/>
                <w:noProof/>
                <w:sz w:val="20"/>
              </w:rPr>
              <w:t>Link do Krajowego planu gospodarki odpadami 2028</w:t>
            </w:r>
          </w:p>
          <w:p w14:paraId="04A386FE" w14:textId="77777777" w:rsidR="0098711E" w:rsidRPr="0098711E" w:rsidRDefault="0098711E" w:rsidP="0098711E">
            <w:pPr>
              <w:jc w:val="left"/>
              <w:rPr>
                <w:rFonts w:asciiTheme="minorHAnsi" w:eastAsia="Times New Roman" w:hAnsiTheme="minorHAnsi" w:cstheme="minorHAnsi"/>
                <w:b/>
                <w:bCs/>
                <w:iCs/>
                <w:noProof/>
                <w:sz w:val="20"/>
              </w:rPr>
            </w:pPr>
            <w:hyperlink r:id="rId100" w:history="1">
              <w:r w:rsidRPr="0098711E">
                <w:rPr>
                  <w:rStyle w:val="Hipercze"/>
                  <w:rFonts w:asciiTheme="minorHAnsi" w:eastAsia="Times New Roman" w:hAnsiTheme="minorHAnsi" w:cstheme="minorHAnsi"/>
                  <w:b/>
                  <w:bCs/>
                  <w:iCs/>
                  <w:noProof/>
                  <w:sz w:val="20"/>
                </w:rPr>
                <w:t>https://dziennikustaw.gov.pl/MP/2023/702</w:t>
              </w:r>
            </w:hyperlink>
          </w:p>
          <w:p w14:paraId="20236F3A" w14:textId="77777777" w:rsidR="0098711E" w:rsidRDefault="0098711E" w:rsidP="00E8684E">
            <w:pPr>
              <w:jc w:val="left"/>
              <w:rPr>
                <w:rFonts w:asciiTheme="minorHAnsi" w:eastAsia="Times New Roman" w:hAnsiTheme="minorHAnsi" w:cstheme="minorHAnsi"/>
                <w:bCs/>
                <w:iCs/>
                <w:noProof/>
                <w:sz w:val="20"/>
              </w:rPr>
            </w:pPr>
          </w:p>
          <w:p w14:paraId="6966A8A3" w14:textId="6570D40B"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22605DF7" w14:textId="77777777" w:rsidR="00671DAD"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lastRenderedPageBreak/>
              <w:t xml:space="preserve">Kryterium 1. </w:t>
            </w:r>
          </w:p>
          <w:p w14:paraId="107A7800" w14:textId="77777777" w:rsidR="00275430" w:rsidRPr="00275430" w:rsidRDefault="00275430" w:rsidP="00275430">
            <w:pPr>
              <w:spacing w:after="0"/>
              <w:jc w:val="left"/>
              <w:rPr>
                <w:rFonts w:asciiTheme="minorHAnsi" w:hAnsiTheme="minorHAnsi" w:cstheme="minorHAnsi"/>
                <w:bCs/>
                <w:sz w:val="20"/>
              </w:rPr>
            </w:pPr>
            <w:r w:rsidRPr="00275430">
              <w:rPr>
                <w:rFonts w:asciiTheme="minorHAnsi" w:hAnsiTheme="minorHAnsi" w:cstheme="minorHAnsi"/>
                <w:bCs/>
                <w:sz w:val="20"/>
              </w:rPr>
              <w:t xml:space="preserve">KPGO 2028 wraz z oceną luki inwestycyjnej zawartą w załączniku nr 2  zawiera aktualną w odniesieniu do obszaru całego kraju analizę stanu gospodarki odpadami komunalnymi dla poszczególnych rodzajów odpadów z uwzględnieniem ilości, składu morfologicznego i źródeł ich powstawania. </w:t>
            </w:r>
          </w:p>
          <w:p w14:paraId="71D01098" w14:textId="1D67AFD9" w:rsidR="00275430" w:rsidRDefault="00275430" w:rsidP="00325D70">
            <w:pPr>
              <w:spacing w:after="0"/>
              <w:jc w:val="left"/>
              <w:rPr>
                <w:rFonts w:asciiTheme="minorHAnsi" w:hAnsiTheme="minorHAnsi" w:cstheme="minorHAnsi"/>
                <w:bCs/>
                <w:sz w:val="20"/>
              </w:rPr>
            </w:pPr>
            <w:r w:rsidRPr="00275430">
              <w:rPr>
                <w:rFonts w:asciiTheme="minorHAnsi" w:hAnsiTheme="minorHAnsi" w:cstheme="minorHAnsi"/>
                <w:bCs/>
                <w:sz w:val="20"/>
              </w:rPr>
              <w:lastRenderedPageBreak/>
              <w:t>W zakresie analizy luki inwestycyjnej oceniono istniejący potencjał instalacji gospodarki odpadami i PSZOK oraz określono zapotrzebowanie na inwestycje mające na celu zapewnienie osiągnięcia celów UE dotyczących zapobiegania powstawaniu odpadów oraz gospodarowania odpadami.</w:t>
            </w:r>
          </w:p>
          <w:p w14:paraId="540B311F" w14:textId="12AC7682" w:rsidR="00E8684E" w:rsidRPr="00890249" w:rsidRDefault="00E8684E" w:rsidP="00F62734">
            <w:pPr>
              <w:spacing w:after="0"/>
              <w:jc w:val="left"/>
              <w:rPr>
                <w:rFonts w:asciiTheme="minorHAnsi" w:eastAsia="Times New Roman" w:hAnsiTheme="minorHAnsi" w:cstheme="minorHAnsi"/>
                <w:bCs/>
                <w:iCs/>
                <w:noProof/>
                <w:sz w:val="20"/>
              </w:rPr>
            </w:pPr>
          </w:p>
        </w:tc>
      </w:tr>
      <w:tr w:rsidR="00E8684E" w:rsidRPr="00890249" w14:paraId="67130213" w14:textId="77777777" w:rsidTr="00F62734">
        <w:tc>
          <w:tcPr>
            <w:tcW w:w="1560" w:type="dxa"/>
            <w:vMerge/>
          </w:tcPr>
          <w:p w14:paraId="57BDD8CE"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29334C1A"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2FFB3F30"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54B3E1B0"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13E60132" w14:textId="77777777" w:rsidR="00E8684E" w:rsidRPr="00890249" w:rsidRDefault="00E8684E" w:rsidP="00E8684E">
            <w:pPr>
              <w:jc w:val="left"/>
              <w:rPr>
                <w:rFonts w:asciiTheme="minorHAnsi" w:hAnsiTheme="minorHAnsi" w:cstheme="minorHAnsi"/>
                <w:noProof/>
                <w:sz w:val="20"/>
              </w:rPr>
            </w:pPr>
            <w:r w:rsidRPr="00890249">
              <w:rPr>
                <w:rFonts w:asciiTheme="minorHAnsi" w:hAnsiTheme="minorHAnsi" w:cstheme="minorHAnsi"/>
                <w:b/>
                <w:bCs/>
                <w:color w:val="000000"/>
                <w:sz w:val="20"/>
              </w:rPr>
              <w:t>Kryterium 2</w:t>
            </w:r>
            <w:r w:rsidRPr="00890249">
              <w:rPr>
                <w:rFonts w:asciiTheme="minorHAnsi" w:hAnsiTheme="minorHAnsi" w:cstheme="minorHAnsi"/>
                <w:color w:val="000000"/>
                <w:sz w:val="20"/>
              </w:rPr>
              <w:t>. ocenę istniejących systemów zbierania odpadów, w tym materialnego i terytorialnego zakresu selektywnego zbierania oraz środków służących poprawie jego funkcjonowania oraz potrzeby stworzenia nowych systemów zbierania</w:t>
            </w:r>
          </w:p>
        </w:tc>
        <w:tc>
          <w:tcPr>
            <w:tcW w:w="1134" w:type="dxa"/>
            <w:vMerge/>
          </w:tcPr>
          <w:p w14:paraId="79C88FFC"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1E48B8ED"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66EB11AB" w14:textId="77777777" w:rsidR="00671DAD" w:rsidRDefault="00875C92" w:rsidP="00325D70">
            <w:pPr>
              <w:autoSpaceDE w:val="0"/>
              <w:autoSpaceDN w:val="0"/>
              <w:adjustRightInd w:val="0"/>
              <w:spacing w:after="0"/>
              <w:jc w:val="left"/>
              <w:rPr>
                <w:rFonts w:asciiTheme="minorHAnsi" w:hAnsiTheme="minorHAnsi" w:cstheme="minorHAnsi"/>
                <w:b/>
                <w:sz w:val="20"/>
              </w:rPr>
            </w:pPr>
            <w:r w:rsidRPr="00890249">
              <w:rPr>
                <w:rFonts w:asciiTheme="minorHAnsi" w:hAnsiTheme="minorHAnsi" w:cstheme="minorHAnsi"/>
                <w:b/>
                <w:sz w:val="20"/>
              </w:rPr>
              <w:t>Kryterium 2</w:t>
            </w:r>
          </w:p>
          <w:p w14:paraId="607E725F" w14:textId="77777777" w:rsidR="00275430" w:rsidRPr="00F62734" w:rsidRDefault="00275430" w:rsidP="00275430">
            <w:pPr>
              <w:autoSpaceDE w:val="0"/>
              <w:autoSpaceDN w:val="0"/>
              <w:adjustRightInd w:val="0"/>
              <w:spacing w:after="0"/>
              <w:jc w:val="left"/>
              <w:rPr>
                <w:rFonts w:asciiTheme="minorHAnsi" w:hAnsiTheme="minorHAnsi" w:cstheme="minorHAnsi"/>
                <w:bCs/>
                <w:sz w:val="20"/>
              </w:rPr>
            </w:pPr>
            <w:r w:rsidRPr="00F62734">
              <w:rPr>
                <w:rFonts w:asciiTheme="minorHAnsi" w:hAnsiTheme="minorHAnsi" w:cstheme="minorHAnsi"/>
                <w:bCs/>
                <w:sz w:val="20"/>
              </w:rPr>
              <w:t xml:space="preserve">KPGO 2028 zawiera ocenę istniejących systemów zbierania odpadów, w tym zakresu rzeczowego i terytorialnego selektywnego zbierania oraz środków usprawniających jej działanie, a także potrzeby nowych systemów zbiórki. Już w KPGO 2022 wskazano potrzebę wprowadzenia jednolitych standardów selektywnego </w:t>
            </w:r>
            <w:r w:rsidRPr="00F62734">
              <w:rPr>
                <w:rFonts w:asciiTheme="minorHAnsi" w:hAnsiTheme="minorHAnsi" w:cstheme="minorHAnsi"/>
                <w:bCs/>
                <w:sz w:val="20"/>
              </w:rPr>
              <w:lastRenderedPageBreak/>
              <w:t>zbierania odpadów komunalnych na terenie całego kraju. Określono je w rozporządzeniu Ministra Środowiska z 29 grudnia 2016 r. ws.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p>
          <w:p w14:paraId="7B2373AC" w14:textId="7E57B73A" w:rsidR="00275430" w:rsidRPr="00F62734" w:rsidRDefault="00275430" w:rsidP="00325D70">
            <w:pPr>
              <w:autoSpaceDE w:val="0"/>
              <w:autoSpaceDN w:val="0"/>
              <w:adjustRightInd w:val="0"/>
              <w:spacing w:after="0"/>
              <w:jc w:val="left"/>
              <w:rPr>
                <w:rFonts w:asciiTheme="minorHAnsi" w:hAnsiTheme="minorHAnsi" w:cstheme="minorHAnsi"/>
                <w:bCs/>
                <w:sz w:val="20"/>
              </w:rPr>
            </w:pPr>
            <w:r w:rsidRPr="00F62734">
              <w:rPr>
                <w:rFonts w:asciiTheme="minorHAnsi" w:hAnsiTheme="minorHAnsi" w:cstheme="minorHAnsi"/>
                <w:bCs/>
                <w:sz w:val="20"/>
              </w:rPr>
              <w:t>Załącznik do KPGO 2028, na podstawie analizy potrzeb dot. systemu selektywnego zbierania, wskazuje, że w kolejnych latach powinien nastąpić rozwój PSZOK wraz z punktami napraw i wymiany rzeczy używanych oraz określa potrzeby w tym zakresie.</w:t>
            </w:r>
          </w:p>
          <w:p w14:paraId="1882A57A" w14:textId="44366678" w:rsidR="00E8684E" w:rsidRPr="00890249" w:rsidRDefault="00E8684E" w:rsidP="00F62734">
            <w:pPr>
              <w:spacing w:after="0"/>
              <w:jc w:val="left"/>
              <w:rPr>
                <w:rFonts w:asciiTheme="minorHAnsi" w:hAnsiTheme="minorHAnsi" w:cstheme="minorHAnsi"/>
                <w:bCs/>
                <w:sz w:val="20"/>
              </w:rPr>
            </w:pPr>
          </w:p>
        </w:tc>
      </w:tr>
      <w:tr w:rsidR="00E8684E" w:rsidRPr="00890249" w14:paraId="44C74DE9" w14:textId="77777777" w:rsidTr="00F62734">
        <w:tc>
          <w:tcPr>
            <w:tcW w:w="1560" w:type="dxa"/>
            <w:vMerge/>
          </w:tcPr>
          <w:p w14:paraId="5F437B0D"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3AD48DFF"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0758352D"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5DFCA20A"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3FE1374B"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b/>
                <w:bCs/>
                <w:color w:val="000000"/>
                <w:sz w:val="20"/>
              </w:rPr>
              <w:t>Kryterium 3</w:t>
            </w:r>
            <w:r w:rsidRPr="00890249">
              <w:rPr>
                <w:rFonts w:asciiTheme="minorHAnsi" w:hAnsiTheme="minorHAnsi" w:cstheme="minorHAnsi"/>
                <w:color w:val="000000"/>
                <w:sz w:val="20"/>
              </w:rPr>
              <w:t>. ocenę luki inwestycyjnej uzasadniającą potrzebę zamknięcia</w:t>
            </w:r>
          </w:p>
          <w:p w14:paraId="3E131409"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istniejących obiektów gospodarowania odpadami oraz wprowadzenia dodatkowej lub zmodernizowanej infrastruktury</w:t>
            </w:r>
          </w:p>
          <w:p w14:paraId="7CF4644C"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gospodarowania odpadami, z informacją o źródłach dostępnych dochodów na pokrycie kosztów operacyjnych i kosztów utrzymania;</w:t>
            </w:r>
          </w:p>
        </w:tc>
        <w:tc>
          <w:tcPr>
            <w:tcW w:w="1134" w:type="dxa"/>
            <w:vMerge/>
          </w:tcPr>
          <w:p w14:paraId="46B8BF4E"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388FEB61"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0445AC21" w14:textId="77777777" w:rsidR="00671DAD" w:rsidRPr="00890249" w:rsidRDefault="00875C92" w:rsidP="00325D70">
            <w:pPr>
              <w:spacing w:after="0"/>
              <w:jc w:val="left"/>
              <w:rPr>
                <w:rFonts w:asciiTheme="minorHAnsi" w:hAnsiTheme="minorHAnsi" w:cstheme="minorHAnsi"/>
                <w:b/>
                <w:sz w:val="20"/>
              </w:rPr>
            </w:pPr>
            <w:r w:rsidRPr="00890249">
              <w:rPr>
                <w:rFonts w:asciiTheme="minorHAnsi" w:hAnsiTheme="minorHAnsi" w:cstheme="minorHAnsi"/>
                <w:b/>
                <w:sz w:val="20"/>
              </w:rPr>
              <w:t>Kryterium 3.</w:t>
            </w:r>
          </w:p>
          <w:p w14:paraId="652D77A6" w14:textId="1E71F927" w:rsidR="00275430" w:rsidRDefault="00275430" w:rsidP="00325D70">
            <w:pPr>
              <w:spacing w:after="0"/>
              <w:jc w:val="left"/>
              <w:rPr>
                <w:rFonts w:asciiTheme="minorHAnsi" w:hAnsiTheme="minorHAnsi" w:cstheme="minorHAnsi"/>
                <w:bCs/>
                <w:sz w:val="20"/>
              </w:rPr>
            </w:pPr>
            <w:r w:rsidRPr="00275430">
              <w:rPr>
                <w:rFonts w:asciiTheme="minorHAnsi" w:hAnsiTheme="minorHAnsi" w:cstheme="minorHAnsi"/>
                <w:bCs/>
                <w:sz w:val="20"/>
              </w:rPr>
              <w:t>W załączniku nr 2 do KPGO 2028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p w14:paraId="0B4DDA95" w14:textId="0B3895FD" w:rsidR="00E8684E" w:rsidRPr="00890249" w:rsidRDefault="00E8684E" w:rsidP="00F62734">
            <w:pPr>
              <w:spacing w:after="0"/>
              <w:jc w:val="left"/>
              <w:rPr>
                <w:rFonts w:asciiTheme="minorHAnsi" w:hAnsiTheme="minorHAnsi" w:cstheme="minorHAnsi"/>
                <w:bCs/>
                <w:sz w:val="20"/>
              </w:rPr>
            </w:pPr>
          </w:p>
        </w:tc>
      </w:tr>
      <w:tr w:rsidR="00E8684E" w:rsidRPr="00890249" w14:paraId="5877E24A" w14:textId="77777777" w:rsidTr="00F62734">
        <w:tc>
          <w:tcPr>
            <w:tcW w:w="1560" w:type="dxa"/>
            <w:vMerge/>
          </w:tcPr>
          <w:p w14:paraId="2D04BDEF"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29F74EF2"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0F9C5A95"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7C4BB03C"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7EB4F125"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b/>
                <w:bCs/>
                <w:color w:val="000000"/>
                <w:sz w:val="20"/>
              </w:rPr>
              <w:t>Kryterium 4.</w:t>
            </w:r>
            <w:r w:rsidRPr="00890249">
              <w:rPr>
                <w:rFonts w:asciiTheme="minorHAnsi" w:hAnsiTheme="minorHAnsi" w:cstheme="minorHAnsi"/>
                <w:color w:val="000000"/>
                <w:sz w:val="20"/>
              </w:rPr>
              <w:t xml:space="preserve"> informacje dotyczące kryteriów lokalizacji do celów identyfikacji</w:t>
            </w:r>
          </w:p>
          <w:p w14:paraId="7E940250"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 xml:space="preserve">przyszłych lokalizacji obiektów oraz dotyczące wydolności przyszłych </w:t>
            </w:r>
            <w:r w:rsidRPr="00890249">
              <w:rPr>
                <w:rFonts w:asciiTheme="minorHAnsi" w:hAnsiTheme="minorHAnsi" w:cstheme="minorHAnsi"/>
                <w:color w:val="000000"/>
                <w:sz w:val="20"/>
              </w:rPr>
              <w:lastRenderedPageBreak/>
              <w:t>instalacji przetwarzania odpadów.</w:t>
            </w:r>
          </w:p>
        </w:tc>
        <w:tc>
          <w:tcPr>
            <w:tcW w:w="1134" w:type="dxa"/>
            <w:vMerge/>
          </w:tcPr>
          <w:p w14:paraId="0F29AA3B" w14:textId="77777777" w:rsidR="00E8684E" w:rsidRPr="00890249" w:rsidRDefault="00E8684E" w:rsidP="00E8684E">
            <w:pPr>
              <w:jc w:val="left"/>
              <w:rPr>
                <w:rFonts w:asciiTheme="minorHAnsi" w:eastAsia="Times New Roman" w:hAnsiTheme="minorHAnsi" w:cstheme="minorHAnsi"/>
                <w:iCs/>
                <w:noProof/>
                <w:sz w:val="20"/>
              </w:rPr>
            </w:pPr>
          </w:p>
        </w:tc>
        <w:tc>
          <w:tcPr>
            <w:tcW w:w="3402" w:type="dxa"/>
            <w:vMerge/>
          </w:tcPr>
          <w:p w14:paraId="4C7453F4"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25C58C29" w14:textId="77777777" w:rsidR="00671DAD"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4 . </w:t>
            </w:r>
          </w:p>
          <w:p w14:paraId="38DBB6B6" w14:textId="77777777" w:rsidR="00275430" w:rsidRPr="00275430" w:rsidRDefault="00275430" w:rsidP="00275430">
            <w:pPr>
              <w:spacing w:after="0"/>
              <w:jc w:val="left"/>
              <w:rPr>
                <w:rFonts w:asciiTheme="minorHAnsi" w:hAnsiTheme="minorHAnsi" w:cstheme="minorHAnsi"/>
                <w:bCs/>
                <w:sz w:val="20"/>
              </w:rPr>
            </w:pPr>
            <w:r w:rsidRPr="00275430">
              <w:rPr>
                <w:rFonts w:asciiTheme="minorHAnsi" w:hAnsiTheme="minorHAnsi" w:cstheme="minorHAnsi"/>
                <w:bCs/>
                <w:sz w:val="20"/>
              </w:rPr>
              <w:t xml:space="preserve">Uchwalanie i obowiązywanie planów gospodarki odpadami reguluje  ustawa z 14 grudnia 2012 r. o odpadach,  zgodnie z którą plany gospodarki odpadami  opracowuje się na poziomie </w:t>
            </w:r>
            <w:r w:rsidRPr="00275430">
              <w:rPr>
                <w:rFonts w:asciiTheme="minorHAnsi" w:hAnsiTheme="minorHAnsi" w:cstheme="minorHAnsi"/>
                <w:bCs/>
                <w:sz w:val="20"/>
              </w:rPr>
              <w:lastRenderedPageBreak/>
              <w:t>krajowym i wojewódzkim. WPGO powinien być zgodny z KPGO i służyć realizacji zawartych w nim celów, które należy uznać jako uniwersalne w skali całego kraju. Wobec tego Załącznik nr 2 do KPGO 2028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6A96C458" w14:textId="34EB4A2D" w:rsidR="00275430" w:rsidRDefault="00275430" w:rsidP="00325D70">
            <w:pPr>
              <w:spacing w:after="0"/>
              <w:jc w:val="left"/>
              <w:rPr>
                <w:rFonts w:asciiTheme="minorHAnsi" w:hAnsiTheme="minorHAnsi" w:cstheme="minorHAnsi"/>
                <w:bCs/>
                <w:sz w:val="20"/>
              </w:rPr>
            </w:pPr>
            <w:r w:rsidRPr="00275430">
              <w:rPr>
                <w:rFonts w:asciiTheme="minorHAnsi" w:hAnsiTheme="minorHAnsi" w:cstheme="minorHAnsi"/>
                <w:bCs/>
                <w:sz w:val="20"/>
              </w:rPr>
              <w:t xml:space="preserve">W uzasadnionych przypadkach  KPGO 2028 określa kryteria lokalizacji instalacji i obiektów gospodarki odpadami, tj. w zakresie: lokalizacji PSZOKów; instalacji dla odpadów medycznych i weterynaryjnych; składowania odpadów w podziemnych wyrobiskach </w:t>
            </w:r>
            <w:r w:rsidRPr="00275430">
              <w:rPr>
                <w:rFonts w:asciiTheme="minorHAnsi" w:hAnsiTheme="minorHAnsi" w:cstheme="minorHAnsi"/>
                <w:bCs/>
                <w:sz w:val="20"/>
              </w:rPr>
              <w:lastRenderedPageBreak/>
              <w:t xml:space="preserve">górniczych, np. z grupy 01, 06 i 10 i innych również niebezpiecznych np. z procesów oczyszczania spalin.  </w:t>
            </w:r>
          </w:p>
          <w:p w14:paraId="74576984" w14:textId="3CF2240E" w:rsidR="00E8684E" w:rsidRPr="00890249" w:rsidRDefault="00E8684E" w:rsidP="00F62734">
            <w:pPr>
              <w:spacing w:after="0"/>
              <w:jc w:val="left"/>
              <w:rPr>
                <w:rFonts w:asciiTheme="minorHAnsi" w:hAnsiTheme="minorHAnsi" w:cstheme="minorHAnsi"/>
                <w:bCs/>
                <w:sz w:val="20"/>
              </w:rPr>
            </w:pPr>
          </w:p>
        </w:tc>
      </w:tr>
      <w:tr w:rsidR="00E8684E" w:rsidRPr="00890249" w14:paraId="130D5B81" w14:textId="77777777" w:rsidTr="00F62734">
        <w:tc>
          <w:tcPr>
            <w:tcW w:w="1560" w:type="dxa"/>
          </w:tcPr>
          <w:p w14:paraId="0A311C1C"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2.7. Ramy działań priorytetowych w przypadku koniecznych środków ochrony obejmujących dofinansowanie unijne</w:t>
            </w:r>
          </w:p>
        </w:tc>
        <w:tc>
          <w:tcPr>
            <w:tcW w:w="709" w:type="dxa"/>
          </w:tcPr>
          <w:p w14:paraId="19100EE1" w14:textId="77777777" w:rsidR="00E8684E" w:rsidRPr="00890249" w:rsidRDefault="00E8684E" w:rsidP="00E8684E">
            <w:pPr>
              <w:jc w:val="left"/>
              <w:rPr>
                <w:rFonts w:asciiTheme="minorHAnsi" w:hAnsiTheme="minorHAnsi" w:cstheme="minorHAnsi"/>
                <w:sz w:val="20"/>
                <w:lang w:val="en-GB"/>
              </w:rPr>
            </w:pPr>
            <w:r w:rsidRPr="00890249">
              <w:rPr>
                <w:rFonts w:asciiTheme="minorHAnsi" w:hAnsiTheme="minorHAnsi" w:cstheme="minorHAnsi"/>
                <w:sz w:val="20"/>
                <w:lang w:val="en-GB"/>
              </w:rPr>
              <w:t>EFRR,FS</w:t>
            </w:r>
          </w:p>
        </w:tc>
        <w:tc>
          <w:tcPr>
            <w:tcW w:w="1843" w:type="dxa"/>
          </w:tcPr>
          <w:p w14:paraId="181783C4" w14:textId="77777777" w:rsidR="00E8684E" w:rsidRPr="00890249" w:rsidRDefault="00E8684E" w:rsidP="00E8684E">
            <w:pPr>
              <w:jc w:val="left"/>
              <w:rPr>
                <w:rFonts w:asciiTheme="minorHAnsi" w:hAnsiTheme="minorHAnsi" w:cstheme="minorHAnsi"/>
                <w:bCs/>
                <w:sz w:val="20"/>
                <w:highlight w:val="yellow"/>
              </w:rPr>
            </w:pPr>
            <w:r w:rsidRPr="00890249">
              <w:rPr>
                <w:rFonts w:asciiTheme="minorHAnsi" w:hAnsiTheme="minorHAnsi" w:cstheme="minorHAnsi"/>
                <w:bCs/>
                <w:sz w:val="20"/>
              </w:rPr>
              <w:t>Wzmacnianie ochrony i zachowania przyrody, różnorodności biologicznej oraz zielonej infrastruktury, w tym na obszarach miejskich, oraz ograniczanie wszelkich rodzajów zanieczyszczenia</w:t>
            </w:r>
          </w:p>
        </w:tc>
        <w:tc>
          <w:tcPr>
            <w:tcW w:w="1559" w:type="dxa"/>
          </w:tcPr>
          <w:p w14:paraId="5926A841"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2551" w:type="dxa"/>
          </w:tcPr>
          <w:p w14:paraId="3B11AC57" w14:textId="77777777" w:rsidR="00E8684E" w:rsidRPr="00890249" w:rsidRDefault="00E8684E" w:rsidP="00E8684E">
            <w:pPr>
              <w:autoSpaceDE w:val="0"/>
              <w:autoSpaceDN w:val="0"/>
              <w:adjustRightInd w:val="0"/>
              <w:jc w:val="left"/>
              <w:rPr>
                <w:rFonts w:asciiTheme="minorHAnsi" w:hAnsiTheme="minorHAnsi" w:cstheme="minorHAnsi"/>
                <w:b/>
                <w:bCs/>
                <w:color w:val="000000"/>
                <w:sz w:val="20"/>
              </w:rPr>
            </w:pPr>
            <w:r w:rsidRPr="00890249">
              <w:rPr>
                <w:rFonts w:asciiTheme="minorHAnsi" w:hAnsiTheme="minorHAnsi" w:cstheme="minorHAnsi"/>
                <w:b/>
                <w:bCs/>
                <w:color w:val="000000"/>
                <w:sz w:val="20"/>
              </w:rPr>
              <w:t xml:space="preserve">Kryterium 1. </w:t>
            </w:r>
          </w:p>
          <w:p w14:paraId="300D6092" w14:textId="77777777" w:rsidR="00E8684E" w:rsidRPr="00890249" w:rsidRDefault="00E8684E" w:rsidP="00E8684E">
            <w:pPr>
              <w:autoSpaceDE w:val="0"/>
              <w:autoSpaceDN w:val="0"/>
              <w:adjustRightInd w:val="0"/>
              <w:jc w:val="left"/>
              <w:rPr>
                <w:rFonts w:asciiTheme="minorHAnsi" w:hAnsiTheme="minorHAnsi" w:cstheme="minorHAnsi"/>
                <w:color w:val="000000"/>
                <w:sz w:val="20"/>
              </w:rPr>
            </w:pPr>
            <w:r w:rsidRPr="00890249">
              <w:rPr>
                <w:rFonts w:asciiTheme="minorHAnsi" w:hAnsiTheme="minorHAnsi" w:cstheme="minorHAnsi"/>
                <w:color w:val="000000"/>
                <w:sz w:val="20"/>
              </w:rPr>
              <w:t xml:space="preserve">W przypadku interwencji wspierających środki ochrony przyrody w związku z obszarami Natura 2000 objętymi zakresem dyrektywy Rady 92/43/EWG: istnienie ram działań priorytetowych na podstawie art. 8 dyrektywy 92/43/EWG, które obejmują wszystkie elementy wymagane we wzorze ram działań priorytetowych na lata 2021–2027 uzgodnionym przez Komisję i państwa członkowskie, w tym określenie środków priorytetowych i oszacowanie potrzeb w zakresie finansowania. </w:t>
            </w:r>
          </w:p>
          <w:p w14:paraId="0C3E8826" w14:textId="77777777" w:rsidR="00E8684E" w:rsidRPr="00890249" w:rsidRDefault="00E8684E" w:rsidP="00E8684E">
            <w:pPr>
              <w:jc w:val="left"/>
              <w:rPr>
                <w:rFonts w:asciiTheme="minorHAnsi" w:hAnsiTheme="minorHAnsi" w:cstheme="minorHAnsi"/>
                <w:bCs/>
                <w:sz w:val="20"/>
              </w:rPr>
            </w:pPr>
          </w:p>
        </w:tc>
        <w:tc>
          <w:tcPr>
            <w:tcW w:w="1134" w:type="dxa"/>
          </w:tcPr>
          <w:p w14:paraId="55F9DBBE"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Tak</w:t>
            </w:r>
          </w:p>
        </w:tc>
        <w:tc>
          <w:tcPr>
            <w:tcW w:w="3402" w:type="dxa"/>
          </w:tcPr>
          <w:p w14:paraId="314B3298" w14:textId="77777777" w:rsidR="00275430" w:rsidRPr="00275430" w:rsidRDefault="00275430" w:rsidP="00275430">
            <w:pPr>
              <w:jc w:val="left"/>
              <w:rPr>
                <w:rFonts w:asciiTheme="minorHAnsi" w:eastAsia="Times New Roman" w:hAnsiTheme="minorHAnsi" w:cstheme="minorHAnsi"/>
                <w:bCs/>
                <w:iCs/>
                <w:noProof/>
                <w:sz w:val="20"/>
              </w:rPr>
            </w:pPr>
            <w:r w:rsidRPr="00275430">
              <w:rPr>
                <w:rFonts w:asciiTheme="minorHAnsi" w:eastAsia="Times New Roman" w:hAnsiTheme="minorHAnsi" w:cstheme="minorHAnsi"/>
                <w:bCs/>
                <w:iCs/>
                <w:noProof/>
                <w:sz w:val="20"/>
              </w:rPr>
              <w:t>Spełnieniem warunku jest przyjęcie</w:t>
            </w:r>
            <w:r w:rsidRPr="00275430">
              <w:rPr>
                <w:rFonts w:asciiTheme="minorHAnsi" w:eastAsia="Times New Roman" w:hAnsiTheme="minorHAnsi" w:cstheme="minorHAnsi"/>
                <w:b/>
                <w:bCs/>
                <w:iCs/>
                <w:noProof/>
                <w:sz w:val="20"/>
              </w:rPr>
              <w:t xml:space="preserve"> </w:t>
            </w:r>
            <w:r w:rsidRPr="00275430">
              <w:rPr>
                <w:rFonts w:asciiTheme="minorHAnsi" w:eastAsia="Times New Roman" w:hAnsiTheme="minorHAnsi" w:cstheme="minorHAnsi"/>
                <w:bCs/>
                <w:iCs/>
                <w:noProof/>
                <w:sz w:val="20"/>
              </w:rPr>
              <w:t xml:space="preserve">dokumentu: „Priorytetowe Ramy Działań w zakresie finansowania europejskiej sieci ekologicznej Natura 2000 na lata 2021-2027”. (ang: Prioritised Action Framework, PAF). </w:t>
            </w:r>
          </w:p>
          <w:p w14:paraId="45D81BC3" w14:textId="69809DFC" w:rsidR="00275430" w:rsidRPr="00275430" w:rsidRDefault="00275430" w:rsidP="00275430">
            <w:pPr>
              <w:jc w:val="left"/>
              <w:rPr>
                <w:rFonts w:asciiTheme="minorHAnsi" w:eastAsia="Times New Roman" w:hAnsiTheme="minorHAnsi" w:cstheme="minorHAnsi"/>
                <w:bCs/>
                <w:iCs/>
                <w:noProof/>
                <w:sz w:val="20"/>
              </w:rPr>
            </w:pPr>
            <w:r w:rsidRPr="00275430">
              <w:rPr>
                <w:rFonts w:asciiTheme="minorHAnsi" w:eastAsia="Times New Roman" w:hAnsiTheme="minorHAnsi" w:cstheme="minorHAnsi"/>
                <w:bCs/>
                <w:iCs/>
                <w:noProof/>
                <w:sz w:val="20"/>
              </w:rPr>
              <w:t>Dokument zawiera informacje nt. działań priorytetowych niezbędnych do</w:t>
            </w:r>
            <w:r>
              <w:rPr>
                <w:rFonts w:asciiTheme="minorHAnsi" w:eastAsia="Times New Roman" w:hAnsiTheme="minorHAnsi" w:cstheme="minorHAnsi"/>
                <w:bCs/>
                <w:iCs/>
                <w:noProof/>
                <w:sz w:val="20"/>
              </w:rPr>
              <w:t xml:space="preserve"> </w:t>
            </w:r>
            <w:r w:rsidRPr="00275430">
              <w:rPr>
                <w:rFonts w:asciiTheme="minorHAnsi" w:eastAsia="Times New Roman" w:hAnsiTheme="minorHAnsi" w:cstheme="minorHAnsi"/>
                <w:bCs/>
                <w:iCs/>
                <w:noProof/>
                <w:sz w:val="20"/>
              </w:rPr>
              <w:t xml:space="preserve">zrealizowania na terenie obszarów sieci Natura 2000 po 2020 r. oraz wskazanie potencjalnych źródeł ich finansowania w zakresie: planowania ochrony, ochrony siedlisk i gatunków stanowiących przedmioty ochrony, badań naukowych, monitoringu przyrodniczego, działań edukacyjnych i promocyjnych oraz rozwoju zielonej infrastruktury, a także podsumowanie dotychczasowych działań podejmowanych na rzecz sieci Natura 2000 finansowanych z dostępnych środków krajowych i funduszy UE w latach 2014 – 2020. W dokumencie na postawie danych przekazanych przez sprawujących nadzór nad obszarami </w:t>
            </w:r>
            <w:r w:rsidRPr="00275430">
              <w:rPr>
                <w:rFonts w:asciiTheme="minorHAnsi" w:eastAsia="Times New Roman" w:hAnsiTheme="minorHAnsi" w:cstheme="minorHAnsi"/>
                <w:bCs/>
                <w:iCs/>
                <w:noProof/>
                <w:sz w:val="20"/>
              </w:rPr>
              <w:lastRenderedPageBreak/>
              <w:t>Natura 2000 określono odrębnie dla każdego obszaru Natura 2000 działania niezbędne do wykonania na jego terenie, w celu poprawy lub zachowania właściwego stanu ochrony siedlisk przyrodniczych oraz gatunków roślin i zwierząt, w tym ptaków, stanowiących ich przedmiot ochrony. Dodatkowo zaplanowano działania związane z zarządzaniem obszarami sieci Natura 2000 (w tym aktualizacją dokumentów planistycznych), edukacją i promocją, potrzebami w zakresie prowadzenia dalszych badań, monitoringiem, oraz turystycznym udostępnieniem obszarów.</w:t>
            </w:r>
          </w:p>
          <w:p w14:paraId="0EADD47F" w14:textId="77777777" w:rsidR="00275430" w:rsidRPr="00275430" w:rsidRDefault="00275430" w:rsidP="00275430">
            <w:pPr>
              <w:jc w:val="left"/>
              <w:rPr>
                <w:rFonts w:asciiTheme="minorHAnsi" w:eastAsia="Times New Roman" w:hAnsiTheme="minorHAnsi" w:cstheme="minorHAnsi"/>
                <w:bCs/>
                <w:iCs/>
                <w:noProof/>
                <w:sz w:val="20"/>
              </w:rPr>
            </w:pPr>
            <w:r w:rsidRPr="00275430">
              <w:rPr>
                <w:rFonts w:asciiTheme="minorHAnsi" w:eastAsia="Times New Roman" w:hAnsiTheme="minorHAnsi" w:cstheme="minorHAnsi"/>
                <w:bCs/>
                <w:iCs/>
                <w:noProof/>
                <w:sz w:val="20"/>
              </w:rPr>
              <w:t>W dokumencie ujęto również działania realizowane poza granicami sieci Natura 2000 zaliczane do tzw. zielonej infrastruktury.</w:t>
            </w:r>
          </w:p>
          <w:p w14:paraId="326167BC" w14:textId="4D190482" w:rsidR="00275430" w:rsidRPr="00F62734" w:rsidRDefault="00275430" w:rsidP="00275430">
            <w:pPr>
              <w:jc w:val="left"/>
              <w:rPr>
                <w:rFonts w:asciiTheme="minorHAnsi" w:eastAsia="Times New Roman" w:hAnsiTheme="minorHAnsi" w:cstheme="minorHAnsi"/>
                <w:b/>
                <w:bCs/>
                <w:iCs/>
                <w:noProof/>
                <w:sz w:val="20"/>
              </w:rPr>
            </w:pPr>
            <w:r w:rsidRPr="00275430">
              <w:rPr>
                <w:rFonts w:asciiTheme="minorHAnsi" w:eastAsia="Times New Roman" w:hAnsiTheme="minorHAnsi" w:cstheme="minorHAnsi"/>
                <w:b/>
                <w:bCs/>
                <w:iCs/>
                <w:noProof/>
                <w:sz w:val="20"/>
              </w:rPr>
              <w:t>Link do dokumentu:</w:t>
            </w:r>
          </w:p>
          <w:p w14:paraId="3618B8BF" w14:textId="7E995E27" w:rsidR="00275430" w:rsidRDefault="00275430" w:rsidP="00E8684E">
            <w:pPr>
              <w:jc w:val="left"/>
              <w:rPr>
                <w:rFonts w:asciiTheme="minorHAnsi" w:eastAsia="Times New Roman" w:hAnsiTheme="minorHAnsi" w:cstheme="minorHAnsi"/>
                <w:bCs/>
                <w:iCs/>
                <w:noProof/>
                <w:sz w:val="20"/>
              </w:rPr>
            </w:pPr>
            <w:r w:rsidRPr="00275430">
              <w:rPr>
                <w:rFonts w:asciiTheme="minorHAnsi" w:eastAsia="Times New Roman" w:hAnsiTheme="minorHAnsi" w:cstheme="minorHAnsi"/>
                <w:bCs/>
                <w:iCs/>
                <w:noProof/>
                <w:sz w:val="20"/>
              </w:rPr>
              <w:t xml:space="preserve">https://www.gov.pl/web/gdos/wytyczne-i-poradniki2  </w:t>
            </w:r>
          </w:p>
          <w:p w14:paraId="5F24FC83" w14:textId="5B483B8E"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28F80542"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lastRenderedPageBreak/>
              <w:t>Działania dotyczące utrzymania dotychczasowej gospodarki na terenach siedlisk gatunków przyrodniczych  i poprawie ich ochrony w formie czynnej, przewidują m.in. :</w:t>
            </w:r>
          </w:p>
          <w:p w14:paraId="4DEE7C62"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zachowanie siedlisk przyrodniczych i populacji gatunków, w tym:</w:t>
            </w:r>
          </w:p>
          <w:p w14:paraId="51269969"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ekstensywna gospodarka rolna, rybacka i leśna uwzględniająca ochronę siedlisk</w:t>
            </w:r>
          </w:p>
          <w:p w14:paraId="50D83ADE"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zabezpieczenie/odtworzenie miejsc rozrodu gatunków chronionych</w:t>
            </w:r>
          </w:p>
          <w:p w14:paraId="12573BCE"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xml:space="preserve">- wykup gruntów </w:t>
            </w:r>
          </w:p>
          <w:p w14:paraId="379E098E"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odtwarzanie zdegradowanych siedlisk i wzmacnianie zagrożonych gatunków:</w:t>
            </w:r>
          </w:p>
          <w:p w14:paraId="44E15D82"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powstrzymanie naturalnej sukcesji siedlisk</w:t>
            </w:r>
          </w:p>
          <w:p w14:paraId="14CD24AA"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lastRenderedPageBreak/>
              <w:t xml:space="preserve">- przywrócenie/polepszenie reżimu hydrologicznego </w:t>
            </w:r>
          </w:p>
          <w:p w14:paraId="1D043878"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zwalczanie gatunków ekspansywnych/obcych</w:t>
            </w:r>
          </w:p>
          <w:p w14:paraId="45F71B9A"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xml:space="preserve">- restytucja gatunków zagrożonych </w:t>
            </w:r>
          </w:p>
          <w:p w14:paraId="33EAABC7"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udrożnienie ciągłości korytarzy ekologicznych</w:t>
            </w:r>
          </w:p>
          <w:p w14:paraId="4CCCBA0C"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utrzymanie ośrodków hodowli/rehabilitacji dzikich zwierząt.</w:t>
            </w:r>
          </w:p>
          <w:p w14:paraId="650A4682"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wsparcie zarządzania i nadzoru nad obszarami Natura 2000:</w:t>
            </w:r>
          </w:p>
          <w:p w14:paraId="563FD57F"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opracowanie/aktualizacja planów zadań ochronnych /planów ochrony wszystkich obszarów Natura 2000</w:t>
            </w:r>
          </w:p>
          <w:p w14:paraId="69EE5508"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monitoring sieci Natura 2000</w:t>
            </w:r>
          </w:p>
          <w:p w14:paraId="77410352"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badania i działania dot. edukacji i komunikacji dot. ochrony obszarów sieci Natura 2000</w:t>
            </w:r>
          </w:p>
          <w:p w14:paraId="142964D1" w14:textId="77777777" w:rsidR="00E8684E" w:rsidRPr="00890249" w:rsidRDefault="00E8684E" w:rsidP="00325D70">
            <w:pPr>
              <w:jc w:val="left"/>
              <w:rPr>
                <w:rFonts w:asciiTheme="minorHAnsi" w:hAnsiTheme="minorHAnsi" w:cstheme="minorHAnsi"/>
                <w:bCs/>
                <w:sz w:val="20"/>
              </w:rPr>
            </w:pPr>
            <w:r w:rsidRPr="00890249">
              <w:rPr>
                <w:rFonts w:asciiTheme="minorHAnsi" w:hAnsiTheme="minorHAnsi" w:cstheme="minorHAnsi"/>
                <w:bCs/>
                <w:sz w:val="20"/>
              </w:rPr>
              <w:t>- budowa /rozwój infrastruktury turystycznej rozprowadzającej ruch turystyczny na obszarach sieci Natura 2000.</w:t>
            </w:r>
          </w:p>
        </w:tc>
      </w:tr>
      <w:tr w:rsidR="00E8684E" w:rsidRPr="00890249" w14:paraId="56D77182" w14:textId="77777777" w:rsidTr="00F62734">
        <w:tc>
          <w:tcPr>
            <w:tcW w:w="1560" w:type="dxa"/>
            <w:vMerge w:val="restart"/>
          </w:tcPr>
          <w:p w14:paraId="027C1279" w14:textId="77777777" w:rsidR="00E8684E" w:rsidRPr="00890249" w:rsidRDefault="00137192"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lastRenderedPageBreak/>
              <w:t xml:space="preserve">3.1 </w:t>
            </w:r>
            <w:r w:rsidR="00E8684E" w:rsidRPr="00890249">
              <w:rPr>
                <w:rFonts w:asciiTheme="minorHAnsi" w:eastAsia="Times New Roman" w:hAnsiTheme="minorHAnsi" w:cstheme="minorHAnsi"/>
                <w:iCs/>
                <w:noProof/>
                <w:sz w:val="20"/>
              </w:rPr>
              <w:t>Kompleksowe planowanie transportu na odpowiednim poziomie</w:t>
            </w:r>
          </w:p>
        </w:tc>
        <w:tc>
          <w:tcPr>
            <w:tcW w:w="709" w:type="dxa"/>
            <w:vMerge w:val="restart"/>
          </w:tcPr>
          <w:p w14:paraId="6CDD5EAE"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EFRR Fundusz Spójności</w:t>
            </w:r>
          </w:p>
        </w:tc>
        <w:tc>
          <w:tcPr>
            <w:tcW w:w="1843" w:type="dxa"/>
            <w:vMerge w:val="restart"/>
          </w:tcPr>
          <w:p w14:paraId="0386384C" w14:textId="77777777" w:rsidR="00E8684E" w:rsidRPr="00890249" w:rsidRDefault="00E8684E" w:rsidP="00E8684E">
            <w:pPr>
              <w:jc w:val="left"/>
              <w:rPr>
                <w:rFonts w:asciiTheme="minorHAnsi" w:hAnsiTheme="minorHAnsi" w:cstheme="minorHAnsi"/>
                <w:bCs/>
                <w:sz w:val="20"/>
              </w:rPr>
            </w:pPr>
            <w:r w:rsidRPr="00890249">
              <w:rPr>
                <w:rFonts w:asciiTheme="minorHAnsi" w:hAnsiTheme="minorHAnsi" w:cstheme="minorHAnsi"/>
                <w:bCs/>
                <w:sz w:val="20"/>
              </w:rPr>
              <w:t xml:space="preserve">Rozwój odpornej na zmiany klimatu, inteligentnej, bezpiecznej, zrównoważonej i intermodalnej sieci TEN-T </w:t>
            </w:r>
          </w:p>
          <w:p w14:paraId="4F2A6232" w14:textId="77777777"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hAnsiTheme="minorHAnsi" w:cstheme="minorHAnsi"/>
                <w:bCs/>
                <w:sz w:val="20"/>
              </w:rPr>
              <w:t>Rozwój i udoskonalenie zrównoważonej, odpornej na zmiany klimatu, inteligentnej i intermodalnej mobilności na poziomie krajowym, regionalnym i lokalnym, w tym poprawa dostępu do sieci TEN-T oraz mobilności transgranicznej</w:t>
            </w:r>
          </w:p>
        </w:tc>
        <w:tc>
          <w:tcPr>
            <w:tcW w:w="1559" w:type="dxa"/>
            <w:vMerge w:val="restart"/>
          </w:tcPr>
          <w:p w14:paraId="280606E9" w14:textId="7D21961E" w:rsidR="00E8684E" w:rsidRPr="00890249" w:rsidRDefault="006441FD" w:rsidP="00E8684E">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t>Tak</w:t>
            </w:r>
          </w:p>
        </w:tc>
        <w:tc>
          <w:tcPr>
            <w:tcW w:w="2551" w:type="dxa"/>
          </w:tcPr>
          <w:p w14:paraId="0A43DDF5"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Funkcjonowanie multimodalnego mapowania istniejącej i planowanej infrastruktury – z wyjątkiem szczebla lokalnego – do 2030 r., które:</w:t>
            </w:r>
          </w:p>
          <w:p w14:paraId="68A6B427"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1</w:t>
            </w:r>
          </w:p>
          <w:p w14:paraId="5E5A2631"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1. zawiera ocenę ekonomiczną planowanych inwestycji, opartą na  analizie zapotrzebowania i modelach przepływów transportowych, które powinny uwzględniać spodziewany wpływ otwarcia rynków usług kolejowych;</w:t>
            </w:r>
          </w:p>
        </w:tc>
        <w:tc>
          <w:tcPr>
            <w:tcW w:w="1134" w:type="dxa"/>
            <w:vMerge w:val="restart"/>
          </w:tcPr>
          <w:p w14:paraId="43780077" w14:textId="0C88ED72" w:rsidR="00E8684E" w:rsidRPr="00890249" w:rsidRDefault="006441FD" w:rsidP="00E8684E">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t>Tak</w:t>
            </w:r>
          </w:p>
        </w:tc>
        <w:tc>
          <w:tcPr>
            <w:tcW w:w="3402" w:type="dxa"/>
            <w:vMerge w:val="restart"/>
          </w:tcPr>
          <w:p w14:paraId="2A00147C" w14:textId="1809B02C"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Spełnienie warunku zapewnia przyjęcie pakietu następujących narzędzi oraz dokumentów na poziomie krajowym:</w:t>
            </w:r>
          </w:p>
          <w:p w14:paraId="601EA732" w14:textId="77777777" w:rsidR="004E6612" w:rsidRPr="004E6612" w:rsidRDefault="004E6612" w:rsidP="004E6612">
            <w:pPr>
              <w:numPr>
                <w:ilvl w:val="0"/>
                <w:numId w:val="72"/>
              </w:numPr>
              <w:spacing w:after="0"/>
              <w:rPr>
                <w:rFonts w:asciiTheme="minorHAnsi" w:hAnsiTheme="minorHAnsi" w:cstheme="minorHAnsi"/>
                <w:b/>
                <w:bCs/>
                <w:sz w:val="20"/>
              </w:rPr>
            </w:pPr>
            <w:r w:rsidRPr="004E6612">
              <w:rPr>
                <w:rFonts w:asciiTheme="minorHAnsi" w:hAnsiTheme="minorHAnsi" w:cstheme="minorHAnsi"/>
                <w:b/>
                <w:bCs/>
                <w:sz w:val="20"/>
              </w:rPr>
              <w:t xml:space="preserve">Strategii Zrównoważonego Rozwoju Transportu do 2030 r., która zakłada aktualizację obecnie obowiązujących programów sektorowych. </w:t>
            </w:r>
          </w:p>
          <w:p w14:paraId="13011451" w14:textId="77777777" w:rsidR="004E6612" w:rsidRPr="004E6612" w:rsidRDefault="004E6612" w:rsidP="004E6612">
            <w:pPr>
              <w:numPr>
                <w:ilvl w:val="0"/>
                <w:numId w:val="72"/>
              </w:numPr>
              <w:spacing w:after="0"/>
              <w:rPr>
                <w:rFonts w:asciiTheme="minorHAnsi" w:hAnsiTheme="minorHAnsi" w:cstheme="minorHAnsi"/>
                <w:b/>
                <w:bCs/>
                <w:sz w:val="20"/>
              </w:rPr>
            </w:pPr>
            <w:r w:rsidRPr="004E6612">
              <w:rPr>
                <w:rFonts w:asciiTheme="minorHAnsi" w:hAnsiTheme="minorHAnsi" w:cstheme="minorHAnsi"/>
                <w:b/>
                <w:bCs/>
                <w:sz w:val="20"/>
              </w:rPr>
              <w:t xml:space="preserve">Zintegrowanego (multimodalnego) modelu ruchu </w:t>
            </w:r>
          </w:p>
          <w:p w14:paraId="2B75112A" w14:textId="77777777" w:rsidR="004E6612" w:rsidRPr="004E6612" w:rsidRDefault="004E6612" w:rsidP="004E6612">
            <w:pPr>
              <w:numPr>
                <w:ilvl w:val="0"/>
                <w:numId w:val="72"/>
              </w:numPr>
              <w:spacing w:after="0"/>
              <w:rPr>
                <w:rFonts w:asciiTheme="minorHAnsi" w:hAnsiTheme="minorHAnsi" w:cstheme="minorHAnsi"/>
                <w:b/>
                <w:bCs/>
                <w:sz w:val="20"/>
              </w:rPr>
            </w:pPr>
            <w:r w:rsidRPr="004E6612">
              <w:rPr>
                <w:rFonts w:asciiTheme="minorHAnsi" w:hAnsiTheme="minorHAnsi" w:cstheme="minorHAnsi"/>
                <w:b/>
                <w:bCs/>
                <w:sz w:val="20"/>
              </w:rPr>
              <w:t>Opracowanie lub aktualizacja planów sektorowych w zakresie transportu w  tym zapewnienie środków na realizację i utrzymanie istniejącej i planowanej  infrastruktury:</w:t>
            </w:r>
          </w:p>
          <w:p w14:paraId="45203267"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1) Rządowy Program Budowy Dróg Krajowych do 2030 r. z perspektywą do 2033 r.  </w:t>
            </w:r>
          </w:p>
          <w:p w14:paraId="7F3A7175"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2) Krajowy Program Kolejowy do 2030 r.</w:t>
            </w:r>
          </w:p>
          <w:p w14:paraId="001F7FC2"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3) Program rozwoju polskich portów morskich do 2030 r. </w:t>
            </w:r>
          </w:p>
          <w:p w14:paraId="5374D878"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4) Krajowy Program Żeglugowy do 2030 r.</w:t>
            </w:r>
          </w:p>
          <w:p w14:paraId="44A146C4"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5) Polityka rozwoju lotnictwa cywilnego w Polsce do 2030 r.  (z perspektywą do 2040)</w:t>
            </w:r>
          </w:p>
          <w:p w14:paraId="7A24A6E4"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6) Plan zamierzeń państwa oraz zatwierdzonych do realizacji przedsięwzięć w związku z budową Centralnego Portu Komunikacyjnego – w perspektywie obejmującej Strategię Zrównoważonego Rozwoju Transportu do 2030 roku</w:t>
            </w:r>
          </w:p>
          <w:p w14:paraId="6B2362ED"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7) Kierunki rozwoju transportu intermodalnego w Polsce do 2030 r. z persp. do 2040 r. </w:t>
            </w:r>
          </w:p>
          <w:p w14:paraId="4796FFBB"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8) </w:t>
            </w:r>
          </w:p>
          <w:p w14:paraId="06DD767D"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9) Program Budowy 100 Obwodnic na lata 2020 – 2030 oraz aktualizacji tego dokumentu do 2030 r.</w:t>
            </w:r>
          </w:p>
          <w:p w14:paraId="79174CCF" w14:textId="77777777" w:rsidR="004E6612" w:rsidRPr="004E6612" w:rsidRDefault="004E6612" w:rsidP="004E6612">
            <w:pPr>
              <w:numPr>
                <w:ilvl w:val="0"/>
                <w:numId w:val="73"/>
              </w:numPr>
              <w:spacing w:after="0"/>
              <w:rPr>
                <w:rFonts w:asciiTheme="minorHAnsi" w:hAnsiTheme="minorHAnsi" w:cstheme="minorHAnsi"/>
                <w:b/>
                <w:bCs/>
                <w:sz w:val="20"/>
              </w:rPr>
            </w:pPr>
            <w:r w:rsidRPr="004E6612">
              <w:rPr>
                <w:rFonts w:asciiTheme="minorHAnsi" w:hAnsiTheme="minorHAnsi" w:cstheme="minorHAnsi"/>
                <w:b/>
                <w:bCs/>
                <w:sz w:val="20"/>
              </w:rPr>
              <w:t xml:space="preserve">Bieżące przekazywanie informacji do KE w oparciu o Krajowy Plan Wdrożenia TSI Sterowanie  w Polsce o statusie i harmonogramie zabudowy ERTMS na infrastrukturze kolejowej Krajowe ramy polityki </w:t>
            </w:r>
            <w:r w:rsidRPr="004E6612">
              <w:rPr>
                <w:rFonts w:asciiTheme="minorHAnsi" w:hAnsiTheme="minorHAnsi" w:cstheme="minorHAnsi"/>
                <w:b/>
                <w:bCs/>
                <w:sz w:val="20"/>
              </w:rPr>
              <w:lastRenderedPageBreak/>
              <w:t>rozwoju infrastruktury paliw alternatywnych przyjęte przez RM 29 marca 2017 r.</w:t>
            </w:r>
          </w:p>
          <w:p w14:paraId="0DEA9245" w14:textId="77777777" w:rsidR="004E6612" w:rsidRPr="004E6612" w:rsidRDefault="004E6612" w:rsidP="004E6612">
            <w:pPr>
              <w:numPr>
                <w:ilvl w:val="0"/>
                <w:numId w:val="73"/>
              </w:numPr>
              <w:spacing w:after="0"/>
              <w:rPr>
                <w:rFonts w:asciiTheme="minorHAnsi" w:hAnsiTheme="minorHAnsi" w:cstheme="minorHAnsi"/>
                <w:b/>
                <w:bCs/>
                <w:sz w:val="20"/>
              </w:rPr>
            </w:pPr>
            <w:r w:rsidRPr="004E6612">
              <w:rPr>
                <w:rFonts w:asciiTheme="minorHAnsi" w:hAnsiTheme="minorHAnsi" w:cstheme="minorHAnsi"/>
                <w:b/>
                <w:bCs/>
                <w:sz w:val="20"/>
              </w:rPr>
              <w:t>Program Wzmocnienia Krajowej Sieci Drogowej do 2030 roku oraz Program Bezpiecznej Infrastruktury Drogowej na lata 2021-2024</w:t>
            </w:r>
          </w:p>
          <w:p w14:paraId="7AFA1849" w14:textId="77777777" w:rsidR="004E6612" w:rsidRPr="004E6612" w:rsidRDefault="004E6612" w:rsidP="004E6612">
            <w:pPr>
              <w:numPr>
                <w:ilvl w:val="0"/>
                <w:numId w:val="73"/>
              </w:numPr>
              <w:spacing w:after="0"/>
              <w:rPr>
                <w:rFonts w:asciiTheme="minorHAnsi" w:hAnsiTheme="minorHAnsi" w:cstheme="minorHAnsi"/>
                <w:b/>
                <w:bCs/>
                <w:sz w:val="20"/>
              </w:rPr>
            </w:pPr>
            <w:r w:rsidRPr="004E6612">
              <w:rPr>
                <w:rFonts w:asciiTheme="minorHAnsi" w:hAnsiTheme="minorHAnsi" w:cstheme="minorHAnsi"/>
                <w:b/>
                <w:bCs/>
                <w:sz w:val="20"/>
              </w:rPr>
              <w:t>Narodowy Program Poprawy Bezpieczeństwa Ruchu Drogowego na l. 2021-2030.</w:t>
            </w:r>
          </w:p>
          <w:p w14:paraId="6782A3B3" w14:textId="77777777" w:rsidR="004E6612" w:rsidRPr="004E6612" w:rsidRDefault="004E6612" w:rsidP="004E6612">
            <w:pPr>
              <w:spacing w:after="0"/>
              <w:rPr>
                <w:rFonts w:asciiTheme="minorHAnsi" w:hAnsiTheme="minorHAnsi" w:cstheme="minorHAnsi"/>
                <w:b/>
                <w:bCs/>
                <w:sz w:val="20"/>
              </w:rPr>
            </w:pPr>
          </w:p>
          <w:p w14:paraId="19CEFB8C"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Na poziomie regionalnym spełnienie warunku wykazywane będzie wraz z przekazaniem programów regionalnych. Spełnieniem warunku na poziomie regionalnym jest przyjęcie 16 Regionalnych Planów Transportowych.</w:t>
            </w:r>
          </w:p>
          <w:p w14:paraId="6D55DCCA" w14:textId="1632A01F"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Kryterium 1.</w:t>
            </w:r>
          </w:p>
          <w:p w14:paraId="12041830"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Szczegółowy opis sposobu wypełnienia tego kryterium i całego warunku w załączonym raporcie.</w:t>
            </w:r>
          </w:p>
          <w:p w14:paraId="4220A501"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https://www.gov.pl/web/infrastruktura/projekt-strategii-zrownowazonego-rozwoju-transportu-do-2030-roku2 </w:t>
            </w:r>
          </w:p>
          <w:p w14:paraId="796700B6"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https://www.gov.pl/web/infrastruktura/rzadowy-program-budowy-drog-krajowych-do-2030-r-z-perspektywa-do-2033-r</w:t>
            </w:r>
          </w:p>
          <w:p w14:paraId="7F932ECA"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https://www.gov.pl/web/infrastruktura/krajowy-program-kolejowy</w:t>
            </w:r>
          </w:p>
          <w:p w14:paraId="4C76F225"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https://www.gov.pl/web/gospodarkamorska/program-rozwoju-polskich-portow-morskich-do-2030-roku</w:t>
            </w:r>
          </w:p>
          <w:p w14:paraId="0A344B8A"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https://www.gov.pl/web/infrastruktura/krajowy-program-zeglugowy-do-roku-2030</w:t>
            </w:r>
          </w:p>
          <w:p w14:paraId="1342954C"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https://www.gov.pl/web/infrastruktura/polityka-rozwoju-lotnictwa-cywilnego-w-polsce-do-2030-r-z-perspektywa-do-2040-r</w:t>
            </w:r>
          </w:p>
          <w:p w14:paraId="7C6645DE"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https://www.cpk.pl/pl/inwestycja/program-wieloletni</w:t>
            </w:r>
          </w:p>
          <w:p w14:paraId="7A935DDD"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https://www.gov.pl/web/infrastruktura/kierunki-rozwoju-transportu-intermodalnego</w:t>
            </w:r>
          </w:p>
          <w:p w14:paraId="0284F02F"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https://www.gov.pl/web/infrastruktura/program-budowy-100-obwodnic-na-lata-2020--2031</w:t>
            </w:r>
          </w:p>
          <w:p w14:paraId="2BD55F89" w14:textId="0D0CD407" w:rsidR="004E6612" w:rsidRDefault="004E6612" w:rsidP="0018032E">
            <w:pPr>
              <w:spacing w:after="0"/>
              <w:rPr>
                <w:rFonts w:asciiTheme="minorHAnsi" w:hAnsiTheme="minorHAnsi" w:cstheme="minorHAnsi"/>
                <w:b/>
                <w:bCs/>
                <w:sz w:val="20"/>
              </w:rPr>
            </w:pPr>
            <w:hyperlink r:id="rId101" w:history="1">
              <w:r w:rsidRPr="00091A45">
                <w:rPr>
                  <w:rStyle w:val="Hipercze"/>
                  <w:rFonts w:asciiTheme="minorHAnsi" w:hAnsiTheme="minorHAnsi" w:cstheme="minorHAnsi"/>
                  <w:b/>
                  <w:bCs/>
                  <w:sz w:val="20"/>
                </w:rPr>
                <w:t>https://www.gov.pl/web/infrastruktura/warunkowosc-podstawowa</w:t>
              </w:r>
            </w:hyperlink>
          </w:p>
          <w:p w14:paraId="0EBE5BAF" w14:textId="3A745F53"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 xml:space="preserve">Kryterium 2. </w:t>
            </w:r>
          </w:p>
          <w:p w14:paraId="3F8CC156"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Szczegółowy opis sposobu wypełnienia tego kryterium i całego warunku w załączonym raporcie.</w:t>
            </w:r>
          </w:p>
          <w:p w14:paraId="15E1DC68"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Link do dokumentu:</w:t>
            </w:r>
          </w:p>
          <w:p w14:paraId="77C81E50" w14:textId="3CF89848" w:rsidR="004E6612" w:rsidRDefault="004E6612" w:rsidP="0018032E">
            <w:pPr>
              <w:spacing w:after="0"/>
              <w:rPr>
                <w:rFonts w:asciiTheme="minorHAnsi" w:hAnsiTheme="minorHAnsi" w:cstheme="minorHAnsi"/>
                <w:b/>
                <w:bCs/>
                <w:sz w:val="20"/>
              </w:rPr>
            </w:pPr>
            <w:hyperlink r:id="rId102" w:history="1">
              <w:r w:rsidRPr="004E6612">
                <w:rPr>
                  <w:rStyle w:val="Hipercze"/>
                  <w:rFonts w:asciiTheme="minorHAnsi" w:hAnsiTheme="minorHAnsi" w:cstheme="minorHAnsi"/>
                  <w:b/>
                  <w:bCs/>
                  <w:sz w:val="20"/>
                </w:rPr>
                <w:t>https://www.gov.pl/web/aktywa-panstwowe/krajowy-plan-na-rzecz-energii-i-klimatu-na-lata-2021-2030-przekazany-do-ke</w:t>
              </w:r>
            </w:hyperlink>
          </w:p>
          <w:p w14:paraId="331F0BE9" w14:textId="2E316F6D"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Kryterium 3. </w:t>
            </w:r>
          </w:p>
          <w:p w14:paraId="4918B339"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https://www.gov.pl/web/infrastruktura/projekt-strategii-zrownowazonego-rozwoju-transportu-do-2030-roku2 </w:t>
            </w:r>
          </w:p>
          <w:p w14:paraId="53A079C8"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https://www.gov.pl/web/infrastruktura/rzadowy-program-budowy-drog-krajowych-do-2030-r-z-perspektywa-do-2033-r</w:t>
            </w:r>
          </w:p>
          <w:p w14:paraId="4E6CD2F5"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https://www.gov.pl/web/infrastruktura/krajowy-program-kolejowy</w:t>
            </w:r>
          </w:p>
          <w:p w14:paraId="3FE5F106"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https://www.gov.pl/web/gospodarkamorska/program-rozwoju-polskich-portow-morskich-do-2030-roku</w:t>
            </w:r>
          </w:p>
          <w:p w14:paraId="735C3BDB"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https://www.gov.pl/web/infrastruktura/krajowy-program-zeglugowy-do-roku-2030</w:t>
            </w:r>
          </w:p>
          <w:p w14:paraId="3471481B"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https://www.gov.pl/web/infrastruktura/polityka-rozwoju-lotnictwa-cywilnego-w-polsce-do-2030-r-z-perspektywa-do-2040-r</w:t>
            </w:r>
          </w:p>
          <w:p w14:paraId="78E7FDE9"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https://www.cpk.pl/pl/inwestycja/program-wieloletni</w:t>
            </w:r>
          </w:p>
          <w:p w14:paraId="7704C622"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https://www.gov.pl/web/infrastruktura/kierunki-rozwoju-transportu-intermodalnego</w:t>
            </w:r>
          </w:p>
          <w:p w14:paraId="2C459EA7" w14:textId="37F84EF2" w:rsidR="004E6612" w:rsidRDefault="004E6612" w:rsidP="0018032E">
            <w:pPr>
              <w:spacing w:after="0"/>
              <w:rPr>
                <w:rFonts w:asciiTheme="minorHAnsi" w:hAnsiTheme="minorHAnsi" w:cstheme="minorHAnsi"/>
                <w:b/>
                <w:bCs/>
                <w:sz w:val="20"/>
              </w:rPr>
            </w:pPr>
            <w:hyperlink r:id="rId103" w:history="1">
              <w:r w:rsidRPr="004E6612">
                <w:rPr>
                  <w:rStyle w:val="Hipercze"/>
                  <w:rFonts w:asciiTheme="minorHAnsi" w:hAnsiTheme="minorHAnsi" w:cstheme="minorHAnsi"/>
                  <w:b/>
                  <w:bCs/>
                  <w:sz w:val="20"/>
                </w:rPr>
                <w:t>https://www.gov.pl/web/infrastruktura/program-wzmocnienia-krajowej-sieci-drogowej-do-2030-roku</w:t>
              </w:r>
            </w:hyperlink>
          </w:p>
          <w:p w14:paraId="736B5B01" w14:textId="67A21E04"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Kryterium 4. </w:t>
            </w:r>
          </w:p>
          <w:p w14:paraId="788F20BB"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Szczegółowy opis sposobu wypełnienia tego kryterium i całego warunku w załączonym raporcie.</w:t>
            </w:r>
          </w:p>
          <w:p w14:paraId="25E7B161"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Linki do dokumentów:</w:t>
            </w:r>
          </w:p>
          <w:p w14:paraId="448C8B10"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https://www.gov.pl/web/infrastruktura/rzadowy-program-budowy-drog-krajowych-do-2030-r-z-perspektywa-do-2033-r</w:t>
            </w:r>
          </w:p>
          <w:p w14:paraId="5EBFC0D3"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https://www.gov.pl/web/infrastruktura/krajowy-program-kolejowy</w:t>
            </w:r>
          </w:p>
          <w:p w14:paraId="7D553A96"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https://www.gov.pl/web/gospodarkamorska/program-rozwoju-polskich-portow-morskich-do-2030-roku</w:t>
            </w:r>
          </w:p>
          <w:p w14:paraId="49B587D3"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https://www.gov.pl/web/infrastruktura/krajowy-program-zeglugowy-do-roku-2030</w:t>
            </w:r>
          </w:p>
          <w:p w14:paraId="542882E4"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https://www.gov.pl/web/infrastruktura/polityka-rozwoju-lotnictwa-cywilnego-w-polsce-do-2030-r-z-perspektywa-do-2040-r</w:t>
            </w:r>
          </w:p>
          <w:p w14:paraId="31324B7B"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https://www.cpk.pl/pl/inwestycja/program-wieloletni</w:t>
            </w:r>
          </w:p>
          <w:p w14:paraId="718681AD"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https://www.gov.pl/web/infrastruktura/kierunki-rozwoju-transportu-intermodalnego</w:t>
            </w:r>
          </w:p>
          <w:p w14:paraId="5029BB70"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https://www.gov.pl/web/infrastruktura/program-budowy-100-obwodnic-na-lata-2020---2031</w:t>
            </w:r>
          </w:p>
          <w:p w14:paraId="28E5DE1F" w14:textId="0B81B597" w:rsidR="004E6612" w:rsidRDefault="004E6612" w:rsidP="0018032E">
            <w:pPr>
              <w:spacing w:after="0"/>
              <w:rPr>
                <w:rFonts w:asciiTheme="minorHAnsi" w:hAnsiTheme="minorHAnsi" w:cstheme="minorHAnsi"/>
                <w:b/>
                <w:bCs/>
                <w:sz w:val="20"/>
              </w:rPr>
            </w:pPr>
            <w:hyperlink r:id="rId104" w:history="1">
              <w:r w:rsidRPr="00091A45">
                <w:rPr>
                  <w:rStyle w:val="Hipercze"/>
                  <w:rFonts w:asciiTheme="minorHAnsi" w:hAnsiTheme="minorHAnsi" w:cstheme="minorHAnsi"/>
                  <w:b/>
                  <w:bCs/>
                  <w:sz w:val="20"/>
                </w:rPr>
                <w:t>https://www.gov.pl/web/infrastruktura/program-wzmocnienia-krajowej-sieci-drogowej-do-2030-roku</w:t>
              </w:r>
            </w:hyperlink>
          </w:p>
          <w:p w14:paraId="2A3C4E68" w14:textId="27BABA3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Kryterium 5. </w:t>
            </w:r>
          </w:p>
          <w:p w14:paraId="6698AFAA"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Szczegółowy opis sposobu wypełnienia tego kryterium i całego warunku w załączonym raporcie. </w:t>
            </w:r>
          </w:p>
          <w:p w14:paraId="163166A8" w14:textId="66489713" w:rsidR="004E6612" w:rsidRDefault="004E6612" w:rsidP="0018032E">
            <w:pPr>
              <w:spacing w:after="0"/>
              <w:rPr>
                <w:rFonts w:asciiTheme="minorHAnsi" w:hAnsiTheme="minorHAnsi" w:cstheme="minorHAnsi"/>
                <w:b/>
                <w:bCs/>
                <w:sz w:val="20"/>
              </w:rPr>
            </w:pPr>
            <w:r w:rsidRPr="004E6612">
              <w:rPr>
                <w:rFonts w:asciiTheme="minorHAnsi" w:hAnsiTheme="minorHAnsi" w:cstheme="minorHAnsi"/>
                <w:b/>
                <w:bCs/>
                <w:sz w:val="20"/>
              </w:rPr>
              <w:lastRenderedPageBreak/>
              <w:t>Polska zapewnia interoperacyjność sieci i będzie monitorować stan wdrożenia ERTMS zgodnie ze zmianami wprowadzanymi aktualnie w przepisach dotyczących sieci TEN-T.</w:t>
            </w:r>
          </w:p>
          <w:p w14:paraId="3FBF1335" w14:textId="77F7B48F"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Kryterium 6. </w:t>
            </w:r>
          </w:p>
          <w:p w14:paraId="2050B1F2"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Szczegółowy opis sposobu wypełnienia tego kryterium i całego warunku w załączonym raporcie. </w:t>
            </w:r>
          </w:p>
          <w:p w14:paraId="52C754A6"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Linki do dokumentów:</w:t>
            </w:r>
          </w:p>
          <w:p w14:paraId="440745F0"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https://www.gov.pl/web/infrastruktura/projekt-strategii-zrownowazonego-rozwoju-transportu-do-2030-roku2 </w:t>
            </w:r>
          </w:p>
          <w:p w14:paraId="6612D5A9"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https://www.gov.pl/web/infrastruktura/kierunki-rozwoju-transportu-intermodalnego</w:t>
            </w:r>
          </w:p>
          <w:p w14:paraId="0DCD7FA8" w14:textId="5A2059BA" w:rsidR="004E6612" w:rsidRDefault="004E6612" w:rsidP="0018032E">
            <w:pPr>
              <w:spacing w:after="0"/>
              <w:rPr>
                <w:rFonts w:asciiTheme="minorHAnsi" w:hAnsiTheme="minorHAnsi" w:cstheme="minorHAnsi"/>
                <w:b/>
                <w:bCs/>
                <w:sz w:val="20"/>
              </w:rPr>
            </w:pPr>
            <w:hyperlink r:id="rId105" w:history="1">
              <w:r w:rsidRPr="00091A45">
                <w:rPr>
                  <w:rStyle w:val="Hipercze"/>
                  <w:rFonts w:asciiTheme="minorHAnsi" w:hAnsiTheme="minorHAnsi" w:cstheme="minorHAnsi"/>
                  <w:b/>
                  <w:bCs/>
                  <w:sz w:val="20"/>
                </w:rPr>
                <w:t>https://www.cpk.pl/pl/inwestycja/program-wieloletni</w:t>
              </w:r>
            </w:hyperlink>
          </w:p>
          <w:p w14:paraId="050D684D" w14:textId="4B203E90"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Kryterium 7. </w:t>
            </w:r>
          </w:p>
          <w:p w14:paraId="6E670632"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Szczegółowy opis sposobu wypełnienia tego kryterium i całego warunku w załączonym raporcie. </w:t>
            </w:r>
          </w:p>
          <w:p w14:paraId="01659D29"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Link do dokumentu:</w:t>
            </w:r>
          </w:p>
          <w:p w14:paraId="324ADE13"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https://www.gov.pl/attachment/c3db2c7c-adc7-4b56-9bae-be4ec1e48683</w:t>
            </w:r>
          </w:p>
          <w:p w14:paraId="7D3650DF"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https://www.gov.pl/web/infrastruktura/rzadowy-program-budowy-drog-krajowych-do-2030-r-z-perspektywa-do-2033-r</w:t>
            </w:r>
          </w:p>
          <w:p w14:paraId="27C97BC7"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https://www.gov.pl/web/gddkia/vi-plan-lokalizacji-ogolnodostepnych-stacji-ladowania-stacji-gazu-ziemnego-oraz-punktow-tankowania-wodoru</w:t>
            </w:r>
          </w:p>
          <w:p w14:paraId="779E4DCB"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https://www.gov.pl/web/klimat/porozumienie-sektorowe-gospodarka-wodorowa</w:t>
            </w:r>
          </w:p>
          <w:p w14:paraId="0F1B500C"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https://www.gov.pl/web/klimat/polska-strategia-wodorowa-do-roku-2030</w:t>
            </w:r>
          </w:p>
          <w:p w14:paraId="25DA9408"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https://www.gov.pl/web/infrastruktura/polityka-rozwoju-lotnictwa-cywilnego-w-polsce-do-2030-r-z-perspektywa-do-2040-r</w:t>
            </w:r>
          </w:p>
          <w:p w14:paraId="4D6DCF2C"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https://www.gov.pl/web/gospodarkamorska/program-rozwoju-polskich-portow-morskich-do-2030-roku</w:t>
            </w:r>
          </w:p>
          <w:p w14:paraId="08B1A3C7"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https://www.gov.pl/web/infrastruktura/krajowy-program-zeglugowy-do-roku-2030</w:t>
            </w:r>
          </w:p>
          <w:p w14:paraId="4DDBD8B7" w14:textId="586E121C" w:rsidR="004E6612" w:rsidRDefault="004E6612" w:rsidP="0018032E">
            <w:pPr>
              <w:spacing w:after="0"/>
              <w:rPr>
                <w:rFonts w:asciiTheme="minorHAnsi" w:hAnsiTheme="minorHAnsi" w:cstheme="minorHAnsi"/>
                <w:b/>
                <w:bCs/>
                <w:sz w:val="20"/>
              </w:rPr>
            </w:pPr>
            <w:hyperlink r:id="rId106" w:history="1">
              <w:r w:rsidRPr="004E6612">
                <w:rPr>
                  <w:rStyle w:val="Hipercze"/>
                  <w:rFonts w:asciiTheme="minorHAnsi" w:hAnsiTheme="minorHAnsi" w:cstheme="minorHAnsi"/>
                  <w:b/>
                  <w:bCs/>
                  <w:sz w:val="20"/>
                </w:rPr>
                <w:t>https://www.gov.pl/web/infrastruktura/kierunki-rozwoju-transportu-intermodalnego</w:t>
              </w:r>
            </w:hyperlink>
          </w:p>
          <w:p w14:paraId="7FB197C8" w14:textId="2EFE73E6"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 xml:space="preserve">Kryterium 8. </w:t>
            </w:r>
          </w:p>
          <w:p w14:paraId="5B18BE34"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Szczegółowy opis sposobu wypełnienia tego kryterium i całego warunku w załączonym raporcie. </w:t>
            </w:r>
          </w:p>
          <w:p w14:paraId="5F45B61E"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Linki do dokumentów:</w:t>
            </w:r>
          </w:p>
          <w:p w14:paraId="106885F3"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https://www.krbrd.gov.pl/narodowy-program-brd-2021-2030/</w:t>
            </w:r>
          </w:p>
          <w:p w14:paraId="14E78815"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https://www.gov.pl/web/infrastruktura/program-bezpiecznej-infrastruktury-drogowej-na-lata-2021-2024</w:t>
            </w:r>
          </w:p>
          <w:p w14:paraId="115C4813"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https://www.gov.pl/web/infrastruktura/program-wzmocnienia-krajowej-sieci-drogowej-do-2030-roku</w:t>
            </w:r>
          </w:p>
          <w:p w14:paraId="1C45CE75"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https://www.gov.pl/web/infrastruktura/rzadowy-program-budowy-drog-krajowych-do-2030-r-z-perspektywa-do-2033-r</w:t>
            </w:r>
          </w:p>
          <w:p w14:paraId="422FE0F9" w14:textId="0605F6C0" w:rsidR="004E6612" w:rsidRDefault="004E6612" w:rsidP="0018032E">
            <w:pPr>
              <w:spacing w:after="0"/>
              <w:rPr>
                <w:rFonts w:asciiTheme="minorHAnsi" w:hAnsiTheme="minorHAnsi" w:cstheme="minorHAnsi"/>
                <w:b/>
                <w:bCs/>
                <w:sz w:val="20"/>
              </w:rPr>
            </w:pPr>
            <w:hyperlink r:id="rId107" w:history="1">
              <w:r w:rsidRPr="00091A45">
                <w:rPr>
                  <w:rStyle w:val="Hipercze"/>
                  <w:rFonts w:asciiTheme="minorHAnsi" w:hAnsiTheme="minorHAnsi" w:cstheme="minorHAnsi"/>
                  <w:b/>
                  <w:bCs/>
                  <w:sz w:val="20"/>
                </w:rPr>
                <w:t>https://www.gov.pl/web/infrastruktura/program-budowy-100-obwodnic-na-lata-2020---2031</w:t>
              </w:r>
            </w:hyperlink>
          </w:p>
          <w:p w14:paraId="406EE493" w14:textId="05094E3F"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Kryterium 9. </w:t>
            </w:r>
          </w:p>
          <w:p w14:paraId="7943A1E8"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Szczegółowy opis sposobu wypełnienia tego kryterium i całego warunku w załączonym raporcie. </w:t>
            </w:r>
          </w:p>
          <w:p w14:paraId="32A73E90"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Link do dokumentu:</w:t>
            </w:r>
          </w:p>
          <w:p w14:paraId="5517E8C3"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lastRenderedPageBreak/>
              <w:t>https://www.gov.pl/web/infrastruktura/rzadowy-program-wsparcia-zadan-zarzadcow-infrastruktury-kolejowej-w-tym-w-zakresie-utrzymania-i-remontow-do-2028-roku2</w:t>
            </w:r>
          </w:p>
          <w:p w14:paraId="11496180"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https://www.gov.pl/web/infrastruktura/program-budowy-100-obwodnic-na-lata-2020---2031</w:t>
            </w:r>
          </w:p>
          <w:p w14:paraId="472E2B1D"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https://www.gov.pl/web/infrastruktura/rzadowy-program-budowy-drog-krajowych-do-2030-r-z-perspektywa-do-2033-r</w:t>
            </w:r>
          </w:p>
          <w:p w14:paraId="5138D98A"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https://www.gov.pl/web/infrastruktura/program-bezpiecznej-infrastruktury-drogowej-na-lata-2021-2024</w:t>
            </w:r>
          </w:p>
          <w:p w14:paraId="0CFE7374"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 xml:space="preserve">https://www.gov.pl/web/infrastruktura/program-wzmocnienia-krajowej-sieci-drogowej-do-2030-roku </w:t>
            </w:r>
          </w:p>
          <w:p w14:paraId="189FE755" w14:textId="77777777" w:rsidR="004E6612" w:rsidRPr="004E6612" w:rsidRDefault="004E6612" w:rsidP="004E6612">
            <w:pPr>
              <w:spacing w:after="0"/>
              <w:rPr>
                <w:rFonts w:asciiTheme="minorHAnsi" w:hAnsiTheme="minorHAnsi" w:cstheme="minorHAnsi"/>
                <w:b/>
                <w:bCs/>
                <w:sz w:val="20"/>
              </w:rPr>
            </w:pPr>
            <w:r w:rsidRPr="004E6612">
              <w:rPr>
                <w:rFonts w:asciiTheme="minorHAnsi" w:hAnsiTheme="minorHAnsi" w:cstheme="minorHAnsi"/>
                <w:b/>
                <w:bCs/>
                <w:sz w:val="20"/>
              </w:rPr>
              <w:t>https://www.gov.pl/web/infrastruktura/krajowy-program-zeglugowy-do-roku-2030</w:t>
            </w:r>
          </w:p>
          <w:p w14:paraId="3F08A908" w14:textId="2A2E80F8" w:rsidR="004E6612" w:rsidRDefault="004E6612" w:rsidP="0018032E">
            <w:pPr>
              <w:spacing w:after="0"/>
              <w:rPr>
                <w:rFonts w:asciiTheme="minorHAnsi" w:hAnsiTheme="minorHAnsi" w:cstheme="minorHAnsi"/>
                <w:b/>
                <w:bCs/>
                <w:sz w:val="20"/>
              </w:rPr>
            </w:pPr>
            <w:hyperlink r:id="rId108" w:history="1">
              <w:r w:rsidRPr="004E6612">
                <w:rPr>
                  <w:rStyle w:val="Hipercze"/>
                  <w:rFonts w:asciiTheme="minorHAnsi" w:hAnsiTheme="minorHAnsi" w:cstheme="minorHAnsi"/>
                  <w:b/>
                  <w:bCs/>
                  <w:sz w:val="20"/>
                </w:rPr>
                <w:t>https://www.ums.gov.pl/programy_wieloletnie/09-04-58_WPR_S3975_2017_plik3.pdf</w:t>
              </w:r>
            </w:hyperlink>
          </w:p>
          <w:p w14:paraId="633F5B6F" w14:textId="48DB35E3" w:rsidR="00E8684E" w:rsidRPr="00890249" w:rsidRDefault="00E8684E" w:rsidP="00E8684E">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 </w:t>
            </w:r>
          </w:p>
        </w:tc>
        <w:tc>
          <w:tcPr>
            <w:tcW w:w="2977" w:type="dxa"/>
          </w:tcPr>
          <w:p w14:paraId="450E032A" w14:textId="77777777" w:rsidR="00DD7C3B"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lastRenderedPageBreak/>
              <w:t xml:space="preserve">Kryterium 1. </w:t>
            </w:r>
          </w:p>
          <w:p w14:paraId="27C5D423" w14:textId="77777777" w:rsidR="00DD7C3B" w:rsidRPr="00F62734" w:rsidRDefault="00DD7C3B" w:rsidP="00DD7C3B">
            <w:pPr>
              <w:spacing w:after="0"/>
              <w:jc w:val="left"/>
              <w:rPr>
                <w:rFonts w:asciiTheme="minorHAnsi" w:hAnsiTheme="minorHAnsi" w:cstheme="minorHAnsi"/>
                <w:sz w:val="20"/>
              </w:rPr>
            </w:pPr>
            <w:r w:rsidRPr="00F62734">
              <w:rPr>
                <w:rFonts w:asciiTheme="minorHAnsi" w:hAnsiTheme="minorHAnsi" w:cstheme="minorHAnsi"/>
                <w:sz w:val="20"/>
              </w:rPr>
              <w:t xml:space="preserve">Zgodnie z przekazanym raportem, w Polsce funkcjonuje spójny system kompleksowego planowania rozwoju transportu na poziomie krajowym. </w:t>
            </w:r>
          </w:p>
          <w:p w14:paraId="2DB1B075" w14:textId="6262D6E1" w:rsidR="00DD7C3B" w:rsidRPr="00F62734" w:rsidRDefault="00DD7C3B" w:rsidP="00325D70">
            <w:pPr>
              <w:spacing w:after="0"/>
              <w:jc w:val="left"/>
              <w:rPr>
                <w:rFonts w:asciiTheme="minorHAnsi" w:hAnsiTheme="minorHAnsi" w:cstheme="minorHAnsi"/>
                <w:sz w:val="20"/>
              </w:rPr>
            </w:pPr>
            <w:r w:rsidRPr="00F62734">
              <w:rPr>
                <w:rFonts w:asciiTheme="minorHAnsi" w:hAnsiTheme="minorHAnsi" w:cstheme="minorHAnsi"/>
                <w:sz w:val="20"/>
              </w:rPr>
              <w:t>Kierunki rozwoju infrastruktury transportu wynikają wprost (1) ze Strategii Zrównoważonego Rozwoju Transportu do 2030 r., która stanowi główny element systemu dokumentów związanych z kreowaniem polityki transportowej w Polsce. Natomiast w (2) planach sektorowych dla poszczególnych gałęzi transportu (drogowego, kolejowego, morskiego, wodnego śródlądowego i lotniczego) uszczegóławiane są niezbędne do podjęcia działania. Wynikające z ww. dokumentów plany i zamierzenia inwestycyjne zostały objęte (3) oceną ekonomiczną, opartą o analizę zapotrzebowania dokonaną przy użyciu (4) modelowania ruchu.</w:t>
            </w:r>
          </w:p>
          <w:p w14:paraId="10A39F2C" w14:textId="1CAF1A70" w:rsidR="0018032E" w:rsidRPr="00890249" w:rsidRDefault="0018032E" w:rsidP="00325D70">
            <w:pPr>
              <w:spacing w:after="0"/>
              <w:jc w:val="left"/>
              <w:rPr>
                <w:rFonts w:asciiTheme="minorHAnsi" w:hAnsiTheme="minorHAnsi" w:cstheme="minorHAnsi"/>
                <w:bCs/>
                <w:sz w:val="20"/>
              </w:rPr>
            </w:pPr>
          </w:p>
          <w:p w14:paraId="4DC143A8" w14:textId="3691E793" w:rsidR="00E8684E" w:rsidRPr="00890249" w:rsidRDefault="00E8684E" w:rsidP="00325D70">
            <w:pPr>
              <w:jc w:val="left"/>
              <w:rPr>
                <w:rFonts w:asciiTheme="minorHAnsi" w:hAnsiTheme="minorHAnsi" w:cstheme="minorHAnsi"/>
                <w:b/>
                <w:bCs/>
                <w:sz w:val="20"/>
              </w:rPr>
            </w:pPr>
            <w:r w:rsidRPr="00890249">
              <w:rPr>
                <w:rFonts w:asciiTheme="minorHAnsi" w:hAnsiTheme="minorHAnsi" w:cstheme="minorHAnsi"/>
                <w:bCs/>
                <w:sz w:val="20"/>
              </w:rPr>
              <w:t xml:space="preserve">. </w:t>
            </w:r>
          </w:p>
          <w:p w14:paraId="0A4D6990" w14:textId="77777777" w:rsidR="00E8684E" w:rsidRPr="00890249" w:rsidRDefault="00E8684E" w:rsidP="00325D70">
            <w:pPr>
              <w:jc w:val="left"/>
              <w:rPr>
                <w:rFonts w:asciiTheme="minorHAnsi" w:eastAsia="Times New Roman" w:hAnsiTheme="minorHAnsi" w:cstheme="minorHAnsi"/>
                <w:iCs/>
                <w:noProof/>
                <w:sz w:val="20"/>
              </w:rPr>
            </w:pPr>
          </w:p>
        </w:tc>
      </w:tr>
      <w:tr w:rsidR="00E8684E" w:rsidRPr="00890249" w14:paraId="180135F7" w14:textId="77777777" w:rsidTr="00F62734">
        <w:tc>
          <w:tcPr>
            <w:tcW w:w="1560" w:type="dxa"/>
            <w:vMerge/>
          </w:tcPr>
          <w:p w14:paraId="222A6AE9"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50542896"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47A5E852"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2CE65DC"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03267B1F"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2</w:t>
            </w:r>
          </w:p>
          <w:p w14:paraId="764E11B3"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2. jest spójne z elementami zintegrowanego krajowego planu</w:t>
            </w:r>
          </w:p>
          <w:p w14:paraId="2C09FE23"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w dziedzinie energii i klimatu dotyczącymi transportu</w:t>
            </w:r>
          </w:p>
        </w:tc>
        <w:tc>
          <w:tcPr>
            <w:tcW w:w="1134" w:type="dxa"/>
            <w:vMerge/>
          </w:tcPr>
          <w:p w14:paraId="166743BB"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129E2D8F"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6B4E1E5A" w14:textId="77777777" w:rsidR="00DD7C3B"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2. </w:t>
            </w:r>
          </w:p>
          <w:p w14:paraId="1480FF8A" w14:textId="77777777" w:rsidR="00DD7C3B" w:rsidRPr="00DD7C3B" w:rsidRDefault="00DD7C3B" w:rsidP="00DD7C3B">
            <w:pPr>
              <w:spacing w:after="0"/>
              <w:jc w:val="left"/>
              <w:rPr>
                <w:rFonts w:asciiTheme="minorHAnsi" w:hAnsiTheme="minorHAnsi" w:cstheme="minorHAnsi"/>
                <w:bCs/>
                <w:sz w:val="20"/>
              </w:rPr>
            </w:pPr>
            <w:bookmarkStart w:id="52" w:name="_Hlk154146517"/>
            <w:r w:rsidRPr="00DD7C3B">
              <w:rPr>
                <w:rFonts w:asciiTheme="minorHAnsi" w:hAnsiTheme="minorHAnsi" w:cstheme="minorHAnsi"/>
                <w:bCs/>
                <w:sz w:val="20"/>
              </w:rPr>
              <w:t xml:space="preserve">Funkcjonujący w Polsce system kompleksowego planowania rozwoju transportu jest </w:t>
            </w:r>
            <w:bookmarkEnd w:id="52"/>
            <w:r w:rsidRPr="00DD7C3B">
              <w:rPr>
                <w:rFonts w:asciiTheme="minorHAnsi" w:hAnsiTheme="minorHAnsi" w:cstheme="minorHAnsi"/>
                <w:bCs/>
                <w:sz w:val="20"/>
              </w:rPr>
              <w:t xml:space="preserve">spójny z Krajowym planem na rzecz energii i klimatu na lata 2021-2030 (KPEiK). </w:t>
            </w:r>
          </w:p>
          <w:p w14:paraId="33D8098E"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t>KPEiK zawiera działania na rzecz realizacji 5 wymiarów unii energetycznej oraz wyznacza cele klimatyczno-energetyczne na 2030 r., w tym m.in. 14% udział OZE w końcowym zużyciu energii brutto w 2030 r. w transporcie. Kluczowe działania w tym zakresie podejmowane są w sektorze wytwarzania i dystrybucji energii.</w:t>
            </w:r>
          </w:p>
          <w:p w14:paraId="62AEF5A0" w14:textId="3B4EAF75" w:rsidR="00DD7C3B" w:rsidRPr="00F62734" w:rsidRDefault="00DD7C3B" w:rsidP="00325D70">
            <w:pPr>
              <w:spacing w:after="0"/>
              <w:jc w:val="left"/>
              <w:rPr>
                <w:rFonts w:asciiTheme="minorHAnsi" w:hAnsiTheme="minorHAnsi" w:cstheme="minorHAnsi"/>
                <w:b/>
                <w:bCs/>
                <w:sz w:val="20"/>
              </w:rPr>
            </w:pPr>
            <w:r w:rsidRPr="00DD7C3B">
              <w:rPr>
                <w:rFonts w:asciiTheme="minorHAnsi" w:hAnsiTheme="minorHAnsi" w:cstheme="minorHAnsi"/>
                <w:bCs/>
                <w:sz w:val="20"/>
              </w:rPr>
              <w:t>Działania w sektorze transportu (ujęte w Strategii oraz planach sektorowych) będą przyczyniać się do: obniżenia emisyjności, efektywności energetycznej, bezpieczeństwa energetycznego oraz rozwoju badań naukowych, innowacji i konkurencyjności.</w:t>
            </w:r>
          </w:p>
          <w:p w14:paraId="59468B82" w14:textId="0495ED6B" w:rsidR="0018032E" w:rsidRPr="00890249" w:rsidRDefault="0018032E" w:rsidP="00325D70">
            <w:pPr>
              <w:spacing w:after="0"/>
              <w:jc w:val="left"/>
              <w:rPr>
                <w:rFonts w:asciiTheme="minorHAnsi" w:hAnsiTheme="minorHAnsi" w:cstheme="minorHAnsi"/>
                <w:b/>
                <w:bCs/>
                <w:sz w:val="20"/>
              </w:rPr>
            </w:pPr>
          </w:p>
          <w:p w14:paraId="25967487" w14:textId="18D7DD7A" w:rsidR="00E8684E" w:rsidRPr="00890249" w:rsidRDefault="00E8684E" w:rsidP="00325D70">
            <w:pPr>
              <w:jc w:val="left"/>
              <w:rPr>
                <w:rFonts w:asciiTheme="minorHAnsi" w:hAnsiTheme="minorHAnsi" w:cstheme="minorHAnsi"/>
                <w:b/>
                <w:bCs/>
                <w:sz w:val="20"/>
              </w:rPr>
            </w:pPr>
          </w:p>
        </w:tc>
      </w:tr>
      <w:tr w:rsidR="00E8684E" w:rsidRPr="00890249" w14:paraId="16720865" w14:textId="77777777" w:rsidTr="00F62734">
        <w:tc>
          <w:tcPr>
            <w:tcW w:w="1560" w:type="dxa"/>
            <w:vMerge/>
          </w:tcPr>
          <w:p w14:paraId="018003D3"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271F66E2"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7ABAAC8A"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667A1790"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74E6E76B"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3</w:t>
            </w:r>
          </w:p>
          <w:p w14:paraId="5948FA97"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3. obejmuje inwestycje w korytarze sieci bazowej TEN-T zgodnie z definicją w rozporządzeniu w sprawie CEF, zgodnie z odpowiednimi planami prac dotyczącymi korytarzy sieci </w:t>
            </w:r>
          </w:p>
          <w:p w14:paraId="5FC26379"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bazowej TEN-T;</w:t>
            </w:r>
          </w:p>
        </w:tc>
        <w:tc>
          <w:tcPr>
            <w:tcW w:w="1134" w:type="dxa"/>
            <w:vMerge/>
          </w:tcPr>
          <w:p w14:paraId="3F6EF305"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1E6DED65"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48455455" w14:textId="77777777" w:rsidR="00DD7C3B"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3. </w:t>
            </w:r>
          </w:p>
          <w:p w14:paraId="12948AA4" w14:textId="77777777" w:rsidR="00DD7C3B" w:rsidRPr="00F62734" w:rsidRDefault="00DD7C3B" w:rsidP="00DD7C3B">
            <w:pPr>
              <w:spacing w:after="0"/>
              <w:jc w:val="left"/>
              <w:rPr>
                <w:rFonts w:asciiTheme="minorHAnsi" w:hAnsiTheme="minorHAnsi" w:cstheme="minorHAnsi"/>
                <w:sz w:val="20"/>
              </w:rPr>
            </w:pPr>
            <w:r w:rsidRPr="00F62734">
              <w:rPr>
                <w:rFonts w:asciiTheme="minorHAnsi" w:hAnsiTheme="minorHAnsi" w:cstheme="minorHAnsi"/>
                <w:sz w:val="20"/>
              </w:rPr>
              <w:t xml:space="preserve">Funkcjonujący w Polsce system kompleksowego planowania rozwoju transportu uwzględnia wynikające z przepisów unijnych zobowiązanie do ukończenia do 2030 r. sieci bazowej TEN-T. </w:t>
            </w:r>
          </w:p>
          <w:p w14:paraId="679765D4" w14:textId="77777777" w:rsidR="00DD7C3B" w:rsidRPr="00F62734" w:rsidRDefault="00DD7C3B" w:rsidP="00DD7C3B">
            <w:pPr>
              <w:spacing w:after="0"/>
              <w:jc w:val="left"/>
              <w:rPr>
                <w:rFonts w:asciiTheme="minorHAnsi" w:hAnsiTheme="minorHAnsi" w:cstheme="minorHAnsi"/>
                <w:sz w:val="20"/>
              </w:rPr>
            </w:pPr>
            <w:r w:rsidRPr="00F62734">
              <w:rPr>
                <w:rFonts w:asciiTheme="minorHAnsi" w:hAnsiTheme="minorHAnsi" w:cstheme="minorHAnsi"/>
                <w:sz w:val="20"/>
              </w:rPr>
              <w:t xml:space="preserve">Plany prac korytarzy sieci TEN-T opracowywane są przez Koordynatorów Europejskich w zgodzie i w oparciu o cele transeuropejskiej sieci transportowej, do których należą: przyczynianie się do zwiększenia spójności, wydajności, zrównoważonego charakteru transportu, a także zwiększanie korzyści dla użytkowników oraz priorytety, m.in. dotyczące zapewnienia optymalnej integracji różnych rodzajów transportu i interoperacyjności w obrębie rodzajów transportu, uzupełniania brakujących ogniw i rozwiązania problemu wąskich gardeł, w szczególności na odcinkach transgranicznych, promowania efektywnego i </w:t>
            </w:r>
            <w:r w:rsidRPr="00F62734">
              <w:rPr>
                <w:rFonts w:asciiTheme="minorHAnsi" w:hAnsiTheme="minorHAnsi" w:cstheme="minorHAnsi"/>
                <w:sz w:val="20"/>
              </w:rPr>
              <w:lastRenderedPageBreak/>
              <w:t xml:space="preserve">zrównoważonego wykorzystywania infrastruktury oraz, w razie konieczności, zwiększania przepustowości. </w:t>
            </w:r>
          </w:p>
          <w:p w14:paraId="11CE9862" w14:textId="6174C800" w:rsidR="00DD7C3B" w:rsidRPr="00F62734" w:rsidRDefault="00DD7C3B" w:rsidP="00325D70">
            <w:pPr>
              <w:spacing w:after="0"/>
              <w:jc w:val="left"/>
              <w:rPr>
                <w:rFonts w:asciiTheme="minorHAnsi" w:hAnsiTheme="minorHAnsi" w:cstheme="minorHAnsi"/>
                <w:sz w:val="20"/>
              </w:rPr>
            </w:pPr>
            <w:r w:rsidRPr="00F62734">
              <w:rPr>
                <w:rFonts w:asciiTheme="minorHAnsi" w:hAnsiTheme="minorHAnsi" w:cstheme="minorHAnsi"/>
                <w:sz w:val="20"/>
              </w:rPr>
              <w:t>Polskie plany obejmują m.in. inwestycje na odcinkach korytarzy sieci bazowej TEN-T Bałtyk-Adriatyk i Morze Północne-Bałtyk.</w:t>
            </w:r>
          </w:p>
          <w:p w14:paraId="7A3908B7" w14:textId="06C1D43A" w:rsidR="0018032E" w:rsidRPr="00890249" w:rsidRDefault="0018032E" w:rsidP="00325D70">
            <w:pPr>
              <w:spacing w:after="0"/>
              <w:jc w:val="left"/>
              <w:rPr>
                <w:rFonts w:asciiTheme="minorHAnsi" w:hAnsiTheme="minorHAnsi" w:cstheme="minorHAnsi"/>
                <w:b/>
                <w:bCs/>
                <w:sz w:val="20"/>
              </w:rPr>
            </w:pPr>
          </w:p>
          <w:p w14:paraId="3D3E3488" w14:textId="77777777" w:rsidR="00E8684E" w:rsidRPr="00890249" w:rsidRDefault="00E8684E" w:rsidP="00325D70">
            <w:pPr>
              <w:jc w:val="left"/>
              <w:rPr>
                <w:rFonts w:asciiTheme="minorHAnsi" w:eastAsia="Times New Roman" w:hAnsiTheme="minorHAnsi" w:cstheme="minorHAnsi"/>
                <w:iCs/>
                <w:noProof/>
                <w:sz w:val="20"/>
              </w:rPr>
            </w:pPr>
          </w:p>
        </w:tc>
      </w:tr>
      <w:tr w:rsidR="00E8684E" w:rsidRPr="00890249" w14:paraId="3F5E7D27" w14:textId="77777777" w:rsidTr="00F62734">
        <w:tc>
          <w:tcPr>
            <w:tcW w:w="1560" w:type="dxa"/>
            <w:vMerge/>
          </w:tcPr>
          <w:p w14:paraId="2FB8D878"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61553BE6"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DE7CB43"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606D819C"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64122752"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4</w:t>
            </w:r>
          </w:p>
          <w:p w14:paraId="277B52FA"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4. w przypadku inwestycji poza korytarzami sieci bazowej TEN-T, w tym na odcinkach transgranicznych, zapewnia komplementarność przez zapewnienie wystarczającego rozwoju  połączeń sieci miejskich, regionów i lokalnych społeczności z siecią bazową TEN-T i jej węzłami;</w:t>
            </w:r>
          </w:p>
        </w:tc>
        <w:tc>
          <w:tcPr>
            <w:tcW w:w="1134" w:type="dxa"/>
            <w:vMerge/>
          </w:tcPr>
          <w:p w14:paraId="412B00A9"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29C523F2"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2B60D16E" w14:textId="77777777" w:rsidR="00DD7C3B"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4. </w:t>
            </w:r>
          </w:p>
          <w:p w14:paraId="06400C1B"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t>Funkcjonujący w Polsce system kompleksowego planowania rozwoju transportu zapewnia łączność regionów i lokalnych społeczności, w tym Obszarów Strategicznej Interwencji z siecią bazową TEN-T.</w:t>
            </w:r>
          </w:p>
          <w:p w14:paraId="5BBFD729" w14:textId="3EC63CEC" w:rsidR="00DD7C3B" w:rsidRPr="00F62734" w:rsidRDefault="00DD7C3B" w:rsidP="00325D70">
            <w:pPr>
              <w:spacing w:after="0"/>
              <w:jc w:val="left"/>
              <w:rPr>
                <w:rFonts w:asciiTheme="minorHAnsi" w:hAnsiTheme="minorHAnsi" w:cstheme="minorHAnsi"/>
                <w:bCs/>
                <w:sz w:val="20"/>
              </w:rPr>
            </w:pPr>
            <w:r w:rsidRPr="00DD7C3B">
              <w:rPr>
                <w:rFonts w:asciiTheme="minorHAnsi" w:hAnsiTheme="minorHAnsi" w:cstheme="minorHAnsi"/>
                <w:bCs/>
                <w:sz w:val="20"/>
              </w:rPr>
              <w:t xml:space="preserve">W celu poprawy dostępności transportowej poszczególnych regionów, jak i w ramach tych regionów, podejmowane będą inwestycje łączące miasta i regiony, działania wpływające na poprawę komunikacji transportowej pomiędzy stolicami województw, pomiędzy </w:t>
            </w:r>
            <w:r w:rsidRPr="00DD7C3B">
              <w:rPr>
                <w:rFonts w:asciiTheme="minorHAnsi" w:hAnsiTheme="minorHAnsi" w:cstheme="minorHAnsi"/>
                <w:bCs/>
                <w:sz w:val="20"/>
              </w:rPr>
              <w:lastRenderedPageBreak/>
              <w:t>najbliższymi dużymi ośrodkami miejskimi oraz powiązania ich z obszarami pozamiejskimi. W zadanie zwiększania dostępności wpisują się takie projekty, jak np. projekt Via Carpatia, projekt Via Baltica, inwestycje krajowe, łączące część ośrodków miejskich wschodniej Polski z Warszawą czy tzw. „Wschodnia Magistrala Kolejowa”. Realizowane będą również inwestycje polegające na budowie, przebudowie oraz remontach poszczególnych rodzajów dróg, obwodnic i mostów. Inwestycje w transport kolejowy prowadzone na liniach o znaczeniu krajowym będą uzupełnione komplementarnymi projektami na liniach o znaczeniu regionalnym oraz lokalnym.</w:t>
            </w:r>
          </w:p>
          <w:p w14:paraId="0B00B882" w14:textId="6D9DACD2" w:rsidR="0018032E" w:rsidRPr="00890249" w:rsidRDefault="0018032E" w:rsidP="00325D70">
            <w:pPr>
              <w:spacing w:after="0"/>
              <w:jc w:val="left"/>
              <w:rPr>
                <w:rFonts w:asciiTheme="minorHAnsi" w:hAnsiTheme="minorHAnsi" w:cstheme="minorHAnsi"/>
                <w:b/>
                <w:bCs/>
                <w:sz w:val="20"/>
              </w:rPr>
            </w:pPr>
          </w:p>
          <w:p w14:paraId="3F190EED" w14:textId="77777777" w:rsidR="00E8684E" w:rsidRPr="00890249" w:rsidRDefault="00E8684E" w:rsidP="00325D70">
            <w:pPr>
              <w:ind w:firstLine="708"/>
              <w:jc w:val="left"/>
              <w:rPr>
                <w:rFonts w:asciiTheme="minorHAnsi" w:eastAsia="Times New Roman" w:hAnsiTheme="minorHAnsi" w:cstheme="minorHAnsi"/>
                <w:iCs/>
                <w:noProof/>
                <w:sz w:val="20"/>
              </w:rPr>
            </w:pPr>
          </w:p>
        </w:tc>
      </w:tr>
      <w:tr w:rsidR="00E8684E" w:rsidRPr="00890249" w14:paraId="5EFA4B89" w14:textId="77777777" w:rsidTr="00F62734">
        <w:tc>
          <w:tcPr>
            <w:tcW w:w="1560" w:type="dxa"/>
            <w:vMerge/>
          </w:tcPr>
          <w:p w14:paraId="26F41FF4"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7E7AA4DC"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4213883A"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025E001A"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6B368F8D"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5</w:t>
            </w:r>
          </w:p>
          <w:p w14:paraId="272E1793"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5. zapewnia interoperacyjność sieci kolejowej oraz, w stosownych przypadkach, przedstawia sprawozdanie z </w:t>
            </w:r>
            <w:r w:rsidRPr="00890249">
              <w:rPr>
                <w:rFonts w:asciiTheme="minorHAnsi" w:hAnsiTheme="minorHAnsi" w:cstheme="minorHAnsi"/>
                <w:sz w:val="20"/>
              </w:rPr>
              <w:lastRenderedPageBreak/>
              <w:t>wdrażania europejskiego systemu zarządzania ruchem kolejowym (ERTMS) zgodnie z rozporządzeniem wykonawczym Komisji (UE) 2017/61;</w:t>
            </w:r>
          </w:p>
        </w:tc>
        <w:tc>
          <w:tcPr>
            <w:tcW w:w="1134" w:type="dxa"/>
            <w:vMerge/>
          </w:tcPr>
          <w:p w14:paraId="2E4B3CD8"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1769E72A"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31E0BBD7" w14:textId="77777777" w:rsidR="00DD7C3B" w:rsidRDefault="00875C92" w:rsidP="00325D70">
            <w:pPr>
              <w:spacing w:after="0"/>
              <w:jc w:val="left"/>
              <w:rPr>
                <w:rFonts w:asciiTheme="minorHAnsi" w:hAnsiTheme="minorHAnsi" w:cstheme="minorHAnsi"/>
                <w:bCs/>
                <w:sz w:val="20"/>
              </w:rPr>
            </w:pPr>
            <w:r w:rsidRPr="00890249">
              <w:rPr>
                <w:rFonts w:asciiTheme="minorHAnsi" w:hAnsiTheme="minorHAnsi" w:cstheme="minorHAnsi"/>
                <w:b/>
                <w:bCs/>
                <w:sz w:val="20"/>
              </w:rPr>
              <w:t>Kryterium 5</w:t>
            </w:r>
            <w:r w:rsidRPr="00890249">
              <w:rPr>
                <w:rFonts w:asciiTheme="minorHAnsi" w:hAnsiTheme="minorHAnsi" w:cstheme="minorHAnsi"/>
                <w:bCs/>
                <w:sz w:val="20"/>
              </w:rPr>
              <w:t xml:space="preserve">. </w:t>
            </w:r>
          </w:p>
          <w:p w14:paraId="066C30F0"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t xml:space="preserve">Funkcjonujący w Polsce system kompleksowego planowania rozwoju transportu uwzględnia kwestie interoperacyjności sieci kolejowej. </w:t>
            </w:r>
          </w:p>
          <w:p w14:paraId="7F9E273F"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lastRenderedPageBreak/>
              <w:t>Głównym dokumentem w zakresie wdrażania ERTMS na liniach kolejowych w Polsce dotychczas były Krajowy Plan Wdrażania Technicznej Specyfikacji Interoperacyjności „Sterowanie” (z 2017 r.) wraz z Suplementem do Krajowego Planu Wdrażania Technicznej Specyfikacji Interoperacyjności „Sterowanie” (z 2018 r.). Zgodnie z wymaganiami najnowszej TSI Sterowanie (rozporządzenie wykonawcze Komisji 2023/1695) do dnia 15.06.2024 r. Polska opracowała i przekazała do  KE nową wersję Krajowego Planu Wdrażania Technicznej Specyfikacji Interoperacyjności „Sterowanie”.</w:t>
            </w:r>
          </w:p>
          <w:p w14:paraId="7154A7B3"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t>Kwestia wdrażania ERTMS została również uwzględniona w KPK do 2030 r., a system ten będzie wdrażany także w ramach Inwestycji Podprogramu Kolejowego CPK.</w:t>
            </w:r>
          </w:p>
          <w:p w14:paraId="7D149DD3" w14:textId="464EB2D1" w:rsidR="00DD7C3B" w:rsidRDefault="00DD7C3B" w:rsidP="00325D70">
            <w:pPr>
              <w:spacing w:after="0"/>
              <w:jc w:val="left"/>
              <w:rPr>
                <w:rFonts w:asciiTheme="minorHAnsi" w:hAnsiTheme="minorHAnsi" w:cstheme="minorHAnsi"/>
                <w:bCs/>
                <w:sz w:val="20"/>
              </w:rPr>
            </w:pPr>
            <w:r w:rsidRPr="00DD7C3B">
              <w:rPr>
                <w:rFonts w:asciiTheme="minorHAnsi" w:hAnsiTheme="minorHAnsi" w:cstheme="minorHAnsi"/>
                <w:bCs/>
                <w:sz w:val="20"/>
              </w:rPr>
              <w:t xml:space="preserve">Polska będzie monitorować stan wdrażania ERTMS na sieci kolejowej zgodnie z planowanymi </w:t>
            </w:r>
            <w:r w:rsidRPr="00DD7C3B">
              <w:rPr>
                <w:rFonts w:asciiTheme="minorHAnsi" w:hAnsiTheme="minorHAnsi" w:cstheme="minorHAnsi"/>
                <w:bCs/>
                <w:sz w:val="20"/>
              </w:rPr>
              <w:lastRenderedPageBreak/>
              <w:t>zmianami w przepisach w tym zakresie.</w:t>
            </w:r>
          </w:p>
          <w:p w14:paraId="6C9659A7" w14:textId="77777777" w:rsidR="00E8684E" w:rsidRPr="00890249" w:rsidRDefault="00E8684E" w:rsidP="00F62734">
            <w:pPr>
              <w:spacing w:after="0"/>
              <w:jc w:val="left"/>
              <w:rPr>
                <w:rFonts w:asciiTheme="minorHAnsi" w:eastAsia="Times New Roman" w:hAnsiTheme="minorHAnsi" w:cstheme="minorHAnsi"/>
                <w:iCs/>
                <w:noProof/>
                <w:sz w:val="20"/>
              </w:rPr>
            </w:pPr>
          </w:p>
        </w:tc>
      </w:tr>
      <w:tr w:rsidR="00E8684E" w:rsidRPr="00890249" w14:paraId="28AD7EFE" w14:textId="77777777" w:rsidTr="00F62734">
        <w:tc>
          <w:tcPr>
            <w:tcW w:w="1560" w:type="dxa"/>
            <w:vMerge/>
          </w:tcPr>
          <w:p w14:paraId="4330A7F4"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3CA805AC"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4EE5CA5"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1764F285"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16B8A439"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6</w:t>
            </w:r>
          </w:p>
          <w:p w14:paraId="4480D242"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 6. wspiera multimodalność, określając potrzeby w zakresie transportu multimodalnego lub przeładunkowego oraz terminali pasażerskich;</w:t>
            </w:r>
          </w:p>
        </w:tc>
        <w:tc>
          <w:tcPr>
            <w:tcW w:w="1134" w:type="dxa"/>
            <w:vMerge/>
          </w:tcPr>
          <w:p w14:paraId="1D0F069F"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647DB0AA"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19E61672" w14:textId="77777777" w:rsidR="00DD7C3B"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6</w:t>
            </w:r>
            <w:r w:rsidRPr="00890249">
              <w:rPr>
                <w:rFonts w:asciiTheme="minorHAnsi" w:hAnsiTheme="minorHAnsi" w:cstheme="minorHAnsi"/>
                <w:sz w:val="20"/>
              </w:rPr>
              <w:t xml:space="preserve">. </w:t>
            </w:r>
          </w:p>
          <w:p w14:paraId="3B270229" w14:textId="77777777" w:rsidR="00DD7C3B" w:rsidRPr="00DD7C3B" w:rsidRDefault="00DD7C3B" w:rsidP="00DD7C3B">
            <w:pPr>
              <w:spacing w:after="0"/>
              <w:jc w:val="left"/>
              <w:rPr>
                <w:rFonts w:asciiTheme="minorHAnsi" w:hAnsiTheme="minorHAnsi" w:cstheme="minorHAnsi"/>
                <w:sz w:val="20"/>
              </w:rPr>
            </w:pPr>
            <w:r w:rsidRPr="00DD7C3B">
              <w:rPr>
                <w:rFonts w:asciiTheme="minorHAnsi" w:hAnsiTheme="minorHAnsi" w:cstheme="minorHAnsi"/>
                <w:sz w:val="20"/>
              </w:rPr>
              <w:t>Funkcjonujący w Polsce system kompleksowego planowania rozwoju transportu wspiera rozwój transportu intermodalnego – m.in. identyfikuje potrzeby rozbudowy odpowiedniej infrastruktury punktowej i liniowej oraz inne niezbędne działania.</w:t>
            </w:r>
          </w:p>
          <w:p w14:paraId="5C29C99D" w14:textId="3962934B" w:rsidR="00DD7C3B" w:rsidRPr="00F62734" w:rsidRDefault="00DD7C3B" w:rsidP="00325D70">
            <w:pPr>
              <w:spacing w:after="0"/>
              <w:jc w:val="left"/>
              <w:rPr>
                <w:rFonts w:asciiTheme="minorHAnsi" w:hAnsiTheme="minorHAnsi" w:cstheme="minorHAnsi"/>
                <w:b/>
                <w:bCs/>
                <w:sz w:val="20"/>
              </w:rPr>
            </w:pPr>
            <w:r w:rsidRPr="00DD7C3B">
              <w:rPr>
                <w:rFonts w:asciiTheme="minorHAnsi" w:hAnsiTheme="minorHAnsi" w:cstheme="minorHAnsi"/>
                <w:sz w:val="20"/>
              </w:rPr>
              <w:t>Kwestie zapewnienia odpowiedniej łączności międzygałęziowej znajdują swoje odzwierciedlenie również w poszczególnych dokumentach wdrożeniowych, w których zwraca się uwagę na działania integrujące różne gałęzie transportu, np. w portach morskich, lotniskach, terminalach intermodalnych.</w:t>
            </w:r>
          </w:p>
          <w:p w14:paraId="7651516B" w14:textId="7FD976FA" w:rsidR="00E8684E" w:rsidRPr="00890249" w:rsidRDefault="00E8684E" w:rsidP="00F62734">
            <w:pPr>
              <w:spacing w:after="0"/>
              <w:jc w:val="left"/>
              <w:rPr>
                <w:rFonts w:asciiTheme="minorHAnsi" w:hAnsiTheme="minorHAnsi" w:cstheme="minorHAnsi"/>
                <w:b/>
                <w:bCs/>
                <w:sz w:val="20"/>
              </w:rPr>
            </w:pPr>
          </w:p>
        </w:tc>
      </w:tr>
      <w:tr w:rsidR="00E8684E" w:rsidRPr="00890249" w14:paraId="0FF30E19" w14:textId="77777777" w:rsidTr="00F62734">
        <w:tc>
          <w:tcPr>
            <w:tcW w:w="1560" w:type="dxa"/>
            <w:vMerge/>
          </w:tcPr>
          <w:p w14:paraId="22ED9956"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10204186"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407E7DE2"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FB01686"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315D0133"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7</w:t>
            </w:r>
          </w:p>
          <w:p w14:paraId="5803D84B"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 xml:space="preserve">7. obejmuje środki istotne z punktu widzenia planowania </w:t>
            </w:r>
            <w:r w:rsidRPr="00890249">
              <w:rPr>
                <w:rFonts w:asciiTheme="minorHAnsi" w:hAnsiTheme="minorHAnsi" w:cstheme="minorHAnsi"/>
                <w:sz w:val="20"/>
              </w:rPr>
              <w:lastRenderedPageBreak/>
              <w:t>infrastruktury, mające na celu promowanie paliw alternatywnych zgodnie z odpowiednimi krajowymi ramami polityki;</w:t>
            </w:r>
          </w:p>
        </w:tc>
        <w:tc>
          <w:tcPr>
            <w:tcW w:w="1134" w:type="dxa"/>
            <w:vMerge/>
          </w:tcPr>
          <w:p w14:paraId="268D9C20"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21AB3A2A"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4FB397CC" w14:textId="77777777" w:rsidR="00DD7C3B"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7. </w:t>
            </w:r>
          </w:p>
          <w:p w14:paraId="30013F4D"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t xml:space="preserve">Funkcjonujący w Polsce system kompleksowego planowania </w:t>
            </w:r>
            <w:r w:rsidRPr="00DD7C3B">
              <w:rPr>
                <w:rFonts w:asciiTheme="minorHAnsi" w:hAnsiTheme="minorHAnsi" w:cstheme="minorHAnsi"/>
                <w:bCs/>
                <w:sz w:val="20"/>
              </w:rPr>
              <w:lastRenderedPageBreak/>
              <w:t>rozwoju transportu uwzględnia kwestię promowania paliw alternatywnych.</w:t>
            </w:r>
          </w:p>
          <w:p w14:paraId="3AE63B6C" w14:textId="77777777" w:rsidR="00DD7C3B" w:rsidRPr="00DD7C3B" w:rsidRDefault="00DD7C3B" w:rsidP="00DD7C3B">
            <w:pPr>
              <w:spacing w:after="0"/>
              <w:jc w:val="left"/>
              <w:rPr>
                <w:rFonts w:asciiTheme="minorHAnsi" w:hAnsiTheme="minorHAnsi" w:cstheme="minorHAnsi"/>
                <w:bCs/>
                <w:sz w:val="20"/>
              </w:rPr>
            </w:pPr>
            <w:r w:rsidRPr="00DD7C3B">
              <w:rPr>
                <w:rFonts w:asciiTheme="minorHAnsi" w:hAnsiTheme="minorHAnsi" w:cstheme="minorHAnsi"/>
                <w:bCs/>
                <w:sz w:val="20"/>
              </w:rPr>
              <w:t>Krajowe ramy polityki rozwoju infrastruktury paliw alternatywnych (z 2017 r.) określają m.in. cele dotyczące rozbudowy infrastruktury do ładowania pojazdów elektrycznych i do tankowania gazu ziemnego w postaci CNG i LNG (czyli paliw alternatywnych, które już funkcjonują na rynku paliw transportowych; przy jednoczesnym poparciu dla innych paliw alternatywnych) oraz rynku pojazdów napędzanych tymi paliwami, a także instrumenty wspierające osiągnięcie tych celów.</w:t>
            </w:r>
          </w:p>
          <w:p w14:paraId="12DA1E38" w14:textId="3AA6AACF" w:rsidR="00DD7C3B" w:rsidRPr="00F62734" w:rsidRDefault="00DD7C3B" w:rsidP="00325D70">
            <w:pPr>
              <w:spacing w:after="0"/>
              <w:jc w:val="left"/>
              <w:rPr>
                <w:rFonts w:asciiTheme="minorHAnsi" w:hAnsiTheme="minorHAnsi" w:cstheme="minorHAnsi"/>
                <w:bCs/>
                <w:sz w:val="20"/>
              </w:rPr>
            </w:pPr>
            <w:r w:rsidRPr="00DD7C3B">
              <w:rPr>
                <w:rFonts w:asciiTheme="minorHAnsi" w:hAnsiTheme="minorHAnsi" w:cstheme="minorHAnsi"/>
                <w:bCs/>
                <w:sz w:val="20"/>
              </w:rPr>
              <w:t xml:space="preserve">Natomiast sektorowe dokumenty programowe w odniesieniu do poszczególnych gałęzi transportu (w szczególności na drogach krajowych, w portach lotniczych na sieci bazowej TEN-T, w portach morskich czy śródlądowych) uwzględniają kwestie promocji paliw alternatywnych i tworzą otoczenie niezbędne do rozwoju i </w:t>
            </w:r>
            <w:r w:rsidRPr="00DD7C3B">
              <w:rPr>
                <w:rFonts w:asciiTheme="minorHAnsi" w:hAnsiTheme="minorHAnsi" w:cstheme="minorHAnsi"/>
                <w:bCs/>
                <w:sz w:val="20"/>
              </w:rPr>
              <w:lastRenderedPageBreak/>
              <w:t xml:space="preserve">funkcjonowania paliw alternatywnych. </w:t>
            </w:r>
          </w:p>
          <w:p w14:paraId="0D8A5BDE" w14:textId="58EDFC36" w:rsidR="00E8684E" w:rsidRPr="00890249" w:rsidRDefault="00E8684E" w:rsidP="00F62734">
            <w:pPr>
              <w:spacing w:after="0"/>
              <w:jc w:val="left"/>
              <w:rPr>
                <w:rFonts w:asciiTheme="minorHAnsi" w:eastAsia="Times New Roman" w:hAnsiTheme="minorHAnsi" w:cstheme="minorHAnsi"/>
                <w:iCs/>
                <w:noProof/>
                <w:sz w:val="20"/>
              </w:rPr>
            </w:pPr>
          </w:p>
        </w:tc>
      </w:tr>
      <w:tr w:rsidR="00E8684E" w:rsidRPr="00890249" w14:paraId="3A8CBDF0" w14:textId="77777777" w:rsidTr="00F62734">
        <w:tc>
          <w:tcPr>
            <w:tcW w:w="1560" w:type="dxa"/>
            <w:vMerge/>
          </w:tcPr>
          <w:p w14:paraId="7A707C44"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485C3CD5"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596823C"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4A0EFCE1"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3C082FB6"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8</w:t>
            </w:r>
          </w:p>
          <w:p w14:paraId="211B2925" w14:textId="77777777" w:rsidR="00E8684E" w:rsidRPr="00890249" w:rsidDel="00DE66AF" w:rsidRDefault="00E8684E" w:rsidP="00E8684E">
            <w:pPr>
              <w:jc w:val="left"/>
              <w:rPr>
                <w:rFonts w:asciiTheme="minorHAnsi" w:hAnsiTheme="minorHAnsi" w:cstheme="minorHAnsi"/>
                <w:sz w:val="20"/>
              </w:rPr>
            </w:pPr>
            <w:r w:rsidRPr="00890249">
              <w:rPr>
                <w:rFonts w:asciiTheme="minorHAnsi" w:hAnsiTheme="minorHAnsi" w:cstheme="minorHAnsi"/>
                <w:sz w:val="20"/>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1134" w:type="dxa"/>
            <w:vMerge/>
          </w:tcPr>
          <w:p w14:paraId="2A06239E"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4891408F"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5F48FB3F" w14:textId="77777777" w:rsidR="00DD7C3B"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8</w:t>
            </w:r>
            <w:r w:rsidRPr="00890249">
              <w:rPr>
                <w:rFonts w:asciiTheme="minorHAnsi" w:hAnsiTheme="minorHAnsi" w:cstheme="minorHAnsi"/>
                <w:sz w:val="20"/>
              </w:rPr>
              <w:t xml:space="preserve">. </w:t>
            </w:r>
          </w:p>
          <w:p w14:paraId="07FE077F" w14:textId="77777777" w:rsidR="00DD7C3B" w:rsidRPr="00DD7C3B" w:rsidRDefault="00DD7C3B" w:rsidP="00DD7C3B">
            <w:pPr>
              <w:spacing w:after="0"/>
              <w:jc w:val="left"/>
              <w:rPr>
                <w:rFonts w:asciiTheme="minorHAnsi" w:hAnsiTheme="minorHAnsi" w:cstheme="minorHAnsi"/>
                <w:sz w:val="20"/>
              </w:rPr>
            </w:pPr>
            <w:r w:rsidRPr="00DD7C3B">
              <w:rPr>
                <w:rFonts w:asciiTheme="minorHAnsi" w:hAnsiTheme="minorHAnsi" w:cstheme="minorHAnsi"/>
                <w:sz w:val="20"/>
              </w:rPr>
              <w:t>Funkcjonujący w Polsce system kompleksowego planowania rozwoju transportu spełnia wymogi ujęte w kryterium.</w:t>
            </w:r>
          </w:p>
          <w:p w14:paraId="37723741" w14:textId="77777777" w:rsidR="00DD7C3B" w:rsidRPr="00DD7C3B" w:rsidRDefault="00DD7C3B" w:rsidP="00DD7C3B">
            <w:pPr>
              <w:spacing w:after="0"/>
              <w:jc w:val="left"/>
              <w:rPr>
                <w:rFonts w:asciiTheme="minorHAnsi" w:hAnsiTheme="minorHAnsi" w:cstheme="minorHAnsi"/>
                <w:sz w:val="20"/>
              </w:rPr>
            </w:pPr>
            <w:r w:rsidRPr="00DD7C3B">
              <w:rPr>
                <w:rFonts w:asciiTheme="minorHAnsi" w:hAnsiTheme="minorHAnsi" w:cstheme="minorHAnsi"/>
                <w:sz w:val="20"/>
              </w:rPr>
              <w:t xml:space="preserve">Narodowy Program Bezpieczeństwa Ruchu Drogowego na lata 2021-2030 stanowi szczegółowe i wieloaspektowe podsumowanie oceny zagrożeń dla bezpieczeństwa ruchu drogowego. W odniesieniu do każdego z pięciu filarów bezpieczeństwa ruchu drogowego (tj. Filaru I – System zarządzania bezpieczeństwem ruchu drogowego, Filaru II – Bezpieczny człowiek, Filaru III – Bezpieczne drogi, Filaru IV – Bezpieczny pojazd oraz Filaru V – Ratownictwo i opieka powypadkowa) identyfikuje czynniki zagrożenia oraz grupy ryzyka (tam, gdzie to dotyczy), a także wskazuje działania niezbędne do podjęcia. </w:t>
            </w:r>
          </w:p>
          <w:p w14:paraId="33BE8138" w14:textId="77777777" w:rsidR="00DD7C3B" w:rsidRPr="00DD7C3B" w:rsidRDefault="00DD7C3B" w:rsidP="00DD7C3B">
            <w:pPr>
              <w:spacing w:after="0"/>
              <w:jc w:val="left"/>
              <w:rPr>
                <w:rFonts w:asciiTheme="minorHAnsi" w:hAnsiTheme="minorHAnsi" w:cstheme="minorHAnsi"/>
                <w:sz w:val="20"/>
              </w:rPr>
            </w:pPr>
            <w:r w:rsidRPr="00DD7C3B">
              <w:rPr>
                <w:rFonts w:asciiTheme="minorHAnsi" w:hAnsiTheme="minorHAnsi" w:cstheme="minorHAnsi"/>
                <w:sz w:val="20"/>
              </w:rPr>
              <w:lastRenderedPageBreak/>
              <w:t>Natomiast dokumenty wdrożeniowe obejmujące kwestie bezpieczeństwa ruchu drogowego stanowią plan działań – zarówno inwestycyjnych, jak i legislacyjnych oraz dotyczących kampanii społecznych.</w:t>
            </w:r>
          </w:p>
          <w:p w14:paraId="73DC4BD8" w14:textId="33D29F9A" w:rsidR="00DD7C3B" w:rsidRDefault="00DD7C3B" w:rsidP="00325D70">
            <w:pPr>
              <w:spacing w:after="0"/>
              <w:jc w:val="left"/>
              <w:rPr>
                <w:rFonts w:asciiTheme="minorHAnsi" w:hAnsiTheme="minorHAnsi" w:cstheme="minorHAnsi"/>
                <w:sz w:val="20"/>
              </w:rPr>
            </w:pPr>
            <w:r w:rsidRPr="00DD7C3B">
              <w:rPr>
                <w:rFonts w:asciiTheme="minorHAnsi" w:hAnsiTheme="minorHAnsi" w:cstheme="minorHAnsi"/>
                <w:sz w:val="20"/>
              </w:rPr>
              <w:t>Ponadto w ramach funkcjonującego systemu zarządzania bezpieczeństwem infrastruktury drogowej prowadzona jest cykliczna ocena ryzyka i ocena bezpieczeństwa sieci.</w:t>
            </w:r>
          </w:p>
          <w:p w14:paraId="076697D4" w14:textId="3D985DC3" w:rsidR="0018032E" w:rsidRPr="00890249" w:rsidRDefault="0018032E" w:rsidP="00325D70">
            <w:pPr>
              <w:spacing w:after="0"/>
              <w:jc w:val="left"/>
              <w:rPr>
                <w:rFonts w:asciiTheme="minorHAnsi" w:hAnsiTheme="minorHAnsi" w:cstheme="minorHAnsi"/>
                <w:sz w:val="20"/>
              </w:rPr>
            </w:pPr>
          </w:p>
          <w:p w14:paraId="4827D114" w14:textId="448F5A1C" w:rsidR="00E8684E" w:rsidRPr="00890249" w:rsidRDefault="00E8684E" w:rsidP="00325D70">
            <w:pPr>
              <w:jc w:val="left"/>
              <w:rPr>
                <w:rFonts w:asciiTheme="minorHAnsi" w:eastAsia="Times New Roman" w:hAnsiTheme="minorHAnsi" w:cstheme="minorHAnsi"/>
                <w:iCs/>
                <w:noProof/>
                <w:sz w:val="20"/>
              </w:rPr>
            </w:pPr>
          </w:p>
        </w:tc>
      </w:tr>
      <w:tr w:rsidR="00E8684E" w:rsidRPr="00890249" w14:paraId="1294E6AD" w14:textId="77777777" w:rsidTr="00F62734">
        <w:tc>
          <w:tcPr>
            <w:tcW w:w="1560" w:type="dxa"/>
            <w:vMerge/>
          </w:tcPr>
          <w:p w14:paraId="445F7994" w14:textId="77777777" w:rsidR="00E8684E" w:rsidRPr="00890249" w:rsidRDefault="00E8684E" w:rsidP="00E8684E">
            <w:pPr>
              <w:jc w:val="left"/>
              <w:rPr>
                <w:rFonts w:asciiTheme="minorHAnsi" w:eastAsia="Times New Roman" w:hAnsiTheme="minorHAnsi" w:cstheme="minorHAnsi"/>
                <w:iCs/>
                <w:noProof/>
                <w:sz w:val="20"/>
              </w:rPr>
            </w:pPr>
          </w:p>
        </w:tc>
        <w:tc>
          <w:tcPr>
            <w:tcW w:w="709" w:type="dxa"/>
            <w:vMerge/>
          </w:tcPr>
          <w:p w14:paraId="1DC7F0FE" w14:textId="77777777" w:rsidR="00E8684E" w:rsidRPr="00890249" w:rsidRDefault="00E8684E" w:rsidP="00E8684E">
            <w:pPr>
              <w:jc w:val="left"/>
              <w:rPr>
                <w:rFonts w:asciiTheme="minorHAnsi" w:eastAsia="Times New Roman" w:hAnsiTheme="minorHAnsi" w:cstheme="minorHAnsi"/>
                <w:iCs/>
                <w:noProof/>
                <w:sz w:val="20"/>
              </w:rPr>
            </w:pPr>
          </w:p>
        </w:tc>
        <w:tc>
          <w:tcPr>
            <w:tcW w:w="1843" w:type="dxa"/>
            <w:vMerge/>
          </w:tcPr>
          <w:p w14:paraId="1A750C07" w14:textId="77777777" w:rsidR="00E8684E" w:rsidRPr="00890249" w:rsidRDefault="00E8684E" w:rsidP="00E8684E">
            <w:pPr>
              <w:jc w:val="left"/>
              <w:rPr>
                <w:rFonts w:asciiTheme="minorHAnsi" w:eastAsia="Times New Roman" w:hAnsiTheme="minorHAnsi" w:cstheme="minorHAnsi"/>
                <w:iCs/>
                <w:noProof/>
                <w:sz w:val="20"/>
              </w:rPr>
            </w:pPr>
          </w:p>
        </w:tc>
        <w:tc>
          <w:tcPr>
            <w:tcW w:w="1559" w:type="dxa"/>
            <w:vMerge/>
          </w:tcPr>
          <w:p w14:paraId="175B3486" w14:textId="77777777" w:rsidR="00E8684E" w:rsidRPr="00890249" w:rsidRDefault="00E8684E" w:rsidP="00E8684E">
            <w:pPr>
              <w:jc w:val="left"/>
              <w:rPr>
                <w:rFonts w:asciiTheme="minorHAnsi" w:eastAsia="Times New Roman" w:hAnsiTheme="minorHAnsi" w:cstheme="minorHAnsi"/>
                <w:iCs/>
                <w:noProof/>
                <w:sz w:val="20"/>
              </w:rPr>
            </w:pPr>
          </w:p>
        </w:tc>
        <w:tc>
          <w:tcPr>
            <w:tcW w:w="2551" w:type="dxa"/>
          </w:tcPr>
          <w:p w14:paraId="20FAB333" w14:textId="77777777" w:rsidR="00E8684E" w:rsidRPr="00890249" w:rsidRDefault="00E8684E" w:rsidP="00E8684E">
            <w:pPr>
              <w:jc w:val="left"/>
              <w:rPr>
                <w:rFonts w:asciiTheme="minorHAnsi" w:hAnsiTheme="minorHAnsi" w:cstheme="minorHAnsi"/>
                <w:sz w:val="20"/>
              </w:rPr>
            </w:pPr>
            <w:r w:rsidRPr="00890249">
              <w:rPr>
                <w:rFonts w:asciiTheme="minorHAnsi" w:hAnsiTheme="minorHAnsi" w:cstheme="minorHAnsi"/>
                <w:b/>
                <w:bCs/>
                <w:sz w:val="20"/>
              </w:rPr>
              <w:t>Kryterium 9</w:t>
            </w:r>
          </w:p>
          <w:p w14:paraId="4CB9800C" w14:textId="77777777" w:rsidR="00E8684E" w:rsidRPr="00890249" w:rsidDel="00DE66AF" w:rsidRDefault="00E8684E" w:rsidP="00E8684E">
            <w:pPr>
              <w:jc w:val="left"/>
              <w:rPr>
                <w:rFonts w:asciiTheme="minorHAnsi" w:hAnsiTheme="minorHAnsi" w:cstheme="minorHAnsi"/>
                <w:noProof/>
                <w:sz w:val="20"/>
              </w:rPr>
            </w:pPr>
            <w:r w:rsidRPr="00890249">
              <w:rPr>
                <w:rFonts w:asciiTheme="minorHAnsi" w:hAnsiTheme="minorHAnsi" w:cstheme="minorHAnsi"/>
                <w:sz w:val="20"/>
              </w:rPr>
              <w:t>9. dostarcza informacji na temat zasobów finansowania odpowiadających planowanym inwestycjom, koniecznych do pokrycia kosztów operacyjnych i kosztów utrzymania istniejącej i planowanej infrastruktury.</w:t>
            </w:r>
          </w:p>
        </w:tc>
        <w:tc>
          <w:tcPr>
            <w:tcW w:w="1134" w:type="dxa"/>
            <w:vMerge/>
          </w:tcPr>
          <w:p w14:paraId="03722202" w14:textId="77777777" w:rsidR="00E8684E" w:rsidRPr="00890249" w:rsidDel="00DE66AF" w:rsidRDefault="00E8684E" w:rsidP="00E8684E">
            <w:pPr>
              <w:jc w:val="left"/>
              <w:rPr>
                <w:rFonts w:asciiTheme="minorHAnsi" w:hAnsiTheme="minorHAnsi" w:cstheme="minorHAnsi"/>
                <w:noProof/>
                <w:sz w:val="20"/>
              </w:rPr>
            </w:pPr>
          </w:p>
        </w:tc>
        <w:tc>
          <w:tcPr>
            <w:tcW w:w="3402" w:type="dxa"/>
            <w:vMerge/>
          </w:tcPr>
          <w:p w14:paraId="4C8F4B71" w14:textId="77777777" w:rsidR="00E8684E" w:rsidRPr="00890249" w:rsidRDefault="00E8684E" w:rsidP="00E8684E">
            <w:pPr>
              <w:jc w:val="left"/>
              <w:rPr>
                <w:rFonts w:asciiTheme="minorHAnsi" w:eastAsia="Times New Roman" w:hAnsiTheme="minorHAnsi" w:cstheme="minorHAnsi"/>
                <w:iCs/>
                <w:noProof/>
                <w:sz w:val="20"/>
              </w:rPr>
            </w:pPr>
          </w:p>
        </w:tc>
        <w:tc>
          <w:tcPr>
            <w:tcW w:w="2977" w:type="dxa"/>
          </w:tcPr>
          <w:p w14:paraId="3001D4DD" w14:textId="1951E606" w:rsidR="00DD7C3B" w:rsidRDefault="00875C92" w:rsidP="00325D70">
            <w:pPr>
              <w:jc w:val="left"/>
              <w:rPr>
                <w:rFonts w:asciiTheme="minorHAnsi" w:hAnsiTheme="minorHAnsi" w:cstheme="minorHAnsi"/>
                <w:b/>
                <w:bCs/>
                <w:sz w:val="20"/>
              </w:rPr>
            </w:pPr>
            <w:r w:rsidRPr="00890249">
              <w:rPr>
                <w:rFonts w:asciiTheme="minorHAnsi" w:hAnsiTheme="minorHAnsi" w:cstheme="minorHAnsi"/>
                <w:b/>
                <w:bCs/>
                <w:sz w:val="20"/>
              </w:rPr>
              <w:t>Kryterium 9.</w:t>
            </w:r>
          </w:p>
          <w:p w14:paraId="65F30E8B" w14:textId="77777777" w:rsidR="00DD7C3B" w:rsidRPr="00DD7C3B" w:rsidRDefault="00DD7C3B" w:rsidP="00DD7C3B">
            <w:pPr>
              <w:jc w:val="left"/>
              <w:rPr>
                <w:rFonts w:asciiTheme="minorHAnsi" w:hAnsiTheme="minorHAnsi" w:cstheme="minorHAnsi"/>
                <w:sz w:val="20"/>
              </w:rPr>
            </w:pPr>
            <w:r w:rsidRPr="00DD7C3B">
              <w:rPr>
                <w:rFonts w:asciiTheme="minorHAnsi" w:hAnsiTheme="minorHAnsi" w:cstheme="minorHAnsi"/>
                <w:bCs/>
                <w:sz w:val="20"/>
              </w:rPr>
              <w:t>Funkcjonujący w Polsce system kompleksowego planowania rozwoju transportu obejmuje informacje na temat finansowania realizacji inwestycji oraz utrzymania infrastruktury transportowej.</w:t>
            </w:r>
          </w:p>
          <w:p w14:paraId="3881DFFC" w14:textId="77777777" w:rsidR="00DD7C3B" w:rsidRPr="00DD7C3B" w:rsidRDefault="00DD7C3B" w:rsidP="00DD7C3B">
            <w:pPr>
              <w:jc w:val="left"/>
              <w:rPr>
                <w:rFonts w:asciiTheme="minorHAnsi" w:hAnsiTheme="minorHAnsi" w:cstheme="minorHAnsi"/>
                <w:sz w:val="20"/>
              </w:rPr>
            </w:pPr>
            <w:r w:rsidRPr="00DD7C3B">
              <w:rPr>
                <w:rFonts w:asciiTheme="minorHAnsi" w:hAnsiTheme="minorHAnsi" w:cstheme="minorHAnsi"/>
                <w:sz w:val="20"/>
              </w:rPr>
              <w:t xml:space="preserve">Kwestia finansowania planowanych działań inwestycyjnych zasadniczo jest uregulowana w dokumentach </w:t>
            </w:r>
            <w:r w:rsidRPr="00DD7C3B">
              <w:rPr>
                <w:rFonts w:asciiTheme="minorHAnsi" w:hAnsiTheme="minorHAnsi" w:cstheme="minorHAnsi"/>
                <w:sz w:val="20"/>
              </w:rPr>
              <w:lastRenderedPageBreak/>
              <w:t xml:space="preserve">wdrożeniowych, niemniej jednak zakres tych informacji jest różny w zależności od dokumentów. Opracowano programy utrzymaniowe dla infrastruktury transportu, za której utrzymanie odpowiada państwo, tj. infrastruktury kolejowej (z wyłączeniem dworców), drogowej oraz wodnej śródlądowej i morskiej. </w:t>
            </w:r>
          </w:p>
          <w:p w14:paraId="6702C70F" w14:textId="7D6CDA63" w:rsidR="00DD7C3B" w:rsidRPr="00F62734" w:rsidRDefault="00DD7C3B" w:rsidP="00325D70">
            <w:pPr>
              <w:jc w:val="left"/>
              <w:rPr>
                <w:rFonts w:asciiTheme="minorHAnsi" w:hAnsiTheme="minorHAnsi" w:cstheme="minorHAnsi"/>
                <w:bCs/>
                <w:sz w:val="20"/>
              </w:rPr>
            </w:pPr>
            <w:r w:rsidRPr="00DD7C3B">
              <w:rPr>
                <w:rFonts w:asciiTheme="minorHAnsi" w:hAnsiTheme="minorHAnsi" w:cstheme="minorHAnsi"/>
                <w:sz w:val="20"/>
              </w:rPr>
              <w:t>Są również takie dokumenty, które z uwagi na ogólny charakter dokumentu czy cechy danej gałęzi transportu nie zawierają szczegółowych danych finansowych. Sytuacja taka dotyczy transportu lotniczego oraz transportu intermodalnego (ich funkcjonowanie opiera się w głównej mierze na podmiotach prywatnych, zatem nie przewiduje się finansowania realizacji tych inwestycji z budżetu państwa).</w:t>
            </w:r>
          </w:p>
          <w:p w14:paraId="3C97473E" w14:textId="75F22208" w:rsidR="00E8684E" w:rsidRPr="00890249" w:rsidRDefault="00875C92" w:rsidP="00325D70">
            <w:pPr>
              <w:jc w:val="left"/>
              <w:rPr>
                <w:rFonts w:asciiTheme="minorHAnsi" w:eastAsia="Times New Roman" w:hAnsiTheme="minorHAnsi" w:cstheme="minorHAnsi"/>
                <w:iCs/>
                <w:noProof/>
                <w:sz w:val="20"/>
              </w:rPr>
            </w:pPr>
            <w:r w:rsidRPr="00890249">
              <w:rPr>
                <w:rFonts w:asciiTheme="minorHAnsi" w:hAnsiTheme="minorHAnsi" w:cstheme="minorHAnsi"/>
                <w:bCs/>
                <w:sz w:val="20"/>
              </w:rPr>
              <w:t>.</w:t>
            </w:r>
          </w:p>
        </w:tc>
      </w:tr>
      <w:tr w:rsidR="001C24E8" w:rsidRPr="00890249" w14:paraId="688129FD" w14:textId="77777777" w:rsidTr="000762D5">
        <w:tc>
          <w:tcPr>
            <w:tcW w:w="1560" w:type="dxa"/>
            <w:vMerge w:val="restart"/>
            <w:shd w:val="clear" w:color="auto" w:fill="BFBFBF" w:themeFill="background1" w:themeFillShade="BF"/>
          </w:tcPr>
          <w:p w14:paraId="7873DDD8" w14:textId="2B4F8F73"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sz w:val="20"/>
              </w:rPr>
              <w:lastRenderedPageBreak/>
              <w:t>3.1 Kompleksowe planowanie transportu na odpowiednim poziomie (poziom regionalny)</w:t>
            </w:r>
          </w:p>
        </w:tc>
        <w:tc>
          <w:tcPr>
            <w:tcW w:w="709" w:type="dxa"/>
            <w:vMerge w:val="restart"/>
            <w:shd w:val="clear" w:color="auto" w:fill="BFBFBF" w:themeFill="background1" w:themeFillShade="BF"/>
          </w:tcPr>
          <w:p w14:paraId="22CBDE80" w14:textId="77777777" w:rsidR="001C24E8" w:rsidRPr="00890249" w:rsidRDefault="001C24E8" w:rsidP="00D52164">
            <w:pPr>
              <w:jc w:val="left"/>
              <w:rPr>
                <w:rFonts w:asciiTheme="minorHAnsi" w:hAnsiTheme="minorHAnsi" w:cstheme="minorHAnsi"/>
                <w:sz w:val="20"/>
                <w:lang w:val="en-GB"/>
              </w:rPr>
            </w:pPr>
            <w:r w:rsidRPr="00890249">
              <w:rPr>
                <w:rFonts w:asciiTheme="minorHAnsi" w:hAnsiTheme="minorHAnsi" w:cstheme="minorHAnsi"/>
                <w:sz w:val="20"/>
                <w:lang w:val="en-GB"/>
              </w:rPr>
              <w:t>EFRR</w:t>
            </w:r>
          </w:p>
          <w:p w14:paraId="10128D00" w14:textId="0223891B" w:rsidR="001C24E8" w:rsidRPr="00890249" w:rsidRDefault="001C24E8" w:rsidP="00D52164">
            <w:pPr>
              <w:jc w:val="left"/>
              <w:rPr>
                <w:rFonts w:asciiTheme="minorHAnsi" w:hAnsiTheme="minorHAnsi" w:cstheme="minorHAnsi"/>
                <w:sz w:val="20"/>
                <w:lang w:val="en-GB"/>
              </w:rPr>
            </w:pPr>
            <w:r w:rsidRPr="00890249">
              <w:rPr>
                <w:rFonts w:asciiTheme="minorHAnsi" w:hAnsiTheme="minorHAnsi" w:cstheme="minorHAnsi"/>
                <w:sz w:val="20"/>
                <w:lang w:val="en-GB"/>
              </w:rPr>
              <w:t>Fundusz Spójności</w:t>
            </w:r>
          </w:p>
        </w:tc>
        <w:tc>
          <w:tcPr>
            <w:tcW w:w="1843" w:type="dxa"/>
            <w:vMerge w:val="restart"/>
            <w:shd w:val="clear" w:color="auto" w:fill="BFBFBF" w:themeFill="background1" w:themeFillShade="BF"/>
          </w:tcPr>
          <w:p w14:paraId="32B7F146" w14:textId="117E8A31" w:rsidR="001C24E8" w:rsidRPr="00890249" w:rsidRDefault="001C24E8" w:rsidP="00D52164">
            <w:pPr>
              <w:jc w:val="left"/>
              <w:rPr>
                <w:rFonts w:asciiTheme="minorHAnsi" w:hAnsiTheme="minorHAnsi" w:cstheme="minorHAnsi"/>
                <w:bCs/>
                <w:sz w:val="20"/>
              </w:rPr>
            </w:pPr>
            <w:r w:rsidRPr="00890249">
              <w:rPr>
                <w:rFonts w:asciiTheme="minorHAnsi" w:hAnsiTheme="minorHAnsi" w:cstheme="minorHAnsi"/>
                <w:bCs/>
                <w:sz w:val="20"/>
              </w:rPr>
              <w:t>Rozwój i udoskonalenie zrównoważonej, odpornej na zmiany klimatu, inteligentnej i intermodalnej mobilności na poziomie krajowym, regionalnym i lokalnym, w tym poprawa dostępu do sieci TEN-T oraz mobilności transgranicznej</w:t>
            </w:r>
          </w:p>
        </w:tc>
        <w:tc>
          <w:tcPr>
            <w:tcW w:w="1559" w:type="dxa"/>
            <w:vMerge w:val="restart"/>
            <w:shd w:val="clear" w:color="auto" w:fill="BFBFBF" w:themeFill="background1" w:themeFillShade="BF"/>
          </w:tcPr>
          <w:p w14:paraId="55AFCDB7" w14:textId="47F3B20E" w:rsidR="001C24E8" w:rsidDel="001C24E8" w:rsidRDefault="001C24E8"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t>Tak</w:t>
            </w:r>
          </w:p>
        </w:tc>
        <w:tc>
          <w:tcPr>
            <w:tcW w:w="2551" w:type="dxa"/>
            <w:shd w:val="clear" w:color="auto" w:fill="BFBFBF" w:themeFill="background1" w:themeFillShade="BF"/>
          </w:tcPr>
          <w:p w14:paraId="5473C3AA" w14:textId="6AEA383E"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sz w:val="20"/>
              </w:rPr>
              <w:t>Funkcjonowanie multimodalnego mapowania istniejącej i planowanej infrastruktury – z wyjątkiem szczebla lokalnego – do 2030 r.</w:t>
            </w:r>
          </w:p>
        </w:tc>
        <w:tc>
          <w:tcPr>
            <w:tcW w:w="1134" w:type="dxa"/>
            <w:shd w:val="clear" w:color="auto" w:fill="BFBFBF" w:themeFill="background1" w:themeFillShade="BF"/>
          </w:tcPr>
          <w:p w14:paraId="782636F5" w14:textId="367C8834" w:rsidR="001C24E8" w:rsidRDefault="001C24E8" w:rsidP="00D52164">
            <w:pPr>
              <w:jc w:val="left"/>
              <w:rPr>
                <w:rFonts w:asciiTheme="minorHAnsi" w:hAnsiTheme="minorHAnsi" w:cstheme="minorHAnsi"/>
                <w:noProof/>
                <w:sz w:val="20"/>
              </w:rPr>
            </w:pPr>
            <w:r>
              <w:rPr>
                <w:rFonts w:asciiTheme="minorHAnsi" w:hAnsiTheme="minorHAnsi" w:cstheme="minorHAnsi"/>
                <w:noProof/>
                <w:sz w:val="20"/>
              </w:rPr>
              <w:t>-</w:t>
            </w:r>
          </w:p>
        </w:tc>
        <w:tc>
          <w:tcPr>
            <w:tcW w:w="3402" w:type="dxa"/>
            <w:shd w:val="clear" w:color="auto" w:fill="BFBFBF" w:themeFill="background1" w:themeFillShade="BF"/>
          </w:tcPr>
          <w:p w14:paraId="04628D49" w14:textId="77777777" w:rsidR="001C24E8" w:rsidRPr="001C24E8" w:rsidRDefault="001C24E8" w:rsidP="001C24E8">
            <w:pPr>
              <w:jc w:val="left"/>
              <w:rPr>
                <w:rFonts w:asciiTheme="minorHAnsi" w:eastAsia="Times New Roman" w:hAnsiTheme="minorHAnsi" w:cstheme="minorHAnsi"/>
                <w:bCs/>
                <w:i/>
                <w:iCs/>
                <w:noProof/>
                <w:sz w:val="20"/>
              </w:rPr>
            </w:pPr>
            <w:hyperlink r:id="rId109" w:history="1">
              <w:r w:rsidRPr="001C24E8">
                <w:rPr>
                  <w:rStyle w:val="Hipercze"/>
                  <w:rFonts w:asciiTheme="minorHAnsi" w:eastAsia="Times New Roman" w:hAnsiTheme="minorHAnsi" w:cstheme="minorHAnsi"/>
                  <w:bCs/>
                  <w:i/>
                  <w:iCs/>
                  <w:noProof/>
                  <w:sz w:val="20"/>
                </w:rPr>
                <w:t>https://www.gov.pl/web/infrastruktura/projekt-strategii-zrownowazonego-rozwoju-transportu-do-2030-roku2</w:t>
              </w:r>
            </w:hyperlink>
            <w:r w:rsidRPr="001C24E8">
              <w:rPr>
                <w:rFonts w:asciiTheme="minorHAnsi" w:eastAsia="Times New Roman" w:hAnsiTheme="minorHAnsi" w:cstheme="minorHAnsi"/>
                <w:bCs/>
                <w:i/>
                <w:iCs/>
                <w:noProof/>
                <w:sz w:val="20"/>
              </w:rPr>
              <w:t xml:space="preserve"> </w:t>
            </w:r>
          </w:p>
          <w:p w14:paraId="53D2EC6E" w14:textId="77777777" w:rsidR="001C24E8" w:rsidRPr="001C24E8" w:rsidRDefault="001C24E8" w:rsidP="001C24E8">
            <w:pPr>
              <w:jc w:val="left"/>
              <w:rPr>
                <w:rFonts w:asciiTheme="minorHAnsi" w:eastAsia="Times New Roman" w:hAnsiTheme="minorHAnsi" w:cstheme="minorHAnsi"/>
                <w:bCs/>
                <w:i/>
                <w:iCs/>
                <w:noProof/>
                <w:sz w:val="20"/>
              </w:rPr>
            </w:pPr>
            <w:hyperlink r:id="rId110" w:history="1">
              <w:r w:rsidRPr="001C24E8">
                <w:rPr>
                  <w:rStyle w:val="Hipercze"/>
                  <w:rFonts w:asciiTheme="minorHAnsi" w:eastAsia="Times New Roman" w:hAnsiTheme="minorHAnsi" w:cstheme="minorHAnsi"/>
                  <w:bCs/>
                  <w:i/>
                  <w:iCs/>
                  <w:noProof/>
                  <w:sz w:val="20"/>
                </w:rPr>
                <w:t>https://www.gov.pl/web/infrastruktura/rzadowy-program-budowy-drog-krajowych-do-2030-r-z-perspektywa-do-2033-r</w:t>
              </w:r>
            </w:hyperlink>
          </w:p>
          <w:p w14:paraId="5DC519AA" w14:textId="77777777" w:rsidR="001C24E8" w:rsidRPr="001C24E8" w:rsidRDefault="001C24E8" w:rsidP="001C24E8">
            <w:pPr>
              <w:jc w:val="left"/>
              <w:rPr>
                <w:rFonts w:asciiTheme="minorHAnsi" w:eastAsia="Times New Roman" w:hAnsiTheme="minorHAnsi" w:cstheme="minorHAnsi"/>
                <w:bCs/>
                <w:i/>
                <w:iCs/>
                <w:noProof/>
                <w:sz w:val="20"/>
              </w:rPr>
            </w:pPr>
            <w:hyperlink r:id="rId111" w:history="1">
              <w:r w:rsidRPr="001C24E8">
                <w:rPr>
                  <w:rStyle w:val="Hipercze"/>
                  <w:rFonts w:asciiTheme="minorHAnsi" w:eastAsia="Times New Roman" w:hAnsiTheme="minorHAnsi" w:cstheme="minorHAnsi"/>
                  <w:bCs/>
                  <w:i/>
                  <w:iCs/>
                  <w:noProof/>
                  <w:sz w:val="20"/>
                </w:rPr>
                <w:t>https://www.gov.pl/web/infrastruktura/krajowy-program-kolejowy</w:t>
              </w:r>
            </w:hyperlink>
          </w:p>
          <w:p w14:paraId="6D768990" w14:textId="77777777" w:rsidR="001C24E8" w:rsidRPr="001C24E8" w:rsidRDefault="001C24E8" w:rsidP="001C24E8">
            <w:pPr>
              <w:jc w:val="left"/>
              <w:rPr>
                <w:rFonts w:asciiTheme="minorHAnsi" w:eastAsia="Times New Roman" w:hAnsiTheme="minorHAnsi" w:cstheme="minorHAnsi"/>
                <w:bCs/>
                <w:i/>
                <w:iCs/>
                <w:noProof/>
                <w:sz w:val="20"/>
              </w:rPr>
            </w:pPr>
            <w:hyperlink r:id="rId112" w:history="1">
              <w:r w:rsidRPr="001C24E8">
                <w:rPr>
                  <w:rStyle w:val="Hipercze"/>
                  <w:rFonts w:asciiTheme="minorHAnsi" w:eastAsia="Times New Roman" w:hAnsiTheme="minorHAnsi" w:cstheme="minorHAnsi"/>
                  <w:bCs/>
                  <w:i/>
                  <w:iCs/>
                  <w:noProof/>
                  <w:sz w:val="20"/>
                </w:rPr>
                <w:t>https://www.gov.pl/web/gospodarkamorska/program-rozwoju-polskich-portow-morskich-do-2030-roku</w:t>
              </w:r>
            </w:hyperlink>
          </w:p>
          <w:p w14:paraId="77884E59" w14:textId="77777777" w:rsidR="001C24E8" w:rsidRPr="001C24E8" w:rsidRDefault="001C24E8" w:rsidP="001C24E8">
            <w:pPr>
              <w:jc w:val="left"/>
              <w:rPr>
                <w:rFonts w:asciiTheme="minorHAnsi" w:eastAsia="Times New Roman" w:hAnsiTheme="minorHAnsi" w:cstheme="minorHAnsi"/>
                <w:bCs/>
                <w:i/>
                <w:iCs/>
                <w:noProof/>
                <w:sz w:val="20"/>
              </w:rPr>
            </w:pPr>
            <w:hyperlink r:id="rId113" w:history="1">
              <w:r w:rsidRPr="001C24E8">
                <w:rPr>
                  <w:rStyle w:val="Hipercze"/>
                  <w:rFonts w:asciiTheme="minorHAnsi" w:eastAsia="Times New Roman" w:hAnsiTheme="minorHAnsi" w:cstheme="minorHAnsi"/>
                  <w:bCs/>
                  <w:i/>
                  <w:iCs/>
                  <w:noProof/>
                  <w:sz w:val="20"/>
                </w:rPr>
                <w:t>https://www.gov.pl/web/infrastruktura/krajowy-program-zeglugowy-do-roku-2030</w:t>
              </w:r>
            </w:hyperlink>
          </w:p>
          <w:p w14:paraId="4332A20B" w14:textId="77777777" w:rsidR="001C24E8" w:rsidRPr="001C24E8" w:rsidRDefault="001C24E8" w:rsidP="001C24E8">
            <w:pPr>
              <w:jc w:val="left"/>
              <w:rPr>
                <w:rFonts w:asciiTheme="minorHAnsi" w:eastAsia="Times New Roman" w:hAnsiTheme="minorHAnsi" w:cstheme="minorHAnsi"/>
                <w:bCs/>
                <w:i/>
                <w:iCs/>
                <w:noProof/>
                <w:sz w:val="20"/>
              </w:rPr>
            </w:pPr>
            <w:hyperlink r:id="rId114" w:history="1">
              <w:r w:rsidRPr="001C24E8">
                <w:rPr>
                  <w:rStyle w:val="Hipercze"/>
                  <w:rFonts w:asciiTheme="minorHAnsi" w:eastAsia="Times New Roman" w:hAnsiTheme="minorHAnsi" w:cstheme="minorHAnsi"/>
                  <w:bCs/>
                  <w:i/>
                  <w:iCs/>
                  <w:noProof/>
                  <w:sz w:val="20"/>
                </w:rPr>
                <w:t>https://www.gov.pl/web/infrastruktura/polityka-rozwoju-lotnictwa-cywilnego-w-polsce-do-2030-r-z-perspektywa-do-2040-r</w:t>
              </w:r>
            </w:hyperlink>
          </w:p>
          <w:p w14:paraId="087F67A0" w14:textId="77777777" w:rsidR="001C24E8" w:rsidRPr="001C24E8" w:rsidRDefault="001C24E8" w:rsidP="001C24E8">
            <w:pPr>
              <w:jc w:val="left"/>
              <w:rPr>
                <w:rFonts w:asciiTheme="minorHAnsi" w:eastAsia="Times New Roman" w:hAnsiTheme="minorHAnsi" w:cstheme="minorHAnsi"/>
                <w:bCs/>
                <w:i/>
                <w:iCs/>
                <w:noProof/>
                <w:sz w:val="20"/>
              </w:rPr>
            </w:pPr>
            <w:hyperlink r:id="rId115" w:history="1">
              <w:r w:rsidRPr="001C24E8">
                <w:rPr>
                  <w:rStyle w:val="Hipercze"/>
                  <w:rFonts w:asciiTheme="minorHAnsi" w:eastAsia="Times New Roman" w:hAnsiTheme="minorHAnsi" w:cstheme="minorHAnsi"/>
                  <w:bCs/>
                  <w:i/>
                  <w:iCs/>
                  <w:noProof/>
                  <w:sz w:val="20"/>
                </w:rPr>
                <w:t>https://www.cpk.pl/pl/inwestycja/program-wieloletni</w:t>
              </w:r>
            </w:hyperlink>
          </w:p>
          <w:p w14:paraId="1AB7209F" w14:textId="77777777" w:rsidR="001C24E8" w:rsidRPr="001C24E8" w:rsidRDefault="001C24E8" w:rsidP="001C24E8">
            <w:pPr>
              <w:jc w:val="left"/>
              <w:rPr>
                <w:rFonts w:asciiTheme="minorHAnsi" w:eastAsia="Times New Roman" w:hAnsiTheme="minorHAnsi" w:cstheme="minorHAnsi"/>
                <w:bCs/>
                <w:i/>
                <w:iCs/>
                <w:noProof/>
                <w:sz w:val="20"/>
              </w:rPr>
            </w:pPr>
            <w:hyperlink r:id="rId116" w:history="1">
              <w:r w:rsidRPr="001C24E8">
                <w:rPr>
                  <w:rStyle w:val="Hipercze"/>
                  <w:rFonts w:asciiTheme="minorHAnsi" w:eastAsia="Times New Roman" w:hAnsiTheme="minorHAnsi" w:cstheme="minorHAnsi"/>
                  <w:bCs/>
                  <w:i/>
                  <w:iCs/>
                  <w:noProof/>
                  <w:sz w:val="20"/>
                </w:rPr>
                <w:t>https://www.gov.pl/web/infrastruktura/kierunki-rozwoju-transportu-intermodalnego</w:t>
              </w:r>
            </w:hyperlink>
          </w:p>
          <w:p w14:paraId="7E6B2FC7" w14:textId="77777777" w:rsidR="001C24E8" w:rsidRPr="001C24E8" w:rsidRDefault="001C24E8" w:rsidP="001C24E8">
            <w:pPr>
              <w:jc w:val="left"/>
              <w:rPr>
                <w:rFonts w:asciiTheme="minorHAnsi" w:eastAsia="Times New Roman" w:hAnsiTheme="minorHAnsi" w:cstheme="minorHAnsi"/>
                <w:bCs/>
                <w:i/>
                <w:iCs/>
                <w:noProof/>
                <w:sz w:val="20"/>
              </w:rPr>
            </w:pPr>
            <w:hyperlink r:id="rId117" w:history="1">
              <w:r w:rsidRPr="001C24E8">
                <w:rPr>
                  <w:rStyle w:val="Hipercze"/>
                  <w:rFonts w:asciiTheme="minorHAnsi" w:eastAsia="Times New Roman" w:hAnsiTheme="minorHAnsi" w:cstheme="minorHAnsi"/>
                  <w:bCs/>
                  <w:i/>
                  <w:iCs/>
                  <w:noProof/>
                  <w:sz w:val="20"/>
                </w:rPr>
                <w:t>https://www.gov.pl/web/infrastruktura/program-budowy-100-obwodnic-na-lata-2020---2031</w:t>
              </w:r>
            </w:hyperlink>
          </w:p>
          <w:p w14:paraId="6D174BEA" w14:textId="7114D216" w:rsidR="001C24E8" w:rsidRPr="00890249" w:rsidRDefault="001C24E8" w:rsidP="001C24E8">
            <w:pPr>
              <w:jc w:val="left"/>
              <w:rPr>
                <w:rFonts w:asciiTheme="minorHAnsi" w:eastAsia="Times New Roman" w:hAnsiTheme="minorHAnsi" w:cstheme="minorHAnsi"/>
                <w:iCs/>
                <w:noProof/>
                <w:sz w:val="20"/>
              </w:rPr>
            </w:pPr>
            <w:hyperlink r:id="rId118" w:history="1">
              <w:r w:rsidRPr="001C24E8">
                <w:rPr>
                  <w:rStyle w:val="Hipercze"/>
                  <w:rFonts w:asciiTheme="minorHAnsi" w:eastAsia="Times New Roman" w:hAnsiTheme="minorHAnsi" w:cstheme="minorHAnsi"/>
                  <w:bCs/>
                  <w:i/>
                  <w:iCs/>
                  <w:noProof/>
                  <w:sz w:val="20"/>
                </w:rPr>
                <w:t>https://www.gov.pl/web/infrastruktura/warunkowosc-podstawowa</w:t>
              </w:r>
            </w:hyperlink>
          </w:p>
        </w:tc>
        <w:tc>
          <w:tcPr>
            <w:tcW w:w="2977" w:type="dxa"/>
            <w:shd w:val="clear" w:color="auto" w:fill="BFBFBF" w:themeFill="background1" w:themeFillShade="BF"/>
            <w:vAlign w:val="center"/>
          </w:tcPr>
          <w:p w14:paraId="1E699512" w14:textId="77777777" w:rsidR="001C24E8" w:rsidRPr="00F62734" w:rsidRDefault="001C24E8" w:rsidP="001C24E8">
            <w:pPr>
              <w:rPr>
                <w:rFonts w:asciiTheme="minorHAnsi" w:hAnsiTheme="minorHAnsi" w:cstheme="minorHAnsi"/>
                <w:bCs/>
                <w:sz w:val="20"/>
                <w:szCs w:val="16"/>
              </w:rPr>
            </w:pPr>
            <w:r w:rsidRPr="00F62734">
              <w:rPr>
                <w:rFonts w:asciiTheme="minorHAnsi" w:hAnsiTheme="minorHAnsi" w:cstheme="minorHAnsi"/>
                <w:bCs/>
                <w:sz w:val="20"/>
                <w:szCs w:val="16"/>
              </w:rPr>
              <w:lastRenderedPageBreak/>
              <w:t xml:space="preserve">Regionalny plan transportowy jest zgodny i uwzględnia wszystkie dokumenty dotyczące planowania transportu na szczeblu krajowym, a mianowicie: </w:t>
            </w:r>
          </w:p>
          <w:p w14:paraId="31C8340A" w14:textId="602C4BEC" w:rsidR="001C24E8" w:rsidRPr="001C24E8" w:rsidRDefault="001C24E8">
            <w:pPr>
              <w:jc w:val="left"/>
              <w:rPr>
                <w:rFonts w:asciiTheme="minorHAnsi" w:hAnsiTheme="minorHAnsi" w:cstheme="minorHAnsi"/>
                <w:sz w:val="20"/>
              </w:rPr>
            </w:pPr>
          </w:p>
        </w:tc>
      </w:tr>
      <w:tr w:rsidR="001C24E8" w:rsidRPr="00890249" w14:paraId="32AC42C7" w14:textId="77777777" w:rsidTr="00966647">
        <w:tc>
          <w:tcPr>
            <w:tcW w:w="1560" w:type="dxa"/>
            <w:vMerge/>
            <w:shd w:val="clear" w:color="auto" w:fill="D9D9D9" w:themeFill="background1" w:themeFillShade="D9"/>
          </w:tcPr>
          <w:p w14:paraId="75622375" w14:textId="5777D5BD" w:rsidR="001C24E8" w:rsidRPr="00890249" w:rsidRDefault="001C24E8" w:rsidP="00D52164">
            <w:pPr>
              <w:jc w:val="left"/>
              <w:rPr>
                <w:rFonts w:asciiTheme="minorHAnsi" w:hAnsiTheme="minorHAnsi" w:cstheme="minorHAnsi"/>
                <w:sz w:val="20"/>
              </w:rPr>
            </w:pPr>
          </w:p>
        </w:tc>
        <w:tc>
          <w:tcPr>
            <w:tcW w:w="709" w:type="dxa"/>
            <w:vMerge/>
            <w:shd w:val="clear" w:color="auto" w:fill="D9D9D9" w:themeFill="background1" w:themeFillShade="D9"/>
          </w:tcPr>
          <w:p w14:paraId="352938F9" w14:textId="68CD3089" w:rsidR="001C24E8" w:rsidRPr="00F62734" w:rsidRDefault="001C24E8" w:rsidP="00D52164">
            <w:pPr>
              <w:jc w:val="left"/>
              <w:rPr>
                <w:rFonts w:asciiTheme="minorHAnsi" w:hAnsiTheme="minorHAnsi" w:cstheme="minorHAnsi"/>
                <w:sz w:val="20"/>
              </w:rPr>
            </w:pPr>
          </w:p>
        </w:tc>
        <w:tc>
          <w:tcPr>
            <w:tcW w:w="1843" w:type="dxa"/>
            <w:vMerge/>
            <w:shd w:val="clear" w:color="auto" w:fill="D9D9D9" w:themeFill="background1" w:themeFillShade="D9"/>
          </w:tcPr>
          <w:p w14:paraId="097B6DB2" w14:textId="49886B05" w:rsidR="001C24E8" w:rsidRPr="00890249" w:rsidRDefault="001C24E8" w:rsidP="00D52164">
            <w:pPr>
              <w:jc w:val="left"/>
              <w:rPr>
                <w:rFonts w:asciiTheme="minorHAnsi" w:hAnsiTheme="minorHAnsi" w:cstheme="minorHAnsi"/>
                <w:bCs/>
                <w:sz w:val="20"/>
              </w:rPr>
            </w:pPr>
          </w:p>
        </w:tc>
        <w:tc>
          <w:tcPr>
            <w:tcW w:w="1559" w:type="dxa"/>
            <w:vMerge/>
            <w:shd w:val="clear" w:color="auto" w:fill="D9D9D9" w:themeFill="background1" w:themeFillShade="D9"/>
          </w:tcPr>
          <w:p w14:paraId="5F2BF2D8" w14:textId="3726EB12" w:rsidR="001C24E8" w:rsidRPr="00890249" w:rsidRDefault="001C24E8" w:rsidP="00D52164">
            <w:pPr>
              <w:jc w:val="left"/>
              <w:rPr>
                <w:rFonts w:asciiTheme="minorHAnsi" w:eastAsia="Times New Roman" w:hAnsiTheme="minorHAnsi" w:cstheme="minorHAnsi"/>
                <w:iCs/>
                <w:noProof/>
                <w:sz w:val="20"/>
              </w:rPr>
            </w:pPr>
          </w:p>
        </w:tc>
        <w:tc>
          <w:tcPr>
            <w:tcW w:w="2551" w:type="dxa"/>
            <w:shd w:val="clear" w:color="auto" w:fill="D9D9D9" w:themeFill="background1" w:themeFillShade="D9"/>
          </w:tcPr>
          <w:p w14:paraId="6D0BFF52"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1</w:t>
            </w:r>
          </w:p>
          <w:p w14:paraId="004EE846"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sz w:val="20"/>
              </w:rPr>
              <w:t>1. zawiera ocenę ekonomiczną planowanych inwestycji, opartą na  analizie zapotrzebowania i modelach przepływów transportowych, które powinny uwzględniać spodziewany wpływ otwarcia rynków usług kolejowych;</w:t>
            </w:r>
          </w:p>
        </w:tc>
        <w:tc>
          <w:tcPr>
            <w:tcW w:w="1134" w:type="dxa"/>
            <w:shd w:val="clear" w:color="auto" w:fill="D9D9D9" w:themeFill="background1" w:themeFillShade="D9"/>
          </w:tcPr>
          <w:p w14:paraId="6E318617" w14:textId="5F229812" w:rsidR="001C24E8" w:rsidRPr="00890249" w:rsidRDefault="001C24E8" w:rsidP="00D52164">
            <w:pPr>
              <w:jc w:val="left"/>
              <w:rPr>
                <w:rFonts w:asciiTheme="minorHAnsi" w:hAnsiTheme="minorHAnsi" w:cstheme="minorHAnsi"/>
                <w:noProof/>
                <w:sz w:val="20"/>
              </w:rPr>
            </w:pPr>
            <w:r>
              <w:rPr>
                <w:rFonts w:asciiTheme="minorHAnsi" w:hAnsiTheme="minorHAnsi" w:cstheme="minorHAnsi"/>
                <w:noProof/>
                <w:sz w:val="20"/>
              </w:rPr>
              <w:t>Tak</w:t>
            </w:r>
          </w:p>
          <w:p w14:paraId="7CF21731" w14:textId="77777777" w:rsidR="001C24E8" w:rsidRPr="00890249" w:rsidRDefault="001C24E8" w:rsidP="00D52164">
            <w:pPr>
              <w:jc w:val="left"/>
              <w:rPr>
                <w:rFonts w:asciiTheme="minorHAnsi" w:hAnsiTheme="minorHAnsi" w:cstheme="minorHAnsi"/>
                <w:noProof/>
                <w:sz w:val="20"/>
              </w:rPr>
            </w:pPr>
          </w:p>
        </w:tc>
        <w:tc>
          <w:tcPr>
            <w:tcW w:w="3402" w:type="dxa"/>
            <w:shd w:val="clear" w:color="auto" w:fill="D9D9D9" w:themeFill="background1" w:themeFillShade="D9"/>
          </w:tcPr>
          <w:p w14:paraId="6E709E2C" w14:textId="695D3299" w:rsidR="001C24E8" w:rsidRDefault="001C24E8" w:rsidP="00D52164">
            <w:pPr>
              <w:jc w:val="left"/>
              <w:rPr>
                <w:rFonts w:asciiTheme="minorHAnsi" w:eastAsia="Times New Roman" w:hAnsiTheme="minorHAnsi" w:cstheme="minorHAnsi"/>
                <w:iCs/>
                <w:noProof/>
                <w:sz w:val="20"/>
              </w:rPr>
            </w:pPr>
            <w:r w:rsidRPr="00890249">
              <w:rPr>
                <w:rFonts w:asciiTheme="minorHAnsi" w:eastAsia="Times New Roman" w:hAnsiTheme="minorHAnsi" w:cstheme="minorHAnsi"/>
                <w:iCs/>
                <w:noProof/>
                <w:sz w:val="20"/>
              </w:rPr>
              <w:t xml:space="preserve">Plan transportowy województwa opolskiego 2030 (wersja nr </w:t>
            </w:r>
            <w:r>
              <w:rPr>
                <w:rFonts w:asciiTheme="minorHAnsi" w:eastAsia="Times New Roman" w:hAnsiTheme="minorHAnsi" w:cstheme="minorHAnsi"/>
                <w:iCs/>
                <w:noProof/>
                <w:sz w:val="20"/>
              </w:rPr>
              <w:t>2</w:t>
            </w:r>
            <w:r w:rsidRPr="00890249">
              <w:rPr>
                <w:rFonts w:asciiTheme="minorHAnsi" w:eastAsia="Times New Roman" w:hAnsiTheme="minorHAnsi" w:cstheme="minorHAnsi"/>
                <w:iCs/>
                <w:noProof/>
                <w:sz w:val="20"/>
              </w:rPr>
              <w:t xml:space="preserve"> z </w:t>
            </w:r>
            <w:r>
              <w:rPr>
                <w:rFonts w:asciiTheme="minorHAnsi" w:eastAsia="Times New Roman" w:hAnsiTheme="minorHAnsi" w:cstheme="minorHAnsi"/>
                <w:iCs/>
                <w:noProof/>
                <w:sz w:val="20"/>
              </w:rPr>
              <w:t>04</w:t>
            </w:r>
            <w:r w:rsidRPr="00890249">
              <w:rPr>
                <w:rFonts w:asciiTheme="minorHAnsi" w:eastAsia="Times New Roman" w:hAnsiTheme="minorHAnsi" w:cstheme="minorHAnsi"/>
                <w:iCs/>
                <w:noProof/>
                <w:sz w:val="20"/>
              </w:rPr>
              <w:t>.1</w:t>
            </w:r>
            <w:r>
              <w:rPr>
                <w:rFonts w:asciiTheme="minorHAnsi" w:eastAsia="Times New Roman" w:hAnsiTheme="minorHAnsi" w:cstheme="minorHAnsi"/>
                <w:iCs/>
                <w:noProof/>
                <w:sz w:val="20"/>
              </w:rPr>
              <w:t>1</w:t>
            </w:r>
            <w:r w:rsidRPr="00890249">
              <w:rPr>
                <w:rFonts w:asciiTheme="minorHAnsi" w:eastAsia="Times New Roman" w:hAnsiTheme="minorHAnsi" w:cstheme="minorHAnsi"/>
                <w:iCs/>
                <w:noProof/>
                <w:sz w:val="20"/>
              </w:rPr>
              <w:t>.202</w:t>
            </w:r>
            <w:r>
              <w:rPr>
                <w:rFonts w:asciiTheme="minorHAnsi" w:eastAsia="Times New Roman" w:hAnsiTheme="minorHAnsi" w:cstheme="minorHAnsi"/>
                <w:iCs/>
                <w:noProof/>
                <w:sz w:val="20"/>
              </w:rPr>
              <w:t>4</w:t>
            </w:r>
            <w:r w:rsidRPr="00890249">
              <w:rPr>
                <w:rFonts w:asciiTheme="minorHAnsi" w:eastAsia="Times New Roman" w:hAnsiTheme="minorHAnsi" w:cstheme="minorHAnsi"/>
                <w:iCs/>
                <w:noProof/>
                <w:sz w:val="20"/>
              </w:rPr>
              <w:t xml:space="preserve"> r.)</w:t>
            </w:r>
          </w:p>
          <w:p w14:paraId="4308B7BA" w14:textId="231547AE" w:rsidR="001C24E8" w:rsidRPr="00DB4E7F" w:rsidRDefault="001C24E8" w:rsidP="00D52164">
            <w:pPr>
              <w:jc w:val="left"/>
              <w:rPr>
                <w:rFonts w:asciiTheme="minorHAnsi" w:eastAsia="Times New Roman" w:hAnsiTheme="minorHAnsi" w:cstheme="minorHAnsi"/>
                <w:iCs/>
                <w:noProof/>
                <w:sz w:val="20"/>
              </w:rPr>
            </w:pPr>
            <w:r w:rsidRPr="00F62734">
              <w:rPr>
                <w:rFonts w:asciiTheme="minorHAnsi" w:eastAsia="Times New Roman" w:hAnsiTheme="minorHAnsi" w:cstheme="minorHAnsi"/>
                <w:iCs/>
                <w:noProof/>
                <w:sz w:val="20"/>
              </w:rPr>
              <w:t xml:space="preserve">Decyzja Komisji Europejskiej z dnia 26 listopada 2024 r. nr C(2024)8580 </w:t>
            </w:r>
            <w:r w:rsidRPr="00F62734">
              <w:rPr>
                <w:rFonts w:asciiTheme="minorHAnsi" w:eastAsia="Times New Roman" w:hAnsiTheme="minorHAnsi" w:cstheme="minorHAnsi"/>
                <w:i/>
                <w:iCs/>
                <w:noProof/>
                <w:sz w:val="20"/>
              </w:rPr>
              <w:t>Plan Transportowy Województwa Opolskiego 2030.</w:t>
            </w:r>
          </w:p>
          <w:p w14:paraId="27D3EDB9" w14:textId="77777777" w:rsidR="001C24E8" w:rsidRDefault="001C24E8" w:rsidP="00D5216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32A65BF3" w14:textId="12F571EB" w:rsidR="001C24E8" w:rsidRDefault="001C24E8" w:rsidP="00D5216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7170E30F" w14:textId="376B0E58" w:rsidR="001C24E8" w:rsidRPr="00890249" w:rsidRDefault="001C24E8" w:rsidP="00D52164">
            <w:pPr>
              <w:jc w:val="left"/>
              <w:rPr>
                <w:rFonts w:asciiTheme="minorHAnsi" w:hAnsiTheme="minorHAnsi" w:cstheme="minorHAnsi"/>
                <w:bCs/>
                <w:sz w:val="20"/>
              </w:rPr>
            </w:pPr>
          </w:p>
        </w:tc>
        <w:tc>
          <w:tcPr>
            <w:tcW w:w="2977" w:type="dxa"/>
            <w:shd w:val="clear" w:color="auto" w:fill="D9D9D9" w:themeFill="background1" w:themeFillShade="D9"/>
            <w:vAlign w:val="center"/>
          </w:tcPr>
          <w:p w14:paraId="6AC95A5E" w14:textId="3072150F" w:rsidR="001C24E8" w:rsidRPr="00F62734" w:rsidRDefault="001C24E8" w:rsidP="00F62734">
            <w:pPr>
              <w:jc w:val="left"/>
              <w:rPr>
                <w:rFonts w:asciiTheme="minorHAnsi" w:hAnsiTheme="minorHAnsi" w:cstheme="minorHAnsi"/>
                <w:sz w:val="20"/>
              </w:rPr>
            </w:pPr>
            <w:r w:rsidRPr="00F62734">
              <w:rPr>
                <w:rFonts w:asciiTheme="minorHAnsi" w:hAnsiTheme="minorHAnsi" w:cstheme="minorHAnsi"/>
                <w:sz w:val="20"/>
              </w:rPr>
              <w:t>PTWO 2030</w:t>
            </w:r>
            <w:r>
              <w:rPr>
                <w:rFonts w:asciiTheme="minorHAnsi" w:hAnsiTheme="minorHAnsi" w:cstheme="minorHAnsi"/>
                <w:sz w:val="20"/>
              </w:rPr>
              <w:t xml:space="preserve"> </w:t>
            </w:r>
            <w:r w:rsidRPr="00F62734">
              <w:rPr>
                <w:rFonts w:asciiTheme="minorHAnsi" w:hAnsiTheme="minorHAnsi" w:cstheme="minorHAnsi"/>
                <w:sz w:val="20"/>
              </w:rPr>
              <w:t xml:space="preserve"> zawiera ocenę ekonomiczną planowanych inwestycji, opartą na analizie zapotrzebowania i modelach przepływów transportowych. Zaprezentowano wyniki analizy popytu przedstawiające prognozowany ruch w przewozach pasażerskich i towarowych, drogowych i kolejowych do 2030 r.</w:t>
            </w:r>
          </w:p>
          <w:p w14:paraId="221420CA" w14:textId="77777777" w:rsidR="001C24E8" w:rsidRDefault="001C24E8" w:rsidP="00F62734">
            <w:pPr>
              <w:jc w:val="left"/>
              <w:rPr>
                <w:rFonts w:asciiTheme="minorHAnsi" w:hAnsiTheme="minorHAnsi" w:cstheme="minorHAnsi"/>
                <w:sz w:val="20"/>
              </w:rPr>
            </w:pPr>
            <w:r w:rsidRPr="00F62734">
              <w:rPr>
                <w:rFonts w:asciiTheme="minorHAnsi" w:hAnsiTheme="minorHAnsi" w:cstheme="minorHAnsi"/>
                <w:sz w:val="20"/>
              </w:rPr>
              <w:t xml:space="preserve">Dokument rozparzył trzy scenariusze planistyczne rozwoju systemu transportowego województwa. </w:t>
            </w:r>
          </w:p>
          <w:p w14:paraId="69EB10C8" w14:textId="77777777" w:rsidR="001C24E8" w:rsidRDefault="001C24E8" w:rsidP="00F62734">
            <w:pPr>
              <w:jc w:val="left"/>
              <w:rPr>
                <w:rFonts w:asciiTheme="minorHAnsi" w:hAnsiTheme="minorHAnsi" w:cstheme="minorHAnsi"/>
                <w:sz w:val="20"/>
              </w:rPr>
            </w:pPr>
            <w:r w:rsidRPr="00F62734">
              <w:rPr>
                <w:rFonts w:asciiTheme="minorHAnsi" w:hAnsiTheme="minorHAnsi" w:cstheme="minorHAnsi"/>
                <w:sz w:val="20"/>
              </w:rPr>
              <w:t xml:space="preserve">Wykonanie zróżnicowanej analizy miało znaczenie dla oceny proponowanych rozwiązań oraz wyboru preferowanego. </w:t>
            </w:r>
          </w:p>
          <w:p w14:paraId="6FF11B7A" w14:textId="77777777" w:rsidR="001C24E8" w:rsidRDefault="001C24E8" w:rsidP="00F62734">
            <w:pPr>
              <w:jc w:val="left"/>
              <w:rPr>
                <w:rFonts w:asciiTheme="minorHAnsi" w:hAnsiTheme="minorHAnsi" w:cstheme="minorHAnsi"/>
                <w:sz w:val="20"/>
              </w:rPr>
            </w:pPr>
            <w:r w:rsidRPr="00F62734">
              <w:rPr>
                <w:rFonts w:asciiTheme="minorHAnsi" w:hAnsiTheme="minorHAnsi" w:cstheme="minorHAnsi"/>
                <w:sz w:val="20"/>
              </w:rPr>
              <w:t xml:space="preserve">Scenariusze planistyczne poddane zostały analizie i ocenie, których celem było poznanie najistotniejszych cech danego rozwiązania. Przeanalizowano istotne z punktu widzenia rozwoju transportu w regionie kryteria: transportowe, </w:t>
            </w:r>
            <w:r w:rsidRPr="00F62734">
              <w:rPr>
                <w:rFonts w:asciiTheme="minorHAnsi" w:hAnsiTheme="minorHAnsi" w:cstheme="minorHAnsi"/>
                <w:sz w:val="20"/>
              </w:rPr>
              <w:lastRenderedPageBreak/>
              <w:t xml:space="preserve">środowiskowe oraz ekonomiczne (ocenę ekonomiczną). </w:t>
            </w:r>
          </w:p>
          <w:p w14:paraId="499CBA57" w14:textId="63A5EFE5" w:rsidR="001C24E8" w:rsidRPr="00F62734" w:rsidRDefault="001C24E8" w:rsidP="00F62734">
            <w:pPr>
              <w:jc w:val="left"/>
              <w:rPr>
                <w:rFonts w:asciiTheme="minorHAnsi" w:hAnsiTheme="minorHAnsi" w:cstheme="minorHAnsi"/>
                <w:sz w:val="20"/>
              </w:rPr>
            </w:pPr>
            <w:r w:rsidRPr="00F62734">
              <w:rPr>
                <w:rFonts w:asciiTheme="minorHAnsi" w:hAnsiTheme="minorHAnsi" w:cstheme="minorHAnsi"/>
                <w:sz w:val="20"/>
              </w:rPr>
              <w:t xml:space="preserve">Zadania przypisane do poszczególnych rozwiązań wynikają z dokumentów strategicznych i danych pozyskanych od zarządców/organizatorów. </w:t>
            </w:r>
          </w:p>
          <w:p w14:paraId="1CA56E8E" w14:textId="5E64752E" w:rsidR="001C24E8" w:rsidRPr="00F62734" w:rsidRDefault="001C24E8" w:rsidP="00F62734">
            <w:pPr>
              <w:jc w:val="left"/>
              <w:rPr>
                <w:rFonts w:asciiTheme="minorHAnsi" w:hAnsiTheme="minorHAnsi" w:cstheme="minorHAnsi"/>
                <w:sz w:val="20"/>
              </w:rPr>
            </w:pPr>
            <w:r w:rsidRPr="00F62734">
              <w:rPr>
                <w:rFonts w:asciiTheme="minorHAnsi" w:hAnsiTheme="minorHAnsi" w:cstheme="minorHAnsi"/>
                <w:sz w:val="20"/>
              </w:rPr>
              <w:t xml:space="preserve">Pkt. 1 TOM II PTWO 2030  </w:t>
            </w:r>
          </w:p>
          <w:p w14:paraId="062ACAA1" w14:textId="75419C6A" w:rsidR="001C24E8" w:rsidRPr="00B9510E" w:rsidRDefault="001C24E8" w:rsidP="00316194">
            <w:pPr>
              <w:jc w:val="left"/>
              <w:rPr>
                <w:rFonts w:asciiTheme="minorHAnsi" w:hAnsiTheme="minorHAnsi" w:cstheme="minorHAnsi"/>
                <w:b/>
                <w:bCs/>
                <w:sz w:val="20"/>
              </w:rPr>
            </w:pPr>
            <w:r w:rsidRPr="00F62734">
              <w:rPr>
                <w:rFonts w:asciiTheme="minorHAnsi" w:hAnsiTheme="minorHAnsi" w:cstheme="minorHAnsi"/>
                <w:sz w:val="20"/>
              </w:rPr>
              <w:t>Pkt. 2.2 TOM II PTWO 2030</w:t>
            </w:r>
          </w:p>
        </w:tc>
      </w:tr>
      <w:tr w:rsidR="001C24E8" w:rsidRPr="00890249" w14:paraId="4EF37EFC" w14:textId="77777777" w:rsidTr="001C24E8">
        <w:tc>
          <w:tcPr>
            <w:tcW w:w="1560" w:type="dxa"/>
            <w:vMerge/>
          </w:tcPr>
          <w:p w14:paraId="158AA04A"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0234021D"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2041D41A"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18729A74"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7F9C16AC"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2</w:t>
            </w:r>
          </w:p>
          <w:p w14:paraId="13215208" w14:textId="711A9633" w:rsidR="001C24E8" w:rsidRPr="00890249" w:rsidRDefault="001C24E8" w:rsidP="003C6BDD">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2. jest spójne z elementami zintegrowanego krajowego planu</w:t>
            </w:r>
            <w:r w:rsidR="003C6BDD">
              <w:rPr>
                <w:rFonts w:asciiTheme="minorHAnsi" w:hAnsiTheme="minorHAnsi" w:cstheme="minorHAnsi"/>
                <w:sz w:val="20"/>
              </w:rPr>
              <w:t xml:space="preserve"> </w:t>
            </w:r>
            <w:r w:rsidRPr="00890249">
              <w:rPr>
                <w:rFonts w:asciiTheme="minorHAnsi" w:hAnsiTheme="minorHAnsi" w:cstheme="minorHAnsi"/>
                <w:sz w:val="20"/>
              </w:rPr>
              <w:t>w dziedzinie energii i klimatu dotyczącymi transportu</w:t>
            </w:r>
          </w:p>
        </w:tc>
        <w:tc>
          <w:tcPr>
            <w:tcW w:w="1134" w:type="dxa"/>
            <w:shd w:val="clear" w:color="auto" w:fill="D9D9D9" w:themeFill="background1" w:themeFillShade="D9"/>
          </w:tcPr>
          <w:p w14:paraId="0054AA51" w14:textId="68C77EA5"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7EE05D47" w14:textId="77777777"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00675E3D"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4B169BC0"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vAlign w:val="center"/>
          </w:tcPr>
          <w:p w14:paraId="7F9CC46E" w14:textId="0F2163DC"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Po przeanalizowaniu krajowych planów na rzecz energii i klimatu, w zakresie dotyczącym transportu można stwierdzić, iż wszystkie planowane w PTWO 2030 działania inwestycyjne wpisują się w przewidywane cele i realizują podstawowe założenia. Każde z nich ma na względzie ograniczanie negatywnego wpływu transportu na środowisko. </w:t>
            </w:r>
          </w:p>
          <w:p w14:paraId="3C28A945" w14:textId="21E0FD6D"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Plan dąży do podniesienia konkurencyjności transportu publicznego, jako środka komunikacji, wskazując na konieczność m.in. budowy węzłów przesiadkowych czy kontynuację odnowy taboru. </w:t>
            </w:r>
            <w:r w:rsidRPr="00B9510E">
              <w:rPr>
                <w:rFonts w:asciiTheme="minorHAnsi" w:hAnsiTheme="minorHAnsi" w:cstheme="minorHAnsi"/>
                <w:bCs/>
                <w:sz w:val="20"/>
              </w:rPr>
              <w:lastRenderedPageBreak/>
              <w:t>PTWO 2030 jest jednym z narzędzi służących do osiągnięcia celu redukcyjnego.</w:t>
            </w:r>
          </w:p>
          <w:p w14:paraId="7EF298E6" w14:textId="77777777"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Jednym z celów szczegółowych planu jest ochrona środowiska. Cel ten zawiera w sobie działania dot. m.in. redukcji emisji gazów cieplarnianych i łagodzenie zmian klimatu. W ramach pracy nad dokumentem, dokonano m.in. oceny wpływu scenariuszy na środowisko na podstawie porównania emisji zanieczyszczeń CO2. </w:t>
            </w:r>
          </w:p>
          <w:p w14:paraId="3BE0B1C8" w14:textId="3FF102BD"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Pkt. 2.2 TOM II PTWO 2030 </w:t>
            </w:r>
          </w:p>
          <w:p w14:paraId="6F41EB79" w14:textId="7094E646" w:rsidR="001C24E8" w:rsidRPr="00890249" w:rsidRDefault="001C24E8" w:rsidP="00325D70">
            <w:pPr>
              <w:jc w:val="left"/>
              <w:rPr>
                <w:rFonts w:asciiTheme="minorHAnsi" w:hAnsiTheme="minorHAnsi" w:cstheme="minorHAnsi"/>
                <w:b/>
                <w:bCs/>
                <w:color w:val="D9D9D9" w:themeColor="background1" w:themeShade="D9"/>
                <w:sz w:val="20"/>
              </w:rPr>
            </w:pPr>
            <w:r w:rsidRPr="00B9510E">
              <w:rPr>
                <w:rFonts w:asciiTheme="minorHAnsi" w:hAnsiTheme="minorHAnsi" w:cstheme="minorHAnsi"/>
                <w:bCs/>
                <w:sz w:val="20"/>
              </w:rPr>
              <w:t>Pkt. 6 TOM II PTWO 2030</w:t>
            </w:r>
          </w:p>
        </w:tc>
      </w:tr>
      <w:tr w:rsidR="001C24E8" w:rsidRPr="00890249" w14:paraId="277B78F3" w14:textId="77777777" w:rsidTr="001C24E8">
        <w:tc>
          <w:tcPr>
            <w:tcW w:w="1560" w:type="dxa"/>
            <w:vMerge/>
          </w:tcPr>
          <w:p w14:paraId="6E5B7777"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4602FBFA"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7B898773"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661E3A9D"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30BB9258"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3</w:t>
            </w:r>
          </w:p>
          <w:p w14:paraId="7D76D8D3" w14:textId="1B5305B7" w:rsidR="001C24E8" w:rsidRPr="00890249" w:rsidRDefault="001C24E8" w:rsidP="003C6BDD">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3. obejmuje inwestycje w korytarze sieci bazowej TEN-T zgodnie z definicją w rozporządzeniu w sprawie CEF, zgodnie z odpowiednimi planami prac dotyczącymi korytarzy sieci bazowej TEN-T;</w:t>
            </w:r>
          </w:p>
        </w:tc>
        <w:tc>
          <w:tcPr>
            <w:tcW w:w="1134" w:type="dxa"/>
            <w:shd w:val="clear" w:color="auto" w:fill="D9D9D9" w:themeFill="background1" w:themeFillShade="D9"/>
          </w:tcPr>
          <w:p w14:paraId="53690F23" w14:textId="55481693"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4CA0F417" w14:textId="77777777" w:rsidR="001C24E8" w:rsidRPr="00F62734" w:rsidRDefault="001C24E8" w:rsidP="00316194">
            <w:pPr>
              <w:spacing w:before="100"/>
              <w:rPr>
                <w:rFonts w:asciiTheme="minorHAnsi" w:hAnsiTheme="minorHAnsi" w:cstheme="minorHAnsi"/>
                <w:b/>
                <w:bCs/>
                <w:sz w:val="20"/>
                <w:szCs w:val="16"/>
              </w:rPr>
            </w:pPr>
            <w:r w:rsidRPr="00F62734">
              <w:rPr>
                <w:rFonts w:asciiTheme="minorHAnsi" w:hAnsiTheme="minorHAnsi" w:cstheme="minorHAnsi"/>
                <w:b/>
                <w:bCs/>
                <w:sz w:val="20"/>
                <w:szCs w:val="16"/>
              </w:rPr>
              <w:t>Linki do dokumentów:</w:t>
            </w:r>
          </w:p>
          <w:p w14:paraId="55C10386" w14:textId="77777777" w:rsidR="001C24E8" w:rsidRPr="00F62734" w:rsidRDefault="001C24E8" w:rsidP="00316194">
            <w:pPr>
              <w:spacing w:before="100"/>
              <w:rPr>
                <w:rFonts w:asciiTheme="minorHAnsi" w:hAnsiTheme="minorHAnsi" w:cstheme="minorHAnsi"/>
                <w:sz w:val="20"/>
                <w:szCs w:val="16"/>
              </w:rPr>
            </w:pPr>
            <w:hyperlink r:id="rId119" w:history="1">
              <w:r w:rsidRPr="00F62734">
                <w:rPr>
                  <w:rStyle w:val="Hipercze"/>
                  <w:rFonts w:asciiTheme="minorHAnsi" w:hAnsiTheme="minorHAnsi" w:cstheme="minorHAnsi"/>
                  <w:sz w:val="20"/>
                  <w:szCs w:val="16"/>
                </w:rPr>
                <w:t>https://www.gov.pl/web/infrastruktura/projekt-strategii-zrownowazonego-rozwoju-transportu-do-2030-roku2</w:t>
              </w:r>
            </w:hyperlink>
            <w:r w:rsidRPr="00F62734">
              <w:rPr>
                <w:rFonts w:asciiTheme="minorHAnsi" w:hAnsiTheme="minorHAnsi" w:cstheme="minorHAnsi"/>
                <w:sz w:val="20"/>
                <w:szCs w:val="16"/>
              </w:rPr>
              <w:t xml:space="preserve"> </w:t>
            </w:r>
          </w:p>
          <w:p w14:paraId="68B11E78" w14:textId="77777777" w:rsidR="001C24E8" w:rsidRPr="00F62734" w:rsidRDefault="001C24E8" w:rsidP="00316194">
            <w:pPr>
              <w:spacing w:before="100"/>
              <w:rPr>
                <w:rFonts w:asciiTheme="minorHAnsi" w:hAnsiTheme="minorHAnsi" w:cstheme="minorHAnsi"/>
                <w:color w:val="000000"/>
                <w:sz w:val="20"/>
                <w:szCs w:val="16"/>
              </w:rPr>
            </w:pPr>
            <w:hyperlink r:id="rId120" w:history="1">
              <w:r w:rsidRPr="00F62734">
                <w:rPr>
                  <w:rStyle w:val="Hipercze"/>
                  <w:rFonts w:asciiTheme="minorHAnsi" w:hAnsiTheme="minorHAnsi" w:cstheme="minorHAnsi"/>
                  <w:sz w:val="20"/>
                  <w:szCs w:val="16"/>
                </w:rPr>
                <w:t>https://www.gov.pl/web/infrastruktura/rzadowy-program-budowy-drog-krajowych-do-2030-r-z-perspektywa-do-2033-r</w:t>
              </w:r>
            </w:hyperlink>
          </w:p>
          <w:p w14:paraId="6DEAC5EC" w14:textId="77777777" w:rsidR="001C24E8" w:rsidRPr="00F62734" w:rsidRDefault="001C24E8" w:rsidP="00316194">
            <w:pPr>
              <w:spacing w:before="100"/>
              <w:rPr>
                <w:rFonts w:asciiTheme="minorHAnsi" w:hAnsiTheme="minorHAnsi" w:cstheme="minorHAnsi"/>
                <w:color w:val="000000"/>
                <w:sz w:val="20"/>
                <w:szCs w:val="16"/>
              </w:rPr>
            </w:pPr>
            <w:hyperlink r:id="rId121" w:history="1">
              <w:r w:rsidRPr="00F62734">
                <w:rPr>
                  <w:rStyle w:val="Hipercze"/>
                  <w:rFonts w:asciiTheme="minorHAnsi" w:hAnsiTheme="minorHAnsi" w:cstheme="minorHAnsi"/>
                  <w:sz w:val="20"/>
                  <w:szCs w:val="16"/>
                </w:rPr>
                <w:t>https://www.gov.pl/web/infrastruktura/krajowy-program-kolejowy</w:t>
              </w:r>
            </w:hyperlink>
          </w:p>
          <w:p w14:paraId="62B7D0E3" w14:textId="77777777" w:rsidR="001C24E8" w:rsidRPr="00F62734" w:rsidRDefault="001C24E8" w:rsidP="00316194">
            <w:pPr>
              <w:spacing w:before="100"/>
              <w:rPr>
                <w:rFonts w:asciiTheme="minorHAnsi" w:hAnsiTheme="minorHAnsi" w:cstheme="minorHAnsi"/>
                <w:color w:val="000000"/>
                <w:sz w:val="20"/>
                <w:szCs w:val="16"/>
              </w:rPr>
            </w:pPr>
            <w:hyperlink r:id="rId122" w:history="1">
              <w:r w:rsidRPr="00F62734">
                <w:rPr>
                  <w:rStyle w:val="Hipercze"/>
                  <w:rFonts w:asciiTheme="minorHAnsi" w:hAnsiTheme="minorHAnsi" w:cstheme="minorHAnsi"/>
                  <w:sz w:val="20"/>
                  <w:szCs w:val="16"/>
                </w:rPr>
                <w:t>https://www.gov.pl/web/gospodarkamorska/program-rozwoju-polskich-portow-morskich-do-2030-roku</w:t>
              </w:r>
            </w:hyperlink>
          </w:p>
          <w:p w14:paraId="40D592DF" w14:textId="77777777" w:rsidR="001C24E8" w:rsidRPr="00F62734" w:rsidRDefault="001C24E8" w:rsidP="00316194">
            <w:pPr>
              <w:spacing w:before="100"/>
              <w:rPr>
                <w:rFonts w:asciiTheme="minorHAnsi" w:hAnsiTheme="minorHAnsi" w:cstheme="minorHAnsi"/>
                <w:color w:val="000000"/>
                <w:sz w:val="20"/>
                <w:szCs w:val="16"/>
              </w:rPr>
            </w:pPr>
            <w:hyperlink r:id="rId123" w:history="1">
              <w:r w:rsidRPr="00F62734">
                <w:rPr>
                  <w:rStyle w:val="Hipercze"/>
                  <w:rFonts w:asciiTheme="minorHAnsi" w:hAnsiTheme="minorHAnsi" w:cstheme="minorHAnsi"/>
                  <w:sz w:val="20"/>
                  <w:szCs w:val="16"/>
                </w:rPr>
                <w:t>https://www.gov.pl/web/infrastruktura/krajowy-program-zeglugowy-do-roku-2030</w:t>
              </w:r>
            </w:hyperlink>
          </w:p>
          <w:p w14:paraId="5C7038E5" w14:textId="77777777" w:rsidR="001C24E8" w:rsidRPr="00F62734" w:rsidRDefault="001C24E8" w:rsidP="00316194">
            <w:pPr>
              <w:spacing w:before="100"/>
              <w:rPr>
                <w:rFonts w:asciiTheme="minorHAnsi" w:hAnsiTheme="minorHAnsi" w:cstheme="minorHAnsi"/>
                <w:color w:val="000000"/>
                <w:sz w:val="20"/>
                <w:szCs w:val="16"/>
              </w:rPr>
            </w:pPr>
            <w:hyperlink r:id="rId124" w:history="1">
              <w:r w:rsidRPr="00F62734">
                <w:rPr>
                  <w:rStyle w:val="Hipercze"/>
                  <w:rFonts w:asciiTheme="minorHAnsi" w:hAnsiTheme="minorHAnsi" w:cstheme="minorHAnsi"/>
                  <w:sz w:val="20"/>
                  <w:szCs w:val="16"/>
                </w:rPr>
                <w:t>https://www.gov.pl/web/infrastruktura/polityka-rozwoju-lotnictwa-cywilnego-w-polsce-do-2030-r-z-perspektywa-do-2040-r</w:t>
              </w:r>
            </w:hyperlink>
          </w:p>
          <w:p w14:paraId="584398C2" w14:textId="77777777" w:rsidR="001C24E8" w:rsidRPr="00F62734" w:rsidRDefault="001C24E8" w:rsidP="00316194">
            <w:pPr>
              <w:spacing w:before="100"/>
              <w:rPr>
                <w:rFonts w:asciiTheme="minorHAnsi" w:hAnsiTheme="minorHAnsi" w:cstheme="minorHAnsi"/>
                <w:color w:val="000000"/>
                <w:sz w:val="20"/>
                <w:szCs w:val="16"/>
              </w:rPr>
            </w:pPr>
            <w:hyperlink r:id="rId125" w:history="1">
              <w:r w:rsidRPr="00F62734">
                <w:rPr>
                  <w:rStyle w:val="Hipercze"/>
                  <w:rFonts w:asciiTheme="minorHAnsi" w:hAnsiTheme="minorHAnsi" w:cstheme="minorHAnsi"/>
                  <w:sz w:val="20"/>
                  <w:szCs w:val="16"/>
                </w:rPr>
                <w:t>https://www.cpk.pl/pl/inwestycja/program-wieloletni</w:t>
              </w:r>
            </w:hyperlink>
          </w:p>
          <w:p w14:paraId="34483613" w14:textId="77777777" w:rsidR="001C24E8" w:rsidRPr="00F62734" w:rsidRDefault="001C24E8" w:rsidP="00316194">
            <w:pPr>
              <w:spacing w:before="100"/>
              <w:rPr>
                <w:rStyle w:val="Hipercze"/>
                <w:rFonts w:asciiTheme="minorHAnsi" w:hAnsiTheme="minorHAnsi" w:cstheme="minorHAnsi"/>
                <w:sz w:val="20"/>
                <w:szCs w:val="16"/>
              </w:rPr>
            </w:pPr>
            <w:hyperlink r:id="rId126" w:history="1">
              <w:r w:rsidRPr="00F62734">
                <w:rPr>
                  <w:rStyle w:val="Hipercze"/>
                  <w:rFonts w:asciiTheme="minorHAnsi" w:hAnsiTheme="minorHAnsi" w:cstheme="minorHAnsi"/>
                  <w:sz w:val="20"/>
                  <w:szCs w:val="16"/>
                </w:rPr>
                <w:t>https://www.gov.pl/web/infrastruktura/kierunki-rozwoju-transportu-intermodalnego</w:t>
              </w:r>
            </w:hyperlink>
          </w:p>
          <w:p w14:paraId="514F4A72" w14:textId="77777777" w:rsidR="001C24E8" w:rsidRPr="00F62734" w:rsidRDefault="001C24E8" w:rsidP="00316194">
            <w:pPr>
              <w:rPr>
                <w:rStyle w:val="Hipercze"/>
                <w:rFonts w:asciiTheme="minorHAnsi" w:hAnsiTheme="minorHAnsi" w:cstheme="minorHAnsi"/>
                <w:sz w:val="20"/>
                <w:szCs w:val="16"/>
              </w:rPr>
            </w:pPr>
            <w:hyperlink r:id="rId127" w:history="1">
              <w:r w:rsidRPr="00F62734">
                <w:rPr>
                  <w:rStyle w:val="Hipercze"/>
                  <w:rFonts w:asciiTheme="minorHAnsi" w:hAnsiTheme="minorHAnsi" w:cstheme="minorHAnsi"/>
                  <w:sz w:val="20"/>
                  <w:szCs w:val="16"/>
                </w:rPr>
                <w:t>https://www.gov.pl/web/infrastruktura/program-wzmocnienia-krajowej-sieci-drogowej-do-2030-roku</w:t>
              </w:r>
            </w:hyperlink>
          </w:p>
          <w:p w14:paraId="69E7E58E" w14:textId="77777777" w:rsidR="001C24E8" w:rsidRPr="00F62734" w:rsidRDefault="001C24E8" w:rsidP="00316194">
            <w:pPr>
              <w:rPr>
                <w:rFonts w:asciiTheme="minorHAnsi" w:hAnsiTheme="minorHAnsi" w:cstheme="minorHAnsi"/>
                <w:b/>
                <w:bCs/>
                <w:sz w:val="20"/>
                <w:szCs w:val="16"/>
              </w:rPr>
            </w:pPr>
            <w:r w:rsidRPr="00F62734">
              <w:rPr>
                <w:rFonts w:asciiTheme="minorHAnsi" w:hAnsiTheme="minorHAnsi" w:cstheme="minorHAnsi"/>
                <w:b/>
                <w:bCs/>
                <w:sz w:val="20"/>
                <w:szCs w:val="16"/>
              </w:rPr>
              <w:t xml:space="preserve">Link do dokumentu: </w:t>
            </w:r>
          </w:p>
          <w:p w14:paraId="00768E8E" w14:textId="354DEF27" w:rsidR="001C24E8" w:rsidRPr="00F62734" w:rsidRDefault="001C24E8" w:rsidP="00F62734">
            <w:hyperlink r:id="rId128" w:history="1">
              <w:r w:rsidRPr="00F62734">
                <w:rPr>
                  <w:rStyle w:val="Hipercze"/>
                  <w:rFonts w:asciiTheme="minorHAnsi" w:hAnsiTheme="minorHAnsi" w:cstheme="minorHAnsi"/>
                  <w:sz w:val="20"/>
                  <w:szCs w:val="16"/>
                </w:rPr>
                <w:t>https://bip.opolskie.pl/2024/08/plan-transportowy-wojewodztwa-opolskiego-2030-aktualizacja/</w:t>
              </w:r>
            </w:hyperlink>
          </w:p>
        </w:tc>
        <w:tc>
          <w:tcPr>
            <w:tcW w:w="2977" w:type="dxa"/>
            <w:shd w:val="clear" w:color="auto" w:fill="D9D9D9" w:themeFill="background1" w:themeFillShade="D9"/>
          </w:tcPr>
          <w:p w14:paraId="5384D7C4" w14:textId="5B0F01BD" w:rsidR="001C24E8" w:rsidRPr="00B9510E" w:rsidRDefault="001C24E8" w:rsidP="00F62734">
            <w:pPr>
              <w:spacing w:after="0"/>
              <w:jc w:val="left"/>
              <w:rPr>
                <w:rFonts w:ascii="Calibri" w:hAnsi="Calibri" w:cs="Calibri"/>
                <w:bCs/>
                <w:sz w:val="20"/>
              </w:rPr>
            </w:pPr>
            <w:r w:rsidRPr="00B9510E">
              <w:rPr>
                <w:rFonts w:ascii="Calibri" w:hAnsi="Calibri" w:cs="Calibri"/>
                <w:bCs/>
                <w:sz w:val="20"/>
              </w:rPr>
              <w:lastRenderedPageBreak/>
              <w:t xml:space="preserve">Funkcjonujący w Polsce system kompleksowego planowania rozwoju transportu uwzględnia wynikające z przepisów unijnych zobowiązanie do ukończenia do 2030 r. sieci bazowej TEN-T. </w:t>
            </w:r>
          </w:p>
          <w:p w14:paraId="2A566607" w14:textId="77777777" w:rsidR="001C24E8" w:rsidRPr="00B9510E" w:rsidRDefault="001C24E8" w:rsidP="00F62734">
            <w:pPr>
              <w:spacing w:after="0"/>
              <w:jc w:val="left"/>
              <w:rPr>
                <w:rFonts w:ascii="Calibri" w:hAnsi="Calibri" w:cs="Calibri"/>
                <w:bCs/>
                <w:sz w:val="20"/>
              </w:rPr>
            </w:pPr>
            <w:r w:rsidRPr="00B9510E">
              <w:rPr>
                <w:rFonts w:ascii="Calibri" w:hAnsi="Calibri" w:cs="Calibri"/>
                <w:bCs/>
                <w:sz w:val="20"/>
              </w:rPr>
              <w:t xml:space="preserve">Plany prac korytarzy sieci TEN-T opracowywane są przez Koordynatorów Europejskich w zgodzie i w oparciu o cele transeuropejskiej sieci transportowej, do których należą przyczynianie się do zwiększenia </w:t>
            </w:r>
            <w:r w:rsidRPr="00B9510E">
              <w:rPr>
                <w:rFonts w:ascii="Calibri" w:hAnsi="Calibri" w:cs="Calibri"/>
                <w:bCs/>
                <w:sz w:val="20"/>
              </w:rPr>
              <w:lastRenderedPageBreak/>
              <w:t xml:space="preserve">spójności, wydajności, zrównoważonego charakteru transportu, a także zwiększanie korzyści dla użytkowników oraz priorytety, m.in. dot. zapewnienia optymalnej integracji różnych rodzajów transportu i interoperacyjności w obrębie rodzajów transportu, uzupełniania brakujących ogniw, rozwiązania problemu wąskich gardeł, w szczególności na odcinkach transgranicznych, promowania efektywnego i zrównoważonego wykorzystywania infrastruktury oraz, w razie konieczności, zwiększania przepustowości. </w:t>
            </w:r>
          </w:p>
          <w:p w14:paraId="4F94DCA1" w14:textId="77777777" w:rsidR="001C24E8" w:rsidRPr="00B9510E" w:rsidRDefault="001C24E8" w:rsidP="00F62734">
            <w:pPr>
              <w:spacing w:after="0"/>
              <w:jc w:val="left"/>
              <w:rPr>
                <w:rFonts w:ascii="Calibri" w:hAnsi="Calibri" w:cs="Calibri"/>
                <w:bCs/>
                <w:sz w:val="20"/>
              </w:rPr>
            </w:pPr>
            <w:r w:rsidRPr="00B9510E">
              <w:rPr>
                <w:rFonts w:ascii="Calibri" w:hAnsi="Calibri" w:cs="Calibri"/>
                <w:bCs/>
                <w:sz w:val="20"/>
              </w:rPr>
              <w:t xml:space="preserve">Polskie plany obejmują m.in. inwestycje na odcinkach korytarzy sieci bazowej TEN-T Bałtyk-Adriatyk i Morze Północne-Bałtyk. </w:t>
            </w:r>
          </w:p>
          <w:p w14:paraId="1CE0EE46" w14:textId="7D319C92" w:rsidR="001C24E8" w:rsidRPr="00B9510E" w:rsidRDefault="001C24E8" w:rsidP="00F62734">
            <w:pPr>
              <w:spacing w:after="0"/>
              <w:jc w:val="left"/>
              <w:rPr>
                <w:rFonts w:ascii="Calibri" w:hAnsi="Calibri" w:cs="Calibri"/>
                <w:bCs/>
                <w:sz w:val="20"/>
              </w:rPr>
            </w:pPr>
            <w:r w:rsidRPr="00B9510E">
              <w:rPr>
                <w:rFonts w:ascii="Calibri" w:hAnsi="Calibri" w:cs="Calibri"/>
                <w:bCs/>
                <w:sz w:val="20"/>
              </w:rPr>
              <w:t>PTWO 2030  obejmuje swym zakresem inwestycje w korytarze sieci bazowej TEN-T – dla dróg, kolei oraz dróg wodnych śródlądowych.</w:t>
            </w:r>
          </w:p>
          <w:p w14:paraId="57E280FE" w14:textId="19F22599" w:rsidR="001C24E8" w:rsidRPr="00890249" w:rsidRDefault="001C24E8" w:rsidP="00316194">
            <w:pPr>
              <w:jc w:val="left"/>
              <w:rPr>
                <w:rFonts w:asciiTheme="minorHAnsi" w:hAnsiTheme="minorHAnsi" w:cstheme="minorHAnsi"/>
                <w:b/>
                <w:bCs/>
                <w:sz w:val="20"/>
              </w:rPr>
            </w:pPr>
            <w:r w:rsidRPr="00B9510E">
              <w:rPr>
                <w:rFonts w:ascii="Calibri" w:hAnsi="Calibri" w:cs="Calibri"/>
                <w:bCs/>
                <w:sz w:val="20"/>
              </w:rPr>
              <w:t xml:space="preserve">Pkt. 6 TOM II PTWO 2030  </w:t>
            </w:r>
          </w:p>
        </w:tc>
      </w:tr>
      <w:tr w:rsidR="001C24E8" w:rsidRPr="00890249" w14:paraId="606FEE4B" w14:textId="77777777" w:rsidTr="001C24E8">
        <w:tc>
          <w:tcPr>
            <w:tcW w:w="1560" w:type="dxa"/>
            <w:vMerge/>
          </w:tcPr>
          <w:p w14:paraId="46DBD29A"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7A2B2CFE"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6569FE50"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2E4E2E96"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085DFD13"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4</w:t>
            </w:r>
          </w:p>
          <w:p w14:paraId="18C26772" w14:textId="77777777" w:rsidR="001C24E8" w:rsidRPr="00890249" w:rsidRDefault="001C24E8" w:rsidP="00D52164">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4. w przypadku inwestycji poza korytarzami sieci bazowej TEN-T, w tym na odcinkach transgranicznych, zapewnia komplementarność przez zapewnienie wystarczającego rozwoju  połączeń sieci miejskich, regionów i lokalnych społeczności z siecią bazową TEN-T i jej węzłami;</w:t>
            </w:r>
          </w:p>
        </w:tc>
        <w:tc>
          <w:tcPr>
            <w:tcW w:w="1134" w:type="dxa"/>
            <w:shd w:val="clear" w:color="auto" w:fill="D9D9D9" w:themeFill="background1" w:themeFillShade="D9"/>
          </w:tcPr>
          <w:p w14:paraId="750733F6" w14:textId="5F7EAF91"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24532574" w14:textId="77777777"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24D08BCA"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3061635F"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tcPr>
          <w:p w14:paraId="731BBCE2" w14:textId="39691725"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Przedstawiona infrastruktura transportowa obejmuje nie tylko istniejącą infrastrukturę, lecz również przyszłe inwestycje infrastrukturalne planowane do rozpoczęcia przed rokiem 2030. Lista projektów (tzw. ‘project pipeline’) została opracowana i przedstawiona w formie map załączonych do PTWO</w:t>
            </w:r>
            <w:r>
              <w:rPr>
                <w:rFonts w:asciiTheme="minorHAnsi" w:hAnsiTheme="minorHAnsi" w:cstheme="minorHAnsi"/>
                <w:bCs/>
                <w:sz w:val="20"/>
              </w:rPr>
              <w:t>2030</w:t>
            </w:r>
            <w:r w:rsidRPr="00B9510E">
              <w:rPr>
                <w:rFonts w:asciiTheme="minorHAnsi" w:hAnsiTheme="minorHAnsi" w:cstheme="minorHAnsi"/>
                <w:bCs/>
                <w:sz w:val="20"/>
              </w:rPr>
              <w:t>.</w:t>
            </w:r>
          </w:p>
          <w:p w14:paraId="0A2A2177" w14:textId="77777777"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Przeanalizowano lokalizację istniejących węzłów przesiadkowych i przeładunkowych. Sprawdzono możliwość korzystania z różnych form transportu w różnych konfiguracjach, zapewniających sprawne przemieszczanie się. Brano pod uwagę relację odległość/czas. Wskazano centra przesiadkowe, planowany węzeł intermodalny, czy stacje tankowania paliw alternatywnych. Ukazano wzajemne oddziaływania poszczególnych środków transportu oraz uwzględniono przeniesienie pasażerów lub przewożonych towarów </w:t>
            </w:r>
            <w:r w:rsidRPr="00B9510E">
              <w:rPr>
                <w:rFonts w:asciiTheme="minorHAnsi" w:hAnsiTheme="minorHAnsi" w:cstheme="minorHAnsi"/>
                <w:bCs/>
                <w:sz w:val="20"/>
              </w:rPr>
              <w:lastRenderedPageBreak/>
              <w:t>pomiędzy różnymi gałęziami transportu.</w:t>
            </w:r>
          </w:p>
          <w:p w14:paraId="0D529359" w14:textId="0B661341"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Pkt. 6 TOM II PTWO 2030  </w:t>
            </w:r>
          </w:p>
          <w:p w14:paraId="55134CA3" w14:textId="27976D7F" w:rsidR="001C24E8" w:rsidRPr="00890249" w:rsidRDefault="001C24E8" w:rsidP="00325D70">
            <w:pPr>
              <w:jc w:val="left"/>
              <w:rPr>
                <w:rFonts w:asciiTheme="minorHAnsi" w:hAnsiTheme="minorHAnsi" w:cstheme="minorHAnsi"/>
                <w:b/>
                <w:bCs/>
                <w:color w:val="D9D9D9" w:themeColor="background1" w:themeShade="D9"/>
                <w:sz w:val="20"/>
              </w:rPr>
            </w:pPr>
            <w:r w:rsidRPr="00B9510E">
              <w:rPr>
                <w:rFonts w:asciiTheme="minorHAnsi" w:hAnsiTheme="minorHAnsi" w:cstheme="minorHAnsi"/>
                <w:bCs/>
                <w:sz w:val="20"/>
              </w:rPr>
              <w:t xml:space="preserve">Załącznik 1, 2, 3, 4 do PTWO 2030 </w:t>
            </w:r>
          </w:p>
        </w:tc>
      </w:tr>
      <w:tr w:rsidR="001C24E8" w:rsidRPr="00890249" w14:paraId="3FEFCB4A" w14:textId="77777777" w:rsidTr="001C24E8">
        <w:tc>
          <w:tcPr>
            <w:tcW w:w="1560" w:type="dxa"/>
            <w:vMerge/>
          </w:tcPr>
          <w:p w14:paraId="41158E5C"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73033476"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5D009949"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7B0580A0"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1D2464AD"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5</w:t>
            </w:r>
          </w:p>
          <w:p w14:paraId="1836FFB7" w14:textId="77777777" w:rsidR="001C24E8" w:rsidRPr="00890249" w:rsidRDefault="001C24E8" w:rsidP="00D52164">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5. zapewnia interoperacyjność sieci kolejowej oraz, w stosownych przypadkach, przedstawia sprawozdanie z wdrażania europejskiego systemu zarządzania ruchem kolejowym (ERTMS) zgodnie z rozporządzeniem wykonawczym Komisji (UE) 2017/61;</w:t>
            </w:r>
          </w:p>
        </w:tc>
        <w:tc>
          <w:tcPr>
            <w:tcW w:w="1134" w:type="dxa"/>
            <w:shd w:val="clear" w:color="auto" w:fill="D9D9D9" w:themeFill="background1" w:themeFillShade="D9"/>
          </w:tcPr>
          <w:p w14:paraId="10FCD22B" w14:textId="0127F43D"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4DC353BF" w14:textId="77777777" w:rsidR="001C24E8" w:rsidRPr="00F62734" w:rsidRDefault="001C24E8" w:rsidP="00316194">
            <w:pPr>
              <w:rPr>
                <w:rFonts w:asciiTheme="minorHAnsi" w:hAnsiTheme="minorHAnsi" w:cstheme="minorHAnsi"/>
                <w:sz w:val="20"/>
                <w:szCs w:val="16"/>
              </w:rPr>
            </w:pPr>
            <w:r w:rsidRPr="00F62734">
              <w:rPr>
                <w:rFonts w:asciiTheme="minorHAnsi" w:hAnsiTheme="minorHAnsi" w:cstheme="minorHAnsi"/>
                <w:sz w:val="20"/>
                <w:szCs w:val="16"/>
              </w:rPr>
              <w:t xml:space="preserve">Szczegółowy opis sposobu wypełnienia tego kryterium i całego warunku w załączonym raporcie. </w:t>
            </w:r>
          </w:p>
          <w:p w14:paraId="59709237" w14:textId="77777777" w:rsidR="001C24E8" w:rsidRPr="00F62734" w:rsidRDefault="001C24E8" w:rsidP="00316194">
            <w:pPr>
              <w:rPr>
                <w:rFonts w:asciiTheme="minorHAnsi" w:hAnsiTheme="minorHAnsi" w:cstheme="minorHAnsi"/>
                <w:sz w:val="20"/>
                <w:szCs w:val="16"/>
              </w:rPr>
            </w:pPr>
            <w:r w:rsidRPr="00F62734">
              <w:rPr>
                <w:rFonts w:asciiTheme="minorHAnsi" w:hAnsiTheme="minorHAnsi" w:cstheme="minorHAnsi"/>
                <w:sz w:val="20"/>
                <w:szCs w:val="16"/>
              </w:rPr>
              <w:t xml:space="preserve">Polska zapewnia interoperacyjność sieci i będzie monitorować stan wdrożenia ERTMS zgodnie ze zmianami wprowadzanymi aktualnie w przepisach dotyczących sieci TEN-T. </w:t>
            </w:r>
          </w:p>
          <w:p w14:paraId="10140FA7" w14:textId="77777777" w:rsidR="001C24E8" w:rsidRDefault="001C24E8" w:rsidP="00316194">
            <w:pPr>
              <w:jc w:val="left"/>
              <w:rPr>
                <w:rFonts w:asciiTheme="minorHAnsi" w:eastAsia="Times New Roman" w:hAnsiTheme="minorHAnsi" w:cstheme="minorHAnsi"/>
                <w:b/>
                <w:iCs/>
                <w:noProof/>
                <w:sz w:val="20"/>
              </w:rPr>
            </w:pPr>
          </w:p>
          <w:p w14:paraId="4F4F13C2" w14:textId="2588E709"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27B5E54D"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4E17886C"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tcPr>
          <w:p w14:paraId="370D9B7A" w14:textId="77777777" w:rsidR="001C24E8" w:rsidRPr="00B9510E" w:rsidRDefault="001C24E8" w:rsidP="00B9510E">
            <w:pPr>
              <w:jc w:val="left"/>
              <w:rPr>
                <w:rFonts w:asciiTheme="minorHAnsi" w:hAnsiTheme="minorHAnsi" w:cstheme="minorHAnsi"/>
                <w:sz w:val="20"/>
              </w:rPr>
            </w:pPr>
            <w:bookmarkStart w:id="53" w:name="_Hlk154148458"/>
            <w:r w:rsidRPr="00B9510E">
              <w:rPr>
                <w:rFonts w:asciiTheme="minorHAnsi" w:hAnsiTheme="minorHAnsi" w:cstheme="minorHAnsi"/>
                <w:sz w:val="20"/>
              </w:rPr>
              <w:t>Funkcjonujący w Polsce system kompleksowego planowania rozwoju transportu uwzględnia kwestie interoperacyjności sieci kolejowej.</w:t>
            </w:r>
            <w:bookmarkEnd w:id="53"/>
            <w:r w:rsidRPr="00B9510E">
              <w:rPr>
                <w:rFonts w:asciiTheme="minorHAnsi" w:hAnsiTheme="minorHAnsi" w:cstheme="minorHAnsi"/>
                <w:sz w:val="20"/>
              </w:rPr>
              <w:t xml:space="preserve"> </w:t>
            </w:r>
          </w:p>
          <w:p w14:paraId="20125583" w14:textId="77777777" w:rsidR="001C24E8" w:rsidRPr="00B9510E" w:rsidRDefault="001C24E8" w:rsidP="00B9510E">
            <w:pPr>
              <w:jc w:val="left"/>
              <w:rPr>
                <w:rFonts w:asciiTheme="minorHAnsi" w:hAnsiTheme="minorHAnsi" w:cstheme="minorHAnsi"/>
                <w:sz w:val="20"/>
              </w:rPr>
            </w:pPr>
            <w:r w:rsidRPr="00B9510E">
              <w:rPr>
                <w:rFonts w:asciiTheme="minorHAnsi" w:hAnsiTheme="minorHAnsi" w:cstheme="minorHAnsi"/>
                <w:sz w:val="20"/>
              </w:rPr>
              <w:t>Głównym dokumentem w zakresie wdrażania ERTMS na liniach kolejowych w Polsce jest Krajowy Plan Wdrażania Technicznej Specyfikacji Interoperacyjności „Sterowanie” (z 2017 r.) wraz z Suplementem do Krajowego Planu Wdrażania Technicznej Specyfikacji Interoperacyjności „Sterowanie” (z 2018 r.). Zgodnie z wymaganiami najnowszej TSI Sterowanie (rozporządzenie wykonawcze Komisji 2023/1695) do dnia 15.06.2024 r. Polska opracuje i przekaże KE nową wersję Krajowego Planu Wdrażania Technicznej Specyfikacji Interoperacyjności „Sterowanie”.</w:t>
            </w:r>
          </w:p>
          <w:p w14:paraId="7A675349" w14:textId="77777777" w:rsidR="001C24E8" w:rsidRPr="00B9510E" w:rsidRDefault="001C24E8" w:rsidP="00B9510E">
            <w:pPr>
              <w:jc w:val="left"/>
              <w:rPr>
                <w:rFonts w:asciiTheme="minorHAnsi" w:hAnsiTheme="minorHAnsi" w:cstheme="minorHAnsi"/>
                <w:sz w:val="20"/>
              </w:rPr>
            </w:pPr>
            <w:r w:rsidRPr="00B9510E">
              <w:rPr>
                <w:rFonts w:asciiTheme="minorHAnsi" w:hAnsiTheme="minorHAnsi" w:cstheme="minorHAnsi"/>
                <w:sz w:val="20"/>
              </w:rPr>
              <w:lastRenderedPageBreak/>
              <w:t>Kwestia wdrażania ERTMS została również uwzględniona w KPK do 2030 r., a system ten będzie wdrażany także w ramach Inwestycji Podprogramu Kolejowego CPK.</w:t>
            </w:r>
          </w:p>
          <w:p w14:paraId="68F30969" w14:textId="77777777" w:rsidR="001C24E8" w:rsidRPr="00B9510E" w:rsidRDefault="001C24E8" w:rsidP="00B9510E">
            <w:pPr>
              <w:jc w:val="left"/>
              <w:rPr>
                <w:rFonts w:asciiTheme="minorHAnsi" w:hAnsiTheme="minorHAnsi" w:cstheme="minorHAnsi"/>
                <w:sz w:val="20"/>
              </w:rPr>
            </w:pPr>
            <w:r w:rsidRPr="00B9510E">
              <w:rPr>
                <w:rFonts w:asciiTheme="minorHAnsi" w:hAnsiTheme="minorHAnsi" w:cstheme="minorHAnsi"/>
                <w:sz w:val="20"/>
              </w:rPr>
              <w:t>Polska będzie monitorować stan wdrażania ERTMS na sieci kolejowej zgodnie z planowanymi zmianami w przepisach w tym zakresie.</w:t>
            </w:r>
          </w:p>
          <w:p w14:paraId="57284BC6" w14:textId="4CC6DBE6" w:rsidR="001C24E8" w:rsidRPr="00890249" w:rsidRDefault="001C24E8" w:rsidP="00325D70">
            <w:pPr>
              <w:jc w:val="left"/>
              <w:rPr>
                <w:rFonts w:asciiTheme="minorHAnsi" w:hAnsiTheme="minorHAnsi" w:cstheme="minorHAnsi"/>
                <w:sz w:val="20"/>
              </w:rPr>
            </w:pPr>
            <w:r w:rsidRPr="00B9510E">
              <w:rPr>
                <w:rFonts w:asciiTheme="minorHAnsi" w:hAnsiTheme="minorHAnsi" w:cstheme="minorHAnsi"/>
                <w:sz w:val="20"/>
              </w:rPr>
              <w:t xml:space="preserve">Pkt. 7.3 TOM II PTWO 2030 </w:t>
            </w:r>
          </w:p>
        </w:tc>
      </w:tr>
      <w:tr w:rsidR="001C24E8" w:rsidRPr="00890249" w14:paraId="21E5878A" w14:textId="77777777" w:rsidTr="001C24E8">
        <w:tc>
          <w:tcPr>
            <w:tcW w:w="1560" w:type="dxa"/>
            <w:vMerge/>
          </w:tcPr>
          <w:p w14:paraId="6D569FFC"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2F44790A"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70E43D16"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7F0867A1"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007C8866"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6</w:t>
            </w:r>
          </w:p>
          <w:p w14:paraId="44895CBD" w14:textId="77777777" w:rsidR="001C24E8" w:rsidRPr="00890249" w:rsidRDefault="001C24E8" w:rsidP="00D52164">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 xml:space="preserve"> 6. wspiera multimodalność, określając potrzeby w zakresie transportu multimodalnego lub przeładunkowego oraz terminali pasażerskich;</w:t>
            </w:r>
          </w:p>
        </w:tc>
        <w:tc>
          <w:tcPr>
            <w:tcW w:w="1134" w:type="dxa"/>
            <w:shd w:val="clear" w:color="auto" w:fill="D9D9D9" w:themeFill="background1" w:themeFillShade="D9"/>
          </w:tcPr>
          <w:p w14:paraId="64B79487" w14:textId="0B37419A"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4BECCAE3" w14:textId="77777777"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563036B6"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71C9EA7D"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tcPr>
          <w:p w14:paraId="55044BDA" w14:textId="5C16AC7A"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W dokumencie wskazano centra przesiadkowe, planowany wę</w:t>
            </w:r>
            <w:r w:rsidR="007E5BC2">
              <w:rPr>
                <w:rFonts w:asciiTheme="minorHAnsi" w:hAnsiTheme="minorHAnsi" w:cstheme="minorHAnsi"/>
                <w:bCs/>
                <w:sz w:val="20"/>
              </w:rPr>
              <w:t>zeł</w:t>
            </w:r>
            <w:r w:rsidRPr="00B9510E">
              <w:rPr>
                <w:rFonts w:asciiTheme="minorHAnsi" w:hAnsiTheme="minorHAnsi" w:cstheme="minorHAnsi"/>
                <w:bCs/>
                <w:sz w:val="20"/>
              </w:rPr>
              <w:t xml:space="preserve"> intermodalny. Na załącznikach graficznych zaprezentowano wzajemne oddziaływania poszczególnych środków transportu oraz uwzględniono przeniesienie pasażerów lub przewożonych towarów pomiędzy różnymi gałęziami transportu. </w:t>
            </w:r>
          </w:p>
          <w:p w14:paraId="20DECAC8" w14:textId="50948E39"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Jako jeden z głównych kierunków rozwoju transportu ujętych w PTWO 2030 wskazano zapewnienie dogodnego transportu drogowego i kolejowego w dojeździe do </w:t>
            </w:r>
            <w:r w:rsidRPr="00B9510E">
              <w:rPr>
                <w:rFonts w:asciiTheme="minorHAnsi" w:hAnsiTheme="minorHAnsi" w:cstheme="minorHAnsi"/>
                <w:bCs/>
                <w:sz w:val="20"/>
              </w:rPr>
              <w:lastRenderedPageBreak/>
              <w:t>znaczących węzłów multimodalnych, przesiadkowych, zlokalizowanych w województwach ościennych (Wrocław, Katowice, Gliwice oraz Łódź), a także wzmocnienie transportu intermodalnego oraz dążenie do powstanie węzła multimodalnego na terenie województwa opolskiego. Jako potencjalne miejsca takich węzłów wytypowano Park Przemysłowy Metalchem oraz Port Kędzierzyn-Koźle.</w:t>
            </w:r>
          </w:p>
          <w:p w14:paraId="1E16134E" w14:textId="5DF9C21D"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Pkt. 6 TOM II PTWO 2030 </w:t>
            </w:r>
          </w:p>
          <w:p w14:paraId="27AFE4B4" w14:textId="2304C338" w:rsidR="001C24E8" w:rsidRPr="00890249" w:rsidRDefault="001C24E8" w:rsidP="00325D70">
            <w:pPr>
              <w:jc w:val="left"/>
              <w:rPr>
                <w:rFonts w:asciiTheme="minorHAnsi" w:hAnsiTheme="minorHAnsi" w:cstheme="minorHAnsi"/>
                <w:b/>
                <w:bCs/>
                <w:color w:val="D9D9D9" w:themeColor="background1" w:themeShade="D9"/>
                <w:sz w:val="20"/>
              </w:rPr>
            </w:pPr>
            <w:r w:rsidRPr="00B9510E">
              <w:rPr>
                <w:rFonts w:asciiTheme="minorHAnsi" w:hAnsiTheme="minorHAnsi" w:cstheme="minorHAnsi"/>
                <w:bCs/>
                <w:sz w:val="20"/>
              </w:rPr>
              <w:t xml:space="preserve">Pkt. 7.2 TOM II PTWO 2030  </w:t>
            </w:r>
          </w:p>
        </w:tc>
      </w:tr>
      <w:tr w:rsidR="001C24E8" w:rsidRPr="00890249" w14:paraId="0C9B533D" w14:textId="77777777" w:rsidTr="001C24E8">
        <w:tc>
          <w:tcPr>
            <w:tcW w:w="1560" w:type="dxa"/>
            <w:vMerge/>
          </w:tcPr>
          <w:p w14:paraId="7D8D6ACF"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35477173"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10D81223"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4C3C7586"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467560FC"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7</w:t>
            </w:r>
          </w:p>
          <w:p w14:paraId="20166C14" w14:textId="77777777" w:rsidR="001C24E8" w:rsidRPr="00890249" w:rsidRDefault="001C24E8" w:rsidP="00D52164">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7. obejmuje środki istotne z punktu widzenia planowania infrastruktury, mające na celu promowanie paliw alternatywnych zgodnie z odpowiednimi krajowymi ramami polityki;</w:t>
            </w:r>
          </w:p>
        </w:tc>
        <w:tc>
          <w:tcPr>
            <w:tcW w:w="1134" w:type="dxa"/>
            <w:shd w:val="clear" w:color="auto" w:fill="D9D9D9" w:themeFill="background1" w:themeFillShade="D9"/>
          </w:tcPr>
          <w:p w14:paraId="173D0E84" w14:textId="6E70890F"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128D2B3D" w14:textId="77777777"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4CC08B77"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1C6289DD"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tcPr>
          <w:p w14:paraId="45C0EBD6" w14:textId="77777777"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Wraz z wymianą taboru, konieczny jest rozwój infrastruktury do tankowania gazu ziemnego, biopaliw ciekłych i innych paliw alternatywnych oraz do ładowania pojazdów elektrycznych. Rozbudowana sieć punktów do tankowania, ułatwi przemieszczanie się i zwiększy wydajność. Budowa stacji do ładowania pojazdów zapewni również lepszą dostępność dla </w:t>
            </w:r>
            <w:r w:rsidRPr="00B9510E">
              <w:rPr>
                <w:rFonts w:asciiTheme="minorHAnsi" w:hAnsiTheme="minorHAnsi" w:cstheme="minorHAnsi"/>
                <w:bCs/>
                <w:sz w:val="20"/>
              </w:rPr>
              <w:lastRenderedPageBreak/>
              <w:t>transportu publicznego i indywidualnego.</w:t>
            </w:r>
          </w:p>
          <w:p w14:paraId="1E465E46" w14:textId="1A7A21AA" w:rsidR="001C24E8" w:rsidRPr="00890249" w:rsidRDefault="001C24E8" w:rsidP="00325D70">
            <w:pPr>
              <w:jc w:val="left"/>
              <w:rPr>
                <w:rFonts w:asciiTheme="minorHAnsi" w:hAnsiTheme="minorHAnsi" w:cstheme="minorHAnsi"/>
                <w:b/>
                <w:bCs/>
                <w:color w:val="D9D9D9" w:themeColor="background1" w:themeShade="D9"/>
                <w:sz w:val="20"/>
              </w:rPr>
            </w:pPr>
            <w:r w:rsidRPr="00B9510E">
              <w:rPr>
                <w:rFonts w:asciiTheme="minorHAnsi" w:hAnsiTheme="minorHAnsi" w:cstheme="minorHAnsi"/>
                <w:bCs/>
                <w:sz w:val="20"/>
              </w:rPr>
              <w:t xml:space="preserve">Pkt. 7.6 TOM II PTWO 2030  </w:t>
            </w:r>
          </w:p>
        </w:tc>
      </w:tr>
      <w:tr w:rsidR="001C24E8" w:rsidRPr="00890249" w14:paraId="63629D95" w14:textId="77777777" w:rsidTr="001C24E8">
        <w:tc>
          <w:tcPr>
            <w:tcW w:w="1560" w:type="dxa"/>
            <w:vMerge/>
          </w:tcPr>
          <w:p w14:paraId="3DD4FA4A"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2E92CC64"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1843" w:type="dxa"/>
            <w:vMerge/>
          </w:tcPr>
          <w:p w14:paraId="50B7D432"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37546106"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3B1AFB5F"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8</w:t>
            </w:r>
          </w:p>
          <w:p w14:paraId="152A3D56" w14:textId="77777777" w:rsidR="001C24E8" w:rsidRPr="00890249" w:rsidRDefault="001C24E8" w:rsidP="00D52164">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1134" w:type="dxa"/>
            <w:shd w:val="clear" w:color="auto" w:fill="D9D9D9" w:themeFill="background1" w:themeFillShade="D9"/>
          </w:tcPr>
          <w:p w14:paraId="107FCD35" w14:textId="3F2041AF" w:rsidR="001C24E8" w:rsidRPr="00F62734" w:rsidRDefault="001C24E8" w:rsidP="00D52164">
            <w:pPr>
              <w:jc w:val="left"/>
              <w:rPr>
                <w:rFonts w:asciiTheme="minorHAnsi" w:hAnsiTheme="minorHAnsi" w:cstheme="minorHAnsi"/>
                <w:noProof/>
                <w:sz w:val="20"/>
              </w:rPr>
            </w:pPr>
            <w:r w:rsidRPr="00F62734">
              <w:rPr>
                <w:rFonts w:asciiTheme="minorHAnsi" w:hAnsiTheme="minorHAnsi" w:cstheme="minorHAnsi"/>
                <w:noProof/>
                <w:sz w:val="20"/>
              </w:rPr>
              <w:t>Tak</w:t>
            </w:r>
          </w:p>
        </w:tc>
        <w:tc>
          <w:tcPr>
            <w:tcW w:w="3402" w:type="dxa"/>
            <w:shd w:val="clear" w:color="auto" w:fill="D9D9D9" w:themeFill="background1" w:themeFillShade="D9"/>
          </w:tcPr>
          <w:p w14:paraId="38A62116" w14:textId="77777777"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58500BFA"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t>https://bip.opolskie.pl/2024/08/plan-transportowy-wojewodztwa-opolskiego-2030-aktualizacja/</w:t>
            </w:r>
          </w:p>
          <w:p w14:paraId="11F0303D"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tcPr>
          <w:p w14:paraId="33F06FD2" w14:textId="77777777"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W PTWO 2030 – aktualizacja zamieszczono wykaz dróg służących dla połączeń regionalnych, które są dotknięte zagrożeniami bezpieczeństwa ruchu drogowego. Określono aktualny poziom bezpieczeństwa na drogach wojewódzkich.</w:t>
            </w:r>
          </w:p>
          <w:p w14:paraId="29FEA847" w14:textId="77777777"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W Planie Transportowym zawarto działanie, jakie należy wdrożyć celem podniesienia poziomu bezpieczeństwa w ruchu drogowym w województwie opolskim. Wskazano ponadto listę planowanych inwestycji infrastrukturalnych, ukierunkowanych na usunięcie zagrożeń zidentyfikowanych.</w:t>
            </w:r>
          </w:p>
          <w:p w14:paraId="298A6F3B" w14:textId="62F6DF7B"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Pkt. 4.8. TOM I PTWO 2030</w:t>
            </w:r>
          </w:p>
          <w:p w14:paraId="3ED9F031" w14:textId="185C0312"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 xml:space="preserve">Pkt. 7.8. TOM II PTWO 2030 </w:t>
            </w:r>
          </w:p>
          <w:p w14:paraId="3ADA4A56" w14:textId="056D0B2A" w:rsidR="001C24E8" w:rsidRPr="00890249" w:rsidRDefault="001C24E8" w:rsidP="00325D70">
            <w:pPr>
              <w:jc w:val="left"/>
              <w:rPr>
                <w:rFonts w:asciiTheme="minorHAnsi" w:hAnsiTheme="minorHAnsi" w:cstheme="minorHAnsi"/>
                <w:b/>
                <w:bCs/>
                <w:color w:val="D9D9D9" w:themeColor="background1" w:themeShade="D9"/>
                <w:sz w:val="20"/>
              </w:rPr>
            </w:pPr>
            <w:r w:rsidRPr="00B9510E">
              <w:rPr>
                <w:rFonts w:asciiTheme="minorHAnsi" w:hAnsiTheme="minorHAnsi" w:cstheme="minorHAnsi"/>
                <w:bCs/>
                <w:sz w:val="20"/>
              </w:rPr>
              <w:t xml:space="preserve">Załącznik 5  Bezpieczeństwo Ruchu Drogowego PTWO 2030 </w:t>
            </w:r>
          </w:p>
        </w:tc>
      </w:tr>
      <w:tr w:rsidR="001C24E8" w:rsidRPr="00890249" w14:paraId="1864EE34" w14:textId="77777777" w:rsidTr="001C24E8">
        <w:tc>
          <w:tcPr>
            <w:tcW w:w="1560" w:type="dxa"/>
            <w:vMerge/>
          </w:tcPr>
          <w:p w14:paraId="59443CE3" w14:textId="77777777" w:rsidR="001C24E8" w:rsidRPr="00890249" w:rsidRDefault="001C24E8" w:rsidP="00D52164">
            <w:pPr>
              <w:jc w:val="left"/>
              <w:rPr>
                <w:rFonts w:asciiTheme="minorHAnsi" w:hAnsiTheme="minorHAnsi" w:cstheme="minorHAnsi"/>
                <w:color w:val="D9D9D9" w:themeColor="background1" w:themeShade="D9"/>
                <w:sz w:val="20"/>
              </w:rPr>
            </w:pPr>
          </w:p>
        </w:tc>
        <w:tc>
          <w:tcPr>
            <w:tcW w:w="709" w:type="dxa"/>
            <w:vMerge/>
          </w:tcPr>
          <w:p w14:paraId="29E0AF8D" w14:textId="77777777" w:rsidR="001C24E8" w:rsidRPr="00F62734" w:rsidRDefault="001C24E8" w:rsidP="00D52164">
            <w:pPr>
              <w:jc w:val="left"/>
              <w:rPr>
                <w:rFonts w:asciiTheme="minorHAnsi" w:hAnsiTheme="minorHAnsi" w:cstheme="minorHAnsi"/>
                <w:color w:val="D9D9D9" w:themeColor="background1" w:themeShade="D9"/>
                <w:sz w:val="20"/>
              </w:rPr>
            </w:pPr>
          </w:p>
        </w:tc>
        <w:tc>
          <w:tcPr>
            <w:tcW w:w="1843" w:type="dxa"/>
            <w:vMerge/>
          </w:tcPr>
          <w:p w14:paraId="2BBB7AF5"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1559" w:type="dxa"/>
            <w:vMerge/>
          </w:tcPr>
          <w:p w14:paraId="5268CE76" w14:textId="77777777" w:rsidR="001C24E8" w:rsidRPr="00890249" w:rsidRDefault="001C24E8" w:rsidP="00D52164">
            <w:pPr>
              <w:jc w:val="left"/>
              <w:rPr>
                <w:rFonts w:asciiTheme="minorHAnsi" w:eastAsia="Times New Roman" w:hAnsiTheme="minorHAnsi" w:cstheme="minorHAnsi"/>
                <w:iCs/>
                <w:noProof/>
                <w:color w:val="D9D9D9" w:themeColor="background1" w:themeShade="D9"/>
                <w:sz w:val="20"/>
              </w:rPr>
            </w:pPr>
          </w:p>
        </w:tc>
        <w:tc>
          <w:tcPr>
            <w:tcW w:w="2551" w:type="dxa"/>
            <w:shd w:val="clear" w:color="auto" w:fill="D9D9D9" w:themeFill="background1" w:themeFillShade="D9"/>
          </w:tcPr>
          <w:p w14:paraId="19C56D52" w14:textId="77777777" w:rsidR="001C24E8" w:rsidRPr="00890249" w:rsidRDefault="001C24E8" w:rsidP="00D52164">
            <w:pPr>
              <w:jc w:val="left"/>
              <w:rPr>
                <w:rFonts w:asciiTheme="minorHAnsi" w:hAnsiTheme="minorHAnsi" w:cstheme="minorHAnsi"/>
                <w:sz w:val="20"/>
              </w:rPr>
            </w:pPr>
            <w:r w:rsidRPr="00890249">
              <w:rPr>
                <w:rFonts w:asciiTheme="minorHAnsi" w:hAnsiTheme="minorHAnsi" w:cstheme="minorHAnsi"/>
                <w:b/>
                <w:bCs/>
                <w:sz w:val="20"/>
              </w:rPr>
              <w:t>Kryterium 9</w:t>
            </w:r>
          </w:p>
          <w:p w14:paraId="45FF9E35" w14:textId="77777777" w:rsidR="001C24E8" w:rsidRPr="00890249" w:rsidRDefault="001C24E8" w:rsidP="00D52164">
            <w:pPr>
              <w:jc w:val="left"/>
              <w:rPr>
                <w:rFonts w:asciiTheme="minorHAnsi" w:hAnsiTheme="minorHAnsi" w:cstheme="minorHAnsi"/>
                <w:color w:val="D9D9D9" w:themeColor="background1" w:themeShade="D9"/>
                <w:sz w:val="20"/>
              </w:rPr>
            </w:pPr>
            <w:r w:rsidRPr="00890249">
              <w:rPr>
                <w:rFonts w:asciiTheme="minorHAnsi" w:hAnsiTheme="minorHAnsi" w:cstheme="minorHAnsi"/>
                <w:sz w:val="20"/>
              </w:rPr>
              <w:lastRenderedPageBreak/>
              <w:t>9. dostarcza informacji na temat zasobów finansowania odpowiadających planowanym inwestycjom, koniecznych do pokrycia kosztów operacyjnych i kosztów utrzymania istniejącej i planowanej infrastruktury.</w:t>
            </w:r>
          </w:p>
        </w:tc>
        <w:tc>
          <w:tcPr>
            <w:tcW w:w="1134" w:type="dxa"/>
            <w:shd w:val="clear" w:color="auto" w:fill="D9D9D9" w:themeFill="background1" w:themeFillShade="D9"/>
          </w:tcPr>
          <w:p w14:paraId="7A6532AA" w14:textId="54D18881" w:rsidR="001C24E8" w:rsidRPr="00890249" w:rsidRDefault="001C24E8" w:rsidP="00D52164">
            <w:pPr>
              <w:jc w:val="left"/>
              <w:rPr>
                <w:rFonts w:asciiTheme="minorHAnsi" w:hAnsiTheme="minorHAnsi" w:cstheme="minorHAnsi"/>
                <w:noProof/>
                <w:color w:val="D9D9D9" w:themeColor="background1" w:themeShade="D9"/>
                <w:sz w:val="20"/>
              </w:rPr>
            </w:pPr>
            <w:r w:rsidRPr="00F62734">
              <w:rPr>
                <w:rFonts w:asciiTheme="minorHAnsi" w:hAnsiTheme="minorHAnsi" w:cstheme="minorHAnsi"/>
                <w:noProof/>
                <w:sz w:val="20"/>
              </w:rPr>
              <w:lastRenderedPageBreak/>
              <w:t>Tak</w:t>
            </w:r>
          </w:p>
        </w:tc>
        <w:tc>
          <w:tcPr>
            <w:tcW w:w="3402" w:type="dxa"/>
            <w:shd w:val="clear" w:color="auto" w:fill="D9D9D9" w:themeFill="background1" w:themeFillShade="D9"/>
          </w:tcPr>
          <w:p w14:paraId="593EDA9A" w14:textId="77777777" w:rsidR="001C24E8" w:rsidRDefault="001C24E8" w:rsidP="00316194">
            <w:pPr>
              <w:jc w:val="left"/>
              <w:rPr>
                <w:rFonts w:asciiTheme="minorHAnsi" w:eastAsia="Times New Roman" w:hAnsiTheme="minorHAnsi" w:cstheme="minorHAnsi"/>
                <w:b/>
                <w:iCs/>
                <w:noProof/>
                <w:sz w:val="20"/>
              </w:rPr>
            </w:pPr>
            <w:r w:rsidRPr="00890249">
              <w:rPr>
                <w:rFonts w:asciiTheme="minorHAnsi" w:eastAsia="Times New Roman" w:hAnsiTheme="minorHAnsi" w:cstheme="minorHAnsi"/>
                <w:b/>
                <w:iCs/>
                <w:noProof/>
                <w:sz w:val="20"/>
              </w:rPr>
              <w:t xml:space="preserve">Link do dokumentu: </w:t>
            </w:r>
          </w:p>
          <w:p w14:paraId="5B552E78" w14:textId="77777777" w:rsidR="001C24E8" w:rsidRDefault="001C24E8" w:rsidP="00316194">
            <w:pPr>
              <w:jc w:val="left"/>
              <w:rPr>
                <w:rFonts w:asciiTheme="minorHAnsi" w:eastAsia="Times New Roman" w:hAnsiTheme="minorHAnsi" w:cstheme="minorHAnsi"/>
                <w:iCs/>
                <w:noProof/>
                <w:sz w:val="20"/>
                <w:u w:val="single"/>
              </w:rPr>
            </w:pPr>
            <w:r w:rsidRPr="00DB4E7F">
              <w:rPr>
                <w:rFonts w:asciiTheme="minorHAnsi" w:eastAsia="Times New Roman" w:hAnsiTheme="minorHAnsi" w:cstheme="minorHAnsi"/>
                <w:iCs/>
                <w:noProof/>
                <w:sz w:val="20"/>
                <w:u w:val="single"/>
              </w:rPr>
              <w:lastRenderedPageBreak/>
              <w:t>https://bip.opolskie.pl/2024/08/plan-transportowy-wojewodztwa-opolskiego-2030-aktualizacja/</w:t>
            </w:r>
          </w:p>
          <w:p w14:paraId="175594AD" w14:textId="77777777" w:rsidR="001C24E8" w:rsidRPr="00890249" w:rsidRDefault="001C24E8" w:rsidP="00D52164">
            <w:pPr>
              <w:jc w:val="left"/>
              <w:rPr>
                <w:rFonts w:asciiTheme="minorHAnsi" w:hAnsiTheme="minorHAnsi" w:cstheme="minorHAnsi"/>
                <w:bCs/>
                <w:color w:val="D9D9D9" w:themeColor="background1" w:themeShade="D9"/>
                <w:sz w:val="20"/>
              </w:rPr>
            </w:pPr>
          </w:p>
        </w:tc>
        <w:tc>
          <w:tcPr>
            <w:tcW w:w="2977" w:type="dxa"/>
            <w:shd w:val="clear" w:color="auto" w:fill="D9D9D9" w:themeFill="background1" w:themeFillShade="D9"/>
          </w:tcPr>
          <w:p w14:paraId="7247C725" w14:textId="43520680"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lastRenderedPageBreak/>
              <w:t xml:space="preserve">W PTWO 2030 zawarto opis potrzeb finansowych </w:t>
            </w:r>
            <w:r w:rsidRPr="00B9510E">
              <w:rPr>
                <w:rFonts w:asciiTheme="minorHAnsi" w:hAnsiTheme="minorHAnsi" w:cstheme="minorHAnsi"/>
                <w:bCs/>
                <w:sz w:val="20"/>
              </w:rPr>
              <w:lastRenderedPageBreak/>
              <w:t>niezbędnych do utrzymania obecnej i planowanej infrastruktury. Analiza obejmowała porównanie kosztów realizacji projektów oraz utrzymania planowanej nowej infrastruktury badanych scenariuszy. Przeanalizowano zakresy inwestycji, planowanych do realizacji na sieci dróg wojewódzkich w województwie opolskim. Na podstawie informacji o kosztach poszczególnych inwestycji oraz metody wskaźnikowej średniego kosztu budowy i utrzymania jednostki systemu transportowego oszacowano koszty inwestycji, a następnie dokonano oceny wpływu poszczególnych scenariuszy na sieć transportową regionu.</w:t>
            </w:r>
          </w:p>
          <w:p w14:paraId="46AFB873" w14:textId="77777777"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t>Środki finansowe corocznie ulegają zwiększeniu i nie przewiduje się zagrożeń w stosunku do utrzymania obecnej i planowanej infrastruktury. Planowane w PTWO 2030-aktualizacja zadania są dostosowane do możliwości budżetowych.</w:t>
            </w:r>
          </w:p>
          <w:p w14:paraId="5E43DDBB" w14:textId="36DB116D" w:rsidR="001C24E8" w:rsidRPr="00B9510E" w:rsidRDefault="001C24E8" w:rsidP="00B9510E">
            <w:pPr>
              <w:jc w:val="left"/>
              <w:rPr>
                <w:rFonts w:asciiTheme="minorHAnsi" w:hAnsiTheme="minorHAnsi" w:cstheme="minorHAnsi"/>
                <w:bCs/>
                <w:sz w:val="20"/>
              </w:rPr>
            </w:pPr>
            <w:r w:rsidRPr="00B9510E">
              <w:rPr>
                <w:rFonts w:asciiTheme="minorHAnsi" w:hAnsiTheme="minorHAnsi" w:cstheme="minorHAnsi"/>
                <w:bCs/>
                <w:sz w:val="20"/>
              </w:rPr>
              <w:lastRenderedPageBreak/>
              <w:t xml:space="preserve">Pkt. 2.2 TOM II PTWO 2030  </w:t>
            </w:r>
          </w:p>
          <w:p w14:paraId="6717D576" w14:textId="752109D4" w:rsidR="001C24E8" w:rsidRPr="00890249" w:rsidRDefault="001C24E8" w:rsidP="00325D70">
            <w:pPr>
              <w:jc w:val="left"/>
              <w:rPr>
                <w:rFonts w:asciiTheme="minorHAnsi" w:hAnsiTheme="minorHAnsi" w:cstheme="minorHAnsi"/>
                <w:b/>
                <w:bCs/>
                <w:color w:val="D9D9D9" w:themeColor="background1" w:themeShade="D9"/>
                <w:sz w:val="20"/>
              </w:rPr>
            </w:pPr>
            <w:r w:rsidRPr="00B9510E">
              <w:rPr>
                <w:rFonts w:asciiTheme="minorHAnsi" w:hAnsiTheme="minorHAnsi" w:cstheme="minorHAnsi"/>
                <w:bCs/>
                <w:sz w:val="20"/>
              </w:rPr>
              <w:t xml:space="preserve">Pkt. 6.12 TOM II PTWO 2030 </w:t>
            </w:r>
          </w:p>
        </w:tc>
      </w:tr>
      <w:tr w:rsidR="00D52164" w:rsidRPr="00890249" w14:paraId="39536F82" w14:textId="77777777" w:rsidTr="00F62734">
        <w:tc>
          <w:tcPr>
            <w:tcW w:w="1560" w:type="dxa"/>
            <w:vMerge w:val="restart"/>
          </w:tcPr>
          <w:p w14:paraId="73130EAA" w14:textId="77777777" w:rsidR="00D52164" w:rsidRPr="00890249" w:rsidRDefault="00D52164" w:rsidP="00D52164">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4.1.Ramy strategiczne polityki na rzecz aktywnych polityk rynku pracy</w:t>
            </w:r>
          </w:p>
        </w:tc>
        <w:tc>
          <w:tcPr>
            <w:tcW w:w="709" w:type="dxa"/>
            <w:vMerge w:val="restart"/>
          </w:tcPr>
          <w:p w14:paraId="3D267E6D"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t>EFRR</w:t>
            </w:r>
          </w:p>
          <w:p w14:paraId="08CD0061"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t>EFS+</w:t>
            </w:r>
          </w:p>
          <w:p w14:paraId="3B94487A" w14:textId="77777777" w:rsidR="00D52164" w:rsidRPr="00890249" w:rsidRDefault="00D52164" w:rsidP="00D52164">
            <w:pPr>
              <w:jc w:val="left"/>
              <w:rPr>
                <w:rFonts w:asciiTheme="minorHAnsi" w:hAnsiTheme="minorHAnsi" w:cstheme="minorHAnsi"/>
                <w:sz w:val="20"/>
                <w:lang w:val="en-GB"/>
              </w:rPr>
            </w:pPr>
          </w:p>
        </w:tc>
        <w:tc>
          <w:tcPr>
            <w:tcW w:w="1843" w:type="dxa"/>
            <w:vMerge w:val="restart"/>
          </w:tcPr>
          <w:p w14:paraId="42AD55D9"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EFRR</w:t>
            </w:r>
          </w:p>
          <w:p w14:paraId="0EC34465" w14:textId="77777777" w:rsidR="00D52164" w:rsidRPr="00890249" w:rsidRDefault="00D52164" w:rsidP="00D52164">
            <w:pPr>
              <w:spacing w:line="276" w:lineRule="auto"/>
              <w:jc w:val="left"/>
              <w:rPr>
                <w:rFonts w:asciiTheme="minorHAnsi" w:hAnsiTheme="minorHAnsi" w:cstheme="minorHAnsi"/>
                <w:sz w:val="20"/>
                <w:lang w:eastAsia="en-US" w:bidi="ar-SA"/>
              </w:rPr>
            </w:pPr>
            <w:r w:rsidRPr="00890249">
              <w:rPr>
                <w:rFonts w:asciiTheme="minorHAnsi" w:hAnsiTheme="minorHAnsi" w:cstheme="minorHAnsi"/>
                <w:sz w:val="20"/>
                <w:lang w:eastAsia="en-US" w:bidi="ar-SA"/>
              </w:rPr>
              <w:t>Poprawa skuteczności i poziomu włączenia społecznego rynków pracy oraz dostępu do wysokiej jakości zatrudnienia poprzez rozwój infrastruktury społecznej i wspieranie ekonomii społecznej</w:t>
            </w:r>
          </w:p>
          <w:p w14:paraId="74239301"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EFS+</w:t>
            </w:r>
          </w:p>
          <w:p w14:paraId="13CB9609"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Poprawa dostępu do zatrudnienia  i działań aktywizujących dla wszystkich osób poszukujących pracy, w szczególności osób </w:t>
            </w:r>
            <w:r w:rsidRPr="00890249">
              <w:rPr>
                <w:rFonts w:asciiTheme="minorHAnsi" w:hAnsiTheme="minorHAnsi" w:cstheme="minorHAnsi"/>
                <w:bCs/>
                <w:sz w:val="20"/>
              </w:rPr>
              <w:lastRenderedPageBreak/>
              <w:t>młodych, zwłaszcza poprzez wdrażanie gwarancji dla młodzieży, długotrwale bezrobotnych oraz grup znajdujących się w niekorzystnej sytuacji  na rynku pracy, jak również dla osób biernych zawodowo, także poprzez promowanie samozatrudnienia i ekonomii społecznej</w:t>
            </w:r>
          </w:p>
          <w:p w14:paraId="044796BD" w14:textId="77777777" w:rsidR="00D52164" w:rsidRPr="00890249" w:rsidRDefault="00D52164" w:rsidP="00D52164">
            <w:pPr>
              <w:jc w:val="left"/>
              <w:rPr>
                <w:rFonts w:asciiTheme="minorHAnsi" w:hAnsiTheme="minorHAnsi" w:cstheme="minorHAnsi"/>
                <w:bCs/>
                <w:sz w:val="20"/>
              </w:rPr>
            </w:pPr>
          </w:p>
          <w:p w14:paraId="496E7E5E"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Modernizacja instytucji i służb rynków pracy celem oceny i przewidywania zapotrzebowania na umiejętności oraz zapewnienia terminowej i odpowiednio dopasowanej pomocy i wsparcia na rzecz </w:t>
            </w:r>
            <w:r w:rsidRPr="00890249">
              <w:rPr>
                <w:rFonts w:asciiTheme="minorHAnsi" w:hAnsiTheme="minorHAnsi" w:cstheme="minorHAnsi"/>
                <w:bCs/>
                <w:sz w:val="20"/>
              </w:rPr>
              <w:lastRenderedPageBreak/>
              <w:t>dostosowania umiejętności i kwalifikacji zawodowych do potrzeb rynku pracy oraz na rzecz przepływów i mobilności na rynku pracy</w:t>
            </w:r>
          </w:p>
        </w:tc>
        <w:tc>
          <w:tcPr>
            <w:tcW w:w="1559" w:type="dxa"/>
            <w:vMerge w:val="restart"/>
          </w:tcPr>
          <w:p w14:paraId="2EF2AE59" w14:textId="0F82FE02" w:rsidR="00D52164" w:rsidRPr="00890249" w:rsidRDefault="00E74798"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 xml:space="preserve">Tak </w:t>
            </w:r>
          </w:p>
        </w:tc>
        <w:tc>
          <w:tcPr>
            <w:tcW w:w="2551" w:type="dxa"/>
          </w:tcPr>
          <w:p w14:paraId="2F1749C6"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Istnienie ram strategicznych polityki na rzecz aktywnych polityk rynku pracy w świetle wytycznych dotyczących zatrudnienia; ramy te obejmują:</w:t>
            </w:r>
          </w:p>
          <w:p w14:paraId="2B7608AC" w14:textId="77777777" w:rsidR="00D52164" w:rsidRPr="00890249" w:rsidRDefault="00D52164" w:rsidP="00D52164">
            <w:pPr>
              <w:jc w:val="left"/>
              <w:rPr>
                <w:rFonts w:asciiTheme="minorHAnsi" w:hAnsiTheme="minorHAnsi" w:cstheme="minorHAnsi"/>
                <w:b/>
                <w:bCs/>
                <w:sz w:val="20"/>
              </w:rPr>
            </w:pPr>
          </w:p>
          <w:p w14:paraId="6A377CDB"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1</w:t>
            </w:r>
          </w:p>
          <w:p w14:paraId="6DBDDD9C"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Rozwiązania w zakresie sporządzania profilów osób poszukujących pracy i oceny ich potrzeb</w:t>
            </w:r>
          </w:p>
          <w:p w14:paraId="27EB93C6" w14:textId="77777777" w:rsidR="00D52164" w:rsidRPr="00890249" w:rsidRDefault="00D52164" w:rsidP="00D52164">
            <w:pPr>
              <w:jc w:val="left"/>
              <w:rPr>
                <w:rFonts w:asciiTheme="minorHAnsi" w:hAnsiTheme="minorHAnsi" w:cstheme="minorHAnsi"/>
                <w:noProof/>
                <w:sz w:val="20"/>
              </w:rPr>
            </w:pPr>
          </w:p>
        </w:tc>
        <w:tc>
          <w:tcPr>
            <w:tcW w:w="1134" w:type="dxa"/>
            <w:vMerge w:val="restart"/>
          </w:tcPr>
          <w:p w14:paraId="1390CE33" w14:textId="2F574D19" w:rsidR="00D52164" w:rsidRPr="00890249" w:rsidRDefault="00E74798" w:rsidP="00D52164">
            <w:pPr>
              <w:jc w:val="left"/>
              <w:rPr>
                <w:rFonts w:asciiTheme="minorHAnsi" w:hAnsiTheme="minorHAnsi" w:cstheme="minorHAnsi"/>
                <w:noProof/>
                <w:sz w:val="20"/>
              </w:rPr>
            </w:pPr>
            <w:r>
              <w:rPr>
                <w:rFonts w:asciiTheme="minorHAnsi" w:hAnsiTheme="minorHAnsi" w:cstheme="minorHAnsi"/>
                <w:noProof/>
                <w:sz w:val="20"/>
              </w:rPr>
              <w:t xml:space="preserve">Tak </w:t>
            </w:r>
          </w:p>
        </w:tc>
        <w:tc>
          <w:tcPr>
            <w:tcW w:w="3402" w:type="dxa"/>
            <w:vMerge w:val="restart"/>
          </w:tcPr>
          <w:p w14:paraId="501770A6" w14:textId="440EDBAC" w:rsidR="000816CC" w:rsidRPr="00F62734" w:rsidRDefault="000816CC" w:rsidP="000816CC">
            <w:pPr>
              <w:jc w:val="left"/>
              <w:rPr>
                <w:rFonts w:asciiTheme="minorHAnsi" w:hAnsiTheme="minorHAnsi" w:cstheme="minorHAnsi"/>
                <w:b/>
                <w:bCs/>
                <w:sz w:val="20"/>
              </w:rPr>
            </w:pPr>
            <w:r w:rsidRPr="000816CC">
              <w:rPr>
                <w:rFonts w:asciiTheme="minorHAnsi" w:hAnsiTheme="minorHAnsi" w:cstheme="minorHAnsi"/>
                <w:bCs/>
                <w:sz w:val="20"/>
              </w:rPr>
              <w:t xml:space="preserve">Ramy strategiczne polityki na rzecz aktywnej polityki rynku pracy stanowi ustawa o promocji zatrudnienia i instytucjach rynku pracy (Dz. U. z 2024 r. poz. 475 z późn. zm.) wraz z aktami wykonawczymi. Ustawa jest aktem prawnym szczegółowo definiującym rolę poszczególnych szczebli Publicznych Służb Zatrudnienia ((PSZ): minister właściwy ds. pracy, samorząd województwa, samorząd powiatu, urząd wojewody) i instytucji rynku pracy oraz współpracę z podmiotami zewnętrznymi (np. instytucje szkoleniowe, agencje zatrudnienia). Ustawa i akty wykonawcze stanowią obligatoryjne wytyczne dla poszczególnych procesów związanych z działaniami na rzecz aktywnej polityki rynku pracy, w szczególności w zakresie usług rynku pracy, stosowanych instrumentów i form pomocy. Ustawa zawiera także wytyczne w odniesieniu do procedur badania efektywności zadań PSZ (wskaźniki efektywności kosztowej i zatrudnieniowej oraz urzędów pracy na rzecz aktywizacji bezrobotnych). </w:t>
            </w:r>
          </w:p>
          <w:p w14:paraId="2E496859" w14:textId="77777777" w:rsidR="000816CC" w:rsidRPr="000816CC" w:rsidRDefault="000816CC" w:rsidP="000816CC">
            <w:pPr>
              <w:jc w:val="left"/>
              <w:rPr>
                <w:rFonts w:asciiTheme="minorHAnsi" w:hAnsiTheme="minorHAnsi" w:cstheme="minorHAnsi"/>
                <w:b/>
                <w:bCs/>
                <w:sz w:val="20"/>
              </w:rPr>
            </w:pPr>
            <w:r w:rsidRPr="000816CC">
              <w:rPr>
                <w:rFonts w:asciiTheme="minorHAnsi" w:hAnsiTheme="minorHAnsi" w:cstheme="minorHAnsi"/>
                <w:b/>
                <w:bCs/>
                <w:sz w:val="20"/>
              </w:rPr>
              <w:lastRenderedPageBreak/>
              <w:t>Link do dokumentów:</w:t>
            </w:r>
          </w:p>
          <w:p w14:paraId="5134E237" w14:textId="77777777" w:rsidR="000816CC" w:rsidRPr="000816CC" w:rsidRDefault="000816CC" w:rsidP="000816CC">
            <w:pPr>
              <w:jc w:val="left"/>
              <w:rPr>
                <w:rFonts w:asciiTheme="minorHAnsi" w:hAnsiTheme="minorHAnsi" w:cstheme="minorHAnsi"/>
                <w:b/>
                <w:bCs/>
                <w:sz w:val="20"/>
              </w:rPr>
            </w:pPr>
            <w:hyperlink r:id="rId129" w:history="1">
              <w:r w:rsidRPr="000816CC">
                <w:rPr>
                  <w:rStyle w:val="Hipercze"/>
                  <w:rFonts w:asciiTheme="minorHAnsi" w:hAnsiTheme="minorHAnsi" w:cstheme="minorHAnsi"/>
                  <w:b/>
                  <w:bCs/>
                  <w:sz w:val="20"/>
                </w:rPr>
                <w:t>https://psz.praca.gov.pl/rynek-pracy/akty-prawne</w:t>
              </w:r>
            </w:hyperlink>
            <w:r w:rsidRPr="000816CC">
              <w:rPr>
                <w:rFonts w:asciiTheme="minorHAnsi" w:hAnsiTheme="minorHAnsi" w:cstheme="minorHAnsi"/>
                <w:b/>
                <w:bCs/>
                <w:sz w:val="20"/>
                <w:u w:val="single"/>
              </w:rPr>
              <w:t xml:space="preserve">    </w:t>
            </w:r>
          </w:p>
          <w:p w14:paraId="74D7478C" w14:textId="77777777" w:rsidR="000816CC" w:rsidRPr="000816CC" w:rsidRDefault="000816CC" w:rsidP="000816CC">
            <w:pPr>
              <w:jc w:val="left"/>
              <w:rPr>
                <w:rFonts w:asciiTheme="minorHAnsi" w:hAnsiTheme="minorHAnsi" w:cstheme="minorHAnsi"/>
                <w:bCs/>
                <w:sz w:val="20"/>
              </w:rPr>
            </w:pPr>
            <w:r w:rsidRPr="000816CC">
              <w:rPr>
                <w:rFonts w:asciiTheme="minorHAnsi" w:hAnsiTheme="minorHAnsi" w:cstheme="minorHAnsi"/>
                <w:bCs/>
                <w:sz w:val="20"/>
              </w:rPr>
              <w:t>Warunek jest spełniony poprzez przygotowanie m.in. następujących narzędzi:</w:t>
            </w:r>
          </w:p>
          <w:p w14:paraId="01E0B176"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Indywidualnego Planu Działania</w:t>
            </w:r>
          </w:p>
          <w:p w14:paraId="2404A90D"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Centralnej Bazy Ofert Pracy</w:t>
            </w:r>
          </w:p>
          <w:p w14:paraId="61D61F81"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Aplikacji mobilnej ePraca</w:t>
            </w:r>
          </w:p>
          <w:p w14:paraId="6E838927"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Systemu rad rynku pracy (przy ministrze właściwym do spraw pracy, marszałku województwa i staroście)</w:t>
            </w:r>
          </w:p>
          <w:p w14:paraId="47318F95"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 xml:space="preserve">Realizację badania "Bezrobotni i poszukujący pracy zarejestrowani w urzędach pracy", w którym na podstawie informacji z urzędów pracy w jednolitym systemie informatycznym zbierane są m. in. dane nt. liczby aktywizowanych bezrobotnych w rozbiciu na poszczególne formy aktywizacji. Na podstawie powyższych danych MRPiPS </w:t>
            </w:r>
            <w:r w:rsidRPr="000816CC">
              <w:rPr>
                <w:rFonts w:asciiTheme="minorHAnsi" w:hAnsiTheme="minorHAnsi" w:cstheme="minorHAnsi"/>
                <w:bCs/>
                <w:sz w:val="20"/>
              </w:rPr>
              <w:lastRenderedPageBreak/>
              <w:t>przygotowuje raporty i analizy.</w:t>
            </w:r>
          </w:p>
          <w:p w14:paraId="535E2F0E"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Analizy efektywności wybranych form aktywizacji bezrobotnych realizowanych przez powiatowe urzędy pracy, finansowanych z Funduszu Pracy. Kluczowe mierniki to efektywność zatrudnieniowa i kosztowa.</w:t>
            </w:r>
          </w:p>
          <w:p w14:paraId="5F400373"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Realizacja projektu pt. „Wypracowanie metodologii i wdrożenie monitorowania efektywności zatrudnieniowej podstawowych form aktywizacji zawodowej bezrobotnych w okresie dłuższym niż 12 miesięcy od zakończenia działań urzędu pracy"(POWER 2014-2020)</w:t>
            </w:r>
          </w:p>
          <w:p w14:paraId="35D14B0A"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 xml:space="preserve">Planu realizacji Gwarancji dla Młodzieży w Polsce" zaktualizowany w sierpniu 2022 r. </w:t>
            </w:r>
          </w:p>
          <w:p w14:paraId="39388691" w14:textId="77777777" w:rsidR="000816CC" w:rsidRPr="000816CC" w:rsidRDefault="000816CC" w:rsidP="000816CC">
            <w:pPr>
              <w:numPr>
                <w:ilvl w:val="0"/>
                <w:numId w:val="74"/>
              </w:numPr>
              <w:jc w:val="left"/>
              <w:rPr>
                <w:rFonts w:asciiTheme="minorHAnsi" w:hAnsiTheme="minorHAnsi" w:cstheme="minorHAnsi"/>
                <w:bCs/>
                <w:sz w:val="20"/>
              </w:rPr>
            </w:pPr>
            <w:r w:rsidRPr="000816CC">
              <w:rPr>
                <w:rFonts w:asciiTheme="minorHAnsi" w:hAnsiTheme="minorHAnsi" w:cstheme="minorHAnsi"/>
                <w:bCs/>
                <w:sz w:val="20"/>
              </w:rPr>
              <w:t xml:space="preserve">Rozwój usług elektronicznych realizowanych na rzecz klientów PUP, w tym umożliwiających wnioskowanie o formy </w:t>
            </w:r>
            <w:r w:rsidRPr="000816CC">
              <w:rPr>
                <w:rFonts w:asciiTheme="minorHAnsi" w:hAnsiTheme="minorHAnsi" w:cstheme="minorHAnsi"/>
                <w:bCs/>
                <w:sz w:val="20"/>
              </w:rPr>
              <w:lastRenderedPageBreak/>
              <w:t>pomocy a także korzystanie z usług pośrednictwa pracy poprzez zapewnienie pełnego dostępu do ofert pracy w bazie ofert pracy, umożliwienie przygotowania i udostępnienia CV w bazie CV, wdrożenie mechanizmów automatycznego doboru ofert pracy. Uruchomienie wybranych usług w ramach aplikacji mobilnej – mObywatel.</w:t>
            </w:r>
            <w:r w:rsidRPr="000816CC">
              <w:rPr>
                <w:rFonts w:asciiTheme="minorHAnsi" w:hAnsiTheme="minorHAnsi" w:cstheme="minorHAnsi"/>
                <w:bCs/>
                <w:sz w:val="20"/>
              </w:rPr>
              <w:br/>
            </w:r>
          </w:p>
          <w:p w14:paraId="5F03ADA5" w14:textId="087AF56A" w:rsidR="00E74798" w:rsidRPr="00F62734" w:rsidRDefault="000816CC" w:rsidP="00D52164">
            <w:pPr>
              <w:jc w:val="left"/>
              <w:rPr>
                <w:rFonts w:asciiTheme="minorHAnsi" w:hAnsiTheme="minorHAnsi" w:cstheme="minorHAnsi"/>
                <w:bCs/>
                <w:sz w:val="20"/>
              </w:rPr>
            </w:pPr>
            <w:r w:rsidRPr="000816CC">
              <w:rPr>
                <w:rFonts w:asciiTheme="minorHAnsi" w:hAnsiTheme="minorHAnsi" w:cstheme="minorHAnsi"/>
                <w:b/>
                <w:bCs/>
                <w:sz w:val="20"/>
              </w:rPr>
              <w:t xml:space="preserve">Link do ustawy: </w:t>
            </w:r>
            <w:hyperlink w:history="1">
              <w:r w:rsidRPr="000816CC">
                <w:rPr>
                  <w:rStyle w:val="Hipercze"/>
                  <w:rFonts w:asciiTheme="minorHAnsi" w:hAnsiTheme="minorHAnsi" w:cstheme="minorHAnsi"/>
                  <w:b/>
                  <w:bCs/>
                  <w:sz w:val="20"/>
                </w:rPr>
                <w:t>http://isap.sejm.gov.pl/isap.nsf/download.xsp/WDU20040991001/U/D20041001Lj.pdf</w:t>
              </w:r>
            </w:hyperlink>
          </w:p>
          <w:p w14:paraId="5AC5ECAD" w14:textId="1F8C6111" w:rsidR="00E74798" w:rsidRDefault="00E74798" w:rsidP="00E74798">
            <w:pPr>
              <w:spacing w:after="0"/>
              <w:rPr>
                <w:b/>
                <w:bCs/>
                <w:sz w:val="20"/>
              </w:rPr>
            </w:pPr>
            <w:r w:rsidRPr="002D5B60">
              <w:rPr>
                <w:b/>
                <w:bCs/>
                <w:sz w:val="20"/>
              </w:rPr>
              <w:t>Kryterium 1.</w:t>
            </w:r>
          </w:p>
          <w:p w14:paraId="629E4D81" w14:textId="262B00AE" w:rsidR="00E74798" w:rsidRPr="002D5B60" w:rsidRDefault="00E74798" w:rsidP="00E74798">
            <w:pPr>
              <w:spacing w:after="0"/>
              <w:rPr>
                <w:b/>
                <w:bCs/>
                <w:sz w:val="20"/>
              </w:rPr>
            </w:pPr>
            <w:r w:rsidRPr="002D5B60">
              <w:rPr>
                <w:b/>
                <w:bCs/>
                <w:sz w:val="20"/>
              </w:rPr>
              <w:t>Spełnienie kryterium zapewnia Indywidualny Planu Działania (IPD) -art. 34a Ustawy z dnia 20 kwietnia 2004 r. o promocji zatrudnienia i instytucjach rynku pracy.</w:t>
            </w:r>
          </w:p>
          <w:p w14:paraId="6E103496" w14:textId="77777777" w:rsidR="00E74798" w:rsidRPr="002D5B60" w:rsidRDefault="00E74798" w:rsidP="00E74798">
            <w:pPr>
              <w:spacing w:after="0"/>
              <w:rPr>
                <w:b/>
                <w:bCs/>
                <w:sz w:val="20"/>
              </w:rPr>
            </w:pPr>
            <w:hyperlink w:history="1">
              <w:r w:rsidRPr="002D5B60">
                <w:rPr>
                  <w:rStyle w:val="Hipercze"/>
                  <w:b/>
                  <w:bCs/>
                  <w:sz w:val="20"/>
                </w:rPr>
                <w:t>http://isap.sejm.gov.pl/isap.nsf/download.xsp/WDU20040991001/U/D20041001Lj.pdf</w:t>
              </w:r>
            </w:hyperlink>
          </w:p>
          <w:p w14:paraId="75F0850B" w14:textId="6549DAF7" w:rsidR="00E74798" w:rsidRDefault="00E74798" w:rsidP="00D52164">
            <w:pPr>
              <w:jc w:val="left"/>
              <w:rPr>
                <w:rFonts w:asciiTheme="minorHAnsi" w:hAnsiTheme="minorHAnsi" w:cstheme="minorHAnsi"/>
                <w:b/>
                <w:bCs/>
                <w:sz w:val="20"/>
              </w:rPr>
            </w:pPr>
            <w:r w:rsidRPr="00E74798">
              <w:rPr>
                <w:rFonts w:asciiTheme="minorHAnsi" w:hAnsiTheme="minorHAnsi" w:cstheme="minorHAnsi"/>
                <w:b/>
                <w:bCs/>
                <w:sz w:val="20"/>
              </w:rPr>
              <w:t xml:space="preserve">Kryterium </w:t>
            </w:r>
            <w:r>
              <w:rPr>
                <w:rFonts w:asciiTheme="minorHAnsi" w:hAnsiTheme="minorHAnsi" w:cstheme="minorHAnsi"/>
                <w:b/>
                <w:bCs/>
                <w:sz w:val="20"/>
              </w:rPr>
              <w:t>2</w:t>
            </w:r>
            <w:r w:rsidRPr="00E74798">
              <w:rPr>
                <w:rFonts w:asciiTheme="minorHAnsi" w:hAnsiTheme="minorHAnsi" w:cstheme="minorHAnsi"/>
                <w:b/>
                <w:bCs/>
                <w:sz w:val="20"/>
              </w:rPr>
              <w:t>.</w:t>
            </w:r>
          </w:p>
          <w:p w14:paraId="7E213E1A"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lastRenderedPageBreak/>
              <w:t>Spełnienie kryterium zapewnia Ustawa z dnia 20 kwietnia 2004 r. o promocji zatrudnienia i instytucjach rynku pracy (art. 4 ust. 1 pkt 7 lit. e)</w:t>
            </w:r>
          </w:p>
          <w:p w14:paraId="46B67605" w14:textId="430C2554" w:rsidR="00E74798" w:rsidRPr="00E74798" w:rsidRDefault="00E74798" w:rsidP="00E74798">
            <w:pPr>
              <w:jc w:val="left"/>
              <w:rPr>
                <w:rFonts w:asciiTheme="minorHAnsi" w:hAnsiTheme="minorHAnsi" w:cstheme="minorHAnsi"/>
                <w:b/>
                <w:bCs/>
                <w:sz w:val="20"/>
              </w:rPr>
            </w:pPr>
            <w:hyperlink w:history="1">
              <w:r w:rsidRPr="00E74798">
                <w:rPr>
                  <w:rStyle w:val="Hipercze"/>
                  <w:rFonts w:asciiTheme="minorHAnsi" w:hAnsiTheme="minorHAnsi" w:cstheme="minorHAnsi"/>
                  <w:b/>
                  <w:bCs/>
                  <w:sz w:val="20"/>
                </w:rPr>
                <w:t>http://isap.sejm.gov.pl/isap.nsf/download.xsp/WDU20040991001/U/D20041001Lj.pdf</w:t>
              </w:r>
            </w:hyperlink>
          </w:p>
          <w:p w14:paraId="60DA7E79"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Centralna Baza Ofert Pracy</w:t>
            </w:r>
          </w:p>
          <w:p w14:paraId="3932CDEF" w14:textId="77777777" w:rsidR="00E74798" w:rsidRPr="00E74798" w:rsidRDefault="00E74798" w:rsidP="00E74798">
            <w:pPr>
              <w:jc w:val="left"/>
              <w:rPr>
                <w:rFonts w:asciiTheme="minorHAnsi" w:hAnsiTheme="minorHAnsi" w:cstheme="minorHAnsi"/>
                <w:b/>
                <w:bCs/>
                <w:sz w:val="20"/>
              </w:rPr>
            </w:pPr>
            <w:hyperlink w:history="1">
              <w:r w:rsidRPr="00E74798">
                <w:rPr>
                  <w:rStyle w:val="Hipercze"/>
                  <w:rFonts w:asciiTheme="minorHAnsi" w:hAnsiTheme="minorHAnsi" w:cstheme="minorHAnsi"/>
                  <w:b/>
                  <w:bCs/>
                  <w:sz w:val="20"/>
                </w:rPr>
                <w:t>http://oferty.praca.gov.pl/</w:t>
              </w:r>
            </w:hyperlink>
          </w:p>
          <w:p w14:paraId="6F76A541" w14:textId="5627D5F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Kryterium 3.</w:t>
            </w:r>
          </w:p>
          <w:p w14:paraId="35AE938B"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 xml:space="preserve">Spełnienie kryterium zapewnia: </w:t>
            </w:r>
          </w:p>
          <w:p w14:paraId="055F08C0"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 xml:space="preserve">Ustawa z dnia 20 kwietnia 2004 r. o promocji zatrudnienia i instytucjach rynku pracy (rozdział 5, rozdział 8, art. 22), </w:t>
            </w:r>
          </w:p>
          <w:bookmarkStart w:id="54" w:name="_Hlk76124784"/>
          <w:p w14:paraId="7B314DC3" w14:textId="194A2A13"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u w:val="single"/>
              </w:rPr>
              <w:fldChar w:fldCharType="begin"/>
            </w:r>
            <w:r w:rsidRPr="00E74798">
              <w:rPr>
                <w:rFonts w:asciiTheme="minorHAnsi" w:hAnsiTheme="minorHAnsi" w:cstheme="minorHAnsi"/>
                <w:b/>
                <w:bCs/>
                <w:sz w:val="20"/>
                <w:u w:val="single"/>
              </w:rPr>
              <w:instrText xml:space="preserve"> HYPERLINK "http://?" </w:instrText>
            </w:r>
            <w:r w:rsidRPr="00E74798">
              <w:rPr>
                <w:rFonts w:asciiTheme="minorHAnsi" w:hAnsiTheme="minorHAnsi" w:cstheme="minorHAnsi"/>
                <w:b/>
                <w:bCs/>
                <w:sz w:val="20"/>
                <w:u w:val="single"/>
              </w:rPr>
            </w:r>
            <w:r w:rsidRPr="00E74798">
              <w:rPr>
                <w:rFonts w:asciiTheme="minorHAnsi" w:hAnsiTheme="minorHAnsi" w:cstheme="minorHAnsi"/>
                <w:b/>
                <w:bCs/>
                <w:sz w:val="20"/>
                <w:u w:val="single"/>
              </w:rPr>
              <w:fldChar w:fldCharType="separate"/>
            </w:r>
            <w:r w:rsidRPr="00E74798">
              <w:rPr>
                <w:rStyle w:val="Hipercze"/>
                <w:rFonts w:asciiTheme="minorHAnsi" w:hAnsiTheme="minorHAnsi" w:cstheme="minorHAnsi"/>
                <w:b/>
                <w:bCs/>
                <w:sz w:val="20"/>
              </w:rPr>
              <w:t>http://isap.sejm.gov.pl/isap.nsf/download.xsp/WDU20040991001/U/D20041001Lj.pdf</w:t>
            </w:r>
            <w:r w:rsidRPr="00E74798">
              <w:rPr>
                <w:rFonts w:asciiTheme="minorHAnsi" w:hAnsiTheme="minorHAnsi" w:cstheme="minorHAnsi"/>
                <w:b/>
                <w:bCs/>
                <w:sz w:val="20"/>
              </w:rPr>
              <w:fldChar w:fldCharType="end"/>
            </w:r>
          </w:p>
          <w:p w14:paraId="2D813437"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Ustawa z dnia 24 lipca 2015 r. o Radzie Dialogu Społecznego i innych instytucjach dialogu społecznego</w:t>
            </w:r>
          </w:p>
          <w:p w14:paraId="7D65F556" w14:textId="508F6F07" w:rsidR="00E74798" w:rsidRPr="00E74798" w:rsidRDefault="00E74798" w:rsidP="00E74798">
            <w:pPr>
              <w:jc w:val="left"/>
              <w:rPr>
                <w:rFonts w:asciiTheme="minorHAnsi" w:hAnsiTheme="minorHAnsi" w:cstheme="minorHAnsi"/>
                <w:b/>
                <w:bCs/>
                <w:sz w:val="20"/>
              </w:rPr>
            </w:pPr>
            <w:hyperlink w:history="1">
              <w:r w:rsidRPr="00E74798">
                <w:rPr>
                  <w:rStyle w:val="Hipercze"/>
                  <w:rFonts w:asciiTheme="minorHAnsi" w:hAnsiTheme="minorHAnsi" w:cstheme="minorHAnsi"/>
                  <w:b/>
                  <w:bCs/>
                  <w:sz w:val="20"/>
                </w:rPr>
                <w:t>https://isap.sejm.gov.pl/isap.nsf/download.xsp/WDU20150001240/U/D20151240Lj.pdf</w:t>
              </w:r>
            </w:hyperlink>
          </w:p>
          <w:p w14:paraId="4B81E3B2"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 xml:space="preserve">Rozporządzenie Ministra Pracy i Polityki Społecznej z dnia 22 lipca 2011 r. w sprawie szczegółowych </w:t>
            </w:r>
            <w:r w:rsidRPr="00E74798">
              <w:rPr>
                <w:rFonts w:asciiTheme="minorHAnsi" w:hAnsiTheme="minorHAnsi" w:cstheme="minorHAnsi"/>
                <w:b/>
                <w:bCs/>
                <w:sz w:val="20"/>
              </w:rPr>
              <w:lastRenderedPageBreak/>
              <w:t>zadań i organizacji Ochotniczych Hufców Pracy</w:t>
            </w:r>
          </w:p>
          <w:p w14:paraId="5108FC74" w14:textId="77777777" w:rsidR="00E74798" w:rsidRDefault="00E74798" w:rsidP="00E74798">
            <w:pPr>
              <w:jc w:val="left"/>
              <w:rPr>
                <w:rFonts w:asciiTheme="minorHAnsi" w:hAnsiTheme="minorHAnsi" w:cstheme="minorHAnsi"/>
                <w:b/>
                <w:bCs/>
                <w:sz w:val="20"/>
              </w:rPr>
            </w:pPr>
            <w:hyperlink w:history="1">
              <w:r w:rsidRPr="00E74798">
                <w:rPr>
                  <w:rStyle w:val="Hipercze"/>
                  <w:rFonts w:asciiTheme="minorHAnsi" w:hAnsiTheme="minorHAnsi" w:cstheme="minorHAnsi"/>
                  <w:b/>
                  <w:bCs/>
                  <w:sz w:val="20"/>
                </w:rPr>
                <w:t>http://isap.sejm.gov.pl/isap.nsf/download.xsp/WDU20111550920/O/D20110920.pdf</w:t>
              </w:r>
            </w:hyperlink>
          </w:p>
          <w:p w14:paraId="3A3FEDE5" w14:textId="0F3012BE" w:rsidR="00E74798" w:rsidRPr="00E74798" w:rsidRDefault="00E74798" w:rsidP="00E74798">
            <w:pPr>
              <w:jc w:val="left"/>
              <w:rPr>
                <w:rFonts w:asciiTheme="minorHAnsi" w:hAnsiTheme="minorHAnsi" w:cstheme="minorHAnsi"/>
                <w:b/>
                <w:bCs/>
                <w:sz w:val="20"/>
              </w:rPr>
            </w:pPr>
            <w:r>
              <w:rPr>
                <w:rFonts w:asciiTheme="minorHAnsi" w:hAnsiTheme="minorHAnsi" w:cstheme="minorHAnsi"/>
                <w:b/>
                <w:bCs/>
                <w:sz w:val="20"/>
              </w:rPr>
              <w:t>K</w:t>
            </w:r>
            <w:r w:rsidRPr="00E74798">
              <w:rPr>
                <w:rFonts w:asciiTheme="minorHAnsi" w:hAnsiTheme="minorHAnsi" w:cstheme="minorHAnsi"/>
                <w:b/>
                <w:bCs/>
                <w:sz w:val="20"/>
              </w:rPr>
              <w:t>ryterium 4</w:t>
            </w:r>
            <w:r>
              <w:rPr>
                <w:rFonts w:asciiTheme="minorHAnsi" w:hAnsiTheme="minorHAnsi" w:cstheme="minorHAnsi"/>
                <w:b/>
                <w:bCs/>
                <w:sz w:val="20"/>
              </w:rPr>
              <w:t>,</w:t>
            </w:r>
            <w:r w:rsidRPr="00E74798">
              <w:rPr>
                <w:rFonts w:asciiTheme="minorHAnsi" w:hAnsiTheme="minorHAnsi" w:cstheme="minorHAnsi"/>
                <w:b/>
                <w:bCs/>
                <w:sz w:val="20"/>
              </w:rPr>
              <w:t xml:space="preserve"> </w:t>
            </w:r>
          </w:p>
          <w:p w14:paraId="41962D1A" w14:textId="77777777" w:rsidR="00E74798" w:rsidRPr="00E74798" w:rsidRDefault="00E74798" w:rsidP="00E74798">
            <w:pPr>
              <w:jc w:val="left"/>
              <w:rPr>
                <w:rFonts w:asciiTheme="minorHAnsi" w:hAnsiTheme="minorHAnsi" w:cstheme="minorHAnsi"/>
                <w:b/>
                <w:bCs/>
                <w:sz w:val="20"/>
              </w:rPr>
            </w:pPr>
            <w:r w:rsidRPr="00E74798">
              <w:rPr>
                <w:rFonts w:asciiTheme="minorHAnsi" w:hAnsiTheme="minorHAnsi" w:cstheme="minorHAnsi"/>
                <w:b/>
                <w:bCs/>
                <w:sz w:val="20"/>
              </w:rPr>
              <w:t>Spełnienie kryterium zapewnia Ustawa z dnia 20 kwietnia 2004 r. o promocji zatrudnienia i instytucjach rynku pracy (rozdział 8, art.22) i Ustawa z dnia 29 czerwca 1995 r. o statystyce publicznej .</w:t>
            </w:r>
          </w:p>
          <w:p w14:paraId="5ED74C9C" w14:textId="3819236D" w:rsidR="00E74798" w:rsidRPr="00F62734" w:rsidRDefault="00E74798" w:rsidP="00E74798">
            <w:pPr>
              <w:jc w:val="left"/>
              <w:rPr>
                <w:rFonts w:asciiTheme="minorHAnsi" w:hAnsiTheme="minorHAnsi" w:cstheme="minorHAnsi"/>
                <w:b/>
                <w:bCs/>
                <w:sz w:val="20"/>
              </w:rPr>
            </w:pPr>
            <w:hyperlink w:history="1">
              <w:r w:rsidRPr="00E74798">
                <w:rPr>
                  <w:rStyle w:val="Hipercze"/>
                  <w:rFonts w:asciiTheme="minorHAnsi" w:hAnsiTheme="minorHAnsi" w:cstheme="minorHAnsi"/>
                  <w:b/>
                  <w:bCs/>
                  <w:sz w:val="20"/>
                </w:rPr>
                <w:t>http://isap.sejm.gov.pl/isap.nsf/download.xsp/WDU20040991001/U/D20041001Lj.pdf</w:t>
              </w:r>
            </w:hyperlink>
          </w:p>
          <w:p w14:paraId="04A2F1B7" w14:textId="77777777" w:rsidR="00E74798" w:rsidRPr="00E74798" w:rsidRDefault="00E74798" w:rsidP="00E74798">
            <w:pPr>
              <w:jc w:val="left"/>
              <w:rPr>
                <w:rFonts w:asciiTheme="minorHAnsi" w:hAnsiTheme="minorHAnsi" w:cstheme="minorHAnsi"/>
                <w:b/>
                <w:bCs/>
                <w:sz w:val="20"/>
                <w:u w:val="single"/>
              </w:rPr>
            </w:pPr>
            <w:r w:rsidRPr="00E74798">
              <w:rPr>
                <w:rFonts w:asciiTheme="minorHAnsi" w:hAnsiTheme="minorHAnsi" w:cstheme="minorHAnsi"/>
                <w:b/>
                <w:bCs/>
                <w:sz w:val="20"/>
                <w:u w:val="single"/>
              </w:rPr>
              <w:t>https://www.gov.pl/web/rodzina/efektywnosc-form-promocji-zatrudnienia</w:t>
            </w:r>
          </w:p>
          <w:p w14:paraId="02824282" w14:textId="745FA657" w:rsidR="00E74798" w:rsidRPr="00F62734" w:rsidRDefault="00E74798" w:rsidP="00E74798">
            <w:pPr>
              <w:jc w:val="left"/>
              <w:rPr>
                <w:rFonts w:asciiTheme="minorHAnsi" w:hAnsiTheme="minorHAnsi" w:cstheme="minorHAnsi"/>
                <w:b/>
                <w:bCs/>
                <w:sz w:val="20"/>
                <w:u w:val="single"/>
              </w:rPr>
            </w:pPr>
            <w:hyperlink w:history="1">
              <w:r w:rsidRPr="00E74798">
                <w:rPr>
                  <w:rStyle w:val="Hipercze"/>
                  <w:rFonts w:asciiTheme="minorHAnsi" w:hAnsiTheme="minorHAnsi" w:cstheme="minorHAnsi"/>
                  <w:b/>
                  <w:bCs/>
                  <w:sz w:val="20"/>
                </w:rPr>
                <w:t>https://psz.praca.gov.pl/rynek-pracy/statystyki-i-analizy/bezrobocie-rejestrowane</w:t>
              </w:r>
            </w:hyperlink>
          </w:p>
          <w:bookmarkEnd w:id="54"/>
          <w:p w14:paraId="5D13BB1D" w14:textId="0D7B7008" w:rsidR="003E2776" w:rsidRPr="003E2776" w:rsidRDefault="003E2776" w:rsidP="003E2776">
            <w:pPr>
              <w:jc w:val="left"/>
              <w:rPr>
                <w:rFonts w:asciiTheme="minorHAnsi" w:hAnsiTheme="minorHAnsi" w:cstheme="minorHAnsi"/>
                <w:b/>
                <w:bCs/>
                <w:sz w:val="20"/>
              </w:rPr>
            </w:pPr>
            <w:r>
              <w:rPr>
                <w:rFonts w:asciiTheme="minorHAnsi" w:hAnsiTheme="minorHAnsi" w:cstheme="minorHAnsi"/>
                <w:b/>
                <w:bCs/>
                <w:sz w:val="20"/>
              </w:rPr>
              <w:t>K</w:t>
            </w:r>
            <w:r w:rsidRPr="003E2776">
              <w:rPr>
                <w:rFonts w:asciiTheme="minorHAnsi" w:hAnsiTheme="minorHAnsi" w:cstheme="minorHAnsi"/>
                <w:b/>
                <w:bCs/>
                <w:sz w:val="20"/>
              </w:rPr>
              <w:t>ryterium 5</w:t>
            </w:r>
            <w:r>
              <w:rPr>
                <w:rFonts w:asciiTheme="minorHAnsi" w:hAnsiTheme="minorHAnsi" w:cstheme="minorHAnsi"/>
                <w:b/>
                <w:bCs/>
                <w:sz w:val="20"/>
              </w:rPr>
              <w:t>.</w:t>
            </w:r>
            <w:r w:rsidRPr="003E2776">
              <w:rPr>
                <w:rFonts w:asciiTheme="minorHAnsi" w:hAnsiTheme="minorHAnsi" w:cstheme="minorHAnsi"/>
                <w:b/>
                <w:bCs/>
                <w:sz w:val="20"/>
              </w:rPr>
              <w:t xml:space="preserve"> </w:t>
            </w:r>
          </w:p>
          <w:p w14:paraId="58FE2C3D" w14:textId="77777777" w:rsidR="003E2776" w:rsidRPr="003E2776" w:rsidRDefault="003E2776" w:rsidP="003E2776">
            <w:pPr>
              <w:jc w:val="left"/>
              <w:rPr>
                <w:rFonts w:asciiTheme="minorHAnsi" w:hAnsiTheme="minorHAnsi" w:cstheme="minorHAnsi"/>
                <w:b/>
                <w:bCs/>
                <w:sz w:val="20"/>
              </w:rPr>
            </w:pPr>
            <w:r w:rsidRPr="003E2776">
              <w:rPr>
                <w:rFonts w:asciiTheme="minorHAnsi" w:hAnsiTheme="minorHAnsi" w:cstheme="minorHAnsi"/>
                <w:b/>
                <w:bCs/>
                <w:sz w:val="20"/>
              </w:rPr>
              <w:t>Spełnienie kryterium zapewnia:</w:t>
            </w:r>
          </w:p>
          <w:p w14:paraId="29F3FECC" w14:textId="77777777" w:rsidR="003E2776" w:rsidRPr="003E2776" w:rsidRDefault="003E2776" w:rsidP="003E2776">
            <w:pPr>
              <w:jc w:val="left"/>
              <w:rPr>
                <w:rFonts w:asciiTheme="minorHAnsi" w:hAnsiTheme="minorHAnsi" w:cstheme="minorHAnsi"/>
                <w:b/>
                <w:bCs/>
                <w:sz w:val="20"/>
              </w:rPr>
            </w:pPr>
            <w:r w:rsidRPr="003E2776">
              <w:rPr>
                <w:rFonts w:asciiTheme="minorHAnsi" w:hAnsiTheme="minorHAnsi" w:cstheme="minorHAnsi"/>
                <w:b/>
                <w:bCs/>
                <w:sz w:val="20"/>
              </w:rPr>
              <w:t>Ustawa z dnia 20 kwietnia 2004 r. o promocji zatrudnienia i instytucjach rynku pracy (Rozdział V, art. 50 ust. 1,art. 53)</w:t>
            </w:r>
          </w:p>
          <w:p w14:paraId="7D904FDF" w14:textId="61BEE65D" w:rsidR="003E2776" w:rsidRPr="003E2776" w:rsidRDefault="003E2776" w:rsidP="003E2776">
            <w:pPr>
              <w:jc w:val="left"/>
              <w:rPr>
                <w:rFonts w:asciiTheme="minorHAnsi" w:hAnsiTheme="minorHAnsi" w:cstheme="minorHAnsi"/>
                <w:b/>
                <w:bCs/>
                <w:sz w:val="20"/>
              </w:rPr>
            </w:pPr>
            <w:hyperlink w:history="1">
              <w:r w:rsidRPr="003E2776">
                <w:rPr>
                  <w:rStyle w:val="Hipercze"/>
                  <w:rFonts w:asciiTheme="minorHAnsi" w:hAnsiTheme="minorHAnsi" w:cstheme="minorHAnsi"/>
                  <w:b/>
                  <w:bCs/>
                  <w:sz w:val="20"/>
                </w:rPr>
                <w:t>http://isap.sejm.gov.pl/isap.nsf/download.xsp/WDU20040991001/U/D20041001Lj.pdf</w:t>
              </w:r>
            </w:hyperlink>
          </w:p>
          <w:p w14:paraId="24552A94" w14:textId="77777777" w:rsidR="003E2776" w:rsidRPr="003E2776" w:rsidRDefault="003E2776" w:rsidP="003E2776">
            <w:pPr>
              <w:jc w:val="left"/>
              <w:rPr>
                <w:rFonts w:asciiTheme="minorHAnsi" w:hAnsiTheme="minorHAnsi" w:cstheme="minorHAnsi"/>
                <w:b/>
                <w:bCs/>
                <w:sz w:val="20"/>
              </w:rPr>
            </w:pPr>
            <w:r w:rsidRPr="003E2776">
              <w:rPr>
                <w:rFonts w:asciiTheme="minorHAnsi" w:hAnsiTheme="minorHAnsi" w:cstheme="minorHAnsi"/>
                <w:b/>
                <w:bCs/>
                <w:sz w:val="20"/>
              </w:rPr>
              <w:t>Rozporządzenie Ministra Pracy i Polityki Społecznej z dnia 22 lipca 2011 r. w sprawie szczegółowych zadań i organizacji Ochotniczych Hufców Pracy (Dz. U. z 2011 r., poz. 920)</w:t>
            </w:r>
          </w:p>
          <w:p w14:paraId="65632104" w14:textId="530A9DFE" w:rsidR="003E2776" w:rsidRPr="003E2776" w:rsidRDefault="003E2776" w:rsidP="003E2776">
            <w:pPr>
              <w:jc w:val="left"/>
              <w:rPr>
                <w:rFonts w:asciiTheme="minorHAnsi" w:hAnsiTheme="minorHAnsi" w:cstheme="minorHAnsi"/>
                <w:b/>
                <w:bCs/>
                <w:sz w:val="20"/>
              </w:rPr>
            </w:pPr>
            <w:hyperlink w:history="1">
              <w:r w:rsidRPr="003E2776">
                <w:rPr>
                  <w:rStyle w:val="Hipercze"/>
                  <w:rFonts w:asciiTheme="minorHAnsi" w:hAnsiTheme="minorHAnsi" w:cstheme="minorHAnsi"/>
                  <w:b/>
                  <w:bCs/>
                  <w:sz w:val="20"/>
                </w:rPr>
                <w:t>http://isap.sejm.gov.pl/isap.nsf/download.xsp/WDU20111550920/O/D20110920.pdf</w:t>
              </w:r>
            </w:hyperlink>
          </w:p>
          <w:p w14:paraId="26F67C48" w14:textId="77777777" w:rsidR="003E2776" w:rsidRPr="003E2776" w:rsidRDefault="003E2776" w:rsidP="003E2776">
            <w:pPr>
              <w:jc w:val="left"/>
              <w:rPr>
                <w:rFonts w:asciiTheme="minorHAnsi" w:hAnsiTheme="minorHAnsi" w:cstheme="minorHAnsi"/>
                <w:b/>
                <w:bCs/>
                <w:sz w:val="20"/>
              </w:rPr>
            </w:pPr>
            <w:r w:rsidRPr="003E2776">
              <w:rPr>
                <w:rFonts w:asciiTheme="minorHAnsi" w:hAnsiTheme="minorHAnsi" w:cstheme="minorHAnsi"/>
                <w:b/>
                <w:bCs/>
                <w:sz w:val="20"/>
              </w:rPr>
              <w:t>Rozporządzenie Ministra Pracy i Polityki Społecznej z dnia 20 sierpnia 2009 r. w sprawie szczegółowych warunków odbywania stażu przez bezrobotnych (Dz. U. z 2009 r., poz. 1160)</w:t>
            </w:r>
          </w:p>
          <w:p w14:paraId="09314545" w14:textId="446B2259" w:rsidR="003E2776" w:rsidRPr="003E2776" w:rsidRDefault="003E2776" w:rsidP="003E2776">
            <w:pPr>
              <w:jc w:val="left"/>
              <w:rPr>
                <w:rFonts w:asciiTheme="minorHAnsi" w:hAnsiTheme="minorHAnsi" w:cstheme="minorHAnsi"/>
                <w:b/>
                <w:bCs/>
                <w:sz w:val="20"/>
              </w:rPr>
            </w:pPr>
            <w:hyperlink w:history="1">
              <w:r w:rsidRPr="003E2776">
                <w:rPr>
                  <w:rStyle w:val="Hipercze"/>
                  <w:rFonts w:asciiTheme="minorHAnsi" w:hAnsiTheme="minorHAnsi" w:cstheme="minorHAnsi"/>
                  <w:b/>
                  <w:bCs/>
                  <w:sz w:val="20"/>
                </w:rPr>
                <w:t>http://isap.sejm.gov.pl/isap.nsf/download.xsp/WDU20091421160/O/D20091160.pdf</w:t>
              </w:r>
            </w:hyperlink>
          </w:p>
          <w:p w14:paraId="423B2582" w14:textId="77777777" w:rsidR="003E2776" w:rsidRPr="003E2776" w:rsidRDefault="003E2776" w:rsidP="003E2776">
            <w:pPr>
              <w:jc w:val="left"/>
              <w:rPr>
                <w:rFonts w:asciiTheme="minorHAnsi" w:hAnsiTheme="minorHAnsi" w:cstheme="minorHAnsi"/>
                <w:b/>
                <w:bCs/>
                <w:sz w:val="20"/>
              </w:rPr>
            </w:pPr>
            <w:r w:rsidRPr="003E2776">
              <w:rPr>
                <w:rFonts w:asciiTheme="minorHAnsi" w:hAnsiTheme="minorHAnsi" w:cstheme="minorHAnsi"/>
                <w:b/>
                <w:bCs/>
                <w:sz w:val="20"/>
              </w:rPr>
              <w:t>Rozporządzenie Ministra Pracy i Polityki Społecznej z dnia 11 kwietnia 2014 r. w sprawie przygotowania zawodowego dorosłych (Dz. U. z 2014 r., poz. 497)</w:t>
            </w:r>
          </w:p>
          <w:p w14:paraId="721AC3F7" w14:textId="77777777" w:rsidR="003E2776" w:rsidRPr="003E2776" w:rsidRDefault="003E2776" w:rsidP="003E2776">
            <w:pPr>
              <w:jc w:val="left"/>
              <w:rPr>
                <w:rFonts w:asciiTheme="minorHAnsi" w:hAnsiTheme="minorHAnsi" w:cstheme="minorHAnsi"/>
                <w:b/>
                <w:bCs/>
                <w:sz w:val="20"/>
              </w:rPr>
            </w:pPr>
            <w:hyperlink w:history="1">
              <w:r w:rsidRPr="003E2776">
                <w:rPr>
                  <w:rStyle w:val="Hipercze"/>
                  <w:rFonts w:asciiTheme="minorHAnsi" w:hAnsiTheme="minorHAnsi" w:cstheme="minorHAnsi"/>
                  <w:b/>
                  <w:bCs/>
                  <w:sz w:val="20"/>
                </w:rPr>
                <w:t>http://isap.sejm.gov.pl/isap.nsf/download.xsp/WDU20140000497/O/D20140497.pdf</w:t>
              </w:r>
            </w:hyperlink>
          </w:p>
          <w:p w14:paraId="4D09DC1E" w14:textId="77777777" w:rsidR="00E74798" w:rsidRPr="00F62734" w:rsidRDefault="00E74798" w:rsidP="00D52164">
            <w:pPr>
              <w:jc w:val="left"/>
              <w:rPr>
                <w:rFonts w:asciiTheme="minorHAnsi" w:hAnsiTheme="minorHAnsi" w:cstheme="minorHAnsi"/>
                <w:b/>
                <w:bCs/>
                <w:sz w:val="20"/>
              </w:rPr>
            </w:pPr>
          </w:p>
          <w:p w14:paraId="447E6102" w14:textId="77777777" w:rsidR="00D52164" w:rsidRPr="00890249" w:rsidRDefault="00D52164" w:rsidP="00D52164">
            <w:pPr>
              <w:jc w:val="left"/>
              <w:rPr>
                <w:rFonts w:asciiTheme="minorHAnsi" w:eastAsia="Times New Roman" w:hAnsiTheme="minorHAnsi" w:cstheme="minorHAnsi"/>
                <w:iCs/>
                <w:noProof/>
                <w:sz w:val="20"/>
              </w:rPr>
            </w:pPr>
          </w:p>
          <w:p w14:paraId="3F5C68F6"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57337A09" w14:textId="55DBF9CD" w:rsidR="004F0E7F" w:rsidRPr="00890249" w:rsidRDefault="004F0E7F" w:rsidP="00325D70">
            <w:pPr>
              <w:jc w:val="left"/>
              <w:rPr>
                <w:rFonts w:asciiTheme="minorHAnsi" w:hAnsiTheme="minorHAnsi" w:cstheme="minorHAnsi"/>
                <w:b/>
                <w:bCs/>
                <w:sz w:val="20"/>
              </w:rPr>
            </w:pPr>
            <w:r w:rsidRPr="00890249">
              <w:rPr>
                <w:rFonts w:asciiTheme="minorHAnsi" w:hAnsiTheme="minorHAnsi" w:cstheme="minorHAnsi"/>
                <w:b/>
                <w:bCs/>
                <w:sz w:val="20"/>
              </w:rPr>
              <w:lastRenderedPageBreak/>
              <w:t xml:space="preserve">Kryterium 1. </w:t>
            </w:r>
            <w:r w:rsidR="00DD4970">
              <w:rPr>
                <w:rFonts w:asciiTheme="minorHAnsi" w:hAnsiTheme="minorHAnsi" w:cstheme="minorHAnsi"/>
                <w:b/>
                <w:bCs/>
                <w:sz w:val="20"/>
              </w:rPr>
              <w:t>S</w:t>
            </w:r>
            <w:r w:rsidRPr="00890249">
              <w:rPr>
                <w:rFonts w:asciiTheme="minorHAnsi" w:hAnsiTheme="minorHAnsi" w:cstheme="minorHAnsi"/>
                <w:b/>
                <w:bCs/>
                <w:sz w:val="20"/>
              </w:rPr>
              <w:t>pełnione</w:t>
            </w:r>
          </w:p>
          <w:p w14:paraId="6CDD8ED9" w14:textId="77777777" w:rsidR="004F0E7F" w:rsidRPr="00890249" w:rsidRDefault="004F0E7F" w:rsidP="00325D70">
            <w:pPr>
              <w:jc w:val="left"/>
              <w:rPr>
                <w:rFonts w:asciiTheme="minorHAnsi" w:hAnsiTheme="minorHAnsi" w:cstheme="minorHAnsi"/>
                <w:b/>
                <w:bCs/>
                <w:sz w:val="20"/>
              </w:rPr>
            </w:pPr>
            <w:r w:rsidRPr="00890249">
              <w:rPr>
                <w:rFonts w:asciiTheme="minorHAnsi" w:hAnsiTheme="minorHAnsi" w:cstheme="minorHAnsi"/>
                <w:b/>
                <w:bCs/>
                <w:sz w:val="20"/>
              </w:rPr>
              <w:t xml:space="preserve">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w:t>
            </w:r>
            <w:r w:rsidRPr="00890249">
              <w:rPr>
                <w:rFonts w:asciiTheme="minorHAnsi" w:hAnsiTheme="minorHAnsi" w:cstheme="minorHAnsi"/>
                <w:b/>
                <w:bCs/>
                <w:sz w:val="20"/>
              </w:rPr>
              <w:lastRenderedPageBreak/>
              <w:t>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p w14:paraId="36AD81A5" w14:textId="06D86E72" w:rsidR="00D52164" w:rsidRPr="00890249" w:rsidRDefault="00D52164" w:rsidP="00325D70">
            <w:pPr>
              <w:jc w:val="left"/>
              <w:rPr>
                <w:rFonts w:asciiTheme="minorHAnsi" w:hAnsiTheme="minorHAnsi" w:cstheme="minorHAnsi"/>
                <w:bCs/>
                <w:sz w:val="20"/>
              </w:rPr>
            </w:pPr>
          </w:p>
        </w:tc>
      </w:tr>
      <w:tr w:rsidR="00D52164" w:rsidRPr="00890249" w14:paraId="2D426CE0" w14:textId="77777777" w:rsidTr="00F62734">
        <w:tc>
          <w:tcPr>
            <w:tcW w:w="1560" w:type="dxa"/>
            <w:vMerge/>
          </w:tcPr>
          <w:p w14:paraId="50E99C87"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2D26B9C4"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41B15C0F"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4C258CB5"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5793CCC0"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2</w:t>
            </w:r>
          </w:p>
          <w:p w14:paraId="5C22C926"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Informacje o wolnych miejscach pracy i możliwościach zatrudnienia z uwzględnieniem potrzeb na rynku pracy</w:t>
            </w:r>
          </w:p>
        </w:tc>
        <w:tc>
          <w:tcPr>
            <w:tcW w:w="1134" w:type="dxa"/>
            <w:vMerge/>
          </w:tcPr>
          <w:p w14:paraId="3D8BAA1F" w14:textId="77777777" w:rsidR="00D52164" w:rsidRPr="00890249" w:rsidRDefault="00D52164" w:rsidP="00D52164">
            <w:pPr>
              <w:jc w:val="left"/>
              <w:rPr>
                <w:rFonts w:asciiTheme="minorHAnsi" w:hAnsiTheme="minorHAnsi" w:cstheme="minorHAnsi"/>
                <w:noProof/>
                <w:sz w:val="20"/>
              </w:rPr>
            </w:pPr>
          </w:p>
        </w:tc>
        <w:tc>
          <w:tcPr>
            <w:tcW w:w="3402" w:type="dxa"/>
            <w:vMerge/>
          </w:tcPr>
          <w:p w14:paraId="320A2FA5"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BD29240" w14:textId="77777777" w:rsidR="004F0E7F"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2. Spełnione</w:t>
            </w:r>
          </w:p>
          <w:p w14:paraId="7BCD7C63" w14:textId="126B1ED8" w:rsidR="00DD4970" w:rsidRPr="00F62734" w:rsidRDefault="00DD4970" w:rsidP="00325D70">
            <w:pPr>
              <w:spacing w:after="0"/>
              <w:jc w:val="left"/>
              <w:rPr>
                <w:rFonts w:asciiTheme="minorHAnsi" w:hAnsiTheme="minorHAnsi" w:cstheme="minorHAnsi"/>
                <w:b/>
                <w:bCs/>
                <w:sz w:val="20"/>
              </w:rPr>
            </w:pPr>
            <w:r w:rsidRPr="00DD4970">
              <w:rPr>
                <w:rFonts w:asciiTheme="minorHAnsi" w:hAnsiTheme="minorHAnsi" w:cstheme="minorHAnsi"/>
                <w:bCs/>
                <w:sz w:val="20"/>
              </w:rPr>
              <w:t xml:space="preserve">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(CBOP).CBOP i aplikacja mobilna ePraca to nieograniczony dostęp do aktualnej informacji o ofertach pracy w kraju i za granicą, upowszechnionych przez sieć EURES. CBOP i aplikacja mobilna ePraca udostępniają informacje o </w:t>
            </w:r>
            <w:r w:rsidRPr="00DD4970">
              <w:rPr>
                <w:rFonts w:asciiTheme="minorHAnsi" w:hAnsiTheme="minorHAnsi" w:cstheme="minorHAnsi"/>
                <w:bCs/>
                <w:sz w:val="20"/>
              </w:rPr>
              <w:lastRenderedPageBreak/>
              <w:t>organizowanych przez PUPy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Std (wykorzystywanym przez PUP), WUP Viator (wykorzystywanym przez WUP). CBOP jest dostępna z komputera, tabletu i smartfona. Aplikacja mobilna ePraca dostępna jest na platformie iOS i Android.</w:t>
            </w:r>
          </w:p>
          <w:p w14:paraId="68417BC3" w14:textId="75C84CD7" w:rsidR="004F0E7F"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Cs/>
                <w:sz w:val="20"/>
              </w:rPr>
              <w:t>.</w:t>
            </w:r>
          </w:p>
          <w:p w14:paraId="32C0E5F3" w14:textId="29596E74" w:rsidR="00D52164" w:rsidRPr="00890249" w:rsidRDefault="00D52164" w:rsidP="00325D70">
            <w:pPr>
              <w:jc w:val="left"/>
              <w:rPr>
                <w:rFonts w:asciiTheme="minorHAnsi" w:hAnsiTheme="minorHAnsi" w:cstheme="minorHAnsi"/>
                <w:bCs/>
                <w:sz w:val="20"/>
              </w:rPr>
            </w:pPr>
          </w:p>
        </w:tc>
      </w:tr>
      <w:tr w:rsidR="00D52164" w:rsidRPr="00890249" w14:paraId="49455F9F" w14:textId="77777777" w:rsidTr="00F62734">
        <w:tc>
          <w:tcPr>
            <w:tcW w:w="1560" w:type="dxa"/>
            <w:vMerge/>
          </w:tcPr>
          <w:p w14:paraId="68579FCB"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049A2776"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28E87EE2"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7A587399"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2E57AA12"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3</w:t>
            </w:r>
          </w:p>
          <w:p w14:paraId="7424472F"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 xml:space="preserve">Rozwiązania służące zapewnieniu, by opracowanie tych ram, ich wdrożenie, monitorowanie i przegląd były prowadzone w ścisłej współpracy z </w:t>
            </w:r>
            <w:r w:rsidRPr="00890249">
              <w:rPr>
                <w:rFonts w:asciiTheme="minorHAnsi" w:hAnsiTheme="minorHAnsi" w:cstheme="minorHAnsi"/>
                <w:sz w:val="20"/>
              </w:rPr>
              <w:lastRenderedPageBreak/>
              <w:t>odpowiednimi zainteresowanymi stronami</w:t>
            </w:r>
          </w:p>
        </w:tc>
        <w:tc>
          <w:tcPr>
            <w:tcW w:w="1134" w:type="dxa"/>
            <w:vMerge/>
          </w:tcPr>
          <w:p w14:paraId="2ECBBD54" w14:textId="77777777" w:rsidR="00D52164" w:rsidRPr="00890249" w:rsidRDefault="00D52164" w:rsidP="00D52164">
            <w:pPr>
              <w:jc w:val="left"/>
              <w:rPr>
                <w:rFonts w:asciiTheme="minorHAnsi" w:hAnsiTheme="minorHAnsi" w:cstheme="minorHAnsi"/>
                <w:noProof/>
                <w:sz w:val="20"/>
              </w:rPr>
            </w:pPr>
          </w:p>
        </w:tc>
        <w:tc>
          <w:tcPr>
            <w:tcW w:w="3402" w:type="dxa"/>
            <w:vMerge/>
          </w:tcPr>
          <w:p w14:paraId="592AFEAE"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198B5E36" w14:textId="3B3EFA2C" w:rsidR="00DD4970" w:rsidRPr="00DD4970" w:rsidRDefault="00875C92" w:rsidP="00DD4970">
            <w:pPr>
              <w:spacing w:after="0"/>
              <w:jc w:val="left"/>
              <w:rPr>
                <w:rFonts w:asciiTheme="minorHAnsi" w:hAnsiTheme="minorHAnsi" w:cstheme="minorHAnsi"/>
                <w:bCs/>
                <w:sz w:val="20"/>
              </w:rPr>
            </w:pPr>
            <w:r w:rsidRPr="00890249">
              <w:rPr>
                <w:rFonts w:asciiTheme="minorHAnsi" w:hAnsiTheme="minorHAnsi" w:cstheme="minorHAnsi"/>
                <w:b/>
                <w:bCs/>
                <w:sz w:val="20"/>
              </w:rPr>
              <w:t>Kryterium 3</w:t>
            </w:r>
            <w:r w:rsidRPr="00890249">
              <w:rPr>
                <w:rFonts w:asciiTheme="minorHAnsi" w:hAnsiTheme="minorHAnsi" w:cstheme="minorHAnsi"/>
                <w:bCs/>
                <w:sz w:val="20"/>
              </w:rPr>
              <w:t>.</w:t>
            </w:r>
            <w:r w:rsidRPr="00890249">
              <w:rPr>
                <w:rFonts w:asciiTheme="minorHAnsi" w:hAnsiTheme="minorHAnsi" w:cstheme="minorHAnsi"/>
                <w:b/>
                <w:sz w:val="20"/>
              </w:rPr>
              <w:t xml:space="preserve"> </w:t>
            </w:r>
            <w:r w:rsidR="00DD4970">
              <w:rPr>
                <w:rFonts w:asciiTheme="minorHAnsi" w:hAnsiTheme="minorHAnsi" w:cstheme="minorHAnsi"/>
                <w:b/>
                <w:sz w:val="20"/>
              </w:rPr>
              <w:t>S</w:t>
            </w:r>
            <w:r w:rsidRPr="00890249">
              <w:rPr>
                <w:rFonts w:asciiTheme="minorHAnsi" w:hAnsiTheme="minorHAnsi" w:cstheme="minorHAnsi"/>
                <w:b/>
                <w:sz w:val="20"/>
              </w:rPr>
              <w:t>pełnione</w:t>
            </w:r>
            <w:r w:rsidR="00DD4970" w:rsidRPr="00DD4970">
              <w:rPr>
                <w:rFonts w:asciiTheme="minorHAnsi" w:hAnsiTheme="minorHAnsi" w:cstheme="minorHAnsi"/>
                <w:bCs/>
                <w:sz w:val="20"/>
              </w:rPr>
              <w:t>Kluczowe działania na rzecz aktywnej polityki rynku pracy :</w:t>
            </w:r>
          </w:p>
          <w:p w14:paraId="12AA05C7" w14:textId="77777777" w:rsidR="00DD4970" w:rsidRPr="00DD4970" w:rsidRDefault="00DD4970" w:rsidP="00DD4970">
            <w:pPr>
              <w:numPr>
                <w:ilvl w:val="0"/>
                <w:numId w:val="181"/>
              </w:numPr>
              <w:spacing w:after="0"/>
              <w:jc w:val="left"/>
              <w:rPr>
                <w:rFonts w:asciiTheme="minorHAnsi" w:hAnsiTheme="minorHAnsi" w:cstheme="minorHAnsi"/>
                <w:bCs/>
                <w:sz w:val="20"/>
              </w:rPr>
            </w:pPr>
            <w:r w:rsidRPr="00DD4970">
              <w:rPr>
                <w:rFonts w:asciiTheme="minorHAnsi" w:hAnsiTheme="minorHAnsi" w:cstheme="minorHAnsi"/>
                <w:b/>
                <w:bCs/>
                <w:sz w:val="20"/>
              </w:rPr>
              <w:t>rady rynku pracy</w:t>
            </w:r>
            <w:r w:rsidRPr="00DD4970">
              <w:rPr>
                <w:rFonts w:asciiTheme="minorHAnsi" w:hAnsiTheme="minorHAnsi" w:cstheme="minorHAnsi"/>
                <w:bCs/>
                <w:sz w:val="20"/>
              </w:rPr>
              <w:t xml:space="preserve">, działające przy ministrze wł. ds pracy, marszałku województwa (WUP) i </w:t>
            </w:r>
            <w:r w:rsidRPr="00DD4970">
              <w:rPr>
                <w:rFonts w:asciiTheme="minorHAnsi" w:hAnsiTheme="minorHAnsi" w:cstheme="minorHAnsi"/>
                <w:bCs/>
                <w:sz w:val="20"/>
              </w:rPr>
              <w:lastRenderedPageBreak/>
              <w:t xml:space="preserve">staroście (PUP).Tworzą je m.in. przedstawiciele reprezentatywnych organizacji pracodawców i związków zawodowych, KWRiST, samorządu terytorialnego i nauki. </w:t>
            </w:r>
            <w:r w:rsidRPr="00DD4970">
              <w:rPr>
                <w:rFonts w:asciiTheme="minorHAnsi" w:hAnsiTheme="minorHAnsi" w:cstheme="minorHAnsi"/>
                <w:b/>
                <w:bCs/>
                <w:sz w:val="20"/>
              </w:rPr>
              <w:t>Konsultacje społeczne aktów prawnych</w:t>
            </w:r>
            <w:r w:rsidRPr="00DD4970">
              <w:rPr>
                <w:rFonts w:asciiTheme="minorHAnsi" w:hAnsiTheme="minorHAnsi" w:cstheme="minorHAnsi"/>
                <w:bCs/>
                <w:sz w:val="20"/>
              </w:rPr>
              <w:t xml:space="preserve"> regulujących całokształt funkcjonowania PSZ prowadzone są na każdym etapie prac nad projektem. </w:t>
            </w:r>
          </w:p>
          <w:p w14:paraId="1FAC53B3" w14:textId="77777777" w:rsidR="00DD4970" w:rsidRPr="00DD4970" w:rsidRDefault="00DD4970" w:rsidP="00DD4970">
            <w:pPr>
              <w:numPr>
                <w:ilvl w:val="0"/>
                <w:numId w:val="181"/>
              </w:numPr>
              <w:spacing w:after="0"/>
              <w:jc w:val="left"/>
              <w:rPr>
                <w:rFonts w:asciiTheme="minorHAnsi" w:hAnsiTheme="minorHAnsi" w:cstheme="minorHAnsi"/>
                <w:bCs/>
                <w:sz w:val="20"/>
              </w:rPr>
            </w:pPr>
            <w:r w:rsidRPr="00DD4970">
              <w:rPr>
                <w:rFonts w:asciiTheme="minorHAnsi" w:hAnsiTheme="minorHAnsi" w:cstheme="minorHAnsi"/>
                <w:b/>
                <w:bCs/>
                <w:sz w:val="20"/>
              </w:rPr>
              <w:t>Rola Rady Dialogu Społecznego</w:t>
            </w:r>
            <w:r w:rsidRPr="00DD4970">
              <w:rPr>
                <w:rFonts w:asciiTheme="minorHAnsi" w:hAnsiTheme="minorHAnsi" w:cstheme="minorHAnsi"/>
                <w:bCs/>
                <w:sz w:val="20"/>
              </w:rPr>
              <w:t xml:space="preserve">. Przegląd otoczenia prawnego rynku pracy, kształt i stan są przedmiotem prac RDS, a zmiany prawa dotyczące aktywnych polityk rynku pracy przed wdrożeniem są przedmiotem konsultacji w ramach tego ciała. </w:t>
            </w:r>
          </w:p>
          <w:p w14:paraId="3113BA8B" w14:textId="77777777" w:rsidR="00DD4970" w:rsidRPr="00DD4970" w:rsidRDefault="00DD4970" w:rsidP="00DD4970">
            <w:pPr>
              <w:numPr>
                <w:ilvl w:val="0"/>
                <w:numId w:val="181"/>
              </w:numPr>
              <w:spacing w:after="0"/>
              <w:jc w:val="left"/>
              <w:rPr>
                <w:rFonts w:asciiTheme="minorHAnsi" w:hAnsiTheme="minorHAnsi" w:cstheme="minorHAnsi"/>
                <w:bCs/>
                <w:sz w:val="20"/>
              </w:rPr>
            </w:pPr>
            <w:r w:rsidRPr="00DD4970">
              <w:rPr>
                <w:rFonts w:asciiTheme="minorHAnsi" w:hAnsiTheme="minorHAnsi" w:cstheme="minorHAnsi"/>
                <w:b/>
                <w:bCs/>
                <w:sz w:val="20"/>
              </w:rPr>
              <w:t>Rola Konwentu Dyrektorów WUP i Rada Forum Dyrektorów PUP</w:t>
            </w:r>
            <w:r w:rsidRPr="00DD4970">
              <w:rPr>
                <w:rFonts w:asciiTheme="minorHAnsi" w:hAnsiTheme="minorHAnsi" w:cstheme="minorHAnsi"/>
                <w:bCs/>
                <w:sz w:val="20"/>
              </w:rPr>
              <w:t xml:space="preserve">. </w:t>
            </w:r>
          </w:p>
          <w:p w14:paraId="5CE82908" w14:textId="77777777" w:rsidR="00DD4970" w:rsidRPr="00DD4970" w:rsidRDefault="00DD4970" w:rsidP="00DD4970">
            <w:pPr>
              <w:spacing w:after="0"/>
              <w:jc w:val="left"/>
              <w:rPr>
                <w:rFonts w:asciiTheme="minorHAnsi" w:hAnsiTheme="minorHAnsi" w:cstheme="minorHAnsi"/>
                <w:bCs/>
                <w:sz w:val="20"/>
              </w:rPr>
            </w:pPr>
            <w:r w:rsidRPr="00DD4970">
              <w:rPr>
                <w:rFonts w:asciiTheme="minorHAnsi" w:hAnsiTheme="minorHAnsi" w:cstheme="minorHAnsi"/>
                <w:bCs/>
                <w:sz w:val="20"/>
              </w:rPr>
              <w:lastRenderedPageBreak/>
              <w:t>Minister wł. ds. pracy publikuje corocznie na stronie www katalog podstawowych form aktywizacji zawodowej rozumianych jako usługi i instrumenty finansowane ze środków Funduszy Pracy, dla których w danym roku są określane wskaźniki, o których mowa w art. 4 ust. 11 pkt 2 lit b i c ustawy.</w:t>
            </w:r>
          </w:p>
          <w:p w14:paraId="4B641B3B" w14:textId="7FEAAB59" w:rsidR="00DD4970" w:rsidRDefault="00DD4970" w:rsidP="00325D70">
            <w:pPr>
              <w:spacing w:after="0"/>
              <w:jc w:val="left"/>
              <w:rPr>
                <w:rFonts w:asciiTheme="minorHAnsi" w:hAnsiTheme="minorHAnsi" w:cstheme="minorHAnsi"/>
                <w:bCs/>
                <w:sz w:val="20"/>
              </w:rPr>
            </w:pPr>
            <w:r w:rsidRPr="00DD4970">
              <w:rPr>
                <w:rFonts w:asciiTheme="minorHAnsi" w:hAnsiTheme="minorHAnsi" w:cstheme="minorHAnsi"/>
                <w:bCs/>
                <w:sz w:val="20"/>
              </w:rPr>
              <w:t>Opiniowanie planów i sprawozdań Funduszu Pracy należy do kompetencji rad rynku pracy, a monitoring i ocenę polityk rynku pracy realizuje RDS.</w:t>
            </w:r>
          </w:p>
          <w:p w14:paraId="45E6FB59" w14:textId="269BD085" w:rsidR="00B72154" w:rsidRPr="00890249" w:rsidRDefault="00B72154" w:rsidP="00325D70">
            <w:pPr>
              <w:autoSpaceDE w:val="0"/>
              <w:autoSpaceDN w:val="0"/>
              <w:adjustRightInd w:val="0"/>
              <w:jc w:val="left"/>
              <w:rPr>
                <w:rFonts w:asciiTheme="minorHAnsi" w:hAnsiTheme="minorHAnsi" w:cstheme="minorHAnsi"/>
                <w:b/>
                <w:bCs/>
                <w:sz w:val="20"/>
              </w:rPr>
            </w:pPr>
          </w:p>
        </w:tc>
      </w:tr>
      <w:tr w:rsidR="00D52164" w:rsidRPr="00890249" w14:paraId="6F9965B6" w14:textId="77777777" w:rsidTr="00F62734">
        <w:tc>
          <w:tcPr>
            <w:tcW w:w="1560" w:type="dxa"/>
            <w:vMerge/>
          </w:tcPr>
          <w:p w14:paraId="05722BE2"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080A3DC5"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0BF058AE"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1E86C1D6"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32C6F22E"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4</w:t>
            </w:r>
          </w:p>
          <w:p w14:paraId="15459479"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Rozwiązania dotyczące monitorowania, ewaluacji i przeglądu aktywnych polityk rynku pracy</w:t>
            </w:r>
          </w:p>
        </w:tc>
        <w:tc>
          <w:tcPr>
            <w:tcW w:w="1134" w:type="dxa"/>
            <w:vMerge/>
          </w:tcPr>
          <w:p w14:paraId="295D9D8E" w14:textId="77777777" w:rsidR="00D52164" w:rsidRPr="00890249" w:rsidRDefault="00D52164" w:rsidP="00D52164">
            <w:pPr>
              <w:jc w:val="left"/>
              <w:rPr>
                <w:rFonts w:asciiTheme="minorHAnsi" w:hAnsiTheme="minorHAnsi" w:cstheme="minorHAnsi"/>
                <w:noProof/>
                <w:sz w:val="20"/>
              </w:rPr>
            </w:pPr>
          </w:p>
        </w:tc>
        <w:tc>
          <w:tcPr>
            <w:tcW w:w="3402" w:type="dxa"/>
            <w:vMerge/>
          </w:tcPr>
          <w:p w14:paraId="077221E3"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08AB803" w14:textId="77777777" w:rsidR="004F0E7F" w:rsidRPr="00890249" w:rsidRDefault="00875C92" w:rsidP="00325D70">
            <w:pPr>
              <w:autoSpaceDE w:val="0"/>
              <w:autoSpaceDN w:val="0"/>
              <w:adjustRightInd w:val="0"/>
              <w:spacing w:after="0"/>
              <w:jc w:val="left"/>
              <w:rPr>
                <w:rFonts w:asciiTheme="minorHAnsi" w:hAnsiTheme="minorHAnsi" w:cstheme="minorHAnsi"/>
                <w:b/>
                <w:bCs/>
                <w:sz w:val="20"/>
              </w:rPr>
            </w:pPr>
            <w:r w:rsidRPr="00890249">
              <w:rPr>
                <w:rFonts w:asciiTheme="minorHAnsi" w:hAnsiTheme="minorHAnsi" w:cstheme="minorHAnsi"/>
                <w:b/>
                <w:bCs/>
                <w:sz w:val="20"/>
              </w:rPr>
              <w:t>Kryterium 4. Spełnione</w:t>
            </w:r>
          </w:p>
          <w:p w14:paraId="7258B642" w14:textId="77777777" w:rsidR="00DD4970" w:rsidRPr="00F62734" w:rsidRDefault="00DD4970" w:rsidP="00DD4970">
            <w:pPr>
              <w:autoSpaceDE w:val="0"/>
              <w:autoSpaceDN w:val="0"/>
              <w:adjustRightInd w:val="0"/>
              <w:spacing w:after="0"/>
              <w:rPr>
                <w:rFonts w:ascii="Calibri" w:hAnsi="Calibri" w:cs="Calibri"/>
                <w:sz w:val="20"/>
              </w:rPr>
            </w:pPr>
            <w:r w:rsidRPr="00F62734">
              <w:rPr>
                <w:rFonts w:ascii="Calibri" w:hAnsi="Calibri" w:cs="Calibri"/>
                <w:sz w:val="20"/>
              </w:rPr>
              <w:t xml:space="preserve">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w:t>
            </w:r>
            <w:r w:rsidRPr="00F62734">
              <w:rPr>
                <w:rFonts w:ascii="Calibri" w:hAnsi="Calibri" w:cs="Calibri"/>
                <w:sz w:val="20"/>
              </w:rPr>
              <w:lastRenderedPageBreak/>
              <w:t>finansowanych z Funduszu Pracy. Kluczowe mierniki to efektywność zatrudnieniowa i kosztowa.</w:t>
            </w:r>
          </w:p>
          <w:p w14:paraId="478A442A" w14:textId="77AE66F3" w:rsidR="00DD4970" w:rsidRPr="00F62734" w:rsidRDefault="00DD4970" w:rsidP="00F62734">
            <w:pPr>
              <w:autoSpaceDE w:val="0"/>
              <w:autoSpaceDN w:val="0"/>
              <w:adjustRightInd w:val="0"/>
              <w:spacing w:after="0"/>
              <w:rPr>
                <w:rFonts w:ascii="Calibri" w:hAnsi="Calibri" w:cs="Calibri"/>
                <w:sz w:val="20"/>
              </w:rPr>
            </w:pPr>
            <w:r w:rsidRPr="00F62734">
              <w:rPr>
                <w:rFonts w:ascii="Calibri" w:hAnsi="Calibri" w:cs="Calibri"/>
                <w:sz w:val="20"/>
              </w:rPr>
              <w:t xml:space="preserve">W ramach POWER 2014-2020 zrealizowany został projekt „Wypracowanie metodologii i wdrożenie monitorowania efektywności zatrudnieniowej podstawowych form aktywizacji zawodowe bezrobotnych w okresie dłuższym niż 12 miesięcy od zakończenia działań urzędu pracy". </w:t>
            </w:r>
          </w:p>
          <w:p w14:paraId="0B9BB5C8" w14:textId="3A08DD81" w:rsidR="00D52164" w:rsidRPr="00890249" w:rsidRDefault="00D52164" w:rsidP="00325D70">
            <w:pPr>
              <w:autoSpaceDE w:val="0"/>
              <w:autoSpaceDN w:val="0"/>
              <w:adjustRightInd w:val="0"/>
              <w:jc w:val="left"/>
              <w:rPr>
                <w:rFonts w:asciiTheme="minorHAnsi" w:hAnsiTheme="minorHAnsi" w:cstheme="minorHAnsi"/>
                <w:sz w:val="20"/>
              </w:rPr>
            </w:pPr>
          </w:p>
        </w:tc>
      </w:tr>
      <w:tr w:rsidR="00D52164" w:rsidRPr="00890249" w14:paraId="671D09CC" w14:textId="77777777" w:rsidTr="00F62734">
        <w:tc>
          <w:tcPr>
            <w:tcW w:w="1560" w:type="dxa"/>
            <w:vMerge/>
          </w:tcPr>
          <w:p w14:paraId="6ADFEFD3"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2C006378"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25F4C923"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3AD515B0"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1BADCFD7"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5</w:t>
            </w:r>
          </w:p>
          <w:p w14:paraId="760B28D8"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sz w:val="20"/>
              </w:rPr>
              <w:t xml:space="preserve">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t>
            </w:r>
            <w:r w:rsidRPr="00890249">
              <w:rPr>
                <w:rFonts w:asciiTheme="minorHAnsi" w:hAnsiTheme="minorHAnsi" w:cstheme="minorHAnsi"/>
                <w:sz w:val="20"/>
              </w:rPr>
              <w:lastRenderedPageBreak/>
              <w:t>wysokiej jakości przygotowania zawodowego i staży, w tym w kontekście realizacji programów gwarancji dla młodzieży</w:t>
            </w:r>
          </w:p>
        </w:tc>
        <w:tc>
          <w:tcPr>
            <w:tcW w:w="1134" w:type="dxa"/>
            <w:vMerge/>
          </w:tcPr>
          <w:p w14:paraId="252ADA16" w14:textId="77777777" w:rsidR="00D52164" w:rsidRPr="00890249" w:rsidRDefault="00D52164" w:rsidP="00D52164">
            <w:pPr>
              <w:jc w:val="left"/>
              <w:rPr>
                <w:rFonts w:asciiTheme="minorHAnsi" w:hAnsiTheme="minorHAnsi" w:cstheme="minorHAnsi"/>
                <w:noProof/>
                <w:sz w:val="20"/>
              </w:rPr>
            </w:pPr>
          </w:p>
        </w:tc>
        <w:tc>
          <w:tcPr>
            <w:tcW w:w="3402" w:type="dxa"/>
            <w:vMerge/>
          </w:tcPr>
          <w:p w14:paraId="77FD3BF4"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8F20829" w14:textId="77777777" w:rsidR="004F0E7F"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Kryterium 5. Spełnione</w:t>
            </w:r>
          </w:p>
          <w:p w14:paraId="5A9D945F" w14:textId="77777777" w:rsidR="003B2713" w:rsidRPr="003B2713" w:rsidRDefault="003B2713" w:rsidP="003B2713">
            <w:pPr>
              <w:spacing w:before="0" w:after="0" w:line="276" w:lineRule="auto"/>
              <w:jc w:val="left"/>
              <w:rPr>
                <w:sz w:val="20"/>
                <w:lang w:eastAsia="en-US" w:bidi="ar-SA"/>
              </w:rPr>
            </w:pPr>
            <w:r w:rsidRPr="003B2713">
              <w:rPr>
                <w:sz w:val="20"/>
                <w:lang w:eastAsia="en-US" w:bidi="ar-SA"/>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6A51ECA2" w14:textId="77777777" w:rsidR="003B2713" w:rsidRPr="003B2713" w:rsidRDefault="003B2713" w:rsidP="003B2713">
            <w:pPr>
              <w:spacing w:before="0" w:after="0" w:line="276" w:lineRule="auto"/>
              <w:jc w:val="left"/>
              <w:rPr>
                <w:sz w:val="20"/>
                <w:lang w:eastAsia="en-US" w:bidi="ar-SA"/>
              </w:rPr>
            </w:pPr>
            <w:r w:rsidRPr="003B2713">
              <w:rPr>
                <w:sz w:val="20"/>
                <w:lang w:eastAsia="en-US" w:bidi="ar-SA"/>
              </w:rPr>
              <w:lastRenderedPageBreak/>
              <w:t>(1)</w:t>
            </w:r>
            <w:r w:rsidRPr="003B2713">
              <w:rPr>
                <w:sz w:val="20"/>
                <w:lang w:eastAsia="en-US" w:bidi="ar-SA"/>
              </w:rPr>
              <w:tab/>
              <w:t xml:space="preserve">Osoby w wieku 15–17 lat, które porzucają naukę lub zaniedbują obowiązek szkolny lub edukację; </w:t>
            </w:r>
          </w:p>
          <w:p w14:paraId="63EFE0CF" w14:textId="77777777" w:rsidR="003B2713" w:rsidRPr="003B2713" w:rsidRDefault="003B2713" w:rsidP="003B2713">
            <w:pPr>
              <w:spacing w:before="0" w:after="0" w:line="276" w:lineRule="auto"/>
              <w:jc w:val="left"/>
              <w:rPr>
                <w:sz w:val="20"/>
                <w:lang w:eastAsia="en-US" w:bidi="ar-SA"/>
              </w:rPr>
            </w:pPr>
            <w:r w:rsidRPr="003B2713">
              <w:rPr>
                <w:sz w:val="20"/>
                <w:lang w:eastAsia="en-US" w:bidi="ar-SA"/>
              </w:rPr>
              <w:t>(2)</w:t>
            </w:r>
            <w:r w:rsidRPr="003B2713">
              <w:rPr>
                <w:sz w:val="20"/>
                <w:lang w:eastAsia="en-US" w:bidi="ar-SA"/>
              </w:rPr>
              <w:tab/>
              <w:t xml:space="preserve">Osoby w wieku 18–29 lat: </w:t>
            </w:r>
          </w:p>
          <w:p w14:paraId="04905CDD" w14:textId="77777777" w:rsidR="003B2713" w:rsidRPr="003B2713" w:rsidRDefault="003B2713" w:rsidP="003B2713">
            <w:pPr>
              <w:numPr>
                <w:ilvl w:val="0"/>
                <w:numId w:val="74"/>
              </w:numPr>
              <w:spacing w:before="0" w:after="0" w:line="276" w:lineRule="auto"/>
              <w:contextualSpacing/>
              <w:jc w:val="left"/>
              <w:rPr>
                <w:sz w:val="20"/>
                <w:lang w:eastAsia="en-US" w:bidi="ar-SA"/>
              </w:rPr>
            </w:pPr>
            <w:r w:rsidRPr="003B2713">
              <w:rPr>
                <w:sz w:val="20"/>
                <w:lang w:eastAsia="en-US" w:bidi="ar-SA"/>
              </w:rPr>
              <w:t xml:space="preserve">zarejestrowane jako bezrobotne; </w:t>
            </w:r>
          </w:p>
          <w:p w14:paraId="314740D6" w14:textId="77777777" w:rsidR="003B2713" w:rsidRPr="003B2713" w:rsidRDefault="003B2713" w:rsidP="003B2713">
            <w:pPr>
              <w:numPr>
                <w:ilvl w:val="0"/>
                <w:numId w:val="74"/>
              </w:numPr>
              <w:spacing w:before="0" w:after="0" w:line="276" w:lineRule="auto"/>
              <w:contextualSpacing/>
              <w:jc w:val="left"/>
              <w:rPr>
                <w:sz w:val="20"/>
                <w:lang w:eastAsia="en-US" w:bidi="ar-SA"/>
              </w:rPr>
            </w:pPr>
            <w:r w:rsidRPr="003B2713">
              <w:rPr>
                <w:sz w:val="20"/>
                <w:lang w:eastAsia="en-US" w:bidi="ar-SA"/>
              </w:rPr>
              <w:t xml:space="preserve">młodzież NEET; </w:t>
            </w:r>
          </w:p>
          <w:p w14:paraId="158F0E36" w14:textId="77777777" w:rsidR="003B2713" w:rsidRPr="003B2713" w:rsidRDefault="003B2713" w:rsidP="003B2713">
            <w:pPr>
              <w:numPr>
                <w:ilvl w:val="0"/>
                <w:numId w:val="74"/>
              </w:numPr>
              <w:spacing w:before="0" w:after="0" w:line="276" w:lineRule="auto"/>
              <w:contextualSpacing/>
              <w:jc w:val="left"/>
              <w:rPr>
                <w:sz w:val="20"/>
                <w:lang w:eastAsia="en-US" w:bidi="ar-SA"/>
              </w:rPr>
            </w:pPr>
            <w:r w:rsidRPr="003B2713">
              <w:rPr>
                <w:sz w:val="20"/>
                <w:lang w:eastAsia="en-US" w:bidi="ar-SA"/>
              </w:rPr>
              <w:t xml:space="preserve">osoby bezrobotne lub poszukujące pracy, osoby kończące naukę lub absolwenci uczelni wyższych; </w:t>
            </w:r>
          </w:p>
          <w:p w14:paraId="2C20F77F" w14:textId="77777777" w:rsidR="003B2713" w:rsidRPr="003B2713" w:rsidRDefault="003B2713" w:rsidP="003B2713">
            <w:pPr>
              <w:spacing w:before="0" w:after="0" w:line="276" w:lineRule="auto"/>
              <w:jc w:val="left"/>
              <w:rPr>
                <w:sz w:val="20"/>
                <w:lang w:eastAsia="en-US" w:bidi="ar-SA"/>
              </w:rPr>
            </w:pPr>
            <w:r w:rsidRPr="003B2713">
              <w:rPr>
                <w:sz w:val="20"/>
                <w:lang w:eastAsia="en-US" w:bidi="ar-SA"/>
              </w:rPr>
              <w:t>(3)</w:t>
            </w:r>
            <w:r w:rsidRPr="003B2713">
              <w:rPr>
                <w:sz w:val="20"/>
                <w:lang w:eastAsia="en-US" w:bidi="ar-SA"/>
              </w:rPr>
              <w:tab/>
              <w:t xml:space="preserve">Osoby, które opuściły opiekę zastępczą;  </w:t>
            </w:r>
          </w:p>
          <w:p w14:paraId="07C3A0BA" w14:textId="77777777" w:rsidR="003B2713" w:rsidRPr="003B2713" w:rsidRDefault="003B2713" w:rsidP="003B2713">
            <w:pPr>
              <w:spacing w:before="0" w:after="0" w:line="276" w:lineRule="auto"/>
              <w:jc w:val="left"/>
              <w:rPr>
                <w:sz w:val="20"/>
                <w:lang w:eastAsia="en-US" w:bidi="ar-SA"/>
              </w:rPr>
            </w:pPr>
            <w:r w:rsidRPr="003B2713">
              <w:rPr>
                <w:sz w:val="20"/>
                <w:lang w:eastAsia="en-US" w:bidi="ar-SA"/>
              </w:rPr>
              <w:t>(4)</w:t>
            </w:r>
            <w:r w:rsidRPr="003B2713">
              <w:rPr>
                <w:sz w:val="20"/>
                <w:lang w:eastAsia="en-US" w:bidi="ar-SA"/>
              </w:rPr>
              <w:tab/>
              <w:t>Kobiety poniżej 30 roku życia wychowujące dzieci.</w:t>
            </w:r>
          </w:p>
          <w:p w14:paraId="3DD0B470" w14:textId="3BA5BDC1" w:rsidR="003B2713" w:rsidRPr="00F62734" w:rsidRDefault="003B2713" w:rsidP="00F62734">
            <w:pPr>
              <w:spacing w:before="0" w:after="0" w:line="276" w:lineRule="auto"/>
              <w:jc w:val="left"/>
              <w:rPr>
                <w:sz w:val="20"/>
                <w:lang w:eastAsia="en-US" w:bidi="ar-SA"/>
              </w:rPr>
            </w:pPr>
            <w:r w:rsidRPr="003B2713">
              <w:rPr>
                <w:sz w:val="20"/>
                <w:lang w:eastAsia="en-US" w:bidi="ar-SA"/>
              </w:rPr>
              <w:t>W Planie zawarto priorytety wsparcia np. wysoka jakość ofert, w tym staży, jako kluczowych form aktywizacji osób młodych i rozwoju ich umiejętności. Standardy jakości staży, obowiązujące przy wdrażaniu GdM regulowane są ustawą o promocji zatrudnienia (</w:t>
            </w:r>
            <w:r w:rsidRPr="003B2713">
              <w:rPr>
                <w:color w:val="FF0000"/>
                <w:sz w:val="20"/>
                <w:szCs w:val="22"/>
                <w:lang w:eastAsia="en-US" w:bidi="ar-SA"/>
              </w:rPr>
              <w:t xml:space="preserve">Dz.U. </w:t>
            </w:r>
            <w:r w:rsidRPr="003B2713">
              <w:rPr>
                <w:color w:val="FF0000"/>
                <w:sz w:val="20"/>
                <w:lang w:eastAsia="en-US" w:bidi="ar-SA"/>
              </w:rPr>
              <w:t>z 2024 r. poz.475</w:t>
            </w:r>
            <w:r w:rsidRPr="003B2713">
              <w:rPr>
                <w:sz w:val="20"/>
                <w:lang w:eastAsia="en-US" w:bidi="ar-SA"/>
              </w:rPr>
              <w:t xml:space="preserve">) i rozp. MPiPS z 20.08.2009 w sprawie </w:t>
            </w:r>
            <w:r w:rsidRPr="003B2713">
              <w:rPr>
                <w:sz w:val="20"/>
                <w:lang w:eastAsia="en-US" w:bidi="ar-SA"/>
              </w:rPr>
              <w:lastRenderedPageBreak/>
              <w:t>szczegółowych warunków odbywania stażu przez bezrobotnych (Dz.U.z2009r.poz.1160).</w:t>
            </w:r>
          </w:p>
          <w:p w14:paraId="14FA7311" w14:textId="7BB1EFCE" w:rsidR="00B72154" w:rsidRPr="00890249" w:rsidRDefault="00B72154" w:rsidP="00325D70">
            <w:pPr>
              <w:jc w:val="left"/>
              <w:rPr>
                <w:rFonts w:asciiTheme="minorHAnsi" w:hAnsiTheme="minorHAnsi" w:cstheme="minorHAnsi"/>
                <w:sz w:val="20"/>
              </w:rPr>
            </w:pPr>
          </w:p>
        </w:tc>
      </w:tr>
      <w:tr w:rsidR="00D52164" w:rsidRPr="00890249" w14:paraId="62D40710" w14:textId="77777777" w:rsidTr="00F62734">
        <w:tc>
          <w:tcPr>
            <w:tcW w:w="1560" w:type="dxa"/>
            <w:vMerge w:val="restart"/>
          </w:tcPr>
          <w:p w14:paraId="600DC0E8" w14:textId="77777777" w:rsidR="00D52164" w:rsidRPr="00890249" w:rsidRDefault="00D52164" w:rsidP="00D52164">
            <w:pPr>
              <w:jc w:val="left"/>
              <w:rPr>
                <w:rFonts w:asciiTheme="minorHAnsi" w:eastAsia="Times New Roman" w:hAnsiTheme="minorHAnsi" w:cstheme="minorHAnsi"/>
                <w:iCs/>
                <w:noProof/>
                <w:sz w:val="20"/>
              </w:rPr>
            </w:pPr>
            <w:r w:rsidRPr="00890249">
              <w:rPr>
                <w:rFonts w:asciiTheme="minorHAnsi" w:hAnsiTheme="minorHAnsi" w:cstheme="minorHAnsi"/>
                <w:sz w:val="20"/>
              </w:rPr>
              <w:lastRenderedPageBreak/>
              <w:t>4.2.Krajowe ramy strategiczne na rzecz równouprawnienia płci</w:t>
            </w:r>
          </w:p>
        </w:tc>
        <w:tc>
          <w:tcPr>
            <w:tcW w:w="709" w:type="dxa"/>
            <w:vMerge w:val="restart"/>
          </w:tcPr>
          <w:p w14:paraId="0AAE7068"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EFRR</w:t>
            </w:r>
          </w:p>
          <w:p w14:paraId="611AFD60"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EFS+</w:t>
            </w:r>
          </w:p>
          <w:p w14:paraId="63774389" w14:textId="77777777" w:rsidR="00D52164" w:rsidRPr="00890249" w:rsidRDefault="00D52164" w:rsidP="00D52164">
            <w:pPr>
              <w:jc w:val="left"/>
              <w:rPr>
                <w:rFonts w:asciiTheme="minorHAnsi" w:hAnsiTheme="minorHAnsi" w:cstheme="minorHAnsi"/>
                <w:sz w:val="20"/>
              </w:rPr>
            </w:pPr>
          </w:p>
        </w:tc>
        <w:tc>
          <w:tcPr>
            <w:tcW w:w="1843" w:type="dxa"/>
            <w:vMerge w:val="restart"/>
          </w:tcPr>
          <w:p w14:paraId="7166BBAE"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EFRR</w:t>
            </w:r>
          </w:p>
          <w:p w14:paraId="0D3AE50B"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Poprawa skuteczności i poziomu włączenia społecznego rynków pracy oraz dostępu do wysokiej jakości zatrudnienia poprzez rozwój infrastruktury społecznej i promowanie ekonomii społecznej</w:t>
            </w:r>
          </w:p>
          <w:p w14:paraId="2771A0F4" w14:textId="77777777" w:rsidR="00D52164" w:rsidRPr="00890249" w:rsidRDefault="00D52164" w:rsidP="00D52164">
            <w:pPr>
              <w:jc w:val="left"/>
              <w:rPr>
                <w:rFonts w:asciiTheme="minorHAnsi" w:hAnsiTheme="minorHAnsi" w:cstheme="minorHAnsi"/>
                <w:bCs/>
                <w:sz w:val="20"/>
              </w:rPr>
            </w:pPr>
          </w:p>
          <w:p w14:paraId="4D386ED5"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EFS+</w:t>
            </w:r>
          </w:p>
          <w:p w14:paraId="0900B215" w14:textId="77777777" w:rsidR="00D52164" w:rsidRPr="00890249" w:rsidRDefault="00D52164" w:rsidP="00D52164">
            <w:pPr>
              <w:jc w:val="left"/>
              <w:rPr>
                <w:rFonts w:asciiTheme="minorHAnsi" w:hAnsiTheme="minorHAnsi" w:cstheme="minorHAnsi"/>
                <w:bCs/>
                <w:sz w:val="20"/>
                <w:highlight w:val="yellow"/>
              </w:rPr>
            </w:pPr>
            <w:r w:rsidRPr="00890249">
              <w:rPr>
                <w:rFonts w:asciiTheme="minorHAnsi" w:hAnsiTheme="minorHAnsi" w:cstheme="minorHAnsi"/>
                <w:bCs/>
                <w:sz w:val="20"/>
              </w:rPr>
              <w:t xml:space="preserve">Wspieranie zrównoważonego </w:t>
            </w:r>
            <w:r w:rsidRPr="00890249">
              <w:rPr>
                <w:rFonts w:asciiTheme="minorHAnsi" w:hAnsiTheme="minorHAnsi" w:cstheme="minorHAnsi"/>
                <w:bCs/>
                <w:sz w:val="20"/>
              </w:rPr>
              <w:lastRenderedPageBreak/>
              <w:t>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559" w:type="dxa"/>
            <w:vMerge w:val="restart"/>
          </w:tcPr>
          <w:p w14:paraId="7ABC74CA" w14:textId="7449B5C8" w:rsidR="00D52164" w:rsidRPr="00890249" w:rsidRDefault="00B14BC8"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Tak</w:t>
            </w:r>
          </w:p>
        </w:tc>
        <w:tc>
          <w:tcPr>
            <w:tcW w:w="2551" w:type="dxa"/>
          </w:tcPr>
          <w:p w14:paraId="2AD96D2F"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 xml:space="preserve">Istnienie krajowych ram strategicznych polityki na rzecz równouprawnienia płci, które obejmują: </w:t>
            </w:r>
          </w:p>
          <w:p w14:paraId="723E6B07"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1</w:t>
            </w:r>
          </w:p>
          <w:p w14:paraId="5F9CEC45"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Identyfikacja w oparciu o rzetelne podstawy wyzwań związanych z równouprawnienie płci</w:t>
            </w:r>
          </w:p>
        </w:tc>
        <w:tc>
          <w:tcPr>
            <w:tcW w:w="1134" w:type="dxa"/>
            <w:vMerge w:val="restart"/>
          </w:tcPr>
          <w:p w14:paraId="2220EF4E" w14:textId="4ACFB4EA" w:rsidR="00D52164" w:rsidRPr="00890249" w:rsidRDefault="00B14BC8" w:rsidP="00D52164">
            <w:pPr>
              <w:jc w:val="left"/>
              <w:rPr>
                <w:rFonts w:asciiTheme="minorHAnsi" w:hAnsiTheme="minorHAnsi" w:cstheme="minorHAnsi"/>
                <w:noProof/>
                <w:sz w:val="20"/>
              </w:rPr>
            </w:pPr>
            <w:r>
              <w:rPr>
                <w:rFonts w:asciiTheme="minorHAnsi" w:hAnsiTheme="minorHAnsi" w:cstheme="minorHAnsi"/>
                <w:noProof/>
                <w:sz w:val="20"/>
              </w:rPr>
              <w:t>Tak</w:t>
            </w:r>
          </w:p>
        </w:tc>
        <w:tc>
          <w:tcPr>
            <w:tcW w:w="3402" w:type="dxa"/>
            <w:vMerge w:val="restart"/>
          </w:tcPr>
          <w:p w14:paraId="0F7F1150" w14:textId="77777777" w:rsidR="00B14BC8" w:rsidRPr="00B14BC8" w:rsidRDefault="00B14BC8" w:rsidP="00B14BC8">
            <w:pPr>
              <w:jc w:val="left"/>
              <w:rPr>
                <w:rFonts w:asciiTheme="minorHAnsi" w:hAnsiTheme="minorHAnsi" w:cstheme="minorHAnsi"/>
                <w:bCs/>
                <w:sz w:val="20"/>
              </w:rPr>
            </w:pPr>
            <w:r w:rsidRPr="00B14BC8">
              <w:rPr>
                <w:rFonts w:asciiTheme="minorHAnsi" w:hAnsiTheme="minorHAnsi" w:cstheme="minorHAnsi"/>
                <w:bCs/>
                <w:sz w:val="20"/>
              </w:rPr>
              <w:t>Spełnieniem warunku jest przyjęty przez Radę Ministrów 24 maja 2022 r. Krajowy Program Działań na Rzecz Równego Traktowania na lata 2022-2030 (KPDRT).KPDRT obejmuje następujące priorytety: Polityka antydyskryminacyjna, Praca i zabezpieczenia społeczne, Edukacja, Zdrowie, Dostęp do dóbr i usług, Budowanie świadomości, Gromadzenie danych i badania, Koordynacja.</w:t>
            </w:r>
          </w:p>
          <w:p w14:paraId="49C3C3B0" w14:textId="737E1A2F" w:rsidR="00B14BC8" w:rsidRPr="00B14BC8" w:rsidRDefault="00B14BC8" w:rsidP="00B14BC8">
            <w:pPr>
              <w:jc w:val="left"/>
              <w:rPr>
                <w:rFonts w:asciiTheme="minorHAnsi" w:hAnsiTheme="minorHAnsi" w:cstheme="minorHAnsi"/>
                <w:bCs/>
                <w:sz w:val="20"/>
              </w:rPr>
            </w:pPr>
            <w:r w:rsidRPr="00B14BC8">
              <w:rPr>
                <w:rFonts w:asciiTheme="minorHAnsi" w:hAnsiTheme="minorHAnsi" w:cstheme="minorHAnsi"/>
                <w:bCs/>
                <w:sz w:val="20"/>
              </w:rPr>
              <w:t xml:space="preserve">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w:t>
            </w:r>
            <w:r w:rsidRPr="00B14BC8">
              <w:rPr>
                <w:rFonts w:asciiTheme="minorHAnsi" w:hAnsiTheme="minorHAnsi" w:cstheme="minorHAnsi"/>
                <w:bCs/>
                <w:sz w:val="20"/>
              </w:rPr>
              <w:lastRenderedPageBreak/>
              <w:t>projekcie Strategii na Rzecz Osób z Niepełnosprawnościami 2020-2030, Krajowym Programie Przeciwdziałania Ubóstwu i Wykluczeniu Społecznemu, Krajowym Programie Przeciwdziałania Przemocy w Rodzinie na rok 2022, Programie integracji społecznej i obywatelskiej Romów w Polsce na lata 2021-2030.</w:t>
            </w:r>
          </w:p>
          <w:p w14:paraId="763716D8" w14:textId="77777777" w:rsidR="00B14BC8" w:rsidRPr="00B14BC8" w:rsidRDefault="00B14BC8" w:rsidP="00B14BC8">
            <w:pPr>
              <w:jc w:val="left"/>
              <w:rPr>
                <w:rFonts w:asciiTheme="minorHAnsi" w:hAnsiTheme="minorHAnsi" w:cstheme="minorHAnsi"/>
                <w:b/>
                <w:bCs/>
                <w:sz w:val="20"/>
              </w:rPr>
            </w:pPr>
            <w:r w:rsidRPr="00B14BC8">
              <w:rPr>
                <w:rFonts w:asciiTheme="minorHAnsi" w:hAnsiTheme="minorHAnsi" w:cstheme="minorHAnsi"/>
                <w:b/>
                <w:bCs/>
                <w:sz w:val="20"/>
              </w:rPr>
              <w:t xml:space="preserve">Link do dokumentu : </w:t>
            </w:r>
          </w:p>
          <w:p w14:paraId="1D7A2560" w14:textId="72800949" w:rsidR="00B14BC8" w:rsidRDefault="00B14BC8" w:rsidP="00D52164">
            <w:pPr>
              <w:jc w:val="left"/>
              <w:rPr>
                <w:rFonts w:asciiTheme="minorHAnsi" w:hAnsiTheme="minorHAnsi" w:cstheme="minorHAnsi"/>
                <w:bCs/>
                <w:sz w:val="20"/>
              </w:rPr>
            </w:pPr>
            <w:hyperlink w:history="1">
              <w:r w:rsidRPr="00B14BC8">
                <w:rPr>
                  <w:rStyle w:val="Hipercze"/>
                  <w:rFonts w:asciiTheme="minorHAnsi" w:hAnsiTheme="minorHAnsi" w:cstheme="minorHAnsi"/>
                  <w:b/>
                  <w:bCs/>
                  <w:sz w:val="20"/>
                </w:rPr>
                <w:t>https://monitorpolski.gov.pl/MP/2022/640</w:t>
              </w:r>
            </w:hyperlink>
          </w:p>
          <w:p w14:paraId="18A462C4" w14:textId="751075EC" w:rsidR="006A3F65" w:rsidRPr="006A3F65" w:rsidRDefault="006A3F65" w:rsidP="006A3F65">
            <w:pPr>
              <w:jc w:val="left"/>
              <w:rPr>
                <w:rFonts w:asciiTheme="minorHAnsi" w:hAnsiTheme="minorHAnsi" w:cstheme="minorHAnsi"/>
                <w:b/>
                <w:bCs/>
                <w:sz w:val="20"/>
              </w:rPr>
            </w:pPr>
            <w:r>
              <w:rPr>
                <w:rFonts w:asciiTheme="minorHAnsi" w:hAnsiTheme="minorHAnsi" w:cstheme="minorHAnsi"/>
                <w:b/>
                <w:bCs/>
                <w:sz w:val="20"/>
              </w:rPr>
              <w:t>K</w:t>
            </w:r>
            <w:r w:rsidRPr="006A3F65">
              <w:rPr>
                <w:rFonts w:asciiTheme="minorHAnsi" w:hAnsiTheme="minorHAnsi" w:cstheme="minorHAnsi"/>
                <w:b/>
                <w:bCs/>
                <w:sz w:val="20"/>
              </w:rPr>
              <w:t>ryterium 1</w:t>
            </w:r>
          </w:p>
          <w:p w14:paraId="756DAAA7" w14:textId="77777777" w:rsidR="006A3F65" w:rsidRPr="006A3F65" w:rsidRDefault="006A3F65" w:rsidP="006A3F65">
            <w:pPr>
              <w:jc w:val="left"/>
              <w:rPr>
                <w:rFonts w:asciiTheme="minorHAnsi" w:hAnsiTheme="minorHAnsi" w:cstheme="minorHAnsi"/>
                <w:b/>
                <w:bCs/>
                <w:sz w:val="20"/>
              </w:rPr>
            </w:pPr>
            <w:r w:rsidRPr="006A3F65">
              <w:rPr>
                <w:rFonts w:asciiTheme="minorHAnsi" w:hAnsiTheme="minorHAnsi" w:cstheme="minorHAnsi"/>
                <w:b/>
                <w:bCs/>
                <w:sz w:val="20"/>
              </w:rPr>
              <w:t xml:space="preserve">Link do dokumentów : </w:t>
            </w:r>
          </w:p>
          <w:p w14:paraId="1BD26C85" w14:textId="5A562488" w:rsidR="006A3F65" w:rsidRPr="006A3F65" w:rsidRDefault="006A3F65" w:rsidP="006A3F65">
            <w:pPr>
              <w:jc w:val="left"/>
              <w:rPr>
                <w:rFonts w:asciiTheme="minorHAnsi" w:hAnsiTheme="minorHAnsi" w:cstheme="minorHAnsi"/>
                <w:b/>
                <w:bCs/>
                <w:sz w:val="20"/>
              </w:rPr>
            </w:pPr>
            <w:r w:rsidRPr="006A3F65">
              <w:rPr>
                <w:rFonts w:asciiTheme="minorHAnsi" w:hAnsiTheme="minorHAnsi" w:cstheme="minorHAnsi"/>
                <w:b/>
                <w:bCs/>
                <w:sz w:val="20"/>
              </w:rPr>
              <w:t xml:space="preserve">Krajowy Program Działań na Rzecz Równego Traktowania na lata 2022-2030 </w:t>
            </w:r>
            <w:hyperlink w:history="1">
              <w:r w:rsidRPr="006A3F65">
                <w:rPr>
                  <w:rStyle w:val="Hipercze"/>
                  <w:rFonts w:asciiTheme="minorHAnsi" w:hAnsiTheme="minorHAnsi" w:cstheme="minorHAnsi"/>
                  <w:b/>
                  <w:bCs/>
                  <w:sz w:val="20"/>
                </w:rPr>
                <w:t>https://monitorpolski.gov.pl/MP/2022/640</w:t>
              </w:r>
            </w:hyperlink>
            <w:r w:rsidRPr="006A3F65">
              <w:rPr>
                <w:rFonts w:asciiTheme="minorHAnsi" w:hAnsiTheme="minorHAnsi" w:cstheme="minorHAnsi"/>
                <w:b/>
                <w:bCs/>
                <w:sz w:val="20"/>
              </w:rPr>
              <w:t xml:space="preserve"> </w:t>
            </w:r>
          </w:p>
          <w:p w14:paraId="7299F564" w14:textId="77777777" w:rsidR="006A3F65" w:rsidRPr="006A3F65" w:rsidRDefault="006A3F65" w:rsidP="006A3F65">
            <w:pPr>
              <w:jc w:val="left"/>
              <w:rPr>
                <w:rFonts w:asciiTheme="minorHAnsi" w:hAnsiTheme="minorHAnsi" w:cstheme="minorHAnsi"/>
                <w:b/>
                <w:bCs/>
                <w:sz w:val="20"/>
              </w:rPr>
            </w:pPr>
            <w:r w:rsidRPr="006A3F65">
              <w:rPr>
                <w:rFonts w:asciiTheme="minorHAnsi" w:hAnsiTheme="minorHAnsi" w:cstheme="minorHAnsi"/>
                <w:b/>
                <w:bCs/>
                <w:sz w:val="20"/>
              </w:rPr>
              <w:t>Ustawa z dnia 29 lipca 2005 r. o przeciwdziałaniu przemocy domowej (t.j. Dz.U. z 2024 r. poz. 424) i Rządowy Program Przeciwdziałania Przemocy Domowej na lata 2024-2030 (M.P. z 2023 r. poz. 1232, z 2024 r. poz. 823):</w:t>
            </w:r>
          </w:p>
          <w:p w14:paraId="1767FDAF" w14:textId="77777777" w:rsidR="006A3F65" w:rsidRPr="006A3F65" w:rsidRDefault="006A3F65" w:rsidP="006A3F65">
            <w:pPr>
              <w:jc w:val="left"/>
              <w:rPr>
                <w:rFonts w:asciiTheme="minorHAnsi" w:hAnsiTheme="minorHAnsi" w:cstheme="minorHAnsi"/>
                <w:b/>
                <w:bCs/>
                <w:sz w:val="20"/>
              </w:rPr>
            </w:pPr>
            <w:hyperlink r:id="rId130" w:history="1">
              <w:r w:rsidRPr="006A3F65">
                <w:rPr>
                  <w:rStyle w:val="Hipercze"/>
                  <w:rFonts w:asciiTheme="minorHAnsi" w:hAnsiTheme="minorHAnsi" w:cstheme="minorHAnsi"/>
                  <w:b/>
                  <w:bCs/>
                  <w:sz w:val="20"/>
                </w:rPr>
                <w:t>https://dziennikustaw.gov.pl/DU/rok/2024/pozycja/424</w:t>
              </w:r>
            </w:hyperlink>
          </w:p>
          <w:p w14:paraId="0B7BDBE6" w14:textId="77777777" w:rsidR="006A3F65" w:rsidRPr="006A3F65" w:rsidRDefault="006A3F65" w:rsidP="006A3F65">
            <w:pPr>
              <w:jc w:val="left"/>
              <w:rPr>
                <w:rFonts w:asciiTheme="minorHAnsi" w:hAnsiTheme="minorHAnsi" w:cstheme="minorHAnsi"/>
                <w:b/>
                <w:bCs/>
                <w:sz w:val="20"/>
              </w:rPr>
            </w:pPr>
            <w:hyperlink r:id="rId131" w:history="1">
              <w:r w:rsidRPr="006A3F65">
                <w:rPr>
                  <w:rStyle w:val="Hipercze"/>
                  <w:rFonts w:asciiTheme="minorHAnsi" w:hAnsiTheme="minorHAnsi" w:cstheme="minorHAnsi"/>
                  <w:b/>
                  <w:bCs/>
                  <w:sz w:val="20"/>
                </w:rPr>
                <w:t>https://monitorpolski.gov.pl/MP/rok/2023/pozycja/1232</w:t>
              </w:r>
            </w:hyperlink>
          </w:p>
          <w:p w14:paraId="2B921BEE" w14:textId="483F811F" w:rsidR="006A3F65" w:rsidRDefault="006A3F65" w:rsidP="00D52164">
            <w:pPr>
              <w:jc w:val="left"/>
              <w:rPr>
                <w:rFonts w:asciiTheme="minorHAnsi" w:hAnsiTheme="minorHAnsi" w:cstheme="minorHAnsi"/>
                <w:b/>
                <w:bCs/>
                <w:sz w:val="20"/>
              </w:rPr>
            </w:pPr>
            <w:hyperlink r:id="rId132" w:history="1">
              <w:r w:rsidRPr="006A3F65">
                <w:rPr>
                  <w:rStyle w:val="Hipercze"/>
                  <w:rFonts w:asciiTheme="minorHAnsi" w:hAnsiTheme="minorHAnsi" w:cstheme="minorHAnsi"/>
                  <w:b/>
                  <w:bCs/>
                  <w:sz w:val="20"/>
                </w:rPr>
                <w:t>https://monitorpolski.gov.pl/MP/rok/2024/pozycja/823</w:t>
              </w:r>
            </w:hyperlink>
          </w:p>
          <w:p w14:paraId="0D832AFA" w14:textId="131DFDFB" w:rsidR="007070EA" w:rsidRPr="007070EA" w:rsidRDefault="007070EA" w:rsidP="007070EA">
            <w:pPr>
              <w:jc w:val="left"/>
              <w:rPr>
                <w:rFonts w:asciiTheme="minorHAnsi" w:hAnsiTheme="minorHAnsi" w:cstheme="minorHAnsi"/>
                <w:b/>
                <w:bCs/>
                <w:sz w:val="20"/>
              </w:rPr>
            </w:pPr>
            <w:r>
              <w:rPr>
                <w:rFonts w:asciiTheme="minorHAnsi" w:hAnsiTheme="minorHAnsi" w:cstheme="minorHAnsi"/>
                <w:b/>
                <w:bCs/>
                <w:sz w:val="20"/>
              </w:rPr>
              <w:t>Kr</w:t>
            </w:r>
            <w:r w:rsidRPr="007070EA">
              <w:rPr>
                <w:rFonts w:asciiTheme="minorHAnsi" w:hAnsiTheme="minorHAnsi" w:cstheme="minorHAnsi"/>
                <w:b/>
                <w:bCs/>
                <w:sz w:val="20"/>
              </w:rPr>
              <w:t>yterium 2</w:t>
            </w:r>
            <w:r>
              <w:rPr>
                <w:rFonts w:asciiTheme="minorHAnsi" w:hAnsiTheme="minorHAnsi" w:cstheme="minorHAnsi"/>
                <w:b/>
                <w:bCs/>
                <w:sz w:val="20"/>
              </w:rPr>
              <w:t>.</w:t>
            </w:r>
          </w:p>
          <w:p w14:paraId="7C14750F"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 xml:space="preserve">Link do dokumentów: </w:t>
            </w:r>
          </w:p>
          <w:p w14:paraId="37DBC227"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 xml:space="preserve">Krajowy Program Działań na Rzecz Równego Traktowania na lata 2022-2030 </w:t>
            </w:r>
            <w:hyperlink w:history="1">
              <w:r w:rsidRPr="007070EA">
                <w:rPr>
                  <w:rStyle w:val="Hipercze"/>
                  <w:rFonts w:asciiTheme="minorHAnsi" w:hAnsiTheme="minorHAnsi" w:cstheme="minorHAnsi"/>
                  <w:b/>
                  <w:bCs/>
                  <w:sz w:val="20"/>
                </w:rPr>
                <w:t>https://monitorpolski.gov.pl/MP/2022/640</w:t>
              </w:r>
            </w:hyperlink>
            <w:r w:rsidRPr="007070EA">
              <w:rPr>
                <w:rFonts w:asciiTheme="minorHAnsi" w:hAnsiTheme="minorHAnsi" w:cstheme="minorHAnsi"/>
                <w:b/>
                <w:bCs/>
                <w:sz w:val="20"/>
              </w:rPr>
              <w:t xml:space="preserve"> </w:t>
            </w:r>
          </w:p>
          <w:p w14:paraId="220EA321" w14:textId="4430B2FC" w:rsidR="007070EA" w:rsidRPr="007070EA" w:rsidRDefault="007070EA" w:rsidP="007070EA">
            <w:pPr>
              <w:jc w:val="left"/>
              <w:rPr>
                <w:rFonts w:asciiTheme="minorHAnsi" w:hAnsiTheme="minorHAnsi" w:cstheme="minorHAnsi"/>
                <w:b/>
                <w:bCs/>
                <w:sz w:val="20"/>
              </w:rPr>
            </w:pPr>
            <w:r>
              <w:rPr>
                <w:rFonts w:asciiTheme="minorHAnsi" w:hAnsiTheme="minorHAnsi" w:cstheme="minorHAnsi"/>
                <w:b/>
                <w:bCs/>
                <w:sz w:val="20"/>
              </w:rPr>
              <w:t>K</w:t>
            </w:r>
            <w:r w:rsidRPr="007070EA">
              <w:rPr>
                <w:rFonts w:asciiTheme="minorHAnsi" w:hAnsiTheme="minorHAnsi" w:cstheme="minorHAnsi"/>
                <w:b/>
                <w:bCs/>
                <w:sz w:val="20"/>
              </w:rPr>
              <w:t>ryterium 3</w:t>
            </w:r>
            <w:r>
              <w:rPr>
                <w:rFonts w:asciiTheme="minorHAnsi" w:hAnsiTheme="minorHAnsi" w:cstheme="minorHAnsi"/>
                <w:b/>
                <w:bCs/>
                <w:sz w:val="20"/>
              </w:rPr>
              <w:t>.</w:t>
            </w:r>
          </w:p>
          <w:p w14:paraId="2694E78E"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 xml:space="preserve">Link do dokumentów : </w:t>
            </w:r>
          </w:p>
          <w:p w14:paraId="17F7B921" w14:textId="395EDDCA"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 xml:space="preserve">Krajowy Program Działań na Rzecz Równego Traktowania na lata 2022-2030 </w:t>
            </w:r>
            <w:hyperlink w:history="1">
              <w:r w:rsidRPr="007070EA">
                <w:rPr>
                  <w:rStyle w:val="Hipercze"/>
                  <w:rFonts w:asciiTheme="minorHAnsi" w:hAnsiTheme="minorHAnsi" w:cstheme="minorHAnsi"/>
                  <w:b/>
                  <w:bCs/>
                  <w:sz w:val="20"/>
                </w:rPr>
                <w:t>https://monitorpolski.gov.pl/MP/2022/640</w:t>
              </w:r>
            </w:hyperlink>
            <w:r w:rsidRPr="007070EA">
              <w:rPr>
                <w:rFonts w:asciiTheme="minorHAnsi" w:hAnsiTheme="minorHAnsi" w:cstheme="minorHAnsi"/>
                <w:b/>
                <w:bCs/>
                <w:sz w:val="20"/>
              </w:rPr>
              <w:t xml:space="preserve"> </w:t>
            </w:r>
          </w:p>
          <w:p w14:paraId="1585DFF0"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Ustawa z dnia 29 lipca 2005 r. o przeciwdziałaniu przemocy domowej (t.j. Dz.U. z 2024 r. poz. 424) i Rządowy Program Przeciwdziałania Przemocy Domowej na lata 2024-2030 (M.P. z 2023 r. poz. 1232, z 2024 r. poz. 823):</w:t>
            </w:r>
          </w:p>
          <w:p w14:paraId="4BECAF76" w14:textId="77777777" w:rsidR="007070EA" w:rsidRPr="007070EA" w:rsidRDefault="007070EA" w:rsidP="007070EA">
            <w:pPr>
              <w:jc w:val="left"/>
              <w:rPr>
                <w:rFonts w:asciiTheme="minorHAnsi" w:hAnsiTheme="minorHAnsi" w:cstheme="minorHAnsi"/>
                <w:b/>
                <w:bCs/>
                <w:sz w:val="20"/>
              </w:rPr>
            </w:pPr>
            <w:hyperlink r:id="rId133" w:history="1">
              <w:r w:rsidRPr="007070EA">
                <w:rPr>
                  <w:rStyle w:val="Hipercze"/>
                  <w:rFonts w:asciiTheme="minorHAnsi" w:hAnsiTheme="minorHAnsi" w:cstheme="minorHAnsi"/>
                  <w:b/>
                  <w:bCs/>
                  <w:sz w:val="20"/>
                </w:rPr>
                <w:t>https://dziennikustaw.gov.pl/DU/rok/2024/pozycja/424</w:t>
              </w:r>
            </w:hyperlink>
          </w:p>
          <w:p w14:paraId="52142153" w14:textId="77777777" w:rsidR="007070EA" w:rsidRPr="007070EA" w:rsidRDefault="007070EA" w:rsidP="007070EA">
            <w:pPr>
              <w:jc w:val="left"/>
              <w:rPr>
                <w:rFonts w:asciiTheme="minorHAnsi" w:hAnsiTheme="minorHAnsi" w:cstheme="minorHAnsi"/>
                <w:b/>
                <w:bCs/>
                <w:sz w:val="20"/>
              </w:rPr>
            </w:pPr>
            <w:hyperlink r:id="rId134" w:history="1">
              <w:r w:rsidRPr="007070EA">
                <w:rPr>
                  <w:rStyle w:val="Hipercze"/>
                  <w:rFonts w:asciiTheme="minorHAnsi" w:hAnsiTheme="minorHAnsi" w:cstheme="minorHAnsi"/>
                  <w:b/>
                  <w:bCs/>
                  <w:sz w:val="20"/>
                </w:rPr>
                <w:t>https://monitorpolski.gov.pl/MP/rok/2023/pozycja/1232</w:t>
              </w:r>
            </w:hyperlink>
          </w:p>
          <w:p w14:paraId="694F56B9"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https://monitorpolski.gov.pl/MP/rok/2024/pozycja/823</w:t>
            </w:r>
          </w:p>
          <w:p w14:paraId="1C930B19" w14:textId="49763B13" w:rsidR="007070EA" w:rsidRPr="007070EA" w:rsidRDefault="007070EA" w:rsidP="007070EA">
            <w:pPr>
              <w:jc w:val="left"/>
              <w:rPr>
                <w:rFonts w:asciiTheme="minorHAnsi" w:hAnsiTheme="minorHAnsi" w:cstheme="minorHAnsi"/>
                <w:b/>
                <w:bCs/>
                <w:sz w:val="20"/>
              </w:rPr>
            </w:pPr>
            <w:r>
              <w:rPr>
                <w:rFonts w:asciiTheme="minorHAnsi" w:hAnsiTheme="minorHAnsi" w:cstheme="minorHAnsi"/>
                <w:b/>
                <w:bCs/>
                <w:sz w:val="20"/>
              </w:rPr>
              <w:t>K</w:t>
            </w:r>
            <w:r w:rsidRPr="007070EA">
              <w:rPr>
                <w:rFonts w:asciiTheme="minorHAnsi" w:hAnsiTheme="minorHAnsi" w:cstheme="minorHAnsi"/>
                <w:b/>
                <w:bCs/>
                <w:sz w:val="20"/>
              </w:rPr>
              <w:t>ryterium 4</w:t>
            </w:r>
          </w:p>
          <w:p w14:paraId="501D7C20"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 xml:space="preserve">Link do dokumentów : </w:t>
            </w:r>
          </w:p>
          <w:p w14:paraId="3EB51408" w14:textId="03A0D115"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 xml:space="preserve">Krajowy Program Działań na Rzecz Równego Traktowania na lata 2022-2030 </w:t>
            </w:r>
            <w:hyperlink w:history="1">
              <w:r w:rsidRPr="007070EA">
                <w:rPr>
                  <w:rStyle w:val="Hipercze"/>
                  <w:rFonts w:asciiTheme="minorHAnsi" w:hAnsiTheme="minorHAnsi" w:cstheme="minorHAnsi"/>
                  <w:b/>
                  <w:bCs/>
                  <w:sz w:val="20"/>
                </w:rPr>
                <w:t>https://monitorpolski.gov.pl/MP/2022/640</w:t>
              </w:r>
            </w:hyperlink>
            <w:r w:rsidRPr="007070EA">
              <w:rPr>
                <w:rFonts w:asciiTheme="minorHAnsi" w:hAnsiTheme="minorHAnsi" w:cstheme="minorHAnsi"/>
                <w:b/>
                <w:bCs/>
                <w:sz w:val="20"/>
              </w:rPr>
              <w:t xml:space="preserve"> </w:t>
            </w:r>
          </w:p>
          <w:p w14:paraId="43CE546B" w14:textId="77777777" w:rsidR="007070EA" w:rsidRPr="007070EA" w:rsidRDefault="007070EA" w:rsidP="007070EA">
            <w:pPr>
              <w:jc w:val="left"/>
              <w:rPr>
                <w:rFonts w:asciiTheme="minorHAnsi" w:hAnsiTheme="minorHAnsi" w:cstheme="minorHAnsi"/>
                <w:b/>
                <w:bCs/>
                <w:sz w:val="20"/>
              </w:rPr>
            </w:pPr>
            <w:r w:rsidRPr="007070EA">
              <w:rPr>
                <w:rFonts w:asciiTheme="minorHAnsi" w:hAnsiTheme="minorHAnsi" w:cstheme="minorHAnsi"/>
                <w:b/>
                <w:bCs/>
                <w:sz w:val="20"/>
              </w:rPr>
              <w:t>Ustawa z dnia 29 lipca 2005 r. o przeciwdziałaniu przemocy domowej (t.j. Dz.U. z 2024 r. poz. 424) i Rządowy Program Przeciwdziałania Przemocy Domowej na lata 2024-2030 (M.P. z 2023 r. poz. 1232, z 2024 r. poz. 823):</w:t>
            </w:r>
          </w:p>
          <w:p w14:paraId="5D895AB8" w14:textId="77777777" w:rsidR="007070EA" w:rsidRPr="007070EA" w:rsidRDefault="007070EA" w:rsidP="007070EA">
            <w:pPr>
              <w:jc w:val="left"/>
              <w:rPr>
                <w:rFonts w:asciiTheme="minorHAnsi" w:hAnsiTheme="minorHAnsi" w:cstheme="minorHAnsi"/>
                <w:b/>
                <w:bCs/>
                <w:sz w:val="20"/>
              </w:rPr>
            </w:pPr>
            <w:hyperlink r:id="rId135" w:history="1">
              <w:r w:rsidRPr="007070EA">
                <w:rPr>
                  <w:rStyle w:val="Hipercze"/>
                  <w:rFonts w:asciiTheme="minorHAnsi" w:hAnsiTheme="minorHAnsi" w:cstheme="minorHAnsi"/>
                  <w:b/>
                  <w:bCs/>
                  <w:sz w:val="20"/>
                </w:rPr>
                <w:t>https://dziennikustaw.gov.pl/DU/rok/2024/pozycja/424</w:t>
              </w:r>
            </w:hyperlink>
          </w:p>
          <w:p w14:paraId="796A3A7A" w14:textId="77777777" w:rsidR="007070EA" w:rsidRPr="007070EA" w:rsidRDefault="007070EA" w:rsidP="007070EA">
            <w:pPr>
              <w:jc w:val="left"/>
              <w:rPr>
                <w:rFonts w:asciiTheme="minorHAnsi" w:hAnsiTheme="minorHAnsi" w:cstheme="minorHAnsi"/>
                <w:b/>
                <w:bCs/>
                <w:sz w:val="20"/>
              </w:rPr>
            </w:pPr>
            <w:hyperlink r:id="rId136" w:history="1">
              <w:r w:rsidRPr="007070EA">
                <w:rPr>
                  <w:rStyle w:val="Hipercze"/>
                  <w:rFonts w:asciiTheme="minorHAnsi" w:hAnsiTheme="minorHAnsi" w:cstheme="minorHAnsi"/>
                  <w:b/>
                  <w:bCs/>
                  <w:sz w:val="20"/>
                </w:rPr>
                <w:t>https://monitorpolski.gov.pl/MP/rok/2023/pozycja/1232</w:t>
              </w:r>
            </w:hyperlink>
          </w:p>
          <w:p w14:paraId="562B3022" w14:textId="060E7EB0" w:rsidR="006A3F65" w:rsidRPr="00F62734" w:rsidRDefault="007070EA" w:rsidP="00D52164">
            <w:pPr>
              <w:jc w:val="left"/>
              <w:rPr>
                <w:rFonts w:asciiTheme="minorHAnsi" w:hAnsiTheme="minorHAnsi" w:cstheme="minorHAnsi"/>
                <w:b/>
                <w:bCs/>
                <w:sz w:val="20"/>
              </w:rPr>
            </w:pPr>
            <w:r w:rsidRPr="007070EA">
              <w:rPr>
                <w:rFonts w:asciiTheme="minorHAnsi" w:hAnsiTheme="minorHAnsi" w:cstheme="minorHAnsi"/>
                <w:b/>
                <w:bCs/>
                <w:sz w:val="20"/>
              </w:rPr>
              <w:t>https://monitorpolski.gov.pl/MP/rok/2024/pozycja/823</w:t>
            </w:r>
          </w:p>
          <w:p w14:paraId="46A9229F" w14:textId="77777777" w:rsidR="00D52164" w:rsidRPr="00890249" w:rsidRDefault="00D52164" w:rsidP="00B14BC8">
            <w:pPr>
              <w:jc w:val="left"/>
              <w:rPr>
                <w:rFonts w:asciiTheme="minorHAnsi" w:eastAsia="Times New Roman" w:hAnsiTheme="minorHAnsi" w:cstheme="minorHAnsi"/>
                <w:iCs/>
                <w:noProof/>
                <w:sz w:val="20"/>
              </w:rPr>
            </w:pPr>
          </w:p>
        </w:tc>
        <w:tc>
          <w:tcPr>
            <w:tcW w:w="2977" w:type="dxa"/>
          </w:tcPr>
          <w:p w14:paraId="61A1FBEA" w14:textId="37F70D18" w:rsidR="004F0E7F"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lastRenderedPageBreak/>
              <w:t xml:space="preserve">Kryterium 1. </w:t>
            </w:r>
            <w:r w:rsidR="007070EA">
              <w:rPr>
                <w:rFonts w:asciiTheme="minorHAnsi" w:hAnsiTheme="minorHAnsi" w:cstheme="minorHAnsi"/>
                <w:b/>
                <w:bCs/>
                <w:sz w:val="20"/>
              </w:rPr>
              <w:t>S</w:t>
            </w:r>
            <w:r w:rsidRPr="00890249">
              <w:rPr>
                <w:rFonts w:asciiTheme="minorHAnsi" w:hAnsiTheme="minorHAnsi" w:cstheme="minorHAnsi"/>
                <w:b/>
                <w:bCs/>
                <w:sz w:val="20"/>
              </w:rPr>
              <w:t>pełnione</w:t>
            </w:r>
          </w:p>
          <w:p w14:paraId="1AF1F3D4" w14:textId="77777777" w:rsidR="007070EA" w:rsidRPr="00F62734" w:rsidRDefault="007070EA" w:rsidP="007070EA">
            <w:pPr>
              <w:spacing w:after="0"/>
              <w:rPr>
                <w:rFonts w:asciiTheme="minorHAnsi" w:hAnsiTheme="minorHAnsi" w:cstheme="minorHAnsi"/>
                <w:bCs/>
                <w:sz w:val="20"/>
              </w:rPr>
            </w:pPr>
            <w:r w:rsidRPr="00F62734">
              <w:rPr>
                <w:rFonts w:asciiTheme="minorHAnsi" w:hAnsiTheme="minorHAnsi" w:cstheme="minorHAnsi"/>
                <w:bCs/>
                <w:sz w:val="20"/>
              </w:rPr>
              <w:t xml:space="preserve">KPDRT obejmuje następujące priorytety: Polityka antydyskryminacyjna, Praca i zabezpieczenia społeczne, Edukacja, Zdrowie, Dostęp do dóbr i usług, Budowanie świadomości, Gromadzenie danych i badania, Koordynacja. </w:t>
            </w:r>
          </w:p>
          <w:p w14:paraId="4F23BB4B" w14:textId="77777777" w:rsidR="007070EA" w:rsidRPr="00F62734" w:rsidRDefault="007070EA" w:rsidP="007070EA">
            <w:pPr>
              <w:spacing w:after="0"/>
              <w:rPr>
                <w:rFonts w:asciiTheme="minorHAnsi" w:hAnsiTheme="minorHAnsi" w:cstheme="minorHAnsi"/>
                <w:bCs/>
                <w:sz w:val="20"/>
              </w:rPr>
            </w:pPr>
            <w:r w:rsidRPr="00F62734">
              <w:rPr>
                <w:rFonts w:asciiTheme="minorHAnsi" w:hAnsiTheme="minorHAnsi" w:cstheme="minorHAnsi"/>
                <w:bCs/>
                <w:sz w:val="20"/>
              </w:rPr>
              <w:t xml:space="preserve">Zidentyfikowano następujące wyzwania dla równości między kobietami a mężczyznami: </w:t>
            </w:r>
          </w:p>
          <w:p w14:paraId="28D51DB0" w14:textId="77777777" w:rsidR="007070EA" w:rsidRPr="00F62734" w:rsidRDefault="007070EA" w:rsidP="007070EA">
            <w:pPr>
              <w:spacing w:after="0"/>
              <w:rPr>
                <w:rFonts w:asciiTheme="minorHAnsi" w:hAnsiTheme="minorHAnsi" w:cstheme="minorHAnsi"/>
                <w:bCs/>
                <w:sz w:val="20"/>
              </w:rPr>
            </w:pPr>
            <w:r w:rsidRPr="00F62734">
              <w:rPr>
                <w:rFonts w:asciiTheme="minorHAnsi" w:hAnsiTheme="minorHAnsi" w:cstheme="minorHAnsi"/>
                <w:bCs/>
                <w:sz w:val="20"/>
              </w:rPr>
              <w:t>1. Niższy poziom zatrudnienia kobiet</w:t>
            </w:r>
          </w:p>
          <w:p w14:paraId="12E0C2EE" w14:textId="77777777" w:rsidR="007070EA" w:rsidRPr="00F62734" w:rsidRDefault="007070EA" w:rsidP="007070EA">
            <w:pPr>
              <w:spacing w:after="0"/>
              <w:rPr>
                <w:rFonts w:asciiTheme="minorHAnsi" w:hAnsiTheme="minorHAnsi" w:cstheme="minorHAnsi"/>
                <w:bCs/>
                <w:sz w:val="20"/>
              </w:rPr>
            </w:pPr>
            <w:r w:rsidRPr="00F62734">
              <w:rPr>
                <w:rFonts w:asciiTheme="minorHAnsi" w:hAnsiTheme="minorHAnsi" w:cstheme="minorHAnsi"/>
                <w:bCs/>
                <w:sz w:val="20"/>
              </w:rPr>
              <w:t xml:space="preserve">2. Luka płacowa i luka emerytalna na niekorzyść kobiet </w:t>
            </w:r>
          </w:p>
          <w:p w14:paraId="53A2DDB5" w14:textId="77777777" w:rsidR="007070EA" w:rsidRPr="00F62734" w:rsidRDefault="007070EA" w:rsidP="007070EA">
            <w:pPr>
              <w:spacing w:after="0"/>
              <w:rPr>
                <w:rFonts w:asciiTheme="minorHAnsi" w:hAnsiTheme="minorHAnsi" w:cstheme="minorHAnsi"/>
                <w:bCs/>
                <w:sz w:val="20"/>
              </w:rPr>
            </w:pPr>
            <w:r w:rsidRPr="00F62734">
              <w:rPr>
                <w:rFonts w:asciiTheme="minorHAnsi" w:hAnsiTheme="minorHAnsi" w:cstheme="minorHAnsi"/>
                <w:bCs/>
                <w:sz w:val="20"/>
              </w:rPr>
              <w:t xml:space="preserve">3. Niski odsetek kobiet na najwyższych stanowiskach </w:t>
            </w:r>
          </w:p>
          <w:p w14:paraId="315A21E5" w14:textId="038B8774" w:rsidR="007070EA" w:rsidRPr="00F62734" w:rsidRDefault="007070EA" w:rsidP="007070EA">
            <w:pPr>
              <w:spacing w:after="0"/>
              <w:rPr>
                <w:rFonts w:asciiTheme="minorHAnsi" w:hAnsiTheme="minorHAnsi" w:cstheme="minorHAnsi"/>
                <w:bCs/>
                <w:sz w:val="20"/>
              </w:rPr>
            </w:pPr>
            <w:r w:rsidRPr="00F62734">
              <w:rPr>
                <w:rFonts w:asciiTheme="minorHAnsi" w:hAnsiTheme="minorHAnsi" w:cstheme="minorHAnsi"/>
                <w:bCs/>
                <w:sz w:val="20"/>
              </w:rPr>
              <w:t xml:space="preserve">4. Niski poziom kobiet w STEM </w:t>
            </w:r>
          </w:p>
          <w:p w14:paraId="1B1C10A0" w14:textId="607E8E5B" w:rsidR="007070EA" w:rsidRPr="00F62734" w:rsidRDefault="007070EA" w:rsidP="00F62734">
            <w:pPr>
              <w:spacing w:after="0"/>
              <w:rPr>
                <w:rFonts w:asciiTheme="minorHAnsi" w:hAnsiTheme="minorHAnsi" w:cstheme="minorHAnsi"/>
                <w:bCs/>
                <w:sz w:val="20"/>
              </w:rPr>
            </w:pPr>
            <w:r w:rsidRPr="00F62734">
              <w:rPr>
                <w:rFonts w:asciiTheme="minorHAnsi" w:hAnsiTheme="minorHAnsi" w:cstheme="minorHAnsi"/>
                <w:bCs/>
                <w:sz w:val="20"/>
              </w:rPr>
              <w:lastRenderedPageBreak/>
              <w:t>Jeżeli chodzi o przemoc wobec kobiet, zgodnie z ustawą z dnia 29 lipca 2005 r. o przeciwdziałaniu przemocy domowej (Dz. U. z 2024 r. poz. 424), działania przeciw przemocy są uregulowane w Rządowym  Programie Przeciwdziałania Przemocy Domowej, który jest przyjmowany przez Radę Ministrów.</w:t>
            </w:r>
          </w:p>
          <w:p w14:paraId="049F001D" w14:textId="33B5C327" w:rsidR="00D52164" w:rsidRPr="00890249" w:rsidRDefault="00D52164" w:rsidP="00325D70">
            <w:pPr>
              <w:jc w:val="left"/>
              <w:rPr>
                <w:rFonts w:asciiTheme="minorHAnsi" w:eastAsia="Times New Roman" w:hAnsiTheme="minorHAnsi" w:cstheme="minorHAnsi"/>
                <w:iCs/>
                <w:noProof/>
                <w:sz w:val="20"/>
              </w:rPr>
            </w:pPr>
          </w:p>
        </w:tc>
      </w:tr>
      <w:tr w:rsidR="00D52164" w:rsidRPr="00890249" w14:paraId="52ECE04F" w14:textId="77777777" w:rsidTr="00F62734">
        <w:tc>
          <w:tcPr>
            <w:tcW w:w="1560" w:type="dxa"/>
            <w:vMerge/>
          </w:tcPr>
          <w:p w14:paraId="7B1FE94B"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1245E573"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1E80225A"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34B2ABAA"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457071D9"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2</w:t>
            </w:r>
          </w:p>
          <w:p w14:paraId="05CC6A8D"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Środki na rzecz rozwiązania problemu zróźnicowania sytuacji kobiet i mężczyzn w zakresie zatrudnienia, płac i emerytur oraz na rzecz promowania równowagi między życiem zawodowym a prywatnym, w tym przez poprawę dostępu do wczesnej edukacji i opieki nad dzieckiem, wraz z celami końcowymi, przy jednoczesnym poszanowaniu roli i autonomi partnerów społecznych</w:t>
            </w:r>
          </w:p>
        </w:tc>
        <w:tc>
          <w:tcPr>
            <w:tcW w:w="1134" w:type="dxa"/>
            <w:vMerge/>
          </w:tcPr>
          <w:p w14:paraId="0E205919" w14:textId="77777777" w:rsidR="00D52164" w:rsidRPr="00890249" w:rsidRDefault="00D52164" w:rsidP="00D52164">
            <w:pPr>
              <w:jc w:val="left"/>
              <w:rPr>
                <w:rFonts w:asciiTheme="minorHAnsi" w:hAnsiTheme="minorHAnsi" w:cstheme="minorHAnsi"/>
                <w:noProof/>
                <w:sz w:val="20"/>
              </w:rPr>
            </w:pPr>
          </w:p>
        </w:tc>
        <w:tc>
          <w:tcPr>
            <w:tcW w:w="3402" w:type="dxa"/>
            <w:vMerge/>
          </w:tcPr>
          <w:p w14:paraId="0A06DE90"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49502EB" w14:textId="5F0C760C" w:rsidR="008730AB"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2. </w:t>
            </w:r>
            <w:r w:rsidR="007070EA">
              <w:rPr>
                <w:rFonts w:asciiTheme="minorHAnsi" w:hAnsiTheme="minorHAnsi" w:cstheme="minorHAnsi"/>
                <w:b/>
                <w:bCs/>
                <w:sz w:val="20"/>
              </w:rPr>
              <w:t>S</w:t>
            </w:r>
            <w:r w:rsidRPr="00890249">
              <w:rPr>
                <w:rFonts w:asciiTheme="minorHAnsi" w:hAnsiTheme="minorHAnsi" w:cstheme="minorHAnsi"/>
                <w:b/>
                <w:bCs/>
                <w:sz w:val="20"/>
              </w:rPr>
              <w:t>pełnione</w:t>
            </w:r>
          </w:p>
          <w:p w14:paraId="4C96330F" w14:textId="399A8AF1" w:rsidR="00F70BF9" w:rsidRDefault="00F70BF9" w:rsidP="00325D70">
            <w:pPr>
              <w:spacing w:after="0"/>
              <w:jc w:val="left"/>
              <w:rPr>
                <w:rFonts w:asciiTheme="minorHAnsi" w:hAnsiTheme="minorHAnsi" w:cstheme="minorHAnsi"/>
                <w:bCs/>
                <w:sz w:val="20"/>
              </w:rPr>
            </w:pPr>
            <w:r w:rsidRPr="00F70BF9">
              <w:rPr>
                <w:rFonts w:asciiTheme="minorHAnsi" w:hAnsiTheme="minorHAnsi" w:cstheme="minorHAnsi"/>
                <w:bCs/>
                <w:sz w:val="20"/>
              </w:rPr>
              <w:t xml:space="preserve">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t>
            </w:r>
            <w:r w:rsidRPr="00F70BF9">
              <w:rPr>
                <w:rFonts w:asciiTheme="minorHAnsi" w:hAnsiTheme="minorHAnsi" w:cstheme="minorHAnsi"/>
                <w:bCs/>
                <w:sz w:val="20"/>
              </w:rPr>
              <w:lastRenderedPageBreak/>
              <w:t>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p w14:paraId="63D3E45E" w14:textId="6447975E" w:rsidR="00D52164" w:rsidRPr="00890249" w:rsidRDefault="00D52164" w:rsidP="00F62734">
            <w:pPr>
              <w:spacing w:after="0"/>
              <w:jc w:val="left"/>
              <w:rPr>
                <w:rFonts w:asciiTheme="minorHAnsi" w:hAnsiTheme="minorHAnsi" w:cstheme="minorHAnsi"/>
                <w:bCs/>
                <w:sz w:val="20"/>
              </w:rPr>
            </w:pPr>
          </w:p>
        </w:tc>
      </w:tr>
      <w:tr w:rsidR="00D52164" w:rsidRPr="00890249" w14:paraId="13988BFB" w14:textId="77777777" w:rsidTr="00F62734">
        <w:tc>
          <w:tcPr>
            <w:tcW w:w="1560" w:type="dxa"/>
            <w:vMerge/>
          </w:tcPr>
          <w:p w14:paraId="646621B2"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3D279231"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32202430"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16191CBB"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5C6FFCDC"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3</w:t>
            </w:r>
          </w:p>
          <w:p w14:paraId="4F447656"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Rozwiązania dotyczące monitorowania, ewaluacji i przeglądu ram strategicznych polityki i metod gromadzenia danych w oparciu o dane segregowane ze względu na płeć</w:t>
            </w:r>
          </w:p>
        </w:tc>
        <w:tc>
          <w:tcPr>
            <w:tcW w:w="1134" w:type="dxa"/>
            <w:vMerge/>
          </w:tcPr>
          <w:p w14:paraId="107CA919" w14:textId="77777777" w:rsidR="00D52164" w:rsidRPr="00890249" w:rsidRDefault="00D52164" w:rsidP="00D52164">
            <w:pPr>
              <w:jc w:val="left"/>
              <w:rPr>
                <w:rFonts w:asciiTheme="minorHAnsi" w:hAnsiTheme="minorHAnsi" w:cstheme="minorHAnsi"/>
                <w:noProof/>
                <w:sz w:val="20"/>
              </w:rPr>
            </w:pPr>
          </w:p>
        </w:tc>
        <w:tc>
          <w:tcPr>
            <w:tcW w:w="3402" w:type="dxa"/>
            <w:vMerge/>
          </w:tcPr>
          <w:p w14:paraId="196FCE1F"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71432AEA" w14:textId="24E30466" w:rsidR="008730AB"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3. </w:t>
            </w:r>
            <w:r w:rsidR="00F70BF9">
              <w:rPr>
                <w:rFonts w:asciiTheme="minorHAnsi" w:hAnsiTheme="minorHAnsi" w:cstheme="minorHAnsi"/>
                <w:b/>
                <w:bCs/>
                <w:sz w:val="20"/>
              </w:rPr>
              <w:t>S</w:t>
            </w:r>
            <w:r w:rsidRPr="00890249">
              <w:rPr>
                <w:rFonts w:asciiTheme="minorHAnsi" w:hAnsiTheme="minorHAnsi" w:cstheme="minorHAnsi"/>
                <w:b/>
                <w:bCs/>
                <w:sz w:val="20"/>
              </w:rPr>
              <w:t>pełnione</w:t>
            </w:r>
          </w:p>
          <w:p w14:paraId="470206A7" w14:textId="77777777" w:rsidR="00F70BF9" w:rsidRPr="00F70BF9" w:rsidRDefault="00F70BF9" w:rsidP="00F70BF9">
            <w:pPr>
              <w:spacing w:after="0"/>
              <w:jc w:val="left"/>
              <w:rPr>
                <w:rFonts w:asciiTheme="minorHAnsi" w:hAnsiTheme="minorHAnsi" w:cstheme="minorHAnsi"/>
                <w:bCs/>
                <w:sz w:val="20"/>
              </w:rPr>
            </w:pPr>
            <w:r w:rsidRPr="00F70BF9">
              <w:rPr>
                <w:rFonts w:asciiTheme="minorHAnsi" w:hAnsiTheme="minorHAnsi" w:cstheme="minorHAnsi"/>
                <w:bCs/>
                <w:sz w:val="20"/>
              </w:rPr>
              <w:t>Ministra ds. Równości opracowuje i przedkłada Radzie Ministrów do 31 marca każdego roku,</w:t>
            </w:r>
            <w:r w:rsidRPr="00F70BF9" w:rsidDel="00A9530C">
              <w:rPr>
                <w:rFonts w:asciiTheme="minorHAnsi" w:hAnsiTheme="minorHAnsi" w:cstheme="minorHAnsi"/>
                <w:bCs/>
                <w:sz w:val="20"/>
              </w:rPr>
              <w:t xml:space="preserve"> sprawozdanie za poprzedni rok, zawierające m.in. raport z realizacji KPDRT. </w:t>
            </w:r>
          </w:p>
          <w:p w14:paraId="33C61327" w14:textId="77777777" w:rsidR="00F70BF9" w:rsidRPr="00F70BF9" w:rsidRDefault="00F70BF9" w:rsidP="00F70BF9">
            <w:pPr>
              <w:spacing w:after="0"/>
              <w:jc w:val="left"/>
              <w:rPr>
                <w:rFonts w:asciiTheme="minorHAnsi" w:hAnsiTheme="minorHAnsi" w:cstheme="minorHAnsi"/>
                <w:bCs/>
                <w:sz w:val="20"/>
              </w:rPr>
            </w:pPr>
            <w:r w:rsidRPr="00F70BF9">
              <w:rPr>
                <w:rFonts w:asciiTheme="minorHAnsi" w:hAnsiTheme="minorHAnsi" w:cstheme="minorHAnsi"/>
                <w:bCs/>
                <w:sz w:val="20"/>
              </w:rPr>
              <w:t xml:space="preserve">Ponadto, celem wsparcia działań Koordynatora Programu, powołany zostanie Zespół, którego zadaniem będzie cykliczne monitorowanie osiągania zakładanych wskaźników, ujętych w załączniku </w:t>
            </w:r>
            <w:r w:rsidRPr="00F70BF9">
              <w:rPr>
                <w:rFonts w:asciiTheme="minorHAnsi" w:hAnsiTheme="minorHAnsi" w:cstheme="minorHAnsi"/>
                <w:bCs/>
                <w:sz w:val="20"/>
              </w:rPr>
              <w:lastRenderedPageBreak/>
              <w:t>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4717902A" w14:textId="3402E504" w:rsidR="00F70BF9" w:rsidRPr="00F70BF9" w:rsidRDefault="00F70BF9" w:rsidP="00F70BF9">
            <w:pPr>
              <w:spacing w:after="0"/>
              <w:jc w:val="left"/>
              <w:rPr>
                <w:rFonts w:asciiTheme="minorHAnsi" w:hAnsiTheme="minorHAnsi" w:cstheme="minorHAnsi"/>
                <w:bCs/>
                <w:sz w:val="20"/>
              </w:rPr>
            </w:pPr>
            <w:r w:rsidRPr="00F70BF9">
              <w:rPr>
                <w:rFonts w:asciiTheme="minorHAnsi" w:hAnsiTheme="minorHAnsi" w:cstheme="minorHAnsi"/>
                <w:bCs/>
                <w:sz w:val="20"/>
              </w:rPr>
              <w:t xml:space="preserve">Dane segregowane ze względu na płeć będą cyklicznie zbierane. Przewidziano też działania na rzecz rozbudowy systemu gromadzenia danych równościowych, w tym w rozbiciu na płeć.  </w:t>
            </w:r>
          </w:p>
          <w:p w14:paraId="43F35128" w14:textId="25F1DF3D" w:rsidR="00F70BF9" w:rsidRDefault="00F70BF9" w:rsidP="00325D70">
            <w:pPr>
              <w:spacing w:after="0"/>
              <w:jc w:val="left"/>
              <w:rPr>
                <w:rFonts w:asciiTheme="minorHAnsi" w:hAnsiTheme="minorHAnsi" w:cstheme="minorHAnsi"/>
                <w:bCs/>
                <w:sz w:val="20"/>
              </w:rPr>
            </w:pPr>
            <w:r w:rsidRPr="00F70BF9">
              <w:rPr>
                <w:rFonts w:asciiTheme="minorHAnsi" w:hAnsiTheme="minorHAnsi" w:cstheme="minorHAnsi"/>
                <w:bCs/>
                <w:sz w:val="20"/>
              </w:rPr>
              <w:t>Zgodnie z art. 11 ustawy, sprawozdanie z realizacji Rządowego Programu Przeciwdziałania Przemocy Domowej jest składane corocznie, w terminie do 30 września, Sejmowi i Senatowi Rzeczypospolitej Polskiej przez Radę Ministrów.</w:t>
            </w:r>
          </w:p>
          <w:p w14:paraId="6749C1B1" w14:textId="66F72F9B" w:rsidR="00D52164" w:rsidRPr="00890249" w:rsidRDefault="00D52164" w:rsidP="00F62734">
            <w:pPr>
              <w:spacing w:after="0"/>
              <w:jc w:val="left"/>
              <w:rPr>
                <w:rFonts w:asciiTheme="minorHAnsi" w:hAnsiTheme="minorHAnsi" w:cstheme="minorHAnsi"/>
                <w:bCs/>
                <w:sz w:val="20"/>
              </w:rPr>
            </w:pPr>
          </w:p>
        </w:tc>
      </w:tr>
      <w:tr w:rsidR="00D52164" w:rsidRPr="00890249" w14:paraId="02D1A032" w14:textId="77777777" w:rsidTr="00F62734">
        <w:tc>
          <w:tcPr>
            <w:tcW w:w="1560" w:type="dxa"/>
            <w:vMerge/>
          </w:tcPr>
          <w:p w14:paraId="5E3EC624"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2944487E"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3B9DD574"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31128827"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2EFDFECF"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4</w:t>
            </w:r>
          </w:p>
          <w:p w14:paraId="61251F58"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lastRenderedPageBreak/>
              <w:t xml:space="preserve">Rozwiązania dotyczące zapewnienia, aby opracowanie tych ram, ich wdrożenie, monitorowanie i przegląd były prowadzone w ścisłej współpracy z odpowiednimi zainteresowanymi stronami, w tym podmiotami ds. równości, partnerami społecznymi i organizacjami społeczesństwa obywatelskiego. </w:t>
            </w:r>
          </w:p>
        </w:tc>
        <w:tc>
          <w:tcPr>
            <w:tcW w:w="1134" w:type="dxa"/>
            <w:vMerge/>
          </w:tcPr>
          <w:p w14:paraId="68304C22" w14:textId="77777777" w:rsidR="00D52164" w:rsidRPr="00890249" w:rsidRDefault="00D52164" w:rsidP="00D52164">
            <w:pPr>
              <w:jc w:val="left"/>
              <w:rPr>
                <w:rFonts w:asciiTheme="minorHAnsi" w:hAnsiTheme="minorHAnsi" w:cstheme="minorHAnsi"/>
                <w:noProof/>
                <w:sz w:val="20"/>
              </w:rPr>
            </w:pPr>
          </w:p>
        </w:tc>
        <w:tc>
          <w:tcPr>
            <w:tcW w:w="3402" w:type="dxa"/>
            <w:vMerge/>
          </w:tcPr>
          <w:p w14:paraId="1FE5940A"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56CF563" w14:textId="435A2C42" w:rsidR="008730AB" w:rsidRPr="00890249" w:rsidRDefault="00875C92" w:rsidP="00325D70">
            <w:pPr>
              <w:spacing w:after="0"/>
              <w:jc w:val="left"/>
              <w:rPr>
                <w:rFonts w:asciiTheme="minorHAnsi" w:hAnsiTheme="minorHAnsi" w:cstheme="minorHAnsi"/>
                <w:b/>
                <w:bCs/>
                <w:sz w:val="20"/>
              </w:rPr>
            </w:pPr>
            <w:r w:rsidRPr="00890249">
              <w:rPr>
                <w:rFonts w:asciiTheme="minorHAnsi" w:hAnsiTheme="minorHAnsi" w:cstheme="minorHAnsi"/>
                <w:b/>
                <w:bCs/>
                <w:sz w:val="20"/>
              </w:rPr>
              <w:t xml:space="preserve">Kryterium 4. </w:t>
            </w:r>
            <w:r w:rsidR="00F70BF9">
              <w:rPr>
                <w:rFonts w:asciiTheme="minorHAnsi" w:hAnsiTheme="minorHAnsi" w:cstheme="minorHAnsi"/>
                <w:b/>
                <w:bCs/>
                <w:sz w:val="20"/>
              </w:rPr>
              <w:t>S</w:t>
            </w:r>
            <w:r w:rsidRPr="00890249">
              <w:rPr>
                <w:rFonts w:asciiTheme="minorHAnsi" w:hAnsiTheme="minorHAnsi" w:cstheme="minorHAnsi"/>
                <w:b/>
                <w:bCs/>
                <w:sz w:val="20"/>
              </w:rPr>
              <w:t>pełnione</w:t>
            </w:r>
          </w:p>
          <w:p w14:paraId="192DB1BD" w14:textId="1A93A4C9" w:rsidR="00F70BF9" w:rsidRPr="00F70BF9" w:rsidRDefault="00F70BF9" w:rsidP="00F70BF9">
            <w:pPr>
              <w:spacing w:after="0"/>
              <w:jc w:val="left"/>
              <w:rPr>
                <w:rFonts w:asciiTheme="minorHAnsi" w:hAnsiTheme="minorHAnsi" w:cstheme="minorHAnsi"/>
                <w:bCs/>
                <w:sz w:val="20"/>
              </w:rPr>
            </w:pPr>
            <w:r w:rsidRPr="00F70BF9">
              <w:rPr>
                <w:rFonts w:asciiTheme="minorHAnsi" w:hAnsiTheme="minorHAnsi" w:cstheme="minorHAnsi"/>
                <w:bCs/>
                <w:sz w:val="20"/>
              </w:rPr>
              <w:lastRenderedPageBreak/>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14:paraId="21C01C7D" w14:textId="6099A289" w:rsidR="00F70BF9" w:rsidRPr="00F70BF9" w:rsidRDefault="00F70BF9" w:rsidP="00F70BF9">
            <w:pPr>
              <w:spacing w:after="0"/>
              <w:jc w:val="left"/>
              <w:rPr>
                <w:rFonts w:asciiTheme="minorHAnsi" w:hAnsiTheme="minorHAnsi" w:cstheme="minorHAnsi"/>
                <w:bCs/>
                <w:sz w:val="20"/>
              </w:rPr>
            </w:pPr>
            <w:r w:rsidRPr="00F70BF9">
              <w:rPr>
                <w:rFonts w:asciiTheme="minorHAnsi" w:hAnsiTheme="minorHAnsi" w:cstheme="minorHAnsi"/>
                <w:bCs/>
                <w:sz w:val="20"/>
              </w:rPr>
              <w:t xml:space="preserve">Odpowiednie podmioty ds. równości, partnerzy społeczni i organizacje społeczeństwa obywatelskiego wchodzą  w skład zespołów, których zadaniem jest m.in. monitorowanie realizacji obu programów.  </w:t>
            </w:r>
          </w:p>
          <w:p w14:paraId="2C7ED8D3" w14:textId="065A4288" w:rsidR="00F70BF9" w:rsidRPr="00F62734" w:rsidRDefault="00F70BF9" w:rsidP="00F70BF9">
            <w:pPr>
              <w:spacing w:after="0"/>
              <w:jc w:val="left"/>
              <w:rPr>
                <w:rFonts w:asciiTheme="minorHAnsi" w:hAnsiTheme="minorHAnsi" w:cstheme="minorHAnsi"/>
                <w:bCs/>
                <w:i/>
                <w:sz w:val="20"/>
              </w:rPr>
            </w:pPr>
            <w:r w:rsidRPr="00F70BF9">
              <w:rPr>
                <w:rFonts w:asciiTheme="minorHAnsi" w:hAnsiTheme="minorHAnsi" w:cstheme="minorHAnsi"/>
                <w:bCs/>
                <w:sz w:val="20"/>
              </w:rPr>
              <w:t xml:space="preserve">Oba sprawozdania wymienione w kryterium 3 </w:t>
            </w:r>
            <w:r w:rsidRPr="00F70BF9" w:rsidDel="00A9530C">
              <w:rPr>
                <w:rFonts w:asciiTheme="minorHAnsi" w:hAnsiTheme="minorHAnsi" w:cstheme="minorHAnsi"/>
                <w:bCs/>
                <w:sz w:val="20"/>
              </w:rPr>
              <w:t>podlega</w:t>
            </w:r>
            <w:r w:rsidRPr="00F70BF9">
              <w:rPr>
                <w:rFonts w:asciiTheme="minorHAnsi" w:hAnsiTheme="minorHAnsi" w:cstheme="minorHAnsi"/>
                <w:bCs/>
                <w:sz w:val="20"/>
              </w:rPr>
              <w:t>ć będą</w:t>
            </w:r>
            <w:r w:rsidRPr="00F70BF9" w:rsidDel="00A9530C">
              <w:rPr>
                <w:rFonts w:asciiTheme="minorHAnsi" w:hAnsiTheme="minorHAnsi" w:cstheme="minorHAnsi"/>
                <w:bCs/>
                <w:sz w:val="20"/>
              </w:rPr>
              <w:t xml:space="preserve"> szerokim konsultacjom </w:t>
            </w:r>
            <w:r w:rsidRPr="00F70BF9">
              <w:rPr>
                <w:rFonts w:asciiTheme="minorHAnsi" w:hAnsiTheme="minorHAnsi" w:cstheme="minorHAnsi"/>
                <w:bCs/>
                <w:sz w:val="20"/>
              </w:rPr>
              <w:t xml:space="preserve">z wszystkimi interesariuszami. </w:t>
            </w:r>
          </w:p>
          <w:p w14:paraId="51D566B2" w14:textId="060AD0A5" w:rsidR="00D52164" w:rsidRPr="00890249" w:rsidRDefault="00875C92" w:rsidP="00F62734">
            <w:pPr>
              <w:spacing w:after="0"/>
              <w:jc w:val="left"/>
              <w:rPr>
                <w:rFonts w:asciiTheme="minorHAnsi" w:eastAsia="Times New Roman" w:hAnsiTheme="minorHAnsi" w:cstheme="minorHAnsi"/>
                <w:iCs/>
                <w:noProof/>
                <w:sz w:val="20"/>
              </w:rPr>
            </w:pPr>
            <w:r w:rsidRPr="00890249">
              <w:rPr>
                <w:rFonts w:asciiTheme="minorHAnsi" w:hAnsiTheme="minorHAnsi" w:cstheme="minorHAnsi"/>
                <w:bCs/>
                <w:sz w:val="20"/>
              </w:rPr>
              <w:t>.</w:t>
            </w:r>
            <w:r w:rsidR="008730AB" w:rsidRPr="00890249">
              <w:rPr>
                <w:rFonts w:asciiTheme="minorHAnsi" w:hAnsiTheme="minorHAnsi" w:cstheme="minorHAnsi"/>
                <w:bCs/>
                <w:sz w:val="20"/>
              </w:rPr>
              <w:t xml:space="preserve"> </w:t>
            </w:r>
          </w:p>
        </w:tc>
      </w:tr>
      <w:tr w:rsidR="00D52164" w:rsidRPr="00890249" w14:paraId="67C412DD" w14:textId="77777777" w:rsidTr="00F62734">
        <w:tc>
          <w:tcPr>
            <w:tcW w:w="1560" w:type="dxa"/>
            <w:vMerge w:val="restart"/>
          </w:tcPr>
          <w:p w14:paraId="3EFB565C"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lastRenderedPageBreak/>
              <w:t xml:space="preserve">4.3.Ramy strategiczne polityki na rzecz systemu kształcenia i </w:t>
            </w:r>
            <w:r w:rsidRPr="00890249">
              <w:rPr>
                <w:rFonts w:asciiTheme="minorHAnsi" w:hAnsiTheme="minorHAnsi" w:cstheme="minorHAnsi"/>
                <w:sz w:val="20"/>
              </w:rPr>
              <w:lastRenderedPageBreak/>
              <w:t>szkolenia na wszystkich szczeblach</w:t>
            </w:r>
          </w:p>
        </w:tc>
        <w:tc>
          <w:tcPr>
            <w:tcW w:w="709" w:type="dxa"/>
            <w:vMerge w:val="restart"/>
          </w:tcPr>
          <w:p w14:paraId="4B2CEA1B"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lastRenderedPageBreak/>
              <w:t>EFRR</w:t>
            </w:r>
          </w:p>
          <w:p w14:paraId="151DE0C2"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t>EFS+</w:t>
            </w:r>
          </w:p>
          <w:p w14:paraId="364428E0" w14:textId="77777777" w:rsidR="00D52164" w:rsidRPr="00890249" w:rsidRDefault="00D52164" w:rsidP="00D52164">
            <w:pPr>
              <w:jc w:val="left"/>
              <w:rPr>
                <w:rFonts w:asciiTheme="minorHAnsi" w:hAnsiTheme="minorHAnsi" w:cstheme="minorHAnsi"/>
                <w:sz w:val="20"/>
                <w:lang w:val="en-GB"/>
              </w:rPr>
            </w:pPr>
          </w:p>
        </w:tc>
        <w:tc>
          <w:tcPr>
            <w:tcW w:w="1843" w:type="dxa"/>
            <w:vMerge w:val="restart"/>
          </w:tcPr>
          <w:p w14:paraId="6FE0EE44"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EFRR</w:t>
            </w:r>
          </w:p>
          <w:p w14:paraId="23219F31"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Poprawa równego dostępu do wysokiej jakości usług sprzyjających </w:t>
            </w:r>
            <w:r w:rsidRPr="00890249">
              <w:rPr>
                <w:rFonts w:asciiTheme="minorHAnsi" w:hAnsiTheme="minorHAnsi" w:cstheme="minorHAnsi"/>
                <w:bCs/>
                <w:sz w:val="20"/>
              </w:rPr>
              <w:lastRenderedPageBreak/>
              <w:t>włączeniu społecznemu w zakresie kształcenia, szkoleń i uczenia się przez całe życie poprzez rozwój łatwo dostępnej infrastruktury, w tym poprzez wspieranie odporności w zakresie kształcenia i szkolenia na odległość oraz online</w:t>
            </w:r>
          </w:p>
          <w:p w14:paraId="5BE4D146"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EFS+:</w:t>
            </w:r>
          </w:p>
          <w:p w14:paraId="743D464A"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Poprawa jakości, poziomu włączenia społecznego i skuteczności systemów kształcenia i szkolenia oraz ich powiązania z rynkiem pracy – w tym przez walidację uczenia się </w:t>
            </w:r>
            <w:r w:rsidRPr="00890249">
              <w:rPr>
                <w:rFonts w:asciiTheme="minorHAnsi" w:hAnsiTheme="minorHAnsi" w:cstheme="minorHAnsi"/>
                <w:bCs/>
                <w:sz w:val="20"/>
              </w:rPr>
              <w:lastRenderedPageBreak/>
              <w:t>pozaformalnego i nieformalnego, w celu wspierania nabywania umiejętności kluczowych, w tym w zakresie przedsiębiorczości i kompetencji cyfrowych, oraz przez wspieranie wprowadzania dualnych systemów szkolenia i przygotowania zawodowego</w:t>
            </w:r>
          </w:p>
          <w:p w14:paraId="6DBE793E" w14:textId="77777777" w:rsidR="00D52164" w:rsidRPr="00890249" w:rsidRDefault="00D52164" w:rsidP="00D52164">
            <w:pPr>
              <w:jc w:val="left"/>
              <w:rPr>
                <w:rFonts w:asciiTheme="minorHAnsi" w:hAnsiTheme="minorHAnsi" w:cstheme="minorHAnsi"/>
                <w:bCs/>
                <w:sz w:val="20"/>
              </w:rPr>
            </w:pPr>
          </w:p>
          <w:p w14:paraId="3F3E432C"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Wspieranie uczenia się przez całe życie, w szczególności elastycznych możliwości podnoszenia i zmiany kwalifikacji dla wszystkich, z uwzględnieniem umiejętności w zakresie przedsiębiorczości i kompetencji </w:t>
            </w:r>
            <w:r w:rsidRPr="00890249">
              <w:rPr>
                <w:rFonts w:asciiTheme="minorHAnsi" w:hAnsiTheme="minorHAnsi" w:cstheme="minorHAnsi"/>
                <w:bCs/>
                <w:sz w:val="20"/>
              </w:rPr>
              <w:lastRenderedPageBreak/>
              <w:t>cyfrowych, lepsze przewidywanie zmian i zapotrzebowania na nowe umiejętności na podstawie potrzeb rynku pracy, ułatwianie zmian ścieżki kariery zawodowej  i wspieranie mobilności zawodowej</w:t>
            </w:r>
          </w:p>
          <w:p w14:paraId="52A3CE5E" w14:textId="77777777" w:rsidR="00D52164" w:rsidRPr="00890249" w:rsidRDefault="00D52164" w:rsidP="00D52164">
            <w:pPr>
              <w:jc w:val="left"/>
              <w:rPr>
                <w:rFonts w:asciiTheme="minorHAnsi" w:hAnsiTheme="minorHAnsi" w:cstheme="minorHAnsi"/>
                <w:bCs/>
                <w:sz w:val="20"/>
              </w:rPr>
            </w:pPr>
          </w:p>
          <w:p w14:paraId="7130CEC0"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Wspieranie równego dostępu do dobrej jakości włączającego kształcenia i szkolenia oraz możliwości ich ukończenia, w szczególności w odniesieniu do grup w niekorzystnej sytuacji, od wczesnej edukacji i opieki nad dzieckiem przez </w:t>
            </w:r>
            <w:r w:rsidRPr="00890249">
              <w:rPr>
                <w:rFonts w:asciiTheme="minorHAnsi" w:hAnsiTheme="minorHAnsi" w:cstheme="minorHAnsi"/>
                <w:bCs/>
                <w:sz w:val="20"/>
              </w:rPr>
              <w:lastRenderedPageBreak/>
              <w:t>ogólne i zawodowe kształcenie i szkolenie, po szkolnictwo wyższe, a także kształcenie i uczenie się dorosłych, w tym ułatwianie mobilności edukacyjnej dla wszystkich i dostępności dla osób z niepełnosprawnościami</w:t>
            </w:r>
          </w:p>
          <w:p w14:paraId="78789D73" w14:textId="77777777" w:rsidR="00D52164" w:rsidRPr="00890249" w:rsidRDefault="00D52164" w:rsidP="00D52164">
            <w:pPr>
              <w:jc w:val="left"/>
              <w:rPr>
                <w:rFonts w:asciiTheme="minorHAnsi" w:hAnsiTheme="minorHAnsi" w:cstheme="minorHAnsi"/>
                <w:bCs/>
                <w:sz w:val="20"/>
                <w:highlight w:val="yellow"/>
              </w:rPr>
            </w:pPr>
          </w:p>
        </w:tc>
        <w:tc>
          <w:tcPr>
            <w:tcW w:w="1559" w:type="dxa"/>
            <w:vMerge w:val="restart"/>
          </w:tcPr>
          <w:p w14:paraId="463D2ECD" w14:textId="67F301E9" w:rsidR="00D52164" w:rsidRPr="00890249" w:rsidRDefault="00F70BF9"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Tak</w:t>
            </w:r>
          </w:p>
        </w:tc>
        <w:tc>
          <w:tcPr>
            <w:tcW w:w="2551" w:type="dxa"/>
          </w:tcPr>
          <w:p w14:paraId="34394936"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Istnienie krajowych lub regionalnych ram strategicznych polityki</w:t>
            </w:r>
          </w:p>
          <w:p w14:paraId="14BA752F"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lastRenderedPageBreak/>
              <w:t>w zakresie systemu kształcenia i szkolenia, które obejmują</w:t>
            </w:r>
          </w:p>
          <w:p w14:paraId="502E5A60" w14:textId="77777777" w:rsidR="00D52164" w:rsidRPr="00890249" w:rsidRDefault="00D52164" w:rsidP="00D52164">
            <w:pPr>
              <w:jc w:val="left"/>
              <w:rPr>
                <w:rFonts w:asciiTheme="minorHAnsi" w:hAnsiTheme="minorHAnsi" w:cstheme="minorHAnsi"/>
                <w:sz w:val="20"/>
              </w:rPr>
            </w:pPr>
          </w:p>
          <w:p w14:paraId="1D4DE799"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1</w:t>
            </w:r>
          </w:p>
          <w:p w14:paraId="50BAA070"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Oparte na rzetelnych danych systemy przewidywania i prognozowania umiejętności;</w:t>
            </w:r>
          </w:p>
          <w:p w14:paraId="22A9C9F2"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2</w:t>
            </w:r>
          </w:p>
          <w:p w14:paraId="66B519E9"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Mechanizmy oparte na rzetelnych danych systemy przewidywania i prognozowania umiejętności;</w:t>
            </w:r>
          </w:p>
          <w:p w14:paraId="4CAFE70C" w14:textId="77777777" w:rsidR="00D52164" w:rsidRPr="00890249" w:rsidRDefault="00D52164" w:rsidP="00D52164">
            <w:pPr>
              <w:jc w:val="left"/>
              <w:rPr>
                <w:rFonts w:asciiTheme="minorHAnsi" w:hAnsiTheme="minorHAnsi" w:cstheme="minorHAnsi"/>
                <w:noProof/>
                <w:sz w:val="20"/>
              </w:rPr>
            </w:pPr>
          </w:p>
        </w:tc>
        <w:tc>
          <w:tcPr>
            <w:tcW w:w="1134" w:type="dxa"/>
            <w:vMerge w:val="restart"/>
          </w:tcPr>
          <w:p w14:paraId="133F8450" w14:textId="709D3BC8" w:rsidR="00D52164" w:rsidRPr="00890249" w:rsidRDefault="00F70BF9" w:rsidP="00D52164">
            <w:pPr>
              <w:jc w:val="left"/>
              <w:rPr>
                <w:rFonts w:asciiTheme="minorHAnsi" w:hAnsiTheme="minorHAnsi" w:cstheme="minorHAnsi"/>
                <w:noProof/>
                <w:sz w:val="20"/>
              </w:rPr>
            </w:pPr>
            <w:r>
              <w:rPr>
                <w:rFonts w:asciiTheme="minorHAnsi" w:hAnsiTheme="minorHAnsi" w:cstheme="minorHAnsi"/>
                <w:noProof/>
                <w:sz w:val="20"/>
              </w:rPr>
              <w:lastRenderedPageBreak/>
              <w:t>Tak</w:t>
            </w:r>
          </w:p>
        </w:tc>
        <w:tc>
          <w:tcPr>
            <w:tcW w:w="3402" w:type="dxa"/>
            <w:vMerge w:val="restart"/>
          </w:tcPr>
          <w:p w14:paraId="27436B15" w14:textId="77777777" w:rsidR="0017778E" w:rsidRPr="0017778E" w:rsidRDefault="0017778E" w:rsidP="0017778E">
            <w:pPr>
              <w:jc w:val="left"/>
              <w:rPr>
                <w:rFonts w:asciiTheme="minorHAnsi" w:hAnsiTheme="minorHAnsi" w:cstheme="minorHAnsi"/>
                <w:bCs/>
                <w:sz w:val="20"/>
              </w:rPr>
            </w:pPr>
            <w:r w:rsidRPr="0017778E">
              <w:rPr>
                <w:rFonts w:asciiTheme="minorHAnsi" w:hAnsiTheme="minorHAnsi" w:cstheme="minorHAnsi"/>
                <w:bCs/>
                <w:sz w:val="20"/>
              </w:rPr>
              <w:t xml:space="preserve">Spełnienie warunku zapewnia  Zintegrowana Strategia Umiejętności 2030: </w:t>
            </w:r>
          </w:p>
          <w:p w14:paraId="606FD028"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 xml:space="preserve">część ogólna (przyjęta uchwałą Rady Ministrów nr </w:t>
            </w:r>
            <w:r w:rsidRPr="0017778E">
              <w:rPr>
                <w:rFonts w:asciiTheme="minorHAnsi" w:hAnsiTheme="minorHAnsi" w:cstheme="minorHAnsi"/>
                <w:bCs/>
                <w:sz w:val="20"/>
              </w:rPr>
              <w:lastRenderedPageBreak/>
              <w:t>12/2019  w dniu 25.01.2019 r.)</w:t>
            </w:r>
          </w:p>
          <w:p w14:paraId="3C916BF8"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część szczegółowa (przyjęta uchwałą Rady Ministrów nr 195/2020 w dniu 28.12.2020 r.).</w:t>
            </w:r>
          </w:p>
          <w:p w14:paraId="25227D38" w14:textId="1750A903" w:rsidR="0017778E" w:rsidRPr="0017778E" w:rsidRDefault="0017778E" w:rsidP="0017778E">
            <w:pPr>
              <w:jc w:val="left"/>
              <w:rPr>
                <w:rFonts w:asciiTheme="minorHAnsi" w:hAnsiTheme="minorHAnsi" w:cstheme="minorHAnsi"/>
                <w:bCs/>
                <w:sz w:val="20"/>
              </w:rPr>
            </w:pPr>
            <w:r w:rsidRPr="0017778E">
              <w:rPr>
                <w:rFonts w:asciiTheme="minorHAnsi" w:hAnsiTheme="minorHAnsi" w:cstheme="minorHAnsi"/>
                <w:bCs/>
                <w:sz w:val="20"/>
              </w:rPr>
              <w:t xml:space="preserve">Raport „Strategia umiejętności OECD: Polska" stanowi istotny wkład do części szczegółowej Strategii, zwłaszcza w obszarze rozwijania umiejętności w miejscu pracy. (raport ogłoszono 11.12.2019 r.). </w:t>
            </w:r>
          </w:p>
          <w:p w14:paraId="372A8730" w14:textId="77777777" w:rsidR="0017778E" w:rsidRPr="0017778E" w:rsidRDefault="0017778E" w:rsidP="0017778E">
            <w:pPr>
              <w:jc w:val="left"/>
              <w:rPr>
                <w:rFonts w:asciiTheme="minorHAnsi" w:hAnsiTheme="minorHAnsi" w:cstheme="minorHAnsi"/>
                <w:bCs/>
                <w:sz w:val="20"/>
              </w:rPr>
            </w:pPr>
            <w:r w:rsidRPr="0017778E">
              <w:rPr>
                <w:rFonts w:asciiTheme="minorHAnsi" w:hAnsiTheme="minorHAnsi" w:cstheme="minorHAnsi"/>
                <w:bCs/>
                <w:sz w:val="20"/>
              </w:rPr>
              <w:t>Spełnieniem warunku jest ponadto system narzędzi funkcjonujących w obszarze kształcenia, m.in.:</w:t>
            </w:r>
          </w:p>
          <w:p w14:paraId="75911EF7"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system monitorowania Ekonomicznych Losów Absolwentów ELA,</w:t>
            </w:r>
          </w:p>
          <w:p w14:paraId="5B5DE476"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monitoring karier absolwentów publicznych i niepublicznych szkół ponadpodstawowych,</w:t>
            </w:r>
          </w:p>
          <w:p w14:paraId="3C127116"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 xml:space="preserve">prognoza zapotrzebowania na pracowników w zawodach szkolnictwa branżowego na krajowym i wojewódzkim </w:t>
            </w:r>
            <w:r w:rsidRPr="0017778E">
              <w:rPr>
                <w:rFonts w:asciiTheme="minorHAnsi" w:hAnsiTheme="minorHAnsi" w:cstheme="minorHAnsi"/>
                <w:bCs/>
                <w:sz w:val="20"/>
              </w:rPr>
              <w:lastRenderedPageBreak/>
              <w:t>rynku pracy, reforma systemu oświaty  (kształcenie ogólne, kształcenie zawodowe),</w:t>
            </w:r>
          </w:p>
          <w:p w14:paraId="2A893A40"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reforma szkolnictwa wyższego,</w:t>
            </w:r>
          </w:p>
          <w:p w14:paraId="6D8C7A3F"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ustawa o Zintegrowanym Systemie Kwalifikacji,</w:t>
            </w:r>
          </w:p>
          <w:p w14:paraId="413AAA4A"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Międzyresortowy Zespół do spraw uczenia się przez całe życie i ZSK,</w:t>
            </w:r>
          </w:p>
          <w:p w14:paraId="02A3A5D7"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Rada Interesariuszy ZSK,</w:t>
            </w:r>
          </w:p>
          <w:p w14:paraId="5B1DCB1F"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Rada Programowa do spraw kompetencji,</w:t>
            </w:r>
          </w:p>
          <w:p w14:paraId="21064FF0"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Sektorowe Rady do spraw kompetencji,</w:t>
            </w:r>
          </w:p>
          <w:p w14:paraId="0A357558"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 xml:space="preserve">Program Senior+, </w:t>
            </w:r>
          </w:p>
          <w:p w14:paraId="3FE36B90"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Lokalne Ośrodki Wiedzy i Edukacji,</w:t>
            </w:r>
          </w:p>
          <w:p w14:paraId="12A24ECE"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projekt „Szansa - nowe możliwości dla dorosłych",</w:t>
            </w:r>
          </w:p>
          <w:p w14:paraId="77B5DFFE"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program "Doktorat wdrożeniowy",</w:t>
            </w:r>
          </w:p>
          <w:p w14:paraId="175F0518" w14:textId="77777777" w:rsidR="0017778E" w:rsidRPr="0017778E" w:rsidRDefault="0017778E" w:rsidP="0017778E">
            <w:pPr>
              <w:numPr>
                <w:ilvl w:val="0"/>
                <w:numId w:val="78"/>
              </w:numPr>
              <w:jc w:val="left"/>
              <w:rPr>
                <w:rFonts w:asciiTheme="minorHAnsi" w:hAnsiTheme="minorHAnsi" w:cstheme="minorHAnsi"/>
                <w:bCs/>
                <w:sz w:val="20"/>
              </w:rPr>
            </w:pPr>
            <w:r w:rsidRPr="0017778E">
              <w:rPr>
                <w:rFonts w:asciiTheme="minorHAnsi" w:hAnsiTheme="minorHAnsi" w:cstheme="minorHAnsi"/>
                <w:bCs/>
                <w:sz w:val="20"/>
              </w:rPr>
              <w:t>finansowanie doskonalenia zawodowego nauczycieli,</w:t>
            </w:r>
          </w:p>
          <w:p w14:paraId="16155E87" w14:textId="479F049D" w:rsidR="0017778E" w:rsidRPr="0017778E" w:rsidRDefault="0017778E" w:rsidP="00F62734">
            <w:pPr>
              <w:numPr>
                <w:ilvl w:val="0"/>
                <w:numId w:val="78"/>
              </w:numPr>
              <w:jc w:val="left"/>
              <w:rPr>
                <w:rFonts w:asciiTheme="minorHAnsi" w:hAnsiTheme="minorHAnsi" w:cstheme="minorHAnsi"/>
                <w:bCs/>
                <w:sz w:val="20"/>
              </w:rPr>
            </w:pPr>
            <w:r w:rsidRPr="0017778E">
              <w:rPr>
                <w:rFonts w:asciiTheme="minorHAnsi" w:hAnsiTheme="minorHAnsi" w:cstheme="minorHAnsi"/>
                <w:bCs/>
                <w:sz w:val="20"/>
              </w:rPr>
              <w:lastRenderedPageBreak/>
              <w:t>szkolenia branżowe dla nauczycieli kształcenia zawodowego.</w:t>
            </w:r>
          </w:p>
          <w:p w14:paraId="4CD82FF1" w14:textId="77777777" w:rsidR="0017778E" w:rsidRPr="0017778E" w:rsidRDefault="0017778E" w:rsidP="0017778E">
            <w:pPr>
              <w:jc w:val="left"/>
              <w:rPr>
                <w:rFonts w:asciiTheme="minorHAnsi" w:hAnsiTheme="minorHAnsi" w:cstheme="minorHAnsi"/>
                <w:b/>
                <w:bCs/>
                <w:sz w:val="20"/>
              </w:rPr>
            </w:pPr>
            <w:r w:rsidRPr="0017778E">
              <w:rPr>
                <w:rFonts w:asciiTheme="minorHAnsi" w:hAnsiTheme="minorHAnsi" w:cstheme="minorHAnsi"/>
                <w:b/>
                <w:bCs/>
                <w:sz w:val="20"/>
              </w:rPr>
              <w:t>Link do dokumentów:</w:t>
            </w:r>
          </w:p>
          <w:p w14:paraId="1CB414A8" w14:textId="77777777" w:rsidR="0017778E" w:rsidRPr="0017778E" w:rsidRDefault="0017778E" w:rsidP="0017778E">
            <w:pPr>
              <w:jc w:val="left"/>
              <w:rPr>
                <w:rFonts w:asciiTheme="minorHAnsi" w:hAnsiTheme="minorHAnsi" w:cstheme="minorHAnsi"/>
                <w:b/>
                <w:bCs/>
                <w:sz w:val="20"/>
              </w:rPr>
            </w:pPr>
            <w:hyperlink r:id="rId137" w:history="1">
              <w:r w:rsidRPr="0017778E">
                <w:rPr>
                  <w:rStyle w:val="Hipercze"/>
                  <w:rFonts w:asciiTheme="minorHAnsi" w:hAnsiTheme="minorHAnsi" w:cstheme="minorHAnsi"/>
                  <w:b/>
                  <w:bCs/>
                  <w:sz w:val="20"/>
                </w:rPr>
                <w:t>https://zsu2030.mein.gov.pl/app/files/ZSU2030_ogolna.pdf</w:t>
              </w:r>
            </w:hyperlink>
          </w:p>
          <w:p w14:paraId="0D26D5C3" w14:textId="77777777" w:rsidR="0017778E" w:rsidRDefault="0017778E" w:rsidP="00D52164">
            <w:pPr>
              <w:jc w:val="left"/>
              <w:rPr>
                <w:rFonts w:asciiTheme="minorHAnsi" w:hAnsiTheme="minorHAnsi" w:cstheme="minorHAnsi"/>
                <w:b/>
                <w:bCs/>
                <w:sz w:val="20"/>
              </w:rPr>
            </w:pPr>
            <w:hyperlink r:id="rId138" w:history="1">
              <w:r w:rsidRPr="0017778E">
                <w:rPr>
                  <w:rStyle w:val="Hipercze"/>
                  <w:rFonts w:asciiTheme="minorHAnsi" w:hAnsiTheme="minorHAnsi" w:cstheme="minorHAnsi"/>
                  <w:b/>
                  <w:bCs/>
                  <w:sz w:val="20"/>
                </w:rPr>
                <w:t>https://zsu2030.mein.gov.pl/app/files/ZSU2030_szczegolowa.pdf</w:t>
              </w:r>
            </w:hyperlink>
            <w:r w:rsidRPr="0017778E">
              <w:rPr>
                <w:rFonts w:asciiTheme="minorHAnsi" w:hAnsiTheme="minorHAnsi" w:cstheme="minorHAnsi"/>
                <w:b/>
                <w:bCs/>
                <w:sz w:val="20"/>
              </w:rPr>
              <w:t xml:space="preserve"> </w:t>
            </w:r>
          </w:p>
          <w:p w14:paraId="524FF904" w14:textId="1B5A808B" w:rsidR="00221397" w:rsidRPr="00221397" w:rsidRDefault="00246B56" w:rsidP="00221397">
            <w:pPr>
              <w:jc w:val="left"/>
              <w:rPr>
                <w:rFonts w:asciiTheme="minorHAnsi" w:hAnsiTheme="minorHAnsi" w:cstheme="minorHAnsi"/>
                <w:b/>
                <w:bCs/>
                <w:sz w:val="20"/>
              </w:rPr>
            </w:pPr>
            <w:r>
              <w:rPr>
                <w:rFonts w:asciiTheme="minorHAnsi" w:hAnsiTheme="minorHAnsi" w:cstheme="minorHAnsi"/>
                <w:b/>
                <w:bCs/>
                <w:sz w:val="20"/>
              </w:rPr>
              <w:t xml:space="preserve"> </w:t>
            </w:r>
            <w:r w:rsidR="00221397" w:rsidRPr="00221397">
              <w:rPr>
                <w:rFonts w:asciiTheme="minorHAnsi" w:hAnsiTheme="minorHAnsi" w:cstheme="minorHAnsi"/>
                <w:b/>
                <w:bCs/>
                <w:sz w:val="20"/>
              </w:rPr>
              <w:t>Kryterium 1</w:t>
            </w:r>
            <w:r w:rsidR="00221397">
              <w:rPr>
                <w:rFonts w:asciiTheme="minorHAnsi" w:hAnsiTheme="minorHAnsi" w:cstheme="minorHAnsi"/>
                <w:b/>
                <w:bCs/>
                <w:sz w:val="20"/>
              </w:rPr>
              <w:t>.</w:t>
            </w:r>
          </w:p>
          <w:p w14:paraId="6110EFC9" w14:textId="77777777"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Link do dokumentów:</w:t>
            </w:r>
          </w:p>
          <w:p w14:paraId="61CBC9FC" w14:textId="77777777" w:rsidR="00221397" w:rsidRPr="00221397" w:rsidRDefault="00221397" w:rsidP="00221397">
            <w:pPr>
              <w:jc w:val="left"/>
              <w:rPr>
                <w:rFonts w:asciiTheme="minorHAnsi" w:hAnsiTheme="minorHAnsi" w:cstheme="minorHAnsi"/>
                <w:b/>
                <w:bCs/>
                <w:sz w:val="20"/>
              </w:rPr>
            </w:pPr>
            <w:hyperlink r:id="rId139" w:history="1">
              <w:r w:rsidRPr="00221397">
                <w:rPr>
                  <w:rStyle w:val="Hipercze"/>
                  <w:rFonts w:asciiTheme="minorHAnsi" w:hAnsiTheme="minorHAnsi" w:cstheme="minorHAnsi"/>
                  <w:b/>
                  <w:bCs/>
                  <w:sz w:val="20"/>
                </w:rPr>
                <w:t>https://zsu2030.mein.gov.pl/app/files/ZSU2030_ogolna.pdf</w:t>
              </w:r>
            </w:hyperlink>
          </w:p>
          <w:p w14:paraId="6210ABD3" w14:textId="0C7E0534" w:rsidR="00221397" w:rsidRPr="00221397" w:rsidRDefault="00221397" w:rsidP="00221397">
            <w:pPr>
              <w:jc w:val="left"/>
              <w:rPr>
                <w:rFonts w:asciiTheme="minorHAnsi" w:hAnsiTheme="minorHAnsi" w:cstheme="minorHAnsi"/>
                <w:b/>
                <w:bCs/>
                <w:sz w:val="20"/>
              </w:rPr>
            </w:pPr>
            <w:hyperlink r:id="rId140" w:history="1">
              <w:r w:rsidRPr="00221397">
                <w:rPr>
                  <w:rStyle w:val="Hipercze"/>
                  <w:rFonts w:asciiTheme="minorHAnsi" w:hAnsiTheme="minorHAnsi" w:cstheme="minorHAnsi"/>
                  <w:b/>
                  <w:bCs/>
                  <w:sz w:val="20"/>
                </w:rPr>
                <w:t>https://zsu2030.mein.gov.pl/app/files/ZSU2030_szczegolowa.pdf</w:t>
              </w:r>
            </w:hyperlink>
          </w:p>
          <w:p w14:paraId="7D1709CB" w14:textId="2E9F3D0A"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
                <w:bCs/>
                <w:sz w:val="20"/>
              </w:rPr>
              <w:t>Kryterium 2</w:t>
            </w:r>
            <w:r>
              <w:rPr>
                <w:rFonts w:asciiTheme="minorHAnsi" w:hAnsiTheme="minorHAnsi" w:cstheme="minorHAnsi"/>
                <w:bCs/>
                <w:sz w:val="20"/>
              </w:rPr>
              <w:t>.</w:t>
            </w:r>
            <w:r w:rsidRPr="00221397">
              <w:rPr>
                <w:rFonts w:asciiTheme="minorHAnsi" w:hAnsiTheme="minorHAnsi" w:cstheme="minorHAnsi"/>
                <w:b/>
                <w:bCs/>
                <w:sz w:val="20"/>
              </w:rPr>
              <w:t xml:space="preserve"> </w:t>
            </w:r>
          </w:p>
          <w:p w14:paraId="77DFA5DB" w14:textId="77777777"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Link do dokumentów:</w:t>
            </w:r>
          </w:p>
          <w:p w14:paraId="59EABF2A" w14:textId="77777777" w:rsidR="00221397" w:rsidRPr="00221397" w:rsidRDefault="00221397" w:rsidP="00221397">
            <w:pPr>
              <w:jc w:val="left"/>
              <w:rPr>
                <w:rFonts w:asciiTheme="minorHAnsi" w:hAnsiTheme="minorHAnsi" w:cstheme="minorHAnsi"/>
                <w:b/>
                <w:bCs/>
                <w:sz w:val="20"/>
              </w:rPr>
            </w:pPr>
            <w:hyperlink r:id="rId141" w:history="1">
              <w:r w:rsidRPr="00221397">
                <w:rPr>
                  <w:rStyle w:val="Hipercze"/>
                  <w:rFonts w:asciiTheme="minorHAnsi" w:hAnsiTheme="minorHAnsi" w:cstheme="minorHAnsi"/>
                  <w:b/>
                  <w:bCs/>
                  <w:sz w:val="20"/>
                </w:rPr>
                <w:t>https://zsu2030.mein.gov.pl/app/files/ZSU2030_ogolna.pdf</w:t>
              </w:r>
            </w:hyperlink>
          </w:p>
          <w:p w14:paraId="1DB48ACC" w14:textId="77777777" w:rsidR="00221397" w:rsidRPr="00221397" w:rsidRDefault="00221397" w:rsidP="00221397">
            <w:pPr>
              <w:jc w:val="left"/>
              <w:rPr>
                <w:rFonts w:asciiTheme="minorHAnsi" w:hAnsiTheme="minorHAnsi" w:cstheme="minorHAnsi"/>
                <w:bCs/>
                <w:sz w:val="20"/>
              </w:rPr>
            </w:pPr>
            <w:hyperlink r:id="rId142" w:history="1">
              <w:r w:rsidRPr="00221397">
                <w:rPr>
                  <w:rStyle w:val="Hipercze"/>
                  <w:rFonts w:asciiTheme="minorHAnsi" w:hAnsiTheme="minorHAnsi" w:cstheme="minorHAnsi"/>
                  <w:b/>
                  <w:bCs/>
                  <w:sz w:val="20"/>
                </w:rPr>
                <w:t>https://zsu2030.mein.gov.pl/app/files/ZSU2030_szczegolowa.pdf</w:t>
              </w:r>
            </w:hyperlink>
          </w:p>
          <w:p w14:paraId="7E764675" w14:textId="4D556AB5"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Kryterium 3</w:t>
            </w:r>
            <w:r>
              <w:rPr>
                <w:rFonts w:asciiTheme="minorHAnsi" w:hAnsiTheme="minorHAnsi" w:cstheme="minorHAnsi"/>
                <w:b/>
                <w:bCs/>
                <w:sz w:val="20"/>
              </w:rPr>
              <w:t>.</w:t>
            </w:r>
          </w:p>
          <w:p w14:paraId="1A79E4F3" w14:textId="77777777"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Link do dokumentów:</w:t>
            </w:r>
          </w:p>
          <w:p w14:paraId="51510E3A" w14:textId="77777777" w:rsidR="00221397" w:rsidRPr="00221397" w:rsidRDefault="00221397" w:rsidP="00221397">
            <w:pPr>
              <w:jc w:val="left"/>
              <w:rPr>
                <w:rFonts w:asciiTheme="minorHAnsi" w:hAnsiTheme="minorHAnsi" w:cstheme="minorHAnsi"/>
                <w:b/>
                <w:bCs/>
                <w:sz w:val="20"/>
              </w:rPr>
            </w:pPr>
            <w:hyperlink r:id="rId143" w:history="1">
              <w:r w:rsidRPr="00221397">
                <w:rPr>
                  <w:rStyle w:val="Hipercze"/>
                  <w:rFonts w:asciiTheme="minorHAnsi" w:hAnsiTheme="minorHAnsi" w:cstheme="minorHAnsi"/>
                  <w:b/>
                  <w:bCs/>
                  <w:sz w:val="20"/>
                </w:rPr>
                <w:t>https://zsu2030.mein.gov.pl/app/files/ZSU2030_ogolna.pdf</w:t>
              </w:r>
            </w:hyperlink>
          </w:p>
          <w:p w14:paraId="2D9B99A5" w14:textId="77777777" w:rsidR="00221397" w:rsidRPr="00221397" w:rsidRDefault="00221397" w:rsidP="00221397">
            <w:pPr>
              <w:jc w:val="left"/>
              <w:rPr>
                <w:rFonts w:asciiTheme="minorHAnsi" w:hAnsiTheme="minorHAnsi" w:cstheme="minorHAnsi"/>
                <w:bCs/>
                <w:sz w:val="20"/>
              </w:rPr>
            </w:pPr>
            <w:hyperlink r:id="rId144" w:history="1">
              <w:r w:rsidRPr="00221397">
                <w:rPr>
                  <w:rStyle w:val="Hipercze"/>
                  <w:rFonts w:asciiTheme="minorHAnsi" w:hAnsiTheme="minorHAnsi" w:cstheme="minorHAnsi"/>
                  <w:b/>
                  <w:bCs/>
                  <w:sz w:val="20"/>
                </w:rPr>
                <w:t>https://zsu2030.mein.gov.pl/app/files/ZSU2030_szczegolowa.pdf</w:t>
              </w:r>
            </w:hyperlink>
          </w:p>
          <w:p w14:paraId="0466441A" w14:textId="0E14F475"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
                <w:bCs/>
                <w:sz w:val="20"/>
              </w:rPr>
              <w:t>Kryterium 4.</w:t>
            </w:r>
          </w:p>
          <w:p w14:paraId="624F4161" w14:textId="77777777"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Link do dokumentów:</w:t>
            </w:r>
          </w:p>
          <w:p w14:paraId="158C1F53" w14:textId="77777777" w:rsidR="00221397" w:rsidRPr="00221397" w:rsidRDefault="00221397" w:rsidP="00221397">
            <w:pPr>
              <w:jc w:val="left"/>
              <w:rPr>
                <w:rFonts w:asciiTheme="minorHAnsi" w:hAnsiTheme="minorHAnsi" w:cstheme="minorHAnsi"/>
                <w:b/>
                <w:bCs/>
                <w:sz w:val="20"/>
              </w:rPr>
            </w:pPr>
            <w:hyperlink r:id="rId145" w:history="1">
              <w:r w:rsidRPr="00221397">
                <w:rPr>
                  <w:rStyle w:val="Hipercze"/>
                  <w:rFonts w:asciiTheme="minorHAnsi" w:hAnsiTheme="minorHAnsi" w:cstheme="minorHAnsi"/>
                  <w:b/>
                  <w:bCs/>
                  <w:sz w:val="20"/>
                </w:rPr>
                <w:t>https://zsu2030.mein.gov.pl/app/files/ZSU2030_ogolna.pdf</w:t>
              </w:r>
            </w:hyperlink>
          </w:p>
          <w:p w14:paraId="2658EBCB" w14:textId="77777777" w:rsidR="00221397" w:rsidRDefault="00221397" w:rsidP="00D52164">
            <w:pPr>
              <w:jc w:val="left"/>
              <w:rPr>
                <w:rFonts w:asciiTheme="minorHAnsi" w:hAnsiTheme="minorHAnsi" w:cstheme="minorHAnsi"/>
                <w:b/>
                <w:bCs/>
                <w:sz w:val="20"/>
              </w:rPr>
            </w:pPr>
            <w:hyperlink r:id="rId146" w:history="1">
              <w:r w:rsidRPr="00221397">
                <w:rPr>
                  <w:rStyle w:val="Hipercze"/>
                  <w:rFonts w:asciiTheme="minorHAnsi" w:hAnsiTheme="minorHAnsi" w:cstheme="minorHAnsi"/>
                  <w:b/>
                  <w:bCs/>
                  <w:sz w:val="20"/>
                </w:rPr>
                <w:t>https://zsu2030.mein.gov.pl/app/files/ZSU2030_szczegolowa.pdf</w:t>
              </w:r>
            </w:hyperlink>
          </w:p>
          <w:p w14:paraId="688E6454" w14:textId="48920630"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Kryterium 5</w:t>
            </w:r>
            <w:r>
              <w:rPr>
                <w:rFonts w:asciiTheme="minorHAnsi" w:hAnsiTheme="minorHAnsi" w:cstheme="minorHAnsi"/>
                <w:b/>
                <w:bCs/>
                <w:sz w:val="20"/>
              </w:rPr>
              <w:t>.</w:t>
            </w:r>
          </w:p>
          <w:p w14:paraId="39ABCA6D" w14:textId="77777777"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Link do dokumentów:</w:t>
            </w:r>
          </w:p>
          <w:p w14:paraId="0E817E42" w14:textId="77777777" w:rsidR="00221397" w:rsidRPr="00221397" w:rsidRDefault="00221397" w:rsidP="00221397">
            <w:pPr>
              <w:jc w:val="left"/>
              <w:rPr>
                <w:rFonts w:asciiTheme="minorHAnsi" w:hAnsiTheme="minorHAnsi" w:cstheme="minorHAnsi"/>
                <w:b/>
                <w:bCs/>
                <w:sz w:val="20"/>
              </w:rPr>
            </w:pPr>
            <w:hyperlink r:id="rId147" w:history="1">
              <w:r w:rsidRPr="00221397">
                <w:rPr>
                  <w:rStyle w:val="Hipercze"/>
                  <w:rFonts w:asciiTheme="minorHAnsi" w:hAnsiTheme="minorHAnsi" w:cstheme="minorHAnsi"/>
                  <w:b/>
                  <w:bCs/>
                  <w:sz w:val="20"/>
                </w:rPr>
                <w:t>https://zsu2030.mein.gov.pl/app/files/ZSU2030_ogolna.pdf</w:t>
              </w:r>
            </w:hyperlink>
          </w:p>
          <w:p w14:paraId="46D3B3AC" w14:textId="77777777" w:rsidR="00221397" w:rsidRDefault="00221397" w:rsidP="00D52164">
            <w:pPr>
              <w:jc w:val="left"/>
              <w:rPr>
                <w:rFonts w:asciiTheme="minorHAnsi" w:hAnsiTheme="minorHAnsi" w:cstheme="minorHAnsi"/>
                <w:bCs/>
                <w:sz w:val="20"/>
              </w:rPr>
            </w:pPr>
            <w:hyperlink r:id="rId148" w:history="1">
              <w:r w:rsidRPr="00221397">
                <w:rPr>
                  <w:rStyle w:val="Hipercze"/>
                  <w:rFonts w:asciiTheme="minorHAnsi" w:hAnsiTheme="minorHAnsi" w:cstheme="minorHAnsi"/>
                  <w:b/>
                  <w:bCs/>
                  <w:sz w:val="20"/>
                </w:rPr>
                <w:t>https://zsu2030.mein.gov.pl/app/files/ZSU2030_szczegolowa.pdf</w:t>
              </w:r>
            </w:hyperlink>
          </w:p>
          <w:p w14:paraId="5F493ABC" w14:textId="46D6F36B"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Kryterium 6</w:t>
            </w:r>
            <w:r>
              <w:rPr>
                <w:rFonts w:asciiTheme="minorHAnsi" w:hAnsiTheme="minorHAnsi" w:cstheme="minorHAnsi"/>
                <w:b/>
                <w:bCs/>
                <w:sz w:val="20"/>
              </w:rPr>
              <w:t>.</w:t>
            </w:r>
          </w:p>
          <w:p w14:paraId="175F16CA" w14:textId="77777777" w:rsidR="00221397" w:rsidRPr="00221397" w:rsidRDefault="00221397" w:rsidP="00221397">
            <w:pPr>
              <w:jc w:val="left"/>
              <w:rPr>
                <w:rFonts w:asciiTheme="minorHAnsi" w:hAnsiTheme="minorHAnsi" w:cstheme="minorHAnsi"/>
                <w:b/>
                <w:bCs/>
                <w:sz w:val="20"/>
              </w:rPr>
            </w:pPr>
            <w:r w:rsidRPr="00221397">
              <w:rPr>
                <w:rFonts w:asciiTheme="minorHAnsi" w:hAnsiTheme="minorHAnsi" w:cstheme="minorHAnsi"/>
                <w:b/>
                <w:bCs/>
                <w:sz w:val="20"/>
              </w:rPr>
              <w:t>Link do dokumentów:</w:t>
            </w:r>
          </w:p>
          <w:p w14:paraId="35FA0AB7" w14:textId="51895726" w:rsidR="00221397" w:rsidRPr="00221397" w:rsidRDefault="00221397" w:rsidP="00221397">
            <w:pPr>
              <w:jc w:val="left"/>
              <w:rPr>
                <w:rFonts w:asciiTheme="minorHAnsi" w:hAnsiTheme="minorHAnsi" w:cstheme="minorHAnsi"/>
                <w:b/>
                <w:bCs/>
                <w:sz w:val="20"/>
              </w:rPr>
            </w:pPr>
            <w:hyperlink r:id="rId149" w:history="1">
              <w:r w:rsidRPr="00221397">
                <w:rPr>
                  <w:rStyle w:val="Hipercze"/>
                  <w:rFonts w:asciiTheme="minorHAnsi" w:hAnsiTheme="minorHAnsi" w:cstheme="minorHAnsi"/>
                  <w:b/>
                  <w:bCs/>
                  <w:sz w:val="20"/>
                </w:rPr>
                <w:t>https://zsu2030.mein.gov.pl/app/files/ZSU2030_ogolna.pdf</w:t>
              </w:r>
            </w:hyperlink>
          </w:p>
          <w:p w14:paraId="2B1ECD60" w14:textId="58D57AE2" w:rsidR="0017778E" w:rsidRPr="00221397" w:rsidRDefault="00221397" w:rsidP="00D52164">
            <w:pPr>
              <w:jc w:val="left"/>
              <w:rPr>
                <w:rFonts w:asciiTheme="minorHAnsi" w:hAnsiTheme="minorHAnsi" w:cstheme="minorHAnsi"/>
                <w:bCs/>
                <w:sz w:val="20"/>
              </w:rPr>
            </w:pPr>
            <w:hyperlink r:id="rId150" w:history="1">
              <w:r w:rsidRPr="00221397">
                <w:rPr>
                  <w:rStyle w:val="Hipercze"/>
                  <w:rFonts w:asciiTheme="minorHAnsi" w:hAnsiTheme="minorHAnsi" w:cstheme="minorHAnsi"/>
                  <w:b/>
                  <w:bCs/>
                  <w:sz w:val="20"/>
                </w:rPr>
                <w:t>https://zsu2030.mein.gov.pl/app/files/ZSU2030_szczegolowa.pdf</w:t>
              </w:r>
            </w:hyperlink>
            <w:hyperlink w:history="1"/>
          </w:p>
          <w:p w14:paraId="657AAD91" w14:textId="77777777" w:rsidR="00D52164" w:rsidRPr="00890249" w:rsidRDefault="00D52164" w:rsidP="0017778E">
            <w:pPr>
              <w:jc w:val="left"/>
              <w:rPr>
                <w:rFonts w:asciiTheme="minorHAnsi" w:eastAsia="Times New Roman" w:hAnsiTheme="minorHAnsi" w:cstheme="minorHAnsi"/>
                <w:iCs/>
                <w:noProof/>
                <w:sz w:val="20"/>
              </w:rPr>
            </w:pPr>
          </w:p>
        </w:tc>
        <w:tc>
          <w:tcPr>
            <w:tcW w:w="2977" w:type="dxa"/>
          </w:tcPr>
          <w:p w14:paraId="505CA50E" w14:textId="77777777" w:rsidR="00221397" w:rsidRPr="00221397" w:rsidRDefault="00221397" w:rsidP="00221397">
            <w:pPr>
              <w:spacing w:after="0"/>
              <w:jc w:val="left"/>
              <w:rPr>
                <w:rFonts w:asciiTheme="minorHAnsi" w:hAnsiTheme="minorHAnsi" w:cstheme="minorHAnsi"/>
                <w:b/>
                <w:bCs/>
                <w:sz w:val="20"/>
              </w:rPr>
            </w:pPr>
            <w:r w:rsidRPr="00221397">
              <w:rPr>
                <w:rFonts w:asciiTheme="minorHAnsi" w:hAnsiTheme="minorHAnsi" w:cstheme="minorHAnsi"/>
                <w:b/>
                <w:bCs/>
                <w:sz w:val="20"/>
              </w:rPr>
              <w:lastRenderedPageBreak/>
              <w:t>Kryterium 1. Spełnione</w:t>
            </w:r>
          </w:p>
          <w:p w14:paraId="0D34E3B4"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Ramy strategiczne zostały określone w</w:t>
            </w:r>
          </w:p>
          <w:p w14:paraId="41102D28"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 xml:space="preserve">1.Strategiina rzecz Odpowiedzialnego Rozwoju do </w:t>
            </w:r>
            <w:r w:rsidRPr="00F62734">
              <w:rPr>
                <w:rFonts w:asciiTheme="minorHAnsi" w:hAnsiTheme="minorHAnsi" w:cstheme="minorHAnsi"/>
                <w:sz w:val="20"/>
              </w:rPr>
              <w:lastRenderedPageBreak/>
              <w:t>roku 2020 (z perspektywą do 2030 r.),</w:t>
            </w:r>
          </w:p>
          <w:p w14:paraId="24A13D49"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 xml:space="preserve">2.Zintegrowanej Strategii Umiejętności 2030 (część ogólna) – Priorytet 4. Zbudowanie efektywnego systemu diagnozowania i informowania o obecnym stanie i zapotrzebowaniu na umiejętności, </w:t>
            </w:r>
          </w:p>
          <w:p w14:paraId="58B8E69F"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3.Zintegrowanej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48743814"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 xml:space="preserve">Ponadto, corocznie ustalana jest prognoza zapotrzebowania na pracowników w zawodach szkolnictwa branżowego na krajowym i wojewódzkim rynku pracy. </w:t>
            </w:r>
          </w:p>
          <w:p w14:paraId="503BB0F8" w14:textId="77777777" w:rsidR="00221397" w:rsidRPr="00221397" w:rsidRDefault="00221397" w:rsidP="00221397">
            <w:pPr>
              <w:spacing w:after="0"/>
              <w:jc w:val="left"/>
              <w:rPr>
                <w:rFonts w:asciiTheme="minorHAnsi" w:hAnsiTheme="minorHAnsi" w:cstheme="minorHAnsi"/>
                <w:b/>
                <w:bCs/>
                <w:sz w:val="20"/>
              </w:rPr>
            </w:pPr>
            <w:r w:rsidRPr="00221397">
              <w:rPr>
                <w:rFonts w:asciiTheme="minorHAnsi" w:hAnsiTheme="minorHAnsi" w:cstheme="minorHAnsi"/>
                <w:b/>
                <w:bCs/>
                <w:sz w:val="20"/>
              </w:rPr>
              <w:t>Kryterium 2. Spełnione</w:t>
            </w:r>
          </w:p>
          <w:p w14:paraId="1D0107DE"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lastRenderedPageBreak/>
              <w:t>Ramy strategiczne zostały określone w</w:t>
            </w:r>
          </w:p>
          <w:p w14:paraId="4B978718"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1.Strategii na rzecz Odpowiedzialnego Rozwoju do roku 2020 (z perspektywą do 2030 r.),</w:t>
            </w:r>
          </w:p>
          <w:p w14:paraId="0F268D72" w14:textId="77777777"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 xml:space="preserve">2. Zintegrowanej Strategii Umiejętności 2030 (część ogólna) – Priorytet 4. Zbudowanie efektywnego systemu diagnozowania i informowania o obecnym stanie i zapotrzebowaniu na umiejętności, </w:t>
            </w:r>
          </w:p>
          <w:p w14:paraId="70C065F8" w14:textId="3DCBE3B3" w:rsidR="00221397" w:rsidRPr="00F62734" w:rsidRDefault="00221397" w:rsidP="00221397">
            <w:pPr>
              <w:spacing w:after="0"/>
              <w:jc w:val="left"/>
              <w:rPr>
                <w:rFonts w:asciiTheme="minorHAnsi" w:hAnsiTheme="minorHAnsi" w:cstheme="minorHAnsi"/>
                <w:sz w:val="20"/>
              </w:rPr>
            </w:pPr>
            <w:r w:rsidRPr="00F62734">
              <w:rPr>
                <w:rFonts w:asciiTheme="minorHAnsi" w:hAnsiTheme="minorHAnsi" w:cstheme="minorHAnsi"/>
                <w:sz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2015396D" w14:textId="015AEB3C" w:rsidR="00221397" w:rsidRPr="00F62734" w:rsidRDefault="00221397" w:rsidP="00325D70">
            <w:pPr>
              <w:spacing w:after="0"/>
              <w:jc w:val="left"/>
              <w:rPr>
                <w:rFonts w:asciiTheme="minorHAnsi" w:hAnsiTheme="minorHAnsi" w:cstheme="minorHAnsi"/>
                <w:sz w:val="20"/>
              </w:rPr>
            </w:pPr>
            <w:r w:rsidRPr="00F62734">
              <w:rPr>
                <w:rFonts w:asciiTheme="minorHAnsi" w:hAnsiTheme="minorHAnsi" w:cstheme="minorHAnsi"/>
                <w:sz w:val="20"/>
              </w:rPr>
              <w:t xml:space="preserve">Ponadto, funkcjonuje system monitorowania Ekonomicznych Losów Absolwentów ELA,  monitoring karier absolwentów </w:t>
            </w:r>
            <w:r w:rsidRPr="00F62734">
              <w:rPr>
                <w:rFonts w:asciiTheme="minorHAnsi" w:hAnsiTheme="minorHAnsi" w:cstheme="minorHAnsi"/>
                <w:sz w:val="20"/>
              </w:rPr>
              <w:lastRenderedPageBreak/>
              <w:t>publicznych i niepublicznych szkół ponadpodstawowych.</w:t>
            </w:r>
          </w:p>
          <w:p w14:paraId="5B47ACFB" w14:textId="2BE1657C" w:rsidR="00D52164" w:rsidRPr="00890249" w:rsidRDefault="00D52164" w:rsidP="00325D70">
            <w:pPr>
              <w:jc w:val="left"/>
              <w:rPr>
                <w:rFonts w:asciiTheme="minorHAnsi" w:eastAsia="Times New Roman" w:hAnsiTheme="minorHAnsi" w:cstheme="minorHAnsi"/>
                <w:iCs/>
                <w:noProof/>
                <w:sz w:val="20"/>
              </w:rPr>
            </w:pPr>
          </w:p>
        </w:tc>
      </w:tr>
      <w:tr w:rsidR="00D52164" w:rsidRPr="00890249" w14:paraId="42D2B05D" w14:textId="77777777" w:rsidTr="00F62734">
        <w:tc>
          <w:tcPr>
            <w:tcW w:w="1560" w:type="dxa"/>
            <w:vMerge/>
          </w:tcPr>
          <w:p w14:paraId="6814A7E3"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7B79961D"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0280D0E6"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22DAAC7F"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3A184CAC"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3</w:t>
            </w:r>
          </w:p>
          <w:p w14:paraId="5142265E" w14:textId="77777777" w:rsidR="00D52164" w:rsidRPr="00890249" w:rsidRDefault="00D52164" w:rsidP="00D52164">
            <w:pPr>
              <w:jc w:val="left"/>
              <w:rPr>
                <w:rFonts w:asciiTheme="minorHAnsi" w:hAnsiTheme="minorHAnsi" w:cstheme="minorHAnsi"/>
                <w:b/>
                <w:bCs/>
                <w:sz w:val="20"/>
              </w:rPr>
            </w:pPr>
          </w:p>
          <w:p w14:paraId="71C6D3B7"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p w14:paraId="73B4FF13" w14:textId="77777777" w:rsidR="00D52164" w:rsidRPr="00890249" w:rsidRDefault="00D52164" w:rsidP="00D52164">
            <w:pPr>
              <w:jc w:val="left"/>
              <w:rPr>
                <w:rFonts w:asciiTheme="minorHAnsi" w:hAnsiTheme="minorHAnsi" w:cstheme="minorHAnsi"/>
                <w:noProof/>
                <w:sz w:val="20"/>
              </w:rPr>
            </w:pPr>
          </w:p>
        </w:tc>
        <w:tc>
          <w:tcPr>
            <w:tcW w:w="1134" w:type="dxa"/>
            <w:vMerge/>
          </w:tcPr>
          <w:p w14:paraId="01AA75D1" w14:textId="77777777" w:rsidR="00D52164" w:rsidRPr="00890249" w:rsidRDefault="00D52164" w:rsidP="00D52164">
            <w:pPr>
              <w:jc w:val="left"/>
              <w:rPr>
                <w:rFonts w:asciiTheme="minorHAnsi" w:hAnsiTheme="minorHAnsi" w:cstheme="minorHAnsi"/>
                <w:noProof/>
                <w:sz w:val="20"/>
              </w:rPr>
            </w:pPr>
          </w:p>
        </w:tc>
        <w:tc>
          <w:tcPr>
            <w:tcW w:w="3402" w:type="dxa"/>
            <w:vMerge/>
          </w:tcPr>
          <w:p w14:paraId="0376746C"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725D0E21" w14:textId="00FF188C" w:rsidR="00923332"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 xml:space="preserve">Kryterium 3. </w:t>
            </w:r>
            <w:r w:rsidR="00221397">
              <w:rPr>
                <w:rFonts w:asciiTheme="minorHAnsi" w:hAnsiTheme="minorHAnsi" w:cstheme="minorHAnsi"/>
                <w:b/>
                <w:bCs/>
                <w:sz w:val="20"/>
              </w:rPr>
              <w:t>S</w:t>
            </w:r>
            <w:r w:rsidRPr="00890249">
              <w:rPr>
                <w:rFonts w:asciiTheme="minorHAnsi" w:hAnsiTheme="minorHAnsi" w:cstheme="minorHAnsi"/>
                <w:b/>
                <w:bCs/>
                <w:sz w:val="20"/>
              </w:rPr>
              <w:t>pełnione</w:t>
            </w:r>
          </w:p>
          <w:p w14:paraId="1B0AA1D8"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Ramy strategiczne określone w:</w:t>
            </w:r>
          </w:p>
          <w:p w14:paraId="01EF96BE"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1.</w:t>
            </w:r>
            <w:r w:rsidRPr="00221397">
              <w:rPr>
                <w:rFonts w:asciiTheme="minorHAnsi" w:hAnsiTheme="minorHAnsi" w:cstheme="minorHAnsi"/>
                <w:bCs/>
                <w:sz w:val="20"/>
              </w:rPr>
              <w:tab/>
              <w:t xml:space="preserve">Strategii na rzecz Odpowiedzialnego Rozwoju </w:t>
            </w:r>
          </w:p>
          <w:p w14:paraId="5F769E22"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2.</w:t>
            </w:r>
            <w:r w:rsidRPr="00221397">
              <w:rPr>
                <w:rFonts w:asciiTheme="minorHAnsi" w:hAnsiTheme="minorHAnsi" w:cstheme="minorHAnsi"/>
                <w:bCs/>
                <w:sz w:val="20"/>
              </w:rPr>
              <w:tab/>
              <w:t xml:space="preserve">ZSU 2030 (cz. ogólna) –  Priorytet 1, Priorytet 6, </w:t>
            </w:r>
          </w:p>
          <w:p w14:paraId="649D7783"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3.</w:t>
            </w:r>
            <w:r w:rsidRPr="00221397">
              <w:rPr>
                <w:rFonts w:asciiTheme="minorHAnsi" w:hAnsiTheme="minorHAnsi" w:cstheme="minorHAnsi"/>
                <w:bCs/>
                <w:sz w:val="20"/>
              </w:rPr>
              <w:tab/>
              <w:t xml:space="preserve">ZSU 2030 (cz. szczegółowa) – Obszar oddziaływania I </w:t>
            </w:r>
          </w:p>
          <w:p w14:paraId="07FEC26C"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 xml:space="preserve">Ponadto: </w:t>
            </w:r>
          </w:p>
          <w:p w14:paraId="537556F1"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a)</w:t>
            </w:r>
            <w:r w:rsidRPr="00221397">
              <w:rPr>
                <w:rFonts w:asciiTheme="minorHAnsi" w:hAnsiTheme="minorHAnsi" w:cstheme="minorHAnsi"/>
                <w:bCs/>
                <w:sz w:val="20"/>
              </w:rPr>
              <w:tab/>
              <w:t>akty prawne dot. równego dostępu do kształcenia: Prawo oświatowe, ustawa o systemie oświaty, Prawo o szkolnictwie wyższym i nauce, rozporządzenie MEN ws. ogólnych celów i zadań kształcenia w zawodach […], tworzona ustawa o wsparciu dzieci, uczniów i rodzin (wykaz prac legisl. RM UD319)</w:t>
            </w:r>
          </w:p>
          <w:p w14:paraId="57952DBF"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b)</w:t>
            </w:r>
            <w:r w:rsidRPr="00221397">
              <w:rPr>
                <w:rFonts w:asciiTheme="minorHAnsi" w:hAnsiTheme="minorHAnsi" w:cstheme="minorHAnsi"/>
                <w:bCs/>
                <w:sz w:val="20"/>
              </w:rPr>
              <w:tab/>
              <w:t xml:space="preserve">przedsięwzięcie MEN: „Włączeni w edukację" (wdrożenie edukacji włączającej </w:t>
            </w:r>
            <w:r w:rsidRPr="00221397">
              <w:rPr>
                <w:rFonts w:asciiTheme="minorHAnsi" w:hAnsiTheme="minorHAnsi" w:cstheme="minorHAnsi"/>
                <w:bCs/>
                <w:sz w:val="20"/>
              </w:rPr>
              <w:lastRenderedPageBreak/>
              <w:t>wysokiej jakości, zapewniającej wszystkim dzieciom i uczniom warunki do rozwijania potencjału oraz nabywania wiedzy i umiejętności niezbędnych do samodzielnego funkcjonowania w życiu dorosłym i włączenia społecznego; obejmuje prace legisl. i działania wdrożeniowe, w tym projekty:</w:t>
            </w:r>
          </w:p>
          <w:p w14:paraId="1108DC32" w14:textId="77777777" w:rsidR="00221397" w:rsidRPr="00221397" w:rsidRDefault="00221397" w:rsidP="00221397">
            <w:pPr>
              <w:numPr>
                <w:ilvl w:val="0"/>
                <w:numId w:val="182"/>
              </w:numPr>
              <w:spacing w:after="0"/>
              <w:jc w:val="left"/>
              <w:rPr>
                <w:rFonts w:asciiTheme="minorHAnsi" w:hAnsiTheme="minorHAnsi" w:cstheme="minorHAnsi"/>
                <w:bCs/>
                <w:sz w:val="20"/>
              </w:rPr>
            </w:pPr>
            <w:r w:rsidRPr="00221397">
              <w:rPr>
                <w:rFonts w:asciiTheme="minorHAnsi" w:hAnsiTheme="minorHAnsi" w:cstheme="minorHAnsi"/>
                <w:bCs/>
                <w:sz w:val="20"/>
              </w:rPr>
              <w:t>Wspieranie dostępności edukacji dla dzieci i młodzieży</w:t>
            </w:r>
          </w:p>
          <w:p w14:paraId="1BF41B8B" w14:textId="77777777" w:rsidR="00221397" w:rsidRPr="00221397" w:rsidRDefault="00221397" w:rsidP="00221397">
            <w:pPr>
              <w:numPr>
                <w:ilvl w:val="0"/>
                <w:numId w:val="182"/>
              </w:numPr>
              <w:spacing w:after="0"/>
              <w:jc w:val="left"/>
              <w:rPr>
                <w:rFonts w:asciiTheme="minorHAnsi" w:hAnsiTheme="minorHAnsi" w:cstheme="minorHAnsi"/>
                <w:bCs/>
                <w:sz w:val="20"/>
              </w:rPr>
            </w:pPr>
            <w:r w:rsidRPr="00221397">
              <w:rPr>
                <w:rFonts w:asciiTheme="minorHAnsi" w:hAnsiTheme="minorHAnsi" w:cstheme="minorHAnsi"/>
                <w:bCs/>
                <w:sz w:val="20"/>
              </w:rPr>
              <w:t>Szkoła dostępna dla wszystkich</w:t>
            </w:r>
          </w:p>
          <w:p w14:paraId="7ED171DE" w14:textId="77777777" w:rsidR="00221397" w:rsidRPr="00221397" w:rsidRDefault="00221397" w:rsidP="00221397">
            <w:pPr>
              <w:numPr>
                <w:ilvl w:val="0"/>
                <w:numId w:val="182"/>
              </w:numPr>
              <w:spacing w:after="0"/>
              <w:jc w:val="left"/>
              <w:rPr>
                <w:rFonts w:asciiTheme="minorHAnsi" w:hAnsiTheme="minorHAnsi" w:cstheme="minorHAnsi"/>
                <w:bCs/>
                <w:sz w:val="20"/>
              </w:rPr>
            </w:pPr>
            <w:r w:rsidRPr="00221397">
              <w:rPr>
                <w:rFonts w:asciiTheme="minorHAnsi" w:hAnsiTheme="minorHAnsi" w:cstheme="minorHAnsi"/>
                <w:bCs/>
                <w:sz w:val="20"/>
              </w:rPr>
              <w:t>Przygotowanie kompleksowego wsparcia poradnictwa psychologiczno-pedagogicznego</w:t>
            </w:r>
          </w:p>
          <w:p w14:paraId="74EE130C" w14:textId="550F8B00" w:rsidR="00221397" w:rsidRPr="00221397" w:rsidRDefault="00221397" w:rsidP="00F62734">
            <w:pPr>
              <w:numPr>
                <w:ilvl w:val="0"/>
                <w:numId w:val="182"/>
              </w:numPr>
              <w:spacing w:after="0"/>
              <w:jc w:val="left"/>
              <w:rPr>
                <w:rFonts w:asciiTheme="minorHAnsi" w:hAnsiTheme="minorHAnsi" w:cstheme="minorHAnsi"/>
                <w:bCs/>
                <w:sz w:val="20"/>
              </w:rPr>
            </w:pPr>
            <w:r w:rsidRPr="00221397">
              <w:rPr>
                <w:rFonts w:asciiTheme="minorHAnsi" w:hAnsiTheme="minorHAnsi" w:cstheme="minorHAnsi"/>
                <w:bCs/>
                <w:sz w:val="20"/>
              </w:rPr>
              <w:t>Budowa skoordynowanego systemu pomocy specjalistycznej opartego na Specjalistycznych Centrach Wspierających Edukację Włączającą</w:t>
            </w:r>
          </w:p>
          <w:p w14:paraId="623FC0C2" w14:textId="0D537B10" w:rsidR="00D52164" w:rsidRPr="00890249" w:rsidRDefault="00D52164" w:rsidP="00325D70">
            <w:pPr>
              <w:ind w:firstLine="708"/>
              <w:jc w:val="left"/>
              <w:rPr>
                <w:rFonts w:asciiTheme="minorHAnsi" w:eastAsia="Times New Roman" w:hAnsiTheme="minorHAnsi" w:cstheme="minorHAnsi"/>
                <w:iCs/>
                <w:noProof/>
                <w:sz w:val="20"/>
              </w:rPr>
            </w:pPr>
          </w:p>
        </w:tc>
      </w:tr>
      <w:tr w:rsidR="00D52164" w:rsidRPr="00890249" w14:paraId="221033FA" w14:textId="77777777" w:rsidTr="00F62734">
        <w:tc>
          <w:tcPr>
            <w:tcW w:w="1560" w:type="dxa"/>
            <w:vMerge/>
          </w:tcPr>
          <w:p w14:paraId="27C4AA1E"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3EBEFB91"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3FC5CC22"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223501C1"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669114F0"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4</w:t>
            </w:r>
          </w:p>
          <w:p w14:paraId="66DD347F" w14:textId="77777777" w:rsidR="00D52164" w:rsidRPr="00890249" w:rsidRDefault="00D52164" w:rsidP="00D52164">
            <w:pPr>
              <w:jc w:val="left"/>
              <w:rPr>
                <w:rFonts w:asciiTheme="minorHAnsi" w:hAnsiTheme="minorHAnsi" w:cstheme="minorHAnsi"/>
                <w:b/>
                <w:bCs/>
                <w:sz w:val="20"/>
              </w:rPr>
            </w:pPr>
          </w:p>
          <w:p w14:paraId="4F33C8E6"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Mechanizm koordynacji obejmujący wszystkie poziomy kształcenia i szkolenia, w tym szkolnictwo wyższe, oraz jasny podział obowiązków między odpowiednimi organami krajowymi lub regionalnymi</w:t>
            </w:r>
          </w:p>
          <w:p w14:paraId="10AEF474" w14:textId="77777777" w:rsidR="00D52164" w:rsidRPr="00890249" w:rsidRDefault="00D52164" w:rsidP="00D52164">
            <w:pPr>
              <w:jc w:val="left"/>
              <w:rPr>
                <w:rFonts w:asciiTheme="minorHAnsi" w:hAnsiTheme="minorHAnsi" w:cstheme="minorHAnsi"/>
                <w:noProof/>
                <w:sz w:val="20"/>
              </w:rPr>
            </w:pPr>
          </w:p>
        </w:tc>
        <w:tc>
          <w:tcPr>
            <w:tcW w:w="1134" w:type="dxa"/>
            <w:vMerge/>
          </w:tcPr>
          <w:p w14:paraId="22E4B1E7" w14:textId="77777777" w:rsidR="00D52164" w:rsidRPr="00890249" w:rsidRDefault="00D52164" w:rsidP="00D52164">
            <w:pPr>
              <w:jc w:val="left"/>
              <w:rPr>
                <w:rFonts w:asciiTheme="minorHAnsi" w:hAnsiTheme="minorHAnsi" w:cstheme="minorHAnsi"/>
                <w:noProof/>
                <w:sz w:val="20"/>
              </w:rPr>
            </w:pPr>
          </w:p>
        </w:tc>
        <w:tc>
          <w:tcPr>
            <w:tcW w:w="3402" w:type="dxa"/>
            <w:vMerge/>
          </w:tcPr>
          <w:p w14:paraId="3A89A164"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D015531" w14:textId="77777777" w:rsidR="00FF5DAC" w:rsidRPr="00890249" w:rsidRDefault="00875C92" w:rsidP="00325D70">
            <w:pPr>
              <w:spacing w:after="0"/>
              <w:jc w:val="left"/>
              <w:rPr>
                <w:rFonts w:asciiTheme="minorHAnsi" w:hAnsiTheme="minorHAnsi" w:cstheme="minorHAnsi"/>
                <w:bCs/>
                <w:sz w:val="20"/>
              </w:rPr>
            </w:pPr>
            <w:r w:rsidRPr="00890249">
              <w:rPr>
                <w:rFonts w:asciiTheme="minorHAnsi" w:hAnsiTheme="minorHAnsi" w:cstheme="minorHAnsi"/>
                <w:b/>
                <w:bCs/>
                <w:sz w:val="20"/>
              </w:rPr>
              <w:t xml:space="preserve">Kryterium 4. Spełnione </w:t>
            </w:r>
          </w:p>
          <w:p w14:paraId="03FFFDD2"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Ramy strategiczne zostały określone w:</w:t>
            </w:r>
          </w:p>
          <w:p w14:paraId="0EB9149C" w14:textId="77777777" w:rsidR="00221397" w:rsidRPr="00221397" w:rsidRDefault="00221397" w:rsidP="00221397">
            <w:pPr>
              <w:numPr>
                <w:ilvl w:val="0"/>
                <w:numId w:val="82"/>
              </w:numPr>
              <w:spacing w:after="0"/>
              <w:jc w:val="left"/>
              <w:rPr>
                <w:rFonts w:asciiTheme="minorHAnsi" w:hAnsiTheme="minorHAnsi" w:cstheme="minorHAnsi"/>
                <w:bCs/>
                <w:sz w:val="20"/>
              </w:rPr>
            </w:pPr>
            <w:r w:rsidRPr="00221397">
              <w:rPr>
                <w:rFonts w:asciiTheme="minorHAnsi" w:hAnsiTheme="minorHAnsi" w:cstheme="minorHAnsi"/>
                <w:bCs/>
                <w:sz w:val="20"/>
              </w:rPr>
              <w:t>Zintegrowanej Strategii Umiejętności 2030 (część ogólna) – Priorytet 5. Wypracowanie skutecznych i trwałych mechanizmów współpracy i koordynacji międzyresortowej oraz międzysektorowej w zakresie rozwoju umiejętności,</w:t>
            </w:r>
          </w:p>
          <w:p w14:paraId="6D585926" w14:textId="77777777" w:rsidR="00221397" w:rsidRPr="00221397" w:rsidRDefault="00221397" w:rsidP="00221397">
            <w:pPr>
              <w:numPr>
                <w:ilvl w:val="0"/>
                <w:numId w:val="82"/>
              </w:numPr>
              <w:spacing w:after="0"/>
              <w:jc w:val="left"/>
              <w:rPr>
                <w:rFonts w:asciiTheme="minorHAnsi" w:hAnsiTheme="minorHAnsi" w:cstheme="minorHAnsi"/>
                <w:bCs/>
                <w:sz w:val="20"/>
              </w:rPr>
            </w:pPr>
            <w:r w:rsidRPr="00221397">
              <w:rPr>
                <w:rFonts w:asciiTheme="minorHAnsi" w:hAnsiTheme="minorHAnsi" w:cstheme="minorHAnsi"/>
                <w:bCs/>
                <w:sz w:val="20"/>
              </w:rPr>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14:paraId="7160EDC1" w14:textId="77777777" w:rsidR="00221397" w:rsidRPr="00221397" w:rsidRDefault="00221397" w:rsidP="00221397">
            <w:pPr>
              <w:numPr>
                <w:ilvl w:val="0"/>
                <w:numId w:val="82"/>
              </w:numPr>
              <w:spacing w:after="0"/>
              <w:jc w:val="left"/>
              <w:rPr>
                <w:rFonts w:asciiTheme="minorHAnsi" w:hAnsiTheme="minorHAnsi" w:cstheme="minorHAnsi"/>
                <w:bCs/>
                <w:sz w:val="20"/>
              </w:rPr>
            </w:pPr>
            <w:r w:rsidRPr="00221397">
              <w:rPr>
                <w:rFonts w:asciiTheme="minorHAnsi" w:hAnsiTheme="minorHAnsi" w:cstheme="minorHAnsi"/>
                <w:bCs/>
                <w:sz w:val="20"/>
              </w:rPr>
              <w:lastRenderedPageBreak/>
              <w:t>Ustawie o Zintegrowanym Systemie Kwalifikacji – rozdział 8 ustawy (Koordynacja funkcjonowania Zintegrowanego Systemu Kwalifikacji),</w:t>
            </w:r>
          </w:p>
          <w:p w14:paraId="2E8DF522" w14:textId="77777777" w:rsidR="00221397" w:rsidRPr="00221397" w:rsidRDefault="00221397" w:rsidP="00221397">
            <w:pPr>
              <w:numPr>
                <w:ilvl w:val="0"/>
                <w:numId w:val="82"/>
              </w:numPr>
              <w:spacing w:after="0"/>
              <w:jc w:val="left"/>
              <w:rPr>
                <w:rFonts w:asciiTheme="minorHAnsi" w:hAnsiTheme="minorHAnsi" w:cstheme="minorHAnsi"/>
                <w:bCs/>
                <w:sz w:val="20"/>
              </w:rPr>
            </w:pPr>
            <w:r w:rsidRPr="00221397">
              <w:rPr>
                <w:rFonts w:asciiTheme="minorHAnsi" w:hAnsiTheme="minorHAnsi" w:cstheme="minorHAnsi"/>
                <w:bCs/>
                <w:sz w:val="20"/>
              </w:rPr>
              <w:t xml:space="preserve">Ustawie o utworzeniu Polskiej Agencji Rozwoju Przedsiębiorczości – art. 4c ustanawiający: </w:t>
            </w:r>
          </w:p>
          <w:p w14:paraId="1701E21C" w14:textId="77777777" w:rsidR="00221397" w:rsidRPr="00221397" w:rsidRDefault="00221397" w:rsidP="00221397">
            <w:pPr>
              <w:numPr>
                <w:ilvl w:val="0"/>
                <w:numId w:val="83"/>
              </w:numPr>
              <w:spacing w:after="0"/>
              <w:jc w:val="left"/>
              <w:rPr>
                <w:rFonts w:asciiTheme="minorHAnsi" w:hAnsiTheme="minorHAnsi" w:cstheme="minorHAnsi"/>
                <w:bCs/>
                <w:sz w:val="20"/>
              </w:rPr>
            </w:pPr>
            <w:r w:rsidRPr="00221397">
              <w:rPr>
                <w:rFonts w:asciiTheme="minorHAnsi" w:hAnsiTheme="minorHAnsi" w:cstheme="minorHAnsi"/>
                <w:bCs/>
                <w:sz w:val="20"/>
              </w:rPr>
              <w:t>Radę Programową do spraw kompetencji,</w:t>
            </w:r>
          </w:p>
          <w:p w14:paraId="3E4C0DF6" w14:textId="77777777" w:rsidR="00221397" w:rsidRPr="00221397" w:rsidRDefault="00221397" w:rsidP="00221397">
            <w:pPr>
              <w:numPr>
                <w:ilvl w:val="0"/>
                <w:numId w:val="83"/>
              </w:numPr>
              <w:spacing w:after="0"/>
              <w:jc w:val="left"/>
              <w:rPr>
                <w:rFonts w:asciiTheme="minorHAnsi" w:hAnsiTheme="minorHAnsi" w:cstheme="minorHAnsi"/>
                <w:bCs/>
                <w:sz w:val="20"/>
              </w:rPr>
            </w:pPr>
            <w:r w:rsidRPr="00221397">
              <w:rPr>
                <w:rFonts w:asciiTheme="minorHAnsi" w:hAnsiTheme="minorHAnsi" w:cstheme="minorHAnsi"/>
                <w:bCs/>
                <w:sz w:val="20"/>
              </w:rPr>
              <w:t>sektorowe rady do spraw kompetencji.</w:t>
            </w:r>
          </w:p>
          <w:p w14:paraId="54C3EB7A" w14:textId="69B94D29" w:rsidR="00221397" w:rsidRDefault="00221397" w:rsidP="00325D70">
            <w:pPr>
              <w:spacing w:after="0"/>
              <w:jc w:val="left"/>
              <w:rPr>
                <w:rFonts w:asciiTheme="minorHAnsi" w:hAnsiTheme="minorHAnsi" w:cstheme="minorHAnsi"/>
                <w:bCs/>
                <w:sz w:val="20"/>
              </w:rPr>
            </w:pPr>
            <w:r w:rsidRPr="00221397">
              <w:rPr>
                <w:rFonts w:asciiTheme="minorHAnsi" w:hAnsiTheme="minorHAnsi" w:cstheme="minorHAnsi"/>
                <w:bCs/>
                <w:sz w:val="20"/>
              </w:rPr>
              <w:t>Ponadto: projekt MEiN: „Wsparcie i rozwój mechanizmów współpracy i koordynacji na szczeblu krajowym i regionalnym w zakresie uczenia się przez całe życie”, projekt FRSE/MEN „Rozwój współpracy i koordynacji w zakresie uczenia się przez całe życie”.</w:t>
            </w:r>
          </w:p>
          <w:p w14:paraId="14EB4DB1" w14:textId="15B7E572" w:rsidR="00D52164" w:rsidRPr="00890249" w:rsidRDefault="00D52164" w:rsidP="00F62734">
            <w:pPr>
              <w:spacing w:after="0"/>
              <w:jc w:val="left"/>
              <w:rPr>
                <w:rFonts w:asciiTheme="minorHAnsi" w:hAnsiTheme="minorHAnsi" w:cstheme="minorHAnsi"/>
                <w:bCs/>
                <w:sz w:val="20"/>
              </w:rPr>
            </w:pPr>
          </w:p>
        </w:tc>
      </w:tr>
      <w:tr w:rsidR="00D52164" w:rsidRPr="00890249" w14:paraId="5EBF2644" w14:textId="77777777" w:rsidTr="00F62734">
        <w:tc>
          <w:tcPr>
            <w:tcW w:w="1560" w:type="dxa"/>
            <w:vMerge/>
          </w:tcPr>
          <w:p w14:paraId="62A6CBE5"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33E8F45F"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0AF3B4BC"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42694A11"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5C4B49BD"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5</w:t>
            </w:r>
          </w:p>
          <w:p w14:paraId="4F58B026" w14:textId="77777777" w:rsidR="00D52164" w:rsidRPr="00890249" w:rsidRDefault="00D52164" w:rsidP="00D52164">
            <w:pPr>
              <w:jc w:val="left"/>
              <w:rPr>
                <w:rFonts w:asciiTheme="minorHAnsi" w:hAnsiTheme="minorHAnsi" w:cstheme="minorHAnsi"/>
                <w:b/>
                <w:bCs/>
                <w:sz w:val="20"/>
              </w:rPr>
            </w:pPr>
          </w:p>
          <w:p w14:paraId="186A8F81"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Rozwiązania dotyczące monitorowania, ewaluacji i przeglądu ram strategicznych polityki</w:t>
            </w:r>
          </w:p>
          <w:p w14:paraId="4B0FF857" w14:textId="77777777" w:rsidR="00D52164" w:rsidRPr="00890249" w:rsidRDefault="00D52164" w:rsidP="00D52164">
            <w:pPr>
              <w:jc w:val="left"/>
              <w:rPr>
                <w:rFonts w:asciiTheme="minorHAnsi" w:hAnsiTheme="minorHAnsi" w:cstheme="minorHAnsi"/>
                <w:noProof/>
                <w:sz w:val="20"/>
              </w:rPr>
            </w:pPr>
          </w:p>
        </w:tc>
        <w:tc>
          <w:tcPr>
            <w:tcW w:w="1134" w:type="dxa"/>
            <w:vMerge/>
          </w:tcPr>
          <w:p w14:paraId="3EB70F73" w14:textId="77777777" w:rsidR="00D52164" w:rsidRPr="00890249" w:rsidRDefault="00D52164" w:rsidP="00D52164">
            <w:pPr>
              <w:jc w:val="left"/>
              <w:rPr>
                <w:rFonts w:asciiTheme="minorHAnsi" w:hAnsiTheme="minorHAnsi" w:cstheme="minorHAnsi"/>
                <w:noProof/>
                <w:sz w:val="20"/>
              </w:rPr>
            </w:pPr>
          </w:p>
        </w:tc>
        <w:tc>
          <w:tcPr>
            <w:tcW w:w="3402" w:type="dxa"/>
            <w:vMerge/>
          </w:tcPr>
          <w:p w14:paraId="0FD8938F"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02A19431" w14:textId="77777777" w:rsidR="00FF5DAC" w:rsidRPr="00890249" w:rsidRDefault="00875C92" w:rsidP="00325D70">
            <w:pPr>
              <w:spacing w:after="0"/>
              <w:jc w:val="left"/>
              <w:rPr>
                <w:rFonts w:asciiTheme="minorHAnsi" w:hAnsiTheme="minorHAnsi" w:cstheme="minorHAnsi"/>
                <w:b/>
                <w:sz w:val="20"/>
              </w:rPr>
            </w:pPr>
            <w:r w:rsidRPr="00890249">
              <w:rPr>
                <w:rFonts w:asciiTheme="minorHAnsi" w:hAnsiTheme="minorHAnsi" w:cstheme="minorHAnsi"/>
                <w:b/>
                <w:sz w:val="20"/>
              </w:rPr>
              <w:t xml:space="preserve">Kryterium 5. Spełnione </w:t>
            </w:r>
          </w:p>
          <w:p w14:paraId="3C126D85"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lastRenderedPageBreak/>
              <w:t>Ramy zostały określone w:</w:t>
            </w:r>
          </w:p>
          <w:p w14:paraId="2A005146"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1. ZSU 2030 (część ogólna) – Priorytet 5. oraz rozdział 10.</w:t>
            </w:r>
          </w:p>
          <w:p w14:paraId="693AA89E"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2. ZSU 2030 (część szczegółowa) – rozdział 3.</w:t>
            </w:r>
          </w:p>
          <w:p w14:paraId="0A63AC77"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 xml:space="preserve">3. Ustawie o Zintegrowanym Systemie Kwalifikacji – rozdział 8 ustawy </w:t>
            </w:r>
          </w:p>
          <w:p w14:paraId="2CDBF665"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 xml:space="preserve">4. Ustawie o utworzeniu Polskiej Agencji Rozwoju Przedsiębiorczości – art. 4c ustanawiający: </w:t>
            </w:r>
          </w:p>
          <w:p w14:paraId="0D885E21"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a)</w:t>
            </w:r>
            <w:r w:rsidRPr="00221397">
              <w:rPr>
                <w:rFonts w:asciiTheme="minorHAnsi" w:hAnsiTheme="minorHAnsi" w:cstheme="minorHAnsi"/>
                <w:bCs/>
                <w:sz w:val="20"/>
              </w:rPr>
              <w:tab/>
              <w:t>Radę Programową do spraw kompetencji,</w:t>
            </w:r>
          </w:p>
          <w:p w14:paraId="438FDEDF"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b)</w:t>
            </w:r>
            <w:r w:rsidRPr="00221397">
              <w:rPr>
                <w:rFonts w:asciiTheme="minorHAnsi" w:hAnsiTheme="minorHAnsi" w:cstheme="minorHAnsi"/>
                <w:bCs/>
                <w:sz w:val="20"/>
              </w:rPr>
              <w:tab/>
              <w:t>sektorowe rady do spraw kompetencji.</w:t>
            </w:r>
          </w:p>
          <w:p w14:paraId="0165E469"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Ponadto:</w:t>
            </w:r>
          </w:p>
          <w:p w14:paraId="3CF849FD"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a) funkcjonowanie Międzyresortowego Zespołu do spraw uczenia się przez całe życie i Zintegrowanego Systemu Kwalifikacji,</w:t>
            </w:r>
          </w:p>
          <w:p w14:paraId="1C3B5172" w14:textId="77777777" w:rsidR="00221397" w:rsidRPr="00221397" w:rsidRDefault="00221397" w:rsidP="00221397">
            <w:pPr>
              <w:spacing w:after="0"/>
              <w:jc w:val="left"/>
              <w:rPr>
                <w:rFonts w:asciiTheme="minorHAnsi" w:hAnsiTheme="minorHAnsi" w:cstheme="minorHAnsi"/>
                <w:bCs/>
                <w:sz w:val="20"/>
              </w:rPr>
            </w:pPr>
            <w:r w:rsidRPr="00221397">
              <w:rPr>
                <w:rFonts w:asciiTheme="minorHAnsi" w:hAnsiTheme="minorHAnsi" w:cstheme="minorHAnsi"/>
                <w:bCs/>
                <w:sz w:val="20"/>
              </w:rPr>
              <w:t xml:space="preserve">b) projekt MEiN „Wsparcie i rozwój mechanizmów współpracy i koordynacji na szczeblu krajowym i regionalnym w </w:t>
            </w:r>
            <w:r w:rsidRPr="00221397">
              <w:rPr>
                <w:rFonts w:asciiTheme="minorHAnsi" w:hAnsiTheme="minorHAnsi" w:cstheme="minorHAnsi"/>
                <w:bCs/>
                <w:sz w:val="20"/>
              </w:rPr>
              <w:lastRenderedPageBreak/>
              <w:t>zakresie uczenia się przez całe życie”.</w:t>
            </w:r>
          </w:p>
          <w:p w14:paraId="3C7F2515" w14:textId="55DC03BD" w:rsidR="00221397" w:rsidRDefault="00221397" w:rsidP="00325D70">
            <w:pPr>
              <w:spacing w:after="0"/>
              <w:jc w:val="left"/>
              <w:rPr>
                <w:rFonts w:asciiTheme="minorHAnsi" w:hAnsiTheme="minorHAnsi" w:cstheme="minorHAnsi"/>
                <w:bCs/>
                <w:sz w:val="20"/>
              </w:rPr>
            </w:pPr>
            <w:r w:rsidRPr="00221397">
              <w:rPr>
                <w:rFonts w:asciiTheme="minorHAnsi" w:hAnsiTheme="minorHAnsi" w:cstheme="minorHAnsi"/>
                <w:bCs/>
                <w:sz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2025 – I kw. 2026).</w:t>
            </w:r>
          </w:p>
          <w:p w14:paraId="3B08E17C" w14:textId="58DD8BE2" w:rsidR="00B72154" w:rsidRPr="00890249" w:rsidRDefault="00B72154" w:rsidP="009F296A">
            <w:pPr>
              <w:pStyle w:val="Akapitzlist"/>
              <w:numPr>
                <w:ilvl w:val="0"/>
                <w:numId w:val="121"/>
              </w:numPr>
              <w:jc w:val="left"/>
              <w:rPr>
                <w:rFonts w:asciiTheme="minorHAnsi" w:hAnsiTheme="minorHAnsi" w:cstheme="minorHAnsi"/>
              </w:rPr>
            </w:pPr>
          </w:p>
        </w:tc>
      </w:tr>
      <w:tr w:rsidR="00D52164" w:rsidRPr="00890249" w14:paraId="1EA23D10" w14:textId="77777777" w:rsidTr="00F62734">
        <w:tc>
          <w:tcPr>
            <w:tcW w:w="1560" w:type="dxa"/>
            <w:vMerge/>
          </w:tcPr>
          <w:p w14:paraId="662BDED6"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3C10934E"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62EFEFD3"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29D05F59"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39E6B02D"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6</w:t>
            </w:r>
          </w:p>
          <w:p w14:paraId="620175D4" w14:textId="77777777" w:rsidR="00D52164" w:rsidRPr="00890249" w:rsidRDefault="00D52164" w:rsidP="00D52164">
            <w:pPr>
              <w:jc w:val="left"/>
              <w:rPr>
                <w:rFonts w:asciiTheme="minorHAnsi" w:hAnsiTheme="minorHAnsi" w:cstheme="minorHAnsi"/>
                <w:b/>
                <w:bCs/>
                <w:sz w:val="20"/>
              </w:rPr>
            </w:pPr>
          </w:p>
          <w:p w14:paraId="6D122ACB"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Środki skierowane do osób dorosłych o niskich umiejętnościach zawodowych i niskich kwalifikacjach i osób znajdujących się w niekorzystnej sytuacji społeczno-ekonomicznej oraz ścieżki poprawy umiejętności;</w:t>
            </w:r>
          </w:p>
          <w:p w14:paraId="6D009359" w14:textId="77777777" w:rsidR="00D52164" w:rsidRPr="00890249" w:rsidRDefault="00D52164" w:rsidP="00D52164">
            <w:pPr>
              <w:jc w:val="left"/>
              <w:rPr>
                <w:rFonts w:asciiTheme="minorHAnsi" w:hAnsiTheme="minorHAnsi" w:cstheme="minorHAnsi"/>
                <w:noProof/>
                <w:sz w:val="20"/>
              </w:rPr>
            </w:pPr>
          </w:p>
        </w:tc>
        <w:tc>
          <w:tcPr>
            <w:tcW w:w="1134" w:type="dxa"/>
            <w:vMerge/>
          </w:tcPr>
          <w:p w14:paraId="4A21A2DC" w14:textId="77777777" w:rsidR="00D52164" w:rsidRPr="00890249" w:rsidRDefault="00D52164" w:rsidP="00D52164">
            <w:pPr>
              <w:jc w:val="left"/>
              <w:rPr>
                <w:rFonts w:asciiTheme="minorHAnsi" w:hAnsiTheme="minorHAnsi" w:cstheme="minorHAnsi"/>
                <w:noProof/>
                <w:sz w:val="20"/>
              </w:rPr>
            </w:pPr>
          </w:p>
        </w:tc>
        <w:tc>
          <w:tcPr>
            <w:tcW w:w="3402" w:type="dxa"/>
            <w:vMerge/>
          </w:tcPr>
          <w:p w14:paraId="0771B08F"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2F8F213C" w14:textId="77777777" w:rsidR="00FF5DAC" w:rsidRPr="00F62734" w:rsidRDefault="00FF5DAC" w:rsidP="00325D70">
            <w:pPr>
              <w:jc w:val="left"/>
              <w:rPr>
                <w:rFonts w:asciiTheme="minorHAnsi" w:hAnsiTheme="minorHAnsi" w:cstheme="minorHAnsi"/>
                <w:b/>
                <w:sz w:val="20"/>
              </w:rPr>
            </w:pPr>
            <w:r w:rsidRPr="00F62734">
              <w:rPr>
                <w:rFonts w:asciiTheme="minorHAnsi" w:hAnsiTheme="minorHAnsi" w:cstheme="minorHAnsi"/>
                <w:b/>
                <w:sz w:val="20"/>
              </w:rPr>
              <w:t>Kryterium 6. Spełnione</w:t>
            </w:r>
          </w:p>
          <w:p w14:paraId="5C669ED8"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Ramy zostały określone w:</w:t>
            </w:r>
          </w:p>
          <w:p w14:paraId="67E8A101"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1. Strategii na rzecz Odpowiedzialnego Rozwoju do roku 2020 (z perspektywą do 2030 r.)</w:t>
            </w:r>
          </w:p>
          <w:p w14:paraId="627589B7"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 xml:space="preserve">2. Zintegrowanej Strategii Umiejętności 2030 (część ogólna) – Priorytety: 1. Podnoszenie poziomu umiejętności kluczowych u dzieci, młodzieży i osób dorosłych; 2. Rozwijanie i upowszechnianie kultury uczenia się nastawionej na aktywny i ciągły rozwój umiejętności; 4. </w:t>
            </w:r>
            <w:r w:rsidRPr="00221397">
              <w:rPr>
                <w:rFonts w:asciiTheme="minorHAnsi" w:hAnsiTheme="minorHAnsi" w:cstheme="minorHAnsi"/>
                <w:bCs/>
                <w:sz w:val="20"/>
              </w:rPr>
              <w:lastRenderedPageBreak/>
              <w:t xml:space="preserve">Zbudowanie efektywnego systemu diagnozowania i informowania o obecnym stanie i zapotrzebowaniu na umiejętności; 6. </w:t>
            </w:r>
          </w:p>
          <w:p w14:paraId="52310FF7"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Wyrównywanie szans w dostępie do rozwoju i możliwości wykorzystania umiejętności.</w:t>
            </w:r>
          </w:p>
          <w:p w14:paraId="3F3E5271"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3. 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14:paraId="54ED9F7A"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Ponadto:</w:t>
            </w:r>
          </w:p>
          <w:p w14:paraId="3B0BF0C6"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a)</w:t>
            </w:r>
            <w:r w:rsidRPr="00221397">
              <w:rPr>
                <w:rFonts w:asciiTheme="minorHAnsi" w:hAnsiTheme="minorHAnsi" w:cstheme="minorHAnsi"/>
                <w:bCs/>
                <w:sz w:val="20"/>
              </w:rPr>
              <w:tab/>
              <w:t>funkcjonowanie Uniwersytetów Drugiego i Trzeciego Wieku</w:t>
            </w:r>
          </w:p>
          <w:p w14:paraId="5420B385"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t>b)</w:t>
            </w:r>
            <w:r w:rsidRPr="00221397">
              <w:rPr>
                <w:rFonts w:asciiTheme="minorHAnsi" w:hAnsiTheme="minorHAnsi" w:cstheme="minorHAnsi"/>
                <w:bCs/>
                <w:sz w:val="20"/>
              </w:rPr>
              <w:tab/>
              <w:t>przedsięwzięcie MEiN: „Lokalne Ośrodki Wiedzy i Edukacji”</w:t>
            </w:r>
          </w:p>
          <w:p w14:paraId="0593DC1F" w14:textId="77777777" w:rsidR="00221397" w:rsidRPr="00221397" w:rsidRDefault="00221397" w:rsidP="00221397">
            <w:pPr>
              <w:jc w:val="left"/>
              <w:rPr>
                <w:rFonts w:asciiTheme="minorHAnsi" w:hAnsiTheme="minorHAnsi" w:cstheme="minorHAnsi"/>
                <w:bCs/>
                <w:sz w:val="20"/>
              </w:rPr>
            </w:pPr>
            <w:r w:rsidRPr="00221397">
              <w:rPr>
                <w:rFonts w:asciiTheme="minorHAnsi" w:hAnsiTheme="minorHAnsi" w:cstheme="minorHAnsi"/>
                <w:bCs/>
                <w:sz w:val="20"/>
              </w:rPr>
              <w:lastRenderedPageBreak/>
              <w:t>c)</w:t>
            </w:r>
            <w:r w:rsidRPr="00221397">
              <w:rPr>
                <w:rFonts w:asciiTheme="minorHAnsi" w:hAnsiTheme="minorHAnsi" w:cstheme="minorHAnsi"/>
                <w:bCs/>
                <w:sz w:val="20"/>
              </w:rPr>
              <w:tab/>
              <w:t>projekt FRSE: „Szansa - nowe możliwości dla dorosłych”</w:t>
            </w:r>
          </w:p>
          <w:p w14:paraId="575E0CC0" w14:textId="78F55655" w:rsidR="00221397" w:rsidRDefault="00221397" w:rsidP="00325D70">
            <w:pPr>
              <w:jc w:val="left"/>
              <w:rPr>
                <w:rFonts w:asciiTheme="minorHAnsi" w:hAnsiTheme="minorHAnsi" w:cstheme="minorHAnsi"/>
                <w:bCs/>
                <w:sz w:val="20"/>
              </w:rPr>
            </w:pPr>
            <w:r w:rsidRPr="00221397">
              <w:rPr>
                <w:rFonts w:asciiTheme="minorHAnsi" w:hAnsiTheme="minorHAnsi" w:cstheme="minorHAnsi"/>
                <w:bCs/>
                <w:sz w:val="20"/>
              </w:rPr>
              <w:t>d)</w:t>
            </w:r>
            <w:r w:rsidRPr="00221397">
              <w:rPr>
                <w:rFonts w:asciiTheme="minorHAnsi" w:hAnsiTheme="minorHAnsi" w:cstheme="minorHAnsi"/>
                <w:bCs/>
                <w:sz w:val="20"/>
              </w:rPr>
              <w:tab/>
              <w:t xml:space="preserve">program Senior+.  </w:t>
            </w:r>
          </w:p>
          <w:p w14:paraId="12493C7D" w14:textId="677833AD" w:rsidR="00B72154" w:rsidRPr="00890249" w:rsidRDefault="16B682D9" w:rsidP="00325D70">
            <w:pPr>
              <w:spacing w:line="276" w:lineRule="auto"/>
              <w:jc w:val="left"/>
              <w:rPr>
                <w:rFonts w:asciiTheme="minorHAnsi" w:hAnsiTheme="minorHAnsi" w:cstheme="minorHAnsi"/>
                <w:sz w:val="20"/>
              </w:rPr>
            </w:pPr>
            <w:r w:rsidRPr="00890249">
              <w:rPr>
                <w:rFonts w:asciiTheme="minorHAnsi" w:hAnsiTheme="minorHAnsi" w:cstheme="minorHAnsi"/>
                <w:b/>
                <w:bCs/>
                <w:sz w:val="20"/>
              </w:rPr>
              <w:t xml:space="preserve"> </w:t>
            </w:r>
          </w:p>
        </w:tc>
      </w:tr>
      <w:tr w:rsidR="00D52164" w:rsidRPr="00890249" w14:paraId="685711B9" w14:textId="77777777" w:rsidTr="00F62734">
        <w:tc>
          <w:tcPr>
            <w:tcW w:w="1560" w:type="dxa"/>
            <w:vMerge/>
          </w:tcPr>
          <w:p w14:paraId="510D4463"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05055EF0"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3A17CFEA"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3E901CB9"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39AAC172"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7</w:t>
            </w:r>
          </w:p>
          <w:p w14:paraId="66CBFCE4" w14:textId="77777777" w:rsidR="00D52164" w:rsidRPr="00890249" w:rsidRDefault="00D52164" w:rsidP="00D52164">
            <w:pPr>
              <w:jc w:val="left"/>
              <w:rPr>
                <w:rFonts w:asciiTheme="minorHAnsi" w:hAnsiTheme="minorHAnsi" w:cstheme="minorHAnsi"/>
                <w:sz w:val="20"/>
              </w:rPr>
            </w:pPr>
          </w:p>
          <w:p w14:paraId="3AB1A5CC"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sz w:val="20"/>
              </w:rPr>
              <w:t>Środki na rzecz wspierania nauczycieli, osób prowadzących szkolenia i kadry akademickiej w odniesieniu do odpowiednich metod nauczania, oceny i walidacji kompetencji</w:t>
            </w:r>
          </w:p>
        </w:tc>
        <w:tc>
          <w:tcPr>
            <w:tcW w:w="1134" w:type="dxa"/>
            <w:vMerge/>
          </w:tcPr>
          <w:p w14:paraId="4C325D53" w14:textId="77777777" w:rsidR="00D52164" w:rsidRPr="00890249" w:rsidRDefault="00D52164" w:rsidP="00D52164">
            <w:pPr>
              <w:jc w:val="left"/>
              <w:rPr>
                <w:rFonts w:asciiTheme="minorHAnsi" w:hAnsiTheme="minorHAnsi" w:cstheme="minorHAnsi"/>
                <w:noProof/>
                <w:sz w:val="20"/>
              </w:rPr>
            </w:pPr>
          </w:p>
        </w:tc>
        <w:tc>
          <w:tcPr>
            <w:tcW w:w="3402" w:type="dxa"/>
            <w:vMerge/>
          </w:tcPr>
          <w:p w14:paraId="4333074D"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17AC001F" w14:textId="77777777" w:rsidR="00923332"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7. Spełnione</w:t>
            </w:r>
          </w:p>
          <w:p w14:paraId="665596C6"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Ramy zostały określone w:</w:t>
            </w:r>
          </w:p>
          <w:p w14:paraId="7C860779"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1. ustawie Karta Nauczyciela – Rozdział 7a: Finansowanie dokształcania i doskonalenia zawodowego nauczycieli,</w:t>
            </w:r>
          </w:p>
          <w:p w14:paraId="3CD9B7E0"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2. rozporządzeniu Ministra Edukacji Narodowej w sprawie dofinansowania doskonalenia zawodowego nauczycieli, szczegółowych celów szkolenia branżowego oraz trybu i warunków kierowania nauczycieli na szkolenia branżowe,</w:t>
            </w:r>
          </w:p>
          <w:p w14:paraId="076FDD3A"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3. ustawie Prawo o szkolnictwie wyższym i nauce – Dział XII Finansowanie systemu szkolnictwa wyższego i nauki oraz gospodarka finansowa uczelni (m.in. „Doktorat wdrożeniowy”),</w:t>
            </w:r>
          </w:p>
          <w:p w14:paraId="6986AD2B"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 xml:space="preserve">4. Zintegrowanej Strategii Umiejętności 2030 (część ogólna) – Priorytety: 2. Rozwijanie i </w:t>
            </w:r>
            <w:r w:rsidRPr="00D25ED9">
              <w:rPr>
                <w:rFonts w:asciiTheme="minorHAnsi" w:hAnsiTheme="minorHAnsi" w:cstheme="minorHAnsi"/>
                <w:bCs/>
                <w:sz w:val="20"/>
              </w:rPr>
              <w:lastRenderedPageBreak/>
              <w:t>upowszechnianie kultury uczenia się (…); 5. Wypracowanie skutecznych i trwałych mechanizmów (…); 6. Wyrównywanie szans w dostępie do rozwoju (…),</w:t>
            </w:r>
          </w:p>
          <w:p w14:paraId="7D6DB55C" w14:textId="135D474B" w:rsidR="00D25ED9" w:rsidRDefault="00D25ED9" w:rsidP="00325D70">
            <w:pPr>
              <w:spacing w:after="0"/>
              <w:jc w:val="left"/>
              <w:rPr>
                <w:rFonts w:asciiTheme="minorHAnsi" w:hAnsiTheme="minorHAnsi" w:cstheme="minorHAnsi"/>
                <w:bCs/>
                <w:sz w:val="20"/>
              </w:rPr>
            </w:pPr>
            <w:r w:rsidRPr="00D25ED9">
              <w:rPr>
                <w:rFonts w:asciiTheme="minorHAnsi" w:hAnsiTheme="minorHAnsi" w:cstheme="minorHAnsi"/>
                <w:bCs/>
                <w:sz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33C6AFE7" w14:textId="28C5E08B" w:rsidR="00B72154" w:rsidRPr="00890249" w:rsidRDefault="00B72154" w:rsidP="009F296A">
            <w:pPr>
              <w:pStyle w:val="Akapitzlist"/>
              <w:numPr>
                <w:ilvl w:val="0"/>
                <w:numId w:val="89"/>
              </w:numPr>
              <w:ind w:left="289" w:hanging="284"/>
              <w:jc w:val="left"/>
              <w:rPr>
                <w:rFonts w:asciiTheme="minorHAnsi" w:hAnsiTheme="minorHAnsi" w:cstheme="minorHAnsi"/>
              </w:rPr>
            </w:pPr>
          </w:p>
        </w:tc>
      </w:tr>
      <w:tr w:rsidR="00D52164" w:rsidRPr="00890249" w14:paraId="55D8FD79" w14:textId="77777777" w:rsidTr="00F62734">
        <w:tc>
          <w:tcPr>
            <w:tcW w:w="1560" w:type="dxa"/>
            <w:vMerge/>
          </w:tcPr>
          <w:p w14:paraId="6F4FDA1E"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656FB106"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08E72466"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266C2224"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1D6684B0"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8</w:t>
            </w:r>
          </w:p>
          <w:p w14:paraId="00FD23F7"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sz w:val="20"/>
              </w:rPr>
              <w:t xml:space="preserve">Środki na rzecz wspierania mobilności osób uczących się i kadry oraz transnarodowej współpracy podmiotów świadczących usługi w zakresie kształcenia i szkolenia, w tym przez </w:t>
            </w:r>
            <w:r w:rsidRPr="00890249">
              <w:rPr>
                <w:rFonts w:asciiTheme="minorHAnsi" w:hAnsiTheme="minorHAnsi" w:cstheme="minorHAnsi"/>
                <w:sz w:val="20"/>
              </w:rPr>
              <w:lastRenderedPageBreak/>
              <w:t>uznawanie efektów uczenia się i kwalifikacji.</w:t>
            </w:r>
          </w:p>
        </w:tc>
        <w:tc>
          <w:tcPr>
            <w:tcW w:w="1134" w:type="dxa"/>
            <w:vMerge/>
          </w:tcPr>
          <w:p w14:paraId="0A596DE9" w14:textId="77777777" w:rsidR="00D52164" w:rsidRPr="00890249" w:rsidRDefault="00D52164" w:rsidP="00D52164">
            <w:pPr>
              <w:jc w:val="left"/>
              <w:rPr>
                <w:rFonts w:asciiTheme="minorHAnsi" w:hAnsiTheme="minorHAnsi" w:cstheme="minorHAnsi"/>
                <w:noProof/>
                <w:sz w:val="20"/>
              </w:rPr>
            </w:pPr>
          </w:p>
        </w:tc>
        <w:tc>
          <w:tcPr>
            <w:tcW w:w="3402" w:type="dxa"/>
            <w:vMerge/>
          </w:tcPr>
          <w:p w14:paraId="23DA3972"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05DA996E" w14:textId="77777777" w:rsidR="00923332" w:rsidRPr="00890249" w:rsidRDefault="0092333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8. Spełnione</w:t>
            </w:r>
          </w:p>
          <w:p w14:paraId="3A05625F"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Ramy zostały określone w:</w:t>
            </w:r>
          </w:p>
          <w:p w14:paraId="7B9BA0B0"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1. Rozporządzeniu Ministra Edukacji Narodowej ws. postępowania w celu uznania świadectwa lub innego dokumentu (…),</w:t>
            </w:r>
          </w:p>
          <w:p w14:paraId="1C707966"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lastRenderedPageBreak/>
              <w:t>2. Rozporządzeniu Ministra Edukacji Narodowej ws. kształcenia ustawicznego w formach pozaszkolnych,</w:t>
            </w:r>
          </w:p>
          <w:p w14:paraId="21EE0277"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3. Rozporządzeniu Ministra Edukacji Narodowej ws. warunków, jakie musi spełnić osoba ubiegająca się o uzyskanie dyplomu zawodowego (…),</w:t>
            </w:r>
          </w:p>
          <w:p w14:paraId="42E162DA"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4. Zintegrowanej Strategii Umiejętności 2030 (część ogólna) – Priorytety: 2 Rozwijanie i upowszechnianie kultury uczenia się (…); 5 Wypracowanie skutecznych i trwałych mechanizmów (…),</w:t>
            </w:r>
          </w:p>
          <w:p w14:paraId="5B9A13F2"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40FC0115"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lastRenderedPageBreak/>
              <w:t>Ponadto funkcjonowanie:</w:t>
            </w:r>
          </w:p>
          <w:p w14:paraId="1EC25820"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a)</w:t>
            </w:r>
            <w:r w:rsidRPr="00D25ED9">
              <w:rPr>
                <w:rFonts w:asciiTheme="minorHAnsi" w:hAnsiTheme="minorHAnsi" w:cstheme="minorHAnsi"/>
                <w:bCs/>
                <w:sz w:val="20"/>
              </w:rPr>
              <w:tab/>
              <w:t xml:space="preserve">Narodowej Agencji Wymiany Akademickiej, </w:t>
            </w:r>
          </w:p>
          <w:p w14:paraId="20BB80C5"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b)</w:t>
            </w:r>
            <w:r w:rsidRPr="00D25ED9">
              <w:rPr>
                <w:rFonts w:asciiTheme="minorHAnsi" w:hAnsiTheme="minorHAnsi" w:cstheme="minorHAnsi"/>
                <w:bCs/>
                <w:sz w:val="20"/>
              </w:rPr>
              <w:tab/>
              <w:t>Narodowego Centrum Nauki,</w:t>
            </w:r>
          </w:p>
          <w:p w14:paraId="5447C16F"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c)</w:t>
            </w:r>
            <w:r w:rsidRPr="00D25ED9">
              <w:rPr>
                <w:rFonts w:asciiTheme="minorHAnsi" w:hAnsiTheme="minorHAnsi" w:cstheme="minorHAnsi"/>
                <w:bCs/>
                <w:sz w:val="20"/>
              </w:rPr>
              <w:tab/>
              <w:t>Sieci Badawczej Łukasiewicz,</w:t>
            </w:r>
          </w:p>
          <w:p w14:paraId="5FD49E2F" w14:textId="77777777" w:rsidR="00D25ED9" w:rsidRP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d)</w:t>
            </w:r>
            <w:r w:rsidRPr="00D25ED9">
              <w:rPr>
                <w:rFonts w:asciiTheme="minorHAnsi" w:hAnsiTheme="minorHAnsi" w:cstheme="minorHAnsi"/>
                <w:bCs/>
                <w:sz w:val="20"/>
              </w:rPr>
              <w:tab/>
              <w:t>Narodowego Centrum Badań i Rozwoju,</w:t>
            </w:r>
          </w:p>
          <w:p w14:paraId="69DFBB1B" w14:textId="7AC54943" w:rsidR="00D25ED9" w:rsidRDefault="00D25ED9" w:rsidP="00D25ED9">
            <w:pPr>
              <w:spacing w:after="0"/>
              <w:jc w:val="left"/>
              <w:rPr>
                <w:rFonts w:asciiTheme="minorHAnsi" w:hAnsiTheme="minorHAnsi" w:cstheme="minorHAnsi"/>
                <w:bCs/>
                <w:sz w:val="20"/>
              </w:rPr>
            </w:pPr>
            <w:r w:rsidRPr="00D25ED9">
              <w:rPr>
                <w:rFonts w:asciiTheme="minorHAnsi" w:hAnsiTheme="minorHAnsi" w:cstheme="minorHAnsi"/>
                <w:bCs/>
                <w:sz w:val="20"/>
              </w:rPr>
              <w:t>e)</w:t>
            </w:r>
            <w:r w:rsidRPr="00D25ED9">
              <w:rPr>
                <w:rFonts w:asciiTheme="minorHAnsi" w:hAnsiTheme="minorHAnsi" w:cstheme="minorHAnsi"/>
                <w:bCs/>
                <w:sz w:val="20"/>
              </w:rPr>
              <w:tab/>
              <w:t>Fundacji Rozwoju Systemu Edukacji</w:t>
            </w:r>
          </w:p>
          <w:p w14:paraId="2CEE87B5" w14:textId="011F888E" w:rsidR="00D52164" w:rsidRPr="00890249" w:rsidRDefault="00D52164" w:rsidP="00325D70">
            <w:pPr>
              <w:jc w:val="left"/>
              <w:rPr>
                <w:rFonts w:asciiTheme="minorHAnsi" w:eastAsia="Times New Roman" w:hAnsiTheme="minorHAnsi" w:cstheme="minorHAnsi"/>
                <w:iCs/>
                <w:noProof/>
                <w:sz w:val="20"/>
              </w:rPr>
            </w:pPr>
          </w:p>
        </w:tc>
      </w:tr>
      <w:tr w:rsidR="00D52164" w:rsidRPr="00890249" w14:paraId="35220EE7" w14:textId="77777777" w:rsidTr="00F62734">
        <w:tc>
          <w:tcPr>
            <w:tcW w:w="1560" w:type="dxa"/>
            <w:vMerge w:val="restart"/>
          </w:tcPr>
          <w:p w14:paraId="0080F92E"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lastRenderedPageBreak/>
              <w:t>4.4.Krajowe ramy strategiczne polityki na rzecz włączenia społecznego i ograniczenia ubóstwa</w:t>
            </w:r>
          </w:p>
        </w:tc>
        <w:tc>
          <w:tcPr>
            <w:tcW w:w="709" w:type="dxa"/>
            <w:vMerge w:val="restart"/>
          </w:tcPr>
          <w:p w14:paraId="6EE4149A"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EFRR,</w:t>
            </w:r>
          </w:p>
          <w:p w14:paraId="3EF74F4F"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EFS+</w:t>
            </w:r>
          </w:p>
        </w:tc>
        <w:tc>
          <w:tcPr>
            <w:tcW w:w="1843" w:type="dxa"/>
            <w:vMerge w:val="restart"/>
          </w:tcPr>
          <w:p w14:paraId="30AA565A"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 xml:space="preserve">EFRR </w:t>
            </w:r>
          </w:p>
          <w:p w14:paraId="11BF8D92" w14:textId="77777777" w:rsidR="00D52164" w:rsidRPr="00890249" w:rsidRDefault="00D52164" w:rsidP="00D52164">
            <w:pPr>
              <w:jc w:val="left"/>
              <w:rPr>
                <w:rFonts w:asciiTheme="minorHAnsi" w:hAnsiTheme="minorHAnsi" w:cstheme="minorHAnsi"/>
                <w:b/>
                <w:bCs/>
                <w:sz w:val="20"/>
              </w:rPr>
            </w:pPr>
          </w:p>
          <w:p w14:paraId="7CA6C977"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 xml:space="preserve">Wspieranie włączenia społeczno-gospodarczego społeczności marginalizowanych, gospodarstw domowych o niskich dochodach oraz grup w niekorzystnej sytuacji, w tym </w:t>
            </w:r>
            <w:r w:rsidRPr="00890249">
              <w:rPr>
                <w:rFonts w:asciiTheme="minorHAnsi" w:hAnsiTheme="minorHAnsi" w:cstheme="minorHAnsi"/>
                <w:sz w:val="20"/>
              </w:rPr>
              <w:lastRenderedPageBreak/>
              <w:t>osób o szczególnych potrzebach, dzięki zintegrowanym działaniom obejmującym usługi mieszkaniowe i usługi społeczne</w:t>
            </w:r>
          </w:p>
          <w:p w14:paraId="258BD99C" w14:textId="77777777" w:rsidR="00D52164" w:rsidRPr="00890249" w:rsidRDefault="00D52164" w:rsidP="00D52164">
            <w:pPr>
              <w:jc w:val="left"/>
              <w:rPr>
                <w:rFonts w:asciiTheme="minorHAnsi" w:hAnsiTheme="minorHAnsi" w:cstheme="minorHAnsi"/>
                <w:sz w:val="20"/>
              </w:rPr>
            </w:pPr>
          </w:p>
          <w:p w14:paraId="0128076C"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EFS+</w:t>
            </w:r>
          </w:p>
          <w:p w14:paraId="77B1743A" w14:textId="77777777" w:rsidR="00D52164" w:rsidRPr="00890249" w:rsidRDefault="00D52164" w:rsidP="00D52164">
            <w:pPr>
              <w:jc w:val="left"/>
              <w:rPr>
                <w:rFonts w:asciiTheme="minorHAnsi" w:hAnsiTheme="minorHAnsi" w:cstheme="minorHAnsi"/>
                <w:b/>
                <w:bCs/>
                <w:sz w:val="20"/>
              </w:rPr>
            </w:pPr>
          </w:p>
          <w:p w14:paraId="6DC4C589"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b/>
                <w:bCs/>
                <w:sz w:val="20"/>
              </w:rPr>
              <w:t>4(h)</w:t>
            </w:r>
            <w:r w:rsidRPr="00890249">
              <w:rPr>
                <w:rFonts w:asciiTheme="minorHAnsi" w:hAnsiTheme="minorHAnsi" w:cstheme="minorHAnsi"/>
                <w:sz w:val="20"/>
              </w:rPr>
              <w:t xml:space="preserve"> Wspieranie aktywnego włączenia społecznego w celu promowania równości szans, niedyskryminacji i aktywnego uczestnictwa, oraz zwiększanie zdolności do zatrudnienia, w szczególności grup w niekorzystnej sytuacji</w:t>
            </w:r>
          </w:p>
        </w:tc>
        <w:tc>
          <w:tcPr>
            <w:tcW w:w="1559" w:type="dxa"/>
            <w:vMerge w:val="restart"/>
          </w:tcPr>
          <w:p w14:paraId="30DB16E0" w14:textId="31C6593F" w:rsidR="00D52164" w:rsidRPr="00890249" w:rsidRDefault="00D25ED9"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Tak</w:t>
            </w:r>
          </w:p>
        </w:tc>
        <w:tc>
          <w:tcPr>
            <w:tcW w:w="2551" w:type="dxa"/>
          </w:tcPr>
          <w:p w14:paraId="60095DD3"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Istnienie krajowych lub regionalnych ram strategicznych polityki lub ram ustawodawczych na rzecz włączenia społecznego i ograniczenia ubóstwa, które obejmują:</w:t>
            </w:r>
          </w:p>
          <w:p w14:paraId="6261484F" w14:textId="77777777" w:rsidR="00D52164" w:rsidRPr="00890249" w:rsidRDefault="00D52164" w:rsidP="00D52164">
            <w:pPr>
              <w:jc w:val="left"/>
              <w:rPr>
                <w:rFonts w:asciiTheme="minorHAnsi" w:hAnsiTheme="minorHAnsi" w:cstheme="minorHAnsi"/>
                <w:b/>
                <w:bCs/>
                <w:sz w:val="20"/>
              </w:rPr>
            </w:pPr>
          </w:p>
          <w:p w14:paraId="491FE4AD"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1</w:t>
            </w:r>
          </w:p>
          <w:p w14:paraId="6794A2DA"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sz w:val="20"/>
              </w:rPr>
              <w:t xml:space="preserve">Opartą na rzetelnych danych diagnozę ubóstwa i wykluczenia społecznego, w tym ubóstwa dzieci, w szczególności pod względem </w:t>
            </w:r>
            <w:r w:rsidRPr="00890249">
              <w:rPr>
                <w:rFonts w:asciiTheme="minorHAnsi" w:hAnsiTheme="minorHAnsi" w:cstheme="minorHAnsi"/>
                <w:sz w:val="20"/>
              </w:rPr>
              <w:lastRenderedPageBreak/>
              <w:t>równego dostępu do dobrej jakości usług dla dzieci znajdujących się w trudnej sytuacji, a także pod względem bezdomności, segregacji przestrzennej i edukacyjnej, ograniczonego dostępu do podstawowych usług i infrastruktury oraz szczególnych potrzeb osób w każdym wieku znajdujących się w trudnej sytuacji;</w:t>
            </w:r>
          </w:p>
        </w:tc>
        <w:tc>
          <w:tcPr>
            <w:tcW w:w="1134" w:type="dxa"/>
            <w:vMerge w:val="restart"/>
          </w:tcPr>
          <w:p w14:paraId="4C387583" w14:textId="215A9F6E" w:rsidR="00D52164" w:rsidRPr="00890249" w:rsidRDefault="00D25ED9" w:rsidP="00D52164">
            <w:pPr>
              <w:jc w:val="left"/>
              <w:rPr>
                <w:rFonts w:asciiTheme="minorHAnsi" w:hAnsiTheme="minorHAnsi" w:cstheme="minorHAnsi"/>
                <w:noProof/>
                <w:sz w:val="20"/>
              </w:rPr>
            </w:pPr>
            <w:r>
              <w:rPr>
                <w:rFonts w:asciiTheme="minorHAnsi" w:hAnsiTheme="minorHAnsi" w:cstheme="minorHAnsi"/>
                <w:noProof/>
                <w:sz w:val="20"/>
              </w:rPr>
              <w:lastRenderedPageBreak/>
              <w:t>Tak</w:t>
            </w:r>
          </w:p>
        </w:tc>
        <w:tc>
          <w:tcPr>
            <w:tcW w:w="3402" w:type="dxa"/>
            <w:vMerge w:val="restart"/>
          </w:tcPr>
          <w:p w14:paraId="08476BB5"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Spełnieniem warunku jest Krajowy Program Przeciwdziałania Ubóstwu i Wykluczeniu Społecznemu. Aktualizacja 2021-2027 z perspektywą do roku 2030” (KPPUiWS) oraz w zakresie deinstytucjonalizacji usług społecznych Strategia rozwoju usług społecznych, polityka publiczna do roku 2030 (z perspektywą do 2035 r.)</w:t>
            </w:r>
          </w:p>
          <w:p w14:paraId="36FBB9F3"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xml:space="preserve">KPPUiWS przyjęty przez Radę Ministrów w dniu 17 sierpnia 2021 r. to dokument o charakterze operacyjno-wdrożeniowym,  w którym przedstawiono działania do realizacji celów związanych z przeciwdziałaniem </w:t>
            </w:r>
            <w:r w:rsidRPr="00D25ED9">
              <w:rPr>
                <w:rFonts w:asciiTheme="minorHAnsi" w:hAnsiTheme="minorHAnsi" w:cstheme="minorHAnsi"/>
                <w:bCs/>
                <w:sz w:val="20"/>
              </w:rPr>
              <w:lastRenderedPageBreak/>
              <w:t xml:space="preserve">ubóstwu i wykluczeniu społecznemu  „Strategii na rzecz Odpowiedzialnego Rozwoju” oraz celu szczegółowego w tym obszarze wskazanego w Strategii Rozwoju Kapitału Ludzkiego (SRKL) -tj.: redukcja ubóstwa i 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2021-2030, Krajową Strategię Rozwoju Regionalnego oraz opracowywaną Politykę Migracyjną. </w:t>
            </w:r>
          </w:p>
          <w:p w14:paraId="0AAB13A4" w14:textId="048B7D2A" w:rsidR="00D25ED9" w:rsidRPr="00F62734" w:rsidRDefault="00D25ED9" w:rsidP="00D25ED9">
            <w:pPr>
              <w:jc w:val="left"/>
              <w:rPr>
                <w:rFonts w:asciiTheme="minorHAnsi" w:hAnsiTheme="minorHAnsi" w:cstheme="minorHAnsi"/>
                <w:bCs/>
                <w:sz w:val="20"/>
              </w:rPr>
            </w:pPr>
            <w:r w:rsidRPr="00D25ED9">
              <w:rPr>
                <w:rFonts w:asciiTheme="minorHAnsi" w:hAnsiTheme="minorHAnsi" w:cstheme="minorHAnsi"/>
                <w:bCs/>
                <w:sz w:val="20"/>
              </w:rPr>
              <w:t xml:space="preserve">7 czerwca br. Rada Ministrów przyjęła uchwałę w sprawie przyjęcia polityki publicznej pod nazwą Strategia rozwoju usług społecznych, polityka publiczna do roku 2030 (z perspektywą do 2035 r.). </w:t>
            </w:r>
          </w:p>
          <w:p w14:paraId="601D34DF" w14:textId="77777777" w:rsidR="00D25ED9" w:rsidRPr="00D25ED9" w:rsidRDefault="00D25ED9" w:rsidP="00D25ED9">
            <w:pPr>
              <w:jc w:val="left"/>
              <w:rPr>
                <w:rFonts w:asciiTheme="minorHAnsi" w:hAnsiTheme="minorHAnsi" w:cstheme="minorHAnsi"/>
                <w:bCs/>
                <w:sz w:val="20"/>
              </w:rPr>
            </w:pPr>
            <w:hyperlink r:id="rId151" w:history="1">
              <w:r w:rsidRPr="00D25ED9">
                <w:rPr>
                  <w:rStyle w:val="Hipercze"/>
                  <w:rFonts w:asciiTheme="minorHAnsi" w:hAnsiTheme="minorHAnsi" w:cstheme="minorHAnsi"/>
                  <w:bCs/>
                  <w:sz w:val="20"/>
                </w:rPr>
                <w:t>https://isap.sejm.gov.pl/isap.nsf/download.xsp/WMP20220000767/O/M20220767.pdf</w:t>
              </w:r>
            </w:hyperlink>
            <w:r w:rsidRPr="00D25ED9">
              <w:rPr>
                <w:rFonts w:asciiTheme="minorHAnsi" w:hAnsiTheme="minorHAnsi" w:cstheme="minorHAnsi"/>
                <w:bCs/>
                <w:sz w:val="20"/>
              </w:rPr>
              <w:t>Razem z  obowiązującymi  aktami prawnymi:</w:t>
            </w:r>
          </w:p>
          <w:p w14:paraId="5B8234FD"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lastRenderedPageBreak/>
              <w:t>- ustawą 12 marca 2004 roku o pomocy społecznej (Dz.U. z 2024 r. poz. 1283 );</w:t>
            </w:r>
          </w:p>
          <w:p w14:paraId="2D37AFEB"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ustawą z dnia 9 czerwca 2011 r. o wspieraniu rodziny i systemie pieczy zastępczej(Dz.U. z 2024 r. poz. 177 z późn. zm.);</w:t>
            </w:r>
          </w:p>
          <w:p w14:paraId="4C649453"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ustawą z dnia 20 lipca 2018 r. Prawo o szkolnictwie wyższym i nauce  (Dz.U. z 2023 r. poz. 742 z późn. zm. );</w:t>
            </w:r>
          </w:p>
          <w:p w14:paraId="499B18B5"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ustawą z dnia 19 lipca 2019 r. o realizowaniu usług społecznych przez centrum usług społecznych (Dz.U. poz. 1818.);</w:t>
            </w:r>
          </w:p>
          <w:p w14:paraId="5E0FA873"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xml:space="preserve">- ustawą z dnia 23 października 2018 r. o Funduszu Solidarnościowym </w:t>
            </w:r>
            <w:hyperlink r:id="rId152" w:history="1">
              <w:r w:rsidRPr="00D25ED9">
                <w:rPr>
                  <w:rStyle w:val="Hipercze"/>
                  <w:rFonts w:asciiTheme="minorHAnsi" w:hAnsiTheme="minorHAnsi" w:cstheme="minorHAnsi"/>
                  <w:bCs/>
                  <w:sz w:val="20"/>
                </w:rPr>
                <w:t>(Dz.U. z 2024 r. poz. 296 z późn. zm.)</w:t>
              </w:r>
            </w:hyperlink>
            <w:r w:rsidRPr="00D25ED9">
              <w:rPr>
                <w:rFonts w:asciiTheme="minorHAnsi" w:hAnsiTheme="minorHAnsi" w:cstheme="minorHAnsi"/>
                <w:bCs/>
                <w:sz w:val="20"/>
              </w:rPr>
              <w:t xml:space="preserve"> </w:t>
            </w:r>
          </w:p>
          <w:p w14:paraId="19BE35AC"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xml:space="preserve">- ustawą z dnia 7 września 2007 r. o pomocy osobom uprawnionym do alimentów </w:t>
            </w:r>
            <w:hyperlink r:id="rId153" w:history="1">
              <w:r w:rsidRPr="00D25ED9">
                <w:rPr>
                  <w:rStyle w:val="Hipercze"/>
                  <w:rFonts w:asciiTheme="minorHAnsi" w:hAnsiTheme="minorHAnsi" w:cstheme="minorHAnsi"/>
                  <w:bCs/>
                  <w:sz w:val="20"/>
                </w:rPr>
                <w:t>(Dz.U. z 2023 r. poz. 1993 z późn. zm.)</w:t>
              </w:r>
            </w:hyperlink>
            <w:r w:rsidRPr="00D25ED9">
              <w:rPr>
                <w:rFonts w:asciiTheme="minorHAnsi" w:hAnsiTheme="minorHAnsi" w:cstheme="minorHAnsi"/>
                <w:bCs/>
                <w:sz w:val="20"/>
              </w:rPr>
              <w:t xml:space="preserve"> </w:t>
            </w:r>
          </w:p>
          <w:p w14:paraId="311DBE8F"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 ustawą  z dnia 20 lipca 2018 r. o pomocy państwa w ponoszeniu wydatków mieszkaniowych w pierwszych latach najmu mieszkania (Dz.U. z 2024 r. poz. 506 ),</w:t>
            </w:r>
          </w:p>
          <w:p w14:paraId="5D243AD4"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lastRenderedPageBreak/>
              <w:t xml:space="preserve">- ustawą z dnia 20 kwietnia 2004 r. o promocji zatrudnienia i instytucjach rynku pracy </w:t>
            </w:r>
          </w:p>
          <w:p w14:paraId="44E31C23" w14:textId="38335B2A"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((Dz. U. z 2024 r. poz. 475, z późn. zm.)tworzą krajowe ramy strategiczne i prawne.</w:t>
            </w:r>
          </w:p>
          <w:p w14:paraId="57BB4D3F" w14:textId="77777777" w:rsidR="00D25ED9" w:rsidRPr="00D25ED9" w:rsidRDefault="00D25ED9" w:rsidP="00D25ED9">
            <w:pPr>
              <w:jc w:val="left"/>
              <w:rPr>
                <w:rFonts w:asciiTheme="minorHAnsi" w:hAnsiTheme="minorHAnsi" w:cstheme="minorHAnsi"/>
                <w:b/>
                <w:bCs/>
                <w:sz w:val="20"/>
              </w:rPr>
            </w:pPr>
            <w:r w:rsidRPr="00D25ED9">
              <w:rPr>
                <w:rFonts w:asciiTheme="minorHAnsi" w:hAnsiTheme="minorHAnsi" w:cstheme="minorHAnsi"/>
                <w:b/>
                <w:bCs/>
                <w:sz w:val="20"/>
              </w:rPr>
              <w:t>Link do dokumentu:</w:t>
            </w:r>
          </w:p>
          <w:p w14:paraId="754FD7EC" w14:textId="50C88DD7" w:rsidR="00D25ED9" w:rsidRDefault="00D25ED9" w:rsidP="00D52164">
            <w:pPr>
              <w:jc w:val="left"/>
              <w:rPr>
                <w:rFonts w:asciiTheme="minorHAnsi" w:hAnsiTheme="minorHAnsi" w:cstheme="minorHAnsi"/>
                <w:bCs/>
                <w:sz w:val="20"/>
              </w:rPr>
            </w:pPr>
            <w:hyperlink r:id="rId154" w:history="1">
              <w:r w:rsidRPr="00D25ED9">
                <w:rPr>
                  <w:rStyle w:val="Hipercze"/>
                  <w:rFonts w:asciiTheme="minorHAnsi" w:hAnsiTheme="minorHAnsi" w:cstheme="minorHAnsi"/>
                  <w:b/>
                  <w:bCs/>
                  <w:sz w:val="20"/>
                </w:rPr>
                <w:t>https://isap.sejm.gov.pl/isap.nsf/DocDetails.xsp?id=WMP20210000843</w:t>
              </w:r>
            </w:hyperlink>
          </w:p>
          <w:p w14:paraId="51D6587D" w14:textId="59F36DC8" w:rsidR="00D52164" w:rsidRPr="00890249" w:rsidRDefault="00D52164" w:rsidP="00D52164">
            <w:pPr>
              <w:jc w:val="left"/>
              <w:rPr>
                <w:rFonts w:asciiTheme="minorHAnsi" w:eastAsia="Times New Roman" w:hAnsiTheme="minorHAnsi" w:cstheme="minorHAnsi"/>
                <w:iCs/>
                <w:noProof/>
                <w:sz w:val="20"/>
              </w:rPr>
            </w:pPr>
            <w:r w:rsidRPr="00890249">
              <w:rPr>
                <w:rFonts w:asciiTheme="minorHAnsi" w:hAnsiTheme="minorHAnsi" w:cstheme="minorHAnsi"/>
                <w:b/>
                <w:bCs/>
                <w:sz w:val="20"/>
              </w:rPr>
              <w:t xml:space="preserve"> </w:t>
            </w:r>
          </w:p>
        </w:tc>
        <w:tc>
          <w:tcPr>
            <w:tcW w:w="2977" w:type="dxa"/>
          </w:tcPr>
          <w:p w14:paraId="0F544738" w14:textId="77777777" w:rsidR="00D25ED9" w:rsidRPr="00D25ED9" w:rsidRDefault="00D25ED9" w:rsidP="00D25ED9">
            <w:pPr>
              <w:jc w:val="left"/>
              <w:rPr>
                <w:rFonts w:asciiTheme="minorHAnsi" w:hAnsiTheme="minorHAnsi" w:cstheme="minorHAnsi"/>
                <w:b/>
                <w:bCs/>
                <w:sz w:val="20"/>
              </w:rPr>
            </w:pPr>
            <w:r w:rsidRPr="00D25ED9">
              <w:rPr>
                <w:rFonts w:asciiTheme="minorHAnsi" w:hAnsiTheme="minorHAnsi" w:cstheme="minorHAnsi"/>
                <w:b/>
                <w:bCs/>
                <w:sz w:val="20"/>
              </w:rPr>
              <w:lastRenderedPageBreak/>
              <w:t>Kryterium 1.  Spełnione</w:t>
            </w:r>
          </w:p>
          <w:p w14:paraId="7C77612F" w14:textId="6AC7698B" w:rsidR="00D25ED9" w:rsidRPr="00F62734" w:rsidRDefault="00D25ED9" w:rsidP="00325D70">
            <w:pPr>
              <w:jc w:val="left"/>
              <w:rPr>
                <w:rFonts w:asciiTheme="minorHAnsi" w:hAnsiTheme="minorHAnsi" w:cstheme="minorHAnsi"/>
                <w:sz w:val="20"/>
              </w:rPr>
            </w:pPr>
            <w:r w:rsidRPr="00F62734">
              <w:rPr>
                <w:rFonts w:asciiTheme="minorHAnsi" w:hAnsiTheme="minorHAnsi" w:cstheme="minorHAnsi"/>
                <w:sz w:val="20"/>
              </w:rPr>
              <w:t>Diagnoza w Krajowym Programie Przeciwdziałania Ubóstwu i Wykluczeniu Społecznemu (KPPUiWS)</w:t>
            </w:r>
            <w:r w:rsidRPr="00F62734" w:rsidDel="0061293F">
              <w:rPr>
                <w:rFonts w:asciiTheme="minorHAnsi" w:hAnsiTheme="minorHAnsi" w:cstheme="minorHAnsi"/>
                <w:sz w:val="20"/>
              </w:rPr>
              <w:t xml:space="preserve"> </w:t>
            </w:r>
            <w:r w:rsidRPr="00F62734">
              <w:rPr>
                <w:rFonts w:asciiTheme="minorHAnsi" w:hAnsiTheme="minorHAnsi" w:cstheme="minorHAnsi"/>
                <w:sz w:val="20"/>
              </w:rPr>
              <w:t xml:space="preserve">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w:t>
            </w:r>
            <w:r w:rsidRPr="00F62734">
              <w:rPr>
                <w:rFonts w:asciiTheme="minorHAnsi" w:hAnsiTheme="minorHAnsi" w:cstheme="minorHAnsi"/>
                <w:sz w:val="20"/>
              </w:rPr>
              <w:lastRenderedPageBreak/>
              <w:t xml:space="preserve">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w:t>
            </w:r>
            <w:r w:rsidR="00F92A9A">
              <w:rPr>
                <w:rFonts w:asciiTheme="minorHAnsi" w:hAnsiTheme="minorHAnsi" w:cstheme="minorHAnsi"/>
                <w:sz w:val="20"/>
              </w:rPr>
              <w:t>treningowe/wspomagane</w:t>
            </w:r>
            <w:r w:rsidRPr="00F62734">
              <w:rPr>
                <w:rFonts w:asciiTheme="minorHAnsi" w:hAnsiTheme="minorHAnsi" w:cstheme="minorHAnsi"/>
                <w:sz w:val="20"/>
              </w:rPr>
              <w:t>. Przy opracowaniu diagnozy opierano się m.in. na danych Głównego Urzędu Statystycznego, Eurostatu oraz sprawozdaniach resortowych.</w:t>
            </w:r>
          </w:p>
          <w:p w14:paraId="5A56204D" w14:textId="74702AA8" w:rsidR="00D52164" w:rsidRPr="00890249" w:rsidRDefault="00D52164" w:rsidP="00325D70">
            <w:pPr>
              <w:jc w:val="left"/>
              <w:rPr>
                <w:rFonts w:asciiTheme="minorHAnsi" w:hAnsiTheme="minorHAnsi" w:cstheme="minorHAnsi"/>
                <w:b/>
                <w:bCs/>
                <w:sz w:val="20"/>
              </w:rPr>
            </w:pPr>
          </w:p>
        </w:tc>
      </w:tr>
      <w:tr w:rsidR="00D52164" w:rsidRPr="00890249" w14:paraId="517EE420" w14:textId="77777777" w:rsidTr="00F62734">
        <w:tc>
          <w:tcPr>
            <w:tcW w:w="1560" w:type="dxa"/>
            <w:vMerge/>
          </w:tcPr>
          <w:p w14:paraId="76A28117"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533F5301"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3F602CBF"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67A17DFE"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396B549D"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2</w:t>
            </w:r>
          </w:p>
          <w:p w14:paraId="6599CE9E"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 xml:space="preserve">Środki na rzecz zapobiegania i zwalczania segregacji we wszystkich dziedzinach, w </w:t>
            </w:r>
            <w:r w:rsidRPr="00890249">
              <w:rPr>
                <w:rFonts w:asciiTheme="minorHAnsi" w:hAnsiTheme="minorHAnsi" w:cstheme="minorHAnsi"/>
                <w:sz w:val="20"/>
              </w:rPr>
              <w:lastRenderedPageBreak/>
              <w:t>tym ochrony socjalnej, rynków pracy sprzyjających włączeniu społecznemu i dostępu do wysokiej jakości usług dla osób w trudnej sytuacji, w tym migrantów i uchodźców</w:t>
            </w:r>
          </w:p>
        </w:tc>
        <w:tc>
          <w:tcPr>
            <w:tcW w:w="1134" w:type="dxa"/>
            <w:vMerge/>
          </w:tcPr>
          <w:p w14:paraId="58987D75" w14:textId="77777777" w:rsidR="00D52164" w:rsidRPr="00890249" w:rsidRDefault="00D52164" w:rsidP="00D52164">
            <w:pPr>
              <w:jc w:val="left"/>
              <w:rPr>
                <w:rFonts w:asciiTheme="minorHAnsi" w:hAnsiTheme="minorHAnsi" w:cstheme="minorHAnsi"/>
                <w:noProof/>
                <w:sz w:val="20"/>
              </w:rPr>
            </w:pPr>
          </w:p>
        </w:tc>
        <w:tc>
          <w:tcPr>
            <w:tcW w:w="3402" w:type="dxa"/>
            <w:vMerge/>
          </w:tcPr>
          <w:p w14:paraId="6D11C738"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0E3C3D73"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
                <w:bCs/>
                <w:sz w:val="20"/>
              </w:rPr>
              <w:t>Kryterium 2. Spełnione</w:t>
            </w:r>
          </w:p>
          <w:p w14:paraId="380E2272"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KPPUiWS koncentruje się na :</w:t>
            </w:r>
          </w:p>
          <w:p w14:paraId="114C35B3"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lastRenderedPageBreak/>
              <w:t>•</w:t>
            </w:r>
            <w:r w:rsidRPr="00D25ED9">
              <w:rPr>
                <w:rFonts w:asciiTheme="minorHAnsi" w:hAnsiTheme="minorHAnsi" w:cstheme="minorHAnsi"/>
                <w:bCs/>
                <w:sz w:val="20"/>
              </w:rPr>
              <w:tab/>
              <w:t>przeciwdziałaniu ubóstwu i wykluczeniu społecznemu dzieci i młodzieży,</w:t>
            </w:r>
          </w:p>
          <w:p w14:paraId="33B4D60A"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w:t>
            </w:r>
            <w:r w:rsidRPr="00D25ED9">
              <w:rPr>
                <w:rFonts w:asciiTheme="minorHAnsi" w:hAnsiTheme="minorHAnsi" w:cstheme="minorHAnsi"/>
                <w:bCs/>
                <w:sz w:val="20"/>
              </w:rPr>
              <w:tab/>
              <w:t>przeciwdziałaniu bezdomności,</w:t>
            </w:r>
          </w:p>
          <w:p w14:paraId="3B841872"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w:t>
            </w:r>
            <w:r w:rsidRPr="00D25ED9">
              <w:rPr>
                <w:rFonts w:asciiTheme="minorHAnsi" w:hAnsiTheme="minorHAnsi" w:cstheme="minorHAnsi"/>
                <w:bCs/>
                <w:sz w:val="20"/>
              </w:rPr>
              <w:tab/>
              <w:t>rozwijaniu usług społecznych dla osób z niepełnosprawnościami, starszych i innych potrzebujących wsparcia w codziennym funkcjonowaniu,</w:t>
            </w:r>
          </w:p>
          <w:p w14:paraId="55AAACF2"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w:t>
            </w:r>
            <w:r w:rsidRPr="00D25ED9">
              <w:rPr>
                <w:rFonts w:asciiTheme="minorHAnsi" w:hAnsiTheme="minorHAnsi" w:cstheme="minorHAnsi"/>
                <w:bCs/>
                <w:sz w:val="20"/>
              </w:rPr>
              <w:tab/>
              <w:t>wspieraniu osób i rodzin poprzez działania instytucji pomocy społecznej oraz działania podmiotów ekonomii społecznej,</w:t>
            </w:r>
          </w:p>
          <w:p w14:paraId="0FB9B076"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w:t>
            </w:r>
            <w:r w:rsidRPr="00D25ED9">
              <w:rPr>
                <w:rFonts w:asciiTheme="minorHAnsi" w:hAnsiTheme="minorHAnsi" w:cstheme="minorHAnsi"/>
                <w:bCs/>
                <w:sz w:val="20"/>
              </w:rPr>
              <w:tab/>
              <w:t>wspieraniu integracji cudzoziemców poprzez rozwój usług społecznych dla migrantów oraz ich integracji na rynku pracy.</w:t>
            </w:r>
          </w:p>
          <w:p w14:paraId="06E63A98" w14:textId="2EA792E0" w:rsidR="00D25ED9" w:rsidRDefault="00D25ED9" w:rsidP="00325D70">
            <w:pPr>
              <w:jc w:val="left"/>
              <w:rPr>
                <w:rFonts w:asciiTheme="minorHAnsi" w:hAnsiTheme="minorHAnsi" w:cstheme="minorHAnsi"/>
                <w:bCs/>
                <w:sz w:val="20"/>
              </w:rPr>
            </w:pPr>
            <w:r w:rsidRPr="00D25ED9">
              <w:rPr>
                <w:rFonts w:asciiTheme="minorHAnsi" w:hAnsiTheme="minorHAnsi" w:cstheme="minorHAnsi"/>
                <w:bCs/>
                <w:sz w:val="20"/>
              </w:rPr>
              <w:t>We wszystkich obszarach uwzględniono działania na rzecz przejścia z opieki instytucjonalnej do opieki rodzinnej i środowiskowej.</w:t>
            </w:r>
          </w:p>
          <w:p w14:paraId="4488DC79" w14:textId="617EEE83" w:rsidR="00D52164" w:rsidRPr="00890249" w:rsidRDefault="00D52164" w:rsidP="00325D70">
            <w:pPr>
              <w:jc w:val="left"/>
              <w:rPr>
                <w:rFonts w:asciiTheme="minorHAnsi" w:hAnsiTheme="minorHAnsi" w:cstheme="minorHAnsi"/>
                <w:bCs/>
                <w:sz w:val="20"/>
              </w:rPr>
            </w:pPr>
          </w:p>
        </w:tc>
      </w:tr>
      <w:tr w:rsidR="00D52164" w:rsidRPr="00890249" w14:paraId="1EEDA4F7" w14:textId="77777777" w:rsidTr="00F62734">
        <w:tc>
          <w:tcPr>
            <w:tcW w:w="1560" w:type="dxa"/>
            <w:vMerge/>
          </w:tcPr>
          <w:p w14:paraId="0C02751F"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5553E367"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0E47C8A7"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72E96729"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7F278E72"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3</w:t>
            </w:r>
          </w:p>
          <w:p w14:paraId="2B90A3AD"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lastRenderedPageBreak/>
              <w:t>Środki na rzecz przejścia od opieki instytucjonalnej do opieki rodzinnej i środowiskowej;</w:t>
            </w:r>
          </w:p>
        </w:tc>
        <w:tc>
          <w:tcPr>
            <w:tcW w:w="1134" w:type="dxa"/>
            <w:vMerge/>
          </w:tcPr>
          <w:p w14:paraId="66E3EBDA" w14:textId="77777777" w:rsidR="00D52164" w:rsidRPr="00890249" w:rsidRDefault="00D52164" w:rsidP="00D52164">
            <w:pPr>
              <w:jc w:val="left"/>
              <w:rPr>
                <w:rFonts w:asciiTheme="minorHAnsi" w:hAnsiTheme="minorHAnsi" w:cstheme="minorHAnsi"/>
                <w:noProof/>
                <w:sz w:val="20"/>
              </w:rPr>
            </w:pPr>
          </w:p>
        </w:tc>
        <w:tc>
          <w:tcPr>
            <w:tcW w:w="3402" w:type="dxa"/>
            <w:vMerge/>
          </w:tcPr>
          <w:p w14:paraId="50DBF963"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1BD794DE" w14:textId="77777777" w:rsidR="00D25ED9" w:rsidRPr="00D25ED9" w:rsidRDefault="00D25ED9" w:rsidP="00D25ED9">
            <w:pPr>
              <w:jc w:val="left"/>
              <w:rPr>
                <w:rFonts w:asciiTheme="minorHAnsi" w:hAnsiTheme="minorHAnsi" w:cstheme="minorHAnsi"/>
                <w:b/>
                <w:bCs/>
                <w:sz w:val="20"/>
              </w:rPr>
            </w:pPr>
            <w:r w:rsidRPr="00D25ED9">
              <w:rPr>
                <w:rFonts w:asciiTheme="minorHAnsi" w:hAnsiTheme="minorHAnsi" w:cstheme="minorHAnsi"/>
                <w:b/>
                <w:bCs/>
                <w:sz w:val="20"/>
              </w:rPr>
              <w:t>Kryterium 3. Spełnione</w:t>
            </w:r>
          </w:p>
          <w:p w14:paraId="3876DB4C"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lastRenderedPageBreak/>
              <w:t>Opracowywano Strategię rozwoju usług społecznych polityka publiczna do roku 2030 (z perspektywą do 2035 r.) .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42C7B37F"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Strategia rozwoju usług społecznych obejmuje np:</w:t>
            </w:r>
          </w:p>
          <w:p w14:paraId="023DF485"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1. priorytetowe podejście do usług społecznych realizowanych w środowisku</w:t>
            </w:r>
          </w:p>
          <w:p w14:paraId="1DDA3C94"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2. rozwój lokalnych i zindywidualizowanych usług, które ograniczą opiekę instytucjonalną</w:t>
            </w:r>
          </w:p>
          <w:p w14:paraId="5852BE54"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 xml:space="preserve">3. wykorzystanie potencjału instytucjonalnej opieki długoterminowej na rzecz </w:t>
            </w:r>
            <w:r w:rsidRPr="00F62734">
              <w:rPr>
                <w:rFonts w:asciiTheme="minorHAnsi" w:hAnsiTheme="minorHAnsi" w:cstheme="minorHAnsi"/>
                <w:sz w:val="20"/>
              </w:rPr>
              <w:lastRenderedPageBreak/>
              <w:t>rozwoju nowych usług środowiskowych</w:t>
            </w:r>
          </w:p>
          <w:p w14:paraId="795C6EB5"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4. zabezpieczenie usług stacjonarnej opieki długoterminowej, jako ostatni i najmniej pożądany element systemu</w:t>
            </w:r>
          </w:p>
          <w:p w14:paraId="6A101FEB"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5. rozwój mieszkalnictwa treningowego i wspomaganego z koszykiem usług</w:t>
            </w:r>
          </w:p>
          <w:p w14:paraId="07A5787B" w14:textId="77777777" w:rsidR="00D25ED9" w:rsidRPr="00F62734" w:rsidRDefault="00D25ED9" w:rsidP="00D25ED9">
            <w:pPr>
              <w:jc w:val="left"/>
              <w:rPr>
                <w:rFonts w:asciiTheme="minorHAnsi" w:hAnsiTheme="minorHAnsi" w:cstheme="minorHAnsi"/>
                <w:sz w:val="20"/>
              </w:rPr>
            </w:pPr>
            <w:r w:rsidRPr="00F62734">
              <w:rPr>
                <w:rFonts w:asciiTheme="minorHAnsi" w:hAnsiTheme="minorHAnsi" w:cstheme="minorHAnsi"/>
                <w:sz w:val="20"/>
              </w:rPr>
              <w:t>6. system koordynacji i standaryzacji usług społecznych – funkcja koordynatora usług społecznych</w:t>
            </w:r>
          </w:p>
          <w:p w14:paraId="5AAC923A" w14:textId="77476DA2" w:rsidR="00D25ED9" w:rsidRPr="00F62734" w:rsidRDefault="00D25ED9" w:rsidP="00325D70">
            <w:pPr>
              <w:jc w:val="left"/>
              <w:rPr>
                <w:rFonts w:asciiTheme="minorHAnsi" w:hAnsiTheme="minorHAnsi" w:cstheme="minorHAnsi"/>
                <w:sz w:val="20"/>
              </w:rPr>
            </w:pPr>
            <w:r w:rsidRPr="00F62734">
              <w:rPr>
                <w:rFonts w:asciiTheme="minorHAnsi" w:hAnsiTheme="minorHAnsi" w:cstheme="minorHAnsi"/>
                <w:sz w:val="20"/>
              </w:rPr>
              <w:t>7. systemową usługę asystencji osobistej.</w:t>
            </w:r>
          </w:p>
          <w:p w14:paraId="150293D2" w14:textId="6CF2DBF0" w:rsidR="00D52164" w:rsidRPr="00890249" w:rsidRDefault="00D52164" w:rsidP="00325D70">
            <w:pPr>
              <w:jc w:val="left"/>
              <w:rPr>
                <w:rFonts w:asciiTheme="minorHAnsi" w:hAnsiTheme="minorHAnsi" w:cstheme="minorHAnsi"/>
                <w:bCs/>
                <w:sz w:val="20"/>
              </w:rPr>
            </w:pPr>
          </w:p>
        </w:tc>
      </w:tr>
      <w:tr w:rsidR="00D52164" w:rsidRPr="00890249" w14:paraId="47E566A9" w14:textId="77777777" w:rsidTr="00F62734">
        <w:tc>
          <w:tcPr>
            <w:tcW w:w="1560" w:type="dxa"/>
            <w:vMerge/>
          </w:tcPr>
          <w:p w14:paraId="1DDE5F7A"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77018EF1"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11D59DEA"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4B17DA85"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6D270937"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4</w:t>
            </w:r>
          </w:p>
          <w:p w14:paraId="0D996836"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 xml:space="preserve">Rozwiązania dotyczące zapewnienia, aby opracowanie tych ram, ich wdrożenie, monitorowanie i przegląd były prowadzone w ścisłej współpracy z odpowiednimi zainteresowanymi stronami, w tym partnerami społecznymi i odpowiednimi </w:t>
            </w:r>
            <w:r w:rsidRPr="00890249">
              <w:rPr>
                <w:rFonts w:asciiTheme="minorHAnsi" w:hAnsiTheme="minorHAnsi" w:cstheme="minorHAnsi"/>
                <w:sz w:val="20"/>
              </w:rPr>
              <w:lastRenderedPageBreak/>
              <w:t>organizacjami społeczeństwa obywatelskiego.</w:t>
            </w:r>
          </w:p>
        </w:tc>
        <w:tc>
          <w:tcPr>
            <w:tcW w:w="1134" w:type="dxa"/>
            <w:vMerge/>
          </w:tcPr>
          <w:p w14:paraId="513FA261" w14:textId="77777777" w:rsidR="00D52164" w:rsidRPr="00890249" w:rsidRDefault="00D52164" w:rsidP="00D52164">
            <w:pPr>
              <w:jc w:val="left"/>
              <w:rPr>
                <w:rFonts w:asciiTheme="minorHAnsi" w:hAnsiTheme="minorHAnsi" w:cstheme="minorHAnsi"/>
                <w:noProof/>
                <w:sz w:val="20"/>
              </w:rPr>
            </w:pPr>
          </w:p>
        </w:tc>
        <w:tc>
          <w:tcPr>
            <w:tcW w:w="3402" w:type="dxa"/>
            <w:vMerge/>
          </w:tcPr>
          <w:p w14:paraId="11453703"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76EC5DEC" w14:textId="77777777" w:rsidR="00D25ED9" w:rsidRPr="00D25ED9" w:rsidRDefault="00D25ED9" w:rsidP="00D25ED9">
            <w:pPr>
              <w:spacing w:after="0"/>
              <w:jc w:val="left"/>
              <w:rPr>
                <w:rFonts w:asciiTheme="minorHAnsi" w:hAnsiTheme="minorHAnsi" w:cstheme="minorHAnsi"/>
                <w:b/>
                <w:bCs/>
                <w:sz w:val="20"/>
              </w:rPr>
            </w:pPr>
            <w:r w:rsidRPr="00D25ED9">
              <w:rPr>
                <w:rFonts w:asciiTheme="minorHAnsi" w:hAnsiTheme="minorHAnsi" w:cstheme="minorHAnsi"/>
                <w:b/>
                <w:bCs/>
                <w:sz w:val="20"/>
              </w:rPr>
              <w:t>Kryterium 4.  Spełnione</w:t>
            </w:r>
          </w:p>
          <w:p w14:paraId="64DC2D9A" w14:textId="77777777" w:rsidR="00D25ED9" w:rsidRPr="00F62734" w:rsidRDefault="00D25ED9" w:rsidP="00D25ED9">
            <w:pPr>
              <w:spacing w:after="0"/>
              <w:jc w:val="left"/>
              <w:rPr>
                <w:rFonts w:asciiTheme="minorHAnsi" w:hAnsiTheme="minorHAnsi" w:cstheme="minorHAnsi"/>
                <w:sz w:val="20"/>
              </w:rPr>
            </w:pPr>
            <w:r w:rsidRPr="00F62734">
              <w:rPr>
                <w:rFonts w:asciiTheme="minorHAnsi" w:hAnsiTheme="minorHAnsi" w:cstheme="minorHAnsi"/>
                <w:sz w:val="20"/>
              </w:rPr>
              <w:t xml:space="preserve">Oba dokumenty opracowano we współpracy z przedstawicielami społeczeństwa obywatelskiego i interesariuszy problematyki ubóstwa i wykluczenia społecznego. Uwzględniono rezultaty pracy niezależnych tematycznych grup eksperckich dla obszarów: rodzina i dziecko, os. starsze,  z </w:t>
            </w:r>
            <w:r w:rsidRPr="00F62734">
              <w:rPr>
                <w:rFonts w:asciiTheme="minorHAnsi" w:hAnsiTheme="minorHAnsi" w:cstheme="minorHAnsi"/>
                <w:sz w:val="20"/>
              </w:rPr>
              <w:lastRenderedPageBreak/>
              <w:t>niepełnosprawnościami,  z zaburzeniami psychicznymi,  bezdomne i cudzoziemcy. Grupy eksperckie wypracowały założenia, wykorzystane  do zaplanowania działań w KPPUiWS i Strategii DI.</w:t>
            </w:r>
          </w:p>
          <w:p w14:paraId="6DCE6B59" w14:textId="77777777" w:rsidR="00D25ED9" w:rsidRPr="00F62734" w:rsidRDefault="00D25ED9" w:rsidP="00D25ED9">
            <w:pPr>
              <w:spacing w:after="0"/>
              <w:jc w:val="left"/>
              <w:rPr>
                <w:rFonts w:asciiTheme="minorHAnsi" w:hAnsiTheme="minorHAnsi" w:cstheme="minorHAnsi"/>
                <w:sz w:val="20"/>
              </w:rPr>
            </w:pPr>
            <w:r w:rsidRPr="00F62734">
              <w:rPr>
                <w:rFonts w:asciiTheme="minorHAnsi" w:hAnsiTheme="minorHAnsi" w:cstheme="minorHAnsi"/>
                <w:sz w:val="20"/>
              </w:rPr>
              <w:t>Monitorowanie działań odbywać się będzie w partnerstwie i z udziałem interesariuszy, w tym organizacji społeczeństwa obywatelskiego i podmiotów społecznych zaangażowanych bezpośrednio w obszarach objętych dokumentami</w:t>
            </w:r>
          </w:p>
          <w:p w14:paraId="0B58E0C1" w14:textId="446D33DE" w:rsidR="00D25ED9" w:rsidRPr="00F62734" w:rsidRDefault="00D25ED9" w:rsidP="00325D70">
            <w:pPr>
              <w:spacing w:after="0"/>
              <w:jc w:val="left"/>
              <w:rPr>
                <w:rFonts w:asciiTheme="minorHAnsi" w:hAnsiTheme="minorHAnsi" w:cstheme="minorHAnsi"/>
                <w:sz w:val="20"/>
              </w:rPr>
            </w:pPr>
            <w:r w:rsidRPr="00F62734">
              <w:rPr>
                <w:rFonts w:asciiTheme="minorHAnsi" w:hAnsiTheme="minorHAnsi" w:cstheme="minorHAnsi"/>
                <w:sz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p w14:paraId="223AE163" w14:textId="2F362213" w:rsidR="00D52164" w:rsidRPr="00890249" w:rsidRDefault="004B59D6" w:rsidP="00325D70">
            <w:pPr>
              <w:jc w:val="left"/>
              <w:rPr>
                <w:rFonts w:asciiTheme="minorHAnsi" w:eastAsia="Times New Roman" w:hAnsiTheme="minorHAnsi" w:cstheme="minorHAnsi"/>
                <w:iCs/>
                <w:noProof/>
                <w:sz w:val="20"/>
              </w:rPr>
            </w:pPr>
            <w:r w:rsidRPr="00890249">
              <w:rPr>
                <w:rFonts w:asciiTheme="minorHAnsi" w:hAnsiTheme="minorHAnsi" w:cstheme="minorHAnsi"/>
                <w:bCs/>
                <w:sz w:val="20"/>
              </w:rPr>
              <w:lastRenderedPageBreak/>
              <w:t xml:space="preserve"> </w:t>
            </w:r>
          </w:p>
        </w:tc>
      </w:tr>
      <w:tr w:rsidR="00D52164" w:rsidRPr="00890249" w14:paraId="25360011" w14:textId="77777777" w:rsidTr="00F62734">
        <w:tc>
          <w:tcPr>
            <w:tcW w:w="1560" w:type="dxa"/>
            <w:vMerge w:val="restart"/>
          </w:tcPr>
          <w:p w14:paraId="46A0371D"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lastRenderedPageBreak/>
              <w:t>4.5. Krajowe strategiczne ramy polityki na rzecz integracji Romów</w:t>
            </w:r>
          </w:p>
        </w:tc>
        <w:tc>
          <w:tcPr>
            <w:tcW w:w="709" w:type="dxa"/>
            <w:vMerge w:val="restart"/>
          </w:tcPr>
          <w:p w14:paraId="0B6F2596"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t>EFS+</w:t>
            </w:r>
          </w:p>
          <w:p w14:paraId="42019AFF" w14:textId="77777777" w:rsidR="00D52164" w:rsidRPr="00890249" w:rsidRDefault="00D52164" w:rsidP="00D52164">
            <w:pPr>
              <w:jc w:val="left"/>
              <w:rPr>
                <w:rFonts w:asciiTheme="minorHAnsi" w:hAnsiTheme="minorHAnsi" w:cstheme="minorHAnsi"/>
                <w:sz w:val="20"/>
                <w:lang w:val="en-GB"/>
              </w:rPr>
            </w:pPr>
          </w:p>
        </w:tc>
        <w:tc>
          <w:tcPr>
            <w:tcW w:w="1843" w:type="dxa"/>
            <w:vMerge w:val="restart"/>
          </w:tcPr>
          <w:p w14:paraId="52A4089E" w14:textId="77777777"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Wspieranie integracji społeczno-gospodarczej społeczności marginalizowanych, takich jak Romowie</w:t>
            </w:r>
          </w:p>
        </w:tc>
        <w:tc>
          <w:tcPr>
            <w:tcW w:w="1559" w:type="dxa"/>
            <w:vMerge w:val="restart"/>
          </w:tcPr>
          <w:p w14:paraId="79EB8962" w14:textId="4AC5F450" w:rsidR="00D52164" w:rsidRPr="00890249" w:rsidRDefault="00D25ED9"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t>Tak</w:t>
            </w:r>
          </w:p>
        </w:tc>
        <w:tc>
          <w:tcPr>
            <w:tcW w:w="2551" w:type="dxa"/>
          </w:tcPr>
          <w:p w14:paraId="5C027BB2"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 xml:space="preserve">Istnienie krajowych strategicznych ram polityki na rzecz integracji Romów, które obejmują: </w:t>
            </w:r>
          </w:p>
          <w:p w14:paraId="665048AF"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1</w:t>
            </w:r>
          </w:p>
          <w:p w14:paraId="3101466E"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Środki na rzecz przyspieszenia integracji Romów oraz zapobiegania i eliminowania segregacji, uwzględniające aspekt płci oraz sytajcę młodych Romzów, oraz określające podstawowe, wymierne cele pośrednie i cele końcowe</w:t>
            </w:r>
          </w:p>
        </w:tc>
        <w:tc>
          <w:tcPr>
            <w:tcW w:w="1134" w:type="dxa"/>
            <w:vMerge w:val="restart"/>
          </w:tcPr>
          <w:p w14:paraId="18F7B02C" w14:textId="273A90DB" w:rsidR="00D52164" w:rsidRPr="00890249" w:rsidRDefault="00D25ED9" w:rsidP="00D52164">
            <w:pPr>
              <w:jc w:val="left"/>
              <w:rPr>
                <w:rFonts w:asciiTheme="minorHAnsi" w:hAnsiTheme="minorHAnsi" w:cstheme="minorHAnsi"/>
                <w:noProof/>
                <w:sz w:val="20"/>
              </w:rPr>
            </w:pPr>
            <w:r>
              <w:rPr>
                <w:rFonts w:asciiTheme="minorHAnsi" w:hAnsiTheme="minorHAnsi" w:cstheme="minorHAnsi"/>
                <w:noProof/>
                <w:sz w:val="20"/>
              </w:rPr>
              <w:t>Tak</w:t>
            </w:r>
          </w:p>
        </w:tc>
        <w:tc>
          <w:tcPr>
            <w:tcW w:w="3402" w:type="dxa"/>
            <w:vMerge w:val="restart"/>
          </w:tcPr>
          <w:p w14:paraId="390A567B" w14:textId="7777777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Spełnieniem warunku jest  Program integracji społecznej i obywatelskiej Romów w Polsce na lata 2021-2030 przyjęty 21 grudnia 2020 r. przez Radę Ministrów. Dokument obejmuje działania przyspieszające integrację Romów, zapobiegające i eliminujące wykluczenie , z uwzględnieniem płci i sytuacji młodych Romów oraz wyznacza podstawowe etapy oraz cele do osiągnięcia. Realizacja Programu integracji została uruchomiona w dniu 3 lutego 2021 r., tak, aby zachować ciągłość działań prowadzonych w 2020 r., w ramach poprzedniego wieloletniego Programu integracji społeczności romskiej w Polsce na lata 2014-2020.</w:t>
            </w:r>
          </w:p>
          <w:p w14:paraId="2D0648A8" w14:textId="1D26F917" w:rsidR="00D25ED9" w:rsidRPr="00D25ED9" w:rsidRDefault="00D25ED9" w:rsidP="00D25ED9">
            <w:pPr>
              <w:jc w:val="left"/>
              <w:rPr>
                <w:rFonts w:asciiTheme="minorHAnsi" w:hAnsiTheme="minorHAnsi" w:cstheme="minorHAnsi"/>
                <w:bCs/>
                <w:sz w:val="20"/>
              </w:rPr>
            </w:pPr>
            <w:r w:rsidRPr="00D25ED9">
              <w:rPr>
                <w:rFonts w:asciiTheme="minorHAnsi" w:hAnsiTheme="minorHAnsi" w:cstheme="minorHAnsi"/>
                <w:bCs/>
                <w:sz w:val="20"/>
              </w:rPr>
              <w:t>Systemowe działania Polski na rzecz poprawy sytuacji Romów są podejmowane nieprzerwanie od 2001 r., obejmując szerokie spectrum działań i przy zapewnieniu stałego finansowania z budżetu państwa.</w:t>
            </w:r>
          </w:p>
          <w:p w14:paraId="651E2940" w14:textId="77777777" w:rsidR="00D25ED9" w:rsidRPr="00D25ED9" w:rsidRDefault="00D25ED9" w:rsidP="00D25ED9">
            <w:pPr>
              <w:jc w:val="left"/>
              <w:rPr>
                <w:rFonts w:asciiTheme="minorHAnsi" w:hAnsiTheme="minorHAnsi" w:cstheme="minorHAnsi"/>
                <w:b/>
                <w:bCs/>
                <w:sz w:val="20"/>
              </w:rPr>
            </w:pPr>
            <w:r w:rsidRPr="00D25ED9">
              <w:rPr>
                <w:rFonts w:asciiTheme="minorHAnsi" w:hAnsiTheme="minorHAnsi" w:cstheme="minorHAnsi"/>
                <w:b/>
                <w:bCs/>
                <w:sz w:val="20"/>
              </w:rPr>
              <w:t xml:space="preserve">Link do dokumentu: </w:t>
            </w:r>
          </w:p>
          <w:p w14:paraId="09414924" w14:textId="29576455" w:rsidR="00D25ED9" w:rsidRDefault="00D25ED9" w:rsidP="00D52164">
            <w:pPr>
              <w:jc w:val="left"/>
              <w:rPr>
                <w:rFonts w:asciiTheme="minorHAnsi" w:hAnsiTheme="minorHAnsi" w:cstheme="minorHAnsi"/>
                <w:bCs/>
                <w:sz w:val="20"/>
              </w:rPr>
            </w:pPr>
            <w:hyperlink w:history="1">
              <w:r w:rsidRPr="00D25ED9">
                <w:rPr>
                  <w:rStyle w:val="Hipercze"/>
                  <w:rFonts w:asciiTheme="minorHAnsi" w:hAnsiTheme="minorHAnsi" w:cstheme="minorHAnsi"/>
                  <w:b/>
                  <w:bCs/>
                  <w:sz w:val="20"/>
                </w:rPr>
                <w:t>https://www.gov.pl/web/mniejszosci-narodowe-i-etniczne/rada-ministrow-uchwalila-nowy-program-</w:t>
              </w:r>
              <w:r w:rsidRPr="00D25ED9">
                <w:rPr>
                  <w:rStyle w:val="Hipercze"/>
                  <w:rFonts w:asciiTheme="minorHAnsi" w:hAnsiTheme="minorHAnsi" w:cstheme="minorHAnsi"/>
                  <w:b/>
                  <w:bCs/>
                  <w:sz w:val="20"/>
                </w:rPr>
                <w:lastRenderedPageBreak/>
                <w:t>integracji-spolecznej-i-obywatelskiej-romow-w-polsce-na-lata-2021-2030</w:t>
              </w:r>
            </w:hyperlink>
            <w:r w:rsidRPr="00D25ED9">
              <w:rPr>
                <w:rFonts w:asciiTheme="minorHAnsi" w:hAnsiTheme="minorHAnsi" w:cstheme="minorHAnsi"/>
                <w:bCs/>
                <w:sz w:val="20"/>
              </w:rPr>
              <w:t xml:space="preserve"> </w:t>
            </w:r>
          </w:p>
          <w:p w14:paraId="01E91942" w14:textId="791A75D2" w:rsidR="00D52164" w:rsidRPr="00890249" w:rsidRDefault="00D52164" w:rsidP="00D52164">
            <w:pPr>
              <w:jc w:val="left"/>
              <w:rPr>
                <w:rFonts w:asciiTheme="minorHAnsi" w:hAnsiTheme="minorHAnsi" w:cstheme="minorHAnsi"/>
                <w:bCs/>
                <w:sz w:val="20"/>
              </w:rPr>
            </w:pPr>
            <w:r w:rsidRPr="00890249">
              <w:rPr>
                <w:rFonts w:asciiTheme="minorHAnsi" w:hAnsiTheme="minorHAnsi" w:cstheme="minorHAnsi"/>
                <w:bCs/>
                <w:sz w:val="20"/>
              </w:rPr>
              <w:t xml:space="preserve"> </w:t>
            </w:r>
          </w:p>
        </w:tc>
        <w:tc>
          <w:tcPr>
            <w:tcW w:w="2977" w:type="dxa"/>
          </w:tcPr>
          <w:p w14:paraId="18B1BE39" w14:textId="77777777" w:rsidR="00D25ED9" w:rsidRPr="00D25ED9" w:rsidRDefault="00D25ED9" w:rsidP="00D25ED9">
            <w:pPr>
              <w:jc w:val="left"/>
              <w:rPr>
                <w:rFonts w:asciiTheme="minorHAnsi" w:hAnsiTheme="minorHAnsi" w:cstheme="minorHAnsi"/>
                <w:b/>
                <w:bCs/>
                <w:iCs/>
                <w:sz w:val="20"/>
              </w:rPr>
            </w:pPr>
            <w:r w:rsidRPr="00D25ED9">
              <w:rPr>
                <w:rFonts w:asciiTheme="minorHAnsi" w:hAnsiTheme="minorHAnsi" w:cstheme="minorHAnsi"/>
                <w:b/>
                <w:bCs/>
                <w:sz w:val="20"/>
              </w:rPr>
              <w:lastRenderedPageBreak/>
              <w:t>Kryterium 1.Spełnione</w:t>
            </w:r>
            <w:r w:rsidRPr="00D25ED9">
              <w:rPr>
                <w:rFonts w:asciiTheme="minorHAnsi" w:hAnsiTheme="minorHAnsi" w:cstheme="minorHAnsi"/>
                <w:b/>
                <w:bCs/>
                <w:i/>
                <w:sz w:val="20"/>
              </w:rPr>
              <w:t xml:space="preserve"> </w:t>
            </w:r>
          </w:p>
          <w:p w14:paraId="68D56CAC" w14:textId="03B89B9E" w:rsidR="00D25ED9" w:rsidRPr="00F62734" w:rsidRDefault="00D25ED9" w:rsidP="00325D70">
            <w:pPr>
              <w:jc w:val="left"/>
              <w:rPr>
                <w:rFonts w:asciiTheme="minorHAnsi" w:hAnsiTheme="minorHAnsi" w:cstheme="minorHAnsi"/>
                <w:sz w:val="20"/>
              </w:rPr>
            </w:pPr>
            <w:r w:rsidRPr="00F62734">
              <w:rPr>
                <w:rFonts w:asciiTheme="minorHAnsi" w:hAnsiTheme="minorHAnsi" w:cstheme="minorHAnsi"/>
                <w:i/>
                <w:sz w:val="20"/>
              </w:rPr>
              <w:t>Program integracji</w:t>
            </w:r>
            <w:r w:rsidRPr="00F62734">
              <w:rPr>
                <w:rFonts w:asciiTheme="minorHAnsi" w:hAnsiTheme="minorHAnsi" w:cstheme="minorHAnsi"/>
                <w:sz w:val="20"/>
              </w:rPr>
              <w:t xml:space="preserve"> kontynuuje poprzednie, szeroko zakrojone działania na rzecz wyrównania szans Romów i ich integracji społecznej i obywatelskiej. Wskazuje cztery tzw. szczególne grupy wsparcia (rozdz. 4.5.3.), w tym m.in.: kobiety i dziewczęta romskie oraz młodzież romską. Dokument opisuje mierniki i wskaźniki (rozdz. 4.4.), służące monitorowaniu osiągania założonych celów (rozdz. 4.2.). </w:t>
            </w:r>
          </w:p>
          <w:p w14:paraId="4F37A807" w14:textId="3A78602E" w:rsidR="00D52164" w:rsidRPr="00890249" w:rsidRDefault="004B59D6" w:rsidP="00325D70">
            <w:pPr>
              <w:jc w:val="left"/>
              <w:rPr>
                <w:rFonts w:asciiTheme="minorHAnsi" w:eastAsia="Times New Roman" w:hAnsiTheme="minorHAnsi" w:cstheme="minorHAnsi"/>
                <w:iCs/>
                <w:noProof/>
                <w:sz w:val="20"/>
              </w:rPr>
            </w:pPr>
            <w:r w:rsidRPr="00890249">
              <w:rPr>
                <w:rFonts w:asciiTheme="minorHAnsi" w:hAnsiTheme="minorHAnsi" w:cstheme="minorHAnsi"/>
                <w:sz w:val="20"/>
              </w:rPr>
              <w:t xml:space="preserve"> </w:t>
            </w:r>
          </w:p>
        </w:tc>
      </w:tr>
      <w:tr w:rsidR="00D52164" w:rsidRPr="00890249" w14:paraId="777CA514" w14:textId="77777777" w:rsidTr="00F62734">
        <w:tc>
          <w:tcPr>
            <w:tcW w:w="1560" w:type="dxa"/>
            <w:vMerge/>
          </w:tcPr>
          <w:p w14:paraId="23AD58C1"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4C32B004"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4F97635E"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7DCBE5C9"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123B4BA8"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2</w:t>
            </w:r>
          </w:p>
          <w:p w14:paraId="07D2146C"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Rozwiązania dotyczące monitorowania, ewaluacji i przeglądu środków na rzecz integracji Romów</w:t>
            </w:r>
          </w:p>
        </w:tc>
        <w:tc>
          <w:tcPr>
            <w:tcW w:w="1134" w:type="dxa"/>
            <w:vMerge/>
          </w:tcPr>
          <w:p w14:paraId="2166230A" w14:textId="77777777" w:rsidR="00D52164" w:rsidRPr="00890249" w:rsidRDefault="00D52164" w:rsidP="00D52164">
            <w:pPr>
              <w:jc w:val="left"/>
              <w:rPr>
                <w:rFonts w:asciiTheme="minorHAnsi" w:hAnsiTheme="minorHAnsi" w:cstheme="minorHAnsi"/>
                <w:noProof/>
                <w:sz w:val="20"/>
              </w:rPr>
            </w:pPr>
          </w:p>
        </w:tc>
        <w:tc>
          <w:tcPr>
            <w:tcW w:w="3402" w:type="dxa"/>
            <w:vMerge/>
          </w:tcPr>
          <w:p w14:paraId="665B0C20"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4DED0B21" w14:textId="77777777" w:rsidR="00C83ECA"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 xml:space="preserve">Kryterium 2. </w:t>
            </w:r>
            <w:r w:rsidR="004B59D6" w:rsidRPr="00890249">
              <w:rPr>
                <w:rFonts w:asciiTheme="minorHAnsi" w:hAnsiTheme="minorHAnsi" w:cstheme="minorHAnsi"/>
                <w:b/>
                <w:bCs/>
                <w:sz w:val="20"/>
              </w:rPr>
              <w:t>Spełnione</w:t>
            </w:r>
          </w:p>
          <w:p w14:paraId="18D0E16C" w14:textId="1CA6365A" w:rsidR="00D50195" w:rsidRDefault="00D50195" w:rsidP="00325D70">
            <w:pPr>
              <w:jc w:val="left"/>
              <w:rPr>
                <w:rFonts w:asciiTheme="minorHAnsi" w:hAnsiTheme="minorHAnsi" w:cstheme="minorHAnsi"/>
                <w:bCs/>
                <w:sz w:val="20"/>
              </w:rPr>
            </w:pPr>
            <w:r w:rsidRPr="00D50195">
              <w:rPr>
                <w:rFonts w:asciiTheme="minorHAnsi" w:hAnsiTheme="minorHAnsi" w:cstheme="minorHAnsi"/>
                <w:bCs/>
                <w:sz w:val="20"/>
              </w:rPr>
              <w:t xml:space="preserve">Program integracji zapewnia narzędzia monitorowania osiągania celów (rozdz. 4.6.4.)  i ewaluacji (rozdz. 4.6.5.). Jednocześnie, zapewnia możliwość ewentualnej modyfikacji metod i środków służących realizacji celów Programu integracji. Poza standardową sprawozdawczością, Program integracji  kładzie nacisk </w:t>
            </w:r>
            <w:r w:rsidRPr="00D50195">
              <w:rPr>
                <w:rFonts w:asciiTheme="minorHAnsi" w:hAnsiTheme="minorHAnsi" w:cstheme="minorHAnsi"/>
                <w:bCs/>
                <w:sz w:val="20"/>
              </w:rPr>
              <w:lastRenderedPageBreak/>
              <w:t>na zbieranie danych, „mapujących” sytuację społeczności romskiej i umożliwiających pogłębioną analizę pojawiających się problemów.</w:t>
            </w:r>
          </w:p>
          <w:p w14:paraId="7B43EA33" w14:textId="370E9017" w:rsidR="00D52164" w:rsidRPr="00890249" w:rsidRDefault="00D52164" w:rsidP="00325D70">
            <w:pPr>
              <w:jc w:val="left"/>
              <w:rPr>
                <w:rFonts w:asciiTheme="minorHAnsi" w:hAnsiTheme="minorHAnsi" w:cstheme="minorHAnsi"/>
                <w:bCs/>
                <w:sz w:val="20"/>
              </w:rPr>
            </w:pPr>
          </w:p>
        </w:tc>
      </w:tr>
      <w:tr w:rsidR="00D52164" w:rsidRPr="00890249" w14:paraId="0ECFAC2B" w14:textId="77777777" w:rsidTr="00F62734">
        <w:tc>
          <w:tcPr>
            <w:tcW w:w="1560" w:type="dxa"/>
            <w:vMerge/>
          </w:tcPr>
          <w:p w14:paraId="03D5E888"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40464B0D"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63B9FA8D"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70CDE257"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25710BC2"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3</w:t>
            </w:r>
          </w:p>
          <w:p w14:paraId="7CDCD788"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Rozwiązania dotyczące uwzględniania problematyki włączenia Romów na poziomie regionalnym i lokalnym</w:t>
            </w:r>
          </w:p>
        </w:tc>
        <w:tc>
          <w:tcPr>
            <w:tcW w:w="1134" w:type="dxa"/>
            <w:vMerge/>
          </w:tcPr>
          <w:p w14:paraId="3F45763D" w14:textId="77777777" w:rsidR="00D52164" w:rsidRPr="00890249" w:rsidRDefault="00D52164" w:rsidP="00D52164">
            <w:pPr>
              <w:jc w:val="left"/>
              <w:rPr>
                <w:rFonts w:asciiTheme="minorHAnsi" w:hAnsiTheme="minorHAnsi" w:cstheme="minorHAnsi"/>
                <w:noProof/>
                <w:sz w:val="20"/>
              </w:rPr>
            </w:pPr>
          </w:p>
        </w:tc>
        <w:tc>
          <w:tcPr>
            <w:tcW w:w="3402" w:type="dxa"/>
            <w:vMerge/>
          </w:tcPr>
          <w:p w14:paraId="66D5E97C"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376B2665" w14:textId="44BA91DB" w:rsidR="00C83ECA"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3.</w:t>
            </w:r>
            <w:r w:rsidRPr="00890249">
              <w:rPr>
                <w:rFonts w:asciiTheme="minorHAnsi" w:hAnsiTheme="minorHAnsi" w:cstheme="minorHAnsi"/>
                <w:sz w:val="20"/>
              </w:rPr>
              <w:t xml:space="preserve"> </w:t>
            </w:r>
            <w:r w:rsidR="00D50195">
              <w:rPr>
                <w:rFonts w:asciiTheme="minorHAnsi" w:hAnsiTheme="minorHAnsi" w:cstheme="minorHAnsi"/>
                <w:b/>
                <w:bCs/>
                <w:sz w:val="20"/>
              </w:rPr>
              <w:t>S</w:t>
            </w:r>
            <w:r w:rsidRPr="00890249">
              <w:rPr>
                <w:rFonts w:asciiTheme="minorHAnsi" w:hAnsiTheme="minorHAnsi" w:cstheme="minorHAnsi"/>
                <w:b/>
                <w:bCs/>
                <w:sz w:val="20"/>
              </w:rPr>
              <w:t>pełnione</w:t>
            </w:r>
          </w:p>
          <w:p w14:paraId="58A97C28" w14:textId="2BBABB18" w:rsidR="00D50195" w:rsidRDefault="00D50195" w:rsidP="00325D70">
            <w:pPr>
              <w:spacing w:after="0"/>
              <w:jc w:val="left"/>
              <w:rPr>
                <w:rFonts w:asciiTheme="minorHAnsi" w:hAnsiTheme="minorHAnsi" w:cstheme="minorHAnsi"/>
                <w:bCs/>
                <w:sz w:val="20"/>
              </w:rPr>
            </w:pPr>
            <w:r w:rsidRPr="00D50195">
              <w:rPr>
                <w:rFonts w:asciiTheme="minorHAnsi" w:hAnsiTheme="minorHAnsi" w:cstheme="minorHAnsi"/>
                <w:bCs/>
                <w:sz w:val="20"/>
              </w:rPr>
              <w:t>Włączenie problematyki romskiej do realizowanych polityk publicznych zostało opisane w Programie integracji (rozdz. 3), w tym zwłaszcza w odniesieniu do polityki społecznej, rynku pracy, przestępstw  z nietolerancji, nienawiści i ksenofobii, bezpłatnej pomocy prawnej oraz podtrzymania tożsamości kulturowej. Podczas gdy Program Integracji pełni rolę wspierającą, władze lokalne powinny również wypełniać swoje obowiązki wobec wszystkich obywateli, zgodnie z zasadą pomocniczości.</w:t>
            </w:r>
          </w:p>
          <w:p w14:paraId="4988591E" w14:textId="4621452A" w:rsidR="00D52164" w:rsidRPr="00890249" w:rsidRDefault="00D52164" w:rsidP="00F62734">
            <w:pPr>
              <w:spacing w:after="0"/>
              <w:jc w:val="left"/>
              <w:rPr>
                <w:rFonts w:asciiTheme="minorHAnsi" w:hAnsiTheme="minorHAnsi" w:cstheme="minorHAnsi"/>
                <w:bCs/>
                <w:sz w:val="20"/>
              </w:rPr>
            </w:pPr>
          </w:p>
        </w:tc>
      </w:tr>
      <w:tr w:rsidR="00D52164" w:rsidRPr="00890249" w14:paraId="0FC53B02" w14:textId="77777777" w:rsidTr="00F62734">
        <w:tc>
          <w:tcPr>
            <w:tcW w:w="1560" w:type="dxa"/>
            <w:vMerge/>
          </w:tcPr>
          <w:p w14:paraId="500CA00C"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0F64CF91"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297BB409"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09B68641"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3A491BF1" w14:textId="77777777" w:rsidR="00D52164" w:rsidRPr="00890249" w:rsidRDefault="00D52164" w:rsidP="00D52164">
            <w:pPr>
              <w:jc w:val="left"/>
              <w:rPr>
                <w:rFonts w:asciiTheme="minorHAnsi" w:hAnsiTheme="minorHAnsi" w:cstheme="minorHAnsi"/>
                <w:b/>
                <w:noProof/>
                <w:sz w:val="20"/>
              </w:rPr>
            </w:pPr>
            <w:r w:rsidRPr="00890249">
              <w:rPr>
                <w:rFonts w:asciiTheme="minorHAnsi" w:hAnsiTheme="minorHAnsi" w:cstheme="minorHAnsi"/>
                <w:b/>
                <w:noProof/>
                <w:sz w:val="20"/>
              </w:rPr>
              <w:t>Kryterium 4</w:t>
            </w:r>
          </w:p>
          <w:p w14:paraId="21C1CC76"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noProof/>
                <w:sz w:val="20"/>
              </w:rPr>
              <w:t xml:space="preserve">Rozwiązania dotyczące zapewnienia, aby </w:t>
            </w:r>
            <w:r w:rsidRPr="00890249">
              <w:rPr>
                <w:rFonts w:asciiTheme="minorHAnsi" w:hAnsiTheme="minorHAnsi" w:cstheme="minorHAnsi"/>
                <w:noProof/>
                <w:sz w:val="20"/>
              </w:rPr>
              <w:lastRenderedPageBreak/>
              <w:t xml:space="preserve">opracowanie tych ram, ich wdrożenie, monitorowanie i przegląd były prowadzone w ścisłej współpracy z romskim społeczeństwem obywatelskim i wszystkimi innymi odpowiednimi zainteresowanymi stronami, w tym na poziomie regionalnym i lokalnym. </w:t>
            </w:r>
          </w:p>
        </w:tc>
        <w:tc>
          <w:tcPr>
            <w:tcW w:w="1134" w:type="dxa"/>
            <w:vMerge/>
          </w:tcPr>
          <w:p w14:paraId="22CD9187" w14:textId="77777777" w:rsidR="00D52164" w:rsidRPr="00890249" w:rsidRDefault="00D52164" w:rsidP="00D52164">
            <w:pPr>
              <w:jc w:val="left"/>
              <w:rPr>
                <w:rFonts w:asciiTheme="minorHAnsi" w:hAnsiTheme="minorHAnsi" w:cstheme="minorHAnsi"/>
                <w:noProof/>
                <w:sz w:val="20"/>
              </w:rPr>
            </w:pPr>
          </w:p>
        </w:tc>
        <w:tc>
          <w:tcPr>
            <w:tcW w:w="3402" w:type="dxa"/>
            <w:vMerge/>
          </w:tcPr>
          <w:p w14:paraId="4354A689"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21859BFB" w14:textId="77777777" w:rsidR="00C83ECA" w:rsidRPr="00890249" w:rsidRDefault="00875C92" w:rsidP="00325D70">
            <w:pPr>
              <w:spacing w:after="0"/>
              <w:jc w:val="left"/>
              <w:rPr>
                <w:rFonts w:asciiTheme="minorHAnsi" w:hAnsiTheme="minorHAnsi" w:cstheme="minorHAnsi"/>
                <w:sz w:val="20"/>
              </w:rPr>
            </w:pPr>
            <w:r w:rsidRPr="00890249">
              <w:rPr>
                <w:rFonts w:asciiTheme="minorHAnsi" w:hAnsiTheme="minorHAnsi" w:cstheme="minorHAnsi"/>
                <w:b/>
                <w:bCs/>
                <w:sz w:val="20"/>
              </w:rPr>
              <w:t>Kryterium 4</w:t>
            </w:r>
            <w:r w:rsidRPr="00890249">
              <w:rPr>
                <w:rFonts w:asciiTheme="minorHAnsi" w:hAnsiTheme="minorHAnsi" w:cstheme="minorHAnsi"/>
                <w:bCs/>
                <w:sz w:val="20"/>
              </w:rPr>
              <w:t>.</w:t>
            </w:r>
            <w:r w:rsidRPr="00890249">
              <w:rPr>
                <w:rFonts w:asciiTheme="minorHAnsi" w:hAnsiTheme="minorHAnsi" w:cstheme="minorHAnsi"/>
                <w:sz w:val="20"/>
              </w:rPr>
              <w:t xml:space="preserve"> </w:t>
            </w:r>
            <w:r w:rsidR="004B59D6" w:rsidRPr="00890249">
              <w:rPr>
                <w:rFonts w:asciiTheme="minorHAnsi" w:hAnsiTheme="minorHAnsi" w:cstheme="minorHAnsi"/>
                <w:b/>
                <w:bCs/>
                <w:sz w:val="20"/>
              </w:rPr>
              <w:t>Spełnione</w:t>
            </w:r>
          </w:p>
          <w:p w14:paraId="72284D7A" w14:textId="70F741B0" w:rsidR="00D50195" w:rsidRDefault="00D50195" w:rsidP="00325D70">
            <w:pPr>
              <w:jc w:val="left"/>
              <w:rPr>
                <w:rFonts w:asciiTheme="minorHAnsi" w:hAnsiTheme="minorHAnsi" w:cstheme="minorHAnsi"/>
                <w:bCs/>
                <w:sz w:val="20"/>
              </w:rPr>
            </w:pPr>
            <w:r w:rsidRPr="00D50195">
              <w:rPr>
                <w:rFonts w:asciiTheme="minorHAnsi" w:hAnsiTheme="minorHAnsi" w:cstheme="minorHAnsi"/>
                <w:bCs/>
                <w:sz w:val="20"/>
              </w:rPr>
              <w:t xml:space="preserve">Włączenie właściwych interesariuszy  zostało </w:t>
            </w:r>
            <w:r w:rsidRPr="00D50195">
              <w:rPr>
                <w:rFonts w:asciiTheme="minorHAnsi" w:hAnsiTheme="minorHAnsi" w:cstheme="minorHAnsi"/>
                <w:bCs/>
                <w:sz w:val="20"/>
              </w:rPr>
              <w:lastRenderedPageBreak/>
              <w:t xml:space="preserve">zapewnione na etapie projektowania założeń  Programu integracji, m.in. przez system konsultacji społecznych – projekt został skierowany do 53 organizacji pozarządowych, głównie romskich, biorących dotychczas udział w realizacji poprzedniego Programu integracji, a także do jednostek samorządu terytorialnego. Ponadto, MSWiA w trybie roboczym na bieżąco  monitoruje prowadzone działania, co dało możliwość takiego skonstruowania Programu, który uwzględnił  pojawiające się problemy.  Dla zapewnienia udział Romów w procesie tworzenia zadań  Program integracji podtrzymał wymóg prowadzenia przez jednostki samorządu terytorialnego corocznych konsultacji na poziomie lokalnym z przedstawicielami społeczności romskiej. Partycypacja Romów na poziomie regionalnym jest zapewniona poprzez udział w komisjach oceniających wnioski w urzędach wojewódzkich, a na poziomie centralnym poprzez </w:t>
            </w:r>
            <w:r w:rsidRPr="00D50195">
              <w:rPr>
                <w:rFonts w:asciiTheme="minorHAnsi" w:hAnsiTheme="minorHAnsi" w:cstheme="minorHAnsi"/>
                <w:bCs/>
                <w:sz w:val="20"/>
              </w:rPr>
              <w:lastRenderedPageBreak/>
              <w:t>udział przedstawicieli Romów w Komisji Wspólnej Rządu i Mniejszości Narodowych i Etnicznych (mechanizmy te zostały opisane w rozdz. 4.5.2.)</w:t>
            </w:r>
            <w:r>
              <w:rPr>
                <w:rFonts w:asciiTheme="minorHAnsi" w:hAnsiTheme="minorHAnsi" w:cstheme="minorHAnsi"/>
                <w:bCs/>
                <w:sz w:val="20"/>
              </w:rPr>
              <w:t>.</w:t>
            </w:r>
          </w:p>
          <w:p w14:paraId="1DBDA73B" w14:textId="0E11D89A" w:rsidR="00D52164" w:rsidRPr="00890249" w:rsidRDefault="00D52164" w:rsidP="00325D70">
            <w:pPr>
              <w:jc w:val="left"/>
              <w:rPr>
                <w:rFonts w:asciiTheme="minorHAnsi" w:eastAsia="Times New Roman" w:hAnsiTheme="minorHAnsi" w:cstheme="minorHAnsi"/>
                <w:iCs/>
                <w:noProof/>
                <w:sz w:val="20"/>
              </w:rPr>
            </w:pPr>
          </w:p>
        </w:tc>
      </w:tr>
      <w:tr w:rsidR="00D52164" w:rsidRPr="00890249" w14:paraId="14474D9B" w14:textId="77777777" w:rsidTr="00F62734">
        <w:tc>
          <w:tcPr>
            <w:tcW w:w="1560" w:type="dxa"/>
            <w:vMerge w:val="restart"/>
          </w:tcPr>
          <w:p w14:paraId="1C757486"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lastRenderedPageBreak/>
              <w:t>4.6. Ramy strategiczne polityki na rzecz opieki zdrowotnej i opieki długoterminowej</w:t>
            </w:r>
          </w:p>
        </w:tc>
        <w:tc>
          <w:tcPr>
            <w:tcW w:w="709" w:type="dxa"/>
            <w:vMerge w:val="restart"/>
          </w:tcPr>
          <w:p w14:paraId="61040661"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t>EFRR</w:t>
            </w:r>
          </w:p>
          <w:p w14:paraId="72759EF0" w14:textId="77777777" w:rsidR="00D52164" w:rsidRPr="00890249" w:rsidRDefault="00D52164" w:rsidP="00D52164">
            <w:pPr>
              <w:jc w:val="left"/>
              <w:rPr>
                <w:rFonts w:asciiTheme="minorHAnsi" w:hAnsiTheme="minorHAnsi" w:cstheme="minorHAnsi"/>
                <w:sz w:val="20"/>
                <w:lang w:val="en-GB"/>
              </w:rPr>
            </w:pPr>
            <w:r w:rsidRPr="00890249">
              <w:rPr>
                <w:rFonts w:asciiTheme="minorHAnsi" w:hAnsiTheme="minorHAnsi" w:cstheme="minorHAnsi"/>
                <w:sz w:val="20"/>
                <w:lang w:val="en-GB"/>
              </w:rPr>
              <w:t>EFS+</w:t>
            </w:r>
          </w:p>
          <w:p w14:paraId="255F4604" w14:textId="77777777" w:rsidR="00D52164" w:rsidRPr="00890249" w:rsidRDefault="00D52164" w:rsidP="00D52164">
            <w:pPr>
              <w:jc w:val="left"/>
              <w:rPr>
                <w:rFonts w:asciiTheme="minorHAnsi" w:hAnsiTheme="minorHAnsi" w:cstheme="minorHAnsi"/>
                <w:sz w:val="20"/>
                <w:lang w:val="en-GB"/>
              </w:rPr>
            </w:pPr>
          </w:p>
        </w:tc>
        <w:tc>
          <w:tcPr>
            <w:tcW w:w="1843" w:type="dxa"/>
            <w:vMerge w:val="restart"/>
          </w:tcPr>
          <w:p w14:paraId="530DBF6C"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EFRR:</w:t>
            </w:r>
          </w:p>
          <w:p w14:paraId="5175865F"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Zapewnienie równego dostępu do opieki zdrowotnej i wspieranie odporności systemów opieki zdrowotnej, w tym podstawowej opieki zdrowotnej, oraz wspieranie przechodzenia od opieki instytucjonalnej do opieki rodzinnej i środowiskowej</w:t>
            </w:r>
          </w:p>
          <w:p w14:paraId="24B0D92F" w14:textId="77777777" w:rsidR="00D52164" w:rsidRPr="00890249" w:rsidRDefault="00D52164" w:rsidP="00D52164">
            <w:pPr>
              <w:jc w:val="left"/>
              <w:rPr>
                <w:rFonts w:asciiTheme="minorHAnsi" w:hAnsiTheme="minorHAnsi" w:cstheme="minorHAnsi"/>
                <w:sz w:val="20"/>
              </w:rPr>
            </w:pPr>
          </w:p>
          <w:p w14:paraId="2F889E6A"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EFS+:</w:t>
            </w:r>
          </w:p>
          <w:p w14:paraId="27322725" w14:textId="77777777" w:rsidR="00D52164" w:rsidRPr="00890249" w:rsidRDefault="00D52164" w:rsidP="00D52164">
            <w:pPr>
              <w:jc w:val="left"/>
              <w:rPr>
                <w:rFonts w:asciiTheme="minorHAnsi" w:hAnsiTheme="minorHAnsi" w:cstheme="minorHAnsi"/>
                <w:b/>
                <w:bCs/>
                <w:i/>
                <w:sz w:val="20"/>
                <w:highlight w:val="yellow"/>
                <w:u w:val="single"/>
              </w:rPr>
            </w:pPr>
            <w:r w:rsidRPr="00890249">
              <w:rPr>
                <w:rFonts w:asciiTheme="minorHAnsi" w:hAnsiTheme="minorHAnsi" w:cstheme="minorHAnsi"/>
                <w:sz w:val="20"/>
              </w:rPr>
              <w:t xml:space="preserve">Zwiększanie równego i szybkiego dostępu  </w:t>
            </w:r>
            <w:r w:rsidRPr="00890249">
              <w:rPr>
                <w:rFonts w:asciiTheme="minorHAnsi" w:hAnsiTheme="minorHAnsi" w:cstheme="minorHAnsi"/>
                <w:sz w:val="20"/>
              </w:rPr>
              <w:lastRenderedPageBreak/>
              <w:t>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1559" w:type="dxa"/>
            <w:vMerge w:val="restart"/>
          </w:tcPr>
          <w:p w14:paraId="4A1479BA" w14:textId="5DAF3634" w:rsidR="00D52164" w:rsidRPr="00890249" w:rsidRDefault="00D50195" w:rsidP="00D52164">
            <w:pPr>
              <w:jc w:val="left"/>
              <w:rPr>
                <w:rFonts w:asciiTheme="minorHAnsi" w:eastAsia="Times New Roman" w:hAnsiTheme="minorHAnsi" w:cstheme="minorHAnsi"/>
                <w:iCs/>
                <w:noProof/>
                <w:sz w:val="20"/>
              </w:rPr>
            </w:pPr>
            <w:r>
              <w:rPr>
                <w:rFonts w:asciiTheme="minorHAnsi" w:eastAsia="Times New Roman" w:hAnsiTheme="minorHAnsi" w:cstheme="minorHAnsi"/>
                <w:iCs/>
                <w:noProof/>
                <w:sz w:val="20"/>
              </w:rPr>
              <w:lastRenderedPageBreak/>
              <w:t>Tak</w:t>
            </w:r>
          </w:p>
        </w:tc>
        <w:tc>
          <w:tcPr>
            <w:tcW w:w="2551" w:type="dxa"/>
          </w:tcPr>
          <w:p w14:paraId="0E8EB2C2"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Istnienie krajowych lub regionalnych ram strategicznych polityki na rzecz zdrowia, które obejmują:</w:t>
            </w:r>
          </w:p>
          <w:p w14:paraId="136C7C52" w14:textId="77777777" w:rsidR="00D52164" w:rsidRPr="00890249" w:rsidRDefault="00D52164" w:rsidP="00D52164">
            <w:pPr>
              <w:jc w:val="left"/>
              <w:rPr>
                <w:rFonts w:asciiTheme="minorHAnsi" w:hAnsiTheme="minorHAnsi" w:cstheme="minorHAnsi"/>
                <w:b/>
                <w:bCs/>
                <w:sz w:val="20"/>
              </w:rPr>
            </w:pPr>
          </w:p>
          <w:p w14:paraId="43E9FFF9"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 xml:space="preserve">Kryterium 1 </w:t>
            </w:r>
          </w:p>
          <w:p w14:paraId="030DD76A"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sz w:val="20"/>
              </w:rPr>
              <w:t>Mapowanie potrzeb w zakresie opieki zdrowotnej i opieki długoterminowej, w tym pod względem personelu medycznego i pielęgniarskiego, w celu zapewnienia zrównoważonych i skoordynowanych środków;</w:t>
            </w:r>
          </w:p>
          <w:p w14:paraId="450DBCD2" w14:textId="77777777" w:rsidR="00D52164" w:rsidRPr="00890249" w:rsidRDefault="00D52164" w:rsidP="00D52164">
            <w:pPr>
              <w:jc w:val="left"/>
              <w:rPr>
                <w:rFonts w:asciiTheme="minorHAnsi" w:hAnsiTheme="minorHAnsi" w:cstheme="minorHAnsi"/>
                <w:noProof/>
                <w:sz w:val="20"/>
              </w:rPr>
            </w:pPr>
          </w:p>
        </w:tc>
        <w:tc>
          <w:tcPr>
            <w:tcW w:w="1134" w:type="dxa"/>
            <w:vMerge w:val="restart"/>
          </w:tcPr>
          <w:p w14:paraId="3B11B0CA" w14:textId="25BF53D1" w:rsidR="00D52164" w:rsidRPr="00890249" w:rsidRDefault="00D50195" w:rsidP="00D52164">
            <w:pPr>
              <w:jc w:val="left"/>
              <w:rPr>
                <w:rFonts w:asciiTheme="minorHAnsi" w:hAnsiTheme="minorHAnsi" w:cstheme="minorHAnsi"/>
                <w:noProof/>
                <w:sz w:val="20"/>
              </w:rPr>
            </w:pPr>
            <w:r>
              <w:rPr>
                <w:rFonts w:asciiTheme="minorHAnsi" w:hAnsiTheme="minorHAnsi" w:cstheme="minorHAnsi"/>
                <w:noProof/>
                <w:sz w:val="20"/>
              </w:rPr>
              <w:t>Tak</w:t>
            </w:r>
          </w:p>
        </w:tc>
        <w:tc>
          <w:tcPr>
            <w:tcW w:w="3402" w:type="dxa"/>
            <w:vMerge w:val="restart"/>
          </w:tcPr>
          <w:p w14:paraId="2188773E"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t>Spełnienie warunku zapewni przyjęcie (odpowiednio dla każdego z kryteriów):</w:t>
            </w:r>
          </w:p>
          <w:p w14:paraId="0B5348F6" w14:textId="77777777" w:rsidR="00D50195" w:rsidRPr="00D50195" w:rsidRDefault="00D50195" w:rsidP="00D50195">
            <w:pPr>
              <w:numPr>
                <w:ilvl w:val="0"/>
                <w:numId w:val="92"/>
              </w:numPr>
              <w:jc w:val="left"/>
              <w:rPr>
                <w:rFonts w:asciiTheme="minorHAnsi" w:hAnsiTheme="minorHAnsi" w:cstheme="minorHAnsi"/>
                <w:bCs/>
                <w:sz w:val="20"/>
              </w:rPr>
            </w:pPr>
            <w:r w:rsidRPr="00D50195">
              <w:rPr>
                <w:rFonts w:asciiTheme="minorHAnsi" w:hAnsiTheme="minorHAnsi" w:cstheme="minorHAnsi"/>
                <w:bCs/>
                <w:sz w:val="20"/>
              </w:rPr>
              <w:t>mapy potrzeb zdrowotnych (MPZ) w nowej formule, zgodna z nowelizacją ustawy o świadczeniach opieki zdrowotnej, wraz z krajowym planem transformacji (KPT) i wojewódzkimi planami transformacji (WPT) oraz Strategii Rozwoju Usług Społecznych (SRUS) opracowywana przez Ministerstwo Rodziny i Polityki Społecznej w zakresie deinstytucjonalizacji usług społecznych (wykraczającym poza opiekę zdrowotną).,</w:t>
            </w:r>
          </w:p>
          <w:p w14:paraId="1522CB21" w14:textId="77777777" w:rsidR="00D50195" w:rsidRPr="00D50195" w:rsidRDefault="00D50195" w:rsidP="00D50195">
            <w:pPr>
              <w:numPr>
                <w:ilvl w:val="0"/>
                <w:numId w:val="92"/>
              </w:numPr>
              <w:jc w:val="left"/>
              <w:rPr>
                <w:rFonts w:asciiTheme="minorHAnsi" w:hAnsiTheme="minorHAnsi" w:cstheme="minorHAnsi"/>
                <w:bCs/>
                <w:iCs/>
                <w:sz w:val="20"/>
              </w:rPr>
            </w:pPr>
            <w:r w:rsidRPr="00D50195">
              <w:rPr>
                <w:rFonts w:asciiTheme="minorHAnsi" w:hAnsiTheme="minorHAnsi" w:cstheme="minorHAnsi"/>
                <w:bCs/>
                <w:iCs/>
                <w:sz w:val="20"/>
              </w:rPr>
              <w:t xml:space="preserve">polityki publicznej </w:t>
            </w:r>
            <w:r w:rsidRPr="00D50195">
              <w:rPr>
                <w:rFonts w:asciiTheme="minorHAnsi" w:hAnsiTheme="minorHAnsi" w:cstheme="minorHAnsi"/>
                <w:bCs/>
                <w:i/>
                <w:sz w:val="20"/>
              </w:rPr>
              <w:t xml:space="preserve">Zdrowa Przyszłość. Ramy strategiczne rozwoju systemu ochrony </w:t>
            </w:r>
            <w:r w:rsidRPr="00D50195">
              <w:rPr>
                <w:rFonts w:asciiTheme="minorHAnsi" w:hAnsiTheme="minorHAnsi" w:cstheme="minorHAnsi"/>
                <w:bCs/>
                <w:i/>
                <w:sz w:val="20"/>
              </w:rPr>
              <w:lastRenderedPageBreak/>
              <w:t>zdrowia na lata 2021–2027 z perspektywą do 2030 r.</w:t>
            </w:r>
            <w:r w:rsidRPr="00D50195">
              <w:rPr>
                <w:rFonts w:asciiTheme="minorHAnsi" w:hAnsiTheme="minorHAnsi" w:cstheme="minorHAnsi"/>
                <w:bCs/>
                <w:iCs/>
                <w:sz w:val="20"/>
              </w:rPr>
              <w:t xml:space="preserve"> (Zdrowa Przyszłość) oraz SRUS,</w:t>
            </w:r>
          </w:p>
          <w:p w14:paraId="72D76895" w14:textId="77777777" w:rsidR="00D50195" w:rsidRPr="00D50195" w:rsidRDefault="00D50195" w:rsidP="00D50195">
            <w:pPr>
              <w:numPr>
                <w:ilvl w:val="0"/>
                <w:numId w:val="92"/>
              </w:numPr>
              <w:jc w:val="left"/>
              <w:rPr>
                <w:rFonts w:asciiTheme="minorHAnsi" w:hAnsiTheme="minorHAnsi" w:cstheme="minorHAnsi"/>
                <w:bCs/>
                <w:sz w:val="20"/>
              </w:rPr>
            </w:pPr>
            <w:r w:rsidRPr="00D50195">
              <w:rPr>
                <w:rFonts w:asciiTheme="minorHAnsi" w:hAnsiTheme="minorHAnsi" w:cstheme="minorHAnsi"/>
                <w:bCs/>
                <w:sz w:val="20"/>
              </w:rPr>
              <w:t xml:space="preserve">polityk publicznych </w:t>
            </w:r>
            <w:r w:rsidRPr="00D50195">
              <w:rPr>
                <w:rFonts w:asciiTheme="minorHAnsi" w:hAnsiTheme="minorHAnsi" w:cstheme="minorHAnsi"/>
                <w:bCs/>
                <w:i/>
                <w:iCs/>
                <w:sz w:val="20"/>
              </w:rPr>
              <w:t>Strategia Deinstytucjonalizacji: opieka zdrowotna nad osobami z zaburzeniami psychicznymi</w:t>
            </w:r>
            <w:r w:rsidRPr="00D50195">
              <w:rPr>
                <w:rFonts w:asciiTheme="minorHAnsi" w:hAnsiTheme="minorHAnsi" w:cstheme="minorHAnsi"/>
                <w:bCs/>
                <w:sz w:val="20"/>
              </w:rPr>
              <w:t xml:space="preserve">, </w:t>
            </w:r>
            <w:r w:rsidRPr="00D50195">
              <w:rPr>
                <w:rFonts w:asciiTheme="minorHAnsi" w:hAnsiTheme="minorHAnsi" w:cstheme="minorHAnsi"/>
                <w:bCs/>
                <w:i/>
                <w:iCs/>
                <w:sz w:val="20"/>
              </w:rPr>
              <w:t>Strategia Deinstytucjonalizacji: opieka zdrowotna nad osobami starszymi</w:t>
            </w:r>
            <w:r w:rsidRPr="00D50195">
              <w:rPr>
                <w:rFonts w:asciiTheme="minorHAnsi" w:hAnsiTheme="minorHAnsi" w:cstheme="minorHAnsi"/>
                <w:bCs/>
                <w:sz w:val="20"/>
              </w:rPr>
              <w:t>, SRUS.</w:t>
            </w:r>
          </w:p>
          <w:p w14:paraId="4CD413CA"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t>Kolejne wymienione wyżej dokumenty dostępne pod adresem:</w:t>
            </w:r>
          </w:p>
          <w:bookmarkStart w:id="55" w:name="_Hlk106829184"/>
          <w:p w14:paraId="7F08095E" w14:textId="77777777" w:rsidR="00D50195" w:rsidRPr="00D50195" w:rsidRDefault="00D50195" w:rsidP="00D50195">
            <w:pPr>
              <w:jc w:val="left"/>
              <w:rPr>
                <w:rFonts w:asciiTheme="minorHAnsi" w:hAnsiTheme="minorHAnsi" w:cstheme="minorHAnsi"/>
                <w:bCs/>
                <w:sz w:val="20"/>
                <w:u w:val="single"/>
              </w:rPr>
            </w:pPr>
            <w:r w:rsidRPr="00D50195">
              <w:rPr>
                <w:rFonts w:asciiTheme="minorHAnsi" w:hAnsiTheme="minorHAnsi" w:cstheme="minorHAnsi"/>
                <w:bCs/>
                <w:sz w:val="20"/>
              </w:rPr>
              <w:fldChar w:fldCharType="begin"/>
            </w:r>
            <w:r w:rsidRPr="00D50195">
              <w:rPr>
                <w:rFonts w:asciiTheme="minorHAnsi" w:hAnsiTheme="minorHAnsi" w:cstheme="minorHAnsi"/>
                <w:bCs/>
                <w:sz w:val="20"/>
              </w:rPr>
              <w:instrText xml:space="preserve"> HYPERLINK "http://?" </w:instrText>
            </w:r>
            <w:r w:rsidRPr="00D50195">
              <w:rPr>
                <w:rFonts w:asciiTheme="minorHAnsi" w:hAnsiTheme="minorHAnsi" w:cstheme="minorHAnsi"/>
                <w:bCs/>
                <w:sz w:val="20"/>
              </w:rPr>
            </w:r>
            <w:r w:rsidRPr="00D50195">
              <w:rPr>
                <w:rFonts w:asciiTheme="minorHAnsi" w:hAnsiTheme="minorHAnsi" w:cstheme="minorHAnsi"/>
                <w:bCs/>
                <w:sz w:val="20"/>
              </w:rPr>
              <w:fldChar w:fldCharType="separate"/>
            </w:r>
            <w:r w:rsidRPr="00D50195">
              <w:rPr>
                <w:rStyle w:val="Hipercze"/>
                <w:rFonts w:asciiTheme="minorHAnsi" w:hAnsiTheme="minorHAnsi" w:cstheme="minorHAnsi"/>
                <w:bCs/>
                <w:sz w:val="20"/>
              </w:rPr>
              <w:t>http://dziennikmz.mz.gov.pl/DUM_MZ/2021/69/akt.pdf</w:t>
            </w:r>
            <w:r w:rsidRPr="00D50195">
              <w:rPr>
                <w:rFonts w:asciiTheme="minorHAnsi" w:hAnsiTheme="minorHAnsi" w:cstheme="minorHAnsi"/>
                <w:bCs/>
                <w:sz w:val="20"/>
              </w:rPr>
              <w:fldChar w:fldCharType="end"/>
            </w:r>
          </w:p>
          <w:bookmarkStart w:id="56" w:name="_Hlk106829158"/>
          <w:bookmarkEnd w:id="55"/>
          <w:p w14:paraId="725C44F2"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fldChar w:fldCharType="begin"/>
            </w:r>
            <w:r w:rsidRPr="00D50195">
              <w:rPr>
                <w:rFonts w:asciiTheme="minorHAnsi" w:hAnsiTheme="minorHAnsi" w:cstheme="minorHAnsi"/>
                <w:bCs/>
                <w:sz w:val="20"/>
              </w:rPr>
              <w:instrText xml:space="preserve"> HYPERLINK "https://basiw.mz.gov.pl/index.html#/visualization?id=3304" </w:instrText>
            </w:r>
            <w:r w:rsidRPr="00D50195">
              <w:rPr>
                <w:rFonts w:asciiTheme="minorHAnsi" w:hAnsiTheme="minorHAnsi" w:cstheme="minorHAnsi"/>
                <w:bCs/>
                <w:sz w:val="20"/>
              </w:rPr>
            </w:r>
            <w:r w:rsidRPr="00D50195">
              <w:rPr>
                <w:rFonts w:asciiTheme="minorHAnsi" w:hAnsiTheme="minorHAnsi" w:cstheme="minorHAnsi"/>
                <w:bCs/>
                <w:sz w:val="20"/>
              </w:rPr>
              <w:fldChar w:fldCharType="separate"/>
            </w:r>
            <w:r w:rsidRPr="00D50195">
              <w:rPr>
                <w:rStyle w:val="Hipercze"/>
                <w:rFonts w:asciiTheme="minorHAnsi" w:hAnsiTheme="minorHAnsi" w:cstheme="minorHAnsi"/>
                <w:bCs/>
                <w:sz w:val="20"/>
              </w:rPr>
              <w:t>https://basiw.mz.gov.pl/index.html#/visualization?id=3304</w:t>
            </w:r>
            <w:r w:rsidRPr="00D50195">
              <w:rPr>
                <w:rFonts w:asciiTheme="minorHAnsi" w:hAnsiTheme="minorHAnsi" w:cstheme="minorHAnsi"/>
                <w:bCs/>
                <w:sz w:val="20"/>
              </w:rPr>
              <w:fldChar w:fldCharType="end"/>
            </w:r>
          </w:p>
          <w:bookmarkEnd w:id="56"/>
          <w:p w14:paraId="58CDE409"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fldChar w:fldCharType="begin"/>
            </w:r>
            <w:r w:rsidRPr="00D50195">
              <w:rPr>
                <w:rFonts w:asciiTheme="minorHAnsi" w:hAnsiTheme="minorHAnsi" w:cstheme="minorHAnsi"/>
                <w:bCs/>
                <w:sz w:val="20"/>
              </w:rPr>
              <w:instrText xml:space="preserve"> HYPERLINK "http://?" </w:instrText>
            </w:r>
            <w:r w:rsidRPr="00D50195">
              <w:rPr>
                <w:rFonts w:asciiTheme="minorHAnsi" w:hAnsiTheme="minorHAnsi" w:cstheme="minorHAnsi"/>
                <w:bCs/>
                <w:sz w:val="20"/>
              </w:rPr>
            </w:r>
            <w:r w:rsidRPr="00D50195">
              <w:rPr>
                <w:rFonts w:asciiTheme="minorHAnsi" w:hAnsiTheme="minorHAnsi" w:cstheme="minorHAnsi"/>
                <w:bCs/>
                <w:sz w:val="20"/>
              </w:rPr>
              <w:fldChar w:fldCharType="separate"/>
            </w:r>
            <w:r w:rsidRPr="00D50195">
              <w:rPr>
                <w:rStyle w:val="Hipercze"/>
                <w:rFonts w:asciiTheme="minorHAnsi" w:hAnsiTheme="minorHAnsi" w:cstheme="minorHAnsi"/>
                <w:bCs/>
                <w:sz w:val="20"/>
              </w:rPr>
              <w:t>http://dziennikmz.mz.gov.pl/DUM_MZ/2021/80/akt.pdf</w:t>
            </w:r>
            <w:r w:rsidRPr="00D50195">
              <w:rPr>
                <w:rFonts w:asciiTheme="minorHAnsi" w:hAnsiTheme="minorHAnsi" w:cstheme="minorHAnsi"/>
                <w:bCs/>
                <w:sz w:val="20"/>
              </w:rPr>
              <w:fldChar w:fldCharType="end"/>
            </w:r>
          </w:p>
          <w:p w14:paraId="6DB20B4D"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https://edzienniki.duw.pl/legalact/2021/6115/</w:t>
              </w:r>
            </w:hyperlink>
          </w:p>
          <w:p w14:paraId="6268879A"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http://edzienniki.bydgoszcz.uw.gov.pl/legalact/2021/6818/</w:t>
              </w:r>
            </w:hyperlink>
          </w:p>
          <w:p w14:paraId="5F26F7E2"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http://edziennik.lublin.uw.gov.pl/legalact/2021/6121/</w:t>
              </w:r>
            </w:hyperlink>
          </w:p>
          <w:p w14:paraId="75008A3E"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https://bip.lubuskie.uw.gov.pl/ochrona_zdrowia/wojewodzki-plan-transformacji-wojewodztwa-lubuskiego</w:t>
              </w:r>
            </w:hyperlink>
          </w:p>
          <w:p w14:paraId="30C45101"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http://dziennik.lodzkie.eu/WDU_E/2021/6669/akt.pdf</w:t>
              </w:r>
            </w:hyperlink>
          </w:p>
          <w:p w14:paraId="76645D2A"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http://edziennik.malopolska.uw.gov.pl/legalact/2021/7877/</w:t>
              </w:r>
            </w:hyperlink>
          </w:p>
          <w:p w14:paraId="0357113E"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https://edziennik.mazowieckie.pl/legalact/2021/12691/</w:t>
              </w:r>
            </w:hyperlink>
          </w:p>
          <w:p w14:paraId="3E3D2A1A"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https://duwo.opole.uw.gov.pl/WDU_O/2022/44/akt.pdf</w:t>
              </w:r>
            </w:hyperlink>
          </w:p>
          <w:p w14:paraId="4B84F239"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https://edziennik.bialystok.uw.gov.pl/legalact/2021/5202/</w:t>
              </w:r>
            </w:hyperlink>
          </w:p>
          <w:p w14:paraId="464D5930"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http://edziennik.rzeszow.uw.gov.pl/legalact/2021/4777/</w:t>
              </w:r>
            </w:hyperlink>
          </w:p>
          <w:p w14:paraId="2063502B"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http://edziennik.gdansk.uw.gov.pl/legalact/2021/5058/</w:t>
              </w:r>
            </w:hyperlink>
          </w:p>
          <w:p w14:paraId="1D075146"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http://dzienniki.slask.eu/legalact/2021/8394/</w:t>
              </w:r>
            </w:hyperlink>
          </w:p>
          <w:p w14:paraId="3CC5A121"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http://edziennik.kielce.uw.gov.pl/legalact/2021/4764/</w:t>
              </w:r>
            </w:hyperlink>
          </w:p>
          <w:p w14:paraId="04C33965"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http://edzienniki.olsztyn.uw.gov.pl/legalact/2021/5087/</w:t>
              </w:r>
            </w:hyperlink>
          </w:p>
          <w:p w14:paraId="507D9954"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http://edziennik.poznan.uw.gov.pl/WDU_P/2021/9999/akt.pdf</w:t>
              </w:r>
            </w:hyperlink>
            <w:r w:rsidRPr="00D50195">
              <w:rPr>
                <w:rFonts w:asciiTheme="minorHAnsi" w:hAnsiTheme="minorHAnsi" w:cstheme="minorHAnsi"/>
                <w:bCs/>
                <w:sz w:val="20"/>
              </w:rPr>
              <w:t xml:space="preserve"> </w:t>
            </w:r>
          </w:p>
          <w:p w14:paraId="7D7009D9" w14:textId="77777777" w:rsidR="00D50195" w:rsidRPr="00D50195" w:rsidRDefault="00D50195" w:rsidP="00D50195">
            <w:pPr>
              <w:jc w:val="left"/>
              <w:rPr>
                <w:rFonts w:asciiTheme="minorHAnsi" w:hAnsiTheme="minorHAnsi" w:cstheme="minorHAnsi"/>
                <w:bCs/>
                <w:sz w:val="20"/>
              </w:rPr>
            </w:pPr>
            <w:hyperlink w:history="1">
              <w:r w:rsidRPr="00D50195">
                <w:rPr>
                  <w:rStyle w:val="Hipercze"/>
                  <w:rFonts w:asciiTheme="minorHAnsi" w:hAnsiTheme="minorHAnsi" w:cstheme="minorHAnsi"/>
                  <w:bCs/>
                  <w:sz w:val="20"/>
                </w:rPr>
                <w:t>http://e-dziennik.szczecin.uw.gov.pl/legalact/2021/5716/</w:t>
              </w:r>
            </w:hyperlink>
          </w:p>
          <w:p w14:paraId="7F118A34" w14:textId="4E36BDF8" w:rsidR="00D50195" w:rsidRDefault="00D50195" w:rsidP="00D50195">
            <w:pPr>
              <w:jc w:val="left"/>
              <w:rPr>
                <w:rFonts w:asciiTheme="minorHAnsi" w:hAnsiTheme="minorHAnsi" w:cstheme="minorHAnsi"/>
                <w:b/>
                <w:bCs/>
                <w:sz w:val="20"/>
              </w:rPr>
            </w:pPr>
            <w:hyperlink w:history="1">
              <w:r w:rsidRPr="00D50195">
                <w:rPr>
                  <w:rStyle w:val="Hipercze"/>
                  <w:rFonts w:asciiTheme="minorHAnsi" w:hAnsiTheme="minorHAnsi" w:cstheme="minorHAnsi"/>
                  <w:bCs/>
                  <w:sz w:val="20"/>
                </w:rPr>
                <w:t>https://www.gov.pl/web/zdrowie/zdrowa-przyszlosc-ramy-strategiczne-rozwoju-systemu-ochrony-zdrowia-na-lata-2021-2027-z-perspektywa-do-2030</w:t>
              </w:r>
            </w:hyperlink>
            <w:r w:rsidRPr="00D50195">
              <w:rPr>
                <w:rFonts w:asciiTheme="minorHAnsi" w:hAnsiTheme="minorHAnsi" w:cstheme="minorHAnsi"/>
                <w:b/>
                <w:bCs/>
                <w:sz w:val="20"/>
              </w:rPr>
              <w:t xml:space="preserve">  </w:t>
            </w:r>
          </w:p>
          <w:p w14:paraId="6253F7A2" w14:textId="56529A8C" w:rsidR="00D50195" w:rsidRPr="00D50195" w:rsidRDefault="00D50195" w:rsidP="00D50195">
            <w:pPr>
              <w:jc w:val="left"/>
              <w:rPr>
                <w:rFonts w:asciiTheme="minorHAnsi" w:hAnsiTheme="minorHAnsi" w:cstheme="minorHAnsi"/>
                <w:b/>
                <w:bCs/>
                <w:sz w:val="20"/>
              </w:rPr>
            </w:pPr>
            <w:r w:rsidRPr="00D50195">
              <w:rPr>
                <w:rFonts w:asciiTheme="minorHAnsi" w:hAnsiTheme="minorHAnsi" w:cstheme="minorHAnsi"/>
                <w:b/>
                <w:bCs/>
                <w:sz w:val="20"/>
              </w:rPr>
              <w:t>Kryterium 1</w:t>
            </w:r>
            <w:r w:rsidR="00F0237E">
              <w:rPr>
                <w:rFonts w:asciiTheme="minorHAnsi" w:hAnsiTheme="minorHAnsi" w:cstheme="minorHAnsi"/>
                <w:b/>
                <w:bCs/>
                <w:sz w:val="20"/>
              </w:rPr>
              <w:t>.</w:t>
            </w:r>
          </w:p>
          <w:p w14:paraId="4A4FED13" w14:textId="77777777" w:rsidR="00D50195" w:rsidRPr="00F62734" w:rsidRDefault="00D50195" w:rsidP="00D50195">
            <w:pPr>
              <w:jc w:val="left"/>
              <w:rPr>
                <w:rFonts w:asciiTheme="minorHAnsi" w:hAnsiTheme="minorHAnsi" w:cstheme="minorHAnsi"/>
                <w:sz w:val="20"/>
              </w:rPr>
            </w:pPr>
            <w:r w:rsidRPr="00F62734">
              <w:rPr>
                <w:rFonts w:asciiTheme="minorHAnsi" w:hAnsiTheme="minorHAnsi" w:cstheme="minorHAnsi"/>
                <w:sz w:val="20"/>
              </w:rPr>
              <w:t xml:space="preserve">Mapa potrzeb zdrowotnych na lata 2022-2026 (wyzwania systemu opieki zdrowotnej i rekomendowane kierunki działań) </w:t>
            </w:r>
            <w:hyperlink w:history="1">
              <w:r w:rsidRPr="00F62734">
                <w:rPr>
                  <w:rStyle w:val="Hipercze"/>
                  <w:rFonts w:asciiTheme="minorHAnsi" w:hAnsiTheme="minorHAnsi" w:cstheme="minorHAnsi"/>
                  <w:sz w:val="20"/>
                </w:rPr>
                <w:t>http://dziennikmz.mz.gov.pl/DUM_MZ/2021/69/akt.pdf</w:t>
              </w:r>
            </w:hyperlink>
            <w:r w:rsidRPr="00F62734">
              <w:rPr>
                <w:rFonts w:asciiTheme="minorHAnsi" w:hAnsiTheme="minorHAnsi" w:cstheme="minorHAnsi"/>
                <w:sz w:val="20"/>
              </w:rPr>
              <w:t xml:space="preserve"> </w:t>
            </w:r>
          </w:p>
          <w:p w14:paraId="7746C8F7" w14:textId="77777777" w:rsidR="00D50195" w:rsidRPr="00F62734" w:rsidRDefault="00D50195" w:rsidP="00D50195">
            <w:pPr>
              <w:jc w:val="left"/>
              <w:rPr>
                <w:rFonts w:asciiTheme="minorHAnsi" w:hAnsiTheme="minorHAnsi" w:cstheme="minorHAnsi"/>
                <w:sz w:val="20"/>
              </w:rPr>
            </w:pPr>
            <w:r w:rsidRPr="00F62734">
              <w:rPr>
                <w:rFonts w:asciiTheme="minorHAnsi" w:hAnsiTheme="minorHAnsi" w:cstheme="minorHAnsi"/>
                <w:sz w:val="20"/>
              </w:rPr>
              <w:t xml:space="preserve">Mapa potrzeb na lata 2022-2026 (analizy) </w:t>
            </w:r>
            <w:hyperlink r:id="rId155" w:history="1">
              <w:r w:rsidRPr="00F62734">
                <w:rPr>
                  <w:rStyle w:val="Hipercze"/>
                  <w:rFonts w:asciiTheme="minorHAnsi" w:hAnsiTheme="minorHAnsi" w:cstheme="minorHAnsi"/>
                  <w:sz w:val="20"/>
                </w:rPr>
                <w:t>https://basiw.mz.gov.pl/mapy-informacje/mapa-2022-2026/</w:t>
              </w:r>
            </w:hyperlink>
          </w:p>
          <w:p w14:paraId="7198AE7A" w14:textId="77777777" w:rsidR="00D50195" w:rsidRPr="00F62734" w:rsidRDefault="00D50195" w:rsidP="00D50195">
            <w:pPr>
              <w:jc w:val="left"/>
              <w:rPr>
                <w:rFonts w:asciiTheme="minorHAnsi" w:hAnsiTheme="minorHAnsi" w:cstheme="minorHAnsi"/>
                <w:sz w:val="20"/>
              </w:rPr>
            </w:pPr>
            <w:r w:rsidRPr="00F62734">
              <w:rPr>
                <w:rFonts w:asciiTheme="minorHAnsi" w:hAnsiTheme="minorHAnsi" w:cstheme="minorHAnsi"/>
                <w:sz w:val="20"/>
              </w:rPr>
              <w:t xml:space="preserve">Krajowy Plan Transformacji na lata 2022-2026 </w:t>
            </w:r>
            <w:hyperlink w:history="1">
              <w:r w:rsidRPr="00F62734">
                <w:rPr>
                  <w:rStyle w:val="Hipercze"/>
                  <w:rFonts w:asciiTheme="minorHAnsi" w:hAnsiTheme="minorHAnsi" w:cstheme="minorHAnsi"/>
                  <w:sz w:val="20"/>
                </w:rPr>
                <w:t>http://dziennikmz.mz.gov.pl/DUM_MZ/2021/80/akt.pdf</w:t>
              </w:r>
            </w:hyperlink>
            <w:r w:rsidRPr="00F62734">
              <w:rPr>
                <w:rFonts w:asciiTheme="minorHAnsi" w:hAnsiTheme="minorHAnsi" w:cstheme="minorHAnsi"/>
                <w:sz w:val="20"/>
              </w:rPr>
              <w:t xml:space="preserve"> </w:t>
            </w:r>
          </w:p>
          <w:p w14:paraId="096A7D2D" w14:textId="77777777" w:rsidR="00D50195" w:rsidRPr="00F62734" w:rsidRDefault="00D50195" w:rsidP="00D50195">
            <w:pPr>
              <w:jc w:val="left"/>
              <w:rPr>
                <w:rFonts w:asciiTheme="minorHAnsi" w:hAnsiTheme="minorHAnsi" w:cstheme="minorHAnsi"/>
                <w:sz w:val="20"/>
              </w:rPr>
            </w:pPr>
            <w:r w:rsidRPr="00F62734">
              <w:rPr>
                <w:rFonts w:asciiTheme="minorHAnsi" w:hAnsiTheme="minorHAnsi" w:cstheme="minorHAnsi"/>
                <w:sz w:val="20"/>
              </w:rPr>
              <w:t>Wojewódzkie Plany Transformacji na lata 2022-2026</w:t>
            </w:r>
          </w:p>
          <w:p w14:paraId="5550EEC1" w14:textId="77777777" w:rsidR="00D50195" w:rsidRPr="00F62734" w:rsidRDefault="00D50195" w:rsidP="00D50195">
            <w:pPr>
              <w:jc w:val="left"/>
              <w:rPr>
                <w:rFonts w:asciiTheme="minorHAnsi" w:hAnsiTheme="minorHAnsi" w:cstheme="minorHAnsi"/>
                <w:sz w:val="20"/>
              </w:rPr>
            </w:pPr>
            <w:hyperlink r:id="rId156" w:history="1">
              <w:r w:rsidRPr="00F62734">
                <w:rPr>
                  <w:rStyle w:val="Hipercze"/>
                  <w:rFonts w:asciiTheme="minorHAnsi" w:hAnsiTheme="minorHAnsi" w:cstheme="minorHAnsi"/>
                  <w:sz w:val="20"/>
                </w:rPr>
                <w:t>https://basiw.mz.gov.pl/strategie/wojewodzkie-plany-transformacji/</w:t>
              </w:r>
            </w:hyperlink>
          </w:p>
          <w:p w14:paraId="1CE43FED" w14:textId="77777777" w:rsidR="00D50195" w:rsidRPr="00F62734" w:rsidRDefault="00D50195" w:rsidP="00D50195">
            <w:pPr>
              <w:jc w:val="left"/>
              <w:rPr>
                <w:rFonts w:asciiTheme="minorHAnsi" w:hAnsiTheme="minorHAnsi" w:cstheme="minorHAnsi"/>
                <w:sz w:val="20"/>
              </w:rPr>
            </w:pPr>
            <w:r w:rsidRPr="00F62734">
              <w:rPr>
                <w:rFonts w:asciiTheme="minorHAnsi" w:hAnsiTheme="minorHAnsi" w:cstheme="minorHAnsi"/>
                <w:sz w:val="20"/>
              </w:rPr>
              <w:lastRenderedPageBreak/>
              <w:t xml:space="preserve">Strategia rozwoju usług społecznych, polityka publiczna do roku 2030 (z perspektywą do 2035 r.) </w:t>
            </w:r>
            <w:hyperlink r:id="rId157" w:history="1">
              <w:r w:rsidRPr="00F62734">
                <w:rPr>
                  <w:rStyle w:val="Hipercze"/>
                  <w:rFonts w:asciiTheme="minorHAnsi" w:hAnsiTheme="minorHAnsi" w:cstheme="minorHAnsi"/>
                  <w:sz w:val="20"/>
                </w:rPr>
                <w:t>https://isap.sejm.gov.pl/isap.nsf/DocDetails.xsp?id=WMP20220000767</w:t>
              </w:r>
            </w:hyperlink>
            <w:r w:rsidRPr="00F62734">
              <w:rPr>
                <w:rFonts w:asciiTheme="minorHAnsi" w:hAnsiTheme="minorHAnsi" w:cstheme="minorHAnsi"/>
                <w:sz w:val="20"/>
              </w:rPr>
              <w:t xml:space="preserve"> </w:t>
            </w:r>
          </w:p>
          <w:p w14:paraId="7B752A74" w14:textId="77777777" w:rsidR="00D50195" w:rsidRPr="00F62734" w:rsidRDefault="00D50195" w:rsidP="00D50195">
            <w:pPr>
              <w:jc w:val="left"/>
              <w:rPr>
                <w:rFonts w:asciiTheme="minorHAnsi" w:hAnsiTheme="minorHAnsi" w:cstheme="minorHAnsi"/>
                <w:sz w:val="20"/>
              </w:rPr>
            </w:pPr>
            <w:r w:rsidRPr="00F62734">
              <w:rPr>
                <w:rFonts w:asciiTheme="minorHAnsi" w:hAnsiTheme="minorHAnsi" w:cstheme="minorHAnsi"/>
                <w:sz w:val="20"/>
              </w:rPr>
              <w:t xml:space="preserve">Regionalne Plany Rozwoju Usług Społecznych i Deinstytucjonalizacji </w:t>
            </w:r>
          </w:p>
          <w:p w14:paraId="5EB39F89" w14:textId="0775D24D" w:rsidR="00F0237E" w:rsidRPr="00F0237E" w:rsidRDefault="00F0237E" w:rsidP="00F0237E">
            <w:pPr>
              <w:jc w:val="left"/>
              <w:rPr>
                <w:rFonts w:asciiTheme="minorHAnsi" w:hAnsiTheme="minorHAnsi" w:cstheme="minorHAnsi"/>
                <w:b/>
                <w:bCs/>
                <w:sz w:val="20"/>
              </w:rPr>
            </w:pPr>
            <w:r w:rsidRPr="00F0237E">
              <w:rPr>
                <w:rFonts w:asciiTheme="minorHAnsi" w:hAnsiTheme="minorHAnsi" w:cstheme="minorHAnsi"/>
                <w:b/>
                <w:bCs/>
                <w:sz w:val="20"/>
              </w:rPr>
              <w:t>Kryterium 2</w:t>
            </w:r>
            <w:r>
              <w:rPr>
                <w:rFonts w:asciiTheme="minorHAnsi" w:hAnsiTheme="minorHAnsi" w:cstheme="minorHAnsi"/>
                <w:b/>
                <w:bCs/>
                <w:sz w:val="20"/>
              </w:rPr>
              <w:t>.</w:t>
            </w:r>
          </w:p>
          <w:p w14:paraId="2BFC2941"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 xml:space="preserve">Zdrowa Przyszłość. Ramy strategiczne rozwoju systemu ochrony zdrowia na lata 2021-2027, z perspektywą do 2030 </w:t>
            </w:r>
            <w:hyperlink r:id="rId158" w:history="1">
              <w:r w:rsidRPr="00F62734">
                <w:rPr>
                  <w:rStyle w:val="Hipercze"/>
                  <w:rFonts w:asciiTheme="minorHAnsi" w:hAnsiTheme="minorHAnsi" w:cstheme="minorHAnsi"/>
                  <w:sz w:val="20"/>
                </w:rPr>
                <w:t>https://www.gov.pl/web/zdrowie/zdrowa-przyszlosc-ramy-strategiczne-rozwoju-systemu-ochrony-zdrowia-na-lata-2021-2027-z-perspektywa-do-2030</w:t>
              </w:r>
            </w:hyperlink>
            <w:r w:rsidRPr="00F62734">
              <w:rPr>
                <w:rFonts w:asciiTheme="minorHAnsi" w:hAnsiTheme="minorHAnsi" w:cstheme="minorHAnsi"/>
                <w:sz w:val="20"/>
              </w:rPr>
              <w:t xml:space="preserve"> </w:t>
            </w:r>
          </w:p>
          <w:p w14:paraId="03C77E54"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 xml:space="preserve">Krajowy Plan Transformacji na lata 2022-2026 </w:t>
            </w:r>
            <w:hyperlink r:id="rId159" w:history="1">
              <w:r w:rsidRPr="00F62734">
                <w:rPr>
                  <w:rStyle w:val="Hipercze"/>
                  <w:rFonts w:asciiTheme="minorHAnsi" w:hAnsiTheme="minorHAnsi" w:cstheme="minorHAnsi"/>
                  <w:sz w:val="20"/>
                </w:rPr>
                <w:t>http://dziennikmz.mz.gov.pl/DUM_MZ/2021/80/akt.pdf</w:t>
              </w:r>
            </w:hyperlink>
            <w:r w:rsidRPr="00F62734">
              <w:rPr>
                <w:rFonts w:asciiTheme="minorHAnsi" w:hAnsiTheme="minorHAnsi" w:cstheme="minorHAnsi"/>
                <w:sz w:val="20"/>
              </w:rPr>
              <w:t xml:space="preserve"> </w:t>
            </w:r>
          </w:p>
          <w:p w14:paraId="17461C95"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Wojewódzkie Plany Transformacji na lata 2022-2026</w:t>
            </w:r>
          </w:p>
          <w:p w14:paraId="77C33F37" w14:textId="77777777" w:rsidR="00F0237E" w:rsidRPr="00F62734" w:rsidRDefault="00F0237E" w:rsidP="00F0237E">
            <w:pPr>
              <w:jc w:val="left"/>
              <w:rPr>
                <w:rFonts w:asciiTheme="minorHAnsi" w:hAnsiTheme="minorHAnsi" w:cstheme="minorHAnsi"/>
                <w:sz w:val="20"/>
              </w:rPr>
            </w:pPr>
            <w:hyperlink r:id="rId160" w:history="1">
              <w:r w:rsidRPr="00F62734">
                <w:rPr>
                  <w:rStyle w:val="Hipercze"/>
                  <w:rFonts w:asciiTheme="minorHAnsi" w:hAnsiTheme="minorHAnsi" w:cstheme="minorHAnsi"/>
                  <w:sz w:val="20"/>
                </w:rPr>
                <w:t>https://basiw.mz.gov.pl/strategie/wojewodzkie-plany-transformacji/</w:t>
              </w:r>
            </w:hyperlink>
          </w:p>
          <w:p w14:paraId="185D1EF0"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 xml:space="preserve">Strategia rozwoju usług społecznych, polityka publiczna do roku 2030 (z perspektywą do 2035 r.) </w:t>
            </w:r>
            <w:hyperlink r:id="rId161" w:history="1">
              <w:r w:rsidRPr="00F62734">
                <w:rPr>
                  <w:rStyle w:val="Hipercze"/>
                  <w:rFonts w:asciiTheme="minorHAnsi" w:hAnsiTheme="minorHAnsi" w:cstheme="minorHAnsi"/>
                  <w:sz w:val="20"/>
                </w:rPr>
                <w:t>https://isap.sejm.gov.pl/isap.nsf/DocDetails.xsp?id=WMP20220000767</w:t>
              </w:r>
            </w:hyperlink>
            <w:r w:rsidRPr="00F62734">
              <w:rPr>
                <w:rFonts w:asciiTheme="minorHAnsi" w:hAnsiTheme="minorHAnsi" w:cstheme="minorHAnsi"/>
                <w:sz w:val="20"/>
              </w:rPr>
              <w:t xml:space="preserve"> </w:t>
            </w:r>
          </w:p>
          <w:p w14:paraId="2A790F8D" w14:textId="49B3AA7F" w:rsidR="00D50195" w:rsidRDefault="00F0237E" w:rsidP="00D50195">
            <w:pPr>
              <w:jc w:val="left"/>
              <w:rPr>
                <w:rFonts w:asciiTheme="minorHAnsi" w:hAnsiTheme="minorHAnsi" w:cstheme="minorHAnsi"/>
                <w:sz w:val="20"/>
              </w:rPr>
            </w:pPr>
            <w:r w:rsidRPr="00F62734">
              <w:rPr>
                <w:rFonts w:asciiTheme="minorHAnsi" w:hAnsiTheme="minorHAnsi" w:cstheme="minorHAnsi"/>
                <w:sz w:val="20"/>
              </w:rPr>
              <w:t>Regionalne Plany Rozwoju Usług Społecznych i Deinstytucjonalizacji</w:t>
            </w:r>
          </w:p>
          <w:p w14:paraId="65AA4B39" w14:textId="2CCA3BFE" w:rsidR="00F0237E" w:rsidRPr="00F0237E" w:rsidRDefault="00F0237E" w:rsidP="00F0237E">
            <w:pPr>
              <w:jc w:val="left"/>
              <w:rPr>
                <w:rFonts w:asciiTheme="minorHAnsi" w:hAnsiTheme="minorHAnsi" w:cstheme="minorHAnsi"/>
                <w:b/>
                <w:bCs/>
                <w:sz w:val="20"/>
              </w:rPr>
            </w:pPr>
            <w:r w:rsidRPr="00F0237E">
              <w:rPr>
                <w:rFonts w:asciiTheme="minorHAnsi" w:hAnsiTheme="minorHAnsi" w:cstheme="minorHAnsi"/>
                <w:b/>
                <w:bCs/>
                <w:sz w:val="20"/>
              </w:rPr>
              <w:t>Kryterium</w:t>
            </w:r>
            <w:r>
              <w:rPr>
                <w:rFonts w:asciiTheme="minorHAnsi" w:hAnsiTheme="minorHAnsi" w:cstheme="minorHAnsi"/>
                <w:b/>
                <w:bCs/>
                <w:sz w:val="20"/>
              </w:rPr>
              <w:t xml:space="preserve"> 3.</w:t>
            </w:r>
          </w:p>
          <w:p w14:paraId="5114BD2C"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Zdrowa Przyszłość. Ramy strategiczne rozwoju systemu ochrony zdrowia na lata 2021-2027, z perspektywą do 2030 https://www.gov.pl/web/zdrowie/zdrowa-przyszlosc-ramy-strategiczne-rozwoju-systemu-ochrony-zdrowia-na-lata-2021-2027-z-perspektywa-do-2030</w:t>
            </w:r>
          </w:p>
          <w:p w14:paraId="23AA174E"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 xml:space="preserve">Strategia rozwoju usług społecznych, polityka publiczna do roku 2030 (z perspektywą do 2035 r.) https://isap.sejm.gov.pl/isap.nsf/DocDetails.xsp?id=WMP20220000767 </w:t>
            </w:r>
          </w:p>
          <w:p w14:paraId="4F4CC867"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 xml:space="preserve">Krajowy Plan Transformacji na lata 2022-2026 http://dziennikmz.mz.gov.pl/DUM_MZ/2021/80/akt.pdf </w:t>
            </w:r>
          </w:p>
          <w:p w14:paraId="4FB0F2AE"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Wojewódzkie Plany Transformacji na lata 2022-2026</w:t>
            </w:r>
          </w:p>
          <w:p w14:paraId="525AE031" w14:textId="77777777" w:rsidR="00F0237E" w:rsidRPr="00F62734" w:rsidRDefault="00F0237E" w:rsidP="00F0237E">
            <w:pPr>
              <w:jc w:val="left"/>
              <w:rPr>
                <w:rFonts w:asciiTheme="minorHAnsi" w:hAnsiTheme="minorHAnsi" w:cstheme="minorHAnsi"/>
                <w:sz w:val="20"/>
              </w:rPr>
            </w:pPr>
            <w:r w:rsidRPr="00F62734">
              <w:rPr>
                <w:rFonts w:asciiTheme="minorHAnsi" w:hAnsiTheme="minorHAnsi" w:cstheme="minorHAnsi"/>
                <w:sz w:val="20"/>
              </w:rPr>
              <w:t>https://basiw.mz.gov.pl/strategie/wojewodzkie-plany-transformacji/</w:t>
            </w:r>
          </w:p>
          <w:p w14:paraId="6BD4ACF7" w14:textId="2DB59F0D" w:rsidR="00D50195" w:rsidRPr="00F0237E" w:rsidRDefault="00F0237E" w:rsidP="00D50195">
            <w:pPr>
              <w:jc w:val="left"/>
              <w:rPr>
                <w:rFonts w:asciiTheme="minorHAnsi" w:hAnsiTheme="minorHAnsi" w:cstheme="minorHAnsi"/>
                <w:sz w:val="20"/>
              </w:rPr>
            </w:pPr>
            <w:r w:rsidRPr="00F62734">
              <w:rPr>
                <w:rFonts w:asciiTheme="minorHAnsi" w:hAnsiTheme="minorHAnsi" w:cstheme="minorHAnsi"/>
                <w:sz w:val="20"/>
              </w:rPr>
              <w:lastRenderedPageBreak/>
              <w:t>Regionalne Plany Rozwoju Usług Społecznych i Deinstytucjonalizacji</w:t>
            </w:r>
          </w:p>
          <w:p w14:paraId="43EB57C5" w14:textId="22AE5E37" w:rsidR="00B72154" w:rsidRPr="00890249" w:rsidRDefault="00B72154" w:rsidP="009F296A">
            <w:pPr>
              <w:numPr>
                <w:ilvl w:val="0"/>
                <w:numId w:val="92"/>
              </w:numPr>
              <w:ind w:left="176" w:hanging="176"/>
              <w:jc w:val="left"/>
              <w:rPr>
                <w:rFonts w:asciiTheme="minorHAnsi" w:hAnsiTheme="minorHAnsi" w:cstheme="minorHAnsi"/>
                <w:bCs/>
                <w:sz w:val="20"/>
              </w:rPr>
            </w:pPr>
          </w:p>
        </w:tc>
        <w:tc>
          <w:tcPr>
            <w:tcW w:w="2977" w:type="dxa"/>
          </w:tcPr>
          <w:p w14:paraId="3692EF8B" w14:textId="16612DF0" w:rsidR="008F566E" w:rsidRPr="00890249" w:rsidRDefault="00875C92" w:rsidP="00325D70">
            <w:pPr>
              <w:jc w:val="left"/>
              <w:rPr>
                <w:rFonts w:asciiTheme="minorHAnsi" w:hAnsiTheme="minorHAnsi" w:cstheme="minorHAnsi"/>
                <w:b/>
                <w:bCs/>
                <w:sz w:val="20"/>
              </w:rPr>
            </w:pPr>
            <w:r w:rsidRPr="00890249">
              <w:rPr>
                <w:rFonts w:asciiTheme="minorHAnsi" w:hAnsiTheme="minorHAnsi" w:cstheme="minorHAnsi"/>
                <w:b/>
                <w:bCs/>
                <w:sz w:val="20"/>
              </w:rPr>
              <w:lastRenderedPageBreak/>
              <w:t xml:space="preserve">Kryterium 1. </w:t>
            </w:r>
            <w:r w:rsidR="00D50195">
              <w:rPr>
                <w:rFonts w:asciiTheme="minorHAnsi" w:hAnsiTheme="minorHAnsi" w:cstheme="minorHAnsi"/>
                <w:b/>
                <w:bCs/>
                <w:sz w:val="20"/>
              </w:rPr>
              <w:t>S</w:t>
            </w:r>
            <w:r w:rsidRPr="00890249">
              <w:rPr>
                <w:rFonts w:asciiTheme="minorHAnsi" w:hAnsiTheme="minorHAnsi" w:cstheme="minorHAnsi"/>
                <w:b/>
                <w:bCs/>
                <w:sz w:val="20"/>
              </w:rPr>
              <w:t>pełnione</w:t>
            </w:r>
          </w:p>
          <w:p w14:paraId="2C6E6E26"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t xml:space="preserve">Spełnienie kryterium zapewnia publikacją Mapy Potrzeb Zdrowotnych (MPZ) w formule obejmującej analizy oraz 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 </w:t>
            </w:r>
          </w:p>
          <w:p w14:paraId="46E955C6" w14:textId="6381572E" w:rsidR="00D50195" w:rsidRDefault="00D50195" w:rsidP="00325D70">
            <w:pPr>
              <w:jc w:val="left"/>
              <w:rPr>
                <w:rFonts w:asciiTheme="minorHAnsi" w:hAnsiTheme="minorHAnsi" w:cstheme="minorHAnsi"/>
                <w:bCs/>
                <w:sz w:val="20"/>
              </w:rPr>
            </w:pPr>
            <w:r w:rsidRPr="00D50195">
              <w:rPr>
                <w:rFonts w:asciiTheme="minorHAnsi" w:hAnsiTheme="minorHAnsi" w:cstheme="minorHAnsi"/>
                <w:bCs/>
                <w:sz w:val="20"/>
              </w:rPr>
              <w:t xml:space="preserve">W proces mapowania opieki długoterminowej wpisuje się także Strategia Rozwoju Usług Społecznych (SRUS) oraz Regionalne Plany Rozwoju Usług Społecznych i Deinstytucjonalizacji. SRUS </w:t>
            </w:r>
            <w:r w:rsidRPr="00D50195">
              <w:rPr>
                <w:rFonts w:asciiTheme="minorHAnsi" w:hAnsiTheme="minorHAnsi" w:cstheme="minorHAnsi"/>
                <w:bCs/>
                <w:sz w:val="20"/>
              </w:rPr>
              <w:lastRenderedPageBreak/>
              <w:t xml:space="preserve">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deinstytucjonalizacją oraz stanowią uporządkowaną koncepcję zmiany na poziomie regionalnym. </w:t>
            </w:r>
          </w:p>
          <w:p w14:paraId="01898887" w14:textId="3CF98B08" w:rsidR="00D52164" w:rsidRPr="00890249" w:rsidRDefault="00D52164" w:rsidP="00325D70">
            <w:pPr>
              <w:jc w:val="left"/>
              <w:rPr>
                <w:rFonts w:asciiTheme="minorHAnsi" w:hAnsiTheme="minorHAnsi" w:cstheme="minorHAnsi"/>
                <w:bCs/>
                <w:sz w:val="20"/>
              </w:rPr>
            </w:pPr>
            <w:hyperlink w:history="1"/>
          </w:p>
        </w:tc>
      </w:tr>
      <w:tr w:rsidR="00D52164" w:rsidRPr="00890249" w14:paraId="7CCD53DE" w14:textId="77777777" w:rsidTr="00F62734">
        <w:tc>
          <w:tcPr>
            <w:tcW w:w="1560" w:type="dxa"/>
            <w:vMerge/>
          </w:tcPr>
          <w:p w14:paraId="0E78ED62"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50377ED0"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7C08C837"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77F5D59F"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2D11277A"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2</w:t>
            </w:r>
          </w:p>
          <w:p w14:paraId="062450C2" w14:textId="77777777" w:rsidR="00D52164" w:rsidRPr="00890249" w:rsidRDefault="00D52164" w:rsidP="00D52164">
            <w:pPr>
              <w:jc w:val="left"/>
              <w:rPr>
                <w:rFonts w:asciiTheme="minorHAnsi" w:hAnsiTheme="minorHAnsi" w:cstheme="minorHAnsi"/>
                <w:sz w:val="20"/>
              </w:rPr>
            </w:pPr>
            <w:r w:rsidRPr="00890249">
              <w:rPr>
                <w:rFonts w:asciiTheme="minorHAnsi" w:hAnsiTheme="minorHAnsi" w:cstheme="minorHAnsi"/>
                <w:sz w:val="20"/>
              </w:rPr>
              <w:t xml:space="preserve">Środki na rzecz zapewnienia efektywności, trwałości, dostępności i przystępności cenowej usług opieki zdrowotnej i opieki długoterminowej, w tym ze szczególnym </w:t>
            </w:r>
            <w:r w:rsidRPr="00890249">
              <w:rPr>
                <w:rFonts w:asciiTheme="minorHAnsi" w:hAnsiTheme="minorHAnsi" w:cstheme="minorHAnsi"/>
                <w:sz w:val="20"/>
              </w:rPr>
              <w:lastRenderedPageBreak/>
              <w:t>uwzględnieniem osób wykluczonych z systemów opieki zdrowotnej i opieki długoterminowej oraz osób, do których najtrudniej jest dotrzeć;</w:t>
            </w:r>
          </w:p>
          <w:p w14:paraId="3A3AE95C" w14:textId="77777777" w:rsidR="00D52164" w:rsidRPr="00890249" w:rsidRDefault="00D52164" w:rsidP="00D52164">
            <w:pPr>
              <w:jc w:val="left"/>
              <w:rPr>
                <w:rFonts w:asciiTheme="minorHAnsi" w:hAnsiTheme="minorHAnsi" w:cstheme="minorHAnsi"/>
                <w:noProof/>
                <w:sz w:val="20"/>
              </w:rPr>
            </w:pPr>
          </w:p>
        </w:tc>
        <w:tc>
          <w:tcPr>
            <w:tcW w:w="1134" w:type="dxa"/>
            <w:vMerge/>
          </w:tcPr>
          <w:p w14:paraId="011741D2" w14:textId="77777777" w:rsidR="00D52164" w:rsidRPr="00890249" w:rsidRDefault="00D52164" w:rsidP="00D52164">
            <w:pPr>
              <w:jc w:val="left"/>
              <w:rPr>
                <w:rFonts w:asciiTheme="minorHAnsi" w:hAnsiTheme="minorHAnsi" w:cstheme="minorHAnsi"/>
                <w:noProof/>
                <w:sz w:val="20"/>
              </w:rPr>
            </w:pPr>
          </w:p>
        </w:tc>
        <w:tc>
          <w:tcPr>
            <w:tcW w:w="3402" w:type="dxa"/>
            <w:vMerge/>
          </w:tcPr>
          <w:p w14:paraId="7444CF21"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0ECB2DE3" w14:textId="4C6F885B" w:rsidR="008F566E" w:rsidRPr="00890249" w:rsidRDefault="00875C92" w:rsidP="00325D70">
            <w:pPr>
              <w:jc w:val="left"/>
              <w:rPr>
                <w:rFonts w:asciiTheme="minorHAnsi" w:hAnsiTheme="minorHAnsi" w:cstheme="minorHAnsi"/>
                <w:b/>
                <w:bCs/>
                <w:sz w:val="20"/>
              </w:rPr>
            </w:pPr>
            <w:r w:rsidRPr="00890249">
              <w:rPr>
                <w:rFonts w:asciiTheme="minorHAnsi" w:hAnsiTheme="minorHAnsi" w:cstheme="minorHAnsi"/>
                <w:b/>
                <w:bCs/>
                <w:sz w:val="20"/>
              </w:rPr>
              <w:t xml:space="preserve">Kryterium 2. </w:t>
            </w:r>
            <w:r w:rsidR="00D50195">
              <w:rPr>
                <w:rFonts w:asciiTheme="minorHAnsi" w:hAnsiTheme="minorHAnsi" w:cstheme="minorHAnsi"/>
                <w:b/>
                <w:bCs/>
                <w:sz w:val="20"/>
              </w:rPr>
              <w:t>S</w:t>
            </w:r>
            <w:r w:rsidRPr="00890249">
              <w:rPr>
                <w:rFonts w:asciiTheme="minorHAnsi" w:hAnsiTheme="minorHAnsi" w:cstheme="minorHAnsi"/>
                <w:b/>
                <w:bCs/>
                <w:sz w:val="20"/>
              </w:rPr>
              <w:t>pełnione</w:t>
            </w:r>
          </w:p>
          <w:p w14:paraId="4500440C" w14:textId="5C51ECEC" w:rsidR="00D50195" w:rsidRDefault="00D50195" w:rsidP="00325D70">
            <w:pPr>
              <w:jc w:val="left"/>
              <w:rPr>
                <w:rFonts w:asciiTheme="minorHAnsi" w:hAnsiTheme="minorHAnsi" w:cstheme="minorHAnsi"/>
                <w:bCs/>
                <w:sz w:val="20"/>
              </w:rPr>
            </w:pPr>
            <w:bookmarkStart w:id="57" w:name="_Hlk97209220"/>
            <w:r w:rsidRPr="00D50195">
              <w:rPr>
                <w:rFonts w:asciiTheme="minorHAnsi" w:hAnsiTheme="minorHAnsi" w:cstheme="minorHAnsi"/>
                <w:bCs/>
                <w:sz w:val="20"/>
              </w:rPr>
              <w:t xml:space="preserve">Spełnieniem kryterium jest głównie dokument strategiczny „Zdrowa Przyszłość. Ramy strategiczne rozwoju systemu ochrony zdrowia na lata 2021-2027, z perspektywą do 2030 r.” Jego celem jest zapewnienie </w:t>
            </w:r>
            <w:r w:rsidRPr="00D50195">
              <w:rPr>
                <w:rFonts w:asciiTheme="minorHAnsi" w:hAnsiTheme="minorHAnsi" w:cstheme="minorHAnsi"/>
                <w:bCs/>
                <w:sz w:val="20"/>
              </w:rPr>
              <w:lastRenderedPageBreak/>
              <w:t xml:space="preserve">obywatelom równego i adekwatnego do potrzeb zdrowotnych dostępu do wysokiej jakości świadczeń zdrowotnych przez przyjazny, nowoczesny i efektywny system ochrony zdrowia. 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w:t>
            </w:r>
            <w:r w:rsidRPr="00D50195">
              <w:rPr>
                <w:rFonts w:asciiTheme="minorHAnsi" w:hAnsiTheme="minorHAnsi" w:cstheme="minorHAnsi"/>
                <w:bCs/>
                <w:sz w:val="20"/>
              </w:rPr>
              <w:lastRenderedPageBreak/>
              <w:t>lokalnym i regionalnym są plany rozwoju i deinstytucjonalizacji usług.</w:t>
            </w:r>
          </w:p>
          <w:bookmarkEnd w:id="57"/>
          <w:p w14:paraId="3B3F0C72" w14:textId="311BCD64" w:rsidR="00D52164" w:rsidRPr="00890249" w:rsidRDefault="00D52164" w:rsidP="00D50195">
            <w:pPr>
              <w:jc w:val="left"/>
              <w:rPr>
                <w:rFonts w:asciiTheme="minorHAnsi" w:hAnsiTheme="minorHAnsi" w:cstheme="minorHAnsi"/>
                <w:bCs/>
                <w:sz w:val="20"/>
              </w:rPr>
            </w:pPr>
          </w:p>
        </w:tc>
      </w:tr>
      <w:tr w:rsidR="00D52164" w:rsidRPr="00890249" w14:paraId="04BEE177" w14:textId="77777777" w:rsidTr="00F62734">
        <w:tc>
          <w:tcPr>
            <w:tcW w:w="1560" w:type="dxa"/>
            <w:vMerge/>
          </w:tcPr>
          <w:p w14:paraId="6C175F69" w14:textId="77777777" w:rsidR="00D52164" w:rsidRPr="00890249" w:rsidRDefault="00D52164" w:rsidP="00D52164">
            <w:pPr>
              <w:jc w:val="left"/>
              <w:rPr>
                <w:rFonts w:asciiTheme="minorHAnsi" w:eastAsia="Times New Roman" w:hAnsiTheme="minorHAnsi" w:cstheme="minorHAnsi"/>
                <w:iCs/>
                <w:noProof/>
                <w:sz w:val="20"/>
              </w:rPr>
            </w:pPr>
          </w:p>
        </w:tc>
        <w:tc>
          <w:tcPr>
            <w:tcW w:w="709" w:type="dxa"/>
            <w:vMerge/>
          </w:tcPr>
          <w:p w14:paraId="57B43169" w14:textId="77777777" w:rsidR="00D52164" w:rsidRPr="00890249" w:rsidRDefault="00D52164" w:rsidP="00D52164">
            <w:pPr>
              <w:jc w:val="left"/>
              <w:rPr>
                <w:rFonts w:asciiTheme="minorHAnsi" w:eastAsia="Times New Roman" w:hAnsiTheme="minorHAnsi" w:cstheme="minorHAnsi"/>
                <w:iCs/>
                <w:noProof/>
                <w:sz w:val="20"/>
              </w:rPr>
            </w:pPr>
          </w:p>
        </w:tc>
        <w:tc>
          <w:tcPr>
            <w:tcW w:w="1843" w:type="dxa"/>
            <w:vMerge/>
          </w:tcPr>
          <w:p w14:paraId="36D86322" w14:textId="77777777" w:rsidR="00D52164" w:rsidRPr="00890249" w:rsidRDefault="00D52164" w:rsidP="00D52164">
            <w:pPr>
              <w:jc w:val="left"/>
              <w:rPr>
                <w:rFonts w:asciiTheme="minorHAnsi" w:eastAsia="Times New Roman" w:hAnsiTheme="minorHAnsi" w:cstheme="minorHAnsi"/>
                <w:iCs/>
                <w:noProof/>
                <w:sz w:val="20"/>
              </w:rPr>
            </w:pPr>
          </w:p>
        </w:tc>
        <w:tc>
          <w:tcPr>
            <w:tcW w:w="1559" w:type="dxa"/>
            <w:vMerge/>
          </w:tcPr>
          <w:p w14:paraId="265FEEF6" w14:textId="77777777" w:rsidR="00D52164" w:rsidRPr="00890249" w:rsidRDefault="00D52164" w:rsidP="00D52164">
            <w:pPr>
              <w:jc w:val="left"/>
              <w:rPr>
                <w:rFonts w:asciiTheme="minorHAnsi" w:eastAsia="Times New Roman" w:hAnsiTheme="minorHAnsi" w:cstheme="minorHAnsi"/>
                <w:iCs/>
                <w:noProof/>
                <w:sz w:val="20"/>
              </w:rPr>
            </w:pPr>
          </w:p>
        </w:tc>
        <w:tc>
          <w:tcPr>
            <w:tcW w:w="2551" w:type="dxa"/>
          </w:tcPr>
          <w:p w14:paraId="495F2484" w14:textId="77777777" w:rsidR="00D52164" w:rsidRPr="00890249" w:rsidRDefault="00D52164" w:rsidP="00D52164">
            <w:pPr>
              <w:jc w:val="left"/>
              <w:rPr>
                <w:rFonts w:asciiTheme="minorHAnsi" w:hAnsiTheme="minorHAnsi" w:cstheme="minorHAnsi"/>
                <w:b/>
                <w:bCs/>
                <w:sz w:val="20"/>
              </w:rPr>
            </w:pPr>
            <w:r w:rsidRPr="00890249">
              <w:rPr>
                <w:rFonts w:asciiTheme="minorHAnsi" w:hAnsiTheme="minorHAnsi" w:cstheme="minorHAnsi"/>
                <w:b/>
                <w:bCs/>
                <w:sz w:val="20"/>
              </w:rPr>
              <w:t>Kryterium 3</w:t>
            </w:r>
          </w:p>
          <w:p w14:paraId="6208AAED" w14:textId="77777777" w:rsidR="00D52164" w:rsidRPr="00890249" w:rsidRDefault="00D52164" w:rsidP="00D52164">
            <w:pPr>
              <w:jc w:val="left"/>
              <w:rPr>
                <w:rFonts w:asciiTheme="minorHAnsi" w:hAnsiTheme="minorHAnsi" w:cstheme="minorHAnsi"/>
                <w:noProof/>
                <w:sz w:val="20"/>
              </w:rPr>
            </w:pPr>
            <w:r w:rsidRPr="00890249">
              <w:rPr>
                <w:rFonts w:asciiTheme="minorHAnsi" w:hAnsiTheme="minorHAnsi" w:cstheme="minorHAnsi"/>
                <w:sz w:val="20"/>
              </w:rPr>
              <w:t>Środki na rzecz wspierania usług środowiskowych i opartych na rodzinie poprzez deinstytucjonalizację, w tym profilaktyki i podstawowej opieki zdrowotnej, opieki w domu i usług środowiskowych.</w:t>
            </w:r>
          </w:p>
        </w:tc>
        <w:tc>
          <w:tcPr>
            <w:tcW w:w="1134" w:type="dxa"/>
            <w:vMerge/>
          </w:tcPr>
          <w:p w14:paraId="0192312D" w14:textId="77777777" w:rsidR="00D52164" w:rsidRPr="00890249" w:rsidRDefault="00D52164" w:rsidP="00D52164">
            <w:pPr>
              <w:jc w:val="left"/>
              <w:rPr>
                <w:rFonts w:asciiTheme="minorHAnsi" w:hAnsiTheme="minorHAnsi" w:cstheme="minorHAnsi"/>
                <w:noProof/>
                <w:sz w:val="20"/>
              </w:rPr>
            </w:pPr>
          </w:p>
        </w:tc>
        <w:tc>
          <w:tcPr>
            <w:tcW w:w="3402" w:type="dxa"/>
            <w:vMerge/>
          </w:tcPr>
          <w:p w14:paraId="60752E1D" w14:textId="77777777" w:rsidR="00D52164" w:rsidRPr="00890249" w:rsidRDefault="00D52164" w:rsidP="00D52164">
            <w:pPr>
              <w:jc w:val="left"/>
              <w:rPr>
                <w:rFonts w:asciiTheme="minorHAnsi" w:eastAsia="Times New Roman" w:hAnsiTheme="minorHAnsi" w:cstheme="minorHAnsi"/>
                <w:iCs/>
                <w:noProof/>
                <w:sz w:val="20"/>
              </w:rPr>
            </w:pPr>
          </w:p>
        </w:tc>
        <w:tc>
          <w:tcPr>
            <w:tcW w:w="2977" w:type="dxa"/>
          </w:tcPr>
          <w:p w14:paraId="0A76F32B" w14:textId="4E7601F7" w:rsidR="008F566E" w:rsidRPr="00890249" w:rsidRDefault="00875C92" w:rsidP="00325D70">
            <w:pPr>
              <w:jc w:val="left"/>
              <w:rPr>
                <w:rFonts w:asciiTheme="minorHAnsi" w:hAnsiTheme="minorHAnsi" w:cstheme="minorHAnsi"/>
                <w:b/>
                <w:bCs/>
                <w:sz w:val="20"/>
              </w:rPr>
            </w:pPr>
            <w:r w:rsidRPr="00890249">
              <w:rPr>
                <w:rFonts w:asciiTheme="minorHAnsi" w:hAnsiTheme="minorHAnsi" w:cstheme="minorHAnsi"/>
                <w:b/>
                <w:bCs/>
                <w:sz w:val="20"/>
              </w:rPr>
              <w:t xml:space="preserve">Kryterium 3 </w:t>
            </w:r>
            <w:r w:rsidR="00D50195">
              <w:rPr>
                <w:rFonts w:asciiTheme="minorHAnsi" w:hAnsiTheme="minorHAnsi" w:cstheme="minorHAnsi"/>
                <w:b/>
                <w:bCs/>
                <w:sz w:val="20"/>
              </w:rPr>
              <w:t>S</w:t>
            </w:r>
            <w:r w:rsidRPr="00890249">
              <w:rPr>
                <w:rFonts w:asciiTheme="minorHAnsi" w:hAnsiTheme="minorHAnsi" w:cstheme="minorHAnsi"/>
                <w:b/>
                <w:bCs/>
                <w:sz w:val="20"/>
              </w:rPr>
              <w:t>pełnione</w:t>
            </w:r>
          </w:p>
          <w:p w14:paraId="26C848FA"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t>Kryterium to w zakresie opieki wypełniają dwa dokumenty o charakterze strategicznym:</w:t>
            </w:r>
          </w:p>
          <w:p w14:paraId="6CA45C1C"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t>a) Strategia Deinstytucjonalizacji: opieka zdrowotna nad osobami z zaburzeniami psychicznymi,</w:t>
            </w:r>
          </w:p>
          <w:p w14:paraId="786E8E56" w14:textId="77777777" w:rsidR="00D50195" w:rsidRPr="00D50195" w:rsidRDefault="00D50195" w:rsidP="00D50195">
            <w:pPr>
              <w:jc w:val="left"/>
              <w:rPr>
                <w:rFonts w:asciiTheme="minorHAnsi" w:hAnsiTheme="minorHAnsi" w:cstheme="minorHAnsi"/>
                <w:bCs/>
                <w:sz w:val="20"/>
              </w:rPr>
            </w:pPr>
            <w:r w:rsidRPr="00D50195">
              <w:rPr>
                <w:rFonts w:asciiTheme="minorHAnsi" w:hAnsiTheme="minorHAnsi" w:cstheme="minorHAnsi"/>
                <w:bCs/>
                <w:sz w:val="20"/>
              </w:rPr>
              <w:t>b) Strategia Deinstytucjonalizacji: opieka zdrowotna nad osobami starszymi.</w:t>
            </w:r>
          </w:p>
          <w:p w14:paraId="4457764C" w14:textId="77777777" w:rsidR="00D50195" w:rsidRPr="00D50195" w:rsidRDefault="00D50195" w:rsidP="00D50195">
            <w:pPr>
              <w:jc w:val="left"/>
              <w:rPr>
                <w:rFonts w:asciiTheme="minorHAnsi" w:hAnsiTheme="minorHAnsi" w:cstheme="minorHAnsi"/>
                <w:bCs/>
                <w:sz w:val="20"/>
                <w:lang w:val="pl"/>
              </w:rPr>
            </w:pPr>
            <w:r w:rsidRPr="00D50195">
              <w:rPr>
                <w:rFonts w:asciiTheme="minorHAnsi" w:hAnsiTheme="minorHAnsi" w:cstheme="minorHAnsi"/>
                <w:bCs/>
                <w:sz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14:paraId="0A7FB9DB" w14:textId="07597684" w:rsidR="00D50195" w:rsidRDefault="00D50195" w:rsidP="00325D70">
            <w:pPr>
              <w:jc w:val="left"/>
              <w:rPr>
                <w:rFonts w:asciiTheme="minorHAnsi" w:hAnsiTheme="minorHAnsi" w:cstheme="minorHAnsi"/>
                <w:bCs/>
                <w:sz w:val="20"/>
              </w:rPr>
            </w:pPr>
            <w:r w:rsidRPr="00D50195">
              <w:rPr>
                <w:rFonts w:asciiTheme="minorHAnsi" w:hAnsiTheme="minorHAnsi" w:cstheme="minorHAnsi"/>
                <w:bCs/>
                <w:sz w:val="20"/>
              </w:rPr>
              <w:lastRenderedPageBreak/>
              <w:t>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uzyskaną w efekcie koordynacji opieki zdrowotnej i społecznej.</w:t>
            </w:r>
          </w:p>
          <w:p w14:paraId="2CDBBBC3" w14:textId="4BCB0D73" w:rsidR="00D52164" w:rsidRPr="00890249" w:rsidRDefault="00D52164" w:rsidP="00325D70">
            <w:pPr>
              <w:jc w:val="left"/>
              <w:rPr>
                <w:rFonts w:asciiTheme="minorHAnsi" w:eastAsia="Times New Roman" w:hAnsiTheme="minorHAnsi" w:cstheme="minorHAnsi"/>
                <w:iCs/>
                <w:noProof/>
                <w:sz w:val="20"/>
              </w:rPr>
            </w:pPr>
          </w:p>
        </w:tc>
      </w:tr>
    </w:tbl>
    <w:p w14:paraId="0B4313C5" w14:textId="77777777" w:rsidR="00F40309" w:rsidRDefault="00F40309">
      <w:pPr>
        <w:spacing w:before="0" w:after="160" w:line="259" w:lineRule="auto"/>
        <w:jc w:val="left"/>
        <w:rPr>
          <w:rFonts w:asciiTheme="minorHAnsi" w:eastAsia="Times New Roman" w:hAnsiTheme="minorHAnsi" w:cstheme="minorHAnsi"/>
          <w:iCs/>
          <w:noProof/>
          <w:szCs w:val="24"/>
        </w:rPr>
      </w:pPr>
    </w:p>
    <w:p w14:paraId="66741B43" w14:textId="77777777" w:rsidR="001A46AB" w:rsidRDefault="001A46AB">
      <w:pPr>
        <w:spacing w:before="0" w:after="160" w:line="259" w:lineRule="auto"/>
        <w:jc w:val="left"/>
        <w:rPr>
          <w:rFonts w:asciiTheme="minorHAnsi" w:eastAsia="Times New Roman" w:hAnsiTheme="minorHAnsi" w:cstheme="minorHAnsi"/>
          <w:iCs/>
          <w:noProof/>
          <w:szCs w:val="24"/>
        </w:rPr>
      </w:pPr>
    </w:p>
    <w:p w14:paraId="2A87CD04" w14:textId="77777777" w:rsidR="001A46AB" w:rsidRPr="00890249" w:rsidRDefault="001A46AB">
      <w:pPr>
        <w:spacing w:before="0" w:after="160" w:line="259" w:lineRule="auto"/>
        <w:jc w:val="left"/>
        <w:rPr>
          <w:rFonts w:asciiTheme="minorHAnsi" w:eastAsia="Times New Roman" w:hAnsiTheme="minorHAnsi" w:cstheme="minorHAnsi"/>
          <w:iCs/>
          <w:noProof/>
          <w:vanish/>
          <w:szCs w:val="24"/>
        </w:rPr>
        <w:sectPr w:rsidR="001A46AB" w:rsidRPr="00890249" w:rsidSect="00F40309">
          <w:pgSz w:w="16838" w:h="11906" w:orient="landscape"/>
          <w:pgMar w:top="1418" w:right="1418" w:bottom="1418" w:left="1418" w:header="709" w:footer="709" w:gutter="0"/>
          <w:cols w:space="708"/>
          <w:titlePg/>
          <w:docGrid w:linePitch="360"/>
        </w:sectPr>
      </w:pPr>
    </w:p>
    <w:p w14:paraId="27737CD0" w14:textId="272181C7" w:rsidR="009E6156" w:rsidRPr="00890249" w:rsidRDefault="001A2085" w:rsidP="009F296A">
      <w:pPr>
        <w:pStyle w:val="Nagwek1"/>
        <w:rPr>
          <w:noProof/>
          <w:color w:val="FF0000"/>
        </w:rPr>
      </w:pPr>
      <w:bookmarkStart w:id="58" w:name="_Toc116535554"/>
      <w:bookmarkStart w:id="59" w:name="_Toc116535590"/>
      <w:bookmarkStart w:id="60" w:name="_Toc116535623"/>
      <w:bookmarkStart w:id="61" w:name="_Toc116535718"/>
      <w:bookmarkStart w:id="62" w:name="_Toc116535770"/>
      <w:bookmarkStart w:id="63" w:name="_Toc116549006"/>
      <w:bookmarkStart w:id="64" w:name="_Toc188266927"/>
      <w:bookmarkEnd w:id="58"/>
      <w:bookmarkEnd w:id="59"/>
      <w:bookmarkEnd w:id="60"/>
      <w:bookmarkEnd w:id="61"/>
      <w:bookmarkEnd w:id="62"/>
      <w:bookmarkEnd w:id="63"/>
      <w:r>
        <w:rPr>
          <w:noProof/>
        </w:rPr>
        <w:lastRenderedPageBreak/>
        <w:t>I</w:t>
      </w:r>
      <w:r w:rsidR="007440D3" w:rsidRPr="00890249">
        <w:rPr>
          <w:noProof/>
        </w:rPr>
        <w:t>NSTYTUCJE PROGRAMU</w:t>
      </w:r>
      <w:bookmarkEnd w:id="64"/>
    </w:p>
    <w:p w14:paraId="2B73B916" w14:textId="77777777" w:rsidR="0093433C" w:rsidRDefault="007440D3" w:rsidP="00890249">
      <w:pPr>
        <w:pStyle w:val="Lista-kontynuacja"/>
        <w:rPr>
          <w:rFonts w:asciiTheme="minorHAnsi" w:hAnsiTheme="minorHAnsi" w:cstheme="minorHAnsi"/>
          <w:noProof/>
          <w:sz w:val="22"/>
        </w:rPr>
      </w:pPr>
      <w:r w:rsidRPr="001B2624">
        <w:rPr>
          <w:rFonts w:asciiTheme="minorHAnsi" w:hAnsiTheme="minorHAnsi" w:cstheme="minorHAnsi"/>
          <w:noProof/>
          <w:sz w:val="22"/>
        </w:rPr>
        <w:t>Na podstawie art. </w:t>
      </w:r>
      <w:r w:rsidR="00771EA6" w:rsidRPr="001B2624">
        <w:rPr>
          <w:rFonts w:asciiTheme="minorHAnsi" w:hAnsiTheme="minorHAnsi" w:cstheme="minorHAnsi"/>
          <w:noProof/>
          <w:sz w:val="22"/>
        </w:rPr>
        <w:t>22</w:t>
      </w:r>
      <w:r w:rsidRPr="001B2624">
        <w:rPr>
          <w:rFonts w:asciiTheme="minorHAnsi" w:hAnsiTheme="minorHAnsi" w:cstheme="minorHAnsi"/>
          <w:noProof/>
          <w:sz w:val="22"/>
        </w:rPr>
        <w:t xml:space="preserve"> ust. 3 lit. </w:t>
      </w:r>
      <w:r w:rsidR="00771EA6" w:rsidRPr="001B2624">
        <w:rPr>
          <w:rFonts w:asciiTheme="minorHAnsi" w:hAnsiTheme="minorHAnsi" w:cstheme="minorHAnsi"/>
          <w:noProof/>
          <w:sz w:val="22"/>
        </w:rPr>
        <w:t>k</w:t>
      </w:r>
      <w:r w:rsidRPr="001B2624">
        <w:rPr>
          <w:rFonts w:asciiTheme="minorHAnsi" w:hAnsiTheme="minorHAnsi" w:cstheme="minorHAnsi"/>
          <w:noProof/>
          <w:sz w:val="22"/>
        </w:rPr>
        <w:t>); art. </w:t>
      </w:r>
      <w:r w:rsidR="00771EA6" w:rsidRPr="001B2624">
        <w:rPr>
          <w:rFonts w:asciiTheme="minorHAnsi" w:hAnsiTheme="minorHAnsi" w:cstheme="minorHAnsi"/>
          <w:noProof/>
          <w:sz w:val="22"/>
        </w:rPr>
        <w:t>71</w:t>
      </w:r>
      <w:r w:rsidRPr="001B2624">
        <w:rPr>
          <w:rFonts w:asciiTheme="minorHAnsi" w:hAnsiTheme="minorHAnsi" w:cstheme="minorHAnsi"/>
          <w:noProof/>
          <w:sz w:val="22"/>
        </w:rPr>
        <w:t xml:space="preserve"> i </w:t>
      </w:r>
      <w:r w:rsidR="00771EA6" w:rsidRPr="001B2624">
        <w:rPr>
          <w:rFonts w:asciiTheme="minorHAnsi" w:hAnsiTheme="minorHAnsi" w:cstheme="minorHAnsi"/>
          <w:noProof/>
          <w:sz w:val="22"/>
        </w:rPr>
        <w:t>84</w:t>
      </w:r>
      <w:r w:rsidRPr="001B2624">
        <w:rPr>
          <w:rFonts w:asciiTheme="minorHAnsi" w:hAnsiTheme="minorHAnsi" w:cstheme="minorHAnsi"/>
          <w:noProof/>
          <w:sz w:val="22"/>
        </w:rPr>
        <w:t xml:space="preserve"> </w:t>
      </w:r>
      <w:r w:rsidRPr="001B2624">
        <w:rPr>
          <w:rFonts w:asciiTheme="minorHAnsi" w:hAnsiTheme="minorHAnsi" w:cstheme="minorHAnsi"/>
          <w:noProof/>
          <w:color w:val="FF0000"/>
          <w:sz w:val="22"/>
        </w:rPr>
        <w:t xml:space="preserve"> </w:t>
      </w:r>
      <w:r w:rsidR="00771EA6" w:rsidRPr="001B2624">
        <w:rPr>
          <w:rFonts w:asciiTheme="minorHAnsi" w:hAnsiTheme="minorHAnsi" w:cstheme="minorHAnsi"/>
          <w:noProof/>
          <w:sz w:val="22"/>
        </w:rPr>
        <w:t>r</w:t>
      </w:r>
      <w:r w:rsidRPr="001B2624">
        <w:rPr>
          <w:rFonts w:asciiTheme="minorHAnsi" w:hAnsiTheme="minorHAnsi" w:cstheme="minorHAnsi"/>
          <w:noProof/>
          <w:sz w:val="22"/>
        </w:rPr>
        <w:t xml:space="preserve">ozporządzenia </w:t>
      </w:r>
      <w:r w:rsidR="00771EA6" w:rsidRPr="001B2624">
        <w:rPr>
          <w:rFonts w:asciiTheme="minorHAnsi" w:hAnsiTheme="minorHAnsi" w:cstheme="minorHAnsi"/>
          <w:noProof/>
          <w:sz w:val="22"/>
        </w:rPr>
        <w:t xml:space="preserve">w sprawie przepisów ogólnych </w:t>
      </w:r>
      <w:r w:rsidRPr="001B2624">
        <w:rPr>
          <w:rFonts w:asciiTheme="minorHAnsi" w:hAnsiTheme="minorHAnsi" w:cstheme="minorHAnsi"/>
          <w:noProof/>
          <w:sz w:val="22"/>
        </w:rPr>
        <w:t xml:space="preserve">określa się podmioty zaangażowane w realizację </w:t>
      </w:r>
      <w:r w:rsidR="000274BA" w:rsidRPr="001B2624">
        <w:rPr>
          <w:rFonts w:asciiTheme="minorHAnsi" w:hAnsiTheme="minorHAnsi" w:cstheme="minorHAnsi"/>
          <w:noProof/>
          <w:sz w:val="22"/>
        </w:rPr>
        <w:t>FEO 2021-2027</w:t>
      </w:r>
      <w:r w:rsidRPr="001B2624">
        <w:rPr>
          <w:rFonts w:asciiTheme="minorHAnsi" w:hAnsiTheme="minorHAnsi" w:cstheme="minorHAnsi"/>
          <w:noProof/>
          <w:sz w:val="22"/>
        </w:rPr>
        <w:t xml:space="preserve">. </w:t>
      </w:r>
    </w:p>
    <w:p w14:paraId="5A1424F5" w14:textId="77777777" w:rsidR="001B2624" w:rsidRPr="001B2624" w:rsidRDefault="001B2624" w:rsidP="00890249">
      <w:pPr>
        <w:pStyle w:val="Lista-kontynuacja"/>
        <w:rPr>
          <w:rFonts w:asciiTheme="minorHAnsi" w:hAnsiTheme="minorHAnsi" w:cstheme="minorHAnsi"/>
          <w:noProof/>
          <w:sz w:val="22"/>
        </w:rPr>
      </w:pPr>
    </w:p>
    <w:p w14:paraId="67F6E633" w14:textId="77777777" w:rsidR="0093433C" w:rsidRPr="003F019D" w:rsidRDefault="007440D3" w:rsidP="00890249">
      <w:pPr>
        <w:pStyle w:val="Nagwek7"/>
        <w:rPr>
          <w:rFonts w:asciiTheme="minorHAnsi" w:hAnsiTheme="minorHAnsi" w:cstheme="minorHAnsi"/>
          <w:b/>
          <w:i w:val="0"/>
          <w:noProof/>
          <w:color w:val="000000" w:themeColor="text1"/>
        </w:rPr>
      </w:pPr>
      <w:r w:rsidRPr="003F019D">
        <w:rPr>
          <w:rFonts w:asciiTheme="minorHAnsi" w:hAnsiTheme="minorHAnsi" w:cstheme="minorHAnsi"/>
          <w:b/>
          <w:i w:val="0"/>
          <w:noProof/>
          <w:color w:val="000000" w:themeColor="text1"/>
          <w:lang w:eastAsia="en-US" w:bidi="ar-SA"/>
        </w:rPr>
        <w:t>Tabela 1</w:t>
      </w:r>
      <w:r w:rsidRPr="003F019D">
        <w:rPr>
          <w:rFonts w:asciiTheme="minorHAnsi" w:hAnsiTheme="minorHAnsi" w:cstheme="minorHAnsi"/>
          <w:b/>
          <w:i w:val="0"/>
          <w:noProof/>
          <w:color w:val="000000" w:themeColor="text1"/>
        </w:rPr>
        <w:t>: Instytucje programu</w:t>
      </w:r>
    </w:p>
    <w:tbl>
      <w:tblPr>
        <w:tblStyle w:val="Tabela-Siatka"/>
        <w:tblW w:w="9351" w:type="dxa"/>
        <w:tblLook w:val="04A0" w:firstRow="1" w:lastRow="0" w:firstColumn="1" w:lastColumn="0" w:noHBand="0" w:noVBand="1"/>
      </w:tblPr>
      <w:tblGrid>
        <w:gridCol w:w="2003"/>
        <w:gridCol w:w="2196"/>
        <w:gridCol w:w="2119"/>
        <w:gridCol w:w="3033"/>
      </w:tblGrid>
      <w:tr w:rsidR="007440D3" w:rsidRPr="00890249" w14:paraId="519DCAAC" w14:textId="77777777" w:rsidTr="00D31406">
        <w:trPr>
          <w:trHeight w:val="735"/>
          <w:tblHeader/>
        </w:trPr>
        <w:tc>
          <w:tcPr>
            <w:tcW w:w="2003" w:type="dxa"/>
            <w:shd w:val="clear" w:color="auto" w:fill="D9D9D9" w:themeFill="background1" w:themeFillShade="D9"/>
          </w:tcPr>
          <w:p w14:paraId="201C0BF9" w14:textId="77777777" w:rsidR="007440D3" w:rsidRPr="00890249" w:rsidRDefault="007440D3" w:rsidP="00D31406">
            <w:pPr>
              <w:jc w:val="center"/>
              <w:rPr>
                <w:rFonts w:asciiTheme="minorHAnsi" w:hAnsiTheme="minorHAnsi" w:cstheme="minorHAnsi"/>
                <w:b/>
                <w:noProof/>
                <w:sz w:val="20"/>
              </w:rPr>
            </w:pPr>
            <w:r w:rsidRPr="00890249">
              <w:rPr>
                <w:rFonts w:asciiTheme="minorHAnsi" w:hAnsiTheme="minorHAnsi" w:cstheme="minorHAnsi"/>
                <w:b/>
                <w:noProof/>
                <w:sz w:val="20"/>
              </w:rPr>
              <w:t>Instytucje programu</w:t>
            </w:r>
          </w:p>
        </w:tc>
        <w:tc>
          <w:tcPr>
            <w:tcW w:w="2196" w:type="dxa"/>
            <w:shd w:val="clear" w:color="auto" w:fill="D9D9D9" w:themeFill="background1" w:themeFillShade="D9"/>
          </w:tcPr>
          <w:p w14:paraId="6F040BFF" w14:textId="77777777" w:rsidR="007440D3" w:rsidRPr="00890249" w:rsidRDefault="007440D3" w:rsidP="00D31406">
            <w:pPr>
              <w:jc w:val="center"/>
              <w:rPr>
                <w:rFonts w:asciiTheme="minorHAnsi" w:hAnsiTheme="minorHAnsi" w:cstheme="minorHAnsi"/>
                <w:b/>
                <w:noProof/>
                <w:sz w:val="20"/>
              </w:rPr>
            </w:pPr>
            <w:r w:rsidRPr="00890249">
              <w:rPr>
                <w:rFonts w:asciiTheme="minorHAnsi" w:hAnsiTheme="minorHAnsi" w:cstheme="minorHAnsi"/>
                <w:b/>
                <w:noProof/>
                <w:sz w:val="20"/>
              </w:rPr>
              <w:t xml:space="preserve">Nazwa instytucji </w:t>
            </w:r>
            <w:r w:rsidRPr="00890249">
              <w:rPr>
                <w:rFonts w:asciiTheme="minorHAnsi" w:hAnsiTheme="minorHAnsi" w:cstheme="minorHAnsi"/>
                <w:noProof/>
                <w:sz w:val="20"/>
              </w:rPr>
              <w:t>[500]</w:t>
            </w:r>
          </w:p>
        </w:tc>
        <w:tc>
          <w:tcPr>
            <w:tcW w:w="2119" w:type="dxa"/>
            <w:shd w:val="clear" w:color="auto" w:fill="D9D9D9" w:themeFill="background1" w:themeFillShade="D9"/>
          </w:tcPr>
          <w:p w14:paraId="094D2CDA" w14:textId="77777777" w:rsidR="007440D3" w:rsidRPr="00890249" w:rsidRDefault="007440D3" w:rsidP="00D31406">
            <w:pPr>
              <w:jc w:val="center"/>
              <w:rPr>
                <w:rFonts w:asciiTheme="minorHAnsi" w:hAnsiTheme="minorHAnsi" w:cstheme="minorHAnsi"/>
                <w:b/>
                <w:noProof/>
                <w:sz w:val="20"/>
              </w:rPr>
            </w:pPr>
            <w:r w:rsidRPr="00890249">
              <w:rPr>
                <w:rFonts w:asciiTheme="minorHAnsi" w:hAnsiTheme="minorHAnsi" w:cstheme="minorHAnsi"/>
                <w:b/>
                <w:noProof/>
                <w:sz w:val="20"/>
              </w:rPr>
              <w:t xml:space="preserve">Imię i nazwisko osoby do kontaktów </w:t>
            </w:r>
            <w:r w:rsidRPr="00890249">
              <w:rPr>
                <w:rFonts w:asciiTheme="minorHAnsi" w:hAnsiTheme="minorHAnsi" w:cstheme="minorHAnsi"/>
                <w:noProof/>
                <w:sz w:val="20"/>
              </w:rPr>
              <w:t>[200]</w:t>
            </w:r>
          </w:p>
        </w:tc>
        <w:tc>
          <w:tcPr>
            <w:tcW w:w="3033" w:type="dxa"/>
            <w:shd w:val="clear" w:color="auto" w:fill="D9D9D9" w:themeFill="background1" w:themeFillShade="D9"/>
          </w:tcPr>
          <w:p w14:paraId="70BE5A5E" w14:textId="77777777" w:rsidR="007440D3" w:rsidRPr="00890249" w:rsidRDefault="007440D3" w:rsidP="00D31406">
            <w:pPr>
              <w:jc w:val="center"/>
              <w:rPr>
                <w:rFonts w:asciiTheme="minorHAnsi" w:hAnsiTheme="minorHAnsi" w:cstheme="minorHAnsi"/>
                <w:b/>
                <w:noProof/>
                <w:sz w:val="20"/>
              </w:rPr>
            </w:pPr>
            <w:r w:rsidRPr="00890249">
              <w:rPr>
                <w:rFonts w:asciiTheme="minorHAnsi" w:hAnsiTheme="minorHAnsi" w:cstheme="minorHAnsi"/>
                <w:b/>
                <w:noProof/>
                <w:sz w:val="20"/>
              </w:rPr>
              <w:t xml:space="preserve">E-mail </w:t>
            </w:r>
            <w:r w:rsidRPr="00890249">
              <w:rPr>
                <w:rFonts w:asciiTheme="minorHAnsi" w:hAnsiTheme="minorHAnsi" w:cstheme="minorHAnsi"/>
                <w:noProof/>
                <w:sz w:val="20"/>
              </w:rPr>
              <w:t>[200]</w:t>
            </w:r>
          </w:p>
        </w:tc>
      </w:tr>
      <w:tr w:rsidR="007440D3" w:rsidRPr="00F703B9" w14:paraId="2780D9BF" w14:textId="77777777" w:rsidTr="001C73DB">
        <w:tc>
          <w:tcPr>
            <w:tcW w:w="2003" w:type="dxa"/>
          </w:tcPr>
          <w:p w14:paraId="2D751282" w14:textId="77777777" w:rsidR="007440D3" w:rsidRPr="00890249" w:rsidRDefault="007440D3" w:rsidP="007440D3">
            <w:pPr>
              <w:rPr>
                <w:rFonts w:asciiTheme="minorHAnsi" w:hAnsiTheme="minorHAnsi" w:cstheme="minorHAnsi"/>
                <w:noProof/>
                <w:sz w:val="20"/>
              </w:rPr>
            </w:pPr>
            <w:r w:rsidRPr="00890249">
              <w:rPr>
                <w:rFonts w:asciiTheme="minorHAnsi" w:hAnsiTheme="minorHAnsi" w:cstheme="minorHAnsi"/>
                <w:noProof/>
                <w:sz w:val="20"/>
              </w:rPr>
              <w:t>Instytucja Zarządzająca</w:t>
            </w:r>
          </w:p>
        </w:tc>
        <w:tc>
          <w:tcPr>
            <w:tcW w:w="2196" w:type="dxa"/>
          </w:tcPr>
          <w:p w14:paraId="7F53DFE3" w14:textId="77777777" w:rsidR="009D058B" w:rsidRPr="00890249" w:rsidRDefault="007440D3" w:rsidP="00D71EA2">
            <w:pPr>
              <w:jc w:val="left"/>
              <w:rPr>
                <w:rFonts w:asciiTheme="minorHAnsi" w:eastAsia="Times New Roman" w:hAnsiTheme="minorHAnsi" w:cstheme="minorHAnsi"/>
                <w:sz w:val="20"/>
              </w:rPr>
            </w:pPr>
            <w:r w:rsidRPr="00890249">
              <w:rPr>
                <w:rFonts w:asciiTheme="minorHAnsi" w:eastAsia="Times New Roman" w:hAnsiTheme="minorHAnsi" w:cstheme="minorHAnsi"/>
                <w:sz w:val="20"/>
              </w:rPr>
              <w:t xml:space="preserve">Zarząd Województwa Opolskiego </w:t>
            </w:r>
          </w:p>
          <w:p w14:paraId="256D9D6D" w14:textId="77777777" w:rsidR="0006267E" w:rsidRDefault="007440D3" w:rsidP="00D71EA2">
            <w:pPr>
              <w:jc w:val="left"/>
              <w:rPr>
                <w:rFonts w:asciiTheme="minorHAnsi" w:eastAsia="Times New Roman" w:hAnsiTheme="minorHAnsi" w:cstheme="minorHAnsi"/>
                <w:sz w:val="20"/>
              </w:rPr>
            </w:pPr>
            <w:r w:rsidRPr="00890249">
              <w:rPr>
                <w:rFonts w:asciiTheme="minorHAnsi" w:eastAsia="Times New Roman" w:hAnsiTheme="minorHAnsi" w:cstheme="minorHAnsi"/>
                <w:sz w:val="20"/>
              </w:rPr>
              <w:t xml:space="preserve">obsługiwany przez Urząd Marszałkowski Województwa Opolskiego, </w:t>
            </w:r>
          </w:p>
          <w:p w14:paraId="0EBC8056" w14:textId="77777777" w:rsidR="0006267E" w:rsidRDefault="007440D3" w:rsidP="00F62734">
            <w:pPr>
              <w:pStyle w:val="Akapitzlist"/>
              <w:numPr>
                <w:ilvl w:val="0"/>
                <w:numId w:val="186"/>
              </w:numPr>
              <w:ind w:left="153" w:hanging="153"/>
              <w:contextualSpacing w:val="0"/>
              <w:jc w:val="left"/>
              <w:rPr>
                <w:rFonts w:asciiTheme="minorHAnsi" w:eastAsia="Times New Roman" w:hAnsiTheme="minorHAnsi" w:cstheme="minorHAnsi"/>
                <w:sz w:val="20"/>
              </w:rPr>
            </w:pPr>
            <w:r w:rsidRPr="00F62734">
              <w:rPr>
                <w:rFonts w:asciiTheme="minorHAnsi" w:eastAsia="Times New Roman" w:hAnsiTheme="minorHAnsi" w:cstheme="minorHAnsi"/>
                <w:sz w:val="20"/>
              </w:rPr>
              <w:t xml:space="preserve">Departament </w:t>
            </w:r>
            <w:r w:rsidR="0006267E" w:rsidRPr="00F62734">
              <w:rPr>
                <w:rFonts w:asciiTheme="minorHAnsi" w:eastAsia="Times New Roman" w:hAnsiTheme="minorHAnsi" w:cstheme="minorHAnsi"/>
                <w:sz w:val="20"/>
              </w:rPr>
              <w:t xml:space="preserve">Programowania </w:t>
            </w:r>
            <w:r w:rsidR="00D71EA2" w:rsidRPr="00F62734">
              <w:rPr>
                <w:rFonts w:asciiTheme="minorHAnsi" w:eastAsia="Times New Roman" w:hAnsiTheme="minorHAnsi" w:cstheme="minorHAnsi"/>
                <w:sz w:val="20"/>
              </w:rPr>
              <w:t>Funduszy Europejskich</w:t>
            </w:r>
          </w:p>
          <w:p w14:paraId="10658F74" w14:textId="77777777" w:rsidR="0006267E" w:rsidRDefault="0006267E" w:rsidP="00F62734">
            <w:pPr>
              <w:pStyle w:val="Akapitzlist"/>
              <w:numPr>
                <w:ilvl w:val="0"/>
                <w:numId w:val="186"/>
              </w:numPr>
              <w:ind w:left="153" w:hanging="153"/>
              <w:contextualSpacing w:val="0"/>
              <w:jc w:val="left"/>
              <w:rPr>
                <w:rFonts w:asciiTheme="minorHAnsi" w:eastAsia="Times New Roman" w:hAnsiTheme="minorHAnsi" w:cstheme="minorHAnsi"/>
                <w:sz w:val="20"/>
              </w:rPr>
            </w:pPr>
            <w:r w:rsidRPr="00F62734">
              <w:rPr>
                <w:rFonts w:asciiTheme="minorHAnsi" w:eastAsia="Times New Roman" w:hAnsiTheme="minorHAnsi" w:cstheme="minorHAnsi"/>
                <w:sz w:val="20"/>
              </w:rPr>
              <w:t>Departament Wdrażania Funduszy Europejskich</w:t>
            </w:r>
          </w:p>
          <w:p w14:paraId="4FC0FF6D" w14:textId="740F776D" w:rsidR="0006267E" w:rsidRPr="00F62734" w:rsidRDefault="0006267E" w:rsidP="00F62734">
            <w:pPr>
              <w:pStyle w:val="Akapitzlist"/>
              <w:numPr>
                <w:ilvl w:val="0"/>
                <w:numId w:val="186"/>
              </w:numPr>
              <w:ind w:left="153" w:hanging="153"/>
              <w:contextualSpacing w:val="0"/>
              <w:jc w:val="left"/>
              <w:rPr>
                <w:rFonts w:asciiTheme="minorHAnsi" w:eastAsia="Times New Roman" w:hAnsiTheme="minorHAnsi" w:cstheme="minorHAnsi"/>
                <w:sz w:val="20"/>
              </w:rPr>
            </w:pPr>
            <w:r w:rsidRPr="00F62734">
              <w:rPr>
                <w:rFonts w:asciiTheme="minorHAnsi" w:eastAsia="Times New Roman" w:hAnsiTheme="minorHAnsi" w:cstheme="minorHAnsi"/>
                <w:sz w:val="20"/>
              </w:rPr>
              <w:t xml:space="preserve">Departament Finansów </w:t>
            </w:r>
          </w:p>
        </w:tc>
        <w:tc>
          <w:tcPr>
            <w:tcW w:w="2119" w:type="dxa"/>
          </w:tcPr>
          <w:p w14:paraId="3A13CB18" w14:textId="77777777" w:rsidR="007440D3" w:rsidRPr="00890249" w:rsidRDefault="007440D3" w:rsidP="007440D3">
            <w:pPr>
              <w:spacing w:before="0" w:after="0"/>
              <w:jc w:val="left"/>
              <w:rPr>
                <w:rFonts w:asciiTheme="minorHAnsi" w:eastAsia="Times New Roman" w:hAnsiTheme="minorHAnsi" w:cstheme="minorHAnsi"/>
                <w:bCs/>
                <w:sz w:val="20"/>
              </w:rPr>
            </w:pPr>
          </w:p>
          <w:p w14:paraId="24633109" w14:textId="47CFC746" w:rsidR="007440D3" w:rsidRPr="00890249" w:rsidRDefault="0029352A" w:rsidP="007440D3">
            <w:pPr>
              <w:spacing w:before="0" w:after="0"/>
              <w:jc w:val="left"/>
              <w:rPr>
                <w:rFonts w:asciiTheme="minorHAnsi" w:eastAsia="Times New Roman" w:hAnsiTheme="minorHAnsi" w:cstheme="minorHAnsi"/>
                <w:bCs/>
                <w:sz w:val="20"/>
              </w:rPr>
            </w:pPr>
            <w:r>
              <w:rPr>
                <w:rFonts w:asciiTheme="minorHAnsi" w:eastAsia="Times New Roman" w:hAnsiTheme="minorHAnsi" w:cstheme="minorHAnsi"/>
                <w:bCs/>
                <w:sz w:val="20"/>
              </w:rPr>
              <w:t>Szymon Ogłaza</w:t>
            </w:r>
            <w:r w:rsidR="007440D3" w:rsidRPr="00890249">
              <w:rPr>
                <w:rFonts w:asciiTheme="minorHAnsi" w:eastAsia="Times New Roman" w:hAnsiTheme="minorHAnsi" w:cstheme="minorHAnsi"/>
                <w:bCs/>
                <w:sz w:val="20"/>
              </w:rPr>
              <w:t xml:space="preserve"> - </w:t>
            </w:r>
            <w:r w:rsidR="007440D3" w:rsidRPr="00890249">
              <w:rPr>
                <w:rFonts w:asciiTheme="minorHAnsi" w:eastAsia="Times New Roman" w:hAnsiTheme="minorHAnsi" w:cstheme="minorHAnsi"/>
                <w:sz w:val="20"/>
              </w:rPr>
              <w:t>Marszałek Województwa Opolskiego</w:t>
            </w:r>
          </w:p>
          <w:p w14:paraId="0C5CED88" w14:textId="77777777" w:rsidR="007440D3" w:rsidRPr="00890249" w:rsidRDefault="007440D3" w:rsidP="007440D3">
            <w:pPr>
              <w:spacing w:before="0" w:after="0"/>
              <w:jc w:val="left"/>
              <w:rPr>
                <w:rFonts w:asciiTheme="minorHAnsi" w:eastAsia="Times New Roman" w:hAnsiTheme="minorHAnsi" w:cstheme="minorHAnsi"/>
                <w:bCs/>
                <w:sz w:val="20"/>
              </w:rPr>
            </w:pPr>
          </w:p>
          <w:p w14:paraId="641123EA" w14:textId="091CA1BF" w:rsidR="007440D3" w:rsidRPr="00890249" w:rsidRDefault="007440D3" w:rsidP="007440D3">
            <w:pPr>
              <w:spacing w:before="0" w:after="0"/>
              <w:jc w:val="left"/>
              <w:rPr>
                <w:rFonts w:asciiTheme="minorHAnsi" w:eastAsia="Times New Roman" w:hAnsiTheme="minorHAnsi" w:cstheme="minorHAnsi"/>
                <w:sz w:val="20"/>
              </w:rPr>
            </w:pPr>
            <w:r w:rsidRPr="00890249">
              <w:rPr>
                <w:rFonts w:asciiTheme="minorHAnsi" w:eastAsia="Times New Roman" w:hAnsiTheme="minorHAnsi" w:cstheme="minorHAnsi"/>
                <w:bCs/>
                <w:sz w:val="20"/>
              </w:rPr>
              <w:t>tel.:</w:t>
            </w:r>
            <w:r w:rsidRPr="00890249">
              <w:rPr>
                <w:rFonts w:asciiTheme="minorHAnsi" w:eastAsia="Times New Roman" w:hAnsiTheme="minorHAnsi" w:cstheme="minorHAnsi"/>
                <w:sz w:val="20"/>
              </w:rPr>
              <w:t xml:space="preserve"> (+48) 77 54 16 5</w:t>
            </w:r>
            <w:r w:rsidR="0006267E">
              <w:rPr>
                <w:rFonts w:asciiTheme="minorHAnsi" w:eastAsia="Times New Roman" w:hAnsiTheme="minorHAnsi" w:cstheme="minorHAnsi"/>
                <w:sz w:val="20"/>
              </w:rPr>
              <w:t>21</w:t>
            </w:r>
            <w:r w:rsidRPr="00890249">
              <w:rPr>
                <w:rFonts w:asciiTheme="minorHAnsi" w:eastAsia="Times New Roman" w:hAnsiTheme="minorHAnsi" w:cstheme="minorHAnsi"/>
                <w:sz w:val="20"/>
              </w:rPr>
              <w:t xml:space="preserve">, </w:t>
            </w:r>
          </w:p>
          <w:p w14:paraId="713A69DC" w14:textId="77777777" w:rsidR="007440D3" w:rsidRPr="00890249" w:rsidRDefault="007440D3" w:rsidP="007440D3">
            <w:pPr>
              <w:spacing w:before="0" w:after="0"/>
              <w:jc w:val="left"/>
              <w:rPr>
                <w:rFonts w:asciiTheme="minorHAnsi" w:eastAsia="Times New Roman" w:hAnsiTheme="minorHAnsi" w:cstheme="minorHAnsi"/>
                <w:sz w:val="20"/>
              </w:rPr>
            </w:pPr>
            <w:r w:rsidRPr="00890249">
              <w:rPr>
                <w:rFonts w:asciiTheme="minorHAnsi" w:eastAsia="Times New Roman" w:hAnsiTheme="minorHAnsi" w:cstheme="minorHAnsi"/>
                <w:bCs/>
                <w:sz w:val="20"/>
              </w:rPr>
              <w:t>fax:</w:t>
            </w:r>
            <w:r w:rsidRPr="00890249">
              <w:rPr>
                <w:rFonts w:asciiTheme="minorHAnsi" w:eastAsia="Times New Roman" w:hAnsiTheme="minorHAnsi" w:cstheme="minorHAnsi"/>
                <w:sz w:val="20"/>
              </w:rPr>
              <w:t xml:space="preserve"> (+48) 77 54 16 512</w:t>
            </w:r>
          </w:p>
        </w:tc>
        <w:tc>
          <w:tcPr>
            <w:tcW w:w="3033" w:type="dxa"/>
          </w:tcPr>
          <w:p w14:paraId="21434EB3" w14:textId="77777777" w:rsidR="007440D3" w:rsidRPr="00F62734" w:rsidRDefault="00875C92" w:rsidP="007440D3">
            <w:pPr>
              <w:rPr>
                <w:lang w:val="en-US"/>
              </w:rPr>
            </w:pPr>
            <w:r w:rsidRPr="00890249">
              <w:rPr>
                <w:rFonts w:asciiTheme="minorHAnsi" w:hAnsiTheme="minorHAnsi" w:cstheme="minorHAnsi"/>
                <w:noProof/>
                <w:sz w:val="20"/>
                <w:lang w:val="fr-BE"/>
              </w:rPr>
              <w:t xml:space="preserve">e-mail: </w:t>
            </w:r>
            <w:hyperlink r:id="rId162" w:history="1">
              <w:r w:rsidRPr="00890249">
                <w:rPr>
                  <w:rFonts w:asciiTheme="minorHAnsi" w:hAnsiTheme="minorHAnsi" w:cstheme="minorHAnsi"/>
                  <w:noProof/>
                  <w:color w:val="0563C1" w:themeColor="hyperlink"/>
                  <w:sz w:val="20"/>
                  <w:u w:val="single"/>
                  <w:lang w:val="fr-BE"/>
                </w:rPr>
                <w:t>marszalek@opolskie.pl</w:t>
              </w:r>
            </w:hyperlink>
          </w:p>
          <w:p w14:paraId="68FC060C" w14:textId="0BE98742" w:rsidR="0006267E" w:rsidRPr="0006267E" w:rsidRDefault="0006267E" w:rsidP="007440D3">
            <w:pPr>
              <w:rPr>
                <w:rFonts w:asciiTheme="minorHAnsi" w:hAnsiTheme="minorHAnsi" w:cstheme="minorHAnsi"/>
                <w:noProof/>
                <w:sz w:val="20"/>
                <w:lang w:val="fr-BE"/>
              </w:rPr>
            </w:pPr>
            <w:hyperlink r:id="rId163" w:history="1">
              <w:r w:rsidRPr="00F62734">
                <w:rPr>
                  <w:rStyle w:val="Hipercze"/>
                  <w:rFonts w:asciiTheme="minorHAnsi" w:hAnsiTheme="minorHAnsi" w:cstheme="minorHAnsi"/>
                  <w:noProof/>
                  <w:sz w:val="20"/>
                  <w:szCs w:val="16"/>
                  <w:lang w:val="fr-BE"/>
                </w:rPr>
                <w:t>s.oglaza@opolskie.pl</w:t>
              </w:r>
            </w:hyperlink>
            <w:r w:rsidRPr="00F62734">
              <w:rPr>
                <w:rFonts w:asciiTheme="minorHAnsi" w:hAnsiTheme="minorHAnsi" w:cstheme="minorHAnsi"/>
                <w:noProof/>
                <w:sz w:val="20"/>
                <w:szCs w:val="16"/>
                <w:lang w:val="fr-BE"/>
              </w:rPr>
              <w:t xml:space="preserve"> </w:t>
            </w:r>
          </w:p>
        </w:tc>
      </w:tr>
      <w:tr w:rsidR="007440D3" w:rsidRPr="00F703B9" w14:paraId="2A529C87" w14:textId="77777777" w:rsidTr="001C73DB">
        <w:tc>
          <w:tcPr>
            <w:tcW w:w="2003" w:type="dxa"/>
          </w:tcPr>
          <w:p w14:paraId="152E30A2" w14:textId="77777777" w:rsidR="007440D3" w:rsidRPr="00890249" w:rsidRDefault="007440D3" w:rsidP="007440D3">
            <w:pPr>
              <w:rPr>
                <w:rFonts w:asciiTheme="minorHAnsi" w:hAnsiTheme="minorHAnsi" w:cstheme="minorHAnsi"/>
                <w:noProof/>
                <w:sz w:val="20"/>
              </w:rPr>
            </w:pPr>
            <w:r w:rsidRPr="00890249">
              <w:rPr>
                <w:rFonts w:asciiTheme="minorHAnsi" w:hAnsiTheme="minorHAnsi" w:cstheme="minorHAnsi"/>
                <w:noProof/>
                <w:sz w:val="20"/>
              </w:rPr>
              <w:t>Instytucja Audytowa</w:t>
            </w:r>
          </w:p>
        </w:tc>
        <w:tc>
          <w:tcPr>
            <w:tcW w:w="2196" w:type="dxa"/>
          </w:tcPr>
          <w:p w14:paraId="280C6BD4" w14:textId="77777777" w:rsidR="007440D3" w:rsidRPr="00890249" w:rsidRDefault="007440D3" w:rsidP="007440D3">
            <w:pPr>
              <w:jc w:val="left"/>
              <w:rPr>
                <w:rFonts w:asciiTheme="minorHAnsi" w:hAnsiTheme="minorHAnsi" w:cstheme="minorHAnsi"/>
                <w:noProof/>
                <w:sz w:val="20"/>
              </w:rPr>
            </w:pPr>
            <w:r w:rsidRPr="00890249">
              <w:rPr>
                <w:rFonts w:asciiTheme="minorHAnsi" w:eastAsia="Times New Roman" w:hAnsiTheme="minorHAnsi" w:cstheme="minorHAnsi"/>
                <w:sz w:val="20"/>
              </w:rPr>
              <w:t>Ministerstwo Finansów, Departament Audytu Środków Publicznych</w:t>
            </w:r>
          </w:p>
        </w:tc>
        <w:tc>
          <w:tcPr>
            <w:tcW w:w="2119" w:type="dxa"/>
          </w:tcPr>
          <w:p w14:paraId="7F916799" w14:textId="77777777" w:rsidR="007440D3" w:rsidRPr="00890249" w:rsidRDefault="007440D3" w:rsidP="007440D3">
            <w:pPr>
              <w:jc w:val="left"/>
              <w:rPr>
                <w:rFonts w:asciiTheme="minorHAnsi" w:hAnsiTheme="minorHAnsi" w:cstheme="minorHAnsi"/>
                <w:noProof/>
                <w:sz w:val="20"/>
              </w:rPr>
            </w:pPr>
            <w:r w:rsidRPr="00890249">
              <w:rPr>
                <w:rFonts w:asciiTheme="minorHAnsi" w:hAnsiTheme="minorHAnsi" w:cstheme="minorHAnsi"/>
                <w:noProof/>
                <w:sz w:val="20"/>
              </w:rPr>
              <w:t>Minister właściwy ds. finansów publicznych</w:t>
            </w:r>
          </w:p>
          <w:p w14:paraId="084052A5" w14:textId="77777777" w:rsidR="007440D3" w:rsidRPr="00890249" w:rsidRDefault="007440D3" w:rsidP="007440D3">
            <w:pPr>
              <w:jc w:val="left"/>
              <w:rPr>
                <w:rFonts w:asciiTheme="minorHAnsi" w:hAnsiTheme="minorHAnsi" w:cstheme="minorHAnsi"/>
                <w:noProof/>
                <w:sz w:val="20"/>
              </w:rPr>
            </w:pPr>
            <w:r w:rsidRPr="00890249">
              <w:rPr>
                <w:rFonts w:asciiTheme="minorHAnsi" w:eastAsia="Times New Roman" w:hAnsiTheme="minorHAnsi" w:cstheme="minorHAnsi"/>
                <w:bCs/>
                <w:sz w:val="20"/>
              </w:rPr>
              <w:t>tel. +48 (22) 694 55 55</w:t>
            </w:r>
            <w:r w:rsidRPr="00890249">
              <w:rPr>
                <w:rFonts w:asciiTheme="minorHAnsi" w:eastAsia="Times New Roman" w:hAnsiTheme="minorHAnsi" w:cstheme="minorHAnsi"/>
                <w:bCs/>
                <w:sz w:val="20"/>
              </w:rPr>
              <w:br/>
              <w:t>fax:+48 (22) 694 36 84</w:t>
            </w:r>
          </w:p>
        </w:tc>
        <w:tc>
          <w:tcPr>
            <w:tcW w:w="3033" w:type="dxa"/>
          </w:tcPr>
          <w:p w14:paraId="26AF335F" w14:textId="77777777" w:rsidR="007440D3" w:rsidRPr="00890249" w:rsidRDefault="00875C92" w:rsidP="007440D3">
            <w:pPr>
              <w:rPr>
                <w:rFonts w:asciiTheme="minorHAnsi" w:hAnsiTheme="minorHAnsi" w:cstheme="minorHAnsi"/>
                <w:noProof/>
                <w:sz w:val="20"/>
                <w:lang w:val="fr-BE"/>
              </w:rPr>
            </w:pPr>
            <w:r w:rsidRPr="00890249">
              <w:rPr>
                <w:rFonts w:asciiTheme="minorHAnsi" w:hAnsiTheme="minorHAnsi" w:cstheme="minorHAnsi"/>
                <w:noProof/>
                <w:sz w:val="20"/>
                <w:lang w:val="fr-BE"/>
              </w:rPr>
              <w:t xml:space="preserve">e-mail: </w:t>
            </w:r>
            <w:hyperlink r:id="rId164" w:history="1">
              <w:r w:rsidRPr="00890249">
                <w:rPr>
                  <w:rFonts w:asciiTheme="minorHAnsi" w:hAnsiTheme="minorHAnsi" w:cstheme="minorHAnsi"/>
                  <w:noProof/>
                  <w:color w:val="0563C1" w:themeColor="hyperlink"/>
                  <w:sz w:val="20"/>
                  <w:u w:val="single"/>
                  <w:lang w:val="fr-BE"/>
                </w:rPr>
                <w:t>kancelaria@mf.gov.pl</w:t>
              </w:r>
            </w:hyperlink>
          </w:p>
        </w:tc>
      </w:tr>
      <w:tr w:rsidR="007440D3" w:rsidRPr="00F703B9" w14:paraId="09E48E1A" w14:textId="77777777" w:rsidTr="00D31406">
        <w:tc>
          <w:tcPr>
            <w:tcW w:w="2003" w:type="dxa"/>
            <w:shd w:val="clear" w:color="auto" w:fill="D9D9D9" w:themeFill="background1" w:themeFillShade="D9"/>
          </w:tcPr>
          <w:p w14:paraId="3E4BB8CA" w14:textId="77777777" w:rsidR="007440D3" w:rsidRPr="00890249" w:rsidRDefault="007440D3" w:rsidP="007440D3">
            <w:pPr>
              <w:rPr>
                <w:rFonts w:asciiTheme="minorHAnsi" w:hAnsiTheme="minorHAnsi" w:cstheme="minorHAnsi"/>
                <w:noProof/>
                <w:sz w:val="20"/>
              </w:rPr>
            </w:pPr>
            <w:r w:rsidRPr="00890249">
              <w:rPr>
                <w:rFonts w:asciiTheme="minorHAnsi" w:hAnsiTheme="minorHAnsi" w:cstheme="minorHAnsi"/>
                <w:noProof/>
                <w:sz w:val="20"/>
              </w:rPr>
              <w:t xml:space="preserve">Organ otrzymujący płatności </w:t>
            </w:r>
            <w:r w:rsidR="008F7C35" w:rsidRPr="00890249">
              <w:rPr>
                <w:rFonts w:asciiTheme="minorHAnsi" w:hAnsiTheme="minorHAnsi" w:cstheme="minorHAnsi"/>
                <w:noProof/>
                <w:sz w:val="20"/>
              </w:rPr>
              <w:t>od</w:t>
            </w:r>
            <w:r w:rsidRPr="00890249">
              <w:rPr>
                <w:rFonts w:asciiTheme="minorHAnsi" w:hAnsiTheme="minorHAnsi" w:cstheme="minorHAnsi"/>
                <w:noProof/>
                <w:sz w:val="20"/>
              </w:rPr>
              <w:t xml:space="preserve"> Komisji</w:t>
            </w:r>
          </w:p>
        </w:tc>
        <w:tc>
          <w:tcPr>
            <w:tcW w:w="2196" w:type="dxa"/>
            <w:shd w:val="clear" w:color="auto" w:fill="D9D9D9" w:themeFill="background1" w:themeFillShade="D9"/>
          </w:tcPr>
          <w:p w14:paraId="79FCFDBD" w14:textId="77777777" w:rsidR="007440D3" w:rsidRPr="00890249" w:rsidRDefault="007440D3" w:rsidP="007440D3">
            <w:pPr>
              <w:jc w:val="left"/>
              <w:rPr>
                <w:rFonts w:asciiTheme="minorHAnsi" w:hAnsiTheme="minorHAnsi" w:cstheme="minorHAnsi"/>
                <w:noProof/>
                <w:sz w:val="20"/>
              </w:rPr>
            </w:pPr>
            <w:r w:rsidRPr="00890249">
              <w:rPr>
                <w:rFonts w:asciiTheme="minorHAnsi" w:hAnsiTheme="minorHAnsi" w:cstheme="minorHAnsi"/>
                <w:noProof/>
                <w:sz w:val="20"/>
              </w:rPr>
              <w:t>Ministerstwo Finansów, Departament Instytucji Płatniczej</w:t>
            </w:r>
          </w:p>
        </w:tc>
        <w:tc>
          <w:tcPr>
            <w:tcW w:w="2119" w:type="dxa"/>
            <w:shd w:val="clear" w:color="auto" w:fill="D9D9D9" w:themeFill="background1" w:themeFillShade="D9"/>
          </w:tcPr>
          <w:p w14:paraId="799F2C20" w14:textId="77777777" w:rsidR="007440D3" w:rsidRPr="00890249" w:rsidRDefault="007440D3" w:rsidP="007440D3">
            <w:pPr>
              <w:jc w:val="left"/>
              <w:rPr>
                <w:rFonts w:asciiTheme="minorHAnsi" w:hAnsiTheme="minorHAnsi" w:cstheme="minorHAnsi"/>
                <w:noProof/>
                <w:sz w:val="20"/>
              </w:rPr>
            </w:pPr>
            <w:r w:rsidRPr="00890249">
              <w:rPr>
                <w:rFonts w:asciiTheme="minorHAnsi" w:hAnsiTheme="minorHAnsi" w:cstheme="minorHAnsi"/>
                <w:noProof/>
                <w:sz w:val="20"/>
              </w:rPr>
              <w:t>Minister właściwy ds. finansów publicznych</w:t>
            </w:r>
          </w:p>
          <w:p w14:paraId="6A6CBA30" w14:textId="77777777" w:rsidR="007440D3" w:rsidRPr="00890249" w:rsidRDefault="007440D3" w:rsidP="007440D3">
            <w:pPr>
              <w:jc w:val="left"/>
              <w:rPr>
                <w:rFonts w:asciiTheme="minorHAnsi" w:hAnsiTheme="minorHAnsi" w:cstheme="minorHAnsi"/>
                <w:noProof/>
                <w:sz w:val="20"/>
              </w:rPr>
            </w:pPr>
            <w:r w:rsidRPr="00890249">
              <w:rPr>
                <w:rFonts w:asciiTheme="minorHAnsi" w:eastAsia="Times New Roman" w:hAnsiTheme="minorHAnsi" w:cstheme="minorHAnsi"/>
                <w:sz w:val="20"/>
              </w:rPr>
              <w:t>tel.  +48 (22) 694 55 55</w:t>
            </w:r>
            <w:r w:rsidRPr="00890249">
              <w:rPr>
                <w:rFonts w:asciiTheme="minorHAnsi" w:eastAsia="Times New Roman" w:hAnsiTheme="minorHAnsi" w:cstheme="minorHAnsi"/>
                <w:sz w:val="20"/>
              </w:rPr>
              <w:br/>
              <w:t>fax: +48 (22) 694 36 84</w:t>
            </w:r>
          </w:p>
        </w:tc>
        <w:tc>
          <w:tcPr>
            <w:tcW w:w="3033" w:type="dxa"/>
            <w:shd w:val="clear" w:color="auto" w:fill="D9D9D9" w:themeFill="background1" w:themeFillShade="D9"/>
          </w:tcPr>
          <w:p w14:paraId="682FB94C" w14:textId="77777777" w:rsidR="007440D3" w:rsidRPr="00890249" w:rsidRDefault="00875C92" w:rsidP="007440D3">
            <w:pPr>
              <w:rPr>
                <w:rFonts w:asciiTheme="minorHAnsi" w:hAnsiTheme="minorHAnsi" w:cstheme="minorHAnsi"/>
                <w:noProof/>
                <w:sz w:val="20"/>
                <w:lang w:val="fr-BE"/>
              </w:rPr>
            </w:pPr>
            <w:r w:rsidRPr="00890249">
              <w:rPr>
                <w:rFonts w:asciiTheme="minorHAnsi" w:hAnsiTheme="minorHAnsi" w:cstheme="minorHAnsi"/>
                <w:noProof/>
                <w:sz w:val="20"/>
                <w:lang w:val="fr-BE"/>
              </w:rPr>
              <w:t xml:space="preserve">e-mail: </w:t>
            </w:r>
            <w:hyperlink r:id="rId165" w:history="1">
              <w:r w:rsidRPr="00890249">
                <w:rPr>
                  <w:rFonts w:asciiTheme="minorHAnsi" w:hAnsiTheme="minorHAnsi" w:cstheme="minorHAnsi"/>
                  <w:noProof/>
                  <w:color w:val="0563C1" w:themeColor="hyperlink"/>
                  <w:sz w:val="20"/>
                  <w:u w:val="single"/>
                  <w:lang w:val="fr-BE"/>
                </w:rPr>
                <w:t>kancelaria@mf.gov.pl</w:t>
              </w:r>
            </w:hyperlink>
          </w:p>
        </w:tc>
      </w:tr>
      <w:tr w:rsidR="007440D3" w:rsidRPr="00F703B9" w14:paraId="42C79E8C" w14:textId="77777777" w:rsidTr="00D31406">
        <w:tc>
          <w:tcPr>
            <w:tcW w:w="2003" w:type="dxa"/>
            <w:shd w:val="clear" w:color="auto" w:fill="D9D9D9" w:themeFill="background1" w:themeFillShade="D9"/>
          </w:tcPr>
          <w:p w14:paraId="202C27BB" w14:textId="77777777" w:rsidR="007440D3" w:rsidRPr="00890249" w:rsidRDefault="008F7C35"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 xml:space="preserve">W stosownych przypadkach, podmiot lub podmioty otrzymujące </w:t>
            </w:r>
            <w:r w:rsidR="00887BDC" w:rsidRPr="00890249">
              <w:rPr>
                <w:rFonts w:asciiTheme="minorHAnsi" w:eastAsiaTheme="minorHAnsi" w:hAnsiTheme="minorHAnsi" w:cstheme="minorHAnsi"/>
                <w:sz w:val="20"/>
              </w:rPr>
              <w:t>płatności</w:t>
            </w:r>
            <w:r w:rsidR="000F3C2C" w:rsidRPr="00890249">
              <w:rPr>
                <w:rFonts w:asciiTheme="minorHAnsi" w:eastAsiaTheme="minorHAnsi" w:hAnsiTheme="minorHAnsi" w:cstheme="minorHAnsi"/>
                <w:sz w:val="20"/>
              </w:rPr>
              <w:t xml:space="preserve"> od Komisji w przypadku pomocy technicznej na podstawie art.36 ust. 5</w:t>
            </w:r>
            <w:r w:rsidR="00C44E29" w:rsidRPr="00890249">
              <w:rPr>
                <w:rFonts w:asciiTheme="minorHAnsi" w:eastAsiaTheme="minorHAnsi" w:hAnsiTheme="minorHAnsi" w:cstheme="minorHAnsi"/>
                <w:sz w:val="20"/>
              </w:rPr>
              <w:t xml:space="preserve"> rozporządzenia w sprawie wspólnych przepisów</w:t>
            </w:r>
          </w:p>
        </w:tc>
        <w:tc>
          <w:tcPr>
            <w:tcW w:w="2196" w:type="dxa"/>
            <w:shd w:val="clear" w:color="auto" w:fill="D9D9D9" w:themeFill="background1" w:themeFillShade="D9"/>
          </w:tcPr>
          <w:p w14:paraId="58FCF1D2"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Ministerstwo Finansów, Departament Instytucji Płatniczej</w:t>
            </w:r>
          </w:p>
        </w:tc>
        <w:tc>
          <w:tcPr>
            <w:tcW w:w="2119" w:type="dxa"/>
            <w:shd w:val="clear" w:color="auto" w:fill="D9D9D9" w:themeFill="background1" w:themeFillShade="D9"/>
          </w:tcPr>
          <w:p w14:paraId="7AD5EAAA"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Minister właściwy ds. finansów publicznych</w:t>
            </w:r>
          </w:p>
          <w:p w14:paraId="7B9872BE"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 xml:space="preserve">tel. (+48) 22 694 55 55 </w:t>
            </w:r>
          </w:p>
        </w:tc>
        <w:tc>
          <w:tcPr>
            <w:tcW w:w="3033" w:type="dxa"/>
            <w:shd w:val="clear" w:color="auto" w:fill="D9D9D9" w:themeFill="background1" w:themeFillShade="D9"/>
          </w:tcPr>
          <w:p w14:paraId="2276CDF3" w14:textId="77777777" w:rsidR="007440D3" w:rsidRPr="00890249" w:rsidRDefault="00875C92" w:rsidP="007440D3">
            <w:pPr>
              <w:spacing w:before="0" w:after="0"/>
              <w:jc w:val="left"/>
              <w:rPr>
                <w:rFonts w:asciiTheme="minorHAnsi" w:eastAsiaTheme="minorHAnsi" w:hAnsiTheme="minorHAnsi" w:cstheme="minorHAnsi"/>
                <w:sz w:val="20"/>
                <w:lang w:val="fr-BE"/>
              </w:rPr>
            </w:pPr>
            <w:r w:rsidRPr="00890249">
              <w:rPr>
                <w:rFonts w:asciiTheme="minorHAnsi" w:eastAsiaTheme="minorHAnsi" w:hAnsiTheme="minorHAnsi" w:cstheme="minorHAnsi"/>
                <w:sz w:val="20"/>
                <w:lang w:val="fr-BE"/>
              </w:rPr>
              <w:t xml:space="preserve">e-mail: </w:t>
            </w:r>
            <w:hyperlink r:id="rId166" w:history="1">
              <w:r w:rsidRPr="00890249">
                <w:rPr>
                  <w:rFonts w:asciiTheme="minorHAnsi" w:eastAsiaTheme="minorHAnsi" w:hAnsiTheme="minorHAnsi" w:cstheme="minorHAnsi"/>
                  <w:color w:val="0563C1" w:themeColor="hyperlink"/>
                  <w:sz w:val="20"/>
                  <w:u w:val="single"/>
                  <w:lang w:val="fr-BE"/>
                </w:rPr>
                <w:t>kancelaria@mf.gov.pl</w:t>
              </w:r>
            </w:hyperlink>
          </w:p>
        </w:tc>
      </w:tr>
      <w:tr w:rsidR="007440D3" w:rsidRPr="00F703B9" w14:paraId="5ED26A74" w14:textId="77777777" w:rsidTr="001C73DB">
        <w:tc>
          <w:tcPr>
            <w:tcW w:w="2003" w:type="dxa"/>
            <w:shd w:val="clear" w:color="auto" w:fill="auto"/>
          </w:tcPr>
          <w:p w14:paraId="35ED8A89"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Instytucja Pośrednicząca (wybrane obszary)</w:t>
            </w:r>
          </w:p>
        </w:tc>
        <w:tc>
          <w:tcPr>
            <w:tcW w:w="2196" w:type="dxa"/>
            <w:shd w:val="clear" w:color="auto" w:fill="auto"/>
          </w:tcPr>
          <w:p w14:paraId="74E86782"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Opolskie Centrum Rozwoju Gospodarki</w:t>
            </w:r>
          </w:p>
        </w:tc>
        <w:tc>
          <w:tcPr>
            <w:tcW w:w="2119" w:type="dxa"/>
            <w:shd w:val="clear" w:color="auto" w:fill="auto"/>
          </w:tcPr>
          <w:p w14:paraId="12D7D9D8" w14:textId="77777777" w:rsidR="007440D3" w:rsidRPr="00890249" w:rsidRDefault="007D1162"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Tomasz Hanzel</w:t>
            </w:r>
            <w:r w:rsidR="007440D3" w:rsidRPr="00890249">
              <w:rPr>
                <w:rFonts w:asciiTheme="minorHAnsi" w:eastAsiaTheme="minorHAnsi" w:hAnsiTheme="minorHAnsi" w:cstheme="minorHAnsi"/>
                <w:sz w:val="20"/>
              </w:rPr>
              <w:t xml:space="preserve"> - Dyrektor Opolskiego Centrum Rozwoju Gospodarki</w:t>
            </w:r>
          </w:p>
          <w:p w14:paraId="7DCCF16E"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bCs/>
                <w:sz w:val="20"/>
              </w:rPr>
              <w:t>tel.:</w:t>
            </w:r>
            <w:r w:rsidRPr="00890249">
              <w:rPr>
                <w:rFonts w:asciiTheme="minorHAnsi" w:eastAsiaTheme="minorHAnsi" w:hAnsiTheme="minorHAnsi" w:cstheme="minorHAnsi"/>
                <w:sz w:val="20"/>
              </w:rPr>
              <w:t xml:space="preserve"> (+48) 77 403 36 00</w:t>
            </w:r>
          </w:p>
          <w:p w14:paraId="3A57117B" w14:textId="77777777" w:rsidR="007440D3" w:rsidRPr="00890249" w:rsidRDefault="007440D3" w:rsidP="007440D3">
            <w:pPr>
              <w:spacing w:before="0" w:after="0"/>
              <w:jc w:val="left"/>
              <w:rPr>
                <w:rFonts w:asciiTheme="minorHAnsi" w:eastAsiaTheme="minorHAnsi" w:hAnsiTheme="minorHAnsi" w:cstheme="minorHAnsi"/>
                <w:sz w:val="20"/>
                <w:lang w:val="en-US"/>
              </w:rPr>
            </w:pPr>
            <w:r w:rsidRPr="00890249">
              <w:rPr>
                <w:rFonts w:asciiTheme="minorHAnsi" w:eastAsiaTheme="minorHAnsi" w:hAnsiTheme="minorHAnsi" w:cstheme="minorHAnsi"/>
                <w:bCs/>
                <w:sz w:val="20"/>
                <w:lang w:val="en-US"/>
              </w:rPr>
              <w:t>fax:</w:t>
            </w:r>
            <w:r w:rsidRPr="00890249">
              <w:rPr>
                <w:rFonts w:asciiTheme="minorHAnsi" w:eastAsiaTheme="minorHAnsi" w:hAnsiTheme="minorHAnsi" w:cstheme="minorHAnsi"/>
                <w:sz w:val="20"/>
                <w:lang w:val="en-US"/>
              </w:rPr>
              <w:t xml:space="preserve"> (+48) 77 403 36 00</w:t>
            </w:r>
          </w:p>
        </w:tc>
        <w:tc>
          <w:tcPr>
            <w:tcW w:w="3033" w:type="dxa"/>
            <w:shd w:val="clear" w:color="auto" w:fill="auto"/>
          </w:tcPr>
          <w:p w14:paraId="394673BA" w14:textId="77777777" w:rsidR="007440D3" w:rsidRPr="00890249" w:rsidRDefault="007440D3" w:rsidP="007440D3">
            <w:pPr>
              <w:spacing w:before="0" w:after="0"/>
              <w:jc w:val="left"/>
              <w:rPr>
                <w:rFonts w:asciiTheme="minorHAnsi" w:eastAsiaTheme="minorHAnsi" w:hAnsiTheme="minorHAnsi" w:cstheme="minorHAnsi"/>
                <w:sz w:val="20"/>
                <w:lang w:val="en-US"/>
              </w:rPr>
            </w:pPr>
            <w:r w:rsidRPr="00890249">
              <w:rPr>
                <w:rFonts w:asciiTheme="minorHAnsi" w:eastAsiaTheme="minorHAnsi" w:hAnsiTheme="minorHAnsi" w:cstheme="minorHAnsi"/>
                <w:bCs/>
                <w:sz w:val="20"/>
                <w:lang w:val="en-US"/>
              </w:rPr>
              <w:t>e-mail:</w:t>
            </w:r>
            <w:hyperlink r:id="rId167" w:history="1">
              <w:r w:rsidRPr="00890249">
                <w:rPr>
                  <w:rFonts w:asciiTheme="minorHAnsi" w:eastAsiaTheme="minorHAnsi" w:hAnsiTheme="minorHAnsi" w:cstheme="minorHAnsi"/>
                  <w:color w:val="0563C1" w:themeColor="hyperlink"/>
                  <w:sz w:val="20"/>
                  <w:u w:val="single"/>
                  <w:lang w:val="en-US"/>
                </w:rPr>
                <w:t>biuro@ocrg.opolskie.pl</w:t>
              </w:r>
            </w:hyperlink>
          </w:p>
        </w:tc>
      </w:tr>
      <w:tr w:rsidR="007440D3" w:rsidRPr="00F703B9" w14:paraId="20DA3886" w14:textId="77777777" w:rsidTr="001C73DB">
        <w:trPr>
          <w:trHeight w:val="1534"/>
        </w:trPr>
        <w:tc>
          <w:tcPr>
            <w:tcW w:w="2003" w:type="dxa"/>
            <w:shd w:val="clear" w:color="auto" w:fill="auto"/>
          </w:tcPr>
          <w:p w14:paraId="20CEFA3E"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lastRenderedPageBreak/>
              <w:t>Instytucja Pośrednicząca (wybrane obszary)</w:t>
            </w:r>
          </w:p>
        </w:tc>
        <w:tc>
          <w:tcPr>
            <w:tcW w:w="2196" w:type="dxa"/>
            <w:shd w:val="clear" w:color="auto" w:fill="auto"/>
          </w:tcPr>
          <w:p w14:paraId="3F62E44E" w14:textId="77777777" w:rsidR="007440D3" w:rsidRPr="00890249" w:rsidRDefault="007440D3" w:rsidP="009D058B">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Wojewódzki Urząd Pracy</w:t>
            </w:r>
            <w:r w:rsidR="009D058B" w:rsidRPr="00890249">
              <w:rPr>
                <w:rFonts w:asciiTheme="minorHAnsi" w:eastAsiaTheme="minorHAnsi" w:hAnsiTheme="minorHAnsi" w:cstheme="minorHAnsi"/>
                <w:sz w:val="20"/>
              </w:rPr>
              <w:t xml:space="preserve"> </w:t>
            </w:r>
            <w:r w:rsidRPr="00890249">
              <w:rPr>
                <w:rFonts w:asciiTheme="minorHAnsi" w:eastAsiaTheme="minorHAnsi" w:hAnsiTheme="minorHAnsi" w:cstheme="minorHAnsi"/>
                <w:sz w:val="20"/>
              </w:rPr>
              <w:t>w Opolu</w:t>
            </w:r>
          </w:p>
        </w:tc>
        <w:tc>
          <w:tcPr>
            <w:tcW w:w="2119" w:type="dxa"/>
            <w:shd w:val="clear" w:color="auto" w:fill="auto"/>
          </w:tcPr>
          <w:p w14:paraId="4FDD5EA0" w14:textId="77777777" w:rsidR="007440D3" w:rsidRPr="00890249" w:rsidRDefault="007440D3" w:rsidP="007440D3">
            <w:pPr>
              <w:spacing w:before="0" w:after="0"/>
              <w:jc w:val="left"/>
              <w:rPr>
                <w:rFonts w:asciiTheme="minorHAnsi" w:eastAsiaTheme="minorHAnsi" w:hAnsiTheme="minorHAnsi" w:cstheme="minorHAnsi"/>
                <w:sz w:val="20"/>
              </w:rPr>
            </w:pPr>
            <w:r w:rsidRPr="00890249">
              <w:rPr>
                <w:rFonts w:asciiTheme="minorHAnsi" w:eastAsiaTheme="minorHAnsi" w:hAnsiTheme="minorHAnsi" w:cstheme="minorHAnsi"/>
                <w:sz w:val="20"/>
              </w:rPr>
              <w:t>Maciej Kalski - Dyrektor Wojewódzkiego Urzędu Pracy w Opolu</w:t>
            </w:r>
          </w:p>
          <w:p w14:paraId="7A83F53E" w14:textId="77777777" w:rsidR="007440D3" w:rsidRPr="00890249" w:rsidRDefault="007440D3" w:rsidP="007440D3">
            <w:pPr>
              <w:spacing w:before="0" w:after="0"/>
              <w:jc w:val="left"/>
              <w:rPr>
                <w:rFonts w:asciiTheme="minorHAnsi" w:eastAsiaTheme="minorHAnsi" w:hAnsiTheme="minorHAnsi" w:cstheme="minorHAnsi"/>
                <w:sz w:val="20"/>
                <w:lang w:val="en-US"/>
              </w:rPr>
            </w:pPr>
            <w:r w:rsidRPr="00890249">
              <w:rPr>
                <w:rFonts w:asciiTheme="minorHAnsi" w:eastAsiaTheme="minorHAnsi" w:hAnsiTheme="minorHAnsi" w:cstheme="minorHAnsi"/>
                <w:bCs/>
                <w:sz w:val="20"/>
                <w:lang w:val="en-US"/>
              </w:rPr>
              <w:t>tel.:</w:t>
            </w:r>
            <w:r w:rsidRPr="00890249">
              <w:rPr>
                <w:rFonts w:asciiTheme="minorHAnsi" w:eastAsiaTheme="minorHAnsi" w:hAnsiTheme="minorHAnsi" w:cstheme="minorHAnsi"/>
                <w:sz w:val="20"/>
                <w:lang w:val="en-US"/>
              </w:rPr>
              <w:t xml:space="preserve"> (+48) 77 441 67 01</w:t>
            </w:r>
          </w:p>
          <w:p w14:paraId="3364328D" w14:textId="77777777" w:rsidR="007440D3" w:rsidRPr="00890249" w:rsidRDefault="007440D3" w:rsidP="007440D3">
            <w:pPr>
              <w:spacing w:before="0" w:after="0"/>
              <w:jc w:val="left"/>
              <w:rPr>
                <w:rFonts w:asciiTheme="minorHAnsi" w:eastAsiaTheme="minorHAnsi" w:hAnsiTheme="minorHAnsi" w:cstheme="minorHAnsi"/>
                <w:sz w:val="20"/>
                <w:lang w:val="en-US"/>
              </w:rPr>
            </w:pPr>
            <w:r w:rsidRPr="00890249">
              <w:rPr>
                <w:rFonts w:asciiTheme="minorHAnsi" w:eastAsiaTheme="minorHAnsi" w:hAnsiTheme="minorHAnsi" w:cstheme="minorHAnsi"/>
                <w:bCs/>
                <w:sz w:val="20"/>
                <w:lang w:val="en-US"/>
              </w:rPr>
              <w:t>fax:</w:t>
            </w:r>
            <w:r w:rsidRPr="00890249">
              <w:rPr>
                <w:rFonts w:asciiTheme="minorHAnsi" w:eastAsiaTheme="minorHAnsi" w:hAnsiTheme="minorHAnsi" w:cstheme="minorHAnsi"/>
                <w:sz w:val="20"/>
                <w:lang w:val="en-US"/>
              </w:rPr>
              <w:t xml:space="preserve"> (+48) 77 441 67 02</w:t>
            </w:r>
          </w:p>
        </w:tc>
        <w:tc>
          <w:tcPr>
            <w:tcW w:w="3033" w:type="dxa"/>
            <w:shd w:val="clear" w:color="auto" w:fill="auto"/>
          </w:tcPr>
          <w:p w14:paraId="25F41BC6" w14:textId="77777777" w:rsidR="007440D3" w:rsidRPr="00890249" w:rsidRDefault="007440D3" w:rsidP="004746D2">
            <w:pPr>
              <w:spacing w:before="0" w:after="0"/>
              <w:jc w:val="left"/>
              <w:rPr>
                <w:rFonts w:asciiTheme="minorHAnsi" w:eastAsiaTheme="minorHAnsi" w:hAnsiTheme="minorHAnsi" w:cstheme="minorHAnsi"/>
                <w:sz w:val="20"/>
                <w:lang w:val="en-US"/>
              </w:rPr>
            </w:pPr>
            <w:r w:rsidRPr="00890249">
              <w:rPr>
                <w:rFonts w:asciiTheme="minorHAnsi" w:eastAsiaTheme="minorHAnsi" w:hAnsiTheme="minorHAnsi" w:cstheme="minorHAnsi"/>
                <w:bCs/>
                <w:sz w:val="20"/>
                <w:lang w:val="en-US"/>
              </w:rPr>
              <w:t>e-mail:</w:t>
            </w:r>
            <w:hyperlink r:id="rId168" w:history="1">
              <w:r w:rsidR="004746D2" w:rsidRPr="00890249">
                <w:rPr>
                  <w:rFonts w:asciiTheme="minorHAnsi" w:eastAsiaTheme="minorHAnsi" w:hAnsiTheme="minorHAnsi" w:cstheme="minorHAnsi"/>
                  <w:color w:val="0563C1" w:themeColor="hyperlink"/>
                  <w:sz w:val="20"/>
                  <w:u w:val="single"/>
                  <w:lang w:val="en-US"/>
                </w:rPr>
                <w:t>wup@wup.opole.pl</w:t>
              </w:r>
            </w:hyperlink>
          </w:p>
        </w:tc>
      </w:tr>
    </w:tbl>
    <w:p w14:paraId="44D8C5AA" w14:textId="27A648B3" w:rsidR="0093433C" w:rsidRPr="003F019D" w:rsidRDefault="00105F9B" w:rsidP="003F019D">
      <w:pPr>
        <w:spacing w:before="0" w:after="160" w:line="259" w:lineRule="auto"/>
        <w:jc w:val="left"/>
        <w:rPr>
          <w:rFonts w:asciiTheme="minorHAnsi" w:hAnsiTheme="minorHAnsi" w:cstheme="minorHAnsi"/>
          <w:b/>
          <w:bCs/>
          <w:color w:val="000099"/>
          <w:sz w:val="16"/>
          <w:szCs w:val="22"/>
          <w:lang w:val="en-US" w:bidi="ar-SA"/>
        </w:rPr>
      </w:pPr>
      <w:r w:rsidRPr="00890249">
        <w:rPr>
          <w:rFonts w:asciiTheme="minorHAnsi" w:hAnsiTheme="minorHAnsi" w:cstheme="minorHAnsi"/>
          <w:b/>
          <w:bCs/>
          <w:color w:val="000099"/>
          <w:sz w:val="16"/>
          <w:szCs w:val="22"/>
          <w:lang w:val="en-US" w:bidi="ar-SA"/>
        </w:rPr>
        <w:br w:type="page"/>
      </w:r>
    </w:p>
    <w:p w14:paraId="14C7F95B" w14:textId="0458B258" w:rsidR="0049407C" w:rsidRPr="009F296A" w:rsidRDefault="007440D3" w:rsidP="009F296A">
      <w:pPr>
        <w:pStyle w:val="Nagwek1"/>
      </w:pPr>
      <w:bookmarkStart w:id="65" w:name="_Toc116535556"/>
      <w:bookmarkStart w:id="66" w:name="_Toc116535592"/>
      <w:bookmarkStart w:id="67" w:name="_Toc116535625"/>
      <w:bookmarkStart w:id="68" w:name="_Toc116535720"/>
      <w:bookmarkStart w:id="69" w:name="_Toc116535772"/>
      <w:bookmarkStart w:id="70" w:name="_Toc116549008"/>
      <w:bookmarkStart w:id="71" w:name="_Toc116557809"/>
      <w:bookmarkStart w:id="72" w:name="_Toc116557839"/>
      <w:bookmarkStart w:id="73" w:name="_Toc116535557"/>
      <w:bookmarkStart w:id="74" w:name="_Toc116535593"/>
      <w:bookmarkStart w:id="75" w:name="_Toc116535626"/>
      <w:bookmarkStart w:id="76" w:name="_Toc116535721"/>
      <w:bookmarkStart w:id="77" w:name="_Toc116535773"/>
      <w:bookmarkStart w:id="78" w:name="_Toc116549009"/>
      <w:bookmarkStart w:id="79" w:name="_Toc116557810"/>
      <w:bookmarkStart w:id="80" w:name="_Toc116557840"/>
      <w:bookmarkStart w:id="81" w:name="_Toc116535558"/>
      <w:bookmarkStart w:id="82" w:name="_Toc116535594"/>
      <w:bookmarkStart w:id="83" w:name="_Toc116535627"/>
      <w:bookmarkStart w:id="84" w:name="_Toc116535722"/>
      <w:bookmarkStart w:id="85" w:name="_Toc116535774"/>
      <w:bookmarkStart w:id="86" w:name="_Toc116549010"/>
      <w:bookmarkStart w:id="87" w:name="_Toc116557811"/>
      <w:bookmarkStart w:id="88" w:name="_Toc116557841"/>
      <w:bookmarkStart w:id="89" w:name="_Toc18826692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9F296A">
        <w:lastRenderedPageBreak/>
        <w:t>PARTNERSTWO</w:t>
      </w:r>
      <w:bookmarkEnd w:id="89"/>
    </w:p>
    <w:p w14:paraId="39AF82A5" w14:textId="49AB4EFD" w:rsidR="0093433C" w:rsidRPr="00890249" w:rsidRDefault="1C48B856" w:rsidP="00890249">
      <w:pPr>
        <w:pStyle w:val="Lista-kontynuacja"/>
        <w:ind w:left="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Zgodnie z pkt. (2) Rozporządzenia D</w:t>
      </w:r>
      <w:r w:rsidR="006D6003">
        <w:rPr>
          <w:rFonts w:asciiTheme="minorHAnsi" w:hAnsiTheme="minorHAnsi" w:cstheme="minorHAnsi"/>
          <w:sz w:val="22"/>
          <w:szCs w:val="22"/>
          <w:lang w:eastAsia="en-US" w:bidi="ar-SA"/>
        </w:rPr>
        <w:t>elegowanego Komisji (UE)</w:t>
      </w:r>
      <w:r w:rsidR="00AC068F" w:rsidRPr="00890249">
        <w:rPr>
          <w:rStyle w:val="Odwoanieprzypisudolnego"/>
          <w:rFonts w:asciiTheme="minorHAnsi" w:eastAsiaTheme="minorEastAsia" w:hAnsiTheme="minorHAnsi" w:cstheme="minorHAnsi"/>
          <w:sz w:val="22"/>
          <w:szCs w:val="22"/>
          <w:lang w:eastAsia="en-US" w:bidi="ar-SA"/>
        </w:rPr>
        <w:footnoteReference w:id="252"/>
      </w:r>
      <w:r w:rsidRPr="00890249">
        <w:rPr>
          <w:rFonts w:asciiTheme="minorHAnsi" w:hAnsiTheme="minorHAnsi" w:cstheme="minorHAnsi"/>
          <w:sz w:val="22"/>
          <w:szCs w:val="22"/>
          <w:lang w:eastAsia="en-US" w:bidi="ar-SA"/>
        </w:rPr>
        <w:t xml:space="preserve"> zasada partnerstwa oznacza ścisłą współpracę między instytucjami publicznymi, partnerami gospodarczymi i społecznymi oraz podmiotami reprezentującymi społeczeństwo obywatelskie na </w:t>
      </w:r>
      <w:r w:rsidR="67BD2D24" w:rsidRPr="00890249">
        <w:rPr>
          <w:rFonts w:asciiTheme="minorHAnsi" w:hAnsiTheme="minorHAnsi" w:cstheme="minorHAnsi"/>
          <w:sz w:val="22"/>
          <w:szCs w:val="22"/>
          <w:lang w:eastAsia="en-US" w:bidi="ar-SA"/>
        </w:rPr>
        <w:t xml:space="preserve">szczeblu krajowym, regionalnym </w:t>
      </w:r>
      <w:r w:rsidR="00473A43" w:rsidRPr="00890249">
        <w:rPr>
          <w:rFonts w:asciiTheme="minorHAnsi" w:eastAsiaTheme="minorHAnsi" w:hAnsiTheme="minorHAnsi" w:cstheme="minorHAnsi"/>
          <w:sz w:val="22"/>
          <w:szCs w:val="22"/>
          <w:lang w:eastAsia="en-US" w:bidi="ar-SA"/>
        </w:rPr>
        <w:br/>
      </w:r>
      <w:r w:rsidRPr="00890249">
        <w:rPr>
          <w:rFonts w:asciiTheme="minorHAnsi" w:hAnsiTheme="minorHAnsi" w:cstheme="minorHAnsi"/>
          <w:sz w:val="22"/>
          <w:szCs w:val="22"/>
          <w:lang w:eastAsia="en-US" w:bidi="ar-SA"/>
        </w:rPr>
        <w:t xml:space="preserve">i lokalnym w trakcie całego cyklu programowania obejmującego przygotowanie, wdrożenie, monitorowanie. </w:t>
      </w:r>
    </w:p>
    <w:p w14:paraId="6619F275" w14:textId="5E020BA3" w:rsidR="0093433C" w:rsidRPr="00890249" w:rsidRDefault="003A03D5" w:rsidP="00890249">
      <w:pPr>
        <w:pStyle w:val="Lista-kontynuacja"/>
        <w:ind w:left="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 celu zapewnienia efektywnego i skutecznego  wdrażania Programu IZ dokona wszelkich starań, by na każdym etapie realizacji Programu (wdrażanie, monitoro</w:t>
      </w:r>
      <w:r w:rsidR="00D26F92">
        <w:rPr>
          <w:rFonts w:asciiTheme="minorHAnsi" w:hAnsiTheme="minorHAnsi" w:cstheme="minorHAnsi"/>
          <w:sz w:val="22"/>
          <w:szCs w:val="22"/>
          <w:lang w:eastAsia="en-US" w:bidi="ar-SA"/>
        </w:rPr>
        <w:t>wanie i ewaluacja) współpraca z </w:t>
      </w:r>
      <w:r w:rsidRPr="00890249">
        <w:rPr>
          <w:rFonts w:asciiTheme="minorHAnsi" w:hAnsiTheme="minorHAnsi" w:cstheme="minorHAnsi"/>
          <w:sz w:val="22"/>
          <w:szCs w:val="22"/>
          <w:lang w:eastAsia="en-US" w:bidi="ar-SA"/>
        </w:rPr>
        <w:t xml:space="preserve">partnerami odbywała się zgodnie z poszanowaniem zasady partnerstwa.  </w:t>
      </w:r>
      <w:r w:rsidR="00473A43" w:rsidRPr="00890249">
        <w:rPr>
          <w:rFonts w:asciiTheme="minorHAnsi" w:hAnsiTheme="minorHAnsi" w:cstheme="minorHAnsi"/>
          <w:sz w:val="22"/>
          <w:szCs w:val="22"/>
          <w:lang w:eastAsia="en-US" w:bidi="ar-SA"/>
        </w:rPr>
        <w:t>IZ</w:t>
      </w:r>
      <w:r w:rsidR="00AC068F" w:rsidRPr="00890249">
        <w:rPr>
          <w:rFonts w:asciiTheme="minorHAnsi" w:hAnsiTheme="minorHAnsi" w:cstheme="minorHAnsi"/>
          <w:sz w:val="22"/>
          <w:szCs w:val="22"/>
          <w:lang w:eastAsia="en-US" w:bidi="ar-SA"/>
        </w:rPr>
        <w:t xml:space="preserve"> </w:t>
      </w:r>
      <w:r w:rsidR="00473A43" w:rsidRPr="00890249">
        <w:rPr>
          <w:rFonts w:asciiTheme="minorHAnsi" w:hAnsiTheme="minorHAnsi" w:cstheme="minorHAnsi"/>
          <w:sz w:val="22"/>
          <w:szCs w:val="22"/>
          <w:lang w:eastAsia="en-US" w:bidi="ar-SA"/>
        </w:rPr>
        <w:t xml:space="preserve">RPO WO </w:t>
      </w:r>
      <w:r w:rsidR="001F7B70" w:rsidRPr="00890249">
        <w:rPr>
          <w:rFonts w:asciiTheme="minorHAnsi" w:hAnsiTheme="minorHAnsi" w:cstheme="minorHAnsi"/>
          <w:sz w:val="22"/>
          <w:szCs w:val="22"/>
          <w:lang w:eastAsia="en-US" w:bidi="ar-SA"/>
        </w:rPr>
        <w:t>201</w:t>
      </w:r>
      <w:r w:rsidR="00473A43" w:rsidRPr="00890249">
        <w:rPr>
          <w:rFonts w:asciiTheme="minorHAnsi" w:hAnsiTheme="minorHAnsi" w:cstheme="minorHAnsi"/>
          <w:sz w:val="22"/>
          <w:szCs w:val="22"/>
          <w:lang w:eastAsia="en-US" w:bidi="ar-SA"/>
        </w:rPr>
        <w:t>4-2020 począwszy od 2018 r.</w:t>
      </w:r>
      <w:r w:rsidR="001F7B70" w:rsidRPr="00890249">
        <w:rPr>
          <w:rFonts w:asciiTheme="minorHAnsi" w:hAnsiTheme="minorHAnsi" w:cstheme="minorHAnsi"/>
          <w:sz w:val="22"/>
          <w:szCs w:val="22"/>
          <w:lang w:eastAsia="en-US" w:bidi="ar-SA"/>
        </w:rPr>
        <w:t xml:space="preserve"> zorganizowała, bądź brała udział w ponad trzydziestu spotkaniach dot</w:t>
      </w:r>
      <w:r w:rsidR="000C3AF9" w:rsidRPr="00890249">
        <w:rPr>
          <w:rFonts w:asciiTheme="minorHAnsi" w:hAnsiTheme="minorHAnsi" w:cstheme="minorHAnsi"/>
          <w:sz w:val="22"/>
          <w:szCs w:val="22"/>
          <w:lang w:eastAsia="en-US" w:bidi="ar-SA"/>
        </w:rPr>
        <w:t>.</w:t>
      </w:r>
      <w:r w:rsidR="001F7B70" w:rsidRPr="00890249">
        <w:rPr>
          <w:rFonts w:asciiTheme="minorHAnsi" w:hAnsiTheme="minorHAnsi" w:cstheme="minorHAnsi"/>
          <w:sz w:val="22"/>
          <w:szCs w:val="22"/>
          <w:lang w:eastAsia="en-US" w:bidi="ar-SA"/>
        </w:rPr>
        <w:t xml:space="preserve">  programu regionalnego pn. </w:t>
      </w:r>
      <w:r w:rsidR="001F7B70" w:rsidRPr="00890249">
        <w:rPr>
          <w:rFonts w:asciiTheme="minorHAnsi" w:hAnsiTheme="minorHAnsi" w:cstheme="minorHAnsi"/>
          <w:i/>
          <w:sz w:val="22"/>
          <w:szCs w:val="22"/>
          <w:lang w:eastAsia="en-US" w:bidi="ar-SA"/>
        </w:rPr>
        <w:t>Fundusze Europejskie dla Opolskiego 2021-2027</w:t>
      </w:r>
      <w:r w:rsidR="001F7B70" w:rsidRPr="00890249">
        <w:rPr>
          <w:rFonts w:asciiTheme="minorHAnsi" w:hAnsiTheme="minorHAnsi" w:cstheme="minorHAnsi"/>
          <w:sz w:val="22"/>
          <w:szCs w:val="22"/>
          <w:lang w:eastAsia="en-US" w:bidi="ar-SA"/>
        </w:rPr>
        <w:t xml:space="preserve">, w których uczestniczyli przedstawiciele m.in. Opolskiego Urzędu Wojewódzkiego, </w:t>
      </w:r>
      <w:r w:rsidR="007E4109" w:rsidRPr="00890249">
        <w:rPr>
          <w:rFonts w:asciiTheme="minorHAnsi" w:hAnsiTheme="minorHAnsi" w:cstheme="minorHAnsi"/>
          <w:sz w:val="22"/>
          <w:szCs w:val="22"/>
          <w:lang w:eastAsia="en-US" w:bidi="ar-SA"/>
        </w:rPr>
        <w:t>JS</w:t>
      </w:r>
      <w:r w:rsidR="00DB76E2" w:rsidRPr="00890249">
        <w:rPr>
          <w:rFonts w:asciiTheme="minorHAnsi" w:hAnsiTheme="minorHAnsi" w:cstheme="minorHAnsi"/>
          <w:sz w:val="22"/>
          <w:szCs w:val="22"/>
          <w:lang w:eastAsia="en-US" w:bidi="ar-SA"/>
        </w:rPr>
        <w:t>T</w:t>
      </w:r>
      <w:r w:rsidR="001F7B70" w:rsidRPr="00890249">
        <w:rPr>
          <w:rFonts w:asciiTheme="minorHAnsi" w:hAnsiTheme="minorHAnsi" w:cstheme="minorHAnsi"/>
          <w:sz w:val="22"/>
          <w:szCs w:val="22"/>
          <w:lang w:eastAsia="en-US" w:bidi="ar-SA"/>
        </w:rPr>
        <w:t>, 5</w:t>
      </w:r>
      <w:r w:rsidR="00AC068F" w:rsidRPr="00890249">
        <w:rPr>
          <w:rFonts w:asciiTheme="minorHAnsi" w:hAnsiTheme="minorHAnsi" w:cstheme="minorHAnsi"/>
          <w:sz w:val="22"/>
          <w:szCs w:val="22"/>
          <w:lang w:eastAsia="en-US" w:bidi="ar-SA"/>
        </w:rPr>
        <w:t>-ciu</w:t>
      </w:r>
      <w:r w:rsidR="001F7B70" w:rsidRPr="00890249">
        <w:rPr>
          <w:rFonts w:asciiTheme="minorHAnsi" w:hAnsiTheme="minorHAnsi" w:cstheme="minorHAnsi"/>
          <w:sz w:val="22"/>
          <w:szCs w:val="22"/>
          <w:lang w:eastAsia="en-US" w:bidi="ar-SA"/>
        </w:rPr>
        <w:t xml:space="preserve"> subregionów </w:t>
      </w:r>
      <w:r w:rsidR="00255933" w:rsidRPr="00890249">
        <w:rPr>
          <w:rFonts w:asciiTheme="minorHAnsi" w:hAnsiTheme="minorHAnsi" w:cstheme="minorHAnsi"/>
          <w:sz w:val="22"/>
          <w:szCs w:val="22"/>
          <w:lang w:eastAsia="en-US" w:bidi="ar-SA"/>
        </w:rPr>
        <w:t>w</w:t>
      </w:r>
      <w:r w:rsidR="00DB76E2" w:rsidRPr="00890249">
        <w:rPr>
          <w:rFonts w:asciiTheme="minorHAnsi" w:hAnsiTheme="minorHAnsi" w:cstheme="minorHAnsi"/>
          <w:sz w:val="22"/>
          <w:szCs w:val="22"/>
          <w:lang w:eastAsia="en-US" w:bidi="ar-SA"/>
        </w:rPr>
        <w:t>oj.</w:t>
      </w:r>
      <w:r w:rsidR="001F7B70" w:rsidRPr="00890249">
        <w:rPr>
          <w:rFonts w:asciiTheme="minorHAnsi" w:hAnsiTheme="minorHAnsi" w:cstheme="minorHAnsi"/>
          <w:sz w:val="22"/>
          <w:szCs w:val="22"/>
          <w:lang w:eastAsia="en-US" w:bidi="ar-SA"/>
        </w:rPr>
        <w:t xml:space="preserve"> opolskiego, wyższych uczelni, lokalnych grup działania, Wojewódzkiej Rady Dialogu Społecznego, Wojewódz</w:t>
      </w:r>
      <w:r w:rsidR="004A0773" w:rsidRPr="00890249">
        <w:rPr>
          <w:rFonts w:asciiTheme="minorHAnsi" w:hAnsiTheme="minorHAnsi" w:cstheme="minorHAnsi"/>
          <w:sz w:val="22"/>
          <w:szCs w:val="22"/>
          <w:lang w:eastAsia="en-US" w:bidi="ar-SA"/>
        </w:rPr>
        <w:t>kiej Rady Pożytku Publicznego i </w:t>
      </w:r>
      <w:r w:rsidR="001F7B70" w:rsidRPr="00890249">
        <w:rPr>
          <w:rFonts w:asciiTheme="minorHAnsi" w:hAnsiTheme="minorHAnsi" w:cstheme="minorHAnsi"/>
          <w:sz w:val="22"/>
          <w:szCs w:val="22"/>
          <w:lang w:eastAsia="en-US" w:bidi="ar-SA"/>
        </w:rPr>
        <w:t>organizacji pozarządowych oraz Wojewódzkiej Rady Rynku Pracy. Zarówno w trakcie spotkań, jak też po spotkaniach każdy z przedstawicieli ww. podmiotów miał możliwość zgłoszenia uwag, postulatów oraz zadawania pytań.</w:t>
      </w:r>
    </w:p>
    <w:p w14:paraId="5AEBD8C8" w14:textId="2E264F06" w:rsidR="0093433C" w:rsidRPr="00890249" w:rsidRDefault="001F7B70" w:rsidP="00890249">
      <w:pPr>
        <w:pStyle w:val="Lista-kontynuacja"/>
        <w:ind w:left="0"/>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Ponadto w ramach nowej perspektywy działa Grupa doradcza ds. podejścia terytorialnego dla SRWO 2030 oraz </w:t>
      </w:r>
      <w:r w:rsidR="00E458C8" w:rsidRPr="00890249">
        <w:rPr>
          <w:rFonts w:asciiTheme="minorHAnsi" w:hAnsiTheme="minorHAnsi" w:cstheme="minorHAnsi"/>
          <w:sz w:val="22"/>
          <w:szCs w:val="22"/>
          <w:lang w:eastAsia="en-US" w:bidi="ar-SA"/>
        </w:rPr>
        <w:t>programu regionalnego</w:t>
      </w:r>
      <w:r w:rsidRPr="00890249">
        <w:rPr>
          <w:rFonts w:asciiTheme="minorHAnsi" w:hAnsiTheme="minorHAnsi" w:cstheme="minorHAnsi"/>
          <w:sz w:val="22"/>
          <w:szCs w:val="22"/>
          <w:lang w:eastAsia="en-US" w:bidi="ar-SA"/>
        </w:rPr>
        <w:t>. W jej skład wchodzą m.in. przedstawiciele 5 subregionów województwa opolskiego, Miasta Opola, Konwentu Powiatów Województwa Opolskiego, R</w:t>
      </w:r>
      <w:r w:rsidR="001C2CA5" w:rsidRPr="00890249">
        <w:rPr>
          <w:rFonts w:asciiTheme="minorHAnsi" w:hAnsiTheme="minorHAnsi" w:cstheme="minorHAnsi"/>
          <w:sz w:val="22"/>
          <w:szCs w:val="22"/>
          <w:lang w:eastAsia="en-US" w:bidi="ar-SA"/>
        </w:rPr>
        <w:t>OPS</w:t>
      </w:r>
      <w:r w:rsidR="00D26F92">
        <w:rPr>
          <w:rFonts w:asciiTheme="minorHAnsi" w:hAnsiTheme="minorHAnsi" w:cstheme="minorHAnsi"/>
          <w:sz w:val="22"/>
          <w:szCs w:val="22"/>
          <w:lang w:eastAsia="en-US" w:bidi="ar-SA"/>
        </w:rPr>
        <w:t xml:space="preserve"> w </w:t>
      </w:r>
      <w:r w:rsidRPr="00890249">
        <w:rPr>
          <w:rFonts w:asciiTheme="minorHAnsi" w:hAnsiTheme="minorHAnsi" w:cstheme="minorHAnsi"/>
          <w:sz w:val="22"/>
          <w:szCs w:val="22"/>
          <w:lang w:eastAsia="en-US" w:bidi="ar-SA"/>
        </w:rPr>
        <w:t>Opolu, W</w:t>
      </w:r>
      <w:r w:rsidR="001C2CA5" w:rsidRPr="00890249">
        <w:rPr>
          <w:rFonts w:asciiTheme="minorHAnsi" w:hAnsiTheme="minorHAnsi" w:cstheme="minorHAnsi"/>
          <w:sz w:val="22"/>
          <w:szCs w:val="22"/>
          <w:lang w:eastAsia="en-US" w:bidi="ar-SA"/>
        </w:rPr>
        <w:t>UP</w:t>
      </w:r>
      <w:r w:rsidRPr="00890249">
        <w:rPr>
          <w:rFonts w:asciiTheme="minorHAnsi" w:hAnsiTheme="minorHAnsi" w:cstheme="minorHAnsi"/>
          <w:sz w:val="22"/>
          <w:szCs w:val="22"/>
          <w:lang w:eastAsia="en-US" w:bidi="ar-SA"/>
        </w:rPr>
        <w:t xml:space="preserve"> w Opolu oraz Opolskiego Centrum Rozwoju Gospodarki.</w:t>
      </w:r>
      <w:r w:rsidR="00E458C8" w:rsidRPr="00890249">
        <w:rPr>
          <w:rFonts w:asciiTheme="minorHAnsi" w:hAnsiTheme="minorHAnsi" w:cstheme="minorHAnsi"/>
          <w:sz w:val="22"/>
          <w:szCs w:val="22"/>
          <w:lang w:eastAsia="en-US" w:bidi="ar-SA"/>
        </w:rPr>
        <w:t xml:space="preserve"> </w:t>
      </w:r>
      <w:r w:rsidR="00AC068F" w:rsidRPr="00890249">
        <w:rPr>
          <w:rFonts w:asciiTheme="minorHAnsi" w:hAnsiTheme="minorHAnsi" w:cstheme="minorHAnsi"/>
          <w:sz w:val="22"/>
          <w:szCs w:val="22"/>
          <w:lang w:eastAsia="en-US" w:bidi="ar-SA"/>
        </w:rPr>
        <w:t xml:space="preserve">Powołanie Grupy  miało na celu uspołecznienie procesu opracowania Strategii oraz Programu poprzez włączenie do prac nad dokumentami przedstawicieli społeczności lokalnych. Przedstawiciele Grupy byli </w:t>
      </w:r>
      <w:r w:rsidR="004A0773" w:rsidRPr="00890249">
        <w:rPr>
          <w:rFonts w:asciiTheme="minorHAnsi" w:hAnsiTheme="minorHAnsi" w:cstheme="minorHAnsi"/>
          <w:sz w:val="22"/>
          <w:szCs w:val="22"/>
          <w:lang w:eastAsia="en-US" w:bidi="ar-SA"/>
        </w:rPr>
        <w:t>odpowiedzialni za zwoływanie i </w:t>
      </w:r>
      <w:r w:rsidR="00AC068F" w:rsidRPr="00890249">
        <w:rPr>
          <w:rFonts w:asciiTheme="minorHAnsi" w:hAnsiTheme="minorHAnsi" w:cstheme="minorHAnsi"/>
          <w:sz w:val="22"/>
          <w:szCs w:val="22"/>
          <w:lang w:eastAsia="en-US" w:bidi="ar-SA"/>
        </w:rPr>
        <w:t>prowadzenie spotkań, a także ukierunkowanie dys</w:t>
      </w:r>
      <w:r w:rsidR="00D26F92">
        <w:rPr>
          <w:rFonts w:asciiTheme="minorHAnsi" w:hAnsiTheme="minorHAnsi" w:cstheme="minorHAnsi"/>
          <w:sz w:val="22"/>
          <w:szCs w:val="22"/>
          <w:lang w:eastAsia="en-US" w:bidi="ar-SA"/>
        </w:rPr>
        <w:t>kusji na zagadnienia kluczowe z </w:t>
      </w:r>
      <w:r w:rsidR="00AC068F" w:rsidRPr="00890249">
        <w:rPr>
          <w:rFonts w:asciiTheme="minorHAnsi" w:hAnsiTheme="minorHAnsi" w:cstheme="minorHAnsi"/>
          <w:sz w:val="22"/>
          <w:szCs w:val="22"/>
          <w:lang w:eastAsia="en-US" w:bidi="ar-SA"/>
        </w:rPr>
        <w:t>punktu widzenia ustaleń diagnozy strategicznej przygotowanej na potrzeby SRWO 2030. Efektem prac były propozycje najważniejszych kierunków działań, które przekazane zostały do zespołów działających w trzech obszarach: Społeczeństwo, Gospodarka, Środowisko.</w:t>
      </w:r>
      <w:r w:rsidR="004A0773" w:rsidRPr="00890249">
        <w:rPr>
          <w:rFonts w:asciiTheme="minorHAnsi" w:hAnsiTheme="minorHAnsi" w:cstheme="minorHAnsi"/>
          <w:sz w:val="22"/>
          <w:szCs w:val="22"/>
          <w:lang w:eastAsia="en-US" w:bidi="ar-SA"/>
        </w:rPr>
        <w:t xml:space="preserve"> </w:t>
      </w:r>
      <w:r w:rsidR="003A03D5" w:rsidRPr="00890249">
        <w:rPr>
          <w:rFonts w:asciiTheme="minorHAnsi" w:hAnsiTheme="minorHAnsi" w:cstheme="minorHAnsi"/>
          <w:sz w:val="22"/>
          <w:szCs w:val="22"/>
          <w:lang w:eastAsia="en-US" w:bidi="ar-SA"/>
        </w:rPr>
        <w:t xml:space="preserve">Kontynuowane będą dobre praktyki stosowane </w:t>
      </w:r>
      <w:r w:rsidR="00CE476F" w:rsidRPr="00890249">
        <w:rPr>
          <w:rFonts w:asciiTheme="minorHAnsi" w:hAnsiTheme="minorHAnsi" w:cstheme="minorHAnsi"/>
          <w:sz w:val="22"/>
          <w:szCs w:val="22"/>
          <w:lang w:eastAsia="en-US" w:bidi="ar-SA"/>
        </w:rPr>
        <w:t xml:space="preserve">w </w:t>
      </w:r>
      <w:r w:rsidR="00255933" w:rsidRPr="00890249">
        <w:rPr>
          <w:rFonts w:asciiTheme="minorHAnsi" w:hAnsiTheme="minorHAnsi" w:cstheme="minorHAnsi"/>
          <w:sz w:val="22"/>
          <w:szCs w:val="22"/>
          <w:lang w:eastAsia="en-US" w:bidi="ar-SA"/>
        </w:rPr>
        <w:t>w</w:t>
      </w:r>
      <w:r w:rsidR="00E923D9" w:rsidRPr="00890249">
        <w:rPr>
          <w:rFonts w:asciiTheme="minorHAnsi" w:hAnsiTheme="minorHAnsi" w:cstheme="minorHAnsi"/>
          <w:sz w:val="22"/>
          <w:szCs w:val="22"/>
          <w:lang w:eastAsia="en-US" w:bidi="ar-SA"/>
        </w:rPr>
        <w:t>oj.</w:t>
      </w:r>
      <w:r w:rsidR="00CE476F" w:rsidRPr="00890249">
        <w:rPr>
          <w:rFonts w:asciiTheme="minorHAnsi" w:hAnsiTheme="minorHAnsi" w:cstheme="minorHAnsi"/>
          <w:sz w:val="22"/>
          <w:szCs w:val="22"/>
          <w:lang w:eastAsia="en-US" w:bidi="ar-SA"/>
        </w:rPr>
        <w:t xml:space="preserve"> opolskim z okresu 2007-</w:t>
      </w:r>
      <w:r w:rsidR="003A03D5" w:rsidRPr="00890249">
        <w:rPr>
          <w:rFonts w:asciiTheme="minorHAnsi" w:hAnsiTheme="minorHAnsi" w:cstheme="minorHAnsi"/>
          <w:sz w:val="22"/>
          <w:szCs w:val="22"/>
          <w:lang w:eastAsia="en-US" w:bidi="ar-SA"/>
        </w:rPr>
        <w:t>2013 oraz 2014-2020,</w:t>
      </w:r>
      <w:r w:rsidR="00CE476F" w:rsidRPr="00890249">
        <w:rPr>
          <w:rFonts w:asciiTheme="minorHAnsi" w:hAnsiTheme="minorHAnsi" w:cstheme="minorHAnsi"/>
          <w:sz w:val="22"/>
          <w:szCs w:val="22"/>
          <w:lang w:eastAsia="en-US" w:bidi="ar-SA"/>
        </w:rPr>
        <w:t xml:space="preserve"> które</w:t>
      </w:r>
      <w:r w:rsidR="004A0773" w:rsidRPr="00890249">
        <w:rPr>
          <w:rFonts w:asciiTheme="minorHAnsi" w:hAnsiTheme="minorHAnsi" w:cstheme="minorHAnsi"/>
          <w:sz w:val="22"/>
          <w:szCs w:val="22"/>
          <w:lang w:eastAsia="en-US" w:bidi="ar-SA"/>
        </w:rPr>
        <w:t xml:space="preserve"> zostały </w:t>
      </w:r>
      <w:r w:rsidR="00E923D9" w:rsidRPr="00890249">
        <w:rPr>
          <w:rFonts w:asciiTheme="minorHAnsi" w:hAnsiTheme="minorHAnsi" w:cstheme="minorHAnsi"/>
          <w:sz w:val="22"/>
          <w:szCs w:val="22"/>
          <w:lang w:eastAsia="en-US" w:bidi="ar-SA"/>
        </w:rPr>
        <w:t xml:space="preserve"> </w:t>
      </w:r>
      <w:r w:rsidR="003A03D5" w:rsidRPr="00890249">
        <w:rPr>
          <w:rFonts w:asciiTheme="minorHAnsi" w:hAnsiTheme="minorHAnsi" w:cstheme="minorHAnsi"/>
          <w:sz w:val="22"/>
          <w:szCs w:val="22"/>
          <w:lang w:eastAsia="en-US" w:bidi="ar-SA"/>
        </w:rPr>
        <w:t xml:space="preserve">pozytywnie </w:t>
      </w:r>
      <w:r w:rsidR="00CE476F" w:rsidRPr="00890249">
        <w:rPr>
          <w:rFonts w:asciiTheme="minorHAnsi" w:hAnsiTheme="minorHAnsi" w:cstheme="minorHAnsi"/>
          <w:sz w:val="22"/>
          <w:szCs w:val="22"/>
          <w:lang w:eastAsia="en-US" w:bidi="ar-SA"/>
        </w:rPr>
        <w:t xml:space="preserve">ocenione na poziomie kraju. W 2012 roku KM RPO WO </w:t>
      </w:r>
      <w:r w:rsidR="00E923D9" w:rsidRPr="00890249">
        <w:rPr>
          <w:rFonts w:asciiTheme="minorHAnsi" w:hAnsiTheme="minorHAnsi" w:cstheme="minorHAnsi"/>
          <w:sz w:val="22"/>
          <w:szCs w:val="22"/>
          <w:lang w:eastAsia="en-US" w:bidi="ar-SA"/>
        </w:rPr>
        <w:t>uznano</w:t>
      </w:r>
      <w:r w:rsidR="003A03D5" w:rsidRPr="00890249">
        <w:rPr>
          <w:rFonts w:asciiTheme="minorHAnsi" w:hAnsiTheme="minorHAnsi" w:cstheme="minorHAnsi"/>
          <w:sz w:val="22"/>
          <w:szCs w:val="22"/>
          <w:lang w:eastAsia="en-US" w:bidi="ar-SA"/>
        </w:rPr>
        <w:t xml:space="preserve"> za najbardziej partnerski </w:t>
      </w:r>
      <w:r w:rsidR="00E923D9" w:rsidRPr="00890249">
        <w:rPr>
          <w:rFonts w:asciiTheme="minorHAnsi" w:hAnsiTheme="minorHAnsi" w:cstheme="minorHAnsi"/>
          <w:sz w:val="22"/>
          <w:szCs w:val="22"/>
          <w:lang w:eastAsia="en-US" w:bidi="ar-SA"/>
        </w:rPr>
        <w:t>KM</w:t>
      </w:r>
      <w:r w:rsidR="00CE476F" w:rsidRPr="00890249">
        <w:rPr>
          <w:rFonts w:asciiTheme="minorHAnsi" w:hAnsiTheme="minorHAnsi" w:cstheme="minorHAnsi"/>
          <w:sz w:val="22"/>
          <w:szCs w:val="22"/>
          <w:lang w:eastAsia="en-US" w:bidi="ar-SA"/>
        </w:rPr>
        <w:t xml:space="preserve"> w konkursie organizowanym przez Krajową sieć tematyc</w:t>
      </w:r>
      <w:r w:rsidR="003A03D5" w:rsidRPr="00890249">
        <w:rPr>
          <w:rFonts w:asciiTheme="minorHAnsi" w:hAnsiTheme="minorHAnsi" w:cstheme="minorHAnsi"/>
          <w:sz w:val="22"/>
          <w:szCs w:val="22"/>
          <w:lang w:eastAsia="en-US" w:bidi="ar-SA"/>
        </w:rPr>
        <w:t xml:space="preserve">zną ds. partnerstwa wraz z MRR. </w:t>
      </w:r>
      <w:r w:rsidR="00763577" w:rsidRPr="00890249">
        <w:rPr>
          <w:rFonts w:asciiTheme="minorHAnsi" w:hAnsiTheme="minorHAnsi" w:cstheme="minorHAnsi"/>
          <w:sz w:val="22"/>
          <w:szCs w:val="22"/>
          <w:lang w:eastAsia="en-US" w:bidi="ar-SA"/>
        </w:rPr>
        <w:t xml:space="preserve">KM FEO 2021-2027, zgodnie z art. 38 ust 1 Rozporządzenia ogólnego </w:t>
      </w:r>
      <w:r w:rsidR="001C2CA5" w:rsidRPr="00890249">
        <w:rPr>
          <w:rFonts w:asciiTheme="minorHAnsi" w:hAnsiTheme="minorHAnsi" w:cstheme="minorHAnsi"/>
          <w:sz w:val="22"/>
          <w:szCs w:val="22"/>
          <w:lang w:eastAsia="en-US" w:bidi="ar-SA"/>
        </w:rPr>
        <w:t>zostanie powołany w ciągu 3</w:t>
      </w:r>
      <w:r w:rsidR="00763577" w:rsidRPr="00890249">
        <w:rPr>
          <w:rFonts w:asciiTheme="minorHAnsi" w:hAnsiTheme="minorHAnsi" w:cstheme="minorHAnsi"/>
          <w:sz w:val="22"/>
          <w:szCs w:val="22"/>
          <w:lang w:eastAsia="en-US" w:bidi="ar-SA"/>
        </w:rPr>
        <w:t xml:space="preserve"> mie</w:t>
      </w:r>
      <w:r w:rsidR="001C2CA5" w:rsidRPr="00890249">
        <w:rPr>
          <w:rFonts w:asciiTheme="minorHAnsi" w:hAnsiTheme="minorHAnsi" w:cstheme="minorHAnsi"/>
          <w:sz w:val="22"/>
          <w:szCs w:val="22"/>
          <w:lang w:eastAsia="en-US" w:bidi="ar-SA"/>
        </w:rPr>
        <w:t>sięcy od daty decyzji dot.</w:t>
      </w:r>
      <w:r w:rsidR="00763577" w:rsidRPr="00890249">
        <w:rPr>
          <w:rFonts w:asciiTheme="minorHAnsi" w:hAnsiTheme="minorHAnsi" w:cstheme="minorHAnsi"/>
          <w:sz w:val="22"/>
          <w:szCs w:val="22"/>
          <w:lang w:eastAsia="en-US" w:bidi="ar-SA"/>
        </w:rPr>
        <w:t xml:space="preserve"> przyjęcia Programu przez KE. Proces ustalani</w:t>
      </w:r>
      <w:r w:rsidR="000C3AF9" w:rsidRPr="00890249">
        <w:rPr>
          <w:rFonts w:asciiTheme="minorHAnsi" w:hAnsiTheme="minorHAnsi" w:cstheme="minorHAnsi"/>
          <w:sz w:val="22"/>
          <w:szCs w:val="22"/>
          <w:lang w:eastAsia="en-US" w:bidi="ar-SA"/>
        </w:rPr>
        <w:t>a składu KM</w:t>
      </w:r>
      <w:r w:rsidR="00D26F92">
        <w:rPr>
          <w:rFonts w:asciiTheme="minorHAnsi" w:hAnsiTheme="minorHAnsi" w:cstheme="minorHAnsi"/>
          <w:sz w:val="22"/>
          <w:szCs w:val="22"/>
          <w:lang w:eastAsia="en-US" w:bidi="ar-SA"/>
        </w:rPr>
        <w:t xml:space="preserve"> będzie prowadzony w </w:t>
      </w:r>
      <w:r w:rsidR="00763577" w:rsidRPr="00890249">
        <w:rPr>
          <w:rFonts w:asciiTheme="minorHAnsi" w:hAnsiTheme="minorHAnsi" w:cstheme="minorHAnsi"/>
          <w:sz w:val="22"/>
          <w:szCs w:val="22"/>
          <w:lang w:eastAsia="en-US" w:bidi="ar-SA"/>
        </w:rPr>
        <w:t xml:space="preserve">porozumieniu z instytucjami reprezentującymi odpowiednie typy partnerów z poszanowaniem zasady zrównoważonej reprezentacji i przejrzystości. W skład KM planuje się zaangażować przedstawicieli strony </w:t>
      </w:r>
      <w:r w:rsidR="00E91526" w:rsidRPr="00890249">
        <w:rPr>
          <w:rFonts w:asciiTheme="minorHAnsi" w:hAnsiTheme="minorHAnsi" w:cstheme="minorHAnsi"/>
          <w:sz w:val="22"/>
          <w:szCs w:val="22"/>
          <w:lang w:eastAsia="en-US" w:bidi="ar-SA"/>
        </w:rPr>
        <w:t>rządowej</w:t>
      </w:r>
      <w:r w:rsidR="007059C2" w:rsidRPr="00890249">
        <w:rPr>
          <w:rFonts w:asciiTheme="minorHAnsi" w:hAnsiTheme="minorHAnsi" w:cstheme="minorHAnsi"/>
          <w:sz w:val="22"/>
          <w:szCs w:val="22"/>
          <w:lang w:eastAsia="en-US" w:bidi="ar-SA"/>
        </w:rPr>
        <w:t xml:space="preserve"> </w:t>
      </w:r>
      <w:r w:rsidR="00763577" w:rsidRPr="00890249">
        <w:rPr>
          <w:rFonts w:asciiTheme="minorHAnsi" w:hAnsiTheme="minorHAnsi" w:cstheme="minorHAnsi"/>
          <w:sz w:val="22"/>
          <w:szCs w:val="22"/>
          <w:lang w:eastAsia="en-US" w:bidi="ar-SA"/>
        </w:rPr>
        <w:t xml:space="preserve">samorządowej, </w:t>
      </w:r>
      <w:r w:rsidR="004D1C75" w:rsidRPr="00890249">
        <w:rPr>
          <w:rFonts w:asciiTheme="minorHAnsi" w:hAnsiTheme="minorHAnsi" w:cstheme="minorHAnsi"/>
          <w:sz w:val="22"/>
          <w:szCs w:val="22"/>
          <w:lang w:eastAsia="en-US" w:bidi="ar-SA"/>
        </w:rPr>
        <w:t>partnerów społecznych i gospodarczych oraz podmiotów reprezentujących społeczeństwo obywatelskie, w tym organizacji pozarządowych działających na rzecz reprezentantów mniejszości, w tym etnicznych</w:t>
      </w:r>
      <w:r w:rsidR="00763577" w:rsidRPr="00890249">
        <w:rPr>
          <w:rFonts w:asciiTheme="minorHAnsi" w:hAnsiTheme="minorHAnsi" w:cstheme="minorHAnsi"/>
          <w:sz w:val="22"/>
          <w:szCs w:val="22"/>
          <w:lang w:eastAsia="en-US" w:bidi="ar-SA"/>
        </w:rPr>
        <w:t xml:space="preserve"> W pracach będą brać również udział obserwatorzy i przeds</w:t>
      </w:r>
      <w:r w:rsidR="004D1C75" w:rsidRPr="00890249">
        <w:rPr>
          <w:rFonts w:asciiTheme="minorHAnsi" w:hAnsiTheme="minorHAnsi" w:cstheme="minorHAnsi"/>
          <w:sz w:val="22"/>
          <w:szCs w:val="22"/>
          <w:lang w:eastAsia="en-US" w:bidi="ar-SA"/>
        </w:rPr>
        <w:t>tawiciele K</w:t>
      </w:r>
      <w:r w:rsidR="00E923D9" w:rsidRPr="00890249">
        <w:rPr>
          <w:rFonts w:asciiTheme="minorHAnsi" w:hAnsiTheme="minorHAnsi" w:cstheme="minorHAnsi"/>
          <w:sz w:val="22"/>
          <w:szCs w:val="22"/>
          <w:lang w:eastAsia="en-US" w:bidi="ar-SA"/>
        </w:rPr>
        <w:t>E</w:t>
      </w:r>
      <w:r w:rsidR="004D1C75" w:rsidRPr="00890249">
        <w:rPr>
          <w:rFonts w:asciiTheme="minorHAnsi" w:hAnsiTheme="minorHAnsi" w:cstheme="minorHAnsi"/>
          <w:sz w:val="22"/>
          <w:szCs w:val="22"/>
          <w:lang w:eastAsia="en-US" w:bidi="ar-SA"/>
        </w:rPr>
        <w:t xml:space="preserve">. </w:t>
      </w:r>
      <w:r w:rsidR="00763577" w:rsidRPr="00890249">
        <w:rPr>
          <w:rFonts w:asciiTheme="minorHAnsi" w:hAnsiTheme="minorHAnsi" w:cstheme="minorHAnsi"/>
          <w:sz w:val="22"/>
          <w:szCs w:val="22"/>
          <w:lang w:eastAsia="en-US" w:bidi="ar-SA"/>
        </w:rPr>
        <w:t>Obywatelska część K</w:t>
      </w:r>
      <w:r w:rsidR="00E923D9" w:rsidRPr="00890249">
        <w:rPr>
          <w:rFonts w:asciiTheme="minorHAnsi" w:hAnsiTheme="minorHAnsi" w:cstheme="minorHAnsi"/>
          <w:sz w:val="22"/>
          <w:szCs w:val="22"/>
          <w:lang w:eastAsia="en-US" w:bidi="ar-SA"/>
        </w:rPr>
        <w:t>M</w:t>
      </w:r>
      <w:r w:rsidR="00763577" w:rsidRPr="00890249">
        <w:rPr>
          <w:rFonts w:asciiTheme="minorHAnsi" w:hAnsiTheme="minorHAnsi" w:cstheme="minorHAnsi"/>
          <w:sz w:val="22"/>
          <w:szCs w:val="22"/>
          <w:lang w:eastAsia="en-US" w:bidi="ar-SA"/>
        </w:rPr>
        <w:t xml:space="preserve"> będzie realizowana poprzez przeprowadzenie przejrzystego i bezstronnego procesu wyłaniania swoich przedstawicieli między sobą, co zagwarantuje szeroki udział organizacji</w:t>
      </w:r>
      <w:r w:rsidR="009E0297" w:rsidRPr="00890249">
        <w:rPr>
          <w:rFonts w:asciiTheme="minorHAnsi" w:hAnsiTheme="minorHAnsi" w:cstheme="minorHAnsi"/>
          <w:sz w:val="22"/>
          <w:szCs w:val="22"/>
          <w:lang w:eastAsia="en-US" w:bidi="ar-SA"/>
        </w:rPr>
        <w:t>.</w:t>
      </w:r>
      <w:r w:rsidR="007059C2" w:rsidRPr="00890249">
        <w:rPr>
          <w:rFonts w:asciiTheme="minorHAnsi" w:hAnsiTheme="minorHAnsi" w:cstheme="minorHAnsi"/>
          <w:sz w:val="22"/>
          <w:szCs w:val="22"/>
          <w:lang w:eastAsia="en-US" w:bidi="ar-SA"/>
        </w:rPr>
        <w:t xml:space="preserve"> </w:t>
      </w:r>
      <w:r w:rsidR="009E0297" w:rsidRPr="00890249">
        <w:rPr>
          <w:rFonts w:asciiTheme="minorHAnsi" w:hAnsiTheme="minorHAnsi" w:cstheme="minorHAnsi"/>
          <w:sz w:val="22"/>
          <w:szCs w:val="22"/>
          <w:lang w:eastAsia="en-US" w:bidi="ar-SA"/>
        </w:rPr>
        <w:t>L</w:t>
      </w:r>
      <w:r w:rsidR="00763577" w:rsidRPr="00890249">
        <w:rPr>
          <w:rFonts w:asciiTheme="minorHAnsi" w:hAnsiTheme="minorHAnsi" w:cstheme="minorHAnsi"/>
          <w:sz w:val="22"/>
          <w:szCs w:val="22"/>
          <w:lang w:eastAsia="en-US" w:bidi="ar-SA"/>
        </w:rPr>
        <w:t>iczba przedstawicieli części obywatelskiej nie powinna być mniejsza niż liczba partnerów społecznych i gospodarczych łącznie. Przestrzeganie Karty praw podstawowych będzie monitorowane przez cały okres programowania. Pomoc techniczna będzie finansować działania w celu zapewnienia skutecznej realizacji zasad horyzontalnych. W trakcie wyłaniania składu K</w:t>
      </w:r>
      <w:r w:rsidR="00E923D9" w:rsidRPr="00890249">
        <w:rPr>
          <w:rFonts w:asciiTheme="minorHAnsi" w:hAnsiTheme="minorHAnsi" w:cstheme="minorHAnsi"/>
          <w:sz w:val="22"/>
          <w:szCs w:val="22"/>
          <w:lang w:eastAsia="en-US" w:bidi="ar-SA"/>
        </w:rPr>
        <w:t>M</w:t>
      </w:r>
      <w:r w:rsidR="00763577" w:rsidRPr="00890249">
        <w:rPr>
          <w:rFonts w:asciiTheme="minorHAnsi" w:hAnsiTheme="minorHAnsi" w:cstheme="minorHAnsi"/>
          <w:sz w:val="22"/>
          <w:szCs w:val="22"/>
          <w:lang w:eastAsia="en-US" w:bidi="ar-SA"/>
        </w:rPr>
        <w:t xml:space="preserve"> zostanie zapewnione zaangażowanie organizacji społecznych zajmujących się problematyką równości w prace </w:t>
      </w:r>
      <w:r w:rsidR="00E923D9" w:rsidRPr="00890249">
        <w:rPr>
          <w:rFonts w:asciiTheme="minorHAnsi" w:hAnsiTheme="minorHAnsi" w:cstheme="minorHAnsi"/>
          <w:sz w:val="22"/>
          <w:szCs w:val="22"/>
          <w:lang w:eastAsia="en-US" w:bidi="ar-SA"/>
        </w:rPr>
        <w:t>KM</w:t>
      </w:r>
      <w:r w:rsidR="00763577" w:rsidRPr="00890249">
        <w:rPr>
          <w:rFonts w:asciiTheme="minorHAnsi" w:hAnsiTheme="minorHAnsi" w:cstheme="minorHAnsi"/>
          <w:sz w:val="22"/>
          <w:szCs w:val="22"/>
          <w:lang w:eastAsia="en-US" w:bidi="ar-SA"/>
        </w:rPr>
        <w:t xml:space="preserve"> dla każdego z warunków określonych w rozporządzeniu ogólnym.</w:t>
      </w:r>
    </w:p>
    <w:p w14:paraId="120B75D8" w14:textId="77777777" w:rsidR="000D7DC2" w:rsidRPr="00890249" w:rsidRDefault="000D7DC2" w:rsidP="000D7DC2">
      <w:pPr>
        <w:pStyle w:val="Lista-kontynuacja"/>
        <w:ind w:left="0"/>
        <w:rPr>
          <w:rFonts w:asciiTheme="minorHAnsi" w:hAnsiTheme="minorHAnsi" w:cstheme="minorHAnsi"/>
          <w:sz w:val="22"/>
          <w:szCs w:val="22"/>
          <w:lang w:eastAsia="en-US" w:bidi="ar-SA"/>
        </w:rPr>
      </w:pPr>
    </w:p>
    <w:p w14:paraId="68169514" w14:textId="218A5374" w:rsidR="0093433C" w:rsidRPr="00890249" w:rsidRDefault="00763577" w:rsidP="00890249">
      <w:pPr>
        <w:pStyle w:val="Lista-kontynuacja"/>
        <w:ind w:left="0"/>
        <w:rPr>
          <w:rFonts w:asciiTheme="minorHAnsi" w:hAnsiTheme="minorHAnsi" w:cstheme="minorHAnsi"/>
          <w:sz w:val="22"/>
          <w:szCs w:val="22"/>
          <w:lang w:eastAsia="en-US" w:bidi="ar-SA"/>
        </w:rPr>
      </w:pPr>
      <w:r w:rsidRPr="00890249">
        <w:rPr>
          <w:rFonts w:asciiTheme="minorHAnsi" w:eastAsiaTheme="minorHAnsi" w:hAnsiTheme="minorHAnsi" w:cstheme="minorHAnsi"/>
          <w:i/>
          <w:iCs/>
          <w:sz w:val="22"/>
          <w:szCs w:val="22"/>
          <w:lang w:eastAsia="en-US" w:bidi="ar-SA"/>
        </w:rPr>
        <w:t>Szczegółowe zadania KM FEO 2021-2027 zostaną określone w jego regulaminie prac.</w:t>
      </w:r>
    </w:p>
    <w:p w14:paraId="44298295" w14:textId="02BF0E33" w:rsidR="0093433C" w:rsidRPr="00890249" w:rsidRDefault="65B665AB" w:rsidP="00890249">
      <w:pPr>
        <w:pStyle w:val="Tekstpodstawowy"/>
        <w:rPr>
          <w:rFonts w:asciiTheme="minorHAnsi" w:hAnsiTheme="minorHAnsi" w:cstheme="minorHAnsi"/>
          <w:b/>
          <w:bCs/>
          <w:sz w:val="22"/>
          <w:szCs w:val="22"/>
          <w:lang w:eastAsia="en-US"/>
        </w:rPr>
      </w:pPr>
      <w:r w:rsidRPr="00890249">
        <w:rPr>
          <w:rFonts w:asciiTheme="minorHAnsi" w:hAnsiTheme="minorHAnsi" w:cstheme="minorHAnsi"/>
          <w:sz w:val="22"/>
          <w:szCs w:val="22"/>
          <w:lang w:eastAsia="en-US"/>
        </w:rPr>
        <w:lastRenderedPageBreak/>
        <w:t xml:space="preserve">W </w:t>
      </w:r>
      <w:r w:rsidR="7DCC41C9" w:rsidRPr="00890249">
        <w:rPr>
          <w:rFonts w:asciiTheme="minorHAnsi" w:hAnsiTheme="minorHAnsi" w:cstheme="minorHAnsi"/>
          <w:sz w:val="22"/>
          <w:szCs w:val="22"/>
          <w:lang w:eastAsia="en-US"/>
        </w:rPr>
        <w:t>regionie przeprowadzono konsultacje społeczne projektu Programu oraz konsultacje projektu Prognozy oddziaływania na środowisko FEO 2021-2027</w:t>
      </w:r>
      <w:r w:rsidR="2672DC29" w:rsidRPr="00890249">
        <w:rPr>
          <w:rFonts w:asciiTheme="minorHAnsi" w:hAnsiTheme="minorHAnsi" w:cstheme="minorHAnsi"/>
          <w:sz w:val="22"/>
          <w:szCs w:val="22"/>
          <w:lang w:eastAsia="en-US"/>
        </w:rPr>
        <w:t>. Zgodnie z wymogami K</w:t>
      </w:r>
      <w:r w:rsidR="00E923D9" w:rsidRPr="00890249">
        <w:rPr>
          <w:rFonts w:asciiTheme="minorHAnsi" w:hAnsiTheme="minorHAnsi" w:cstheme="minorHAnsi"/>
          <w:sz w:val="22"/>
          <w:szCs w:val="22"/>
          <w:lang w:eastAsia="en-US"/>
        </w:rPr>
        <w:t>E</w:t>
      </w:r>
      <w:r w:rsidR="2672DC29" w:rsidRPr="00890249">
        <w:rPr>
          <w:rFonts w:asciiTheme="minorHAnsi" w:hAnsiTheme="minorHAnsi" w:cstheme="minorHAnsi"/>
          <w:sz w:val="22"/>
          <w:szCs w:val="22"/>
          <w:lang w:eastAsia="en-US"/>
        </w:rPr>
        <w:t xml:space="preserve"> państwa członkowskie są zobowiązane do zapewnienia partnerstwa w procesie m.in. przygotowania programów finansowanych z funduszy europejskich, co</w:t>
      </w:r>
      <w:r w:rsidR="245DC086" w:rsidRPr="00890249">
        <w:rPr>
          <w:rFonts w:asciiTheme="minorHAnsi" w:hAnsiTheme="minorHAnsi" w:cstheme="minorHAnsi"/>
          <w:sz w:val="22"/>
          <w:szCs w:val="22"/>
          <w:lang w:eastAsia="en-US"/>
        </w:rPr>
        <w:t xml:space="preserve"> zostało szczegółowo wskazane w </w:t>
      </w:r>
      <w:r w:rsidR="2672DC29" w:rsidRPr="00890249">
        <w:rPr>
          <w:rFonts w:asciiTheme="minorHAnsi" w:hAnsiTheme="minorHAnsi" w:cstheme="minorHAnsi"/>
          <w:sz w:val="22"/>
          <w:szCs w:val="22"/>
          <w:lang w:eastAsia="en-US"/>
        </w:rPr>
        <w:t>Rozporządzeniu delegowanym Komisji (UE)</w:t>
      </w:r>
      <w:r w:rsidR="00645473" w:rsidRPr="00890249">
        <w:rPr>
          <w:rStyle w:val="Odwoanieprzypisudolnego"/>
          <w:rFonts w:asciiTheme="minorHAnsi" w:eastAsiaTheme="minorEastAsia" w:hAnsiTheme="minorHAnsi" w:cstheme="minorHAnsi"/>
          <w:sz w:val="22"/>
          <w:szCs w:val="22"/>
          <w:lang w:eastAsia="en-US"/>
        </w:rPr>
        <w:footnoteReference w:id="253"/>
      </w:r>
      <w:r w:rsidR="2672DC29" w:rsidRPr="00890249">
        <w:rPr>
          <w:rFonts w:asciiTheme="minorHAnsi" w:hAnsiTheme="minorHAnsi" w:cstheme="minorHAnsi"/>
          <w:sz w:val="22"/>
          <w:szCs w:val="22"/>
          <w:lang w:eastAsia="en-US"/>
        </w:rPr>
        <w:t xml:space="preserve">. </w:t>
      </w:r>
      <w:r w:rsidR="2672DC29" w:rsidRPr="00890249">
        <w:rPr>
          <w:rFonts w:asciiTheme="minorHAnsi" w:hAnsiTheme="minorHAnsi" w:cstheme="minorHAnsi"/>
          <w:sz w:val="22"/>
          <w:szCs w:val="22"/>
        </w:rPr>
        <w:t xml:space="preserve">Konieczność przeprowadzenia konsultacji społecznych projektu programu regionalnego z JST oraz partnerami społecznymi i gospodarczymi została określona w </w:t>
      </w:r>
      <w:r w:rsidRPr="00890249">
        <w:rPr>
          <w:rFonts w:asciiTheme="minorHAnsi" w:hAnsiTheme="minorHAnsi" w:cstheme="minorHAnsi"/>
          <w:sz w:val="22"/>
          <w:szCs w:val="22"/>
        </w:rPr>
        <w:t>ustawie</w:t>
      </w:r>
      <w:r w:rsidR="00645473" w:rsidRPr="00890249">
        <w:rPr>
          <w:rStyle w:val="Odwoanieprzypisudolnego"/>
          <w:rFonts w:asciiTheme="minorHAnsi" w:eastAsiaTheme="minorEastAsia" w:hAnsiTheme="minorHAnsi" w:cstheme="minorHAnsi"/>
          <w:sz w:val="22"/>
          <w:szCs w:val="22"/>
        </w:rPr>
        <w:footnoteReference w:id="254"/>
      </w:r>
      <w:r w:rsidRPr="00890249">
        <w:rPr>
          <w:rFonts w:asciiTheme="minorHAnsi" w:hAnsiTheme="minorHAnsi" w:cstheme="minorHAnsi"/>
          <w:sz w:val="22"/>
          <w:szCs w:val="22"/>
        </w:rPr>
        <w:t>.</w:t>
      </w:r>
      <w:r w:rsidR="2672DC29" w:rsidRPr="00890249">
        <w:rPr>
          <w:rFonts w:asciiTheme="minorHAnsi" w:hAnsiTheme="minorHAnsi" w:cstheme="minorHAnsi"/>
          <w:sz w:val="22"/>
          <w:szCs w:val="22"/>
        </w:rPr>
        <w:t xml:space="preserve"> Realizując ten zapis oraz zasadę partnerstwa ZWO przyjął, że zapisy Programu powinno współtworzyć, a następnie oceniać, jak najwięcej środowisk zainteresowanych rozwojem regionu. </w:t>
      </w:r>
      <w:r w:rsidR="75C08CD0" w:rsidRPr="00890249">
        <w:rPr>
          <w:rFonts w:asciiTheme="minorHAnsi" w:hAnsiTheme="minorHAnsi" w:cstheme="minorHAnsi"/>
          <w:sz w:val="22"/>
          <w:szCs w:val="22"/>
          <w:lang w:eastAsia="en-US"/>
        </w:rPr>
        <w:t>Konsultacje społeczne miały</w:t>
      </w:r>
      <w:r w:rsidR="75C08CD0" w:rsidRPr="00890249">
        <w:rPr>
          <w:rFonts w:asciiTheme="minorHAnsi" w:hAnsiTheme="minorHAnsi" w:cstheme="minorHAnsi"/>
          <w:b/>
          <w:bCs/>
          <w:sz w:val="22"/>
          <w:szCs w:val="22"/>
          <w:lang w:eastAsia="en-US"/>
        </w:rPr>
        <w:t xml:space="preserve"> </w:t>
      </w:r>
      <w:r w:rsidR="75C08CD0" w:rsidRPr="00890249">
        <w:rPr>
          <w:rFonts w:asciiTheme="minorHAnsi" w:hAnsiTheme="minorHAnsi" w:cstheme="minorHAnsi"/>
          <w:sz w:val="22"/>
          <w:szCs w:val="22"/>
          <w:lang w:eastAsia="en-US"/>
        </w:rPr>
        <w:t>charakter otwarty.</w:t>
      </w:r>
      <w:r w:rsidR="75C08CD0" w:rsidRPr="00890249">
        <w:rPr>
          <w:rFonts w:asciiTheme="minorHAnsi" w:hAnsiTheme="minorHAnsi" w:cstheme="minorHAnsi"/>
          <w:b/>
          <w:bCs/>
          <w:sz w:val="22"/>
          <w:szCs w:val="22"/>
          <w:lang w:eastAsia="en-US"/>
        </w:rPr>
        <w:t xml:space="preserve"> </w:t>
      </w:r>
      <w:r w:rsidR="75C08CD0" w:rsidRPr="00890249">
        <w:rPr>
          <w:rFonts w:asciiTheme="minorHAnsi" w:hAnsiTheme="minorHAnsi" w:cstheme="minorHAnsi"/>
          <w:sz w:val="22"/>
          <w:szCs w:val="22"/>
          <w:lang w:eastAsia="en-US"/>
        </w:rPr>
        <w:t>Do aktywnego udziału w tym procesie zaproszono m.in.: przedstawicieli administracji rządowej,</w:t>
      </w:r>
      <w:r w:rsidRPr="00890249">
        <w:rPr>
          <w:rFonts w:asciiTheme="minorHAnsi" w:hAnsiTheme="minorHAnsi" w:cstheme="minorHAnsi"/>
          <w:sz w:val="22"/>
          <w:szCs w:val="22"/>
          <w:lang w:eastAsia="en-US"/>
        </w:rPr>
        <w:t xml:space="preserve"> europosłów,</w:t>
      </w:r>
      <w:r w:rsidR="75C08CD0" w:rsidRPr="00890249">
        <w:rPr>
          <w:rFonts w:asciiTheme="minorHAnsi" w:hAnsiTheme="minorHAnsi" w:cstheme="minorHAnsi"/>
          <w:sz w:val="22"/>
          <w:szCs w:val="22"/>
          <w:lang w:eastAsia="en-US"/>
        </w:rPr>
        <w:t xml:space="preserve"> posłów oraz senatorów RP, radnych </w:t>
      </w:r>
      <w:r w:rsidR="00255933" w:rsidRPr="00890249">
        <w:rPr>
          <w:rFonts w:asciiTheme="minorHAnsi" w:hAnsiTheme="minorHAnsi" w:cstheme="minorHAnsi"/>
          <w:sz w:val="22"/>
          <w:szCs w:val="22"/>
          <w:lang w:eastAsia="en-US"/>
        </w:rPr>
        <w:t>w</w:t>
      </w:r>
      <w:r w:rsidR="00E923D9" w:rsidRPr="00890249">
        <w:rPr>
          <w:rFonts w:asciiTheme="minorHAnsi" w:hAnsiTheme="minorHAnsi" w:cstheme="minorHAnsi"/>
          <w:sz w:val="22"/>
          <w:szCs w:val="22"/>
          <w:lang w:eastAsia="en-US"/>
        </w:rPr>
        <w:t>oj.</w:t>
      </w:r>
      <w:r w:rsidR="75C08CD0" w:rsidRPr="00890249">
        <w:rPr>
          <w:rFonts w:asciiTheme="minorHAnsi" w:hAnsiTheme="minorHAnsi" w:cstheme="minorHAnsi"/>
          <w:sz w:val="22"/>
          <w:szCs w:val="22"/>
          <w:lang w:eastAsia="en-US"/>
        </w:rPr>
        <w:t xml:space="preserve"> opolskiego,</w:t>
      </w:r>
      <w:r w:rsidR="2672DC29" w:rsidRPr="00890249">
        <w:rPr>
          <w:rFonts w:asciiTheme="minorHAnsi" w:hAnsiTheme="minorHAnsi" w:cstheme="minorHAnsi"/>
          <w:sz w:val="22"/>
          <w:szCs w:val="22"/>
          <w:lang w:eastAsia="en-US"/>
        </w:rPr>
        <w:t xml:space="preserve"> </w:t>
      </w:r>
      <w:r w:rsidR="75C08CD0" w:rsidRPr="00890249">
        <w:rPr>
          <w:rFonts w:asciiTheme="minorHAnsi" w:hAnsiTheme="minorHAnsi" w:cstheme="minorHAnsi"/>
          <w:sz w:val="22"/>
          <w:szCs w:val="22"/>
          <w:lang w:eastAsia="en-US"/>
        </w:rPr>
        <w:t xml:space="preserve">przedstawicieli </w:t>
      </w:r>
      <w:r w:rsidR="000C3AF9" w:rsidRPr="00890249">
        <w:rPr>
          <w:rFonts w:asciiTheme="minorHAnsi" w:hAnsiTheme="minorHAnsi" w:cstheme="minorHAnsi"/>
          <w:sz w:val="22"/>
          <w:szCs w:val="22"/>
          <w:lang w:eastAsia="en-US"/>
        </w:rPr>
        <w:t>JST</w:t>
      </w:r>
      <w:r w:rsidR="2672DC29" w:rsidRPr="00890249">
        <w:rPr>
          <w:rFonts w:asciiTheme="minorHAnsi" w:hAnsiTheme="minorHAnsi" w:cstheme="minorHAnsi"/>
          <w:sz w:val="22"/>
          <w:szCs w:val="22"/>
          <w:lang w:eastAsia="en-US"/>
        </w:rPr>
        <w:t xml:space="preserve">, </w:t>
      </w:r>
      <w:r w:rsidR="75C08CD0" w:rsidRPr="00890249">
        <w:rPr>
          <w:rFonts w:asciiTheme="minorHAnsi" w:hAnsiTheme="minorHAnsi" w:cstheme="minorHAnsi"/>
          <w:sz w:val="22"/>
          <w:szCs w:val="22"/>
          <w:lang w:eastAsia="en-US"/>
        </w:rPr>
        <w:t>podmioty reprezentujące społeczeństwo obywatelskie, w tym: działające na rzecz ochrony środowiska, organizacje pozarządowe (w tym m.in.: lokalne grupy działania), a także podmioty odpowiedzialne za promowanie włączenia społecznego, równouprawnienia płci oraz niedyskryminacji</w:t>
      </w:r>
      <w:r w:rsidR="2672DC29" w:rsidRPr="00890249">
        <w:rPr>
          <w:rFonts w:asciiTheme="minorHAnsi" w:hAnsiTheme="minorHAnsi" w:cstheme="minorHAnsi"/>
          <w:sz w:val="22"/>
          <w:szCs w:val="22"/>
          <w:lang w:eastAsia="en-US"/>
        </w:rPr>
        <w:t>, r</w:t>
      </w:r>
      <w:r w:rsidR="75C08CD0" w:rsidRPr="00890249">
        <w:rPr>
          <w:rFonts w:asciiTheme="minorHAnsi" w:hAnsiTheme="minorHAnsi" w:cstheme="minorHAnsi"/>
          <w:sz w:val="22"/>
          <w:szCs w:val="22"/>
          <w:lang w:eastAsia="en-US"/>
        </w:rPr>
        <w:t>eprezentantów środowisk nauki, kultury, spraw społecznych</w:t>
      </w:r>
      <w:r w:rsidR="2672DC29" w:rsidRPr="00890249">
        <w:rPr>
          <w:rFonts w:asciiTheme="minorHAnsi" w:hAnsiTheme="minorHAnsi" w:cstheme="minorHAnsi"/>
          <w:sz w:val="22"/>
          <w:szCs w:val="22"/>
          <w:lang w:eastAsia="en-US"/>
        </w:rPr>
        <w:t xml:space="preserve">, </w:t>
      </w:r>
      <w:r w:rsidR="75C08CD0" w:rsidRPr="00890249">
        <w:rPr>
          <w:rFonts w:asciiTheme="minorHAnsi" w:hAnsiTheme="minorHAnsi" w:cstheme="minorHAnsi"/>
          <w:sz w:val="22"/>
          <w:szCs w:val="22"/>
          <w:lang w:eastAsia="en-US"/>
        </w:rPr>
        <w:t>partnerów gospodarczych, przedsiębiorców, instytucji wspierających biznes</w:t>
      </w:r>
      <w:r w:rsidR="2672DC29" w:rsidRPr="00890249">
        <w:rPr>
          <w:rFonts w:asciiTheme="minorHAnsi" w:hAnsiTheme="minorHAnsi" w:cstheme="minorHAnsi"/>
          <w:sz w:val="22"/>
          <w:szCs w:val="22"/>
          <w:lang w:eastAsia="en-US"/>
        </w:rPr>
        <w:t xml:space="preserve">, </w:t>
      </w:r>
      <w:r w:rsidR="75C08CD0" w:rsidRPr="00890249">
        <w:rPr>
          <w:rFonts w:asciiTheme="minorHAnsi" w:hAnsiTheme="minorHAnsi" w:cstheme="minorHAnsi"/>
          <w:sz w:val="22"/>
          <w:szCs w:val="22"/>
          <w:lang w:eastAsia="en-US"/>
        </w:rPr>
        <w:t xml:space="preserve">mieszkańców </w:t>
      </w:r>
      <w:r w:rsidR="00E923D9" w:rsidRPr="00890249">
        <w:rPr>
          <w:rFonts w:asciiTheme="minorHAnsi" w:hAnsiTheme="minorHAnsi" w:cstheme="minorHAnsi"/>
          <w:sz w:val="22"/>
          <w:szCs w:val="22"/>
          <w:lang w:eastAsia="en-US"/>
        </w:rPr>
        <w:t>woj.</w:t>
      </w:r>
      <w:r w:rsidR="75C08CD0" w:rsidRPr="00890249">
        <w:rPr>
          <w:rFonts w:asciiTheme="minorHAnsi" w:hAnsiTheme="minorHAnsi" w:cstheme="minorHAnsi"/>
          <w:sz w:val="22"/>
          <w:szCs w:val="22"/>
          <w:lang w:eastAsia="en-US"/>
        </w:rPr>
        <w:t xml:space="preserve"> opolskiego.</w:t>
      </w:r>
      <w:r w:rsidR="75C08CD0" w:rsidRPr="00890249">
        <w:rPr>
          <w:rFonts w:asciiTheme="minorHAnsi" w:hAnsiTheme="minorHAnsi" w:cstheme="minorHAnsi"/>
          <w:b/>
          <w:bCs/>
          <w:sz w:val="22"/>
          <w:szCs w:val="22"/>
          <w:lang w:eastAsia="en-US"/>
        </w:rPr>
        <w:t xml:space="preserve"> </w:t>
      </w:r>
    </w:p>
    <w:p w14:paraId="568ECE65" w14:textId="2282EC69" w:rsidR="0093433C" w:rsidRPr="00890249" w:rsidRDefault="003A03D5" w:rsidP="00890249">
      <w:pPr>
        <w:pStyle w:val="Tekstpodstawowy"/>
        <w:rPr>
          <w:rFonts w:asciiTheme="minorHAnsi" w:eastAsiaTheme="minorHAnsi" w:hAnsiTheme="minorHAnsi" w:cstheme="minorHAnsi"/>
          <w:sz w:val="22"/>
          <w:szCs w:val="22"/>
          <w:lang w:eastAsia="en-US"/>
        </w:rPr>
      </w:pPr>
      <w:r w:rsidRPr="00890249">
        <w:rPr>
          <w:rFonts w:asciiTheme="minorHAnsi" w:eastAsiaTheme="minorHAnsi" w:hAnsiTheme="minorHAnsi" w:cstheme="minorHAnsi"/>
          <w:sz w:val="22"/>
          <w:szCs w:val="22"/>
          <w:lang w:eastAsia="en-US"/>
        </w:rPr>
        <w:t>Do konsultacji został skie</w:t>
      </w:r>
      <w:r w:rsidR="003F765B" w:rsidRPr="00890249">
        <w:rPr>
          <w:rFonts w:asciiTheme="minorHAnsi" w:eastAsiaTheme="minorHAnsi" w:hAnsiTheme="minorHAnsi" w:cstheme="minorHAnsi"/>
          <w:sz w:val="22"/>
          <w:szCs w:val="22"/>
          <w:lang w:eastAsia="en-US"/>
        </w:rPr>
        <w:t xml:space="preserve">rowany projekt programu FEO 2021-2027 (wersja nr 1) przyjęty </w:t>
      </w:r>
      <w:r w:rsidR="003F765B" w:rsidRPr="00890249">
        <w:rPr>
          <w:rFonts w:asciiTheme="minorHAnsi" w:hAnsiTheme="minorHAnsi" w:cstheme="minorHAnsi"/>
          <w:sz w:val="22"/>
          <w:szCs w:val="22"/>
          <w:lang w:eastAsia="en-US" w:bidi="ar-SA"/>
        </w:rPr>
        <w:t>Uchwałą nr 5575/2021</w:t>
      </w:r>
      <w:r w:rsidR="003F765B" w:rsidRPr="00890249">
        <w:rPr>
          <w:rFonts w:asciiTheme="minorHAnsi" w:hAnsiTheme="minorHAnsi" w:cstheme="minorHAnsi"/>
          <w:i/>
          <w:sz w:val="22"/>
          <w:szCs w:val="22"/>
          <w:lang w:eastAsia="en-US" w:bidi="ar-SA"/>
        </w:rPr>
        <w:t xml:space="preserve"> </w:t>
      </w:r>
      <w:r w:rsidR="003F765B" w:rsidRPr="00890249">
        <w:rPr>
          <w:rFonts w:asciiTheme="minorHAnsi" w:hAnsiTheme="minorHAnsi" w:cstheme="minorHAnsi"/>
          <w:sz w:val="22"/>
          <w:szCs w:val="22"/>
          <w:lang w:eastAsia="en-US" w:bidi="ar-SA"/>
        </w:rPr>
        <w:t>Z</w:t>
      </w:r>
      <w:r w:rsidR="001C2CA5" w:rsidRPr="00890249">
        <w:rPr>
          <w:rFonts w:asciiTheme="minorHAnsi" w:hAnsiTheme="minorHAnsi" w:cstheme="minorHAnsi"/>
          <w:sz w:val="22"/>
          <w:szCs w:val="22"/>
          <w:lang w:eastAsia="en-US" w:bidi="ar-SA"/>
        </w:rPr>
        <w:t>WO</w:t>
      </w:r>
      <w:r w:rsidR="003F765B" w:rsidRPr="00890249">
        <w:rPr>
          <w:rFonts w:asciiTheme="minorHAnsi" w:hAnsiTheme="minorHAnsi" w:cstheme="minorHAnsi"/>
          <w:sz w:val="22"/>
          <w:szCs w:val="22"/>
          <w:lang w:eastAsia="en-US" w:bidi="ar-SA"/>
        </w:rPr>
        <w:t xml:space="preserve"> z  27 września 2021 r. Konsultacje trwały od</w:t>
      </w:r>
      <w:r w:rsidR="006C204C" w:rsidRPr="00890249">
        <w:rPr>
          <w:rFonts w:asciiTheme="minorHAnsi" w:hAnsiTheme="minorHAnsi" w:cstheme="minorHAnsi"/>
          <w:sz w:val="22"/>
          <w:szCs w:val="22"/>
          <w:lang w:eastAsia="en-US" w:bidi="ar-SA"/>
        </w:rPr>
        <w:t xml:space="preserve"> 30 września do 7 listopada 2021 r.</w:t>
      </w:r>
      <w:r w:rsidR="003F765B" w:rsidRPr="00890249">
        <w:rPr>
          <w:rFonts w:asciiTheme="minorHAnsi" w:hAnsiTheme="minorHAnsi" w:cstheme="minorHAnsi"/>
          <w:sz w:val="22"/>
          <w:szCs w:val="22"/>
          <w:lang w:eastAsia="en-US" w:bidi="ar-SA"/>
        </w:rPr>
        <w:t xml:space="preserve"> </w:t>
      </w:r>
      <w:r w:rsidR="000D7DC2" w:rsidRPr="00890249">
        <w:rPr>
          <w:rFonts w:asciiTheme="minorHAnsi" w:eastAsiaTheme="minorHAnsi" w:hAnsiTheme="minorHAnsi" w:cstheme="minorHAnsi"/>
          <w:sz w:val="22"/>
          <w:szCs w:val="22"/>
          <w:lang w:eastAsia="en-US"/>
        </w:rPr>
        <w:t>W </w:t>
      </w:r>
      <w:r w:rsidRPr="00890249">
        <w:rPr>
          <w:rFonts w:asciiTheme="minorHAnsi" w:eastAsiaTheme="minorHAnsi" w:hAnsiTheme="minorHAnsi" w:cstheme="minorHAnsi"/>
          <w:sz w:val="22"/>
          <w:szCs w:val="22"/>
          <w:lang w:eastAsia="en-US"/>
        </w:rPr>
        <w:t>ramach procesu zorganizowano spotkania konsultacyjne, które stały się okazją do zaprezentowania  dokumentu sze</w:t>
      </w:r>
      <w:r w:rsidR="00AF68F8" w:rsidRPr="00890249">
        <w:rPr>
          <w:rFonts w:asciiTheme="minorHAnsi" w:eastAsiaTheme="minorHAnsi" w:hAnsiTheme="minorHAnsi" w:cstheme="minorHAnsi"/>
          <w:sz w:val="22"/>
          <w:szCs w:val="22"/>
          <w:lang w:eastAsia="en-US"/>
        </w:rPr>
        <w:t>rokiemu gronu zainteresowanych. O</w:t>
      </w:r>
      <w:r w:rsidR="00D26F92">
        <w:rPr>
          <w:rFonts w:asciiTheme="minorHAnsi" w:eastAsiaTheme="minorHAnsi" w:hAnsiTheme="minorHAnsi" w:cstheme="minorHAnsi"/>
          <w:sz w:val="22"/>
          <w:szCs w:val="22"/>
          <w:lang w:eastAsia="en-US"/>
        </w:rPr>
        <w:t>dbyły się spotkania z </w:t>
      </w:r>
      <w:r w:rsidR="001D420E" w:rsidRPr="00890249">
        <w:rPr>
          <w:rFonts w:asciiTheme="minorHAnsi" w:eastAsiaTheme="minorHAnsi" w:hAnsiTheme="minorHAnsi" w:cstheme="minorHAnsi"/>
          <w:sz w:val="22"/>
          <w:szCs w:val="22"/>
          <w:lang w:eastAsia="en-US"/>
        </w:rPr>
        <w:t>przedstawicielami m.in.</w:t>
      </w:r>
      <w:r w:rsidR="006C204C" w:rsidRPr="00890249">
        <w:rPr>
          <w:rFonts w:asciiTheme="minorHAnsi" w:eastAsiaTheme="minorHAnsi" w:hAnsiTheme="minorHAnsi" w:cstheme="minorHAnsi"/>
          <w:sz w:val="22"/>
          <w:szCs w:val="22"/>
          <w:lang w:eastAsia="en-US"/>
        </w:rPr>
        <w:t xml:space="preserve"> </w:t>
      </w:r>
      <w:r w:rsidR="000C3AF9" w:rsidRPr="00890249">
        <w:rPr>
          <w:rFonts w:asciiTheme="minorHAnsi" w:eastAsiaTheme="minorHAnsi" w:hAnsiTheme="minorHAnsi" w:cstheme="minorHAnsi"/>
          <w:sz w:val="22"/>
          <w:szCs w:val="22"/>
          <w:lang w:eastAsia="en-US"/>
        </w:rPr>
        <w:t>JST</w:t>
      </w:r>
      <w:r w:rsidR="006C204C" w:rsidRPr="00890249">
        <w:rPr>
          <w:rFonts w:asciiTheme="minorHAnsi" w:eastAsiaTheme="minorHAnsi" w:hAnsiTheme="minorHAnsi" w:cstheme="minorHAnsi"/>
          <w:sz w:val="22"/>
          <w:szCs w:val="22"/>
          <w:lang w:eastAsia="en-US"/>
        </w:rPr>
        <w:t xml:space="preserve"> z całego regionu, Wojewódzkiej Rady Działalności Pożytk</w:t>
      </w:r>
      <w:r w:rsidR="00AF68F8" w:rsidRPr="00890249">
        <w:rPr>
          <w:rFonts w:asciiTheme="minorHAnsi" w:eastAsiaTheme="minorHAnsi" w:hAnsiTheme="minorHAnsi" w:cstheme="minorHAnsi"/>
          <w:sz w:val="22"/>
          <w:szCs w:val="22"/>
          <w:lang w:eastAsia="en-US"/>
        </w:rPr>
        <w:t>u Publicznego,</w:t>
      </w:r>
      <w:r w:rsidR="006C204C" w:rsidRPr="00890249">
        <w:rPr>
          <w:rFonts w:asciiTheme="minorHAnsi" w:hAnsiTheme="minorHAnsi" w:cstheme="minorHAnsi"/>
          <w:sz w:val="22"/>
          <w:szCs w:val="22"/>
          <w:lang w:eastAsia="en-US" w:bidi="ar-SA"/>
        </w:rPr>
        <w:t xml:space="preserve"> Wojewódzkiej Społecznej Rady ds. Osób Niepełnosprawnych w Opolu, </w:t>
      </w:r>
      <w:r w:rsidR="006C204C" w:rsidRPr="00890249">
        <w:rPr>
          <w:rFonts w:asciiTheme="minorHAnsi" w:eastAsiaTheme="minorHAnsi" w:hAnsiTheme="minorHAnsi" w:cstheme="minorHAnsi"/>
          <w:sz w:val="22"/>
          <w:szCs w:val="22"/>
          <w:lang w:eastAsia="en-US"/>
        </w:rPr>
        <w:t xml:space="preserve"> Wojewódzkiej Rady Rynku Pracy w Opolu</w:t>
      </w:r>
      <w:r w:rsidR="00AF68F8" w:rsidRPr="00890249">
        <w:rPr>
          <w:rFonts w:asciiTheme="minorHAnsi" w:eastAsiaTheme="minorHAnsi" w:hAnsiTheme="minorHAnsi" w:cstheme="minorHAnsi"/>
          <w:sz w:val="22"/>
          <w:szCs w:val="22"/>
          <w:lang w:eastAsia="en-US"/>
        </w:rPr>
        <w:t>, organizacji pozarządowych</w:t>
      </w:r>
      <w:r w:rsidR="006C204C" w:rsidRPr="00890249">
        <w:rPr>
          <w:rFonts w:asciiTheme="minorHAnsi" w:eastAsiaTheme="minorHAnsi" w:hAnsiTheme="minorHAnsi" w:cstheme="minorHAnsi"/>
          <w:sz w:val="22"/>
          <w:szCs w:val="22"/>
          <w:lang w:eastAsia="en-US"/>
        </w:rPr>
        <w:t xml:space="preserve"> </w:t>
      </w:r>
      <w:r w:rsidR="00AF68F8" w:rsidRPr="00890249">
        <w:rPr>
          <w:rFonts w:asciiTheme="minorHAnsi" w:eastAsiaTheme="minorHAnsi" w:hAnsiTheme="minorHAnsi" w:cstheme="minorHAnsi"/>
          <w:sz w:val="22"/>
          <w:szCs w:val="22"/>
          <w:lang w:eastAsia="en-US"/>
        </w:rPr>
        <w:t>oraz odrębnie z</w:t>
      </w:r>
      <w:r w:rsidR="00AF68F8" w:rsidRPr="00890249">
        <w:rPr>
          <w:rFonts w:asciiTheme="minorHAnsi" w:hAnsiTheme="minorHAnsi" w:cstheme="minorHAnsi"/>
          <w:sz w:val="22"/>
          <w:szCs w:val="22"/>
        </w:rPr>
        <w:t xml:space="preserve"> </w:t>
      </w:r>
      <w:r w:rsidR="00AF68F8" w:rsidRPr="00890249">
        <w:rPr>
          <w:rFonts w:asciiTheme="minorHAnsi" w:eastAsiaTheme="minorHAnsi" w:hAnsiTheme="minorHAnsi" w:cstheme="minorHAnsi"/>
          <w:sz w:val="22"/>
          <w:szCs w:val="22"/>
          <w:lang w:eastAsia="en-US"/>
        </w:rPr>
        <w:t xml:space="preserve">Lokalnymi Grupami Działania. W ramach konsultacji odbyły się również spotkania konsultacyjne w formule online </w:t>
      </w:r>
      <w:r w:rsidR="00D26F92">
        <w:rPr>
          <w:rFonts w:asciiTheme="minorHAnsi" w:eastAsiaTheme="minorHAnsi" w:hAnsiTheme="minorHAnsi" w:cstheme="minorHAnsi"/>
          <w:sz w:val="22"/>
          <w:szCs w:val="22"/>
          <w:lang w:eastAsia="en-US"/>
        </w:rPr>
        <w:t>z Ministerstwem Rolnictwa i </w:t>
      </w:r>
      <w:r w:rsidR="001D420E" w:rsidRPr="00890249">
        <w:rPr>
          <w:rFonts w:asciiTheme="minorHAnsi" w:eastAsiaTheme="minorHAnsi" w:hAnsiTheme="minorHAnsi" w:cstheme="minorHAnsi"/>
          <w:sz w:val="22"/>
          <w:szCs w:val="22"/>
          <w:lang w:eastAsia="en-US"/>
        </w:rPr>
        <w:t xml:space="preserve">Rozwoju Wsi </w:t>
      </w:r>
      <w:r w:rsidR="00AF68F8" w:rsidRPr="00890249">
        <w:rPr>
          <w:rFonts w:asciiTheme="minorHAnsi" w:eastAsiaTheme="minorHAnsi" w:hAnsiTheme="minorHAnsi" w:cstheme="minorHAnsi"/>
          <w:sz w:val="22"/>
          <w:szCs w:val="22"/>
          <w:lang w:eastAsia="en-US"/>
        </w:rPr>
        <w:t>oraz</w:t>
      </w:r>
      <w:r w:rsidR="000D7DC2" w:rsidRPr="00890249">
        <w:rPr>
          <w:rFonts w:asciiTheme="minorHAnsi" w:eastAsiaTheme="minorHAnsi" w:hAnsiTheme="minorHAnsi" w:cstheme="minorHAnsi"/>
          <w:sz w:val="22"/>
          <w:szCs w:val="22"/>
          <w:lang w:eastAsia="en-US" w:bidi="ar-SA"/>
        </w:rPr>
        <w:t xml:space="preserve"> z </w:t>
      </w:r>
      <w:r w:rsidR="001D420E" w:rsidRPr="00890249">
        <w:rPr>
          <w:rFonts w:asciiTheme="minorHAnsi" w:eastAsiaTheme="minorHAnsi" w:hAnsiTheme="minorHAnsi" w:cstheme="minorHAnsi"/>
          <w:sz w:val="22"/>
          <w:szCs w:val="22"/>
          <w:lang w:eastAsia="en-US" w:bidi="ar-SA"/>
        </w:rPr>
        <w:t>Ministerstwem Zdrowia</w:t>
      </w:r>
      <w:r w:rsidR="00AF68F8" w:rsidRPr="00890249">
        <w:rPr>
          <w:rFonts w:asciiTheme="minorHAnsi" w:eastAsiaTheme="minorHAnsi" w:hAnsiTheme="minorHAnsi" w:cstheme="minorHAnsi"/>
          <w:sz w:val="22"/>
          <w:szCs w:val="22"/>
          <w:lang w:eastAsia="en-US" w:bidi="ar-SA"/>
        </w:rPr>
        <w:t xml:space="preserve">. </w:t>
      </w:r>
      <w:r w:rsidR="00AF68F8" w:rsidRPr="00890249">
        <w:rPr>
          <w:rFonts w:asciiTheme="minorHAnsi" w:eastAsiaTheme="minorHAnsi" w:hAnsiTheme="minorHAnsi" w:cstheme="minorHAnsi"/>
          <w:sz w:val="22"/>
          <w:szCs w:val="22"/>
          <w:lang w:eastAsia="en-US"/>
        </w:rPr>
        <w:t xml:space="preserve">Założenia FEO 2021-2027 zostały zaprezentowane </w:t>
      </w:r>
      <w:r w:rsidR="00645473" w:rsidRPr="00890249">
        <w:rPr>
          <w:rFonts w:asciiTheme="minorHAnsi" w:eastAsiaTheme="minorHAnsi" w:hAnsiTheme="minorHAnsi" w:cstheme="minorHAnsi"/>
          <w:sz w:val="22"/>
          <w:szCs w:val="22"/>
          <w:lang w:eastAsia="en-US"/>
        </w:rPr>
        <w:t xml:space="preserve">również </w:t>
      </w:r>
      <w:r w:rsidR="00AF68F8" w:rsidRPr="00890249">
        <w:rPr>
          <w:rFonts w:asciiTheme="minorHAnsi" w:eastAsiaTheme="minorHAnsi" w:hAnsiTheme="minorHAnsi" w:cstheme="minorHAnsi"/>
          <w:sz w:val="22"/>
          <w:szCs w:val="22"/>
          <w:lang w:eastAsia="en-US"/>
        </w:rPr>
        <w:t>podczas m.in.: Forum Seniorów Województwa Opolskiego, V Opolski</w:t>
      </w:r>
      <w:r w:rsidR="008751D6" w:rsidRPr="00890249">
        <w:rPr>
          <w:rFonts w:asciiTheme="minorHAnsi" w:eastAsiaTheme="minorHAnsi" w:hAnsiTheme="minorHAnsi" w:cstheme="minorHAnsi"/>
          <w:sz w:val="22"/>
          <w:szCs w:val="22"/>
          <w:lang w:eastAsia="en-US"/>
        </w:rPr>
        <w:t>ch</w:t>
      </w:r>
      <w:r w:rsidR="00AF68F8" w:rsidRPr="00890249">
        <w:rPr>
          <w:rFonts w:asciiTheme="minorHAnsi" w:eastAsiaTheme="minorHAnsi" w:hAnsiTheme="minorHAnsi" w:cstheme="minorHAnsi"/>
          <w:sz w:val="22"/>
          <w:szCs w:val="22"/>
          <w:lang w:eastAsia="en-US"/>
        </w:rPr>
        <w:t xml:space="preserve"> Targ</w:t>
      </w:r>
      <w:r w:rsidR="00645473" w:rsidRPr="00890249">
        <w:rPr>
          <w:rFonts w:asciiTheme="minorHAnsi" w:eastAsiaTheme="minorHAnsi" w:hAnsiTheme="minorHAnsi" w:cstheme="minorHAnsi"/>
          <w:sz w:val="22"/>
          <w:szCs w:val="22"/>
          <w:lang w:eastAsia="en-US"/>
        </w:rPr>
        <w:t>ów</w:t>
      </w:r>
      <w:r w:rsidR="00AF68F8" w:rsidRPr="00890249">
        <w:rPr>
          <w:rFonts w:asciiTheme="minorHAnsi" w:eastAsiaTheme="minorHAnsi" w:hAnsiTheme="minorHAnsi" w:cstheme="minorHAnsi"/>
          <w:sz w:val="22"/>
          <w:szCs w:val="22"/>
          <w:lang w:eastAsia="en-US"/>
        </w:rPr>
        <w:t xml:space="preserve"> Ekonomii Społecznej</w:t>
      </w:r>
      <w:r w:rsidR="00645473" w:rsidRPr="00890249">
        <w:rPr>
          <w:rFonts w:asciiTheme="minorHAnsi" w:eastAsiaTheme="minorHAnsi" w:hAnsiTheme="minorHAnsi" w:cstheme="minorHAnsi"/>
          <w:sz w:val="22"/>
          <w:szCs w:val="22"/>
          <w:lang w:eastAsia="en-US"/>
        </w:rPr>
        <w:t>,</w:t>
      </w:r>
      <w:r w:rsidR="00AF68F8" w:rsidRPr="00890249">
        <w:rPr>
          <w:rFonts w:asciiTheme="minorHAnsi" w:eastAsiaTheme="minorHAnsi" w:hAnsiTheme="minorHAnsi" w:cstheme="minorHAnsi"/>
          <w:sz w:val="22"/>
          <w:szCs w:val="22"/>
          <w:lang w:eastAsia="en-US"/>
        </w:rPr>
        <w:t xml:space="preserve"> Forum Ludzi Kultury i Edukacji.</w:t>
      </w:r>
    </w:p>
    <w:p w14:paraId="33C9877B" w14:textId="0EB25C2B" w:rsidR="0093433C" w:rsidRPr="00890249" w:rsidRDefault="00490DB1"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W trakcie procesu konsultacji społecznych projektu FEO 2021-2027 wpłynęło ogółem 471 uwag, które były zgłoszone przez 49 podmiotów. Największą aktywność w procesie konsultacji wykazały jednostki samorządu terytorialnego, organy administracji rządowej i organizacje pozarządowe.</w:t>
      </w:r>
      <w:r w:rsidR="00E053C2" w:rsidRPr="00890249">
        <w:rPr>
          <w:rFonts w:asciiTheme="minorHAnsi" w:hAnsiTheme="minorHAnsi" w:cstheme="minorHAnsi"/>
          <w:sz w:val="22"/>
          <w:szCs w:val="22"/>
          <w:lang w:eastAsia="en-US"/>
        </w:rPr>
        <w:t xml:space="preserve"> Zgłaszane uwagi dotyczyły większości rozdziałów projektu FEO 2021-2027</w:t>
      </w:r>
      <w:r w:rsidR="008751D6" w:rsidRPr="00890249">
        <w:rPr>
          <w:rFonts w:asciiTheme="minorHAnsi" w:hAnsiTheme="minorHAnsi" w:cstheme="minorHAnsi"/>
          <w:sz w:val="22"/>
          <w:szCs w:val="22"/>
          <w:lang w:eastAsia="en-US"/>
        </w:rPr>
        <w:t xml:space="preserve">, w tym </w:t>
      </w:r>
      <w:r w:rsidR="00E053C2" w:rsidRPr="00890249">
        <w:rPr>
          <w:rFonts w:asciiTheme="minorHAnsi" w:hAnsiTheme="minorHAnsi" w:cstheme="minorHAnsi"/>
          <w:sz w:val="22"/>
          <w:szCs w:val="22"/>
          <w:lang w:eastAsia="en-US"/>
        </w:rPr>
        <w:t>typ</w:t>
      </w:r>
      <w:r w:rsidR="008751D6" w:rsidRPr="00890249">
        <w:rPr>
          <w:rFonts w:asciiTheme="minorHAnsi" w:hAnsiTheme="minorHAnsi" w:cstheme="minorHAnsi"/>
          <w:sz w:val="22"/>
          <w:szCs w:val="22"/>
          <w:lang w:eastAsia="en-US"/>
        </w:rPr>
        <w:t>ów</w:t>
      </w:r>
      <w:r w:rsidR="00E053C2" w:rsidRPr="00890249">
        <w:rPr>
          <w:rFonts w:asciiTheme="minorHAnsi" w:hAnsiTheme="minorHAnsi" w:cstheme="minorHAnsi"/>
          <w:sz w:val="22"/>
          <w:szCs w:val="22"/>
          <w:lang w:eastAsia="en-US"/>
        </w:rPr>
        <w:t xml:space="preserve"> przedsięwzięć, grup docelow</w:t>
      </w:r>
      <w:r w:rsidR="008751D6" w:rsidRPr="00890249">
        <w:rPr>
          <w:rFonts w:asciiTheme="minorHAnsi" w:hAnsiTheme="minorHAnsi" w:cstheme="minorHAnsi"/>
          <w:sz w:val="22"/>
          <w:szCs w:val="22"/>
          <w:lang w:eastAsia="en-US"/>
        </w:rPr>
        <w:t>ych</w:t>
      </w:r>
      <w:r w:rsidR="00E053C2" w:rsidRPr="00890249">
        <w:rPr>
          <w:rFonts w:asciiTheme="minorHAnsi" w:hAnsiTheme="minorHAnsi" w:cstheme="minorHAnsi"/>
          <w:sz w:val="22"/>
          <w:szCs w:val="22"/>
          <w:lang w:eastAsia="en-US"/>
        </w:rPr>
        <w:t>, rodzaj</w:t>
      </w:r>
      <w:r w:rsidR="008751D6" w:rsidRPr="00890249">
        <w:rPr>
          <w:rFonts w:asciiTheme="minorHAnsi" w:hAnsiTheme="minorHAnsi" w:cstheme="minorHAnsi"/>
          <w:sz w:val="22"/>
          <w:szCs w:val="22"/>
          <w:lang w:eastAsia="en-US"/>
        </w:rPr>
        <w:t>ów</w:t>
      </w:r>
      <w:r w:rsidR="00E053C2" w:rsidRPr="00890249">
        <w:rPr>
          <w:rFonts w:asciiTheme="minorHAnsi" w:hAnsiTheme="minorHAnsi" w:cstheme="minorHAnsi"/>
          <w:sz w:val="22"/>
          <w:szCs w:val="22"/>
          <w:lang w:eastAsia="en-US"/>
        </w:rPr>
        <w:t xml:space="preserve"> beneficjentów, alokacj</w:t>
      </w:r>
      <w:r w:rsidR="008751D6" w:rsidRPr="00890249">
        <w:rPr>
          <w:rFonts w:asciiTheme="minorHAnsi" w:hAnsiTheme="minorHAnsi" w:cstheme="minorHAnsi"/>
          <w:sz w:val="22"/>
          <w:szCs w:val="22"/>
          <w:lang w:eastAsia="en-US"/>
        </w:rPr>
        <w:t>i</w:t>
      </w:r>
      <w:r w:rsidR="00E053C2" w:rsidRPr="00890249">
        <w:rPr>
          <w:rFonts w:asciiTheme="minorHAnsi" w:hAnsiTheme="minorHAnsi" w:cstheme="minorHAnsi"/>
          <w:sz w:val="22"/>
          <w:szCs w:val="22"/>
          <w:lang w:eastAsia="en-US"/>
        </w:rPr>
        <w:t xml:space="preserve"> środków. Znaczna część zaproponowanych zmian odnosiła się do diagnozy sytuacji społeczno-gospodarczej </w:t>
      </w:r>
      <w:r w:rsidR="00733747" w:rsidRPr="00890249">
        <w:rPr>
          <w:rFonts w:asciiTheme="minorHAnsi" w:hAnsiTheme="minorHAnsi" w:cstheme="minorHAnsi"/>
          <w:sz w:val="22"/>
          <w:szCs w:val="22"/>
          <w:lang w:eastAsia="en-US"/>
        </w:rPr>
        <w:t>w</w:t>
      </w:r>
      <w:r w:rsidR="00E91526">
        <w:rPr>
          <w:rFonts w:asciiTheme="minorHAnsi" w:hAnsiTheme="minorHAnsi" w:cstheme="minorHAnsi"/>
          <w:sz w:val="22"/>
          <w:szCs w:val="22"/>
          <w:lang w:eastAsia="en-US"/>
        </w:rPr>
        <w:t>o</w:t>
      </w:r>
      <w:r w:rsidR="00733747" w:rsidRPr="00890249">
        <w:rPr>
          <w:rFonts w:asciiTheme="minorHAnsi" w:hAnsiTheme="minorHAnsi" w:cstheme="minorHAnsi"/>
          <w:sz w:val="22"/>
          <w:szCs w:val="22"/>
          <w:lang w:eastAsia="en-US"/>
        </w:rPr>
        <w:t>j.</w:t>
      </w:r>
      <w:r w:rsidR="00E053C2" w:rsidRPr="00890249">
        <w:rPr>
          <w:rFonts w:asciiTheme="minorHAnsi" w:hAnsiTheme="minorHAnsi" w:cstheme="minorHAnsi"/>
          <w:sz w:val="22"/>
          <w:szCs w:val="22"/>
          <w:lang w:eastAsia="en-US"/>
        </w:rPr>
        <w:t xml:space="preserve"> opolskiego.</w:t>
      </w:r>
      <w:r w:rsidR="004D1C75" w:rsidRPr="00890249">
        <w:rPr>
          <w:rFonts w:asciiTheme="minorHAnsi" w:hAnsiTheme="minorHAnsi" w:cstheme="minorHAnsi"/>
          <w:sz w:val="22"/>
          <w:szCs w:val="22"/>
          <w:lang w:eastAsia="en-US"/>
        </w:rPr>
        <w:t xml:space="preserve"> Uwagi zgłoszone zostały głównie przez partnerów społecznych i gospodarczych oraz podmioty reprezentujące społeczeństwo obywatelskie, m.in. Fundację Razem dla Środowiska. Kampanię przeciw Homofobii, Stowarzyszenie Rodzin Zastępczych „Dobra Rodzina” (17 podmiotów), </w:t>
      </w:r>
      <w:r w:rsidR="009E0297" w:rsidRPr="00890249">
        <w:rPr>
          <w:rFonts w:asciiTheme="minorHAnsi" w:hAnsiTheme="minorHAnsi" w:cstheme="minorHAnsi"/>
          <w:sz w:val="22"/>
          <w:szCs w:val="22"/>
          <w:lang w:eastAsia="en-US"/>
        </w:rPr>
        <w:t>JST</w:t>
      </w:r>
      <w:r w:rsidR="0035211F">
        <w:rPr>
          <w:rFonts w:asciiTheme="minorHAnsi" w:hAnsiTheme="minorHAnsi" w:cstheme="minorHAnsi"/>
          <w:sz w:val="22"/>
          <w:szCs w:val="22"/>
          <w:lang w:eastAsia="en-US"/>
        </w:rPr>
        <w:t xml:space="preserve"> (9 </w:t>
      </w:r>
      <w:r w:rsidR="004D1C75" w:rsidRPr="00890249">
        <w:rPr>
          <w:rFonts w:asciiTheme="minorHAnsi" w:hAnsiTheme="minorHAnsi" w:cstheme="minorHAnsi"/>
          <w:sz w:val="22"/>
          <w:szCs w:val="22"/>
          <w:lang w:eastAsia="en-US"/>
        </w:rPr>
        <w:t>podmiotów), przedstawicieli środowisk przyrodniczych (8 podmiotów) oraz środowisk naukowych (4 podmioty). W projekcie FEO 2021-2027 uwzględniono 185 uwag, 67 uwag uwzględniono częściowo, a</w:t>
      </w:r>
      <w:r w:rsidR="000D7DC2" w:rsidRPr="00890249">
        <w:rPr>
          <w:rFonts w:asciiTheme="minorHAnsi" w:hAnsiTheme="minorHAnsi" w:cstheme="minorHAnsi"/>
          <w:sz w:val="22"/>
          <w:szCs w:val="22"/>
          <w:lang w:eastAsia="en-US"/>
        </w:rPr>
        <w:t> </w:t>
      </w:r>
      <w:r w:rsidR="004D1C75" w:rsidRPr="00890249">
        <w:rPr>
          <w:rFonts w:asciiTheme="minorHAnsi" w:hAnsiTheme="minorHAnsi" w:cstheme="minorHAnsi"/>
          <w:sz w:val="22"/>
          <w:szCs w:val="22"/>
          <w:lang w:eastAsia="en-US"/>
        </w:rPr>
        <w:t xml:space="preserve">44 uwagi pozostawiono do rozważenia na dalszym etapie prac. </w:t>
      </w:r>
    </w:p>
    <w:p w14:paraId="6C306249" w14:textId="1A7D1BE8" w:rsidR="0093433C" w:rsidRPr="00890249" w:rsidRDefault="008374CE"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t xml:space="preserve">Dodatkowo, zgodnie z  </w:t>
      </w:r>
      <w:r w:rsidR="00645473" w:rsidRPr="00890249">
        <w:rPr>
          <w:rFonts w:asciiTheme="minorHAnsi" w:hAnsiTheme="minorHAnsi" w:cstheme="minorHAnsi"/>
          <w:sz w:val="22"/>
          <w:szCs w:val="22"/>
          <w:lang w:eastAsia="en-US"/>
        </w:rPr>
        <w:t>zapisami</w:t>
      </w:r>
      <w:r w:rsidRPr="00890249">
        <w:rPr>
          <w:rFonts w:asciiTheme="minorHAnsi" w:hAnsiTheme="minorHAnsi" w:cstheme="minorHAnsi"/>
          <w:sz w:val="22"/>
          <w:szCs w:val="22"/>
          <w:lang w:eastAsia="en-US"/>
        </w:rPr>
        <w:t xml:space="preserve"> ustawy z dnia 3 października 2008 r. </w:t>
      </w:r>
      <w:r w:rsidR="004A0773" w:rsidRPr="00890249">
        <w:rPr>
          <w:rFonts w:asciiTheme="minorHAnsi" w:hAnsiTheme="minorHAnsi" w:cstheme="minorHAnsi"/>
          <w:sz w:val="22"/>
          <w:szCs w:val="22"/>
          <w:lang w:eastAsia="en-US"/>
        </w:rPr>
        <w:t>o udostępnianiu informacji o </w:t>
      </w:r>
      <w:r w:rsidRPr="00890249">
        <w:rPr>
          <w:rFonts w:asciiTheme="minorHAnsi" w:hAnsiTheme="minorHAnsi" w:cstheme="minorHAnsi"/>
          <w:sz w:val="22"/>
          <w:szCs w:val="22"/>
          <w:lang w:eastAsia="en-US"/>
        </w:rPr>
        <w:t>środowisku i jego ochronie, udziale społeczeństwa w ochronie środowiska oraz o ocenach oddziaływania na środowisko</w:t>
      </w:r>
      <w:r w:rsidR="00664159" w:rsidRPr="00890249">
        <w:rPr>
          <w:rFonts w:asciiTheme="minorHAnsi" w:hAnsiTheme="minorHAnsi" w:cstheme="minorHAnsi"/>
          <w:sz w:val="22"/>
          <w:szCs w:val="22"/>
          <w:lang w:eastAsia="en-US"/>
        </w:rPr>
        <w:t xml:space="preserve"> </w:t>
      </w:r>
      <w:r w:rsidRPr="00890249">
        <w:rPr>
          <w:rFonts w:asciiTheme="minorHAnsi" w:hAnsiTheme="minorHAnsi" w:cstheme="minorHAnsi"/>
          <w:sz w:val="22"/>
          <w:szCs w:val="22"/>
          <w:lang w:eastAsia="en-US"/>
        </w:rPr>
        <w:t>konsultacjom społecznym poddana została Prognoza oddziaływania na środowisko projektu programu FE</w:t>
      </w:r>
      <w:r w:rsidR="003031C0" w:rsidRPr="00890249">
        <w:rPr>
          <w:rFonts w:asciiTheme="minorHAnsi" w:hAnsiTheme="minorHAnsi" w:cstheme="minorHAnsi"/>
          <w:sz w:val="22"/>
          <w:szCs w:val="22"/>
          <w:lang w:eastAsia="en-US"/>
        </w:rPr>
        <w:t>O</w:t>
      </w:r>
      <w:r w:rsidRPr="00890249">
        <w:rPr>
          <w:rFonts w:asciiTheme="minorHAnsi" w:hAnsiTheme="minorHAnsi" w:cstheme="minorHAnsi"/>
          <w:sz w:val="22"/>
          <w:szCs w:val="22"/>
          <w:lang w:eastAsia="en-US"/>
        </w:rPr>
        <w:t xml:space="preserve"> 2021-2027. </w:t>
      </w:r>
      <w:r w:rsidR="003A03D5" w:rsidRPr="00890249">
        <w:rPr>
          <w:rFonts w:asciiTheme="minorHAnsi" w:hAnsiTheme="minorHAnsi" w:cstheme="minorHAnsi"/>
          <w:sz w:val="22"/>
          <w:szCs w:val="22"/>
          <w:lang w:eastAsia="en-US"/>
        </w:rPr>
        <w:t xml:space="preserve">Proces konsultacji, który trwał od </w:t>
      </w:r>
      <w:r w:rsidR="000463EB" w:rsidRPr="00890249">
        <w:rPr>
          <w:rFonts w:asciiTheme="minorHAnsi" w:hAnsiTheme="minorHAnsi" w:cstheme="minorHAnsi"/>
          <w:sz w:val="22"/>
          <w:szCs w:val="22"/>
          <w:lang w:eastAsia="en-US"/>
        </w:rPr>
        <w:t>30 września</w:t>
      </w:r>
      <w:r w:rsidR="003A03D5" w:rsidRPr="00890249">
        <w:rPr>
          <w:rFonts w:asciiTheme="minorHAnsi" w:hAnsiTheme="minorHAnsi" w:cstheme="minorHAnsi"/>
          <w:sz w:val="22"/>
          <w:szCs w:val="22"/>
          <w:lang w:eastAsia="en-US"/>
        </w:rPr>
        <w:t xml:space="preserve"> do 2</w:t>
      </w:r>
      <w:r w:rsidR="000463EB" w:rsidRPr="00890249">
        <w:rPr>
          <w:rFonts w:asciiTheme="minorHAnsi" w:hAnsiTheme="minorHAnsi" w:cstheme="minorHAnsi"/>
          <w:sz w:val="22"/>
          <w:szCs w:val="22"/>
          <w:lang w:eastAsia="en-US"/>
        </w:rPr>
        <w:t>9</w:t>
      </w:r>
      <w:r w:rsidR="003A03D5" w:rsidRPr="00890249">
        <w:rPr>
          <w:rFonts w:asciiTheme="minorHAnsi" w:hAnsiTheme="minorHAnsi" w:cstheme="minorHAnsi"/>
          <w:sz w:val="22"/>
          <w:szCs w:val="22"/>
          <w:lang w:eastAsia="en-US"/>
        </w:rPr>
        <w:t xml:space="preserve"> </w:t>
      </w:r>
      <w:r w:rsidR="000463EB" w:rsidRPr="00890249">
        <w:rPr>
          <w:rFonts w:asciiTheme="minorHAnsi" w:hAnsiTheme="minorHAnsi" w:cstheme="minorHAnsi"/>
          <w:sz w:val="22"/>
          <w:szCs w:val="22"/>
          <w:lang w:eastAsia="en-US"/>
        </w:rPr>
        <w:t>października</w:t>
      </w:r>
      <w:r w:rsidR="003A03D5" w:rsidRPr="00890249">
        <w:rPr>
          <w:rFonts w:asciiTheme="minorHAnsi" w:hAnsiTheme="minorHAnsi" w:cstheme="minorHAnsi"/>
          <w:sz w:val="22"/>
          <w:szCs w:val="22"/>
          <w:lang w:eastAsia="en-US"/>
        </w:rPr>
        <w:t xml:space="preserve"> 20</w:t>
      </w:r>
      <w:r w:rsidR="000463EB" w:rsidRPr="00890249">
        <w:rPr>
          <w:rFonts w:asciiTheme="minorHAnsi" w:hAnsiTheme="minorHAnsi" w:cstheme="minorHAnsi"/>
          <w:sz w:val="22"/>
          <w:szCs w:val="22"/>
          <w:lang w:eastAsia="en-US"/>
        </w:rPr>
        <w:t>21</w:t>
      </w:r>
      <w:r w:rsidR="003A03D5" w:rsidRPr="00890249">
        <w:rPr>
          <w:rFonts w:asciiTheme="minorHAnsi" w:hAnsiTheme="minorHAnsi" w:cstheme="minorHAnsi"/>
          <w:sz w:val="22"/>
          <w:szCs w:val="22"/>
          <w:lang w:eastAsia="en-US"/>
        </w:rPr>
        <w:t xml:space="preserve"> r. miał otwarty i partnerski charakter, do udziału zaproszono wszystkich zainteresowanych, w tym </w:t>
      </w:r>
      <w:r w:rsidR="000463EB" w:rsidRPr="00890249">
        <w:rPr>
          <w:rFonts w:asciiTheme="minorHAnsi" w:hAnsiTheme="minorHAnsi" w:cstheme="minorHAnsi"/>
          <w:sz w:val="22"/>
          <w:szCs w:val="22"/>
          <w:lang w:eastAsia="en-US"/>
        </w:rPr>
        <w:t xml:space="preserve">radnych </w:t>
      </w:r>
      <w:r w:rsidR="00255933" w:rsidRPr="00890249">
        <w:rPr>
          <w:rFonts w:asciiTheme="minorHAnsi" w:hAnsiTheme="minorHAnsi" w:cstheme="minorHAnsi"/>
          <w:sz w:val="22"/>
          <w:szCs w:val="22"/>
          <w:lang w:eastAsia="en-US"/>
        </w:rPr>
        <w:t>w</w:t>
      </w:r>
      <w:r w:rsidR="000C3AF9" w:rsidRPr="00890249">
        <w:rPr>
          <w:rFonts w:asciiTheme="minorHAnsi" w:hAnsiTheme="minorHAnsi" w:cstheme="minorHAnsi"/>
          <w:sz w:val="22"/>
          <w:szCs w:val="22"/>
          <w:lang w:eastAsia="en-US"/>
        </w:rPr>
        <w:t>oj.</w:t>
      </w:r>
      <w:r w:rsidR="000463EB" w:rsidRPr="00890249">
        <w:rPr>
          <w:rFonts w:asciiTheme="minorHAnsi" w:hAnsiTheme="minorHAnsi" w:cstheme="minorHAnsi"/>
          <w:sz w:val="22"/>
          <w:szCs w:val="22"/>
          <w:lang w:eastAsia="en-US"/>
        </w:rPr>
        <w:t xml:space="preserve"> opolskiego, </w:t>
      </w:r>
      <w:r w:rsidR="00856E6E" w:rsidRPr="00890249">
        <w:rPr>
          <w:rFonts w:asciiTheme="minorHAnsi" w:hAnsiTheme="minorHAnsi" w:cstheme="minorHAnsi"/>
          <w:sz w:val="22"/>
          <w:szCs w:val="22"/>
          <w:lang w:eastAsia="en-US"/>
        </w:rPr>
        <w:t>JST</w:t>
      </w:r>
      <w:r w:rsidR="000463EB" w:rsidRPr="00890249">
        <w:rPr>
          <w:rFonts w:asciiTheme="minorHAnsi" w:hAnsiTheme="minorHAnsi" w:cstheme="minorHAnsi"/>
          <w:sz w:val="22"/>
          <w:szCs w:val="22"/>
          <w:lang w:eastAsia="en-US"/>
        </w:rPr>
        <w:t>, przedstawicieli instytucji nauki i kultury, jednostek naukowo-badawczych,</w:t>
      </w:r>
      <w:r w:rsidR="006D6003">
        <w:rPr>
          <w:rFonts w:asciiTheme="minorHAnsi" w:hAnsiTheme="minorHAnsi" w:cstheme="minorHAnsi"/>
          <w:sz w:val="22"/>
          <w:szCs w:val="22"/>
          <w:lang w:eastAsia="en-US"/>
        </w:rPr>
        <w:t xml:space="preserve"> </w:t>
      </w:r>
      <w:r w:rsidR="00664159" w:rsidRPr="00890249">
        <w:rPr>
          <w:rFonts w:asciiTheme="minorHAnsi" w:hAnsiTheme="minorHAnsi" w:cstheme="minorHAnsi"/>
          <w:sz w:val="22"/>
          <w:szCs w:val="22"/>
          <w:lang w:eastAsia="en-US"/>
        </w:rPr>
        <w:t>podmiotów</w:t>
      </w:r>
      <w:r w:rsidR="000463EB" w:rsidRPr="00890249">
        <w:rPr>
          <w:rFonts w:asciiTheme="minorHAnsi" w:hAnsiTheme="minorHAnsi" w:cstheme="minorHAnsi"/>
          <w:sz w:val="22"/>
          <w:szCs w:val="22"/>
          <w:lang w:eastAsia="en-US"/>
        </w:rPr>
        <w:t xml:space="preserve"> społeczno-gospodarczych, biznesu</w:t>
      </w:r>
      <w:r w:rsidR="000C3AF9" w:rsidRPr="00890249">
        <w:rPr>
          <w:rFonts w:asciiTheme="minorHAnsi" w:hAnsiTheme="minorHAnsi" w:cstheme="minorHAnsi"/>
          <w:sz w:val="22"/>
          <w:szCs w:val="22"/>
          <w:lang w:eastAsia="en-US"/>
        </w:rPr>
        <w:t>,</w:t>
      </w:r>
      <w:r w:rsidR="00255933" w:rsidRPr="00890249">
        <w:rPr>
          <w:rFonts w:asciiTheme="minorHAnsi" w:hAnsiTheme="minorHAnsi" w:cstheme="minorHAnsi"/>
          <w:sz w:val="22"/>
          <w:szCs w:val="22"/>
          <w:lang w:eastAsia="en-US"/>
        </w:rPr>
        <w:t xml:space="preserve"> </w:t>
      </w:r>
      <w:r w:rsidR="000463EB" w:rsidRPr="00890249">
        <w:rPr>
          <w:rFonts w:asciiTheme="minorHAnsi" w:hAnsiTheme="minorHAnsi" w:cstheme="minorHAnsi"/>
          <w:sz w:val="22"/>
          <w:szCs w:val="22"/>
          <w:lang w:eastAsia="en-US"/>
        </w:rPr>
        <w:t xml:space="preserve">organizacji pozarządowych oraz </w:t>
      </w:r>
      <w:r w:rsidR="00664159" w:rsidRPr="00890249">
        <w:rPr>
          <w:rFonts w:asciiTheme="minorHAnsi" w:hAnsiTheme="minorHAnsi" w:cstheme="minorHAnsi"/>
          <w:sz w:val="22"/>
          <w:szCs w:val="22"/>
          <w:lang w:eastAsia="en-US"/>
        </w:rPr>
        <w:t>mieszkańców</w:t>
      </w:r>
      <w:r w:rsidR="003A03D5" w:rsidRPr="00890249">
        <w:rPr>
          <w:rFonts w:asciiTheme="minorHAnsi" w:hAnsiTheme="minorHAnsi" w:cstheme="minorHAnsi"/>
          <w:sz w:val="22"/>
          <w:szCs w:val="22"/>
          <w:lang w:eastAsia="en-US"/>
        </w:rPr>
        <w:t>.</w:t>
      </w:r>
      <w:r w:rsidR="00C57CF9" w:rsidRPr="00890249">
        <w:rPr>
          <w:rFonts w:asciiTheme="minorHAnsi" w:hAnsiTheme="minorHAnsi" w:cstheme="minorHAnsi"/>
          <w:sz w:val="22"/>
          <w:szCs w:val="22"/>
          <w:lang w:eastAsia="en-US" w:bidi="ar-SA"/>
        </w:rPr>
        <w:t xml:space="preserve"> </w:t>
      </w:r>
    </w:p>
    <w:p w14:paraId="450618AA" w14:textId="345998B5" w:rsidR="0093433C" w:rsidRPr="00890249" w:rsidRDefault="00C57CF9" w:rsidP="00890249">
      <w:pPr>
        <w:pStyle w:val="Tekstpodstawowy"/>
        <w:rPr>
          <w:rFonts w:asciiTheme="minorHAnsi" w:hAnsiTheme="minorHAnsi" w:cstheme="minorHAnsi"/>
          <w:sz w:val="22"/>
          <w:szCs w:val="22"/>
          <w:lang w:eastAsia="en-US"/>
        </w:rPr>
      </w:pPr>
      <w:r w:rsidRPr="00890249">
        <w:rPr>
          <w:rFonts w:asciiTheme="minorHAnsi" w:hAnsiTheme="minorHAnsi" w:cstheme="minorHAnsi"/>
          <w:sz w:val="22"/>
          <w:szCs w:val="22"/>
          <w:lang w:eastAsia="en-US"/>
        </w:rPr>
        <w:lastRenderedPageBreak/>
        <w:t>O opinie do treści Prognozy wystąpiono do Regionalnego Dyrektora Ochrony Środowiska w Opolu oraz Opolskiego Państwowego Wojewódzkiego Inspektora Sanitarnego.</w:t>
      </w:r>
      <w:r w:rsidR="003A03D5" w:rsidRPr="00890249">
        <w:rPr>
          <w:rFonts w:asciiTheme="minorHAnsi" w:hAnsiTheme="minorHAnsi" w:cstheme="minorHAnsi"/>
          <w:sz w:val="22"/>
          <w:szCs w:val="22"/>
          <w:lang w:eastAsia="en-US"/>
        </w:rPr>
        <w:t xml:space="preserve"> </w:t>
      </w:r>
      <w:r w:rsidRPr="00890249">
        <w:rPr>
          <w:rFonts w:asciiTheme="minorHAnsi" w:hAnsiTheme="minorHAnsi" w:cstheme="minorHAnsi"/>
          <w:sz w:val="22"/>
          <w:szCs w:val="22"/>
          <w:lang w:eastAsia="en-US"/>
        </w:rPr>
        <w:t xml:space="preserve">Łączna liczba uwag do Prognozy wyniosła 38. Przeważająca część uwag dotyczyła zmian </w:t>
      </w:r>
      <w:r w:rsidR="004A0773" w:rsidRPr="00890249">
        <w:rPr>
          <w:rFonts w:asciiTheme="minorHAnsi" w:hAnsiTheme="minorHAnsi" w:cstheme="minorHAnsi"/>
          <w:sz w:val="22"/>
          <w:szCs w:val="22"/>
          <w:lang w:eastAsia="en-US"/>
        </w:rPr>
        <w:t>merytorycznych lub uzupełnień w </w:t>
      </w:r>
      <w:r w:rsidRPr="00890249">
        <w:rPr>
          <w:rFonts w:asciiTheme="minorHAnsi" w:hAnsiTheme="minorHAnsi" w:cstheme="minorHAnsi"/>
          <w:sz w:val="22"/>
          <w:szCs w:val="22"/>
          <w:lang w:eastAsia="en-US"/>
        </w:rPr>
        <w:t>Prognozie.</w:t>
      </w:r>
    </w:p>
    <w:p w14:paraId="5801BF44" w14:textId="7746C001" w:rsidR="0093433C" w:rsidRPr="00890249" w:rsidRDefault="003A03D5"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rPr>
        <w:t>Wszystkie zgłoszone podczas konsultacji uwagi były indywid</w:t>
      </w:r>
      <w:r w:rsidR="004A0773" w:rsidRPr="00890249">
        <w:rPr>
          <w:rFonts w:asciiTheme="minorHAnsi" w:hAnsiTheme="minorHAnsi" w:cstheme="minorHAnsi"/>
          <w:sz w:val="22"/>
          <w:szCs w:val="22"/>
          <w:lang w:eastAsia="en-US"/>
        </w:rPr>
        <w:t>ualnie rozpatrywane przez ZWO i </w:t>
      </w:r>
      <w:r w:rsidRPr="00890249">
        <w:rPr>
          <w:rFonts w:asciiTheme="minorHAnsi" w:hAnsiTheme="minorHAnsi" w:cstheme="minorHAnsi"/>
          <w:sz w:val="22"/>
          <w:szCs w:val="22"/>
          <w:lang w:eastAsia="en-US"/>
        </w:rPr>
        <w:t xml:space="preserve">uwzględniane w pracach nad dokumentem. Dla zachowania przejrzystości procesu tworzenia </w:t>
      </w:r>
      <w:r w:rsidR="00C57CF9" w:rsidRPr="00890249">
        <w:rPr>
          <w:rFonts w:asciiTheme="minorHAnsi" w:hAnsiTheme="minorHAnsi" w:cstheme="minorHAnsi"/>
          <w:sz w:val="22"/>
          <w:szCs w:val="22"/>
          <w:lang w:eastAsia="en-US"/>
        </w:rPr>
        <w:t>FEO 2021-2027</w:t>
      </w:r>
      <w:r w:rsidRPr="00890249">
        <w:rPr>
          <w:rFonts w:asciiTheme="minorHAnsi" w:hAnsiTheme="minorHAnsi" w:cstheme="minorHAnsi"/>
          <w:sz w:val="22"/>
          <w:szCs w:val="22"/>
          <w:lang w:eastAsia="en-US"/>
        </w:rPr>
        <w:t xml:space="preserve"> wyniki prowadzonych konsultacji społecznych</w:t>
      </w:r>
      <w:r w:rsidR="00490DB1" w:rsidRPr="00890249">
        <w:rPr>
          <w:rFonts w:asciiTheme="minorHAnsi" w:hAnsiTheme="minorHAnsi" w:cstheme="minorHAnsi"/>
          <w:sz w:val="22"/>
          <w:szCs w:val="22"/>
          <w:lang w:eastAsia="en-US"/>
        </w:rPr>
        <w:t xml:space="preserve"> w formie sprawozdania</w:t>
      </w:r>
      <w:r w:rsidR="00C57CF9" w:rsidRPr="00890249">
        <w:rPr>
          <w:rFonts w:asciiTheme="minorHAnsi" w:hAnsiTheme="minorHAnsi" w:cstheme="minorHAnsi"/>
          <w:sz w:val="22"/>
          <w:szCs w:val="22"/>
          <w:lang w:eastAsia="en-US"/>
        </w:rPr>
        <w:t xml:space="preserve"> z każdego z wyżej opisanych procesów</w:t>
      </w:r>
      <w:r w:rsidR="008751D6" w:rsidRPr="00890249">
        <w:rPr>
          <w:rFonts w:asciiTheme="minorHAnsi" w:hAnsiTheme="minorHAnsi" w:cstheme="minorHAnsi"/>
          <w:sz w:val="22"/>
          <w:szCs w:val="22"/>
          <w:lang w:eastAsia="en-US"/>
        </w:rPr>
        <w:t xml:space="preserve"> </w:t>
      </w:r>
      <w:r w:rsidRPr="00890249">
        <w:rPr>
          <w:rFonts w:asciiTheme="minorHAnsi" w:hAnsiTheme="minorHAnsi" w:cstheme="minorHAnsi"/>
          <w:sz w:val="22"/>
          <w:szCs w:val="22"/>
          <w:lang w:eastAsia="en-US"/>
        </w:rPr>
        <w:t>(w tym odniesienie się do zgłoszonych propozycji), przekazane zostały do publicznej wiadomości poprzez zamieszczenie na stronie internetowej</w:t>
      </w:r>
      <w:r w:rsidR="00645473" w:rsidRPr="00890249">
        <w:rPr>
          <w:rFonts w:asciiTheme="minorHAnsi" w:hAnsiTheme="minorHAnsi" w:cstheme="minorHAnsi"/>
          <w:sz w:val="22"/>
          <w:szCs w:val="22"/>
          <w:lang w:eastAsia="en-US"/>
        </w:rPr>
        <w:t xml:space="preserve"> IZ RPO WO.</w:t>
      </w:r>
    </w:p>
    <w:p w14:paraId="433015BA" w14:textId="77777777" w:rsidR="0093433C" w:rsidRPr="00890249" w:rsidRDefault="00733747"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IZ powołało Grupę ds. realizacji zasady Partnerstwa, w skład której wchodzą przedstawiciele parterów społeczno-gospodarczych i podmiotów reprezentujących społeczeństwo obywatelskie, co jest zgodne z art. 8 rozporządzenia ogólnego oraz art. 8 Kodeksu Partnerstwa.</w:t>
      </w:r>
    </w:p>
    <w:p w14:paraId="7076D61D" w14:textId="77777777" w:rsidR="0093433C" w:rsidRPr="00890249" w:rsidRDefault="000B6A6B" w:rsidP="00890249">
      <w:pPr>
        <w:pStyle w:val="Nagwek7"/>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i w:val="0"/>
          <w:color w:val="auto"/>
          <w:sz w:val="22"/>
          <w:szCs w:val="22"/>
          <w:lang w:eastAsia="en-US" w:bidi="ar-SA"/>
        </w:rPr>
        <w:t>Zgodnie</w:t>
      </w:r>
      <w:r w:rsidR="00DC588A" w:rsidRPr="00890249">
        <w:rPr>
          <w:rFonts w:asciiTheme="minorHAnsi" w:eastAsiaTheme="minorHAnsi" w:hAnsiTheme="minorHAnsi" w:cstheme="minorHAnsi"/>
          <w:i w:val="0"/>
          <w:color w:val="auto"/>
          <w:sz w:val="22"/>
          <w:szCs w:val="22"/>
          <w:lang w:eastAsia="en-US" w:bidi="ar-SA"/>
        </w:rPr>
        <w:t xml:space="preserve"> z art. 9 rozporządzenia EFS+:</w:t>
      </w:r>
    </w:p>
    <w:p w14:paraId="366D86DC" w14:textId="4CA45644" w:rsidR="0093433C" w:rsidRPr="00890249" w:rsidRDefault="00DC588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w:t>
      </w:r>
      <w:r w:rsidR="006D6003">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w ramach cs (d) zaplanowano wsparcie doradcze dla związków zawodowych i organizacji pracodawców w zakresie m.in. wdrażania elastycznych form zatrudnienia,</w:t>
      </w:r>
    </w:p>
    <w:p w14:paraId="584E5E32" w14:textId="77777777" w:rsidR="0093433C" w:rsidRPr="00890249" w:rsidRDefault="00DC588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w ramach cs (f), (g), (h), (i), (j), (k) oraz (l)  planuje się budowanie zdolności i potencjału organizacji społeczeństwa obywatelskiego poprzez przede wszystkim wsparcie szkoleniowe i doradcze służące podniesieniu kompetencji do realizacji zadań w ramach danego cs</w:t>
      </w:r>
      <w:r w:rsidR="005F28AA" w:rsidRPr="00890249">
        <w:rPr>
          <w:rFonts w:asciiTheme="minorHAnsi" w:hAnsiTheme="minorHAnsi" w:cstheme="minorHAnsi"/>
          <w:sz w:val="22"/>
          <w:szCs w:val="22"/>
          <w:lang w:eastAsia="en-US" w:bidi="ar-SA"/>
        </w:rPr>
        <w:t>,</w:t>
      </w:r>
    </w:p>
    <w:p w14:paraId="488BA840" w14:textId="056F93B4" w:rsidR="0093433C" w:rsidRPr="00890249" w:rsidRDefault="000B6A6B"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Pomimo zawarcia działań w zakresie budowy zdolności partnerów społeczeństwa obywatelskiego w</w:t>
      </w:r>
      <w:r w:rsidR="009E0297"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celu (d), (f), (g), (h), (i), (j), (k) oraz (l) zakres merytoryczny działań w cs (h) będzie szerszy i będzie mógł dotyczyć budowy zdolności partnerów społeczeństwa obywatelskiego w obszarach wszystkich pięciu celów Polityki Spójności 2021 – 2027.</w:t>
      </w:r>
      <w:r w:rsidR="00E923D9" w:rsidRPr="00890249">
        <w:rPr>
          <w:rFonts w:asciiTheme="minorHAnsi" w:hAnsiTheme="minorHAnsi" w:cstheme="minorHAnsi"/>
          <w:sz w:val="22"/>
          <w:szCs w:val="22"/>
          <w:lang w:eastAsia="en-US" w:bidi="ar-SA"/>
        </w:rPr>
        <w:t xml:space="preserve"> </w:t>
      </w:r>
    </w:p>
    <w:p w14:paraId="4EDDDA24" w14:textId="329464A0" w:rsidR="0093433C" w:rsidRPr="00890249" w:rsidRDefault="00DC588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Ponadto w ramach </w:t>
      </w:r>
      <w:r w:rsidR="00AA756E" w:rsidRPr="00890249">
        <w:rPr>
          <w:rFonts w:asciiTheme="minorHAnsi" w:hAnsiTheme="minorHAnsi" w:cstheme="minorHAnsi"/>
          <w:sz w:val="22"/>
          <w:szCs w:val="22"/>
          <w:lang w:eastAsia="en-US" w:bidi="ar-SA"/>
        </w:rPr>
        <w:t>EBO i EMBO</w:t>
      </w:r>
      <w:r w:rsidR="00AA3C86" w:rsidRPr="00890249">
        <w:rPr>
          <w:rFonts w:asciiTheme="minorHAnsi" w:hAnsiTheme="minorHAnsi" w:cstheme="minorHAnsi"/>
          <w:sz w:val="22"/>
          <w:szCs w:val="22"/>
          <w:lang w:eastAsia="en-US" w:bidi="ar-SA"/>
        </w:rPr>
        <w:t xml:space="preserve"> </w:t>
      </w:r>
      <w:r w:rsidRPr="00890249">
        <w:rPr>
          <w:rFonts w:asciiTheme="minorHAnsi" w:hAnsiTheme="minorHAnsi" w:cstheme="minorHAnsi"/>
          <w:sz w:val="22"/>
          <w:szCs w:val="22"/>
          <w:lang w:eastAsia="en-US" w:bidi="ar-SA"/>
        </w:rPr>
        <w:t>realizowane będą działania z zakresu c</w:t>
      </w:r>
      <w:r w:rsidR="00AA756E" w:rsidRPr="00890249">
        <w:rPr>
          <w:rFonts w:asciiTheme="minorHAnsi" w:hAnsiTheme="minorHAnsi" w:cstheme="minorHAnsi"/>
          <w:sz w:val="22"/>
          <w:szCs w:val="22"/>
          <w:lang w:eastAsia="en-US" w:bidi="ar-SA"/>
        </w:rPr>
        <w:t>s</w:t>
      </w:r>
      <w:r w:rsidRPr="00890249">
        <w:rPr>
          <w:rFonts w:asciiTheme="minorHAnsi" w:hAnsiTheme="minorHAnsi" w:cstheme="minorHAnsi"/>
          <w:sz w:val="22"/>
          <w:szCs w:val="22"/>
          <w:lang w:eastAsia="en-US" w:bidi="ar-SA"/>
        </w:rPr>
        <w:t xml:space="preserve"> </w:t>
      </w:r>
      <w:r w:rsidR="00AA3C86" w:rsidRPr="00890249">
        <w:rPr>
          <w:rFonts w:asciiTheme="minorHAnsi" w:hAnsiTheme="minorHAnsi" w:cstheme="minorHAnsi"/>
          <w:sz w:val="22"/>
          <w:szCs w:val="22"/>
          <w:lang w:eastAsia="en-US" w:bidi="ar-SA"/>
        </w:rPr>
        <w:t>(a)</w:t>
      </w:r>
      <w:r w:rsidR="00E91526">
        <w:rPr>
          <w:rFonts w:asciiTheme="minorHAnsi" w:hAnsiTheme="minorHAnsi" w:cstheme="minorHAnsi"/>
          <w:sz w:val="22"/>
          <w:szCs w:val="22"/>
          <w:lang w:eastAsia="en-US" w:bidi="ar-SA"/>
        </w:rPr>
        <w:t>,</w:t>
      </w:r>
      <w:r w:rsidR="00AA3C86" w:rsidRPr="00890249">
        <w:rPr>
          <w:rFonts w:asciiTheme="minorHAnsi" w:hAnsiTheme="minorHAnsi" w:cstheme="minorHAnsi"/>
          <w:sz w:val="22"/>
          <w:szCs w:val="22"/>
          <w:lang w:eastAsia="en-US" w:bidi="ar-SA"/>
        </w:rPr>
        <w:t xml:space="preserve"> </w:t>
      </w:r>
      <w:r w:rsidR="00E91526">
        <w:rPr>
          <w:rFonts w:asciiTheme="minorHAnsi" w:hAnsiTheme="minorHAnsi" w:cstheme="minorHAnsi"/>
          <w:sz w:val="22"/>
          <w:szCs w:val="22"/>
          <w:lang w:eastAsia="en-US" w:bidi="ar-SA"/>
        </w:rPr>
        <w:t xml:space="preserve">(c), </w:t>
      </w:r>
      <w:r w:rsidRPr="00890249">
        <w:rPr>
          <w:rFonts w:asciiTheme="minorHAnsi" w:hAnsiTheme="minorHAnsi" w:cstheme="minorHAnsi"/>
          <w:sz w:val="22"/>
          <w:szCs w:val="22"/>
          <w:lang w:eastAsia="en-US" w:bidi="ar-SA"/>
        </w:rPr>
        <w:t xml:space="preserve">(f), (g), (h), </w:t>
      </w:r>
      <w:r w:rsidR="00AA3C86" w:rsidRPr="00890249">
        <w:rPr>
          <w:rFonts w:asciiTheme="minorHAnsi" w:hAnsiTheme="minorHAnsi" w:cstheme="minorHAnsi"/>
          <w:sz w:val="22"/>
          <w:szCs w:val="22"/>
          <w:lang w:eastAsia="en-US" w:bidi="ar-SA"/>
        </w:rPr>
        <w:t xml:space="preserve">(i), </w:t>
      </w:r>
      <w:r w:rsidRPr="00890249">
        <w:rPr>
          <w:rFonts w:asciiTheme="minorHAnsi" w:hAnsiTheme="minorHAnsi" w:cstheme="minorHAnsi"/>
          <w:sz w:val="22"/>
          <w:szCs w:val="22"/>
          <w:lang w:eastAsia="en-US" w:bidi="ar-SA"/>
        </w:rPr>
        <w:t>(k) oraz (l). Przedsięwzięcia te będą miały charakter inicjatywy oddolnej, służącej wzmocnieniu dialogu społecznego, ze znaczącym zaangażowaniem zarówno organizacji społeczeństwa obywatelskiego, jak i samych mieszkańców województwa opolskiego. Planuje się budowanie ich potencjału do realizacji działań na rzecz obszaru edukacji, włączenia i integracji społecznej oraz usług społecznych i</w:t>
      </w:r>
      <w:r w:rsidR="009E0297" w:rsidRPr="00890249">
        <w:rPr>
          <w:rFonts w:asciiTheme="minorHAnsi" w:hAnsiTheme="minorHAnsi" w:cstheme="minorHAnsi"/>
          <w:sz w:val="22"/>
          <w:szCs w:val="22"/>
          <w:lang w:eastAsia="en-US" w:bidi="ar-SA"/>
        </w:rPr>
        <w:t> </w:t>
      </w:r>
      <w:r w:rsidRPr="00890249">
        <w:rPr>
          <w:rFonts w:asciiTheme="minorHAnsi" w:hAnsiTheme="minorHAnsi" w:cstheme="minorHAnsi"/>
          <w:sz w:val="22"/>
          <w:szCs w:val="22"/>
          <w:lang w:eastAsia="en-US" w:bidi="ar-SA"/>
        </w:rPr>
        <w:t>zdrowotnych.</w:t>
      </w:r>
    </w:p>
    <w:p w14:paraId="02D8F107" w14:textId="77777777" w:rsidR="0093433C" w:rsidRPr="00890249" w:rsidRDefault="00AA756E"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Na poziomie programu krajowego zostanie spełniony warunek zapewnienia przez państwo członkowskie minimum 0,25% alokacji EFS+ na wsparcie systemowe partnerów społecznych oraz organizacji pozarządowych. </w:t>
      </w:r>
    </w:p>
    <w:p w14:paraId="30B174C4" w14:textId="33FA4103" w:rsidR="0093433C" w:rsidRPr="00890249" w:rsidRDefault="00DC588A"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Oszacowano, iż łącznie, we wszystkich ww. obszarach alokacja na budowanie potencjału społeczeństwa obywatelskiego stanowić będzie </w:t>
      </w:r>
      <w:r w:rsidR="005F28AA" w:rsidRPr="00890249">
        <w:rPr>
          <w:rFonts w:asciiTheme="minorHAnsi" w:hAnsiTheme="minorHAnsi" w:cstheme="minorHAnsi"/>
          <w:sz w:val="22"/>
          <w:szCs w:val="22"/>
          <w:lang w:eastAsia="en-US" w:bidi="ar-SA"/>
        </w:rPr>
        <w:t>5,09</w:t>
      </w:r>
      <w:r w:rsidRPr="00890249">
        <w:rPr>
          <w:rFonts w:asciiTheme="minorHAnsi" w:hAnsiTheme="minorHAnsi" w:cstheme="minorHAnsi"/>
          <w:sz w:val="22"/>
          <w:szCs w:val="22"/>
          <w:lang w:eastAsia="en-US" w:bidi="ar-SA"/>
        </w:rPr>
        <w:t xml:space="preserve"> % cał</w:t>
      </w:r>
      <w:r w:rsidR="008451B2" w:rsidRPr="00890249">
        <w:rPr>
          <w:rFonts w:asciiTheme="minorHAnsi" w:hAnsiTheme="minorHAnsi" w:cstheme="minorHAnsi"/>
          <w:sz w:val="22"/>
          <w:szCs w:val="22"/>
          <w:lang w:eastAsia="en-US" w:bidi="ar-SA"/>
        </w:rPr>
        <w:t>ej kwoty przeznaczonej na EFS+.</w:t>
      </w:r>
    </w:p>
    <w:p w14:paraId="052FBF10" w14:textId="229CDD45" w:rsidR="0093433C" w:rsidRPr="00890249" w:rsidRDefault="009A742F" w:rsidP="00890249">
      <w:pPr>
        <w:pStyle w:val="Tekstpodstawowy"/>
        <w:rPr>
          <w:rFonts w:asciiTheme="minorHAnsi" w:hAnsiTheme="minorHAnsi" w:cstheme="minorHAnsi"/>
          <w:sz w:val="22"/>
          <w:szCs w:val="22"/>
          <w:lang w:eastAsia="en-US" w:bidi="ar-SA"/>
        </w:rPr>
      </w:pPr>
      <w:r w:rsidRPr="00890249">
        <w:rPr>
          <w:rFonts w:asciiTheme="minorHAnsi" w:hAnsiTheme="minorHAnsi" w:cstheme="minorHAnsi"/>
          <w:sz w:val="22"/>
          <w:szCs w:val="22"/>
          <w:lang w:eastAsia="en-US" w:bidi="ar-SA"/>
        </w:rPr>
        <w:t xml:space="preserve">Ponadto obecnie trwają pracę nad projektem Programu Współpracy </w:t>
      </w:r>
      <w:r w:rsidR="00AA756E" w:rsidRPr="00890249">
        <w:rPr>
          <w:rFonts w:asciiTheme="minorHAnsi" w:hAnsiTheme="minorHAnsi" w:cstheme="minorHAnsi"/>
          <w:sz w:val="22"/>
          <w:szCs w:val="22"/>
          <w:lang w:eastAsia="en-US" w:bidi="ar-SA"/>
        </w:rPr>
        <w:t>SWO</w:t>
      </w:r>
      <w:r w:rsidRPr="00890249">
        <w:rPr>
          <w:rFonts w:asciiTheme="minorHAnsi" w:hAnsiTheme="minorHAnsi" w:cstheme="minorHAnsi"/>
          <w:sz w:val="22"/>
          <w:szCs w:val="22"/>
          <w:lang w:eastAsia="en-US" w:bidi="ar-SA"/>
        </w:rPr>
        <w:t xml:space="preserve"> z organizacjami pozarządowymi oraz podmiotami prowadzącymi działalność pożytku publicznego.</w:t>
      </w:r>
    </w:p>
    <w:p w14:paraId="03ED562D" w14:textId="77777777" w:rsidR="004A0773" w:rsidRPr="00890249" w:rsidRDefault="004A0773" w:rsidP="00DC588A">
      <w:pPr>
        <w:spacing w:before="0" w:after="160" w:line="259" w:lineRule="auto"/>
        <w:jc w:val="left"/>
        <w:rPr>
          <w:rFonts w:asciiTheme="minorHAnsi" w:eastAsiaTheme="minorHAnsi" w:hAnsiTheme="minorHAnsi" w:cstheme="minorHAnsi"/>
          <w:sz w:val="22"/>
          <w:szCs w:val="22"/>
          <w:lang w:eastAsia="en-US" w:bidi="ar-SA"/>
        </w:rPr>
      </w:pPr>
      <w:r w:rsidRPr="00890249">
        <w:rPr>
          <w:rFonts w:asciiTheme="minorHAnsi" w:eastAsiaTheme="minorHAnsi" w:hAnsiTheme="minorHAnsi" w:cstheme="minorHAnsi"/>
          <w:sz w:val="22"/>
          <w:szCs w:val="22"/>
          <w:lang w:eastAsia="en-US" w:bidi="ar-SA"/>
        </w:rPr>
        <w:br w:type="page"/>
      </w:r>
    </w:p>
    <w:p w14:paraId="430FA555" w14:textId="77777777" w:rsidR="00F86514" w:rsidRPr="009F296A" w:rsidRDefault="001F7B70" w:rsidP="009F296A">
      <w:pPr>
        <w:pStyle w:val="Nagwek1"/>
      </w:pPr>
      <w:r w:rsidRPr="009F296A">
        <w:lastRenderedPageBreak/>
        <w:t xml:space="preserve"> </w:t>
      </w:r>
      <w:bookmarkStart w:id="90" w:name="_Toc188266929"/>
      <w:r w:rsidR="007440D3" w:rsidRPr="009F296A">
        <w:t>KOMUNIKACJA I WIDOCZNOŚĆ</w:t>
      </w:r>
      <w:bookmarkEnd w:id="90"/>
    </w:p>
    <w:p w14:paraId="0A64436C" w14:textId="3F8C435E" w:rsidR="0093433C" w:rsidRPr="00890249" w:rsidRDefault="00875C92" w:rsidP="00D26F92">
      <w:pPr>
        <w:pStyle w:val="Lista-kontynuacja"/>
        <w:ind w:left="0"/>
        <w:rPr>
          <w:rFonts w:asciiTheme="minorHAnsi" w:hAnsiTheme="minorHAnsi" w:cstheme="minorHAnsi"/>
          <w:sz w:val="22"/>
          <w:szCs w:val="22"/>
        </w:rPr>
      </w:pPr>
      <w:r w:rsidRPr="00890249">
        <w:rPr>
          <w:rFonts w:asciiTheme="minorHAnsi" w:hAnsiTheme="minorHAnsi" w:cstheme="minorHAnsi"/>
          <w:sz w:val="22"/>
          <w:szCs w:val="22"/>
        </w:rPr>
        <w:t>Informowanie o Programie stanowi element krajowego systemu komunikacji marki FE, który podkreśla cele i znaczenie UE. Działania komunikacyjne wiążą cele Programu z głównymi celami PS, które są zgodne z celami UE. W komunikacji akcentowane są strategie UE, w które wpisują się projekty. Korzyści rozwojowe są podkreślane nie tylko na poziomie regionalnym, ale także w</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kontekście celów rozwojowych UE. Komunikacja uwzględnia zasady dostępności, równości szans i</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niedyskryminacji, postępującej cyfryzacji i zielonego ładu.</w:t>
      </w:r>
    </w:p>
    <w:p w14:paraId="01EAF2AD" w14:textId="636365B3" w:rsidR="0093433C" w:rsidRPr="00890249" w:rsidRDefault="00BF526C" w:rsidP="00D26F92">
      <w:pPr>
        <w:pStyle w:val="Lista-kontynuacja"/>
        <w:ind w:left="0"/>
        <w:rPr>
          <w:rFonts w:asciiTheme="minorHAnsi" w:hAnsiTheme="minorHAnsi" w:cstheme="minorHAnsi"/>
          <w:sz w:val="22"/>
          <w:szCs w:val="22"/>
        </w:rPr>
      </w:pPr>
      <w:r w:rsidRPr="00890249">
        <w:rPr>
          <w:rFonts w:asciiTheme="minorHAnsi" w:hAnsiTheme="minorHAnsi" w:cstheme="minorHAnsi"/>
          <w:sz w:val="22"/>
          <w:szCs w:val="22"/>
        </w:rPr>
        <w:t>Narzędziami systemu komunikacji są wspólna strategia komunikacji polityki spójności określająca reguły i schematy prowadzenia działań informacyjnych i promocyjnych. Strategia komunikacji programu Fundusze Europejskie dla Opolskiego 2021</w:t>
      </w:r>
      <w:r w:rsidR="00875C92" w:rsidRPr="00890249">
        <w:rPr>
          <w:rFonts w:asciiTheme="minorHAnsi" w:hAnsiTheme="minorHAnsi" w:cstheme="minorHAnsi"/>
          <w:sz w:val="22"/>
          <w:szCs w:val="22"/>
        </w:rPr>
        <w:t>-2027</w:t>
      </w:r>
      <w:r w:rsidRPr="00890249">
        <w:rPr>
          <w:rFonts w:asciiTheme="minorHAnsi" w:hAnsiTheme="minorHAnsi" w:cstheme="minorHAnsi"/>
          <w:sz w:val="22"/>
          <w:szCs w:val="22"/>
        </w:rPr>
        <w:t xml:space="preserve"> doprecyzowująca</w:t>
      </w:r>
      <w:r w:rsidR="00875C92" w:rsidRPr="00890249">
        <w:rPr>
          <w:rFonts w:asciiTheme="minorHAnsi" w:hAnsiTheme="minorHAnsi" w:cstheme="minorHAnsi"/>
          <w:sz w:val="22"/>
          <w:szCs w:val="22"/>
        </w:rPr>
        <w:t xml:space="preserve"> wizję komunikacji i</w:t>
      </w:r>
      <w:r w:rsidR="00B86882" w:rsidRPr="00890249">
        <w:rPr>
          <w:rFonts w:asciiTheme="minorHAnsi" w:hAnsiTheme="minorHAnsi" w:cstheme="minorHAnsi"/>
          <w:sz w:val="22"/>
          <w:szCs w:val="22"/>
        </w:rPr>
        <w:t> </w:t>
      </w:r>
      <w:r w:rsidR="00875C92" w:rsidRPr="00890249">
        <w:rPr>
          <w:rFonts w:asciiTheme="minorHAnsi" w:hAnsiTheme="minorHAnsi" w:cstheme="minorHAnsi"/>
          <w:sz w:val="22"/>
          <w:szCs w:val="22"/>
        </w:rPr>
        <w:t>główne założenia przedstawione w tym rozdziale.  Sposób realizacji działań informacyjnych i</w:t>
      </w:r>
      <w:r w:rsidR="00B86882" w:rsidRPr="00890249">
        <w:rPr>
          <w:rFonts w:asciiTheme="minorHAnsi" w:hAnsiTheme="minorHAnsi" w:cstheme="minorHAnsi"/>
          <w:sz w:val="22"/>
          <w:szCs w:val="22"/>
        </w:rPr>
        <w:t> </w:t>
      </w:r>
      <w:r w:rsidR="00875C92" w:rsidRPr="00890249">
        <w:rPr>
          <w:rFonts w:asciiTheme="minorHAnsi" w:hAnsiTheme="minorHAnsi" w:cstheme="minorHAnsi"/>
          <w:sz w:val="22"/>
          <w:szCs w:val="22"/>
        </w:rPr>
        <w:t>promocyjnych będzie określany w rocznych planach działań, a postępy w realizacji działań komunikacyjnych będą analizowane przez Komitet Monitorujący FEO.</w:t>
      </w:r>
      <w:r w:rsidR="00F43550" w:rsidRPr="00890249">
        <w:rPr>
          <w:rFonts w:asciiTheme="minorHAnsi" w:hAnsiTheme="minorHAnsi" w:cstheme="minorHAnsi"/>
          <w:sz w:val="22"/>
          <w:szCs w:val="22"/>
        </w:rPr>
        <w:t xml:space="preserve"> Obowiązki informacyjno-promocyjne beneficjentów są załącznikiem do umowy. Odpowiednia komunikacja ma zastosowanie do schematów pomocowych, wiązek projektów, a operacje strategiczne podlegają specjalnym działaniom promocyjnym.</w:t>
      </w:r>
    </w:p>
    <w:p w14:paraId="4BD29087" w14:textId="77777777" w:rsidR="0093433C" w:rsidRPr="00890249" w:rsidRDefault="00875C92" w:rsidP="00D26F92">
      <w:pPr>
        <w:pStyle w:val="Lista-kontynuacja"/>
        <w:ind w:left="0"/>
        <w:rPr>
          <w:rFonts w:asciiTheme="minorHAnsi" w:hAnsiTheme="minorHAnsi" w:cstheme="minorHAnsi"/>
          <w:sz w:val="22"/>
          <w:szCs w:val="22"/>
        </w:rPr>
      </w:pPr>
      <w:r w:rsidRPr="00890249">
        <w:rPr>
          <w:rFonts w:asciiTheme="minorHAnsi" w:hAnsiTheme="minorHAnsi" w:cstheme="minorHAnsi"/>
          <w:sz w:val="22"/>
          <w:szCs w:val="22"/>
        </w:rPr>
        <w:t xml:space="preserve">W celu uniknięcia podwójnych standardów komunikacji obowiązkiem właściwej komunikacji objęte są również </w:t>
      </w:r>
      <w:r w:rsidRPr="00890249">
        <w:rPr>
          <w:rFonts w:asciiTheme="minorHAnsi" w:hAnsiTheme="minorHAnsi" w:cstheme="minorHAnsi"/>
          <w:bCs/>
          <w:sz w:val="22"/>
          <w:szCs w:val="22"/>
        </w:rPr>
        <w:t xml:space="preserve">inne organy właściwych władz publicznych, </w:t>
      </w:r>
      <w:r w:rsidRPr="00890249">
        <w:rPr>
          <w:rFonts w:asciiTheme="minorHAnsi" w:hAnsiTheme="minorHAnsi" w:cstheme="minorHAnsi"/>
          <w:sz w:val="22"/>
          <w:szCs w:val="22"/>
        </w:rPr>
        <w:t>jeżeli ich zakres odpowiedzialności obejmuje planowanie, finansowanie, realizację lub nadzór nad realizacją projektów otrzymujących dofinansowanie UE.</w:t>
      </w:r>
    </w:p>
    <w:p w14:paraId="13FA6EEF" w14:textId="2621C3A1" w:rsidR="0093433C" w:rsidRPr="00890249" w:rsidRDefault="00875C92" w:rsidP="00D26F92">
      <w:pPr>
        <w:pStyle w:val="Lista-kontynuacja"/>
        <w:ind w:left="0"/>
        <w:rPr>
          <w:rStyle w:val="Odwoaniedokomentarza"/>
          <w:rFonts w:asciiTheme="minorHAnsi" w:eastAsiaTheme="minorHAnsi" w:hAnsiTheme="minorHAnsi" w:cstheme="minorHAnsi"/>
          <w:sz w:val="22"/>
          <w:szCs w:val="22"/>
          <w:lang w:eastAsia="en-US" w:bidi="ar-SA"/>
        </w:rPr>
      </w:pPr>
      <w:r w:rsidRPr="00890249">
        <w:rPr>
          <w:rFonts w:asciiTheme="minorHAnsi" w:hAnsiTheme="minorHAnsi" w:cstheme="minorHAnsi"/>
          <w:sz w:val="22"/>
          <w:szCs w:val="22"/>
        </w:rPr>
        <w:t>Działania komunikacyjne prowadzone są wyłącznie w obszarze FE w ramach określonych celów z</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wyłączeniem działań mających inny zakres np. promowania instytucji lub osób oraz działań o</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 xml:space="preserve">charakterze politycznym. </w:t>
      </w:r>
      <w:r w:rsidRPr="00890249">
        <w:rPr>
          <w:rStyle w:val="Odwoaniedokomentarza"/>
          <w:rFonts w:asciiTheme="minorHAnsi" w:eastAsiaTheme="minorHAnsi" w:hAnsiTheme="minorHAnsi" w:cstheme="minorHAnsi"/>
          <w:sz w:val="22"/>
          <w:szCs w:val="22"/>
          <w:lang w:eastAsia="en-US" w:bidi="ar-SA"/>
        </w:rPr>
        <w:t xml:space="preserve"> </w:t>
      </w:r>
    </w:p>
    <w:p w14:paraId="6AE06C54" w14:textId="77777777" w:rsidR="0093433C" w:rsidRPr="00890249" w:rsidRDefault="00875C92" w:rsidP="00D26F92">
      <w:pPr>
        <w:pStyle w:val="Lista-kontynuacja"/>
        <w:ind w:left="0"/>
        <w:rPr>
          <w:rFonts w:asciiTheme="minorHAnsi" w:hAnsiTheme="minorHAnsi" w:cstheme="minorHAnsi"/>
          <w:sz w:val="22"/>
          <w:szCs w:val="22"/>
        </w:rPr>
      </w:pPr>
      <w:r w:rsidRPr="00890249">
        <w:rPr>
          <w:rFonts w:asciiTheme="minorHAnsi" w:hAnsiTheme="minorHAnsi" w:cstheme="minorHAnsi"/>
          <w:sz w:val="22"/>
          <w:szCs w:val="22"/>
        </w:rPr>
        <w:t>Wymiar europejski komunikacji jest zapewniony poprzez m. in. zaproszenia przedstawicieli KE na wydarzenia związane z projektami, uwzględnienie wystąpień KE w scenariuszu wydarzeń, włączanie cytatu KE do informacji prasowej.</w:t>
      </w:r>
    </w:p>
    <w:p w14:paraId="3699BA4A" w14:textId="77777777" w:rsidR="0093433C" w:rsidRPr="00D26F92" w:rsidRDefault="00E72166" w:rsidP="00890249">
      <w:pPr>
        <w:pStyle w:val="Nagwek6"/>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t xml:space="preserve">Cel strategiczny </w:t>
      </w:r>
    </w:p>
    <w:p w14:paraId="2493B877" w14:textId="785AC3B0"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Pomoc w wykorzystaniu FE dla rozwoju Polski, podnoszenie świadomości znaczenia FE i roli UE w</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rozwoju całego kraju i jego regionów.</w:t>
      </w:r>
    </w:p>
    <w:p w14:paraId="102564AF" w14:textId="77777777" w:rsidR="0093433C" w:rsidRPr="00D26F92" w:rsidRDefault="00E72166" w:rsidP="00890249">
      <w:pPr>
        <w:pStyle w:val="Nagwek6"/>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t xml:space="preserve">Cele szczegółowe </w:t>
      </w:r>
    </w:p>
    <w:p w14:paraId="2287ED4B" w14:textId="77777777"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 xml:space="preserve">aktywizacja do sięgania po FE </w:t>
      </w:r>
    </w:p>
    <w:p w14:paraId="4F2ED633" w14:textId="77777777"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wsparcie realizacji projektów</w:t>
      </w:r>
    </w:p>
    <w:p w14:paraId="6677AEA5" w14:textId="77777777"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 xml:space="preserve">zachowanie transparentności źródła otrzymanego wsparcia z UE </w:t>
      </w:r>
    </w:p>
    <w:p w14:paraId="310A618C" w14:textId="4D122CB9"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zapewnienie powszechnej akceptacji dla wsparcia udzielanego w ramach Programu i FE oraz wysokiej świadomości ogółu społeczeństwa o celach, podejmowanych działaniach i</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oczekiwanych efektach Programu, wspólnych wartościach UE, w tym równości, niedyskryminacji, włączenia społecznego w celu zwalczania negatywnych stereotypów dot. grup narażonych na dyskryminację.</w:t>
      </w:r>
    </w:p>
    <w:p w14:paraId="0573544A" w14:textId="77777777" w:rsidR="0093433C" w:rsidRPr="00D26F92" w:rsidRDefault="00E72166" w:rsidP="00890249">
      <w:pPr>
        <w:pStyle w:val="Nagwek6"/>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t>Grupy docelowe</w:t>
      </w:r>
    </w:p>
    <w:p w14:paraId="141AE7C9" w14:textId="77777777"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 xml:space="preserve">grupy docelowe FEO </w:t>
      </w:r>
    </w:p>
    <w:p w14:paraId="54FA31FF" w14:textId="77777777"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beneficjenci, potencjalni beneficjenci, uczestnicy projektów</w:t>
      </w:r>
    </w:p>
    <w:p w14:paraId="0ECBE172" w14:textId="77777777" w:rsidR="0093433C" w:rsidRPr="00890249" w:rsidRDefault="00875C92" w:rsidP="009F296A">
      <w:pPr>
        <w:pStyle w:val="Listapunktowana2"/>
        <w:numPr>
          <w:ilvl w:val="0"/>
          <w:numId w:val="22"/>
        </w:numPr>
        <w:rPr>
          <w:rFonts w:asciiTheme="minorHAnsi" w:hAnsiTheme="minorHAnsi" w:cstheme="minorHAnsi"/>
          <w:sz w:val="22"/>
          <w:szCs w:val="22"/>
        </w:rPr>
      </w:pPr>
      <w:r w:rsidRPr="00890249">
        <w:rPr>
          <w:rFonts w:asciiTheme="minorHAnsi" w:hAnsiTheme="minorHAnsi" w:cstheme="minorHAnsi"/>
          <w:sz w:val="22"/>
          <w:szCs w:val="22"/>
        </w:rPr>
        <w:t>ogół społeczeństwa, w szczególności osoby o niskim poziomie wiedzy o FE, osoby młode, seniorzy</w:t>
      </w:r>
    </w:p>
    <w:p w14:paraId="02897EAF" w14:textId="3291D20C" w:rsidR="00B72154" w:rsidRPr="00890249" w:rsidRDefault="00875C92" w:rsidP="006D6003">
      <w:pPr>
        <w:pStyle w:val="Listapunktowana2"/>
        <w:tabs>
          <w:tab w:val="clear" w:pos="643"/>
          <w:tab w:val="num" w:pos="709"/>
        </w:tabs>
        <w:ind w:left="709" w:hanging="359"/>
        <w:rPr>
          <w:rFonts w:asciiTheme="minorHAnsi" w:hAnsiTheme="minorHAnsi" w:cstheme="minorHAnsi"/>
          <w:sz w:val="22"/>
          <w:szCs w:val="22"/>
        </w:rPr>
      </w:pPr>
      <w:r w:rsidRPr="00890249">
        <w:rPr>
          <w:rFonts w:asciiTheme="minorHAnsi" w:hAnsiTheme="minorHAnsi" w:cstheme="minorHAnsi"/>
          <w:sz w:val="22"/>
          <w:szCs w:val="22"/>
        </w:rPr>
        <w:t>media, środowiska opiniotwórcze</w:t>
      </w:r>
    </w:p>
    <w:p w14:paraId="1F33E9AF" w14:textId="25989174" w:rsidR="000D7DC2" w:rsidRPr="00890249" w:rsidRDefault="000D7DC2">
      <w:pPr>
        <w:spacing w:before="0" w:after="160" w:line="259" w:lineRule="auto"/>
        <w:jc w:val="left"/>
        <w:rPr>
          <w:rFonts w:asciiTheme="minorHAnsi" w:hAnsiTheme="minorHAnsi" w:cstheme="minorHAnsi"/>
          <w:sz w:val="22"/>
          <w:szCs w:val="22"/>
        </w:rPr>
      </w:pPr>
      <w:r w:rsidRPr="00890249">
        <w:rPr>
          <w:rFonts w:asciiTheme="minorHAnsi" w:hAnsiTheme="minorHAnsi" w:cstheme="minorHAnsi"/>
          <w:sz w:val="22"/>
          <w:szCs w:val="22"/>
        </w:rPr>
        <w:br w:type="page"/>
      </w:r>
    </w:p>
    <w:p w14:paraId="26B1B9D4" w14:textId="77777777" w:rsidR="0093433C" w:rsidRPr="00D26F92" w:rsidRDefault="00E72166" w:rsidP="00890249">
      <w:pPr>
        <w:pStyle w:val="Nagwek6"/>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lastRenderedPageBreak/>
        <w:t>Kanały komunikacji</w:t>
      </w:r>
    </w:p>
    <w:p w14:paraId="36A3197E" w14:textId="77777777" w:rsidR="0093433C" w:rsidRPr="00890249" w:rsidRDefault="00875C92" w:rsidP="009F296A">
      <w:pPr>
        <w:pStyle w:val="Listapunktowana2"/>
        <w:numPr>
          <w:ilvl w:val="0"/>
          <w:numId w:val="21"/>
        </w:numPr>
        <w:rPr>
          <w:rFonts w:asciiTheme="minorHAnsi" w:hAnsiTheme="minorHAnsi" w:cstheme="minorHAnsi"/>
          <w:sz w:val="22"/>
          <w:szCs w:val="22"/>
        </w:rPr>
      </w:pPr>
      <w:r w:rsidRPr="00890249">
        <w:rPr>
          <w:rFonts w:asciiTheme="minorHAnsi" w:hAnsiTheme="minorHAnsi" w:cstheme="minorHAnsi"/>
          <w:sz w:val="22"/>
          <w:szCs w:val="22"/>
        </w:rPr>
        <w:t>sieć PIFE</w:t>
      </w:r>
    </w:p>
    <w:p w14:paraId="20027EF4" w14:textId="77777777" w:rsidR="0093433C" w:rsidRPr="00890249" w:rsidRDefault="00875C92" w:rsidP="009F296A">
      <w:pPr>
        <w:pStyle w:val="Listapunktowana2"/>
        <w:numPr>
          <w:ilvl w:val="0"/>
          <w:numId w:val="21"/>
        </w:numPr>
        <w:rPr>
          <w:rFonts w:asciiTheme="minorHAnsi" w:hAnsiTheme="minorHAnsi" w:cstheme="minorHAnsi"/>
          <w:sz w:val="22"/>
          <w:szCs w:val="22"/>
        </w:rPr>
      </w:pPr>
      <w:r w:rsidRPr="00890249">
        <w:rPr>
          <w:rFonts w:asciiTheme="minorHAnsi" w:hAnsiTheme="minorHAnsi" w:cstheme="minorHAnsi"/>
          <w:sz w:val="22"/>
          <w:szCs w:val="22"/>
        </w:rPr>
        <w:t>Internet i formy tradycyjne (np.: wydawnictwa, materiały audio-video, ogólnopolski portal FE, serwis internetowy FEO, media społecznościowe (kanały własne), newslettery, prasa, radio)</w:t>
      </w:r>
    </w:p>
    <w:p w14:paraId="49B613CA" w14:textId="77777777" w:rsidR="0093433C" w:rsidRPr="00890249" w:rsidRDefault="00875C92" w:rsidP="009F296A">
      <w:pPr>
        <w:pStyle w:val="Listapunktowana2"/>
        <w:numPr>
          <w:ilvl w:val="0"/>
          <w:numId w:val="21"/>
        </w:numPr>
        <w:rPr>
          <w:rFonts w:asciiTheme="minorHAnsi" w:hAnsiTheme="minorHAnsi" w:cstheme="minorHAnsi"/>
          <w:sz w:val="22"/>
          <w:szCs w:val="22"/>
        </w:rPr>
      </w:pPr>
      <w:r w:rsidRPr="00890249">
        <w:rPr>
          <w:rFonts w:asciiTheme="minorHAnsi" w:hAnsiTheme="minorHAnsi" w:cstheme="minorHAnsi"/>
          <w:sz w:val="22"/>
          <w:szCs w:val="22"/>
        </w:rPr>
        <w:t>wydarzenia info.-promo. dla ww. grup docelowych, także dostępnych dla mieszkańców regionu, (np.: kampanie, eventy, spotkania informacyjne)</w:t>
      </w:r>
    </w:p>
    <w:p w14:paraId="5BC26E71" w14:textId="4D4AA3BA"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W działaniach wykorzystuje się kanały i narzędzia znane na etapie zatwierdzenia FEO oraz nowe, które mogą się pojawić w trakcie jego realizacji. Stosowane są regionalne rozwiązania, które zakładają m.in. podniesienie świadomości i powszechnej akceptacji dla działań realizowanych z FEO, z</w:t>
      </w:r>
      <w:r w:rsidR="00B86882" w:rsidRPr="00890249">
        <w:rPr>
          <w:rFonts w:asciiTheme="minorHAnsi" w:hAnsiTheme="minorHAnsi" w:cstheme="minorHAnsi"/>
          <w:sz w:val="22"/>
          <w:szCs w:val="22"/>
        </w:rPr>
        <w:t> </w:t>
      </w:r>
      <w:r w:rsidRPr="00890249">
        <w:rPr>
          <w:rFonts w:asciiTheme="minorHAnsi" w:hAnsiTheme="minorHAnsi" w:cstheme="minorHAnsi"/>
          <w:sz w:val="22"/>
          <w:szCs w:val="22"/>
        </w:rPr>
        <w:t xml:space="preserve">udziałem FE w oparciu o osoby aktywne zawodowo, społecznie w swoich środowiskach szczególnie lokalnych. </w:t>
      </w:r>
    </w:p>
    <w:p w14:paraId="78F209EF" w14:textId="77777777" w:rsidR="0093433C" w:rsidRPr="00D26F92" w:rsidRDefault="00E72166" w:rsidP="00890249">
      <w:pPr>
        <w:pStyle w:val="Nagwek6"/>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t>Budżet</w:t>
      </w:r>
    </w:p>
    <w:p w14:paraId="16531554" w14:textId="25DD018C" w:rsidR="0093433C" w:rsidRPr="00890249" w:rsidRDefault="00A93312" w:rsidP="00890249">
      <w:pPr>
        <w:pStyle w:val="Tekstpodstawowy"/>
        <w:rPr>
          <w:rFonts w:asciiTheme="minorHAnsi" w:hAnsiTheme="minorHAnsi" w:cstheme="minorHAnsi"/>
          <w:sz w:val="22"/>
          <w:szCs w:val="22"/>
        </w:rPr>
      </w:pPr>
      <w:r w:rsidRPr="00890249">
        <w:rPr>
          <w:rFonts w:asciiTheme="minorHAnsi" w:hAnsiTheme="minorHAnsi" w:cstheme="minorHAnsi"/>
          <w:iCs/>
          <w:sz w:val="22"/>
          <w:szCs w:val="22"/>
        </w:rPr>
        <w:t>Szac</w:t>
      </w:r>
      <w:r>
        <w:rPr>
          <w:rFonts w:asciiTheme="minorHAnsi" w:hAnsiTheme="minorHAnsi" w:cstheme="minorHAnsi"/>
          <w:iCs/>
          <w:sz w:val="22"/>
          <w:szCs w:val="22"/>
        </w:rPr>
        <w:t>.</w:t>
      </w:r>
      <w:r w:rsidRPr="00890249">
        <w:rPr>
          <w:rFonts w:asciiTheme="minorHAnsi" w:hAnsiTheme="minorHAnsi" w:cstheme="minorHAnsi"/>
          <w:iCs/>
          <w:sz w:val="22"/>
          <w:szCs w:val="22"/>
        </w:rPr>
        <w:t xml:space="preserve"> </w:t>
      </w:r>
      <w:r w:rsidR="00875C92" w:rsidRPr="00890249">
        <w:rPr>
          <w:rFonts w:asciiTheme="minorHAnsi" w:hAnsiTheme="minorHAnsi" w:cstheme="minorHAnsi"/>
          <w:iCs/>
          <w:sz w:val="22"/>
          <w:szCs w:val="22"/>
        </w:rPr>
        <w:t xml:space="preserve">budżet na </w:t>
      </w:r>
      <w:r w:rsidR="00801242" w:rsidRPr="00890249">
        <w:rPr>
          <w:rFonts w:asciiTheme="minorHAnsi" w:hAnsiTheme="minorHAnsi" w:cstheme="minorHAnsi"/>
          <w:iCs/>
          <w:sz w:val="22"/>
          <w:szCs w:val="22"/>
        </w:rPr>
        <w:t>dział</w:t>
      </w:r>
      <w:r w:rsidR="00801242">
        <w:rPr>
          <w:rFonts w:asciiTheme="minorHAnsi" w:hAnsiTheme="minorHAnsi" w:cstheme="minorHAnsi"/>
          <w:iCs/>
          <w:sz w:val="22"/>
          <w:szCs w:val="22"/>
        </w:rPr>
        <w:t>.</w:t>
      </w:r>
      <w:r w:rsidR="00801242" w:rsidRPr="00890249">
        <w:rPr>
          <w:rFonts w:asciiTheme="minorHAnsi" w:hAnsiTheme="minorHAnsi" w:cstheme="minorHAnsi"/>
          <w:iCs/>
          <w:sz w:val="22"/>
          <w:szCs w:val="22"/>
        </w:rPr>
        <w:t xml:space="preserve"> </w:t>
      </w:r>
      <w:r w:rsidR="00875C92" w:rsidRPr="00890249">
        <w:rPr>
          <w:rFonts w:asciiTheme="minorHAnsi" w:hAnsiTheme="minorHAnsi" w:cstheme="minorHAnsi"/>
          <w:iCs/>
          <w:sz w:val="22"/>
          <w:szCs w:val="22"/>
        </w:rPr>
        <w:t xml:space="preserve">komunikacyjne IZ i IP wynosi </w:t>
      </w:r>
      <w:r>
        <w:rPr>
          <w:rFonts w:asciiTheme="minorHAnsi" w:hAnsiTheme="minorHAnsi" w:cstheme="minorHAnsi"/>
          <w:iCs/>
          <w:sz w:val="22"/>
          <w:szCs w:val="22"/>
        </w:rPr>
        <w:t>1,70 mln</w:t>
      </w:r>
      <w:r w:rsidR="00875C92" w:rsidRPr="00890249">
        <w:rPr>
          <w:rFonts w:asciiTheme="minorHAnsi" w:hAnsiTheme="minorHAnsi" w:cstheme="minorHAnsi"/>
          <w:iCs/>
          <w:sz w:val="22"/>
          <w:szCs w:val="22"/>
        </w:rPr>
        <w:t xml:space="preserve"> EUR, w tym </w:t>
      </w:r>
      <w:r w:rsidR="00A64470">
        <w:rPr>
          <w:rFonts w:asciiTheme="minorHAnsi" w:hAnsiTheme="minorHAnsi" w:cstheme="minorHAnsi"/>
          <w:iCs/>
          <w:sz w:val="22"/>
          <w:szCs w:val="22"/>
        </w:rPr>
        <w:t>1,45 mln</w:t>
      </w:r>
      <w:r w:rsidR="00875C92" w:rsidRPr="00890249">
        <w:rPr>
          <w:rFonts w:asciiTheme="minorHAnsi" w:hAnsiTheme="minorHAnsi" w:cstheme="minorHAnsi"/>
          <w:iCs/>
          <w:sz w:val="22"/>
          <w:szCs w:val="22"/>
        </w:rPr>
        <w:t xml:space="preserve"> EUR wsparcia z UE</w:t>
      </w:r>
      <w:r w:rsidR="00875C92" w:rsidRPr="00890249">
        <w:rPr>
          <w:rFonts w:asciiTheme="minorHAnsi" w:hAnsiTheme="minorHAnsi" w:cstheme="minorHAnsi"/>
          <w:sz w:val="22"/>
          <w:szCs w:val="22"/>
        </w:rPr>
        <w:t xml:space="preserve">. </w:t>
      </w:r>
      <w:r w:rsidR="00A64470">
        <w:rPr>
          <w:rFonts w:asciiTheme="minorHAnsi" w:hAnsiTheme="minorHAnsi" w:cstheme="minorHAnsi"/>
          <w:sz w:val="22"/>
          <w:szCs w:val="22"/>
        </w:rPr>
        <w:t>P</w:t>
      </w:r>
      <w:r w:rsidR="00A64470" w:rsidRPr="00890249">
        <w:rPr>
          <w:rFonts w:asciiTheme="minorHAnsi" w:hAnsiTheme="minorHAnsi" w:cstheme="minorHAnsi"/>
          <w:sz w:val="22"/>
          <w:szCs w:val="22"/>
        </w:rPr>
        <w:t xml:space="preserve">odział </w:t>
      </w:r>
      <w:r w:rsidR="00875C92" w:rsidRPr="00890249">
        <w:rPr>
          <w:rFonts w:asciiTheme="minorHAnsi" w:hAnsiTheme="minorHAnsi" w:cstheme="minorHAnsi"/>
          <w:sz w:val="22"/>
          <w:szCs w:val="22"/>
        </w:rPr>
        <w:t xml:space="preserve">ww. budżetu pomiędzy grupy </w:t>
      </w:r>
      <w:r w:rsidR="00801242" w:rsidRPr="00890249">
        <w:rPr>
          <w:rFonts w:asciiTheme="minorHAnsi" w:hAnsiTheme="minorHAnsi" w:cstheme="minorHAnsi"/>
          <w:sz w:val="22"/>
          <w:szCs w:val="22"/>
        </w:rPr>
        <w:t>docel</w:t>
      </w:r>
      <w:r w:rsidR="00801242">
        <w:rPr>
          <w:rFonts w:asciiTheme="minorHAnsi" w:hAnsiTheme="minorHAnsi" w:cstheme="minorHAnsi"/>
          <w:sz w:val="22"/>
          <w:szCs w:val="22"/>
        </w:rPr>
        <w:t>.</w:t>
      </w:r>
      <w:r w:rsidR="00801242" w:rsidRPr="00801242">
        <w:rPr>
          <w:rFonts w:asciiTheme="minorHAnsi" w:hAnsiTheme="minorHAnsi" w:cstheme="minorHAnsi"/>
          <w:sz w:val="22"/>
          <w:szCs w:val="22"/>
        </w:rPr>
        <w:t xml:space="preserve"> (w mln EUR)</w:t>
      </w:r>
      <w:r w:rsidR="00875C92" w:rsidRPr="00890249">
        <w:rPr>
          <w:rFonts w:asciiTheme="minorHAnsi" w:hAnsiTheme="minorHAnsi" w:cstheme="minorHAnsi"/>
          <w:sz w:val="22"/>
          <w:szCs w:val="22"/>
        </w:rPr>
        <w:t xml:space="preserve">: ogół społeczeństwa: </w:t>
      </w:r>
      <w:r w:rsidR="00801242">
        <w:rPr>
          <w:rFonts w:asciiTheme="minorHAnsi" w:hAnsiTheme="minorHAnsi" w:cstheme="minorHAnsi"/>
          <w:sz w:val="22"/>
          <w:szCs w:val="22"/>
        </w:rPr>
        <w:t>0,85;</w:t>
      </w:r>
      <w:r w:rsidR="00801242" w:rsidRPr="00890249">
        <w:rPr>
          <w:rFonts w:asciiTheme="minorHAnsi" w:hAnsiTheme="minorHAnsi" w:cstheme="minorHAnsi"/>
          <w:sz w:val="22"/>
          <w:szCs w:val="22"/>
        </w:rPr>
        <w:t xml:space="preserve"> </w:t>
      </w:r>
      <w:r w:rsidR="00875C92" w:rsidRPr="00890249">
        <w:rPr>
          <w:rFonts w:asciiTheme="minorHAnsi" w:hAnsiTheme="minorHAnsi" w:cstheme="minorHAnsi"/>
          <w:sz w:val="22"/>
          <w:szCs w:val="22"/>
        </w:rPr>
        <w:t xml:space="preserve">beneficjenci: </w:t>
      </w:r>
      <w:r w:rsidR="00801242">
        <w:rPr>
          <w:rFonts w:asciiTheme="minorHAnsi" w:hAnsiTheme="minorHAnsi" w:cstheme="minorHAnsi"/>
          <w:sz w:val="22"/>
          <w:szCs w:val="22"/>
        </w:rPr>
        <w:t>0,13;</w:t>
      </w:r>
      <w:r w:rsidR="00875C92" w:rsidRPr="00890249">
        <w:rPr>
          <w:rFonts w:asciiTheme="minorHAnsi" w:hAnsiTheme="minorHAnsi" w:cstheme="minorHAnsi"/>
          <w:sz w:val="22"/>
          <w:szCs w:val="22"/>
        </w:rPr>
        <w:t xml:space="preserve"> potencjalni beneficjenci: </w:t>
      </w:r>
      <w:r w:rsidR="007F01C7">
        <w:rPr>
          <w:rFonts w:asciiTheme="minorHAnsi" w:hAnsiTheme="minorHAnsi" w:cstheme="minorHAnsi"/>
          <w:sz w:val="22"/>
          <w:szCs w:val="22"/>
        </w:rPr>
        <w:t>0,72</w:t>
      </w:r>
      <w:r w:rsidR="00875C92" w:rsidRPr="00890249">
        <w:rPr>
          <w:rFonts w:asciiTheme="minorHAnsi" w:hAnsiTheme="minorHAnsi" w:cstheme="minorHAnsi"/>
          <w:sz w:val="22"/>
          <w:szCs w:val="22"/>
        </w:rPr>
        <w:t xml:space="preserve">. Podział </w:t>
      </w:r>
      <w:r w:rsidR="007F01C7" w:rsidRPr="00890249">
        <w:rPr>
          <w:rFonts w:asciiTheme="minorHAnsi" w:hAnsiTheme="minorHAnsi" w:cstheme="minorHAnsi"/>
          <w:sz w:val="22"/>
          <w:szCs w:val="22"/>
        </w:rPr>
        <w:t>uwzgl</w:t>
      </w:r>
      <w:r w:rsidR="007F01C7">
        <w:rPr>
          <w:rFonts w:asciiTheme="minorHAnsi" w:hAnsiTheme="minorHAnsi" w:cstheme="minorHAnsi"/>
          <w:sz w:val="22"/>
          <w:szCs w:val="22"/>
        </w:rPr>
        <w:t>.</w:t>
      </w:r>
      <w:r w:rsidR="007F01C7" w:rsidRPr="00890249">
        <w:rPr>
          <w:rFonts w:asciiTheme="minorHAnsi" w:hAnsiTheme="minorHAnsi" w:cstheme="minorHAnsi"/>
          <w:sz w:val="22"/>
          <w:szCs w:val="22"/>
        </w:rPr>
        <w:t xml:space="preserve"> </w:t>
      </w:r>
      <w:r w:rsidR="00875C92" w:rsidRPr="00890249">
        <w:rPr>
          <w:rFonts w:asciiTheme="minorHAnsi" w:hAnsiTheme="minorHAnsi" w:cstheme="minorHAnsi"/>
          <w:sz w:val="22"/>
          <w:szCs w:val="22"/>
        </w:rPr>
        <w:t>konieczność wzmocnienia działań dla ogółu społeczeństwa.</w:t>
      </w:r>
      <w:r w:rsidR="007F01C7">
        <w:rPr>
          <w:rFonts w:asciiTheme="minorHAnsi" w:hAnsiTheme="minorHAnsi" w:cstheme="minorHAnsi"/>
          <w:sz w:val="22"/>
          <w:szCs w:val="22"/>
        </w:rPr>
        <w:t xml:space="preserve"> </w:t>
      </w:r>
      <w:r w:rsidR="007F01C7" w:rsidRPr="007F01C7">
        <w:rPr>
          <w:rFonts w:asciiTheme="minorHAnsi" w:hAnsiTheme="minorHAnsi" w:cstheme="minorHAnsi"/>
          <w:sz w:val="22"/>
          <w:szCs w:val="22"/>
        </w:rPr>
        <w:t>Ww. budżet może zostać zmniejszony w przypadku osiągnięcia założonych wskaźników przy niższych nakładach finans.</w:t>
      </w:r>
    </w:p>
    <w:p w14:paraId="3D735E41" w14:textId="2A912FD4" w:rsidR="0093433C" w:rsidRPr="00D26F92" w:rsidRDefault="007F01C7" w:rsidP="00890249">
      <w:pPr>
        <w:pStyle w:val="Nagwek7"/>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t>Szac</w:t>
      </w:r>
      <w:r>
        <w:rPr>
          <w:rFonts w:asciiTheme="minorHAnsi" w:hAnsiTheme="minorHAnsi" w:cstheme="minorHAnsi"/>
          <w:b/>
          <w:color w:val="2F5496" w:themeColor="accent5" w:themeShade="BF"/>
          <w:sz w:val="22"/>
          <w:szCs w:val="22"/>
        </w:rPr>
        <w:t>.</w:t>
      </w:r>
      <w:r w:rsidRPr="00D26F92">
        <w:rPr>
          <w:rFonts w:asciiTheme="minorHAnsi" w:hAnsiTheme="minorHAnsi" w:cstheme="minorHAnsi"/>
          <w:b/>
          <w:color w:val="2F5496" w:themeColor="accent5" w:themeShade="BF"/>
          <w:sz w:val="22"/>
          <w:szCs w:val="22"/>
        </w:rPr>
        <w:t xml:space="preserve"> </w:t>
      </w:r>
      <w:r w:rsidR="00875C92" w:rsidRPr="00D26F92">
        <w:rPr>
          <w:rFonts w:asciiTheme="minorHAnsi" w:hAnsiTheme="minorHAnsi" w:cstheme="minorHAnsi"/>
          <w:b/>
          <w:color w:val="2F5496" w:themeColor="accent5" w:themeShade="BF"/>
          <w:sz w:val="22"/>
          <w:szCs w:val="22"/>
        </w:rPr>
        <w:t xml:space="preserve">udział kwot w poszczególnych latach (w </w:t>
      </w:r>
      <w:r>
        <w:rPr>
          <w:rFonts w:asciiTheme="minorHAnsi" w:hAnsiTheme="minorHAnsi" w:cstheme="minorHAnsi"/>
          <w:b/>
          <w:color w:val="2F5496" w:themeColor="accent5" w:themeShade="BF"/>
          <w:sz w:val="22"/>
          <w:szCs w:val="22"/>
        </w:rPr>
        <w:t xml:space="preserve">mln </w:t>
      </w:r>
      <w:r w:rsidR="00875C92" w:rsidRPr="00D26F92">
        <w:rPr>
          <w:rFonts w:asciiTheme="minorHAnsi" w:hAnsiTheme="minorHAnsi" w:cstheme="minorHAnsi"/>
          <w:b/>
          <w:color w:val="2F5496" w:themeColor="accent5" w:themeShade="BF"/>
          <w:sz w:val="22"/>
          <w:szCs w:val="22"/>
        </w:rPr>
        <w:t>EUR):</w:t>
      </w:r>
    </w:p>
    <w:p w14:paraId="5C390B7B" w14:textId="77777777"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2022 – 0,00</w:t>
      </w:r>
    </w:p>
    <w:p w14:paraId="58808A09" w14:textId="1EE494EF"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2023 – </w:t>
      </w:r>
      <w:r w:rsidR="007F01C7">
        <w:rPr>
          <w:rFonts w:asciiTheme="minorHAnsi" w:hAnsiTheme="minorHAnsi" w:cstheme="minorHAnsi"/>
          <w:sz w:val="22"/>
          <w:szCs w:val="22"/>
        </w:rPr>
        <w:t>0,25</w:t>
      </w:r>
    </w:p>
    <w:p w14:paraId="65828EDB" w14:textId="42326227"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2024 – </w:t>
      </w:r>
      <w:r w:rsidR="007F01C7">
        <w:rPr>
          <w:rFonts w:asciiTheme="minorHAnsi" w:hAnsiTheme="minorHAnsi" w:cstheme="minorHAnsi"/>
          <w:sz w:val="22"/>
          <w:szCs w:val="22"/>
        </w:rPr>
        <w:t>0,33</w:t>
      </w:r>
    </w:p>
    <w:p w14:paraId="4E9A079E" w14:textId="21EC3707"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2025 – </w:t>
      </w:r>
      <w:r w:rsidR="007F01C7">
        <w:rPr>
          <w:rFonts w:asciiTheme="minorHAnsi" w:hAnsiTheme="minorHAnsi" w:cstheme="minorHAnsi"/>
          <w:sz w:val="22"/>
          <w:szCs w:val="22"/>
        </w:rPr>
        <w:t>0,25</w:t>
      </w:r>
    </w:p>
    <w:p w14:paraId="0AA7BE06" w14:textId="7E07DE9B"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2026 – </w:t>
      </w:r>
      <w:r w:rsidR="007F01C7">
        <w:rPr>
          <w:rFonts w:asciiTheme="minorHAnsi" w:hAnsiTheme="minorHAnsi" w:cstheme="minorHAnsi"/>
          <w:sz w:val="22"/>
          <w:szCs w:val="22"/>
        </w:rPr>
        <w:t>0,23</w:t>
      </w:r>
    </w:p>
    <w:p w14:paraId="6D8FA1A1" w14:textId="0EF3E310"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2027 – </w:t>
      </w:r>
      <w:r w:rsidR="007F01C7">
        <w:rPr>
          <w:rFonts w:asciiTheme="minorHAnsi" w:hAnsiTheme="minorHAnsi" w:cstheme="minorHAnsi"/>
          <w:sz w:val="22"/>
          <w:szCs w:val="22"/>
        </w:rPr>
        <w:t>0,23</w:t>
      </w:r>
    </w:p>
    <w:p w14:paraId="25464C3F" w14:textId="3D5A8EF1"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2028 – </w:t>
      </w:r>
      <w:r w:rsidR="007F01C7">
        <w:rPr>
          <w:rFonts w:asciiTheme="minorHAnsi" w:hAnsiTheme="minorHAnsi" w:cstheme="minorHAnsi"/>
          <w:sz w:val="22"/>
          <w:szCs w:val="22"/>
        </w:rPr>
        <w:t>0,22</w:t>
      </w:r>
    </w:p>
    <w:p w14:paraId="1A135E3A" w14:textId="562A7AE2" w:rsidR="0093433C" w:rsidRPr="00890249" w:rsidRDefault="00875C92" w:rsidP="009F296A">
      <w:pPr>
        <w:pStyle w:val="Listapunktowana2"/>
        <w:numPr>
          <w:ilvl w:val="0"/>
          <w:numId w:val="113"/>
        </w:numPr>
        <w:rPr>
          <w:rFonts w:asciiTheme="minorHAnsi" w:hAnsiTheme="minorHAnsi" w:cstheme="minorHAnsi"/>
          <w:sz w:val="22"/>
          <w:szCs w:val="22"/>
        </w:rPr>
      </w:pPr>
      <w:r w:rsidRPr="00890249">
        <w:rPr>
          <w:rFonts w:asciiTheme="minorHAnsi" w:hAnsiTheme="minorHAnsi" w:cstheme="minorHAnsi"/>
          <w:sz w:val="22"/>
          <w:szCs w:val="22"/>
        </w:rPr>
        <w:t xml:space="preserve">2029 – </w:t>
      </w:r>
      <w:r w:rsidR="007F01C7">
        <w:rPr>
          <w:rFonts w:asciiTheme="minorHAnsi" w:hAnsiTheme="minorHAnsi" w:cstheme="minorHAnsi"/>
          <w:sz w:val="22"/>
          <w:szCs w:val="22"/>
        </w:rPr>
        <w:t>0,19</w:t>
      </w:r>
    </w:p>
    <w:p w14:paraId="08177A7D" w14:textId="36B906F2" w:rsidR="0093433C" w:rsidRDefault="00875C92" w:rsidP="00890249">
      <w:pPr>
        <w:pStyle w:val="Nagwek7"/>
        <w:rPr>
          <w:rFonts w:asciiTheme="minorHAnsi" w:hAnsiTheme="minorHAnsi" w:cstheme="minorHAnsi"/>
          <w:i w:val="0"/>
          <w:color w:val="auto"/>
          <w:sz w:val="22"/>
          <w:szCs w:val="22"/>
        </w:rPr>
      </w:pPr>
      <w:r w:rsidRPr="00890249">
        <w:rPr>
          <w:rFonts w:asciiTheme="minorHAnsi" w:hAnsiTheme="minorHAnsi" w:cstheme="minorHAnsi"/>
          <w:i w:val="0"/>
          <w:color w:val="auto"/>
          <w:sz w:val="22"/>
          <w:szCs w:val="22"/>
        </w:rPr>
        <w:t xml:space="preserve">Suma: </w:t>
      </w:r>
      <w:r w:rsidR="007F01C7">
        <w:rPr>
          <w:rFonts w:asciiTheme="minorHAnsi" w:hAnsiTheme="minorHAnsi" w:cstheme="minorHAnsi"/>
          <w:i w:val="0"/>
          <w:color w:val="auto"/>
          <w:sz w:val="22"/>
          <w:szCs w:val="22"/>
        </w:rPr>
        <w:t>1,70</w:t>
      </w:r>
    </w:p>
    <w:p w14:paraId="49B8837A" w14:textId="77777777" w:rsidR="00B9448D" w:rsidRPr="00F62734" w:rsidRDefault="00B9448D" w:rsidP="00F62734"/>
    <w:p w14:paraId="025E8F15" w14:textId="77777777" w:rsidR="0093433C" w:rsidRPr="00D26F92" w:rsidRDefault="00E72166" w:rsidP="00890249">
      <w:pPr>
        <w:pStyle w:val="Nagwek6"/>
        <w:rPr>
          <w:rFonts w:asciiTheme="minorHAnsi" w:hAnsiTheme="minorHAnsi" w:cstheme="minorHAnsi"/>
          <w:b/>
          <w:color w:val="2F5496" w:themeColor="accent5" w:themeShade="BF"/>
          <w:sz w:val="22"/>
          <w:szCs w:val="22"/>
        </w:rPr>
      </w:pPr>
      <w:r w:rsidRPr="00D26F92">
        <w:rPr>
          <w:rFonts w:asciiTheme="minorHAnsi" w:hAnsiTheme="minorHAnsi" w:cstheme="minorHAnsi"/>
          <w:b/>
          <w:color w:val="2F5496" w:themeColor="accent5" w:themeShade="BF"/>
          <w:sz w:val="22"/>
          <w:szCs w:val="22"/>
        </w:rPr>
        <w:t>Monitoring i ocena</w:t>
      </w:r>
    </w:p>
    <w:p w14:paraId="29217F3B" w14:textId="77777777"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 xml:space="preserve">Działania komunikacyjne podlegają ocenie i monitoringowi pod kątem ich jakości, trafności w realizacji celów komunikacyjnych i skuteczności w dotarciu do grup docelowych. </w:t>
      </w:r>
    </w:p>
    <w:p w14:paraId="700C2813" w14:textId="77777777"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Badania społeczeństwa pod kątem oceny wiedzy i świadomości, rozpoznawalności FE i dostarczenia użytecznych rekomendacji dla prowadzonych działań realizowane są na poziomie krajowym, których uzupełnieniem są badania regionalne.</w:t>
      </w:r>
    </w:p>
    <w:p w14:paraId="15BE8337" w14:textId="77777777" w:rsidR="0093433C" w:rsidRPr="00890249" w:rsidRDefault="00875C92" w:rsidP="00890249">
      <w:pPr>
        <w:pStyle w:val="Tekstpodstawowy"/>
        <w:rPr>
          <w:rFonts w:asciiTheme="minorHAnsi" w:hAnsiTheme="minorHAnsi" w:cstheme="minorHAnsi"/>
          <w:sz w:val="22"/>
          <w:szCs w:val="22"/>
        </w:rPr>
      </w:pPr>
      <w:r w:rsidRPr="00890249">
        <w:rPr>
          <w:rFonts w:asciiTheme="minorHAnsi" w:hAnsiTheme="minorHAnsi" w:cstheme="minorHAnsi"/>
          <w:sz w:val="22"/>
          <w:szCs w:val="22"/>
        </w:rPr>
        <w:t>Monitoringowi i ocenie podlega szereg wskaźników w tym wskaźniki oddziaływania (</w:t>
      </w:r>
      <w:r w:rsidRPr="00890249">
        <w:rPr>
          <w:rFonts w:asciiTheme="minorHAnsi" w:hAnsiTheme="minorHAnsi" w:cstheme="minorHAnsi"/>
          <w:bCs/>
          <w:sz w:val="22"/>
          <w:szCs w:val="22"/>
        </w:rPr>
        <w:t>jedn. miary: %, sposób pomiaru: bad. społ., częstot. pomiaru: co 2 lata</w:t>
      </w:r>
      <w:r w:rsidRPr="00890249">
        <w:rPr>
          <w:rFonts w:asciiTheme="minorHAnsi" w:hAnsiTheme="minorHAnsi" w:cstheme="minorHAnsi"/>
          <w:sz w:val="22"/>
          <w:szCs w:val="22"/>
        </w:rPr>
        <w:t xml:space="preserve"> ,wb. na 2020 r.) m.in.:</w:t>
      </w:r>
    </w:p>
    <w:p w14:paraId="03DA2188" w14:textId="77777777" w:rsidR="0093433C" w:rsidRPr="00890249" w:rsidRDefault="00875C92" w:rsidP="009F296A">
      <w:pPr>
        <w:pStyle w:val="Listapunktowana2"/>
        <w:numPr>
          <w:ilvl w:val="0"/>
          <w:numId w:val="112"/>
        </w:numPr>
        <w:rPr>
          <w:rFonts w:asciiTheme="minorHAnsi" w:hAnsiTheme="minorHAnsi" w:cstheme="minorHAnsi"/>
          <w:sz w:val="22"/>
          <w:szCs w:val="22"/>
        </w:rPr>
      </w:pPr>
      <w:r w:rsidRPr="00890249">
        <w:rPr>
          <w:rFonts w:asciiTheme="minorHAnsi" w:hAnsiTheme="minorHAnsi" w:cstheme="minorHAnsi"/>
          <w:sz w:val="22"/>
          <w:szCs w:val="22"/>
        </w:rPr>
        <w:t>odsetek respondentów dostrzegających wpływ FE na rozwój regionu (wb. 73%)</w:t>
      </w:r>
    </w:p>
    <w:p w14:paraId="1163DEE7" w14:textId="77777777" w:rsidR="0093433C" w:rsidRPr="00890249" w:rsidRDefault="00875C92" w:rsidP="009F296A">
      <w:pPr>
        <w:pStyle w:val="Listapunktowana2"/>
        <w:numPr>
          <w:ilvl w:val="0"/>
          <w:numId w:val="112"/>
        </w:numPr>
        <w:rPr>
          <w:rFonts w:asciiTheme="minorHAnsi" w:hAnsiTheme="minorHAnsi" w:cstheme="minorHAnsi"/>
          <w:sz w:val="22"/>
          <w:szCs w:val="22"/>
        </w:rPr>
      </w:pPr>
      <w:r w:rsidRPr="00890249">
        <w:rPr>
          <w:rFonts w:asciiTheme="minorHAnsi" w:hAnsiTheme="minorHAnsi" w:cstheme="minorHAnsi"/>
          <w:sz w:val="22"/>
          <w:szCs w:val="22"/>
        </w:rPr>
        <w:t>znajomość celów, obszarów lub działań, na które przeznaczane są FE w programie (wb. 21%)</w:t>
      </w:r>
    </w:p>
    <w:p w14:paraId="06A183DB" w14:textId="77777777" w:rsidR="0093433C" w:rsidRPr="00890249" w:rsidRDefault="00875C92" w:rsidP="009F296A">
      <w:pPr>
        <w:pStyle w:val="Listapunktowana2"/>
        <w:numPr>
          <w:ilvl w:val="0"/>
          <w:numId w:val="112"/>
        </w:numPr>
        <w:rPr>
          <w:rFonts w:asciiTheme="minorHAnsi" w:hAnsiTheme="minorHAnsi" w:cstheme="minorHAnsi"/>
          <w:sz w:val="22"/>
          <w:szCs w:val="22"/>
        </w:rPr>
      </w:pPr>
      <w:r w:rsidRPr="00890249">
        <w:rPr>
          <w:rFonts w:asciiTheme="minorHAnsi" w:hAnsiTheme="minorHAnsi" w:cstheme="minorHAnsi"/>
          <w:sz w:val="22"/>
          <w:szCs w:val="22"/>
        </w:rPr>
        <w:t>odsetek mieszkańców regionu uważających, że osobiście korzystają z FE (wb. 48%).</w:t>
      </w:r>
    </w:p>
    <w:p w14:paraId="2B79A70E" w14:textId="66A91D56" w:rsidR="00F51B64" w:rsidRPr="00890249" w:rsidRDefault="00F51B64">
      <w:pPr>
        <w:rPr>
          <w:rFonts w:asciiTheme="minorHAnsi" w:hAnsiTheme="minorHAnsi" w:cstheme="minorHAnsi"/>
          <w:sz w:val="22"/>
          <w:szCs w:val="22"/>
        </w:rPr>
      </w:pPr>
    </w:p>
    <w:p w14:paraId="6719EF09" w14:textId="00D7554C" w:rsidR="0093433C" w:rsidRPr="00890249" w:rsidRDefault="0093433C" w:rsidP="00890249">
      <w:pPr>
        <w:pStyle w:val="Tekstpodstawowy"/>
        <w:rPr>
          <w:rFonts w:asciiTheme="minorHAnsi" w:hAnsiTheme="minorHAnsi" w:cstheme="minorHAnsi"/>
        </w:rPr>
      </w:pPr>
    </w:p>
    <w:p w14:paraId="44E6FEC0" w14:textId="5FEFEB0C" w:rsidR="0093433C" w:rsidRPr="00890249" w:rsidRDefault="0093433C" w:rsidP="00890249">
      <w:pPr>
        <w:pStyle w:val="Listapunktowana2"/>
        <w:numPr>
          <w:ilvl w:val="0"/>
          <w:numId w:val="0"/>
        </w:numPr>
        <w:ind w:left="643" w:hanging="360"/>
        <w:rPr>
          <w:rFonts w:asciiTheme="minorHAnsi" w:hAnsiTheme="minorHAnsi" w:cstheme="minorHAnsi"/>
        </w:rPr>
      </w:pPr>
    </w:p>
    <w:p w14:paraId="1CD072EC" w14:textId="12190C2C" w:rsidR="00B34E71" w:rsidRPr="00890249" w:rsidRDefault="00B34E71">
      <w:pPr>
        <w:spacing w:before="0" w:after="160" w:line="259" w:lineRule="auto"/>
        <w:jc w:val="left"/>
        <w:rPr>
          <w:rFonts w:asciiTheme="minorHAnsi" w:eastAsiaTheme="minorHAnsi" w:hAnsiTheme="minorHAnsi" w:cstheme="minorHAnsi"/>
          <w:sz w:val="22"/>
          <w:szCs w:val="22"/>
          <w:lang w:eastAsia="en-US" w:bidi="ar-SA"/>
        </w:rPr>
      </w:pPr>
    </w:p>
    <w:p w14:paraId="187DA95D" w14:textId="77777777" w:rsidR="00585538" w:rsidRPr="009F296A" w:rsidRDefault="00A87EFD" w:rsidP="009F296A">
      <w:pPr>
        <w:pStyle w:val="Nagwek1"/>
      </w:pPr>
      <w:bookmarkStart w:id="91" w:name="_Toc112064096"/>
      <w:bookmarkStart w:id="92" w:name="_Toc114061360"/>
      <w:bookmarkStart w:id="93" w:name="_Toc114256893"/>
      <w:bookmarkStart w:id="94" w:name="_Toc114257109"/>
      <w:bookmarkStart w:id="95" w:name="_Toc116535561"/>
      <w:bookmarkStart w:id="96" w:name="_Toc116535597"/>
      <w:bookmarkStart w:id="97" w:name="_Toc116535630"/>
      <w:bookmarkStart w:id="98" w:name="_Toc116535725"/>
      <w:bookmarkStart w:id="99" w:name="_Toc116535777"/>
      <w:bookmarkStart w:id="100" w:name="_Toc116549013"/>
      <w:bookmarkStart w:id="101" w:name="_Toc116557814"/>
      <w:bookmarkStart w:id="102" w:name="_Toc116557844"/>
      <w:bookmarkStart w:id="103" w:name="_Toc112064097"/>
      <w:bookmarkStart w:id="104" w:name="_Toc114061361"/>
      <w:bookmarkStart w:id="105" w:name="_Toc114256894"/>
      <w:bookmarkStart w:id="106" w:name="_Toc114257110"/>
      <w:bookmarkStart w:id="107" w:name="_Toc116535562"/>
      <w:bookmarkStart w:id="108" w:name="_Toc116535598"/>
      <w:bookmarkStart w:id="109" w:name="_Toc116535631"/>
      <w:bookmarkStart w:id="110" w:name="_Toc116535726"/>
      <w:bookmarkStart w:id="111" w:name="_Toc116535778"/>
      <w:bookmarkStart w:id="112" w:name="_Toc116549014"/>
      <w:bookmarkStart w:id="113" w:name="_Toc116557815"/>
      <w:bookmarkStart w:id="114" w:name="_Toc116557845"/>
      <w:bookmarkStart w:id="115" w:name="_Toc18826693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9F296A">
        <w:lastRenderedPageBreak/>
        <w:t>STOSOWANIE KOSZTÓW JEDNOSTKOWYCH</w:t>
      </w:r>
      <w:r w:rsidR="007440D3" w:rsidRPr="009F296A">
        <w:t>, PŁATNOŚCI RYCZAŁTOWYCH, STAWEK RYCZAŁTOWYCH I FINANSOWANIA NIEPOWIĄZANEGO Z KOSZTAMI</w:t>
      </w:r>
      <w:bookmarkEnd w:id="115"/>
    </w:p>
    <w:p w14:paraId="27D720B0" w14:textId="77777777" w:rsidR="00962BAD" w:rsidRPr="00890249" w:rsidRDefault="00962BAD" w:rsidP="008D78BB">
      <w:pPr>
        <w:rPr>
          <w:rFonts w:asciiTheme="minorHAnsi" w:hAnsiTheme="minorHAnsi" w:cstheme="minorHAnsi"/>
          <w:sz w:val="22"/>
          <w:szCs w:val="22"/>
        </w:rPr>
      </w:pPr>
    </w:p>
    <w:p w14:paraId="4AD6CE01" w14:textId="77777777" w:rsidR="0093433C" w:rsidRPr="00890249" w:rsidRDefault="008E060F" w:rsidP="00890249">
      <w:pPr>
        <w:pStyle w:val="Tekstpodstawowy"/>
        <w:rPr>
          <w:rFonts w:asciiTheme="minorHAnsi" w:hAnsiTheme="minorHAnsi" w:cstheme="minorHAnsi"/>
          <w:b/>
          <w:noProof/>
        </w:rPr>
      </w:pPr>
      <w:r w:rsidRPr="00890249">
        <w:rPr>
          <w:rFonts w:asciiTheme="minorHAnsi" w:hAnsiTheme="minorHAnsi" w:cstheme="minorHAnsi"/>
          <w:b/>
          <w:noProof/>
        </w:rPr>
        <w:t>Tabela 14: Stosowanie kosztów jednostkowych, płatności ryczałtowych, stawek ryczałtowych i finansowania niepowiązanego z kosztami</w:t>
      </w:r>
    </w:p>
    <w:tbl>
      <w:tblPr>
        <w:tblStyle w:val="Tabela-Siatka"/>
        <w:tblW w:w="0" w:type="auto"/>
        <w:tblLook w:val="04A0" w:firstRow="1" w:lastRow="0" w:firstColumn="1" w:lastColumn="0" w:noHBand="0" w:noVBand="1"/>
      </w:tblPr>
      <w:tblGrid>
        <w:gridCol w:w="5949"/>
        <w:gridCol w:w="1559"/>
        <w:gridCol w:w="1552"/>
      </w:tblGrid>
      <w:tr w:rsidR="008E060F" w:rsidRPr="00890249" w14:paraId="7FB57AD3" w14:textId="77777777" w:rsidTr="00B32E46">
        <w:trPr>
          <w:trHeight w:val="659"/>
        </w:trPr>
        <w:tc>
          <w:tcPr>
            <w:tcW w:w="5949" w:type="dxa"/>
            <w:shd w:val="clear" w:color="auto" w:fill="D9D9D9" w:themeFill="background1" w:themeFillShade="D9"/>
          </w:tcPr>
          <w:p w14:paraId="456B58D6" w14:textId="77777777" w:rsidR="008E060F" w:rsidRPr="00890249" w:rsidRDefault="008E060F" w:rsidP="008D78BB">
            <w:pPr>
              <w:autoSpaceDE w:val="0"/>
              <w:autoSpaceDN w:val="0"/>
              <w:adjustRightInd w:val="0"/>
              <w:jc w:val="center"/>
              <w:rPr>
                <w:rFonts w:asciiTheme="minorHAnsi" w:hAnsiTheme="minorHAnsi" w:cstheme="minorHAnsi"/>
                <w:b/>
                <w:szCs w:val="22"/>
              </w:rPr>
            </w:pPr>
            <w:r w:rsidRPr="00890249">
              <w:rPr>
                <w:rFonts w:asciiTheme="minorHAnsi" w:eastAsiaTheme="minorHAnsi" w:hAnsiTheme="minorHAnsi" w:cstheme="minorHAnsi"/>
                <w:b/>
                <w:color w:val="000000"/>
                <w:szCs w:val="22"/>
                <w:lang w:eastAsia="en-US" w:bidi="ar-SA"/>
              </w:rPr>
              <w:t>Planowane stosowanie art. 94 i 95 rozporządzenia w sprawie wspólnych przepisów</w:t>
            </w:r>
          </w:p>
        </w:tc>
        <w:tc>
          <w:tcPr>
            <w:tcW w:w="1559" w:type="dxa"/>
            <w:shd w:val="clear" w:color="auto" w:fill="D9D9D9" w:themeFill="background1" w:themeFillShade="D9"/>
          </w:tcPr>
          <w:p w14:paraId="423BDF03" w14:textId="77777777" w:rsidR="008E060F" w:rsidRPr="00890249" w:rsidRDefault="008E060F" w:rsidP="008D78BB">
            <w:pPr>
              <w:jc w:val="center"/>
              <w:rPr>
                <w:rFonts w:asciiTheme="minorHAnsi" w:hAnsiTheme="minorHAnsi" w:cstheme="minorHAnsi"/>
                <w:b/>
                <w:szCs w:val="22"/>
              </w:rPr>
            </w:pPr>
            <w:r w:rsidRPr="00890249">
              <w:rPr>
                <w:rFonts w:asciiTheme="minorHAnsi" w:hAnsiTheme="minorHAnsi" w:cstheme="minorHAnsi"/>
                <w:b/>
                <w:szCs w:val="22"/>
              </w:rPr>
              <w:t>TAK</w:t>
            </w:r>
          </w:p>
        </w:tc>
        <w:tc>
          <w:tcPr>
            <w:tcW w:w="1552" w:type="dxa"/>
            <w:shd w:val="clear" w:color="auto" w:fill="D9D9D9" w:themeFill="background1" w:themeFillShade="D9"/>
          </w:tcPr>
          <w:p w14:paraId="0DE75BB2" w14:textId="77777777" w:rsidR="008E060F" w:rsidRPr="00890249" w:rsidRDefault="008E060F" w:rsidP="008D78BB">
            <w:pPr>
              <w:jc w:val="center"/>
              <w:rPr>
                <w:rFonts w:asciiTheme="minorHAnsi" w:hAnsiTheme="minorHAnsi" w:cstheme="minorHAnsi"/>
                <w:b/>
                <w:szCs w:val="22"/>
              </w:rPr>
            </w:pPr>
            <w:r w:rsidRPr="00890249">
              <w:rPr>
                <w:rFonts w:asciiTheme="minorHAnsi" w:hAnsiTheme="minorHAnsi" w:cstheme="minorHAnsi"/>
                <w:b/>
                <w:szCs w:val="22"/>
              </w:rPr>
              <w:t>NIE</w:t>
            </w:r>
          </w:p>
        </w:tc>
      </w:tr>
      <w:tr w:rsidR="008E060F" w:rsidRPr="00890249" w14:paraId="203E784E" w14:textId="77777777" w:rsidTr="001C73DB">
        <w:tc>
          <w:tcPr>
            <w:tcW w:w="5949" w:type="dxa"/>
          </w:tcPr>
          <w:p w14:paraId="7035F593" w14:textId="77777777" w:rsidR="008E060F" w:rsidRPr="00890249" w:rsidRDefault="008E060F" w:rsidP="008D78BB">
            <w:pPr>
              <w:autoSpaceDE w:val="0"/>
              <w:autoSpaceDN w:val="0"/>
              <w:adjustRightInd w:val="0"/>
              <w:rPr>
                <w:rFonts w:asciiTheme="minorHAnsi" w:eastAsiaTheme="minorHAnsi" w:hAnsiTheme="minorHAnsi" w:cstheme="minorHAnsi"/>
                <w:color w:val="000000"/>
                <w:szCs w:val="22"/>
                <w:lang w:eastAsia="en-US" w:bidi="ar-SA"/>
              </w:rPr>
            </w:pPr>
            <w:r w:rsidRPr="00890249">
              <w:rPr>
                <w:rFonts w:asciiTheme="minorHAnsi" w:eastAsiaTheme="minorHAnsi" w:hAnsiTheme="minorHAnsi" w:cstheme="minorHAnsi"/>
                <w:color w:val="000000"/>
                <w:szCs w:val="22"/>
                <w:lang w:eastAsia="en-US" w:bidi="ar-SA"/>
              </w:rPr>
              <w:t xml:space="preserve">Od momentu przyjęcia, program będzie wykorzystywał refundację wkładu Unii w oparciu o stawki jednostkowe, kwoty ryczałtowe i stawki ryczałtowe w ramach priorytetu zgodnie </w:t>
            </w:r>
            <w:r w:rsidR="005018A0" w:rsidRPr="00890249">
              <w:rPr>
                <w:rFonts w:asciiTheme="minorHAnsi" w:eastAsiaTheme="minorHAnsi" w:hAnsiTheme="minorHAnsi" w:cstheme="minorHAnsi"/>
                <w:color w:val="000000"/>
                <w:szCs w:val="22"/>
                <w:lang w:eastAsia="en-US" w:bidi="ar-SA"/>
              </w:rPr>
              <w:br/>
            </w:r>
            <w:r w:rsidRPr="00890249">
              <w:rPr>
                <w:rFonts w:asciiTheme="minorHAnsi" w:eastAsiaTheme="minorHAnsi" w:hAnsiTheme="minorHAnsi" w:cstheme="minorHAnsi"/>
                <w:color w:val="000000"/>
                <w:szCs w:val="22"/>
                <w:lang w:eastAsia="en-US" w:bidi="ar-SA"/>
              </w:rPr>
              <w:t xml:space="preserve">z art. 94 rozporządzenia w sprawie wspólnych przepisów (jeżeli tak, proszę wypełnić aneks 1 -Niniejszy aneks nie jest wymagany w przypadku stosowania uproszczonych metod rozliczania kosztów na poziomie Unii (SCO) ustanowionych w akcie delegowanym, o którym mowa w art. 94 ust. 4 rozporządzenia </w:t>
            </w:r>
            <w:r w:rsidR="005018A0" w:rsidRPr="00890249">
              <w:rPr>
                <w:rFonts w:asciiTheme="minorHAnsi" w:eastAsiaTheme="minorHAnsi" w:hAnsiTheme="minorHAnsi" w:cstheme="minorHAnsi"/>
                <w:color w:val="000000"/>
                <w:szCs w:val="22"/>
                <w:lang w:eastAsia="en-US" w:bidi="ar-SA"/>
              </w:rPr>
              <w:br/>
            </w:r>
            <w:r w:rsidR="008D78BB" w:rsidRPr="00890249">
              <w:rPr>
                <w:rFonts w:asciiTheme="minorHAnsi" w:eastAsiaTheme="minorHAnsi" w:hAnsiTheme="minorHAnsi" w:cstheme="minorHAnsi"/>
                <w:color w:val="000000"/>
                <w:szCs w:val="22"/>
                <w:lang w:eastAsia="en-US" w:bidi="ar-SA"/>
              </w:rPr>
              <w:t>w sprawie wspólnych przepisów.</w:t>
            </w:r>
          </w:p>
        </w:tc>
        <w:tc>
          <w:tcPr>
            <w:tcW w:w="1559" w:type="dxa"/>
            <w:vAlign w:val="center"/>
          </w:tcPr>
          <w:p w14:paraId="611AEB3B" w14:textId="0052E9DC" w:rsidR="008E060F" w:rsidRPr="00890249" w:rsidRDefault="008E060F" w:rsidP="008D78BB">
            <w:pPr>
              <w:jc w:val="center"/>
              <w:rPr>
                <w:rFonts w:asciiTheme="minorHAnsi" w:hAnsiTheme="minorHAnsi" w:cstheme="minorHAnsi"/>
                <w:szCs w:val="22"/>
              </w:rPr>
            </w:pPr>
          </w:p>
        </w:tc>
        <w:tc>
          <w:tcPr>
            <w:tcW w:w="1552" w:type="dxa"/>
            <w:vAlign w:val="center"/>
          </w:tcPr>
          <w:p w14:paraId="60BF26C0" w14:textId="70D79496" w:rsidR="008E060F" w:rsidRPr="00890249" w:rsidRDefault="002E39FE" w:rsidP="008D78BB">
            <w:pPr>
              <w:jc w:val="center"/>
              <w:rPr>
                <w:rFonts w:asciiTheme="minorHAnsi" w:hAnsiTheme="minorHAnsi" w:cstheme="minorHAnsi"/>
                <w:szCs w:val="22"/>
              </w:rPr>
            </w:pPr>
            <w:r>
              <w:rPr>
                <w:rFonts w:asciiTheme="minorHAnsi" w:hAnsiTheme="minorHAnsi" w:cstheme="minorHAnsi"/>
                <w:szCs w:val="22"/>
              </w:rPr>
              <w:t>X</w:t>
            </w:r>
          </w:p>
        </w:tc>
      </w:tr>
      <w:tr w:rsidR="008E060F" w:rsidRPr="00890249" w14:paraId="6B9BD5BD" w14:textId="77777777" w:rsidTr="001C73DB">
        <w:tc>
          <w:tcPr>
            <w:tcW w:w="5949" w:type="dxa"/>
          </w:tcPr>
          <w:p w14:paraId="179A1909" w14:textId="77777777" w:rsidR="008E060F" w:rsidRPr="00890249" w:rsidRDefault="008E060F" w:rsidP="008D78BB">
            <w:pPr>
              <w:autoSpaceDE w:val="0"/>
              <w:autoSpaceDN w:val="0"/>
              <w:adjustRightInd w:val="0"/>
              <w:rPr>
                <w:rFonts w:asciiTheme="minorHAnsi" w:eastAsiaTheme="minorHAnsi" w:hAnsiTheme="minorHAnsi" w:cstheme="minorHAnsi"/>
                <w:color w:val="000000"/>
                <w:szCs w:val="22"/>
                <w:lang w:eastAsia="en-US" w:bidi="ar-SA"/>
              </w:rPr>
            </w:pPr>
            <w:r w:rsidRPr="00890249">
              <w:rPr>
                <w:rFonts w:asciiTheme="minorHAnsi" w:eastAsiaTheme="minorHAnsi" w:hAnsiTheme="minorHAnsi" w:cstheme="minorHAnsi"/>
                <w:color w:val="000000"/>
                <w:szCs w:val="22"/>
                <w:lang w:eastAsia="en-US" w:bidi="ar-SA"/>
              </w:rPr>
              <w:t xml:space="preserve">Od momentu przyjęcia, program będzie wykorzystywał refundację wkładu Unii w oparciu o finansowanie niepowiązane z kosztami zgodnie z art. 95 rozporządzenia w sprawie wspólnych przepisów (jeżeli tak, proszę wypełnić aneks 2 - Niniejszy aneks nie jest wymagany w przypadku stosowania kwot finansowania niepowiązanego z kosztami na poziomie Unii ustanowionych </w:t>
            </w:r>
            <w:r w:rsidR="005018A0" w:rsidRPr="00890249">
              <w:rPr>
                <w:rFonts w:asciiTheme="minorHAnsi" w:eastAsiaTheme="minorHAnsi" w:hAnsiTheme="minorHAnsi" w:cstheme="minorHAnsi"/>
                <w:color w:val="000000"/>
                <w:szCs w:val="22"/>
                <w:lang w:eastAsia="en-US" w:bidi="ar-SA"/>
              </w:rPr>
              <w:br/>
            </w:r>
            <w:r w:rsidRPr="00890249">
              <w:rPr>
                <w:rFonts w:asciiTheme="minorHAnsi" w:eastAsiaTheme="minorHAnsi" w:hAnsiTheme="minorHAnsi" w:cstheme="minorHAnsi"/>
                <w:color w:val="000000"/>
                <w:szCs w:val="22"/>
                <w:lang w:eastAsia="en-US" w:bidi="ar-SA"/>
              </w:rPr>
              <w:t>w akcie delegowanym, o którym mowa w art. 95 ust. 4 rozporządzenia</w:t>
            </w:r>
            <w:r w:rsidR="008D78BB" w:rsidRPr="00890249">
              <w:rPr>
                <w:rFonts w:asciiTheme="minorHAnsi" w:eastAsiaTheme="minorHAnsi" w:hAnsiTheme="minorHAnsi" w:cstheme="minorHAnsi"/>
                <w:color w:val="000000"/>
                <w:szCs w:val="22"/>
                <w:lang w:eastAsia="en-US" w:bidi="ar-SA"/>
              </w:rPr>
              <w:t xml:space="preserve"> w sprawie wspólnych przepisów.</w:t>
            </w:r>
          </w:p>
        </w:tc>
        <w:tc>
          <w:tcPr>
            <w:tcW w:w="1559" w:type="dxa"/>
            <w:vAlign w:val="center"/>
          </w:tcPr>
          <w:p w14:paraId="0DBF39CD" w14:textId="40C4FCED" w:rsidR="008E060F" w:rsidRPr="00890249" w:rsidRDefault="008E060F" w:rsidP="008D78BB">
            <w:pPr>
              <w:jc w:val="center"/>
              <w:rPr>
                <w:rFonts w:asciiTheme="minorHAnsi" w:hAnsiTheme="minorHAnsi" w:cstheme="minorHAnsi"/>
                <w:szCs w:val="22"/>
              </w:rPr>
            </w:pPr>
          </w:p>
        </w:tc>
        <w:tc>
          <w:tcPr>
            <w:tcW w:w="1552" w:type="dxa"/>
            <w:vAlign w:val="center"/>
          </w:tcPr>
          <w:p w14:paraId="7C19248B" w14:textId="04F5099D" w:rsidR="008E060F" w:rsidRPr="00890249" w:rsidRDefault="006D0FCC" w:rsidP="008D78BB">
            <w:pPr>
              <w:jc w:val="center"/>
              <w:rPr>
                <w:rFonts w:asciiTheme="minorHAnsi" w:hAnsiTheme="minorHAnsi" w:cstheme="minorHAnsi"/>
                <w:szCs w:val="22"/>
              </w:rPr>
            </w:pPr>
            <w:r w:rsidRPr="00890249">
              <w:rPr>
                <w:rFonts w:asciiTheme="minorHAnsi" w:hAnsiTheme="minorHAnsi" w:cstheme="minorHAnsi"/>
                <w:szCs w:val="22"/>
              </w:rPr>
              <w:t>X</w:t>
            </w:r>
          </w:p>
        </w:tc>
      </w:tr>
    </w:tbl>
    <w:p w14:paraId="5463AD91" w14:textId="77777777" w:rsidR="008E060F" w:rsidRPr="00890249" w:rsidRDefault="008E060F" w:rsidP="008D78BB">
      <w:pPr>
        <w:rPr>
          <w:rFonts w:asciiTheme="minorHAnsi" w:hAnsiTheme="minorHAnsi" w:cstheme="minorHAnsi"/>
          <w:sz w:val="22"/>
          <w:szCs w:val="22"/>
        </w:rPr>
      </w:pPr>
    </w:p>
    <w:p w14:paraId="0F0681E6" w14:textId="77777777" w:rsidR="008E060F" w:rsidRPr="00890249" w:rsidRDefault="008E060F" w:rsidP="008D78BB">
      <w:pPr>
        <w:rPr>
          <w:rFonts w:asciiTheme="minorHAnsi" w:hAnsiTheme="minorHAnsi" w:cstheme="minorHAnsi"/>
          <w:sz w:val="22"/>
          <w:szCs w:val="22"/>
        </w:rPr>
      </w:pPr>
    </w:p>
    <w:p w14:paraId="07B20F74" w14:textId="77777777" w:rsidR="00873874" w:rsidRPr="00890249" w:rsidRDefault="00873874">
      <w:pPr>
        <w:spacing w:before="0" w:after="160" w:line="259" w:lineRule="auto"/>
        <w:jc w:val="left"/>
        <w:rPr>
          <w:rFonts w:asciiTheme="minorHAnsi" w:hAnsiTheme="minorHAnsi" w:cstheme="minorHAnsi"/>
        </w:rPr>
      </w:pPr>
      <w:r w:rsidRPr="00890249">
        <w:rPr>
          <w:rFonts w:asciiTheme="minorHAnsi" w:hAnsiTheme="minorHAnsi" w:cstheme="minorHAnsi"/>
        </w:rPr>
        <w:br w:type="page"/>
      </w:r>
    </w:p>
    <w:p w14:paraId="55077FC6" w14:textId="77777777" w:rsidR="00585538" w:rsidRPr="00890249" w:rsidRDefault="00585538" w:rsidP="00585538">
      <w:pPr>
        <w:rPr>
          <w:rFonts w:asciiTheme="minorHAnsi" w:hAnsiTheme="minorHAnsi" w:cstheme="minorHAnsi"/>
        </w:rPr>
      </w:pPr>
    </w:p>
    <w:p w14:paraId="1BBDB655" w14:textId="49DDCFF6" w:rsidR="00A63705" w:rsidRPr="009F296A" w:rsidRDefault="0045410C" w:rsidP="009F296A">
      <w:pPr>
        <w:pStyle w:val="Nagwek1"/>
        <w:numPr>
          <w:ilvl w:val="0"/>
          <w:numId w:val="0"/>
        </w:numPr>
        <w:ind w:left="360" w:hanging="360"/>
      </w:pPr>
      <w:bookmarkStart w:id="116" w:name="_Toc188266931"/>
      <w:r w:rsidRPr="009F296A">
        <w:t>ZAŁĄCZNIKI</w:t>
      </w:r>
      <w:bookmarkEnd w:id="116"/>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7135"/>
      </w:tblGrid>
      <w:tr w:rsidR="00FF7906" w:rsidRPr="00890249" w14:paraId="37EAA052" w14:textId="77777777" w:rsidTr="00890249">
        <w:tc>
          <w:tcPr>
            <w:tcW w:w="1951" w:type="dxa"/>
          </w:tcPr>
          <w:p w14:paraId="5F1B5EC2" w14:textId="77777777" w:rsidR="00FF7906" w:rsidRPr="00890249" w:rsidRDefault="00FF7906" w:rsidP="00FF7906">
            <w:pPr>
              <w:spacing w:before="240" w:after="240"/>
              <w:rPr>
                <w:rFonts w:asciiTheme="minorHAnsi" w:eastAsia="Times New Roman" w:hAnsiTheme="minorHAnsi" w:cstheme="minorHAnsi"/>
                <w:b/>
                <w:noProof/>
              </w:rPr>
            </w:pPr>
            <w:r w:rsidRPr="00890249">
              <w:rPr>
                <w:rFonts w:asciiTheme="minorHAnsi" w:eastAsia="Times New Roman" w:hAnsiTheme="minorHAnsi" w:cstheme="minorHAnsi"/>
                <w:b/>
                <w:noProof/>
              </w:rPr>
              <w:t>ZAŁĄCZNIK NR 1</w:t>
            </w:r>
          </w:p>
        </w:tc>
        <w:tc>
          <w:tcPr>
            <w:tcW w:w="7259" w:type="dxa"/>
          </w:tcPr>
          <w:p w14:paraId="380F2426" w14:textId="07E25905" w:rsidR="00DA590A" w:rsidRPr="00890249" w:rsidRDefault="0099571A" w:rsidP="00FF7906">
            <w:pPr>
              <w:spacing w:before="240" w:after="240"/>
              <w:rPr>
                <w:rFonts w:asciiTheme="minorHAnsi" w:eastAsia="Times New Roman" w:hAnsiTheme="minorHAnsi" w:cstheme="minorHAnsi"/>
                <w:b/>
                <w:noProof/>
              </w:rPr>
            </w:pPr>
            <w:r w:rsidRPr="0099571A">
              <w:rPr>
                <w:rFonts w:asciiTheme="minorHAnsi" w:eastAsia="Times New Roman" w:hAnsiTheme="minorHAnsi" w:cstheme="minorHAnsi"/>
                <w:b/>
                <w:noProof/>
              </w:rPr>
              <w:t>WYKAZ PLANOWANYCH OPERACJI O ZNACZENIU STRATEGICZNYM WRAZ Z HARMONOGRAMEM</w:t>
            </w:r>
          </w:p>
        </w:tc>
      </w:tr>
    </w:tbl>
    <w:p w14:paraId="27E399BA" w14:textId="77777777" w:rsidR="00FF7906" w:rsidRPr="00890249" w:rsidRDefault="00FF7906" w:rsidP="00FF7906">
      <w:pPr>
        <w:spacing w:before="240" w:after="240"/>
        <w:rPr>
          <w:rFonts w:asciiTheme="minorHAnsi" w:eastAsia="Times New Roman" w:hAnsiTheme="minorHAnsi" w:cstheme="minorHAnsi"/>
          <w:b/>
          <w:noProof/>
        </w:rPr>
      </w:pPr>
    </w:p>
    <w:p w14:paraId="618D46EA" w14:textId="1F3B34C6" w:rsidR="00435EF7" w:rsidRDefault="00435EF7" w:rsidP="00FF7906">
      <w:pPr>
        <w:spacing w:before="240" w:after="240"/>
        <w:rPr>
          <w:rFonts w:asciiTheme="minorHAnsi" w:eastAsia="Times New Roman" w:hAnsiTheme="minorHAnsi" w:cstheme="minorHAnsi"/>
          <w:b/>
          <w:noProof/>
        </w:rPr>
      </w:pPr>
      <w:r>
        <w:rPr>
          <w:rFonts w:asciiTheme="minorHAnsi" w:eastAsia="Times New Roman" w:hAnsiTheme="minorHAnsi" w:cstheme="minorHAnsi"/>
          <w:b/>
          <w:noProof/>
        </w:rPr>
        <w:br w:type="page"/>
      </w:r>
    </w:p>
    <w:p w14:paraId="2CFE02FB" w14:textId="77777777" w:rsidR="00435EF7" w:rsidRPr="00435EF7" w:rsidRDefault="00435EF7" w:rsidP="00435EF7">
      <w:pPr>
        <w:spacing w:before="0"/>
        <w:jc w:val="center"/>
        <w:rPr>
          <w:rFonts w:asciiTheme="minorHAnsi" w:eastAsiaTheme="minorHAnsi" w:hAnsiTheme="minorHAnsi" w:cstheme="minorHAnsi"/>
          <w:b/>
          <w:noProof/>
          <w:color w:val="2E74B5" w:themeColor="accent1" w:themeShade="BF"/>
          <w:sz w:val="56"/>
          <w:szCs w:val="56"/>
          <w:lang w:eastAsia="en-US" w:bidi="ar-SA"/>
        </w:rPr>
      </w:pPr>
    </w:p>
    <w:p w14:paraId="27C53213" w14:textId="77777777" w:rsidR="00435EF7" w:rsidRPr="00435EF7" w:rsidRDefault="00435EF7" w:rsidP="00435EF7">
      <w:pPr>
        <w:keepNext/>
        <w:spacing w:before="0" w:after="0" w:line="259" w:lineRule="auto"/>
        <w:ind w:hanging="284"/>
        <w:jc w:val="left"/>
        <w:rPr>
          <w:rFonts w:asciiTheme="minorHAnsi" w:eastAsiaTheme="minorHAnsi" w:hAnsiTheme="minorHAnsi" w:cstheme="minorHAnsi"/>
          <w:b/>
          <w:noProof/>
          <w:color w:val="2E74B5" w:themeColor="accent1" w:themeShade="BF"/>
          <w:sz w:val="56"/>
          <w:szCs w:val="56"/>
          <w:lang w:eastAsia="en-US" w:bidi="ar-SA"/>
        </w:rPr>
      </w:pPr>
      <w:r w:rsidRPr="00435EF7">
        <w:rPr>
          <w:rFonts w:asciiTheme="minorHAnsi" w:eastAsiaTheme="minorHAnsi" w:hAnsiTheme="minorHAnsi" w:cstheme="minorHAnsi"/>
          <w:b/>
          <w:noProof/>
          <w:color w:val="2E74B5" w:themeColor="accent1" w:themeShade="BF"/>
          <w:sz w:val="56"/>
          <w:szCs w:val="56"/>
          <w:lang w:bidi="ar-SA"/>
        </w:rPr>
        <w:drawing>
          <wp:inline distT="0" distB="0" distL="0" distR="0" wp14:anchorId="646BF662" wp14:editId="1CD7EDA9">
            <wp:extent cx="6224562" cy="635000"/>
            <wp:effectExtent l="0" t="0" r="5080" b="0"/>
            <wp:docPr id="1981172609" name="Obraz 1981172609" descr="V:\Departament\WYMIANA\2021-2027\Komunikacja i promocja\Wizualizacja 2021-2027\Ciąg logotypów\Poziom\Kolor\Logotypy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240712" cy="636648"/>
                    </a:xfrm>
                    <a:prstGeom prst="rect">
                      <a:avLst/>
                    </a:prstGeom>
                    <a:noFill/>
                    <a:ln>
                      <a:noFill/>
                    </a:ln>
                  </pic:spPr>
                </pic:pic>
              </a:graphicData>
            </a:graphic>
          </wp:inline>
        </w:drawing>
      </w:r>
    </w:p>
    <w:p w14:paraId="531EC30A" w14:textId="77777777" w:rsidR="00435EF7" w:rsidRPr="00435EF7" w:rsidRDefault="00435EF7" w:rsidP="00435EF7">
      <w:pPr>
        <w:keepNext/>
        <w:spacing w:before="0" w:after="0" w:line="259" w:lineRule="auto"/>
        <w:jc w:val="center"/>
        <w:rPr>
          <w:rFonts w:asciiTheme="minorHAnsi" w:eastAsiaTheme="minorHAnsi" w:hAnsiTheme="minorHAnsi" w:cstheme="minorHAnsi"/>
          <w:b/>
          <w:noProof/>
          <w:color w:val="2E74B5" w:themeColor="accent1" w:themeShade="BF"/>
          <w:sz w:val="56"/>
          <w:szCs w:val="56"/>
          <w:lang w:eastAsia="en-US" w:bidi="ar-SA"/>
        </w:rPr>
      </w:pPr>
    </w:p>
    <w:p w14:paraId="5E2D430D" w14:textId="77777777" w:rsidR="00435EF7" w:rsidRPr="00435EF7" w:rsidRDefault="00435EF7" w:rsidP="00435EF7">
      <w:pPr>
        <w:keepNext/>
        <w:spacing w:before="0" w:after="0" w:line="259" w:lineRule="auto"/>
        <w:jc w:val="center"/>
        <w:rPr>
          <w:rFonts w:asciiTheme="minorHAnsi" w:eastAsiaTheme="minorHAnsi" w:hAnsiTheme="minorHAnsi" w:cstheme="minorHAnsi"/>
          <w:b/>
          <w:noProof/>
          <w:color w:val="2E74B5" w:themeColor="accent1" w:themeShade="BF"/>
          <w:sz w:val="56"/>
          <w:szCs w:val="56"/>
          <w:lang w:eastAsia="en-US" w:bidi="ar-SA"/>
        </w:rPr>
      </w:pPr>
    </w:p>
    <w:p w14:paraId="0972438F" w14:textId="77777777" w:rsidR="00435EF7" w:rsidRPr="00435EF7" w:rsidRDefault="00435EF7" w:rsidP="00435EF7">
      <w:pPr>
        <w:keepNext/>
        <w:spacing w:before="0" w:after="0" w:line="259" w:lineRule="auto"/>
        <w:jc w:val="center"/>
        <w:rPr>
          <w:rFonts w:asciiTheme="minorHAnsi" w:eastAsiaTheme="minorHAnsi" w:hAnsiTheme="minorHAnsi" w:cstheme="minorBidi"/>
          <w:b/>
          <w:color w:val="2F5496" w:themeColor="accent5" w:themeShade="BF"/>
          <w:sz w:val="56"/>
          <w:szCs w:val="56"/>
          <w:lang w:eastAsia="en-US" w:bidi="ar-SA"/>
        </w:rPr>
      </w:pPr>
      <w:r w:rsidRPr="00435EF7">
        <w:rPr>
          <w:rFonts w:asciiTheme="minorHAnsi" w:eastAsiaTheme="minorHAnsi" w:hAnsiTheme="minorHAnsi" w:cstheme="minorBidi"/>
          <w:b/>
          <w:color w:val="2F5496" w:themeColor="accent5" w:themeShade="BF"/>
          <w:sz w:val="56"/>
          <w:szCs w:val="56"/>
          <w:lang w:eastAsia="en-US" w:bidi="ar-SA"/>
        </w:rPr>
        <w:t>ZAŁĄCZNIK NR 1</w:t>
      </w:r>
    </w:p>
    <w:p w14:paraId="7F9685C2" w14:textId="77777777" w:rsidR="00435EF7" w:rsidRPr="00435EF7" w:rsidRDefault="00435EF7" w:rsidP="00435EF7">
      <w:pPr>
        <w:keepNext/>
        <w:spacing w:before="0" w:after="0" w:line="259" w:lineRule="auto"/>
        <w:jc w:val="center"/>
        <w:rPr>
          <w:rFonts w:asciiTheme="minorHAnsi" w:eastAsiaTheme="minorHAnsi" w:hAnsiTheme="minorHAnsi" w:cstheme="minorBidi"/>
          <w:b/>
          <w:color w:val="2F5496" w:themeColor="accent5" w:themeShade="BF"/>
          <w:sz w:val="56"/>
          <w:szCs w:val="56"/>
          <w:lang w:eastAsia="en-US" w:bidi="ar-SA"/>
        </w:rPr>
      </w:pPr>
      <w:r w:rsidRPr="00435EF7">
        <w:rPr>
          <w:rFonts w:asciiTheme="minorHAnsi" w:eastAsiaTheme="minorHAnsi" w:hAnsiTheme="minorHAnsi" w:cstheme="minorBidi"/>
          <w:b/>
          <w:color w:val="2F5496" w:themeColor="accent5" w:themeShade="BF"/>
          <w:sz w:val="56"/>
          <w:szCs w:val="56"/>
          <w:lang w:eastAsia="en-US" w:bidi="ar-SA"/>
        </w:rPr>
        <w:t>FUNDUSZE EUROPEJSKIE</w:t>
      </w:r>
    </w:p>
    <w:p w14:paraId="4C966840" w14:textId="77777777" w:rsidR="00435EF7" w:rsidRPr="00435EF7" w:rsidRDefault="00435EF7" w:rsidP="00435EF7">
      <w:pPr>
        <w:keepNext/>
        <w:spacing w:before="0" w:after="0" w:line="259" w:lineRule="auto"/>
        <w:jc w:val="center"/>
        <w:rPr>
          <w:rFonts w:asciiTheme="minorHAnsi" w:eastAsiaTheme="minorHAnsi" w:hAnsiTheme="minorHAnsi" w:cstheme="minorBidi"/>
          <w:b/>
          <w:color w:val="2F5496" w:themeColor="accent5" w:themeShade="BF"/>
          <w:sz w:val="56"/>
          <w:szCs w:val="56"/>
          <w:lang w:eastAsia="en-US" w:bidi="ar-SA"/>
        </w:rPr>
      </w:pPr>
      <w:r w:rsidRPr="00435EF7">
        <w:rPr>
          <w:rFonts w:asciiTheme="minorHAnsi" w:eastAsiaTheme="minorHAnsi" w:hAnsiTheme="minorHAnsi" w:cstheme="minorBidi"/>
          <w:b/>
          <w:color w:val="2F5496" w:themeColor="accent5" w:themeShade="BF"/>
          <w:sz w:val="56"/>
          <w:szCs w:val="56"/>
          <w:lang w:eastAsia="en-US" w:bidi="ar-SA"/>
        </w:rPr>
        <w:t xml:space="preserve">DLA OPOLSKIEGO </w:t>
      </w:r>
      <w:r w:rsidRPr="00435EF7">
        <w:rPr>
          <w:rFonts w:asciiTheme="minorHAnsi" w:eastAsiaTheme="minorHAnsi" w:hAnsiTheme="minorHAnsi" w:cstheme="minorBidi"/>
          <w:b/>
          <w:color w:val="2F5496" w:themeColor="accent5" w:themeShade="BF"/>
          <w:sz w:val="56"/>
          <w:szCs w:val="56"/>
          <w:lang w:eastAsia="en-US" w:bidi="ar-SA"/>
        </w:rPr>
        <w:br/>
        <w:t>2021-2027</w:t>
      </w:r>
    </w:p>
    <w:p w14:paraId="412A33FF" w14:textId="77777777" w:rsidR="00435EF7" w:rsidRPr="00435EF7" w:rsidRDefault="00435EF7" w:rsidP="00435EF7">
      <w:pPr>
        <w:keepNext/>
        <w:spacing w:before="0" w:after="0" w:line="259" w:lineRule="auto"/>
        <w:jc w:val="center"/>
        <w:rPr>
          <w:rFonts w:asciiTheme="minorHAnsi" w:eastAsiaTheme="minorHAnsi" w:hAnsiTheme="minorHAnsi" w:cstheme="minorBidi"/>
          <w:b/>
          <w:color w:val="2F5496" w:themeColor="accent5" w:themeShade="BF"/>
          <w:sz w:val="56"/>
          <w:szCs w:val="56"/>
          <w:lang w:eastAsia="en-US" w:bidi="ar-SA"/>
        </w:rPr>
      </w:pPr>
    </w:p>
    <w:p w14:paraId="0B1981D3" w14:textId="77777777" w:rsidR="00435EF7" w:rsidRPr="00435EF7" w:rsidRDefault="00435EF7" w:rsidP="00435EF7">
      <w:pPr>
        <w:keepNext/>
        <w:spacing w:before="0" w:after="0" w:line="259" w:lineRule="auto"/>
        <w:jc w:val="center"/>
        <w:rPr>
          <w:rFonts w:asciiTheme="minorHAnsi" w:eastAsiaTheme="minorHAnsi" w:hAnsiTheme="minorHAnsi" w:cstheme="minorBidi"/>
          <w:b/>
          <w:color w:val="2F5496" w:themeColor="accent5" w:themeShade="BF"/>
          <w:sz w:val="56"/>
          <w:szCs w:val="56"/>
          <w:lang w:eastAsia="en-US" w:bidi="ar-SA"/>
        </w:rPr>
      </w:pPr>
    </w:p>
    <w:p w14:paraId="6C963A5D" w14:textId="77777777" w:rsidR="00435EF7" w:rsidRPr="00435EF7" w:rsidRDefault="00435EF7" w:rsidP="00435EF7">
      <w:pPr>
        <w:keepNext/>
        <w:spacing w:before="0" w:after="0" w:line="259" w:lineRule="auto"/>
        <w:jc w:val="center"/>
        <w:rPr>
          <w:rFonts w:asciiTheme="minorHAnsi" w:eastAsiaTheme="minorHAnsi" w:hAnsiTheme="minorHAnsi" w:cstheme="minorBidi"/>
          <w:b/>
          <w:color w:val="2F5496" w:themeColor="accent5" w:themeShade="BF"/>
          <w:sz w:val="56"/>
          <w:szCs w:val="56"/>
          <w:lang w:eastAsia="en-US" w:bidi="ar-SA"/>
        </w:rPr>
      </w:pPr>
    </w:p>
    <w:p w14:paraId="5A4A0343" w14:textId="0413D0E4" w:rsidR="00435EF7" w:rsidRDefault="00435EF7" w:rsidP="00435EF7">
      <w:pPr>
        <w:keepNext/>
        <w:spacing w:before="0" w:after="0" w:line="259" w:lineRule="auto"/>
        <w:jc w:val="center"/>
        <w:rPr>
          <w:rFonts w:asciiTheme="minorHAnsi" w:eastAsiaTheme="minorHAnsi" w:hAnsiTheme="minorHAnsi" w:cstheme="minorBidi"/>
          <w:color w:val="2F5496" w:themeColor="accent5" w:themeShade="BF"/>
          <w:sz w:val="44"/>
          <w:szCs w:val="56"/>
          <w:lang w:eastAsia="en-US" w:bidi="ar-SA"/>
        </w:rPr>
      </w:pPr>
      <w:r w:rsidRPr="00435EF7">
        <w:rPr>
          <w:rFonts w:asciiTheme="minorHAnsi" w:eastAsiaTheme="minorHAnsi" w:hAnsiTheme="minorHAnsi" w:cstheme="minorBidi"/>
          <w:color w:val="2F5496" w:themeColor="accent5" w:themeShade="BF"/>
          <w:sz w:val="44"/>
          <w:szCs w:val="56"/>
          <w:lang w:eastAsia="en-US" w:bidi="ar-SA"/>
        </w:rPr>
        <w:t xml:space="preserve">Aneks 3: Wykaz planowanych operacji o znaczeniu strategicznym wraz z harmonogramem </w:t>
      </w:r>
      <w:r w:rsidRPr="00435EF7">
        <w:rPr>
          <w:rFonts w:asciiTheme="minorHAnsi" w:eastAsiaTheme="minorHAnsi" w:hAnsiTheme="minorHAnsi" w:cstheme="minorBidi"/>
          <w:color w:val="2F5496" w:themeColor="accent5" w:themeShade="BF"/>
          <w:sz w:val="44"/>
          <w:szCs w:val="56"/>
          <w:lang w:eastAsia="en-US" w:bidi="ar-SA"/>
        </w:rPr>
        <w:br/>
        <w:t>(art. 22 ust. 3 rozporządzenia w sprawie wspólnych przepisów)</w:t>
      </w:r>
      <w:r>
        <w:rPr>
          <w:rFonts w:asciiTheme="minorHAnsi" w:eastAsiaTheme="minorHAnsi" w:hAnsiTheme="minorHAnsi" w:cstheme="minorBidi"/>
          <w:color w:val="2F5496" w:themeColor="accent5" w:themeShade="BF"/>
          <w:sz w:val="44"/>
          <w:szCs w:val="56"/>
          <w:lang w:eastAsia="en-US" w:bidi="ar-SA"/>
        </w:rPr>
        <w:br w:type="page"/>
      </w:r>
    </w:p>
    <w:p w14:paraId="07417D25" w14:textId="77777777" w:rsidR="00435EF7" w:rsidRPr="00435EF7" w:rsidRDefault="00435EF7" w:rsidP="00435EF7">
      <w:pPr>
        <w:keepNext/>
        <w:spacing w:before="0" w:after="0" w:line="259" w:lineRule="auto"/>
        <w:jc w:val="center"/>
        <w:rPr>
          <w:rFonts w:asciiTheme="minorHAnsi" w:eastAsiaTheme="minorHAnsi" w:hAnsiTheme="minorHAnsi" w:cstheme="minorBidi"/>
          <w:color w:val="2F5496" w:themeColor="accent5" w:themeShade="BF"/>
          <w:sz w:val="44"/>
          <w:szCs w:val="56"/>
          <w:lang w:eastAsia="en-US" w:bidi="ar-SA"/>
        </w:rPr>
      </w:pPr>
    </w:p>
    <w:p w14:paraId="697F3D98" w14:textId="5201DABE" w:rsidR="00435EF7" w:rsidRDefault="00435EF7" w:rsidP="00435EF7">
      <w:pPr>
        <w:tabs>
          <w:tab w:val="left" w:pos="1800"/>
        </w:tabs>
        <w:spacing w:before="0" w:after="160" w:line="259" w:lineRule="auto"/>
        <w:ind w:left="708"/>
        <w:rPr>
          <w:rFonts w:asciiTheme="minorHAnsi" w:eastAsiaTheme="minorHAnsi" w:hAnsiTheme="minorHAnsi" w:cstheme="minorBidi"/>
          <w:szCs w:val="22"/>
          <w:lang w:eastAsia="en-US" w:bidi="ar-SA"/>
        </w:rPr>
      </w:pPr>
      <w:r>
        <w:rPr>
          <w:rFonts w:asciiTheme="minorHAnsi" w:eastAsiaTheme="minorHAnsi" w:hAnsiTheme="minorHAnsi" w:cstheme="minorBidi"/>
          <w:szCs w:val="22"/>
          <w:lang w:eastAsia="en-US" w:bidi="ar-SA"/>
        </w:rPr>
        <w:tab/>
      </w:r>
    </w:p>
    <w:p w14:paraId="56955BA7" w14:textId="77777777" w:rsidR="00435EF7" w:rsidRPr="00435EF7" w:rsidRDefault="00435EF7" w:rsidP="00435EF7">
      <w:pPr>
        <w:numPr>
          <w:ilvl w:val="0"/>
          <w:numId w:val="187"/>
        </w:numPr>
        <w:spacing w:before="0" w:after="160" w:line="259" w:lineRule="auto"/>
        <w:ind w:left="714" w:hanging="357"/>
        <w:jc w:val="left"/>
        <w:rPr>
          <w:rFonts w:asciiTheme="minorHAnsi" w:eastAsiaTheme="minorHAnsi" w:hAnsiTheme="minorHAnsi" w:cstheme="minorBidi"/>
          <w:szCs w:val="22"/>
          <w:lang w:eastAsia="en-US" w:bidi="ar-SA"/>
        </w:rPr>
      </w:pPr>
      <w:r w:rsidRPr="00435EF7">
        <w:rPr>
          <w:rFonts w:asciiTheme="minorHAnsi" w:eastAsiaTheme="minorHAnsi" w:hAnsiTheme="minorHAnsi" w:cstheme="minorBidi"/>
          <w:szCs w:val="22"/>
          <w:lang w:eastAsia="en-US" w:bidi="ar-SA"/>
        </w:rPr>
        <w:t>Cel Polityki 2, cel szczegółowy (viii); Cel Polityki 3, cel szczegółowy (ii):</w:t>
      </w:r>
    </w:p>
    <w:p w14:paraId="3AEA08AF" w14:textId="77777777" w:rsidR="00435EF7" w:rsidRPr="00435EF7" w:rsidRDefault="00435EF7" w:rsidP="00435EF7">
      <w:pPr>
        <w:spacing w:before="0" w:after="160" w:line="259" w:lineRule="auto"/>
        <w:ind w:left="714"/>
        <w:rPr>
          <w:rFonts w:asciiTheme="minorHAnsi" w:eastAsiaTheme="minorHAnsi" w:hAnsiTheme="minorHAnsi" w:cstheme="minorBidi"/>
          <w:i/>
          <w:iCs/>
          <w:szCs w:val="22"/>
          <w:lang w:eastAsia="en-US" w:bidi="ar-SA"/>
        </w:rPr>
      </w:pPr>
      <w:r w:rsidRPr="00435EF7">
        <w:rPr>
          <w:rFonts w:asciiTheme="minorHAnsi" w:eastAsiaTheme="minorHAnsi" w:hAnsiTheme="minorHAnsi" w:cstheme="minorHAnsi"/>
          <w:i/>
          <w:iCs/>
          <w:sz w:val="22"/>
          <w:szCs w:val="22"/>
          <w:lang w:eastAsia="en-US" w:bidi="ar-SA"/>
        </w:rPr>
        <w:t>„Opolskie na rowery do centrów usług i miejsc pracy”</w:t>
      </w:r>
      <w:r w:rsidRPr="00435EF7">
        <w:rPr>
          <w:rFonts w:asciiTheme="minorHAnsi" w:eastAsiaTheme="minorHAnsi" w:hAnsiTheme="minorHAnsi" w:cstheme="minorHAnsi"/>
          <w:sz w:val="22"/>
          <w:szCs w:val="22"/>
          <w:lang w:eastAsia="en-US" w:bidi="ar-SA"/>
        </w:rPr>
        <w:t xml:space="preserve"> </w:t>
      </w:r>
    </w:p>
    <w:p w14:paraId="3F5BF472" w14:textId="77777777" w:rsidR="00435EF7" w:rsidRPr="00435EF7" w:rsidRDefault="00435EF7" w:rsidP="00435EF7">
      <w:pPr>
        <w:spacing w:before="0" w:after="160" w:line="259" w:lineRule="auto"/>
        <w:ind w:left="714"/>
        <w:rPr>
          <w:rFonts w:asciiTheme="minorHAnsi" w:eastAsiaTheme="minorHAnsi" w:hAnsiTheme="minorHAnsi" w:cstheme="minorBidi"/>
          <w:szCs w:val="22"/>
          <w:lang w:eastAsia="en-US" w:bidi="ar-SA"/>
        </w:rPr>
      </w:pPr>
      <w:r w:rsidRPr="00435EF7">
        <w:rPr>
          <w:rFonts w:asciiTheme="minorHAnsi" w:eastAsiaTheme="minorHAnsi" w:hAnsiTheme="minorHAnsi" w:cstheme="minorBidi"/>
          <w:szCs w:val="22"/>
          <w:lang w:eastAsia="en-US" w:bidi="ar-SA"/>
        </w:rPr>
        <w:t xml:space="preserve">Realizacja: II kwartał 2025 r. – II kwartał 2027 r. </w:t>
      </w:r>
    </w:p>
    <w:p w14:paraId="2B8E6377" w14:textId="77777777" w:rsidR="00435EF7" w:rsidRPr="00435EF7" w:rsidRDefault="00435EF7" w:rsidP="00435EF7">
      <w:pPr>
        <w:tabs>
          <w:tab w:val="left" w:pos="1800"/>
        </w:tabs>
        <w:spacing w:before="0" w:after="160" w:line="259" w:lineRule="auto"/>
        <w:ind w:left="708"/>
        <w:rPr>
          <w:rFonts w:asciiTheme="minorHAnsi" w:eastAsiaTheme="minorHAnsi" w:hAnsiTheme="minorHAnsi" w:cstheme="minorBidi"/>
          <w:szCs w:val="22"/>
          <w:lang w:eastAsia="en-US" w:bidi="ar-SA"/>
        </w:rPr>
      </w:pPr>
    </w:p>
    <w:p w14:paraId="516AD273" w14:textId="77777777" w:rsidR="00435EF7" w:rsidRPr="00435EF7" w:rsidRDefault="00435EF7" w:rsidP="00435EF7">
      <w:pPr>
        <w:numPr>
          <w:ilvl w:val="0"/>
          <w:numId w:val="187"/>
        </w:numPr>
        <w:spacing w:before="0" w:after="160" w:line="259" w:lineRule="auto"/>
        <w:ind w:left="714" w:hanging="357"/>
        <w:jc w:val="left"/>
        <w:rPr>
          <w:rFonts w:asciiTheme="minorHAnsi" w:eastAsiaTheme="minorHAnsi" w:hAnsiTheme="minorHAnsi" w:cstheme="minorBidi"/>
          <w:szCs w:val="22"/>
          <w:lang w:eastAsia="en-US" w:bidi="ar-SA"/>
        </w:rPr>
      </w:pPr>
      <w:r w:rsidRPr="00435EF7">
        <w:rPr>
          <w:rFonts w:asciiTheme="minorHAnsi" w:eastAsiaTheme="minorHAnsi" w:hAnsiTheme="minorHAnsi" w:cstheme="minorBidi"/>
          <w:szCs w:val="22"/>
          <w:lang w:eastAsia="en-US" w:bidi="ar-SA"/>
        </w:rPr>
        <w:t>Cel Polityki 4, cel szczegółowy (l):</w:t>
      </w:r>
    </w:p>
    <w:p w14:paraId="0A1864A4" w14:textId="77777777" w:rsidR="00435EF7" w:rsidRPr="00435EF7" w:rsidRDefault="00435EF7" w:rsidP="00435EF7">
      <w:pPr>
        <w:spacing w:before="0" w:after="160" w:line="259" w:lineRule="auto"/>
        <w:ind w:left="720"/>
        <w:rPr>
          <w:rFonts w:asciiTheme="minorHAnsi" w:eastAsiaTheme="minorHAnsi" w:hAnsiTheme="minorHAnsi" w:cstheme="minorBidi"/>
          <w:i/>
          <w:szCs w:val="22"/>
          <w:highlight w:val="yellow"/>
          <w:lang w:eastAsia="en-US" w:bidi="ar-SA"/>
        </w:rPr>
      </w:pPr>
      <w:r w:rsidRPr="00435EF7">
        <w:rPr>
          <w:rFonts w:asciiTheme="minorHAnsi" w:eastAsia="Times New Roman" w:hAnsiTheme="minorHAnsi" w:cstheme="minorHAnsi"/>
          <w:bCs/>
          <w:i/>
          <w:szCs w:val="22"/>
          <w:lang w:bidi="ar-SA"/>
        </w:rPr>
        <w:t>Bliżej rodziny i dziecka – wsparcie rodzin przeżywających problemy opiekuńczo-wychowawcze oraz wsparcie pieczy zastępczej - etap II</w:t>
      </w:r>
      <w:r w:rsidRPr="00435EF7">
        <w:rPr>
          <w:rFonts w:asciiTheme="minorHAnsi" w:eastAsiaTheme="minorHAnsi" w:hAnsiTheme="minorHAnsi" w:cstheme="minorBidi"/>
          <w:i/>
          <w:szCs w:val="22"/>
          <w:highlight w:val="yellow"/>
          <w:lang w:eastAsia="en-US" w:bidi="ar-SA"/>
        </w:rPr>
        <w:t xml:space="preserve"> </w:t>
      </w:r>
    </w:p>
    <w:p w14:paraId="64D99967" w14:textId="77777777" w:rsidR="00435EF7" w:rsidRPr="00435EF7" w:rsidRDefault="00435EF7" w:rsidP="00435EF7">
      <w:pPr>
        <w:spacing w:before="0" w:after="160" w:line="259" w:lineRule="auto"/>
        <w:ind w:left="708"/>
        <w:rPr>
          <w:rFonts w:asciiTheme="minorHAnsi" w:eastAsiaTheme="minorHAnsi" w:hAnsiTheme="minorHAnsi" w:cstheme="minorBidi"/>
          <w:szCs w:val="22"/>
          <w:lang w:eastAsia="en-US" w:bidi="ar-SA"/>
        </w:rPr>
      </w:pPr>
      <w:r w:rsidRPr="00435EF7">
        <w:rPr>
          <w:rFonts w:asciiTheme="minorHAnsi" w:eastAsiaTheme="minorHAnsi" w:hAnsiTheme="minorHAnsi" w:cstheme="minorBidi"/>
          <w:szCs w:val="22"/>
          <w:lang w:eastAsia="en-US" w:bidi="ar-SA"/>
        </w:rPr>
        <w:t>Realizacja: II kwartał 2023 r. – II kwartał 2025 r.</w:t>
      </w:r>
    </w:p>
    <w:p w14:paraId="4EB5BD2C" w14:textId="77777777" w:rsidR="00435EF7" w:rsidRPr="00890249" w:rsidRDefault="00435EF7" w:rsidP="00385B19">
      <w:pPr>
        <w:rPr>
          <w:rFonts w:asciiTheme="minorHAnsi" w:hAnsiTheme="minorHAnsi" w:cstheme="minorHAnsi"/>
        </w:rPr>
      </w:pPr>
    </w:p>
    <w:sectPr w:rsidR="00435EF7" w:rsidRPr="00890249" w:rsidSect="00F40309">
      <w:headerReference w:type="even" r:id="rId170"/>
      <w:headerReference w:type="default" r:id="rId171"/>
      <w:footerReference w:type="even" r:id="rId172"/>
      <w:footerReference w:type="default" r:id="rId173"/>
      <w:headerReference w:type="first" r:id="rId174"/>
      <w:footerReference w:type="first" r:id="rId17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EA6F" w14:textId="77777777" w:rsidR="009C71D3" w:rsidRDefault="009C71D3" w:rsidP="00307C5B">
      <w:pPr>
        <w:spacing w:before="0" w:after="0"/>
      </w:pPr>
      <w:r>
        <w:separator/>
      </w:r>
    </w:p>
  </w:endnote>
  <w:endnote w:type="continuationSeparator" w:id="0">
    <w:p w14:paraId="0A207B31" w14:textId="77777777" w:rsidR="009C71D3" w:rsidRDefault="009C71D3" w:rsidP="00307C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95976"/>
      <w:docPartObj>
        <w:docPartGallery w:val="Page Numbers (Bottom of Page)"/>
        <w:docPartUnique/>
      </w:docPartObj>
    </w:sdtPr>
    <w:sdtEndPr>
      <w:rPr>
        <w:rFonts w:asciiTheme="minorHAnsi" w:hAnsiTheme="minorHAnsi"/>
        <w:sz w:val="22"/>
        <w:szCs w:val="22"/>
      </w:rPr>
    </w:sdtEndPr>
    <w:sdtContent>
      <w:p w14:paraId="60A17370" w14:textId="77777777" w:rsidR="00F17884" w:rsidRPr="00E36770" w:rsidRDefault="00F17884">
        <w:pPr>
          <w:pStyle w:val="Stopka"/>
          <w:jc w:val="center"/>
          <w:rPr>
            <w:rFonts w:asciiTheme="minorHAnsi" w:hAnsiTheme="minorHAnsi"/>
            <w:sz w:val="22"/>
            <w:szCs w:val="22"/>
          </w:rPr>
        </w:pPr>
        <w:r w:rsidRPr="00E36770">
          <w:rPr>
            <w:rFonts w:asciiTheme="minorHAnsi" w:hAnsiTheme="minorHAnsi"/>
            <w:sz w:val="22"/>
            <w:szCs w:val="22"/>
          </w:rPr>
          <w:fldChar w:fldCharType="begin"/>
        </w:r>
        <w:r w:rsidRPr="00E36770">
          <w:rPr>
            <w:rFonts w:asciiTheme="minorHAnsi" w:hAnsiTheme="minorHAnsi"/>
            <w:sz w:val="22"/>
            <w:szCs w:val="22"/>
          </w:rPr>
          <w:instrText>PAGE   \* MERGEFORMAT</w:instrText>
        </w:r>
        <w:r w:rsidRPr="00E36770">
          <w:rPr>
            <w:rFonts w:asciiTheme="minorHAnsi" w:hAnsiTheme="minorHAnsi"/>
            <w:sz w:val="22"/>
            <w:szCs w:val="22"/>
          </w:rPr>
          <w:fldChar w:fldCharType="separate"/>
        </w:r>
        <w:r w:rsidR="008D692A">
          <w:rPr>
            <w:rFonts w:asciiTheme="minorHAnsi" w:hAnsiTheme="minorHAnsi"/>
            <w:noProof/>
            <w:sz w:val="22"/>
            <w:szCs w:val="22"/>
          </w:rPr>
          <w:t>258</w:t>
        </w:r>
        <w:r w:rsidRPr="00E36770">
          <w:rPr>
            <w:rFonts w:asciiTheme="minorHAnsi" w:hAnsiTheme="minorHAnsi"/>
            <w:sz w:val="22"/>
            <w:szCs w:val="22"/>
          </w:rPr>
          <w:fldChar w:fldCharType="end"/>
        </w:r>
      </w:p>
    </w:sdtContent>
  </w:sdt>
  <w:p w14:paraId="2CD67E35" w14:textId="77777777" w:rsidR="00F17884" w:rsidRDefault="00F178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3CA87" w14:textId="77777777" w:rsidR="00F17884" w:rsidRPr="001C5764" w:rsidRDefault="00F17884">
    <w:pPr>
      <w:pStyle w:val="Stopka"/>
      <w:jc w:val="center"/>
      <w:rPr>
        <w:rFonts w:asciiTheme="minorHAnsi" w:hAnsiTheme="minorHAnsi"/>
        <w:sz w:val="22"/>
      </w:rPr>
    </w:pPr>
  </w:p>
  <w:p w14:paraId="477D76CF" w14:textId="77777777" w:rsidR="00F17884" w:rsidRDefault="00F178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80D9" w14:textId="77777777" w:rsidR="00F17884" w:rsidRDefault="00F1788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621286"/>
      <w:docPartObj>
        <w:docPartGallery w:val="Page Numbers (Bottom of Page)"/>
        <w:docPartUnique/>
      </w:docPartObj>
    </w:sdtPr>
    <w:sdtEndPr>
      <w:rPr>
        <w:noProof/>
      </w:rPr>
    </w:sdtEndPr>
    <w:sdtContent>
      <w:p w14:paraId="36D4ABFF" w14:textId="77777777" w:rsidR="00F17884" w:rsidRPr="003F5DE6" w:rsidRDefault="00F17884">
        <w:pPr>
          <w:pStyle w:val="Stopka"/>
          <w:jc w:val="center"/>
          <w:rPr>
            <w:rFonts w:asciiTheme="minorHAnsi" w:hAnsiTheme="minorHAnsi"/>
            <w:noProof/>
          </w:rPr>
        </w:pPr>
        <w:r w:rsidRPr="003F5DE6">
          <w:rPr>
            <w:rFonts w:asciiTheme="minorHAnsi" w:hAnsiTheme="minorHAnsi"/>
          </w:rPr>
          <w:fldChar w:fldCharType="begin"/>
        </w:r>
        <w:r w:rsidRPr="003F5DE6">
          <w:rPr>
            <w:rFonts w:asciiTheme="minorHAnsi" w:hAnsiTheme="minorHAnsi"/>
          </w:rPr>
          <w:instrText xml:space="preserve"> PAGE   \* MERGEFORMAT </w:instrText>
        </w:r>
        <w:r w:rsidRPr="003F5DE6">
          <w:rPr>
            <w:rFonts w:asciiTheme="minorHAnsi" w:hAnsiTheme="minorHAnsi"/>
          </w:rPr>
          <w:fldChar w:fldCharType="separate"/>
        </w:r>
        <w:r w:rsidR="008D692A">
          <w:rPr>
            <w:rFonts w:asciiTheme="minorHAnsi" w:hAnsiTheme="minorHAnsi"/>
            <w:noProof/>
          </w:rPr>
          <w:t>260</w:t>
        </w:r>
        <w:r w:rsidRPr="003F5DE6">
          <w:rPr>
            <w:rFonts w:asciiTheme="minorHAnsi" w:hAnsiTheme="minorHAnsi"/>
            <w:noProof/>
          </w:rPr>
          <w:fldChar w:fldCharType="end"/>
        </w:r>
      </w:p>
      <w:p w14:paraId="17D71B9F" w14:textId="77777777" w:rsidR="00F17884" w:rsidRDefault="00EB5416" w:rsidP="00123727">
        <w:pPr>
          <w:pStyle w:val="Stopka"/>
          <w:jc w:val="center"/>
          <w:rPr>
            <w:rStyle w:val="Numerstrony"/>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3683" w14:textId="77777777" w:rsidR="00F17884" w:rsidRPr="006D6003" w:rsidRDefault="00F17884">
    <w:pPr>
      <w:pStyle w:val="Stopka"/>
      <w:jc w:val="center"/>
      <w:rPr>
        <w:rFonts w:asciiTheme="minorHAnsi" w:hAnsiTheme="minorHAnsi" w:cstheme="minorHAnsi"/>
      </w:rPr>
    </w:pPr>
    <w:r w:rsidRPr="006D6003">
      <w:rPr>
        <w:rFonts w:asciiTheme="minorHAnsi" w:hAnsiTheme="minorHAnsi" w:cstheme="minorHAnsi"/>
        <w:noProof/>
      </w:rPr>
      <w:fldChar w:fldCharType="begin"/>
    </w:r>
    <w:r w:rsidRPr="006D6003">
      <w:rPr>
        <w:rFonts w:asciiTheme="minorHAnsi" w:hAnsiTheme="minorHAnsi" w:cstheme="minorHAnsi"/>
        <w:noProof/>
      </w:rPr>
      <w:instrText xml:space="preserve"> PAGE   \* MERGEFORMAT </w:instrText>
    </w:r>
    <w:r w:rsidRPr="006D6003">
      <w:rPr>
        <w:rFonts w:asciiTheme="minorHAnsi" w:hAnsiTheme="minorHAnsi" w:cstheme="minorHAnsi"/>
        <w:noProof/>
      </w:rPr>
      <w:fldChar w:fldCharType="separate"/>
    </w:r>
    <w:r w:rsidR="008D692A">
      <w:rPr>
        <w:rFonts w:asciiTheme="minorHAnsi" w:hAnsiTheme="minorHAnsi" w:cstheme="minorHAnsi"/>
        <w:noProof/>
      </w:rPr>
      <w:t>259</w:t>
    </w:r>
    <w:r w:rsidRPr="006D6003">
      <w:rPr>
        <w:rFonts w:asciiTheme="minorHAnsi" w:hAnsiTheme="minorHAnsi" w:cstheme="minorHAnsi"/>
        <w:noProof/>
      </w:rPr>
      <w:fldChar w:fldCharType="end"/>
    </w:r>
  </w:p>
  <w:p w14:paraId="43813EBE" w14:textId="77777777" w:rsidR="00F17884" w:rsidRDefault="00F17884">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B38E" w14:textId="77777777" w:rsidR="00F17884" w:rsidRDefault="00F17884">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447925824"/>
      <w:docPartObj>
        <w:docPartGallery w:val="Page Numbers (Bottom of Page)"/>
        <w:docPartUnique/>
      </w:docPartObj>
    </w:sdtPr>
    <w:sdtEndPr/>
    <w:sdtContent>
      <w:p w14:paraId="2F4DE741" w14:textId="77777777" w:rsidR="00F17884" w:rsidRPr="006D6003" w:rsidRDefault="00F17884">
        <w:pPr>
          <w:pStyle w:val="Stopka"/>
          <w:jc w:val="center"/>
          <w:rPr>
            <w:rFonts w:asciiTheme="minorHAnsi" w:hAnsiTheme="minorHAnsi" w:cstheme="minorHAnsi"/>
          </w:rPr>
        </w:pPr>
        <w:r w:rsidRPr="006D6003">
          <w:rPr>
            <w:rFonts w:asciiTheme="minorHAnsi" w:hAnsiTheme="minorHAnsi" w:cstheme="minorHAnsi"/>
            <w:noProof/>
          </w:rPr>
          <w:fldChar w:fldCharType="begin"/>
        </w:r>
        <w:r w:rsidRPr="006D6003">
          <w:rPr>
            <w:rFonts w:asciiTheme="minorHAnsi" w:hAnsiTheme="minorHAnsi" w:cstheme="minorHAnsi"/>
            <w:noProof/>
          </w:rPr>
          <w:instrText>PAGE   \* MERGEFORMAT</w:instrText>
        </w:r>
        <w:r w:rsidRPr="006D6003">
          <w:rPr>
            <w:rFonts w:asciiTheme="minorHAnsi" w:hAnsiTheme="minorHAnsi" w:cstheme="minorHAnsi"/>
            <w:noProof/>
          </w:rPr>
          <w:fldChar w:fldCharType="separate"/>
        </w:r>
        <w:r w:rsidR="00EB2E7B">
          <w:rPr>
            <w:rFonts w:asciiTheme="minorHAnsi" w:hAnsiTheme="minorHAnsi" w:cstheme="minorHAnsi"/>
            <w:noProof/>
          </w:rPr>
          <w:t>383</w:t>
        </w:r>
        <w:r w:rsidRPr="006D6003">
          <w:rPr>
            <w:rFonts w:asciiTheme="minorHAnsi" w:hAnsiTheme="minorHAnsi" w:cstheme="minorHAnsi"/>
            <w:noProof/>
          </w:rPr>
          <w:fldChar w:fldCharType="end"/>
        </w:r>
      </w:p>
    </w:sdtContent>
  </w:sdt>
  <w:p w14:paraId="5AAD68AD" w14:textId="77777777" w:rsidR="00F17884" w:rsidRDefault="00F17884">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1477" w14:textId="77777777" w:rsidR="00F17884" w:rsidRDefault="00F17884">
    <w:pPr>
      <w:pStyle w:val="Stopka"/>
      <w:jc w:val="center"/>
    </w:pPr>
    <w:r>
      <w:rPr>
        <w:noProof/>
      </w:rPr>
      <w:fldChar w:fldCharType="begin"/>
    </w:r>
    <w:r>
      <w:rPr>
        <w:noProof/>
      </w:rPr>
      <w:instrText>PAGE   \* MERGEFORMAT</w:instrText>
    </w:r>
    <w:r>
      <w:rPr>
        <w:noProof/>
      </w:rPr>
      <w:fldChar w:fldCharType="separate"/>
    </w:r>
    <w:r w:rsidR="00EB2E7B">
      <w:rPr>
        <w:noProof/>
      </w:rPr>
      <w:t>376</w:t>
    </w:r>
    <w:r>
      <w:rPr>
        <w:noProof/>
      </w:rPr>
      <w:fldChar w:fldCharType="end"/>
    </w:r>
  </w:p>
  <w:p w14:paraId="11390295" w14:textId="77777777" w:rsidR="00F17884" w:rsidRDefault="00F178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BB67" w14:textId="77777777" w:rsidR="009C71D3" w:rsidRDefault="009C71D3" w:rsidP="00307C5B">
      <w:pPr>
        <w:spacing w:before="0" w:after="0"/>
      </w:pPr>
      <w:r>
        <w:separator/>
      </w:r>
    </w:p>
  </w:footnote>
  <w:footnote w:type="continuationSeparator" w:id="0">
    <w:p w14:paraId="50B35344" w14:textId="77777777" w:rsidR="009C71D3" w:rsidRDefault="009C71D3" w:rsidP="00307C5B">
      <w:pPr>
        <w:spacing w:before="0" w:after="0"/>
      </w:pPr>
      <w:r>
        <w:continuationSeparator/>
      </w:r>
    </w:p>
  </w:footnote>
  <w:footnote w:id="1">
    <w:p w14:paraId="6147B8B4" w14:textId="0B2F3B8D" w:rsidR="00F17884" w:rsidRPr="00890249" w:rsidRDefault="00F17884" w:rsidP="00637FFE">
      <w:pPr>
        <w:pStyle w:val="Tekstprzypisudolnego"/>
        <w:rPr>
          <w:rFonts w:asciiTheme="minorHAnsi" w:hAnsiTheme="minorHAnsi" w:cstheme="minorHAnsi"/>
          <w:i/>
          <w:sz w:val="18"/>
          <w:szCs w:val="18"/>
        </w:rPr>
      </w:pPr>
      <w:r w:rsidRPr="00F1440D">
        <w:rPr>
          <w:rStyle w:val="Odwoanieprzypisudolnego"/>
          <w:sz w:val="18"/>
          <w:szCs w:val="18"/>
        </w:rPr>
        <w:footnoteRef/>
      </w:r>
      <w:r w:rsidRPr="00F1440D">
        <w:rPr>
          <w:sz w:val="18"/>
          <w:szCs w:val="18"/>
        </w:rPr>
        <w:t xml:space="preserve"> </w:t>
      </w:r>
      <w:r w:rsidRPr="007F16A1">
        <w:rPr>
          <w:rFonts w:asciiTheme="minorHAnsi" w:hAnsiTheme="minorHAnsi" w:cstheme="minorHAnsi"/>
          <w:sz w:val="18"/>
          <w:szCs w:val="18"/>
        </w:rPr>
        <w:t>P</w:t>
      </w:r>
      <w:r w:rsidRPr="00C737D0">
        <w:rPr>
          <w:rFonts w:asciiTheme="minorHAnsi" w:hAnsiTheme="minorHAnsi" w:cstheme="minorHAnsi"/>
          <w:sz w:val="18"/>
          <w:szCs w:val="18"/>
        </w:rPr>
        <w:t>rzyjęty uchwałą nr XXXIV/355/2021 Sejmiku Województwa Opolskiego z dnia 4 października 2021 r.</w:t>
      </w:r>
      <w:r w:rsidRPr="00890249">
        <w:rPr>
          <w:rFonts w:asciiTheme="minorHAnsi" w:hAnsiTheme="minorHAnsi" w:cstheme="minorHAnsi"/>
          <w:i/>
          <w:sz w:val="18"/>
          <w:szCs w:val="18"/>
        </w:rPr>
        <w:t xml:space="preserve"> </w:t>
      </w:r>
    </w:p>
  </w:footnote>
  <w:footnote w:id="2">
    <w:p w14:paraId="1785C42F" w14:textId="77777777" w:rsidR="00F17884" w:rsidRPr="00890249" w:rsidRDefault="00F17884">
      <w:pPr>
        <w:pStyle w:val="Tekstprzypisudolnego"/>
        <w:ind w:left="142" w:hanging="142"/>
        <w:rPr>
          <w:rFonts w:asciiTheme="minorHAnsi" w:hAnsiTheme="minorHAnsi" w:cstheme="minorHAnsi"/>
          <w:i/>
          <w:sz w:val="18"/>
          <w:szCs w:val="18"/>
        </w:rPr>
      </w:pPr>
      <w:r w:rsidRPr="00890249">
        <w:rPr>
          <w:rStyle w:val="Odwoanieprzypisudolnego"/>
          <w:rFonts w:asciiTheme="minorHAnsi" w:hAnsiTheme="minorHAnsi" w:cstheme="minorHAnsi"/>
          <w:i/>
          <w:sz w:val="18"/>
          <w:szCs w:val="18"/>
        </w:rPr>
        <w:footnoteRef/>
      </w:r>
      <w:r w:rsidRPr="00890249">
        <w:rPr>
          <w:rFonts w:asciiTheme="minorHAnsi" w:hAnsiTheme="minorHAnsi" w:cstheme="minorHAnsi"/>
          <w:i/>
          <w:sz w:val="18"/>
          <w:szCs w:val="18"/>
        </w:rPr>
        <w:t xml:space="preserve"> Opolskie 2030. Diagnoza regionalna – opracowanie na potrzeby Strategii Rozwoju Województwa Opolskiego do 2030 roku,  </w:t>
      </w:r>
      <w:r w:rsidRPr="007F16A1">
        <w:rPr>
          <w:rFonts w:asciiTheme="minorHAnsi" w:hAnsiTheme="minorHAnsi" w:cstheme="minorHAnsi"/>
          <w:sz w:val="18"/>
          <w:szCs w:val="18"/>
        </w:rPr>
        <w:t>Urząd Marszałkowski</w:t>
      </w:r>
      <w:r w:rsidRPr="00D172FD">
        <w:rPr>
          <w:rFonts w:asciiTheme="minorHAnsi" w:hAnsiTheme="minorHAnsi" w:cstheme="minorHAnsi"/>
          <w:sz w:val="18"/>
          <w:szCs w:val="18"/>
        </w:rPr>
        <w:t xml:space="preserve"> Województwa Opolskiego, Opole listopad 2020.</w:t>
      </w:r>
    </w:p>
  </w:footnote>
  <w:footnote w:id="3">
    <w:p w14:paraId="01C3FD0B" w14:textId="2ABE56F9" w:rsidR="00F17884" w:rsidRPr="00C737D0" w:rsidRDefault="00F17884">
      <w:pPr>
        <w:pStyle w:val="Tekstprzypisudolnego"/>
        <w:rPr>
          <w:rFonts w:asciiTheme="minorHAnsi" w:hAnsiTheme="minorHAnsi" w:cstheme="minorHAnsi"/>
          <w:color w:val="FF0000"/>
          <w:sz w:val="18"/>
          <w:szCs w:val="18"/>
        </w:rPr>
      </w:pPr>
      <w:r w:rsidRPr="007F16A1">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w:t>
      </w:r>
      <w:r w:rsidRPr="00C737D0">
        <w:rPr>
          <w:rFonts w:asciiTheme="minorHAnsi" w:hAnsiTheme="minorHAnsi" w:cstheme="minorHAnsi"/>
          <w:sz w:val="18"/>
          <w:szCs w:val="18"/>
        </w:rPr>
        <w:t>Przyjęty uchwałą nr 5624/2021 Zarządu Województwa Opolskiego z dnia 4 października 2021 r.</w:t>
      </w:r>
    </w:p>
  </w:footnote>
  <w:footnote w:id="4">
    <w:p w14:paraId="56CF4ACA" w14:textId="77777777" w:rsidR="00F17884" w:rsidRPr="00C737D0" w:rsidRDefault="00F17884">
      <w:pPr>
        <w:pStyle w:val="Tekstprzypisudolnego"/>
        <w:rPr>
          <w:rFonts w:asciiTheme="minorHAnsi" w:hAnsiTheme="minorHAnsi" w:cstheme="minorHAnsi"/>
          <w:sz w:val="18"/>
          <w:szCs w:val="18"/>
        </w:rPr>
      </w:pPr>
      <w:r w:rsidRPr="00C737D0">
        <w:rPr>
          <w:rStyle w:val="Odwoanieprzypisudolnego"/>
          <w:rFonts w:asciiTheme="minorHAnsi" w:hAnsiTheme="minorHAnsi" w:cstheme="minorHAnsi"/>
          <w:sz w:val="18"/>
          <w:szCs w:val="18"/>
        </w:rPr>
        <w:footnoteRef/>
      </w:r>
      <w:r w:rsidRPr="00C737D0">
        <w:rPr>
          <w:rFonts w:asciiTheme="minorHAnsi" w:hAnsiTheme="minorHAnsi" w:cstheme="minorHAnsi"/>
          <w:sz w:val="18"/>
          <w:szCs w:val="18"/>
        </w:rPr>
        <w:t xml:space="preserve"> Przyjęta przez Radę Ministrów uchwałą nr 8 z dnia 14 lutego 2017 r. (M.P. poz. 260).</w:t>
      </w:r>
    </w:p>
  </w:footnote>
  <w:footnote w:id="5">
    <w:p w14:paraId="6974FF46" w14:textId="77777777" w:rsidR="00F17884" w:rsidRPr="00C737D0" w:rsidRDefault="00F17884">
      <w:pPr>
        <w:pStyle w:val="Tekstprzypisudolnego"/>
        <w:rPr>
          <w:rFonts w:asciiTheme="minorHAnsi" w:hAnsiTheme="minorHAnsi" w:cstheme="minorHAnsi"/>
          <w:sz w:val="18"/>
          <w:szCs w:val="18"/>
        </w:rPr>
      </w:pPr>
      <w:r w:rsidRPr="00C737D0">
        <w:rPr>
          <w:rStyle w:val="Odwoanieprzypisudolnego"/>
          <w:rFonts w:asciiTheme="minorHAnsi" w:hAnsiTheme="minorHAnsi" w:cstheme="minorHAnsi"/>
          <w:sz w:val="18"/>
          <w:szCs w:val="18"/>
        </w:rPr>
        <w:footnoteRef/>
      </w:r>
      <w:r w:rsidRPr="00C737D0">
        <w:rPr>
          <w:rFonts w:asciiTheme="minorHAnsi" w:hAnsiTheme="minorHAnsi" w:cstheme="minorHAnsi"/>
          <w:sz w:val="18"/>
          <w:szCs w:val="18"/>
        </w:rPr>
        <w:t xml:space="preserve"> Przyjęta przez Radę Ministrów uchwałą nr 102 z dnia 17 września 2019 r. (M.P. poz. 1060).</w:t>
      </w:r>
    </w:p>
  </w:footnote>
  <w:footnote w:id="6">
    <w:p w14:paraId="487213BE" w14:textId="77777777" w:rsidR="00F17884" w:rsidRPr="007F16A1" w:rsidRDefault="00F17884">
      <w:pPr>
        <w:pStyle w:val="Tekstprzypisudolnego"/>
        <w:rPr>
          <w:rFonts w:asciiTheme="minorHAnsi" w:hAnsiTheme="minorHAnsi" w:cstheme="minorHAnsi"/>
          <w:sz w:val="18"/>
          <w:szCs w:val="18"/>
        </w:rPr>
      </w:pPr>
      <w:r w:rsidRPr="00C737D0">
        <w:rPr>
          <w:rStyle w:val="Odwoanieprzypisudolnego"/>
          <w:rFonts w:asciiTheme="minorHAnsi" w:hAnsiTheme="minorHAnsi" w:cstheme="minorHAnsi"/>
          <w:sz w:val="18"/>
          <w:szCs w:val="18"/>
        </w:rPr>
        <w:footnoteRef/>
      </w:r>
      <w:r w:rsidRPr="00C737D0">
        <w:rPr>
          <w:rFonts w:asciiTheme="minorHAnsi" w:hAnsiTheme="minorHAnsi" w:cstheme="minorHAnsi"/>
          <w:sz w:val="18"/>
          <w:szCs w:val="18"/>
        </w:rPr>
        <w:t xml:space="preserve"> Oficjalne negocjacje UP z KE zakończyły się 30 czerwca 2022 r.</w:t>
      </w:r>
    </w:p>
  </w:footnote>
  <w:footnote w:id="7">
    <w:p w14:paraId="5B6C4EC4" w14:textId="631B545D" w:rsidR="00F17884" w:rsidRPr="00890249" w:rsidRDefault="00F17884" w:rsidP="0068324A">
      <w:pPr>
        <w:pStyle w:val="Tekstprzypisudolnego"/>
        <w:ind w:left="142" w:hanging="142"/>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7F16A1">
        <w:rPr>
          <w:rFonts w:asciiTheme="minorHAnsi" w:hAnsiTheme="minorHAnsi" w:cstheme="minorHAnsi"/>
          <w:i/>
          <w:sz w:val="18"/>
          <w:szCs w:val="18"/>
        </w:rPr>
        <w:t>Efekty wdrażania europejskiej polityki spójności w województwie opolskim w latach 2014-2020 w wymiarze gospodarczo-</w:t>
      </w:r>
      <w:r w:rsidRPr="00890249">
        <w:rPr>
          <w:rFonts w:asciiTheme="minorHAnsi" w:hAnsiTheme="minorHAnsi" w:cstheme="minorHAnsi"/>
          <w:i/>
          <w:sz w:val="18"/>
          <w:szCs w:val="18"/>
        </w:rPr>
        <w:t xml:space="preserve"> </w:t>
      </w:r>
      <w:r w:rsidRPr="007F16A1">
        <w:rPr>
          <w:rFonts w:asciiTheme="minorHAnsi" w:hAnsiTheme="minorHAnsi" w:cstheme="minorHAnsi"/>
          <w:i/>
          <w:sz w:val="18"/>
          <w:szCs w:val="18"/>
        </w:rPr>
        <w:t>s</w:t>
      </w:r>
      <w:r w:rsidRPr="00D172FD">
        <w:rPr>
          <w:rFonts w:asciiTheme="minorHAnsi" w:hAnsiTheme="minorHAnsi" w:cstheme="minorHAnsi"/>
          <w:i/>
          <w:sz w:val="18"/>
          <w:szCs w:val="18"/>
        </w:rPr>
        <w:t>połecznym i instytucjonalnym</w:t>
      </w:r>
      <w:r w:rsidRPr="00890249">
        <w:rPr>
          <w:rFonts w:asciiTheme="minorHAnsi" w:hAnsiTheme="minorHAnsi" w:cstheme="minorHAnsi"/>
          <w:sz w:val="18"/>
          <w:szCs w:val="18"/>
        </w:rPr>
        <w:t xml:space="preserve">. </w:t>
      </w:r>
      <w:r w:rsidRPr="007F16A1">
        <w:rPr>
          <w:rFonts w:asciiTheme="minorHAnsi" w:hAnsiTheme="minorHAnsi" w:cstheme="minorHAnsi"/>
          <w:i/>
          <w:sz w:val="18"/>
          <w:szCs w:val="18"/>
        </w:rPr>
        <w:t>Doświadczenia, wnioski i rekomendacje</w:t>
      </w:r>
      <w:r w:rsidRPr="00D172FD">
        <w:rPr>
          <w:rFonts w:asciiTheme="minorHAnsi" w:hAnsiTheme="minorHAnsi" w:cstheme="minorHAnsi"/>
          <w:sz w:val="18"/>
          <w:szCs w:val="18"/>
        </w:rPr>
        <w:t>,</w:t>
      </w:r>
      <w:r w:rsidRPr="002B468B">
        <w:rPr>
          <w:rFonts w:asciiTheme="minorHAnsi" w:hAnsiTheme="minorHAnsi" w:cstheme="minorHAnsi"/>
          <w:sz w:val="18"/>
          <w:szCs w:val="18"/>
        </w:rPr>
        <w:t xml:space="preserve"> Komitet Przestrzennego zagospodarowania Kraju PAN (KPZK PAN), Warszawa-Opole, styczeń 2022.</w:t>
      </w:r>
    </w:p>
  </w:footnote>
  <w:footnote w:id="8">
    <w:p w14:paraId="30268BE4" w14:textId="77777777" w:rsidR="00F17884" w:rsidRPr="00890249" w:rsidRDefault="00F17884">
      <w:pPr>
        <w:pStyle w:val="Tekstprzypisudolnego"/>
        <w:rPr>
          <w:rFonts w:asciiTheme="minorHAnsi" w:hAnsiTheme="minorHAnsi" w:cstheme="minorHAnsi"/>
          <w:sz w:val="18"/>
          <w:szCs w:val="18"/>
        </w:rPr>
      </w:pPr>
      <w:r w:rsidRPr="006626DB">
        <w:rPr>
          <w:rStyle w:val="Odwoanieprzypisudolnego"/>
          <w:rFonts w:asciiTheme="minorHAnsi" w:hAnsiTheme="minorHAnsi" w:cstheme="minorHAnsi"/>
          <w:sz w:val="18"/>
          <w:szCs w:val="18"/>
        </w:rPr>
        <w:footnoteRef/>
      </w:r>
      <w:r w:rsidRPr="006626DB">
        <w:rPr>
          <w:rFonts w:asciiTheme="minorHAnsi" w:hAnsiTheme="minorHAnsi" w:cstheme="minorHAnsi"/>
          <w:sz w:val="18"/>
          <w:szCs w:val="18"/>
        </w:rPr>
        <w:t xml:space="preserve"> </w:t>
      </w:r>
      <w:hyperlink r:id="rId1" w:history="1">
        <w:r w:rsidRPr="00890249">
          <w:rPr>
            <w:rStyle w:val="Hipercze"/>
            <w:rFonts w:asciiTheme="minorHAnsi" w:hAnsiTheme="minorHAnsi" w:cstheme="minorHAnsi"/>
            <w:color w:val="auto"/>
            <w:sz w:val="18"/>
            <w:szCs w:val="18"/>
          </w:rPr>
          <w:t>https://europa.eu/new-european-bauhaus/index_en</w:t>
        </w:r>
      </w:hyperlink>
    </w:p>
  </w:footnote>
  <w:footnote w:id="9">
    <w:p w14:paraId="51D16D7D" w14:textId="77777777" w:rsidR="00F17884" w:rsidRPr="00890249" w:rsidRDefault="00F17884" w:rsidP="00A70C7F">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Strategia Rozwoju Województwa Opolskiego do 2020 roku</w:t>
      </w:r>
      <w:r w:rsidRPr="00890249">
        <w:rPr>
          <w:rFonts w:asciiTheme="minorHAnsi" w:hAnsiTheme="minorHAnsi" w:cstheme="minorHAnsi"/>
          <w:sz w:val="18"/>
          <w:szCs w:val="18"/>
        </w:rPr>
        <w:t>, Opole, 2012, s. 70-72.</w:t>
      </w:r>
    </w:p>
  </w:footnote>
  <w:footnote w:id="10">
    <w:p w14:paraId="5C30D256" w14:textId="31233AF1"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Indeks Millenium 2020 Potencjał innowacyjności Regionów, s.5.</w:t>
      </w:r>
    </w:p>
  </w:footnote>
  <w:footnote w:id="11">
    <w:p w14:paraId="23DB6327" w14:textId="53E4DD41" w:rsidR="00F17884" w:rsidRPr="00B5646C"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Podręcznik Oslo 2018,</w:t>
      </w:r>
      <w:r w:rsidRPr="00890249">
        <w:rPr>
          <w:rFonts w:asciiTheme="minorHAnsi" w:hAnsiTheme="minorHAnsi" w:cstheme="minorHAnsi"/>
          <w:sz w:val="18"/>
          <w:szCs w:val="18"/>
        </w:rPr>
        <w:t xml:space="preserve">  GUS, Warszawa, Szczecin 2020</w:t>
      </w:r>
    </w:p>
  </w:footnote>
  <w:footnote w:id="12">
    <w:p w14:paraId="61419514" w14:textId="11DF3484" w:rsidR="00F17884" w:rsidRPr="00A84885" w:rsidRDefault="00F17884" w:rsidP="00680797">
      <w:pPr>
        <w:pStyle w:val="Tekstprzypisudolnego"/>
        <w:ind w:left="142" w:hanging="142"/>
        <w:rPr>
          <w:rFonts w:asciiTheme="minorHAnsi" w:hAnsiTheme="minorHAnsi" w:cstheme="minorHAnsi"/>
          <w:sz w:val="18"/>
          <w:szCs w:val="18"/>
        </w:rPr>
      </w:pPr>
      <w:r w:rsidRPr="00A84885">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A84885">
        <w:rPr>
          <w:rFonts w:asciiTheme="minorHAnsi" w:hAnsiTheme="minorHAnsi" w:cstheme="minorHAnsi"/>
          <w:i/>
          <w:sz w:val="18"/>
          <w:szCs w:val="18"/>
        </w:rPr>
        <w:t>Społeczeństwo informacyjne w Polsce</w:t>
      </w:r>
      <w:r w:rsidRPr="00A84885">
        <w:rPr>
          <w:rFonts w:asciiTheme="minorHAnsi" w:hAnsiTheme="minorHAnsi" w:cstheme="minorHAnsi"/>
          <w:sz w:val="18"/>
          <w:szCs w:val="18"/>
        </w:rPr>
        <w:t>, Magdalena Orczykowska, Urząd Statystyczny w Szczecinie Ośrodek Statystyki Nauki, Techniki, Innowacji i Społeczeństwa Informacyjnego, 2019 r.</w:t>
      </w:r>
    </w:p>
  </w:footnote>
  <w:footnote w:id="13">
    <w:p w14:paraId="2C011202" w14:textId="2E6337B8" w:rsidR="00F17884" w:rsidRPr="00610817" w:rsidRDefault="00F17884" w:rsidP="00A0615B">
      <w:pPr>
        <w:pStyle w:val="Tekstprzypisudolnego"/>
        <w:rPr>
          <w:rFonts w:asciiTheme="minorHAnsi" w:hAnsiTheme="minorHAnsi" w:cstheme="minorHAnsi"/>
          <w:sz w:val="18"/>
          <w:szCs w:val="18"/>
        </w:rPr>
      </w:pPr>
      <w:r w:rsidRPr="00610817">
        <w:rPr>
          <w:rStyle w:val="Odwoanieprzypisudolnego"/>
          <w:rFonts w:asciiTheme="minorHAnsi" w:hAnsiTheme="minorHAnsi" w:cstheme="minorHAnsi"/>
          <w:sz w:val="18"/>
          <w:szCs w:val="18"/>
        </w:rPr>
        <w:footnoteRef/>
      </w:r>
      <w:r w:rsidRPr="00610817">
        <w:rPr>
          <w:rFonts w:asciiTheme="minorHAnsi" w:hAnsiTheme="minorHAnsi" w:cstheme="minorHAnsi"/>
          <w:i/>
          <w:iCs/>
          <w:sz w:val="18"/>
          <w:szCs w:val="18"/>
        </w:rPr>
        <w:t xml:space="preserve"> Roczna ocena jakości powietrza w województwie opolski. Raport wojewódzki za rok 2018</w:t>
      </w:r>
      <w:r w:rsidRPr="00610817">
        <w:rPr>
          <w:rFonts w:asciiTheme="minorHAnsi" w:hAnsiTheme="minorHAnsi" w:cstheme="minorHAnsi"/>
          <w:sz w:val="18"/>
          <w:szCs w:val="18"/>
        </w:rPr>
        <w:t>. GIOŚ, WIOŚ Opole, 2019.</w:t>
      </w:r>
    </w:p>
  </w:footnote>
  <w:footnote w:id="14">
    <w:p w14:paraId="401CA63A" w14:textId="2A805FAF" w:rsidR="00F17884" w:rsidRPr="00610817" w:rsidRDefault="00F17884" w:rsidP="00680797">
      <w:pPr>
        <w:pStyle w:val="Tekstprzypisudolnego"/>
        <w:ind w:left="142" w:hanging="142"/>
        <w:rPr>
          <w:rFonts w:asciiTheme="minorHAnsi" w:hAnsiTheme="minorHAnsi"/>
          <w:sz w:val="18"/>
          <w:szCs w:val="18"/>
        </w:rPr>
      </w:pPr>
      <w:r w:rsidRPr="00610817">
        <w:rPr>
          <w:rStyle w:val="Odwoanieprzypisudolnego"/>
          <w:rFonts w:asciiTheme="minorHAnsi" w:hAnsiTheme="minorHAnsi"/>
          <w:sz w:val="18"/>
          <w:szCs w:val="18"/>
        </w:rPr>
        <w:footnoteRef/>
      </w:r>
      <w:r w:rsidRPr="00610817">
        <w:rPr>
          <w:rFonts w:asciiTheme="minorHAnsi" w:hAnsiTheme="minorHAnsi"/>
          <w:i/>
          <w:sz w:val="18"/>
          <w:szCs w:val="18"/>
        </w:rPr>
        <w:t xml:space="preserve"> Jakość powietrza w Polsce w roku 2018 w świetle wyników pomiarów prowadzonych w ramach Państwowego Monitoringu Środowiska, </w:t>
      </w:r>
      <w:r w:rsidRPr="00610817">
        <w:rPr>
          <w:rFonts w:asciiTheme="minorHAnsi" w:hAnsiTheme="minorHAnsi"/>
          <w:iCs/>
          <w:sz w:val="18"/>
          <w:szCs w:val="18"/>
        </w:rPr>
        <w:t>Główny Inspektorat Ochrony Środowiska, 2019</w:t>
      </w:r>
      <w:r w:rsidRPr="00610817">
        <w:rPr>
          <w:rFonts w:asciiTheme="minorHAnsi" w:hAnsiTheme="minorHAnsi"/>
          <w:i/>
          <w:sz w:val="18"/>
          <w:szCs w:val="18"/>
        </w:rPr>
        <w:t xml:space="preserve">. </w:t>
      </w:r>
    </w:p>
  </w:footnote>
  <w:footnote w:id="15">
    <w:p w14:paraId="2621CE32" w14:textId="48CA26AC" w:rsidR="00F17884" w:rsidRPr="00610817" w:rsidRDefault="00F17884" w:rsidP="00680797">
      <w:pPr>
        <w:pStyle w:val="Tekstprzypisudolnego"/>
        <w:ind w:left="142" w:hanging="142"/>
        <w:rPr>
          <w:sz w:val="18"/>
          <w:szCs w:val="18"/>
        </w:rPr>
      </w:pPr>
      <w:r w:rsidRPr="00610817">
        <w:rPr>
          <w:rStyle w:val="Odwoanieprzypisudolnego"/>
          <w:rFonts w:asciiTheme="minorHAnsi" w:hAnsiTheme="minorHAnsi"/>
          <w:sz w:val="18"/>
          <w:szCs w:val="18"/>
        </w:rPr>
        <w:footnoteRef/>
      </w:r>
      <w:r w:rsidRPr="00610817">
        <w:rPr>
          <w:rFonts w:asciiTheme="minorHAnsi" w:hAnsiTheme="minorHAnsi"/>
          <w:i/>
          <w:sz w:val="18"/>
          <w:szCs w:val="18"/>
        </w:rPr>
        <w:t xml:space="preserve"> Raport 2018 o stanie zagospodarowania przestrzennego</w:t>
      </w:r>
      <w:r>
        <w:rPr>
          <w:rFonts w:asciiTheme="minorHAnsi" w:hAnsiTheme="minorHAnsi"/>
          <w:i/>
          <w:sz w:val="18"/>
          <w:szCs w:val="18"/>
        </w:rPr>
        <w:t>,</w:t>
      </w:r>
      <w:r w:rsidRPr="00610817">
        <w:rPr>
          <w:rFonts w:asciiTheme="minorHAnsi" w:hAnsiTheme="minorHAnsi"/>
          <w:sz w:val="18"/>
          <w:szCs w:val="18"/>
        </w:rPr>
        <w:t xml:space="preserve"> Województwa Opolskiego, Urząd Marszałkowski Województwa Opolskiego, 2018, s. 26-36.</w:t>
      </w:r>
    </w:p>
  </w:footnote>
  <w:footnote w:id="16">
    <w:p w14:paraId="79F026CF" w14:textId="18CE9514" w:rsidR="00F17884" w:rsidRPr="00610817" w:rsidRDefault="00F17884" w:rsidP="00680797">
      <w:pPr>
        <w:pStyle w:val="Tekstprzypisudolnego"/>
        <w:ind w:left="142" w:hanging="142"/>
        <w:rPr>
          <w:rFonts w:asciiTheme="minorHAnsi" w:hAnsiTheme="minorHAnsi"/>
          <w:sz w:val="18"/>
          <w:szCs w:val="18"/>
        </w:rPr>
      </w:pPr>
      <w:r w:rsidRPr="00610817">
        <w:rPr>
          <w:rStyle w:val="Odwoanieprzypisudolnego"/>
          <w:rFonts w:asciiTheme="minorHAnsi" w:hAnsiTheme="minorHAnsi"/>
          <w:color w:val="000000"/>
          <w:sz w:val="18"/>
          <w:szCs w:val="18"/>
        </w:rPr>
        <w:footnoteRef/>
      </w:r>
      <w:r w:rsidRPr="00610817">
        <w:rPr>
          <w:rFonts w:asciiTheme="minorHAnsi" w:hAnsiTheme="minorHAnsi"/>
          <w:i/>
          <w:color w:val="000000"/>
          <w:sz w:val="18"/>
          <w:szCs w:val="18"/>
        </w:rPr>
        <w:t xml:space="preserve"> </w:t>
      </w:r>
      <w:r w:rsidRPr="00890249">
        <w:rPr>
          <w:rFonts w:asciiTheme="minorHAnsi" w:hAnsiTheme="minorHAnsi"/>
          <w:i/>
          <w:sz w:val="18"/>
          <w:szCs w:val="18"/>
        </w:rPr>
        <w:t>Stan środowiska w województwie opolskim w roku 2011</w:t>
      </w:r>
      <w:r w:rsidRPr="00890249">
        <w:rPr>
          <w:rFonts w:asciiTheme="minorHAnsi" w:hAnsiTheme="minorHAnsi"/>
          <w:sz w:val="18"/>
          <w:szCs w:val="18"/>
        </w:rPr>
        <w:t xml:space="preserve">, Wojewódzki Inspektorat Ochrony Środowiska w Opolu, Opole 2012, s. 21-24, Udział emisji komunalno-bytowej pyłu PM10, pyłu PM2,5 oraz B(a)P w strefie opolskiej wynosi 97% </w:t>
      </w:r>
      <w:r w:rsidRPr="00890249">
        <w:rPr>
          <w:rFonts w:asciiTheme="minorHAnsi" w:hAnsiTheme="minorHAnsi"/>
          <w:sz w:val="18"/>
          <w:szCs w:val="18"/>
        </w:rPr>
        <w:br/>
        <w:t xml:space="preserve">w stosunku do całkowitej emisji powierzchniowej w województwie. </w:t>
      </w:r>
      <w:r w:rsidRPr="00890249">
        <w:rPr>
          <w:rFonts w:asciiTheme="minorHAnsi" w:hAnsiTheme="minorHAnsi"/>
          <w:i/>
          <w:sz w:val="18"/>
          <w:szCs w:val="18"/>
        </w:rPr>
        <w:t>Roczna ocena jakości powietrza w województwie opolskim, Raport wojewódzki za rok 2018</w:t>
      </w:r>
      <w:r w:rsidRPr="00890249">
        <w:rPr>
          <w:rFonts w:asciiTheme="minorHAnsi" w:hAnsiTheme="minorHAnsi"/>
          <w:sz w:val="18"/>
          <w:szCs w:val="18"/>
        </w:rPr>
        <w:t>, Opole, 2019, s. 35.</w:t>
      </w:r>
    </w:p>
  </w:footnote>
  <w:footnote w:id="17">
    <w:p w14:paraId="0D0DBA74" w14:textId="77777777" w:rsidR="00F17884" w:rsidRPr="00610817" w:rsidRDefault="00F17884" w:rsidP="00A43991">
      <w:pPr>
        <w:pStyle w:val="Tekstprzypisudolnego"/>
        <w:ind w:left="142" w:hanging="142"/>
        <w:rPr>
          <w:rFonts w:asciiTheme="minorHAnsi" w:hAnsiTheme="minorHAnsi"/>
          <w:sz w:val="18"/>
          <w:szCs w:val="18"/>
        </w:rPr>
      </w:pPr>
      <w:r w:rsidRPr="00610817">
        <w:rPr>
          <w:rStyle w:val="Odwoanieprzypisudolnego"/>
          <w:rFonts w:asciiTheme="minorHAnsi" w:hAnsiTheme="minorHAnsi"/>
          <w:sz w:val="18"/>
          <w:szCs w:val="18"/>
        </w:rPr>
        <w:footnoteRef/>
      </w:r>
      <w:r w:rsidRPr="00610817">
        <w:rPr>
          <w:rFonts w:asciiTheme="minorHAnsi" w:hAnsiTheme="minorHAnsi"/>
          <w:i/>
          <w:sz w:val="18"/>
          <w:szCs w:val="18"/>
        </w:rPr>
        <w:t xml:space="preserve"> Dokument roboczy służb Komisji – Sprawozdanie krajowe – Polska 2019, SWD(2019) 1020 final, </w:t>
      </w:r>
      <w:r w:rsidRPr="00610817">
        <w:rPr>
          <w:rFonts w:asciiTheme="minorHAnsi" w:hAnsiTheme="minorHAnsi"/>
          <w:sz w:val="18"/>
          <w:szCs w:val="18"/>
        </w:rPr>
        <w:t>Bruksela, Załącznik D</w:t>
      </w:r>
      <w:r w:rsidRPr="00610817">
        <w:rPr>
          <w:rFonts w:asciiTheme="minorHAnsi" w:hAnsiTheme="minorHAnsi" w:cstheme="minorHAnsi"/>
          <w:sz w:val="18"/>
          <w:szCs w:val="18"/>
        </w:rPr>
        <w:t>,  s. 68.</w:t>
      </w:r>
    </w:p>
  </w:footnote>
  <w:footnote w:id="18">
    <w:p w14:paraId="62B6B34E" w14:textId="77777777" w:rsidR="00F17884" w:rsidRPr="00FE19F0" w:rsidRDefault="00F17884" w:rsidP="00B3094C">
      <w:pPr>
        <w:pStyle w:val="Tekstprzypisudolnego"/>
        <w:ind w:left="142" w:hanging="142"/>
        <w:rPr>
          <w:sz w:val="18"/>
          <w:szCs w:val="18"/>
        </w:rPr>
      </w:pPr>
      <w:r w:rsidRPr="00610817">
        <w:rPr>
          <w:rStyle w:val="Odwoanieprzypisudolnego"/>
          <w:rFonts w:asciiTheme="minorHAnsi" w:hAnsiTheme="minorHAnsi"/>
          <w:sz w:val="18"/>
          <w:szCs w:val="18"/>
        </w:rPr>
        <w:footnoteRef/>
      </w:r>
      <w:r w:rsidRPr="00610817">
        <w:rPr>
          <w:rFonts w:asciiTheme="minorHAnsi" w:hAnsiTheme="minorHAnsi"/>
          <w:i/>
          <w:sz w:val="18"/>
          <w:szCs w:val="18"/>
        </w:rPr>
        <w:t xml:space="preserve"> Województwo opolskie. </w:t>
      </w:r>
      <w:r w:rsidRPr="00610817">
        <w:rPr>
          <w:rFonts w:asciiTheme="minorHAnsi" w:hAnsiTheme="minorHAnsi"/>
          <w:i/>
          <w:iCs/>
          <w:sz w:val="18"/>
          <w:szCs w:val="18"/>
        </w:rPr>
        <w:t>Identyfikacja potencjałów i barier JST</w:t>
      </w:r>
      <w:r w:rsidRPr="00610817">
        <w:rPr>
          <w:rFonts w:asciiTheme="minorHAnsi" w:hAnsiTheme="minorHAnsi"/>
          <w:i/>
          <w:sz w:val="18"/>
          <w:szCs w:val="18"/>
        </w:rPr>
        <w:t xml:space="preserve"> </w:t>
      </w:r>
      <w:r w:rsidRPr="00610817">
        <w:rPr>
          <w:rFonts w:asciiTheme="minorHAnsi" w:hAnsiTheme="minorHAnsi"/>
          <w:i/>
          <w:iCs/>
          <w:sz w:val="18"/>
          <w:szCs w:val="18"/>
        </w:rPr>
        <w:t>w województwie opolskim oraz działań na przyszłość – opinia gmin i powiatów, Opole, 2018 r.</w:t>
      </w:r>
      <w:r w:rsidRPr="00610817">
        <w:rPr>
          <w:rFonts w:asciiTheme="minorHAnsi" w:hAnsiTheme="minorHAnsi"/>
          <w:i/>
          <w:sz w:val="18"/>
          <w:szCs w:val="18"/>
        </w:rPr>
        <w:t xml:space="preserve">, </w:t>
      </w:r>
      <w:r w:rsidRPr="00610817">
        <w:rPr>
          <w:rFonts w:asciiTheme="minorHAnsi" w:hAnsiTheme="minorHAnsi"/>
          <w:sz w:val="18"/>
          <w:szCs w:val="18"/>
        </w:rPr>
        <w:t>s.24.</w:t>
      </w:r>
    </w:p>
  </w:footnote>
  <w:footnote w:id="19">
    <w:p w14:paraId="2A6D2D4B" w14:textId="561E4652"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212319">
        <w:rPr>
          <w:rFonts w:asciiTheme="minorHAnsi" w:eastAsia="Times New Roman" w:hAnsiTheme="minorHAnsi" w:cstheme="minorHAnsi"/>
          <w:i/>
          <w:sz w:val="18"/>
          <w:szCs w:val="18"/>
          <w:lang w:eastAsia="en-US"/>
        </w:rPr>
        <w:t xml:space="preserve">VI aktualizacja Krajowego programu oczyszczania ścieków komunalnych, </w:t>
      </w:r>
      <w:r w:rsidRPr="00212319">
        <w:rPr>
          <w:rFonts w:asciiTheme="minorHAnsi" w:eastAsia="Times New Roman" w:hAnsiTheme="minorHAnsi" w:cstheme="minorHAnsi"/>
          <w:sz w:val="18"/>
          <w:szCs w:val="18"/>
          <w:lang w:eastAsia="en-US"/>
        </w:rPr>
        <w:t>załącznik nr 3</w:t>
      </w:r>
      <w:r w:rsidRPr="00212319">
        <w:rPr>
          <w:rFonts w:asciiTheme="minorHAnsi" w:eastAsia="Times New Roman" w:hAnsiTheme="minorHAnsi" w:cstheme="minorHAnsi"/>
          <w:i/>
          <w:sz w:val="18"/>
          <w:szCs w:val="18"/>
          <w:lang w:eastAsia="en-US"/>
        </w:rPr>
        <w:t>.</w:t>
      </w:r>
    </w:p>
  </w:footnote>
  <w:footnote w:id="20">
    <w:p w14:paraId="08C854E0" w14:textId="19E385A2" w:rsidR="00F17884" w:rsidRPr="00212319" w:rsidRDefault="00F17884" w:rsidP="00890249">
      <w:pPr>
        <w:pStyle w:val="Tekstprzypisudolnego"/>
        <w:ind w:left="284" w:hanging="284"/>
        <w:rPr>
          <w:rFonts w:asciiTheme="minorHAnsi" w:eastAsia="Times New Roman" w:hAnsiTheme="minorHAnsi" w:cstheme="minorHAnsi"/>
          <w:sz w:val="18"/>
          <w:szCs w:val="18"/>
          <w:lang w:eastAsia="en-US"/>
        </w:rPr>
      </w:pPr>
      <w:r w:rsidRPr="00212319">
        <w:rPr>
          <w:rStyle w:val="Odwoanieprzypisudolnego"/>
          <w:rFonts w:asciiTheme="minorHAnsi" w:hAnsiTheme="minorHAnsi" w:cstheme="minorHAnsi"/>
          <w:sz w:val="18"/>
          <w:szCs w:val="18"/>
        </w:rPr>
        <w:footnoteRef/>
      </w:r>
      <w:r w:rsidRPr="00212319">
        <w:rPr>
          <w:rFonts w:asciiTheme="minorHAnsi" w:eastAsia="Times New Roman" w:hAnsiTheme="minorHAnsi" w:cstheme="minorHAnsi"/>
          <w:i/>
          <w:sz w:val="18"/>
          <w:szCs w:val="18"/>
          <w:lang w:eastAsia="en-US"/>
        </w:rPr>
        <w:t xml:space="preserve"> Plan gospodarki odpadami województwa opolskiego na lata 2016-2022 z uwzględnieniem lata 2023-2028</w:t>
      </w:r>
      <w:r w:rsidRPr="00212319">
        <w:rPr>
          <w:rFonts w:asciiTheme="minorHAnsi" w:eastAsia="Times New Roman" w:hAnsiTheme="minorHAnsi" w:cstheme="minorHAnsi"/>
          <w:sz w:val="18"/>
          <w:szCs w:val="18"/>
          <w:lang w:eastAsia="en-US"/>
        </w:rPr>
        <w:t>,</w:t>
      </w:r>
      <w:r w:rsidRPr="00890249">
        <w:rPr>
          <w:rFonts w:asciiTheme="minorHAnsi" w:hAnsiTheme="minorHAnsi" w:cstheme="minorHAnsi"/>
          <w:sz w:val="18"/>
          <w:szCs w:val="18"/>
        </w:rPr>
        <w:t xml:space="preserve"> ATMOTERM S.A</w:t>
      </w:r>
      <w:r w:rsidRPr="00212319">
        <w:rPr>
          <w:rFonts w:asciiTheme="minorHAnsi" w:hAnsiTheme="minorHAnsi" w:cstheme="minorHAnsi"/>
          <w:sz w:val="18"/>
          <w:szCs w:val="18"/>
        </w:rPr>
        <w:t xml:space="preserve">, </w:t>
      </w:r>
      <w:r w:rsidRPr="00890249">
        <w:rPr>
          <w:rFonts w:asciiTheme="minorHAnsi" w:hAnsiTheme="minorHAnsi" w:cstheme="minorHAnsi"/>
          <w:sz w:val="18"/>
          <w:szCs w:val="18"/>
        </w:rPr>
        <w:t>Opole, 2016 r.</w:t>
      </w:r>
      <w:r w:rsidRPr="00212319">
        <w:rPr>
          <w:rFonts w:asciiTheme="minorHAnsi" w:eastAsia="Times New Roman" w:hAnsiTheme="minorHAnsi" w:cstheme="minorHAnsi"/>
          <w:sz w:val="18"/>
          <w:szCs w:val="18"/>
          <w:lang w:eastAsia="en-US"/>
        </w:rPr>
        <w:t xml:space="preserve"> s.55.</w:t>
      </w:r>
    </w:p>
  </w:footnote>
  <w:footnote w:id="21">
    <w:p w14:paraId="086CD152" w14:textId="77777777" w:rsidR="00F17884" w:rsidRPr="00212319" w:rsidRDefault="00F17884">
      <w:pPr>
        <w:pStyle w:val="Tekstprzypisudolnego"/>
        <w:rPr>
          <w:rFonts w:asciiTheme="minorHAnsi" w:hAnsiTheme="minorHAnsi" w:cstheme="minorHAnsi"/>
          <w:sz w:val="18"/>
          <w:szCs w:val="18"/>
        </w:rPr>
      </w:pPr>
      <w:r w:rsidRPr="00212319">
        <w:rPr>
          <w:rStyle w:val="Odwoanieprzypisudolnego"/>
          <w:rFonts w:asciiTheme="minorHAnsi" w:hAnsiTheme="minorHAnsi" w:cstheme="minorHAnsi"/>
          <w:sz w:val="18"/>
          <w:szCs w:val="18"/>
        </w:rPr>
        <w:footnoteRef/>
      </w:r>
      <w:r w:rsidRPr="00212319">
        <w:rPr>
          <w:rFonts w:asciiTheme="minorHAnsi" w:hAnsiTheme="minorHAnsi" w:cstheme="minorHAnsi"/>
          <w:sz w:val="18"/>
          <w:szCs w:val="18"/>
        </w:rPr>
        <w:t xml:space="preserve"> </w:t>
      </w:r>
      <w:r w:rsidRPr="00A253D4">
        <w:rPr>
          <w:rFonts w:asciiTheme="minorHAnsi" w:hAnsiTheme="minorHAnsi" w:cstheme="minorHAnsi"/>
          <w:i/>
          <w:sz w:val="18"/>
          <w:szCs w:val="18"/>
        </w:rPr>
        <w:t>Plan gospodarki odpadami (...)</w:t>
      </w:r>
      <w:r w:rsidRPr="00A253D4">
        <w:rPr>
          <w:rFonts w:asciiTheme="minorHAnsi" w:hAnsiTheme="minorHAnsi" w:cstheme="minorHAnsi"/>
          <w:sz w:val="18"/>
          <w:szCs w:val="18"/>
        </w:rPr>
        <w:t xml:space="preserve">, op. cit., </w:t>
      </w:r>
      <w:r w:rsidRPr="00212319">
        <w:rPr>
          <w:rFonts w:asciiTheme="minorHAnsi" w:hAnsiTheme="minorHAnsi" w:cstheme="minorHAnsi"/>
          <w:sz w:val="18"/>
          <w:szCs w:val="18"/>
        </w:rPr>
        <w:t>s. 252</w:t>
      </w:r>
    </w:p>
  </w:footnote>
  <w:footnote w:id="22">
    <w:p w14:paraId="51A6F641" w14:textId="7D0B4097" w:rsidR="00F17884" w:rsidRPr="00212319" w:rsidRDefault="00F17884" w:rsidP="00814238">
      <w:pPr>
        <w:pStyle w:val="Tekstprzypisudolnego"/>
        <w:ind w:left="0" w:firstLine="0"/>
        <w:rPr>
          <w:rFonts w:asciiTheme="minorHAnsi" w:hAnsiTheme="minorHAnsi" w:cstheme="minorHAnsi"/>
          <w:sz w:val="18"/>
          <w:szCs w:val="18"/>
        </w:rPr>
      </w:pPr>
      <w:r w:rsidRPr="00212319">
        <w:rPr>
          <w:rStyle w:val="Odwoanieprzypisudolnego"/>
          <w:rFonts w:asciiTheme="minorHAnsi" w:hAnsiTheme="minorHAnsi" w:cstheme="minorHAnsi"/>
          <w:sz w:val="18"/>
          <w:szCs w:val="18"/>
        </w:rPr>
        <w:footnoteRef/>
      </w:r>
      <w:r w:rsidRPr="00890249">
        <w:rPr>
          <w:rFonts w:asciiTheme="minorHAnsi" w:hAnsiTheme="minorHAnsi" w:cstheme="minorHAnsi"/>
          <w:i/>
          <w:sz w:val="18"/>
          <w:szCs w:val="18"/>
        </w:rPr>
        <w:t>Unijna Strategii na rzecz bioróżnorodności 2030. Przywracanie przyrody do naszego Życia</w:t>
      </w:r>
      <w:r w:rsidRPr="00212319">
        <w:rPr>
          <w:rFonts w:asciiTheme="minorHAnsi" w:hAnsiTheme="minorHAnsi" w:cstheme="minorHAnsi"/>
          <w:sz w:val="18"/>
          <w:szCs w:val="18"/>
        </w:rPr>
        <w:t xml:space="preserve">, </w:t>
      </w:r>
      <w:r w:rsidRPr="00890249">
        <w:rPr>
          <w:rFonts w:asciiTheme="minorHAnsi" w:hAnsiTheme="minorHAnsi" w:cstheme="minorHAnsi"/>
          <w:sz w:val="18"/>
          <w:szCs w:val="18"/>
        </w:rPr>
        <w:t>Komunikat Komisji do Parlamentu Europejskiego, Rady, Europejskiego Komitety Ekonomiczno-Społecznego i Komitetu Regionów</w:t>
      </w:r>
      <w:r w:rsidRPr="00E437F7">
        <w:rPr>
          <w:rFonts w:asciiTheme="minorHAnsi" w:hAnsiTheme="minorHAnsi" w:cstheme="minorHAnsi"/>
          <w:i/>
          <w:sz w:val="18"/>
          <w:szCs w:val="18"/>
        </w:rPr>
        <w:t xml:space="preserve">. </w:t>
      </w:r>
      <w:r w:rsidRPr="00212319">
        <w:rPr>
          <w:rFonts w:asciiTheme="minorHAnsi" w:hAnsiTheme="minorHAnsi" w:cstheme="minorHAnsi"/>
          <w:sz w:val="18"/>
          <w:szCs w:val="18"/>
        </w:rPr>
        <w:t>Bruksela 20.5.2020 r., s. 5.</w:t>
      </w:r>
    </w:p>
  </w:footnote>
  <w:footnote w:id="23">
    <w:p w14:paraId="0D41EFB0" w14:textId="77777777" w:rsidR="00F17884" w:rsidRPr="006626DB" w:rsidRDefault="00F17884" w:rsidP="00A43991">
      <w:pPr>
        <w:pStyle w:val="Tekstprzypisudolnego"/>
        <w:rPr>
          <w:rFonts w:asciiTheme="minorHAnsi" w:hAnsiTheme="minorHAnsi" w:cstheme="minorHAnsi"/>
          <w:sz w:val="18"/>
          <w:szCs w:val="18"/>
        </w:rPr>
      </w:pPr>
      <w:r w:rsidRPr="00212319">
        <w:rPr>
          <w:rStyle w:val="Odwoanieprzypisudolnego"/>
          <w:rFonts w:asciiTheme="minorHAnsi" w:hAnsiTheme="minorHAnsi" w:cstheme="minorHAnsi"/>
          <w:sz w:val="18"/>
          <w:szCs w:val="18"/>
        </w:rPr>
        <w:footnoteRef/>
      </w:r>
      <w:r w:rsidRPr="00212319">
        <w:rPr>
          <w:rFonts w:asciiTheme="minorHAnsi" w:hAnsiTheme="minorHAnsi" w:cstheme="minorHAnsi"/>
          <w:i/>
          <w:sz w:val="18"/>
          <w:szCs w:val="18"/>
        </w:rPr>
        <w:t xml:space="preserve"> Opolskie 2030 (…),</w:t>
      </w:r>
      <w:r w:rsidRPr="00212319">
        <w:rPr>
          <w:rFonts w:asciiTheme="minorHAnsi" w:hAnsiTheme="minorHAnsi" w:cstheme="minorHAnsi"/>
          <w:sz w:val="18"/>
          <w:szCs w:val="18"/>
        </w:rPr>
        <w:t xml:space="preserve"> op. cit., s. 22</w:t>
      </w:r>
      <w:r w:rsidRPr="006626DB">
        <w:rPr>
          <w:rFonts w:asciiTheme="minorHAnsi" w:hAnsiTheme="minorHAnsi" w:cstheme="minorHAnsi"/>
          <w:sz w:val="18"/>
          <w:szCs w:val="18"/>
        </w:rPr>
        <w:t>.</w:t>
      </w:r>
    </w:p>
  </w:footnote>
  <w:footnote w:id="24">
    <w:p w14:paraId="3594DEC6" w14:textId="33B9CE40" w:rsidR="00F17884" w:rsidRPr="007F16A1" w:rsidRDefault="00F17884" w:rsidP="00680797">
      <w:pPr>
        <w:pStyle w:val="Tekstprzypisudolnego"/>
        <w:ind w:left="142" w:hanging="142"/>
        <w:rPr>
          <w:rFonts w:asciiTheme="minorHAnsi" w:hAnsiTheme="minorHAnsi" w:cstheme="minorHAnsi"/>
          <w:sz w:val="18"/>
          <w:szCs w:val="18"/>
        </w:rPr>
      </w:pPr>
      <w:r w:rsidRPr="006626DB">
        <w:rPr>
          <w:rStyle w:val="Odwoanieprzypisudolnego"/>
          <w:rFonts w:asciiTheme="minorHAnsi" w:hAnsiTheme="minorHAnsi" w:cstheme="minorHAnsi"/>
          <w:sz w:val="18"/>
          <w:szCs w:val="18"/>
        </w:rPr>
        <w:footnoteRef/>
      </w:r>
      <w:r w:rsidRPr="006626DB">
        <w:rPr>
          <w:rFonts w:asciiTheme="minorHAnsi" w:hAnsiTheme="minorHAnsi" w:cstheme="minorHAnsi"/>
          <w:i/>
          <w:iCs/>
          <w:sz w:val="18"/>
          <w:szCs w:val="18"/>
        </w:rPr>
        <w:t xml:space="preserve"> </w:t>
      </w:r>
      <w:r w:rsidRPr="007F16A1">
        <w:rPr>
          <w:rFonts w:asciiTheme="minorHAnsi" w:hAnsiTheme="minorHAnsi" w:cstheme="minorHAnsi"/>
          <w:i/>
          <w:iCs/>
          <w:sz w:val="18"/>
          <w:szCs w:val="18"/>
        </w:rPr>
        <w:t xml:space="preserve">Ekspertyza z badania pn. Analiza powiązań społeczno-gospodarczych i przestrzennych zachodzących </w:t>
      </w:r>
      <w:r w:rsidRPr="00D172FD">
        <w:rPr>
          <w:rFonts w:asciiTheme="minorHAnsi" w:hAnsiTheme="minorHAnsi" w:cstheme="minorHAnsi"/>
          <w:i/>
          <w:iCs/>
          <w:sz w:val="18"/>
          <w:szCs w:val="18"/>
        </w:rPr>
        <w:t>w woj. opolskim oraz prognoza wskaźników dla nich istotnych w perspektywie do 2030 r.</w:t>
      </w:r>
      <w:r w:rsidRPr="00C737D0">
        <w:rPr>
          <w:rFonts w:asciiTheme="minorHAnsi" w:hAnsiTheme="minorHAnsi" w:cstheme="minorHAnsi"/>
          <w:sz w:val="18"/>
          <w:szCs w:val="18"/>
        </w:rPr>
        <w:t>, Państwowy Instytut Naukowy – Instytut Śląski w Opolu „Sondaż” Olgierd Gwiżdż</w:t>
      </w:r>
      <w:r>
        <w:rPr>
          <w:rFonts w:asciiTheme="minorHAnsi" w:hAnsiTheme="minorHAnsi" w:cstheme="minorHAnsi"/>
          <w:sz w:val="18"/>
          <w:szCs w:val="18"/>
        </w:rPr>
        <w:t xml:space="preserve">, </w:t>
      </w:r>
      <w:r w:rsidRPr="00D172FD">
        <w:rPr>
          <w:rFonts w:asciiTheme="minorHAnsi" w:hAnsiTheme="minorHAnsi" w:cstheme="minorHAnsi"/>
          <w:sz w:val="18"/>
          <w:szCs w:val="18"/>
        </w:rPr>
        <w:t>Opole 2018 r., s. 59</w:t>
      </w:r>
      <w:r>
        <w:rPr>
          <w:rFonts w:asciiTheme="minorHAnsi" w:hAnsiTheme="minorHAnsi" w:cstheme="minorHAnsi"/>
          <w:sz w:val="18"/>
          <w:szCs w:val="18"/>
        </w:rPr>
        <w:t>.</w:t>
      </w:r>
    </w:p>
  </w:footnote>
  <w:footnote w:id="25">
    <w:p w14:paraId="2B330F5F" w14:textId="699F801B" w:rsidR="00F17884" w:rsidRPr="00D172FD" w:rsidRDefault="00F17884" w:rsidP="00BF6018">
      <w:pPr>
        <w:pStyle w:val="Tekstprzypisudolnego"/>
        <w:ind w:left="142" w:hanging="142"/>
        <w:contextualSpacing/>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C737D0">
        <w:rPr>
          <w:rFonts w:asciiTheme="minorHAnsi" w:hAnsiTheme="minorHAnsi" w:cstheme="minorHAnsi"/>
          <w:sz w:val="18"/>
          <w:szCs w:val="18"/>
        </w:rPr>
        <w:t xml:space="preserve"> Europejska Strategia na rzecz mobilności niskoemisyjnej </w:t>
      </w:r>
      <w:hyperlink r:id="rId2" w:history="1">
        <w:r w:rsidRPr="00890249">
          <w:rPr>
            <w:rStyle w:val="Hipercze"/>
            <w:rFonts w:asciiTheme="minorHAnsi" w:hAnsiTheme="minorHAnsi" w:cstheme="minorHAnsi"/>
            <w:color w:val="auto"/>
            <w:sz w:val="18"/>
            <w:szCs w:val="18"/>
          </w:rPr>
          <w:t>https://eur-lex.europa.eu/resource.html?uri=cellar:e44d3c21-531e-11e6-89bd-01aa75ed71a1.0011.02/DOC_1&amp;format=PDF</w:t>
        </w:r>
      </w:hyperlink>
      <w:r>
        <w:rPr>
          <w:rStyle w:val="Hipercze"/>
          <w:rFonts w:asciiTheme="minorHAnsi" w:hAnsiTheme="minorHAnsi" w:cstheme="minorHAnsi"/>
          <w:color w:val="auto"/>
          <w:sz w:val="18"/>
          <w:szCs w:val="18"/>
        </w:rPr>
        <w:t>.</w:t>
      </w:r>
      <w:r w:rsidRPr="007F16A1">
        <w:rPr>
          <w:rStyle w:val="Hipercze"/>
          <w:rFonts w:asciiTheme="minorHAnsi" w:hAnsiTheme="minorHAnsi" w:cstheme="minorHAnsi"/>
          <w:color w:val="0563C1"/>
          <w:sz w:val="18"/>
          <w:szCs w:val="18"/>
        </w:rPr>
        <w:t xml:space="preserve"> </w:t>
      </w:r>
    </w:p>
  </w:footnote>
  <w:footnote w:id="26">
    <w:p w14:paraId="60E18740" w14:textId="77777777" w:rsidR="00F17884" w:rsidRPr="00890249" w:rsidRDefault="00F17884" w:rsidP="00F24450">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Oczekiwana wartość wskaźnika na podstawie </w:t>
      </w:r>
      <w:r w:rsidRPr="00890249">
        <w:rPr>
          <w:rFonts w:asciiTheme="minorHAnsi" w:hAnsiTheme="minorHAnsi" w:cstheme="minorHAnsi"/>
          <w:i/>
          <w:sz w:val="18"/>
          <w:szCs w:val="18"/>
        </w:rPr>
        <w:t>SRKL 2030</w:t>
      </w:r>
      <w:r w:rsidRPr="00890249">
        <w:rPr>
          <w:rFonts w:asciiTheme="minorHAnsi" w:hAnsiTheme="minorHAnsi" w:cstheme="minorHAnsi"/>
          <w:sz w:val="18"/>
          <w:szCs w:val="18"/>
        </w:rPr>
        <w:t>.</w:t>
      </w:r>
    </w:p>
  </w:footnote>
  <w:footnote w:id="27">
    <w:p w14:paraId="470E96FD" w14:textId="230AD715"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Ibidem</w:t>
      </w:r>
      <w:r>
        <w:rPr>
          <w:rFonts w:asciiTheme="minorHAnsi" w:hAnsiTheme="minorHAnsi" w:cstheme="minorHAnsi"/>
          <w:sz w:val="18"/>
          <w:szCs w:val="18"/>
        </w:rPr>
        <w:t>.</w:t>
      </w:r>
    </w:p>
  </w:footnote>
  <w:footnote w:id="28">
    <w:p w14:paraId="15C3419A" w14:textId="71E9F826" w:rsidR="00F17884" w:rsidRDefault="00F17884">
      <w:pPr>
        <w:pStyle w:val="Tekstprzypisudolnego"/>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Ibidem</w:t>
      </w:r>
      <w:r>
        <w:rPr>
          <w:rFonts w:asciiTheme="minorHAnsi" w:hAnsiTheme="minorHAnsi" w:cstheme="minorHAnsi"/>
          <w:sz w:val="18"/>
          <w:szCs w:val="18"/>
        </w:rPr>
        <w:t>.</w:t>
      </w:r>
    </w:p>
  </w:footnote>
  <w:footnote w:id="29">
    <w:p w14:paraId="64AA9591" w14:textId="06F55346"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Oczekiwana wartość </w:t>
      </w:r>
      <w:r w:rsidRPr="007F16A1">
        <w:rPr>
          <w:rFonts w:asciiTheme="minorHAnsi" w:hAnsiTheme="minorHAnsi" w:cstheme="minorHAnsi"/>
          <w:sz w:val="18"/>
          <w:szCs w:val="18"/>
        </w:rPr>
        <w:t>wskaźnika</w:t>
      </w:r>
      <w:r w:rsidRPr="00890249">
        <w:rPr>
          <w:rFonts w:asciiTheme="minorHAnsi" w:hAnsiTheme="minorHAnsi" w:cstheme="minorHAnsi"/>
          <w:sz w:val="18"/>
          <w:szCs w:val="18"/>
        </w:rPr>
        <w:t xml:space="preserve"> na podstawie </w:t>
      </w:r>
      <w:r w:rsidRPr="00890249">
        <w:rPr>
          <w:rFonts w:asciiTheme="minorHAnsi" w:hAnsiTheme="minorHAnsi" w:cstheme="minorHAnsi"/>
          <w:i/>
          <w:sz w:val="18"/>
          <w:szCs w:val="18"/>
        </w:rPr>
        <w:t>SRKL 2030</w:t>
      </w:r>
      <w:r w:rsidRPr="007F16A1">
        <w:rPr>
          <w:rFonts w:asciiTheme="minorHAnsi" w:hAnsiTheme="minorHAnsi" w:cstheme="minorHAnsi"/>
          <w:sz w:val="18"/>
          <w:szCs w:val="18"/>
        </w:rPr>
        <w:t>.</w:t>
      </w:r>
    </w:p>
  </w:footnote>
  <w:footnote w:id="30">
    <w:p w14:paraId="7F38DAAD" w14:textId="7777777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Ibidem.</w:t>
      </w:r>
    </w:p>
  </w:footnote>
  <w:footnote w:id="31">
    <w:p w14:paraId="432A1A7B" w14:textId="7A2A4E94" w:rsidR="00F17884" w:rsidRPr="00890249" w:rsidRDefault="00F17884" w:rsidP="001600FD">
      <w:pPr>
        <w:pStyle w:val="Tekstprzypisudolnego"/>
        <w:ind w:left="142" w:hanging="142"/>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i/>
          <w:sz w:val="18"/>
          <w:szCs w:val="18"/>
        </w:rPr>
        <w:t>Aktywność Ekonomiczna Ludności w województwie 31.03.2022 r. opolskim w 4 kwartale 2021 r.</w:t>
      </w:r>
      <w:r w:rsidRPr="007F16A1">
        <w:rPr>
          <w:rFonts w:asciiTheme="minorHAnsi" w:hAnsiTheme="minorHAnsi" w:cstheme="minorHAnsi"/>
          <w:sz w:val="18"/>
          <w:szCs w:val="18"/>
        </w:rPr>
        <w:t>,</w:t>
      </w:r>
      <w:r w:rsidRPr="00890249">
        <w:rPr>
          <w:rFonts w:asciiTheme="minorHAnsi" w:hAnsiTheme="minorHAnsi" w:cstheme="minorHAnsi"/>
          <w:sz w:val="18"/>
          <w:szCs w:val="18"/>
        </w:rPr>
        <w:t xml:space="preserve"> US w Opolu, 31.03.2022r., s. 3</w:t>
      </w:r>
      <w:r w:rsidRPr="007F16A1">
        <w:rPr>
          <w:rFonts w:asciiTheme="minorHAnsi" w:hAnsiTheme="minorHAnsi" w:cstheme="minorHAnsi"/>
          <w:sz w:val="18"/>
          <w:szCs w:val="18"/>
        </w:rPr>
        <w:t>.</w:t>
      </w:r>
    </w:p>
  </w:footnote>
  <w:footnote w:id="32">
    <w:p w14:paraId="2EC65CFB" w14:textId="7777777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Mapy Potrzeb Zdrowotnych, str. 842</w:t>
      </w:r>
      <w:r w:rsidRPr="007F16A1">
        <w:rPr>
          <w:rFonts w:asciiTheme="minorHAnsi" w:hAnsiTheme="minorHAnsi" w:cstheme="minorHAnsi"/>
          <w:sz w:val="18"/>
          <w:szCs w:val="18"/>
        </w:rPr>
        <w:t>, 843.</w:t>
      </w:r>
    </w:p>
  </w:footnote>
  <w:footnote w:id="33">
    <w:p w14:paraId="291498D3" w14:textId="6E22A670" w:rsidR="00F17884" w:rsidRPr="007F16A1" w:rsidRDefault="00F17884" w:rsidP="00E67EC5">
      <w:pPr>
        <w:pStyle w:val="Tekstprzypisudolnego"/>
        <w:rPr>
          <w:rFonts w:asciiTheme="minorHAnsi" w:hAnsiTheme="minorHAnsi" w:cstheme="minorHAnsi"/>
          <w:sz w:val="18"/>
          <w:szCs w:val="18"/>
        </w:rPr>
      </w:pPr>
      <w:r w:rsidRPr="007F16A1">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Oczekiwana wartość wskaźnika na podstawie </w:t>
      </w:r>
      <w:r w:rsidRPr="00890249">
        <w:rPr>
          <w:rFonts w:asciiTheme="minorHAnsi" w:hAnsiTheme="minorHAnsi" w:cstheme="minorHAnsi"/>
          <w:i/>
          <w:sz w:val="18"/>
          <w:szCs w:val="18"/>
        </w:rPr>
        <w:t>SRKL 2030.</w:t>
      </w:r>
    </w:p>
  </w:footnote>
  <w:footnote w:id="34">
    <w:p w14:paraId="1637991E" w14:textId="00AADD04" w:rsidR="00F17884" w:rsidRPr="00890249" w:rsidRDefault="00F17884" w:rsidP="001838D3">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7F16A1">
        <w:rPr>
          <w:rFonts w:asciiTheme="minorHAnsi" w:hAnsiTheme="minorHAnsi" w:cstheme="minorHAnsi"/>
          <w:sz w:val="18"/>
          <w:szCs w:val="18"/>
        </w:rPr>
        <w:t>N</w:t>
      </w:r>
      <w:r w:rsidRPr="00890249">
        <w:rPr>
          <w:rFonts w:asciiTheme="minorHAnsi" w:hAnsiTheme="minorHAnsi" w:cstheme="minorHAnsi"/>
          <w:sz w:val="18"/>
          <w:szCs w:val="18"/>
        </w:rPr>
        <w:t>a podstawie złożonych wniosków o PESEL.</w:t>
      </w:r>
    </w:p>
  </w:footnote>
  <w:footnote w:id="35">
    <w:p w14:paraId="230C17EB" w14:textId="77777777" w:rsidR="00F17884" w:rsidRPr="007F16A1" w:rsidRDefault="00F17884" w:rsidP="00C76BC4">
      <w:pPr>
        <w:pStyle w:val="Tekstprzypisudolnego"/>
        <w:rPr>
          <w:rFonts w:asciiTheme="minorHAnsi" w:hAnsiTheme="minorHAnsi" w:cstheme="minorHAnsi"/>
          <w:sz w:val="18"/>
          <w:szCs w:val="18"/>
        </w:rPr>
      </w:pPr>
      <w:r w:rsidRPr="00C737D0">
        <w:rPr>
          <w:rStyle w:val="Odwoanieprzypisudolnego"/>
          <w:rFonts w:asciiTheme="minorHAnsi" w:hAnsiTheme="minorHAnsi" w:cstheme="minorHAnsi"/>
          <w:sz w:val="18"/>
          <w:szCs w:val="18"/>
        </w:rPr>
        <w:footnoteRef/>
      </w:r>
      <w:r w:rsidRPr="00C737D0">
        <w:rPr>
          <w:rFonts w:asciiTheme="minorHAnsi" w:hAnsiTheme="minorHAnsi" w:cstheme="minorHAnsi"/>
          <w:sz w:val="18"/>
          <w:szCs w:val="18"/>
        </w:rPr>
        <w:t xml:space="preserve"> Ibidem</w:t>
      </w:r>
      <w:r w:rsidRPr="007F16A1">
        <w:rPr>
          <w:rFonts w:asciiTheme="minorHAnsi" w:hAnsiTheme="minorHAnsi" w:cstheme="minorHAnsi"/>
          <w:sz w:val="18"/>
          <w:szCs w:val="18"/>
        </w:rPr>
        <w:t>.</w:t>
      </w:r>
    </w:p>
  </w:footnote>
  <w:footnote w:id="36">
    <w:p w14:paraId="4058E3AB" w14:textId="44158218" w:rsidR="00F17884" w:rsidRPr="007F16A1"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i/>
          <w:sz w:val="18"/>
          <w:szCs w:val="18"/>
        </w:rPr>
        <w:t>Program integracji społeczności romskiej w Polsce na lata 2014–2020</w:t>
      </w:r>
      <w:r>
        <w:rPr>
          <w:rFonts w:asciiTheme="minorHAnsi" w:hAnsiTheme="minorHAnsi" w:cstheme="minorHAnsi"/>
          <w:sz w:val="18"/>
          <w:szCs w:val="18"/>
        </w:rPr>
        <w:t xml:space="preserve">, </w:t>
      </w:r>
      <w:r w:rsidRPr="00890249">
        <w:rPr>
          <w:rFonts w:asciiTheme="minorHAnsi" w:hAnsiTheme="minorHAnsi" w:cstheme="minorHAnsi"/>
          <w:sz w:val="18"/>
          <w:szCs w:val="18"/>
        </w:rPr>
        <w:t>Badanie ewaluacyjne, Szostakowska M., Sekutowicz</w:t>
      </w:r>
    </w:p>
    <w:p w14:paraId="21FE5EE0" w14:textId="2D22E306" w:rsidR="00F17884" w:rsidRPr="00890249" w:rsidRDefault="00F17884">
      <w:pPr>
        <w:pStyle w:val="Tekstprzypisudolnego"/>
        <w:rPr>
          <w:rFonts w:asciiTheme="minorHAnsi" w:hAnsiTheme="minorHAnsi" w:cstheme="minorHAnsi"/>
          <w:sz w:val="18"/>
          <w:szCs w:val="18"/>
        </w:rPr>
      </w:pPr>
      <w:r w:rsidRPr="00890249">
        <w:rPr>
          <w:rFonts w:asciiTheme="minorHAnsi" w:hAnsiTheme="minorHAnsi" w:cstheme="minorHAnsi"/>
          <w:sz w:val="18"/>
          <w:szCs w:val="18"/>
        </w:rPr>
        <w:t>K., Iwaniak A., Warszawa, 2014 r.s.14.</w:t>
      </w:r>
    </w:p>
  </w:footnote>
  <w:footnote w:id="37">
    <w:p w14:paraId="3221C490" w14:textId="42581218" w:rsidR="00F17884" w:rsidRPr="00890249" w:rsidRDefault="00F17884" w:rsidP="0053055F">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Oczekiwana wartość wskaźnika na podstawie </w:t>
      </w:r>
      <w:r w:rsidRPr="00890249">
        <w:rPr>
          <w:rFonts w:asciiTheme="minorHAnsi" w:hAnsiTheme="minorHAnsi" w:cstheme="minorHAnsi"/>
          <w:i/>
          <w:sz w:val="18"/>
          <w:szCs w:val="18"/>
        </w:rPr>
        <w:t>SRKL 2030</w:t>
      </w:r>
      <w:r w:rsidRPr="00890249">
        <w:rPr>
          <w:rFonts w:asciiTheme="minorHAnsi" w:hAnsiTheme="minorHAnsi" w:cstheme="minorHAnsi"/>
          <w:sz w:val="18"/>
          <w:szCs w:val="18"/>
        </w:rPr>
        <w:t>.</w:t>
      </w:r>
    </w:p>
  </w:footnote>
  <w:footnote w:id="38">
    <w:p w14:paraId="547EA140" w14:textId="39E2CCAD" w:rsidR="00F17884" w:rsidRPr="00890249" w:rsidRDefault="00F17884" w:rsidP="0053055F">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Mapy Potrzeb Zdrowotnych – Kadry medyczne</w:t>
      </w:r>
      <w:r>
        <w:rPr>
          <w:rFonts w:asciiTheme="minorHAnsi" w:hAnsiTheme="minorHAnsi" w:cstheme="minorHAnsi"/>
          <w:sz w:val="18"/>
          <w:szCs w:val="18"/>
        </w:rPr>
        <w:t>.</w:t>
      </w:r>
    </w:p>
  </w:footnote>
  <w:footnote w:id="39">
    <w:p w14:paraId="18FD0565" w14:textId="082CB627" w:rsidR="00F17884" w:rsidRPr="00890249" w:rsidRDefault="00F17884" w:rsidP="00416D0B">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hyperlink r:id="rId3" w:history="1">
        <w:r w:rsidRPr="00890249">
          <w:rPr>
            <w:rFonts w:asciiTheme="minorHAnsi" w:hAnsiTheme="minorHAnsi" w:cstheme="minorHAnsi"/>
            <w:color w:val="0563C1"/>
            <w:sz w:val="18"/>
            <w:szCs w:val="18"/>
            <w:u w:val="single"/>
          </w:rPr>
          <w:t>https://bdl.stat.gov.pl/BDL/start</w:t>
        </w:r>
      </w:hyperlink>
      <w:r w:rsidRPr="00890249">
        <w:rPr>
          <w:rFonts w:asciiTheme="minorHAnsi" w:hAnsiTheme="minorHAnsi" w:cstheme="minorHAnsi"/>
          <w:color w:val="0563C1"/>
          <w:sz w:val="18"/>
          <w:szCs w:val="18"/>
          <w:u w:val="single"/>
        </w:rPr>
        <w:t>.</w:t>
      </w:r>
    </w:p>
  </w:footnote>
  <w:footnote w:id="40">
    <w:p w14:paraId="3DC4B1CF" w14:textId="3654AB11" w:rsidR="00F17884" w:rsidRPr="00890249" w:rsidRDefault="00F17884" w:rsidP="00416D0B">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Mapy Potrzeb Zdrowotnych</w:t>
      </w:r>
      <w:r w:rsidRPr="007F16A1">
        <w:rPr>
          <w:rFonts w:asciiTheme="minorHAnsi" w:hAnsiTheme="minorHAnsi" w:cstheme="minorHAnsi"/>
          <w:sz w:val="18"/>
          <w:szCs w:val="18"/>
        </w:rPr>
        <w:t xml:space="preserve"> </w:t>
      </w:r>
      <w:r>
        <w:rPr>
          <w:rFonts w:asciiTheme="minorHAnsi" w:hAnsiTheme="minorHAnsi" w:cstheme="minorHAnsi"/>
          <w:sz w:val="18"/>
          <w:szCs w:val="18"/>
        </w:rPr>
        <w:t>–</w:t>
      </w:r>
      <w:r w:rsidRPr="007F16A1">
        <w:rPr>
          <w:rFonts w:asciiTheme="minorHAnsi" w:hAnsiTheme="minorHAnsi" w:cstheme="minorHAnsi"/>
          <w:sz w:val="18"/>
          <w:szCs w:val="18"/>
        </w:rPr>
        <w:t xml:space="preserve"> Kolejki</w:t>
      </w:r>
      <w:r>
        <w:rPr>
          <w:rFonts w:asciiTheme="minorHAnsi" w:hAnsiTheme="minorHAnsi" w:cstheme="minorHAnsi"/>
          <w:sz w:val="18"/>
          <w:szCs w:val="18"/>
        </w:rPr>
        <w:t>.</w:t>
      </w:r>
    </w:p>
  </w:footnote>
  <w:footnote w:id="41">
    <w:p w14:paraId="3DE61BEE" w14:textId="77777777" w:rsidR="00F17884" w:rsidRPr="007F16A1" w:rsidRDefault="00F17884" w:rsidP="00416D0B">
      <w:pPr>
        <w:pStyle w:val="Tekstprzypisudolnego"/>
        <w:ind w:left="142" w:hanging="142"/>
        <w:rPr>
          <w:rFonts w:asciiTheme="minorHAnsi" w:hAnsiTheme="minorHAnsi" w:cstheme="minorHAnsi"/>
          <w:i/>
          <w:sz w:val="18"/>
          <w:szCs w:val="18"/>
        </w:rPr>
      </w:pPr>
      <w:r w:rsidRPr="007F16A1">
        <w:rPr>
          <w:rStyle w:val="Odwoanieprzypisudolnego"/>
          <w:rFonts w:asciiTheme="minorHAnsi" w:hAnsiTheme="minorHAnsi" w:cstheme="minorHAnsi"/>
          <w:sz w:val="18"/>
          <w:szCs w:val="18"/>
        </w:rPr>
        <w:footnoteRef/>
      </w:r>
      <w:r w:rsidRPr="00890249">
        <w:rPr>
          <w:rFonts w:asciiTheme="minorHAnsi" w:hAnsiTheme="minorHAnsi" w:cstheme="minorHAnsi"/>
          <w:i/>
          <w:sz w:val="18"/>
          <w:szCs w:val="18"/>
          <w:u w:val="single"/>
        </w:rPr>
        <w:t xml:space="preserve">Diagnoza problemu depopulacji oraz trendów wynikających z prognoz ludnościowych w województwie opolskim. Przegląd, programów, działań i instrumentów realizowanych na poziomach: lokalnym, regionalnym, krajowym i europejskim, mających na celu przeciwdziałanie depopulacji, </w:t>
      </w:r>
      <w:r w:rsidRPr="00890249">
        <w:rPr>
          <w:rFonts w:asciiTheme="minorHAnsi" w:hAnsiTheme="minorHAnsi" w:cstheme="minorHAnsi"/>
          <w:sz w:val="18"/>
          <w:szCs w:val="18"/>
          <w:u w:val="single"/>
        </w:rPr>
        <w:t>Raport cząstkowy I , Opole, kwiecień 2019 r.</w:t>
      </w:r>
    </w:p>
  </w:footnote>
  <w:footnote w:id="42">
    <w:p w14:paraId="3FCA491C" w14:textId="6234FFC6"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Mapy Potrzeb Zdrowotnych – Opieka długoterminowa</w:t>
      </w:r>
      <w:r>
        <w:rPr>
          <w:rFonts w:asciiTheme="minorHAnsi" w:hAnsiTheme="minorHAnsi" w:cstheme="minorHAnsi"/>
          <w:sz w:val="18"/>
          <w:szCs w:val="18"/>
        </w:rPr>
        <w:t>.</w:t>
      </w:r>
    </w:p>
  </w:footnote>
  <w:footnote w:id="43">
    <w:p w14:paraId="4E63943B" w14:textId="2645434C"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7F16A1">
        <w:rPr>
          <w:rFonts w:asciiTheme="minorHAnsi" w:hAnsiTheme="minorHAnsi" w:cstheme="minorHAnsi"/>
          <w:sz w:val="18"/>
          <w:szCs w:val="18"/>
        </w:rPr>
        <w:t>Mapy Potrzeb Zdrowotnych – Opieka paliatywna i hospicyjna</w:t>
      </w:r>
      <w:r>
        <w:rPr>
          <w:rFonts w:asciiTheme="minorHAnsi" w:hAnsiTheme="minorHAnsi" w:cstheme="minorHAnsi"/>
          <w:sz w:val="18"/>
          <w:szCs w:val="18"/>
        </w:rPr>
        <w:t>.</w:t>
      </w:r>
    </w:p>
  </w:footnote>
  <w:footnote w:id="44">
    <w:p w14:paraId="5EB3E160" w14:textId="69338E27" w:rsidR="00F17884" w:rsidRPr="00476844" w:rsidRDefault="00F17884" w:rsidP="00890249">
      <w:pPr>
        <w:pStyle w:val="Tekstprzypisukocowego"/>
        <w:rPr>
          <w:rFonts w:asciiTheme="minorHAnsi" w:hAnsiTheme="minorHAnsi" w:cstheme="minorHAnsi"/>
          <w:sz w:val="18"/>
          <w:szCs w:val="18"/>
        </w:rPr>
      </w:pPr>
      <w:r w:rsidRPr="006D79C7">
        <w:rPr>
          <w:rStyle w:val="Odwoanieprzypisudolnego"/>
          <w:rFonts w:asciiTheme="minorHAnsi" w:hAnsiTheme="minorHAnsi" w:cstheme="minorHAnsi"/>
          <w:sz w:val="18"/>
          <w:szCs w:val="18"/>
        </w:rPr>
        <w:footnoteRef/>
      </w:r>
      <w:r w:rsidRPr="00476844">
        <w:rPr>
          <w:rFonts w:asciiTheme="minorHAnsi" w:hAnsiTheme="minorHAnsi" w:cstheme="minorHAnsi"/>
          <w:sz w:val="18"/>
          <w:szCs w:val="18"/>
        </w:rPr>
        <w:t xml:space="preserve"> </w:t>
      </w:r>
      <w:hyperlink r:id="rId4" w:history="1">
        <w:r w:rsidRPr="00890249">
          <w:rPr>
            <w:rFonts w:asciiTheme="minorHAnsi" w:hAnsiTheme="minorHAnsi" w:cstheme="minorHAnsi"/>
            <w:color w:val="0563C1"/>
            <w:sz w:val="18"/>
            <w:szCs w:val="18"/>
            <w:u w:val="single"/>
          </w:rPr>
          <w:t>https://bdl.stat.gov.pl/BDL/start</w:t>
        </w:r>
      </w:hyperlink>
    </w:p>
  </w:footnote>
  <w:footnote w:id="45">
    <w:p w14:paraId="35DA1404" w14:textId="08C42D7F" w:rsidR="00F17884" w:rsidRDefault="00F17884" w:rsidP="00BC32F2">
      <w:pPr>
        <w:pStyle w:val="Tekstprzypisudolnego"/>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7F16A1">
        <w:rPr>
          <w:rFonts w:asciiTheme="minorHAnsi" w:hAnsiTheme="minorHAnsi" w:cstheme="minorHAnsi"/>
          <w:sz w:val="18"/>
          <w:szCs w:val="18"/>
        </w:rPr>
        <w:t xml:space="preserve">GUS, </w:t>
      </w:r>
      <w:r w:rsidRPr="007F16A1">
        <w:rPr>
          <w:rFonts w:asciiTheme="minorHAnsi" w:hAnsiTheme="minorHAnsi" w:cstheme="minorHAnsi"/>
          <w:i/>
          <w:sz w:val="18"/>
          <w:szCs w:val="18"/>
        </w:rPr>
        <w:t>Działalność innowacyjna przedsiębiorstw w latach 2017-2019</w:t>
      </w:r>
      <w:r w:rsidRPr="00D172FD">
        <w:rPr>
          <w:rFonts w:asciiTheme="minorHAnsi" w:hAnsiTheme="minorHAnsi" w:cstheme="minorHAnsi"/>
          <w:i/>
          <w:sz w:val="18"/>
          <w:szCs w:val="18"/>
        </w:rPr>
        <w:t>,</w:t>
      </w:r>
      <w:r w:rsidRPr="00890249">
        <w:rPr>
          <w:rFonts w:asciiTheme="minorHAnsi" w:hAnsiTheme="minorHAnsi" w:cstheme="minorHAnsi"/>
          <w:sz w:val="18"/>
          <w:szCs w:val="18"/>
        </w:rPr>
        <w:t xml:space="preserve"> 4.12.2020 r.</w:t>
      </w:r>
      <w:r>
        <w:rPr>
          <w:rFonts w:asciiTheme="minorHAnsi" w:hAnsiTheme="minorHAnsi" w:cstheme="minorHAnsi"/>
          <w:i/>
          <w:sz w:val="18"/>
          <w:szCs w:val="18"/>
        </w:rPr>
        <w:t xml:space="preserve"> </w:t>
      </w:r>
    </w:p>
  </w:footnote>
  <w:footnote w:id="46">
    <w:p w14:paraId="0A3EA5C3" w14:textId="4A337175" w:rsidR="00F17884" w:rsidRPr="00673C8D" w:rsidRDefault="00F17884" w:rsidP="00BC32F2">
      <w:pPr>
        <w:pStyle w:val="Tekstprzypisudolnego"/>
        <w:ind w:left="142" w:hanging="142"/>
        <w:rPr>
          <w:rFonts w:asciiTheme="minorHAnsi" w:hAnsiTheme="minorHAnsi" w:cstheme="minorHAnsi"/>
          <w:i/>
          <w:sz w:val="18"/>
          <w:szCs w:val="18"/>
        </w:rPr>
      </w:pPr>
      <w:r>
        <w:rPr>
          <w:rStyle w:val="Odwoanieprzypisudolnego"/>
        </w:rPr>
        <w:footnoteRef/>
      </w:r>
      <w:r>
        <w:t xml:space="preserve"> </w:t>
      </w:r>
      <w:r w:rsidRPr="00890249">
        <w:rPr>
          <w:rFonts w:asciiTheme="minorHAnsi" w:hAnsiTheme="minorHAnsi" w:cstheme="minorHAnsi"/>
          <w:i/>
          <w:sz w:val="18"/>
          <w:szCs w:val="18"/>
        </w:rPr>
        <w:t>Narodowe Centrum Badań i Rozwoju,</w:t>
      </w:r>
      <w:r w:rsidRPr="00673C8D">
        <w:rPr>
          <w:rFonts w:asciiTheme="minorHAnsi" w:hAnsiTheme="minorHAnsi" w:cstheme="minorHAnsi"/>
          <w:i/>
          <w:sz w:val="18"/>
          <w:szCs w:val="18"/>
        </w:rPr>
        <w:t xml:space="preserve"> Raport końcowy Bariery i problemy w sprawnej realizacji projektów w Działaniu 4.2 </w:t>
      </w:r>
      <w:r w:rsidRPr="00890249">
        <w:rPr>
          <w:rFonts w:asciiTheme="minorHAnsi" w:hAnsiTheme="minorHAnsi" w:cstheme="minorHAnsi"/>
          <w:sz w:val="18"/>
          <w:szCs w:val="18"/>
        </w:rPr>
        <w:t>POIR, Panda 2 z roku 2019</w:t>
      </w:r>
      <w:r>
        <w:rPr>
          <w:rFonts w:asciiTheme="minorHAnsi" w:hAnsiTheme="minorHAnsi" w:cstheme="minorHAnsi"/>
          <w:sz w:val="18"/>
          <w:szCs w:val="18"/>
        </w:rPr>
        <w:t>.</w:t>
      </w:r>
    </w:p>
  </w:footnote>
  <w:footnote w:id="47">
    <w:p w14:paraId="2069E82F" w14:textId="77777777" w:rsidR="00F17884" w:rsidRPr="00443A2F" w:rsidRDefault="00F17884" w:rsidP="00BC32F2">
      <w:pPr>
        <w:pStyle w:val="Tekstprzypisudolnego"/>
        <w:ind w:left="142" w:hanging="142"/>
        <w:rPr>
          <w:rFonts w:asciiTheme="minorHAnsi" w:hAnsiTheme="minorHAnsi"/>
          <w:sz w:val="18"/>
          <w:szCs w:val="18"/>
        </w:rPr>
      </w:pPr>
      <w:r w:rsidRPr="0009010C">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CC4296">
        <w:rPr>
          <w:rFonts w:asciiTheme="minorHAnsi" w:hAnsiTheme="minorHAnsi" w:cstheme="minorHAnsi"/>
          <w:i/>
          <w:sz w:val="18"/>
          <w:szCs w:val="18"/>
        </w:rPr>
        <w:t xml:space="preserve">Analiza potencjału nakładów prywatnych na sferę B+R w kontekście Regionalnego Programu Operacyjnego Województwa Opolskiego na lata 2014-2020, </w:t>
      </w:r>
      <w:r w:rsidRPr="00890249">
        <w:rPr>
          <w:rFonts w:asciiTheme="minorHAnsi" w:hAnsiTheme="minorHAnsi" w:cstheme="minorHAnsi"/>
          <w:sz w:val="18"/>
          <w:szCs w:val="18"/>
        </w:rPr>
        <w:t>Barometr regionalny Tom 14 nr 4, s. 98.</w:t>
      </w:r>
    </w:p>
  </w:footnote>
  <w:footnote w:id="48">
    <w:p w14:paraId="19FD0B59" w14:textId="77777777" w:rsidR="00F17884" w:rsidRPr="00934DB5" w:rsidRDefault="00F17884" w:rsidP="00465200">
      <w:pPr>
        <w:pStyle w:val="Tekstprzypisudolnego"/>
        <w:ind w:left="142" w:hanging="142"/>
        <w:rPr>
          <w:rFonts w:asciiTheme="minorHAnsi" w:hAnsiTheme="minorHAnsi" w:cstheme="minorHAnsi"/>
          <w:sz w:val="18"/>
          <w:szCs w:val="18"/>
        </w:rPr>
      </w:pPr>
      <w:r w:rsidRPr="00934DB5">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934DB5">
        <w:rPr>
          <w:rFonts w:asciiTheme="minorHAnsi" w:hAnsiTheme="minorHAnsi" w:cstheme="minorHAnsi"/>
          <w:i/>
          <w:sz w:val="18"/>
          <w:szCs w:val="18"/>
        </w:rPr>
        <w:t>Produkt krajowy brutto w powiatach województwa opolskiego – wnioski dla polityki regionalnej województwa, Ekspertyza  na zamówienie Urzędu Marszałkowskiego Województwa Opolskiego Departamentu Polityki Regionalnej i Przestrzennej Województwa,  s.16.</w:t>
      </w:r>
    </w:p>
  </w:footnote>
  <w:footnote w:id="49">
    <w:p w14:paraId="1BA9189F" w14:textId="77777777" w:rsidR="00F17884" w:rsidRPr="00934DB5" w:rsidRDefault="00F17884" w:rsidP="00934DB5">
      <w:pPr>
        <w:pStyle w:val="Tekstprzypisudolnego"/>
        <w:ind w:left="142" w:hanging="142"/>
        <w:rPr>
          <w:rFonts w:asciiTheme="minorHAnsi" w:hAnsiTheme="minorHAnsi" w:cstheme="minorHAnsi"/>
          <w:i/>
          <w:sz w:val="18"/>
          <w:szCs w:val="18"/>
        </w:rPr>
      </w:pPr>
      <w:r w:rsidRPr="00934DB5">
        <w:rPr>
          <w:rStyle w:val="Odwoanieprzypisudolnego"/>
          <w:rFonts w:asciiTheme="minorHAnsi" w:hAnsiTheme="minorHAnsi" w:cstheme="minorHAnsi"/>
          <w:i/>
          <w:sz w:val="18"/>
          <w:szCs w:val="18"/>
        </w:rPr>
        <w:footnoteRef/>
      </w:r>
      <w:r>
        <w:rPr>
          <w:rFonts w:asciiTheme="minorHAnsi" w:hAnsiTheme="minorHAnsi" w:cstheme="minorHAnsi"/>
          <w:i/>
          <w:sz w:val="18"/>
          <w:szCs w:val="18"/>
        </w:rPr>
        <w:t xml:space="preserve"> </w:t>
      </w:r>
      <w:r w:rsidRPr="00934DB5">
        <w:rPr>
          <w:rFonts w:asciiTheme="minorHAnsi" w:hAnsiTheme="minorHAnsi" w:cstheme="minorHAnsi"/>
          <w:i/>
          <w:sz w:val="18"/>
          <w:szCs w:val="18"/>
        </w:rPr>
        <w:t xml:space="preserve">Województwo opolskie. </w:t>
      </w:r>
      <w:r w:rsidRPr="00934DB5">
        <w:rPr>
          <w:rFonts w:asciiTheme="minorHAnsi" w:hAnsiTheme="minorHAnsi" w:cstheme="minorHAnsi"/>
          <w:i/>
          <w:iCs/>
          <w:sz w:val="18"/>
          <w:szCs w:val="18"/>
        </w:rPr>
        <w:t xml:space="preserve">Identyfikacja potencjałów i barier JST </w:t>
      </w:r>
      <w:r>
        <w:rPr>
          <w:rFonts w:asciiTheme="minorHAnsi" w:hAnsiTheme="minorHAnsi" w:cstheme="minorHAnsi"/>
          <w:i/>
          <w:iCs/>
          <w:sz w:val="18"/>
          <w:szCs w:val="18"/>
        </w:rPr>
        <w:t xml:space="preserve">(..), op. cit., </w:t>
      </w:r>
      <w:r w:rsidRPr="00934DB5">
        <w:rPr>
          <w:rFonts w:asciiTheme="minorHAnsi" w:hAnsiTheme="minorHAnsi" w:cstheme="minorHAnsi"/>
          <w:iCs/>
          <w:sz w:val="18"/>
          <w:szCs w:val="18"/>
        </w:rPr>
        <w:t>s. 18.</w:t>
      </w:r>
    </w:p>
  </w:footnote>
  <w:footnote w:id="50">
    <w:p w14:paraId="41224395" w14:textId="534F92B9" w:rsidR="00F17884" w:rsidRPr="00890249" w:rsidRDefault="00F17884" w:rsidP="00A723EB">
      <w:pPr>
        <w:pStyle w:val="Tekstprzypisudolnego"/>
        <w:ind w:left="142" w:hanging="142"/>
        <w:rPr>
          <w:rFonts w:asciiTheme="minorHAnsi" w:hAnsiTheme="minorHAnsi" w:cstheme="minorHAnsi"/>
          <w:sz w:val="18"/>
          <w:szCs w:val="18"/>
        </w:rPr>
      </w:pPr>
      <w:r w:rsidRPr="00673C8D">
        <w:rPr>
          <w:rStyle w:val="Odwoanieprzypisudolnego"/>
          <w:rFonts w:asciiTheme="minorHAnsi" w:hAnsiTheme="minorHAnsi" w:cstheme="minorHAnsi"/>
          <w:i/>
          <w:sz w:val="18"/>
          <w:szCs w:val="18"/>
        </w:rPr>
        <w:footnoteRef/>
      </w:r>
      <w:r w:rsidRPr="00673C8D">
        <w:rPr>
          <w:rFonts w:asciiTheme="minorHAnsi" w:hAnsiTheme="minorHAnsi" w:cstheme="minorHAnsi"/>
          <w:i/>
          <w:sz w:val="18"/>
          <w:szCs w:val="18"/>
        </w:rPr>
        <w:t>Efekt wsparcia konkurencyjności, innowacyjności i internacjonalizacji MSP</w:t>
      </w:r>
      <w:r>
        <w:rPr>
          <w:rFonts w:asciiTheme="minorHAnsi" w:hAnsiTheme="minorHAnsi" w:cstheme="minorHAnsi"/>
          <w:i/>
          <w:sz w:val="18"/>
          <w:szCs w:val="18"/>
        </w:rPr>
        <w:t xml:space="preserve"> i rozwój potencjału jednostek naukowo -badawczych w województwie opolskim w perspektywie 2014-2020, </w:t>
      </w:r>
      <w:r w:rsidRPr="00890249">
        <w:rPr>
          <w:rFonts w:asciiTheme="minorHAnsi" w:hAnsiTheme="minorHAnsi" w:cstheme="minorHAnsi"/>
          <w:sz w:val="18"/>
          <w:szCs w:val="18"/>
        </w:rPr>
        <w:t>Raport końcowy, Opole, październik 2021</w:t>
      </w:r>
      <w:r>
        <w:rPr>
          <w:rFonts w:asciiTheme="minorHAnsi" w:hAnsiTheme="minorHAnsi" w:cstheme="minorHAnsi"/>
          <w:sz w:val="18"/>
          <w:szCs w:val="18"/>
        </w:rPr>
        <w:t>.</w:t>
      </w:r>
    </w:p>
  </w:footnote>
  <w:footnote w:id="51">
    <w:p w14:paraId="17D14B8E" w14:textId="77777777" w:rsidR="00604630" w:rsidRPr="00805254" w:rsidRDefault="00604630" w:rsidP="009354FC">
      <w:pPr>
        <w:pStyle w:val="Tekstprzypisudolnego"/>
        <w:ind w:left="142" w:hanging="142"/>
      </w:pPr>
      <w:r w:rsidRPr="00F16090">
        <w:rPr>
          <w:rStyle w:val="Odwoanieprzypisudolnego"/>
          <w:rFonts w:asciiTheme="minorHAnsi" w:hAnsiTheme="minorHAnsi"/>
          <w:sz w:val="18"/>
          <w:szCs w:val="18"/>
        </w:rPr>
        <w:footnoteRef/>
      </w:r>
      <w:r w:rsidRPr="004C4632">
        <w:rPr>
          <w:rFonts w:asciiTheme="minorHAnsi" w:hAnsiTheme="minorHAnsi" w:cstheme="minorHAnsi"/>
          <w:i/>
          <w:sz w:val="18"/>
          <w:szCs w:val="18"/>
        </w:rPr>
        <w:t>Zjawisko ubóstwa energetycznego w Polsce, w tym ze szczególnym uwzględnieniem zamieszkujących w domach jednorodzinnych</w:t>
      </w:r>
      <w:r w:rsidRPr="008F47C3">
        <w:rPr>
          <w:rFonts w:asciiTheme="minorHAnsi" w:hAnsiTheme="minorHAnsi" w:cstheme="minorHAnsi"/>
          <w:i/>
          <w:sz w:val="18"/>
          <w:szCs w:val="18"/>
        </w:rPr>
        <w:t xml:space="preserve">, </w:t>
      </w:r>
      <w:r w:rsidRPr="008F47C3">
        <w:rPr>
          <w:rFonts w:asciiTheme="minorHAnsi" w:hAnsiTheme="minorHAnsi" w:cstheme="minorHAnsi"/>
          <w:sz w:val="18"/>
          <w:szCs w:val="18"/>
        </w:rPr>
        <w:t>IBS Research Report 02/2018, s. 6.</w:t>
      </w:r>
    </w:p>
  </w:footnote>
  <w:footnote w:id="52">
    <w:p w14:paraId="534C45E6" w14:textId="77777777" w:rsidR="00604630" w:rsidRPr="00E97E94" w:rsidRDefault="00604630" w:rsidP="00BD7E4B">
      <w:pPr>
        <w:pStyle w:val="Tekstprzypisudolnego"/>
        <w:ind w:left="142" w:hanging="142"/>
        <w:rPr>
          <w:rFonts w:asciiTheme="minorHAnsi" w:hAnsiTheme="minorHAnsi" w:cstheme="minorHAnsi"/>
          <w:sz w:val="18"/>
          <w:szCs w:val="18"/>
        </w:rPr>
      </w:pPr>
      <w:r w:rsidRPr="00A46997">
        <w:rPr>
          <w:rStyle w:val="Odwoanieprzypisudolnego"/>
          <w:rFonts w:asciiTheme="minorHAnsi" w:hAnsiTheme="minorHAnsi" w:cstheme="minorHAnsi"/>
          <w:sz w:val="18"/>
          <w:szCs w:val="18"/>
        </w:rPr>
        <w:footnoteRef/>
      </w:r>
      <w:r w:rsidRPr="00A46997">
        <w:rPr>
          <w:rFonts w:asciiTheme="minorHAnsi" w:hAnsiTheme="minorHAnsi" w:cstheme="minorHAnsi"/>
          <w:sz w:val="18"/>
          <w:szCs w:val="18"/>
        </w:rPr>
        <w:t xml:space="preserve"> </w:t>
      </w:r>
      <w:r w:rsidRPr="00A46997">
        <w:rPr>
          <w:rFonts w:asciiTheme="minorHAnsi" w:hAnsiTheme="minorHAnsi" w:cstheme="minorHAnsi"/>
          <w:i/>
          <w:sz w:val="18"/>
          <w:szCs w:val="18"/>
        </w:rPr>
        <w:t>Dokument roboczy służb Komisji – Sprawozdanie krajowe – Polska 2019 (…),op. cit.</w:t>
      </w:r>
      <w:r w:rsidRPr="00E97E94">
        <w:rPr>
          <w:rFonts w:asciiTheme="minorHAnsi" w:hAnsiTheme="minorHAnsi" w:cstheme="minorHAnsi"/>
          <w:sz w:val="18"/>
          <w:szCs w:val="18"/>
        </w:rPr>
        <w:t>, s. 68.</w:t>
      </w:r>
      <w:r w:rsidRPr="00E97E94">
        <w:rPr>
          <w:rFonts w:asciiTheme="minorHAnsi" w:hAnsiTheme="minorHAnsi" w:cstheme="minorHAnsi"/>
          <w:sz w:val="18"/>
          <w:szCs w:val="18"/>
        </w:rPr>
        <w:tab/>
      </w:r>
    </w:p>
  </w:footnote>
  <w:footnote w:id="53">
    <w:p w14:paraId="3022750D" w14:textId="77777777" w:rsidR="00604630" w:rsidRPr="00EF00C3" w:rsidRDefault="00604630" w:rsidP="00A97505">
      <w:pPr>
        <w:pStyle w:val="Tekstprzypisudolnego"/>
        <w:ind w:left="142" w:hanging="142"/>
        <w:rPr>
          <w:rFonts w:asciiTheme="minorHAnsi" w:hAnsiTheme="minorHAnsi"/>
          <w:sz w:val="18"/>
          <w:szCs w:val="18"/>
        </w:rPr>
      </w:pPr>
      <w:r w:rsidRPr="00EF00C3">
        <w:rPr>
          <w:rStyle w:val="Odwoanieprzypisudolnego"/>
          <w:rFonts w:asciiTheme="minorHAnsi" w:hAnsiTheme="minorHAnsi"/>
          <w:sz w:val="18"/>
          <w:szCs w:val="18"/>
        </w:rPr>
        <w:footnoteRef/>
      </w:r>
      <w:r>
        <w:rPr>
          <w:rFonts w:asciiTheme="minorHAnsi" w:hAnsiTheme="minorHAnsi"/>
          <w:i/>
          <w:sz w:val="18"/>
          <w:szCs w:val="18"/>
        </w:rPr>
        <w:t xml:space="preserve"> </w:t>
      </w:r>
      <w:r w:rsidRPr="00890249">
        <w:rPr>
          <w:rFonts w:asciiTheme="minorHAnsi" w:hAnsiTheme="minorHAnsi"/>
          <w:sz w:val="18"/>
          <w:szCs w:val="18"/>
        </w:rPr>
        <w:t>Ibidem.</w:t>
      </w:r>
    </w:p>
  </w:footnote>
  <w:footnote w:id="54">
    <w:p w14:paraId="34F14E29" w14:textId="31E65CFE" w:rsidR="00604630" w:rsidRPr="00890249" w:rsidRDefault="00604630" w:rsidP="00890249">
      <w:pPr>
        <w:spacing w:before="0" w:after="0"/>
        <w:rPr>
          <w:sz w:val="18"/>
          <w:szCs w:val="18"/>
        </w:rPr>
      </w:pPr>
      <w:r w:rsidRPr="002F4757">
        <w:rPr>
          <w:rStyle w:val="Odwoanieprzypisudolnego"/>
          <w:rFonts w:asciiTheme="minorHAnsi" w:hAnsiTheme="minorHAnsi"/>
          <w:sz w:val="18"/>
          <w:szCs w:val="18"/>
        </w:rPr>
        <w:footnoteRef/>
      </w:r>
      <w:r w:rsidRPr="002F4757">
        <w:rPr>
          <w:rFonts w:asciiTheme="minorHAnsi" w:hAnsiTheme="minorHAnsi"/>
          <w:sz w:val="18"/>
          <w:szCs w:val="18"/>
        </w:rPr>
        <w:t xml:space="preserve"> </w:t>
      </w:r>
      <w:r w:rsidRPr="00890249">
        <w:rPr>
          <w:rFonts w:asciiTheme="minorHAnsi" w:hAnsiTheme="minorHAnsi" w:cstheme="minorHAnsi"/>
          <w:sz w:val="18"/>
          <w:szCs w:val="18"/>
        </w:rPr>
        <w:t>Załącznik nr 1.</w:t>
      </w:r>
      <w:r w:rsidRPr="00890249">
        <w:rPr>
          <w:rFonts w:asciiTheme="minorHAnsi" w:hAnsiTheme="minorHAnsi" w:cstheme="minorHAnsi"/>
          <w:i/>
          <w:iCs/>
          <w:sz w:val="18"/>
          <w:szCs w:val="18"/>
        </w:rPr>
        <w:t xml:space="preserve"> Obecna sytuacja i prognozy przy istniejących politykach i środkach do Krajowego planu na rzecz energii i klimatu na lata 2021-2030 (5.2 z 18.12.2019 r.)</w:t>
      </w:r>
      <w:r w:rsidRPr="00890249">
        <w:rPr>
          <w:rFonts w:asciiTheme="minorHAnsi" w:hAnsiTheme="minorHAnsi" w:cstheme="minorHAnsi"/>
          <w:sz w:val="18"/>
          <w:szCs w:val="18"/>
        </w:rPr>
        <w:t>, s.52.</w:t>
      </w:r>
    </w:p>
  </w:footnote>
  <w:footnote w:id="55">
    <w:p w14:paraId="28505DF4" w14:textId="37B9805D" w:rsidR="00604630" w:rsidRPr="00C266A6" w:rsidRDefault="00604630" w:rsidP="007F16A1">
      <w:pPr>
        <w:pStyle w:val="Tekstprzypisudolnego"/>
        <w:ind w:left="142" w:hanging="142"/>
        <w:rPr>
          <w:rFonts w:asciiTheme="minorHAnsi" w:hAnsiTheme="minorHAnsi" w:cstheme="minorHAnsi"/>
          <w:sz w:val="18"/>
          <w:szCs w:val="18"/>
        </w:rPr>
      </w:pPr>
      <w:r w:rsidRPr="00CB4E53">
        <w:rPr>
          <w:rStyle w:val="Odwoanieprzypisudolnego"/>
          <w:rFonts w:asciiTheme="minorHAnsi" w:hAnsiTheme="minorHAnsi" w:cstheme="minorHAnsi"/>
          <w:i/>
          <w:sz w:val="18"/>
          <w:szCs w:val="18"/>
        </w:rPr>
        <w:footnoteRef/>
      </w:r>
      <w:r w:rsidRPr="00CB4E53">
        <w:rPr>
          <w:rFonts w:asciiTheme="minorHAnsi" w:hAnsiTheme="minorHAnsi" w:cstheme="minorHAnsi"/>
          <w:i/>
          <w:sz w:val="18"/>
          <w:szCs w:val="18"/>
        </w:rPr>
        <w:t xml:space="preserve"> Raport 2018 o stanie (…), op. cit.</w:t>
      </w:r>
      <w:r w:rsidRPr="00C266A6">
        <w:rPr>
          <w:rFonts w:asciiTheme="minorHAnsi" w:hAnsiTheme="minorHAnsi" w:cstheme="minorHAnsi"/>
          <w:sz w:val="18"/>
          <w:szCs w:val="18"/>
        </w:rPr>
        <w:t>, s. 64.</w:t>
      </w:r>
    </w:p>
  </w:footnote>
  <w:footnote w:id="56">
    <w:p w14:paraId="2E311210" w14:textId="627E3278" w:rsidR="00604630" w:rsidRPr="00890249" w:rsidRDefault="00604630" w:rsidP="00AF51B6">
      <w:pPr>
        <w:pStyle w:val="Tekstprzypisudolnego"/>
        <w:ind w:left="142" w:hanging="142"/>
        <w:rPr>
          <w:rFonts w:asciiTheme="minorHAnsi" w:hAnsiTheme="minorHAnsi" w:cstheme="minorHAnsi"/>
          <w:sz w:val="18"/>
          <w:szCs w:val="18"/>
        </w:rPr>
      </w:pPr>
      <w:r w:rsidRPr="00446F6C">
        <w:rPr>
          <w:rStyle w:val="Odwoanieprzypisudolnego"/>
          <w:rFonts w:asciiTheme="minorHAnsi" w:hAnsiTheme="minorHAnsi" w:cstheme="minorHAnsi"/>
          <w:sz w:val="18"/>
          <w:szCs w:val="18"/>
        </w:rPr>
        <w:footnoteRef/>
      </w:r>
      <w:r w:rsidRPr="00D172FD">
        <w:rPr>
          <w:rFonts w:asciiTheme="minorHAnsi" w:hAnsiTheme="minorHAnsi" w:cstheme="minorHAnsi"/>
          <w:i/>
          <w:sz w:val="18"/>
          <w:szCs w:val="18"/>
        </w:rPr>
        <w:t>Program ochrony środowiska dla województwa opolskiego na lata 2021-2027</w:t>
      </w:r>
      <w:r w:rsidRPr="002D2173">
        <w:rPr>
          <w:rFonts w:asciiTheme="minorHAnsi" w:hAnsiTheme="minorHAnsi" w:cstheme="minorHAnsi"/>
          <w:sz w:val="18"/>
          <w:szCs w:val="18"/>
        </w:rPr>
        <w:t>, Ekostandard Pracownia Analiz Środowiskowych, s. 57.</w:t>
      </w:r>
    </w:p>
  </w:footnote>
  <w:footnote w:id="57">
    <w:p w14:paraId="2B8EC109" w14:textId="144BC440" w:rsidR="00604630" w:rsidRPr="00912743" w:rsidRDefault="00604630" w:rsidP="00A46997">
      <w:pPr>
        <w:pStyle w:val="Tekstprzypisudolnego"/>
        <w:ind w:left="142" w:hanging="142"/>
        <w:rPr>
          <w:rFonts w:asciiTheme="minorHAnsi" w:hAnsiTheme="minorHAnsi" w:cstheme="minorHAnsi"/>
          <w:sz w:val="18"/>
          <w:szCs w:val="18"/>
        </w:rPr>
      </w:pPr>
      <w:r w:rsidRPr="002D2173">
        <w:rPr>
          <w:rStyle w:val="Odwoanieprzypisudolnego"/>
          <w:rFonts w:asciiTheme="minorHAnsi" w:hAnsiTheme="minorHAnsi" w:cstheme="minorHAnsi"/>
          <w:sz w:val="18"/>
          <w:szCs w:val="18"/>
        </w:rPr>
        <w:footnoteRef/>
      </w:r>
      <w:r w:rsidRPr="002D2173">
        <w:rPr>
          <w:rFonts w:asciiTheme="minorHAnsi" w:hAnsiTheme="minorHAnsi" w:cstheme="minorHAnsi"/>
          <w:sz w:val="18"/>
          <w:szCs w:val="18"/>
        </w:rPr>
        <w:t xml:space="preserve"> </w:t>
      </w:r>
      <w:r w:rsidRPr="002D2173">
        <w:rPr>
          <w:rFonts w:asciiTheme="minorHAnsi" w:hAnsiTheme="minorHAnsi" w:cstheme="minorHAnsi"/>
          <w:i/>
          <w:sz w:val="18"/>
          <w:szCs w:val="18"/>
        </w:rPr>
        <w:t xml:space="preserve">Raport 2018 o stanie </w:t>
      </w:r>
      <w:r w:rsidRPr="007B0B08">
        <w:rPr>
          <w:rFonts w:asciiTheme="minorHAnsi" w:hAnsiTheme="minorHAnsi" w:cstheme="minorHAnsi"/>
          <w:i/>
          <w:sz w:val="18"/>
          <w:szCs w:val="18"/>
        </w:rPr>
        <w:t>(…)</w:t>
      </w:r>
      <w:r w:rsidRPr="007B0B08">
        <w:rPr>
          <w:rFonts w:asciiTheme="minorHAnsi" w:hAnsiTheme="minorHAnsi" w:cstheme="minorHAnsi"/>
          <w:sz w:val="18"/>
          <w:szCs w:val="18"/>
        </w:rPr>
        <w:t xml:space="preserve">, </w:t>
      </w:r>
      <w:r w:rsidRPr="002845D9">
        <w:rPr>
          <w:rFonts w:asciiTheme="minorHAnsi" w:hAnsiTheme="minorHAnsi" w:cstheme="minorHAnsi"/>
          <w:sz w:val="18"/>
          <w:szCs w:val="18"/>
        </w:rPr>
        <w:t>op. cit., s. 64.</w:t>
      </w:r>
    </w:p>
  </w:footnote>
  <w:footnote w:id="58">
    <w:p w14:paraId="1E904C37" w14:textId="1E6318C3" w:rsidR="00604630" w:rsidRPr="0043241C" w:rsidRDefault="00604630" w:rsidP="00B026CC">
      <w:pPr>
        <w:pStyle w:val="Tekstprzypisudolnego"/>
        <w:tabs>
          <w:tab w:val="left" w:pos="142"/>
        </w:tabs>
        <w:ind w:left="142" w:hanging="142"/>
        <w:rPr>
          <w:rFonts w:asciiTheme="minorHAnsi" w:hAnsiTheme="minorHAnsi" w:cstheme="minorHAnsi"/>
          <w:sz w:val="18"/>
          <w:szCs w:val="18"/>
        </w:rPr>
      </w:pPr>
      <w:r w:rsidRPr="002D2173">
        <w:rPr>
          <w:rStyle w:val="Odwoanieprzypisudolnego"/>
          <w:rFonts w:asciiTheme="minorHAnsi" w:hAnsiTheme="minorHAnsi" w:cstheme="minorHAnsi"/>
          <w:sz w:val="18"/>
          <w:szCs w:val="18"/>
        </w:rPr>
        <w:footnoteRef/>
      </w:r>
      <w:r w:rsidRPr="002D2173">
        <w:rPr>
          <w:rFonts w:asciiTheme="minorHAnsi" w:hAnsiTheme="minorHAnsi" w:cstheme="minorHAnsi"/>
          <w:i/>
          <w:sz w:val="18"/>
          <w:szCs w:val="18"/>
        </w:rPr>
        <w:t>Polityka ekologiczna państwa 2030</w:t>
      </w:r>
      <w:r w:rsidRPr="00890249">
        <w:rPr>
          <w:rFonts w:asciiTheme="minorHAnsi" w:hAnsiTheme="minorHAnsi" w:cstheme="minorHAnsi"/>
          <w:sz w:val="18"/>
          <w:szCs w:val="18"/>
        </w:rPr>
        <w:t xml:space="preserve"> </w:t>
      </w:r>
      <w:r w:rsidRPr="002D2173">
        <w:rPr>
          <w:rFonts w:asciiTheme="minorHAnsi" w:hAnsiTheme="minorHAnsi" w:cstheme="minorHAnsi"/>
          <w:i/>
          <w:sz w:val="18"/>
          <w:szCs w:val="18"/>
        </w:rPr>
        <w:t>strategia rozwoju w obszarze środowiska i gospodarki wodnej</w:t>
      </w:r>
      <w:r w:rsidRPr="002D2173">
        <w:rPr>
          <w:rFonts w:asciiTheme="minorHAnsi" w:hAnsiTheme="minorHAnsi" w:cstheme="minorHAnsi"/>
          <w:sz w:val="18"/>
          <w:szCs w:val="18"/>
        </w:rPr>
        <w:t>, Ministerstwo Środowiska, Warszawa 2019, s.</w:t>
      </w:r>
      <w:r w:rsidRPr="00581C42">
        <w:rPr>
          <w:rFonts w:asciiTheme="minorHAnsi" w:hAnsiTheme="minorHAnsi" w:cstheme="minorHAnsi"/>
          <w:sz w:val="18"/>
          <w:szCs w:val="18"/>
        </w:rPr>
        <w:t xml:space="preserve"> 64</w:t>
      </w:r>
      <w:r w:rsidRPr="0043241C">
        <w:rPr>
          <w:rFonts w:asciiTheme="minorHAnsi" w:hAnsiTheme="minorHAnsi" w:cstheme="minorHAnsi"/>
          <w:sz w:val="18"/>
          <w:szCs w:val="18"/>
        </w:rPr>
        <w:t>.</w:t>
      </w:r>
    </w:p>
  </w:footnote>
  <w:footnote w:id="59">
    <w:p w14:paraId="20C89A92" w14:textId="77777777" w:rsidR="00604630" w:rsidRPr="00890249" w:rsidRDefault="00604630">
      <w:pPr>
        <w:pStyle w:val="Tekstprzypisudolnego"/>
        <w:rPr>
          <w:rFonts w:asciiTheme="minorHAnsi" w:hAnsiTheme="minorHAnsi" w:cstheme="minorHAnsi"/>
          <w:sz w:val="18"/>
          <w:szCs w:val="18"/>
        </w:rPr>
      </w:pPr>
      <w:r w:rsidRPr="002D2173">
        <w:rPr>
          <w:rStyle w:val="Odwoanieprzypisudolnego"/>
          <w:rFonts w:asciiTheme="minorHAnsi" w:hAnsiTheme="minorHAnsi" w:cstheme="minorHAnsi"/>
          <w:sz w:val="18"/>
          <w:szCs w:val="18"/>
        </w:rPr>
        <w:footnoteRef/>
      </w:r>
      <w:r w:rsidRPr="002D2173">
        <w:rPr>
          <w:rFonts w:asciiTheme="minorHAnsi" w:hAnsiTheme="minorHAnsi" w:cstheme="minorHAnsi"/>
          <w:sz w:val="18"/>
          <w:szCs w:val="18"/>
        </w:rPr>
        <w:t xml:space="preserve"> </w:t>
      </w:r>
      <w:r w:rsidRPr="007F16A1">
        <w:rPr>
          <w:rFonts w:asciiTheme="minorHAnsi" w:hAnsiTheme="minorHAnsi" w:cstheme="minorHAnsi"/>
          <w:i/>
          <w:sz w:val="18"/>
          <w:szCs w:val="18"/>
        </w:rPr>
        <w:t>Ibidem</w:t>
      </w:r>
      <w:r w:rsidRPr="00D172FD">
        <w:rPr>
          <w:rFonts w:asciiTheme="minorHAnsi" w:hAnsiTheme="minorHAnsi" w:cstheme="minorHAnsi"/>
          <w:sz w:val="18"/>
          <w:szCs w:val="18"/>
        </w:rPr>
        <w:t>, s. 50</w:t>
      </w:r>
    </w:p>
  </w:footnote>
  <w:footnote w:id="60">
    <w:p w14:paraId="4ADE9C8B" w14:textId="5CE9D54D" w:rsidR="00604630" w:rsidRPr="00C737D0" w:rsidRDefault="00604630" w:rsidP="00E973ED">
      <w:pPr>
        <w:pStyle w:val="Tekstprzypisudolnego"/>
        <w:ind w:left="0" w:firstLine="0"/>
        <w:jc w:val="left"/>
        <w:rPr>
          <w:rFonts w:asciiTheme="minorHAnsi" w:hAnsiTheme="minorHAnsi" w:cstheme="minorHAnsi"/>
          <w:sz w:val="18"/>
          <w:szCs w:val="18"/>
        </w:rPr>
      </w:pPr>
      <w:r w:rsidRPr="007F16A1">
        <w:rPr>
          <w:rStyle w:val="Odwoanieprzypisudolnego"/>
          <w:rFonts w:asciiTheme="minorHAnsi" w:hAnsiTheme="minorHAnsi" w:cstheme="minorHAnsi"/>
          <w:sz w:val="18"/>
          <w:szCs w:val="18"/>
        </w:rPr>
        <w:footnoteRef/>
      </w:r>
      <w:r w:rsidRPr="00890249">
        <w:rPr>
          <w:rFonts w:asciiTheme="minorHAnsi" w:hAnsiTheme="minorHAnsi" w:cstheme="minorHAnsi"/>
          <w:i/>
          <w:sz w:val="18"/>
          <w:szCs w:val="18"/>
        </w:rPr>
        <w:t xml:space="preserve"> VI aktualizacja Krajowego (…),</w:t>
      </w:r>
      <w:r w:rsidRPr="00890249">
        <w:rPr>
          <w:rFonts w:asciiTheme="minorHAnsi" w:hAnsiTheme="minorHAnsi" w:cstheme="minorHAnsi"/>
          <w:sz w:val="18"/>
          <w:szCs w:val="18"/>
        </w:rPr>
        <w:t xml:space="preserve"> op.</w:t>
      </w:r>
      <w:r w:rsidRPr="007F16A1">
        <w:rPr>
          <w:rFonts w:asciiTheme="minorHAnsi" w:hAnsiTheme="minorHAnsi" w:cstheme="minorHAnsi"/>
          <w:sz w:val="18"/>
          <w:szCs w:val="18"/>
        </w:rPr>
        <w:t xml:space="preserve"> </w:t>
      </w:r>
      <w:r w:rsidRPr="00890249">
        <w:rPr>
          <w:rFonts w:asciiTheme="minorHAnsi" w:hAnsiTheme="minorHAnsi" w:cstheme="minorHAnsi"/>
          <w:sz w:val="18"/>
          <w:szCs w:val="18"/>
        </w:rPr>
        <w:t>cit</w:t>
      </w:r>
      <w:r w:rsidRPr="007F16A1">
        <w:rPr>
          <w:rFonts w:asciiTheme="minorHAnsi" w:hAnsiTheme="minorHAnsi" w:cstheme="minorHAnsi"/>
          <w:sz w:val="18"/>
          <w:szCs w:val="18"/>
        </w:rPr>
        <w:t>.</w:t>
      </w:r>
      <w:r w:rsidRPr="00D172FD">
        <w:rPr>
          <w:rFonts w:asciiTheme="minorHAnsi" w:hAnsiTheme="minorHAnsi" w:cstheme="minorHAnsi"/>
          <w:sz w:val="18"/>
          <w:szCs w:val="18"/>
        </w:rPr>
        <w:t xml:space="preserve"> </w:t>
      </w:r>
    </w:p>
  </w:footnote>
  <w:footnote w:id="61">
    <w:p w14:paraId="5928619A" w14:textId="11A8DC0B" w:rsidR="00604630" w:rsidRPr="00890249" w:rsidRDefault="00604630" w:rsidP="00890249">
      <w:pPr>
        <w:pStyle w:val="Tekstprzypisudolnego"/>
        <w:ind w:left="0" w:firstLine="0"/>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hyperlink r:id="rId5" w:history="1">
        <w:r w:rsidRPr="00890249">
          <w:rPr>
            <w:rFonts w:asciiTheme="minorHAnsi" w:hAnsiTheme="minorHAnsi" w:cstheme="minorHAnsi"/>
            <w:sz w:val="18"/>
            <w:szCs w:val="18"/>
            <w:u w:val="single"/>
          </w:rPr>
          <w:t>https://bdl.stat.gov.pl/BDL/start</w:t>
        </w:r>
      </w:hyperlink>
    </w:p>
  </w:footnote>
  <w:footnote w:id="62">
    <w:p w14:paraId="7D353A5E" w14:textId="77777777" w:rsidR="00604630" w:rsidRPr="00C565D5" w:rsidRDefault="00604630">
      <w:pPr>
        <w:pStyle w:val="Tekstprzypisudolnego"/>
        <w:rPr>
          <w:rFonts w:asciiTheme="minorHAnsi" w:hAnsiTheme="minorHAnsi" w:cstheme="minorHAnsi"/>
          <w:sz w:val="18"/>
          <w:szCs w:val="18"/>
        </w:rPr>
      </w:pPr>
      <w:r w:rsidRPr="007F16A1">
        <w:rPr>
          <w:rStyle w:val="Odwoanieprzypisudolnego"/>
          <w:rFonts w:asciiTheme="minorHAnsi" w:hAnsiTheme="minorHAnsi" w:cstheme="minorHAnsi"/>
          <w:sz w:val="18"/>
          <w:szCs w:val="18"/>
        </w:rPr>
        <w:footnoteRef/>
      </w:r>
      <w:r w:rsidRPr="007F16A1">
        <w:rPr>
          <w:rFonts w:asciiTheme="minorHAnsi" w:hAnsiTheme="minorHAnsi" w:cstheme="minorHAnsi"/>
          <w:sz w:val="18"/>
          <w:szCs w:val="18"/>
        </w:rPr>
        <w:t xml:space="preserve"> </w:t>
      </w:r>
      <w:r w:rsidRPr="00890249">
        <w:rPr>
          <w:rFonts w:asciiTheme="minorHAnsi" w:hAnsiTheme="minorHAnsi" w:cstheme="minorHAnsi"/>
          <w:sz w:val="18"/>
          <w:szCs w:val="18"/>
        </w:rPr>
        <w:t>Ibidem</w:t>
      </w:r>
      <w:r w:rsidRPr="00C565D5">
        <w:rPr>
          <w:rFonts w:asciiTheme="minorHAnsi" w:hAnsiTheme="minorHAnsi" w:cstheme="minorHAnsi"/>
          <w:sz w:val="18"/>
          <w:szCs w:val="18"/>
        </w:rPr>
        <w:t>, s. 37-38</w:t>
      </w:r>
    </w:p>
  </w:footnote>
  <w:footnote w:id="63">
    <w:p w14:paraId="7E0D17CA" w14:textId="7B1178E5" w:rsidR="00604630" w:rsidRPr="00C565D5" w:rsidRDefault="00604630" w:rsidP="00DC6D6D">
      <w:pPr>
        <w:pStyle w:val="Tekstprzypisudolnego"/>
        <w:tabs>
          <w:tab w:val="left" w:pos="567"/>
        </w:tabs>
        <w:ind w:left="142" w:hanging="142"/>
        <w:rPr>
          <w:rFonts w:asciiTheme="minorHAnsi" w:hAnsiTheme="minorHAnsi" w:cstheme="minorHAnsi"/>
          <w:sz w:val="18"/>
          <w:szCs w:val="18"/>
        </w:rPr>
      </w:pPr>
      <w:r w:rsidRPr="00C565D5">
        <w:rPr>
          <w:rStyle w:val="Odwoanieprzypisudolnego"/>
          <w:rFonts w:asciiTheme="minorHAnsi" w:hAnsiTheme="minorHAnsi" w:cstheme="minorHAnsi"/>
          <w:sz w:val="18"/>
          <w:szCs w:val="18"/>
        </w:rPr>
        <w:footnoteRef/>
      </w:r>
      <w:r w:rsidRPr="00C565D5">
        <w:rPr>
          <w:rFonts w:asciiTheme="minorHAnsi" w:hAnsiTheme="minorHAnsi" w:cstheme="minorHAnsi"/>
          <w:i/>
          <w:sz w:val="18"/>
          <w:szCs w:val="18"/>
        </w:rPr>
        <w:t xml:space="preserve"> Raport 2018 o stanie (…)</w:t>
      </w:r>
      <w:r w:rsidRPr="00C565D5">
        <w:rPr>
          <w:rFonts w:asciiTheme="minorHAnsi" w:hAnsiTheme="minorHAnsi" w:cstheme="minorHAnsi"/>
          <w:sz w:val="18"/>
          <w:szCs w:val="18"/>
        </w:rPr>
        <w:t>, op. cit., s. 12.</w:t>
      </w:r>
    </w:p>
  </w:footnote>
  <w:footnote w:id="64">
    <w:p w14:paraId="57569319" w14:textId="77777777" w:rsidR="00604630" w:rsidRPr="00C565D5" w:rsidRDefault="00604630" w:rsidP="00DC6D6D">
      <w:pPr>
        <w:pStyle w:val="Tekstprzypisudolnego"/>
        <w:ind w:left="142" w:hanging="142"/>
        <w:rPr>
          <w:rFonts w:asciiTheme="minorHAnsi" w:hAnsiTheme="minorHAnsi" w:cstheme="minorHAnsi"/>
          <w:sz w:val="18"/>
          <w:szCs w:val="18"/>
        </w:rPr>
      </w:pPr>
      <w:r w:rsidRPr="00C565D5">
        <w:rPr>
          <w:rStyle w:val="Odwoanieprzypisudolnego"/>
          <w:rFonts w:asciiTheme="minorHAnsi" w:hAnsiTheme="minorHAnsi" w:cstheme="minorHAnsi"/>
          <w:sz w:val="18"/>
          <w:szCs w:val="18"/>
        </w:rPr>
        <w:footnoteRef/>
      </w:r>
      <w:r w:rsidRPr="00C565D5">
        <w:rPr>
          <w:rFonts w:asciiTheme="minorHAnsi" w:hAnsiTheme="minorHAnsi" w:cstheme="minorHAnsi"/>
          <w:sz w:val="18"/>
          <w:szCs w:val="18"/>
        </w:rPr>
        <w:t xml:space="preserve"> </w:t>
      </w:r>
      <w:r w:rsidRPr="00C565D5">
        <w:rPr>
          <w:rFonts w:asciiTheme="minorHAnsi" w:hAnsiTheme="minorHAnsi" w:cstheme="minorHAnsi"/>
          <w:i/>
          <w:sz w:val="18"/>
          <w:szCs w:val="18"/>
        </w:rPr>
        <w:t>Strategia ochrony obszarów wodno-błotnych w Polsce wraz z planem działań (na lata 2006 - 2013)</w:t>
      </w:r>
      <w:r w:rsidRPr="00C565D5">
        <w:rPr>
          <w:rFonts w:asciiTheme="minorHAnsi" w:hAnsiTheme="minorHAnsi" w:cstheme="minorHAnsi"/>
          <w:sz w:val="18"/>
          <w:szCs w:val="18"/>
        </w:rPr>
        <w:t>, Warszawa 2006, s. 13 i 22.</w:t>
      </w:r>
    </w:p>
  </w:footnote>
  <w:footnote w:id="65">
    <w:p w14:paraId="2F560385" w14:textId="106AD063" w:rsidR="00604630" w:rsidRPr="00C565D5" w:rsidRDefault="00604630" w:rsidP="009532FF">
      <w:pPr>
        <w:pStyle w:val="Tekstprzypisudolnego"/>
        <w:ind w:left="142" w:hanging="142"/>
        <w:rPr>
          <w:rFonts w:asciiTheme="minorHAnsi" w:hAnsiTheme="minorHAnsi" w:cstheme="minorHAnsi"/>
          <w:sz w:val="18"/>
          <w:szCs w:val="18"/>
        </w:rPr>
      </w:pPr>
      <w:r w:rsidRPr="00C565D5">
        <w:rPr>
          <w:rStyle w:val="Odwoanieprzypisudolnego"/>
          <w:rFonts w:asciiTheme="minorHAnsi" w:hAnsiTheme="minorHAnsi" w:cstheme="minorHAnsi"/>
          <w:sz w:val="18"/>
          <w:szCs w:val="18"/>
        </w:rPr>
        <w:footnoteRef/>
      </w:r>
      <w:r w:rsidRPr="00C565D5">
        <w:rPr>
          <w:rFonts w:asciiTheme="minorHAnsi" w:hAnsiTheme="minorHAnsi" w:cstheme="minorHAnsi"/>
          <w:sz w:val="18"/>
          <w:szCs w:val="18"/>
        </w:rPr>
        <w:t xml:space="preserve"> </w:t>
      </w:r>
      <w:r w:rsidRPr="00C565D5">
        <w:rPr>
          <w:rFonts w:asciiTheme="minorHAnsi" w:hAnsiTheme="minorHAnsi" w:cstheme="minorHAnsi"/>
          <w:i/>
          <w:sz w:val="18"/>
          <w:szCs w:val="18"/>
        </w:rPr>
        <w:t xml:space="preserve">Unijna strategia na rzecz bioróżnorodności 2030, (…), op. cit., </w:t>
      </w:r>
      <w:r w:rsidRPr="00C565D5">
        <w:rPr>
          <w:rFonts w:asciiTheme="minorHAnsi" w:hAnsiTheme="minorHAnsi" w:cstheme="minorHAnsi"/>
          <w:sz w:val="18"/>
          <w:szCs w:val="18"/>
        </w:rPr>
        <w:t>s. 2.</w:t>
      </w:r>
    </w:p>
  </w:footnote>
  <w:footnote w:id="66">
    <w:p w14:paraId="11D1CC34" w14:textId="5C9D408E" w:rsidR="00604630" w:rsidRDefault="00604630" w:rsidP="005D6AE1">
      <w:pPr>
        <w:pStyle w:val="Tekstprzypisudolnego"/>
        <w:ind w:left="284" w:hanging="284"/>
      </w:pPr>
      <w:r w:rsidRPr="00C565D5">
        <w:rPr>
          <w:rStyle w:val="Odwoanieprzypisudolnego"/>
          <w:rFonts w:asciiTheme="minorHAnsi" w:hAnsiTheme="minorHAnsi" w:cstheme="minorHAnsi"/>
          <w:sz w:val="18"/>
          <w:szCs w:val="18"/>
        </w:rPr>
        <w:footnoteRef/>
      </w:r>
      <w:r w:rsidRPr="00C565D5">
        <w:rPr>
          <w:rFonts w:asciiTheme="minorHAnsi" w:hAnsiTheme="minorHAnsi" w:cstheme="minorHAnsi"/>
          <w:sz w:val="18"/>
          <w:szCs w:val="18"/>
        </w:rPr>
        <w:t xml:space="preserve"> </w:t>
      </w:r>
      <w:r w:rsidRPr="00C565D5">
        <w:rPr>
          <w:rFonts w:asciiTheme="minorHAnsi" w:hAnsiTheme="minorHAnsi" w:cstheme="minorHAnsi"/>
          <w:i/>
          <w:sz w:val="18"/>
          <w:szCs w:val="18"/>
        </w:rPr>
        <w:t>Opolskie2030 (…), op. cit., s. 64.</w:t>
      </w:r>
      <w:r w:rsidRPr="003803DE">
        <w:rPr>
          <w:rFonts w:asciiTheme="minorHAnsi" w:hAnsiTheme="minorHAnsi"/>
          <w:i/>
          <w:sz w:val="18"/>
          <w:szCs w:val="18"/>
        </w:rPr>
        <w:t xml:space="preserve"> </w:t>
      </w:r>
    </w:p>
  </w:footnote>
  <w:footnote w:id="67">
    <w:p w14:paraId="389393EC" w14:textId="77777777" w:rsidR="00604630" w:rsidRPr="002F4757" w:rsidRDefault="00604630" w:rsidP="00A03681">
      <w:pPr>
        <w:pStyle w:val="Tekstprzypisudolnego"/>
        <w:ind w:left="284" w:hanging="284"/>
        <w:rPr>
          <w:rFonts w:asciiTheme="minorHAnsi" w:hAnsiTheme="minorHAnsi"/>
          <w:sz w:val="18"/>
          <w:szCs w:val="18"/>
        </w:rPr>
      </w:pPr>
      <w:r w:rsidRPr="002F4757">
        <w:rPr>
          <w:rStyle w:val="Odwoanieprzypisudolnego"/>
          <w:rFonts w:asciiTheme="minorHAnsi" w:hAnsiTheme="minorHAnsi"/>
          <w:sz w:val="18"/>
          <w:szCs w:val="18"/>
        </w:rPr>
        <w:footnoteRef/>
      </w:r>
      <w:r>
        <w:rPr>
          <w:rFonts w:asciiTheme="minorHAnsi" w:hAnsiTheme="minorHAnsi"/>
          <w:i/>
          <w:sz w:val="18"/>
          <w:szCs w:val="18"/>
        </w:rPr>
        <w:t xml:space="preserve"> </w:t>
      </w:r>
      <w:r w:rsidRPr="002F4757">
        <w:rPr>
          <w:rFonts w:asciiTheme="minorHAnsi" w:hAnsiTheme="minorHAnsi"/>
          <w:i/>
          <w:sz w:val="18"/>
          <w:szCs w:val="18"/>
        </w:rPr>
        <w:t>Roczna ocena jakości powietrza w województwie opolskim</w:t>
      </w:r>
      <w:r w:rsidRPr="002F4757">
        <w:rPr>
          <w:rFonts w:asciiTheme="minorHAnsi" w:hAnsiTheme="minorHAnsi"/>
          <w:sz w:val="18"/>
          <w:szCs w:val="18"/>
        </w:rPr>
        <w:t xml:space="preserve"> (Raport wojewódzki za rok 201</w:t>
      </w:r>
      <w:r>
        <w:rPr>
          <w:rFonts w:asciiTheme="minorHAnsi" w:hAnsiTheme="minorHAnsi"/>
          <w:sz w:val="18"/>
          <w:szCs w:val="18"/>
        </w:rPr>
        <w:t>9</w:t>
      </w:r>
      <w:r w:rsidRPr="002F4757">
        <w:rPr>
          <w:rFonts w:asciiTheme="minorHAnsi" w:hAnsiTheme="minorHAnsi"/>
          <w:sz w:val="18"/>
          <w:szCs w:val="18"/>
        </w:rPr>
        <w:t>), Główny Inspektorat Ochrony Środ</w:t>
      </w:r>
      <w:r>
        <w:rPr>
          <w:rFonts w:asciiTheme="minorHAnsi" w:hAnsiTheme="minorHAnsi"/>
          <w:sz w:val="18"/>
          <w:szCs w:val="18"/>
        </w:rPr>
        <w:t xml:space="preserve">owiska, Opole 2020, s. </w:t>
      </w:r>
      <w:r w:rsidRPr="002F4757">
        <w:rPr>
          <w:rFonts w:asciiTheme="minorHAnsi" w:hAnsiTheme="minorHAnsi"/>
          <w:sz w:val="18"/>
          <w:szCs w:val="18"/>
        </w:rPr>
        <w:t>8</w:t>
      </w:r>
      <w:r>
        <w:rPr>
          <w:rFonts w:asciiTheme="minorHAnsi" w:hAnsiTheme="minorHAnsi"/>
          <w:sz w:val="18"/>
          <w:szCs w:val="18"/>
        </w:rPr>
        <w:t>6</w:t>
      </w:r>
      <w:r w:rsidRPr="002F4757">
        <w:rPr>
          <w:rFonts w:asciiTheme="minorHAnsi" w:hAnsiTheme="minorHAnsi"/>
          <w:sz w:val="18"/>
          <w:szCs w:val="18"/>
        </w:rPr>
        <w:t xml:space="preserve">. </w:t>
      </w:r>
    </w:p>
  </w:footnote>
  <w:footnote w:id="68">
    <w:p w14:paraId="109EA4F2" w14:textId="77777777" w:rsidR="00F17884" w:rsidRPr="00170D2E" w:rsidRDefault="00F17884" w:rsidP="00416D0B">
      <w:pPr>
        <w:pStyle w:val="Tekstprzypisudolnego"/>
        <w:ind w:left="284" w:hanging="284"/>
        <w:rPr>
          <w:rFonts w:asciiTheme="minorHAnsi" w:hAnsiTheme="minorHAnsi" w:cstheme="minorHAnsi"/>
          <w:sz w:val="18"/>
          <w:szCs w:val="18"/>
        </w:rPr>
      </w:pPr>
      <w:r w:rsidRPr="00170D2E">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170D2E">
        <w:rPr>
          <w:rFonts w:asciiTheme="minorHAnsi" w:hAnsiTheme="minorHAnsi" w:cstheme="minorHAnsi"/>
          <w:i/>
          <w:sz w:val="18"/>
          <w:szCs w:val="18"/>
        </w:rPr>
        <w:t>Dokument roboczy służb Komisji – Spraw</w:t>
      </w:r>
      <w:r>
        <w:rPr>
          <w:rFonts w:asciiTheme="minorHAnsi" w:hAnsiTheme="minorHAnsi" w:cstheme="minorHAnsi"/>
          <w:i/>
          <w:sz w:val="18"/>
          <w:szCs w:val="18"/>
        </w:rPr>
        <w:t>ozdanie krajowe – Polska 2019 (…),</w:t>
      </w:r>
      <w:r w:rsidRPr="00695AC7">
        <w:rPr>
          <w:rFonts w:asciiTheme="minorHAnsi" w:hAnsiTheme="minorHAnsi" w:cstheme="minorHAnsi"/>
          <w:sz w:val="18"/>
          <w:szCs w:val="18"/>
        </w:rPr>
        <w:t>op. cit.,</w:t>
      </w:r>
      <w:r>
        <w:rPr>
          <w:rFonts w:asciiTheme="minorHAnsi" w:hAnsiTheme="minorHAnsi" w:cstheme="minorHAnsi"/>
          <w:sz w:val="18"/>
          <w:szCs w:val="18"/>
        </w:rPr>
        <w:t xml:space="preserve"> </w:t>
      </w:r>
      <w:r w:rsidRPr="00170D2E">
        <w:rPr>
          <w:rFonts w:asciiTheme="minorHAnsi" w:hAnsiTheme="minorHAnsi" w:cstheme="minorHAnsi"/>
          <w:sz w:val="18"/>
          <w:szCs w:val="18"/>
        </w:rPr>
        <w:t>s. 71</w:t>
      </w:r>
    </w:p>
  </w:footnote>
  <w:footnote w:id="69">
    <w:p w14:paraId="312A9415" w14:textId="56F4029F" w:rsidR="00F17884" w:rsidRPr="00890249" w:rsidRDefault="00F17884" w:rsidP="00455932">
      <w:pPr>
        <w:pStyle w:val="Tekstprzypisudolnego"/>
        <w:rPr>
          <w:rFonts w:asciiTheme="minorHAnsi" w:hAnsiTheme="minorHAnsi" w:cstheme="minorHAnsi"/>
          <w:sz w:val="18"/>
          <w:szCs w:val="18"/>
        </w:rPr>
      </w:pPr>
      <w:r w:rsidRPr="00C43CF3">
        <w:rPr>
          <w:rStyle w:val="Odwoanieprzypisudolnego"/>
          <w:rFonts w:asciiTheme="minorHAnsi" w:hAnsiTheme="minorHAnsi"/>
          <w:sz w:val="18"/>
          <w:szCs w:val="18"/>
        </w:rPr>
        <w:footnoteRef/>
      </w:r>
      <w:r w:rsidRPr="00C43CF3">
        <w:rPr>
          <w:rFonts w:asciiTheme="minorHAnsi" w:hAnsiTheme="minorHAnsi"/>
          <w:sz w:val="18"/>
          <w:szCs w:val="18"/>
        </w:rPr>
        <w:t xml:space="preserve"> </w:t>
      </w:r>
      <w:r w:rsidRPr="00D172FD">
        <w:rPr>
          <w:rFonts w:asciiTheme="minorHAnsi" w:hAnsiTheme="minorHAnsi" w:cstheme="minorHAnsi"/>
          <w:sz w:val="18"/>
          <w:szCs w:val="18"/>
        </w:rPr>
        <w:t>Dokument wydany przez Parla</w:t>
      </w:r>
      <w:r w:rsidRPr="002B468B">
        <w:rPr>
          <w:rFonts w:asciiTheme="minorHAnsi" w:hAnsiTheme="minorHAnsi" w:cstheme="minorHAnsi"/>
          <w:sz w:val="18"/>
          <w:szCs w:val="18"/>
        </w:rPr>
        <w:t>ment Europejski, Radę Unii Europejską i Komisję Europejską, s. 12.</w:t>
      </w:r>
    </w:p>
  </w:footnote>
  <w:footnote w:id="70">
    <w:p w14:paraId="497FBDFF" w14:textId="7B59DFDC" w:rsidR="00F17884" w:rsidRPr="007F16A1" w:rsidRDefault="00F17884" w:rsidP="00455932">
      <w:pPr>
        <w:pStyle w:val="Tekstprzypisudolnego"/>
        <w:ind w:left="142" w:hanging="142"/>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7F16A1">
        <w:rPr>
          <w:rFonts w:asciiTheme="minorHAnsi" w:hAnsiTheme="minorHAnsi" w:cstheme="minorHAnsi"/>
          <w:i/>
          <w:sz w:val="18"/>
          <w:szCs w:val="18"/>
        </w:rPr>
        <w:t>Zalecenie rady w sprawie krajowego programu reform Polski na 2019 r. oraz zawierające opinię Rady na temat przedstawionego przez Polskę programu konwergencji na 2019 r.</w:t>
      </w:r>
      <w:r w:rsidRPr="007F16A1">
        <w:rPr>
          <w:rFonts w:asciiTheme="minorHAnsi" w:hAnsiTheme="minorHAnsi" w:cstheme="minorHAnsi"/>
          <w:sz w:val="18"/>
          <w:szCs w:val="18"/>
        </w:rPr>
        <w:t>, Bruksela, 5 czerwca 2019, s.4.</w:t>
      </w:r>
    </w:p>
  </w:footnote>
  <w:footnote w:id="71">
    <w:p w14:paraId="5B44EEDD" w14:textId="77777777" w:rsidR="00F17884" w:rsidRPr="007F16A1" w:rsidRDefault="00F17884" w:rsidP="00AF220D">
      <w:pPr>
        <w:pStyle w:val="Tekstprzypisudolnego"/>
        <w:rPr>
          <w:rFonts w:asciiTheme="minorHAnsi" w:hAnsiTheme="minorHAnsi" w:cstheme="minorHAnsi"/>
          <w:sz w:val="18"/>
          <w:szCs w:val="18"/>
        </w:rPr>
      </w:pPr>
      <w:r w:rsidRPr="007F16A1">
        <w:rPr>
          <w:rStyle w:val="Odwoanieprzypisudolnego"/>
          <w:rFonts w:asciiTheme="minorHAnsi" w:hAnsiTheme="minorHAnsi" w:cstheme="minorHAnsi"/>
          <w:sz w:val="18"/>
          <w:szCs w:val="18"/>
        </w:rPr>
        <w:footnoteRef/>
      </w:r>
      <w:r w:rsidRPr="007F16A1">
        <w:rPr>
          <w:rFonts w:asciiTheme="minorHAnsi" w:hAnsiTheme="minorHAnsi" w:cstheme="minorHAnsi"/>
          <w:sz w:val="18"/>
          <w:szCs w:val="18"/>
        </w:rPr>
        <w:t xml:space="preserve"> Dokument wydany przez Parlament Europejski, Radę Unii Europejską i Komisję Europejską, s. 11.</w:t>
      </w:r>
    </w:p>
  </w:footnote>
  <w:footnote w:id="72">
    <w:p w14:paraId="7E8C6BA6" w14:textId="19342C59" w:rsidR="00F17884" w:rsidRPr="0043241C" w:rsidRDefault="00F17884" w:rsidP="00AF220D">
      <w:pPr>
        <w:pStyle w:val="Tekstprzypisudolnego"/>
        <w:ind w:left="142" w:hanging="142"/>
        <w:rPr>
          <w:rFonts w:cstheme="minorHAnsi"/>
          <w:sz w:val="18"/>
          <w:szCs w:val="18"/>
        </w:rPr>
      </w:pPr>
      <w:r w:rsidRPr="007F16A1">
        <w:rPr>
          <w:rStyle w:val="Odwoanieprzypisudolnego"/>
          <w:rFonts w:asciiTheme="minorHAnsi" w:hAnsiTheme="minorHAnsi" w:cstheme="minorHAnsi"/>
          <w:sz w:val="18"/>
          <w:szCs w:val="18"/>
        </w:rPr>
        <w:footnoteRef/>
      </w:r>
      <w:r w:rsidRPr="007F16A1">
        <w:rPr>
          <w:rFonts w:asciiTheme="minorHAnsi" w:hAnsiTheme="minorHAnsi" w:cstheme="minorHAnsi"/>
          <w:i/>
          <w:sz w:val="18"/>
          <w:szCs w:val="18"/>
        </w:rPr>
        <w:t xml:space="preserve">Zalecenie rady w sprawie krajowego programu reform Polski na 2019 r., (…) op. cit., </w:t>
      </w:r>
      <w:r w:rsidRPr="007F16A1">
        <w:rPr>
          <w:rFonts w:asciiTheme="minorHAnsi" w:hAnsiTheme="minorHAnsi" w:cstheme="minorHAnsi"/>
          <w:sz w:val="18"/>
          <w:szCs w:val="18"/>
        </w:rPr>
        <w:t>s.4.</w:t>
      </w:r>
    </w:p>
  </w:footnote>
  <w:footnote w:id="73">
    <w:p w14:paraId="6C0AB790" w14:textId="77777777" w:rsidR="00F17884" w:rsidRPr="003A34BD" w:rsidRDefault="00F17884" w:rsidP="00367DA0">
      <w:pPr>
        <w:pStyle w:val="Tekstprzypisudolnego"/>
        <w:ind w:left="284" w:hanging="284"/>
      </w:pPr>
      <w:r w:rsidRPr="001C73DB">
        <w:rPr>
          <w:rStyle w:val="Odwoanieprzypisudolnego"/>
          <w:rFonts w:asciiTheme="minorHAnsi" w:hAnsiTheme="minorHAnsi" w:cstheme="minorHAnsi"/>
          <w:sz w:val="18"/>
        </w:rPr>
        <w:footnoteRef/>
      </w:r>
      <w:r>
        <w:rPr>
          <w:rFonts w:asciiTheme="minorHAnsi" w:hAnsiTheme="minorHAnsi" w:cstheme="minorHAnsi"/>
          <w:i/>
          <w:sz w:val="18"/>
          <w:szCs w:val="18"/>
        </w:rPr>
        <w:t xml:space="preserve"> </w:t>
      </w:r>
      <w:r w:rsidRPr="001C73DB">
        <w:rPr>
          <w:rFonts w:asciiTheme="minorHAnsi" w:hAnsiTheme="minorHAnsi" w:cstheme="minorHAnsi"/>
          <w:i/>
          <w:sz w:val="18"/>
          <w:szCs w:val="18"/>
        </w:rPr>
        <w:t>Dokument roboczy służb Komisji – Spra</w:t>
      </w:r>
      <w:r>
        <w:rPr>
          <w:rFonts w:asciiTheme="minorHAnsi" w:hAnsiTheme="minorHAnsi" w:cstheme="minorHAnsi"/>
          <w:i/>
          <w:sz w:val="18"/>
          <w:szCs w:val="18"/>
        </w:rPr>
        <w:t xml:space="preserve">wozdanie krajowe – Polska 2019 </w:t>
      </w:r>
      <w:r w:rsidRPr="00695AC7">
        <w:rPr>
          <w:rFonts w:asciiTheme="minorHAnsi" w:hAnsiTheme="minorHAnsi" w:cstheme="minorHAnsi"/>
          <w:sz w:val="18"/>
          <w:szCs w:val="18"/>
        </w:rPr>
        <w:t>(…), op. cit.,</w:t>
      </w:r>
      <w:r>
        <w:rPr>
          <w:rFonts w:asciiTheme="minorHAnsi" w:hAnsiTheme="minorHAnsi" w:cstheme="minorHAnsi"/>
          <w:i/>
          <w:sz w:val="18"/>
          <w:szCs w:val="18"/>
        </w:rPr>
        <w:t xml:space="preserve"> </w:t>
      </w:r>
      <w:r w:rsidRPr="001C73DB">
        <w:rPr>
          <w:rFonts w:asciiTheme="minorHAnsi" w:hAnsiTheme="minorHAnsi" w:cstheme="minorHAnsi"/>
          <w:sz w:val="18"/>
          <w:szCs w:val="18"/>
        </w:rPr>
        <w:t>s. 71</w:t>
      </w:r>
    </w:p>
  </w:footnote>
  <w:footnote w:id="74">
    <w:p w14:paraId="7230FDAE" w14:textId="136091E7" w:rsidR="00F17884" w:rsidRPr="00962EE9" w:rsidRDefault="00F17884" w:rsidP="00F73930">
      <w:pPr>
        <w:pStyle w:val="Tekstprzypisudolnego"/>
        <w:jc w:val="left"/>
        <w:rPr>
          <w:rFonts w:asciiTheme="minorHAnsi" w:hAnsiTheme="minorHAnsi" w:cstheme="minorHAnsi"/>
          <w:sz w:val="24"/>
          <w:szCs w:val="24"/>
        </w:rPr>
      </w:pPr>
      <w:r w:rsidRPr="0043241C">
        <w:rPr>
          <w:rStyle w:val="Odwoanieprzypisudolnego"/>
          <w:rFonts w:asciiTheme="minorHAnsi" w:hAnsiTheme="minorHAnsi" w:cstheme="minorHAnsi"/>
          <w:sz w:val="18"/>
          <w:szCs w:val="24"/>
        </w:rPr>
        <w:footnoteRef/>
      </w:r>
      <w:r w:rsidRPr="0043241C">
        <w:rPr>
          <w:rFonts w:asciiTheme="minorHAnsi" w:hAnsiTheme="minorHAnsi" w:cstheme="minorHAnsi"/>
          <w:sz w:val="18"/>
          <w:szCs w:val="24"/>
        </w:rPr>
        <w:t xml:space="preserve"> </w:t>
      </w:r>
      <w:r w:rsidRPr="00890249">
        <w:rPr>
          <w:rFonts w:asciiTheme="minorHAnsi" w:hAnsiTheme="minorHAnsi" w:cstheme="minorHAnsi"/>
          <w:i/>
          <w:sz w:val="18"/>
          <w:szCs w:val="24"/>
        </w:rPr>
        <w:t>Dokument opracowany przez MZ</w:t>
      </w:r>
      <w:r>
        <w:rPr>
          <w:rFonts w:asciiTheme="minorHAnsi" w:hAnsiTheme="minorHAnsi" w:cstheme="minorHAnsi"/>
          <w:sz w:val="18"/>
          <w:szCs w:val="24"/>
        </w:rPr>
        <w:t xml:space="preserve">, </w:t>
      </w:r>
      <w:r w:rsidRPr="00411115">
        <w:rPr>
          <w:rFonts w:asciiTheme="minorHAnsi" w:hAnsiTheme="minorHAnsi" w:cstheme="minorHAnsi"/>
          <w:sz w:val="18"/>
          <w:szCs w:val="24"/>
        </w:rPr>
        <w:t>https://www.gov.pl/attachment/4a9bd160-e052-4a52-8fd4-b7c546d556f8</w:t>
      </w:r>
      <w:r w:rsidRPr="0043241C">
        <w:rPr>
          <w:rFonts w:asciiTheme="minorHAnsi" w:hAnsiTheme="minorHAnsi" w:cstheme="minorHAnsi"/>
          <w:sz w:val="18"/>
          <w:szCs w:val="24"/>
        </w:rPr>
        <w:t>.</w:t>
      </w:r>
    </w:p>
  </w:footnote>
  <w:footnote w:id="75">
    <w:p w14:paraId="5C80EB7A" w14:textId="52D89825" w:rsidR="00F17884" w:rsidRPr="00962EE9" w:rsidRDefault="00F17884" w:rsidP="00F73930">
      <w:pPr>
        <w:pStyle w:val="Tekstprzypisudolnego"/>
        <w:ind w:left="284" w:hanging="284"/>
        <w:jc w:val="left"/>
        <w:rPr>
          <w:rFonts w:asciiTheme="minorHAnsi" w:hAnsiTheme="minorHAnsi" w:cstheme="minorHAnsi"/>
          <w:sz w:val="24"/>
          <w:szCs w:val="24"/>
        </w:rPr>
      </w:pPr>
      <w:r w:rsidRPr="0043241C">
        <w:rPr>
          <w:rStyle w:val="Odwoanieprzypisudolnego"/>
          <w:rFonts w:asciiTheme="minorHAnsi" w:hAnsiTheme="minorHAnsi" w:cstheme="minorHAnsi"/>
          <w:sz w:val="18"/>
          <w:szCs w:val="24"/>
        </w:rPr>
        <w:footnoteRef/>
      </w:r>
      <w:r w:rsidRPr="0043241C">
        <w:rPr>
          <w:rFonts w:asciiTheme="minorHAnsi" w:hAnsiTheme="minorHAnsi" w:cstheme="minorHAnsi"/>
          <w:sz w:val="18"/>
          <w:szCs w:val="24"/>
        </w:rPr>
        <w:t xml:space="preserve"> </w:t>
      </w:r>
      <w:hyperlink r:id="rId6" w:history="1">
        <w:r w:rsidRPr="007658FF">
          <w:rPr>
            <w:rStyle w:val="Hipercze"/>
            <w:rFonts w:asciiTheme="minorHAnsi" w:hAnsiTheme="minorHAnsi" w:cstheme="minorHAnsi"/>
            <w:sz w:val="18"/>
            <w:szCs w:val="24"/>
          </w:rPr>
          <w:t>https://www.gov.pl/web/uw-opolski/obwieszczenie-planu-transformacji-wojewodztwa-opolskiego</w:t>
        </w:r>
      </w:hyperlink>
      <w:r w:rsidRPr="001C73DB">
        <w:rPr>
          <w:rFonts w:asciiTheme="minorHAnsi" w:hAnsiTheme="minorHAnsi" w:cstheme="minorHAnsi"/>
          <w:sz w:val="18"/>
          <w:szCs w:val="18"/>
        </w:rPr>
        <w:t>.</w:t>
      </w:r>
    </w:p>
  </w:footnote>
  <w:footnote w:id="76">
    <w:p w14:paraId="66BF360B" w14:textId="77777777" w:rsidR="00F17884" w:rsidRPr="00890249" w:rsidRDefault="00F17884" w:rsidP="001A6F07">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https://www.gov.pl/web/rodzina/konwencja-o-prawach-osob-niepelnosprawnych.</w:t>
      </w:r>
    </w:p>
  </w:footnote>
  <w:footnote w:id="77">
    <w:p w14:paraId="4242E87F" w14:textId="77777777" w:rsidR="00F17884" w:rsidRPr="00890249" w:rsidRDefault="00F17884" w:rsidP="00890249">
      <w:pPr>
        <w:pStyle w:val="Tekstprzypisudolnego"/>
        <w:ind w:left="284" w:hanging="284"/>
        <w:jc w:val="left"/>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https://www.gov.pl/web/rodzina/projekt-uchwaly-rady-ministrow-w-sprawie-przyjecia-krajowego-programu-przeciwdzialania-ubostwu-i-wykluczeniu-spolecznemu-aktualizacja-2021-2027-z-perspektywa-do-roku-2030</w:t>
      </w:r>
    </w:p>
  </w:footnote>
  <w:footnote w:id="78">
    <w:p w14:paraId="1BDE2E79" w14:textId="77777777" w:rsidR="00F17884" w:rsidRDefault="00F17884" w:rsidP="00890249">
      <w:pPr>
        <w:pStyle w:val="Tekstprzypisudolnego"/>
        <w:ind w:left="284" w:hanging="284"/>
        <w:jc w:val="left"/>
      </w:pPr>
      <w:r w:rsidRPr="00890249">
        <w:rPr>
          <w:rStyle w:val="Odwoanieprzypisudolnego"/>
          <w:rFonts w:asciiTheme="minorHAnsi" w:hAnsiTheme="minorHAnsi" w:cstheme="minorHAnsi"/>
          <w:sz w:val="18"/>
          <w:szCs w:val="18"/>
        </w:rPr>
        <w:footnoteRef/>
      </w:r>
      <w:r w:rsidRPr="004A7543">
        <w:rPr>
          <w:rFonts w:asciiTheme="minorHAnsi" w:hAnsiTheme="minorHAnsi" w:cstheme="minorHAnsi"/>
          <w:sz w:val="18"/>
          <w:szCs w:val="18"/>
        </w:rPr>
        <w:t>https://ec.europa.eu/commission/presscorner/detail/pl/ip_20_1813?fbclid=IwAR2vo6b8XfKqDF1-</w:t>
      </w:r>
      <w:r w:rsidRPr="000D612B">
        <w:rPr>
          <w:rFonts w:asciiTheme="minorHAnsi" w:hAnsiTheme="minorHAnsi" w:cstheme="minorHAnsi"/>
          <w:sz w:val="18"/>
          <w:szCs w:val="18"/>
        </w:rPr>
        <w:t>Cg1jKPCNiSnhcsbSjNuBtSLhcXwIAd7RvzZzzsWfvqA</w:t>
      </w:r>
    </w:p>
  </w:footnote>
  <w:footnote w:id="79">
    <w:p w14:paraId="35A9A5BC" w14:textId="77777777" w:rsidR="00F17884" w:rsidRDefault="00F17884" w:rsidP="00890249">
      <w:pPr>
        <w:pStyle w:val="Tekstprzypisudolnego"/>
        <w:ind w:left="284" w:hanging="284"/>
        <w:jc w:val="left"/>
      </w:pPr>
      <w:r w:rsidRPr="0043241C">
        <w:rPr>
          <w:rStyle w:val="Odwoanieprzypisudolnego"/>
          <w:rFonts w:asciiTheme="minorHAnsi" w:hAnsiTheme="minorHAnsi" w:cstheme="minorHAnsi"/>
          <w:sz w:val="18"/>
          <w:szCs w:val="18"/>
        </w:rPr>
        <w:footnoteRef/>
      </w:r>
      <w:r w:rsidRPr="0043241C">
        <w:rPr>
          <w:rFonts w:asciiTheme="minorHAnsi" w:hAnsiTheme="minorHAnsi" w:cstheme="minorHAnsi"/>
          <w:sz w:val="18"/>
          <w:szCs w:val="18"/>
        </w:rPr>
        <w:t xml:space="preserve"> https://www.gov.pl/web/mniejszosci-narodowe-i-etniczne/rada-ministrow-uchwalila-nowy-program-integracji-spolecznej-i-obywatelskiej-romow-w-polsce-na-lata-2021-2030</w:t>
      </w:r>
    </w:p>
  </w:footnote>
  <w:footnote w:id="80">
    <w:p w14:paraId="7D8AA3F0" w14:textId="77777777" w:rsidR="00F17884" w:rsidRPr="00170D2E" w:rsidRDefault="00F17884" w:rsidP="009B35C0">
      <w:pPr>
        <w:pStyle w:val="Tekstprzypisudolnego"/>
        <w:ind w:left="284" w:hanging="284"/>
        <w:rPr>
          <w:rFonts w:asciiTheme="minorHAnsi" w:hAnsiTheme="minorHAnsi" w:cstheme="minorHAnsi"/>
          <w:sz w:val="18"/>
          <w:szCs w:val="18"/>
        </w:rPr>
      </w:pPr>
      <w:r w:rsidRPr="00170D2E">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170D2E">
        <w:rPr>
          <w:rFonts w:asciiTheme="minorHAnsi" w:hAnsiTheme="minorHAnsi" w:cstheme="minorHAnsi"/>
          <w:i/>
          <w:sz w:val="18"/>
          <w:szCs w:val="18"/>
        </w:rPr>
        <w:t>Dokument roboczy służb Komisji – Spraw</w:t>
      </w:r>
      <w:r>
        <w:rPr>
          <w:rFonts w:asciiTheme="minorHAnsi" w:hAnsiTheme="minorHAnsi" w:cstheme="minorHAnsi"/>
          <w:i/>
          <w:sz w:val="18"/>
          <w:szCs w:val="18"/>
        </w:rPr>
        <w:t>ozdanie krajowe – Polska 2019 (…),</w:t>
      </w:r>
      <w:r w:rsidRPr="00695AC7">
        <w:rPr>
          <w:rFonts w:asciiTheme="minorHAnsi" w:hAnsiTheme="minorHAnsi" w:cstheme="minorHAnsi"/>
          <w:sz w:val="18"/>
          <w:szCs w:val="18"/>
        </w:rPr>
        <w:t>op. cit.,</w:t>
      </w:r>
      <w:r>
        <w:rPr>
          <w:rFonts w:asciiTheme="minorHAnsi" w:hAnsiTheme="minorHAnsi" w:cstheme="minorHAnsi"/>
          <w:sz w:val="18"/>
          <w:szCs w:val="18"/>
        </w:rPr>
        <w:t xml:space="preserve"> </w:t>
      </w:r>
      <w:r w:rsidRPr="00170D2E">
        <w:rPr>
          <w:rFonts w:asciiTheme="minorHAnsi" w:hAnsiTheme="minorHAnsi" w:cstheme="minorHAnsi"/>
          <w:sz w:val="18"/>
          <w:szCs w:val="18"/>
        </w:rPr>
        <w:t>s. 71</w:t>
      </w:r>
    </w:p>
  </w:footnote>
  <w:footnote w:id="81">
    <w:p w14:paraId="4AC017D6" w14:textId="0922784A" w:rsidR="00F17884" w:rsidRPr="000377B2" w:rsidRDefault="00F17884" w:rsidP="00750F00">
      <w:pPr>
        <w:pStyle w:val="Tekstprzypisudolnego"/>
        <w:ind w:left="284" w:hanging="284"/>
        <w:rPr>
          <w:rFonts w:asciiTheme="minorHAnsi" w:hAnsiTheme="minorHAnsi" w:cstheme="minorHAnsi"/>
          <w:sz w:val="18"/>
          <w:szCs w:val="18"/>
        </w:rPr>
      </w:pPr>
      <w:r>
        <w:rPr>
          <w:rStyle w:val="Odwoanieprzypisudolnego"/>
        </w:rPr>
        <w:footnoteRef/>
      </w:r>
      <w:r>
        <w:t xml:space="preserve"> </w:t>
      </w:r>
      <w:r w:rsidRPr="007F16A1">
        <w:rPr>
          <w:rFonts w:asciiTheme="minorHAnsi" w:hAnsiTheme="minorHAnsi" w:cstheme="minorHAnsi"/>
          <w:i/>
          <w:sz w:val="18"/>
          <w:szCs w:val="18"/>
        </w:rPr>
        <w:t>Opolskie 2030</w:t>
      </w:r>
      <w:r w:rsidRPr="007F16A1">
        <w:rPr>
          <w:rFonts w:asciiTheme="minorHAnsi" w:hAnsiTheme="minorHAnsi" w:cstheme="minorHAnsi"/>
          <w:sz w:val="18"/>
          <w:szCs w:val="18"/>
        </w:rPr>
        <w:t>,</w:t>
      </w:r>
      <w:r w:rsidRPr="00890249">
        <w:rPr>
          <w:rFonts w:asciiTheme="minorHAnsi" w:hAnsiTheme="minorHAnsi" w:cstheme="minorHAnsi"/>
          <w:sz w:val="18"/>
          <w:szCs w:val="18"/>
        </w:rPr>
        <w:t xml:space="preserve"> (…) op.</w:t>
      </w:r>
      <w:r>
        <w:rPr>
          <w:rFonts w:asciiTheme="minorHAnsi" w:hAnsiTheme="minorHAnsi" w:cstheme="minorHAnsi"/>
          <w:sz w:val="18"/>
          <w:szCs w:val="18"/>
        </w:rPr>
        <w:t xml:space="preserve"> </w:t>
      </w:r>
      <w:r w:rsidRPr="00890249">
        <w:rPr>
          <w:rFonts w:asciiTheme="minorHAnsi" w:hAnsiTheme="minorHAnsi" w:cstheme="minorHAnsi"/>
          <w:sz w:val="18"/>
          <w:szCs w:val="18"/>
        </w:rPr>
        <w:t>cit.</w:t>
      </w:r>
    </w:p>
  </w:footnote>
  <w:footnote w:id="82">
    <w:p w14:paraId="26BD9C7E" w14:textId="1EE7F1AD" w:rsidR="00F17884" w:rsidRPr="00890249" w:rsidRDefault="00F17884">
      <w:pPr>
        <w:pStyle w:val="Tekstprzypisudolnego"/>
        <w:rPr>
          <w:rFonts w:asciiTheme="minorHAnsi" w:hAnsiTheme="minorHAnsi" w:cstheme="minorHAnsi"/>
          <w: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 xml:space="preserve">8. Raport </w:t>
      </w:r>
      <w:r w:rsidRPr="00D172FD">
        <w:rPr>
          <w:rFonts w:asciiTheme="minorHAnsi" w:hAnsiTheme="minorHAnsi" w:cstheme="minorHAnsi"/>
          <w:i/>
          <w:sz w:val="18"/>
          <w:szCs w:val="18"/>
        </w:rPr>
        <w:t>na temat spójności gospodarczej, spo</w:t>
      </w:r>
      <w:r w:rsidRPr="002B468B">
        <w:rPr>
          <w:rFonts w:asciiTheme="minorHAnsi" w:hAnsiTheme="minorHAnsi" w:cstheme="minorHAnsi"/>
          <w:i/>
          <w:sz w:val="18"/>
          <w:szCs w:val="18"/>
        </w:rPr>
        <w:t>łecznej i terytorialnej</w:t>
      </w:r>
      <w:r w:rsidRPr="00890249">
        <w:rPr>
          <w:rFonts w:asciiTheme="minorHAnsi" w:hAnsiTheme="minorHAnsi" w:cstheme="minorHAnsi"/>
          <w:i/>
          <w:sz w:val="18"/>
          <w:szCs w:val="18"/>
        </w:rPr>
        <w:t xml:space="preserve"> </w:t>
      </w:r>
      <w:r w:rsidRPr="00D172FD">
        <w:rPr>
          <w:rFonts w:asciiTheme="minorHAnsi" w:hAnsiTheme="minorHAnsi" w:cstheme="minorHAnsi"/>
          <w:i/>
          <w:sz w:val="18"/>
          <w:szCs w:val="18"/>
        </w:rPr>
        <w:t>„</w:t>
      </w:r>
      <w:r w:rsidRPr="00890249">
        <w:rPr>
          <w:rFonts w:asciiTheme="minorHAnsi" w:hAnsiTheme="minorHAnsi" w:cstheme="minorHAnsi"/>
          <w:i/>
          <w:sz w:val="18"/>
          <w:szCs w:val="18"/>
        </w:rPr>
        <w:t>Spójność w Europie do 2050 r.</w:t>
      </w:r>
      <w:r w:rsidRPr="00D172FD">
        <w:rPr>
          <w:rFonts w:asciiTheme="minorHAnsi" w:hAnsiTheme="minorHAnsi" w:cstheme="minorHAnsi"/>
          <w:i/>
          <w:sz w:val="18"/>
          <w:szCs w:val="18"/>
        </w:rPr>
        <w:t>”</w:t>
      </w:r>
    </w:p>
  </w:footnote>
  <w:footnote w:id="83">
    <w:p w14:paraId="5B940475" w14:textId="081ACA97" w:rsidR="00F17884" w:rsidRPr="00F62734" w:rsidRDefault="00F17884" w:rsidP="00890249">
      <w:pPr>
        <w:pStyle w:val="Tekstprzypisukocowego"/>
        <w:rPr>
          <w:rFonts w:asciiTheme="minorHAnsi" w:hAnsiTheme="minorHAnsi" w:cstheme="minorHAnsi"/>
          <w:sz w:val="18"/>
          <w:szCs w:val="18"/>
          <w:lang w:val="fr-BE"/>
        </w:rPr>
      </w:pPr>
      <w:r w:rsidRPr="00890249">
        <w:rPr>
          <w:rStyle w:val="Odwoanieprzypisudolnego"/>
          <w:rFonts w:asciiTheme="minorHAnsi" w:hAnsiTheme="minorHAnsi" w:cstheme="minorHAnsi"/>
          <w:sz w:val="18"/>
          <w:szCs w:val="18"/>
        </w:rPr>
        <w:footnoteRef/>
      </w:r>
      <w:r w:rsidRPr="00F62734">
        <w:rPr>
          <w:rFonts w:asciiTheme="minorHAnsi" w:hAnsiTheme="minorHAnsi" w:cstheme="minorHAnsi"/>
          <w:sz w:val="18"/>
          <w:szCs w:val="18"/>
          <w:lang w:val="fr-BE"/>
        </w:rPr>
        <w:t xml:space="preserve"> </w:t>
      </w:r>
      <w:hyperlink r:id="rId7" w:history="1">
        <w:r w:rsidRPr="00F62734">
          <w:rPr>
            <w:rFonts w:asciiTheme="minorHAnsi" w:hAnsiTheme="minorHAnsi" w:cstheme="minorHAnsi"/>
            <w:sz w:val="18"/>
            <w:szCs w:val="18"/>
            <w:u w:val="single"/>
            <w:lang w:val="fr-BE"/>
          </w:rPr>
          <w:t>https://bdl.stat.gov.pl/BDL/start</w:t>
        </w:r>
      </w:hyperlink>
      <w:r w:rsidRPr="00F62734">
        <w:rPr>
          <w:rFonts w:asciiTheme="minorHAnsi" w:hAnsiTheme="minorHAnsi" w:cstheme="minorHAnsi"/>
          <w:sz w:val="18"/>
          <w:szCs w:val="18"/>
          <w:u w:val="single"/>
          <w:lang w:val="fr-BE"/>
        </w:rPr>
        <w:t>,</w:t>
      </w:r>
      <w:r w:rsidRPr="00F62734">
        <w:rPr>
          <w:rFonts w:asciiTheme="minorHAnsi" w:hAnsiTheme="minorHAnsi" w:cstheme="minorHAnsi"/>
          <w:color w:val="FF0000"/>
          <w:sz w:val="18"/>
          <w:szCs w:val="18"/>
          <w:u w:val="single"/>
          <w:lang w:val="fr-BE"/>
        </w:rPr>
        <w:t xml:space="preserve"> </w:t>
      </w:r>
      <w:r w:rsidRPr="00F62734">
        <w:rPr>
          <w:rFonts w:asciiTheme="minorHAnsi" w:hAnsiTheme="minorHAnsi" w:cstheme="minorHAnsi"/>
          <w:sz w:val="18"/>
          <w:szCs w:val="18"/>
          <w:lang w:val="fr-BE"/>
        </w:rPr>
        <w:t>2020 r.</w:t>
      </w:r>
    </w:p>
  </w:footnote>
  <w:footnote w:id="84">
    <w:p w14:paraId="653F8A88" w14:textId="06DAB343"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Ibidem.</w:t>
      </w:r>
    </w:p>
  </w:footnote>
  <w:footnote w:id="85">
    <w:p w14:paraId="51255768" w14:textId="0F1BD1DB" w:rsidR="00F17884" w:rsidRPr="00890249" w:rsidRDefault="00F17884">
      <w:pPr>
        <w:pStyle w:val="Tekstprzypisudolnego"/>
        <w:rPr>
          <w:rFonts w:asciiTheme="minorHAnsi" w:hAnsiTheme="minorHAnsi" w:cstheme="minorHAnsi"/>
          <w: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Ibidem.</w:t>
      </w:r>
    </w:p>
  </w:footnote>
  <w:footnote w:id="86">
    <w:p w14:paraId="586ACA4D" w14:textId="3E227688" w:rsidR="00F17884" w:rsidRPr="008F4854" w:rsidRDefault="00F17884" w:rsidP="004249F6">
      <w:pPr>
        <w:pStyle w:val="Tekstprzypisudolnego"/>
        <w:ind w:left="142" w:hanging="142"/>
        <w:rPr>
          <w:rFonts w:asciiTheme="minorHAnsi" w:hAnsiTheme="minorHAnsi" w:cstheme="minorHAnsi"/>
          <w:i/>
          <w:sz w:val="18"/>
          <w:szCs w:val="18"/>
        </w:rPr>
      </w:pPr>
      <w:r w:rsidRPr="00890249">
        <w:rPr>
          <w:rStyle w:val="Odwoanieprzypisudolnego"/>
          <w:rFonts w:asciiTheme="minorHAnsi" w:hAnsiTheme="minorHAnsi" w:cstheme="minorHAnsi"/>
          <w:sz w:val="18"/>
          <w:szCs w:val="18"/>
        </w:rPr>
        <w:footnoteRef/>
      </w:r>
      <w:r w:rsidRPr="00D172FD">
        <w:rPr>
          <w:rFonts w:asciiTheme="minorHAnsi" w:hAnsiTheme="minorHAnsi" w:cstheme="minorHAnsi"/>
          <w:i/>
          <w:sz w:val="18"/>
          <w:szCs w:val="18"/>
        </w:rPr>
        <w:t>Efekt wsparcia konkurencyjności</w:t>
      </w:r>
      <w:r w:rsidRPr="007F16A1">
        <w:rPr>
          <w:rFonts w:asciiTheme="minorHAnsi" w:hAnsiTheme="minorHAnsi" w:cstheme="minorHAnsi"/>
          <w:sz w:val="18"/>
          <w:szCs w:val="18"/>
        </w:rPr>
        <w:t xml:space="preserve"> (…), op. cit.</w:t>
      </w:r>
    </w:p>
  </w:footnote>
  <w:footnote w:id="87">
    <w:p w14:paraId="45B57A04" w14:textId="3F6E4379" w:rsidR="00F17884" w:rsidRPr="00E01E84" w:rsidRDefault="00F17884" w:rsidP="004249F6">
      <w:pPr>
        <w:pStyle w:val="Tekstprzypisudolnego"/>
        <w:ind w:left="142" w:hanging="142"/>
        <w:rPr>
          <w:rFonts w:asciiTheme="minorHAnsi" w:hAnsiTheme="minorHAnsi" w:cstheme="minorHAnsi"/>
          <w:sz w:val="18"/>
          <w:szCs w:val="18"/>
        </w:rPr>
      </w:pPr>
      <w:r w:rsidRPr="00E01E84">
        <w:rPr>
          <w:rStyle w:val="Odwoanieprzypisudolnego"/>
          <w:rFonts w:asciiTheme="minorHAnsi" w:hAnsiTheme="minorHAnsi" w:cstheme="minorHAnsi"/>
          <w:sz w:val="18"/>
          <w:szCs w:val="18"/>
        </w:rPr>
        <w:footnoteRef/>
      </w:r>
      <w:r w:rsidRPr="00E01E84">
        <w:rPr>
          <w:rFonts w:asciiTheme="minorHAnsi" w:hAnsiTheme="minorHAnsi" w:cstheme="minorHAnsi"/>
          <w:sz w:val="18"/>
          <w:szCs w:val="18"/>
        </w:rPr>
        <w:t xml:space="preserve"> Ekspertyza z realizacji badania</w:t>
      </w:r>
      <w:r w:rsidRPr="00E01E84">
        <w:rPr>
          <w:rFonts w:asciiTheme="minorHAnsi" w:hAnsiTheme="minorHAnsi" w:cstheme="minorHAnsi"/>
          <w:i/>
          <w:sz w:val="18"/>
          <w:szCs w:val="18"/>
        </w:rPr>
        <w:t xml:space="preserve"> pn. Analiza powiązań </w:t>
      </w:r>
      <w:r>
        <w:rPr>
          <w:rFonts w:asciiTheme="minorHAnsi" w:hAnsiTheme="minorHAnsi" w:cstheme="minorHAnsi"/>
          <w:i/>
          <w:sz w:val="18"/>
          <w:szCs w:val="18"/>
        </w:rPr>
        <w:t xml:space="preserve">społeczno-gospodarczych </w:t>
      </w:r>
      <w:r w:rsidRPr="00E01E84">
        <w:rPr>
          <w:rFonts w:asciiTheme="minorHAnsi" w:hAnsiTheme="minorHAnsi" w:cstheme="minorHAnsi"/>
          <w:i/>
          <w:sz w:val="18"/>
          <w:szCs w:val="18"/>
        </w:rPr>
        <w:t xml:space="preserve">(…), </w:t>
      </w:r>
      <w:r w:rsidRPr="00890249">
        <w:rPr>
          <w:rFonts w:asciiTheme="minorHAnsi" w:hAnsiTheme="minorHAnsi" w:cstheme="minorHAnsi"/>
          <w:sz w:val="18"/>
          <w:szCs w:val="18"/>
        </w:rPr>
        <w:t>op. cit.,</w:t>
      </w:r>
      <w:r w:rsidRPr="00E01E84">
        <w:rPr>
          <w:rFonts w:asciiTheme="minorHAnsi" w:hAnsiTheme="minorHAnsi" w:cstheme="minorHAnsi"/>
          <w:i/>
          <w:sz w:val="18"/>
          <w:szCs w:val="18"/>
        </w:rPr>
        <w:t xml:space="preserve"> </w:t>
      </w:r>
      <w:r w:rsidRPr="00E01E84">
        <w:rPr>
          <w:rFonts w:asciiTheme="minorHAnsi" w:hAnsiTheme="minorHAnsi" w:cstheme="minorHAnsi"/>
          <w:sz w:val="18"/>
          <w:szCs w:val="18"/>
        </w:rPr>
        <w:t>s. 53.</w:t>
      </w:r>
    </w:p>
  </w:footnote>
  <w:footnote w:id="88">
    <w:p w14:paraId="5E16BC00" w14:textId="77777777" w:rsidR="00F17884" w:rsidRPr="00E01E84" w:rsidRDefault="00F17884" w:rsidP="004249F6">
      <w:pPr>
        <w:pStyle w:val="Tekstprzypisudolnego"/>
        <w:ind w:left="0" w:hanging="11"/>
        <w:rPr>
          <w:rFonts w:asciiTheme="minorHAnsi" w:hAnsiTheme="minorHAnsi" w:cstheme="minorHAnsi"/>
          <w:sz w:val="18"/>
          <w:szCs w:val="18"/>
        </w:rPr>
      </w:pPr>
      <w:r w:rsidRPr="00E01E84">
        <w:rPr>
          <w:rStyle w:val="Odwoanieprzypisudolnego"/>
          <w:rFonts w:asciiTheme="minorHAnsi" w:hAnsiTheme="minorHAnsi" w:cstheme="minorHAnsi"/>
          <w:sz w:val="18"/>
          <w:szCs w:val="18"/>
        </w:rPr>
        <w:footnoteRef/>
      </w:r>
      <w:r w:rsidRPr="00E01E84">
        <w:rPr>
          <w:rFonts w:asciiTheme="minorHAnsi" w:hAnsiTheme="minorHAnsi" w:cstheme="minorHAnsi"/>
          <w:i/>
          <w:sz w:val="18"/>
          <w:szCs w:val="18"/>
        </w:rPr>
        <w:t xml:space="preserve"> Dokument roboczy służb Komisji – Sprawozdanie krajowe – Polska 2019 (…) op. cit.</w:t>
      </w:r>
      <w:r w:rsidRPr="00E01E84">
        <w:rPr>
          <w:rFonts w:asciiTheme="minorHAnsi" w:hAnsiTheme="minorHAnsi" w:cstheme="minorHAnsi"/>
          <w:sz w:val="18"/>
          <w:szCs w:val="18"/>
        </w:rPr>
        <w:t>, s. 68.</w:t>
      </w:r>
    </w:p>
  </w:footnote>
  <w:footnote w:id="89">
    <w:p w14:paraId="29372FF5" w14:textId="77777777" w:rsidR="00F17884" w:rsidRDefault="00F17884" w:rsidP="004249F6">
      <w:pPr>
        <w:pStyle w:val="Tekstprzypisudolnego"/>
        <w:tabs>
          <w:tab w:val="left" w:pos="142"/>
        </w:tabs>
        <w:ind w:left="142" w:hanging="142"/>
      </w:pPr>
      <w:r w:rsidRPr="00E01E84">
        <w:rPr>
          <w:rStyle w:val="Odwoanieprzypisudolnego"/>
          <w:rFonts w:asciiTheme="minorHAnsi" w:hAnsiTheme="minorHAnsi" w:cstheme="minorHAnsi"/>
          <w:sz w:val="18"/>
          <w:szCs w:val="18"/>
        </w:rPr>
        <w:footnoteRef/>
      </w:r>
      <w:r w:rsidRPr="00E01E84">
        <w:rPr>
          <w:rFonts w:asciiTheme="minorHAnsi" w:hAnsiTheme="minorHAnsi" w:cstheme="minorHAnsi"/>
          <w:sz w:val="18"/>
          <w:szCs w:val="18"/>
        </w:rPr>
        <w:t xml:space="preserve"> Zalecenie Rady z dnia  20 lipca  2020 r. w sprawie krajowego programu reform Polski na 2020 r. oraz zawierające opinię Rady na temat przedstawionego przez Polskę programu konwergencji na 2020 r., </w:t>
      </w:r>
      <w:r w:rsidRPr="00E01E84">
        <w:rPr>
          <w:rFonts w:asciiTheme="minorHAnsi" w:hAnsiTheme="minorHAnsi" w:cstheme="minorHAnsi"/>
          <w:bCs/>
          <w:iCs/>
          <w:sz w:val="18"/>
          <w:szCs w:val="18"/>
        </w:rPr>
        <w:t>s. 9.</w:t>
      </w:r>
    </w:p>
  </w:footnote>
  <w:footnote w:id="90">
    <w:p w14:paraId="45378951" w14:textId="77777777" w:rsidR="00F17884" w:rsidRDefault="00F17884" w:rsidP="004249F6">
      <w:pPr>
        <w:pStyle w:val="Tekstprzypisudolnego"/>
        <w:ind w:left="0" w:firstLine="0"/>
        <w:rPr>
          <w:color w:val="FF0000"/>
        </w:rPr>
      </w:pPr>
      <w:r w:rsidRPr="00C27ABE">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890249">
        <w:rPr>
          <w:rFonts w:asciiTheme="minorHAnsi" w:hAnsiTheme="minorHAnsi" w:cstheme="minorHAnsi"/>
          <w:sz w:val="18"/>
          <w:szCs w:val="18"/>
        </w:rPr>
        <w:t>Ibidem</w:t>
      </w:r>
      <w:r>
        <w:rPr>
          <w:rFonts w:asciiTheme="minorHAnsi" w:hAnsiTheme="minorHAnsi" w:cstheme="minorHAnsi"/>
          <w:sz w:val="18"/>
          <w:szCs w:val="18"/>
        </w:rPr>
        <w:t>.</w:t>
      </w:r>
    </w:p>
  </w:footnote>
  <w:footnote w:id="91">
    <w:p w14:paraId="7E9BD4EB" w14:textId="4B2A2037" w:rsidR="00F17884" w:rsidRPr="0025787D" w:rsidRDefault="00F17884" w:rsidP="00890249">
      <w:pPr>
        <w:pStyle w:val="Tekstprzypisudolnego"/>
        <w:tabs>
          <w:tab w:val="left" w:pos="0"/>
        </w:tabs>
        <w:ind w:left="142" w:hanging="142"/>
        <w:rPr>
          <w:rFonts w:asciiTheme="minorHAnsi" w:hAnsiTheme="minorHAnsi" w:cstheme="minorHAnsi"/>
          <w:sz w:val="18"/>
          <w:szCs w:val="18"/>
        </w:rPr>
      </w:pPr>
      <w:r w:rsidRPr="0025787D">
        <w:rPr>
          <w:rStyle w:val="Odwoanieprzypisudolnego"/>
          <w:rFonts w:asciiTheme="minorHAnsi" w:hAnsiTheme="minorHAnsi" w:cstheme="minorHAnsi"/>
          <w:sz w:val="18"/>
          <w:szCs w:val="18"/>
        </w:rPr>
        <w:footnoteRef/>
      </w:r>
      <w:r w:rsidRPr="0025787D">
        <w:rPr>
          <w:rFonts w:asciiTheme="minorHAnsi" w:hAnsiTheme="minorHAnsi" w:cstheme="minorHAnsi"/>
          <w:sz w:val="18"/>
          <w:szCs w:val="18"/>
        </w:rPr>
        <w:t xml:space="preserve">https://www.gov.pl/web/krmc/rekomendacje-rady-architektury-it-zespolu-zadaniowego-krmc-w-sprawie-pryncypiow-architektury-informacyjnej-wraz-z-zaleceniami-za-podstawe-budowy-interoperacyjnych-rozwiazan-teleinformatycznych-i-swiadczenia-uslug-w-administracji-rzadowej-ich-publikacje-i-wskazanie-koniecznosci-stosowania-przez-jednostki-administracji-rzadowej. </w:t>
      </w:r>
    </w:p>
  </w:footnote>
  <w:footnote w:id="92">
    <w:p w14:paraId="3B443C2C" w14:textId="77777777" w:rsidR="00F17884" w:rsidRPr="000760CA" w:rsidRDefault="00F17884" w:rsidP="00890249">
      <w:pPr>
        <w:pStyle w:val="Default"/>
        <w:ind w:left="142" w:hanging="142"/>
        <w:jc w:val="both"/>
        <w:rPr>
          <w:rFonts w:asciiTheme="minorHAnsi" w:hAnsiTheme="minorHAnsi" w:cstheme="minorHAnsi"/>
          <w:sz w:val="18"/>
          <w:szCs w:val="18"/>
        </w:rPr>
      </w:pPr>
      <w:r w:rsidRPr="000760CA">
        <w:rPr>
          <w:rStyle w:val="Odwoanieprzypisudolnego"/>
          <w:rFonts w:asciiTheme="minorHAnsi" w:hAnsiTheme="minorHAnsi" w:cstheme="minorHAnsi"/>
          <w:color w:val="auto"/>
          <w:sz w:val="18"/>
          <w:szCs w:val="18"/>
        </w:rPr>
        <w:footnoteRef/>
      </w:r>
      <w:r w:rsidRPr="000760CA">
        <w:rPr>
          <w:rFonts w:asciiTheme="minorHAnsi" w:hAnsiTheme="minorHAnsi" w:cstheme="minorHAnsi"/>
          <w:color w:val="auto"/>
          <w:sz w:val="18"/>
          <w:szCs w:val="18"/>
        </w:rPr>
        <w:t xml:space="preserve"> </w:t>
      </w:r>
      <w:r w:rsidRPr="000760CA">
        <w:rPr>
          <w:rFonts w:asciiTheme="minorHAnsi" w:hAnsiTheme="minorHAnsi" w:cstheme="minorHAnsi"/>
          <w:bCs/>
          <w:color w:val="auto"/>
          <w:sz w:val="18"/>
          <w:szCs w:val="18"/>
        </w:rPr>
        <w:t xml:space="preserve">Zalecenie Komisji (UE) 2021/1970 </w:t>
      </w:r>
      <w:r w:rsidRPr="000760CA">
        <w:rPr>
          <w:rFonts w:asciiTheme="minorHAnsi" w:hAnsiTheme="minorHAnsi" w:cstheme="minorHAnsi"/>
          <w:color w:val="auto"/>
          <w:sz w:val="18"/>
          <w:szCs w:val="18"/>
        </w:rPr>
        <w:t xml:space="preserve"> </w:t>
      </w:r>
      <w:r w:rsidRPr="000760CA">
        <w:rPr>
          <w:rFonts w:asciiTheme="minorHAnsi" w:hAnsiTheme="minorHAnsi" w:cstheme="minorHAnsi"/>
          <w:bCs/>
          <w:color w:val="auto"/>
          <w:sz w:val="18"/>
          <w:szCs w:val="18"/>
        </w:rPr>
        <w:t>z dnia 10 listopada 2021 r. w sprawie wspólnej europejskiej przestrzeni danych na potrzeby dziedzictwa kulturowego.</w:t>
      </w:r>
    </w:p>
  </w:footnote>
  <w:footnote w:id="93">
    <w:p w14:paraId="43C5471D" w14:textId="77777777" w:rsidR="00F17884" w:rsidRPr="000760CA" w:rsidRDefault="00F17884" w:rsidP="004249F6">
      <w:pPr>
        <w:pStyle w:val="Tekstprzypisudolnego"/>
        <w:ind w:left="142" w:hanging="142"/>
        <w:rPr>
          <w:rFonts w:asciiTheme="minorHAnsi" w:hAnsiTheme="minorHAnsi" w:cstheme="minorHAnsi"/>
          <w:sz w:val="18"/>
          <w:szCs w:val="18"/>
        </w:rPr>
      </w:pPr>
      <w:r w:rsidRPr="000760CA">
        <w:rPr>
          <w:rStyle w:val="Odwoanieprzypisudolnego"/>
          <w:rFonts w:asciiTheme="minorHAnsi" w:hAnsiTheme="minorHAnsi" w:cstheme="minorHAnsi"/>
          <w:sz w:val="18"/>
          <w:szCs w:val="18"/>
        </w:rPr>
        <w:footnoteRef/>
      </w:r>
      <w:r w:rsidRPr="0025787D">
        <w:rPr>
          <w:rFonts w:asciiTheme="minorHAnsi" w:hAnsiTheme="minorHAnsi" w:cstheme="minorHAnsi"/>
          <w:sz w:val="18"/>
          <w:szCs w:val="18"/>
        </w:rPr>
        <w:t xml:space="preserve"> Dyrektywa </w:t>
      </w:r>
      <w:r w:rsidRPr="0025787D">
        <w:rPr>
          <w:rFonts w:asciiTheme="minorHAnsi" w:hAnsiTheme="minorHAnsi" w:cstheme="minorHAnsi"/>
          <w:bCs/>
          <w:noProof/>
          <w:sz w:val="18"/>
          <w:szCs w:val="18"/>
        </w:rPr>
        <w:t>Parlamentu Europejskiego i Rady (UE) 2019/1024</w:t>
      </w:r>
      <w:r w:rsidRPr="0025787D">
        <w:rPr>
          <w:rFonts w:asciiTheme="minorHAnsi" w:hAnsiTheme="minorHAnsi" w:cstheme="minorHAnsi"/>
          <w:bCs/>
          <w:i/>
          <w:noProof/>
          <w:sz w:val="18"/>
          <w:szCs w:val="18"/>
        </w:rPr>
        <w:t xml:space="preserve"> </w:t>
      </w:r>
      <w:r w:rsidRPr="0025787D">
        <w:rPr>
          <w:rFonts w:asciiTheme="minorHAnsi" w:hAnsiTheme="minorHAnsi" w:cstheme="minorHAnsi"/>
          <w:sz w:val="18"/>
          <w:szCs w:val="18"/>
          <w:shd w:val="clear" w:color="auto" w:fill="FFFFFF"/>
        </w:rPr>
        <w:t>z dnia 20 czerwca 2019 r. w sprawie otwartych danych i ponownego wykorzystywania informacji sektora publicznego.</w:t>
      </w:r>
    </w:p>
  </w:footnote>
  <w:footnote w:id="94">
    <w:p w14:paraId="53DF28FC" w14:textId="77777777" w:rsidR="00F17884" w:rsidRPr="006A1534" w:rsidRDefault="00F17884" w:rsidP="004249F6">
      <w:pPr>
        <w:pStyle w:val="Tekstprzypisudolnego"/>
        <w:ind w:left="142" w:hanging="142"/>
        <w:rPr>
          <w:rFonts w:asciiTheme="minorHAnsi" w:hAnsiTheme="minorHAnsi" w:cstheme="minorHAnsi"/>
        </w:rPr>
      </w:pPr>
      <w:r w:rsidRPr="000760CA">
        <w:rPr>
          <w:rStyle w:val="Odwoanieprzypisudolnego"/>
          <w:rFonts w:asciiTheme="minorHAnsi" w:hAnsiTheme="minorHAnsi" w:cstheme="minorHAnsi"/>
          <w:sz w:val="18"/>
          <w:szCs w:val="18"/>
        </w:rPr>
        <w:footnoteRef/>
      </w:r>
      <w:r w:rsidRPr="000760CA">
        <w:rPr>
          <w:rFonts w:asciiTheme="minorHAnsi" w:hAnsiTheme="minorHAnsi" w:cstheme="minorHAnsi"/>
          <w:sz w:val="18"/>
          <w:szCs w:val="18"/>
        </w:rPr>
        <w:t xml:space="preserve"> Dyrektywa Parlamentu Europejskiego i Rady (UE) 2016/2102 z dnia 26 października 2016 r. w sprawie dostępności stron internetowych i mobilnych aplikacji organów sektora publicznego.</w:t>
      </w:r>
    </w:p>
  </w:footnote>
  <w:footnote w:id="95">
    <w:p w14:paraId="4B2CCE23" w14:textId="2FDEF340" w:rsidR="00F17884" w:rsidRPr="00F62734" w:rsidRDefault="00F17884" w:rsidP="00890249">
      <w:pPr>
        <w:pStyle w:val="Tekstprzypisukocowego"/>
        <w:rPr>
          <w:rFonts w:asciiTheme="minorHAnsi" w:hAnsiTheme="minorHAnsi" w:cstheme="minorHAnsi"/>
          <w:i/>
          <w:color w:val="1F497D"/>
          <w:sz w:val="18"/>
          <w:szCs w:val="18"/>
          <w:lang w:val="fr-BE"/>
        </w:rPr>
      </w:pPr>
      <w:r w:rsidRPr="00890249">
        <w:rPr>
          <w:rStyle w:val="Odwoanieprzypisudolnego"/>
          <w:rFonts w:asciiTheme="minorHAnsi" w:hAnsiTheme="minorHAnsi" w:cstheme="minorHAnsi"/>
          <w:sz w:val="18"/>
          <w:szCs w:val="18"/>
        </w:rPr>
        <w:footnoteRef/>
      </w:r>
      <w:r w:rsidRPr="00F62734">
        <w:rPr>
          <w:rFonts w:asciiTheme="minorHAnsi" w:hAnsiTheme="minorHAnsi" w:cstheme="minorHAnsi"/>
          <w:sz w:val="18"/>
          <w:szCs w:val="18"/>
          <w:lang w:val="fr-BE"/>
        </w:rPr>
        <w:t xml:space="preserve"> </w:t>
      </w:r>
      <w:hyperlink r:id="rId8" w:history="1">
        <w:r w:rsidRPr="00F62734">
          <w:rPr>
            <w:rFonts w:asciiTheme="minorHAnsi" w:hAnsiTheme="minorHAnsi" w:cstheme="minorHAnsi"/>
            <w:sz w:val="18"/>
            <w:szCs w:val="18"/>
            <w:u w:val="single"/>
            <w:lang w:val="fr-BE"/>
          </w:rPr>
          <w:t>https://bdl.stat.gov.pl/BDL/start</w:t>
        </w:r>
      </w:hyperlink>
      <w:r w:rsidRPr="00F62734">
        <w:rPr>
          <w:rFonts w:asciiTheme="minorHAnsi" w:hAnsiTheme="minorHAnsi" w:cstheme="minorHAnsi"/>
          <w:sz w:val="18"/>
          <w:szCs w:val="18"/>
          <w:u w:val="single"/>
          <w:lang w:val="fr-BE"/>
        </w:rPr>
        <w:t>, 2020 r</w:t>
      </w:r>
      <w:r w:rsidRPr="00F62734">
        <w:rPr>
          <w:rFonts w:asciiTheme="minorHAnsi" w:hAnsiTheme="minorHAnsi" w:cstheme="minorHAnsi"/>
          <w:color w:val="FF0000"/>
          <w:sz w:val="18"/>
          <w:szCs w:val="18"/>
          <w:u w:val="single"/>
          <w:lang w:val="fr-BE"/>
        </w:rPr>
        <w:t>.</w:t>
      </w:r>
    </w:p>
  </w:footnote>
  <w:footnote w:id="96">
    <w:p w14:paraId="6B9006C3" w14:textId="5050D8E8" w:rsidR="00F17884" w:rsidRPr="00952B8D" w:rsidRDefault="00F17884" w:rsidP="00B44A0A">
      <w:pPr>
        <w:pStyle w:val="Tekstprzypisudolnego"/>
        <w:ind w:left="142" w:hanging="142"/>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i/>
          <w:sz w:val="18"/>
          <w:szCs w:val="18"/>
        </w:rPr>
        <w:t xml:space="preserve"> Raport o stanie sektora małych i średnich przedsiębiorstw w Polsce</w:t>
      </w:r>
      <w:r w:rsidRPr="00890249">
        <w:rPr>
          <w:rFonts w:asciiTheme="minorHAnsi" w:hAnsiTheme="minorHAnsi" w:cstheme="minorHAnsi"/>
          <w:i/>
          <w:sz w:val="18"/>
          <w:szCs w:val="18"/>
        </w:rPr>
        <w:t xml:space="preserve">, </w:t>
      </w:r>
      <w:r w:rsidRPr="00D172FD">
        <w:rPr>
          <w:rFonts w:asciiTheme="minorHAnsi" w:hAnsiTheme="minorHAnsi" w:cstheme="minorHAnsi"/>
          <w:sz w:val="18"/>
          <w:szCs w:val="18"/>
        </w:rPr>
        <w:t>red. A. Skowrońska,</w:t>
      </w:r>
      <w:r w:rsidRPr="007F16A1">
        <w:t xml:space="preserve"> </w:t>
      </w:r>
      <w:r w:rsidRPr="00890249">
        <w:rPr>
          <w:rFonts w:asciiTheme="minorHAnsi" w:hAnsiTheme="minorHAnsi" w:cstheme="minorHAnsi"/>
          <w:sz w:val="18"/>
          <w:szCs w:val="18"/>
        </w:rPr>
        <w:t>Anna Tarnawa,</w:t>
      </w:r>
      <w:r w:rsidRPr="00D172FD">
        <w:rPr>
          <w:rFonts w:asciiTheme="minorHAnsi" w:hAnsiTheme="minorHAnsi" w:cstheme="minorHAnsi"/>
          <w:sz w:val="18"/>
          <w:szCs w:val="18"/>
        </w:rPr>
        <w:t xml:space="preserve"> Warszawa, czerwiec 20</w:t>
      </w:r>
      <w:r w:rsidRPr="002B468B">
        <w:rPr>
          <w:rFonts w:asciiTheme="minorHAnsi" w:hAnsiTheme="minorHAnsi" w:cstheme="minorHAnsi"/>
          <w:sz w:val="18"/>
          <w:szCs w:val="18"/>
        </w:rPr>
        <w:t>22</w:t>
      </w:r>
      <w:r w:rsidRPr="002B2B20">
        <w:rPr>
          <w:rFonts w:asciiTheme="minorHAnsi" w:hAnsiTheme="minorHAnsi" w:cstheme="minorHAnsi"/>
          <w:sz w:val="18"/>
          <w:szCs w:val="18"/>
        </w:rPr>
        <w:t xml:space="preserve"> r.</w:t>
      </w:r>
    </w:p>
  </w:footnote>
  <w:footnote w:id="97">
    <w:p w14:paraId="28878829" w14:textId="77777777" w:rsidR="00F17884" w:rsidRPr="00D172FD" w:rsidRDefault="00F17884" w:rsidP="00E374EA">
      <w:pPr>
        <w:pStyle w:val="Tekstprzypisudolnego"/>
        <w:ind w:left="142" w:hanging="142"/>
        <w:rPr>
          <w:rFonts w:asciiTheme="minorHAnsi" w:hAnsiTheme="minorHAnsi" w:cstheme="minorHAnsi"/>
          <w:sz w:val="18"/>
          <w:szCs w:val="18"/>
        </w:rPr>
      </w:pPr>
      <w:r w:rsidRPr="002B2B20">
        <w:rPr>
          <w:rStyle w:val="Odwoanieprzypisudolnego"/>
          <w:rFonts w:asciiTheme="minorHAnsi" w:hAnsiTheme="minorHAnsi" w:cstheme="minorHAnsi"/>
          <w:sz w:val="18"/>
          <w:szCs w:val="18"/>
        </w:rPr>
        <w:footnoteRef/>
      </w:r>
      <w:r w:rsidRPr="002B2B20">
        <w:rPr>
          <w:rFonts w:asciiTheme="minorHAnsi" w:hAnsiTheme="minorHAnsi" w:cstheme="minorHAnsi"/>
          <w:i/>
          <w:sz w:val="18"/>
          <w:szCs w:val="18"/>
        </w:rPr>
        <w:t xml:space="preserve"> Krajowa Strategia Rozwoju Regionalnego 2030, Rozwój społecznie wrażliwy i terytorialnie zrównoważony, </w:t>
      </w:r>
      <w:r w:rsidRPr="00890249">
        <w:rPr>
          <w:rFonts w:asciiTheme="minorHAnsi" w:hAnsiTheme="minorHAnsi" w:cstheme="minorHAnsi"/>
          <w:sz w:val="18"/>
          <w:szCs w:val="18"/>
        </w:rPr>
        <w:t xml:space="preserve">Warszawa, wrzesień 2019, </w:t>
      </w:r>
      <w:r w:rsidRPr="00D172FD">
        <w:rPr>
          <w:rFonts w:asciiTheme="minorHAnsi" w:hAnsiTheme="minorHAnsi" w:cstheme="minorHAnsi"/>
          <w:sz w:val="18"/>
          <w:szCs w:val="18"/>
        </w:rPr>
        <w:t>s.71.</w:t>
      </w:r>
    </w:p>
  </w:footnote>
  <w:footnote w:id="98">
    <w:p w14:paraId="727F5DBD" w14:textId="77777777" w:rsidR="00F17884" w:rsidRPr="00B05B0E" w:rsidRDefault="00F17884" w:rsidP="00E374EA">
      <w:pPr>
        <w:pStyle w:val="Tekstprzypisudolnego"/>
        <w:ind w:left="0" w:firstLine="0"/>
        <w:rPr>
          <w:rFonts w:asciiTheme="minorHAnsi" w:hAnsiTheme="minorHAnsi"/>
          <w:sz w:val="18"/>
          <w:szCs w:val="18"/>
        </w:rPr>
      </w:pPr>
      <w:r w:rsidRPr="002B468B">
        <w:rPr>
          <w:rStyle w:val="Odwoanieprzypisudolnego"/>
          <w:rFonts w:asciiTheme="minorHAnsi" w:hAnsiTheme="minorHAnsi" w:cstheme="minorHAnsi"/>
          <w:sz w:val="18"/>
          <w:szCs w:val="18"/>
        </w:rPr>
        <w:footnoteRef/>
      </w:r>
      <w:r w:rsidRPr="002B2B20">
        <w:rPr>
          <w:rFonts w:asciiTheme="minorHAnsi" w:hAnsiTheme="minorHAnsi" w:cstheme="minorHAnsi"/>
          <w:i/>
          <w:sz w:val="18"/>
          <w:szCs w:val="18"/>
        </w:rPr>
        <w:t xml:space="preserve"> Dokument roboczy służb Komisji – Sprawozdanie krajowe – Polska 2019 (…),op. cit., </w:t>
      </w:r>
      <w:r w:rsidRPr="002B2B20">
        <w:rPr>
          <w:rFonts w:asciiTheme="minorHAnsi" w:hAnsiTheme="minorHAnsi" w:cstheme="minorHAnsi"/>
          <w:sz w:val="18"/>
          <w:szCs w:val="18"/>
        </w:rPr>
        <w:t>s. 67.</w:t>
      </w:r>
    </w:p>
  </w:footnote>
  <w:footnote w:id="99">
    <w:p w14:paraId="219A3233" w14:textId="77777777" w:rsidR="000D3982" w:rsidRPr="00B27003" w:rsidRDefault="000D3982" w:rsidP="00F62734">
      <w:pPr>
        <w:pStyle w:val="Tekstprzypisudolnego"/>
        <w:ind w:left="0" w:firstLine="0"/>
        <w:rPr>
          <w:rFonts w:asciiTheme="minorHAnsi" w:hAnsiTheme="minorHAnsi" w:cstheme="minorBidi"/>
          <w:kern w:val="2"/>
          <w:lang w:eastAsia="en-US"/>
        </w:rPr>
      </w:pPr>
      <w:r>
        <w:rPr>
          <w:rStyle w:val="Odwoanieprzypisudolnego"/>
        </w:rPr>
        <w:footnoteRef/>
      </w:r>
      <w:r>
        <w:t xml:space="preserve"> </w:t>
      </w:r>
      <w:r>
        <w:rPr>
          <w:rFonts w:ascii="Calibri" w:hAnsi="Calibri" w:cs="Calibri"/>
          <w:i/>
          <w:iCs/>
          <w:sz w:val="16"/>
          <w:szCs w:val="16"/>
        </w:rPr>
        <w:t>Rozporządzenie Rady Ministrów z dnia 16 września 2024 r. w sprawie wykazu gmin, w których są stosowane rozwiązania związane z usuwaniem skutków powodzi z września 2024 r., oraz rozwiązań stosowanych na ich terenie (t.j. Dz.U. poz. 1859).</w:t>
      </w:r>
    </w:p>
  </w:footnote>
  <w:footnote w:id="100">
    <w:p w14:paraId="338498C8" w14:textId="77777777" w:rsidR="000D3982" w:rsidRDefault="000D3982" w:rsidP="000D3982">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ibidem</w:t>
      </w:r>
    </w:p>
  </w:footnote>
  <w:footnote w:id="101">
    <w:p w14:paraId="4BD12D4C" w14:textId="77777777" w:rsidR="00F17884" w:rsidRPr="0042614A" w:rsidRDefault="00F17884" w:rsidP="004249F6">
      <w:pPr>
        <w:pStyle w:val="Tekstprzypisudolnego"/>
        <w:rPr>
          <w:sz w:val="18"/>
          <w:szCs w:val="18"/>
        </w:rPr>
      </w:pPr>
      <w:r w:rsidRPr="00360FDC">
        <w:rPr>
          <w:rStyle w:val="Odwoanieprzypisudolnego"/>
          <w:rFonts w:asciiTheme="minorHAnsi" w:hAnsiTheme="minorHAnsi" w:cstheme="minorHAnsi"/>
          <w:sz w:val="18"/>
          <w:szCs w:val="18"/>
        </w:rPr>
        <w:footnoteRef/>
      </w:r>
      <w:r w:rsidRPr="00360FDC">
        <w:rPr>
          <w:rFonts w:asciiTheme="minorHAnsi" w:hAnsiTheme="minorHAnsi" w:cstheme="minorHAnsi"/>
          <w:sz w:val="18"/>
          <w:szCs w:val="18"/>
        </w:rPr>
        <w:t xml:space="preserve"> </w:t>
      </w:r>
      <w:r>
        <w:rPr>
          <w:rFonts w:asciiTheme="minorHAnsi" w:hAnsiTheme="minorHAnsi" w:cstheme="minorHAnsi"/>
          <w:sz w:val="18"/>
          <w:szCs w:val="18"/>
        </w:rPr>
        <w:t>Z</w:t>
      </w:r>
      <w:r w:rsidRPr="00360FDC">
        <w:rPr>
          <w:rFonts w:asciiTheme="minorHAnsi" w:hAnsiTheme="minorHAnsi" w:cstheme="minorHAnsi"/>
          <w:sz w:val="18"/>
          <w:szCs w:val="18"/>
        </w:rPr>
        <w:t>godnie z art. 58 ust. 5</w:t>
      </w:r>
      <w:r w:rsidRPr="00360FDC">
        <w:rPr>
          <w:rFonts w:asciiTheme="minorHAnsi" w:hAnsiTheme="minorHAnsi" w:cstheme="minorHAnsi"/>
          <w:i/>
          <w:sz w:val="18"/>
          <w:szCs w:val="18"/>
        </w:rPr>
        <w:t xml:space="preserve"> </w:t>
      </w:r>
      <w:r w:rsidRPr="00360FDC">
        <w:rPr>
          <w:rFonts w:asciiTheme="minorHAnsi" w:hAnsiTheme="minorHAnsi" w:cstheme="minorHAnsi"/>
          <w:sz w:val="18"/>
          <w:szCs w:val="18"/>
        </w:rPr>
        <w:t>rozporządzenia</w:t>
      </w:r>
      <w:r w:rsidRPr="00360FDC">
        <w:rPr>
          <w:rFonts w:asciiTheme="minorHAnsi" w:eastAsia="Times New Roman" w:hAnsiTheme="minorHAnsi" w:cstheme="minorHAnsi"/>
          <w:sz w:val="18"/>
          <w:szCs w:val="18"/>
        </w:rPr>
        <w:t xml:space="preserve"> ogólnego</w:t>
      </w:r>
      <w:r>
        <w:rPr>
          <w:rFonts w:asciiTheme="minorHAnsi" w:eastAsia="Times New Roman" w:hAnsiTheme="minorHAnsi" w:cstheme="minorHAnsi"/>
          <w:sz w:val="18"/>
          <w:szCs w:val="18"/>
        </w:rPr>
        <w:t>.</w:t>
      </w:r>
    </w:p>
  </w:footnote>
  <w:footnote w:id="102">
    <w:p w14:paraId="09E352EF" w14:textId="77777777" w:rsidR="00F17884" w:rsidRPr="00F1641B" w:rsidRDefault="00F17884" w:rsidP="00890249">
      <w:pPr>
        <w:pStyle w:val="Tekstprzypisudolnego"/>
        <w:ind w:left="284" w:hanging="284"/>
        <w:rPr>
          <w:rFonts w:asciiTheme="minorHAnsi" w:hAnsiTheme="minorHAnsi" w:cstheme="minorHAnsi"/>
          <w:sz w:val="18"/>
          <w:szCs w:val="18"/>
        </w:rPr>
      </w:pPr>
      <w:r w:rsidRPr="00C12C12">
        <w:rPr>
          <w:rStyle w:val="Odwoanieprzypisudolnego"/>
          <w:rFonts w:asciiTheme="minorHAnsi" w:hAnsiTheme="minorHAnsi" w:cstheme="minorHAnsi"/>
        </w:rPr>
        <w:footnoteRef/>
      </w:r>
      <w:r w:rsidRPr="00C12C12">
        <w:rPr>
          <w:rFonts w:asciiTheme="minorHAnsi" w:hAnsiTheme="minorHAnsi" w:cstheme="minorHAnsi"/>
        </w:rPr>
        <w:t xml:space="preserve"> </w:t>
      </w:r>
      <w:r w:rsidRPr="00D172FD">
        <w:rPr>
          <w:rFonts w:asciiTheme="minorHAnsi" w:hAnsiTheme="minorHAnsi" w:cstheme="minorHAnsi"/>
          <w:sz w:val="18"/>
          <w:szCs w:val="18"/>
        </w:rPr>
        <w:t xml:space="preserve">Zgodnie z Zaleceniem Komisji (UE) 2019/786 z dnia 8 maja 2019 r. w sprawie renowacji budynków, celem przedsięwzięć jest renowacja o średnim poziomie gruntowności, tj. oszczędność energii pierwotnej na poziomie 30-60%. </w:t>
      </w:r>
    </w:p>
  </w:footnote>
  <w:footnote w:id="103">
    <w:p w14:paraId="70F1417C" w14:textId="2889DFBA" w:rsidR="00F17884" w:rsidRPr="0043241C" w:rsidRDefault="00F17884" w:rsidP="00432150">
      <w:pPr>
        <w:pStyle w:val="Tekstprzypisudolnego"/>
        <w:ind w:left="284" w:hanging="284"/>
        <w:rPr>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D172FD">
        <w:rPr>
          <w:rFonts w:asciiTheme="minorHAnsi" w:hAnsiTheme="minorHAnsi" w:cstheme="minorHAnsi"/>
          <w:sz w:val="18"/>
          <w:szCs w:val="18"/>
        </w:rPr>
        <w:t>Dyrektywa 2009/125/WE z dnia 21 października 2009 r. ustanawiającej ogólne zasady ustalania wymogów dotyczących ekoprojektu dla produktów związanych z energią</w:t>
      </w:r>
      <w:r>
        <w:rPr>
          <w:rFonts w:asciiTheme="minorHAnsi" w:hAnsiTheme="minorHAnsi" w:cstheme="minorHAnsi"/>
          <w:sz w:val="18"/>
          <w:szCs w:val="18"/>
        </w:rPr>
        <w:t>.</w:t>
      </w:r>
    </w:p>
  </w:footnote>
  <w:footnote w:id="104">
    <w:p w14:paraId="726A27C2" w14:textId="77777777" w:rsidR="00F17884" w:rsidRPr="00890249" w:rsidRDefault="00F17884" w:rsidP="00F1641B">
      <w:pPr>
        <w:pStyle w:val="Tekstprzypisudolnego"/>
        <w:ind w:left="284" w:hanging="284"/>
        <w:rPr>
          <w:rFonts w:asciiTheme="minorHAnsi" w:hAnsiTheme="minorHAnsi" w:cstheme="minorHAnsi"/>
          <w:sz w:val="18"/>
          <w:szCs w:val="18"/>
        </w:rPr>
      </w:pPr>
      <w:r w:rsidRPr="0043241C">
        <w:rPr>
          <w:rStyle w:val="Odwoanieprzypisudolnego"/>
          <w:sz w:val="18"/>
          <w:szCs w:val="18"/>
        </w:rPr>
        <w:footnoteRef/>
      </w:r>
      <w:r w:rsidRPr="0043241C">
        <w:rPr>
          <w:sz w:val="18"/>
          <w:szCs w:val="18"/>
        </w:rPr>
        <w:t xml:space="preserve"> </w:t>
      </w:r>
      <w:r w:rsidRPr="00D172FD">
        <w:rPr>
          <w:rFonts w:asciiTheme="minorHAnsi" w:hAnsiTheme="minorHAnsi" w:cstheme="minorHAnsi"/>
          <w:sz w:val="18"/>
          <w:szCs w:val="18"/>
        </w:rPr>
        <w:t>Zgodnie z Zaleceniem Komisji (KE) 2020/1563 z dnia 14 października 2020 r. dotyczącego ubós</w:t>
      </w:r>
      <w:r w:rsidRPr="00F1641B">
        <w:rPr>
          <w:rFonts w:asciiTheme="minorHAnsi" w:hAnsiTheme="minorHAnsi" w:cstheme="minorHAnsi"/>
          <w:sz w:val="18"/>
          <w:szCs w:val="18"/>
        </w:rPr>
        <w:t xml:space="preserve">twa energetycznego: Ubóstwo energetyczne to sytuacja, w której gospodarstwa domowe nie mają dostępu do podstawowych usług energetycznych. </w:t>
      </w:r>
    </w:p>
  </w:footnote>
  <w:footnote w:id="105">
    <w:p w14:paraId="6D84251A" w14:textId="77777777" w:rsidR="00F17884" w:rsidRPr="00AE4134" w:rsidRDefault="00F17884" w:rsidP="007C1A58">
      <w:pPr>
        <w:pStyle w:val="Tekstprzypisudolnego"/>
        <w:ind w:left="284" w:hanging="284"/>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F1641B">
        <w:rPr>
          <w:rFonts w:asciiTheme="minorHAnsi" w:hAnsiTheme="minorHAnsi" w:cstheme="minorHAnsi"/>
          <w:i/>
          <w:sz w:val="18"/>
          <w:szCs w:val="18"/>
        </w:rPr>
        <w:t xml:space="preserve"> Dokument roboczy służb Komisji – Sprawozdanie krajowe – Polska 2019 (…), op. cit.</w:t>
      </w:r>
      <w:r w:rsidRPr="00F1641B">
        <w:rPr>
          <w:rFonts w:asciiTheme="minorHAnsi" w:hAnsiTheme="minorHAnsi" w:cstheme="minorHAnsi"/>
          <w:sz w:val="18"/>
          <w:szCs w:val="18"/>
        </w:rPr>
        <w:t>, s. 68.</w:t>
      </w:r>
    </w:p>
  </w:footnote>
  <w:footnote w:id="106">
    <w:p w14:paraId="6ACCA80E" w14:textId="77777777" w:rsidR="00F17884" w:rsidRPr="0042614A" w:rsidRDefault="00F17884" w:rsidP="00AF6B58">
      <w:pPr>
        <w:pStyle w:val="Tekstprzypisudolnego"/>
        <w:rPr>
          <w:sz w:val="18"/>
          <w:szCs w:val="18"/>
        </w:rPr>
      </w:pPr>
      <w:r w:rsidRPr="00360FDC">
        <w:rPr>
          <w:rStyle w:val="Odwoanieprzypisudolnego"/>
          <w:rFonts w:cstheme="minorHAnsi"/>
          <w:sz w:val="18"/>
          <w:szCs w:val="18"/>
        </w:rPr>
        <w:footnoteRef/>
      </w:r>
      <w:r w:rsidRPr="00360FDC">
        <w:rPr>
          <w:rFonts w:cstheme="minorHAnsi"/>
          <w:sz w:val="18"/>
          <w:szCs w:val="18"/>
        </w:rPr>
        <w:t xml:space="preserve"> </w:t>
      </w:r>
      <w:r w:rsidRPr="00890249">
        <w:rPr>
          <w:rFonts w:asciiTheme="minorHAnsi" w:hAnsiTheme="minorHAnsi" w:cstheme="minorHAnsi"/>
          <w:sz w:val="18"/>
          <w:szCs w:val="18"/>
        </w:rPr>
        <w:t>Zgodnie z art. 58 ust. 5</w:t>
      </w:r>
      <w:r w:rsidRPr="00890249">
        <w:rPr>
          <w:rFonts w:asciiTheme="minorHAnsi" w:hAnsiTheme="minorHAnsi" w:cstheme="minorHAnsi"/>
          <w:i/>
          <w:sz w:val="18"/>
          <w:szCs w:val="18"/>
        </w:rPr>
        <w:t xml:space="preserve"> </w:t>
      </w:r>
      <w:r w:rsidRPr="00890249">
        <w:rPr>
          <w:rFonts w:asciiTheme="minorHAnsi" w:hAnsiTheme="minorHAnsi" w:cstheme="minorHAnsi"/>
          <w:sz w:val="18"/>
          <w:szCs w:val="18"/>
        </w:rPr>
        <w:t>rozporządzenia</w:t>
      </w:r>
      <w:r w:rsidRPr="00890249">
        <w:rPr>
          <w:rFonts w:asciiTheme="minorHAnsi" w:eastAsia="Times New Roman" w:hAnsiTheme="minorHAnsi" w:cstheme="minorHAnsi"/>
          <w:sz w:val="18"/>
          <w:szCs w:val="18"/>
        </w:rPr>
        <w:t xml:space="preserve"> ogólnego.</w:t>
      </w:r>
    </w:p>
  </w:footnote>
  <w:footnote w:id="107">
    <w:p w14:paraId="0E5A8052" w14:textId="77777777" w:rsidR="00F17884" w:rsidRPr="00F1641B" w:rsidRDefault="00F17884" w:rsidP="00F94CB4">
      <w:pPr>
        <w:pStyle w:val="Tekstprzypisudolnego"/>
        <w:ind w:left="0" w:firstLine="0"/>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i/>
          <w:sz w:val="18"/>
          <w:szCs w:val="18"/>
        </w:rPr>
        <w:t>Polityka energetyczna Polski do 2030 r</w:t>
      </w:r>
      <w:r w:rsidRPr="00F1641B">
        <w:rPr>
          <w:rFonts w:asciiTheme="minorHAnsi" w:hAnsiTheme="minorHAnsi" w:cstheme="minorHAnsi"/>
          <w:sz w:val="18"/>
          <w:szCs w:val="18"/>
        </w:rPr>
        <w:t>., Ministerstwo Gospodarki, Warszawa, marzec 2009 r., s. 18.</w:t>
      </w:r>
    </w:p>
  </w:footnote>
  <w:footnote w:id="108">
    <w:p w14:paraId="40F9819C" w14:textId="77777777" w:rsidR="00F17884" w:rsidRPr="00F1641B" w:rsidRDefault="00F17884" w:rsidP="001A2F7E">
      <w:pPr>
        <w:pStyle w:val="Tekstprzypisudolnego"/>
        <w:rPr>
          <w:rFonts w:asciiTheme="minorHAnsi" w:hAnsiTheme="minorHAnsi" w:cstheme="minorHAnsi"/>
          <w:sz w:val="18"/>
          <w:szCs w:val="18"/>
        </w:rPr>
      </w:pPr>
      <w:r w:rsidRPr="00F1641B">
        <w:rPr>
          <w:rStyle w:val="Odwoanieprzypisudolnego"/>
          <w:rFonts w:asciiTheme="minorHAnsi" w:hAnsiTheme="minorHAnsi" w:cstheme="minorHAnsi"/>
          <w:sz w:val="18"/>
          <w:szCs w:val="18"/>
        </w:rPr>
        <w:footnoteRef/>
      </w:r>
      <w:r w:rsidRPr="00F1641B">
        <w:rPr>
          <w:rFonts w:asciiTheme="minorHAnsi" w:hAnsiTheme="minorHAnsi" w:cstheme="minorHAnsi"/>
          <w:sz w:val="18"/>
          <w:szCs w:val="18"/>
        </w:rPr>
        <w:t xml:space="preserve"> Ekspertyza z badania pn. </w:t>
      </w:r>
      <w:r w:rsidRPr="00F1641B">
        <w:rPr>
          <w:rFonts w:asciiTheme="minorHAnsi" w:hAnsiTheme="minorHAnsi" w:cstheme="minorHAnsi"/>
          <w:i/>
          <w:sz w:val="18"/>
          <w:szCs w:val="18"/>
        </w:rPr>
        <w:t xml:space="preserve">Analiza powiązań społeczno-gospodarczych (...), </w:t>
      </w:r>
      <w:r w:rsidRPr="00F1641B">
        <w:rPr>
          <w:rFonts w:asciiTheme="minorHAnsi" w:hAnsiTheme="minorHAnsi" w:cstheme="minorHAnsi"/>
          <w:sz w:val="18"/>
          <w:szCs w:val="18"/>
        </w:rPr>
        <w:t>op. cit., s.59.</w:t>
      </w:r>
    </w:p>
  </w:footnote>
  <w:footnote w:id="109">
    <w:p w14:paraId="3EEE23E0" w14:textId="2A22AB88" w:rsidR="00F17884" w:rsidRPr="00890249" w:rsidRDefault="00F17884" w:rsidP="00890249">
      <w:pPr>
        <w:pStyle w:val="Tekstprzypisukocowego"/>
        <w:rPr>
          <w:rFonts w:asciiTheme="minorHAnsi" w:hAnsiTheme="minorHAnsi" w:cstheme="minorHAnsi"/>
          <w:i/>
          <w:sz w:val="18"/>
          <w:szCs w:val="18"/>
        </w:rPr>
      </w:pPr>
      <w:r w:rsidRPr="00F1641B">
        <w:rPr>
          <w:rStyle w:val="Odwoanieprzypisudolnego"/>
          <w:rFonts w:asciiTheme="minorHAnsi" w:hAnsiTheme="minorHAnsi" w:cstheme="minorHAnsi"/>
          <w:sz w:val="18"/>
          <w:szCs w:val="18"/>
        </w:rPr>
        <w:footnoteRef/>
      </w:r>
      <w:r w:rsidRPr="00F1641B">
        <w:rPr>
          <w:rFonts w:asciiTheme="minorHAnsi" w:hAnsiTheme="minorHAnsi" w:cstheme="minorHAnsi"/>
          <w:sz w:val="18"/>
          <w:szCs w:val="18"/>
        </w:rPr>
        <w:t xml:space="preserve"> </w:t>
      </w:r>
      <w:r w:rsidRPr="00F1641B">
        <w:t xml:space="preserve"> </w:t>
      </w:r>
      <w:hyperlink r:id="rId9" w:history="1">
        <w:r w:rsidRPr="00890249">
          <w:rPr>
            <w:rFonts w:asciiTheme="minorHAnsi" w:hAnsiTheme="minorHAnsi" w:cstheme="minorHAnsi"/>
            <w:sz w:val="18"/>
            <w:szCs w:val="18"/>
            <w:u w:val="single"/>
          </w:rPr>
          <w:t>https://bdl.stat.gov.pl/BDL/start</w:t>
        </w:r>
      </w:hyperlink>
      <w:r w:rsidRPr="00890249">
        <w:rPr>
          <w:rFonts w:asciiTheme="minorHAnsi" w:hAnsiTheme="minorHAnsi" w:cstheme="minorHAnsi"/>
          <w:sz w:val="18"/>
          <w:szCs w:val="18"/>
          <w:u w:val="single"/>
        </w:rPr>
        <w:t>.</w:t>
      </w:r>
    </w:p>
  </w:footnote>
  <w:footnote w:id="110">
    <w:p w14:paraId="50E318EC" w14:textId="77777777" w:rsidR="00F17884" w:rsidRPr="00F1641B" w:rsidRDefault="00F17884" w:rsidP="001A2F7E">
      <w:pPr>
        <w:pStyle w:val="Tekstprzypisudolnego"/>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Ekspertyza z badania pn. </w:t>
      </w:r>
      <w:r w:rsidRPr="00890249">
        <w:rPr>
          <w:rFonts w:asciiTheme="minorHAnsi" w:hAnsiTheme="minorHAnsi" w:cstheme="minorHAnsi"/>
          <w:i/>
          <w:sz w:val="18"/>
          <w:szCs w:val="18"/>
        </w:rPr>
        <w:t xml:space="preserve">Analiza powiązań społeczno-gospodarczych (...), </w:t>
      </w:r>
      <w:r w:rsidRPr="00D172FD">
        <w:rPr>
          <w:rFonts w:asciiTheme="minorHAnsi" w:hAnsiTheme="minorHAnsi" w:cstheme="minorHAnsi"/>
          <w:sz w:val="18"/>
          <w:szCs w:val="18"/>
        </w:rPr>
        <w:t>op. cit., s.38</w:t>
      </w:r>
      <w:r w:rsidRPr="00F1641B">
        <w:rPr>
          <w:rFonts w:asciiTheme="minorHAnsi" w:hAnsiTheme="minorHAnsi" w:cstheme="minorHAnsi"/>
          <w:i/>
          <w:sz w:val="18"/>
          <w:szCs w:val="18"/>
        </w:rPr>
        <w:t>.</w:t>
      </w:r>
    </w:p>
  </w:footnote>
  <w:footnote w:id="111">
    <w:p w14:paraId="333FF9B1" w14:textId="77777777" w:rsidR="00F17884" w:rsidRPr="00F1641B" w:rsidRDefault="00F17884" w:rsidP="00B31EA0">
      <w:pPr>
        <w:pStyle w:val="Tekstprzypisudolnego"/>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Załącznik nr 1. </w:t>
      </w:r>
      <w:r w:rsidRPr="00F1641B">
        <w:rPr>
          <w:rFonts w:asciiTheme="minorHAnsi" w:hAnsiTheme="minorHAnsi" w:cstheme="minorHAnsi"/>
          <w:i/>
          <w:sz w:val="18"/>
          <w:szCs w:val="18"/>
        </w:rPr>
        <w:t>Obecna sytuacja i prognozy</w:t>
      </w:r>
      <w:r w:rsidRPr="00F1641B">
        <w:rPr>
          <w:rFonts w:asciiTheme="minorHAnsi" w:hAnsiTheme="minorHAnsi" w:cstheme="minorHAnsi"/>
          <w:sz w:val="18"/>
          <w:szCs w:val="18"/>
        </w:rPr>
        <w:t xml:space="preserve"> (…), s. 39.</w:t>
      </w:r>
    </w:p>
  </w:footnote>
  <w:footnote w:id="112">
    <w:p w14:paraId="385ABA9E" w14:textId="77777777" w:rsidR="00F17884" w:rsidRPr="00F1641B" w:rsidRDefault="00F17884" w:rsidP="001A2F7E">
      <w:pPr>
        <w:pStyle w:val="Tekstprzypisudolnego"/>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i/>
          <w:sz w:val="18"/>
          <w:szCs w:val="18"/>
        </w:rPr>
        <w:t xml:space="preserve"> Polityka energetyczna (…), op</w:t>
      </w:r>
      <w:r w:rsidRPr="00F1641B">
        <w:rPr>
          <w:rFonts w:asciiTheme="minorHAnsi" w:hAnsiTheme="minorHAnsi" w:cstheme="minorHAnsi"/>
          <w:i/>
          <w:sz w:val="18"/>
          <w:szCs w:val="18"/>
        </w:rPr>
        <w:t>. cit.</w:t>
      </w:r>
      <w:r w:rsidRPr="00F1641B">
        <w:rPr>
          <w:rFonts w:asciiTheme="minorHAnsi" w:hAnsiTheme="minorHAnsi" w:cstheme="minorHAnsi"/>
          <w:sz w:val="18"/>
          <w:szCs w:val="18"/>
        </w:rPr>
        <w:t>, s. 18.</w:t>
      </w:r>
    </w:p>
  </w:footnote>
  <w:footnote w:id="113">
    <w:p w14:paraId="0BB60589" w14:textId="77777777" w:rsidR="00F17884" w:rsidRPr="00F1641B" w:rsidRDefault="00F17884" w:rsidP="001A2F7E">
      <w:pPr>
        <w:pStyle w:val="Tekstprzypisudolnego"/>
        <w:rPr>
          <w:rFonts w:asciiTheme="minorHAnsi" w:hAnsi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Ekspertyza z badania pn. </w:t>
      </w:r>
      <w:r w:rsidRPr="00F1641B">
        <w:rPr>
          <w:rFonts w:asciiTheme="minorHAnsi" w:hAnsiTheme="minorHAnsi" w:cstheme="minorHAnsi"/>
          <w:i/>
          <w:sz w:val="18"/>
          <w:szCs w:val="18"/>
        </w:rPr>
        <w:t xml:space="preserve">Analiza powiązań społeczno-gospodarczych (...), </w:t>
      </w:r>
      <w:r w:rsidRPr="00890249">
        <w:rPr>
          <w:rFonts w:asciiTheme="minorHAnsi" w:hAnsiTheme="minorHAnsi" w:cstheme="minorHAnsi"/>
          <w:sz w:val="18"/>
          <w:szCs w:val="18"/>
        </w:rPr>
        <w:t>op. cit.,</w:t>
      </w:r>
      <w:r w:rsidRPr="00D172FD">
        <w:rPr>
          <w:rFonts w:asciiTheme="minorHAnsi" w:hAnsiTheme="minorHAnsi" w:cstheme="minorHAnsi"/>
          <w:i/>
          <w:sz w:val="18"/>
          <w:szCs w:val="18"/>
        </w:rPr>
        <w:t xml:space="preserve">  </w:t>
      </w:r>
      <w:r w:rsidRPr="00F1641B">
        <w:rPr>
          <w:rFonts w:asciiTheme="minorHAnsi" w:hAnsiTheme="minorHAnsi" w:cstheme="minorHAnsi"/>
          <w:sz w:val="18"/>
          <w:szCs w:val="18"/>
        </w:rPr>
        <w:t>s.59.</w:t>
      </w:r>
    </w:p>
  </w:footnote>
  <w:footnote w:id="114">
    <w:p w14:paraId="60FF0CD8" w14:textId="77777777" w:rsidR="00F17884" w:rsidRPr="00B57384" w:rsidRDefault="00F17884" w:rsidP="001A2F7E">
      <w:pPr>
        <w:pStyle w:val="Tekstprzypisudolnego"/>
        <w:rPr>
          <w:rFonts w:asciiTheme="minorHAnsi" w:hAnsiTheme="minorHAnsi"/>
          <w:sz w:val="18"/>
          <w:szCs w:val="18"/>
        </w:rPr>
      </w:pPr>
      <w:r w:rsidRPr="00D172FD">
        <w:rPr>
          <w:rStyle w:val="Odwoanieprzypisudolnego"/>
          <w:rFonts w:asciiTheme="minorHAnsi" w:hAnsiTheme="minorHAnsi"/>
          <w:sz w:val="18"/>
          <w:szCs w:val="18"/>
        </w:rPr>
        <w:footnoteRef/>
      </w:r>
      <w:r w:rsidRPr="00D172FD">
        <w:rPr>
          <w:rFonts w:asciiTheme="minorHAnsi" w:hAnsiTheme="minorHAnsi"/>
          <w:i/>
          <w:sz w:val="18"/>
          <w:szCs w:val="18"/>
        </w:rPr>
        <w:t xml:space="preserve"> Strategia na rzecz Odpowiedzialnego Rozwoju do roku 2020 (z perspektywą do 2030 r.), Warszawa 2017</w:t>
      </w:r>
      <w:r w:rsidRPr="00F1641B">
        <w:rPr>
          <w:rFonts w:asciiTheme="minorHAnsi" w:hAnsiTheme="minorHAnsi"/>
          <w:sz w:val="18"/>
          <w:szCs w:val="18"/>
        </w:rPr>
        <w:t>, s.321.</w:t>
      </w:r>
    </w:p>
  </w:footnote>
  <w:footnote w:id="115">
    <w:p w14:paraId="339C9D86" w14:textId="77777777" w:rsidR="00F17884" w:rsidRPr="00EF00C3" w:rsidRDefault="00F17884" w:rsidP="007C1A58">
      <w:pPr>
        <w:pStyle w:val="Tekstprzypisudolnego"/>
        <w:ind w:left="284" w:hanging="284"/>
        <w:rPr>
          <w:rFonts w:asciiTheme="minorHAnsi" w:hAnsiTheme="minorHAnsi" w:cstheme="minorHAnsi"/>
          <w:sz w:val="18"/>
          <w:szCs w:val="18"/>
        </w:rPr>
      </w:pPr>
      <w:r w:rsidRPr="00EF00C3">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2F4BA4">
        <w:rPr>
          <w:rFonts w:asciiTheme="minorHAnsi" w:hAnsiTheme="minorHAnsi" w:cstheme="minorHAnsi"/>
          <w:i/>
          <w:sz w:val="18"/>
          <w:szCs w:val="18"/>
        </w:rPr>
        <w:t>Dokument roboczy służb Komisji – Spra</w:t>
      </w:r>
      <w:r>
        <w:rPr>
          <w:rFonts w:asciiTheme="minorHAnsi" w:hAnsiTheme="minorHAnsi" w:cstheme="minorHAnsi"/>
          <w:i/>
          <w:sz w:val="18"/>
          <w:szCs w:val="18"/>
        </w:rPr>
        <w:t>wozdanie krajowe – Polska 2019 (…), op. cit.</w:t>
      </w:r>
      <w:r w:rsidRPr="002F4BA4">
        <w:rPr>
          <w:rFonts w:asciiTheme="minorHAnsi" w:hAnsiTheme="minorHAnsi" w:cstheme="minorHAnsi"/>
          <w:sz w:val="18"/>
          <w:szCs w:val="18"/>
        </w:rPr>
        <w:t>,</w:t>
      </w:r>
      <w:r w:rsidRPr="00FA43F5">
        <w:rPr>
          <w:rFonts w:asciiTheme="minorHAnsi" w:hAnsiTheme="minorHAnsi" w:cstheme="minorHAnsi"/>
          <w:sz w:val="18"/>
          <w:szCs w:val="18"/>
        </w:rPr>
        <w:t xml:space="preserve">  s.</w:t>
      </w:r>
      <w:r w:rsidRPr="00BF71B7">
        <w:rPr>
          <w:rFonts w:asciiTheme="minorHAnsi" w:hAnsiTheme="minorHAnsi" w:cstheme="minorHAnsi"/>
          <w:sz w:val="18"/>
          <w:szCs w:val="18"/>
        </w:rPr>
        <w:t> </w:t>
      </w:r>
      <w:r w:rsidRPr="00EF00C3">
        <w:rPr>
          <w:rFonts w:asciiTheme="minorHAnsi" w:hAnsiTheme="minorHAnsi" w:cstheme="minorHAnsi"/>
          <w:sz w:val="18"/>
          <w:szCs w:val="18"/>
        </w:rPr>
        <w:t>68.</w:t>
      </w:r>
    </w:p>
  </w:footnote>
  <w:footnote w:id="116">
    <w:p w14:paraId="1A53FC77" w14:textId="77777777" w:rsidR="00F17884" w:rsidRPr="0042614A" w:rsidRDefault="00F17884" w:rsidP="00460D34">
      <w:pPr>
        <w:pStyle w:val="Tekstprzypisudolnego"/>
        <w:rPr>
          <w:sz w:val="18"/>
          <w:szCs w:val="18"/>
        </w:rPr>
      </w:pPr>
      <w:r w:rsidRPr="00360FDC">
        <w:rPr>
          <w:rStyle w:val="Odwoanieprzypisudolnego"/>
          <w:rFonts w:asciiTheme="minorHAnsi" w:hAnsiTheme="minorHAnsi" w:cstheme="minorHAnsi"/>
          <w:sz w:val="18"/>
          <w:szCs w:val="18"/>
        </w:rPr>
        <w:footnoteRef/>
      </w:r>
      <w:r w:rsidRPr="00360FDC">
        <w:rPr>
          <w:rFonts w:asciiTheme="minorHAnsi" w:hAnsiTheme="minorHAnsi" w:cstheme="minorHAnsi"/>
          <w:sz w:val="18"/>
          <w:szCs w:val="18"/>
        </w:rPr>
        <w:t xml:space="preserve"> </w:t>
      </w:r>
      <w:r>
        <w:rPr>
          <w:rFonts w:asciiTheme="minorHAnsi" w:hAnsiTheme="minorHAnsi" w:cstheme="minorHAnsi"/>
          <w:sz w:val="18"/>
          <w:szCs w:val="18"/>
        </w:rPr>
        <w:t>Z</w:t>
      </w:r>
      <w:r w:rsidRPr="00360FDC">
        <w:rPr>
          <w:rFonts w:asciiTheme="minorHAnsi" w:hAnsiTheme="minorHAnsi" w:cstheme="minorHAnsi"/>
          <w:sz w:val="18"/>
          <w:szCs w:val="18"/>
        </w:rPr>
        <w:t>godnie z art. 58 ust. 5</w:t>
      </w:r>
      <w:r w:rsidRPr="00360FDC">
        <w:rPr>
          <w:rFonts w:asciiTheme="minorHAnsi" w:hAnsiTheme="minorHAnsi" w:cstheme="minorHAnsi"/>
          <w:i/>
          <w:sz w:val="18"/>
          <w:szCs w:val="18"/>
        </w:rPr>
        <w:t xml:space="preserve"> </w:t>
      </w:r>
      <w:r w:rsidRPr="00360FDC">
        <w:rPr>
          <w:rFonts w:asciiTheme="minorHAnsi" w:hAnsiTheme="minorHAnsi" w:cstheme="minorHAnsi"/>
          <w:sz w:val="18"/>
          <w:szCs w:val="18"/>
        </w:rPr>
        <w:t>rozporządzenia</w:t>
      </w:r>
      <w:r w:rsidRPr="00360FDC">
        <w:rPr>
          <w:rFonts w:asciiTheme="minorHAnsi" w:eastAsia="Times New Roman" w:hAnsiTheme="minorHAnsi" w:cstheme="minorHAnsi"/>
          <w:sz w:val="18"/>
          <w:szCs w:val="18"/>
        </w:rPr>
        <w:t xml:space="preserve"> ogólnego</w:t>
      </w:r>
      <w:r>
        <w:rPr>
          <w:rFonts w:asciiTheme="minorHAnsi" w:eastAsia="Times New Roman" w:hAnsiTheme="minorHAnsi" w:cstheme="minorHAnsi"/>
          <w:sz w:val="18"/>
          <w:szCs w:val="18"/>
        </w:rPr>
        <w:t>.</w:t>
      </w:r>
    </w:p>
  </w:footnote>
  <w:footnote w:id="117">
    <w:p w14:paraId="23093274" w14:textId="77777777" w:rsidR="00F17884" w:rsidRPr="001B657D" w:rsidRDefault="00F17884" w:rsidP="00841049">
      <w:pPr>
        <w:pStyle w:val="Tekstprzypisudolnego"/>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i/>
          <w:sz w:val="18"/>
          <w:szCs w:val="18"/>
        </w:rPr>
        <w:t xml:space="preserve"> Województwo opolskie. Identyfikacja potencjałów i barier JST</w:t>
      </w:r>
      <w:r w:rsidRPr="001B657D">
        <w:rPr>
          <w:rFonts w:asciiTheme="minorHAnsi" w:hAnsiTheme="minorHAnsi" w:cstheme="minorHAnsi"/>
          <w:sz w:val="18"/>
          <w:szCs w:val="18"/>
        </w:rPr>
        <w:t xml:space="preserve"> (…), op. cit., s.21.</w:t>
      </w:r>
    </w:p>
  </w:footnote>
  <w:footnote w:id="118">
    <w:p w14:paraId="32E16216" w14:textId="77777777" w:rsidR="00F17884" w:rsidRPr="001B657D" w:rsidRDefault="00F17884" w:rsidP="00841049">
      <w:pPr>
        <w:pStyle w:val="Tekstprzypisudolnego"/>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sz w:val="18"/>
          <w:szCs w:val="18"/>
        </w:rPr>
        <w:t xml:space="preserve"> Krajowy Plan Zarządzania Kryzysowego 2017, część A, s.7.</w:t>
      </w:r>
    </w:p>
  </w:footnote>
  <w:footnote w:id="119">
    <w:p w14:paraId="0B7CA695" w14:textId="0F1B5A2C" w:rsidR="00F17884" w:rsidRPr="001B657D" w:rsidRDefault="00F17884" w:rsidP="00841049">
      <w:pPr>
        <w:pStyle w:val="Tekstprzypisudolnego"/>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i/>
          <w:sz w:val="18"/>
          <w:szCs w:val="18"/>
        </w:rPr>
        <w:t xml:space="preserve"> Raport 2018 o stanie (…), op. cit., </w:t>
      </w:r>
      <w:r w:rsidRPr="001B657D">
        <w:rPr>
          <w:rFonts w:asciiTheme="minorHAnsi" w:hAnsiTheme="minorHAnsi" w:cstheme="minorHAnsi"/>
          <w:sz w:val="18"/>
          <w:szCs w:val="18"/>
        </w:rPr>
        <w:t>s.64.</w:t>
      </w:r>
    </w:p>
  </w:footnote>
  <w:footnote w:id="120">
    <w:p w14:paraId="480F6BA2" w14:textId="77777777" w:rsidR="00F17884" w:rsidRPr="001B657D" w:rsidRDefault="00F17884" w:rsidP="00841049">
      <w:pPr>
        <w:pStyle w:val="Tekstprzypisudolnego"/>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i/>
          <w:sz w:val="18"/>
          <w:szCs w:val="18"/>
        </w:rPr>
        <w:t xml:space="preserve"> Województwo opolskie. Identyfikacja potencjałów i barier JST (…), </w:t>
      </w:r>
      <w:r w:rsidRPr="001B657D">
        <w:rPr>
          <w:rFonts w:asciiTheme="minorHAnsi" w:hAnsiTheme="minorHAnsi" w:cstheme="minorHAnsi"/>
          <w:sz w:val="18"/>
          <w:szCs w:val="18"/>
        </w:rPr>
        <w:t>op. cit., s.45.</w:t>
      </w:r>
    </w:p>
  </w:footnote>
  <w:footnote w:id="121">
    <w:p w14:paraId="12A106F6" w14:textId="77777777" w:rsidR="00F17884" w:rsidRPr="0043241C" w:rsidRDefault="00F17884" w:rsidP="001B657D">
      <w:pPr>
        <w:pStyle w:val="Tekstprzypisudolnego"/>
        <w:rPr>
          <w:rFonts w:asciiTheme="minorHAnsi" w:hAnsiTheme="minorHAnsi" w:cstheme="minorHAnsi"/>
          <w:sz w:val="18"/>
          <w:szCs w:val="18"/>
        </w:rPr>
      </w:pPr>
      <w:r w:rsidRPr="0043241C">
        <w:rPr>
          <w:rStyle w:val="Odwoanieprzypisudolnego"/>
          <w:rFonts w:asciiTheme="minorHAnsi" w:hAnsiTheme="minorHAnsi" w:cstheme="minorHAnsi"/>
          <w:sz w:val="18"/>
          <w:szCs w:val="18"/>
        </w:rPr>
        <w:footnoteRef/>
      </w:r>
      <w:r w:rsidRPr="0043241C">
        <w:rPr>
          <w:rFonts w:asciiTheme="minorHAnsi" w:hAnsiTheme="minorHAnsi" w:cstheme="minorHAnsi"/>
          <w:sz w:val="18"/>
          <w:szCs w:val="18"/>
        </w:rPr>
        <w:t xml:space="preserve"> </w:t>
      </w:r>
      <w:r w:rsidRPr="0043241C">
        <w:rPr>
          <w:rFonts w:asciiTheme="minorHAnsi" w:hAnsiTheme="minorHAnsi" w:cstheme="minorHAnsi"/>
          <w:i/>
          <w:sz w:val="18"/>
          <w:szCs w:val="18"/>
        </w:rPr>
        <w:t xml:space="preserve">Rocznik Statystyczny Leśnictwa, </w:t>
      </w:r>
      <w:r>
        <w:rPr>
          <w:rFonts w:asciiTheme="minorHAnsi" w:hAnsiTheme="minorHAnsi" w:cstheme="minorHAnsi"/>
          <w:sz w:val="18"/>
          <w:szCs w:val="18"/>
        </w:rPr>
        <w:t xml:space="preserve">GUS, </w:t>
      </w:r>
      <w:r w:rsidRPr="0043241C">
        <w:rPr>
          <w:rFonts w:asciiTheme="minorHAnsi" w:hAnsiTheme="minorHAnsi" w:cstheme="minorHAnsi"/>
          <w:sz w:val="18"/>
          <w:szCs w:val="18"/>
        </w:rPr>
        <w:t>Warszawa 2021, s. 135.</w:t>
      </w:r>
    </w:p>
  </w:footnote>
  <w:footnote w:id="122">
    <w:p w14:paraId="4694CE6E" w14:textId="275F14B1" w:rsidR="00F17884" w:rsidRPr="001B657D" w:rsidRDefault="00F17884" w:rsidP="009C3078">
      <w:pPr>
        <w:pStyle w:val="Tekstprzypisudolnego"/>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sz w:val="18"/>
          <w:szCs w:val="18"/>
        </w:rPr>
        <w:t xml:space="preserve"> Dane zebrane przez IZ RPO WO 2014-2020 wg stanu z 30 kwietnia 2019 r.</w:t>
      </w:r>
    </w:p>
  </w:footnote>
  <w:footnote w:id="123">
    <w:p w14:paraId="55C01B3D" w14:textId="77777777" w:rsidR="00F17884" w:rsidRPr="00850C8A" w:rsidRDefault="00F17884" w:rsidP="009C3078">
      <w:pPr>
        <w:pStyle w:val="Tekstprzypisudolnego"/>
        <w:ind w:left="284" w:hanging="284"/>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sz w:val="18"/>
          <w:szCs w:val="18"/>
        </w:rPr>
        <w:t xml:space="preserve"> Związek Ochotniczych Straży Pożarnych Rzeczypospolitej Polskiej, Oddział Wojewódzki Województwa Opolskiego, Opole 2012, sygn. OP-III/2/466/2012.</w:t>
      </w:r>
    </w:p>
  </w:footnote>
  <w:footnote w:id="124">
    <w:p w14:paraId="45E1E5BA" w14:textId="72E25512" w:rsidR="00F17884" w:rsidRPr="00C43CF3" w:rsidRDefault="00F17884" w:rsidP="00841049">
      <w:pPr>
        <w:pStyle w:val="Tekstprzypisudolnego"/>
        <w:rPr>
          <w:rFonts w:asciiTheme="minorHAnsi" w:hAnsiTheme="minorHAnsi" w:cstheme="minorHAnsi"/>
          <w:sz w:val="18"/>
          <w:szCs w:val="18"/>
        </w:rPr>
      </w:pPr>
      <w:r w:rsidRPr="001B657D">
        <w:rPr>
          <w:rStyle w:val="Odwoanieprzypisudolnego"/>
          <w:rFonts w:asciiTheme="minorHAnsi" w:hAnsiTheme="minorHAnsi" w:cstheme="minorHAnsi"/>
          <w:sz w:val="18"/>
          <w:szCs w:val="18"/>
        </w:rPr>
        <w:footnoteRef/>
      </w:r>
      <w:r w:rsidRPr="001B657D">
        <w:rPr>
          <w:rFonts w:asciiTheme="minorHAnsi" w:hAnsiTheme="minorHAnsi" w:cstheme="minorHAnsi"/>
          <w:i/>
          <w:sz w:val="18"/>
          <w:szCs w:val="18"/>
        </w:rPr>
        <w:t xml:space="preserve"> Polityka ekologiczna państwa 2030</w:t>
      </w:r>
      <w:r w:rsidRPr="001B657D">
        <w:rPr>
          <w:rFonts w:asciiTheme="minorHAnsi" w:hAnsiTheme="minorHAnsi" w:cstheme="minorHAnsi"/>
          <w:sz w:val="18"/>
          <w:szCs w:val="18"/>
        </w:rPr>
        <w:t>,</w:t>
      </w:r>
      <w:r>
        <w:rPr>
          <w:rFonts w:asciiTheme="minorHAnsi" w:hAnsiTheme="minorHAnsi" w:cstheme="minorHAnsi"/>
          <w:sz w:val="18"/>
          <w:szCs w:val="18"/>
        </w:rPr>
        <w:t xml:space="preserve"> (…) op. cit.</w:t>
      </w:r>
      <w:r w:rsidRPr="001B657D">
        <w:rPr>
          <w:rFonts w:asciiTheme="minorHAnsi" w:hAnsiTheme="minorHAnsi" w:cstheme="minorHAnsi"/>
          <w:sz w:val="18"/>
          <w:szCs w:val="18"/>
        </w:rPr>
        <w:t xml:space="preserve"> s. 41.</w:t>
      </w:r>
    </w:p>
  </w:footnote>
  <w:footnote w:id="125">
    <w:p w14:paraId="0636E000" w14:textId="77777777" w:rsidR="00F17884" w:rsidRPr="00850C8A" w:rsidRDefault="00F17884" w:rsidP="00890249">
      <w:pPr>
        <w:pStyle w:val="Tekstprzypisudolnego"/>
        <w:ind w:left="284" w:hanging="284"/>
        <w:rPr>
          <w:rFonts w:asciiTheme="minorHAnsi" w:hAnsiTheme="minorHAnsi" w:cstheme="minorHAnsi"/>
          <w:i/>
          <w:sz w:val="18"/>
          <w:szCs w:val="18"/>
        </w:rPr>
      </w:pPr>
      <w:r w:rsidRPr="00850C8A">
        <w:rPr>
          <w:rStyle w:val="Odwoanieprzypisudolnego"/>
          <w:rFonts w:asciiTheme="minorHAnsi" w:hAnsiTheme="minorHAnsi" w:cstheme="minorHAnsi"/>
          <w:sz w:val="18"/>
          <w:szCs w:val="18"/>
        </w:rPr>
        <w:footnoteRef/>
      </w:r>
      <w:r w:rsidRPr="00850C8A">
        <w:rPr>
          <w:rFonts w:asciiTheme="minorHAnsi" w:hAnsiTheme="minorHAnsi" w:cstheme="minorHAnsi"/>
          <w:sz w:val="18"/>
          <w:szCs w:val="18"/>
        </w:rPr>
        <w:t xml:space="preserve"> </w:t>
      </w:r>
      <w:r w:rsidRPr="00850C8A">
        <w:rPr>
          <w:rFonts w:asciiTheme="minorHAnsi" w:hAnsiTheme="minorHAnsi" w:cstheme="minorHAnsi"/>
          <w:i/>
          <w:sz w:val="18"/>
          <w:szCs w:val="18"/>
        </w:rPr>
        <w:t xml:space="preserve">Mikroretencja jako element zintegrowanego gospodarowania wodą, </w:t>
      </w:r>
      <w:r w:rsidRPr="00850C8A">
        <w:rPr>
          <w:rFonts w:asciiTheme="minorHAnsi" w:hAnsiTheme="minorHAnsi" w:cstheme="minorHAnsi"/>
          <w:sz w:val="18"/>
          <w:szCs w:val="18"/>
        </w:rPr>
        <w:t>[</w:t>
      </w:r>
      <w:r w:rsidRPr="00850C8A">
        <w:rPr>
          <w:rFonts w:asciiTheme="minorHAnsi" w:hAnsiTheme="minorHAnsi" w:cstheme="minorHAnsi"/>
          <w:i/>
          <w:sz w:val="18"/>
          <w:szCs w:val="18"/>
        </w:rPr>
        <w:t>w:] Zaopatrzenie w wodę, jakość i ochrona wód,  P. Kowalczyk s. 281, 296.</w:t>
      </w:r>
    </w:p>
  </w:footnote>
  <w:footnote w:id="126">
    <w:p w14:paraId="023C01CC" w14:textId="0EE25F66" w:rsidR="00F17884" w:rsidRPr="00717069" w:rsidRDefault="00F17884" w:rsidP="00841049">
      <w:pPr>
        <w:pStyle w:val="Tekstprzypisudolnego"/>
        <w:rPr>
          <w:rFonts w:asciiTheme="minorHAnsi" w:hAnsiTheme="minorHAnsi" w:cstheme="minorHAnsi"/>
          <w:sz w:val="18"/>
          <w:szCs w:val="18"/>
        </w:rPr>
      </w:pPr>
      <w:r w:rsidRPr="00717069">
        <w:rPr>
          <w:rStyle w:val="Odwoanieprzypisudolnego"/>
          <w:rFonts w:asciiTheme="minorHAnsi" w:hAnsiTheme="minorHAnsi" w:cstheme="minorHAnsi"/>
          <w:sz w:val="18"/>
          <w:szCs w:val="18"/>
        </w:rPr>
        <w:footnoteRef/>
      </w:r>
      <w:r w:rsidRPr="00717069">
        <w:rPr>
          <w:rFonts w:asciiTheme="minorHAnsi" w:hAnsiTheme="minorHAnsi" w:cstheme="minorHAnsi"/>
          <w:i/>
          <w:sz w:val="18"/>
          <w:szCs w:val="18"/>
        </w:rPr>
        <w:t xml:space="preserve"> Opolskie 2030 </w:t>
      </w:r>
      <w:r w:rsidRPr="00717069">
        <w:rPr>
          <w:rFonts w:asciiTheme="minorHAnsi" w:hAnsiTheme="minorHAnsi" w:cstheme="minorHAnsi"/>
          <w:sz w:val="18"/>
          <w:szCs w:val="18"/>
        </w:rPr>
        <w:t>(…), op. cit.</w:t>
      </w:r>
      <w:r>
        <w:rPr>
          <w:rFonts w:asciiTheme="minorHAnsi" w:hAnsiTheme="minorHAnsi" w:cstheme="minorHAnsi"/>
          <w:sz w:val="18"/>
          <w:szCs w:val="18"/>
        </w:rPr>
        <w:t>,</w:t>
      </w:r>
      <w:r w:rsidRPr="00717069">
        <w:rPr>
          <w:rFonts w:asciiTheme="minorHAnsi" w:hAnsiTheme="minorHAnsi" w:cstheme="minorHAnsi"/>
          <w:sz w:val="18"/>
          <w:szCs w:val="18"/>
        </w:rPr>
        <w:t>s.25.</w:t>
      </w:r>
    </w:p>
  </w:footnote>
  <w:footnote w:id="127">
    <w:p w14:paraId="531D9F83" w14:textId="77777777" w:rsidR="00F17884" w:rsidRPr="0043241C" w:rsidRDefault="00F17884" w:rsidP="00E657D3">
      <w:pPr>
        <w:pStyle w:val="Tekstprzypisudolnego"/>
        <w:ind w:left="0" w:firstLine="0"/>
        <w:rPr>
          <w:rFonts w:asciiTheme="minorHAnsi" w:hAnsiTheme="minorHAnsi" w:cstheme="minorHAnsi"/>
          <w:sz w:val="18"/>
          <w:szCs w:val="18"/>
        </w:rPr>
      </w:pPr>
      <w:r w:rsidRPr="00717069">
        <w:rPr>
          <w:rStyle w:val="Odwoanieprzypisudolnego"/>
          <w:rFonts w:asciiTheme="minorHAnsi" w:hAnsiTheme="minorHAnsi" w:cstheme="minorHAnsi"/>
          <w:sz w:val="18"/>
          <w:szCs w:val="18"/>
        </w:rPr>
        <w:footnoteRef/>
      </w:r>
      <w:r w:rsidRPr="00717069">
        <w:rPr>
          <w:rFonts w:asciiTheme="minorHAnsi" w:hAnsiTheme="minorHAnsi" w:cstheme="minorHAnsi"/>
          <w:i/>
          <w:sz w:val="18"/>
          <w:szCs w:val="18"/>
        </w:rPr>
        <w:t>Dokument roboczy służb Komisji – Sprawozdanie krajowe – Polska 2019 (…)</w:t>
      </w:r>
      <w:r w:rsidRPr="00717069">
        <w:rPr>
          <w:rFonts w:asciiTheme="minorHAnsi" w:hAnsiTheme="minorHAnsi" w:cstheme="minorHAnsi"/>
          <w:sz w:val="18"/>
          <w:szCs w:val="18"/>
        </w:rPr>
        <w:t>, op. cit.,</w:t>
      </w:r>
      <w:r w:rsidRPr="009D37AE">
        <w:rPr>
          <w:rFonts w:asciiTheme="minorHAnsi" w:hAnsiTheme="minorHAnsi" w:cstheme="minorHAnsi"/>
          <w:sz w:val="18"/>
          <w:szCs w:val="18"/>
        </w:rPr>
        <w:t xml:space="preserve"> s. 69.</w:t>
      </w:r>
    </w:p>
  </w:footnote>
  <w:footnote w:id="128">
    <w:p w14:paraId="0BC51423" w14:textId="05A98174" w:rsidR="00F17884" w:rsidRPr="00890249" w:rsidRDefault="00F17884" w:rsidP="00890249">
      <w:pPr>
        <w:pStyle w:val="Tekstprzypisukocowego"/>
        <w:rPr>
          <w:rFonts w:asciiTheme="minorHAnsi" w:hAnsiTheme="minorHAnsi" w:cstheme="minorHAnsi"/>
          <w:i/>
          <w:sz w:val="18"/>
          <w:szCs w:val="18"/>
        </w:rPr>
      </w:pPr>
      <w:r w:rsidRPr="00110559">
        <w:rPr>
          <w:rStyle w:val="Odwoanieprzypisudolnego"/>
          <w:rFonts w:asciiTheme="minorHAnsi" w:hAnsiTheme="minorHAnsi" w:cstheme="minorHAnsi"/>
          <w:sz w:val="18"/>
          <w:szCs w:val="18"/>
        </w:rPr>
        <w:footnoteRef/>
      </w:r>
      <w:r w:rsidRPr="00CB4E53">
        <w:rPr>
          <w:rFonts w:asciiTheme="minorHAnsi" w:hAnsiTheme="minorHAnsi" w:cstheme="minorHAnsi"/>
          <w:sz w:val="18"/>
          <w:szCs w:val="18"/>
        </w:rPr>
        <w:t xml:space="preserve"> </w:t>
      </w:r>
      <w:r w:rsidRPr="00CB4E53">
        <w:t xml:space="preserve"> </w:t>
      </w:r>
      <w:hyperlink r:id="rId10" w:history="1">
        <w:r w:rsidRPr="00890249">
          <w:rPr>
            <w:rFonts w:asciiTheme="minorHAnsi" w:hAnsiTheme="minorHAnsi" w:cstheme="minorHAnsi"/>
            <w:sz w:val="18"/>
            <w:szCs w:val="18"/>
            <w:u w:val="single"/>
          </w:rPr>
          <w:t>https://bdl.stat.gov.pl/BDL/start</w:t>
        </w:r>
      </w:hyperlink>
      <w:r w:rsidRPr="00890249">
        <w:rPr>
          <w:rFonts w:asciiTheme="minorHAnsi" w:hAnsiTheme="minorHAnsi" w:cstheme="minorHAnsi"/>
          <w:sz w:val="18"/>
          <w:szCs w:val="18"/>
          <w:u w:val="single"/>
        </w:rPr>
        <w:t>.</w:t>
      </w:r>
    </w:p>
  </w:footnote>
  <w:footnote w:id="129">
    <w:p w14:paraId="22A23884" w14:textId="77777777" w:rsidR="00F17884" w:rsidRPr="0094012E" w:rsidRDefault="00F17884" w:rsidP="009516D3">
      <w:pPr>
        <w:pStyle w:val="Tekstprzypisudolnego"/>
        <w:contextualSpacing/>
        <w:rPr>
          <w:rFonts w:asciiTheme="minorHAnsi" w:hAnsiTheme="minorHAnsi" w:cstheme="minorHAnsi"/>
          <w:sz w:val="18"/>
          <w:szCs w:val="18"/>
        </w:rPr>
      </w:pPr>
      <w:r w:rsidRPr="00D172FD">
        <w:rPr>
          <w:rStyle w:val="Odwoanieprzypisudolnego"/>
          <w:rFonts w:asciiTheme="minorHAnsi" w:hAnsiTheme="minorHAnsi"/>
          <w:sz w:val="18"/>
          <w:szCs w:val="18"/>
        </w:rPr>
        <w:footnoteRef/>
      </w:r>
      <w:r w:rsidRPr="00D172FD">
        <w:rPr>
          <w:rFonts w:asciiTheme="minorHAnsi" w:hAnsiTheme="minorHAnsi"/>
          <w:sz w:val="18"/>
          <w:szCs w:val="18"/>
        </w:rPr>
        <w:t xml:space="preserve"> </w:t>
      </w:r>
      <w:r w:rsidRPr="00F1641B">
        <w:rPr>
          <w:rFonts w:asciiTheme="minorHAnsi" w:hAnsiTheme="minorHAnsi" w:cstheme="minorHAnsi"/>
          <w:sz w:val="18"/>
          <w:szCs w:val="18"/>
        </w:rPr>
        <w:t xml:space="preserve">Ekspertyza z badania pn. </w:t>
      </w:r>
      <w:r w:rsidRPr="00F1641B">
        <w:rPr>
          <w:rFonts w:asciiTheme="minorHAnsi" w:hAnsiTheme="minorHAnsi" w:cstheme="minorHAnsi"/>
          <w:i/>
          <w:sz w:val="18"/>
          <w:szCs w:val="18"/>
        </w:rPr>
        <w:t>Analiza powiązań</w:t>
      </w:r>
      <w:r w:rsidRPr="0094012E">
        <w:rPr>
          <w:rFonts w:asciiTheme="minorHAnsi" w:hAnsiTheme="minorHAnsi" w:cstheme="minorHAnsi"/>
          <w:i/>
          <w:sz w:val="18"/>
          <w:szCs w:val="18"/>
        </w:rPr>
        <w:t xml:space="preserve"> społeczno-gospodarczych (…), </w:t>
      </w:r>
      <w:r w:rsidRPr="00890249">
        <w:rPr>
          <w:rFonts w:asciiTheme="minorHAnsi" w:hAnsiTheme="minorHAnsi" w:cstheme="minorHAnsi"/>
          <w:sz w:val="18"/>
          <w:szCs w:val="18"/>
        </w:rPr>
        <w:t>op. cit.,</w:t>
      </w:r>
      <w:r w:rsidRPr="0094012E">
        <w:rPr>
          <w:rFonts w:asciiTheme="minorHAnsi" w:hAnsiTheme="minorHAnsi" w:cstheme="minorHAnsi"/>
          <w:i/>
          <w:sz w:val="18"/>
          <w:szCs w:val="18"/>
        </w:rPr>
        <w:t xml:space="preserve"> </w:t>
      </w:r>
      <w:r w:rsidRPr="0094012E">
        <w:rPr>
          <w:rFonts w:asciiTheme="minorHAnsi" w:hAnsiTheme="minorHAnsi" w:cstheme="minorHAnsi"/>
          <w:sz w:val="18"/>
          <w:szCs w:val="18"/>
        </w:rPr>
        <w:t>s. 54-59.</w:t>
      </w:r>
    </w:p>
  </w:footnote>
  <w:footnote w:id="130">
    <w:p w14:paraId="445EE377" w14:textId="3FB77DC3" w:rsidR="00F17884" w:rsidRPr="0094012E" w:rsidRDefault="00F17884" w:rsidP="00FD5E2F">
      <w:pPr>
        <w:pStyle w:val="Tekstprzypisudolnego"/>
        <w:ind w:left="0" w:firstLine="0"/>
        <w:jc w:val="left"/>
        <w:rPr>
          <w:rFonts w:asciiTheme="minorHAnsi" w:hAnsiTheme="minorHAnsi" w:cstheme="minorHAnsi"/>
          <w:sz w:val="18"/>
          <w:szCs w:val="18"/>
        </w:rPr>
      </w:pPr>
      <w:r w:rsidRPr="0094012E">
        <w:rPr>
          <w:rStyle w:val="Odwoanieprzypisudolnego"/>
          <w:rFonts w:asciiTheme="minorHAnsi" w:hAnsiTheme="minorHAnsi" w:cstheme="minorHAnsi"/>
          <w:sz w:val="18"/>
          <w:szCs w:val="18"/>
        </w:rPr>
        <w:footnoteRef/>
      </w:r>
      <w:r w:rsidRPr="0094012E">
        <w:rPr>
          <w:rFonts w:asciiTheme="minorHAnsi" w:hAnsiTheme="minorHAnsi" w:cstheme="minorHAnsi"/>
          <w:sz w:val="18"/>
          <w:szCs w:val="18"/>
        </w:rPr>
        <w:t xml:space="preserve"> </w:t>
      </w:r>
      <w:r w:rsidRPr="00330863">
        <w:rPr>
          <w:rFonts w:asciiTheme="minorHAnsi" w:hAnsiTheme="minorHAnsi" w:cstheme="minorHAnsi"/>
          <w:i/>
          <w:sz w:val="18"/>
          <w:szCs w:val="18"/>
        </w:rPr>
        <w:t>VI aktualizacja Krajowego (…),</w:t>
      </w:r>
      <w:r w:rsidRPr="00330863">
        <w:rPr>
          <w:rFonts w:asciiTheme="minorHAnsi" w:hAnsiTheme="minorHAnsi" w:cstheme="minorHAnsi"/>
          <w:sz w:val="18"/>
          <w:szCs w:val="18"/>
        </w:rPr>
        <w:t xml:space="preserve"> op.</w:t>
      </w:r>
      <w:r>
        <w:rPr>
          <w:rFonts w:asciiTheme="minorHAnsi" w:hAnsiTheme="minorHAnsi" w:cstheme="minorHAnsi"/>
          <w:sz w:val="18"/>
          <w:szCs w:val="18"/>
        </w:rPr>
        <w:t xml:space="preserve"> </w:t>
      </w:r>
      <w:r w:rsidRPr="00330863">
        <w:rPr>
          <w:rFonts w:asciiTheme="minorHAnsi" w:hAnsiTheme="minorHAnsi" w:cstheme="minorHAnsi"/>
          <w:sz w:val="18"/>
          <w:szCs w:val="18"/>
        </w:rPr>
        <w:t>cit</w:t>
      </w:r>
      <w:r>
        <w:rPr>
          <w:rFonts w:asciiTheme="minorHAnsi" w:hAnsiTheme="minorHAnsi" w:cstheme="minorHAnsi"/>
          <w:sz w:val="18"/>
          <w:szCs w:val="18"/>
        </w:rPr>
        <w:t>.</w:t>
      </w:r>
      <w:r w:rsidRPr="00330863">
        <w:rPr>
          <w:rFonts w:asciiTheme="minorHAnsi" w:hAnsiTheme="minorHAnsi" w:cstheme="minorHAnsi"/>
          <w:sz w:val="18"/>
          <w:szCs w:val="18"/>
        </w:rPr>
        <w:t xml:space="preserve"> </w:t>
      </w:r>
    </w:p>
  </w:footnote>
  <w:footnote w:id="131">
    <w:p w14:paraId="074918F6" w14:textId="77777777" w:rsidR="00F17884" w:rsidRPr="008B5334" w:rsidRDefault="00F17884">
      <w:pPr>
        <w:pStyle w:val="Tekstprzypisudolnego"/>
        <w:rPr>
          <w:rFonts w:asciiTheme="minorHAnsi" w:hAnsiTheme="minorHAnsi" w:cstheme="minorHAnsi"/>
          <w:sz w:val="18"/>
          <w:szCs w:val="18"/>
        </w:rPr>
      </w:pPr>
      <w:r w:rsidRPr="008B5334">
        <w:rPr>
          <w:rStyle w:val="Odwoanieprzypisudolnego"/>
          <w:rFonts w:asciiTheme="minorHAnsi" w:hAnsiTheme="minorHAnsi" w:cstheme="minorHAnsi"/>
          <w:sz w:val="18"/>
          <w:szCs w:val="18"/>
        </w:rPr>
        <w:footnoteRef/>
      </w:r>
      <w:r w:rsidRPr="008B5334">
        <w:rPr>
          <w:rFonts w:asciiTheme="minorHAnsi" w:hAnsiTheme="minorHAnsi" w:cstheme="minorHAnsi"/>
          <w:sz w:val="18"/>
          <w:szCs w:val="18"/>
        </w:rPr>
        <w:t xml:space="preserve"> </w:t>
      </w:r>
      <w:r>
        <w:rPr>
          <w:rFonts w:asciiTheme="minorHAnsi" w:hAnsiTheme="minorHAnsi" w:cstheme="minorHAnsi"/>
          <w:sz w:val="18"/>
          <w:szCs w:val="18"/>
        </w:rPr>
        <w:t>Sprawozdanie krajowe – Polska 2019, s. 60.</w:t>
      </w:r>
    </w:p>
  </w:footnote>
  <w:footnote w:id="132">
    <w:p w14:paraId="1A4F48D8" w14:textId="77777777" w:rsidR="00F17884" w:rsidRPr="0094012E" w:rsidRDefault="00F17884" w:rsidP="009516D3">
      <w:pPr>
        <w:pStyle w:val="Tekstprzypisudolnego"/>
        <w:rPr>
          <w:rFonts w:asciiTheme="minorHAnsi" w:hAnsiTheme="minorHAnsi" w:cstheme="minorHAnsi"/>
          <w:sz w:val="18"/>
          <w:szCs w:val="18"/>
        </w:rPr>
      </w:pPr>
      <w:r w:rsidRPr="0094012E">
        <w:rPr>
          <w:rStyle w:val="Odwoanieprzypisudolnego"/>
          <w:rFonts w:asciiTheme="minorHAnsi" w:hAnsiTheme="minorHAnsi" w:cstheme="minorHAnsi"/>
          <w:sz w:val="18"/>
          <w:szCs w:val="18"/>
        </w:rPr>
        <w:footnoteRef/>
      </w:r>
      <w:r w:rsidRPr="0094012E">
        <w:rPr>
          <w:rFonts w:asciiTheme="minorHAnsi" w:hAnsiTheme="minorHAnsi" w:cstheme="minorHAnsi"/>
          <w:sz w:val="18"/>
          <w:szCs w:val="18"/>
        </w:rPr>
        <w:t xml:space="preserve"> Ekspertyza z badania pn. </w:t>
      </w:r>
      <w:r w:rsidRPr="0094012E">
        <w:rPr>
          <w:rFonts w:asciiTheme="minorHAnsi" w:hAnsiTheme="minorHAnsi" w:cstheme="minorHAnsi"/>
          <w:i/>
          <w:sz w:val="18"/>
          <w:szCs w:val="18"/>
        </w:rPr>
        <w:t xml:space="preserve">Analiza powiązań społeczno-gospodarczych (…), </w:t>
      </w:r>
      <w:r w:rsidRPr="00890249">
        <w:rPr>
          <w:rFonts w:asciiTheme="minorHAnsi" w:hAnsiTheme="minorHAnsi" w:cstheme="minorHAnsi"/>
          <w:sz w:val="18"/>
          <w:szCs w:val="18"/>
        </w:rPr>
        <w:t>op. cit.,</w:t>
      </w:r>
      <w:r w:rsidRPr="0094012E">
        <w:rPr>
          <w:rFonts w:asciiTheme="minorHAnsi" w:hAnsiTheme="minorHAnsi" w:cstheme="minorHAnsi"/>
          <w:i/>
          <w:sz w:val="18"/>
          <w:szCs w:val="18"/>
        </w:rPr>
        <w:t xml:space="preserve"> </w:t>
      </w:r>
      <w:r w:rsidRPr="0094012E">
        <w:rPr>
          <w:rFonts w:asciiTheme="minorHAnsi" w:hAnsiTheme="minorHAnsi" w:cstheme="minorHAnsi"/>
          <w:sz w:val="18"/>
          <w:szCs w:val="18"/>
        </w:rPr>
        <w:t>s.59.</w:t>
      </w:r>
    </w:p>
  </w:footnote>
  <w:footnote w:id="133">
    <w:p w14:paraId="6EAA5823" w14:textId="7D60826B" w:rsidR="00F17884" w:rsidRPr="00890249" w:rsidRDefault="00F17884" w:rsidP="00890249">
      <w:pPr>
        <w:pStyle w:val="Tekstprzypisukocowego"/>
        <w:rPr>
          <w:rFonts w:asciiTheme="minorHAnsi" w:hAnsiTheme="minorHAnsi" w:cstheme="minorHAnsi"/>
          <w:i/>
          <w:color w:val="1F497D"/>
          <w:sz w:val="18"/>
          <w:szCs w:val="18"/>
        </w:rPr>
      </w:pPr>
      <w:r w:rsidRPr="0094012E">
        <w:rPr>
          <w:rStyle w:val="Odwoanieprzypisudolnego"/>
          <w:rFonts w:asciiTheme="minorHAnsi" w:hAnsiTheme="minorHAnsi" w:cstheme="minorHAnsi"/>
          <w:sz w:val="18"/>
          <w:szCs w:val="18"/>
        </w:rPr>
        <w:footnoteRef/>
      </w:r>
      <w:r w:rsidRPr="00CB4E53">
        <w:rPr>
          <w:rFonts w:asciiTheme="minorHAnsi" w:hAnsiTheme="minorHAnsi" w:cstheme="minorHAnsi"/>
          <w:sz w:val="18"/>
          <w:szCs w:val="18"/>
        </w:rPr>
        <w:t xml:space="preserve"> </w:t>
      </w:r>
      <w:hyperlink r:id="rId11" w:history="1">
        <w:r w:rsidRPr="00890249">
          <w:rPr>
            <w:rFonts w:asciiTheme="minorHAnsi" w:hAnsiTheme="minorHAnsi" w:cstheme="minorHAnsi"/>
            <w:sz w:val="18"/>
            <w:szCs w:val="18"/>
            <w:u w:val="single"/>
          </w:rPr>
          <w:t>https://bdl.stat.gov.pl/BDL/start</w:t>
        </w:r>
      </w:hyperlink>
      <w:r w:rsidRPr="00890249">
        <w:rPr>
          <w:rFonts w:asciiTheme="minorHAnsi" w:hAnsiTheme="minorHAnsi" w:cstheme="minorHAnsi"/>
          <w:sz w:val="18"/>
          <w:szCs w:val="18"/>
          <w:u w:val="single"/>
        </w:rPr>
        <w:t>.</w:t>
      </w:r>
    </w:p>
  </w:footnote>
  <w:footnote w:id="134">
    <w:p w14:paraId="18043678" w14:textId="77777777" w:rsidR="00F17884" w:rsidRPr="0094012E" w:rsidRDefault="00F17884">
      <w:pPr>
        <w:pStyle w:val="Tekstprzypisudolnego"/>
        <w:rPr>
          <w:rFonts w:asciiTheme="minorHAnsi" w:hAnsiTheme="minorHAnsi" w:cstheme="minorHAnsi"/>
          <w:sz w:val="18"/>
          <w:szCs w:val="18"/>
        </w:rPr>
      </w:pPr>
      <w:r w:rsidRPr="0094012E">
        <w:rPr>
          <w:rStyle w:val="Odwoanieprzypisudolnego"/>
          <w:rFonts w:asciiTheme="minorHAnsi" w:hAnsiTheme="minorHAnsi" w:cstheme="minorHAnsi"/>
          <w:sz w:val="18"/>
          <w:szCs w:val="18"/>
        </w:rPr>
        <w:footnoteRef/>
      </w:r>
      <w:r w:rsidRPr="0094012E">
        <w:rPr>
          <w:rFonts w:asciiTheme="minorHAnsi" w:hAnsiTheme="minorHAnsi" w:cstheme="minorHAnsi"/>
          <w:sz w:val="18"/>
          <w:szCs w:val="18"/>
        </w:rPr>
        <w:t xml:space="preserve"> Stan sanitarno – higieniczny województwa opolskiego za rok 2020:</w:t>
      </w:r>
    </w:p>
    <w:p w14:paraId="74AA67E4" w14:textId="7A2C43DF" w:rsidR="00F17884" w:rsidRDefault="00F17884">
      <w:pPr>
        <w:pStyle w:val="Tekstprzypisudolnego"/>
      </w:pPr>
      <w:r w:rsidRPr="0094012E">
        <w:rPr>
          <w:rFonts w:asciiTheme="minorHAnsi" w:hAnsiTheme="minorHAnsi" w:cstheme="minorHAnsi"/>
          <w:sz w:val="18"/>
          <w:szCs w:val="18"/>
        </w:rPr>
        <w:t xml:space="preserve"> https://www.gov.pl/web/wsse-opole/ocena-stanu-sanitarnego-wojewodztwa</w:t>
      </w:r>
      <w:r>
        <w:rPr>
          <w:rFonts w:asciiTheme="minorHAnsi" w:hAnsiTheme="minorHAnsi" w:cstheme="minorHAnsi"/>
          <w:sz w:val="18"/>
          <w:szCs w:val="18"/>
        </w:rPr>
        <w:t>.</w:t>
      </w:r>
    </w:p>
  </w:footnote>
  <w:footnote w:id="135">
    <w:p w14:paraId="48608EE9" w14:textId="77777777" w:rsidR="00F17884" w:rsidRPr="00EF00C3" w:rsidRDefault="00F17884" w:rsidP="002D49A8">
      <w:pPr>
        <w:pStyle w:val="Tekstprzypisudolnego"/>
        <w:ind w:left="284" w:hanging="284"/>
        <w:rPr>
          <w:rFonts w:asciiTheme="minorHAnsi" w:hAnsiTheme="minorHAnsi" w:cstheme="minorHAnsi"/>
          <w:sz w:val="18"/>
          <w:szCs w:val="18"/>
        </w:rPr>
      </w:pPr>
      <w:r w:rsidRPr="00EF00C3">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2F4BA4">
        <w:rPr>
          <w:rFonts w:asciiTheme="minorHAnsi" w:hAnsiTheme="minorHAnsi" w:cstheme="minorHAnsi"/>
          <w:i/>
          <w:sz w:val="18"/>
          <w:szCs w:val="18"/>
        </w:rPr>
        <w:t>Dokument roboczy służb Komisji – Spra</w:t>
      </w:r>
      <w:r>
        <w:rPr>
          <w:rFonts w:asciiTheme="minorHAnsi" w:hAnsiTheme="minorHAnsi" w:cstheme="minorHAnsi"/>
          <w:i/>
          <w:sz w:val="18"/>
          <w:szCs w:val="18"/>
        </w:rPr>
        <w:t>wozdanie krajowe – Polska 2019 (…)</w:t>
      </w:r>
      <w:r w:rsidRPr="002F4BA4">
        <w:rPr>
          <w:rFonts w:asciiTheme="minorHAnsi" w:hAnsiTheme="minorHAnsi" w:cstheme="minorHAnsi"/>
          <w:sz w:val="18"/>
          <w:szCs w:val="18"/>
        </w:rPr>
        <w:t>,</w:t>
      </w:r>
      <w:r>
        <w:rPr>
          <w:rFonts w:asciiTheme="minorHAnsi" w:hAnsiTheme="minorHAnsi" w:cstheme="minorHAnsi"/>
          <w:sz w:val="18"/>
          <w:szCs w:val="18"/>
        </w:rPr>
        <w:t>op. cit.,</w:t>
      </w:r>
      <w:r w:rsidRPr="00FA43F5">
        <w:rPr>
          <w:rFonts w:asciiTheme="minorHAnsi" w:hAnsiTheme="minorHAnsi" w:cstheme="minorHAnsi"/>
          <w:sz w:val="18"/>
          <w:szCs w:val="18"/>
        </w:rPr>
        <w:t xml:space="preserve"> s.</w:t>
      </w:r>
      <w:r w:rsidRPr="00BF71B7">
        <w:rPr>
          <w:rFonts w:asciiTheme="minorHAnsi" w:hAnsiTheme="minorHAnsi" w:cstheme="minorHAnsi"/>
          <w:sz w:val="18"/>
          <w:szCs w:val="18"/>
        </w:rPr>
        <w:t> 68.</w:t>
      </w:r>
    </w:p>
  </w:footnote>
  <w:footnote w:id="136">
    <w:p w14:paraId="3B576EDD" w14:textId="7A78483D" w:rsidR="00F17884" w:rsidRPr="00B57384" w:rsidRDefault="00F17884" w:rsidP="000D2470">
      <w:pPr>
        <w:pStyle w:val="Tekstprzypisudolnego"/>
        <w:ind w:left="0" w:firstLine="0"/>
        <w:rPr>
          <w:rFonts w:asciiTheme="minorHAnsi" w:hAnsiTheme="minorHAnsi"/>
          <w:sz w:val="18"/>
          <w:szCs w:val="18"/>
        </w:rPr>
      </w:pPr>
      <w:r w:rsidRPr="00B57384">
        <w:rPr>
          <w:rStyle w:val="Odwoanieprzypisudolnego"/>
          <w:rFonts w:asciiTheme="minorHAnsi" w:hAnsiTheme="minorHAnsi"/>
          <w:sz w:val="18"/>
          <w:szCs w:val="18"/>
        </w:rPr>
        <w:footnoteRef/>
      </w:r>
      <w:r>
        <w:rPr>
          <w:rFonts w:asciiTheme="minorHAnsi" w:hAnsiTheme="minorHAnsi" w:cs="Calibri"/>
          <w:i/>
          <w:sz w:val="18"/>
          <w:szCs w:val="18"/>
        </w:rPr>
        <w:t xml:space="preserve"> </w:t>
      </w:r>
      <w:r w:rsidRPr="00B57384">
        <w:rPr>
          <w:rFonts w:asciiTheme="minorHAnsi" w:hAnsiTheme="minorHAnsi" w:cs="Calibri"/>
          <w:i/>
          <w:sz w:val="18"/>
          <w:szCs w:val="18"/>
        </w:rPr>
        <w:t xml:space="preserve">Raport 2018 o stanie </w:t>
      </w:r>
      <w:r>
        <w:rPr>
          <w:rFonts w:asciiTheme="minorHAnsi" w:hAnsiTheme="minorHAnsi"/>
          <w:i/>
          <w:sz w:val="18"/>
          <w:szCs w:val="18"/>
        </w:rPr>
        <w:t>(…)</w:t>
      </w:r>
      <w:r>
        <w:rPr>
          <w:rFonts w:asciiTheme="minorHAnsi" w:hAnsiTheme="minorHAnsi"/>
          <w:sz w:val="18"/>
          <w:szCs w:val="18"/>
        </w:rPr>
        <w:t>, op. cit.</w:t>
      </w:r>
      <w:r w:rsidRPr="00B57384">
        <w:rPr>
          <w:rFonts w:asciiTheme="minorHAnsi" w:hAnsiTheme="minorHAnsi" w:cs="Calibri"/>
          <w:sz w:val="18"/>
          <w:szCs w:val="18"/>
        </w:rPr>
        <w:t xml:space="preserve">, </w:t>
      </w:r>
      <w:r w:rsidRPr="003F4482">
        <w:rPr>
          <w:rFonts w:asciiTheme="minorHAnsi" w:hAnsiTheme="minorHAnsi" w:cs="Calibri"/>
          <w:sz w:val="18"/>
          <w:szCs w:val="18"/>
        </w:rPr>
        <w:t>s.60.</w:t>
      </w:r>
    </w:p>
  </w:footnote>
  <w:footnote w:id="137">
    <w:p w14:paraId="2444F58B" w14:textId="3F2AE0E8" w:rsidR="00F17884" w:rsidRPr="00B05B0E" w:rsidRDefault="00F17884" w:rsidP="000D2470">
      <w:pPr>
        <w:pStyle w:val="Tekstprzypisudolnego"/>
        <w:rPr>
          <w:rFonts w:asciiTheme="minorHAnsi" w:hAnsiTheme="minorHAnsi"/>
          <w:sz w:val="18"/>
          <w:szCs w:val="18"/>
        </w:rPr>
      </w:pPr>
      <w:r w:rsidRPr="00B57384">
        <w:rPr>
          <w:rStyle w:val="Odwoanieprzypisudolnego"/>
          <w:rFonts w:asciiTheme="minorHAnsi" w:hAnsiTheme="minorHAnsi"/>
          <w:sz w:val="18"/>
          <w:szCs w:val="18"/>
        </w:rPr>
        <w:footnoteRef/>
      </w:r>
      <w:r>
        <w:rPr>
          <w:rFonts w:asciiTheme="minorHAnsi" w:hAnsiTheme="minorHAnsi"/>
          <w:i/>
          <w:sz w:val="18"/>
          <w:szCs w:val="18"/>
        </w:rPr>
        <w:t xml:space="preserve"> </w:t>
      </w:r>
      <w:r w:rsidRPr="00B05B0E">
        <w:rPr>
          <w:rFonts w:asciiTheme="minorHAnsi" w:hAnsiTheme="minorHAnsi"/>
          <w:i/>
          <w:sz w:val="18"/>
          <w:szCs w:val="18"/>
        </w:rPr>
        <w:t>Plan gospodarki odpadami</w:t>
      </w:r>
      <w:r>
        <w:rPr>
          <w:rFonts w:asciiTheme="minorHAnsi" w:hAnsiTheme="minorHAnsi"/>
          <w:i/>
          <w:sz w:val="18"/>
          <w:szCs w:val="18"/>
        </w:rPr>
        <w:t xml:space="preserve">(…) op. cit., </w:t>
      </w:r>
      <w:r w:rsidRPr="00B05B0E">
        <w:rPr>
          <w:rFonts w:asciiTheme="minorHAnsi" w:hAnsiTheme="minorHAnsi"/>
          <w:sz w:val="18"/>
          <w:szCs w:val="18"/>
        </w:rPr>
        <w:t xml:space="preserve"> s.55.</w:t>
      </w:r>
    </w:p>
  </w:footnote>
  <w:footnote w:id="138">
    <w:p w14:paraId="048CA67F" w14:textId="77777777" w:rsidR="00F17884" w:rsidRPr="00B05B0E" w:rsidRDefault="00F17884" w:rsidP="000D2470">
      <w:pPr>
        <w:pStyle w:val="Tekstprzypisudolnego"/>
        <w:rPr>
          <w:rFonts w:asciiTheme="minorHAnsi" w:hAnsiTheme="minorHAnsi"/>
          <w:sz w:val="18"/>
          <w:szCs w:val="18"/>
        </w:rPr>
      </w:pPr>
      <w:r w:rsidRPr="00B05B0E">
        <w:rPr>
          <w:rStyle w:val="Odwoanieprzypisudolnego"/>
          <w:rFonts w:asciiTheme="minorHAnsi" w:hAnsiTheme="minorHAnsi"/>
          <w:sz w:val="18"/>
          <w:szCs w:val="18"/>
        </w:rPr>
        <w:footnoteRef/>
      </w:r>
      <w:r w:rsidRPr="00B05B0E">
        <w:rPr>
          <w:rFonts w:asciiTheme="minorHAnsi" w:hAnsiTheme="minorHAnsi"/>
          <w:sz w:val="18"/>
          <w:szCs w:val="18"/>
        </w:rPr>
        <w:t xml:space="preserve"> Ekspertyza z badania pn. </w:t>
      </w:r>
      <w:r w:rsidRPr="00B05B0E">
        <w:rPr>
          <w:rFonts w:asciiTheme="minorHAnsi" w:hAnsiTheme="minorHAnsi"/>
          <w:i/>
          <w:sz w:val="18"/>
          <w:szCs w:val="18"/>
        </w:rPr>
        <w:t>Analiza powiązań społeczno-gospodarczych (...),</w:t>
      </w:r>
      <w:r>
        <w:rPr>
          <w:rFonts w:asciiTheme="minorHAnsi" w:hAnsiTheme="minorHAnsi"/>
          <w:i/>
          <w:sz w:val="18"/>
          <w:szCs w:val="18"/>
        </w:rPr>
        <w:t xml:space="preserve"> </w:t>
      </w:r>
      <w:r w:rsidRPr="00892BEE">
        <w:rPr>
          <w:rFonts w:asciiTheme="minorHAnsi" w:hAnsiTheme="minorHAnsi"/>
          <w:sz w:val="18"/>
          <w:szCs w:val="18"/>
        </w:rPr>
        <w:t>op. cit.,</w:t>
      </w:r>
      <w:r w:rsidRPr="00B05B0E">
        <w:rPr>
          <w:rFonts w:asciiTheme="minorHAnsi" w:hAnsiTheme="minorHAnsi"/>
          <w:i/>
          <w:sz w:val="18"/>
          <w:szCs w:val="18"/>
        </w:rPr>
        <w:t xml:space="preserve"> </w:t>
      </w:r>
      <w:r w:rsidRPr="00B05B0E">
        <w:rPr>
          <w:rFonts w:asciiTheme="minorHAnsi" w:hAnsiTheme="minorHAnsi"/>
          <w:sz w:val="18"/>
          <w:szCs w:val="18"/>
        </w:rPr>
        <w:t>s.59.</w:t>
      </w:r>
    </w:p>
  </w:footnote>
  <w:footnote w:id="139">
    <w:p w14:paraId="22DC172D" w14:textId="77777777" w:rsidR="00F17884" w:rsidRPr="00B05B0E" w:rsidRDefault="00F17884" w:rsidP="000D2470">
      <w:pPr>
        <w:pStyle w:val="Tekstprzypisudolnego"/>
        <w:rPr>
          <w:rFonts w:asciiTheme="minorHAnsi" w:hAnsiTheme="minorHAnsi"/>
          <w:sz w:val="18"/>
          <w:szCs w:val="18"/>
        </w:rPr>
      </w:pPr>
      <w:r w:rsidRPr="00B05B0E">
        <w:rPr>
          <w:rStyle w:val="Odwoanieprzypisudolnego"/>
          <w:rFonts w:asciiTheme="minorHAnsi" w:hAnsiTheme="minorHAnsi"/>
          <w:sz w:val="18"/>
          <w:szCs w:val="18"/>
        </w:rPr>
        <w:footnoteRef/>
      </w:r>
      <w:r w:rsidRPr="00B05B0E">
        <w:rPr>
          <w:rFonts w:asciiTheme="minorHAnsi" w:hAnsiTheme="minorHAnsi"/>
          <w:i/>
          <w:sz w:val="18"/>
          <w:szCs w:val="18"/>
        </w:rPr>
        <w:t xml:space="preserve"> Plan gospodarki odpadami (...)</w:t>
      </w:r>
      <w:r w:rsidRPr="00B05B0E">
        <w:rPr>
          <w:rFonts w:asciiTheme="minorHAnsi" w:hAnsiTheme="minorHAnsi"/>
          <w:sz w:val="18"/>
          <w:szCs w:val="18"/>
        </w:rPr>
        <w:t xml:space="preserve">, </w:t>
      </w:r>
      <w:r>
        <w:rPr>
          <w:rFonts w:asciiTheme="minorHAnsi" w:hAnsiTheme="minorHAnsi"/>
          <w:sz w:val="18"/>
          <w:szCs w:val="18"/>
        </w:rPr>
        <w:t xml:space="preserve">op. cit., </w:t>
      </w:r>
      <w:r w:rsidRPr="00B05B0E">
        <w:rPr>
          <w:rFonts w:asciiTheme="minorHAnsi" w:hAnsiTheme="minorHAnsi"/>
          <w:sz w:val="18"/>
          <w:szCs w:val="18"/>
        </w:rPr>
        <w:t>s.260.</w:t>
      </w:r>
    </w:p>
  </w:footnote>
  <w:footnote w:id="140">
    <w:p w14:paraId="7071E64C" w14:textId="77777777" w:rsidR="00F17884" w:rsidRPr="00B05B0E" w:rsidRDefault="00F17884" w:rsidP="00E657D3">
      <w:pPr>
        <w:pStyle w:val="Tekstprzypisudolnego"/>
        <w:ind w:left="142" w:hanging="142"/>
        <w:rPr>
          <w:rFonts w:asciiTheme="minorHAnsi" w:hAnsiTheme="minorHAnsi"/>
          <w:sz w:val="18"/>
          <w:szCs w:val="18"/>
        </w:rPr>
      </w:pPr>
      <w:r w:rsidRPr="00B05B0E">
        <w:rPr>
          <w:rStyle w:val="Odwoanieprzypisudolnego"/>
          <w:rFonts w:asciiTheme="minorHAnsi" w:hAnsiTheme="minorHAnsi"/>
          <w:sz w:val="18"/>
          <w:szCs w:val="18"/>
        </w:rPr>
        <w:footnoteRef/>
      </w:r>
      <w:r>
        <w:rPr>
          <w:rFonts w:asciiTheme="minorHAnsi" w:hAnsiTheme="minorHAnsi"/>
          <w:i/>
          <w:sz w:val="18"/>
          <w:szCs w:val="18"/>
        </w:rPr>
        <w:t xml:space="preserve"> Dokument roboczy służb Komisji – Sprawozdanie krajowe – Polska 2019 (…)</w:t>
      </w:r>
      <w:r>
        <w:rPr>
          <w:rFonts w:asciiTheme="minorHAnsi" w:hAnsiTheme="minorHAnsi"/>
          <w:sz w:val="18"/>
          <w:szCs w:val="18"/>
        </w:rPr>
        <w:t>, op. cit.,</w:t>
      </w:r>
      <w:r>
        <w:rPr>
          <w:rFonts w:asciiTheme="minorHAnsi" w:hAnsiTheme="minorHAnsi" w:cstheme="minorHAnsi"/>
          <w:sz w:val="18"/>
        </w:rPr>
        <w:t xml:space="preserve"> s. 69</w:t>
      </w:r>
      <w:r w:rsidRPr="00537940">
        <w:rPr>
          <w:rFonts w:asciiTheme="minorHAnsi" w:hAnsiTheme="minorHAnsi" w:cstheme="minorHAnsi"/>
          <w:sz w:val="18"/>
        </w:rPr>
        <w:t>.</w:t>
      </w:r>
    </w:p>
  </w:footnote>
  <w:footnote w:id="141">
    <w:p w14:paraId="5C9CE05A" w14:textId="6B030C81" w:rsidR="00F17884" w:rsidRPr="003E3F15" w:rsidRDefault="00F17884" w:rsidP="00C31270">
      <w:pPr>
        <w:pStyle w:val="Tekstprzypisudolnego"/>
        <w:rPr>
          <w:rFonts w:asciiTheme="minorHAnsi" w:hAnsiTheme="minorHAnsi" w:cstheme="minorHAnsi"/>
          <w:sz w:val="18"/>
          <w:szCs w:val="18"/>
        </w:rPr>
      </w:pPr>
      <w:r w:rsidRPr="00060ED4">
        <w:rPr>
          <w:rStyle w:val="Odwoanieprzypisudolnego"/>
          <w:rFonts w:asciiTheme="minorHAnsi" w:hAnsiTheme="minorHAnsi" w:cstheme="minorHAnsi"/>
          <w:sz w:val="18"/>
          <w:szCs w:val="18"/>
        </w:rPr>
        <w:footnoteRef/>
      </w:r>
      <w:r w:rsidRPr="00060ED4">
        <w:rPr>
          <w:rFonts w:asciiTheme="minorHAnsi" w:hAnsiTheme="minorHAnsi" w:cstheme="minorHAnsi"/>
          <w:i/>
          <w:sz w:val="18"/>
          <w:szCs w:val="18"/>
        </w:rPr>
        <w:t xml:space="preserve"> </w:t>
      </w:r>
      <w:r w:rsidRPr="003E3F15">
        <w:rPr>
          <w:rFonts w:asciiTheme="minorHAnsi" w:hAnsiTheme="minorHAnsi" w:cstheme="minorHAnsi"/>
          <w:i/>
          <w:sz w:val="18"/>
          <w:szCs w:val="18"/>
        </w:rPr>
        <w:t xml:space="preserve">Raport 2018 o stanie (…), </w:t>
      </w:r>
      <w:r w:rsidRPr="003E3F15">
        <w:rPr>
          <w:rFonts w:asciiTheme="minorHAnsi" w:hAnsiTheme="minorHAnsi" w:cstheme="minorHAnsi"/>
          <w:sz w:val="18"/>
          <w:szCs w:val="18"/>
        </w:rPr>
        <w:t>op. cit., s.12.</w:t>
      </w:r>
    </w:p>
  </w:footnote>
  <w:footnote w:id="142">
    <w:p w14:paraId="0957C885" w14:textId="77777777" w:rsidR="00F17884" w:rsidRPr="008D2EFD" w:rsidRDefault="00F17884" w:rsidP="00D86957">
      <w:pPr>
        <w:pStyle w:val="Tekstprzypisudolnego"/>
        <w:tabs>
          <w:tab w:val="left" w:pos="3105"/>
        </w:tabs>
        <w:rPr>
          <w:rFonts w:asciiTheme="minorHAnsi" w:hAnsiTheme="minorHAnsi" w:cstheme="minorHAnsi"/>
          <w:sz w:val="18"/>
          <w:szCs w:val="18"/>
        </w:rPr>
      </w:pPr>
      <w:r w:rsidRPr="00255933">
        <w:rPr>
          <w:rStyle w:val="Odwoanieprzypisudolnego"/>
          <w:rFonts w:asciiTheme="minorHAnsi" w:hAnsiTheme="minorHAnsi" w:cstheme="minorHAnsi"/>
          <w:sz w:val="18"/>
          <w:szCs w:val="18"/>
        </w:rPr>
        <w:footnoteRef/>
      </w:r>
      <w:r w:rsidRPr="00255933">
        <w:rPr>
          <w:rFonts w:asciiTheme="minorHAnsi" w:hAnsiTheme="minorHAnsi" w:cstheme="minorHAnsi"/>
          <w:i/>
          <w:sz w:val="18"/>
          <w:szCs w:val="18"/>
        </w:rPr>
        <w:t xml:space="preserve"> </w:t>
      </w:r>
      <w:r w:rsidRPr="00890249">
        <w:rPr>
          <w:rFonts w:asciiTheme="minorHAnsi" w:hAnsiTheme="minorHAnsi" w:cstheme="minorHAnsi"/>
          <w:sz w:val="18"/>
          <w:szCs w:val="18"/>
        </w:rPr>
        <w:t>Ibidem,</w:t>
      </w:r>
      <w:r w:rsidRPr="00D172FD">
        <w:rPr>
          <w:rFonts w:asciiTheme="minorHAnsi" w:hAnsiTheme="minorHAnsi" w:cstheme="minorHAnsi"/>
          <w:sz w:val="18"/>
          <w:szCs w:val="18"/>
        </w:rPr>
        <w:t xml:space="preserve"> s.26-36.</w:t>
      </w:r>
      <w:r w:rsidRPr="008D2EFD">
        <w:rPr>
          <w:rFonts w:asciiTheme="minorHAnsi" w:hAnsiTheme="minorHAnsi" w:cstheme="minorHAnsi"/>
          <w:sz w:val="18"/>
          <w:szCs w:val="18"/>
        </w:rPr>
        <w:tab/>
      </w:r>
    </w:p>
  </w:footnote>
  <w:footnote w:id="143">
    <w:p w14:paraId="07B45868" w14:textId="77777777" w:rsidR="00F17884" w:rsidRPr="00A20FC6" w:rsidRDefault="00F17884" w:rsidP="00717069">
      <w:pPr>
        <w:pStyle w:val="Tekstprzypisudolnego"/>
        <w:ind w:left="0" w:firstLine="0"/>
        <w:rPr>
          <w:rFonts w:asciiTheme="minorHAnsi" w:hAnsiTheme="minorHAnsi" w:cstheme="minorHAnsi"/>
          <w:sz w:val="18"/>
          <w:szCs w:val="18"/>
        </w:rPr>
      </w:pPr>
      <w:r w:rsidRPr="00A20FC6">
        <w:rPr>
          <w:rStyle w:val="Odwoanieprzypisudolnego"/>
          <w:rFonts w:asciiTheme="minorHAnsi" w:hAnsiTheme="minorHAnsi" w:cstheme="minorHAnsi"/>
          <w:sz w:val="18"/>
          <w:szCs w:val="18"/>
        </w:rPr>
        <w:footnoteRef/>
      </w:r>
      <w:r w:rsidRPr="00A20FC6">
        <w:rPr>
          <w:rFonts w:asciiTheme="minorHAnsi" w:hAnsiTheme="minorHAnsi" w:cstheme="minorHAnsi"/>
          <w:sz w:val="18"/>
          <w:szCs w:val="18"/>
        </w:rPr>
        <w:t xml:space="preserve"> Wsparcie może być udzielane w przypadkach, gdy podmiot odpowiedzialny za degradację terenu czy też nielegalne składowanie odpadów nie może zostać zidentyfikowany lub</w:t>
      </w:r>
      <w:r w:rsidRPr="00455932">
        <w:rPr>
          <w:rFonts w:asciiTheme="minorHAnsi" w:hAnsiTheme="minorHAnsi" w:cstheme="minorHAnsi"/>
          <w:sz w:val="18"/>
          <w:szCs w:val="18"/>
        </w:rPr>
        <w:t xml:space="preserve"> nie może zostać obarczony odpowiedzialnością za sfinansowanie remediacji lub rekultywacji zgodnie z zasadą „zanieczyszczający </w:t>
      </w:r>
      <w:r w:rsidRPr="00A20FC6">
        <w:rPr>
          <w:rFonts w:asciiTheme="minorHAnsi" w:hAnsiTheme="minorHAnsi" w:cstheme="minorHAnsi"/>
          <w:sz w:val="18"/>
          <w:szCs w:val="18"/>
        </w:rPr>
        <w:t>płaci” oraz Dyrektywą 2004/35/WE Parlamentu Europejskiego i Rady z dnia 21 kwietnia 2004 r. w sprawie odpowiedzialności za środowisko w odniesieniu do zapobiegania i zaradzania szkodom wyrządzonym środowisku naturalnemu.</w:t>
      </w:r>
    </w:p>
  </w:footnote>
  <w:footnote w:id="144">
    <w:p w14:paraId="2CB04933" w14:textId="6F03A41A" w:rsidR="00F17884" w:rsidRPr="00BA2F8E" w:rsidRDefault="00F17884" w:rsidP="00BF7E91">
      <w:pPr>
        <w:pStyle w:val="Tekstprzypisudolnego"/>
        <w:tabs>
          <w:tab w:val="left" w:pos="0"/>
        </w:tabs>
        <w:ind w:left="0" w:firstLine="0"/>
        <w:rPr>
          <w:sz w:val="18"/>
          <w:szCs w:val="18"/>
        </w:rPr>
      </w:pPr>
      <w:r w:rsidRPr="00BA2F8E">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t>
      </w:r>
      <w:r w:rsidRPr="00BA2F8E">
        <w:rPr>
          <w:rFonts w:asciiTheme="minorHAnsi" w:hAnsiTheme="minorHAnsi" w:cstheme="minorHAnsi"/>
          <w:sz w:val="18"/>
          <w:szCs w:val="18"/>
        </w:rPr>
        <w:t xml:space="preserve"> Z wyłączeniem finansowania kosztów składowania i dostarczenia azbestu na składowisko</w:t>
      </w:r>
      <w:r>
        <w:rPr>
          <w:rFonts w:asciiTheme="minorHAnsi" w:hAnsiTheme="minorHAnsi" w:cstheme="minorHAnsi"/>
          <w:sz w:val="18"/>
          <w:szCs w:val="18"/>
        </w:rPr>
        <w:t xml:space="preserve"> oraz jego utylizacji. Dopuszcza się, </w:t>
      </w:r>
      <w:r w:rsidRPr="00BF7E91">
        <w:rPr>
          <w:rFonts w:asciiTheme="minorHAnsi" w:hAnsiTheme="minorHAnsi" w:cstheme="minorHAnsi"/>
          <w:sz w:val="18"/>
          <w:szCs w:val="18"/>
        </w:rPr>
        <w:t>jako uzupełniający element projektów</w:t>
      </w:r>
      <w:r>
        <w:rPr>
          <w:rFonts w:asciiTheme="minorHAnsi" w:hAnsiTheme="minorHAnsi" w:cstheme="minorHAnsi"/>
          <w:sz w:val="18"/>
          <w:szCs w:val="18"/>
        </w:rPr>
        <w:t>,</w:t>
      </w:r>
      <w:r w:rsidRPr="00BF7E91">
        <w:rPr>
          <w:rFonts w:asciiTheme="minorHAnsi" w:hAnsiTheme="minorHAnsi" w:cstheme="minorHAnsi"/>
          <w:sz w:val="18"/>
          <w:szCs w:val="18"/>
        </w:rPr>
        <w:t xml:space="preserve"> </w:t>
      </w:r>
      <w:r>
        <w:rPr>
          <w:rFonts w:asciiTheme="minorHAnsi" w:hAnsiTheme="minorHAnsi" w:cstheme="minorHAnsi"/>
          <w:sz w:val="18"/>
          <w:szCs w:val="18"/>
        </w:rPr>
        <w:t xml:space="preserve">wydatki związane ze zwiększeniem efektywności energetycznej budynku, np. ocieplenie dachu po usunięciu azbestu </w:t>
      </w:r>
      <w:r w:rsidRPr="00BF7E91">
        <w:rPr>
          <w:rFonts w:asciiTheme="minorHAnsi" w:hAnsiTheme="minorHAnsi" w:cstheme="minorHAnsi"/>
          <w:sz w:val="18"/>
          <w:szCs w:val="18"/>
        </w:rPr>
        <w:t xml:space="preserve">(limit na poziomie projektu: </w:t>
      </w:r>
      <w:r>
        <w:rPr>
          <w:rFonts w:asciiTheme="minorHAnsi" w:hAnsiTheme="minorHAnsi" w:cstheme="minorHAnsi"/>
          <w:sz w:val="18"/>
          <w:szCs w:val="18"/>
        </w:rPr>
        <w:t>40</w:t>
      </w:r>
      <w:r w:rsidRPr="00BF7E91">
        <w:rPr>
          <w:rFonts w:asciiTheme="minorHAnsi" w:hAnsiTheme="minorHAnsi" w:cstheme="minorHAnsi"/>
          <w:sz w:val="18"/>
          <w:szCs w:val="18"/>
        </w:rPr>
        <w:t>%</w:t>
      </w:r>
      <w:r>
        <w:rPr>
          <w:rFonts w:asciiTheme="minorHAnsi" w:hAnsiTheme="minorHAnsi" w:cstheme="minorHAnsi"/>
          <w:sz w:val="18"/>
          <w:szCs w:val="18"/>
        </w:rPr>
        <w:t xml:space="preserve"> jego</w:t>
      </w:r>
      <w:r w:rsidRPr="00BF7E91">
        <w:rPr>
          <w:rFonts w:asciiTheme="minorHAnsi" w:hAnsiTheme="minorHAnsi" w:cstheme="minorHAnsi"/>
          <w:sz w:val="18"/>
          <w:szCs w:val="18"/>
        </w:rPr>
        <w:t xml:space="preserve"> kosztów)</w:t>
      </w:r>
      <w:r>
        <w:rPr>
          <w:rFonts w:asciiTheme="minorHAnsi" w:hAnsiTheme="minorHAnsi" w:cstheme="minorHAnsi"/>
          <w:sz w:val="18"/>
          <w:szCs w:val="18"/>
        </w:rPr>
        <w:t>.</w:t>
      </w:r>
    </w:p>
  </w:footnote>
  <w:footnote w:id="145">
    <w:p w14:paraId="01F504F2" w14:textId="77777777" w:rsidR="00F17884" w:rsidRPr="00EF00C3" w:rsidRDefault="00F17884" w:rsidP="000806AB">
      <w:pPr>
        <w:pStyle w:val="Tekstprzypisudolnego"/>
        <w:ind w:left="284" w:hanging="284"/>
        <w:rPr>
          <w:rFonts w:asciiTheme="minorHAnsi" w:hAnsiTheme="minorHAnsi"/>
          <w:sz w:val="18"/>
          <w:szCs w:val="18"/>
        </w:rPr>
      </w:pPr>
      <w:r w:rsidRPr="00EF00C3">
        <w:rPr>
          <w:rStyle w:val="Odwoanieprzypisudolnego"/>
          <w:rFonts w:asciiTheme="minorHAnsi" w:hAnsiTheme="minorHAnsi"/>
          <w:sz w:val="18"/>
          <w:szCs w:val="18"/>
        </w:rPr>
        <w:footnoteRef/>
      </w:r>
      <w:r>
        <w:rPr>
          <w:rFonts w:asciiTheme="minorHAnsi" w:hAnsiTheme="minorHAnsi"/>
          <w:i/>
          <w:sz w:val="18"/>
          <w:szCs w:val="18"/>
        </w:rPr>
        <w:t xml:space="preserve"> </w:t>
      </w:r>
      <w:r w:rsidRPr="00E657D3">
        <w:rPr>
          <w:rFonts w:asciiTheme="minorHAnsi" w:hAnsiTheme="minorHAnsi"/>
          <w:i/>
          <w:sz w:val="18"/>
          <w:szCs w:val="18"/>
        </w:rPr>
        <w:t>Dokument roboczy służb Komisji – Spra</w:t>
      </w:r>
      <w:r>
        <w:rPr>
          <w:rFonts w:asciiTheme="minorHAnsi" w:hAnsiTheme="minorHAnsi"/>
          <w:i/>
          <w:sz w:val="18"/>
          <w:szCs w:val="18"/>
        </w:rPr>
        <w:t>wozdanie krajowe – Polska 2019 (…)</w:t>
      </w:r>
      <w:r w:rsidRPr="00E657D3">
        <w:rPr>
          <w:rFonts w:asciiTheme="minorHAnsi" w:hAnsiTheme="minorHAnsi"/>
          <w:sz w:val="18"/>
          <w:szCs w:val="18"/>
        </w:rPr>
        <w:t>,</w:t>
      </w:r>
      <w:r>
        <w:rPr>
          <w:rFonts w:asciiTheme="minorHAnsi" w:hAnsiTheme="minorHAnsi"/>
          <w:sz w:val="18"/>
          <w:szCs w:val="18"/>
        </w:rPr>
        <w:t xml:space="preserve"> op. cit.,</w:t>
      </w:r>
      <w:r w:rsidRPr="00E657D3">
        <w:rPr>
          <w:rFonts w:asciiTheme="minorHAnsi" w:hAnsiTheme="minorHAnsi"/>
          <w:sz w:val="18"/>
          <w:szCs w:val="18"/>
        </w:rPr>
        <w:t xml:space="preserve"> s.70.</w:t>
      </w:r>
    </w:p>
  </w:footnote>
  <w:footnote w:id="146">
    <w:p w14:paraId="2FCB5C1B" w14:textId="16168FC3" w:rsidR="00F17884" w:rsidRPr="002F4757" w:rsidRDefault="00F17884" w:rsidP="000806AB">
      <w:pPr>
        <w:pStyle w:val="Tekstprzypisudolnego"/>
        <w:ind w:left="142" w:hanging="142"/>
        <w:rPr>
          <w:rFonts w:asciiTheme="minorHAnsi" w:hAnsiTheme="minorHAnsi"/>
          <w:sz w:val="18"/>
          <w:szCs w:val="18"/>
        </w:rPr>
      </w:pPr>
      <w:r w:rsidRPr="002F4757">
        <w:rPr>
          <w:rStyle w:val="Odwoanieprzypisudolnego"/>
          <w:rFonts w:asciiTheme="minorHAnsi" w:hAnsiTheme="minorHAnsi"/>
          <w:sz w:val="18"/>
          <w:szCs w:val="18"/>
        </w:rPr>
        <w:footnoteRef/>
      </w:r>
      <w:r>
        <w:rPr>
          <w:rFonts w:asciiTheme="minorHAnsi" w:hAnsiTheme="minorHAnsi"/>
          <w:sz w:val="18"/>
          <w:szCs w:val="18"/>
        </w:rPr>
        <w:t xml:space="preserve"> </w:t>
      </w:r>
      <w:r w:rsidRPr="00890249">
        <w:rPr>
          <w:rFonts w:asciiTheme="minorHAnsi" w:hAnsiTheme="minorHAnsi"/>
          <w:i/>
          <w:sz w:val="18"/>
          <w:szCs w:val="18"/>
        </w:rPr>
        <w:t xml:space="preserve">Program Ochrony Środowiska dla Województwa Opolskiego na lata </w:t>
      </w:r>
      <w:r>
        <w:rPr>
          <w:rFonts w:asciiTheme="minorHAnsi" w:hAnsiTheme="minorHAnsi"/>
          <w:i/>
          <w:sz w:val="18"/>
          <w:szCs w:val="18"/>
        </w:rPr>
        <w:t>2021-2027</w:t>
      </w:r>
      <w:r w:rsidRPr="002F4757">
        <w:rPr>
          <w:rFonts w:asciiTheme="minorHAnsi" w:hAnsiTheme="minorHAnsi"/>
          <w:sz w:val="18"/>
          <w:szCs w:val="18"/>
        </w:rPr>
        <w:t>, Opole</w:t>
      </w:r>
      <w:r>
        <w:rPr>
          <w:rFonts w:asciiTheme="minorHAnsi" w:hAnsiTheme="minorHAnsi"/>
          <w:sz w:val="18"/>
          <w:szCs w:val="18"/>
        </w:rPr>
        <w:t xml:space="preserve"> 2021</w:t>
      </w:r>
      <w:r w:rsidRPr="002F4757">
        <w:rPr>
          <w:rFonts w:asciiTheme="minorHAnsi" w:hAnsiTheme="minorHAnsi"/>
          <w:sz w:val="18"/>
          <w:szCs w:val="18"/>
        </w:rPr>
        <w:t>, s.</w:t>
      </w:r>
      <w:r>
        <w:rPr>
          <w:rFonts w:asciiTheme="minorHAnsi" w:hAnsiTheme="minorHAnsi"/>
          <w:sz w:val="18"/>
          <w:szCs w:val="18"/>
        </w:rPr>
        <w:t>33</w:t>
      </w:r>
      <w:r w:rsidRPr="002F4757">
        <w:rPr>
          <w:rFonts w:asciiTheme="minorHAnsi" w:hAnsiTheme="minorHAnsi"/>
          <w:sz w:val="18"/>
          <w:szCs w:val="18"/>
        </w:rPr>
        <w:t>.</w:t>
      </w:r>
    </w:p>
  </w:footnote>
  <w:footnote w:id="147">
    <w:p w14:paraId="248AADEC" w14:textId="77777777" w:rsidR="00F17884" w:rsidRPr="00C43CF3" w:rsidRDefault="00F17884" w:rsidP="006100D7">
      <w:pPr>
        <w:pStyle w:val="Tekstprzypisudolnego"/>
        <w:ind w:left="284" w:hanging="284"/>
        <w:rPr>
          <w:rFonts w:asciiTheme="minorHAnsi" w:hAnsiTheme="minorHAnsi" w:cstheme="minorHAnsi"/>
          <w:sz w:val="18"/>
          <w:szCs w:val="18"/>
        </w:rPr>
      </w:pPr>
      <w:r w:rsidRPr="00C43CF3">
        <w:rPr>
          <w:rStyle w:val="Odwoanieprzypisudolnego"/>
          <w:rFonts w:asciiTheme="minorHAnsi" w:hAnsiTheme="minorHAnsi" w:cstheme="minorHAnsi"/>
          <w:sz w:val="18"/>
          <w:szCs w:val="18"/>
        </w:rPr>
        <w:footnoteRef/>
      </w:r>
      <w:r w:rsidRPr="00C43CF3">
        <w:rPr>
          <w:rFonts w:asciiTheme="minorHAnsi" w:hAnsiTheme="minorHAnsi" w:cstheme="minorHAnsi"/>
          <w:sz w:val="18"/>
          <w:szCs w:val="18"/>
        </w:rPr>
        <w:t xml:space="preserve"> </w:t>
      </w:r>
      <w:r w:rsidRPr="006100D7">
        <w:rPr>
          <w:rFonts w:asciiTheme="minorHAnsi" w:hAnsiTheme="minorHAnsi" w:cstheme="minorHAnsi"/>
          <w:sz w:val="18"/>
          <w:szCs w:val="18"/>
        </w:rPr>
        <w:t xml:space="preserve">Dyrektywa Parlamentu Europejskiego i Rady (UE) 2019/1161 z dnia 20 czerwca 2019 r. zmieniająca dyrektywę 2009/33/WE w sprawie promowania ekologicznie czystych i energooszczędnych pojazdów transportu drogowego </w:t>
      </w:r>
      <w:r>
        <w:rPr>
          <w:rFonts w:asciiTheme="minorHAnsi" w:hAnsiTheme="minorHAnsi" w:cstheme="minorHAnsi"/>
          <w:sz w:val="18"/>
          <w:szCs w:val="18"/>
        </w:rPr>
        <w:br/>
      </w:r>
      <w:r w:rsidRPr="006100D7">
        <w:rPr>
          <w:rFonts w:asciiTheme="minorHAnsi" w:hAnsiTheme="minorHAnsi" w:cstheme="minorHAnsi"/>
          <w:sz w:val="18"/>
          <w:szCs w:val="18"/>
        </w:rPr>
        <w:t>(Dz. U. UE. L. z 2019 r. Nr 188, str. 116)</w:t>
      </w:r>
      <w:r>
        <w:rPr>
          <w:rFonts w:asciiTheme="minorHAnsi" w:hAnsiTheme="minorHAnsi" w:cstheme="minorHAnsi"/>
          <w:sz w:val="18"/>
          <w:szCs w:val="18"/>
        </w:rPr>
        <w:t>.</w:t>
      </w:r>
    </w:p>
  </w:footnote>
  <w:footnote w:id="148">
    <w:p w14:paraId="773EEBDB" w14:textId="77777777" w:rsidR="00F17884" w:rsidRPr="002B468B" w:rsidRDefault="00F17884" w:rsidP="000806AB">
      <w:pPr>
        <w:pStyle w:val="Tekstprzypisudolnego"/>
        <w:ind w:left="284" w:hanging="284"/>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F1641B">
        <w:rPr>
          <w:rFonts w:asciiTheme="minorHAnsi" w:hAnsiTheme="minorHAnsi" w:cstheme="minorHAnsi"/>
          <w:i/>
          <w:sz w:val="18"/>
          <w:szCs w:val="18"/>
        </w:rPr>
        <w:t xml:space="preserve"> Dokument roboczy służb Komisji – Sprawozdanie krajowe – Polska 2019 </w:t>
      </w:r>
      <w:r w:rsidRPr="00F1641B">
        <w:rPr>
          <w:rFonts w:asciiTheme="minorHAnsi" w:hAnsiTheme="minorHAnsi" w:cstheme="minorHAnsi"/>
          <w:sz w:val="18"/>
          <w:szCs w:val="18"/>
        </w:rPr>
        <w:t>(…), op. cit.,s.70.</w:t>
      </w:r>
    </w:p>
  </w:footnote>
  <w:footnote w:id="149">
    <w:p w14:paraId="43EB2872" w14:textId="4BC5F3E4" w:rsidR="00F17884" w:rsidRPr="00890249" w:rsidRDefault="00F17884" w:rsidP="000806AB">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Umowy Partnerstwa z dnia </w:t>
      </w:r>
      <w:r w:rsidRPr="00890249">
        <w:rPr>
          <w:rFonts w:asciiTheme="minorHAnsi" w:hAnsiTheme="minorHAnsi" w:cstheme="minorHAnsi"/>
          <w:color w:val="1F497D"/>
          <w:sz w:val="18"/>
          <w:szCs w:val="18"/>
        </w:rPr>
        <w:t>30</w:t>
      </w:r>
      <w:r w:rsidRPr="00890249">
        <w:rPr>
          <w:rFonts w:asciiTheme="minorHAnsi" w:hAnsiTheme="minorHAnsi" w:cstheme="minorHAnsi"/>
          <w:sz w:val="18"/>
          <w:szCs w:val="18"/>
        </w:rPr>
        <w:t>/0</w:t>
      </w:r>
      <w:r w:rsidRPr="00890249">
        <w:rPr>
          <w:rFonts w:asciiTheme="minorHAnsi" w:hAnsiTheme="minorHAnsi" w:cstheme="minorHAnsi"/>
          <w:color w:val="1F497D"/>
          <w:sz w:val="18"/>
          <w:szCs w:val="18"/>
        </w:rPr>
        <w:t>6</w:t>
      </w:r>
      <w:r w:rsidRPr="00890249">
        <w:rPr>
          <w:rFonts w:asciiTheme="minorHAnsi" w:hAnsiTheme="minorHAnsi" w:cstheme="minorHAnsi"/>
          <w:sz w:val="18"/>
          <w:szCs w:val="18"/>
        </w:rPr>
        <w:t>/202</w:t>
      </w:r>
      <w:r w:rsidRPr="00890249">
        <w:rPr>
          <w:rFonts w:asciiTheme="minorHAnsi" w:hAnsiTheme="minorHAnsi" w:cstheme="minorHAnsi"/>
          <w:color w:val="1F497D"/>
          <w:sz w:val="18"/>
          <w:szCs w:val="18"/>
        </w:rPr>
        <w:t>2</w:t>
      </w:r>
      <w:r w:rsidRPr="00890249">
        <w:rPr>
          <w:rFonts w:asciiTheme="minorHAnsi" w:hAnsiTheme="minorHAnsi" w:cstheme="minorHAnsi"/>
          <w:sz w:val="18"/>
          <w:szCs w:val="18"/>
        </w:rPr>
        <w:t xml:space="preserve">, s. </w:t>
      </w:r>
      <w:r w:rsidRPr="00890249">
        <w:rPr>
          <w:rFonts w:asciiTheme="minorHAnsi" w:hAnsiTheme="minorHAnsi" w:cstheme="minorHAnsi"/>
          <w:color w:val="1F497D"/>
          <w:sz w:val="18"/>
          <w:szCs w:val="18"/>
        </w:rPr>
        <w:t>108.</w:t>
      </w:r>
    </w:p>
  </w:footnote>
  <w:footnote w:id="150">
    <w:p w14:paraId="40B8EA25" w14:textId="7777777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Delimitacja Miejskich Obszarów Funkcjonalnych ośrodków powiatowych w województwie opolskim. </w:t>
      </w:r>
    </w:p>
  </w:footnote>
  <w:footnote w:id="151">
    <w:p w14:paraId="10FB5FF1" w14:textId="042A3C9C" w:rsidR="00F17884" w:rsidRPr="0043241C" w:rsidRDefault="00F17884" w:rsidP="00890249">
      <w:pPr>
        <w:pStyle w:val="Tekstprzypisudolnego"/>
        <w:ind w:left="0" w:firstLine="0"/>
        <w:rPr>
          <w:rFonts w:asciiTheme="minorHAnsi" w:hAnsiTheme="minorHAnsi" w:cstheme="minorHAnsi"/>
          <w:sz w:val="18"/>
        </w:rPr>
      </w:pPr>
      <w:r w:rsidRPr="00890249">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Inwestycje z</w:t>
      </w:r>
      <w:r w:rsidRPr="002B468B">
        <w:rPr>
          <w:rFonts w:asciiTheme="minorHAnsi" w:hAnsiTheme="minorHAnsi" w:cstheme="minorHAnsi"/>
          <w:sz w:val="18"/>
          <w:szCs w:val="18"/>
        </w:rPr>
        <w:t xml:space="preserve"> zakresu P&amp;R tylko dla obiektów zlokalizowanych w strefach dojazdów do pracy </w:t>
      </w:r>
      <w:r w:rsidRPr="002B468B">
        <w:rPr>
          <w:rFonts w:asciiTheme="minorHAnsi" w:hAnsiTheme="minorHAnsi" w:cstheme="minorHAnsi"/>
          <w:sz w:val="18"/>
          <w:szCs w:val="18"/>
        </w:rPr>
        <w:br/>
        <w:t>w aglomeracjach (poza centrami miast) i tylko wtedy, gdy są one powiązane z uzupełniającymi połączeniami transportu publicznego i innymi środkami wspierającymi zrównoważony trans</w:t>
      </w:r>
      <w:r w:rsidRPr="002B2B20">
        <w:rPr>
          <w:rFonts w:asciiTheme="minorHAnsi" w:hAnsiTheme="minorHAnsi" w:cstheme="minorHAnsi"/>
          <w:sz w:val="18"/>
          <w:szCs w:val="18"/>
        </w:rPr>
        <w:t>port publiczny w mieście.</w:t>
      </w:r>
    </w:p>
  </w:footnote>
  <w:footnote w:id="152">
    <w:p w14:paraId="169C5381" w14:textId="77777777" w:rsidR="00F17884" w:rsidRPr="0043241C" w:rsidRDefault="00F17884" w:rsidP="008C4C07">
      <w:pPr>
        <w:pStyle w:val="Tekstprzypisudolnego"/>
        <w:ind w:left="284" w:hanging="284"/>
        <w:rPr>
          <w:rFonts w:asciiTheme="minorHAnsi" w:hAnsiTheme="minorHAnsi" w:cstheme="minorHAnsi"/>
          <w:sz w:val="18"/>
        </w:rPr>
      </w:pPr>
      <w:r w:rsidRPr="0043241C">
        <w:rPr>
          <w:rStyle w:val="Odwoanieprzypisudolnego"/>
          <w:rFonts w:asciiTheme="minorHAnsi" w:hAnsiTheme="minorHAnsi" w:cstheme="minorHAnsi"/>
          <w:sz w:val="18"/>
        </w:rPr>
        <w:footnoteRef/>
      </w:r>
      <w:r w:rsidRPr="0043241C">
        <w:rPr>
          <w:rFonts w:asciiTheme="minorHAnsi" w:hAnsiTheme="minorHAnsi" w:cstheme="minorHAnsi"/>
          <w:sz w:val="18"/>
        </w:rPr>
        <w:t xml:space="preserve"> Z wyłączeniem inwestycji w ITS, których celem jest jedynie zwiększenie intensywności użytkowania </w:t>
      </w:r>
      <w:r w:rsidRPr="0043241C">
        <w:rPr>
          <w:rFonts w:asciiTheme="minorHAnsi" w:hAnsiTheme="minorHAnsi" w:cstheme="minorHAnsi"/>
          <w:sz w:val="18"/>
        </w:rPr>
        <w:br/>
        <w:t xml:space="preserve">(np. zwiększenie przepustowości) obecnie istniejącej infrastruktury drogowej. </w:t>
      </w:r>
    </w:p>
  </w:footnote>
  <w:footnote w:id="153">
    <w:p w14:paraId="063C4320" w14:textId="0B33111E" w:rsidR="00F17884" w:rsidRPr="00B05B0E" w:rsidRDefault="00F17884" w:rsidP="00E94838">
      <w:pPr>
        <w:pStyle w:val="Tekstprzypisudolnego"/>
        <w:rPr>
          <w:rFonts w:asciiTheme="minorHAnsi" w:hAnsiTheme="minorHAnsi"/>
          <w:sz w:val="18"/>
          <w:szCs w:val="18"/>
        </w:rPr>
      </w:pPr>
      <w:r w:rsidRPr="002F4757">
        <w:rPr>
          <w:rStyle w:val="Odwoanieprzypisudolnego"/>
          <w:rFonts w:asciiTheme="minorHAnsi" w:hAnsiTheme="minorHAnsi"/>
          <w:sz w:val="18"/>
          <w:szCs w:val="18"/>
        </w:rPr>
        <w:footnoteRef/>
      </w:r>
      <w:r>
        <w:rPr>
          <w:rFonts w:asciiTheme="minorHAnsi" w:hAnsiTheme="minorHAnsi"/>
          <w:sz w:val="18"/>
          <w:szCs w:val="18"/>
        </w:rPr>
        <w:t xml:space="preserve"> </w:t>
      </w:r>
      <w:r w:rsidRPr="00890249">
        <w:rPr>
          <w:rFonts w:asciiTheme="minorHAnsi" w:hAnsiTheme="minorHAnsi"/>
          <w:i/>
          <w:sz w:val="18"/>
          <w:szCs w:val="18"/>
        </w:rPr>
        <w:t>Województwo Opolskie – stany i trendy rozwojowe</w:t>
      </w:r>
      <w:r>
        <w:rPr>
          <w:rFonts w:asciiTheme="minorHAnsi" w:hAnsiTheme="minorHAnsi"/>
          <w:sz w:val="18"/>
          <w:szCs w:val="18"/>
        </w:rPr>
        <w:t>, Raport za okres 2008-2015, Opole 2017</w:t>
      </w:r>
      <w:r w:rsidRPr="00B05B0E">
        <w:rPr>
          <w:rFonts w:asciiTheme="minorHAnsi" w:hAnsiTheme="minorHAnsi"/>
          <w:sz w:val="18"/>
          <w:szCs w:val="18"/>
        </w:rPr>
        <w:t>s.111.</w:t>
      </w:r>
    </w:p>
  </w:footnote>
  <w:footnote w:id="154">
    <w:p w14:paraId="678F2651" w14:textId="29E4C923" w:rsidR="00F17884" w:rsidRPr="00B05B0E" w:rsidRDefault="00F17884" w:rsidP="00EE3FBA">
      <w:pPr>
        <w:pStyle w:val="Tekstprzypisudolnego"/>
        <w:ind w:left="0" w:firstLine="0"/>
        <w:rPr>
          <w:rFonts w:asciiTheme="minorHAnsi" w:hAnsiTheme="minorHAnsi"/>
          <w:sz w:val="18"/>
          <w:szCs w:val="18"/>
        </w:rPr>
      </w:pPr>
      <w:r w:rsidRPr="00B05B0E">
        <w:rPr>
          <w:rStyle w:val="Odwoanieprzypisudolnego"/>
          <w:rFonts w:asciiTheme="minorHAnsi" w:hAnsiTheme="minorHAnsi"/>
          <w:sz w:val="18"/>
          <w:szCs w:val="18"/>
        </w:rPr>
        <w:footnoteRef/>
      </w:r>
      <w:r w:rsidRPr="00B05B0E">
        <w:rPr>
          <w:rFonts w:asciiTheme="minorHAnsi" w:hAnsiTheme="minorHAnsi"/>
          <w:sz w:val="18"/>
          <w:szCs w:val="18"/>
        </w:rPr>
        <w:t xml:space="preserve"> </w:t>
      </w:r>
      <w:r w:rsidRPr="00890249">
        <w:rPr>
          <w:rFonts w:asciiTheme="minorHAnsi" w:hAnsiTheme="minorHAnsi"/>
          <w:i/>
          <w:sz w:val="18"/>
          <w:szCs w:val="18"/>
        </w:rPr>
        <w:t>Strategia Zrównoważonego Rozwoju Transportu do 2030</w:t>
      </w:r>
      <w:r w:rsidRPr="00B05B0E">
        <w:rPr>
          <w:rFonts w:asciiTheme="minorHAnsi" w:hAnsiTheme="minorHAnsi"/>
          <w:sz w:val="18"/>
          <w:szCs w:val="18"/>
        </w:rPr>
        <w:t>, dokument przyjęty przez Radę Ministrów 24.09.2019 r.</w:t>
      </w:r>
    </w:p>
  </w:footnote>
  <w:footnote w:id="155">
    <w:p w14:paraId="79BDD5D4" w14:textId="77777777" w:rsidR="00F17884" w:rsidRPr="00B05B0E" w:rsidRDefault="00F17884" w:rsidP="00E94838">
      <w:pPr>
        <w:pStyle w:val="Tekstprzypisudolnego"/>
        <w:rPr>
          <w:rFonts w:asciiTheme="minorHAnsi" w:hAnsiTheme="minorHAnsi"/>
          <w:sz w:val="18"/>
          <w:szCs w:val="18"/>
        </w:rPr>
      </w:pPr>
      <w:r w:rsidRPr="00B05B0E">
        <w:rPr>
          <w:rStyle w:val="Odwoanieprzypisudolnego"/>
          <w:rFonts w:asciiTheme="minorHAnsi" w:hAnsiTheme="minorHAnsi"/>
          <w:sz w:val="18"/>
          <w:szCs w:val="18"/>
        </w:rPr>
        <w:footnoteRef/>
      </w:r>
      <w:r>
        <w:rPr>
          <w:rFonts w:asciiTheme="minorHAnsi" w:hAnsiTheme="minorHAnsi"/>
          <w:sz w:val="18"/>
          <w:szCs w:val="18"/>
        </w:rPr>
        <w:t xml:space="preserve"> </w:t>
      </w:r>
      <w:r w:rsidRPr="00890249">
        <w:rPr>
          <w:rFonts w:asciiTheme="minorHAnsi" w:hAnsiTheme="minorHAnsi"/>
          <w:i/>
          <w:sz w:val="18"/>
          <w:szCs w:val="18"/>
        </w:rPr>
        <w:t>Strategia na Rzecz Odpowiedzialnego Rozwoju</w:t>
      </w:r>
      <w:r>
        <w:rPr>
          <w:rFonts w:asciiTheme="minorHAnsi" w:hAnsiTheme="minorHAnsi"/>
          <w:sz w:val="18"/>
          <w:szCs w:val="18"/>
        </w:rPr>
        <w:t xml:space="preserve"> (…), op. cit., </w:t>
      </w:r>
      <w:r w:rsidRPr="00B05B0E">
        <w:rPr>
          <w:rFonts w:asciiTheme="minorHAnsi" w:hAnsiTheme="minorHAnsi"/>
          <w:sz w:val="18"/>
          <w:szCs w:val="18"/>
        </w:rPr>
        <w:t xml:space="preserve">s.308. </w:t>
      </w:r>
    </w:p>
  </w:footnote>
  <w:footnote w:id="156">
    <w:p w14:paraId="02C10F25" w14:textId="77777777" w:rsidR="00F17884" w:rsidRPr="00B05B0E" w:rsidRDefault="00F17884" w:rsidP="00FA43F5">
      <w:pPr>
        <w:pStyle w:val="Tekstprzypisudolnego"/>
        <w:ind w:left="284" w:hanging="284"/>
        <w:rPr>
          <w:sz w:val="18"/>
          <w:szCs w:val="18"/>
        </w:rPr>
      </w:pPr>
      <w:r w:rsidRPr="00B05B0E">
        <w:rPr>
          <w:rStyle w:val="Odwoanieprzypisudolnego"/>
          <w:rFonts w:asciiTheme="minorHAnsi" w:hAnsiTheme="minorHAnsi"/>
          <w:sz w:val="18"/>
          <w:szCs w:val="18"/>
        </w:rPr>
        <w:footnoteRef/>
      </w:r>
      <w:r w:rsidRPr="00B05B0E">
        <w:rPr>
          <w:rFonts w:asciiTheme="minorHAnsi" w:hAnsiTheme="minorHAnsi"/>
          <w:sz w:val="18"/>
          <w:szCs w:val="18"/>
        </w:rPr>
        <w:t xml:space="preserve"> Zapis ma zastosowanie do wszystkich inwestycji drogowych realizowanych w ramach </w:t>
      </w:r>
      <w:r>
        <w:rPr>
          <w:rFonts w:asciiTheme="minorHAnsi" w:hAnsiTheme="minorHAnsi"/>
          <w:sz w:val="18"/>
          <w:szCs w:val="18"/>
        </w:rPr>
        <w:t>perspektywy finansowej</w:t>
      </w:r>
      <w:r w:rsidRPr="00B05B0E">
        <w:rPr>
          <w:rFonts w:asciiTheme="minorHAnsi" w:hAnsiTheme="minorHAnsi"/>
          <w:sz w:val="18"/>
          <w:szCs w:val="18"/>
        </w:rPr>
        <w:t xml:space="preserve"> 2021-2027</w:t>
      </w:r>
      <w:r>
        <w:rPr>
          <w:rFonts w:asciiTheme="minorHAnsi" w:hAnsiTheme="minorHAnsi"/>
          <w:sz w:val="18"/>
          <w:szCs w:val="18"/>
        </w:rPr>
        <w:t xml:space="preserve"> z wyjątkiem dróg, które nie są przeznaczone dla ruchu długich i ciężkich pojazdów, takich jak drogi w centrach miast. </w:t>
      </w:r>
    </w:p>
  </w:footnote>
  <w:footnote w:id="157">
    <w:p w14:paraId="46A0B544" w14:textId="77777777" w:rsidR="00F17884" w:rsidRDefault="00F17884">
      <w:pPr>
        <w:pStyle w:val="Tekstprzypisudolnego"/>
      </w:pPr>
      <w:r w:rsidRPr="00514E3D">
        <w:rPr>
          <w:rStyle w:val="Odwoanieprzypisudolnego"/>
          <w:rFonts w:asciiTheme="minorHAnsi" w:hAnsiTheme="minorHAnsi" w:cstheme="minorHAnsi"/>
          <w:sz w:val="18"/>
          <w:szCs w:val="18"/>
        </w:rPr>
        <w:footnoteRef/>
      </w:r>
      <w:r w:rsidRPr="00514E3D">
        <w:rPr>
          <w:rFonts w:asciiTheme="minorHAnsi" w:hAnsiTheme="minorHAnsi" w:cstheme="minorHAnsi"/>
          <w:sz w:val="18"/>
          <w:szCs w:val="18"/>
        </w:rPr>
        <w:t xml:space="preserve"> https://www.ilo.org/global/topics/coronavirus/impacts-and-responses/WCMS_755910/lang--en/index.htm</w:t>
      </w:r>
    </w:p>
  </w:footnote>
  <w:footnote w:id="158">
    <w:p w14:paraId="1E56CB78" w14:textId="7777777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Trafne gwarancje dla młodzieży</w:t>
      </w:r>
      <w:r w:rsidRPr="00890249">
        <w:rPr>
          <w:rFonts w:asciiTheme="minorHAnsi" w:hAnsiTheme="minorHAnsi" w:cstheme="minorHAnsi"/>
          <w:sz w:val="18"/>
          <w:szCs w:val="18"/>
        </w:rPr>
        <w:t>, WUP w Opolu, 2017, s. 40-51.</w:t>
      </w:r>
    </w:p>
  </w:footnote>
  <w:footnote w:id="159">
    <w:p w14:paraId="01287D1E" w14:textId="77777777" w:rsidR="00F17884" w:rsidRPr="00F1641B" w:rsidRDefault="00F17884" w:rsidP="00EC011B">
      <w:pPr>
        <w:pStyle w:val="Tekstprzypisudolnego"/>
        <w:rPr>
          <w:rFonts w:asciiTheme="minorHAnsi" w:hAnsiTheme="minorHAnsi"/>
          <w:sz w:val="18"/>
          <w:szCs w:val="18"/>
        </w:rPr>
      </w:pPr>
      <w:r w:rsidRPr="00F1641B">
        <w:rPr>
          <w:rStyle w:val="Odwoanieprzypisudolnego"/>
          <w:rFonts w:asciiTheme="minorHAnsi" w:hAnsiTheme="minorHAnsi"/>
          <w:sz w:val="18"/>
          <w:szCs w:val="18"/>
        </w:rPr>
        <w:footnoteRef/>
      </w:r>
      <w:r w:rsidRPr="00F1641B">
        <w:rPr>
          <w:rFonts w:asciiTheme="minorHAnsi" w:hAnsiTheme="minorHAnsi"/>
          <w:i/>
          <w:sz w:val="18"/>
          <w:szCs w:val="18"/>
        </w:rPr>
        <w:t xml:space="preserve"> Ubóstwo w Polsce w latach 2015 i 2016</w:t>
      </w:r>
      <w:r w:rsidRPr="00F1641B">
        <w:rPr>
          <w:rFonts w:asciiTheme="minorHAnsi" w:hAnsiTheme="minorHAnsi"/>
          <w:sz w:val="18"/>
          <w:szCs w:val="18"/>
        </w:rPr>
        <w:t>. Główny Urząd Statystyczny. Warszawa 2017. s. 30.</w:t>
      </w:r>
    </w:p>
  </w:footnote>
  <w:footnote w:id="160">
    <w:p w14:paraId="47631723" w14:textId="18F92C83" w:rsidR="00860A93" w:rsidRPr="00F62734" w:rsidRDefault="00860A93" w:rsidP="00F62734">
      <w:pPr>
        <w:pStyle w:val="Tekstprzypisudolnego"/>
        <w:ind w:left="0" w:firstLine="0"/>
        <w:rPr>
          <w:rFonts w:asciiTheme="minorHAnsi" w:hAnsiTheme="minorHAnsi" w:cstheme="minorHAnsi"/>
          <w:sz w:val="18"/>
          <w:szCs w:val="18"/>
        </w:rPr>
      </w:pPr>
      <w:r w:rsidRPr="00F62734">
        <w:rPr>
          <w:rStyle w:val="Odwoanieprzypisudolnego"/>
          <w:rFonts w:asciiTheme="minorHAnsi" w:hAnsiTheme="minorHAnsi" w:cstheme="minorHAnsi"/>
          <w:sz w:val="18"/>
          <w:szCs w:val="18"/>
        </w:rPr>
        <w:footnoteRef/>
      </w:r>
      <w:r w:rsidRPr="00F62734">
        <w:rPr>
          <w:rFonts w:asciiTheme="minorHAnsi" w:hAnsiTheme="minorHAnsi" w:cstheme="minorHAnsi"/>
          <w:sz w:val="18"/>
          <w:szCs w:val="18"/>
        </w:rPr>
        <w:t xml:space="preserve"> Osoby bierne (nieaktywne) zawodowo będące klientami powiatowych urzędów pracy w sytuacji zmiany ustawy o rynku pracy.</w:t>
      </w:r>
    </w:p>
  </w:footnote>
  <w:footnote w:id="161">
    <w:p w14:paraId="506EED94" w14:textId="68E0C022" w:rsidR="00F17884" w:rsidRPr="00890249" w:rsidRDefault="00F17884" w:rsidP="00A46493">
      <w:pPr>
        <w:pStyle w:val="Tekstprzypisudolnego"/>
        <w:rPr>
          <w:rFonts w:asciiTheme="minorHAnsi" w:hAnsiTheme="minorHAnsi" w:cstheme="minorHAnsi"/>
          <w: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Duda S. </w:t>
      </w:r>
      <w:r w:rsidRPr="00890249">
        <w:rPr>
          <w:rFonts w:asciiTheme="minorHAnsi" w:hAnsiTheme="minorHAnsi" w:cstheme="minorHAnsi"/>
          <w:i/>
          <w:sz w:val="18"/>
          <w:szCs w:val="18"/>
        </w:rPr>
        <w:t>Sytuacja kobiet na rynku pracy w Polsce</w:t>
      </w:r>
      <w:r w:rsidRPr="00890249">
        <w:rPr>
          <w:rFonts w:asciiTheme="minorHAnsi" w:hAnsiTheme="minorHAnsi" w:cstheme="minorHAnsi"/>
          <w:sz w:val="18"/>
          <w:szCs w:val="18"/>
        </w:rPr>
        <w:t>, s. 1</w:t>
      </w:r>
      <w:r>
        <w:rPr>
          <w:rFonts w:asciiTheme="minorHAnsi" w:hAnsiTheme="minorHAnsi" w:cstheme="minorHAnsi"/>
          <w:sz w:val="18"/>
          <w:szCs w:val="18"/>
        </w:rPr>
        <w:t>.</w:t>
      </w:r>
    </w:p>
  </w:footnote>
  <w:footnote w:id="162">
    <w:p w14:paraId="4A9D3669" w14:textId="77777777" w:rsidR="00F17884" w:rsidRPr="00D172FD" w:rsidRDefault="00F17884" w:rsidP="00890249">
      <w:pPr>
        <w:pStyle w:val="Tekstprzypisudolnego"/>
        <w:ind w:left="284" w:hanging="284"/>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Aktywność Ekonomiczna Ludności w województwie opolskim w III kwartale 2020 r.</w:t>
      </w:r>
      <w:r w:rsidRPr="00890249">
        <w:rPr>
          <w:rFonts w:asciiTheme="minorHAnsi" w:hAnsiTheme="minorHAnsi" w:cstheme="minorHAnsi"/>
          <w:sz w:val="18"/>
          <w:szCs w:val="18"/>
        </w:rPr>
        <w:t>, Urząd Statystyczny w Opolu, 30.12.2020, s. 1 i 5.</w:t>
      </w:r>
    </w:p>
  </w:footnote>
  <w:footnote w:id="163">
    <w:p w14:paraId="0C3D265A" w14:textId="77777777" w:rsidR="00F17884" w:rsidRPr="00890249" w:rsidRDefault="00F17884" w:rsidP="00C94907">
      <w:pPr>
        <w:pStyle w:val="Tekstprzypisudolnego"/>
        <w:tabs>
          <w:tab w:val="left" w:pos="284"/>
        </w:tabs>
        <w:ind w:left="284" w:hanging="284"/>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Sprawozdanie specjalne 25/2021: Wsparcie z EFS na rzecz zwalczania bezrobocia długotrwałego – działania muszą być lepiej ukierunkowane i monitorowane oraz bardziej dostosowane do potrzeb.</w:t>
      </w:r>
    </w:p>
  </w:footnote>
  <w:footnote w:id="164">
    <w:p w14:paraId="20F4F3C2" w14:textId="77777777" w:rsidR="00F17884" w:rsidRPr="00890249" w:rsidRDefault="00F17884" w:rsidP="00C94907">
      <w:pPr>
        <w:pStyle w:val="Tekstprzypisudolnego"/>
        <w:ind w:left="284" w:hanging="284"/>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Współczynnik określający wzajemne relacje między liczbą kobiet i mężczyzn, tj. liczba kobiet przypadająca na 100 mężczyzn.</w:t>
      </w:r>
    </w:p>
  </w:footnote>
  <w:footnote w:id="165">
    <w:p w14:paraId="703821A1" w14:textId="77777777" w:rsidR="00F17884" w:rsidRDefault="00F17884" w:rsidP="00C94907">
      <w:pPr>
        <w:pStyle w:val="Tekstprzypisudolnego"/>
        <w:ind w:left="284" w:hanging="284"/>
      </w:pPr>
      <w:r w:rsidRPr="00890249">
        <w:rPr>
          <w:rStyle w:val="Odwoanieprzypisudolnego"/>
          <w:rFonts w:ascii="Calibri" w:hAnsi="Calibri" w:cs="Calibri"/>
        </w:rPr>
        <w:footnoteRef/>
      </w:r>
      <w:r w:rsidRPr="00890249">
        <w:rPr>
          <w:rFonts w:ascii="Calibri" w:hAnsi="Calibri" w:cs="Calibri"/>
        </w:rPr>
        <w:t xml:space="preserve"> </w:t>
      </w:r>
      <w:r w:rsidRPr="00890249">
        <w:rPr>
          <w:rFonts w:asciiTheme="minorHAnsi" w:hAnsiTheme="minorHAnsi" w:cstheme="minorHAnsi"/>
          <w:i/>
          <w:sz w:val="18"/>
          <w:szCs w:val="18"/>
        </w:rPr>
        <w:t>Analiza sytuacji społeczno-ekonomicznej województwa opolskiego w obszarach oddziaływania EFS</w:t>
      </w:r>
      <w:r w:rsidRPr="00890249">
        <w:rPr>
          <w:rFonts w:asciiTheme="minorHAnsi" w:hAnsiTheme="minorHAnsi" w:cstheme="minorHAnsi"/>
          <w:sz w:val="18"/>
          <w:szCs w:val="18"/>
        </w:rPr>
        <w:t>, Opole, grudzień 2018 r., str. 52-53.</w:t>
      </w:r>
    </w:p>
  </w:footnote>
  <w:footnote w:id="166">
    <w:p w14:paraId="346F1A9F" w14:textId="49050E1E" w:rsidR="00F17884" w:rsidRPr="00CA2783" w:rsidRDefault="00F17884" w:rsidP="00EE19EB">
      <w:pPr>
        <w:pStyle w:val="Tekstprzypisudolnego"/>
        <w:rPr>
          <w:rFonts w:asciiTheme="minorHAnsi" w:hAnsiTheme="minorHAnsi"/>
          <w:sz w:val="18"/>
          <w:szCs w:val="18"/>
        </w:rPr>
      </w:pPr>
      <w:r w:rsidRPr="00CA2783">
        <w:rPr>
          <w:rStyle w:val="Odwoanieprzypisudolnego"/>
          <w:rFonts w:asciiTheme="minorHAnsi" w:hAnsiTheme="minorHAnsi"/>
          <w:sz w:val="18"/>
          <w:szCs w:val="18"/>
        </w:rPr>
        <w:footnoteRef/>
      </w:r>
      <w:r>
        <w:rPr>
          <w:rFonts w:asciiTheme="minorHAnsi" w:hAnsiTheme="minorHAnsi"/>
          <w:i/>
          <w:sz w:val="18"/>
          <w:szCs w:val="18"/>
        </w:rPr>
        <w:t xml:space="preserve"> </w:t>
      </w:r>
      <w:r w:rsidRPr="00CA2783">
        <w:rPr>
          <w:rFonts w:asciiTheme="minorHAnsi" w:hAnsiTheme="minorHAnsi"/>
          <w:i/>
          <w:sz w:val="18"/>
          <w:szCs w:val="18"/>
        </w:rPr>
        <w:t>Analiza sytuacji (...)</w:t>
      </w:r>
      <w:r>
        <w:rPr>
          <w:rFonts w:asciiTheme="minorHAnsi" w:hAnsiTheme="minorHAnsi"/>
          <w:i/>
          <w:sz w:val="18"/>
          <w:szCs w:val="18"/>
        </w:rPr>
        <w:t xml:space="preserve"> </w:t>
      </w:r>
      <w:r w:rsidRPr="00890249">
        <w:rPr>
          <w:rFonts w:asciiTheme="minorHAnsi" w:hAnsiTheme="minorHAnsi"/>
          <w:sz w:val="18"/>
          <w:szCs w:val="18"/>
        </w:rPr>
        <w:t>op.</w:t>
      </w:r>
      <w:r>
        <w:rPr>
          <w:rFonts w:asciiTheme="minorHAnsi" w:hAnsiTheme="minorHAnsi"/>
          <w:sz w:val="18"/>
          <w:szCs w:val="18"/>
        </w:rPr>
        <w:t xml:space="preserve"> </w:t>
      </w:r>
      <w:r w:rsidRPr="00890249">
        <w:rPr>
          <w:rFonts w:asciiTheme="minorHAnsi" w:hAnsiTheme="minorHAnsi"/>
          <w:sz w:val="18"/>
          <w:szCs w:val="18"/>
        </w:rPr>
        <w:t xml:space="preserve">cit., </w:t>
      </w:r>
      <w:r w:rsidRPr="00736296">
        <w:rPr>
          <w:rFonts w:asciiTheme="minorHAnsi" w:hAnsiTheme="minorHAnsi"/>
          <w:sz w:val="18"/>
          <w:szCs w:val="18"/>
        </w:rPr>
        <w:t>s</w:t>
      </w:r>
      <w:r w:rsidRPr="003F5DE6">
        <w:rPr>
          <w:rFonts w:asciiTheme="minorHAnsi" w:hAnsiTheme="minorHAnsi"/>
          <w:sz w:val="18"/>
          <w:szCs w:val="18"/>
        </w:rPr>
        <w:t>.21.</w:t>
      </w:r>
    </w:p>
  </w:footnote>
  <w:footnote w:id="167">
    <w:p w14:paraId="255D066D" w14:textId="61FB7CE6" w:rsidR="00F17884" w:rsidRPr="00CA2783" w:rsidRDefault="00F17884" w:rsidP="007A2A28">
      <w:pPr>
        <w:pStyle w:val="Tekstprzypisudolnego"/>
        <w:ind w:left="142" w:hanging="142"/>
        <w:rPr>
          <w:rFonts w:asciiTheme="minorHAnsi" w:hAnsiTheme="minorHAnsi"/>
          <w:sz w:val="18"/>
          <w:szCs w:val="18"/>
        </w:rPr>
      </w:pPr>
      <w:r w:rsidRPr="00CA2783">
        <w:rPr>
          <w:rStyle w:val="Odwoanieprzypisudolnego"/>
          <w:rFonts w:asciiTheme="minorHAnsi" w:hAnsiTheme="minorHAnsi"/>
          <w:sz w:val="18"/>
          <w:szCs w:val="18"/>
        </w:rPr>
        <w:footnoteRef/>
      </w:r>
      <w:r>
        <w:rPr>
          <w:rFonts w:asciiTheme="minorHAnsi" w:hAnsiTheme="minorHAnsi"/>
          <w:i/>
          <w:sz w:val="18"/>
          <w:szCs w:val="18"/>
        </w:rPr>
        <w:t xml:space="preserve"> </w:t>
      </w:r>
      <w:r w:rsidRPr="00CA2783">
        <w:rPr>
          <w:rFonts w:asciiTheme="minorHAnsi" w:hAnsiTheme="minorHAnsi"/>
          <w:i/>
          <w:sz w:val="18"/>
          <w:szCs w:val="18"/>
        </w:rPr>
        <w:t xml:space="preserve">Analiza sytuacji </w:t>
      </w:r>
      <w:r>
        <w:rPr>
          <w:rFonts w:asciiTheme="minorHAnsi" w:hAnsiTheme="minorHAnsi"/>
          <w:bCs/>
          <w:i/>
          <w:sz w:val="18"/>
          <w:szCs w:val="18"/>
        </w:rPr>
        <w:t xml:space="preserve">(…) </w:t>
      </w:r>
      <w:r w:rsidRPr="00890249">
        <w:rPr>
          <w:rFonts w:asciiTheme="minorHAnsi" w:hAnsiTheme="minorHAnsi"/>
          <w:bCs/>
          <w:sz w:val="18"/>
          <w:szCs w:val="18"/>
        </w:rPr>
        <w:t>op. cit.,</w:t>
      </w:r>
      <w:r>
        <w:rPr>
          <w:rFonts w:asciiTheme="minorHAnsi" w:hAnsiTheme="minorHAnsi"/>
          <w:bCs/>
          <w:i/>
          <w:sz w:val="18"/>
          <w:szCs w:val="18"/>
        </w:rPr>
        <w:t xml:space="preserve"> </w:t>
      </w:r>
      <w:r w:rsidRPr="00CA2783">
        <w:rPr>
          <w:rFonts w:asciiTheme="minorHAnsi" w:hAnsiTheme="minorHAnsi"/>
          <w:i/>
          <w:sz w:val="18"/>
          <w:szCs w:val="18"/>
        </w:rPr>
        <w:t>s.</w:t>
      </w:r>
      <w:r>
        <w:rPr>
          <w:rFonts w:asciiTheme="minorHAnsi" w:hAnsiTheme="minorHAnsi"/>
          <w:i/>
          <w:sz w:val="18"/>
          <w:szCs w:val="18"/>
        </w:rPr>
        <w:t xml:space="preserve"> </w:t>
      </w:r>
      <w:r w:rsidRPr="00CA2783">
        <w:rPr>
          <w:rFonts w:asciiTheme="minorHAnsi" w:hAnsiTheme="minorHAnsi"/>
          <w:sz w:val="18"/>
          <w:szCs w:val="18"/>
        </w:rPr>
        <w:t>146.</w:t>
      </w:r>
    </w:p>
  </w:footnote>
  <w:footnote w:id="168">
    <w:p w14:paraId="7CCC5411" w14:textId="77777777" w:rsidR="00F17884" w:rsidRPr="0034252F" w:rsidRDefault="00F17884" w:rsidP="007A2A28">
      <w:pPr>
        <w:pStyle w:val="Tekstprzypisudolnego"/>
        <w:ind w:left="284" w:hanging="284"/>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34252F">
        <w:rPr>
          <w:rFonts w:asciiTheme="minorHAnsi" w:hAnsiTheme="minorHAnsi" w:cstheme="minorHAnsi"/>
          <w:i/>
          <w:sz w:val="18"/>
          <w:szCs w:val="18"/>
        </w:rPr>
        <w:t xml:space="preserve"> Komunikat o sytuacji społeczno-gospodarczej województwa opolskiego w sierpniu 2020 r., </w:t>
      </w:r>
      <w:r w:rsidRPr="0034252F">
        <w:rPr>
          <w:rFonts w:asciiTheme="minorHAnsi" w:hAnsiTheme="minorHAnsi" w:cstheme="minorHAnsi"/>
          <w:sz w:val="18"/>
          <w:szCs w:val="18"/>
        </w:rPr>
        <w:t>Urząd Statystyczny w Opolu, 28.09.2020, s. 1.</w:t>
      </w:r>
    </w:p>
  </w:footnote>
  <w:footnote w:id="169">
    <w:p w14:paraId="5481E7E7" w14:textId="7777777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Rehabilitacja medyczna musi być powiąza</w:t>
      </w:r>
      <w:r w:rsidRPr="00D172FD">
        <w:rPr>
          <w:rFonts w:asciiTheme="minorHAnsi" w:hAnsiTheme="minorHAnsi" w:cstheme="minorHAnsi"/>
          <w:sz w:val="18"/>
          <w:szCs w:val="18"/>
        </w:rPr>
        <w:t>na z działaniami prozatrudnieniowymi.</w:t>
      </w:r>
    </w:p>
  </w:footnote>
  <w:footnote w:id="170">
    <w:p w14:paraId="16AA5A98" w14:textId="77777777" w:rsidR="00F17884" w:rsidRPr="001C16A4" w:rsidRDefault="00F17884" w:rsidP="004363FE">
      <w:pPr>
        <w:pStyle w:val="Tekstprzypisudolnego"/>
        <w:ind w:left="284" w:hanging="284"/>
        <w:rPr>
          <w:rFonts w:asciiTheme="minorHAnsi" w:hAnsiTheme="minorHAnsi" w:cstheme="minorHAnsi"/>
        </w:rPr>
      </w:pPr>
      <w:r w:rsidRPr="00D172FD">
        <w:rPr>
          <w:rStyle w:val="Odwoanieprzypisudolnego"/>
          <w:rFonts w:asciiTheme="minorHAnsi" w:hAnsiTheme="minorHAnsi" w:cstheme="minorHAnsi"/>
          <w:sz w:val="18"/>
          <w:szCs w:val="18"/>
        </w:rPr>
        <w:footnoteRef/>
      </w:r>
      <w:r w:rsidRPr="002B468B">
        <w:rPr>
          <w:rFonts w:asciiTheme="minorHAnsi" w:hAnsiTheme="minorHAnsi" w:cstheme="minorHAnsi"/>
          <w:sz w:val="18"/>
          <w:szCs w:val="18"/>
        </w:rPr>
        <w:t xml:space="preserve"> Zatrudnienie przejściowe polega na dzieleniu jednego etatu przez kilku pracowników z niepełnosprawnościami (zwłaszcza z chorobami psychicznymi), z uwzględnieniem ich możliwości co do wykonywania konkretnych czynności na stanowisku pracy.</w:t>
      </w:r>
    </w:p>
  </w:footnote>
  <w:footnote w:id="171">
    <w:p w14:paraId="20622C3F" w14:textId="75979328" w:rsidR="00F17884" w:rsidRPr="000B47C7" w:rsidRDefault="00F17884" w:rsidP="00577560">
      <w:pPr>
        <w:pStyle w:val="Tekstprzypisudolnego"/>
        <w:rPr>
          <w:rFonts w:asciiTheme="minorHAnsi" w:hAnsiTheme="minorHAnsi"/>
          <w:sz w:val="18"/>
          <w:szCs w:val="18"/>
        </w:rPr>
      </w:pPr>
      <w:r w:rsidRPr="000B47C7">
        <w:rPr>
          <w:rStyle w:val="Odwoanieprzypisudolnego"/>
          <w:rFonts w:asciiTheme="minorHAnsi" w:hAnsiTheme="minorHAnsi"/>
          <w:sz w:val="18"/>
          <w:szCs w:val="18"/>
        </w:rPr>
        <w:footnoteRef/>
      </w:r>
      <w:r w:rsidRPr="000B47C7">
        <w:rPr>
          <w:rFonts w:asciiTheme="minorHAnsi" w:hAnsiTheme="minorHAnsi"/>
          <w:i/>
          <w:sz w:val="18"/>
          <w:szCs w:val="18"/>
        </w:rPr>
        <w:t xml:space="preserve"> Analiza sytuacji (…)</w:t>
      </w:r>
      <w:r>
        <w:rPr>
          <w:rFonts w:asciiTheme="minorHAnsi" w:hAnsiTheme="minorHAnsi"/>
          <w:sz w:val="18"/>
          <w:szCs w:val="18"/>
        </w:rPr>
        <w:t xml:space="preserve">, op. cit., s. </w:t>
      </w:r>
      <w:r w:rsidRPr="000B47C7">
        <w:rPr>
          <w:rFonts w:asciiTheme="minorHAnsi" w:hAnsiTheme="minorHAnsi"/>
          <w:sz w:val="18"/>
          <w:szCs w:val="18"/>
        </w:rPr>
        <w:t>115.</w:t>
      </w:r>
    </w:p>
  </w:footnote>
  <w:footnote w:id="172">
    <w:p w14:paraId="71483B1C" w14:textId="3FB8439D" w:rsidR="00F17884" w:rsidRPr="000B47C7" w:rsidRDefault="00F17884" w:rsidP="00890249">
      <w:pPr>
        <w:pStyle w:val="Tekstprzypisudolnego"/>
        <w:ind w:left="284" w:hanging="284"/>
        <w:rPr>
          <w:rFonts w:asciiTheme="minorHAnsi" w:hAnsiTheme="minorHAnsi"/>
          <w:sz w:val="18"/>
          <w:szCs w:val="18"/>
        </w:rPr>
      </w:pPr>
      <w:r w:rsidRPr="000B47C7">
        <w:rPr>
          <w:rStyle w:val="Odwoanieprzypisudolnego"/>
          <w:rFonts w:asciiTheme="minorHAnsi" w:hAnsiTheme="minorHAnsi"/>
          <w:sz w:val="18"/>
          <w:szCs w:val="18"/>
        </w:rPr>
        <w:footnoteRef/>
      </w:r>
      <w:r w:rsidRPr="000B47C7">
        <w:rPr>
          <w:rFonts w:asciiTheme="minorHAnsi" w:hAnsiTheme="minorHAnsi"/>
          <w:i/>
          <w:sz w:val="18"/>
          <w:szCs w:val="18"/>
        </w:rPr>
        <w:t xml:space="preserve"> </w:t>
      </w:r>
      <w:r w:rsidRPr="00170D2E">
        <w:rPr>
          <w:rFonts w:asciiTheme="minorHAnsi" w:hAnsiTheme="minorHAnsi" w:cstheme="minorHAnsi"/>
          <w:i/>
          <w:sz w:val="18"/>
        </w:rPr>
        <w:t>Ewaluacja działań podejmowanych na rzecz edukacji w ramach EFS i EFRR</w:t>
      </w:r>
      <w:r>
        <w:rPr>
          <w:rFonts w:asciiTheme="minorHAnsi" w:hAnsiTheme="minorHAnsi" w:cstheme="minorHAnsi"/>
          <w:i/>
          <w:sz w:val="18"/>
        </w:rPr>
        <w:t xml:space="preserve"> </w:t>
      </w:r>
      <w:r w:rsidRPr="00170D2E">
        <w:rPr>
          <w:rFonts w:asciiTheme="minorHAnsi" w:hAnsiTheme="minorHAnsi" w:cstheme="minorHAnsi"/>
          <w:i/>
          <w:sz w:val="18"/>
        </w:rPr>
        <w:t xml:space="preserve">w województwie opolskim. </w:t>
      </w:r>
      <w:r w:rsidRPr="00890249">
        <w:rPr>
          <w:rFonts w:asciiTheme="minorHAnsi" w:hAnsiTheme="minorHAnsi" w:cstheme="minorHAnsi"/>
          <w:sz w:val="18"/>
        </w:rPr>
        <w:t>Raport końcowy</w:t>
      </w:r>
      <w:r w:rsidRPr="00C266A6">
        <w:rPr>
          <w:rFonts w:asciiTheme="minorHAnsi" w:hAnsiTheme="minorHAnsi" w:cstheme="minorHAnsi"/>
          <w:sz w:val="18"/>
        </w:rPr>
        <w:t>, Warszawa, 2017</w:t>
      </w:r>
      <w:r w:rsidRPr="00C266A6">
        <w:rPr>
          <w:rFonts w:asciiTheme="minorHAnsi" w:hAnsiTheme="minorHAnsi"/>
          <w:sz w:val="18"/>
          <w:szCs w:val="18"/>
        </w:rPr>
        <w:t>s.45</w:t>
      </w:r>
      <w:r w:rsidRPr="000B47C7">
        <w:rPr>
          <w:rFonts w:asciiTheme="minorHAnsi" w:hAnsiTheme="minorHAnsi"/>
          <w:sz w:val="18"/>
          <w:szCs w:val="18"/>
        </w:rPr>
        <w:t>.</w:t>
      </w:r>
    </w:p>
  </w:footnote>
  <w:footnote w:id="173">
    <w:p w14:paraId="7B109349" w14:textId="11EB48D2" w:rsidR="00F17884" w:rsidRPr="000B47C7" w:rsidRDefault="00F17884" w:rsidP="00577560">
      <w:pPr>
        <w:pStyle w:val="Tekstprzypisudolnego"/>
        <w:rPr>
          <w:rFonts w:asciiTheme="minorHAnsi" w:hAnsiTheme="minorHAnsi"/>
          <w:sz w:val="18"/>
          <w:szCs w:val="18"/>
        </w:rPr>
      </w:pPr>
      <w:r w:rsidRPr="000B47C7">
        <w:rPr>
          <w:rStyle w:val="Odwoanieprzypisudolnego"/>
          <w:rFonts w:asciiTheme="minorHAnsi" w:hAnsiTheme="minorHAnsi"/>
          <w:sz w:val="18"/>
          <w:szCs w:val="18"/>
        </w:rPr>
        <w:footnoteRef/>
      </w:r>
      <w:r>
        <w:rPr>
          <w:rFonts w:asciiTheme="minorHAnsi" w:hAnsiTheme="minorHAnsi"/>
          <w:i/>
          <w:sz w:val="18"/>
          <w:szCs w:val="18"/>
        </w:rPr>
        <w:t xml:space="preserve"> </w:t>
      </w:r>
      <w:r w:rsidRPr="002F4757">
        <w:rPr>
          <w:rFonts w:asciiTheme="minorHAnsi" w:hAnsiTheme="minorHAnsi"/>
          <w:i/>
          <w:sz w:val="18"/>
          <w:szCs w:val="18"/>
        </w:rPr>
        <w:t>Strategia Rozwoju Województwa Opolskiego do 2020 r</w:t>
      </w:r>
      <w:r>
        <w:rPr>
          <w:rFonts w:asciiTheme="minorHAnsi" w:hAnsiTheme="minorHAnsi"/>
          <w:sz w:val="18"/>
          <w:szCs w:val="18"/>
        </w:rPr>
        <w:t xml:space="preserve">. (…), op. cit., s. </w:t>
      </w:r>
      <w:r w:rsidRPr="002F4757">
        <w:rPr>
          <w:rFonts w:asciiTheme="minorHAnsi" w:hAnsiTheme="minorHAnsi"/>
          <w:sz w:val="18"/>
          <w:szCs w:val="18"/>
        </w:rPr>
        <w:t>57.</w:t>
      </w:r>
    </w:p>
  </w:footnote>
  <w:footnote w:id="174">
    <w:p w14:paraId="45EF49EF" w14:textId="3FF66F91" w:rsidR="00F17884" w:rsidRPr="009857B6" w:rsidRDefault="00F17884" w:rsidP="009857B6">
      <w:pPr>
        <w:pStyle w:val="Tekstprzypisudolnego"/>
        <w:ind w:left="284" w:hanging="295"/>
        <w:rPr>
          <w:rFonts w:asciiTheme="minorHAnsi" w:hAnsiTheme="minorHAnsi" w:cstheme="minorHAnsi"/>
          <w:sz w:val="18"/>
          <w:szCs w:val="18"/>
        </w:rPr>
      </w:pPr>
      <w:r w:rsidRPr="009857B6">
        <w:rPr>
          <w:rStyle w:val="Odwoanieprzypisudolnego"/>
          <w:rFonts w:asciiTheme="minorHAnsi" w:hAnsiTheme="minorHAnsi" w:cstheme="minorHAnsi"/>
          <w:sz w:val="18"/>
          <w:szCs w:val="18"/>
        </w:rPr>
        <w:footnoteRef/>
      </w:r>
      <w:r w:rsidRPr="009857B6">
        <w:rPr>
          <w:rFonts w:asciiTheme="minorHAnsi" w:hAnsiTheme="minorHAnsi" w:cstheme="minorHAnsi"/>
          <w:sz w:val="18"/>
          <w:szCs w:val="18"/>
        </w:rPr>
        <w:t xml:space="preserve"> Zintegrow</w:t>
      </w:r>
      <w:r>
        <w:rPr>
          <w:rFonts w:asciiTheme="minorHAnsi" w:hAnsiTheme="minorHAnsi" w:cstheme="minorHAnsi"/>
          <w:sz w:val="18"/>
          <w:szCs w:val="18"/>
        </w:rPr>
        <w:t xml:space="preserve">any System Kwalifikacji </w:t>
      </w:r>
      <w:r w:rsidRPr="009857B6">
        <w:rPr>
          <w:rFonts w:asciiTheme="minorHAnsi" w:hAnsiTheme="minorHAnsi" w:cstheme="minorHAnsi"/>
          <w:sz w:val="18"/>
          <w:szCs w:val="18"/>
        </w:rPr>
        <w:t>– rozwiązanie systemowe mające na celu podniesien</w:t>
      </w:r>
      <w:r>
        <w:rPr>
          <w:rFonts w:asciiTheme="minorHAnsi" w:hAnsiTheme="minorHAnsi" w:cstheme="minorHAnsi"/>
          <w:sz w:val="18"/>
          <w:szCs w:val="18"/>
        </w:rPr>
        <w:t>ie poziomu kapitału ludzkiego w </w:t>
      </w:r>
      <w:r w:rsidRPr="009857B6">
        <w:rPr>
          <w:rFonts w:asciiTheme="minorHAnsi" w:hAnsiTheme="minorHAnsi" w:cstheme="minorHAnsi"/>
          <w:sz w:val="18"/>
          <w:szCs w:val="18"/>
        </w:rPr>
        <w:t>Polsce poprzez opisanie, uporządkowanie i zebranie różnych kw</w:t>
      </w:r>
      <w:r>
        <w:rPr>
          <w:rFonts w:asciiTheme="minorHAnsi" w:hAnsiTheme="minorHAnsi" w:cstheme="minorHAnsi"/>
          <w:sz w:val="18"/>
          <w:szCs w:val="18"/>
        </w:rPr>
        <w:t>alifikacji w jednym rejestrze, Zintegrowanym Rejestrze K</w:t>
      </w:r>
      <w:r w:rsidRPr="009857B6">
        <w:rPr>
          <w:rFonts w:asciiTheme="minorHAnsi" w:hAnsiTheme="minorHAnsi" w:cstheme="minorHAnsi"/>
          <w:sz w:val="18"/>
          <w:szCs w:val="18"/>
        </w:rPr>
        <w:t>walifikacji.</w:t>
      </w:r>
    </w:p>
  </w:footnote>
  <w:footnote w:id="175">
    <w:p w14:paraId="394A3ECC" w14:textId="099A73ED" w:rsidR="00F17884" w:rsidRPr="004114FD" w:rsidRDefault="00F17884" w:rsidP="008279F5">
      <w:pPr>
        <w:pStyle w:val="Tekstprzypisudolnego"/>
        <w:rPr>
          <w:rFonts w:asciiTheme="minorHAnsi" w:hAnsiTheme="minorHAnsi"/>
          <w:sz w:val="18"/>
          <w:szCs w:val="18"/>
        </w:rPr>
      </w:pPr>
      <w:r w:rsidRPr="004114FD">
        <w:rPr>
          <w:rStyle w:val="Odwoanieprzypisudolnego"/>
          <w:rFonts w:asciiTheme="minorHAnsi" w:hAnsiTheme="minorHAnsi"/>
          <w:sz w:val="18"/>
          <w:szCs w:val="18"/>
        </w:rPr>
        <w:footnoteRef/>
      </w:r>
      <w:r w:rsidRPr="004114FD">
        <w:rPr>
          <w:rFonts w:asciiTheme="minorHAnsi" w:hAnsiTheme="minorHAnsi"/>
          <w:sz w:val="18"/>
          <w:szCs w:val="18"/>
        </w:rPr>
        <w:t xml:space="preserve"> </w:t>
      </w:r>
      <w:hyperlink r:id="rId12" w:history="1">
        <w:r w:rsidRPr="004114FD">
          <w:rPr>
            <w:rStyle w:val="Hipercze"/>
            <w:rFonts w:asciiTheme="minorHAnsi" w:hAnsiTheme="minorHAnsi"/>
            <w:sz w:val="18"/>
            <w:szCs w:val="18"/>
          </w:rPr>
          <w:t>https://strateg.stat.gov.pl</w:t>
        </w:r>
      </w:hyperlink>
      <w:r w:rsidRPr="004114FD">
        <w:rPr>
          <w:rFonts w:asciiTheme="minorHAnsi" w:hAnsiTheme="minorHAnsi"/>
          <w:sz w:val="18"/>
          <w:szCs w:val="18"/>
        </w:rPr>
        <w:t xml:space="preserve">. </w:t>
      </w:r>
    </w:p>
  </w:footnote>
  <w:footnote w:id="176">
    <w:p w14:paraId="7057E00A" w14:textId="5EE5D823" w:rsidR="00F17884" w:rsidRPr="004114FD" w:rsidRDefault="00F17884" w:rsidP="008279F5">
      <w:pPr>
        <w:pStyle w:val="Tekstprzypisudolnego"/>
        <w:rPr>
          <w:rFonts w:asciiTheme="minorHAnsi" w:hAnsiTheme="minorHAnsi"/>
          <w:sz w:val="18"/>
          <w:szCs w:val="18"/>
        </w:rPr>
      </w:pPr>
      <w:r w:rsidRPr="004114FD">
        <w:rPr>
          <w:rStyle w:val="Odwoanieprzypisudolnego"/>
          <w:rFonts w:asciiTheme="minorHAnsi" w:hAnsiTheme="minorHAnsi"/>
          <w:sz w:val="18"/>
          <w:szCs w:val="18"/>
        </w:rPr>
        <w:footnoteRef/>
      </w:r>
      <w:r w:rsidRPr="004114FD">
        <w:rPr>
          <w:rFonts w:asciiTheme="minorHAnsi" w:hAnsiTheme="minorHAnsi"/>
          <w:i/>
          <w:sz w:val="18"/>
          <w:szCs w:val="18"/>
        </w:rPr>
        <w:t xml:space="preserve"> Ekspertyza z realizacji badania pn. Analiza powiązań</w:t>
      </w:r>
      <w:r>
        <w:rPr>
          <w:rFonts w:asciiTheme="minorHAnsi" w:hAnsiTheme="minorHAnsi"/>
          <w:i/>
          <w:sz w:val="18"/>
          <w:szCs w:val="18"/>
        </w:rPr>
        <w:t xml:space="preserve"> społeczno - gospodarczych</w:t>
      </w:r>
      <w:r w:rsidRPr="004114FD">
        <w:rPr>
          <w:rFonts w:asciiTheme="minorHAnsi" w:hAnsiTheme="minorHAnsi"/>
          <w:i/>
          <w:sz w:val="18"/>
          <w:szCs w:val="18"/>
        </w:rPr>
        <w:t xml:space="preserve"> </w:t>
      </w:r>
      <w:r w:rsidRPr="004114FD">
        <w:rPr>
          <w:rFonts w:asciiTheme="minorHAnsi" w:hAnsiTheme="minorHAnsi"/>
          <w:sz w:val="18"/>
          <w:szCs w:val="18"/>
        </w:rPr>
        <w:t>(…),</w:t>
      </w:r>
      <w:r>
        <w:rPr>
          <w:rFonts w:asciiTheme="minorHAnsi" w:hAnsiTheme="minorHAnsi"/>
          <w:sz w:val="18"/>
          <w:szCs w:val="18"/>
        </w:rPr>
        <w:t xml:space="preserve"> op. cit., </w:t>
      </w:r>
      <w:r w:rsidRPr="004114FD">
        <w:rPr>
          <w:rFonts w:asciiTheme="minorHAnsi" w:hAnsiTheme="minorHAnsi"/>
          <w:sz w:val="18"/>
          <w:szCs w:val="18"/>
        </w:rPr>
        <w:t>s.71.</w:t>
      </w:r>
    </w:p>
  </w:footnote>
  <w:footnote w:id="177">
    <w:p w14:paraId="763AC7DB" w14:textId="77777777" w:rsidR="00F17884" w:rsidRPr="002F4757" w:rsidRDefault="00F17884" w:rsidP="007A2A28">
      <w:pPr>
        <w:pStyle w:val="Tekstprzypisudolnego"/>
        <w:ind w:left="284" w:hanging="284"/>
        <w:rPr>
          <w:rFonts w:asciiTheme="minorHAnsi" w:hAnsiTheme="minorHAnsi"/>
          <w:sz w:val="18"/>
          <w:szCs w:val="18"/>
        </w:rPr>
      </w:pPr>
      <w:r w:rsidRPr="002F4757">
        <w:rPr>
          <w:rStyle w:val="Odwoanieprzypisudolnego"/>
          <w:rFonts w:asciiTheme="minorHAnsi" w:hAnsiTheme="minorHAnsi"/>
          <w:sz w:val="18"/>
          <w:szCs w:val="18"/>
        </w:rPr>
        <w:footnoteRef/>
      </w:r>
      <w:r>
        <w:rPr>
          <w:rFonts w:asciiTheme="minorHAnsi" w:hAnsiTheme="minorHAnsi"/>
          <w:i/>
          <w:sz w:val="18"/>
          <w:szCs w:val="18"/>
        </w:rPr>
        <w:t xml:space="preserve"> </w:t>
      </w:r>
      <w:r w:rsidRPr="002F4757">
        <w:rPr>
          <w:rFonts w:asciiTheme="minorHAnsi" w:hAnsiTheme="minorHAnsi"/>
          <w:i/>
          <w:sz w:val="18"/>
          <w:szCs w:val="18"/>
        </w:rPr>
        <w:t>Umiejętności Polaków – wyniki Międzynarodowego Badania Kompetencji Osób Dorosłych (PIAAC)</w:t>
      </w:r>
      <w:r w:rsidRPr="002F4757">
        <w:rPr>
          <w:rFonts w:asciiTheme="minorHAnsi" w:hAnsiTheme="minorHAnsi"/>
          <w:sz w:val="18"/>
          <w:szCs w:val="18"/>
        </w:rPr>
        <w:t>, Instytut Badań Edu</w:t>
      </w:r>
      <w:r>
        <w:rPr>
          <w:rFonts w:asciiTheme="minorHAnsi" w:hAnsiTheme="minorHAnsi"/>
          <w:sz w:val="18"/>
          <w:szCs w:val="18"/>
        </w:rPr>
        <w:t xml:space="preserve">kacyjnych, Warszawa 2013 r., s. </w:t>
      </w:r>
      <w:r w:rsidRPr="002F4757">
        <w:rPr>
          <w:rFonts w:asciiTheme="minorHAnsi" w:hAnsiTheme="minorHAnsi"/>
          <w:sz w:val="18"/>
          <w:szCs w:val="18"/>
        </w:rPr>
        <w:t>45-62.</w:t>
      </w:r>
    </w:p>
  </w:footnote>
  <w:footnote w:id="178">
    <w:p w14:paraId="48120FE0" w14:textId="02B416CD" w:rsidR="00F17884" w:rsidRPr="002F4757" w:rsidRDefault="00F17884" w:rsidP="008279F5">
      <w:pPr>
        <w:pStyle w:val="Tekstprzypisudolnego"/>
        <w:rPr>
          <w:rFonts w:asciiTheme="minorHAnsi" w:hAnsiTheme="minorHAnsi"/>
          <w:sz w:val="18"/>
          <w:szCs w:val="18"/>
        </w:rPr>
      </w:pPr>
      <w:r w:rsidRPr="002F4757">
        <w:rPr>
          <w:rStyle w:val="Odwoanieprzypisudolnego"/>
          <w:rFonts w:asciiTheme="minorHAnsi" w:hAnsiTheme="minorHAnsi"/>
          <w:sz w:val="18"/>
          <w:szCs w:val="18"/>
        </w:rPr>
        <w:footnoteRef/>
      </w:r>
      <w:r>
        <w:rPr>
          <w:rFonts w:asciiTheme="minorHAnsi" w:hAnsiTheme="minorHAnsi"/>
          <w:sz w:val="18"/>
          <w:szCs w:val="18"/>
        </w:rPr>
        <w:t xml:space="preserve"> </w:t>
      </w:r>
      <w:hyperlink r:id="rId13" w:history="1">
        <w:r w:rsidRPr="002F4757">
          <w:rPr>
            <w:rStyle w:val="Hipercze"/>
            <w:rFonts w:asciiTheme="minorHAnsi" w:hAnsiTheme="minorHAnsi"/>
            <w:sz w:val="18"/>
            <w:szCs w:val="18"/>
          </w:rPr>
          <w:t>https://strateg.stat.gov.pl</w:t>
        </w:r>
      </w:hyperlink>
      <w:r w:rsidRPr="002F4757">
        <w:rPr>
          <w:rStyle w:val="Hipercze"/>
          <w:rFonts w:asciiTheme="minorHAnsi" w:hAnsiTheme="minorHAnsi"/>
          <w:sz w:val="18"/>
          <w:szCs w:val="18"/>
        </w:rPr>
        <w:t>.</w:t>
      </w:r>
    </w:p>
  </w:footnote>
  <w:footnote w:id="179">
    <w:p w14:paraId="77F7CCD4" w14:textId="77777777" w:rsidR="00F17884" w:rsidRPr="002F4757" w:rsidRDefault="00F17884" w:rsidP="008279F5">
      <w:pPr>
        <w:pStyle w:val="Tekstprzypisudolnego"/>
        <w:rPr>
          <w:rFonts w:asciiTheme="minorHAnsi" w:hAnsiTheme="minorHAnsi"/>
          <w:sz w:val="18"/>
          <w:szCs w:val="18"/>
        </w:rPr>
      </w:pPr>
      <w:r w:rsidRPr="002F4757">
        <w:rPr>
          <w:rStyle w:val="Odwoanieprzypisudolnego"/>
          <w:rFonts w:asciiTheme="minorHAnsi" w:hAnsiTheme="minorHAnsi"/>
          <w:sz w:val="18"/>
          <w:szCs w:val="18"/>
        </w:rPr>
        <w:footnoteRef/>
      </w:r>
      <w:r w:rsidRPr="002F4757">
        <w:rPr>
          <w:rFonts w:asciiTheme="minorHAnsi" w:hAnsiTheme="minorHAnsi"/>
          <w:i/>
          <w:sz w:val="18"/>
          <w:szCs w:val="18"/>
        </w:rPr>
        <w:t xml:space="preserve"> Strategia Rozwoju Województwa Opolskiego do 2020 r</w:t>
      </w:r>
      <w:r>
        <w:rPr>
          <w:rFonts w:asciiTheme="minorHAnsi" w:hAnsiTheme="minorHAnsi"/>
          <w:sz w:val="18"/>
          <w:szCs w:val="18"/>
        </w:rPr>
        <w:t xml:space="preserve">. (…), op. cit., s. </w:t>
      </w:r>
      <w:r w:rsidRPr="002F4757">
        <w:rPr>
          <w:rFonts w:asciiTheme="minorHAnsi" w:hAnsiTheme="minorHAnsi"/>
          <w:sz w:val="18"/>
          <w:szCs w:val="18"/>
        </w:rPr>
        <w:t>57.</w:t>
      </w:r>
    </w:p>
  </w:footnote>
  <w:footnote w:id="180">
    <w:p w14:paraId="7879D3A7" w14:textId="51DB6E4B" w:rsidR="00F17884" w:rsidRPr="00C61B71" w:rsidRDefault="00F17884" w:rsidP="007A2A28">
      <w:pPr>
        <w:pStyle w:val="Tekstprzypisudolnego"/>
        <w:ind w:left="284" w:hanging="284"/>
        <w:rPr>
          <w:rFonts w:asciiTheme="minorHAnsi" w:hAnsiTheme="minorHAnsi" w:cstheme="minorHAnsi"/>
          <w:i/>
          <w:iCs/>
          <w:sz w:val="18"/>
          <w:szCs w:val="18"/>
        </w:rPr>
      </w:pPr>
      <w:r w:rsidRPr="002A1780">
        <w:rPr>
          <w:rStyle w:val="Odwoanieprzypisudolnego"/>
          <w:rFonts w:asciiTheme="minorHAnsi" w:hAnsiTheme="minorHAnsi" w:cstheme="minorHAnsi"/>
          <w:sz w:val="18"/>
          <w:szCs w:val="18"/>
        </w:rPr>
        <w:footnoteRef/>
      </w:r>
      <w:r w:rsidRPr="002A1780">
        <w:rPr>
          <w:rFonts w:asciiTheme="minorHAnsi" w:hAnsiTheme="minorHAnsi" w:cstheme="minorHAnsi"/>
          <w:sz w:val="18"/>
          <w:szCs w:val="18"/>
        </w:rPr>
        <w:t xml:space="preserve"> Zalecenie Rady </w:t>
      </w:r>
      <w:r w:rsidRPr="002A1780">
        <w:rPr>
          <w:rFonts w:asciiTheme="minorHAnsi" w:hAnsiTheme="minorHAnsi" w:cstheme="minorHAnsi"/>
          <w:i/>
          <w:iCs/>
          <w:sz w:val="18"/>
          <w:szCs w:val="18"/>
        </w:rPr>
        <w:t xml:space="preserve">w sprawie krajowego programu reform Polski na 2019 r. </w:t>
      </w:r>
      <w:r w:rsidRPr="00CB6429">
        <w:rPr>
          <w:rFonts w:asciiTheme="minorHAnsi" w:hAnsiTheme="minorHAnsi" w:cstheme="minorHAnsi"/>
          <w:iCs/>
          <w:sz w:val="18"/>
          <w:szCs w:val="18"/>
        </w:rPr>
        <w:t>(…)</w:t>
      </w:r>
      <w:r>
        <w:rPr>
          <w:rFonts w:asciiTheme="minorHAnsi" w:hAnsiTheme="minorHAnsi" w:cstheme="minorHAnsi"/>
          <w:iCs/>
          <w:sz w:val="18"/>
          <w:szCs w:val="18"/>
        </w:rPr>
        <w:t>,</w:t>
      </w:r>
      <w:r w:rsidRPr="00CB6429">
        <w:rPr>
          <w:rFonts w:asciiTheme="minorHAnsi" w:hAnsiTheme="minorHAnsi" w:cstheme="minorHAnsi"/>
          <w:iCs/>
          <w:sz w:val="18"/>
          <w:szCs w:val="18"/>
        </w:rPr>
        <w:t xml:space="preserve"> op. cit., </w:t>
      </w:r>
      <w:r w:rsidRPr="00CB6429">
        <w:rPr>
          <w:rFonts w:asciiTheme="minorHAnsi" w:hAnsiTheme="minorHAnsi" w:cstheme="minorHAnsi"/>
          <w:sz w:val="18"/>
          <w:szCs w:val="18"/>
        </w:rPr>
        <w:t>s.</w:t>
      </w:r>
      <w:r>
        <w:rPr>
          <w:rFonts w:asciiTheme="minorHAnsi" w:hAnsiTheme="minorHAnsi" w:cstheme="minorHAnsi"/>
          <w:sz w:val="18"/>
          <w:szCs w:val="18"/>
        </w:rPr>
        <w:t xml:space="preserve"> </w:t>
      </w:r>
      <w:r w:rsidRPr="00CB6429">
        <w:rPr>
          <w:rFonts w:asciiTheme="minorHAnsi" w:hAnsiTheme="minorHAnsi" w:cstheme="minorHAnsi"/>
          <w:sz w:val="18"/>
          <w:szCs w:val="18"/>
        </w:rPr>
        <w:t>4-5.</w:t>
      </w:r>
    </w:p>
  </w:footnote>
  <w:footnote w:id="181">
    <w:p w14:paraId="74B9AA92" w14:textId="77777777" w:rsidR="00F17884" w:rsidRPr="002D2C88" w:rsidRDefault="00F17884" w:rsidP="002D2C88">
      <w:pPr>
        <w:pStyle w:val="Tekstprzypisudolnego"/>
        <w:ind w:left="284" w:hanging="284"/>
        <w:rPr>
          <w:rFonts w:asciiTheme="minorHAnsi" w:hAnsiTheme="minorHAnsi" w:cstheme="minorHAnsi"/>
          <w:sz w:val="18"/>
          <w:szCs w:val="18"/>
        </w:rPr>
      </w:pPr>
      <w:r w:rsidRPr="002D2C88">
        <w:rPr>
          <w:rStyle w:val="Odwoanieprzypisudolnego"/>
          <w:rFonts w:asciiTheme="minorHAnsi" w:hAnsiTheme="minorHAnsi" w:cstheme="minorHAnsi"/>
          <w:sz w:val="18"/>
          <w:szCs w:val="18"/>
        </w:rPr>
        <w:footnoteRef/>
      </w:r>
      <w:r w:rsidRPr="002D2C88">
        <w:rPr>
          <w:rFonts w:asciiTheme="minorHAnsi" w:hAnsiTheme="minorHAnsi" w:cstheme="minorHAnsi"/>
          <w:sz w:val="18"/>
          <w:szCs w:val="18"/>
        </w:rPr>
        <w:t xml:space="preserve"> LOWE, czyli Lokalne Ośrodki Wiedzy i Edukacji - ośrodki aktywizowania dorosłych i społeczności lokalnej na rzecz rozwoju umiejętności stanowiących podstawę dla uczenia się przez całe życie, w szczególności na obszarach defaworyzowanych.</w:t>
      </w:r>
    </w:p>
  </w:footnote>
  <w:footnote w:id="182">
    <w:p w14:paraId="11D19B74" w14:textId="5F943854" w:rsidR="00F17884" w:rsidRPr="003A1D30" w:rsidRDefault="00F17884" w:rsidP="007A2A28">
      <w:pPr>
        <w:pStyle w:val="Tekstprzypisudolnego"/>
        <w:ind w:left="284" w:hanging="284"/>
        <w:rPr>
          <w:rFonts w:asciiTheme="minorHAnsi" w:hAnsiTheme="minorHAnsi" w:cstheme="minorHAnsi"/>
          <w:sz w:val="18"/>
          <w:szCs w:val="18"/>
        </w:rPr>
      </w:pPr>
      <w:r w:rsidRPr="003A1D30">
        <w:rPr>
          <w:rStyle w:val="Odwoanieprzypisudolnego"/>
          <w:rFonts w:asciiTheme="minorHAnsi" w:hAnsiTheme="minorHAnsi" w:cstheme="minorHAnsi"/>
          <w:sz w:val="18"/>
          <w:szCs w:val="18"/>
        </w:rPr>
        <w:footnoteRef/>
      </w:r>
      <w:r w:rsidRPr="003A1D30">
        <w:rPr>
          <w:rFonts w:asciiTheme="minorHAnsi" w:hAnsiTheme="minorHAnsi" w:cstheme="minorHAnsi"/>
          <w:i/>
          <w:sz w:val="18"/>
          <w:szCs w:val="18"/>
        </w:rPr>
        <w:t>Postrzeganie ubóstwa i nierówności dochodowych w Polsce</w:t>
      </w:r>
      <w:r w:rsidRPr="003A1D30">
        <w:rPr>
          <w:rFonts w:asciiTheme="minorHAnsi" w:hAnsiTheme="minorHAnsi" w:cstheme="minorHAnsi"/>
          <w:sz w:val="18"/>
          <w:szCs w:val="18"/>
        </w:rPr>
        <w:t xml:space="preserve"> 23.10.2018 r. Wyniki Badania spójności społecznej 2018</w:t>
      </w:r>
      <w:r>
        <w:rPr>
          <w:rFonts w:asciiTheme="minorHAnsi" w:hAnsiTheme="minorHAnsi" w:cstheme="minorHAnsi"/>
          <w:sz w:val="18"/>
          <w:szCs w:val="18"/>
        </w:rPr>
        <w:t>,</w:t>
      </w:r>
      <w:r w:rsidRPr="003A1D30">
        <w:rPr>
          <w:rFonts w:asciiTheme="minorHAnsi" w:hAnsiTheme="minorHAnsi" w:cstheme="minorHAnsi"/>
          <w:sz w:val="18"/>
          <w:szCs w:val="18"/>
        </w:rPr>
        <w:t xml:space="preserve"> GUS</w:t>
      </w:r>
      <w:r>
        <w:rPr>
          <w:rFonts w:asciiTheme="minorHAnsi" w:hAnsiTheme="minorHAnsi" w:cstheme="minorHAnsi"/>
          <w:sz w:val="18"/>
          <w:szCs w:val="18"/>
        </w:rPr>
        <w:t>,</w:t>
      </w:r>
      <w:r w:rsidRPr="003A1D30">
        <w:rPr>
          <w:rFonts w:asciiTheme="minorHAnsi" w:hAnsiTheme="minorHAnsi" w:cstheme="minorHAnsi"/>
          <w:sz w:val="18"/>
          <w:szCs w:val="18"/>
        </w:rPr>
        <w:t xml:space="preserve"> s. 1-5.</w:t>
      </w:r>
    </w:p>
  </w:footnote>
  <w:footnote w:id="183">
    <w:p w14:paraId="314560B9" w14:textId="77777777" w:rsidR="00F17884" w:rsidRPr="00514E3D" w:rsidRDefault="00F17884" w:rsidP="00CC5342">
      <w:pPr>
        <w:pStyle w:val="Tekstprzypisudolnego"/>
        <w:ind w:left="0" w:firstLine="0"/>
        <w:rPr>
          <w:rFonts w:asciiTheme="minorHAnsi" w:hAnsiTheme="minorHAnsi" w:cstheme="minorHAnsi"/>
          <w:sz w:val="18"/>
          <w:szCs w:val="18"/>
        </w:rPr>
      </w:pPr>
      <w:r w:rsidRPr="00514E3D">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514E3D">
        <w:rPr>
          <w:rFonts w:asciiTheme="minorHAnsi" w:hAnsiTheme="minorHAnsi" w:cstheme="minorHAnsi"/>
          <w:i/>
          <w:sz w:val="18"/>
          <w:szCs w:val="18"/>
        </w:rPr>
        <w:t>Ocena zasobów pomocy społecznej województwa opolskiego w 2019 r.</w:t>
      </w:r>
      <w:r>
        <w:rPr>
          <w:rFonts w:asciiTheme="minorHAnsi" w:hAnsiTheme="minorHAnsi" w:cstheme="minorHAnsi"/>
          <w:i/>
          <w:sz w:val="18"/>
          <w:szCs w:val="18"/>
        </w:rPr>
        <w:t xml:space="preserve">, </w:t>
      </w:r>
      <w:r w:rsidRPr="00514E3D">
        <w:rPr>
          <w:rFonts w:asciiTheme="minorHAnsi" w:hAnsiTheme="minorHAnsi" w:cstheme="minorHAnsi"/>
          <w:sz w:val="18"/>
          <w:szCs w:val="18"/>
        </w:rPr>
        <w:t>ROPS w Opolu, czerwiec 2020.s. 69-70.</w:t>
      </w:r>
    </w:p>
  </w:footnote>
  <w:footnote w:id="184">
    <w:p w14:paraId="4D9C59CB" w14:textId="77777777" w:rsidR="00F17884" w:rsidRPr="00514E3D" w:rsidRDefault="00F17884" w:rsidP="007A2A28">
      <w:pPr>
        <w:pStyle w:val="Tekstprzypisudolnego"/>
        <w:tabs>
          <w:tab w:val="left" w:pos="284"/>
        </w:tabs>
        <w:ind w:left="284" w:hanging="284"/>
        <w:rPr>
          <w:rFonts w:asciiTheme="minorHAnsi" w:hAnsiTheme="minorHAnsi" w:cstheme="minorHAnsi"/>
          <w:sz w:val="18"/>
          <w:szCs w:val="18"/>
        </w:rPr>
      </w:pPr>
      <w:r w:rsidRPr="00514E3D">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514E3D">
        <w:rPr>
          <w:rFonts w:asciiTheme="minorHAnsi" w:hAnsiTheme="minorHAnsi" w:cstheme="minorHAnsi"/>
          <w:i/>
          <w:sz w:val="18"/>
          <w:szCs w:val="18"/>
        </w:rPr>
        <w:t>Aktywność Ekonomiczna Ludności w województwie 30.09.2020 r. opolskim w II kwartale 2020 r.,</w:t>
      </w:r>
      <w:r w:rsidRPr="00514E3D">
        <w:rPr>
          <w:rFonts w:asciiTheme="minorHAnsi" w:hAnsiTheme="minorHAnsi" w:cstheme="minorHAnsi"/>
          <w:sz w:val="18"/>
          <w:szCs w:val="18"/>
        </w:rPr>
        <w:t xml:space="preserve"> Urząd Statystyczny w</w:t>
      </w:r>
      <w:r>
        <w:rPr>
          <w:rFonts w:asciiTheme="minorHAnsi" w:hAnsiTheme="minorHAnsi" w:cstheme="minorHAnsi"/>
          <w:sz w:val="18"/>
          <w:szCs w:val="18"/>
        </w:rPr>
        <w:t> </w:t>
      </w:r>
      <w:r w:rsidRPr="00514E3D">
        <w:rPr>
          <w:rFonts w:asciiTheme="minorHAnsi" w:hAnsiTheme="minorHAnsi" w:cstheme="minorHAnsi"/>
          <w:sz w:val="18"/>
          <w:szCs w:val="18"/>
        </w:rPr>
        <w:t>Opolu, 30.09.2020, s.4</w:t>
      </w:r>
      <w:r>
        <w:rPr>
          <w:rFonts w:asciiTheme="minorHAnsi" w:hAnsiTheme="minorHAnsi" w:cstheme="minorHAnsi"/>
          <w:sz w:val="18"/>
          <w:szCs w:val="18"/>
        </w:rPr>
        <w:t>.</w:t>
      </w:r>
    </w:p>
  </w:footnote>
  <w:footnote w:id="185">
    <w:p w14:paraId="1F8B4682" w14:textId="77777777" w:rsidR="00F17884" w:rsidRPr="00890249" w:rsidRDefault="00F17884" w:rsidP="001B1466">
      <w:pPr>
        <w:pStyle w:val="Tekstprzypisudolnego"/>
        <w:rPr>
          <w:rFonts w:asciiTheme="minorHAnsi" w:hAnsiTheme="minorHAnsi" w:cstheme="minorHAnsi"/>
          <w:sz w:val="18"/>
          <w:szCs w:val="18"/>
        </w:rPr>
      </w:pPr>
      <w:r w:rsidRPr="0043241C">
        <w:rPr>
          <w:rStyle w:val="Odwoanieprzypisudolnego"/>
          <w:rFonts w:asciiTheme="minorHAnsi" w:hAnsiTheme="minorHAnsi" w:cstheme="minorHAnsi"/>
        </w:rPr>
        <w:footnoteRef/>
      </w:r>
      <w:r w:rsidRPr="0043241C">
        <w:rPr>
          <w:rFonts w:asciiTheme="minorHAnsi" w:hAnsiTheme="minorHAnsi" w:cstheme="minorHAnsi"/>
          <w:i/>
        </w:rPr>
        <w:t xml:space="preserve"> </w:t>
      </w:r>
      <w:r w:rsidRPr="00890249">
        <w:rPr>
          <w:rFonts w:asciiTheme="minorHAnsi" w:hAnsiTheme="minorHAnsi" w:cstheme="minorHAnsi"/>
          <w:i/>
          <w:sz w:val="18"/>
          <w:szCs w:val="18"/>
        </w:rPr>
        <w:t>Ocena zasobów pomocy społecznej (…), op. cit.,</w:t>
      </w:r>
      <w:r w:rsidRPr="00890249">
        <w:rPr>
          <w:rFonts w:asciiTheme="minorHAnsi" w:hAnsiTheme="minorHAnsi" w:cstheme="minorHAnsi"/>
          <w:sz w:val="18"/>
          <w:szCs w:val="18"/>
        </w:rPr>
        <w:t xml:space="preserve"> s.110.</w:t>
      </w:r>
    </w:p>
  </w:footnote>
  <w:footnote w:id="186">
    <w:p w14:paraId="0EABABF2" w14:textId="77777777" w:rsidR="00F17884" w:rsidRPr="002B615A" w:rsidRDefault="00F17884">
      <w:pPr>
        <w:pStyle w:val="Tekstprzypisudolnego"/>
        <w:rPr>
          <w:rFonts w:asciiTheme="minorHAnsi" w:hAnsiTheme="minorHAnsi" w:cstheme="minorHAnsi"/>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https://www.gov.pl/web/rodzina/konwencja-o-prawach-osob-niepelnosprawnych.</w:t>
      </w:r>
    </w:p>
  </w:footnote>
  <w:footnote w:id="187">
    <w:p w14:paraId="47B10B01" w14:textId="17356122" w:rsidR="00F17884" w:rsidRPr="00AD61E3" w:rsidRDefault="00F17884" w:rsidP="00AD61E3">
      <w:pPr>
        <w:pStyle w:val="Tekstprzypisudolnego"/>
        <w:ind w:left="284" w:hanging="284"/>
        <w:rPr>
          <w:rFonts w:asciiTheme="minorHAnsi" w:hAnsiTheme="minorHAnsi" w:cstheme="minorHAnsi"/>
          <w:sz w:val="18"/>
          <w:szCs w:val="18"/>
        </w:rPr>
      </w:pPr>
      <w:r w:rsidRPr="00AD61E3">
        <w:rPr>
          <w:rStyle w:val="Odwoanieprzypisudolnego"/>
          <w:rFonts w:asciiTheme="minorHAnsi" w:hAnsiTheme="minorHAnsi" w:cstheme="minorHAnsi"/>
          <w:sz w:val="18"/>
          <w:szCs w:val="18"/>
        </w:rPr>
        <w:footnoteRef/>
      </w:r>
      <w:r w:rsidRPr="00AD61E3">
        <w:rPr>
          <w:rFonts w:asciiTheme="minorHAnsi" w:hAnsiTheme="minorHAnsi" w:cstheme="minorHAnsi"/>
          <w:sz w:val="18"/>
          <w:szCs w:val="18"/>
        </w:rPr>
        <w:t xml:space="preserve"> </w:t>
      </w:r>
      <w:r w:rsidRPr="00146E66">
        <w:rPr>
          <w:rFonts w:asciiTheme="minorHAnsi" w:hAnsiTheme="minorHAnsi" w:cstheme="minorHAnsi"/>
          <w:sz w:val="18"/>
          <w:szCs w:val="18"/>
        </w:rPr>
        <w:t xml:space="preserve">Wg stanu na </w:t>
      </w:r>
      <w:r>
        <w:rPr>
          <w:rFonts w:asciiTheme="minorHAnsi" w:hAnsiTheme="minorHAnsi" w:cstheme="minorHAnsi"/>
          <w:sz w:val="18"/>
          <w:szCs w:val="18"/>
        </w:rPr>
        <w:t>13</w:t>
      </w:r>
      <w:r w:rsidRPr="00146E66">
        <w:rPr>
          <w:rFonts w:asciiTheme="minorHAnsi" w:hAnsiTheme="minorHAnsi" w:cstheme="minorHAnsi"/>
          <w:sz w:val="18"/>
          <w:szCs w:val="18"/>
        </w:rPr>
        <w:t xml:space="preserve"> wrzesień 2022 r. - dane zebrane przez </w:t>
      </w:r>
      <w:r>
        <w:rPr>
          <w:rFonts w:asciiTheme="minorHAnsi" w:hAnsiTheme="minorHAnsi" w:cstheme="minorHAnsi"/>
          <w:sz w:val="18"/>
          <w:szCs w:val="18"/>
        </w:rPr>
        <w:t>ONZ,</w:t>
      </w:r>
      <w:r w:rsidRPr="00146E66">
        <w:rPr>
          <w:rFonts w:asciiTheme="minorHAnsi" w:hAnsiTheme="minorHAnsi" w:cstheme="minorHAnsi"/>
          <w:sz w:val="18"/>
          <w:szCs w:val="18"/>
        </w:rPr>
        <w:t xml:space="preserve"> </w:t>
      </w:r>
      <w:r w:rsidRPr="00146E66">
        <w:rPr>
          <w:rStyle w:val="Hipercze"/>
          <w:rFonts w:asciiTheme="minorHAnsi" w:hAnsiTheme="minorHAnsi" w:cstheme="minorHAnsi"/>
          <w:sz w:val="18"/>
          <w:szCs w:val="18"/>
        </w:rPr>
        <w:t>https://300gospodarka.pl/news/uchodzcy-z-ukrainy-w-polsce-liczba</w:t>
      </w:r>
      <w:r w:rsidRPr="00146E66">
        <w:rPr>
          <w:rFonts w:asciiTheme="minorHAnsi" w:hAnsiTheme="minorHAnsi" w:cstheme="minorHAnsi"/>
          <w:sz w:val="18"/>
          <w:szCs w:val="18"/>
        </w:rPr>
        <w:t xml:space="preserve"> (dostęp  30.09.2022 r.)</w:t>
      </w:r>
      <w:r>
        <w:rPr>
          <w:rFonts w:asciiTheme="minorHAnsi" w:hAnsiTheme="minorHAnsi" w:cstheme="minorHAnsi"/>
          <w:sz w:val="18"/>
          <w:szCs w:val="18"/>
        </w:rPr>
        <w:t>.</w:t>
      </w:r>
    </w:p>
  </w:footnote>
  <w:footnote w:id="188">
    <w:p w14:paraId="7B1341EF" w14:textId="246B723E" w:rsidR="00F17884" w:rsidRPr="00146E66" w:rsidRDefault="00F17884" w:rsidP="00146E66">
      <w:pPr>
        <w:pStyle w:val="Tekstprzypisudolnego"/>
        <w:ind w:left="284" w:hanging="284"/>
        <w:rPr>
          <w:rFonts w:asciiTheme="minorHAnsi" w:hAnsiTheme="minorHAnsi" w:cstheme="minorHAnsi"/>
          <w:sz w:val="18"/>
          <w:szCs w:val="18"/>
        </w:rPr>
      </w:pPr>
      <w:r w:rsidRPr="00C45AF8">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Wg stanu na 29 września 2022 r. </w:t>
      </w:r>
      <w:hyperlink r:id="rId14" w:history="1">
        <w:r w:rsidRPr="00FD480D">
          <w:rPr>
            <w:rStyle w:val="Hipercze"/>
            <w:rFonts w:asciiTheme="minorHAnsi" w:hAnsiTheme="minorHAnsi" w:cstheme="minorHAnsi"/>
            <w:sz w:val="18"/>
            <w:szCs w:val="18"/>
          </w:rPr>
          <w:t>https://dane.gov.pl/</w:t>
        </w:r>
      </w:hyperlink>
      <w:r>
        <w:rPr>
          <w:rFonts w:asciiTheme="minorHAnsi" w:hAnsiTheme="minorHAnsi" w:cstheme="minorHAnsi"/>
          <w:sz w:val="18"/>
          <w:szCs w:val="18"/>
        </w:rPr>
        <w:t xml:space="preserve"> (</w:t>
      </w:r>
      <w:r w:rsidRPr="00146E66">
        <w:rPr>
          <w:rFonts w:asciiTheme="minorHAnsi" w:hAnsiTheme="minorHAnsi" w:cstheme="minorHAnsi"/>
          <w:sz w:val="18"/>
          <w:szCs w:val="18"/>
        </w:rPr>
        <w:t>dostęp  30.09.2022 r.)</w:t>
      </w:r>
      <w:r>
        <w:rPr>
          <w:rFonts w:asciiTheme="minorHAnsi" w:hAnsiTheme="minorHAnsi" w:cstheme="minorHAnsi"/>
          <w:sz w:val="18"/>
          <w:szCs w:val="18"/>
        </w:rPr>
        <w:t>.</w:t>
      </w:r>
    </w:p>
  </w:footnote>
  <w:footnote w:id="189">
    <w:p w14:paraId="0616562C" w14:textId="5441C967" w:rsidR="00F17884" w:rsidRPr="00AD61E3" w:rsidRDefault="00F17884">
      <w:pPr>
        <w:pStyle w:val="Tekstprzypisudolnego"/>
        <w:rPr>
          <w:rFonts w:asciiTheme="minorHAnsi" w:hAnsiTheme="minorHAnsi" w:cstheme="minorHAnsi"/>
          <w:sz w:val="18"/>
          <w:szCs w:val="18"/>
        </w:rPr>
      </w:pPr>
      <w:r w:rsidRPr="00AD61E3">
        <w:rPr>
          <w:rStyle w:val="Odwoanieprzypisudolnego"/>
          <w:rFonts w:asciiTheme="minorHAnsi" w:hAnsiTheme="minorHAnsi" w:cstheme="minorHAnsi"/>
          <w:sz w:val="18"/>
          <w:szCs w:val="18"/>
        </w:rPr>
        <w:footnoteRef/>
      </w:r>
      <w:r w:rsidRPr="00AD61E3">
        <w:rPr>
          <w:rFonts w:asciiTheme="minorHAnsi" w:hAnsiTheme="minorHAnsi" w:cstheme="minorHAnsi"/>
          <w:sz w:val="18"/>
          <w:szCs w:val="18"/>
        </w:rPr>
        <w:t xml:space="preserve"> </w:t>
      </w:r>
      <w:r>
        <w:rPr>
          <w:rFonts w:asciiTheme="minorHAnsi" w:hAnsiTheme="minorHAnsi" w:cstheme="minorHAnsi"/>
          <w:sz w:val="18"/>
          <w:szCs w:val="18"/>
        </w:rPr>
        <w:t>Ibidem.</w:t>
      </w:r>
    </w:p>
  </w:footnote>
  <w:footnote w:id="190">
    <w:p w14:paraId="1627DC8E" w14:textId="77777777" w:rsidR="00F17884" w:rsidRPr="00C45AF8" w:rsidRDefault="00F17884" w:rsidP="00146E66">
      <w:pPr>
        <w:pStyle w:val="Tekstprzypisudolnego"/>
        <w:ind w:left="284" w:hanging="284"/>
        <w:rPr>
          <w:rFonts w:asciiTheme="minorHAnsi" w:hAnsiTheme="minorHAnsi" w:cstheme="minorHAnsi"/>
          <w:sz w:val="18"/>
          <w:szCs w:val="18"/>
        </w:rPr>
      </w:pPr>
      <w:r w:rsidRPr="00146E66">
        <w:rPr>
          <w:rStyle w:val="Odwoanieprzypisudolnego"/>
          <w:rFonts w:asciiTheme="minorHAnsi" w:hAnsiTheme="minorHAnsi" w:cstheme="minorHAnsi"/>
          <w:sz w:val="18"/>
          <w:szCs w:val="18"/>
        </w:rPr>
        <w:footnoteRef/>
      </w:r>
      <w:r w:rsidRPr="00146E66">
        <w:rPr>
          <w:rFonts w:asciiTheme="minorHAnsi" w:hAnsiTheme="minorHAnsi" w:cstheme="minorHAnsi"/>
          <w:sz w:val="18"/>
          <w:szCs w:val="18"/>
        </w:rPr>
        <w:t xml:space="preserve"> </w:t>
      </w:r>
      <w:r w:rsidRPr="00146E66">
        <w:rPr>
          <w:rFonts w:asciiTheme="minorHAnsi" w:hAnsiTheme="minorHAnsi" w:cstheme="minorHAnsi"/>
          <w:i/>
          <w:sz w:val="18"/>
          <w:szCs w:val="18"/>
        </w:rPr>
        <w:t>Skłonność cudzoziemców do podejmowania pracy i osiedlania się w województwie opolskim</w:t>
      </w:r>
      <w:r w:rsidRPr="00146E66">
        <w:rPr>
          <w:rFonts w:asciiTheme="minorHAnsi" w:hAnsiTheme="minorHAnsi" w:cstheme="minorHAnsi"/>
          <w:sz w:val="18"/>
          <w:szCs w:val="18"/>
        </w:rPr>
        <w:t xml:space="preserve">. </w:t>
      </w:r>
      <w:r w:rsidRPr="00C45AF8">
        <w:rPr>
          <w:rFonts w:asciiTheme="minorHAnsi" w:hAnsiTheme="minorHAnsi" w:cstheme="minorHAnsi"/>
          <w:sz w:val="18"/>
          <w:szCs w:val="18"/>
        </w:rPr>
        <w:t>Dr S. Kubiciel - Lodzińska Uniwersytet Ekonomiczny w Katowicach, 2017, s. 113 - 115.</w:t>
      </w:r>
    </w:p>
  </w:footnote>
  <w:footnote w:id="191">
    <w:p w14:paraId="1245038A" w14:textId="77777777" w:rsidR="00F17884" w:rsidRPr="007D5605" w:rsidRDefault="00F17884" w:rsidP="00307AEE">
      <w:pPr>
        <w:pStyle w:val="Tekstprzypisudolnego"/>
        <w:ind w:left="284" w:hanging="284"/>
        <w:rPr>
          <w:rFonts w:asciiTheme="minorHAnsi" w:hAnsiTheme="minorHAnsi" w:cstheme="minorHAnsi"/>
          <w:sz w:val="18"/>
          <w:szCs w:val="18"/>
        </w:rPr>
      </w:pPr>
      <w:r w:rsidRPr="007D5605">
        <w:rPr>
          <w:rStyle w:val="Odwoanieprzypisudolnego"/>
          <w:rFonts w:asciiTheme="minorHAnsi" w:hAnsiTheme="minorHAnsi" w:cstheme="minorHAnsi"/>
          <w:sz w:val="18"/>
          <w:szCs w:val="18"/>
        </w:rPr>
        <w:footnoteRef/>
      </w:r>
      <w:r w:rsidRPr="007D5605">
        <w:rPr>
          <w:rFonts w:asciiTheme="minorHAnsi" w:hAnsiTheme="minorHAnsi" w:cstheme="minorHAnsi"/>
          <w:sz w:val="18"/>
          <w:szCs w:val="18"/>
        </w:rPr>
        <w:t xml:space="preserve">  </w:t>
      </w:r>
      <w:r w:rsidRPr="00890249">
        <w:rPr>
          <w:rFonts w:asciiTheme="minorHAnsi" w:hAnsiTheme="minorHAnsi" w:cstheme="minorHAnsi"/>
          <w:sz w:val="18"/>
          <w:szCs w:val="18"/>
        </w:rPr>
        <w:t>Ibidem.</w:t>
      </w:r>
    </w:p>
  </w:footnote>
  <w:footnote w:id="192">
    <w:p w14:paraId="7CA57156" w14:textId="7AD85AEB" w:rsidR="00F17884" w:rsidRPr="00B94D07" w:rsidRDefault="00F17884" w:rsidP="00B94D07">
      <w:pPr>
        <w:pStyle w:val="Tekstprzypisudolnego"/>
        <w:ind w:left="284" w:hanging="284"/>
        <w:jc w:val="left"/>
        <w:rPr>
          <w:rFonts w:asciiTheme="minorHAnsi" w:hAnsiTheme="minorHAnsi" w:cstheme="minorHAnsi"/>
          <w:sz w:val="18"/>
          <w:szCs w:val="18"/>
        </w:rPr>
      </w:pPr>
      <w:r w:rsidRPr="00B94D07">
        <w:rPr>
          <w:rStyle w:val="Odwoanieprzypisudolnego"/>
          <w:rFonts w:asciiTheme="minorHAnsi" w:hAnsiTheme="minorHAnsi" w:cstheme="minorHAnsi"/>
          <w:sz w:val="18"/>
          <w:szCs w:val="18"/>
        </w:rPr>
        <w:footnoteRef/>
      </w:r>
      <w:r w:rsidRPr="00B94D07">
        <w:rPr>
          <w:rFonts w:asciiTheme="minorHAnsi" w:hAnsiTheme="minorHAnsi" w:cstheme="minorHAnsi"/>
          <w:sz w:val="18"/>
          <w:szCs w:val="18"/>
        </w:rPr>
        <w:t xml:space="preserve"> https://www.rpo.gov.pl/pl/content/sytuacja-migrantow-pandemii-stanowisko-rpo-i-komisji-ekspertow-ds-migrantow</w:t>
      </w:r>
      <w:r>
        <w:rPr>
          <w:rFonts w:asciiTheme="minorHAnsi" w:hAnsiTheme="minorHAnsi" w:cstheme="minorHAnsi"/>
          <w:sz w:val="18"/>
          <w:szCs w:val="18"/>
        </w:rPr>
        <w:t>.</w:t>
      </w:r>
    </w:p>
  </w:footnote>
  <w:footnote w:id="193">
    <w:p w14:paraId="71F9F6E3" w14:textId="79E8350E" w:rsidR="00F17884" w:rsidRPr="0043241C" w:rsidRDefault="00F17884">
      <w:pPr>
        <w:pStyle w:val="Tekstprzypisudolnego"/>
        <w:rPr>
          <w:rFonts w:asciiTheme="minorHAnsi" w:hAnsiTheme="minorHAnsi" w:cstheme="minorHAnsi"/>
          <w:sz w:val="18"/>
          <w:szCs w:val="18"/>
        </w:rPr>
      </w:pPr>
      <w:r w:rsidRPr="0043241C">
        <w:rPr>
          <w:rStyle w:val="Odwoanieprzypisudolnego"/>
          <w:rFonts w:asciiTheme="minorHAnsi" w:hAnsiTheme="minorHAnsi" w:cstheme="minorHAnsi"/>
          <w:sz w:val="18"/>
          <w:szCs w:val="18"/>
        </w:rPr>
        <w:footnoteRef/>
      </w:r>
      <w:r w:rsidRPr="0043241C">
        <w:rPr>
          <w:rFonts w:asciiTheme="minorHAnsi" w:hAnsiTheme="minorHAnsi" w:cstheme="minorHAnsi"/>
          <w:sz w:val="18"/>
          <w:szCs w:val="18"/>
        </w:rPr>
        <w:t xml:space="preserve"> https://eur-lex.europa.eu/legal-content/PL/TXT/PDF/?uri=CELEX:52020DC0758&amp;from=ES</w:t>
      </w:r>
      <w:r>
        <w:rPr>
          <w:rFonts w:asciiTheme="minorHAnsi" w:hAnsiTheme="minorHAnsi" w:cstheme="minorHAnsi"/>
          <w:sz w:val="18"/>
          <w:szCs w:val="18"/>
        </w:rPr>
        <w:t>.</w:t>
      </w:r>
    </w:p>
  </w:footnote>
  <w:footnote w:id="194">
    <w:p w14:paraId="1D814C0B" w14:textId="7777777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Wsparcie komplementarne z działaniami zaplanowanym w cs (f).</w:t>
      </w:r>
    </w:p>
  </w:footnote>
  <w:footnote w:id="195">
    <w:p w14:paraId="044EF2EE" w14:textId="5924D5CB" w:rsidR="00F17884" w:rsidRPr="00210A3C" w:rsidRDefault="00F17884" w:rsidP="00AE3DD2">
      <w:pPr>
        <w:pStyle w:val="Tekstprzypisudolnego"/>
        <w:rPr>
          <w:rFonts w:asciiTheme="minorHAnsi" w:hAnsiTheme="minorHAnsi" w:cstheme="minorHAnsi"/>
          <w:sz w:val="18"/>
          <w:szCs w:val="18"/>
        </w:rPr>
      </w:pPr>
      <w:r w:rsidRPr="00210A3C">
        <w:rPr>
          <w:rStyle w:val="Odwoanieprzypisudolnego"/>
          <w:rFonts w:asciiTheme="minorHAnsi" w:hAnsiTheme="minorHAnsi" w:cstheme="minorHAnsi"/>
          <w:sz w:val="18"/>
          <w:szCs w:val="18"/>
        </w:rPr>
        <w:footnoteRef/>
      </w:r>
      <w:r>
        <w:rPr>
          <w:rFonts w:asciiTheme="minorHAnsi" w:hAnsiTheme="minorHAnsi" w:cstheme="minorHAnsi"/>
          <w:i/>
          <w:sz w:val="18"/>
          <w:szCs w:val="18"/>
        </w:rPr>
        <w:t xml:space="preserve"> </w:t>
      </w:r>
      <w:r w:rsidRPr="00210A3C">
        <w:rPr>
          <w:rFonts w:asciiTheme="minorHAnsi" w:hAnsiTheme="minorHAnsi" w:cstheme="minorHAnsi"/>
          <w:i/>
          <w:sz w:val="18"/>
          <w:szCs w:val="18"/>
        </w:rPr>
        <w:t>Program integracji społeczności romskiej w Polsce na lata 2014-2020</w:t>
      </w:r>
      <w:r w:rsidRPr="00210A3C">
        <w:rPr>
          <w:rFonts w:asciiTheme="minorHAnsi" w:hAnsiTheme="minorHAnsi" w:cstheme="minorHAnsi"/>
          <w:sz w:val="18"/>
          <w:szCs w:val="18"/>
        </w:rPr>
        <w:t xml:space="preserve">. </w:t>
      </w:r>
      <w:r>
        <w:rPr>
          <w:rFonts w:asciiTheme="minorHAnsi" w:hAnsiTheme="minorHAnsi" w:cstheme="minorHAnsi"/>
          <w:sz w:val="18"/>
          <w:szCs w:val="18"/>
        </w:rPr>
        <w:t xml:space="preserve">(…), op. cit., </w:t>
      </w:r>
      <w:r w:rsidRPr="00210A3C">
        <w:rPr>
          <w:rFonts w:asciiTheme="minorHAnsi" w:hAnsiTheme="minorHAnsi" w:cstheme="minorHAnsi"/>
          <w:sz w:val="18"/>
          <w:szCs w:val="18"/>
        </w:rPr>
        <w:t>s. 4.</w:t>
      </w:r>
    </w:p>
  </w:footnote>
  <w:footnote w:id="196">
    <w:p w14:paraId="63CA3906" w14:textId="32C51B51" w:rsidR="00F17884" w:rsidRPr="00890249" w:rsidRDefault="00F17884" w:rsidP="00210A3C">
      <w:pPr>
        <w:pStyle w:val="Tekstprzypisudolnego"/>
        <w:ind w:left="284" w:hanging="284"/>
        <w:rPr>
          <w:sz w:val="18"/>
          <w:szCs w:val="18"/>
        </w:rPr>
      </w:pPr>
      <w:r w:rsidRPr="00D172FD">
        <w:rPr>
          <w:rStyle w:val="Odwoanieprzypisudolnego"/>
          <w:rFonts w:asciiTheme="minorHAnsi" w:hAnsiTheme="minorHAnsi" w:cstheme="minorHAnsi"/>
          <w:sz w:val="18"/>
          <w:szCs w:val="18"/>
        </w:rPr>
        <w:footnoteRef/>
      </w:r>
      <w:r w:rsidRPr="0034252F">
        <w:rPr>
          <w:rFonts w:asciiTheme="minorHAnsi" w:hAnsiTheme="minorHAnsi" w:cstheme="minorHAnsi"/>
          <w:sz w:val="18"/>
          <w:szCs w:val="18"/>
        </w:rPr>
        <w:t xml:space="preserve"> </w:t>
      </w:r>
      <w:r w:rsidRPr="0034252F">
        <w:rPr>
          <w:rFonts w:asciiTheme="minorHAnsi" w:hAnsiTheme="minorHAnsi" w:cstheme="minorHAnsi"/>
          <w:i/>
          <w:sz w:val="18"/>
          <w:szCs w:val="18"/>
        </w:rPr>
        <w:t>Program integracji społeczności romskiej w Polsce na lata 2014-2020</w:t>
      </w:r>
      <w:r w:rsidRPr="0034252F">
        <w:rPr>
          <w:rFonts w:asciiTheme="minorHAnsi" w:hAnsiTheme="minorHAnsi" w:cstheme="minorHAnsi"/>
          <w:sz w:val="18"/>
          <w:szCs w:val="18"/>
        </w:rPr>
        <w:t>. (…)</w:t>
      </w:r>
      <w:r>
        <w:rPr>
          <w:rFonts w:asciiTheme="minorHAnsi" w:hAnsiTheme="minorHAnsi" w:cstheme="minorHAnsi"/>
          <w:sz w:val="18"/>
          <w:szCs w:val="18"/>
        </w:rPr>
        <w:t>,</w:t>
      </w:r>
      <w:r w:rsidRPr="00D172FD">
        <w:rPr>
          <w:rFonts w:asciiTheme="minorHAnsi" w:hAnsiTheme="minorHAnsi" w:cstheme="minorHAnsi"/>
          <w:sz w:val="18"/>
          <w:szCs w:val="18"/>
        </w:rPr>
        <w:t xml:space="preserve"> op. cit., </w:t>
      </w:r>
      <w:r w:rsidRPr="0034252F">
        <w:rPr>
          <w:rFonts w:asciiTheme="minorHAnsi" w:hAnsiTheme="minorHAnsi" w:cstheme="minorHAnsi"/>
          <w:sz w:val="18"/>
          <w:szCs w:val="18"/>
        </w:rPr>
        <w:t>s. 75.</w:t>
      </w:r>
    </w:p>
  </w:footnote>
  <w:footnote w:id="197">
    <w:p w14:paraId="5FFA8D98" w14:textId="77777777" w:rsidR="00F17884" w:rsidRPr="00890249" w:rsidRDefault="00F17884" w:rsidP="007A2A28">
      <w:pPr>
        <w:pStyle w:val="Tekstprzypisudolnego"/>
        <w:ind w:left="284" w:hanging="284"/>
        <w:rPr>
          <w:sz w:val="18"/>
          <w:szCs w:val="18"/>
        </w:rPr>
      </w:pPr>
      <w:r w:rsidRPr="00D172FD">
        <w:rPr>
          <w:rStyle w:val="Odwoanieprzypisudolnego"/>
          <w:rFonts w:asciiTheme="minorHAnsi" w:hAnsiTheme="minorHAnsi"/>
          <w:sz w:val="18"/>
          <w:szCs w:val="18"/>
        </w:rPr>
        <w:footnoteRef/>
      </w:r>
      <w:r w:rsidRPr="0034252F">
        <w:rPr>
          <w:rFonts w:asciiTheme="minorHAnsi" w:hAnsiTheme="minorHAnsi"/>
          <w:i/>
          <w:sz w:val="18"/>
          <w:szCs w:val="18"/>
        </w:rPr>
        <w:t xml:space="preserve"> Ocena wsparcia skierowanego do społeczności romskiej w Polsce z PO WER oraz innych programów realizowanych na rzecz Romów</w:t>
      </w:r>
      <w:r w:rsidRPr="0034252F">
        <w:rPr>
          <w:rFonts w:asciiTheme="minorHAnsi" w:hAnsiTheme="minorHAnsi"/>
          <w:sz w:val="18"/>
          <w:szCs w:val="18"/>
        </w:rPr>
        <w:t>. Raport końcowy. Evalu Sp. z o.o. Warszawa, marzec 2019, s. 118.</w:t>
      </w:r>
    </w:p>
  </w:footnote>
  <w:footnote w:id="198">
    <w:p w14:paraId="2A16E812" w14:textId="77777777" w:rsidR="00F17884" w:rsidRPr="00D172FD" w:rsidRDefault="00F17884" w:rsidP="007A2A28">
      <w:pPr>
        <w:pStyle w:val="Tekstprzypisudolnego"/>
        <w:ind w:left="142" w:hanging="142"/>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34252F">
        <w:rPr>
          <w:rFonts w:asciiTheme="minorHAnsi" w:hAnsiTheme="minorHAnsi" w:cstheme="minorHAnsi"/>
          <w:sz w:val="18"/>
          <w:szCs w:val="18"/>
        </w:rPr>
        <w:t xml:space="preserve"> Ibidem.</w:t>
      </w:r>
    </w:p>
  </w:footnote>
  <w:footnote w:id="199">
    <w:p w14:paraId="4BD1CAF0" w14:textId="77777777" w:rsidR="00F17884" w:rsidRPr="0034252F" w:rsidRDefault="00F17884" w:rsidP="00390D74">
      <w:pPr>
        <w:pStyle w:val="Tekstprzypisudolnego"/>
        <w:rPr>
          <w:rFonts w:asciiTheme="minorHAnsi" w:hAnsiTheme="minorHAnsi" w:cstheme="minorHAnsi"/>
          <w:sz w:val="18"/>
          <w:szCs w:val="18"/>
        </w:rPr>
      </w:pPr>
      <w:r w:rsidRPr="0034252F">
        <w:rPr>
          <w:rStyle w:val="Odwoanieprzypisudolnego"/>
          <w:rFonts w:asciiTheme="minorHAnsi" w:hAnsiTheme="minorHAnsi" w:cstheme="minorHAnsi"/>
          <w:sz w:val="18"/>
          <w:szCs w:val="18"/>
        </w:rPr>
        <w:footnoteRef/>
      </w:r>
      <w:r w:rsidRPr="0034252F">
        <w:rPr>
          <w:rFonts w:asciiTheme="minorHAnsi" w:hAnsiTheme="minorHAnsi" w:cstheme="minorHAnsi"/>
          <w:sz w:val="18"/>
          <w:szCs w:val="18"/>
        </w:rPr>
        <w:t xml:space="preserve"> </w:t>
      </w:r>
      <w:r w:rsidRPr="0034252F">
        <w:rPr>
          <w:rFonts w:asciiTheme="minorHAnsi" w:hAnsiTheme="minorHAnsi" w:cstheme="minorHAnsi"/>
          <w:i/>
          <w:sz w:val="18"/>
          <w:szCs w:val="18"/>
        </w:rPr>
        <w:t>Edukacja mniejszości romskiej w Polsce</w:t>
      </w:r>
      <w:r w:rsidRPr="0034252F">
        <w:rPr>
          <w:rFonts w:asciiTheme="minorHAnsi" w:hAnsiTheme="minorHAnsi" w:cstheme="minorHAnsi"/>
          <w:sz w:val="18"/>
          <w:szCs w:val="18"/>
        </w:rPr>
        <w:t>, Przybyszewska M</w:t>
      </w:r>
      <w:r w:rsidRPr="0034252F">
        <w:rPr>
          <w:rFonts w:asciiTheme="minorHAnsi" w:hAnsiTheme="minorHAnsi" w:cstheme="minorHAnsi"/>
          <w:i/>
          <w:sz w:val="18"/>
          <w:szCs w:val="18"/>
        </w:rPr>
        <w:t xml:space="preserve">., </w:t>
      </w:r>
      <w:r w:rsidRPr="0034252F">
        <w:rPr>
          <w:rFonts w:asciiTheme="minorHAnsi" w:hAnsiTheme="minorHAnsi" w:cstheme="minorHAnsi"/>
          <w:sz w:val="18"/>
          <w:szCs w:val="18"/>
        </w:rPr>
        <w:t>Poznań 2014, s. 180-181 i 183.</w:t>
      </w:r>
    </w:p>
  </w:footnote>
  <w:footnote w:id="200">
    <w:p w14:paraId="4A632F34" w14:textId="77777777" w:rsidR="00F17884" w:rsidRPr="00D172FD" w:rsidRDefault="00F17884" w:rsidP="00390D74">
      <w:pPr>
        <w:pStyle w:val="Tekstprzypisudolnego"/>
        <w:rPr>
          <w:rFonts w:asciiTheme="minorHAnsi" w:hAnsiTheme="minorHAnsi" w:cstheme="minorHAnsi"/>
          <w:sz w:val="18"/>
          <w:szCs w:val="18"/>
        </w:rPr>
      </w:pPr>
      <w:r w:rsidRPr="0034252F">
        <w:rPr>
          <w:rStyle w:val="Odwoanieprzypisudolnego"/>
          <w:rFonts w:asciiTheme="minorHAnsi" w:hAnsiTheme="minorHAnsi" w:cstheme="minorHAnsi"/>
          <w:sz w:val="18"/>
          <w:szCs w:val="18"/>
        </w:rPr>
        <w:footnoteRef/>
      </w:r>
      <w:r w:rsidRPr="0034252F">
        <w:rPr>
          <w:rFonts w:asciiTheme="minorHAnsi" w:hAnsiTheme="minorHAnsi" w:cstheme="minorHAnsi"/>
          <w:sz w:val="18"/>
          <w:szCs w:val="18"/>
        </w:rPr>
        <w:t xml:space="preserve"> </w:t>
      </w:r>
      <w:r w:rsidRPr="00890249">
        <w:rPr>
          <w:rFonts w:asciiTheme="minorHAnsi" w:hAnsiTheme="minorHAnsi" w:cstheme="minorHAnsi"/>
          <w:i/>
          <w:sz w:val="18"/>
          <w:szCs w:val="18"/>
        </w:rPr>
        <w:t>Program integracji społecznej i obywatelskiej Romów w Polsce na lata 2021–2030,</w:t>
      </w:r>
      <w:r w:rsidRPr="00D172FD">
        <w:rPr>
          <w:rFonts w:asciiTheme="minorHAnsi" w:hAnsiTheme="minorHAnsi" w:cstheme="minorHAnsi"/>
          <w:sz w:val="18"/>
          <w:szCs w:val="18"/>
        </w:rPr>
        <w:t xml:space="preserve"> MSWiA 2020, s.29.</w:t>
      </w:r>
    </w:p>
  </w:footnote>
  <w:footnote w:id="201">
    <w:p w14:paraId="5A16CBCF" w14:textId="77777777" w:rsidR="00F17884" w:rsidRPr="0043241C" w:rsidRDefault="00F17884" w:rsidP="0043241C">
      <w:pPr>
        <w:pStyle w:val="Tekstprzypisudolnego"/>
        <w:ind w:left="0" w:firstLine="0"/>
        <w:rPr>
          <w:rFonts w:asciiTheme="minorHAnsi" w:hAnsiTheme="minorHAnsi" w:cstheme="minorHAnsi"/>
          <w:sz w:val="18"/>
          <w:szCs w:val="18"/>
        </w:rPr>
      </w:pPr>
      <w:r w:rsidRPr="0034252F">
        <w:rPr>
          <w:rStyle w:val="Odwoanieprzypisudolnego"/>
          <w:rFonts w:asciiTheme="minorHAnsi" w:hAnsiTheme="minorHAnsi" w:cstheme="minorHAnsi"/>
          <w:sz w:val="18"/>
          <w:szCs w:val="18"/>
        </w:rPr>
        <w:footnoteRef/>
      </w:r>
      <w:r w:rsidRPr="0034252F">
        <w:rPr>
          <w:rFonts w:asciiTheme="minorHAnsi" w:hAnsiTheme="minorHAnsi" w:cstheme="minorHAnsi"/>
          <w:sz w:val="18"/>
          <w:szCs w:val="18"/>
        </w:rPr>
        <w:t>https://ec.europa.eu/commission/presscorner/detail/pl/ip_20_1813?fbclid=IwAR2vo6b8XfKqDF1-Cg1jKPCNiSnhcsbSjNuBtSLhcXwIAd7RvzZzzsWfvqA</w:t>
      </w:r>
    </w:p>
  </w:footnote>
  <w:footnote w:id="202">
    <w:p w14:paraId="3795AFF2" w14:textId="77777777" w:rsidR="00F17884" w:rsidRDefault="00F17884" w:rsidP="0043241C">
      <w:pPr>
        <w:pStyle w:val="Tekstprzypisudolnego"/>
        <w:ind w:left="0" w:firstLine="0"/>
        <w:jc w:val="left"/>
      </w:pPr>
      <w:r w:rsidRPr="0043241C">
        <w:rPr>
          <w:rStyle w:val="Odwoanieprzypisudolnego"/>
          <w:rFonts w:asciiTheme="minorHAnsi" w:hAnsiTheme="minorHAnsi" w:cstheme="minorHAnsi"/>
          <w:sz w:val="18"/>
          <w:szCs w:val="18"/>
        </w:rPr>
        <w:footnoteRef/>
      </w:r>
      <w:r w:rsidRPr="0043241C">
        <w:rPr>
          <w:rFonts w:asciiTheme="minorHAnsi" w:hAnsiTheme="minorHAnsi" w:cstheme="minorHAnsi"/>
          <w:sz w:val="18"/>
          <w:szCs w:val="18"/>
        </w:rPr>
        <w:t xml:space="preserve"> https://www.gov.pl/web/mniejszosci-narodowe-i-etniczne/rada-ministrow-uchwalila-nowy-program-integracji-spolecznej-i-obywatelskiej-romow-w-polsce-na-lata-2021-2030</w:t>
      </w:r>
    </w:p>
  </w:footnote>
  <w:footnote w:id="203">
    <w:p w14:paraId="048BB866" w14:textId="777A2649" w:rsidR="00F17884" w:rsidRPr="00890249" w:rsidRDefault="00F17884" w:rsidP="009E245E">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Dokument wydany przez Parlament Europejski, Radę Unii Europejską i Komisję Europejską, s. 19</w:t>
      </w:r>
      <w:r>
        <w:rPr>
          <w:rFonts w:asciiTheme="minorHAnsi" w:hAnsiTheme="minorHAnsi" w:cstheme="minorHAnsi"/>
          <w:sz w:val="18"/>
          <w:szCs w:val="18"/>
        </w:rPr>
        <w:t>.</w:t>
      </w:r>
    </w:p>
  </w:footnote>
  <w:footnote w:id="204">
    <w:p w14:paraId="7F2DE097" w14:textId="4EB5B1D1" w:rsidR="00F17884" w:rsidRPr="00890249" w:rsidRDefault="00F17884" w:rsidP="009E245E">
      <w:pPr>
        <w:pStyle w:val="Tekstprzypisudolnego"/>
        <w:ind w:left="284" w:hanging="284"/>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Model Gminny standard wychodzenia z bezdomności</w:t>
      </w:r>
      <w:r>
        <w:rPr>
          <w:rFonts w:asciiTheme="minorHAnsi" w:hAnsiTheme="minorHAnsi" w:cstheme="minorHAnsi"/>
          <w:sz w:val="18"/>
          <w:szCs w:val="18"/>
        </w:rPr>
        <w:t>,</w:t>
      </w:r>
      <w:r w:rsidRPr="00890249">
        <w:rPr>
          <w:rFonts w:asciiTheme="minorHAnsi" w:hAnsiTheme="minorHAnsi" w:cstheme="minorHAnsi"/>
          <w:sz w:val="18"/>
          <w:szCs w:val="18"/>
        </w:rPr>
        <w:t xml:space="preserve"> R. Stenka, P. Olech, Ł. Browarzyk. Gdańsk 2014, s.24</w:t>
      </w:r>
      <w:r>
        <w:rPr>
          <w:rFonts w:asciiTheme="minorHAnsi" w:hAnsiTheme="minorHAnsi" w:cstheme="minorHAnsi"/>
          <w:sz w:val="18"/>
          <w:szCs w:val="18"/>
        </w:rPr>
        <w:t>.</w:t>
      </w:r>
    </w:p>
  </w:footnote>
  <w:footnote w:id="205">
    <w:p w14:paraId="1E0E0242" w14:textId="58E64024" w:rsidR="00F17884" w:rsidRPr="00482271" w:rsidRDefault="00F17884" w:rsidP="009E245E">
      <w:pPr>
        <w:pStyle w:val="Tekstprzypisudolnego"/>
        <w:rPr>
          <w:rFonts w:asciiTheme="minorHAnsi" w:hAnsiTheme="minorHAnsi" w:cstheme="minorHAnsi"/>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Dokument wydany przez Parlament Europejski, Radę Unii Europejską i Komisję Europejską, s. 21</w:t>
      </w:r>
      <w:r>
        <w:rPr>
          <w:rFonts w:asciiTheme="minorHAnsi" w:hAnsiTheme="minorHAnsi" w:cstheme="minorHAnsi"/>
          <w:sz w:val="18"/>
          <w:szCs w:val="18"/>
        </w:rPr>
        <w:t>.</w:t>
      </w:r>
    </w:p>
  </w:footnote>
  <w:footnote w:id="206">
    <w:p w14:paraId="1A796C21" w14:textId="77777777" w:rsidR="00F17884" w:rsidRPr="00890249" w:rsidRDefault="00F17884">
      <w:pPr>
        <w:pStyle w:val="Tekstprzypisudolnego"/>
        <w:rPr>
          <w:rFonts w:asciiTheme="minorHAnsi" w:hAnsiTheme="minorHAnsi" w:cstheme="minorHAnsi"/>
          <w:sz w:val="18"/>
          <w:szCs w:val="18"/>
        </w:rPr>
      </w:pPr>
      <w:r w:rsidRPr="0043241C">
        <w:rPr>
          <w:rStyle w:val="Odwoanieprzypisudolnego"/>
          <w:rFonts w:asciiTheme="minorHAnsi" w:hAnsiTheme="minorHAnsi" w:cstheme="minorHAnsi"/>
          <w:sz w:val="18"/>
        </w:rPr>
        <w:footnoteRef/>
      </w:r>
      <w:r w:rsidRPr="0043241C">
        <w:rPr>
          <w:rFonts w:asciiTheme="minorHAnsi" w:hAnsiTheme="minorHAnsi" w:cstheme="minorHAnsi"/>
          <w:sz w:val="18"/>
        </w:rPr>
        <w:t xml:space="preserve"> </w:t>
      </w:r>
      <w:hyperlink r:id="rId15" w:history="1">
        <w:r w:rsidRPr="00890249">
          <w:rPr>
            <w:rStyle w:val="Hipercze"/>
            <w:rFonts w:asciiTheme="minorHAnsi" w:hAnsiTheme="minorHAnsi" w:cstheme="minorHAnsi"/>
            <w:sz w:val="18"/>
            <w:szCs w:val="18"/>
          </w:rPr>
          <w:t>https://eur-lex.europa.eu/legal-content/PL/TXT/?uri=CELEX:32021H1004</w:t>
        </w:r>
      </w:hyperlink>
      <w:r w:rsidRPr="002B468B">
        <w:rPr>
          <w:rFonts w:asciiTheme="minorHAnsi" w:hAnsiTheme="minorHAnsi" w:cstheme="minorHAnsi"/>
          <w:sz w:val="18"/>
          <w:szCs w:val="18"/>
        </w:rPr>
        <w:t xml:space="preserve"> </w:t>
      </w:r>
    </w:p>
  </w:footnote>
  <w:footnote w:id="207">
    <w:p w14:paraId="3F35F2C6" w14:textId="77777777" w:rsidR="00F17884" w:rsidRPr="00890249" w:rsidRDefault="00F17884" w:rsidP="00FA2B91">
      <w:pPr>
        <w:pStyle w:val="Tekstprzypisudolnego"/>
        <w:ind w:left="284" w:hanging="284"/>
        <w:rPr>
          <w:rFonts w:asciiTheme="minorHAnsi" w:hAnsiTheme="minorHAnsi" w:cstheme="minorHAnsi"/>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Symulacja mapowania potrzeb zdrowotnych oraz grup defaworyzowanych w województwie opolskim w ramach prac nad projektem programu Fundusze Europejskie dla Opolskiego na lata 2021-2027</w:t>
      </w:r>
      <w:r w:rsidRPr="00890249">
        <w:rPr>
          <w:rFonts w:asciiTheme="minorHAnsi" w:hAnsiTheme="minorHAnsi" w:cstheme="minorHAnsi"/>
          <w:sz w:val="18"/>
          <w:szCs w:val="18"/>
        </w:rPr>
        <w:t>” dokument opracowany przez Departament Zdrowia i Polityki Społecznej UMWO, lipiec 2022 r.</w:t>
      </w:r>
    </w:p>
  </w:footnote>
  <w:footnote w:id="208">
    <w:p w14:paraId="13AF6608" w14:textId="77777777" w:rsidR="00F17884" w:rsidRPr="00890249" w:rsidRDefault="00F17884" w:rsidP="00890249">
      <w:pPr>
        <w:pStyle w:val="Bezodstpw"/>
        <w:rPr>
          <w:rFonts w:asciiTheme="minorHAnsi" w:hAnsiTheme="minorHAnsi" w:cstheme="minorHAnsi"/>
          <w:sz w:val="18"/>
          <w:szCs w:val="18"/>
        </w:rPr>
      </w:pPr>
      <w:r w:rsidRPr="003D03C2">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Raport „</w:t>
      </w:r>
      <w:r w:rsidRPr="00890249">
        <w:rPr>
          <w:rFonts w:asciiTheme="minorHAnsi" w:hAnsiTheme="minorHAnsi" w:cstheme="minorHAnsi"/>
          <w:i/>
          <w:sz w:val="18"/>
          <w:szCs w:val="18"/>
        </w:rPr>
        <w:t>Podstawowa opieka zdrowotna w Polsce – diagnoza i projekty zmian</w:t>
      </w:r>
      <w:r w:rsidRPr="00890249">
        <w:rPr>
          <w:rFonts w:asciiTheme="minorHAnsi" w:hAnsiTheme="minorHAnsi" w:cstheme="minorHAnsi"/>
          <w:sz w:val="18"/>
          <w:szCs w:val="18"/>
        </w:rPr>
        <w:t>”, Instytut Medycyny Wsi im. Witolda Chodźki w Lublinie, luty 2019 r., str. 53.</w:t>
      </w:r>
    </w:p>
  </w:footnote>
  <w:footnote w:id="209">
    <w:p w14:paraId="4AE9FB0D" w14:textId="1068337C" w:rsidR="00F17884" w:rsidRDefault="00F17884" w:rsidP="00890249">
      <w:pPr>
        <w:pStyle w:val="Bezodstpw"/>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Raport Ministerstwa Rodziny i Polityki Społecznej (Departament Pomocy i Integracji Społecznej) </w:t>
      </w:r>
      <w:r w:rsidRPr="00890249">
        <w:rPr>
          <w:rFonts w:asciiTheme="minorHAnsi" w:hAnsiTheme="minorHAnsi" w:cstheme="minorHAnsi"/>
          <w:i/>
          <w:sz w:val="18"/>
          <w:szCs w:val="18"/>
        </w:rPr>
        <w:t>Informacja z działalności Centrów Usług Społecznych</w:t>
      </w:r>
      <w:r>
        <w:rPr>
          <w:rFonts w:asciiTheme="minorHAnsi" w:hAnsiTheme="minorHAnsi" w:cstheme="minorHAnsi"/>
          <w:i/>
          <w:sz w:val="18"/>
          <w:szCs w:val="18"/>
        </w:rPr>
        <w:t>:</w:t>
      </w:r>
      <w:r w:rsidRPr="00890249">
        <w:rPr>
          <w:rFonts w:asciiTheme="minorHAnsi" w:hAnsiTheme="minorHAnsi" w:cstheme="minorHAnsi"/>
          <w:i/>
          <w:sz w:val="18"/>
          <w:szCs w:val="18"/>
        </w:rPr>
        <w:t xml:space="preserve"> </w:t>
      </w:r>
      <w:hyperlink r:id="rId16" w:history="1">
        <w:r w:rsidRPr="00890249">
          <w:rPr>
            <w:rStyle w:val="Hipercze"/>
            <w:rFonts w:asciiTheme="minorHAnsi" w:hAnsiTheme="minorHAnsi" w:cstheme="minorHAnsi"/>
            <w:sz w:val="18"/>
            <w:szCs w:val="18"/>
          </w:rPr>
          <w:t>https://www.gov.pl/web/rodzina/publikacje-dotyczace-cus</w:t>
        </w:r>
      </w:hyperlink>
    </w:p>
  </w:footnote>
  <w:footnote w:id="210">
    <w:p w14:paraId="768A9816" w14:textId="2B736C07" w:rsidR="00F17884" w:rsidRPr="00890249" w:rsidRDefault="00F17884">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890249">
        <w:rPr>
          <w:rFonts w:asciiTheme="minorHAnsi" w:hAnsiTheme="minorHAnsi" w:cstheme="minorHAnsi"/>
          <w:i/>
          <w:sz w:val="18"/>
          <w:szCs w:val="18"/>
        </w:rPr>
        <w:t xml:space="preserve"> </w:t>
      </w:r>
      <w:r w:rsidRPr="00890249">
        <w:rPr>
          <w:rFonts w:asciiTheme="minorHAnsi" w:hAnsiTheme="minorHAnsi" w:cstheme="minorHAnsi"/>
          <w:sz w:val="18"/>
          <w:szCs w:val="18"/>
        </w:rPr>
        <w:t>https://www.gov.pl/attachment/4a9bd160-e052-4a52-8fd4-b7c546d556f8</w:t>
      </w:r>
    </w:p>
  </w:footnote>
  <w:footnote w:id="211">
    <w:p w14:paraId="25D320A0" w14:textId="06041EDD" w:rsidR="00F17884" w:rsidRPr="00890249" w:rsidRDefault="00F17884" w:rsidP="002B56AC">
      <w:pPr>
        <w:pStyle w:val="Tekstprzypisudolnego"/>
        <w:ind w:left="142" w:hanging="142"/>
        <w:jc w:val="left"/>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hyperlink r:id="rId17" w:history="1">
        <w:r w:rsidRPr="002B468B">
          <w:rPr>
            <w:rStyle w:val="Hipercze"/>
            <w:rFonts w:asciiTheme="minorHAnsi" w:hAnsiTheme="minorHAnsi" w:cstheme="minorHAnsi"/>
            <w:sz w:val="18"/>
            <w:szCs w:val="18"/>
          </w:rPr>
          <w:t>https://www.gov.pl/web/uw-opolski/obwieszczenie-planu-transformacji-wojewodztwa-opolskiego</w:t>
        </w:r>
      </w:hyperlink>
      <w:r w:rsidRPr="00D172FD">
        <w:rPr>
          <w:rFonts w:asciiTheme="minorHAnsi" w:hAnsiTheme="minorHAnsi" w:cstheme="minorHAnsi"/>
          <w:sz w:val="18"/>
          <w:szCs w:val="18"/>
        </w:rPr>
        <w:t>.</w:t>
      </w:r>
    </w:p>
  </w:footnote>
  <w:footnote w:id="212">
    <w:p w14:paraId="2F974E47" w14:textId="77777777" w:rsidR="00F17884" w:rsidRDefault="00F17884" w:rsidP="008A46EE">
      <w:pPr>
        <w:pStyle w:val="Tekstprzypisudolnego"/>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D172FD">
        <w:rPr>
          <w:rFonts w:asciiTheme="minorHAnsi" w:hAnsiTheme="minorHAnsi" w:cstheme="minorHAnsi"/>
          <w:sz w:val="18"/>
          <w:szCs w:val="18"/>
        </w:rPr>
        <w:t>Wsparcie kierowane do osób znajdujących się w trudnej sytuacji społeczno – ekonomicznej.</w:t>
      </w:r>
    </w:p>
  </w:footnote>
  <w:footnote w:id="213">
    <w:p w14:paraId="560A435A" w14:textId="77777777" w:rsidR="00F17884" w:rsidRPr="00170D2E" w:rsidRDefault="00F17884" w:rsidP="00BA20BD">
      <w:pPr>
        <w:pStyle w:val="Tekstprzypisudolnego"/>
        <w:ind w:left="284" w:hanging="284"/>
        <w:rPr>
          <w:rFonts w:asciiTheme="minorHAnsi" w:hAnsiTheme="minorHAnsi" w:cstheme="minorHAnsi"/>
          <w:sz w:val="18"/>
        </w:rPr>
      </w:pPr>
      <w:r w:rsidRPr="00170D2E">
        <w:rPr>
          <w:rStyle w:val="Odwoanieprzypisudolnego"/>
          <w:rFonts w:asciiTheme="minorHAnsi" w:hAnsiTheme="minorHAnsi" w:cstheme="minorHAnsi"/>
          <w:sz w:val="18"/>
        </w:rPr>
        <w:footnoteRef/>
      </w:r>
      <w:r w:rsidRPr="00170D2E">
        <w:rPr>
          <w:rFonts w:asciiTheme="minorHAnsi" w:hAnsiTheme="minorHAnsi" w:cstheme="minorHAnsi"/>
          <w:sz w:val="18"/>
        </w:rPr>
        <w:t xml:space="preserve">  </w:t>
      </w:r>
      <w:r w:rsidRPr="00170D2E">
        <w:rPr>
          <w:rFonts w:asciiTheme="minorHAnsi" w:hAnsiTheme="minorHAnsi" w:cstheme="minorHAnsi"/>
          <w:i/>
          <w:sz w:val="18"/>
        </w:rPr>
        <w:t>Strategia Rozwoju Kapitału Ludzkiego 2030</w:t>
      </w:r>
      <w:r w:rsidRPr="00170D2E">
        <w:rPr>
          <w:rFonts w:asciiTheme="minorHAnsi" w:hAnsiTheme="minorHAnsi" w:cstheme="minorHAnsi"/>
          <w:sz w:val="18"/>
        </w:rPr>
        <w:t>, MRPiT, Warszawa 2020, s. 22.</w:t>
      </w:r>
    </w:p>
  </w:footnote>
  <w:footnote w:id="214">
    <w:p w14:paraId="62C6AAD6" w14:textId="688B3D73" w:rsidR="00F17884" w:rsidRPr="00170D2E" w:rsidRDefault="00F17884" w:rsidP="00BA20BD">
      <w:pPr>
        <w:pStyle w:val="Tekstprzypisudolnego"/>
        <w:ind w:left="284" w:hanging="284"/>
        <w:rPr>
          <w:sz w:val="22"/>
          <w:szCs w:val="24"/>
        </w:rPr>
      </w:pPr>
      <w:r w:rsidRPr="00170D2E">
        <w:rPr>
          <w:rStyle w:val="Odwoanieprzypisudolnego"/>
          <w:rFonts w:asciiTheme="minorHAnsi" w:hAnsiTheme="minorHAnsi" w:cstheme="minorHAnsi"/>
          <w:sz w:val="18"/>
        </w:rPr>
        <w:footnoteRef/>
      </w:r>
      <w:r>
        <w:rPr>
          <w:rFonts w:asciiTheme="minorHAnsi" w:hAnsiTheme="minorHAnsi" w:cstheme="minorHAnsi"/>
          <w:i/>
          <w:sz w:val="18"/>
        </w:rPr>
        <w:t xml:space="preserve"> </w:t>
      </w:r>
      <w:r w:rsidRPr="00170D2E">
        <w:rPr>
          <w:rFonts w:asciiTheme="minorHAnsi" w:hAnsiTheme="minorHAnsi" w:cstheme="minorHAnsi"/>
          <w:i/>
          <w:sz w:val="18"/>
        </w:rPr>
        <w:t>Ewaluacja działań podejmowanych na rzecz edukacji</w:t>
      </w:r>
      <w:r>
        <w:rPr>
          <w:rFonts w:asciiTheme="minorHAnsi" w:hAnsiTheme="minorHAnsi" w:cstheme="minorHAnsi"/>
          <w:i/>
          <w:sz w:val="18"/>
        </w:rPr>
        <w:t xml:space="preserve"> (…), op. cit.,</w:t>
      </w:r>
      <w:r w:rsidRPr="00170D2E">
        <w:rPr>
          <w:rFonts w:asciiTheme="minorHAnsi" w:hAnsiTheme="minorHAnsi" w:cstheme="minorHAnsi"/>
          <w:sz w:val="18"/>
        </w:rPr>
        <w:t xml:space="preserve"> s. 172-238.</w:t>
      </w:r>
    </w:p>
  </w:footnote>
  <w:footnote w:id="215">
    <w:p w14:paraId="7A94B718" w14:textId="77777777" w:rsidR="00F17884" w:rsidRPr="00170D2E" w:rsidRDefault="00F17884" w:rsidP="00BA20BD">
      <w:pPr>
        <w:pStyle w:val="Tekstprzypisudolnego"/>
        <w:ind w:left="284" w:hanging="284"/>
        <w:rPr>
          <w:rFonts w:asciiTheme="minorHAnsi" w:hAnsiTheme="minorHAnsi" w:cstheme="minorHAnsi"/>
          <w:sz w:val="18"/>
        </w:rPr>
      </w:pPr>
      <w:r w:rsidRPr="00170D2E">
        <w:rPr>
          <w:rStyle w:val="Odwoanieprzypisudolnego"/>
          <w:rFonts w:asciiTheme="minorHAnsi" w:hAnsiTheme="minorHAnsi" w:cstheme="minorHAnsi"/>
          <w:sz w:val="18"/>
        </w:rPr>
        <w:footnoteRef/>
      </w:r>
      <w:r w:rsidRPr="00170D2E">
        <w:rPr>
          <w:rFonts w:asciiTheme="minorHAnsi" w:hAnsiTheme="minorHAnsi" w:cstheme="minorHAnsi"/>
          <w:sz w:val="18"/>
        </w:rPr>
        <w:t xml:space="preserve"> </w:t>
      </w:r>
      <w:r w:rsidRPr="00170D2E">
        <w:rPr>
          <w:rFonts w:asciiTheme="minorHAnsi" w:hAnsiTheme="minorHAnsi" w:cstheme="minorHAnsi"/>
          <w:i/>
          <w:sz w:val="18"/>
        </w:rPr>
        <w:t xml:space="preserve">Analiza w zakresie interwencji Edukacyjnych określonych w Regionalnym Programie Operacyjnym Województwa Opolskiego 2021-2027, </w:t>
      </w:r>
      <w:r w:rsidRPr="00170D2E">
        <w:rPr>
          <w:rFonts w:asciiTheme="minorHAnsi" w:hAnsiTheme="minorHAnsi" w:cstheme="minorHAnsi"/>
          <w:sz w:val="18"/>
        </w:rPr>
        <w:t>Kamil Minkner, Adam Drosik, Bartosz Maziarz, Opole 2020, s. 28.</w:t>
      </w:r>
    </w:p>
  </w:footnote>
  <w:footnote w:id="216">
    <w:p w14:paraId="135EB123" w14:textId="40C146B5" w:rsidR="00F17884" w:rsidRPr="00F62734" w:rsidRDefault="00F17884" w:rsidP="00BA20BD">
      <w:pPr>
        <w:pStyle w:val="Tekstprzypisudolnego"/>
        <w:ind w:left="284" w:hanging="284"/>
        <w:rPr>
          <w:lang w:val="fr-BE" w:eastAsia="en-US" w:bidi="ar-SA"/>
        </w:rPr>
      </w:pPr>
      <w:r w:rsidRPr="00B94D07">
        <w:rPr>
          <w:rStyle w:val="Odwoanieprzypisudolnego"/>
          <w:rFonts w:asciiTheme="minorHAnsi" w:hAnsiTheme="minorHAnsi" w:cstheme="minorHAnsi"/>
        </w:rPr>
        <w:footnoteRef/>
      </w:r>
      <w:r w:rsidRPr="00F62734">
        <w:rPr>
          <w:rFonts w:asciiTheme="minorHAnsi" w:hAnsiTheme="minorHAnsi" w:cstheme="minorHAnsi"/>
          <w:lang w:val="fr-BE"/>
        </w:rPr>
        <w:t xml:space="preserve"> </w:t>
      </w:r>
      <w:hyperlink r:id="rId18" w:history="1">
        <w:r w:rsidRPr="00F62734">
          <w:rPr>
            <w:rStyle w:val="Hipercze"/>
            <w:rFonts w:asciiTheme="minorHAnsi" w:hAnsiTheme="minorHAnsi" w:cstheme="minorHAnsi"/>
            <w:sz w:val="18"/>
            <w:lang w:val="fr-BE"/>
          </w:rPr>
          <w:t>https://eacea.ec.europa.eu/national-policies/eurydice/content/funding-education-56_pl</w:t>
        </w:r>
      </w:hyperlink>
      <w:r w:rsidRPr="00F62734">
        <w:rPr>
          <w:rFonts w:asciiTheme="minorHAnsi" w:hAnsiTheme="minorHAnsi" w:cstheme="minorHAnsi"/>
          <w:sz w:val="18"/>
          <w:lang w:val="fr-BE"/>
        </w:rPr>
        <w:t>, 29.01.2021 r.</w:t>
      </w:r>
    </w:p>
  </w:footnote>
  <w:footnote w:id="217">
    <w:p w14:paraId="32BE3A19" w14:textId="77777777" w:rsidR="00F17884" w:rsidRPr="008123F2" w:rsidRDefault="00F17884" w:rsidP="00BA20BD">
      <w:pPr>
        <w:pStyle w:val="Tekstprzypisudolnego"/>
        <w:ind w:left="142" w:hanging="142"/>
        <w:rPr>
          <w:rFonts w:asciiTheme="minorHAnsi" w:hAnsiTheme="minorHAnsi" w:cstheme="minorHAnsi"/>
          <w:sz w:val="18"/>
          <w:szCs w:val="18"/>
        </w:rPr>
      </w:pPr>
      <w:r w:rsidRPr="00C374E9">
        <w:rPr>
          <w:rStyle w:val="Odwoanieprzypisudolnego"/>
          <w:rFonts w:asciiTheme="minorHAnsi" w:hAnsiTheme="minorHAnsi" w:cstheme="minorHAnsi"/>
          <w:i/>
          <w:sz w:val="18"/>
          <w:szCs w:val="18"/>
        </w:rPr>
        <w:footnoteRef/>
      </w:r>
      <w:r w:rsidRPr="00C374E9">
        <w:rPr>
          <w:rFonts w:asciiTheme="minorHAnsi" w:hAnsiTheme="minorHAnsi" w:cstheme="minorHAnsi"/>
          <w:i/>
          <w:sz w:val="18"/>
          <w:szCs w:val="18"/>
        </w:rPr>
        <w:t xml:space="preserve"> Ocena zasobów pomocy społecznej (…)</w:t>
      </w:r>
      <w:r w:rsidRPr="00C374E9">
        <w:rPr>
          <w:rFonts w:asciiTheme="minorHAnsi" w:hAnsiTheme="minorHAnsi" w:cstheme="minorHAnsi"/>
          <w:sz w:val="18"/>
          <w:szCs w:val="18"/>
        </w:rPr>
        <w:t>, op. cit., s. 84 - 85.</w:t>
      </w:r>
    </w:p>
  </w:footnote>
  <w:footnote w:id="218">
    <w:p w14:paraId="46C79544" w14:textId="77777777" w:rsidR="00F17884" w:rsidRPr="008123F2" w:rsidRDefault="00F17884">
      <w:pPr>
        <w:pStyle w:val="Tekstprzypisudolnego"/>
        <w:rPr>
          <w:rFonts w:asciiTheme="minorHAnsi" w:hAnsiTheme="minorHAnsi" w:cstheme="minorHAnsi"/>
          <w:sz w:val="18"/>
          <w:szCs w:val="18"/>
        </w:rPr>
      </w:pPr>
      <w:r w:rsidRPr="008123F2">
        <w:rPr>
          <w:rStyle w:val="Odwoanieprzypisudolnego"/>
          <w:rFonts w:asciiTheme="minorHAnsi" w:hAnsiTheme="minorHAnsi" w:cstheme="minorHAnsi"/>
          <w:sz w:val="18"/>
          <w:szCs w:val="18"/>
        </w:rPr>
        <w:footnoteRef/>
      </w:r>
      <w:r w:rsidRPr="008123F2">
        <w:rPr>
          <w:rFonts w:asciiTheme="minorHAnsi" w:hAnsiTheme="minorHAnsi" w:cstheme="minorHAnsi"/>
          <w:sz w:val="18"/>
          <w:szCs w:val="18"/>
        </w:rPr>
        <w:t xml:space="preserve"> </w:t>
      </w:r>
      <w:r w:rsidRPr="008123F2">
        <w:rPr>
          <w:rFonts w:asciiTheme="minorHAnsi" w:hAnsiTheme="minorHAnsi" w:cstheme="minorHAnsi"/>
          <w:i/>
          <w:sz w:val="18"/>
          <w:szCs w:val="18"/>
        </w:rPr>
        <w:t>Ocena zasobów pomocy społecznej województwa opolskiego w 2021 r.</w:t>
      </w:r>
      <w:r w:rsidRPr="008123F2">
        <w:rPr>
          <w:rFonts w:asciiTheme="minorHAnsi" w:hAnsiTheme="minorHAnsi" w:cstheme="minorHAnsi"/>
          <w:sz w:val="18"/>
          <w:szCs w:val="18"/>
        </w:rPr>
        <w:t xml:space="preserve"> ROPS, Opole, czerwiec 2022, s. 26.</w:t>
      </w:r>
    </w:p>
  </w:footnote>
  <w:footnote w:id="219">
    <w:p w14:paraId="71B636C7" w14:textId="77777777" w:rsidR="00F17884" w:rsidRPr="00C374E9" w:rsidRDefault="00F17884" w:rsidP="00BA20BD">
      <w:pPr>
        <w:pStyle w:val="Tekstprzypisudolnego"/>
        <w:rPr>
          <w:rFonts w:asciiTheme="minorHAnsi" w:hAnsiTheme="minorHAnsi" w:cstheme="minorHAnsi"/>
          <w:sz w:val="18"/>
          <w:szCs w:val="18"/>
        </w:rPr>
      </w:pPr>
      <w:r w:rsidRPr="00C374E9">
        <w:rPr>
          <w:rStyle w:val="Odwoanieprzypisudolnego"/>
          <w:rFonts w:asciiTheme="minorHAnsi" w:hAnsiTheme="minorHAnsi" w:cstheme="minorHAnsi"/>
          <w:sz w:val="18"/>
          <w:szCs w:val="18"/>
        </w:rPr>
        <w:footnoteRef/>
      </w:r>
      <w:r w:rsidRPr="00C374E9">
        <w:rPr>
          <w:rFonts w:asciiTheme="minorHAnsi" w:hAnsiTheme="minorHAnsi" w:cstheme="minorHAnsi"/>
          <w:sz w:val="18"/>
          <w:szCs w:val="18"/>
        </w:rPr>
        <w:t xml:space="preserve"> Ocena zasobów pomocy społecznej (…), op. cit., s. 79.</w:t>
      </w:r>
    </w:p>
  </w:footnote>
  <w:footnote w:id="220">
    <w:p w14:paraId="766071C4" w14:textId="77777777" w:rsidR="00F17884" w:rsidRPr="00170D2E" w:rsidRDefault="00F17884" w:rsidP="00A301D2">
      <w:pPr>
        <w:pStyle w:val="Tekstprzypisudolnego"/>
        <w:tabs>
          <w:tab w:val="left" w:pos="0"/>
        </w:tabs>
        <w:ind w:left="0" w:firstLine="0"/>
        <w:rPr>
          <w:rFonts w:asciiTheme="minorHAnsi" w:hAnsiTheme="minorHAnsi" w:cstheme="minorHAnsi"/>
          <w:sz w:val="18"/>
        </w:rPr>
      </w:pPr>
      <w:r w:rsidRPr="00C374E9">
        <w:rPr>
          <w:rStyle w:val="Odwoanieprzypisudolnego"/>
          <w:rFonts w:asciiTheme="minorHAnsi" w:hAnsiTheme="minorHAnsi" w:cstheme="minorHAnsi"/>
          <w:sz w:val="18"/>
          <w:szCs w:val="18"/>
        </w:rPr>
        <w:footnoteRef/>
      </w:r>
      <w:r w:rsidRPr="00C374E9">
        <w:rPr>
          <w:rFonts w:asciiTheme="minorHAnsi" w:hAnsiTheme="minorHAnsi" w:cstheme="minorHAnsi"/>
          <w:sz w:val="18"/>
          <w:szCs w:val="18"/>
        </w:rPr>
        <w:t xml:space="preserve"> </w:t>
      </w:r>
      <w:r w:rsidRPr="00890249">
        <w:rPr>
          <w:rFonts w:asciiTheme="minorHAnsi" w:hAnsiTheme="minorHAnsi" w:cstheme="minorHAnsi"/>
          <w:sz w:val="18"/>
          <w:szCs w:val="18"/>
        </w:rPr>
        <w:t>Ibidem</w:t>
      </w:r>
      <w:r w:rsidRPr="00D172FD">
        <w:rPr>
          <w:rFonts w:asciiTheme="minorHAnsi" w:hAnsiTheme="minorHAnsi" w:cstheme="minorHAnsi"/>
          <w:sz w:val="18"/>
          <w:szCs w:val="18"/>
        </w:rPr>
        <w:t>, s. 82 i 94</w:t>
      </w:r>
      <w:r w:rsidRPr="00C374E9">
        <w:rPr>
          <w:rFonts w:asciiTheme="minorHAnsi" w:hAnsiTheme="minorHAnsi" w:cstheme="minorHAnsi"/>
          <w:sz w:val="18"/>
          <w:szCs w:val="18"/>
        </w:rPr>
        <w:t>.</w:t>
      </w:r>
    </w:p>
  </w:footnote>
  <w:footnote w:id="221">
    <w:p w14:paraId="6CF9679C" w14:textId="77777777" w:rsidR="00F17884" w:rsidRPr="0043241C" w:rsidRDefault="00F17884" w:rsidP="00BA20BD">
      <w:pPr>
        <w:pStyle w:val="Tekstprzypisudolnego"/>
        <w:ind w:left="284" w:hanging="284"/>
        <w:rPr>
          <w:rFonts w:asciiTheme="minorHAnsi" w:hAnsiTheme="minorHAnsi" w:cstheme="minorHAnsi"/>
        </w:rPr>
      </w:pPr>
      <w:r w:rsidRPr="0043241C">
        <w:rPr>
          <w:rStyle w:val="Odwoanieprzypisudolnego"/>
          <w:rFonts w:asciiTheme="minorHAnsi" w:hAnsiTheme="minorHAnsi" w:cstheme="minorHAnsi"/>
          <w:sz w:val="18"/>
        </w:rPr>
        <w:footnoteRef/>
      </w:r>
      <w:r w:rsidRPr="0043241C">
        <w:rPr>
          <w:rFonts w:asciiTheme="minorHAnsi" w:hAnsiTheme="minorHAnsi" w:cstheme="minorHAnsi"/>
        </w:rPr>
        <w:t xml:space="preserve"> </w:t>
      </w:r>
      <w:r>
        <w:rPr>
          <w:rFonts w:asciiTheme="minorHAnsi" w:hAnsiTheme="minorHAnsi" w:cstheme="minorHAnsi"/>
          <w:sz w:val="18"/>
        </w:rPr>
        <w:t>Szerokim c</w:t>
      </w:r>
      <w:r w:rsidRPr="0043241C">
        <w:rPr>
          <w:rFonts w:asciiTheme="minorHAnsi" w:hAnsiTheme="minorHAnsi" w:cstheme="minorHAnsi"/>
          <w:sz w:val="18"/>
        </w:rPr>
        <w:t>elem projektu jest</w:t>
      </w:r>
      <w:r>
        <w:rPr>
          <w:rFonts w:asciiTheme="minorHAnsi" w:hAnsiTheme="minorHAnsi" w:cstheme="minorHAnsi"/>
          <w:sz w:val="18"/>
        </w:rPr>
        <w:t xml:space="preserve"> dogłębne i wszechstronne zrozumienie postaw decydentów europejskich wobec zjawiska nierówności społecznych, jak postrzegają to zjawisko, w jakim zakresie je tolerują i w jaki sposób konfrontują się z występującymi nierównościami.</w:t>
      </w:r>
    </w:p>
  </w:footnote>
  <w:footnote w:id="222">
    <w:p w14:paraId="3708ABCE" w14:textId="19197A1C" w:rsidR="00F17884" w:rsidRPr="007A2A28" w:rsidRDefault="00F17884" w:rsidP="00BA20BD">
      <w:pPr>
        <w:pStyle w:val="Tekstprzypisudolnego"/>
        <w:ind w:left="284" w:hanging="284"/>
      </w:pPr>
      <w:r w:rsidRPr="00170D2E">
        <w:rPr>
          <w:rStyle w:val="Odwoanieprzypisudolnego"/>
          <w:rFonts w:asciiTheme="minorHAnsi" w:hAnsiTheme="minorHAnsi" w:cstheme="minorHAnsi"/>
          <w:sz w:val="18"/>
        </w:rPr>
        <w:footnoteRef/>
      </w:r>
      <w:r w:rsidRPr="00170D2E">
        <w:rPr>
          <w:rFonts w:asciiTheme="minorHAnsi" w:hAnsiTheme="minorHAnsi" w:cstheme="minorHAnsi"/>
          <w:sz w:val="18"/>
        </w:rPr>
        <w:t xml:space="preserve"> Model wsparcia drabinkowy, inaczej linearny to podejście do rozwiązywania bezdomności, w którym możliwość stopniowego podwyższania standardu mieszkaniowego – od noclegowni przez schronisko i mieszkanie wspierane/przejściowe – jest filarem systemu mającego motywować do wychodzenia z bezdomności i doprowadzić ostatecznie do jej zakończenia.</w:t>
      </w:r>
      <w:r w:rsidRPr="00170D2E">
        <w:rPr>
          <w:rFonts w:asciiTheme="minorHAnsi" w:hAnsiTheme="minorHAnsi" w:cstheme="minorHAnsi"/>
          <w:b/>
          <w:sz w:val="18"/>
        </w:rPr>
        <w:t xml:space="preserve"> </w:t>
      </w:r>
    </w:p>
  </w:footnote>
  <w:footnote w:id="223">
    <w:p w14:paraId="62B3D979" w14:textId="77777777" w:rsidR="00F17884" w:rsidRPr="00C81D56" w:rsidRDefault="00F17884" w:rsidP="001456F3">
      <w:pPr>
        <w:autoSpaceDE w:val="0"/>
        <w:autoSpaceDN w:val="0"/>
        <w:adjustRightInd w:val="0"/>
        <w:spacing w:after="0"/>
        <w:rPr>
          <w:rFonts w:asciiTheme="minorHAnsi" w:hAnsiTheme="minorHAnsi" w:cstheme="minorHAnsi"/>
          <w:sz w:val="18"/>
          <w:szCs w:val="18"/>
        </w:rPr>
      </w:pPr>
      <w:r w:rsidRPr="00C81D56">
        <w:rPr>
          <w:rStyle w:val="Odwoanieprzypisudolnego"/>
          <w:rFonts w:asciiTheme="minorHAnsi" w:hAnsiTheme="minorHAnsi" w:cstheme="minorHAnsi"/>
          <w:sz w:val="18"/>
          <w:szCs w:val="18"/>
        </w:rPr>
        <w:footnoteRef/>
      </w:r>
      <w:r>
        <w:rPr>
          <w:rFonts w:asciiTheme="minorHAnsi" w:hAnsiTheme="minorHAnsi" w:cstheme="minorHAnsi"/>
          <w:sz w:val="18"/>
          <w:szCs w:val="18"/>
        </w:rPr>
        <w:t xml:space="preserve"> Mapy Potrzeb Zdrowotnych - Kolejki</w:t>
      </w:r>
      <w:r w:rsidRPr="00C81D56">
        <w:rPr>
          <w:rFonts w:asciiTheme="minorHAnsi" w:hAnsiTheme="minorHAnsi" w:cstheme="minorHAnsi"/>
          <w:sz w:val="18"/>
          <w:szCs w:val="18"/>
        </w:rPr>
        <w:t xml:space="preserve"> </w:t>
      </w:r>
    </w:p>
  </w:footnote>
  <w:footnote w:id="224">
    <w:p w14:paraId="28AAD66B" w14:textId="51C2771A" w:rsidR="00F17884" w:rsidRDefault="00F17884" w:rsidP="001456F3">
      <w:pPr>
        <w:pStyle w:val="Tekstprzypisudolnego"/>
      </w:pPr>
      <w:r w:rsidRPr="00C81D56">
        <w:rPr>
          <w:rStyle w:val="Odwoanieprzypisudolnego"/>
          <w:rFonts w:asciiTheme="minorHAnsi" w:hAnsiTheme="minorHAnsi" w:cstheme="minorHAnsi"/>
          <w:sz w:val="18"/>
          <w:szCs w:val="18"/>
        </w:rPr>
        <w:footnoteRef/>
      </w:r>
      <w:r w:rsidRPr="00C81D56">
        <w:rPr>
          <w:rFonts w:asciiTheme="minorHAnsi" w:hAnsiTheme="minorHAnsi" w:cstheme="minorHAnsi"/>
          <w:sz w:val="18"/>
          <w:szCs w:val="18"/>
        </w:rPr>
        <w:t xml:space="preserve"> </w:t>
      </w:r>
      <w:r w:rsidRPr="00890249">
        <w:rPr>
          <w:rFonts w:asciiTheme="minorHAnsi" w:hAnsiTheme="minorHAnsi" w:cstheme="minorHAnsi"/>
          <w:i/>
          <w:sz w:val="18"/>
          <w:szCs w:val="18"/>
        </w:rPr>
        <w:t>Wojewódzki Plan Transformacji Województwa Opolskiego na lata 2022-2026</w:t>
      </w:r>
      <w:r w:rsidRPr="00C81D56">
        <w:rPr>
          <w:rFonts w:asciiTheme="minorHAnsi" w:hAnsiTheme="minorHAnsi" w:cstheme="minorHAnsi"/>
          <w:sz w:val="18"/>
          <w:szCs w:val="18"/>
        </w:rPr>
        <w:t>, Opole 2021</w:t>
      </w:r>
      <w:r>
        <w:rPr>
          <w:rFonts w:asciiTheme="minorHAnsi" w:hAnsiTheme="minorHAnsi" w:cstheme="minorHAnsi"/>
          <w:sz w:val="18"/>
          <w:szCs w:val="18"/>
        </w:rPr>
        <w:t>.</w:t>
      </w:r>
    </w:p>
  </w:footnote>
  <w:footnote w:id="225">
    <w:p w14:paraId="3CF08A15" w14:textId="77777777" w:rsidR="00F17884" w:rsidRPr="00170D2E" w:rsidRDefault="00F17884" w:rsidP="00BA20BD">
      <w:pPr>
        <w:pStyle w:val="Tekstprzypisudolnego"/>
        <w:ind w:left="284" w:hanging="284"/>
        <w:rPr>
          <w:rFonts w:asciiTheme="minorHAnsi" w:hAnsiTheme="minorHAnsi" w:cstheme="minorHAnsi"/>
          <w:sz w:val="18"/>
          <w:szCs w:val="18"/>
        </w:rPr>
      </w:pPr>
      <w:r w:rsidRPr="00D738A8">
        <w:rPr>
          <w:rStyle w:val="Odwoanieprzypisudolnego"/>
          <w:rFonts w:asciiTheme="minorHAnsi" w:hAnsiTheme="minorHAnsi" w:cstheme="minorHAnsi"/>
          <w:sz w:val="18"/>
          <w:szCs w:val="18"/>
        </w:rPr>
        <w:footnoteRef/>
      </w:r>
      <w:r w:rsidRPr="00D738A8">
        <w:rPr>
          <w:rFonts w:asciiTheme="minorHAnsi" w:hAnsiTheme="minorHAnsi" w:cstheme="minorHAnsi"/>
          <w:sz w:val="18"/>
          <w:szCs w:val="18"/>
        </w:rPr>
        <w:t xml:space="preserve"> </w:t>
      </w:r>
      <w:r w:rsidRPr="00D738A8">
        <w:rPr>
          <w:rFonts w:asciiTheme="minorHAnsi" w:hAnsiTheme="minorHAnsi" w:cstheme="minorHAnsi"/>
          <w:i/>
          <w:sz w:val="18"/>
          <w:szCs w:val="18"/>
        </w:rPr>
        <w:t>Zalecanie Rady w sprawie krajowego programu reform Polski na 2020 r. oraz odzwierciedlają opinię Rady na temat przedstawionego przez Polskę programu konwergencji na 2020 r.</w:t>
      </w:r>
    </w:p>
  </w:footnote>
  <w:footnote w:id="226">
    <w:p w14:paraId="757DE1A4" w14:textId="7CE4DB8A" w:rsidR="00F17884" w:rsidRPr="00890249" w:rsidRDefault="00F17884" w:rsidP="00D172FD">
      <w:pPr>
        <w:pStyle w:val="Tekstprzypisudolnego"/>
        <w:ind w:left="142" w:hanging="142"/>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i/>
          <w:sz w:val="18"/>
          <w:szCs w:val="18"/>
        </w:rPr>
        <w:t>Unijne inwestycje w obiekty kultury – kwestia wymagająca l</w:t>
      </w:r>
      <w:r>
        <w:rPr>
          <w:rFonts w:asciiTheme="minorHAnsi" w:hAnsiTheme="minorHAnsi" w:cstheme="minorHAnsi"/>
          <w:i/>
          <w:sz w:val="18"/>
          <w:szCs w:val="18"/>
        </w:rPr>
        <w:t xml:space="preserve">epszego ukierunkowania działań </w:t>
      </w:r>
      <w:r w:rsidRPr="00D172FD">
        <w:rPr>
          <w:rFonts w:asciiTheme="minorHAnsi" w:hAnsiTheme="minorHAnsi" w:cstheme="minorHAnsi"/>
          <w:i/>
          <w:sz w:val="18"/>
          <w:szCs w:val="18"/>
        </w:rPr>
        <w:t xml:space="preserve">i sprawniejszej koordynacji. </w:t>
      </w:r>
      <w:r w:rsidRPr="00890249">
        <w:rPr>
          <w:rFonts w:asciiTheme="minorHAnsi" w:hAnsiTheme="minorHAnsi" w:cstheme="minorHAnsi"/>
          <w:sz w:val="18"/>
          <w:szCs w:val="18"/>
        </w:rPr>
        <w:t>Sprawozdanie specjalne</w:t>
      </w:r>
      <w:r w:rsidRPr="00D172FD">
        <w:rPr>
          <w:rFonts w:asciiTheme="minorHAnsi" w:hAnsiTheme="minorHAnsi" w:cstheme="minorHAnsi"/>
          <w:i/>
          <w:sz w:val="18"/>
          <w:szCs w:val="18"/>
        </w:rPr>
        <w:t xml:space="preserve">, </w:t>
      </w:r>
      <w:r w:rsidRPr="00890249">
        <w:rPr>
          <w:rFonts w:asciiTheme="minorHAnsi" w:hAnsiTheme="minorHAnsi" w:cstheme="minorHAnsi"/>
          <w:sz w:val="18"/>
          <w:szCs w:val="18"/>
        </w:rPr>
        <w:t>ETO, Luksemburg 2020, s. 4.</w:t>
      </w:r>
    </w:p>
  </w:footnote>
  <w:footnote w:id="227">
    <w:p w14:paraId="79463B93" w14:textId="3583D218" w:rsidR="00F17884" w:rsidRDefault="00F17884" w:rsidP="00322E74">
      <w:pPr>
        <w:pStyle w:val="Tekstprzypisudolnego"/>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Raport ETO w sprawie wsparcia turystyki na rzecz turystyki 27/2021.</w:t>
      </w:r>
    </w:p>
  </w:footnote>
  <w:footnote w:id="228">
    <w:p w14:paraId="44B50E72" w14:textId="4844165A" w:rsidR="00F17884" w:rsidRPr="00890249" w:rsidRDefault="00F17884" w:rsidP="00890249">
      <w:pPr>
        <w:pStyle w:val="Tekstprzypisudolnego"/>
        <w:ind w:left="284" w:hanging="284"/>
        <w:rPr>
          <w:rFonts w:asciiTheme="minorHAnsi" w:hAnsiTheme="minorHAnsi" w:cstheme="minorHAnsi"/>
          <w:sz w:val="18"/>
        </w:rPr>
      </w:pPr>
      <w:r w:rsidRPr="00890249">
        <w:rPr>
          <w:rStyle w:val="Odwoanieprzypisudolnego"/>
          <w:rFonts w:asciiTheme="minorHAnsi" w:hAnsiTheme="minorHAnsi" w:cstheme="minorHAnsi"/>
          <w:sz w:val="18"/>
        </w:rPr>
        <w:footnoteRef/>
      </w:r>
      <w:r w:rsidRPr="00890249">
        <w:rPr>
          <w:rFonts w:asciiTheme="minorHAnsi" w:hAnsiTheme="minorHAnsi" w:cstheme="minorHAnsi"/>
          <w:sz w:val="18"/>
        </w:rPr>
        <w:t xml:space="preserve"> GPR pełniący funkcję strategii IIT opracowany na podstawie ustawy o rewitalizacji z dnia 9 października 2015 r. </w:t>
      </w:r>
      <w:r>
        <w:rPr>
          <w:rFonts w:asciiTheme="minorHAnsi" w:hAnsiTheme="minorHAnsi" w:cstheme="minorHAnsi"/>
          <w:sz w:val="18"/>
        </w:rPr>
        <w:t>p</w:t>
      </w:r>
      <w:r w:rsidRPr="00890249">
        <w:rPr>
          <w:rFonts w:asciiTheme="minorHAnsi" w:hAnsiTheme="minorHAnsi" w:cstheme="minorHAnsi"/>
          <w:sz w:val="18"/>
        </w:rPr>
        <w:t>od warunkiem spełnienia wymogów art. 29 rozporządzenia ogólnego.</w:t>
      </w:r>
    </w:p>
  </w:footnote>
  <w:footnote w:id="229">
    <w:p w14:paraId="18871950" w14:textId="2A7EDD59" w:rsidR="00F17884" w:rsidRPr="00890249" w:rsidRDefault="00F17884">
      <w:pPr>
        <w:pStyle w:val="Tekstprzypisudolnego"/>
        <w:rPr>
          <w:lang w:val="en-US"/>
        </w:rPr>
      </w:pPr>
      <w:r w:rsidRPr="00890249">
        <w:rPr>
          <w:rStyle w:val="Odwoanieprzypisudolnego"/>
          <w:rFonts w:asciiTheme="minorHAnsi" w:hAnsiTheme="minorHAnsi" w:cstheme="minorHAnsi"/>
          <w:sz w:val="18"/>
        </w:rPr>
        <w:footnoteRef/>
      </w:r>
      <w:r w:rsidRPr="00890249">
        <w:rPr>
          <w:rFonts w:asciiTheme="minorHAnsi" w:hAnsiTheme="minorHAnsi" w:cstheme="minorHAnsi"/>
          <w:sz w:val="18"/>
          <w:lang w:val="en-US"/>
        </w:rPr>
        <w:t xml:space="preserve"> EUROPEAN QUALITY PRINCIPLES for EU-funded Interventions with potential impact upon Cultural Heritage ICOMOS</w:t>
      </w:r>
      <w:r w:rsidRPr="00890249">
        <w:rPr>
          <w:lang w:val="en-US"/>
        </w:rPr>
        <w:t>.</w:t>
      </w:r>
    </w:p>
  </w:footnote>
  <w:footnote w:id="230">
    <w:p w14:paraId="27FB095F" w14:textId="562301C9" w:rsidR="00F17884" w:rsidRPr="00890249" w:rsidRDefault="00F17884" w:rsidP="00C134E2">
      <w:pPr>
        <w:pStyle w:val="Tekstprzypisudolnego"/>
        <w:ind w:left="284" w:hanging="284"/>
        <w:rPr>
          <w:rFonts w:asciiTheme="minorHAnsi" w:hAnsiTheme="minorHAnsi" w:cstheme="minorHAnsi"/>
          <w:sz w:val="18"/>
          <w:szCs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w:t>
      </w:r>
      <w:r w:rsidRPr="00D172FD">
        <w:rPr>
          <w:rFonts w:asciiTheme="minorHAnsi" w:hAnsiTheme="minorHAnsi" w:cstheme="minorHAnsi"/>
          <w:i/>
          <w:sz w:val="18"/>
          <w:szCs w:val="18"/>
        </w:rPr>
        <w:t>Unijne inwestycje w obiekty kultury (…)</w:t>
      </w:r>
      <w:r>
        <w:rPr>
          <w:rFonts w:asciiTheme="minorHAnsi" w:hAnsiTheme="minorHAnsi" w:cstheme="minorHAnsi"/>
          <w:i/>
          <w:sz w:val="18"/>
          <w:szCs w:val="18"/>
        </w:rPr>
        <w:t>,</w:t>
      </w:r>
      <w:r w:rsidRPr="00D172FD">
        <w:rPr>
          <w:rFonts w:asciiTheme="minorHAnsi" w:hAnsiTheme="minorHAnsi" w:cstheme="minorHAnsi"/>
          <w:i/>
          <w:sz w:val="18"/>
          <w:szCs w:val="18"/>
        </w:rPr>
        <w:t xml:space="preserve"> op. cit.,</w:t>
      </w:r>
      <w:r>
        <w:rPr>
          <w:rFonts w:asciiTheme="minorHAnsi" w:hAnsiTheme="minorHAnsi" w:cstheme="minorHAnsi"/>
          <w:i/>
          <w:sz w:val="18"/>
          <w:szCs w:val="18"/>
        </w:rPr>
        <w:t xml:space="preserve"> </w:t>
      </w:r>
      <w:r w:rsidRPr="00890249">
        <w:rPr>
          <w:rFonts w:asciiTheme="minorHAnsi" w:hAnsiTheme="minorHAnsi" w:cstheme="minorHAnsi"/>
          <w:sz w:val="18"/>
          <w:szCs w:val="18"/>
        </w:rPr>
        <w:t>s. 4.</w:t>
      </w:r>
    </w:p>
  </w:footnote>
  <w:footnote w:id="231">
    <w:p w14:paraId="64A359DA" w14:textId="13A1A149" w:rsidR="00F17884" w:rsidRPr="00890249" w:rsidRDefault="00F17884" w:rsidP="00B23DEE">
      <w:pPr>
        <w:pStyle w:val="Tekstprzypisudolnego"/>
        <w:rPr>
          <w:rFonts w:asciiTheme="minorHAnsi" w:hAnsiTheme="minorHAnsi" w:cstheme="minorHAnsi"/>
          <w:sz w:val="18"/>
          <w:szCs w:val="18"/>
        </w:rPr>
      </w:pPr>
      <w:r w:rsidRPr="00890249">
        <w:rPr>
          <w:rStyle w:val="Odwoanieprzypisudolnego"/>
          <w:rFonts w:asciiTheme="minorHAnsi" w:hAnsiTheme="minorHAnsi" w:cstheme="minorHAnsi"/>
          <w:sz w:val="18"/>
          <w:szCs w:val="18"/>
        </w:rPr>
        <w:footnoteRef/>
      </w:r>
      <w:r w:rsidRPr="00890249">
        <w:rPr>
          <w:rFonts w:asciiTheme="minorHAnsi" w:hAnsiTheme="minorHAnsi" w:cstheme="minorHAnsi"/>
          <w:sz w:val="18"/>
          <w:szCs w:val="18"/>
        </w:rPr>
        <w:t xml:space="preserve"> </w:t>
      </w:r>
      <w:r w:rsidRPr="00D172FD">
        <w:rPr>
          <w:rFonts w:asciiTheme="minorHAnsi" w:hAnsiTheme="minorHAnsi" w:cstheme="minorHAnsi"/>
          <w:sz w:val="18"/>
          <w:szCs w:val="18"/>
        </w:rPr>
        <w:t>Raport ETO w sprawie</w:t>
      </w:r>
      <w:r w:rsidRPr="002B468B">
        <w:rPr>
          <w:rFonts w:asciiTheme="minorHAnsi" w:hAnsiTheme="minorHAnsi" w:cstheme="minorHAnsi"/>
          <w:sz w:val="18"/>
          <w:szCs w:val="18"/>
        </w:rPr>
        <w:t xml:space="preserve"> wsparcia turystyki</w:t>
      </w:r>
      <w:r>
        <w:rPr>
          <w:rFonts w:asciiTheme="minorHAnsi" w:hAnsiTheme="minorHAnsi" w:cstheme="minorHAnsi"/>
          <w:sz w:val="18"/>
          <w:szCs w:val="18"/>
        </w:rPr>
        <w:t xml:space="preserve"> </w:t>
      </w:r>
      <w:r w:rsidRPr="002B468B">
        <w:rPr>
          <w:rFonts w:asciiTheme="minorHAnsi" w:hAnsiTheme="minorHAnsi" w:cstheme="minorHAnsi"/>
          <w:sz w:val="18"/>
          <w:szCs w:val="18"/>
        </w:rPr>
        <w:t>(…)</w:t>
      </w:r>
      <w:r>
        <w:rPr>
          <w:rFonts w:asciiTheme="minorHAnsi" w:hAnsiTheme="minorHAnsi" w:cstheme="minorHAnsi"/>
          <w:sz w:val="18"/>
          <w:szCs w:val="18"/>
        </w:rPr>
        <w:t>,</w:t>
      </w:r>
      <w:r w:rsidRPr="00D172FD">
        <w:rPr>
          <w:rFonts w:asciiTheme="minorHAnsi" w:hAnsiTheme="minorHAnsi" w:cstheme="minorHAnsi"/>
          <w:sz w:val="18"/>
          <w:szCs w:val="18"/>
        </w:rPr>
        <w:t xml:space="preserve"> op. cit.</w:t>
      </w:r>
      <w:r w:rsidRPr="002B2B20">
        <w:rPr>
          <w:rFonts w:asciiTheme="minorHAnsi" w:hAnsiTheme="minorHAnsi" w:cstheme="minorHAnsi"/>
          <w:sz w:val="18"/>
          <w:szCs w:val="18"/>
        </w:rPr>
        <w:t>.</w:t>
      </w:r>
    </w:p>
  </w:footnote>
  <w:footnote w:id="232">
    <w:p w14:paraId="072245CC" w14:textId="77777777" w:rsidR="00F17884" w:rsidRDefault="00F17884" w:rsidP="00890249">
      <w:pPr>
        <w:pStyle w:val="Tekstprzypisudolnego"/>
        <w:ind w:left="284" w:hanging="284"/>
        <w:rPr>
          <w:rFonts w:asciiTheme="minorHAnsi" w:hAnsiTheme="minorHAnsi" w:cstheme="minorHAnsi"/>
          <w:sz w:val="18"/>
        </w:rPr>
      </w:pPr>
      <w:r w:rsidRPr="00D172FD">
        <w:rPr>
          <w:rStyle w:val="Odwoanieprzypisudolnego"/>
          <w:rFonts w:asciiTheme="minorHAnsi" w:hAnsiTheme="minorHAnsi" w:cstheme="minorHAnsi"/>
          <w:sz w:val="18"/>
          <w:szCs w:val="18"/>
        </w:rPr>
        <w:footnoteRef/>
      </w:r>
      <w:r w:rsidRPr="00D172FD">
        <w:rPr>
          <w:rFonts w:asciiTheme="minorHAnsi" w:hAnsiTheme="minorHAnsi" w:cstheme="minorHAnsi"/>
          <w:sz w:val="18"/>
          <w:szCs w:val="18"/>
        </w:rPr>
        <w:t xml:space="preserve"> GPR pełniący funkcję strategii IIT opracow</w:t>
      </w:r>
      <w:r w:rsidRPr="002B468B">
        <w:rPr>
          <w:rFonts w:asciiTheme="minorHAnsi" w:hAnsiTheme="minorHAnsi" w:cstheme="minorHAnsi"/>
          <w:sz w:val="18"/>
          <w:szCs w:val="18"/>
        </w:rPr>
        <w:t>any na podstawie ustawy o rewitalizacji z dnia 9 października 2015 r. pod warunkiem spełnienia wymogów art. 29 rozporządzenia ogólnego.</w:t>
      </w:r>
    </w:p>
  </w:footnote>
  <w:footnote w:id="233">
    <w:p w14:paraId="48DC6532" w14:textId="77777777" w:rsidR="00F17884" w:rsidRPr="0043241C" w:rsidRDefault="00F17884" w:rsidP="00B23DEE">
      <w:pPr>
        <w:pStyle w:val="Tekstprzypisudolnego"/>
        <w:ind w:left="0" w:hanging="11"/>
        <w:rPr>
          <w:rFonts w:asciiTheme="minorHAnsi" w:hAnsiTheme="minorHAnsi" w:cstheme="minorHAnsi"/>
          <w:lang w:val="en-US"/>
        </w:rPr>
      </w:pPr>
      <w:r w:rsidRPr="00941556">
        <w:rPr>
          <w:rFonts w:asciiTheme="minorHAnsi" w:hAnsiTheme="minorHAnsi" w:cstheme="minorHAnsi"/>
          <w:b/>
          <w:sz w:val="18"/>
          <w:szCs w:val="18"/>
          <w:vertAlign w:val="superscript"/>
        </w:rPr>
        <w:footnoteRef/>
      </w:r>
      <w:r w:rsidRPr="00941556">
        <w:rPr>
          <w:rFonts w:asciiTheme="minorHAnsi" w:hAnsiTheme="minorHAnsi" w:cstheme="minorHAnsi"/>
          <w:sz w:val="18"/>
          <w:szCs w:val="18"/>
          <w:vertAlign w:val="superscript"/>
          <w:lang w:val="en-US"/>
        </w:rPr>
        <w:t xml:space="preserve"> </w:t>
      </w:r>
      <w:r w:rsidRPr="00941556">
        <w:rPr>
          <w:rFonts w:asciiTheme="minorHAnsi" w:hAnsiTheme="minorHAnsi" w:cstheme="minorHAnsi"/>
          <w:sz w:val="18"/>
          <w:szCs w:val="18"/>
          <w:lang w:val="en-US"/>
        </w:rPr>
        <w:t>EUROPEAN QUALITY PRINCIPLES for EU-funded Interventions with potential impact upon Cultural Heritage</w:t>
      </w:r>
      <w:r>
        <w:rPr>
          <w:rFonts w:asciiTheme="minorHAnsi" w:hAnsiTheme="minorHAnsi" w:cstheme="minorHAnsi"/>
          <w:sz w:val="18"/>
          <w:szCs w:val="18"/>
          <w:lang w:val="en-US"/>
        </w:rPr>
        <w:t xml:space="preserve"> </w:t>
      </w:r>
      <w:r w:rsidRPr="00941556">
        <w:rPr>
          <w:rFonts w:asciiTheme="minorHAnsi" w:hAnsiTheme="minorHAnsi" w:cstheme="minorHAnsi"/>
          <w:sz w:val="18"/>
          <w:szCs w:val="18"/>
          <w:lang w:val="en-US"/>
        </w:rPr>
        <w:t>ICOMOS.</w:t>
      </w:r>
    </w:p>
  </w:footnote>
  <w:footnote w:id="234">
    <w:p w14:paraId="329FE77D" w14:textId="0A42A486" w:rsidR="00F17884" w:rsidRPr="00953D72" w:rsidRDefault="00F17884" w:rsidP="00953D72">
      <w:pPr>
        <w:pStyle w:val="Tekstprzypisudolnego"/>
        <w:ind w:left="426" w:hanging="284"/>
        <w:rPr>
          <w:rFonts w:asciiTheme="minorHAnsi" w:hAnsiTheme="minorHAnsi" w:cstheme="minorHAnsi"/>
          <w:sz w:val="18"/>
          <w:szCs w:val="18"/>
        </w:rPr>
      </w:pPr>
      <w:r>
        <w:rPr>
          <w:rStyle w:val="Odwoanieprzypisudolnego"/>
        </w:rPr>
        <w:footnoteRef/>
      </w:r>
      <w:r>
        <w:t xml:space="preserve"> </w:t>
      </w:r>
      <w:r w:rsidRPr="00953D72">
        <w:rPr>
          <w:rFonts w:asciiTheme="minorHAnsi" w:hAnsiTheme="minorHAnsi" w:cstheme="minorHAnsi"/>
          <w:sz w:val="18"/>
          <w:szCs w:val="18"/>
          <w:lang w:val="pl"/>
        </w:rPr>
        <w:t xml:space="preserve">Działania z priorytetu PT w FEO będą komplementarne z działaniami PT realiz. w PTFE </w:t>
      </w:r>
      <w:r>
        <w:rPr>
          <w:rFonts w:asciiTheme="minorHAnsi" w:hAnsiTheme="minorHAnsi" w:cstheme="minorHAnsi"/>
          <w:sz w:val="18"/>
          <w:szCs w:val="18"/>
          <w:lang w:val="pl"/>
        </w:rPr>
        <w:t>oraz pozostałych progr. kraj. i </w:t>
      </w:r>
      <w:r w:rsidRPr="00953D72">
        <w:rPr>
          <w:rFonts w:asciiTheme="minorHAnsi" w:hAnsiTheme="minorHAnsi" w:cstheme="minorHAnsi"/>
          <w:sz w:val="18"/>
          <w:szCs w:val="18"/>
          <w:lang w:val="pl"/>
        </w:rPr>
        <w:t>region., z zachowaniem przyjętej linii demarkacyjnej pomiędzy programami (załącznik do PTFE). IK PT przygotuje wspólne wytyczne do PT 2021-2027 na poziomie krajowym i regionalnym</w:t>
      </w:r>
    </w:p>
  </w:footnote>
  <w:footnote w:id="235">
    <w:p w14:paraId="3B807B28" w14:textId="77777777" w:rsidR="00F17884" w:rsidRPr="00953D72" w:rsidRDefault="00F17884" w:rsidP="00953D72">
      <w:pPr>
        <w:pStyle w:val="Tekstprzypisudolnego"/>
        <w:ind w:left="426" w:hanging="426"/>
        <w:rPr>
          <w:rFonts w:asciiTheme="minorHAnsi" w:hAnsiTheme="minorHAnsi" w:cstheme="minorHAnsi"/>
          <w:sz w:val="18"/>
          <w:szCs w:val="18"/>
          <w:lang w:val="en-US"/>
        </w:rPr>
      </w:pPr>
      <w:r w:rsidRPr="00953D72">
        <w:rPr>
          <w:rStyle w:val="Odwoanieprzypisudolnego"/>
          <w:rFonts w:asciiTheme="minorHAnsi" w:hAnsiTheme="minorHAnsi" w:cstheme="minorHAnsi"/>
          <w:sz w:val="18"/>
          <w:szCs w:val="18"/>
        </w:rPr>
        <w:footnoteRef/>
      </w:r>
      <w:r w:rsidRPr="00953D72">
        <w:rPr>
          <w:rFonts w:asciiTheme="minorHAnsi" w:hAnsiTheme="minorHAnsi" w:cstheme="minorHAnsi"/>
          <w:sz w:val="18"/>
          <w:szCs w:val="18"/>
        </w:rPr>
        <w:t xml:space="preserve"> </w:t>
      </w:r>
      <w:r w:rsidRPr="00953D72">
        <w:rPr>
          <w:rFonts w:asciiTheme="minorHAnsi" w:hAnsiTheme="minorHAnsi" w:cstheme="minorHAnsi"/>
          <w:sz w:val="18"/>
          <w:szCs w:val="18"/>
          <w:lang w:val="pl"/>
        </w:rPr>
        <w:t xml:space="preserve">Przy określaniu zakresu planowanego wsparcia należy wziąć pod uwagę dobre praktyki z okresu 2014-2020, w tym wnioski z proj. </w:t>
      </w:r>
      <w:r w:rsidRPr="00953D72">
        <w:rPr>
          <w:rFonts w:asciiTheme="minorHAnsi" w:hAnsiTheme="minorHAnsi" w:cstheme="minorHAnsi"/>
          <w:sz w:val="18"/>
          <w:szCs w:val="18"/>
        </w:rPr>
        <w:t xml:space="preserve">pilotaż. </w:t>
      </w:r>
      <w:r w:rsidRPr="00953D72">
        <w:rPr>
          <w:rFonts w:asciiTheme="minorHAnsi" w:hAnsiTheme="minorHAnsi" w:cstheme="minorHAnsi"/>
          <w:sz w:val="18"/>
          <w:szCs w:val="18"/>
          <w:lang w:val="en-US"/>
        </w:rPr>
        <w:t xml:space="preserve">KE </w:t>
      </w:r>
      <w:r w:rsidRPr="00953D72">
        <w:rPr>
          <w:rFonts w:asciiTheme="minorHAnsi" w:hAnsiTheme="minorHAnsi" w:cstheme="minorHAnsi"/>
          <w:i/>
          <w:iCs/>
          <w:sz w:val="18"/>
          <w:szCs w:val="18"/>
          <w:lang w:val="en-US"/>
        </w:rPr>
        <w:t>„Frontloading administrative capacity building for post-2020”</w:t>
      </w:r>
      <w:r w:rsidRPr="00953D72">
        <w:rPr>
          <w:rFonts w:asciiTheme="minorHAnsi" w:hAnsiTheme="minorHAnsi" w:cstheme="minorHAnsi"/>
          <w:sz w:val="18"/>
          <w:szCs w:val="18"/>
          <w:lang w:val="en-US"/>
        </w:rPr>
        <w:t xml:space="preserve"> przeprow. w woj. lubelskim. </w:t>
      </w:r>
      <w:r w:rsidRPr="00953D72">
        <w:rPr>
          <w:rStyle w:val="Hipercze"/>
          <w:rFonts w:asciiTheme="minorHAnsi" w:hAnsiTheme="minorHAnsi" w:cstheme="minorHAnsi"/>
          <w:sz w:val="18"/>
          <w:szCs w:val="18"/>
          <w:lang w:val="en-US"/>
        </w:rPr>
        <w:t>https://bit.ly/3CRgW5p</w:t>
      </w:r>
    </w:p>
  </w:footnote>
  <w:footnote w:id="236">
    <w:p w14:paraId="4B0171B7" w14:textId="77777777" w:rsidR="00F17884" w:rsidRDefault="00F17884" w:rsidP="00953D72">
      <w:pPr>
        <w:pStyle w:val="Tekstprzypisudolnego"/>
        <w:ind w:left="426" w:hanging="426"/>
      </w:pPr>
      <w:r w:rsidRPr="00953D72">
        <w:rPr>
          <w:rStyle w:val="Odwoanieprzypisudolnego"/>
          <w:rFonts w:asciiTheme="minorHAnsi" w:hAnsiTheme="minorHAnsi" w:cstheme="minorHAnsi"/>
          <w:sz w:val="18"/>
          <w:szCs w:val="18"/>
        </w:rPr>
        <w:footnoteRef/>
      </w:r>
      <w:r w:rsidRPr="00953D72">
        <w:rPr>
          <w:rFonts w:asciiTheme="minorHAnsi" w:hAnsiTheme="minorHAnsi" w:cstheme="minorHAnsi"/>
          <w:sz w:val="18"/>
          <w:szCs w:val="18"/>
        </w:rPr>
        <w:t xml:space="preserve"> w oparciu o </w:t>
      </w:r>
      <w:r w:rsidRPr="00953D72">
        <w:rPr>
          <w:rFonts w:asciiTheme="minorHAnsi" w:hAnsiTheme="minorHAnsi" w:cstheme="minorHAnsi"/>
          <w:i/>
          <w:sz w:val="18"/>
          <w:szCs w:val="18"/>
        </w:rPr>
        <w:t>Plan ZZL dla instytucji administracji publicznej zaangaż. we wdraż. PS na lata 2021-2027</w:t>
      </w:r>
      <w:r w:rsidRPr="00953D72">
        <w:rPr>
          <w:rFonts w:asciiTheme="minorHAnsi" w:hAnsiTheme="minorHAnsi" w:cstheme="minorHAnsi"/>
          <w:sz w:val="18"/>
          <w:szCs w:val="18"/>
        </w:rPr>
        <w:t>, przygotowany przez MFiPR</w:t>
      </w:r>
    </w:p>
  </w:footnote>
  <w:footnote w:id="237">
    <w:p w14:paraId="11745E90" w14:textId="77777777" w:rsidR="00F17884" w:rsidRPr="00953D72" w:rsidRDefault="00F17884" w:rsidP="00CF1B00">
      <w:pPr>
        <w:pStyle w:val="Tekstprzypisudolnego"/>
        <w:rPr>
          <w:rFonts w:asciiTheme="minorHAnsi" w:hAnsiTheme="minorHAnsi" w:cstheme="minorHAnsi"/>
          <w:sz w:val="18"/>
        </w:rPr>
      </w:pPr>
      <w:r>
        <w:rPr>
          <w:rStyle w:val="Odwoanieprzypisudolnego"/>
        </w:rPr>
        <w:footnoteRef/>
      </w:r>
      <w:r>
        <w:t xml:space="preserve"> </w:t>
      </w:r>
      <w:r w:rsidRPr="00953D72">
        <w:rPr>
          <w:rFonts w:asciiTheme="minorHAnsi" w:hAnsiTheme="minorHAnsi" w:cstheme="minorHAnsi"/>
          <w:sz w:val="18"/>
          <w:lang w:val="pl"/>
        </w:rPr>
        <w:t xml:space="preserve">Rozpatr. skarg i wniosków należy też do kompetencji RFE. Więcej o RFE: </w:t>
      </w:r>
      <w:r w:rsidRPr="00953D72">
        <w:rPr>
          <w:rStyle w:val="Hipercze"/>
          <w:rFonts w:asciiTheme="minorHAnsi" w:hAnsiTheme="minorHAnsi" w:cstheme="minorHAnsi"/>
          <w:sz w:val="18"/>
          <w:lang w:val="pl"/>
        </w:rPr>
        <w:t>https://bit.ly/3EylDCz</w:t>
      </w:r>
      <w:r w:rsidRPr="00953D72" w:rsidDel="00C13410">
        <w:rPr>
          <w:rStyle w:val="Hipercze"/>
          <w:rFonts w:asciiTheme="minorHAnsi" w:hAnsiTheme="minorHAnsi" w:cstheme="minorHAnsi"/>
          <w:sz w:val="18"/>
          <w:lang w:val="pl"/>
        </w:rPr>
        <w:t xml:space="preserve"> </w:t>
      </w:r>
    </w:p>
  </w:footnote>
  <w:footnote w:id="238">
    <w:p w14:paraId="385C6F10" w14:textId="77777777" w:rsidR="00F17884" w:rsidRPr="00953D72" w:rsidRDefault="00F17884" w:rsidP="00CF1B00">
      <w:pPr>
        <w:pStyle w:val="Tekstprzypisudolnego"/>
        <w:rPr>
          <w:rFonts w:asciiTheme="minorHAnsi" w:hAnsiTheme="minorHAnsi" w:cstheme="minorHAnsi"/>
          <w:sz w:val="18"/>
        </w:rPr>
      </w:pPr>
      <w:r w:rsidRPr="00953D72">
        <w:rPr>
          <w:rStyle w:val="Odwoanieprzypisudolnego"/>
          <w:rFonts w:asciiTheme="minorHAnsi" w:hAnsiTheme="minorHAnsi" w:cstheme="minorHAnsi"/>
          <w:sz w:val="18"/>
        </w:rPr>
        <w:footnoteRef/>
      </w:r>
      <w:r w:rsidRPr="00953D72">
        <w:rPr>
          <w:rFonts w:asciiTheme="minorHAnsi" w:hAnsiTheme="minorHAnsi" w:cstheme="minorHAnsi"/>
          <w:sz w:val="18"/>
        </w:rPr>
        <w:t xml:space="preserve"> </w:t>
      </w:r>
      <w:r w:rsidRPr="00953D72">
        <w:rPr>
          <w:rFonts w:asciiTheme="minorHAnsi" w:hAnsiTheme="minorHAnsi" w:cstheme="minorHAnsi"/>
          <w:sz w:val="18"/>
          <w:lang w:val="pl"/>
        </w:rPr>
        <w:t>Wymienione kryteria będą stosowane w stopniu wynikającym z PZP</w:t>
      </w:r>
    </w:p>
  </w:footnote>
  <w:footnote w:id="239">
    <w:p w14:paraId="4D1D8DDB" w14:textId="77777777" w:rsidR="00F17884" w:rsidRPr="00953D72" w:rsidRDefault="00F17884" w:rsidP="00953D72">
      <w:pPr>
        <w:pStyle w:val="Tekstprzypisudolnego"/>
        <w:ind w:left="284" w:hanging="284"/>
        <w:rPr>
          <w:rFonts w:asciiTheme="minorHAnsi" w:hAnsiTheme="minorHAnsi" w:cstheme="minorHAnsi"/>
          <w:sz w:val="18"/>
        </w:rPr>
      </w:pPr>
      <w:r w:rsidRPr="00953D72">
        <w:rPr>
          <w:rStyle w:val="Odwoanieprzypisudolnego"/>
          <w:rFonts w:asciiTheme="minorHAnsi" w:hAnsiTheme="minorHAnsi" w:cstheme="minorHAnsi"/>
          <w:sz w:val="18"/>
        </w:rPr>
        <w:footnoteRef/>
      </w:r>
      <w:r w:rsidRPr="00953D72">
        <w:rPr>
          <w:rFonts w:asciiTheme="minorHAnsi" w:hAnsiTheme="minorHAnsi" w:cstheme="minorHAnsi"/>
          <w:sz w:val="18"/>
        </w:rPr>
        <w:t xml:space="preserve"> </w:t>
      </w:r>
      <w:r w:rsidRPr="00953D72">
        <w:rPr>
          <w:rFonts w:asciiTheme="minorHAnsi" w:hAnsiTheme="minorHAnsi" w:cstheme="minorHAnsi"/>
          <w:sz w:val="18"/>
          <w:lang w:val="pl"/>
        </w:rPr>
        <w:t xml:space="preserve">Pakt uczciwości (ang. </w:t>
      </w:r>
      <w:r w:rsidRPr="00953D72">
        <w:rPr>
          <w:rFonts w:asciiTheme="minorHAnsi" w:hAnsiTheme="minorHAnsi" w:cstheme="minorHAnsi"/>
          <w:i/>
          <w:iCs/>
          <w:sz w:val="18"/>
          <w:lang w:val="pl"/>
        </w:rPr>
        <w:t>integrity pact</w:t>
      </w:r>
      <w:r w:rsidRPr="00953D72">
        <w:rPr>
          <w:rFonts w:asciiTheme="minorHAnsi" w:hAnsiTheme="minorHAnsi" w:cstheme="minorHAnsi"/>
          <w:sz w:val="18"/>
          <w:lang w:val="pl"/>
        </w:rPr>
        <w:t xml:space="preserve">) jest narzędziem przeciwdz. nadużyciom w zamówieniach publ., stworzonym przez Transparency International, które stosowane jest od lat 90. XX w. na całym świecie. Opiera się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w:t>
      </w:r>
      <w:hyperlink r:id="rId19" w:history="1">
        <w:r w:rsidRPr="00953D72">
          <w:rPr>
            <w:rStyle w:val="Hipercze"/>
            <w:rFonts w:asciiTheme="minorHAnsi" w:hAnsiTheme="minorHAnsi" w:cstheme="minorHAnsi"/>
            <w:sz w:val="18"/>
            <w:lang w:val="pl"/>
          </w:rPr>
          <w:t>paktuczciwosci.pl</w:t>
        </w:r>
      </w:hyperlink>
    </w:p>
  </w:footnote>
  <w:footnote w:id="240">
    <w:p w14:paraId="01D7EA9F" w14:textId="77777777" w:rsidR="00F17884" w:rsidRDefault="00F17884" w:rsidP="00C96C08">
      <w:pPr>
        <w:pStyle w:val="Tekstprzypisudolnego"/>
        <w:ind w:left="284" w:hanging="284"/>
      </w:pPr>
      <w:r>
        <w:rPr>
          <w:rStyle w:val="Odwoanieprzypisudolnego"/>
        </w:rPr>
        <w:footnoteRef/>
      </w:r>
      <w:r>
        <w:t xml:space="preserve"> </w:t>
      </w:r>
      <w:r w:rsidRPr="00C96C08">
        <w:rPr>
          <w:rFonts w:asciiTheme="minorHAnsi" w:hAnsiTheme="minorHAnsi" w:cstheme="minorHAnsi"/>
          <w:lang w:val="pl"/>
        </w:rPr>
        <w:t>Wsparcie będzie komplementarne do działań z PTFE. Zakres temat. działań w FEO nie będzie dotyczył zagadnień horyzont. objętych wsparciem PTFE</w:t>
      </w:r>
    </w:p>
  </w:footnote>
  <w:footnote w:id="241">
    <w:p w14:paraId="0634CA57" w14:textId="5FF3024B" w:rsidR="00F17884" w:rsidRPr="005E270C" w:rsidRDefault="00F17884" w:rsidP="005E270C">
      <w:pPr>
        <w:pStyle w:val="Tekstprzypisudolnego"/>
        <w:ind w:left="284" w:hanging="284"/>
        <w:rPr>
          <w:rFonts w:asciiTheme="minorHAnsi" w:hAnsiTheme="minorHAnsi" w:cstheme="minorHAnsi"/>
          <w:sz w:val="18"/>
          <w:szCs w:val="18"/>
        </w:rPr>
      </w:pPr>
      <w:r>
        <w:rPr>
          <w:rStyle w:val="Odwoanieprzypisudolnego"/>
        </w:rPr>
        <w:footnoteRef/>
      </w:r>
      <w:r>
        <w:t xml:space="preserve"> </w:t>
      </w:r>
      <w:r w:rsidRPr="005E270C">
        <w:rPr>
          <w:rFonts w:asciiTheme="minorHAnsi" w:hAnsiTheme="minorHAnsi" w:cstheme="minorHAnsi"/>
          <w:sz w:val="18"/>
          <w:szCs w:val="18"/>
          <w:lang w:val="pl"/>
        </w:rPr>
        <w:t>Działania z priorytetu PT w FEO będą komplementarne z działaniami PT realiz. w PTFE oraz pozostałych progr. kraj.</w:t>
      </w:r>
      <w:r>
        <w:rPr>
          <w:rFonts w:asciiTheme="minorHAnsi" w:hAnsiTheme="minorHAnsi" w:cstheme="minorHAnsi"/>
          <w:sz w:val="18"/>
          <w:szCs w:val="18"/>
          <w:lang w:val="pl"/>
        </w:rPr>
        <w:t xml:space="preserve"> I </w:t>
      </w:r>
      <w:r w:rsidRPr="005E270C">
        <w:rPr>
          <w:rFonts w:asciiTheme="minorHAnsi" w:hAnsiTheme="minorHAnsi" w:cstheme="minorHAnsi"/>
          <w:sz w:val="18"/>
          <w:szCs w:val="18"/>
          <w:lang w:val="pl"/>
        </w:rPr>
        <w:t>region., z zachowaniem przyjętej linii demarkacyjnej pomiędzy programami (załącznik do PTFE). IK PT przygotuje wspólne wytyczne do PT 2021-2027 na poziomie krajowym i regionalnym</w:t>
      </w:r>
    </w:p>
  </w:footnote>
  <w:footnote w:id="242">
    <w:p w14:paraId="32431F02" w14:textId="77777777" w:rsidR="00F17884" w:rsidRPr="005E270C" w:rsidRDefault="00F17884" w:rsidP="005E270C">
      <w:pPr>
        <w:pStyle w:val="Tekstprzypisudolnego"/>
        <w:ind w:left="284" w:hanging="284"/>
        <w:rPr>
          <w:rFonts w:asciiTheme="minorHAnsi" w:hAnsiTheme="minorHAnsi" w:cstheme="minorHAnsi"/>
          <w:sz w:val="18"/>
          <w:szCs w:val="18"/>
          <w:lang w:val="en-US"/>
        </w:rPr>
      </w:pPr>
      <w:r w:rsidRPr="005E270C">
        <w:rPr>
          <w:rStyle w:val="Odwoanieprzypisudolnego"/>
          <w:rFonts w:asciiTheme="minorHAnsi" w:hAnsiTheme="minorHAnsi" w:cstheme="minorHAnsi"/>
          <w:sz w:val="18"/>
          <w:szCs w:val="18"/>
        </w:rPr>
        <w:footnoteRef/>
      </w:r>
      <w:r w:rsidRPr="005E270C">
        <w:rPr>
          <w:rFonts w:asciiTheme="minorHAnsi" w:hAnsiTheme="minorHAnsi" w:cstheme="minorHAnsi"/>
          <w:sz w:val="18"/>
          <w:szCs w:val="18"/>
        </w:rPr>
        <w:t xml:space="preserve"> </w:t>
      </w:r>
      <w:r w:rsidRPr="005E270C">
        <w:rPr>
          <w:rFonts w:asciiTheme="minorHAnsi" w:hAnsiTheme="minorHAnsi" w:cstheme="minorHAnsi"/>
          <w:sz w:val="18"/>
          <w:szCs w:val="18"/>
          <w:lang w:val="pl"/>
        </w:rPr>
        <w:t xml:space="preserve">Przy określaniu zakresu planowanego wsparcia należy wziąć pod uwagę dobre praktyki z okresu 2014-2020, w tym wnioski z proj. pilotaż. </w:t>
      </w:r>
      <w:r w:rsidRPr="005E270C">
        <w:rPr>
          <w:rFonts w:asciiTheme="minorHAnsi" w:hAnsiTheme="minorHAnsi" w:cstheme="minorHAnsi"/>
          <w:sz w:val="18"/>
          <w:szCs w:val="18"/>
          <w:lang w:val="en-US"/>
        </w:rPr>
        <w:t xml:space="preserve">KE </w:t>
      </w:r>
      <w:r w:rsidRPr="005E270C">
        <w:rPr>
          <w:rFonts w:asciiTheme="minorHAnsi" w:hAnsiTheme="minorHAnsi" w:cstheme="minorHAnsi"/>
          <w:i/>
          <w:iCs/>
          <w:sz w:val="18"/>
          <w:szCs w:val="18"/>
          <w:lang w:val="en-US"/>
        </w:rPr>
        <w:t>„Frontloading administrative capacity building for post-2020”</w:t>
      </w:r>
      <w:r w:rsidRPr="005E270C">
        <w:rPr>
          <w:rFonts w:asciiTheme="minorHAnsi" w:hAnsiTheme="minorHAnsi" w:cstheme="minorHAnsi"/>
          <w:sz w:val="18"/>
          <w:szCs w:val="18"/>
          <w:lang w:val="en-US"/>
        </w:rPr>
        <w:t xml:space="preserve"> przeprow. w woj. lubelskim. </w:t>
      </w:r>
      <w:r w:rsidRPr="005E270C">
        <w:rPr>
          <w:rStyle w:val="Hipercze"/>
          <w:rFonts w:asciiTheme="minorHAnsi" w:hAnsiTheme="minorHAnsi" w:cstheme="minorHAnsi"/>
          <w:sz w:val="18"/>
          <w:szCs w:val="18"/>
          <w:lang w:val="en-US"/>
        </w:rPr>
        <w:t>https://bit.ly/3CRgW5p</w:t>
      </w:r>
    </w:p>
  </w:footnote>
  <w:footnote w:id="243">
    <w:p w14:paraId="54095A6E" w14:textId="77777777" w:rsidR="00F17884" w:rsidRPr="005E270C" w:rsidRDefault="00F17884" w:rsidP="005E270C">
      <w:pPr>
        <w:pStyle w:val="Tekstprzypisudolnego"/>
        <w:ind w:left="284" w:hanging="284"/>
        <w:rPr>
          <w:rFonts w:asciiTheme="minorHAnsi" w:hAnsiTheme="minorHAnsi" w:cstheme="minorHAnsi"/>
          <w:sz w:val="18"/>
          <w:szCs w:val="18"/>
        </w:rPr>
      </w:pPr>
      <w:r w:rsidRPr="005E270C">
        <w:rPr>
          <w:rStyle w:val="Odwoanieprzypisudolnego"/>
          <w:rFonts w:asciiTheme="minorHAnsi" w:hAnsiTheme="minorHAnsi" w:cstheme="minorHAnsi"/>
          <w:sz w:val="18"/>
          <w:szCs w:val="18"/>
        </w:rPr>
        <w:footnoteRef/>
      </w:r>
      <w:r w:rsidRPr="005E270C">
        <w:rPr>
          <w:rFonts w:asciiTheme="minorHAnsi" w:hAnsiTheme="minorHAnsi" w:cstheme="minorHAnsi"/>
          <w:sz w:val="18"/>
          <w:szCs w:val="18"/>
        </w:rPr>
        <w:t xml:space="preserve"> w oparciu o </w:t>
      </w:r>
      <w:r w:rsidRPr="005E270C">
        <w:rPr>
          <w:rFonts w:asciiTheme="minorHAnsi" w:hAnsiTheme="minorHAnsi" w:cstheme="minorHAnsi"/>
          <w:i/>
          <w:sz w:val="18"/>
          <w:szCs w:val="18"/>
        </w:rPr>
        <w:t>Plan ZZL dla instytucji administracji publicznej zaangaż. we wdraż. PS na lata 2021-2027</w:t>
      </w:r>
      <w:r w:rsidRPr="005E270C">
        <w:rPr>
          <w:rFonts w:asciiTheme="minorHAnsi" w:hAnsiTheme="minorHAnsi" w:cstheme="minorHAnsi"/>
          <w:sz w:val="18"/>
          <w:szCs w:val="18"/>
        </w:rPr>
        <w:t>, przygotowany przez MFiPR</w:t>
      </w:r>
    </w:p>
  </w:footnote>
  <w:footnote w:id="244">
    <w:p w14:paraId="05DF0B7A" w14:textId="77777777" w:rsidR="00F17884" w:rsidRPr="005E270C" w:rsidRDefault="00F17884" w:rsidP="0058418C">
      <w:pPr>
        <w:pStyle w:val="Tekstprzypisudolnego"/>
        <w:rPr>
          <w:rFonts w:asciiTheme="minorHAnsi" w:hAnsiTheme="minorHAnsi" w:cstheme="minorHAnsi"/>
          <w:sz w:val="18"/>
          <w:szCs w:val="18"/>
        </w:rPr>
      </w:pPr>
      <w:r w:rsidRPr="005E270C">
        <w:rPr>
          <w:rStyle w:val="Odwoanieprzypisudolnego"/>
          <w:rFonts w:asciiTheme="minorHAnsi" w:hAnsiTheme="minorHAnsi" w:cstheme="minorHAnsi"/>
          <w:sz w:val="18"/>
          <w:szCs w:val="18"/>
        </w:rPr>
        <w:footnoteRef/>
      </w:r>
      <w:r w:rsidRPr="005E270C">
        <w:rPr>
          <w:rFonts w:asciiTheme="minorHAnsi" w:hAnsiTheme="minorHAnsi" w:cstheme="minorHAnsi"/>
          <w:sz w:val="18"/>
          <w:szCs w:val="18"/>
        </w:rPr>
        <w:t xml:space="preserve"> </w:t>
      </w:r>
      <w:r w:rsidRPr="005E270C">
        <w:rPr>
          <w:rFonts w:asciiTheme="minorHAnsi" w:hAnsiTheme="minorHAnsi" w:cstheme="minorHAnsi"/>
          <w:sz w:val="18"/>
          <w:szCs w:val="18"/>
          <w:lang w:val="pl"/>
        </w:rPr>
        <w:t xml:space="preserve">Rozpatr. skarg i wniosków należy też do kompetencji RFE. Więcej o RFE: </w:t>
      </w:r>
      <w:r w:rsidRPr="005E270C">
        <w:rPr>
          <w:rStyle w:val="Hipercze"/>
          <w:rFonts w:asciiTheme="minorHAnsi" w:hAnsiTheme="minorHAnsi" w:cstheme="minorHAnsi"/>
          <w:sz w:val="18"/>
          <w:szCs w:val="18"/>
          <w:lang w:val="pl"/>
        </w:rPr>
        <w:t>https://bit.ly/3EylDCz</w:t>
      </w:r>
      <w:r w:rsidRPr="005E270C" w:rsidDel="00C13410">
        <w:rPr>
          <w:rStyle w:val="Hipercze"/>
          <w:rFonts w:asciiTheme="minorHAnsi" w:hAnsiTheme="minorHAnsi" w:cstheme="minorHAnsi"/>
          <w:sz w:val="18"/>
          <w:szCs w:val="18"/>
          <w:lang w:val="pl"/>
        </w:rPr>
        <w:t xml:space="preserve"> </w:t>
      </w:r>
    </w:p>
  </w:footnote>
  <w:footnote w:id="245">
    <w:p w14:paraId="58C7EECE" w14:textId="77777777" w:rsidR="00F17884" w:rsidRPr="00816C11" w:rsidRDefault="00F17884" w:rsidP="0058418C">
      <w:pPr>
        <w:pStyle w:val="Tekstprzypisudolnego"/>
        <w:rPr>
          <w:rFonts w:asciiTheme="minorHAnsi" w:hAnsiTheme="minorHAnsi" w:cstheme="minorHAnsi"/>
          <w:sz w:val="18"/>
        </w:rPr>
      </w:pPr>
      <w:r>
        <w:rPr>
          <w:rStyle w:val="Odwoanieprzypisudolnego"/>
        </w:rPr>
        <w:footnoteRef/>
      </w:r>
      <w:r>
        <w:t xml:space="preserve"> </w:t>
      </w:r>
      <w:r w:rsidRPr="00816C11">
        <w:rPr>
          <w:rFonts w:asciiTheme="minorHAnsi" w:hAnsiTheme="minorHAnsi" w:cstheme="minorHAnsi"/>
          <w:sz w:val="18"/>
          <w:lang w:val="pl"/>
        </w:rPr>
        <w:t>Wymienione kryteria będą stosowane w stopniu wynikającym z PZP</w:t>
      </w:r>
    </w:p>
  </w:footnote>
  <w:footnote w:id="246">
    <w:p w14:paraId="09214A7A" w14:textId="77777777" w:rsidR="00F17884" w:rsidRPr="00816C11" w:rsidRDefault="00F17884" w:rsidP="00816C11">
      <w:pPr>
        <w:pStyle w:val="Tekstprzypisudolnego"/>
        <w:ind w:left="284" w:hanging="284"/>
        <w:rPr>
          <w:rFonts w:asciiTheme="minorHAnsi" w:hAnsiTheme="minorHAnsi" w:cstheme="minorHAnsi"/>
        </w:rPr>
      </w:pPr>
      <w:r w:rsidRPr="00816C11">
        <w:rPr>
          <w:rStyle w:val="Odwoanieprzypisudolnego"/>
          <w:rFonts w:asciiTheme="minorHAnsi" w:hAnsiTheme="minorHAnsi" w:cstheme="minorHAnsi"/>
          <w:sz w:val="18"/>
        </w:rPr>
        <w:footnoteRef/>
      </w:r>
      <w:r w:rsidRPr="00816C11">
        <w:rPr>
          <w:rFonts w:asciiTheme="minorHAnsi" w:hAnsiTheme="minorHAnsi" w:cstheme="minorHAnsi"/>
          <w:sz w:val="18"/>
        </w:rPr>
        <w:t xml:space="preserve"> </w:t>
      </w:r>
      <w:r w:rsidRPr="00816C11">
        <w:rPr>
          <w:rFonts w:asciiTheme="minorHAnsi" w:hAnsiTheme="minorHAnsi" w:cstheme="minorHAnsi"/>
          <w:sz w:val="18"/>
          <w:lang w:val="pl"/>
        </w:rPr>
        <w:t xml:space="preserve">Pakt uczciwości (ang. </w:t>
      </w:r>
      <w:r w:rsidRPr="00816C11">
        <w:rPr>
          <w:rFonts w:asciiTheme="minorHAnsi" w:hAnsiTheme="minorHAnsi" w:cstheme="minorHAnsi"/>
          <w:i/>
          <w:iCs/>
          <w:sz w:val="18"/>
          <w:lang w:val="pl"/>
        </w:rPr>
        <w:t>integrity pact</w:t>
      </w:r>
      <w:r w:rsidRPr="00816C11">
        <w:rPr>
          <w:rFonts w:asciiTheme="minorHAnsi" w:hAnsiTheme="minorHAnsi" w:cstheme="minorHAnsi"/>
          <w:sz w:val="18"/>
          <w:lang w:val="pl"/>
        </w:rPr>
        <w:t xml:space="preserve">) jest narzędziem przeciwdz. nadużyciom w zamówieniach publ., stworzonym przez Transparency International, które stosowane jest od lat 90. XX w. na całym świecie. Opiera się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w:t>
      </w:r>
      <w:hyperlink r:id="rId20" w:history="1">
        <w:r w:rsidRPr="00816C11">
          <w:rPr>
            <w:rStyle w:val="Hipercze"/>
            <w:rFonts w:asciiTheme="minorHAnsi" w:hAnsiTheme="minorHAnsi" w:cstheme="minorHAnsi"/>
            <w:sz w:val="18"/>
            <w:lang w:val="pl"/>
          </w:rPr>
          <w:t>paktuczciwosci.pl</w:t>
        </w:r>
      </w:hyperlink>
    </w:p>
  </w:footnote>
  <w:footnote w:id="247">
    <w:p w14:paraId="5D32E48A" w14:textId="77777777" w:rsidR="00F17884" w:rsidRPr="005E270C" w:rsidRDefault="00F17884" w:rsidP="005E270C">
      <w:pPr>
        <w:pStyle w:val="Tekstprzypisudolnego"/>
        <w:ind w:left="284" w:hanging="284"/>
        <w:rPr>
          <w:rFonts w:asciiTheme="minorHAnsi" w:hAnsiTheme="minorHAnsi" w:cstheme="minorHAnsi"/>
          <w:sz w:val="18"/>
        </w:rPr>
      </w:pPr>
      <w:r>
        <w:rPr>
          <w:rStyle w:val="Odwoanieprzypisudolnego"/>
        </w:rPr>
        <w:footnoteRef/>
      </w:r>
      <w:r>
        <w:t xml:space="preserve"> </w:t>
      </w:r>
      <w:r w:rsidRPr="005E270C">
        <w:rPr>
          <w:rFonts w:asciiTheme="minorHAnsi" w:hAnsiTheme="minorHAnsi" w:cstheme="minorHAnsi"/>
          <w:sz w:val="18"/>
          <w:lang w:val="pl"/>
        </w:rPr>
        <w:t>Wsparcie będzie komplementarne do działań z PTFE. Zakres temat. działań w FEO nie będzie dotyczył zagadnień horyzont. objętych wsparciem PTFE</w:t>
      </w:r>
    </w:p>
  </w:footnote>
  <w:footnote w:id="248">
    <w:p w14:paraId="15EA92F4" w14:textId="77777777" w:rsidR="00F17884" w:rsidRPr="00B57384" w:rsidRDefault="00F17884" w:rsidP="005E270C">
      <w:pPr>
        <w:pStyle w:val="Tekstprzypisudolnego"/>
        <w:ind w:left="142" w:hanging="142"/>
        <w:rPr>
          <w:rFonts w:asciiTheme="minorHAnsi" w:hAnsiTheme="minorHAnsi"/>
          <w:sz w:val="18"/>
          <w:szCs w:val="18"/>
        </w:rPr>
      </w:pPr>
      <w:r w:rsidRPr="00B57384">
        <w:rPr>
          <w:rStyle w:val="Odwoanieprzypisudolnego"/>
          <w:rFonts w:asciiTheme="minorHAnsi" w:hAnsiTheme="minorHAnsi"/>
          <w:sz w:val="18"/>
          <w:szCs w:val="18"/>
        </w:rPr>
        <w:footnoteRef/>
      </w:r>
      <w:r w:rsidRPr="00B57384">
        <w:rPr>
          <w:rFonts w:asciiTheme="minorHAnsi" w:hAnsiTheme="minorHAnsi"/>
          <w:sz w:val="18"/>
          <w:szCs w:val="18"/>
        </w:rPr>
        <w:t xml:space="preserve"> Ma zastosowanie jedynie do zmian programu zgodnie z art. 10 i 21 RWP.</w:t>
      </w:r>
    </w:p>
  </w:footnote>
  <w:footnote w:id="249">
    <w:p w14:paraId="63144892" w14:textId="77777777" w:rsidR="00F17884" w:rsidRPr="00B57384" w:rsidRDefault="00F17884" w:rsidP="005E270C">
      <w:pPr>
        <w:pStyle w:val="Tekstprzypisudolnego"/>
        <w:ind w:left="142" w:hanging="142"/>
        <w:rPr>
          <w:rFonts w:asciiTheme="minorHAnsi" w:hAnsiTheme="minorHAnsi"/>
          <w:sz w:val="18"/>
          <w:szCs w:val="18"/>
        </w:rPr>
      </w:pPr>
      <w:r w:rsidRPr="00B57384">
        <w:rPr>
          <w:rStyle w:val="Odwoanieprzypisudolnego"/>
          <w:rFonts w:asciiTheme="minorHAnsi" w:hAnsiTheme="minorHAnsi"/>
          <w:sz w:val="18"/>
          <w:szCs w:val="18"/>
        </w:rPr>
        <w:footnoteRef/>
      </w:r>
      <w:r w:rsidRPr="00B57384">
        <w:rPr>
          <w:rFonts w:asciiTheme="minorHAnsi" w:hAnsiTheme="minorHAnsi"/>
          <w:sz w:val="18"/>
          <w:szCs w:val="18"/>
        </w:rPr>
        <w:t xml:space="preserve"> Przed przeglądem śródokresowym w 2025 r. w przypadku EFRR, EFS + oraz Funduszu Spójności, środki finansowe na lata tylko w przedziale 2021–2025.</w:t>
      </w:r>
    </w:p>
    <w:p w14:paraId="1C30F025" w14:textId="77777777" w:rsidR="00F17884" w:rsidRPr="00B57384" w:rsidRDefault="00F17884" w:rsidP="005E270C">
      <w:pPr>
        <w:pStyle w:val="Tekstprzypisudolnego"/>
        <w:ind w:left="142" w:hanging="142"/>
        <w:rPr>
          <w:rFonts w:asciiTheme="minorHAnsi" w:hAnsiTheme="minorHAnsi"/>
          <w:sz w:val="18"/>
          <w:szCs w:val="18"/>
        </w:rPr>
      </w:pPr>
    </w:p>
  </w:footnote>
  <w:footnote w:id="250">
    <w:p w14:paraId="36C73CA1" w14:textId="77777777" w:rsidR="00F17884" w:rsidRPr="00BA0ED6" w:rsidRDefault="00F17884" w:rsidP="00E8684E">
      <w:pPr>
        <w:pStyle w:val="Tekstprzypisudolnego"/>
        <w:rPr>
          <w:sz w:val="16"/>
          <w:szCs w:val="16"/>
        </w:rPr>
      </w:pPr>
      <w:r>
        <w:rPr>
          <w:rStyle w:val="Odwoanieprzypisudolnego"/>
        </w:rPr>
        <w:footnoteRef/>
      </w:r>
      <w:r>
        <w:t xml:space="preserve"> </w:t>
      </w:r>
      <w:r>
        <w:tab/>
      </w:r>
      <w:r w:rsidRPr="00890249">
        <w:rPr>
          <w:rFonts w:asciiTheme="minorHAnsi" w:hAnsiTheme="minorHAnsi" w:cstheme="minorHAnsi"/>
          <w:sz w:val="18"/>
          <w:szCs w:val="18"/>
        </w:rPr>
        <w:t>Decyzja Rady 2010/48/WE z dnia 26 listopada 2009 r.</w:t>
      </w:r>
      <w:r w:rsidRPr="00890249">
        <w:rPr>
          <w:rFonts w:asciiTheme="minorHAnsi" w:hAnsiTheme="minorHAnsi" w:cstheme="minorHAnsi"/>
          <w:color w:val="444444"/>
          <w:sz w:val="18"/>
          <w:szCs w:val="18"/>
          <w:shd w:val="clear" w:color="auto" w:fill="FFFFFF"/>
        </w:rPr>
        <w:t xml:space="preserve"> w sprawie zawarcia przez Wspólnotę Europejską Konwencji Narodów Zjednoczonych o prawach osób niepełnosprawnych (Dz.U. L z 23.1.2010, s. 35).</w:t>
      </w:r>
    </w:p>
  </w:footnote>
  <w:footnote w:id="251">
    <w:p w14:paraId="146DBB17" w14:textId="77777777" w:rsidR="00F17884" w:rsidRPr="0019425F" w:rsidRDefault="00F17884" w:rsidP="00E8684E">
      <w:pPr>
        <w:pStyle w:val="Tekstprzypisudolnego"/>
      </w:pPr>
      <w:r w:rsidRPr="0019425F">
        <w:rPr>
          <w:rStyle w:val="Odwoanieprzypisudolnego"/>
        </w:rPr>
        <w:footnoteRef/>
      </w:r>
      <w:r>
        <w:tab/>
      </w:r>
      <w:r w:rsidRPr="00890249">
        <w:rPr>
          <w:rFonts w:asciiTheme="minorHAnsi" w:hAnsiTheme="minorHAnsi" w:cstheme="minorHAnsi"/>
          <w:sz w:val="18"/>
          <w:szCs w:val="18"/>
        </w:rPr>
        <w:t>Dyrektywa Parlamentu Europejskiego i Rady (UE) 2018/2001 z dnia 11 grudnia 2018 r. w sprawie promowania stosowania energii ze źródeł odnawialnych (Dz.U. L 328 z 21.12.2018, s. 82).</w:t>
      </w:r>
    </w:p>
  </w:footnote>
  <w:footnote w:id="252">
    <w:p w14:paraId="7ED7F5FF" w14:textId="77777777" w:rsidR="00F17884" w:rsidRDefault="00F17884" w:rsidP="0035211F">
      <w:pPr>
        <w:pStyle w:val="Tekstprzypisudolnego"/>
        <w:ind w:left="567" w:hanging="567"/>
      </w:pPr>
      <w:r>
        <w:rPr>
          <w:rStyle w:val="Odwoanieprzypisudolnego"/>
        </w:rPr>
        <w:footnoteRef/>
      </w:r>
      <w:r>
        <w:t xml:space="preserve"> </w:t>
      </w:r>
      <w:r w:rsidRPr="00AC068F">
        <w:rPr>
          <w:rFonts w:asciiTheme="minorHAnsi" w:hAnsiTheme="minorHAnsi" w:cstheme="minorHAnsi"/>
          <w:sz w:val="18"/>
          <w:szCs w:val="18"/>
        </w:rPr>
        <w:t xml:space="preserve">Rozporządzenie Delegowane Komisji (UE) Nr 240/2014 z dnia 7 stycznia 2014 r. </w:t>
      </w:r>
      <w:r w:rsidRPr="00AC068F">
        <w:rPr>
          <w:rFonts w:asciiTheme="minorHAnsi" w:hAnsiTheme="minorHAnsi" w:cstheme="minorHAnsi"/>
          <w:sz w:val="18"/>
          <w:szCs w:val="18"/>
        </w:rPr>
        <w:br/>
        <w:t>w sprawie europejskiego kodeksu postępowania w zakresie partnerstwa w ramach europejskich funduszy strukturalnych i inwestycyjnych (Dz.U.UE.L.2014.74.1).</w:t>
      </w:r>
    </w:p>
  </w:footnote>
  <w:footnote w:id="253">
    <w:p w14:paraId="3E052269" w14:textId="406A7DE0" w:rsidR="00F17884" w:rsidRDefault="00F17884" w:rsidP="00645473">
      <w:pPr>
        <w:pStyle w:val="Tekstprzypisudolnego"/>
        <w:ind w:left="284" w:hanging="284"/>
      </w:pPr>
      <w:r>
        <w:rPr>
          <w:rStyle w:val="Odwoanieprzypisudolnego"/>
        </w:rPr>
        <w:footnoteRef/>
      </w:r>
      <w:r>
        <w:t xml:space="preserve"> </w:t>
      </w:r>
      <w:r w:rsidRPr="00645473">
        <w:rPr>
          <w:rFonts w:asciiTheme="minorHAnsi" w:hAnsiTheme="minorHAnsi" w:cstheme="minorHAnsi"/>
          <w:sz w:val="18"/>
          <w:szCs w:val="18"/>
        </w:rPr>
        <w:t>Rozporządzenie delegowane Komisji (UE) nr 240/2014</w:t>
      </w:r>
      <w:r>
        <w:rPr>
          <w:rFonts w:asciiTheme="minorHAnsi" w:hAnsiTheme="minorHAnsi" w:cstheme="minorHAnsi"/>
          <w:sz w:val="18"/>
          <w:szCs w:val="18"/>
        </w:rPr>
        <w:t xml:space="preserve"> (…) op.cit.,</w:t>
      </w:r>
      <w:r w:rsidRPr="00645473">
        <w:rPr>
          <w:rFonts w:asciiTheme="minorHAnsi" w:hAnsiTheme="minorHAnsi" w:cstheme="minorHAnsi"/>
          <w:sz w:val="18"/>
          <w:szCs w:val="18"/>
        </w:rPr>
        <w:t>s. 1</w:t>
      </w:r>
      <w:r>
        <w:rPr>
          <w:rFonts w:asciiTheme="minorHAnsi" w:hAnsiTheme="minorHAnsi" w:cstheme="minorHAnsi"/>
          <w:sz w:val="18"/>
          <w:szCs w:val="18"/>
        </w:rPr>
        <w:t>.</w:t>
      </w:r>
    </w:p>
  </w:footnote>
  <w:footnote w:id="254">
    <w:p w14:paraId="6605E9D6" w14:textId="77777777" w:rsidR="00F17884" w:rsidRDefault="00F17884">
      <w:pPr>
        <w:pStyle w:val="Tekstprzypisudolnego"/>
      </w:pPr>
      <w:r>
        <w:rPr>
          <w:rStyle w:val="Odwoanieprzypisudolnego"/>
        </w:rPr>
        <w:footnoteRef/>
      </w:r>
      <w:r>
        <w:t xml:space="preserve"> </w:t>
      </w:r>
      <w:r w:rsidRPr="00113C6F">
        <w:rPr>
          <w:rFonts w:ascii="Calibri" w:hAnsi="Calibri" w:cs="Calibri"/>
          <w:sz w:val="18"/>
          <w:szCs w:val="18"/>
        </w:rPr>
        <w:t xml:space="preserve">Zgodnie z </w:t>
      </w:r>
      <w:r w:rsidRPr="00113C6F">
        <w:rPr>
          <w:rFonts w:ascii="Calibri" w:eastAsiaTheme="minorHAnsi" w:hAnsi="Calibri" w:cs="Calibri"/>
          <w:sz w:val="18"/>
          <w:szCs w:val="18"/>
        </w:rPr>
        <w:t xml:space="preserve">art. 6 ust. 1 </w:t>
      </w:r>
      <w:r w:rsidRPr="00890249">
        <w:rPr>
          <w:rFonts w:ascii="Calibri" w:eastAsiaTheme="minorHAnsi" w:hAnsi="Calibri" w:cs="Calibri"/>
          <w:sz w:val="18"/>
          <w:szCs w:val="18"/>
        </w:rPr>
        <w:t>ustawy o zasadach prowadzenia polityki rozwoju</w:t>
      </w:r>
      <w:r w:rsidRPr="00113C6F">
        <w:rPr>
          <w:rFonts w:ascii="Calibri" w:eastAsiaTheme="minorHAns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4A96" w14:textId="3000A68E" w:rsidR="00F17884" w:rsidRDefault="00F17884" w:rsidP="0042366E">
    <w:pPr>
      <w:tabs>
        <w:tab w:val="center" w:pos="4536"/>
        <w:tab w:val="right" w:pos="9072"/>
      </w:tabs>
      <w:spacing w:before="0" w:after="0"/>
      <w:ind w:left="1276" w:hanging="1134"/>
      <w:jc w:val="right"/>
      <w:rPr>
        <w:rFonts w:ascii="Calibri" w:eastAsia="Times New Roman" w:hAnsi="Calibri" w:cs="Calibri"/>
        <w:sz w:val="20"/>
        <w:lang w:eastAsia="en-US" w:bidi="ar-SA"/>
      </w:rPr>
    </w:pPr>
    <w:bookmarkStart w:id="43" w:name="_Hlk190939416"/>
    <w:bookmarkStart w:id="44" w:name="_Hlk190939417"/>
    <w:r w:rsidRPr="0042366E">
      <w:rPr>
        <w:rFonts w:ascii="Calibri" w:eastAsia="Times New Roman" w:hAnsi="Calibri" w:cs="Calibri"/>
        <w:sz w:val="20"/>
        <w:lang w:eastAsia="en-US" w:bidi="ar-SA"/>
      </w:rPr>
      <w:t>Załącznik</w:t>
    </w:r>
    <w:r>
      <w:rPr>
        <w:rFonts w:ascii="Calibri" w:eastAsia="Times New Roman" w:hAnsi="Calibri" w:cs="Calibri"/>
        <w:sz w:val="20"/>
        <w:lang w:eastAsia="en-US" w:bidi="ar-SA"/>
      </w:rPr>
      <w:t xml:space="preserve"> </w:t>
    </w:r>
    <w:r w:rsidRPr="0042366E">
      <w:rPr>
        <w:rFonts w:ascii="Calibri" w:eastAsia="Times New Roman" w:hAnsi="Calibri" w:cs="Calibri"/>
        <w:sz w:val="20"/>
        <w:lang w:eastAsia="en-US" w:bidi="ar-SA"/>
      </w:rPr>
      <w:t xml:space="preserve">do </w:t>
    </w:r>
    <w:r>
      <w:rPr>
        <w:rFonts w:ascii="Calibri" w:eastAsia="Times New Roman" w:hAnsi="Calibri" w:cs="Calibri"/>
        <w:sz w:val="20"/>
        <w:lang w:eastAsia="en-US" w:bidi="ar-SA"/>
      </w:rPr>
      <w:t>u</w:t>
    </w:r>
    <w:r w:rsidRPr="0042366E">
      <w:rPr>
        <w:rFonts w:ascii="Calibri" w:eastAsia="Times New Roman" w:hAnsi="Calibri" w:cs="Calibri"/>
        <w:sz w:val="20"/>
        <w:lang w:eastAsia="en-US" w:bidi="ar-SA"/>
      </w:rPr>
      <w:t xml:space="preserve">chwały </w:t>
    </w:r>
    <w:r w:rsidR="00BB2288">
      <w:rPr>
        <w:rFonts w:ascii="Calibri" w:eastAsia="Times New Roman" w:hAnsi="Calibri" w:cs="Calibri"/>
        <w:sz w:val="20"/>
        <w:lang w:eastAsia="en-US" w:bidi="ar-SA"/>
      </w:rPr>
      <w:t>N</w:t>
    </w:r>
    <w:r>
      <w:rPr>
        <w:rFonts w:ascii="Calibri" w:eastAsia="Times New Roman" w:hAnsi="Calibri" w:cs="Calibri"/>
        <w:sz w:val="20"/>
        <w:lang w:eastAsia="en-US" w:bidi="ar-SA"/>
      </w:rPr>
      <w:t>r</w:t>
    </w:r>
    <w:r w:rsidR="00BB2288">
      <w:rPr>
        <w:rFonts w:ascii="Calibri" w:eastAsia="Times New Roman" w:hAnsi="Calibri" w:cs="Calibri"/>
        <w:sz w:val="20"/>
        <w:lang w:eastAsia="en-US" w:bidi="ar-SA"/>
      </w:rPr>
      <w:t xml:space="preserve"> 125</w:t>
    </w:r>
    <w:r>
      <w:rPr>
        <w:rFonts w:ascii="Calibri" w:eastAsia="Times New Roman" w:hAnsi="Calibri" w:cs="Calibri"/>
        <w:sz w:val="20"/>
        <w:lang w:eastAsia="en-US" w:bidi="ar-SA"/>
      </w:rPr>
      <w:t>/202</w:t>
    </w:r>
    <w:r w:rsidR="00BB2288">
      <w:rPr>
        <w:rFonts w:ascii="Calibri" w:eastAsia="Times New Roman" w:hAnsi="Calibri" w:cs="Calibri"/>
        <w:sz w:val="20"/>
        <w:lang w:eastAsia="en-US" w:bidi="ar-SA"/>
      </w:rPr>
      <w:t>5</w:t>
    </w:r>
  </w:p>
  <w:p w14:paraId="51FF9757" w14:textId="6A8B51B8" w:rsidR="00F17884" w:rsidRDefault="00BB2288" w:rsidP="0042366E">
    <w:pPr>
      <w:tabs>
        <w:tab w:val="center" w:pos="4536"/>
        <w:tab w:val="right" w:pos="9072"/>
      </w:tabs>
      <w:spacing w:before="0" w:after="0"/>
      <w:ind w:left="1276" w:hanging="1134"/>
      <w:jc w:val="right"/>
      <w:rPr>
        <w:rFonts w:ascii="Calibri" w:eastAsia="Times New Roman" w:hAnsi="Calibri" w:cs="Calibri"/>
        <w:sz w:val="20"/>
        <w:lang w:eastAsia="en-US" w:bidi="ar-SA"/>
      </w:rPr>
    </w:pPr>
    <w:r>
      <w:rPr>
        <w:rFonts w:ascii="Calibri" w:eastAsia="Times New Roman" w:hAnsi="Calibri" w:cs="Calibri"/>
        <w:sz w:val="20"/>
        <w:lang w:eastAsia="en-US" w:bidi="ar-SA"/>
      </w:rPr>
      <w:t>Komitetu Monitorującego Program Regionalny</w:t>
    </w:r>
  </w:p>
  <w:p w14:paraId="7F211079" w14:textId="1394DB54" w:rsidR="00BB2288" w:rsidRDefault="00BB2288" w:rsidP="0042366E">
    <w:pPr>
      <w:tabs>
        <w:tab w:val="center" w:pos="4536"/>
        <w:tab w:val="right" w:pos="9072"/>
      </w:tabs>
      <w:spacing w:before="0" w:after="0"/>
      <w:ind w:left="1276" w:hanging="1134"/>
      <w:jc w:val="right"/>
      <w:rPr>
        <w:rFonts w:ascii="Calibri" w:eastAsia="Times New Roman" w:hAnsi="Calibri" w:cs="Calibri"/>
        <w:sz w:val="20"/>
        <w:lang w:eastAsia="en-US" w:bidi="ar-SA"/>
      </w:rPr>
    </w:pPr>
    <w:r>
      <w:rPr>
        <w:rFonts w:ascii="Calibri" w:eastAsia="Times New Roman" w:hAnsi="Calibri" w:cs="Calibri"/>
        <w:sz w:val="20"/>
        <w:lang w:eastAsia="en-US" w:bidi="ar-SA"/>
      </w:rPr>
      <w:t>Fundusze Europejskie dla Opolskiego 2021-2027</w:t>
    </w:r>
  </w:p>
  <w:p w14:paraId="436AEE20" w14:textId="52603FBE" w:rsidR="00BB2288" w:rsidRPr="0042366E" w:rsidRDefault="00BB2288" w:rsidP="0042366E">
    <w:pPr>
      <w:tabs>
        <w:tab w:val="center" w:pos="4536"/>
        <w:tab w:val="right" w:pos="9072"/>
      </w:tabs>
      <w:spacing w:before="0" w:after="0"/>
      <w:ind w:left="1276" w:hanging="1134"/>
      <w:jc w:val="right"/>
      <w:rPr>
        <w:rFonts w:ascii="Calibri" w:eastAsia="Times New Roman" w:hAnsi="Calibri" w:cs="Calibri"/>
        <w:sz w:val="20"/>
        <w:lang w:eastAsia="en-US" w:bidi="ar-SA"/>
      </w:rPr>
    </w:pPr>
    <w:r>
      <w:rPr>
        <w:rFonts w:ascii="Calibri" w:eastAsia="Times New Roman" w:hAnsi="Calibri" w:cs="Calibri"/>
        <w:sz w:val="20"/>
        <w:lang w:eastAsia="en-US" w:bidi="ar-SA"/>
      </w:rPr>
      <w:t>z dnia 19 lutego 2025 r.</w:t>
    </w:r>
    <w:bookmarkEnd w:id="43"/>
    <w:bookmarkEnd w:id="4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20A4" w14:textId="77777777" w:rsidR="00F17884" w:rsidRDefault="00F178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62DC" w14:textId="77777777" w:rsidR="00F17884" w:rsidRPr="00123727" w:rsidRDefault="00F17884" w:rsidP="005F140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48A4" w14:textId="77777777" w:rsidR="00F17884" w:rsidRDefault="00F1788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697A9" w14:textId="77777777" w:rsidR="00F17884" w:rsidRDefault="00F1788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9977" w14:textId="77777777" w:rsidR="00F17884" w:rsidRDefault="00F17884">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5391" w14:textId="77777777" w:rsidR="00F17884" w:rsidRDefault="00F178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95824598"/>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7F88F904"/>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2F8ADAC"/>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3EA016A"/>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38237DE"/>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1443532"/>
    <w:multiLevelType w:val="hybridMultilevel"/>
    <w:tmpl w:val="12048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D09E4"/>
    <w:multiLevelType w:val="hybridMultilevel"/>
    <w:tmpl w:val="306638F4"/>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DC653D"/>
    <w:multiLevelType w:val="hybridMultilevel"/>
    <w:tmpl w:val="3A6E03C0"/>
    <w:lvl w:ilvl="0" w:tplc="143A42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4BB365D"/>
    <w:multiLevelType w:val="hybridMultilevel"/>
    <w:tmpl w:val="72A6B940"/>
    <w:lvl w:ilvl="0" w:tplc="6E8C5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635FB3"/>
    <w:multiLevelType w:val="hybridMultilevel"/>
    <w:tmpl w:val="D73819FA"/>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DB4FC1"/>
    <w:multiLevelType w:val="hybridMultilevel"/>
    <w:tmpl w:val="CBA29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0E6F49"/>
    <w:multiLevelType w:val="hybridMultilevel"/>
    <w:tmpl w:val="FC0857C8"/>
    <w:lvl w:ilvl="0" w:tplc="F5986748">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3250CF"/>
    <w:multiLevelType w:val="hybridMultilevel"/>
    <w:tmpl w:val="A4561A12"/>
    <w:lvl w:ilvl="0" w:tplc="18BE9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487D57"/>
    <w:multiLevelType w:val="hybridMultilevel"/>
    <w:tmpl w:val="95E84F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78C2B64"/>
    <w:multiLevelType w:val="hybridMultilevel"/>
    <w:tmpl w:val="95B6D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D34749"/>
    <w:multiLevelType w:val="hybridMultilevel"/>
    <w:tmpl w:val="245067B2"/>
    <w:lvl w:ilvl="0" w:tplc="04150001">
      <w:start w:val="1"/>
      <w:numFmt w:val="bullet"/>
      <w:lvlText w:val=""/>
      <w:lvlJc w:val="left"/>
      <w:pPr>
        <w:ind w:left="967" w:hanging="360"/>
      </w:pPr>
      <w:rPr>
        <w:rFonts w:ascii="Symbol" w:hAnsi="Symbol" w:hint="default"/>
      </w:rPr>
    </w:lvl>
    <w:lvl w:ilvl="1" w:tplc="04150003" w:tentative="1">
      <w:start w:val="1"/>
      <w:numFmt w:val="bullet"/>
      <w:lvlText w:val="o"/>
      <w:lvlJc w:val="left"/>
      <w:pPr>
        <w:ind w:left="1687" w:hanging="360"/>
      </w:pPr>
      <w:rPr>
        <w:rFonts w:ascii="Courier New" w:hAnsi="Courier New" w:cs="Courier New" w:hint="default"/>
      </w:rPr>
    </w:lvl>
    <w:lvl w:ilvl="2" w:tplc="04150005" w:tentative="1">
      <w:start w:val="1"/>
      <w:numFmt w:val="bullet"/>
      <w:lvlText w:val=""/>
      <w:lvlJc w:val="left"/>
      <w:pPr>
        <w:ind w:left="2407" w:hanging="360"/>
      </w:pPr>
      <w:rPr>
        <w:rFonts w:ascii="Wingdings" w:hAnsi="Wingdings" w:hint="default"/>
      </w:rPr>
    </w:lvl>
    <w:lvl w:ilvl="3" w:tplc="04150001" w:tentative="1">
      <w:start w:val="1"/>
      <w:numFmt w:val="bullet"/>
      <w:lvlText w:val=""/>
      <w:lvlJc w:val="left"/>
      <w:pPr>
        <w:ind w:left="3127" w:hanging="360"/>
      </w:pPr>
      <w:rPr>
        <w:rFonts w:ascii="Symbol" w:hAnsi="Symbol" w:hint="default"/>
      </w:rPr>
    </w:lvl>
    <w:lvl w:ilvl="4" w:tplc="04150003" w:tentative="1">
      <w:start w:val="1"/>
      <w:numFmt w:val="bullet"/>
      <w:lvlText w:val="o"/>
      <w:lvlJc w:val="left"/>
      <w:pPr>
        <w:ind w:left="3847" w:hanging="360"/>
      </w:pPr>
      <w:rPr>
        <w:rFonts w:ascii="Courier New" w:hAnsi="Courier New" w:cs="Courier New" w:hint="default"/>
      </w:rPr>
    </w:lvl>
    <w:lvl w:ilvl="5" w:tplc="04150005" w:tentative="1">
      <w:start w:val="1"/>
      <w:numFmt w:val="bullet"/>
      <w:lvlText w:val=""/>
      <w:lvlJc w:val="left"/>
      <w:pPr>
        <w:ind w:left="4567" w:hanging="360"/>
      </w:pPr>
      <w:rPr>
        <w:rFonts w:ascii="Wingdings" w:hAnsi="Wingdings" w:hint="default"/>
      </w:rPr>
    </w:lvl>
    <w:lvl w:ilvl="6" w:tplc="04150001" w:tentative="1">
      <w:start w:val="1"/>
      <w:numFmt w:val="bullet"/>
      <w:lvlText w:val=""/>
      <w:lvlJc w:val="left"/>
      <w:pPr>
        <w:ind w:left="5287" w:hanging="360"/>
      </w:pPr>
      <w:rPr>
        <w:rFonts w:ascii="Symbol" w:hAnsi="Symbol" w:hint="default"/>
      </w:rPr>
    </w:lvl>
    <w:lvl w:ilvl="7" w:tplc="04150003" w:tentative="1">
      <w:start w:val="1"/>
      <w:numFmt w:val="bullet"/>
      <w:lvlText w:val="o"/>
      <w:lvlJc w:val="left"/>
      <w:pPr>
        <w:ind w:left="6007" w:hanging="360"/>
      </w:pPr>
      <w:rPr>
        <w:rFonts w:ascii="Courier New" w:hAnsi="Courier New" w:cs="Courier New" w:hint="default"/>
      </w:rPr>
    </w:lvl>
    <w:lvl w:ilvl="8" w:tplc="04150005" w:tentative="1">
      <w:start w:val="1"/>
      <w:numFmt w:val="bullet"/>
      <w:lvlText w:val=""/>
      <w:lvlJc w:val="left"/>
      <w:pPr>
        <w:ind w:left="6727" w:hanging="360"/>
      </w:pPr>
      <w:rPr>
        <w:rFonts w:ascii="Wingdings" w:hAnsi="Wingdings" w:hint="default"/>
      </w:rPr>
    </w:lvl>
  </w:abstractNum>
  <w:abstractNum w:abstractNumId="16" w15:restartNumberingAfterBreak="0">
    <w:nsid w:val="08624173"/>
    <w:multiLevelType w:val="hybridMultilevel"/>
    <w:tmpl w:val="17184E4A"/>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7C2C74"/>
    <w:multiLevelType w:val="multilevel"/>
    <w:tmpl w:val="B96A9E66"/>
    <w:lvl w:ilvl="0">
      <w:start w:val="1"/>
      <w:numFmt w:val="decimal"/>
      <w:lvlText w:val="%1."/>
      <w:lvlJc w:val="left"/>
      <w:pPr>
        <w:ind w:left="720" w:hanging="360"/>
      </w:pPr>
      <w:rPr>
        <w:rFonts w:hint="default"/>
      </w:rPr>
    </w:lvl>
    <w:lvl w:ilvl="1">
      <w:start w:val="4"/>
      <w:numFmt w:val="decimal"/>
      <w:isLgl/>
      <w:lvlText w:val="%1.%2"/>
      <w:lvlJc w:val="left"/>
      <w:pPr>
        <w:ind w:left="1110" w:hanging="750"/>
      </w:pPr>
      <w:rPr>
        <w:rFonts w:hint="default"/>
        <w:color w:val="auto"/>
      </w:rPr>
    </w:lvl>
    <w:lvl w:ilvl="2">
      <w:start w:val="8"/>
      <w:numFmt w:val="decimal"/>
      <w:isLgl/>
      <w:lvlText w:val="%1.%2.%3"/>
      <w:lvlJc w:val="left"/>
      <w:pPr>
        <w:ind w:left="1110" w:hanging="750"/>
      </w:pPr>
      <w:rPr>
        <w:rFonts w:hint="default"/>
        <w:color w:val="auto"/>
      </w:rPr>
    </w:lvl>
    <w:lvl w:ilvl="3">
      <w:start w:val="3"/>
      <w:numFmt w:val="decimal"/>
      <w:isLgl/>
      <w:lvlText w:val="%1.%2.%3.%4"/>
      <w:lvlJc w:val="left"/>
      <w:pPr>
        <w:ind w:left="1110" w:hanging="75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0A4B15FA"/>
    <w:multiLevelType w:val="multilevel"/>
    <w:tmpl w:val="C2D2808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auto"/>
      </w:rPr>
    </w:lvl>
    <w:lvl w:ilvl="2">
      <w:start w:val="2"/>
      <w:numFmt w:val="decimal"/>
      <w:isLgl/>
      <w:lvlText w:val="%1.%2.%3"/>
      <w:lvlJc w:val="left"/>
      <w:pPr>
        <w:ind w:left="1080" w:hanging="720"/>
      </w:pPr>
      <w:rPr>
        <w:rFonts w:hint="default"/>
        <w:color w:val="auto"/>
      </w:rPr>
    </w:lvl>
    <w:lvl w:ilvl="3">
      <w:start w:val="3"/>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0A673FB3"/>
    <w:multiLevelType w:val="hybridMultilevel"/>
    <w:tmpl w:val="FC2E07B0"/>
    <w:lvl w:ilvl="0" w:tplc="143A428A">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0" w15:restartNumberingAfterBreak="0">
    <w:nsid w:val="0B5864DC"/>
    <w:multiLevelType w:val="hybridMultilevel"/>
    <w:tmpl w:val="0532B4E0"/>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5D23C1"/>
    <w:multiLevelType w:val="hybridMultilevel"/>
    <w:tmpl w:val="7BF62D3E"/>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A42CAA"/>
    <w:multiLevelType w:val="hybridMultilevel"/>
    <w:tmpl w:val="582C1BB2"/>
    <w:lvl w:ilvl="0" w:tplc="B972BA66">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13003"/>
    <w:multiLevelType w:val="hybridMultilevel"/>
    <w:tmpl w:val="E664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D6752BC"/>
    <w:multiLevelType w:val="hybridMultilevel"/>
    <w:tmpl w:val="9FE6A8C8"/>
    <w:lvl w:ilvl="0" w:tplc="B9244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371933"/>
    <w:multiLevelType w:val="hybridMultilevel"/>
    <w:tmpl w:val="906633A6"/>
    <w:lvl w:ilvl="0" w:tplc="DFAC8752">
      <w:start w:val="1"/>
      <w:numFmt w:val="decimal"/>
      <w:lvlText w:val="%1."/>
      <w:lvlJc w:val="left"/>
      <w:pPr>
        <w:ind w:left="720" w:hanging="360"/>
      </w:pPr>
      <w:rPr>
        <w:rFonts w:asciiTheme="minorHAnsi" w:eastAsia="Times New Roman" w:hAnsiTheme="min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EB26A0E"/>
    <w:multiLevelType w:val="hybridMultilevel"/>
    <w:tmpl w:val="E56CFD6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7" w15:restartNumberingAfterBreak="0">
    <w:nsid w:val="0F0A28C5"/>
    <w:multiLevelType w:val="hybridMultilevel"/>
    <w:tmpl w:val="7172B298"/>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F986C17"/>
    <w:multiLevelType w:val="hybridMultilevel"/>
    <w:tmpl w:val="F1167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DA5A3F"/>
    <w:multiLevelType w:val="hybridMultilevel"/>
    <w:tmpl w:val="AFE8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02C08B2"/>
    <w:multiLevelType w:val="hybridMultilevel"/>
    <w:tmpl w:val="3F200240"/>
    <w:lvl w:ilvl="0" w:tplc="143A42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11922EC"/>
    <w:multiLevelType w:val="hybridMultilevel"/>
    <w:tmpl w:val="DDBE611C"/>
    <w:lvl w:ilvl="0" w:tplc="78BC2E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31718DE"/>
    <w:multiLevelType w:val="hybridMultilevel"/>
    <w:tmpl w:val="5602F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5114F09"/>
    <w:multiLevelType w:val="hybridMultilevel"/>
    <w:tmpl w:val="93D4B3EE"/>
    <w:lvl w:ilvl="0" w:tplc="04150001">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556438B"/>
    <w:multiLevelType w:val="hybridMultilevel"/>
    <w:tmpl w:val="CE263D78"/>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5701CA9"/>
    <w:multiLevelType w:val="hybridMultilevel"/>
    <w:tmpl w:val="16B6C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5E221CE"/>
    <w:multiLevelType w:val="hybridMultilevel"/>
    <w:tmpl w:val="20A6EFF8"/>
    <w:lvl w:ilvl="0" w:tplc="802ECA90">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F56CB7"/>
    <w:multiLevelType w:val="hybridMultilevel"/>
    <w:tmpl w:val="599E99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78B6D5C"/>
    <w:multiLevelType w:val="hybridMultilevel"/>
    <w:tmpl w:val="532E89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973EC6"/>
    <w:multiLevelType w:val="hybridMultilevel"/>
    <w:tmpl w:val="07ACA53E"/>
    <w:lvl w:ilvl="0" w:tplc="143A428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18BD4B3D"/>
    <w:multiLevelType w:val="hybridMultilevel"/>
    <w:tmpl w:val="863AF952"/>
    <w:lvl w:ilvl="0" w:tplc="61EE6A5A">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A3B0BF7"/>
    <w:multiLevelType w:val="hybridMultilevel"/>
    <w:tmpl w:val="7A2660AE"/>
    <w:lvl w:ilvl="0" w:tplc="FFFFFFFF">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C0756A"/>
    <w:multiLevelType w:val="hybridMultilevel"/>
    <w:tmpl w:val="6F7C4304"/>
    <w:lvl w:ilvl="0" w:tplc="7A023F5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AFE2FB7"/>
    <w:multiLevelType w:val="hybridMultilevel"/>
    <w:tmpl w:val="641CFFF8"/>
    <w:lvl w:ilvl="0" w:tplc="143A428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BD031D4"/>
    <w:multiLevelType w:val="hybridMultilevel"/>
    <w:tmpl w:val="9538F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DE5997"/>
    <w:multiLevelType w:val="hybridMultilevel"/>
    <w:tmpl w:val="A4CA6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D1D27E9"/>
    <w:multiLevelType w:val="hybridMultilevel"/>
    <w:tmpl w:val="60924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975972"/>
    <w:multiLevelType w:val="hybridMultilevel"/>
    <w:tmpl w:val="5C72DD8A"/>
    <w:lvl w:ilvl="0" w:tplc="78BC2E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1F5242AD"/>
    <w:multiLevelType w:val="hybridMultilevel"/>
    <w:tmpl w:val="001C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BA53F7"/>
    <w:multiLevelType w:val="hybridMultilevel"/>
    <w:tmpl w:val="1D4E9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2B4543"/>
    <w:multiLevelType w:val="hybridMultilevel"/>
    <w:tmpl w:val="A1A6D91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23A5497"/>
    <w:multiLevelType w:val="hybridMultilevel"/>
    <w:tmpl w:val="BB94D582"/>
    <w:lvl w:ilvl="0" w:tplc="6E8C5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2BF3123"/>
    <w:multiLevelType w:val="hybridMultilevel"/>
    <w:tmpl w:val="9740DD6C"/>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3650DEA"/>
    <w:multiLevelType w:val="hybridMultilevel"/>
    <w:tmpl w:val="621C3358"/>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3D73875"/>
    <w:multiLevelType w:val="hybridMultilevel"/>
    <w:tmpl w:val="2EAE306E"/>
    <w:lvl w:ilvl="0" w:tplc="7AAA46E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3E259CB"/>
    <w:multiLevelType w:val="hybridMultilevel"/>
    <w:tmpl w:val="0602DFE8"/>
    <w:lvl w:ilvl="0" w:tplc="D90AF7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676118"/>
    <w:multiLevelType w:val="multilevel"/>
    <w:tmpl w:val="008092A4"/>
    <w:lvl w:ilvl="0">
      <w:start w:val="1"/>
      <w:numFmt w:val="decimal"/>
      <w:lvlText w:val="%1."/>
      <w:lvlJc w:val="left"/>
      <w:pPr>
        <w:ind w:left="720" w:hanging="360"/>
      </w:pPr>
    </w:lvl>
    <w:lvl w:ilvl="1">
      <w:start w:val="5"/>
      <w:numFmt w:val="decimal"/>
      <w:isLgl/>
      <w:lvlText w:val="%1.%2"/>
      <w:lvlJc w:val="left"/>
      <w:pPr>
        <w:ind w:left="960" w:hanging="600"/>
      </w:pPr>
      <w:rPr>
        <w:rFonts w:hint="default"/>
        <w:color w:val="auto"/>
      </w:rPr>
    </w:lvl>
    <w:lvl w:ilvl="2">
      <w:start w:val="2"/>
      <w:numFmt w:val="decimal"/>
      <w:isLgl/>
      <w:lvlText w:val="%1.%2.%3"/>
      <w:lvlJc w:val="left"/>
      <w:pPr>
        <w:ind w:left="1080" w:hanging="720"/>
      </w:pPr>
      <w:rPr>
        <w:rFonts w:hint="default"/>
        <w:color w:val="auto"/>
      </w:rPr>
    </w:lvl>
    <w:lvl w:ilvl="3">
      <w:start w:val="3"/>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7" w15:restartNumberingAfterBreak="0">
    <w:nsid w:val="2853295A"/>
    <w:multiLevelType w:val="hybridMultilevel"/>
    <w:tmpl w:val="48DEC40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87F464A"/>
    <w:multiLevelType w:val="hybridMultilevel"/>
    <w:tmpl w:val="A606D28C"/>
    <w:lvl w:ilvl="0" w:tplc="2A94FB00">
      <w:numFmt w:val="bullet"/>
      <w:lvlText w:val="•"/>
      <w:lvlJc w:val="left"/>
      <w:pPr>
        <w:ind w:left="1434" w:hanging="360"/>
      </w:pPr>
      <w:rPr>
        <w:rFonts w:ascii="Calibri" w:eastAsia="Calibri" w:hAnsi="Calibri" w:cs="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9" w15:restartNumberingAfterBreak="0">
    <w:nsid w:val="29D17AE4"/>
    <w:multiLevelType w:val="multilevel"/>
    <w:tmpl w:val="A2D07AEC"/>
    <w:lvl w:ilvl="0">
      <w:start w:val="1"/>
      <w:numFmt w:val="decimal"/>
      <w:lvlText w:val="%1."/>
      <w:lvlJc w:val="left"/>
      <w:pPr>
        <w:ind w:left="720" w:hanging="360"/>
      </w:pPr>
      <w:rPr>
        <w:rFonts w:hint="default"/>
        <w:b w:val="0"/>
      </w:rPr>
    </w:lvl>
    <w:lvl w:ilvl="1">
      <w:start w:val="4"/>
      <w:numFmt w:val="decimal"/>
      <w:isLgl/>
      <w:lvlText w:val="%1.%2"/>
      <w:lvlJc w:val="left"/>
      <w:pPr>
        <w:ind w:left="1110" w:hanging="750"/>
      </w:pPr>
      <w:rPr>
        <w:rFonts w:hint="default"/>
        <w:color w:val="auto"/>
      </w:rPr>
    </w:lvl>
    <w:lvl w:ilvl="2">
      <w:start w:val="9"/>
      <w:numFmt w:val="decimal"/>
      <w:isLgl/>
      <w:lvlText w:val="%1.%2.%3"/>
      <w:lvlJc w:val="left"/>
      <w:pPr>
        <w:ind w:left="1110" w:hanging="750"/>
      </w:pPr>
      <w:rPr>
        <w:rFonts w:hint="default"/>
        <w:color w:val="auto"/>
      </w:rPr>
    </w:lvl>
    <w:lvl w:ilvl="3">
      <w:start w:val="3"/>
      <w:numFmt w:val="decimal"/>
      <w:isLgl/>
      <w:lvlText w:val="%1.%2.%3.%4"/>
      <w:lvlJc w:val="left"/>
      <w:pPr>
        <w:ind w:left="1318" w:hanging="75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0" w15:restartNumberingAfterBreak="0">
    <w:nsid w:val="2A1C31F8"/>
    <w:multiLevelType w:val="hybridMultilevel"/>
    <w:tmpl w:val="57C47B3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A287168"/>
    <w:multiLevelType w:val="hybridMultilevel"/>
    <w:tmpl w:val="EC5C03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D6C37A7"/>
    <w:multiLevelType w:val="hybridMultilevel"/>
    <w:tmpl w:val="5CBE663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3" w15:restartNumberingAfterBreak="0">
    <w:nsid w:val="2D9D21E6"/>
    <w:multiLevelType w:val="hybridMultilevel"/>
    <w:tmpl w:val="62302E28"/>
    <w:lvl w:ilvl="0" w:tplc="EADEDBB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E1B74C9"/>
    <w:multiLevelType w:val="hybridMultilevel"/>
    <w:tmpl w:val="F822B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675330"/>
    <w:multiLevelType w:val="hybridMultilevel"/>
    <w:tmpl w:val="5142A408"/>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F7C6B71"/>
    <w:multiLevelType w:val="hybridMultilevel"/>
    <w:tmpl w:val="3208A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5D10EE"/>
    <w:multiLevelType w:val="hybridMultilevel"/>
    <w:tmpl w:val="4A200500"/>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68" w15:restartNumberingAfterBreak="0">
    <w:nsid w:val="31071684"/>
    <w:multiLevelType w:val="hybridMultilevel"/>
    <w:tmpl w:val="FC48F5C0"/>
    <w:lvl w:ilvl="0" w:tplc="4DBC85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1293D1A"/>
    <w:multiLevelType w:val="hybridMultilevel"/>
    <w:tmpl w:val="B2D88C26"/>
    <w:lvl w:ilvl="0" w:tplc="04150001">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19B4702"/>
    <w:multiLevelType w:val="hybridMultilevel"/>
    <w:tmpl w:val="DBFE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1A8385B"/>
    <w:multiLevelType w:val="hybridMultilevel"/>
    <w:tmpl w:val="601A2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3882953"/>
    <w:multiLevelType w:val="hybridMultilevel"/>
    <w:tmpl w:val="2B62B4D8"/>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3C719F1"/>
    <w:multiLevelType w:val="hybridMultilevel"/>
    <w:tmpl w:val="F4A6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33D95766"/>
    <w:multiLevelType w:val="hybridMultilevel"/>
    <w:tmpl w:val="5D46D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4590B41"/>
    <w:multiLevelType w:val="hybridMultilevel"/>
    <w:tmpl w:val="1890B362"/>
    <w:lvl w:ilvl="0" w:tplc="50BCBB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49869AB"/>
    <w:multiLevelType w:val="hybridMultilevel"/>
    <w:tmpl w:val="8730D3A6"/>
    <w:lvl w:ilvl="0" w:tplc="3A96E332">
      <w:start w:val="1"/>
      <w:numFmt w:val="decimal"/>
      <w:lvlText w:val="%1."/>
      <w:lvlJc w:val="left"/>
      <w:pPr>
        <w:ind w:left="720" w:hanging="360"/>
      </w:pPr>
      <w:rPr>
        <w:rFonts w:asciiTheme="minorHAnsi" w:eastAsia="Calibri" w:hAnsiTheme="min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4E86DED"/>
    <w:multiLevelType w:val="hybridMultilevel"/>
    <w:tmpl w:val="D0CC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51937CA"/>
    <w:multiLevelType w:val="hybridMultilevel"/>
    <w:tmpl w:val="2112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54F662F"/>
    <w:multiLevelType w:val="hybridMultilevel"/>
    <w:tmpl w:val="004A7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2A5FB2"/>
    <w:multiLevelType w:val="multilevel"/>
    <w:tmpl w:val="CE9828F2"/>
    <w:lvl w:ilvl="0">
      <w:start w:val="1"/>
      <w:numFmt w:val="decimal"/>
      <w:lvlText w:val="%1."/>
      <w:lvlJc w:val="left"/>
      <w:pPr>
        <w:ind w:left="720" w:hanging="360"/>
      </w:pPr>
    </w:lvl>
    <w:lvl w:ilvl="1">
      <w:start w:val="7"/>
      <w:numFmt w:val="decimal"/>
      <w:isLgl/>
      <w:lvlText w:val="%1.%2"/>
      <w:lvlJc w:val="left"/>
      <w:pPr>
        <w:ind w:left="960" w:hanging="600"/>
      </w:pPr>
      <w:rPr>
        <w:rFonts w:hint="default"/>
        <w:color w:val="auto"/>
      </w:rPr>
    </w:lvl>
    <w:lvl w:ilvl="2">
      <w:start w:val="1"/>
      <w:numFmt w:val="decimal"/>
      <w:isLgl/>
      <w:lvlText w:val="%1.%2.%3"/>
      <w:lvlJc w:val="left"/>
      <w:pPr>
        <w:ind w:left="1080" w:hanging="720"/>
      </w:pPr>
      <w:rPr>
        <w:rFonts w:hint="default"/>
        <w:color w:val="auto"/>
      </w:rPr>
    </w:lvl>
    <w:lvl w:ilvl="3">
      <w:start w:val="3"/>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1" w15:restartNumberingAfterBreak="0">
    <w:nsid w:val="383E6FA5"/>
    <w:multiLevelType w:val="hybridMultilevel"/>
    <w:tmpl w:val="90522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C82112"/>
    <w:multiLevelType w:val="hybridMultilevel"/>
    <w:tmpl w:val="71B236F6"/>
    <w:lvl w:ilvl="0" w:tplc="371C9100">
      <w:start w:val="1"/>
      <w:numFmt w:val="bullet"/>
      <w:lvlText w:val="­"/>
      <w:lvlJc w:val="left"/>
      <w:pPr>
        <w:ind w:left="720" w:hanging="360"/>
      </w:pPr>
      <w:rPr>
        <w:rFonts w:ascii="Courier New" w:hAnsi="Courier New"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8D9247C"/>
    <w:multiLevelType w:val="hybridMultilevel"/>
    <w:tmpl w:val="D46CE4B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94433FB"/>
    <w:multiLevelType w:val="hybridMultilevel"/>
    <w:tmpl w:val="3A46DA96"/>
    <w:lvl w:ilvl="0" w:tplc="20F22D96">
      <w:start w:val="1"/>
      <w:numFmt w:val="decimal"/>
      <w:lvlText w:val="%1."/>
      <w:lvlJc w:val="left"/>
      <w:pPr>
        <w:ind w:left="720" w:hanging="360"/>
      </w:pPr>
      <w:rPr>
        <w:rFonts w:eastAsiaTheme="minorHAns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4D0C31"/>
    <w:multiLevelType w:val="multilevel"/>
    <w:tmpl w:val="E1587A04"/>
    <w:lvl w:ilvl="0">
      <w:start w:val="2"/>
      <w:numFmt w:val="decimal"/>
      <w:lvlText w:val="%1"/>
      <w:lvlJc w:val="left"/>
      <w:pPr>
        <w:ind w:left="765" w:hanging="765"/>
      </w:pPr>
      <w:rPr>
        <w:rFonts w:hint="default"/>
        <w:color w:val="auto"/>
      </w:rPr>
    </w:lvl>
    <w:lvl w:ilvl="1">
      <w:start w:val="1"/>
      <w:numFmt w:val="decimal"/>
      <w:lvlText w:val="%1.%2"/>
      <w:lvlJc w:val="left"/>
      <w:pPr>
        <w:ind w:left="940" w:hanging="765"/>
      </w:pPr>
      <w:rPr>
        <w:rFonts w:hint="default"/>
        <w:color w:val="auto"/>
      </w:rPr>
    </w:lvl>
    <w:lvl w:ilvl="2">
      <w:start w:val="5"/>
      <w:numFmt w:val="decimal"/>
      <w:lvlText w:val="%1.%2.%3"/>
      <w:lvlJc w:val="left"/>
      <w:pPr>
        <w:ind w:left="1115" w:hanging="765"/>
      </w:pPr>
      <w:rPr>
        <w:rFonts w:hint="default"/>
        <w:color w:val="auto"/>
      </w:rPr>
    </w:lvl>
    <w:lvl w:ilvl="3">
      <w:start w:val="2"/>
      <w:numFmt w:val="decimal"/>
      <w:lvlText w:val="%1.%2.%3.%4"/>
      <w:lvlJc w:val="left"/>
      <w:pPr>
        <w:ind w:left="1290" w:hanging="765"/>
      </w:pPr>
      <w:rPr>
        <w:rFonts w:hint="default"/>
        <w:color w:val="auto"/>
      </w:rPr>
    </w:lvl>
    <w:lvl w:ilvl="4">
      <w:start w:val="3"/>
      <w:numFmt w:val="decimal"/>
      <w:lvlText w:val="%1.%2.%3.%4.%5"/>
      <w:lvlJc w:val="left"/>
      <w:pPr>
        <w:ind w:left="1780" w:hanging="1080"/>
      </w:pPr>
      <w:rPr>
        <w:rFonts w:hint="default"/>
        <w:color w:val="auto"/>
      </w:rPr>
    </w:lvl>
    <w:lvl w:ilvl="5">
      <w:start w:val="1"/>
      <w:numFmt w:val="decimal"/>
      <w:lvlText w:val="%1.%2.%3.%4.%5.%6"/>
      <w:lvlJc w:val="left"/>
      <w:pPr>
        <w:ind w:left="1955" w:hanging="1080"/>
      </w:pPr>
      <w:rPr>
        <w:rFonts w:hint="default"/>
        <w:color w:val="auto"/>
      </w:rPr>
    </w:lvl>
    <w:lvl w:ilvl="6">
      <w:start w:val="1"/>
      <w:numFmt w:val="decimal"/>
      <w:lvlText w:val="%1.%2.%3.%4.%5.%6.%7"/>
      <w:lvlJc w:val="left"/>
      <w:pPr>
        <w:ind w:left="2490" w:hanging="1440"/>
      </w:pPr>
      <w:rPr>
        <w:rFonts w:hint="default"/>
        <w:color w:val="auto"/>
      </w:rPr>
    </w:lvl>
    <w:lvl w:ilvl="7">
      <w:start w:val="1"/>
      <w:numFmt w:val="decimal"/>
      <w:lvlText w:val="%1.%2.%3.%4.%5.%6.%7.%8"/>
      <w:lvlJc w:val="left"/>
      <w:pPr>
        <w:ind w:left="2665" w:hanging="1440"/>
      </w:pPr>
      <w:rPr>
        <w:rFonts w:hint="default"/>
        <w:color w:val="auto"/>
      </w:rPr>
    </w:lvl>
    <w:lvl w:ilvl="8">
      <w:start w:val="1"/>
      <w:numFmt w:val="decimal"/>
      <w:lvlText w:val="%1.%2.%3.%4.%5.%6.%7.%8.%9"/>
      <w:lvlJc w:val="left"/>
      <w:pPr>
        <w:ind w:left="3200" w:hanging="1800"/>
      </w:pPr>
      <w:rPr>
        <w:rFonts w:hint="default"/>
        <w:color w:val="auto"/>
      </w:rPr>
    </w:lvl>
  </w:abstractNum>
  <w:abstractNum w:abstractNumId="86" w15:restartNumberingAfterBreak="0">
    <w:nsid w:val="3A3D6525"/>
    <w:multiLevelType w:val="hybridMultilevel"/>
    <w:tmpl w:val="A4BC3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B735C66"/>
    <w:multiLevelType w:val="hybridMultilevel"/>
    <w:tmpl w:val="E8FA7F00"/>
    <w:lvl w:ilvl="0" w:tplc="B2447E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3D4F2E16"/>
    <w:multiLevelType w:val="hybridMultilevel"/>
    <w:tmpl w:val="5CD82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EC72284"/>
    <w:multiLevelType w:val="hybridMultilevel"/>
    <w:tmpl w:val="98904040"/>
    <w:lvl w:ilvl="0" w:tplc="143A42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3F316C9A"/>
    <w:multiLevelType w:val="hybridMultilevel"/>
    <w:tmpl w:val="48E8455E"/>
    <w:lvl w:ilvl="0" w:tplc="AE1C1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04A1B9D"/>
    <w:multiLevelType w:val="hybridMultilevel"/>
    <w:tmpl w:val="1E087816"/>
    <w:lvl w:ilvl="0" w:tplc="AA04E9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40891654"/>
    <w:multiLevelType w:val="hybridMultilevel"/>
    <w:tmpl w:val="9C780E52"/>
    <w:lvl w:ilvl="0" w:tplc="D90AF7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1441344"/>
    <w:multiLevelType w:val="hybridMultilevel"/>
    <w:tmpl w:val="A2A661F8"/>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94" w15:restartNumberingAfterBreak="0">
    <w:nsid w:val="43926F74"/>
    <w:multiLevelType w:val="hybridMultilevel"/>
    <w:tmpl w:val="46D0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600285D"/>
    <w:multiLevelType w:val="hybridMultilevel"/>
    <w:tmpl w:val="CD5CB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67542DA"/>
    <w:multiLevelType w:val="hybridMultilevel"/>
    <w:tmpl w:val="ABC4F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7D57251"/>
    <w:multiLevelType w:val="hybridMultilevel"/>
    <w:tmpl w:val="0FF6A3B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85E1145"/>
    <w:multiLevelType w:val="hybridMultilevel"/>
    <w:tmpl w:val="7398F266"/>
    <w:lvl w:ilvl="0" w:tplc="339A09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8E708DC"/>
    <w:multiLevelType w:val="hybridMultilevel"/>
    <w:tmpl w:val="A4086FAE"/>
    <w:lvl w:ilvl="0" w:tplc="BF6624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9074573"/>
    <w:multiLevelType w:val="hybridMultilevel"/>
    <w:tmpl w:val="A822A724"/>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922649F"/>
    <w:multiLevelType w:val="hybridMultilevel"/>
    <w:tmpl w:val="6D4425C0"/>
    <w:lvl w:ilvl="0" w:tplc="BF5E036E">
      <w:start w:val="1"/>
      <w:numFmt w:val="decimal"/>
      <w:lvlText w:val="%1."/>
      <w:lvlJc w:val="left"/>
      <w:pPr>
        <w:ind w:left="1059"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9ED43F8"/>
    <w:multiLevelType w:val="hybridMultilevel"/>
    <w:tmpl w:val="872E5FC0"/>
    <w:lvl w:ilvl="0" w:tplc="6BC26D3E">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3" w15:restartNumberingAfterBreak="0">
    <w:nsid w:val="4CF75E3D"/>
    <w:multiLevelType w:val="hybridMultilevel"/>
    <w:tmpl w:val="C9926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587759"/>
    <w:multiLevelType w:val="hybridMultilevel"/>
    <w:tmpl w:val="D8966E52"/>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DAC7B14"/>
    <w:multiLevelType w:val="hybridMultilevel"/>
    <w:tmpl w:val="1E20374E"/>
    <w:lvl w:ilvl="0" w:tplc="734CB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DCC4DCB"/>
    <w:multiLevelType w:val="hybridMultilevel"/>
    <w:tmpl w:val="578E6E6E"/>
    <w:lvl w:ilvl="0" w:tplc="75B8B3F6">
      <w:start w:val="1"/>
      <w:numFmt w:val="bullet"/>
      <w:lvlText w:val="-"/>
      <w:lvlJc w:val="left"/>
      <w:pPr>
        <w:ind w:left="720" w:hanging="360"/>
      </w:pPr>
      <w:rPr>
        <w:rFonts w:ascii="Symbol" w:hAnsi="Symbol" w:hint="default"/>
      </w:rPr>
    </w:lvl>
    <w:lvl w:ilvl="1" w:tplc="9B406F8A">
      <w:start w:val="1"/>
      <w:numFmt w:val="bullet"/>
      <w:lvlText w:val="o"/>
      <w:lvlJc w:val="left"/>
      <w:pPr>
        <w:ind w:left="1440" w:hanging="360"/>
      </w:pPr>
      <w:rPr>
        <w:rFonts w:ascii="Courier New" w:hAnsi="Courier New" w:hint="default"/>
      </w:rPr>
    </w:lvl>
    <w:lvl w:ilvl="2" w:tplc="6BC26D3E">
      <w:start w:val="1"/>
      <w:numFmt w:val="bullet"/>
      <w:lvlText w:val=""/>
      <w:lvlJc w:val="left"/>
      <w:pPr>
        <w:ind w:left="2160" w:hanging="360"/>
      </w:pPr>
      <w:rPr>
        <w:rFonts w:ascii="Wingdings" w:hAnsi="Wingdings" w:hint="default"/>
      </w:rPr>
    </w:lvl>
    <w:lvl w:ilvl="3" w:tplc="7416CCA6">
      <w:start w:val="1"/>
      <w:numFmt w:val="bullet"/>
      <w:lvlText w:val=""/>
      <w:lvlJc w:val="left"/>
      <w:pPr>
        <w:ind w:left="2880" w:hanging="360"/>
      </w:pPr>
      <w:rPr>
        <w:rFonts w:ascii="Symbol" w:hAnsi="Symbol" w:hint="default"/>
      </w:rPr>
    </w:lvl>
    <w:lvl w:ilvl="4" w:tplc="8E223BB8">
      <w:start w:val="1"/>
      <w:numFmt w:val="bullet"/>
      <w:lvlText w:val="o"/>
      <w:lvlJc w:val="left"/>
      <w:pPr>
        <w:ind w:left="3600" w:hanging="360"/>
      </w:pPr>
      <w:rPr>
        <w:rFonts w:ascii="Courier New" w:hAnsi="Courier New" w:hint="default"/>
      </w:rPr>
    </w:lvl>
    <w:lvl w:ilvl="5" w:tplc="4A424596">
      <w:start w:val="1"/>
      <w:numFmt w:val="bullet"/>
      <w:lvlText w:val=""/>
      <w:lvlJc w:val="left"/>
      <w:pPr>
        <w:ind w:left="4320" w:hanging="360"/>
      </w:pPr>
      <w:rPr>
        <w:rFonts w:ascii="Wingdings" w:hAnsi="Wingdings" w:hint="default"/>
      </w:rPr>
    </w:lvl>
    <w:lvl w:ilvl="6" w:tplc="E61ECB42">
      <w:start w:val="1"/>
      <w:numFmt w:val="bullet"/>
      <w:lvlText w:val=""/>
      <w:lvlJc w:val="left"/>
      <w:pPr>
        <w:ind w:left="5040" w:hanging="360"/>
      </w:pPr>
      <w:rPr>
        <w:rFonts w:ascii="Symbol" w:hAnsi="Symbol" w:hint="default"/>
      </w:rPr>
    </w:lvl>
    <w:lvl w:ilvl="7" w:tplc="4DA63834">
      <w:start w:val="1"/>
      <w:numFmt w:val="bullet"/>
      <w:lvlText w:val="o"/>
      <w:lvlJc w:val="left"/>
      <w:pPr>
        <w:ind w:left="5760" w:hanging="360"/>
      </w:pPr>
      <w:rPr>
        <w:rFonts w:ascii="Courier New" w:hAnsi="Courier New" w:hint="default"/>
      </w:rPr>
    </w:lvl>
    <w:lvl w:ilvl="8" w:tplc="88780E7A">
      <w:start w:val="1"/>
      <w:numFmt w:val="bullet"/>
      <w:lvlText w:val=""/>
      <w:lvlJc w:val="left"/>
      <w:pPr>
        <w:ind w:left="6480" w:hanging="360"/>
      </w:pPr>
      <w:rPr>
        <w:rFonts w:ascii="Wingdings" w:hAnsi="Wingdings" w:hint="default"/>
      </w:rPr>
    </w:lvl>
  </w:abstractNum>
  <w:abstractNum w:abstractNumId="107" w15:restartNumberingAfterBreak="0">
    <w:nsid w:val="4EF9637F"/>
    <w:multiLevelType w:val="hybridMultilevel"/>
    <w:tmpl w:val="8FD6816E"/>
    <w:lvl w:ilvl="0" w:tplc="78BC2E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5005079B"/>
    <w:multiLevelType w:val="hybridMultilevel"/>
    <w:tmpl w:val="0164A368"/>
    <w:lvl w:ilvl="0" w:tplc="143A428A">
      <w:start w:val="1"/>
      <w:numFmt w:val="bullet"/>
      <w:lvlText w:val=""/>
      <w:lvlJc w:val="left"/>
      <w:pPr>
        <w:ind w:left="789" w:hanging="360"/>
      </w:pPr>
      <w:rPr>
        <w:rFonts w:ascii="Symbol" w:hAnsi="Symbol" w:hint="default"/>
      </w:rPr>
    </w:lvl>
    <w:lvl w:ilvl="1" w:tplc="04150003" w:tentative="1">
      <w:start w:val="1"/>
      <w:numFmt w:val="bullet"/>
      <w:lvlText w:val="o"/>
      <w:lvlJc w:val="left"/>
      <w:pPr>
        <w:ind w:left="1509" w:hanging="360"/>
      </w:pPr>
      <w:rPr>
        <w:rFonts w:ascii="Courier New" w:hAnsi="Courier New" w:cs="Courier New" w:hint="default"/>
      </w:rPr>
    </w:lvl>
    <w:lvl w:ilvl="2" w:tplc="04150005" w:tentative="1">
      <w:start w:val="1"/>
      <w:numFmt w:val="bullet"/>
      <w:lvlText w:val=""/>
      <w:lvlJc w:val="left"/>
      <w:pPr>
        <w:ind w:left="2229" w:hanging="360"/>
      </w:pPr>
      <w:rPr>
        <w:rFonts w:ascii="Wingdings" w:hAnsi="Wingdings" w:hint="default"/>
      </w:rPr>
    </w:lvl>
    <w:lvl w:ilvl="3" w:tplc="04150001" w:tentative="1">
      <w:start w:val="1"/>
      <w:numFmt w:val="bullet"/>
      <w:lvlText w:val=""/>
      <w:lvlJc w:val="left"/>
      <w:pPr>
        <w:ind w:left="2949" w:hanging="360"/>
      </w:pPr>
      <w:rPr>
        <w:rFonts w:ascii="Symbol" w:hAnsi="Symbol" w:hint="default"/>
      </w:rPr>
    </w:lvl>
    <w:lvl w:ilvl="4" w:tplc="04150003" w:tentative="1">
      <w:start w:val="1"/>
      <w:numFmt w:val="bullet"/>
      <w:lvlText w:val="o"/>
      <w:lvlJc w:val="left"/>
      <w:pPr>
        <w:ind w:left="3669" w:hanging="360"/>
      </w:pPr>
      <w:rPr>
        <w:rFonts w:ascii="Courier New" w:hAnsi="Courier New" w:cs="Courier New" w:hint="default"/>
      </w:rPr>
    </w:lvl>
    <w:lvl w:ilvl="5" w:tplc="04150005" w:tentative="1">
      <w:start w:val="1"/>
      <w:numFmt w:val="bullet"/>
      <w:lvlText w:val=""/>
      <w:lvlJc w:val="left"/>
      <w:pPr>
        <w:ind w:left="4389" w:hanging="360"/>
      </w:pPr>
      <w:rPr>
        <w:rFonts w:ascii="Wingdings" w:hAnsi="Wingdings" w:hint="default"/>
      </w:rPr>
    </w:lvl>
    <w:lvl w:ilvl="6" w:tplc="04150001" w:tentative="1">
      <w:start w:val="1"/>
      <w:numFmt w:val="bullet"/>
      <w:lvlText w:val=""/>
      <w:lvlJc w:val="left"/>
      <w:pPr>
        <w:ind w:left="5109" w:hanging="360"/>
      </w:pPr>
      <w:rPr>
        <w:rFonts w:ascii="Symbol" w:hAnsi="Symbol" w:hint="default"/>
      </w:rPr>
    </w:lvl>
    <w:lvl w:ilvl="7" w:tplc="04150003" w:tentative="1">
      <w:start w:val="1"/>
      <w:numFmt w:val="bullet"/>
      <w:lvlText w:val="o"/>
      <w:lvlJc w:val="left"/>
      <w:pPr>
        <w:ind w:left="5829" w:hanging="360"/>
      </w:pPr>
      <w:rPr>
        <w:rFonts w:ascii="Courier New" w:hAnsi="Courier New" w:cs="Courier New" w:hint="default"/>
      </w:rPr>
    </w:lvl>
    <w:lvl w:ilvl="8" w:tplc="04150005" w:tentative="1">
      <w:start w:val="1"/>
      <w:numFmt w:val="bullet"/>
      <w:lvlText w:val=""/>
      <w:lvlJc w:val="left"/>
      <w:pPr>
        <w:ind w:left="6549" w:hanging="360"/>
      </w:pPr>
      <w:rPr>
        <w:rFonts w:ascii="Wingdings" w:hAnsi="Wingdings" w:hint="default"/>
      </w:rPr>
    </w:lvl>
  </w:abstractNum>
  <w:abstractNum w:abstractNumId="109" w15:restartNumberingAfterBreak="0">
    <w:nsid w:val="50604386"/>
    <w:multiLevelType w:val="hybridMultilevel"/>
    <w:tmpl w:val="AD809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2FF3679"/>
    <w:multiLevelType w:val="hybridMultilevel"/>
    <w:tmpl w:val="02DC23CA"/>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3757A91"/>
    <w:multiLevelType w:val="hybridMultilevel"/>
    <w:tmpl w:val="CA1AC2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54B6172B"/>
    <w:multiLevelType w:val="hybridMultilevel"/>
    <w:tmpl w:val="2284950A"/>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671277"/>
    <w:multiLevelType w:val="hybridMultilevel"/>
    <w:tmpl w:val="1C9CD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0B20DC"/>
    <w:multiLevelType w:val="hybridMultilevel"/>
    <w:tmpl w:val="650E5548"/>
    <w:lvl w:ilvl="0" w:tplc="A748F5E2">
      <w:start w:val="1"/>
      <w:numFmt w:val="lowerLetter"/>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DC3968"/>
    <w:multiLevelType w:val="hybridMultilevel"/>
    <w:tmpl w:val="F52EA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8F74315"/>
    <w:multiLevelType w:val="hybridMultilevel"/>
    <w:tmpl w:val="1890B362"/>
    <w:lvl w:ilvl="0" w:tplc="50BCBB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7" w15:restartNumberingAfterBreak="0">
    <w:nsid w:val="59236EDF"/>
    <w:multiLevelType w:val="hybridMultilevel"/>
    <w:tmpl w:val="69E4D006"/>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94A25D1"/>
    <w:multiLevelType w:val="hybridMultilevel"/>
    <w:tmpl w:val="2B90BED0"/>
    <w:lvl w:ilvl="0" w:tplc="D25A6E90">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A094F6B"/>
    <w:multiLevelType w:val="hybridMultilevel"/>
    <w:tmpl w:val="0158EC50"/>
    <w:lvl w:ilvl="0" w:tplc="6E8C5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AB527B8"/>
    <w:multiLevelType w:val="hybridMultilevel"/>
    <w:tmpl w:val="D69CE0A2"/>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B691635"/>
    <w:multiLevelType w:val="hybridMultilevel"/>
    <w:tmpl w:val="505C3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BDC5DA0"/>
    <w:multiLevelType w:val="hybridMultilevel"/>
    <w:tmpl w:val="36B63BA6"/>
    <w:lvl w:ilvl="0" w:tplc="D700CA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CA333C7"/>
    <w:multiLevelType w:val="hybridMultilevel"/>
    <w:tmpl w:val="2794AAE2"/>
    <w:lvl w:ilvl="0" w:tplc="04150001">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24" w15:restartNumberingAfterBreak="0">
    <w:nsid w:val="5E2E4651"/>
    <w:multiLevelType w:val="hybridMultilevel"/>
    <w:tmpl w:val="953486AE"/>
    <w:lvl w:ilvl="0" w:tplc="143A428A">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125" w15:restartNumberingAfterBreak="0">
    <w:nsid w:val="5E6B0325"/>
    <w:multiLevelType w:val="hybridMultilevel"/>
    <w:tmpl w:val="8F4E0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C446EF"/>
    <w:multiLevelType w:val="hybridMultilevel"/>
    <w:tmpl w:val="8DE07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EEC53DD"/>
    <w:multiLevelType w:val="hybridMultilevel"/>
    <w:tmpl w:val="014876F6"/>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FC67945"/>
    <w:multiLevelType w:val="hybridMultilevel"/>
    <w:tmpl w:val="485EBE5C"/>
    <w:lvl w:ilvl="0" w:tplc="D90AF7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03E6F0B"/>
    <w:multiLevelType w:val="hybridMultilevel"/>
    <w:tmpl w:val="EC5C0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613D94"/>
    <w:multiLevelType w:val="hybridMultilevel"/>
    <w:tmpl w:val="93048F94"/>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0875F39"/>
    <w:multiLevelType w:val="multilevel"/>
    <w:tmpl w:val="B882D714"/>
    <w:lvl w:ilvl="0">
      <w:start w:val="2"/>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2" w15:restartNumberingAfterBreak="0">
    <w:nsid w:val="62396078"/>
    <w:multiLevelType w:val="hybridMultilevel"/>
    <w:tmpl w:val="72545DC2"/>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2911DB8"/>
    <w:multiLevelType w:val="hybridMultilevel"/>
    <w:tmpl w:val="2178590A"/>
    <w:lvl w:ilvl="0" w:tplc="B2447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3381867"/>
    <w:multiLevelType w:val="hybridMultilevel"/>
    <w:tmpl w:val="04707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36F6D9D"/>
    <w:multiLevelType w:val="hybridMultilevel"/>
    <w:tmpl w:val="BE1C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37A7FA0"/>
    <w:multiLevelType w:val="hybridMultilevel"/>
    <w:tmpl w:val="D0BA2C1C"/>
    <w:lvl w:ilvl="0" w:tplc="734CB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37D0571"/>
    <w:multiLevelType w:val="hybridMultilevel"/>
    <w:tmpl w:val="056C670C"/>
    <w:lvl w:ilvl="0" w:tplc="BBD6A1C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657C2070"/>
    <w:multiLevelType w:val="hybridMultilevel"/>
    <w:tmpl w:val="4670C77E"/>
    <w:lvl w:ilvl="0" w:tplc="7AAA46E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5D5745A"/>
    <w:multiLevelType w:val="hybridMultilevel"/>
    <w:tmpl w:val="E7E4CF36"/>
    <w:lvl w:ilvl="0" w:tplc="EADEDBBE">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6231104"/>
    <w:multiLevelType w:val="hybridMultilevel"/>
    <w:tmpl w:val="1932DF64"/>
    <w:lvl w:ilvl="0" w:tplc="2A94FB00">
      <w:numFmt w:val="bullet"/>
      <w:lvlText w:val="•"/>
      <w:lvlJc w:val="left"/>
      <w:pPr>
        <w:ind w:left="1434" w:hanging="360"/>
      </w:pPr>
      <w:rPr>
        <w:rFonts w:ascii="Calibri" w:eastAsia="Calibri" w:hAnsi="Calibri" w:cs="Calibri"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41" w15:restartNumberingAfterBreak="0">
    <w:nsid w:val="66F64836"/>
    <w:multiLevelType w:val="hybridMultilevel"/>
    <w:tmpl w:val="1328506C"/>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7B31601"/>
    <w:multiLevelType w:val="hybridMultilevel"/>
    <w:tmpl w:val="A6E05612"/>
    <w:lvl w:ilvl="0" w:tplc="0A7CA7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7D0546E"/>
    <w:multiLevelType w:val="hybridMultilevel"/>
    <w:tmpl w:val="7484854C"/>
    <w:lvl w:ilvl="0" w:tplc="143A428A">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144" w15:restartNumberingAfterBreak="0">
    <w:nsid w:val="67F97AEA"/>
    <w:multiLevelType w:val="hybridMultilevel"/>
    <w:tmpl w:val="7E48025A"/>
    <w:lvl w:ilvl="0" w:tplc="17822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87D5D9B"/>
    <w:multiLevelType w:val="hybridMultilevel"/>
    <w:tmpl w:val="93D856C0"/>
    <w:lvl w:ilvl="0" w:tplc="18BE9E36">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6899154E"/>
    <w:multiLevelType w:val="hybridMultilevel"/>
    <w:tmpl w:val="2B9A2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9937E6C"/>
    <w:multiLevelType w:val="hybridMultilevel"/>
    <w:tmpl w:val="530C8624"/>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A243250"/>
    <w:multiLevelType w:val="multilevel"/>
    <w:tmpl w:val="1716E764"/>
    <w:lvl w:ilvl="0">
      <w:start w:val="1"/>
      <w:numFmt w:val="decimal"/>
      <w:lvlText w:val="%1."/>
      <w:lvlJc w:val="left"/>
      <w:pPr>
        <w:ind w:left="502" w:hanging="360"/>
      </w:pPr>
      <w:rPr>
        <w:rFonts w:hint="default"/>
      </w:rPr>
    </w:lvl>
    <w:lvl w:ilvl="1">
      <w:start w:val="4"/>
      <w:numFmt w:val="decimal"/>
      <w:isLgl/>
      <w:lvlText w:val="%1.%2"/>
      <w:lvlJc w:val="left"/>
      <w:pPr>
        <w:ind w:left="862" w:hanging="720"/>
      </w:pPr>
      <w:rPr>
        <w:rFonts w:hint="default"/>
        <w:color w:val="auto"/>
      </w:rPr>
    </w:lvl>
    <w:lvl w:ilvl="2">
      <w:start w:val="2"/>
      <w:numFmt w:val="decimal"/>
      <w:isLgl/>
      <w:lvlText w:val="%1.%2.%3"/>
      <w:lvlJc w:val="left"/>
      <w:pPr>
        <w:ind w:left="862" w:hanging="720"/>
      </w:pPr>
      <w:rPr>
        <w:rFonts w:hint="default"/>
        <w:color w:val="auto"/>
      </w:rPr>
    </w:lvl>
    <w:lvl w:ilvl="3">
      <w:start w:val="3"/>
      <w:numFmt w:val="decimal"/>
      <w:isLgl/>
      <w:lvlText w:val="%1.%2.%3.%4"/>
      <w:lvlJc w:val="left"/>
      <w:pPr>
        <w:ind w:left="862" w:hanging="720"/>
      </w:pPr>
      <w:rPr>
        <w:rFonts w:hint="default"/>
        <w:color w:val="auto"/>
      </w:rPr>
    </w:lvl>
    <w:lvl w:ilvl="4">
      <w:start w:val="1"/>
      <w:numFmt w:val="decimal"/>
      <w:isLgl/>
      <w:lvlText w:val="%1.%2.%3.%4.%5"/>
      <w:lvlJc w:val="left"/>
      <w:pPr>
        <w:ind w:left="1222" w:hanging="1080"/>
      </w:pPr>
      <w:rPr>
        <w:rFonts w:hint="default"/>
        <w:color w:val="auto"/>
      </w:rPr>
    </w:lvl>
    <w:lvl w:ilvl="5">
      <w:start w:val="1"/>
      <w:numFmt w:val="decimal"/>
      <w:isLgl/>
      <w:lvlText w:val="%1.%2.%3.%4.%5.%6"/>
      <w:lvlJc w:val="left"/>
      <w:pPr>
        <w:ind w:left="1222" w:hanging="1080"/>
      </w:pPr>
      <w:rPr>
        <w:rFonts w:hint="default"/>
        <w:color w:val="auto"/>
      </w:rPr>
    </w:lvl>
    <w:lvl w:ilvl="6">
      <w:start w:val="1"/>
      <w:numFmt w:val="decimal"/>
      <w:isLgl/>
      <w:lvlText w:val="%1.%2.%3.%4.%5.%6.%7"/>
      <w:lvlJc w:val="left"/>
      <w:pPr>
        <w:ind w:left="1582" w:hanging="1440"/>
      </w:pPr>
      <w:rPr>
        <w:rFonts w:hint="default"/>
        <w:color w:val="auto"/>
      </w:rPr>
    </w:lvl>
    <w:lvl w:ilvl="7">
      <w:start w:val="1"/>
      <w:numFmt w:val="decimal"/>
      <w:isLgl/>
      <w:lvlText w:val="%1.%2.%3.%4.%5.%6.%7.%8"/>
      <w:lvlJc w:val="left"/>
      <w:pPr>
        <w:ind w:left="1582" w:hanging="1440"/>
      </w:pPr>
      <w:rPr>
        <w:rFonts w:hint="default"/>
        <w:color w:val="auto"/>
      </w:rPr>
    </w:lvl>
    <w:lvl w:ilvl="8">
      <w:start w:val="1"/>
      <w:numFmt w:val="decimal"/>
      <w:isLgl/>
      <w:lvlText w:val="%1.%2.%3.%4.%5.%6.%7.%8.%9"/>
      <w:lvlJc w:val="left"/>
      <w:pPr>
        <w:ind w:left="1942" w:hanging="1800"/>
      </w:pPr>
      <w:rPr>
        <w:rFonts w:hint="default"/>
        <w:color w:val="auto"/>
      </w:rPr>
    </w:lvl>
  </w:abstractNum>
  <w:abstractNum w:abstractNumId="149" w15:restartNumberingAfterBreak="0">
    <w:nsid w:val="6A5A5EA4"/>
    <w:multiLevelType w:val="hybridMultilevel"/>
    <w:tmpl w:val="883AAA06"/>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796BE3"/>
    <w:multiLevelType w:val="hybridMultilevel"/>
    <w:tmpl w:val="A4D4065E"/>
    <w:lvl w:ilvl="0" w:tplc="EADEDBB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ADF2F67"/>
    <w:multiLevelType w:val="hybridMultilevel"/>
    <w:tmpl w:val="9CF26BCA"/>
    <w:lvl w:ilvl="0" w:tplc="2FBCCE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C65381C"/>
    <w:multiLevelType w:val="hybridMultilevel"/>
    <w:tmpl w:val="9E7C72D2"/>
    <w:lvl w:ilvl="0" w:tplc="EADEDBBE">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DD726A0"/>
    <w:multiLevelType w:val="multilevel"/>
    <w:tmpl w:val="D0EC8AA2"/>
    <w:lvl w:ilvl="0">
      <w:start w:val="1"/>
      <w:numFmt w:val="decimal"/>
      <w:pStyle w:val="Nagwek1"/>
      <w:lvlText w:val="%1."/>
      <w:lvlJc w:val="left"/>
      <w:pPr>
        <w:ind w:left="720" w:hanging="360"/>
      </w:pPr>
      <w:rPr>
        <w:b/>
        <w:color w:val="2F5496" w:themeColor="accent5" w:themeShade="BF"/>
      </w:rPr>
    </w:lvl>
    <w:lvl w:ilvl="1">
      <w:start w:val="3"/>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6F445332"/>
    <w:multiLevelType w:val="hybridMultilevel"/>
    <w:tmpl w:val="ECBEE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FA675D3"/>
    <w:multiLevelType w:val="hybridMultilevel"/>
    <w:tmpl w:val="D5F4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05E0E55"/>
    <w:multiLevelType w:val="hybridMultilevel"/>
    <w:tmpl w:val="30BAA690"/>
    <w:lvl w:ilvl="0" w:tplc="716E0AD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70A233DB"/>
    <w:multiLevelType w:val="hybridMultilevel"/>
    <w:tmpl w:val="F2F43F68"/>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12C646A"/>
    <w:multiLevelType w:val="hybridMultilevel"/>
    <w:tmpl w:val="9030232A"/>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13021BE"/>
    <w:multiLevelType w:val="hybridMultilevel"/>
    <w:tmpl w:val="4732CF60"/>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15F1E3E"/>
    <w:multiLevelType w:val="hybridMultilevel"/>
    <w:tmpl w:val="1736BE8A"/>
    <w:lvl w:ilvl="0" w:tplc="04150001">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61" w15:restartNumberingAfterBreak="0">
    <w:nsid w:val="71923396"/>
    <w:multiLevelType w:val="hybridMultilevel"/>
    <w:tmpl w:val="862A6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1DF508F"/>
    <w:multiLevelType w:val="hybridMultilevel"/>
    <w:tmpl w:val="AC8C11DE"/>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2655006"/>
    <w:multiLevelType w:val="hybridMultilevel"/>
    <w:tmpl w:val="626E9F4E"/>
    <w:lvl w:ilvl="0" w:tplc="AA04E904">
      <w:start w:val="1"/>
      <w:numFmt w:val="bullet"/>
      <w:lvlText w:val=""/>
      <w:lvlJc w:val="left"/>
      <w:pPr>
        <w:ind w:left="946" w:hanging="360"/>
      </w:pPr>
      <w:rPr>
        <w:rFonts w:ascii="Symbol" w:hAnsi="Symbol"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164" w15:restartNumberingAfterBreak="0">
    <w:nsid w:val="72F02744"/>
    <w:multiLevelType w:val="hybridMultilevel"/>
    <w:tmpl w:val="0E4CE9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44E3029"/>
    <w:multiLevelType w:val="hybridMultilevel"/>
    <w:tmpl w:val="DA86085E"/>
    <w:lvl w:ilvl="0" w:tplc="6F2C8E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5E10B0B"/>
    <w:multiLevelType w:val="hybridMultilevel"/>
    <w:tmpl w:val="D0CA6906"/>
    <w:lvl w:ilvl="0" w:tplc="D700CA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64B610D"/>
    <w:multiLevelType w:val="hybridMultilevel"/>
    <w:tmpl w:val="D92062AA"/>
    <w:lvl w:ilvl="0" w:tplc="78BC2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768F112C"/>
    <w:multiLevelType w:val="hybridMultilevel"/>
    <w:tmpl w:val="D09ED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8937412"/>
    <w:multiLevelType w:val="hybridMultilevel"/>
    <w:tmpl w:val="44B2E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90A47D8"/>
    <w:multiLevelType w:val="hybridMultilevel"/>
    <w:tmpl w:val="F93C0EE0"/>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79101B2D"/>
    <w:multiLevelType w:val="hybridMultilevel"/>
    <w:tmpl w:val="A4CEED44"/>
    <w:lvl w:ilvl="0" w:tplc="50E61690">
      <w:start w:val="1"/>
      <w:numFmt w:val="decimal"/>
      <w:pStyle w:val="Nagwek2"/>
      <w:lvlText w:val="%1.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2" w15:restartNumberingAfterBreak="0">
    <w:nsid w:val="7A2C3460"/>
    <w:multiLevelType w:val="hybridMultilevel"/>
    <w:tmpl w:val="E9DC5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A776F58"/>
    <w:multiLevelType w:val="hybridMultilevel"/>
    <w:tmpl w:val="BAF6E2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AB53C2D"/>
    <w:multiLevelType w:val="hybridMultilevel"/>
    <w:tmpl w:val="B11CF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AB6769C"/>
    <w:multiLevelType w:val="hybridMultilevel"/>
    <w:tmpl w:val="2550D382"/>
    <w:lvl w:ilvl="0" w:tplc="D90AF7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B28756A"/>
    <w:multiLevelType w:val="hybridMultilevel"/>
    <w:tmpl w:val="524EC93C"/>
    <w:lvl w:ilvl="0" w:tplc="7AAA46E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C2B63D5"/>
    <w:multiLevelType w:val="hybridMultilevel"/>
    <w:tmpl w:val="37BEECAE"/>
    <w:lvl w:ilvl="0" w:tplc="35709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C8850F3"/>
    <w:multiLevelType w:val="hybridMultilevel"/>
    <w:tmpl w:val="70F87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CC2657A"/>
    <w:multiLevelType w:val="hybridMultilevel"/>
    <w:tmpl w:val="D0CCA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D3E195C"/>
    <w:multiLevelType w:val="hybridMultilevel"/>
    <w:tmpl w:val="42F4047A"/>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7D5A33A3"/>
    <w:multiLevelType w:val="hybridMultilevel"/>
    <w:tmpl w:val="4E12A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DA90675"/>
    <w:multiLevelType w:val="hybridMultilevel"/>
    <w:tmpl w:val="E02C8538"/>
    <w:lvl w:ilvl="0" w:tplc="143A42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DD1211C"/>
    <w:multiLevelType w:val="hybridMultilevel"/>
    <w:tmpl w:val="D7542FBA"/>
    <w:lvl w:ilvl="0" w:tplc="6BC26D3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4" w15:restartNumberingAfterBreak="0">
    <w:nsid w:val="7EFC70E6"/>
    <w:multiLevelType w:val="hybridMultilevel"/>
    <w:tmpl w:val="F4A86FD6"/>
    <w:lvl w:ilvl="0" w:tplc="716E0AD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FA82D48"/>
    <w:multiLevelType w:val="hybridMultilevel"/>
    <w:tmpl w:val="E27C5498"/>
    <w:lvl w:ilvl="0" w:tplc="143A42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6" w15:restartNumberingAfterBreak="0">
    <w:nsid w:val="7FED79B5"/>
    <w:multiLevelType w:val="hybridMultilevel"/>
    <w:tmpl w:val="BD669ECC"/>
    <w:lvl w:ilvl="0" w:tplc="DBFE5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FF525AF"/>
    <w:multiLevelType w:val="hybridMultilevel"/>
    <w:tmpl w:val="D690D02A"/>
    <w:lvl w:ilvl="0" w:tplc="027804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2953356">
    <w:abstractNumId w:val="153"/>
  </w:num>
  <w:num w:numId="2" w16cid:durableId="1241912209">
    <w:abstractNumId w:val="171"/>
  </w:num>
  <w:num w:numId="3" w16cid:durableId="1062601903">
    <w:abstractNumId w:val="130"/>
  </w:num>
  <w:num w:numId="4" w16cid:durableId="392241199">
    <w:abstractNumId w:val="117"/>
  </w:num>
  <w:num w:numId="5" w16cid:durableId="1193375225">
    <w:abstractNumId w:val="56"/>
  </w:num>
  <w:num w:numId="6" w16cid:durableId="1819221254">
    <w:abstractNumId w:val="99"/>
  </w:num>
  <w:num w:numId="7" w16cid:durableId="1721053146">
    <w:abstractNumId w:val="18"/>
  </w:num>
  <w:num w:numId="8" w16cid:durableId="1128234097">
    <w:abstractNumId w:val="21"/>
  </w:num>
  <w:num w:numId="9" w16cid:durableId="76484964">
    <w:abstractNumId w:val="186"/>
  </w:num>
  <w:num w:numId="10" w16cid:durableId="1817064397">
    <w:abstractNumId w:val="182"/>
  </w:num>
  <w:num w:numId="11" w16cid:durableId="1972704339">
    <w:abstractNumId w:val="54"/>
  </w:num>
  <w:num w:numId="12" w16cid:durableId="1660452679">
    <w:abstractNumId w:val="176"/>
  </w:num>
  <w:num w:numId="13" w16cid:durableId="1566602321">
    <w:abstractNumId w:val="138"/>
  </w:num>
  <w:num w:numId="14" w16cid:durableId="509222843">
    <w:abstractNumId w:val="137"/>
  </w:num>
  <w:num w:numId="15" w16cid:durableId="1980453783">
    <w:abstractNumId w:val="159"/>
  </w:num>
  <w:num w:numId="16" w16cid:durableId="632097812">
    <w:abstractNumId w:val="33"/>
  </w:num>
  <w:num w:numId="17" w16cid:durableId="2042852555">
    <w:abstractNumId w:val="37"/>
  </w:num>
  <w:num w:numId="18" w16cid:durableId="1194537980">
    <w:abstractNumId w:val="148"/>
  </w:num>
  <w:num w:numId="19" w16cid:durableId="1059934861">
    <w:abstractNumId w:val="91"/>
  </w:num>
  <w:num w:numId="20" w16cid:durableId="784230804">
    <w:abstractNumId w:val="9"/>
  </w:num>
  <w:num w:numId="21" w16cid:durableId="1682967531">
    <w:abstractNumId w:val="126"/>
  </w:num>
  <w:num w:numId="22" w16cid:durableId="2126919524">
    <w:abstractNumId w:val="14"/>
  </w:num>
  <w:num w:numId="23" w16cid:durableId="1931159283">
    <w:abstractNumId w:val="27"/>
  </w:num>
  <w:num w:numId="24" w16cid:durableId="136999249">
    <w:abstractNumId w:val="84"/>
  </w:num>
  <w:num w:numId="25" w16cid:durableId="1363630987">
    <w:abstractNumId w:val="124"/>
  </w:num>
  <w:num w:numId="26" w16cid:durableId="830407571">
    <w:abstractNumId w:val="89"/>
  </w:num>
  <w:num w:numId="27" w16cid:durableId="855726404">
    <w:abstractNumId w:val="119"/>
  </w:num>
  <w:num w:numId="28" w16cid:durableId="469129974">
    <w:abstractNumId w:val="92"/>
  </w:num>
  <w:num w:numId="29" w16cid:durableId="1853179934">
    <w:abstractNumId w:val="43"/>
  </w:num>
  <w:num w:numId="30" w16cid:durableId="427583194">
    <w:abstractNumId w:val="30"/>
  </w:num>
  <w:num w:numId="31" w16cid:durableId="238904035">
    <w:abstractNumId w:val="166"/>
  </w:num>
  <w:num w:numId="32" w16cid:durableId="1269316574">
    <w:abstractNumId w:val="154"/>
  </w:num>
  <w:num w:numId="33" w16cid:durableId="849375544">
    <w:abstractNumId w:val="122"/>
  </w:num>
  <w:num w:numId="34" w16cid:durableId="663973001">
    <w:abstractNumId w:val="7"/>
  </w:num>
  <w:num w:numId="35" w16cid:durableId="1132753917">
    <w:abstractNumId w:val="164"/>
  </w:num>
  <w:num w:numId="36" w16cid:durableId="261962801">
    <w:abstractNumId w:val="5"/>
  </w:num>
  <w:num w:numId="37" w16cid:durableId="179048575">
    <w:abstractNumId w:val="139"/>
  </w:num>
  <w:num w:numId="38" w16cid:durableId="397166849">
    <w:abstractNumId w:val="63"/>
  </w:num>
  <w:num w:numId="39" w16cid:durableId="403841197">
    <w:abstractNumId w:val="152"/>
  </w:num>
  <w:num w:numId="40" w16cid:durableId="2031103645">
    <w:abstractNumId w:val="25"/>
  </w:num>
  <w:num w:numId="41" w16cid:durableId="354695170">
    <w:abstractNumId w:val="143"/>
  </w:num>
  <w:num w:numId="42" w16cid:durableId="554849852">
    <w:abstractNumId w:val="108"/>
  </w:num>
  <w:num w:numId="43" w16cid:durableId="622611708">
    <w:abstractNumId w:val="39"/>
  </w:num>
  <w:num w:numId="44" w16cid:durableId="1171718485">
    <w:abstractNumId w:val="118"/>
  </w:num>
  <w:num w:numId="45" w16cid:durableId="535002255">
    <w:abstractNumId w:val="40"/>
  </w:num>
  <w:num w:numId="46" w16cid:durableId="1395398029">
    <w:abstractNumId w:val="6"/>
  </w:num>
  <w:num w:numId="47" w16cid:durableId="1251112173">
    <w:abstractNumId w:val="110"/>
  </w:num>
  <w:num w:numId="48" w16cid:durableId="535311566">
    <w:abstractNumId w:val="132"/>
  </w:num>
  <w:num w:numId="49" w16cid:durableId="2002345838">
    <w:abstractNumId w:val="57"/>
  </w:num>
  <w:num w:numId="50" w16cid:durableId="105391743">
    <w:abstractNumId w:val="52"/>
  </w:num>
  <w:num w:numId="51" w16cid:durableId="189728214">
    <w:abstractNumId w:val="141"/>
  </w:num>
  <w:num w:numId="52" w16cid:durableId="2114473904">
    <w:abstractNumId w:val="60"/>
  </w:num>
  <w:num w:numId="53" w16cid:durableId="789250173">
    <w:abstractNumId w:val="17"/>
  </w:num>
  <w:num w:numId="54" w16cid:durableId="2098625974">
    <w:abstractNumId w:val="31"/>
  </w:num>
  <w:num w:numId="55" w16cid:durableId="1791436114">
    <w:abstractNumId w:val="107"/>
  </w:num>
  <w:num w:numId="56" w16cid:durableId="697195021">
    <w:abstractNumId w:val="123"/>
  </w:num>
  <w:num w:numId="57" w16cid:durableId="961110747">
    <w:abstractNumId w:val="167"/>
  </w:num>
  <w:num w:numId="58" w16cid:durableId="1492989562">
    <w:abstractNumId w:val="16"/>
  </w:num>
  <w:num w:numId="59" w16cid:durableId="1987466343">
    <w:abstractNumId w:val="146"/>
  </w:num>
  <w:num w:numId="60" w16cid:durableId="1400322741">
    <w:abstractNumId w:val="174"/>
  </w:num>
  <w:num w:numId="61" w16cid:durableId="933173076">
    <w:abstractNumId w:val="41"/>
  </w:num>
  <w:num w:numId="62" w16cid:durableId="742340440">
    <w:abstractNumId w:val="81"/>
  </w:num>
  <w:num w:numId="63" w16cid:durableId="1581403539">
    <w:abstractNumId w:val="8"/>
  </w:num>
  <w:num w:numId="64" w16cid:durableId="2023626571">
    <w:abstractNumId w:val="163"/>
  </w:num>
  <w:num w:numId="65" w16cid:durableId="1541555683">
    <w:abstractNumId w:val="7"/>
  </w:num>
  <w:num w:numId="66" w16cid:durableId="1047025593">
    <w:abstractNumId w:val="185"/>
  </w:num>
  <w:num w:numId="67" w16cid:durableId="1383168525">
    <w:abstractNumId w:val="64"/>
  </w:num>
  <w:num w:numId="68" w16cid:durableId="1951206747">
    <w:abstractNumId w:val="38"/>
  </w:num>
  <w:num w:numId="69" w16cid:durableId="1906211483">
    <w:abstractNumId w:val="160"/>
  </w:num>
  <w:num w:numId="70" w16cid:durableId="1283733158">
    <w:abstractNumId w:val="142"/>
  </w:num>
  <w:num w:numId="71" w16cid:durableId="90978018">
    <w:abstractNumId w:val="73"/>
  </w:num>
  <w:num w:numId="72" w16cid:durableId="1221820016">
    <w:abstractNumId w:val="45"/>
  </w:num>
  <w:num w:numId="73" w16cid:durableId="932513048">
    <w:abstractNumId w:val="96"/>
  </w:num>
  <w:num w:numId="74" w16cid:durableId="860633525">
    <w:abstractNumId w:val="70"/>
  </w:num>
  <w:num w:numId="75" w16cid:durableId="647788811">
    <w:abstractNumId w:val="155"/>
  </w:num>
  <w:num w:numId="76" w16cid:durableId="1840849352">
    <w:abstractNumId w:val="125"/>
  </w:num>
  <w:num w:numId="77" w16cid:durableId="2090690058">
    <w:abstractNumId w:val="78"/>
  </w:num>
  <w:num w:numId="78" w16cid:durableId="1919899477">
    <w:abstractNumId w:val="88"/>
  </w:num>
  <w:num w:numId="79" w16cid:durableId="124010128">
    <w:abstractNumId w:val="48"/>
  </w:num>
  <w:num w:numId="80" w16cid:durableId="1071584441">
    <w:abstractNumId w:val="79"/>
  </w:num>
  <w:num w:numId="81" w16cid:durableId="490484035">
    <w:abstractNumId w:val="113"/>
  </w:num>
  <w:num w:numId="82" w16cid:durableId="1981424982">
    <w:abstractNumId w:val="129"/>
  </w:num>
  <w:num w:numId="83" w16cid:durableId="340476205">
    <w:abstractNumId w:val="77"/>
  </w:num>
  <w:num w:numId="84" w16cid:durableId="494804491">
    <w:abstractNumId w:val="61"/>
  </w:num>
  <w:num w:numId="85" w16cid:durableId="770442008">
    <w:abstractNumId w:val="179"/>
  </w:num>
  <w:num w:numId="86" w16cid:durableId="1741754493">
    <w:abstractNumId w:val="172"/>
  </w:num>
  <w:num w:numId="87" w16cid:durableId="2120907002">
    <w:abstractNumId w:val="134"/>
  </w:num>
  <w:num w:numId="88" w16cid:durableId="420298031">
    <w:abstractNumId w:val="62"/>
  </w:num>
  <w:num w:numId="89" w16cid:durableId="541017662">
    <w:abstractNumId w:val="135"/>
  </w:num>
  <w:num w:numId="90" w16cid:durableId="1200049657">
    <w:abstractNumId w:val="161"/>
  </w:num>
  <w:num w:numId="91" w16cid:durableId="1934122371">
    <w:abstractNumId w:val="109"/>
  </w:num>
  <w:num w:numId="92" w16cid:durableId="1934196345">
    <w:abstractNumId w:val="178"/>
  </w:num>
  <w:num w:numId="93" w16cid:durableId="1145588443">
    <w:abstractNumId w:val="35"/>
  </w:num>
  <w:num w:numId="94" w16cid:durableId="1989086998">
    <w:abstractNumId w:val="140"/>
  </w:num>
  <w:num w:numId="95" w16cid:durableId="1909613913">
    <w:abstractNumId w:val="58"/>
  </w:num>
  <w:num w:numId="96" w16cid:durableId="1634630458">
    <w:abstractNumId w:val="80"/>
  </w:num>
  <w:num w:numId="97" w16cid:durableId="886990664">
    <w:abstractNumId w:val="76"/>
  </w:num>
  <w:num w:numId="98" w16cid:durableId="1378311760">
    <w:abstractNumId w:val="53"/>
  </w:num>
  <w:num w:numId="99" w16cid:durableId="2134321709">
    <w:abstractNumId w:val="42"/>
  </w:num>
  <w:num w:numId="100" w16cid:durableId="2123525462">
    <w:abstractNumId w:val="105"/>
  </w:num>
  <w:num w:numId="101" w16cid:durableId="380716670">
    <w:abstractNumId w:val="11"/>
  </w:num>
  <w:num w:numId="102" w16cid:durableId="881136697">
    <w:abstractNumId w:val="95"/>
  </w:num>
  <w:num w:numId="103" w16cid:durableId="279192644">
    <w:abstractNumId w:val="93"/>
  </w:num>
  <w:num w:numId="104" w16cid:durableId="400831100">
    <w:abstractNumId w:val="55"/>
  </w:num>
  <w:num w:numId="105" w16cid:durableId="105538728">
    <w:abstractNumId w:val="165"/>
  </w:num>
  <w:num w:numId="106" w16cid:durableId="2117627434">
    <w:abstractNumId w:val="15"/>
  </w:num>
  <w:num w:numId="107" w16cid:durableId="1025983570">
    <w:abstractNumId w:val="34"/>
  </w:num>
  <w:num w:numId="108" w16cid:durableId="1063525653">
    <w:abstractNumId w:val="44"/>
  </w:num>
  <w:num w:numId="109" w16cid:durableId="873267561">
    <w:abstractNumId w:val="104"/>
  </w:num>
  <w:num w:numId="110" w16cid:durableId="1294747039">
    <w:abstractNumId w:val="170"/>
  </w:num>
  <w:num w:numId="111" w16cid:durableId="1394816609">
    <w:abstractNumId w:val="82"/>
  </w:num>
  <w:num w:numId="112" w16cid:durableId="964197935">
    <w:abstractNumId w:val="20"/>
  </w:num>
  <w:num w:numId="113" w16cid:durableId="1767653267">
    <w:abstractNumId w:val="23"/>
  </w:num>
  <w:num w:numId="114" w16cid:durableId="488138152">
    <w:abstractNumId w:val="120"/>
  </w:num>
  <w:num w:numId="115" w16cid:durableId="432090066">
    <w:abstractNumId w:val="147"/>
  </w:num>
  <w:num w:numId="116" w16cid:durableId="1238325359">
    <w:abstractNumId w:val="156"/>
  </w:num>
  <w:num w:numId="117" w16cid:durableId="927269982">
    <w:abstractNumId w:val="175"/>
  </w:num>
  <w:num w:numId="118" w16cid:durableId="20938598">
    <w:abstractNumId w:val="127"/>
  </w:num>
  <w:num w:numId="119" w16cid:durableId="1538664129">
    <w:abstractNumId w:val="158"/>
  </w:num>
  <w:num w:numId="120" w16cid:durableId="1751997759">
    <w:abstractNumId w:val="157"/>
  </w:num>
  <w:num w:numId="121" w16cid:durableId="114493587">
    <w:abstractNumId w:val="149"/>
  </w:num>
  <w:num w:numId="122" w16cid:durableId="1541019221">
    <w:abstractNumId w:val="112"/>
  </w:num>
  <w:num w:numId="123" w16cid:durableId="1497529094">
    <w:abstractNumId w:val="177"/>
  </w:num>
  <w:num w:numId="124" w16cid:durableId="664279695">
    <w:abstractNumId w:val="69"/>
  </w:num>
  <w:num w:numId="125" w16cid:durableId="1120421740">
    <w:abstractNumId w:val="144"/>
  </w:num>
  <w:num w:numId="126" w16cid:durableId="1695958593">
    <w:abstractNumId w:val="26"/>
  </w:num>
  <w:num w:numId="127" w16cid:durableId="686368756">
    <w:abstractNumId w:val="68"/>
  </w:num>
  <w:num w:numId="128" w16cid:durableId="1370569882">
    <w:abstractNumId w:val="22"/>
  </w:num>
  <w:num w:numId="129" w16cid:durableId="1921017866">
    <w:abstractNumId w:val="13"/>
  </w:num>
  <w:num w:numId="130" w16cid:durableId="794756205">
    <w:abstractNumId w:val="184"/>
  </w:num>
  <w:num w:numId="131" w16cid:durableId="516844160">
    <w:abstractNumId w:val="136"/>
  </w:num>
  <w:num w:numId="132" w16cid:durableId="55589233">
    <w:abstractNumId w:val="90"/>
  </w:num>
  <w:num w:numId="133" w16cid:durableId="1938250409">
    <w:abstractNumId w:val="74"/>
  </w:num>
  <w:num w:numId="134" w16cid:durableId="1832797212">
    <w:abstractNumId w:val="100"/>
  </w:num>
  <w:num w:numId="135" w16cid:durableId="1829251861">
    <w:abstractNumId w:val="85"/>
  </w:num>
  <w:num w:numId="136" w16cid:durableId="1772428160">
    <w:abstractNumId w:val="47"/>
  </w:num>
  <w:num w:numId="137" w16cid:durableId="188372963">
    <w:abstractNumId w:val="83"/>
  </w:num>
  <w:num w:numId="138" w16cid:durableId="1319726040">
    <w:abstractNumId w:val="59"/>
  </w:num>
  <w:num w:numId="139" w16cid:durableId="110049692">
    <w:abstractNumId w:val="36"/>
  </w:num>
  <w:num w:numId="140" w16cid:durableId="128474260">
    <w:abstractNumId w:val="49"/>
  </w:num>
  <w:num w:numId="141" w16cid:durableId="721715173">
    <w:abstractNumId w:val="173"/>
  </w:num>
  <w:num w:numId="142" w16cid:durableId="538323167">
    <w:abstractNumId w:val="32"/>
  </w:num>
  <w:num w:numId="143" w16cid:durableId="949244414">
    <w:abstractNumId w:val="162"/>
  </w:num>
  <w:num w:numId="144" w16cid:durableId="698556096">
    <w:abstractNumId w:val="187"/>
  </w:num>
  <w:num w:numId="145" w16cid:durableId="1360156220">
    <w:abstractNumId w:val="19"/>
  </w:num>
  <w:num w:numId="146" w16cid:durableId="5131244">
    <w:abstractNumId w:val="101"/>
  </w:num>
  <w:num w:numId="147" w16cid:durableId="862404302">
    <w:abstractNumId w:val="106"/>
  </w:num>
  <w:num w:numId="148" w16cid:durableId="1841895159">
    <w:abstractNumId w:val="75"/>
  </w:num>
  <w:num w:numId="149" w16cid:durableId="1651982064">
    <w:abstractNumId w:val="97"/>
  </w:num>
  <w:num w:numId="150" w16cid:durableId="2033872175">
    <w:abstractNumId w:val="169"/>
  </w:num>
  <w:num w:numId="151" w16cid:durableId="347492003">
    <w:abstractNumId w:val="12"/>
  </w:num>
  <w:num w:numId="152" w16cid:durableId="589698172">
    <w:abstractNumId w:val="145"/>
  </w:num>
  <w:num w:numId="153" w16cid:durableId="1430275659">
    <w:abstractNumId w:val="50"/>
  </w:num>
  <w:num w:numId="154" w16cid:durableId="308487455">
    <w:abstractNumId w:val="180"/>
  </w:num>
  <w:num w:numId="155" w16cid:durableId="951018399">
    <w:abstractNumId w:val="131"/>
  </w:num>
  <w:num w:numId="156" w16cid:durableId="191496920">
    <w:abstractNumId w:val="28"/>
  </w:num>
  <w:num w:numId="157" w16cid:durableId="2017688226">
    <w:abstractNumId w:val="51"/>
  </w:num>
  <w:num w:numId="158" w16cid:durableId="1830780471">
    <w:abstractNumId w:val="72"/>
  </w:num>
  <w:num w:numId="159" w16cid:durableId="1694575811">
    <w:abstractNumId w:val="111"/>
  </w:num>
  <w:num w:numId="160" w16cid:durableId="1378434753">
    <w:abstractNumId w:val="65"/>
  </w:num>
  <w:num w:numId="161" w16cid:durableId="1945067971">
    <w:abstractNumId w:val="4"/>
  </w:num>
  <w:num w:numId="162" w16cid:durableId="815877299">
    <w:abstractNumId w:val="3"/>
  </w:num>
  <w:num w:numId="163" w16cid:durableId="817890032">
    <w:abstractNumId w:val="2"/>
  </w:num>
  <w:num w:numId="164" w16cid:durableId="346637645">
    <w:abstractNumId w:val="1"/>
  </w:num>
  <w:num w:numId="165" w16cid:durableId="2136563863">
    <w:abstractNumId w:val="0"/>
  </w:num>
  <w:num w:numId="166" w16cid:durableId="700940052">
    <w:abstractNumId w:val="128"/>
  </w:num>
  <w:num w:numId="167" w16cid:durableId="816247">
    <w:abstractNumId w:val="102"/>
  </w:num>
  <w:num w:numId="168" w16cid:durableId="2107799304">
    <w:abstractNumId w:val="183"/>
  </w:num>
  <w:num w:numId="169" w16cid:durableId="1706711636">
    <w:abstractNumId w:val="116"/>
  </w:num>
  <w:num w:numId="170" w16cid:durableId="910962775">
    <w:abstractNumId w:val="114"/>
  </w:num>
  <w:num w:numId="171" w16cid:durableId="1995715790">
    <w:abstractNumId w:val="151"/>
  </w:num>
  <w:num w:numId="172" w16cid:durableId="1061946950">
    <w:abstractNumId w:val="150"/>
  </w:num>
  <w:num w:numId="173" w16cid:durableId="37894959">
    <w:abstractNumId w:val="71"/>
  </w:num>
  <w:num w:numId="174" w16cid:durableId="473062700">
    <w:abstractNumId w:val="46"/>
  </w:num>
  <w:num w:numId="175" w16cid:durableId="1760370386">
    <w:abstractNumId w:val="103"/>
  </w:num>
  <w:num w:numId="176" w16cid:durableId="1015575230">
    <w:abstractNumId w:val="67"/>
  </w:num>
  <w:num w:numId="177" w16cid:durableId="1445153725">
    <w:abstractNumId w:val="29"/>
  </w:num>
  <w:num w:numId="178" w16cid:durableId="878514381">
    <w:abstractNumId w:val="115"/>
  </w:num>
  <w:num w:numId="179" w16cid:durableId="579482462">
    <w:abstractNumId w:val="98"/>
  </w:num>
  <w:num w:numId="180" w16cid:durableId="1700279747">
    <w:abstractNumId w:val="86"/>
  </w:num>
  <w:num w:numId="181" w16cid:durableId="326447049">
    <w:abstractNumId w:val="94"/>
  </w:num>
  <w:num w:numId="182" w16cid:durableId="1221557155">
    <w:abstractNumId w:val="121"/>
  </w:num>
  <w:num w:numId="183" w16cid:durableId="1063138139">
    <w:abstractNumId w:val="168"/>
  </w:num>
  <w:num w:numId="184" w16cid:durableId="1127091488">
    <w:abstractNumId w:val="181"/>
  </w:num>
  <w:num w:numId="185" w16cid:durableId="2049717267">
    <w:abstractNumId w:val="24"/>
  </w:num>
  <w:num w:numId="186" w16cid:durableId="761680191">
    <w:abstractNumId w:val="66"/>
  </w:num>
  <w:num w:numId="187" w16cid:durableId="619923791">
    <w:abstractNumId w:val="10"/>
  </w:num>
  <w:num w:numId="188" w16cid:durableId="836381840">
    <w:abstractNumId w:val="87"/>
  </w:num>
  <w:num w:numId="189" w16cid:durableId="714350853">
    <w:abstractNumId w:val="133"/>
  </w:num>
  <w:numIdMacAtCleanup w:val="1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styna Sobera">
    <w15:presenceInfo w15:providerId="AD" w15:userId="S-1-5-21-2587086642-3037542290-378664919-1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D2495"/>
    <w:rsid w:val="0000099C"/>
    <w:rsid w:val="00000A7B"/>
    <w:rsid w:val="0000103A"/>
    <w:rsid w:val="00001223"/>
    <w:rsid w:val="000014CB"/>
    <w:rsid w:val="00001576"/>
    <w:rsid w:val="00001B3C"/>
    <w:rsid w:val="00001C8C"/>
    <w:rsid w:val="000022C6"/>
    <w:rsid w:val="00002576"/>
    <w:rsid w:val="000026EE"/>
    <w:rsid w:val="000026FB"/>
    <w:rsid w:val="00002BC7"/>
    <w:rsid w:val="00002E16"/>
    <w:rsid w:val="00003223"/>
    <w:rsid w:val="00003B12"/>
    <w:rsid w:val="00003C73"/>
    <w:rsid w:val="00003E7C"/>
    <w:rsid w:val="0000403B"/>
    <w:rsid w:val="00004700"/>
    <w:rsid w:val="000047E2"/>
    <w:rsid w:val="00004A1C"/>
    <w:rsid w:val="000052B8"/>
    <w:rsid w:val="00005BF0"/>
    <w:rsid w:val="00006004"/>
    <w:rsid w:val="00006B59"/>
    <w:rsid w:val="00006E24"/>
    <w:rsid w:val="00006FBB"/>
    <w:rsid w:val="0001060B"/>
    <w:rsid w:val="00010D39"/>
    <w:rsid w:val="000118F1"/>
    <w:rsid w:val="00011C3C"/>
    <w:rsid w:val="0001216F"/>
    <w:rsid w:val="00012630"/>
    <w:rsid w:val="00012792"/>
    <w:rsid w:val="00012B82"/>
    <w:rsid w:val="0001389C"/>
    <w:rsid w:val="0001396A"/>
    <w:rsid w:val="00013C89"/>
    <w:rsid w:val="00013F86"/>
    <w:rsid w:val="00013FC4"/>
    <w:rsid w:val="00013FF8"/>
    <w:rsid w:val="0001408B"/>
    <w:rsid w:val="000147A8"/>
    <w:rsid w:val="00014A84"/>
    <w:rsid w:val="0001533F"/>
    <w:rsid w:val="00015417"/>
    <w:rsid w:val="000158CA"/>
    <w:rsid w:val="00015CD7"/>
    <w:rsid w:val="00015DC8"/>
    <w:rsid w:val="00016018"/>
    <w:rsid w:val="000163FE"/>
    <w:rsid w:val="0001645E"/>
    <w:rsid w:val="0001681D"/>
    <w:rsid w:val="00016DE9"/>
    <w:rsid w:val="000170FF"/>
    <w:rsid w:val="00017565"/>
    <w:rsid w:val="00017566"/>
    <w:rsid w:val="00017A48"/>
    <w:rsid w:val="00017A9F"/>
    <w:rsid w:val="00017BA4"/>
    <w:rsid w:val="00017C34"/>
    <w:rsid w:val="00017E80"/>
    <w:rsid w:val="00022311"/>
    <w:rsid w:val="000226CF"/>
    <w:rsid w:val="0002278C"/>
    <w:rsid w:val="00022D74"/>
    <w:rsid w:val="00022E79"/>
    <w:rsid w:val="000237D1"/>
    <w:rsid w:val="00023D99"/>
    <w:rsid w:val="00023DBA"/>
    <w:rsid w:val="00023FE1"/>
    <w:rsid w:val="00024241"/>
    <w:rsid w:val="00024291"/>
    <w:rsid w:val="00025298"/>
    <w:rsid w:val="0002590B"/>
    <w:rsid w:val="00025CB3"/>
    <w:rsid w:val="00025D3D"/>
    <w:rsid w:val="00025F64"/>
    <w:rsid w:val="00026050"/>
    <w:rsid w:val="000262CE"/>
    <w:rsid w:val="00026CF0"/>
    <w:rsid w:val="00026E35"/>
    <w:rsid w:val="000274BA"/>
    <w:rsid w:val="00027B11"/>
    <w:rsid w:val="0003013E"/>
    <w:rsid w:val="000302DB"/>
    <w:rsid w:val="000304A5"/>
    <w:rsid w:val="00030C8B"/>
    <w:rsid w:val="00030CD2"/>
    <w:rsid w:val="0003107D"/>
    <w:rsid w:val="000310E0"/>
    <w:rsid w:val="0003129A"/>
    <w:rsid w:val="00031B15"/>
    <w:rsid w:val="000322B4"/>
    <w:rsid w:val="00032706"/>
    <w:rsid w:val="00032FDA"/>
    <w:rsid w:val="00033134"/>
    <w:rsid w:val="00033332"/>
    <w:rsid w:val="00033673"/>
    <w:rsid w:val="00033AAF"/>
    <w:rsid w:val="00033B24"/>
    <w:rsid w:val="00034101"/>
    <w:rsid w:val="00034125"/>
    <w:rsid w:val="00034233"/>
    <w:rsid w:val="0003500B"/>
    <w:rsid w:val="00035512"/>
    <w:rsid w:val="0003562A"/>
    <w:rsid w:val="00035A05"/>
    <w:rsid w:val="00035ADA"/>
    <w:rsid w:val="0003674B"/>
    <w:rsid w:val="00036CB4"/>
    <w:rsid w:val="00036D10"/>
    <w:rsid w:val="00037502"/>
    <w:rsid w:val="00037659"/>
    <w:rsid w:val="00037766"/>
    <w:rsid w:val="00037921"/>
    <w:rsid w:val="000401FF"/>
    <w:rsid w:val="000403E4"/>
    <w:rsid w:val="00041160"/>
    <w:rsid w:val="000411A2"/>
    <w:rsid w:val="00041358"/>
    <w:rsid w:val="00041485"/>
    <w:rsid w:val="00041809"/>
    <w:rsid w:val="00041D0A"/>
    <w:rsid w:val="000420FF"/>
    <w:rsid w:val="0004211E"/>
    <w:rsid w:val="00042260"/>
    <w:rsid w:val="000423FF"/>
    <w:rsid w:val="00042578"/>
    <w:rsid w:val="00042690"/>
    <w:rsid w:val="000429BE"/>
    <w:rsid w:val="00042EEB"/>
    <w:rsid w:val="00042F56"/>
    <w:rsid w:val="000436A9"/>
    <w:rsid w:val="00043921"/>
    <w:rsid w:val="00043D80"/>
    <w:rsid w:val="00043DB8"/>
    <w:rsid w:val="00044344"/>
    <w:rsid w:val="00044797"/>
    <w:rsid w:val="00044889"/>
    <w:rsid w:val="000449B0"/>
    <w:rsid w:val="00044CE1"/>
    <w:rsid w:val="00044F78"/>
    <w:rsid w:val="000458C6"/>
    <w:rsid w:val="00045B69"/>
    <w:rsid w:val="00045C51"/>
    <w:rsid w:val="00045C6B"/>
    <w:rsid w:val="0004608B"/>
    <w:rsid w:val="000461D5"/>
    <w:rsid w:val="000463EB"/>
    <w:rsid w:val="000463F6"/>
    <w:rsid w:val="000465FD"/>
    <w:rsid w:val="0004673A"/>
    <w:rsid w:val="000467A1"/>
    <w:rsid w:val="00046933"/>
    <w:rsid w:val="00046B5E"/>
    <w:rsid w:val="00047237"/>
    <w:rsid w:val="00047B65"/>
    <w:rsid w:val="00047F20"/>
    <w:rsid w:val="000504C8"/>
    <w:rsid w:val="000506E3"/>
    <w:rsid w:val="0005088F"/>
    <w:rsid w:val="00050A23"/>
    <w:rsid w:val="000517FE"/>
    <w:rsid w:val="00051BFE"/>
    <w:rsid w:val="00051DDC"/>
    <w:rsid w:val="00051FB3"/>
    <w:rsid w:val="000528DA"/>
    <w:rsid w:val="0005291F"/>
    <w:rsid w:val="00053153"/>
    <w:rsid w:val="0005324F"/>
    <w:rsid w:val="00053A8C"/>
    <w:rsid w:val="00053B3D"/>
    <w:rsid w:val="00053EAE"/>
    <w:rsid w:val="000545AF"/>
    <w:rsid w:val="00054DD9"/>
    <w:rsid w:val="00055362"/>
    <w:rsid w:val="000556CA"/>
    <w:rsid w:val="00055D3C"/>
    <w:rsid w:val="00055DED"/>
    <w:rsid w:val="00056000"/>
    <w:rsid w:val="00056065"/>
    <w:rsid w:val="000560BA"/>
    <w:rsid w:val="00056523"/>
    <w:rsid w:val="00056554"/>
    <w:rsid w:val="000573BA"/>
    <w:rsid w:val="000574BB"/>
    <w:rsid w:val="00057609"/>
    <w:rsid w:val="00057899"/>
    <w:rsid w:val="00057934"/>
    <w:rsid w:val="000602BF"/>
    <w:rsid w:val="0006049E"/>
    <w:rsid w:val="00060ED4"/>
    <w:rsid w:val="00061122"/>
    <w:rsid w:val="0006120C"/>
    <w:rsid w:val="00061703"/>
    <w:rsid w:val="000617E1"/>
    <w:rsid w:val="0006267E"/>
    <w:rsid w:val="000628BC"/>
    <w:rsid w:val="0006331C"/>
    <w:rsid w:val="00063418"/>
    <w:rsid w:val="00063950"/>
    <w:rsid w:val="000642FC"/>
    <w:rsid w:val="00064383"/>
    <w:rsid w:val="000644BA"/>
    <w:rsid w:val="00065199"/>
    <w:rsid w:val="00065930"/>
    <w:rsid w:val="00066164"/>
    <w:rsid w:val="000666E9"/>
    <w:rsid w:val="00066917"/>
    <w:rsid w:val="00066AC1"/>
    <w:rsid w:val="00066B6E"/>
    <w:rsid w:val="0006760E"/>
    <w:rsid w:val="00067963"/>
    <w:rsid w:val="00067BF3"/>
    <w:rsid w:val="00067F90"/>
    <w:rsid w:val="00067FA1"/>
    <w:rsid w:val="00070305"/>
    <w:rsid w:val="00070353"/>
    <w:rsid w:val="000707B6"/>
    <w:rsid w:val="00070F09"/>
    <w:rsid w:val="00070F20"/>
    <w:rsid w:val="00070F36"/>
    <w:rsid w:val="0007173E"/>
    <w:rsid w:val="0007175C"/>
    <w:rsid w:val="00071806"/>
    <w:rsid w:val="00071CA2"/>
    <w:rsid w:val="00071EBB"/>
    <w:rsid w:val="0007207C"/>
    <w:rsid w:val="00072240"/>
    <w:rsid w:val="000722AF"/>
    <w:rsid w:val="0007241B"/>
    <w:rsid w:val="000724B0"/>
    <w:rsid w:val="00072596"/>
    <w:rsid w:val="00072762"/>
    <w:rsid w:val="00073AAD"/>
    <w:rsid w:val="00073D48"/>
    <w:rsid w:val="00074020"/>
    <w:rsid w:val="00074F65"/>
    <w:rsid w:val="00074FAB"/>
    <w:rsid w:val="00074FCB"/>
    <w:rsid w:val="00075087"/>
    <w:rsid w:val="000751D7"/>
    <w:rsid w:val="0007592E"/>
    <w:rsid w:val="000760D9"/>
    <w:rsid w:val="000767D4"/>
    <w:rsid w:val="00076803"/>
    <w:rsid w:val="00076CEA"/>
    <w:rsid w:val="000770DA"/>
    <w:rsid w:val="0007711C"/>
    <w:rsid w:val="00077445"/>
    <w:rsid w:val="00077616"/>
    <w:rsid w:val="00077FB2"/>
    <w:rsid w:val="000806AB"/>
    <w:rsid w:val="00080973"/>
    <w:rsid w:val="00080BB0"/>
    <w:rsid w:val="00080FDA"/>
    <w:rsid w:val="000816CC"/>
    <w:rsid w:val="000822D7"/>
    <w:rsid w:val="000830F0"/>
    <w:rsid w:val="000833AF"/>
    <w:rsid w:val="000835D5"/>
    <w:rsid w:val="000835FD"/>
    <w:rsid w:val="00083A4F"/>
    <w:rsid w:val="00083B5D"/>
    <w:rsid w:val="00083EE4"/>
    <w:rsid w:val="000846F0"/>
    <w:rsid w:val="00085557"/>
    <w:rsid w:val="00086046"/>
    <w:rsid w:val="0008605E"/>
    <w:rsid w:val="00086249"/>
    <w:rsid w:val="000864C4"/>
    <w:rsid w:val="00086712"/>
    <w:rsid w:val="000873F6"/>
    <w:rsid w:val="000875DB"/>
    <w:rsid w:val="0008785B"/>
    <w:rsid w:val="00087B24"/>
    <w:rsid w:val="00087F96"/>
    <w:rsid w:val="0009010C"/>
    <w:rsid w:val="000901E1"/>
    <w:rsid w:val="00090B63"/>
    <w:rsid w:val="00090DDD"/>
    <w:rsid w:val="00090E3A"/>
    <w:rsid w:val="00090FAB"/>
    <w:rsid w:val="0009187B"/>
    <w:rsid w:val="0009328B"/>
    <w:rsid w:val="0009479D"/>
    <w:rsid w:val="000951F5"/>
    <w:rsid w:val="00095989"/>
    <w:rsid w:val="0009628F"/>
    <w:rsid w:val="000962B6"/>
    <w:rsid w:val="0009645B"/>
    <w:rsid w:val="00096C6D"/>
    <w:rsid w:val="00097045"/>
    <w:rsid w:val="00097AF3"/>
    <w:rsid w:val="000A073A"/>
    <w:rsid w:val="000A1029"/>
    <w:rsid w:val="000A1620"/>
    <w:rsid w:val="000A1BB9"/>
    <w:rsid w:val="000A24BA"/>
    <w:rsid w:val="000A295E"/>
    <w:rsid w:val="000A2FBC"/>
    <w:rsid w:val="000A3075"/>
    <w:rsid w:val="000A3E2E"/>
    <w:rsid w:val="000A3E85"/>
    <w:rsid w:val="000A4000"/>
    <w:rsid w:val="000A4810"/>
    <w:rsid w:val="000A48F3"/>
    <w:rsid w:val="000A4D3C"/>
    <w:rsid w:val="000A52F3"/>
    <w:rsid w:val="000A5320"/>
    <w:rsid w:val="000A5767"/>
    <w:rsid w:val="000A58F7"/>
    <w:rsid w:val="000A603A"/>
    <w:rsid w:val="000A6061"/>
    <w:rsid w:val="000A62BB"/>
    <w:rsid w:val="000A67AE"/>
    <w:rsid w:val="000A6AAB"/>
    <w:rsid w:val="000A6DAD"/>
    <w:rsid w:val="000A6EC6"/>
    <w:rsid w:val="000A75E1"/>
    <w:rsid w:val="000A7662"/>
    <w:rsid w:val="000A7CA3"/>
    <w:rsid w:val="000A7F80"/>
    <w:rsid w:val="000A9062"/>
    <w:rsid w:val="000B046E"/>
    <w:rsid w:val="000B0631"/>
    <w:rsid w:val="000B06C6"/>
    <w:rsid w:val="000B0897"/>
    <w:rsid w:val="000B164D"/>
    <w:rsid w:val="000B1F28"/>
    <w:rsid w:val="000B271A"/>
    <w:rsid w:val="000B2721"/>
    <w:rsid w:val="000B28A6"/>
    <w:rsid w:val="000B2A48"/>
    <w:rsid w:val="000B2B19"/>
    <w:rsid w:val="000B2D28"/>
    <w:rsid w:val="000B38D2"/>
    <w:rsid w:val="000B4261"/>
    <w:rsid w:val="000B4420"/>
    <w:rsid w:val="000B495B"/>
    <w:rsid w:val="000B496C"/>
    <w:rsid w:val="000B4A76"/>
    <w:rsid w:val="000B4DD6"/>
    <w:rsid w:val="000B4F75"/>
    <w:rsid w:val="000B5200"/>
    <w:rsid w:val="000B53A5"/>
    <w:rsid w:val="000B54C0"/>
    <w:rsid w:val="000B57DB"/>
    <w:rsid w:val="000B5AA4"/>
    <w:rsid w:val="000B5C3E"/>
    <w:rsid w:val="000B6842"/>
    <w:rsid w:val="000B6A6B"/>
    <w:rsid w:val="000B7120"/>
    <w:rsid w:val="000B7697"/>
    <w:rsid w:val="000B7D88"/>
    <w:rsid w:val="000C08EA"/>
    <w:rsid w:val="000C0A23"/>
    <w:rsid w:val="000C0A62"/>
    <w:rsid w:val="000C0AD6"/>
    <w:rsid w:val="000C0AEA"/>
    <w:rsid w:val="000C13EF"/>
    <w:rsid w:val="000C14D9"/>
    <w:rsid w:val="000C188B"/>
    <w:rsid w:val="000C1F36"/>
    <w:rsid w:val="000C20A6"/>
    <w:rsid w:val="000C2378"/>
    <w:rsid w:val="000C25AE"/>
    <w:rsid w:val="000C2B94"/>
    <w:rsid w:val="000C2F18"/>
    <w:rsid w:val="000C2F6A"/>
    <w:rsid w:val="000C3417"/>
    <w:rsid w:val="000C3AF9"/>
    <w:rsid w:val="000C3F46"/>
    <w:rsid w:val="000C41C6"/>
    <w:rsid w:val="000C46B0"/>
    <w:rsid w:val="000C47E7"/>
    <w:rsid w:val="000C481F"/>
    <w:rsid w:val="000C5287"/>
    <w:rsid w:val="000C560F"/>
    <w:rsid w:val="000C5AD2"/>
    <w:rsid w:val="000C5E19"/>
    <w:rsid w:val="000C622E"/>
    <w:rsid w:val="000C644B"/>
    <w:rsid w:val="000C6CCE"/>
    <w:rsid w:val="000C7417"/>
    <w:rsid w:val="000C77DC"/>
    <w:rsid w:val="000C780E"/>
    <w:rsid w:val="000D05A1"/>
    <w:rsid w:val="000D102C"/>
    <w:rsid w:val="000D17D2"/>
    <w:rsid w:val="000D1B3E"/>
    <w:rsid w:val="000D207B"/>
    <w:rsid w:val="000D2448"/>
    <w:rsid w:val="000D2470"/>
    <w:rsid w:val="000D2947"/>
    <w:rsid w:val="000D2D19"/>
    <w:rsid w:val="000D344D"/>
    <w:rsid w:val="000D396E"/>
    <w:rsid w:val="000D3982"/>
    <w:rsid w:val="000D39CE"/>
    <w:rsid w:val="000D3A50"/>
    <w:rsid w:val="000D3D5A"/>
    <w:rsid w:val="000D4470"/>
    <w:rsid w:val="000D484C"/>
    <w:rsid w:val="000D4FF9"/>
    <w:rsid w:val="000D612B"/>
    <w:rsid w:val="000D6212"/>
    <w:rsid w:val="000D66DF"/>
    <w:rsid w:val="000D6A11"/>
    <w:rsid w:val="000D6B22"/>
    <w:rsid w:val="000D7375"/>
    <w:rsid w:val="000D7B21"/>
    <w:rsid w:val="000D7B9E"/>
    <w:rsid w:val="000D7DC2"/>
    <w:rsid w:val="000E06F4"/>
    <w:rsid w:val="000E0CC2"/>
    <w:rsid w:val="000E0CFB"/>
    <w:rsid w:val="000E0D14"/>
    <w:rsid w:val="000E122D"/>
    <w:rsid w:val="000E1CC6"/>
    <w:rsid w:val="000E1EF3"/>
    <w:rsid w:val="000E2392"/>
    <w:rsid w:val="000E2685"/>
    <w:rsid w:val="000E2E01"/>
    <w:rsid w:val="000E2FAD"/>
    <w:rsid w:val="000E35EA"/>
    <w:rsid w:val="000E36F6"/>
    <w:rsid w:val="000E3733"/>
    <w:rsid w:val="000E3B79"/>
    <w:rsid w:val="000E3BE7"/>
    <w:rsid w:val="000E440E"/>
    <w:rsid w:val="000E457E"/>
    <w:rsid w:val="000E45F1"/>
    <w:rsid w:val="000E469F"/>
    <w:rsid w:val="000E4747"/>
    <w:rsid w:val="000E491F"/>
    <w:rsid w:val="000E4B8E"/>
    <w:rsid w:val="000E51A7"/>
    <w:rsid w:val="000E6519"/>
    <w:rsid w:val="000E6A9C"/>
    <w:rsid w:val="000E6E3F"/>
    <w:rsid w:val="000E707F"/>
    <w:rsid w:val="000F00F3"/>
    <w:rsid w:val="000F05EB"/>
    <w:rsid w:val="000F0701"/>
    <w:rsid w:val="000F088B"/>
    <w:rsid w:val="000F0D1B"/>
    <w:rsid w:val="000F1242"/>
    <w:rsid w:val="000F16D1"/>
    <w:rsid w:val="000F1714"/>
    <w:rsid w:val="000F1BA8"/>
    <w:rsid w:val="000F1CA4"/>
    <w:rsid w:val="000F1DFE"/>
    <w:rsid w:val="000F221E"/>
    <w:rsid w:val="000F27F0"/>
    <w:rsid w:val="000F2A01"/>
    <w:rsid w:val="000F2A2A"/>
    <w:rsid w:val="000F304A"/>
    <w:rsid w:val="000F35CB"/>
    <w:rsid w:val="000F3AE6"/>
    <w:rsid w:val="000F3C2C"/>
    <w:rsid w:val="000F3DAE"/>
    <w:rsid w:val="000F3E0F"/>
    <w:rsid w:val="000F40D7"/>
    <w:rsid w:val="000F42AE"/>
    <w:rsid w:val="000F4607"/>
    <w:rsid w:val="000F4AA6"/>
    <w:rsid w:val="000F5132"/>
    <w:rsid w:val="000F5AD6"/>
    <w:rsid w:val="000F5E8B"/>
    <w:rsid w:val="000F63D6"/>
    <w:rsid w:val="000F6580"/>
    <w:rsid w:val="000F6590"/>
    <w:rsid w:val="000F66FC"/>
    <w:rsid w:val="000F6709"/>
    <w:rsid w:val="000F6C5A"/>
    <w:rsid w:val="000F753C"/>
    <w:rsid w:val="000F757E"/>
    <w:rsid w:val="0010022A"/>
    <w:rsid w:val="0010053C"/>
    <w:rsid w:val="00100EC4"/>
    <w:rsid w:val="001013BB"/>
    <w:rsid w:val="0010271B"/>
    <w:rsid w:val="00102F9B"/>
    <w:rsid w:val="00103050"/>
    <w:rsid w:val="0010358C"/>
    <w:rsid w:val="001036A8"/>
    <w:rsid w:val="00103749"/>
    <w:rsid w:val="00103AE2"/>
    <w:rsid w:val="00103CB4"/>
    <w:rsid w:val="00103DC4"/>
    <w:rsid w:val="001047E3"/>
    <w:rsid w:val="00104CBE"/>
    <w:rsid w:val="001054EB"/>
    <w:rsid w:val="00105B0B"/>
    <w:rsid w:val="00105F9B"/>
    <w:rsid w:val="0010638B"/>
    <w:rsid w:val="00106529"/>
    <w:rsid w:val="001069E8"/>
    <w:rsid w:val="00106A06"/>
    <w:rsid w:val="00106CD0"/>
    <w:rsid w:val="001074F7"/>
    <w:rsid w:val="001076EB"/>
    <w:rsid w:val="00110559"/>
    <w:rsid w:val="00110F79"/>
    <w:rsid w:val="00111128"/>
    <w:rsid w:val="00111283"/>
    <w:rsid w:val="00111601"/>
    <w:rsid w:val="0011181D"/>
    <w:rsid w:val="00111834"/>
    <w:rsid w:val="00111A7D"/>
    <w:rsid w:val="00113296"/>
    <w:rsid w:val="0011354A"/>
    <w:rsid w:val="001138F0"/>
    <w:rsid w:val="00113C6F"/>
    <w:rsid w:val="00113D0B"/>
    <w:rsid w:val="00113E35"/>
    <w:rsid w:val="00113FD1"/>
    <w:rsid w:val="00114322"/>
    <w:rsid w:val="00114651"/>
    <w:rsid w:val="00114890"/>
    <w:rsid w:val="00114EA7"/>
    <w:rsid w:val="00115211"/>
    <w:rsid w:val="00115417"/>
    <w:rsid w:val="00115513"/>
    <w:rsid w:val="00115CC4"/>
    <w:rsid w:val="00115DD4"/>
    <w:rsid w:val="00115FE7"/>
    <w:rsid w:val="001169B8"/>
    <w:rsid w:val="00116A44"/>
    <w:rsid w:val="00116E95"/>
    <w:rsid w:val="00117599"/>
    <w:rsid w:val="00117868"/>
    <w:rsid w:val="00117B85"/>
    <w:rsid w:val="00117B97"/>
    <w:rsid w:val="00117F70"/>
    <w:rsid w:val="001202EE"/>
    <w:rsid w:val="001206F6"/>
    <w:rsid w:val="00120A66"/>
    <w:rsid w:val="00120ACB"/>
    <w:rsid w:val="00120DBC"/>
    <w:rsid w:val="00121318"/>
    <w:rsid w:val="001213E6"/>
    <w:rsid w:val="00122414"/>
    <w:rsid w:val="00122C13"/>
    <w:rsid w:val="00122FC3"/>
    <w:rsid w:val="001236B0"/>
    <w:rsid w:val="00123727"/>
    <w:rsid w:val="0012381E"/>
    <w:rsid w:val="0012382E"/>
    <w:rsid w:val="00124088"/>
    <w:rsid w:val="0012419C"/>
    <w:rsid w:val="001241CC"/>
    <w:rsid w:val="00124599"/>
    <w:rsid w:val="0012507D"/>
    <w:rsid w:val="00125824"/>
    <w:rsid w:val="0012594A"/>
    <w:rsid w:val="00126027"/>
    <w:rsid w:val="00126CBC"/>
    <w:rsid w:val="00126FCF"/>
    <w:rsid w:val="00127685"/>
    <w:rsid w:val="00127CE7"/>
    <w:rsid w:val="00127CF0"/>
    <w:rsid w:val="00127F97"/>
    <w:rsid w:val="00130875"/>
    <w:rsid w:val="00130A6D"/>
    <w:rsid w:val="00130E51"/>
    <w:rsid w:val="001315EC"/>
    <w:rsid w:val="001322BB"/>
    <w:rsid w:val="00132468"/>
    <w:rsid w:val="001330F4"/>
    <w:rsid w:val="00133268"/>
    <w:rsid w:val="00133682"/>
    <w:rsid w:val="00133C7C"/>
    <w:rsid w:val="001340CB"/>
    <w:rsid w:val="001344ED"/>
    <w:rsid w:val="00134A25"/>
    <w:rsid w:val="00134A44"/>
    <w:rsid w:val="001362E0"/>
    <w:rsid w:val="00137192"/>
    <w:rsid w:val="001371D9"/>
    <w:rsid w:val="0013754F"/>
    <w:rsid w:val="00137957"/>
    <w:rsid w:val="00137ABC"/>
    <w:rsid w:val="00137BDE"/>
    <w:rsid w:val="00137DC2"/>
    <w:rsid w:val="00140065"/>
    <w:rsid w:val="00140563"/>
    <w:rsid w:val="00140789"/>
    <w:rsid w:val="0014080C"/>
    <w:rsid w:val="00140A31"/>
    <w:rsid w:val="0014157F"/>
    <w:rsid w:val="0014240C"/>
    <w:rsid w:val="00142D11"/>
    <w:rsid w:val="001430B9"/>
    <w:rsid w:val="00143591"/>
    <w:rsid w:val="00143915"/>
    <w:rsid w:val="001441DD"/>
    <w:rsid w:val="0014479E"/>
    <w:rsid w:val="0014485F"/>
    <w:rsid w:val="00144861"/>
    <w:rsid w:val="00144989"/>
    <w:rsid w:val="00144B8F"/>
    <w:rsid w:val="001451BE"/>
    <w:rsid w:val="00145624"/>
    <w:rsid w:val="001456D7"/>
    <w:rsid w:val="001456F3"/>
    <w:rsid w:val="0014584C"/>
    <w:rsid w:val="00145BAB"/>
    <w:rsid w:val="00145DCE"/>
    <w:rsid w:val="00146D00"/>
    <w:rsid w:val="00146E66"/>
    <w:rsid w:val="00147623"/>
    <w:rsid w:val="00150058"/>
    <w:rsid w:val="001505E8"/>
    <w:rsid w:val="001508E1"/>
    <w:rsid w:val="00150F91"/>
    <w:rsid w:val="00151107"/>
    <w:rsid w:val="00151D89"/>
    <w:rsid w:val="00152344"/>
    <w:rsid w:val="00152455"/>
    <w:rsid w:val="00152536"/>
    <w:rsid w:val="001533CF"/>
    <w:rsid w:val="00153E51"/>
    <w:rsid w:val="0015423A"/>
    <w:rsid w:val="00154A57"/>
    <w:rsid w:val="00155735"/>
    <w:rsid w:val="00155AF8"/>
    <w:rsid w:val="00155C64"/>
    <w:rsid w:val="00155DA9"/>
    <w:rsid w:val="00155DE0"/>
    <w:rsid w:val="00156167"/>
    <w:rsid w:val="00157161"/>
    <w:rsid w:val="00157216"/>
    <w:rsid w:val="00157252"/>
    <w:rsid w:val="00157774"/>
    <w:rsid w:val="00157E28"/>
    <w:rsid w:val="00157EB8"/>
    <w:rsid w:val="001600FD"/>
    <w:rsid w:val="00160160"/>
    <w:rsid w:val="00161443"/>
    <w:rsid w:val="001622B8"/>
    <w:rsid w:val="00162AA4"/>
    <w:rsid w:val="00163A58"/>
    <w:rsid w:val="00163B48"/>
    <w:rsid w:val="0016465A"/>
    <w:rsid w:val="00165276"/>
    <w:rsid w:val="001658C7"/>
    <w:rsid w:val="00165B6F"/>
    <w:rsid w:val="00165D12"/>
    <w:rsid w:val="00165D6B"/>
    <w:rsid w:val="001660B8"/>
    <w:rsid w:val="00166331"/>
    <w:rsid w:val="001665A2"/>
    <w:rsid w:val="001673EA"/>
    <w:rsid w:val="0016781C"/>
    <w:rsid w:val="00170ADD"/>
    <w:rsid w:val="00170D2E"/>
    <w:rsid w:val="00170E9D"/>
    <w:rsid w:val="00171C48"/>
    <w:rsid w:val="00171DF0"/>
    <w:rsid w:val="001724CC"/>
    <w:rsid w:val="001727B1"/>
    <w:rsid w:val="00172BC7"/>
    <w:rsid w:val="0017363D"/>
    <w:rsid w:val="00173C56"/>
    <w:rsid w:val="00173E22"/>
    <w:rsid w:val="0017435A"/>
    <w:rsid w:val="001746DC"/>
    <w:rsid w:val="00174BD2"/>
    <w:rsid w:val="001754DC"/>
    <w:rsid w:val="001755D1"/>
    <w:rsid w:val="0017633E"/>
    <w:rsid w:val="001765C7"/>
    <w:rsid w:val="00176670"/>
    <w:rsid w:val="001769B5"/>
    <w:rsid w:val="00176F7C"/>
    <w:rsid w:val="00177031"/>
    <w:rsid w:val="0017757C"/>
    <w:rsid w:val="0017778E"/>
    <w:rsid w:val="001778E6"/>
    <w:rsid w:val="00177D99"/>
    <w:rsid w:val="0018032E"/>
    <w:rsid w:val="00181969"/>
    <w:rsid w:val="00181D18"/>
    <w:rsid w:val="00181E40"/>
    <w:rsid w:val="00181EFA"/>
    <w:rsid w:val="00181FC7"/>
    <w:rsid w:val="001820BE"/>
    <w:rsid w:val="001820D1"/>
    <w:rsid w:val="001824B9"/>
    <w:rsid w:val="00182517"/>
    <w:rsid w:val="00182923"/>
    <w:rsid w:val="00182D6E"/>
    <w:rsid w:val="00183692"/>
    <w:rsid w:val="001838D3"/>
    <w:rsid w:val="00183F9D"/>
    <w:rsid w:val="00183FF3"/>
    <w:rsid w:val="0018470A"/>
    <w:rsid w:val="001849DE"/>
    <w:rsid w:val="00185E1C"/>
    <w:rsid w:val="00186BBB"/>
    <w:rsid w:val="001871CF"/>
    <w:rsid w:val="00190034"/>
    <w:rsid w:val="00190906"/>
    <w:rsid w:val="00190A90"/>
    <w:rsid w:val="0019170F"/>
    <w:rsid w:val="00191D8C"/>
    <w:rsid w:val="00191DB8"/>
    <w:rsid w:val="00191DFE"/>
    <w:rsid w:val="00191E71"/>
    <w:rsid w:val="00191F2A"/>
    <w:rsid w:val="00192065"/>
    <w:rsid w:val="001922B2"/>
    <w:rsid w:val="00192C3A"/>
    <w:rsid w:val="001934C6"/>
    <w:rsid w:val="0019366A"/>
    <w:rsid w:val="001938C0"/>
    <w:rsid w:val="00193BBC"/>
    <w:rsid w:val="00193D3C"/>
    <w:rsid w:val="00193E31"/>
    <w:rsid w:val="001946BC"/>
    <w:rsid w:val="001948AE"/>
    <w:rsid w:val="00194924"/>
    <w:rsid w:val="00194A4F"/>
    <w:rsid w:val="00194F5F"/>
    <w:rsid w:val="001956BC"/>
    <w:rsid w:val="001957A8"/>
    <w:rsid w:val="00195979"/>
    <w:rsid w:val="00195F3F"/>
    <w:rsid w:val="00195F58"/>
    <w:rsid w:val="00195F75"/>
    <w:rsid w:val="001963EF"/>
    <w:rsid w:val="00196551"/>
    <w:rsid w:val="0019687E"/>
    <w:rsid w:val="00196FC5"/>
    <w:rsid w:val="0019702E"/>
    <w:rsid w:val="001976F7"/>
    <w:rsid w:val="00197ACC"/>
    <w:rsid w:val="001A04BF"/>
    <w:rsid w:val="001A060C"/>
    <w:rsid w:val="001A07AC"/>
    <w:rsid w:val="001A0B89"/>
    <w:rsid w:val="001A0D6E"/>
    <w:rsid w:val="001A0E9D"/>
    <w:rsid w:val="001A1267"/>
    <w:rsid w:val="001A16EB"/>
    <w:rsid w:val="001A1EDE"/>
    <w:rsid w:val="001A2085"/>
    <w:rsid w:val="001A2243"/>
    <w:rsid w:val="001A2B8B"/>
    <w:rsid w:val="001A2D91"/>
    <w:rsid w:val="001A2F7E"/>
    <w:rsid w:val="001A33EC"/>
    <w:rsid w:val="001A3723"/>
    <w:rsid w:val="001A46AB"/>
    <w:rsid w:val="001A4EF5"/>
    <w:rsid w:val="001A4F38"/>
    <w:rsid w:val="001A5059"/>
    <w:rsid w:val="001A54EB"/>
    <w:rsid w:val="001A5965"/>
    <w:rsid w:val="001A6491"/>
    <w:rsid w:val="001A6713"/>
    <w:rsid w:val="001A6831"/>
    <w:rsid w:val="001A69FF"/>
    <w:rsid w:val="001A6B34"/>
    <w:rsid w:val="001A6F07"/>
    <w:rsid w:val="001A6F66"/>
    <w:rsid w:val="001A796B"/>
    <w:rsid w:val="001A7F11"/>
    <w:rsid w:val="001B017C"/>
    <w:rsid w:val="001B0F0B"/>
    <w:rsid w:val="001B10DF"/>
    <w:rsid w:val="001B1259"/>
    <w:rsid w:val="001B1466"/>
    <w:rsid w:val="001B17DD"/>
    <w:rsid w:val="001B2624"/>
    <w:rsid w:val="001B310A"/>
    <w:rsid w:val="001B3526"/>
    <w:rsid w:val="001B3876"/>
    <w:rsid w:val="001B3F87"/>
    <w:rsid w:val="001B40A8"/>
    <w:rsid w:val="001B420A"/>
    <w:rsid w:val="001B4C8E"/>
    <w:rsid w:val="001B51EF"/>
    <w:rsid w:val="001B5364"/>
    <w:rsid w:val="001B5518"/>
    <w:rsid w:val="001B553F"/>
    <w:rsid w:val="001B606D"/>
    <w:rsid w:val="001B657D"/>
    <w:rsid w:val="001B7320"/>
    <w:rsid w:val="001B7792"/>
    <w:rsid w:val="001B7B15"/>
    <w:rsid w:val="001C007E"/>
    <w:rsid w:val="001C0299"/>
    <w:rsid w:val="001C0625"/>
    <w:rsid w:val="001C08F3"/>
    <w:rsid w:val="001C1196"/>
    <w:rsid w:val="001C11EF"/>
    <w:rsid w:val="001C1732"/>
    <w:rsid w:val="001C1734"/>
    <w:rsid w:val="001C1936"/>
    <w:rsid w:val="001C19E9"/>
    <w:rsid w:val="001C1D4A"/>
    <w:rsid w:val="001C24E8"/>
    <w:rsid w:val="001C29FD"/>
    <w:rsid w:val="001C2BEA"/>
    <w:rsid w:val="001C2CA5"/>
    <w:rsid w:val="001C31B2"/>
    <w:rsid w:val="001C34CB"/>
    <w:rsid w:val="001C361A"/>
    <w:rsid w:val="001C39AA"/>
    <w:rsid w:val="001C3FC2"/>
    <w:rsid w:val="001C441F"/>
    <w:rsid w:val="001C45FF"/>
    <w:rsid w:val="001C4955"/>
    <w:rsid w:val="001C4CBC"/>
    <w:rsid w:val="001C5337"/>
    <w:rsid w:val="001C5607"/>
    <w:rsid w:val="001C5764"/>
    <w:rsid w:val="001C6A5C"/>
    <w:rsid w:val="001C6AFB"/>
    <w:rsid w:val="001C73DB"/>
    <w:rsid w:val="001D02E1"/>
    <w:rsid w:val="001D0ACA"/>
    <w:rsid w:val="001D14F2"/>
    <w:rsid w:val="001D1D9F"/>
    <w:rsid w:val="001D1DF5"/>
    <w:rsid w:val="001D2658"/>
    <w:rsid w:val="001D29D5"/>
    <w:rsid w:val="001D2ABD"/>
    <w:rsid w:val="001D3227"/>
    <w:rsid w:val="001D37E3"/>
    <w:rsid w:val="001D3922"/>
    <w:rsid w:val="001D3FF3"/>
    <w:rsid w:val="001D40E2"/>
    <w:rsid w:val="001D41EA"/>
    <w:rsid w:val="001D420E"/>
    <w:rsid w:val="001D441D"/>
    <w:rsid w:val="001D4A19"/>
    <w:rsid w:val="001D4E76"/>
    <w:rsid w:val="001D512C"/>
    <w:rsid w:val="001D520A"/>
    <w:rsid w:val="001D5955"/>
    <w:rsid w:val="001D5E3B"/>
    <w:rsid w:val="001D6374"/>
    <w:rsid w:val="001D6979"/>
    <w:rsid w:val="001D750F"/>
    <w:rsid w:val="001E0167"/>
    <w:rsid w:val="001E056D"/>
    <w:rsid w:val="001E0D71"/>
    <w:rsid w:val="001E0DF2"/>
    <w:rsid w:val="001E11F1"/>
    <w:rsid w:val="001E1761"/>
    <w:rsid w:val="001E1B21"/>
    <w:rsid w:val="001E1CE4"/>
    <w:rsid w:val="001E1D41"/>
    <w:rsid w:val="001E2A62"/>
    <w:rsid w:val="001E2A99"/>
    <w:rsid w:val="001E2D99"/>
    <w:rsid w:val="001E306F"/>
    <w:rsid w:val="001E3454"/>
    <w:rsid w:val="001E3784"/>
    <w:rsid w:val="001E3DAD"/>
    <w:rsid w:val="001E3EE2"/>
    <w:rsid w:val="001E3FFC"/>
    <w:rsid w:val="001E4924"/>
    <w:rsid w:val="001E4C92"/>
    <w:rsid w:val="001E517C"/>
    <w:rsid w:val="001E53AF"/>
    <w:rsid w:val="001E53EF"/>
    <w:rsid w:val="001E5AF6"/>
    <w:rsid w:val="001E6380"/>
    <w:rsid w:val="001E64F8"/>
    <w:rsid w:val="001E6548"/>
    <w:rsid w:val="001E7188"/>
    <w:rsid w:val="001E7409"/>
    <w:rsid w:val="001E75A0"/>
    <w:rsid w:val="001E7665"/>
    <w:rsid w:val="001E77C6"/>
    <w:rsid w:val="001E7879"/>
    <w:rsid w:val="001E78FE"/>
    <w:rsid w:val="001E7B59"/>
    <w:rsid w:val="001E7D69"/>
    <w:rsid w:val="001E7EEB"/>
    <w:rsid w:val="001F0062"/>
    <w:rsid w:val="001F0704"/>
    <w:rsid w:val="001F0D69"/>
    <w:rsid w:val="001F123D"/>
    <w:rsid w:val="001F149F"/>
    <w:rsid w:val="001F2797"/>
    <w:rsid w:val="001F2A9E"/>
    <w:rsid w:val="001F313F"/>
    <w:rsid w:val="001F35A6"/>
    <w:rsid w:val="001F372B"/>
    <w:rsid w:val="001F43D5"/>
    <w:rsid w:val="001F44F8"/>
    <w:rsid w:val="001F45D5"/>
    <w:rsid w:val="001F4639"/>
    <w:rsid w:val="001F4663"/>
    <w:rsid w:val="001F4D13"/>
    <w:rsid w:val="001F4E5E"/>
    <w:rsid w:val="001F4EFD"/>
    <w:rsid w:val="001F521F"/>
    <w:rsid w:val="001F5773"/>
    <w:rsid w:val="001F5D90"/>
    <w:rsid w:val="001F6306"/>
    <w:rsid w:val="001F6584"/>
    <w:rsid w:val="001F68E3"/>
    <w:rsid w:val="001F693E"/>
    <w:rsid w:val="001F774D"/>
    <w:rsid w:val="001F7B70"/>
    <w:rsid w:val="001F7C59"/>
    <w:rsid w:val="001F7D80"/>
    <w:rsid w:val="0020031E"/>
    <w:rsid w:val="00200AAF"/>
    <w:rsid w:val="00200DF6"/>
    <w:rsid w:val="0020179E"/>
    <w:rsid w:val="002017C9"/>
    <w:rsid w:val="00201910"/>
    <w:rsid w:val="00201F9A"/>
    <w:rsid w:val="00202611"/>
    <w:rsid w:val="0020283D"/>
    <w:rsid w:val="002029FE"/>
    <w:rsid w:val="00202AEC"/>
    <w:rsid w:val="00202CB1"/>
    <w:rsid w:val="00202F72"/>
    <w:rsid w:val="002033C0"/>
    <w:rsid w:val="00203585"/>
    <w:rsid w:val="00203750"/>
    <w:rsid w:val="00204763"/>
    <w:rsid w:val="00204EB2"/>
    <w:rsid w:val="002055AB"/>
    <w:rsid w:val="0020565B"/>
    <w:rsid w:val="00205703"/>
    <w:rsid w:val="0020693A"/>
    <w:rsid w:val="00207584"/>
    <w:rsid w:val="00210A3C"/>
    <w:rsid w:val="00210F27"/>
    <w:rsid w:val="002111B8"/>
    <w:rsid w:val="00211219"/>
    <w:rsid w:val="002119E7"/>
    <w:rsid w:val="002119EC"/>
    <w:rsid w:val="00211D1B"/>
    <w:rsid w:val="00211DA1"/>
    <w:rsid w:val="00211E6E"/>
    <w:rsid w:val="00212319"/>
    <w:rsid w:val="002126AC"/>
    <w:rsid w:val="002127FA"/>
    <w:rsid w:val="0021309E"/>
    <w:rsid w:val="002136F7"/>
    <w:rsid w:val="00213D13"/>
    <w:rsid w:val="00213FCB"/>
    <w:rsid w:val="0021445D"/>
    <w:rsid w:val="00214689"/>
    <w:rsid w:val="002147E2"/>
    <w:rsid w:val="002155FB"/>
    <w:rsid w:val="002159EB"/>
    <w:rsid w:val="00215C0B"/>
    <w:rsid w:val="00216BF6"/>
    <w:rsid w:val="00216CA2"/>
    <w:rsid w:val="00217C5A"/>
    <w:rsid w:val="00217DB5"/>
    <w:rsid w:val="002200B2"/>
    <w:rsid w:val="0022016E"/>
    <w:rsid w:val="002201EA"/>
    <w:rsid w:val="00220D05"/>
    <w:rsid w:val="00220FED"/>
    <w:rsid w:val="00221397"/>
    <w:rsid w:val="00221EE2"/>
    <w:rsid w:val="002220A9"/>
    <w:rsid w:val="002220D6"/>
    <w:rsid w:val="00222225"/>
    <w:rsid w:val="00222AC6"/>
    <w:rsid w:val="00222B74"/>
    <w:rsid w:val="00222BCA"/>
    <w:rsid w:val="00222C4F"/>
    <w:rsid w:val="00223149"/>
    <w:rsid w:val="0022358F"/>
    <w:rsid w:val="00223BB7"/>
    <w:rsid w:val="0022469D"/>
    <w:rsid w:val="00224705"/>
    <w:rsid w:val="0022523E"/>
    <w:rsid w:val="00225470"/>
    <w:rsid w:val="002257B8"/>
    <w:rsid w:val="002264D2"/>
    <w:rsid w:val="00226978"/>
    <w:rsid w:val="00226AF0"/>
    <w:rsid w:val="00227240"/>
    <w:rsid w:val="0022780B"/>
    <w:rsid w:val="00227A12"/>
    <w:rsid w:val="00227A2E"/>
    <w:rsid w:val="00230002"/>
    <w:rsid w:val="0023010C"/>
    <w:rsid w:val="002301D5"/>
    <w:rsid w:val="002306D7"/>
    <w:rsid w:val="00231196"/>
    <w:rsid w:val="00231547"/>
    <w:rsid w:val="00231D6E"/>
    <w:rsid w:val="0023219B"/>
    <w:rsid w:val="002326B9"/>
    <w:rsid w:val="002329A7"/>
    <w:rsid w:val="00232B1B"/>
    <w:rsid w:val="00233CAE"/>
    <w:rsid w:val="002347CB"/>
    <w:rsid w:val="00234C48"/>
    <w:rsid w:val="00234CE4"/>
    <w:rsid w:val="00234FEB"/>
    <w:rsid w:val="00235532"/>
    <w:rsid w:val="002358CD"/>
    <w:rsid w:val="0023617A"/>
    <w:rsid w:val="002362FB"/>
    <w:rsid w:val="00236631"/>
    <w:rsid w:val="00236696"/>
    <w:rsid w:val="00236B4B"/>
    <w:rsid w:val="00236D72"/>
    <w:rsid w:val="00236D97"/>
    <w:rsid w:val="00236E2F"/>
    <w:rsid w:val="00237063"/>
    <w:rsid w:val="002370CB"/>
    <w:rsid w:val="0023740F"/>
    <w:rsid w:val="0023752E"/>
    <w:rsid w:val="00237765"/>
    <w:rsid w:val="00237B02"/>
    <w:rsid w:val="002402A1"/>
    <w:rsid w:val="00242458"/>
    <w:rsid w:val="00242908"/>
    <w:rsid w:val="00242B15"/>
    <w:rsid w:val="00242C6B"/>
    <w:rsid w:val="00242C6C"/>
    <w:rsid w:val="00243079"/>
    <w:rsid w:val="0024313A"/>
    <w:rsid w:val="002435C7"/>
    <w:rsid w:val="00243665"/>
    <w:rsid w:val="002436EB"/>
    <w:rsid w:val="00243F7F"/>
    <w:rsid w:val="0024435F"/>
    <w:rsid w:val="00244838"/>
    <w:rsid w:val="00244A4C"/>
    <w:rsid w:val="00244C62"/>
    <w:rsid w:val="00244D50"/>
    <w:rsid w:val="0024534A"/>
    <w:rsid w:val="00245D12"/>
    <w:rsid w:val="002462B2"/>
    <w:rsid w:val="0024638D"/>
    <w:rsid w:val="0024658F"/>
    <w:rsid w:val="00246A07"/>
    <w:rsid w:val="00246B56"/>
    <w:rsid w:val="00246BC3"/>
    <w:rsid w:val="00246FE0"/>
    <w:rsid w:val="002478CA"/>
    <w:rsid w:val="00247D78"/>
    <w:rsid w:val="00247F35"/>
    <w:rsid w:val="0025076F"/>
    <w:rsid w:val="00250961"/>
    <w:rsid w:val="00250B42"/>
    <w:rsid w:val="00250C38"/>
    <w:rsid w:val="002513CA"/>
    <w:rsid w:val="00251587"/>
    <w:rsid w:val="00252030"/>
    <w:rsid w:val="0025212A"/>
    <w:rsid w:val="0025269D"/>
    <w:rsid w:val="00252828"/>
    <w:rsid w:val="00252B1D"/>
    <w:rsid w:val="00252FEB"/>
    <w:rsid w:val="00253DA0"/>
    <w:rsid w:val="00254044"/>
    <w:rsid w:val="0025415D"/>
    <w:rsid w:val="00254486"/>
    <w:rsid w:val="002545CE"/>
    <w:rsid w:val="00255324"/>
    <w:rsid w:val="00255582"/>
    <w:rsid w:val="00255933"/>
    <w:rsid w:val="00255C36"/>
    <w:rsid w:val="00255F5F"/>
    <w:rsid w:val="002563D8"/>
    <w:rsid w:val="002568B6"/>
    <w:rsid w:val="00256CD2"/>
    <w:rsid w:val="00256D04"/>
    <w:rsid w:val="00256D29"/>
    <w:rsid w:val="00256DAD"/>
    <w:rsid w:val="00257075"/>
    <w:rsid w:val="002575FF"/>
    <w:rsid w:val="002576D4"/>
    <w:rsid w:val="002578A5"/>
    <w:rsid w:val="00257955"/>
    <w:rsid w:val="00257A54"/>
    <w:rsid w:val="00257DE7"/>
    <w:rsid w:val="0026006A"/>
    <w:rsid w:val="00260A5D"/>
    <w:rsid w:val="00260CD5"/>
    <w:rsid w:val="002621AE"/>
    <w:rsid w:val="002624C8"/>
    <w:rsid w:val="00262D65"/>
    <w:rsid w:val="00263155"/>
    <w:rsid w:val="00263C5E"/>
    <w:rsid w:val="00264014"/>
    <w:rsid w:val="00264686"/>
    <w:rsid w:val="0026470B"/>
    <w:rsid w:val="00264F68"/>
    <w:rsid w:val="00265054"/>
    <w:rsid w:val="002657F6"/>
    <w:rsid w:val="00265954"/>
    <w:rsid w:val="00265BFE"/>
    <w:rsid w:val="0026637F"/>
    <w:rsid w:val="00266725"/>
    <w:rsid w:val="00267079"/>
    <w:rsid w:val="002673AC"/>
    <w:rsid w:val="00267601"/>
    <w:rsid w:val="00267C1D"/>
    <w:rsid w:val="00270033"/>
    <w:rsid w:val="00271BE8"/>
    <w:rsid w:val="0027272C"/>
    <w:rsid w:val="002727A2"/>
    <w:rsid w:val="00272FA7"/>
    <w:rsid w:val="00273025"/>
    <w:rsid w:val="00273297"/>
    <w:rsid w:val="002734CB"/>
    <w:rsid w:val="00273EC4"/>
    <w:rsid w:val="00274474"/>
    <w:rsid w:val="0027460B"/>
    <w:rsid w:val="0027463F"/>
    <w:rsid w:val="002749AA"/>
    <w:rsid w:val="0027508E"/>
    <w:rsid w:val="00275430"/>
    <w:rsid w:val="00275473"/>
    <w:rsid w:val="00275490"/>
    <w:rsid w:val="00275613"/>
    <w:rsid w:val="002756EC"/>
    <w:rsid w:val="002757F2"/>
    <w:rsid w:val="00276644"/>
    <w:rsid w:val="00276905"/>
    <w:rsid w:val="00276A34"/>
    <w:rsid w:val="00276C60"/>
    <w:rsid w:val="00276C6D"/>
    <w:rsid w:val="00276DED"/>
    <w:rsid w:val="00276F94"/>
    <w:rsid w:val="0027729B"/>
    <w:rsid w:val="002777A8"/>
    <w:rsid w:val="0027784C"/>
    <w:rsid w:val="00277E2A"/>
    <w:rsid w:val="002808EB"/>
    <w:rsid w:val="00280A25"/>
    <w:rsid w:val="00280E58"/>
    <w:rsid w:val="00281B71"/>
    <w:rsid w:val="00281C82"/>
    <w:rsid w:val="00281F38"/>
    <w:rsid w:val="00282BBD"/>
    <w:rsid w:val="0028300B"/>
    <w:rsid w:val="00283544"/>
    <w:rsid w:val="00283676"/>
    <w:rsid w:val="00283961"/>
    <w:rsid w:val="00283A98"/>
    <w:rsid w:val="00283D9E"/>
    <w:rsid w:val="00283FAE"/>
    <w:rsid w:val="002841A4"/>
    <w:rsid w:val="0028439C"/>
    <w:rsid w:val="00284420"/>
    <w:rsid w:val="002845D9"/>
    <w:rsid w:val="00284A14"/>
    <w:rsid w:val="002850C5"/>
    <w:rsid w:val="00285657"/>
    <w:rsid w:val="00285695"/>
    <w:rsid w:val="002856BD"/>
    <w:rsid w:val="00285B44"/>
    <w:rsid w:val="00285BE4"/>
    <w:rsid w:val="00285E1B"/>
    <w:rsid w:val="002868EF"/>
    <w:rsid w:val="00286911"/>
    <w:rsid w:val="00286968"/>
    <w:rsid w:val="00286DC1"/>
    <w:rsid w:val="0028729B"/>
    <w:rsid w:val="00287350"/>
    <w:rsid w:val="0028770C"/>
    <w:rsid w:val="00287B3F"/>
    <w:rsid w:val="00287CDC"/>
    <w:rsid w:val="00287D23"/>
    <w:rsid w:val="00287F6D"/>
    <w:rsid w:val="002900DB"/>
    <w:rsid w:val="00290680"/>
    <w:rsid w:val="00290C6E"/>
    <w:rsid w:val="00291729"/>
    <w:rsid w:val="00291AB6"/>
    <w:rsid w:val="00291BD6"/>
    <w:rsid w:val="00291EC5"/>
    <w:rsid w:val="00292094"/>
    <w:rsid w:val="002920CC"/>
    <w:rsid w:val="002920D1"/>
    <w:rsid w:val="00292CAD"/>
    <w:rsid w:val="00293154"/>
    <w:rsid w:val="00293183"/>
    <w:rsid w:val="0029352A"/>
    <w:rsid w:val="00293E75"/>
    <w:rsid w:val="00294510"/>
    <w:rsid w:val="00294CC9"/>
    <w:rsid w:val="002952AD"/>
    <w:rsid w:val="00295880"/>
    <w:rsid w:val="00295939"/>
    <w:rsid w:val="002959BF"/>
    <w:rsid w:val="00295B99"/>
    <w:rsid w:val="0029609F"/>
    <w:rsid w:val="00296171"/>
    <w:rsid w:val="00296612"/>
    <w:rsid w:val="0029675B"/>
    <w:rsid w:val="002969D1"/>
    <w:rsid w:val="0029705B"/>
    <w:rsid w:val="002970A9"/>
    <w:rsid w:val="0029752F"/>
    <w:rsid w:val="002975B4"/>
    <w:rsid w:val="002979E7"/>
    <w:rsid w:val="00297A52"/>
    <w:rsid w:val="00297BFA"/>
    <w:rsid w:val="002A0CBF"/>
    <w:rsid w:val="002A0CE6"/>
    <w:rsid w:val="002A1780"/>
    <w:rsid w:val="002A1980"/>
    <w:rsid w:val="002A2010"/>
    <w:rsid w:val="002A23A3"/>
    <w:rsid w:val="002A3E66"/>
    <w:rsid w:val="002A4975"/>
    <w:rsid w:val="002A4C51"/>
    <w:rsid w:val="002A5130"/>
    <w:rsid w:val="002A5360"/>
    <w:rsid w:val="002A63A4"/>
    <w:rsid w:val="002A6D0E"/>
    <w:rsid w:val="002A6EFA"/>
    <w:rsid w:val="002A72D9"/>
    <w:rsid w:val="002A7989"/>
    <w:rsid w:val="002A7A05"/>
    <w:rsid w:val="002A7DBF"/>
    <w:rsid w:val="002B01FB"/>
    <w:rsid w:val="002B0D17"/>
    <w:rsid w:val="002B0DAF"/>
    <w:rsid w:val="002B1189"/>
    <w:rsid w:val="002B15CB"/>
    <w:rsid w:val="002B1B58"/>
    <w:rsid w:val="002B1B98"/>
    <w:rsid w:val="002B1C6B"/>
    <w:rsid w:val="002B2037"/>
    <w:rsid w:val="002B20E2"/>
    <w:rsid w:val="002B2258"/>
    <w:rsid w:val="002B25A3"/>
    <w:rsid w:val="002B26B6"/>
    <w:rsid w:val="002B280B"/>
    <w:rsid w:val="002B2838"/>
    <w:rsid w:val="002B2B20"/>
    <w:rsid w:val="002B3184"/>
    <w:rsid w:val="002B3797"/>
    <w:rsid w:val="002B39E5"/>
    <w:rsid w:val="002B3AA4"/>
    <w:rsid w:val="002B3E05"/>
    <w:rsid w:val="002B414A"/>
    <w:rsid w:val="002B461E"/>
    <w:rsid w:val="002B468B"/>
    <w:rsid w:val="002B4A82"/>
    <w:rsid w:val="002B56AC"/>
    <w:rsid w:val="002B5A55"/>
    <w:rsid w:val="002B5AB0"/>
    <w:rsid w:val="002B5E1A"/>
    <w:rsid w:val="002B615A"/>
    <w:rsid w:val="002B6AFD"/>
    <w:rsid w:val="002B6F03"/>
    <w:rsid w:val="002B73A9"/>
    <w:rsid w:val="002B757C"/>
    <w:rsid w:val="002B7727"/>
    <w:rsid w:val="002B7761"/>
    <w:rsid w:val="002C009F"/>
    <w:rsid w:val="002C1887"/>
    <w:rsid w:val="002C18C7"/>
    <w:rsid w:val="002C24A3"/>
    <w:rsid w:val="002C28E5"/>
    <w:rsid w:val="002C2D9B"/>
    <w:rsid w:val="002C2FF3"/>
    <w:rsid w:val="002C3209"/>
    <w:rsid w:val="002C37AF"/>
    <w:rsid w:val="002C3C8E"/>
    <w:rsid w:val="002C3DFE"/>
    <w:rsid w:val="002C50CB"/>
    <w:rsid w:val="002C519C"/>
    <w:rsid w:val="002C5AFB"/>
    <w:rsid w:val="002C61C0"/>
    <w:rsid w:val="002C620C"/>
    <w:rsid w:val="002C621B"/>
    <w:rsid w:val="002C62C6"/>
    <w:rsid w:val="002C6CB8"/>
    <w:rsid w:val="002C7159"/>
    <w:rsid w:val="002C7509"/>
    <w:rsid w:val="002C763E"/>
    <w:rsid w:val="002C780B"/>
    <w:rsid w:val="002C7B1D"/>
    <w:rsid w:val="002D095D"/>
    <w:rsid w:val="002D0DB8"/>
    <w:rsid w:val="002D1005"/>
    <w:rsid w:val="002D15A3"/>
    <w:rsid w:val="002D1A1D"/>
    <w:rsid w:val="002D2173"/>
    <w:rsid w:val="002D22E5"/>
    <w:rsid w:val="002D2348"/>
    <w:rsid w:val="002D2596"/>
    <w:rsid w:val="002D2B08"/>
    <w:rsid w:val="002D2C88"/>
    <w:rsid w:val="002D2CC6"/>
    <w:rsid w:val="002D2E17"/>
    <w:rsid w:val="002D3756"/>
    <w:rsid w:val="002D3CE5"/>
    <w:rsid w:val="002D4304"/>
    <w:rsid w:val="002D444F"/>
    <w:rsid w:val="002D496B"/>
    <w:rsid w:val="002D49A8"/>
    <w:rsid w:val="002D4DF0"/>
    <w:rsid w:val="002D55E5"/>
    <w:rsid w:val="002D5632"/>
    <w:rsid w:val="002D5989"/>
    <w:rsid w:val="002D5D88"/>
    <w:rsid w:val="002D6049"/>
    <w:rsid w:val="002D62B1"/>
    <w:rsid w:val="002D65C2"/>
    <w:rsid w:val="002D6860"/>
    <w:rsid w:val="002D6AA6"/>
    <w:rsid w:val="002D6CE8"/>
    <w:rsid w:val="002D7121"/>
    <w:rsid w:val="002E04E1"/>
    <w:rsid w:val="002E0634"/>
    <w:rsid w:val="002E1114"/>
    <w:rsid w:val="002E114A"/>
    <w:rsid w:val="002E124D"/>
    <w:rsid w:val="002E1346"/>
    <w:rsid w:val="002E1535"/>
    <w:rsid w:val="002E189B"/>
    <w:rsid w:val="002E1E2E"/>
    <w:rsid w:val="002E2017"/>
    <w:rsid w:val="002E2029"/>
    <w:rsid w:val="002E2B07"/>
    <w:rsid w:val="002E311C"/>
    <w:rsid w:val="002E39FE"/>
    <w:rsid w:val="002E3F2E"/>
    <w:rsid w:val="002E4281"/>
    <w:rsid w:val="002E492D"/>
    <w:rsid w:val="002E53CD"/>
    <w:rsid w:val="002E5694"/>
    <w:rsid w:val="002E571D"/>
    <w:rsid w:val="002E5890"/>
    <w:rsid w:val="002E5A2E"/>
    <w:rsid w:val="002E5AB0"/>
    <w:rsid w:val="002E61EE"/>
    <w:rsid w:val="002E662D"/>
    <w:rsid w:val="002E67AC"/>
    <w:rsid w:val="002E68CF"/>
    <w:rsid w:val="002E6B49"/>
    <w:rsid w:val="002E7624"/>
    <w:rsid w:val="002F0631"/>
    <w:rsid w:val="002F0637"/>
    <w:rsid w:val="002F0700"/>
    <w:rsid w:val="002F0CBE"/>
    <w:rsid w:val="002F1852"/>
    <w:rsid w:val="002F18F3"/>
    <w:rsid w:val="002F1A18"/>
    <w:rsid w:val="002F1B07"/>
    <w:rsid w:val="002F2C56"/>
    <w:rsid w:val="002F30BF"/>
    <w:rsid w:val="002F360A"/>
    <w:rsid w:val="002F3871"/>
    <w:rsid w:val="002F3C52"/>
    <w:rsid w:val="002F4394"/>
    <w:rsid w:val="002F4757"/>
    <w:rsid w:val="002F4BA4"/>
    <w:rsid w:val="002F4D6C"/>
    <w:rsid w:val="002F5914"/>
    <w:rsid w:val="002F641E"/>
    <w:rsid w:val="002F64CC"/>
    <w:rsid w:val="002F6685"/>
    <w:rsid w:val="002F6A1A"/>
    <w:rsid w:val="002F6E70"/>
    <w:rsid w:val="002F7B23"/>
    <w:rsid w:val="002F7C8A"/>
    <w:rsid w:val="00300496"/>
    <w:rsid w:val="003006A6"/>
    <w:rsid w:val="00300D00"/>
    <w:rsid w:val="00300DE6"/>
    <w:rsid w:val="00300DEA"/>
    <w:rsid w:val="00301152"/>
    <w:rsid w:val="00301A84"/>
    <w:rsid w:val="00302182"/>
    <w:rsid w:val="00303012"/>
    <w:rsid w:val="003031A3"/>
    <w:rsid w:val="003031C0"/>
    <w:rsid w:val="00303484"/>
    <w:rsid w:val="00303768"/>
    <w:rsid w:val="00303802"/>
    <w:rsid w:val="00303AD1"/>
    <w:rsid w:val="00303C55"/>
    <w:rsid w:val="00303EAA"/>
    <w:rsid w:val="0030431B"/>
    <w:rsid w:val="00304569"/>
    <w:rsid w:val="0030467D"/>
    <w:rsid w:val="00304798"/>
    <w:rsid w:val="003048E4"/>
    <w:rsid w:val="00304B24"/>
    <w:rsid w:val="00304B33"/>
    <w:rsid w:val="00304F40"/>
    <w:rsid w:val="00305357"/>
    <w:rsid w:val="00305A47"/>
    <w:rsid w:val="00305B85"/>
    <w:rsid w:val="00305C59"/>
    <w:rsid w:val="00306454"/>
    <w:rsid w:val="00306F96"/>
    <w:rsid w:val="00307A85"/>
    <w:rsid w:val="00307AEE"/>
    <w:rsid w:val="00307C5B"/>
    <w:rsid w:val="00310170"/>
    <w:rsid w:val="003101E4"/>
    <w:rsid w:val="003104F3"/>
    <w:rsid w:val="003105EE"/>
    <w:rsid w:val="0031121E"/>
    <w:rsid w:val="00311AD3"/>
    <w:rsid w:val="00311CDD"/>
    <w:rsid w:val="00311F01"/>
    <w:rsid w:val="003120E8"/>
    <w:rsid w:val="00312488"/>
    <w:rsid w:val="00312677"/>
    <w:rsid w:val="00312860"/>
    <w:rsid w:val="003128D3"/>
    <w:rsid w:val="003128EA"/>
    <w:rsid w:val="00312A9F"/>
    <w:rsid w:val="003136F4"/>
    <w:rsid w:val="00313C55"/>
    <w:rsid w:val="00313E31"/>
    <w:rsid w:val="00315292"/>
    <w:rsid w:val="00315594"/>
    <w:rsid w:val="00316194"/>
    <w:rsid w:val="0031624C"/>
    <w:rsid w:val="00316D70"/>
    <w:rsid w:val="00317011"/>
    <w:rsid w:val="00317C73"/>
    <w:rsid w:val="003205F0"/>
    <w:rsid w:val="00320FBF"/>
    <w:rsid w:val="00321240"/>
    <w:rsid w:val="00321A89"/>
    <w:rsid w:val="00321B22"/>
    <w:rsid w:val="00321D14"/>
    <w:rsid w:val="0032268E"/>
    <w:rsid w:val="00322A7F"/>
    <w:rsid w:val="00322E74"/>
    <w:rsid w:val="00323537"/>
    <w:rsid w:val="003235FD"/>
    <w:rsid w:val="0032402F"/>
    <w:rsid w:val="0032491E"/>
    <w:rsid w:val="00324E97"/>
    <w:rsid w:val="00325573"/>
    <w:rsid w:val="00325D70"/>
    <w:rsid w:val="00325D74"/>
    <w:rsid w:val="003261C4"/>
    <w:rsid w:val="00326525"/>
    <w:rsid w:val="003267CB"/>
    <w:rsid w:val="00326871"/>
    <w:rsid w:val="00326AE1"/>
    <w:rsid w:val="00327183"/>
    <w:rsid w:val="00327413"/>
    <w:rsid w:val="00327529"/>
    <w:rsid w:val="003275A8"/>
    <w:rsid w:val="00327C5E"/>
    <w:rsid w:val="00327F19"/>
    <w:rsid w:val="003305FF"/>
    <w:rsid w:val="00331FAE"/>
    <w:rsid w:val="003329B5"/>
    <w:rsid w:val="00332D1D"/>
    <w:rsid w:val="00332DE2"/>
    <w:rsid w:val="00332F3D"/>
    <w:rsid w:val="00333913"/>
    <w:rsid w:val="0033392D"/>
    <w:rsid w:val="00333CC0"/>
    <w:rsid w:val="00334929"/>
    <w:rsid w:val="00334CB9"/>
    <w:rsid w:val="00334F3A"/>
    <w:rsid w:val="00335777"/>
    <w:rsid w:val="003358B1"/>
    <w:rsid w:val="003358B2"/>
    <w:rsid w:val="00335A83"/>
    <w:rsid w:val="003367B3"/>
    <w:rsid w:val="003367F3"/>
    <w:rsid w:val="00336ED3"/>
    <w:rsid w:val="0033714F"/>
    <w:rsid w:val="00337FE5"/>
    <w:rsid w:val="0034051A"/>
    <w:rsid w:val="00340967"/>
    <w:rsid w:val="00340C09"/>
    <w:rsid w:val="00340CD9"/>
    <w:rsid w:val="00340EA0"/>
    <w:rsid w:val="00341006"/>
    <w:rsid w:val="0034164B"/>
    <w:rsid w:val="00341D88"/>
    <w:rsid w:val="003421BE"/>
    <w:rsid w:val="0034252F"/>
    <w:rsid w:val="00342A20"/>
    <w:rsid w:val="0034315C"/>
    <w:rsid w:val="00343515"/>
    <w:rsid w:val="003439F5"/>
    <w:rsid w:val="00343CE3"/>
    <w:rsid w:val="003442C8"/>
    <w:rsid w:val="00344513"/>
    <w:rsid w:val="00344603"/>
    <w:rsid w:val="00344B85"/>
    <w:rsid w:val="0034516E"/>
    <w:rsid w:val="003455B1"/>
    <w:rsid w:val="0034642D"/>
    <w:rsid w:val="0034651C"/>
    <w:rsid w:val="00346C72"/>
    <w:rsid w:val="00346E93"/>
    <w:rsid w:val="003473F4"/>
    <w:rsid w:val="0034742E"/>
    <w:rsid w:val="0034760C"/>
    <w:rsid w:val="00347BE2"/>
    <w:rsid w:val="00347E59"/>
    <w:rsid w:val="00347ED4"/>
    <w:rsid w:val="00347F4E"/>
    <w:rsid w:val="0035005D"/>
    <w:rsid w:val="003504DD"/>
    <w:rsid w:val="00350B3F"/>
    <w:rsid w:val="00350CCA"/>
    <w:rsid w:val="0035140A"/>
    <w:rsid w:val="003517E2"/>
    <w:rsid w:val="00351B62"/>
    <w:rsid w:val="00351C0E"/>
    <w:rsid w:val="00351D90"/>
    <w:rsid w:val="0035211F"/>
    <w:rsid w:val="003523BB"/>
    <w:rsid w:val="003523E0"/>
    <w:rsid w:val="00352417"/>
    <w:rsid w:val="00352579"/>
    <w:rsid w:val="003532A4"/>
    <w:rsid w:val="003537E4"/>
    <w:rsid w:val="00353B99"/>
    <w:rsid w:val="00353EBF"/>
    <w:rsid w:val="0035479C"/>
    <w:rsid w:val="00354B16"/>
    <w:rsid w:val="00354E12"/>
    <w:rsid w:val="00354E8C"/>
    <w:rsid w:val="003552F9"/>
    <w:rsid w:val="003553A3"/>
    <w:rsid w:val="003554FA"/>
    <w:rsid w:val="00355E43"/>
    <w:rsid w:val="003561FA"/>
    <w:rsid w:val="003562CC"/>
    <w:rsid w:val="00356712"/>
    <w:rsid w:val="003579DB"/>
    <w:rsid w:val="00357DBD"/>
    <w:rsid w:val="0036029B"/>
    <w:rsid w:val="003603C2"/>
    <w:rsid w:val="00360A83"/>
    <w:rsid w:val="00360B4F"/>
    <w:rsid w:val="00360B59"/>
    <w:rsid w:val="00360ECE"/>
    <w:rsid w:val="00360ED7"/>
    <w:rsid w:val="00361011"/>
    <w:rsid w:val="003610A1"/>
    <w:rsid w:val="003610A3"/>
    <w:rsid w:val="003622A3"/>
    <w:rsid w:val="003623E1"/>
    <w:rsid w:val="0036277B"/>
    <w:rsid w:val="00362916"/>
    <w:rsid w:val="00362BCB"/>
    <w:rsid w:val="00362D2A"/>
    <w:rsid w:val="00363463"/>
    <w:rsid w:val="003636AF"/>
    <w:rsid w:val="003636E8"/>
    <w:rsid w:val="00363B11"/>
    <w:rsid w:val="00363D1B"/>
    <w:rsid w:val="00363E58"/>
    <w:rsid w:val="003640FA"/>
    <w:rsid w:val="003645BF"/>
    <w:rsid w:val="0036471F"/>
    <w:rsid w:val="003648FB"/>
    <w:rsid w:val="00364925"/>
    <w:rsid w:val="0036542B"/>
    <w:rsid w:val="0036550A"/>
    <w:rsid w:val="0036571E"/>
    <w:rsid w:val="003658D6"/>
    <w:rsid w:val="00365A3F"/>
    <w:rsid w:val="00365BC3"/>
    <w:rsid w:val="00366248"/>
    <w:rsid w:val="003662DE"/>
    <w:rsid w:val="00366E38"/>
    <w:rsid w:val="00366F9B"/>
    <w:rsid w:val="00367403"/>
    <w:rsid w:val="00367DA0"/>
    <w:rsid w:val="00367FA8"/>
    <w:rsid w:val="0037034E"/>
    <w:rsid w:val="003704D0"/>
    <w:rsid w:val="003708B4"/>
    <w:rsid w:val="0037095F"/>
    <w:rsid w:val="00370CFA"/>
    <w:rsid w:val="00370E60"/>
    <w:rsid w:val="00371333"/>
    <w:rsid w:val="00371409"/>
    <w:rsid w:val="00371768"/>
    <w:rsid w:val="003720AA"/>
    <w:rsid w:val="003725C8"/>
    <w:rsid w:val="003727CF"/>
    <w:rsid w:val="0037297A"/>
    <w:rsid w:val="00372E01"/>
    <w:rsid w:val="003731A0"/>
    <w:rsid w:val="00373538"/>
    <w:rsid w:val="003737F0"/>
    <w:rsid w:val="00373C6F"/>
    <w:rsid w:val="00373CAC"/>
    <w:rsid w:val="00373E37"/>
    <w:rsid w:val="0037401D"/>
    <w:rsid w:val="003745F7"/>
    <w:rsid w:val="00375218"/>
    <w:rsid w:val="00375619"/>
    <w:rsid w:val="00375FC0"/>
    <w:rsid w:val="003765FF"/>
    <w:rsid w:val="00376A99"/>
    <w:rsid w:val="00376C15"/>
    <w:rsid w:val="00376F7B"/>
    <w:rsid w:val="0037707A"/>
    <w:rsid w:val="003776F6"/>
    <w:rsid w:val="00377A07"/>
    <w:rsid w:val="00377B93"/>
    <w:rsid w:val="00377FE4"/>
    <w:rsid w:val="003801E3"/>
    <w:rsid w:val="003803DE"/>
    <w:rsid w:val="00380B14"/>
    <w:rsid w:val="0038144C"/>
    <w:rsid w:val="0038195D"/>
    <w:rsid w:val="00381EA1"/>
    <w:rsid w:val="003820CA"/>
    <w:rsid w:val="00382D6C"/>
    <w:rsid w:val="00383234"/>
    <w:rsid w:val="00383440"/>
    <w:rsid w:val="00384E1E"/>
    <w:rsid w:val="003851E6"/>
    <w:rsid w:val="003852FB"/>
    <w:rsid w:val="0038541D"/>
    <w:rsid w:val="0038572C"/>
    <w:rsid w:val="0038586E"/>
    <w:rsid w:val="00385B19"/>
    <w:rsid w:val="00385C0E"/>
    <w:rsid w:val="00385E8A"/>
    <w:rsid w:val="003865BF"/>
    <w:rsid w:val="00386BE3"/>
    <w:rsid w:val="00387A53"/>
    <w:rsid w:val="00390050"/>
    <w:rsid w:val="003901D0"/>
    <w:rsid w:val="003906C5"/>
    <w:rsid w:val="00390D74"/>
    <w:rsid w:val="0039174F"/>
    <w:rsid w:val="00391789"/>
    <w:rsid w:val="003926ED"/>
    <w:rsid w:val="003928D4"/>
    <w:rsid w:val="00392B60"/>
    <w:rsid w:val="00392DDC"/>
    <w:rsid w:val="003931D6"/>
    <w:rsid w:val="003933D7"/>
    <w:rsid w:val="0039384A"/>
    <w:rsid w:val="00393BF2"/>
    <w:rsid w:val="0039427D"/>
    <w:rsid w:val="00394550"/>
    <w:rsid w:val="003945A3"/>
    <w:rsid w:val="00394E98"/>
    <w:rsid w:val="00395179"/>
    <w:rsid w:val="00395184"/>
    <w:rsid w:val="00395DB0"/>
    <w:rsid w:val="00396A57"/>
    <w:rsid w:val="0039715B"/>
    <w:rsid w:val="00397463"/>
    <w:rsid w:val="003974D5"/>
    <w:rsid w:val="003975EF"/>
    <w:rsid w:val="003977EF"/>
    <w:rsid w:val="0039797E"/>
    <w:rsid w:val="00397AD7"/>
    <w:rsid w:val="00397DF2"/>
    <w:rsid w:val="00397E2E"/>
    <w:rsid w:val="003A01CF"/>
    <w:rsid w:val="003A03D5"/>
    <w:rsid w:val="003A03E7"/>
    <w:rsid w:val="003A080C"/>
    <w:rsid w:val="003A08AE"/>
    <w:rsid w:val="003A0AC9"/>
    <w:rsid w:val="003A0BA7"/>
    <w:rsid w:val="003A169F"/>
    <w:rsid w:val="003A197D"/>
    <w:rsid w:val="003A1D01"/>
    <w:rsid w:val="003A1D30"/>
    <w:rsid w:val="003A272D"/>
    <w:rsid w:val="003A2826"/>
    <w:rsid w:val="003A34BD"/>
    <w:rsid w:val="003A358C"/>
    <w:rsid w:val="003A375A"/>
    <w:rsid w:val="003A38CC"/>
    <w:rsid w:val="003A43FD"/>
    <w:rsid w:val="003A46C8"/>
    <w:rsid w:val="003A4B46"/>
    <w:rsid w:val="003A509B"/>
    <w:rsid w:val="003A5576"/>
    <w:rsid w:val="003A5916"/>
    <w:rsid w:val="003A5A76"/>
    <w:rsid w:val="003A5AA7"/>
    <w:rsid w:val="003A5E6E"/>
    <w:rsid w:val="003A6272"/>
    <w:rsid w:val="003A6F69"/>
    <w:rsid w:val="003A71DD"/>
    <w:rsid w:val="003A76B7"/>
    <w:rsid w:val="003A7B22"/>
    <w:rsid w:val="003A7B96"/>
    <w:rsid w:val="003B05FD"/>
    <w:rsid w:val="003B0EC0"/>
    <w:rsid w:val="003B1175"/>
    <w:rsid w:val="003B158A"/>
    <w:rsid w:val="003B1F39"/>
    <w:rsid w:val="003B25C2"/>
    <w:rsid w:val="003B2713"/>
    <w:rsid w:val="003B28AF"/>
    <w:rsid w:val="003B2905"/>
    <w:rsid w:val="003B38A6"/>
    <w:rsid w:val="003B395E"/>
    <w:rsid w:val="003B3A70"/>
    <w:rsid w:val="003B3F73"/>
    <w:rsid w:val="003B40DA"/>
    <w:rsid w:val="003B44E5"/>
    <w:rsid w:val="003B4A0B"/>
    <w:rsid w:val="003B4C62"/>
    <w:rsid w:val="003B50E1"/>
    <w:rsid w:val="003B5213"/>
    <w:rsid w:val="003B5223"/>
    <w:rsid w:val="003B5355"/>
    <w:rsid w:val="003B54B2"/>
    <w:rsid w:val="003B55C6"/>
    <w:rsid w:val="003B5787"/>
    <w:rsid w:val="003B5DC6"/>
    <w:rsid w:val="003B5F4E"/>
    <w:rsid w:val="003B640E"/>
    <w:rsid w:val="003B685B"/>
    <w:rsid w:val="003B6AF6"/>
    <w:rsid w:val="003B6BA6"/>
    <w:rsid w:val="003B6EB1"/>
    <w:rsid w:val="003B7802"/>
    <w:rsid w:val="003B7D8D"/>
    <w:rsid w:val="003B7F91"/>
    <w:rsid w:val="003C0082"/>
    <w:rsid w:val="003C08B9"/>
    <w:rsid w:val="003C108E"/>
    <w:rsid w:val="003C1309"/>
    <w:rsid w:val="003C1818"/>
    <w:rsid w:val="003C18ED"/>
    <w:rsid w:val="003C1902"/>
    <w:rsid w:val="003C1D87"/>
    <w:rsid w:val="003C246A"/>
    <w:rsid w:val="003C259A"/>
    <w:rsid w:val="003C25D5"/>
    <w:rsid w:val="003C2B55"/>
    <w:rsid w:val="003C2F20"/>
    <w:rsid w:val="003C3208"/>
    <w:rsid w:val="003C3880"/>
    <w:rsid w:val="003C3A45"/>
    <w:rsid w:val="003C3BB1"/>
    <w:rsid w:val="003C3C88"/>
    <w:rsid w:val="003C3D23"/>
    <w:rsid w:val="003C3EBC"/>
    <w:rsid w:val="003C41B6"/>
    <w:rsid w:val="003C4232"/>
    <w:rsid w:val="003C4635"/>
    <w:rsid w:val="003C4DC6"/>
    <w:rsid w:val="003C58C0"/>
    <w:rsid w:val="003C5D25"/>
    <w:rsid w:val="003C638A"/>
    <w:rsid w:val="003C64CF"/>
    <w:rsid w:val="003C68D1"/>
    <w:rsid w:val="003C6921"/>
    <w:rsid w:val="003C69EA"/>
    <w:rsid w:val="003C6A3F"/>
    <w:rsid w:val="003C6AC7"/>
    <w:rsid w:val="003C6BDD"/>
    <w:rsid w:val="003C6E27"/>
    <w:rsid w:val="003C74EB"/>
    <w:rsid w:val="003C75B7"/>
    <w:rsid w:val="003C7AF9"/>
    <w:rsid w:val="003C7B7A"/>
    <w:rsid w:val="003C7C20"/>
    <w:rsid w:val="003C7FE3"/>
    <w:rsid w:val="003D02C6"/>
    <w:rsid w:val="003D03C2"/>
    <w:rsid w:val="003D107E"/>
    <w:rsid w:val="003D1822"/>
    <w:rsid w:val="003D1C13"/>
    <w:rsid w:val="003D2302"/>
    <w:rsid w:val="003D2D9D"/>
    <w:rsid w:val="003D36CD"/>
    <w:rsid w:val="003D36F1"/>
    <w:rsid w:val="003D3E6F"/>
    <w:rsid w:val="003D41C3"/>
    <w:rsid w:val="003D464C"/>
    <w:rsid w:val="003D47C9"/>
    <w:rsid w:val="003D5115"/>
    <w:rsid w:val="003D54FB"/>
    <w:rsid w:val="003D5E11"/>
    <w:rsid w:val="003D5FBA"/>
    <w:rsid w:val="003D60A7"/>
    <w:rsid w:val="003D6732"/>
    <w:rsid w:val="003D6CAC"/>
    <w:rsid w:val="003D6E86"/>
    <w:rsid w:val="003D734A"/>
    <w:rsid w:val="003D7B58"/>
    <w:rsid w:val="003E030C"/>
    <w:rsid w:val="003E0558"/>
    <w:rsid w:val="003E0573"/>
    <w:rsid w:val="003E0884"/>
    <w:rsid w:val="003E113A"/>
    <w:rsid w:val="003E1A12"/>
    <w:rsid w:val="003E2292"/>
    <w:rsid w:val="003E2666"/>
    <w:rsid w:val="003E2776"/>
    <w:rsid w:val="003E29EC"/>
    <w:rsid w:val="003E2AFF"/>
    <w:rsid w:val="003E2D5E"/>
    <w:rsid w:val="003E3154"/>
    <w:rsid w:val="003E33B3"/>
    <w:rsid w:val="003E34C3"/>
    <w:rsid w:val="003E363A"/>
    <w:rsid w:val="003E3755"/>
    <w:rsid w:val="003E388F"/>
    <w:rsid w:val="003E3EA8"/>
    <w:rsid w:val="003E3F15"/>
    <w:rsid w:val="003E4181"/>
    <w:rsid w:val="003E4376"/>
    <w:rsid w:val="003E4526"/>
    <w:rsid w:val="003E4BA7"/>
    <w:rsid w:val="003E4D04"/>
    <w:rsid w:val="003E516C"/>
    <w:rsid w:val="003E51AE"/>
    <w:rsid w:val="003E522C"/>
    <w:rsid w:val="003E543F"/>
    <w:rsid w:val="003E63E9"/>
    <w:rsid w:val="003E6BC2"/>
    <w:rsid w:val="003E6CEE"/>
    <w:rsid w:val="003E6D73"/>
    <w:rsid w:val="003E750A"/>
    <w:rsid w:val="003E7B2F"/>
    <w:rsid w:val="003F019D"/>
    <w:rsid w:val="003F054A"/>
    <w:rsid w:val="003F19E3"/>
    <w:rsid w:val="003F2056"/>
    <w:rsid w:val="003F2A65"/>
    <w:rsid w:val="003F2F60"/>
    <w:rsid w:val="003F2F98"/>
    <w:rsid w:val="003F3461"/>
    <w:rsid w:val="003F349C"/>
    <w:rsid w:val="003F3830"/>
    <w:rsid w:val="003F3AB0"/>
    <w:rsid w:val="003F3F08"/>
    <w:rsid w:val="003F4145"/>
    <w:rsid w:val="003F4386"/>
    <w:rsid w:val="003F4482"/>
    <w:rsid w:val="003F51B9"/>
    <w:rsid w:val="003F5DE6"/>
    <w:rsid w:val="003F5E75"/>
    <w:rsid w:val="003F618C"/>
    <w:rsid w:val="003F64C6"/>
    <w:rsid w:val="003F650A"/>
    <w:rsid w:val="003F67F7"/>
    <w:rsid w:val="003F6A16"/>
    <w:rsid w:val="003F6A2C"/>
    <w:rsid w:val="003F70FE"/>
    <w:rsid w:val="003F7420"/>
    <w:rsid w:val="003F765B"/>
    <w:rsid w:val="003F76E9"/>
    <w:rsid w:val="003F771A"/>
    <w:rsid w:val="0040075A"/>
    <w:rsid w:val="0040079B"/>
    <w:rsid w:val="00400891"/>
    <w:rsid w:val="00400A05"/>
    <w:rsid w:val="00400F00"/>
    <w:rsid w:val="004010CA"/>
    <w:rsid w:val="0040131D"/>
    <w:rsid w:val="0040192C"/>
    <w:rsid w:val="0040243A"/>
    <w:rsid w:val="00402BF0"/>
    <w:rsid w:val="00402EF2"/>
    <w:rsid w:val="004032AB"/>
    <w:rsid w:val="004046BA"/>
    <w:rsid w:val="004048E3"/>
    <w:rsid w:val="00404DD1"/>
    <w:rsid w:val="00405166"/>
    <w:rsid w:val="00405261"/>
    <w:rsid w:val="00406090"/>
    <w:rsid w:val="004076ED"/>
    <w:rsid w:val="00407AA4"/>
    <w:rsid w:val="00407B80"/>
    <w:rsid w:val="00410445"/>
    <w:rsid w:val="00410C66"/>
    <w:rsid w:val="00410D6A"/>
    <w:rsid w:val="00411067"/>
    <w:rsid w:val="00411115"/>
    <w:rsid w:val="00411B19"/>
    <w:rsid w:val="004123AF"/>
    <w:rsid w:val="00412482"/>
    <w:rsid w:val="00412573"/>
    <w:rsid w:val="0041416A"/>
    <w:rsid w:val="004144CD"/>
    <w:rsid w:val="0041503A"/>
    <w:rsid w:val="00415157"/>
    <w:rsid w:val="004151C7"/>
    <w:rsid w:val="004152A5"/>
    <w:rsid w:val="00415397"/>
    <w:rsid w:val="00415710"/>
    <w:rsid w:val="004158B4"/>
    <w:rsid w:val="00416066"/>
    <w:rsid w:val="00416193"/>
    <w:rsid w:val="0041627E"/>
    <w:rsid w:val="004163B1"/>
    <w:rsid w:val="00416605"/>
    <w:rsid w:val="0041690A"/>
    <w:rsid w:val="00416D0B"/>
    <w:rsid w:val="00420089"/>
    <w:rsid w:val="004206B2"/>
    <w:rsid w:val="004207BE"/>
    <w:rsid w:val="00420C4B"/>
    <w:rsid w:val="00420D72"/>
    <w:rsid w:val="00420ED5"/>
    <w:rsid w:val="004214B8"/>
    <w:rsid w:val="004220FB"/>
    <w:rsid w:val="00422CB0"/>
    <w:rsid w:val="00422CFA"/>
    <w:rsid w:val="0042366E"/>
    <w:rsid w:val="00423684"/>
    <w:rsid w:val="004236F1"/>
    <w:rsid w:val="00423784"/>
    <w:rsid w:val="004249F6"/>
    <w:rsid w:val="00424A65"/>
    <w:rsid w:val="00425346"/>
    <w:rsid w:val="004254F8"/>
    <w:rsid w:val="00425530"/>
    <w:rsid w:val="0042590F"/>
    <w:rsid w:val="00425F94"/>
    <w:rsid w:val="00426093"/>
    <w:rsid w:val="0042694F"/>
    <w:rsid w:val="00426D4A"/>
    <w:rsid w:val="0042716F"/>
    <w:rsid w:val="004271BB"/>
    <w:rsid w:val="004274DF"/>
    <w:rsid w:val="0042765C"/>
    <w:rsid w:val="00427973"/>
    <w:rsid w:val="00427A80"/>
    <w:rsid w:val="00427EB1"/>
    <w:rsid w:val="00427EF4"/>
    <w:rsid w:val="004302CB"/>
    <w:rsid w:val="0043037C"/>
    <w:rsid w:val="0043094E"/>
    <w:rsid w:val="00431067"/>
    <w:rsid w:val="00431677"/>
    <w:rsid w:val="00431EBC"/>
    <w:rsid w:val="00431F06"/>
    <w:rsid w:val="00432005"/>
    <w:rsid w:val="00432150"/>
    <w:rsid w:val="0043241C"/>
    <w:rsid w:val="00432AA2"/>
    <w:rsid w:val="00432CD2"/>
    <w:rsid w:val="00433751"/>
    <w:rsid w:val="00433CDA"/>
    <w:rsid w:val="00434421"/>
    <w:rsid w:val="004353EB"/>
    <w:rsid w:val="00435602"/>
    <w:rsid w:val="004356F7"/>
    <w:rsid w:val="00435871"/>
    <w:rsid w:val="00435EF7"/>
    <w:rsid w:val="00436250"/>
    <w:rsid w:val="004362DB"/>
    <w:rsid w:val="00436304"/>
    <w:rsid w:val="004363FE"/>
    <w:rsid w:val="00436512"/>
    <w:rsid w:val="0043657F"/>
    <w:rsid w:val="0043671A"/>
    <w:rsid w:val="00436B36"/>
    <w:rsid w:val="00436FB2"/>
    <w:rsid w:val="0043704B"/>
    <w:rsid w:val="004372E6"/>
    <w:rsid w:val="004376A2"/>
    <w:rsid w:val="004377C8"/>
    <w:rsid w:val="00440254"/>
    <w:rsid w:val="004402B2"/>
    <w:rsid w:val="004402D9"/>
    <w:rsid w:val="00440353"/>
    <w:rsid w:val="004407AC"/>
    <w:rsid w:val="00440AFF"/>
    <w:rsid w:val="00441723"/>
    <w:rsid w:val="00441CFC"/>
    <w:rsid w:val="00441F4C"/>
    <w:rsid w:val="0044222D"/>
    <w:rsid w:val="004422C7"/>
    <w:rsid w:val="0044296B"/>
    <w:rsid w:val="00442D08"/>
    <w:rsid w:val="00442DAF"/>
    <w:rsid w:val="00442E9C"/>
    <w:rsid w:val="00443A2F"/>
    <w:rsid w:val="0044400A"/>
    <w:rsid w:val="004440D3"/>
    <w:rsid w:val="004441F7"/>
    <w:rsid w:val="00444415"/>
    <w:rsid w:val="00444A9A"/>
    <w:rsid w:val="00445056"/>
    <w:rsid w:val="004457DF"/>
    <w:rsid w:val="004458AC"/>
    <w:rsid w:val="00445926"/>
    <w:rsid w:val="00445D31"/>
    <w:rsid w:val="00445EB8"/>
    <w:rsid w:val="00445F4E"/>
    <w:rsid w:val="00446219"/>
    <w:rsid w:val="0044689F"/>
    <w:rsid w:val="00446B75"/>
    <w:rsid w:val="00446BB7"/>
    <w:rsid w:val="00446F6C"/>
    <w:rsid w:val="004472D4"/>
    <w:rsid w:val="00447494"/>
    <w:rsid w:val="00447651"/>
    <w:rsid w:val="00447B24"/>
    <w:rsid w:val="00450059"/>
    <w:rsid w:val="004501A1"/>
    <w:rsid w:val="00450CB9"/>
    <w:rsid w:val="0045116A"/>
    <w:rsid w:val="004511C4"/>
    <w:rsid w:val="00451353"/>
    <w:rsid w:val="00451442"/>
    <w:rsid w:val="0045197A"/>
    <w:rsid w:val="00451A8A"/>
    <w:rsid w:val="00452014"/>
    <w:rsid w:val="00452D26"/>
    <w:rsid w:val="00452D92"/>
    <w:rsid w:val="00452DE5"/>
    <w:rsid w:val="00452F00"/>
    <w:rsid w:val="00453050"/>
    <w:rsid w:val="00453A1B"/>
    <w:rsid w:val="00453EAA"/>
    <w:rsid w:val="00453F8F"/>
    <w:rsid w:val="0045410C"/>
    <w:rsid w:val="00454C1F"/>
    <w:rsid w:val="0045541F"/>
    <w:rsid w:val="00455932"/>
    <w:rsid w:val="00455BC0"/>
    <w:rsid w:val="004563E1"/>
    <w:rsid w:val="00456626"/>
    <w:rsid w:val="00456993"/>
    <w:rsid w:val="00456B6D"/>
    <w:rsid w:val="00456CCE"/>
    <w:rsid w:val="00456D74"/>
    <w:rsid w:val="00456F18"/>
    <w:rsid w:val="00456FF2"/>
    <w:rsid w:val="00457269"/>
    <w:rsid w:val="00457401"/>
    <w:rsid w:val="00457676"/>
    <w:rsid w:val="0045767D"/>
    <w:rsid w:val="004579F3"/>
    <w:rsid w:val="004579FA"/>
    <w:rsid w:val="00460299"/>
    <w:rsid w:val="004604C0"/>
    <w:rsid w:val="00460C20"/>
    <w:rsid w:val="00460D34"/>
    <w:rsid w:val="00460D4E"/>
    <w:rsid w:val="00461501"/>
    <w:rsid w:val="004617D3"/>
    <w:rsid w:val="0046217C"/>
    <w:rsid w:val="00462434"/>
    <w:rsid w:val="004630B9"/>
    <w:rsid w:val="0046338D"/>
    <w:rsid w:val="004636A0"/>
    <w:rsid w:val="00463E3B"/>
    <w:rsid w:val="0046401C"/>
    <w:rsid w:val="004643B5"/>
    <w:rsid w:val="0046494C"/>
    <w:rsid w:val="00465200"/>
    <w:rsid w:val="00465966"/>
    <w:rsid w:val="00465D6D"/>
    <w:rsid w:val="0046715F"/>
    <w:rsid w:val="004675A7"/>
    <w:rsid w:val="00467718"/>
    <w:rsid w:val="00467C30"/>
    <w:rsid w:val="00470622"/>
    <w:rsid w:val="00470D97"/>
    <w:rsid w:val="00470ED4"/>
    <w:rsid w:val="00470EEF"/>
    <w:rsid w:val="00470F1A"/>
    <w:rsid w:val="00471920"/>
    <w:rsid w:val="00471AB3"/>
    <w:rsid w:val="00471C38"/>
    <w:rsid w:val="0047231D"/>
    <w:rsid w:val="004727C6"/>
    <w:rsid w:val="00472B5F"/>
    <w:rsid w:val="00473097"/>
    <w:rsid w:val="00473845"/>
    <w:rsid w:val="00473A43"/>
    <w:rsid w:val="00474525"/>
    <w:rsid w:val="004746D2"/>
    <w:rsid w:val="00474B60"/>
    <w:rsid w:val="00474BFE"/>
    <w:rsid w:val="004751E9"/>
    <w:rsid w:val="0047545C"/>
    <w:rsid w:val="00475620"/>
    <w:rsid w:val="00475CE6"/>
    <w:rsid w:val="004763A6"/>
    <w:rsid w:val="00476844"/>
    <w:rsid w:val="00476B3D"/>
    <w:rsid w:val="00477036"/>
    <w:rsid w:val="00477333"/>
    <w:rsid w:val="00477377"/>
    <w:rsid w:val="00480166"/>
    <w:rsid w:val="00480DFB"/>
    <w:rsid w:val="00480E6D"/>
    <w:rsid w:val="0048205E"/>
    <w:rsid w:val="004820C7"/>
    <w:rsid w:val="004820CF"/>
    <w:rsid w:val="00482203"/>
    <w:rsid w:val="00482271"/>
    <w:rsid w:val="00482753"/>
    <w:rsid w:val="00482922"/>
    <w:rsid w:val="0048298D"/>
    <w:rsid w:val="0048323F"/>
    <w:rsid w:val="00483A5E"/>
    <w:rsid w:val="004848B0"/>
    <w:rsid w:val="00484CBD"/>
    <w:rsid w:val="004853FB"/>
    <w:rsid w:val="00485639"/>
    <w:rsid w:val="00485711"/>
    <w:rsid w:val="00485824"/>
    <w:rsid w:val="00485F87"/>
    <w:rsid w:val="00486232"/>
    <w:rsid w:val="00487417"/>
    <w:rsid w:val="00487D02"/>
    <w:rsid w:val="00490493"/>
    <w:rsid w:val="00490BBE"/>
    <w:rsid w:val="00490D0E"/>
    <w:rsid w:val="00490DB1"/>
    <w:rsid w:val="004911EE"/>
    <w:rsid w:val="00491360"/>
    <w:rsid w:val="00491BC2"/>
    <w:rsid w:val="00491E3B"/>
    <w:rsid w:val="00491FEE"/>
    <w:rsid w:val="004920E0"/>
    <w:rsid w:val="004921E9"/>
    <w:rsid w:val="00492559"/>
    <w:rsid w:val="004929FC"/>
    <w:rsid w:val="0049325B"/>
    <w:rsid w:val="00493261"/>
    <w:rsid w:val="00493F14"/>
    <w:rsid w:val="0049407C"/>
    <w:rsid w:val="004940E9"/>
    <w:rsid w:val="004943C4"/>
    <w:rsid w:val="00494B9B"/>
    <w:rsid w:val="004952A7"/>
    <w:rsid w:val="004958B8"/>
    <w:rsid w:val="004962B6"/>
    <w:rsid w:val="0049664F"/>
    <w:rsid w:val="0049688F"/>
    <w:rsid w:val="00496A6D"/>
    <w:rsid w:val="00496D95"/>
    <w:rsid w:val="00496DFD"/>
    <w:rsid w:val="00497CFF"/>
    <w:rsid w:val="004A05CA"/>
    <w:rsid w:val="004A0773"/>
    <w:rsid w:val="004A07E4"/>
    <w:rsid w:val="004A0B3F"/>
    <w:rsid w:val="004A0BBF"/>
    <w:rsid w:val="004A12FA"/>
    <w:rsid w:val="004A2050"/>
    <w:rsid w:val="004A255E"/>
    <w:rsid w:val="004A307B"/>
    <w:rsid w:val="004A35F1"/>
    <w:rsid w:val="004A3C61"/>
    <w:rsid w:val="004A3CA0"/>
    <w:rsid w:val="004A3CCF"/>
    <w:rsid w:val="004A4171"/>
    <w:rsid w:val="004A4196"/>
    <w:rsid w:val="004A4566"/>
    <w:rsid w:val="004A4A54"/>
    <w:rsid w:val="004A4CF3"/>
    <w:rsid w:val="004A51DE"/>
    <w:rsid w:val="004A5B12"/>
    <w:rsid w:val="004A5F39"/>
    <w:rsid w:val="004A66E8"/>
    <w:rsid w:val="004A6C40"/>
    <w:rsid w:val="004A6ED7"/>
    <w:rsid w:val="004A72CC"/>
    <w:rsid w:val="004A7543"/>
    <w:rsid w:val="004A7690"/>
    <w:rsid w:val="004A77EE"/>
    <w:rsid w:val="004A788A"/>
    <w:rsid w:val="004A78E0"/>
    <w:rsid w:val="004A78E6"/>
    <w:rsid w:val="004A7E25"/>
    <w:rsid w:val="004A7EBD"/>
    <w:rsid w:val="004B1809"/>
    <w:rsid w:val="004B1CE6"/>
    <w:rsid w:val="004B1F30"/>
    <w:rsid w:val="004B24C6"/>
    <w:rsid w:val="004B2754"/>
    <w:rsid w:val="004B29A0"/>
    <w:rsid w:val="004B2AC3"/>
    <w:rsid w:val="004B2CEF"/>
    <w:rsid w:val="004B2F6E"/>
    <w:rsid w:val="004B2F97"/>
    <w:rsid w:val="004B309A"/>
    <w:rsid w:val="004B316D"/>
    <w:rsid w:val="004B355F"/>
    <w:rsid w:val="004B36AD"/>
    <w:rsid w:val="004B382F"/>
    <w:rsid w:val="004B387A"/>
    <w:rsid w:val="004B39B2"/>
    <w:rsid w:val="004B3DDB"/>
    <w:rsid w:val="004B3F7E"/>
    <w:rsid w:val="004B4343"/>
    <w:rsid w:val="004B46F4"/>
    <w:rsid w:val="004B48BE"/>
    <w:rsid w:val="004B48EB"/>
    <w:rsid w:val="004B4AA1"/>
    <w:rsid w:val="004B4E43"/>
    <w:rsid w:val="004B4F79"/>
    <w:rsid w:val="004B505D"/>
    <w:rsid w:val="004B5083"/>
    <w:rsid w:val="004B5349"/>
    <w:rsid w:val="004B59D6"/>
    <w:rsid w:val="004B6304"/>
    <w:rsid w:val="004B680B"/>
    <w:rsid w:val="004B6B66"/>
    <w:rsid w:val="004B6E58"/>
    <w:rsid w:val="004B73B4"/>
    <w:rsid w:val="004B73D0"/>
    <w:rsid w:val="004B7D3A"/>
    <w:rsid w:val="004BE78A"/>
    <w:rsid w:val="004C0449"/>
    <w:rsid w:val="004C054F"/>
    <w:rsid w:val="004C09E4"/>
    <w:rsid w:val="004C0F4C"/>
    <w:rsid w:val="004C0F54"/>
    <w:rsid w:val="004C1267"/>
    <w:rsid w:val="004C140E"/>
    <w:rsid w:val="004C1FA3"/>
    <w:rsid w:val="004C23D0"/>
    <w:rsid w:val="004C3250"/>
    <w:rsid w:val="004C343D"/>
    <w:rsid w:val="004C3E1C"/>
    <w:rsid w:val="004C405C"/>
    <w:rsid w:val="004C456D"/>
    <w:rsid w:val="004C4632"/>
    <w:rsid w:val="004C571C"/>
    <w:rsid w:val="004C5B3C"/>
    <w:rsid w:val="004C5E7A"/>
    <w:rsid w:val="004C6513"/>
    <w:rsid w:val="004C6592"/>
    <w:rsid w:val="004C672A"/>
    <w:rsid w:val="004C67B8"/>
    <w:rsid w:val="004C6A6A"/>
    <w:rsid w:val="004C6B06"/>
    <w:rsid w:val="004C6F7B"/>
    <w:rsid w:val="004C7A93"/>
    <w:rsid w:val="004D02A1"/>
    <w:rsid w:val="004D083A"/>
    <w:rsid w:val="004D08B1"/>
    <w:rsid w:val="004D0E23"/>
    <w:rsid w:val="004D0F3E"/>
    <w:rsid w:val="004D10F1"/>
    <w:rsid w:val="004D11CE"/>
    <w:rsid w:val="004D196B"/>
    <w:rsid w:val="004D1B5E"/>
    <w:rsid w:val="004D1C75"/>
    <w:rsid w:val="004D240D"/>
    <w:rsid w:val="004D2D2A"/>
    <w:rsid w:val="004D303C"/>
    <w:rsid w:val="004D352C"/>
    <w:rsid w:val="004D40E4"/>
    <w:rsid w:val="004D41B1"/>
    <w:rsid w:val="004D47E8"/>
    <w:rsid w:val="004D53C4"/>
    <w:rsid w:val="004D5A34"/>
    <w:rsid w:val="004D5CC8"/>
    <w:rsid w:val="004D5E86"/>
    <w:rsid w:val="004D6675"/>
    <w:rsid w:val="004D7D46"/>
    <w:rsid w:val="004D7E5D"/>
    <w:rsid w:val="004E0165"/>
    <w:rsid w:val="004E0B5E"/>
    <w:rsid w:val="004E1003"/>
    <w:rsid w:val="004E1259"/>
    <w:rsid w:val="004E129E"/>
    <w:rsid w:val="004E1B5D"/>
    <w:rsid w:val="004E1B88"/>
    <w:rsid w:val="004E27DB"/>
    <w:rsid w:val="004E284D"/>
    <w:rsid w:val="004E29F9"/>
    <w:rsid w:val="004E2CB6"/>
    <w:rsid w:val="004E2F27"/>
    <w:rsid w:val="004E3158"/>
    <w:rsid w:val="004E3302"/>
    <w:rsid w:val="004E36FC"/>
    <w:rsid w:val="004E3FE7"/>
    <w:rsid w:val="004E44FA"/>
    <w:rsid w:val="004E4996"/>
    <w:rsid w:val="004E4AFB"/>
    <w:rsid w:val="004E4D13"/>
    <w:rsid w:val="004E4E4B"/>
    <w:rsid w:val="004E595E"/>
    <w:rsid w:val="004E5980"/>
    <w:rsid w:val="004E5C6B"/>
    <w:rsid w:val="004E5F74"/>
    <w:rsid w:val="004E6612"/>
    <w:rsid w:val="004E6844"/>
    <w:rsid w:val="004E6C6C"/>
    <w:rsid w:val="004E7277"/>
    <w:rsid w:val="004E72E6"/>
    <w:rsid w:val="004E732A"/>
    <w:rsid w:val="004E7693"/>
    <w:rsid w:val="004E7F06"/>
    <w:rsid w:val="004F04D5"/>
    <w:rsid w:val="004F0912"/>
    <w:rsid w:val="004F0E7F"/>
    <w:rsid w:val="004F2215"/>
    <w:rsid w:val="004F2732"/>
    <w:rsid w:val="004F2A59"/>
    <w:rsid w:val="004F2A9A"/>
    <w:rsid w:val="004F2E6C"/>
    <w:rsid w:val="004F353A"/>
    <w:rsid w:val="004F35B4"/>
    <w:rsid w:val="004F3710"/>
    <w:rsid w:val="004F3840"/>
    <w:rsid w:val="004F3854"/>
    <w:rsid w:val="004F391C"/>
    <w:rsid w:val="004F3AE1"/>
    <w:rsid w:val="004F44B8"/>
    <w:rsid w:val="004F4D63"/>
    <w:rsid w:val="004F526F"/>
    <w:rsid w:val="004F54AF"/>
    <w:rsid w:val="004F5A63"/>
    <w:rsid w:val="004F5AF8"/>
    <w:rsid w:val="004F63C1"/>
    <w:rsid w:val="004F6B6D"/>
    <w:rsid w:val="004F7072"/>
    <w:rsid w:val="004F74CC"/>
    <w:rsid w:val="004F75ED"/>
    <w:rsid w:val="004F7A9E"/>
    <w:rsid w:val="004F7CE9"/>
    <w:rsid w:val="00500AA9"/>
    <w:rsid w:val="00501667"/>
    <w:rsid w:val="005018A0"/>
    <w:rsid w:val="00501A25"/>
    <w:rsid w:val="00502420"/>
    <w:rsid w:val="00502443"/>
    <w:rsid w:val="005034C1"/>
    <w:rsid w:val="00503CB3"/>
    <w:rsid w:val="005044D5"/>
    <w:rsid w:val="00504501"/>
    <w:rsid w:val="00504B10"/>
    <w:rsid w:val="00504C8E"/>
    <w:rsid w:val="00504D29"/>
    <w:rsid w:val="00504F35"/>
    <w:rsid w:val="00505638"/>
    <w:rsid w:val="005062CE"/>
    <w:rsid w:val="0050677A"/>
    <w:rsid w:val="0050688D"/>
    <w:rsid w:val="0050689F"/>
    <w:rsid w:val="00506918"/>
    <w:rsid w:val="005070EE"/>
    <w:rsid w:val="0050779A"/>
    <w:rsid w:val="0051002E"/>
    <w:rsid w:val="00510FDF"/>
    <w:rsid w:val="00511033"/>
    <w:rsid w:val="00511BC2"/>
    <w:rsid w:val="00512317"/>
    <w:rsid w:val="005124A3"/>
    <w:rsid w:val="00512F10"/>
    <w:rsid w:val="00513C81"/>
    <w:rsid w:val="005140A6"/>
    <w:rsid w:val="005142D5"/>
    <w:rsid w:val="0051491E"/>
    <w:rsid w:val="00514940"/>
    <w:rsid w:val="00514BA4"/>
    <w:rsid w:val="00514BC3"/>
    <w:rsid w:val="00514C17"/>
    <w:rsid w:val="00514E3D"/>
    <w:rsid w:val="00514E8F"/>
    <w:rsid w:val="0051578D"/>
    <w:rsid w:val="00515F21"/>
    <w:rsid w:val="005161B7"/>
    <w:rsid w:val="005163E7"/>
    <w:rsid w:val="00516411"/>
    <w:rsid w:val="00516D7B"/>
    <w:rsid w:val="00516DBF"/>
    <w:rsid w:val="00516FD8"/>
    <w:rsid w:val="00517758"/>
    <w:rsid w:val="00517D25"/>
    <w:rsid w:val="00517E05"/>
    <w:rsid w:val="00517E8F"/>
    <w:rsid w:val="00517EDC"/>
    <w:rsid w:val="00520213"/>
    <w:rsid w:val="00520441"/>
    <w:rsid w:val="00520530"/>
    <w:rsid w:val="00520794"/>
    <w:rsid w:val="00520ABC"/>
    <w:rsid w:val="00520B45"/>
    <w:rsid w:val="00520BA6"/>
    <w:rsid w:val="00520C57"/>
    <w:rsid w:val="00520D50"/>
    <w:rsid w:val="00521372"/>
    <w:rsid w:val="0052144C"/>
    <w:rsid w:val="00521B5E"/>
    <w:rsid w:val="00521D69"/>
    <w:rsid w:val="00521DA7"/>
    <w:rsid w:val="005220B9"/>
    <w:rsid w:val="0052211F"/>
    <w:rsid w:val="005221B6"/>
    <w:rsid w:val="005225E5"/>
    <w:rsid w:val="00522A2C"/>
    <w:rsid w:val="00522CF0"/>
    <w:rsid w:val="00522F9F"/>
    <w:rsid w:val="00523041"/>
    <w:rsid w:val="00523193"/>
    <w:rsid w:val="00523395"/>
    <w:rsid w:val="00523596"/>
    <w:rsid w:val="00523863"/>
    <w:rsid w:val="00523B76"/>
    <w:rsid w:val="005240DD"/>
    <w:rsid w:val="00524469"/>
    <w:rsid w:val="00524573"/>
    <w:rsid w:val="00524A18"/>
    <w:rsid w:val="005254E0"/>
    <w:rsid w:val="0052570B"/>
    <w:rsid w:val="0052577B"/>
    <w:rsid w:val="0052671C"/>
    <w:rsid w:val="0052724E"/>
    <w:rsid w:val="0053055F"/>
    <w:rsid w:val="00530AA0"/>
    <w:rsid w:val="00530C88"/>
    <w:rsid w:val="00530E13"/>
    <w:rsid w:val="005311EC"/>
    <w:rsid w:val="00531D37"/>
    <w:rsid w:val="00532158"/>
    <w:rsid w:val="00532FA5"/>
    <w:rsid w:val="0053314E"/>
    <w:rsid w:val="0053393C"/>
    <w:rsid w:val="00533EC2"/>
    <w:rsid w:val="00534B32"/>
    <w:rsid w:val="00535077"/>
    <w:rsid w:val="00535122"/>
    <w:rsid w:val="005353E8"/>
    <w:rsid w:val="005355A9"/>
    <w:rsid w:val="00535D2F"/>
    <w:rsid w:val="00535EC1"/>
    <w:rsid w:val="005370D8"/>
    <w:rsid w:val="00537462"/>
    <w:rsid w:val="00537A93"/>
    <w:rsid w:val="00537D84"/>
    <w:rsid w:val="00540320"/>
    <w:rsid w:val="00540342"/>
    <w:rsid w:val="0054080C"/>
    <w:rsid w:val="00541DEF"/>
    <w:rsid w:val="00541EB9"/>
    <w:rsid w:val="005421FE"/>
    <w:rsid w:val="00542581"/>
    <w:rsid w:val="00542634"/>
    <w:rsid w:val="00542778"/>
    <w:rsid w:val="00542BFC"/>
    <w:rsid w:val="00543201"/>
    <w:rsid w:val="0054388E"/>
    <w:rsid w:val="00543ABE"/>
    <w:rsid w:val="00543E21"/>
    <w:rsid w:val="00543F5C"/>
    <w:rsid w:val="00544B3C"/>
    <w:rsid w:val="005451C1"/>
    <w:rsid w:val="0054547D"/>
    <w:rsid w:val="00545651"/>
    <w:rsid w:val="00545763"/>
    <w:rsid w:val="00545C03"/>
    <w:rsid w:val="005462E8"/>
    <w:rsid w:val="00547904"/>
    <w:rsid w:val="00547B60"/>
    <w:rsid w:val="00547CDB"/>
    <w:rsid w:val="00547D2A"/>
    <w:rsid w:val="00547D9B"/>
    <w:rsid w:val="00550060"/>
    <w:rsid w:val="0055042C"/>
    <w:rsid w:val="005508F1"/>
    <w:rsid w:val="0055099D"/>
    <w:rsid w:val="00550F55"/>
    <w:rsid w:val="00551108"/>
    <w:rsid w:val="00551181"/>
    <w:rsid w:val="005517CA"/>
    <w:rsid w:val="00551868"/>
    <w:rsid w:val="00551EEF"/>
    <w:rsid w:val="00551F69"/>
    <w:rsid w:val="00552260"/>
    <w:rsid w:val="005523DB"/>
    <w:rsid w:val="0055312E"/>
    <w:rsid w:val="00553470"/>
    <w:rsid w:val="00553B9A"/>
    <w:rsid w:val="00553C6F"/>
    <w:rsid w:val="0055486A"/>
    <w:rsid w:val="00554BF0"/>
    <w:rsid w:val="00554E26"/>
    <w:rsid w:val="005556CC"/>
    <w:rsid w:val="00555B19"/>
    <w:rsid w:val="00555F2E"/>
    <w:rsid w:val="00555F96"/>
    <w:rsid w:val="00556DF3"/>
    <w:rsid w:val="005574D3"/>
    <w:rsid w:val="0055752A"/>
    <w:rsid w:val="00557809"/>
    <w:rsid w:val="00560CEC"/>
    <w:rsid w:val="00560F98"/>
    <w:rsid w:val="005612BC"/>
    <w:rsid w:val="005617C1"/>
    <w:rsid w:val="0056191A"/>
    <w:rsid w:val="00561A29"/>
    <w:rsid w:val="0056225C"/>
    <w:rsid w:val="005622F0"/>
    <w:rsid w:val="00562531"/>
    <w:rsid w:val="00563886"/>
    <w:rsid w:val="00563D28"/>
    <w:rsid w:val="00563F61"/>
    <w:rsid w:val="005642E6"/>
    <w:rsid w:val="00564361"/>
    <w:rsid w:val="00564C35"/>
    <w:rsid w:val="00565FE5"/>
    <w:rsid w:val="005661FE"/>
    <w:rsid w:val="0056656C"/>
    <w:rsid w:val="00566E4F"/>
    <w:rsid w:val="005673C1"/>
    <w:rsid w:val="00567569"/>
    <w:rsid w:val="005703CF"/>
    <w:rsid w:val="005704AF"/>
    <w:rsid w:val="00570968"/>
    <w:rsid w:val="00570A60"/>
    <w:rsid w:val="00570C57"/>
    <w:rsid w:val="00570F13"/>
    <w:rsid w:val="00570F6F"/>
    <w:rsid w:val="0057118D"/>
    <w:rsid w:val="00572371"/>
    <w:rsid w:val="00572517"/>
    <w:rsid w:val="00572BB0"/>
    <w:rsid w:val="00572CB9"/>
    <w:rsid w:val="00572CD9"/>
    <w:rsid w:val="00572CDE"/>
    <w:rsid w:val="005733B4"/>
    <w:rsid w:val="00573EC2"/>
    <w:rsid w:val="0057406C"/>
    <w:rsid w:val="005748F9"/>
    <w:rsid w:val="0057539A"/>
    <w:rsid w:val="005755CA"/>
    <w:rsid w:val="00575873"/>
    <w:rsid w:val="00576460"/>
    <w:rsid w:val="00576779"/>
    <w:rsid w:val="0057678A"/>
    <w:rsid w:val="00576910"/>
    <w:rsid w:val="00577560"/>
    <w:rsid w:val="00577592"/>
    <w:rsid w:val="00577772"/>
    <w:rsid w:val="00577A60"/>
    <w:rsid w:val="00580063"/>
    <w:rsid w:val="005807D6"/>
    <w:rsid w:val="00580B85"/>
    <w:rsid w:val="00580EB0"/>
    <w:rsid w:val="00581C42"/>
    <w:rsid w:val="005824C7"/>
    <w:rsid w:val="0058262E"/>
    <w:rsid w:val="00582FB6"/>
    <w:rsid w:val="005832D0"/>
    <w:rsid w:val="00583599"/>
    <w:rsid w:val="00583A8F"/>
    <w:rsid w:val="00583E3C"/>
    <w:rsid w:val="0058401C"/>
    <w:rsid w:val="0058418C"/>
    <w:rsid w:val="00584CBC"/>
    <w:rsid w:val="00584F8F"/>
    <w:rsid w:val="00585538"/>
    <w:rsid w:val="00585658"/>
    <w:rsid w:val="00585AC6"/>
    <w:rsid w:val="00585F5E"/>
    <w:rsid w:val="00586392"/>
    <w:rsid w:val="00586C86"/>
    <w:rsid w:val="00586DD6"/>
    <w:rsid w:val="00587036"/>
    <w:rsid w:val="0058780D"/>
    <w:rsid w:val="00587CD1"/>
    <w:rsid w:val="00587F6A"/>
    <w:rsid w:val="0059021B"/>
    <w:rsid w:val="00590BEB"/>
    <w:rsid w:val="00590F75"/>
    <w:rsid w:val="005914AE"/>
    <w:rsid w:val="0059157D"/>
    <w:rsid w:val="0059186E"/>
    <w:rsid w:val="00591CDB"/>
    <w:rsid w:val="005922AC"/>
    <w:rsid w:val="005925E9"/>
    <w:rsid w:val="00592BCA"/>
    <w:rsid w:val="00592D44"/>
    <w:rsid w:val="00592D6F"/>
    <w:rsid w:val="00592DF9"/>
    <w:rsid w:val="00593784"/>
    <w:rsid w:val="005937FA"/>
    <w:rsid w:val="00593D74"/>
    <w:rsid w:val="005947BD"/>
    <w:rsid w:val="00594ABC"/>
    <w:rsid w:val="00595070"/>
    <w:rsid w:val="005953B0"/>
    <w:rsid w:val="005957A0"/>
    <w:rsid w:val="005963AF"/>
    <w:rsid w:val="00596AAF"/>
    <w:rsid w:val="00597243"/>
    <w:rsid w:val="005977CF"/>
    <w:rsid w:val="005A0468"/>
    <w:rsid w:val="005A0597"/>
    <w:rsid w:val="005A07AC"/>
    <w:rsid w:val="005A0FA8"/>
    <w:rsid w:val="005A1433"/>
    <w:rsid w:val="005A1A3E"/>
    <w:rsid w:val="005A220D"/>
    <w:rsid w:val="005A23EA"/>
    <w:rsid w:val="005A23FA"/>
    <w:rsid w:val="005A2D8B"/>
    <w:rsid w:val="005A33E0"/>
    <w:rsid w:val="005A38A0"/>
    <w:rsid w:val="005A3A4F"/>
    <w:rsid w:val="005A3ADA"/>
    <w:rsid w:val="005A3E5B"/>
    <w:rsid w:val="005A3EB7"/>
    <w:rsid w:val="005A40DC"/>
    <w:rsid w:val="005A40EE"/>
    <w:rsid w:val="005A488D"/>
    <w:rsid w:val="005A4A1B"/>
    <w:rsid w:val="005A50CA"/>
    <w:rsid w:val="005A512D"/>
    <w:rsid w:val="005A51C0"/>
    <w:rsid w:val="005A5F4A"/>
    <w:rsid w:val="005A5F6F"/>
    <w:rsid w:val="005A633F"/>
    <w:rsid w:val="005A6889"/>
    <w:rsid w:val="005A7164"/>
    <w:rsid w:val="005A7461"/>
    <w:rsid w:val="005A7774"/>
    <w:rsid w:val="005A7C1A"/>
    <w:rsid w:val="005A7E1B"/>
    <w:rsid w:val="005B05CF"/>
    <w:rsid w:val="005B0B5E"/>
    <w:rsid w:val="005B124A"/>
    <w:rsid w:val="005B1698"/>
    <w:rsid w:val="005B16D4"/>
    <w:rsid w:val="005B1A63"/>
    <w:rsid w:val="005B1C43"/>
    <w:rsid w:val="005B1DF2"/>
    <w:rsid w:val="005B2739"/>
    <w:rsid w:val="005B2BA7"/>
    <w:rsid w:val="005B2FCC"/>
    <w:rsid w:val="005B3E79"/>
    <w:rsid w:val="005B4506"/>
    <w:rsid w:val="005B4564"/>
    <w:rsid w:val="005B4776"/>
    <w:rsid w:val="005B47F5"/>
    <w:rsid w:val="005B4910"/>
    <w:rsid w:val="005B4A37"/>
    <w:rsid w:val="005B4B08"/>
    <w:rsid w:val="005B5752"/>
    <w:rsid w:val="005B5793"/>
    <w:rsid w:val="005B5957"/>
    <w:rsid w:val="005B5D9E"/>
    <w:rsid w:val="005B5F34"/>
    <w:rsid w:val="005B73C4"/>
    <w:rsid w:val="005B7FB1"/>
    <w:rsid w:val="005C01CC"/>
    <w:rsid w:val="005C057F"/>
    <w:rsid w:val="005C05ED"/>
    <w:rsid w:val="005C0904"/>
    <w:rsid w:val="005C0975"/>
    <w:rsid w:val="005C0DD9"/>
    <w:rsid w:val="005C0E8E"/>
    <w:rsid w:val="005C10B5"/>
    <w:rsid w:val="005C1466"/>
    <w:rsid w:val="005C14E6"/>
    <w:rsid w:val="005C167B"/>
    <w:rsid w:val="005C1694"/>
    <w:rsid w:val="005C1950"/>
    <w:rsid w:val="005C1EFE"/>
    <w:rsid w:val="005C20E7"/>
    <w:rsid w:val="005C2D41"/>
    <w:rsid w:val="005C37E2"/>
    <w:rsid w:val="005C3B16"/>
    <w:rsid w:val="005C46AA"/>
    <w:rsid w:val="005C499A"/>
    <w:rsid w:val="005C4A22"/>
    <w:rsid w:val="005C4EDB"/>
    <w:rsid w:val="005C501F"/>
    <w:rsid w:val="005C5070"/>
    <w:rsid w:val="005C587F"/>
    <w:rsid w:val="005C5AA6"/>
    <w:rsid w:val="005C5C66"/>
    <w:rsid w:val="005C6457"/>
    <w:rsid w:val="005C6697"/>
    <w:rsid w:val="005C69BC"/>
    <w:rsid w:val="005C6AF0"/>
    <w:rsid w:val="005C6F23"/>
    <w:rsid w:val="005C7193"/>
    <w:rsid w:val="005C7B22"/>
    <w:rsid w:val="005D06FE"/>
    <w:rsid w:val="005D1094"/>
    <w:rsid w:val="005D1570"/>
    <w:rsid w:val="005D25DC"/>
    <w:rsid w:val="005D3783"/>
    <w:rsid w:val="005D3D7C"/>
    <w:rsid w:val="005D4112"/>
    <w:rsid w:val="005D44B9"/>
    <w:rsid w:val="005D45C3"/>
    <w:rsid w:val="005D4926"/>
    <w:rsid w:val="005D4BD4"/>
    <w:rsid w:val="005D5759"/>
    <w:rsid w:val="005D5B11"/>
    <w:rsid w:val="005D5E4D"/>
    <w:rsid w:val="005D60E0"/>
    <w:rsid w:val="005D6AE1"/>
    <w:rsid w:val="005D7055"/>
    <w:rsid w:val="005D760C"/>
    <w:rsid w:val="005D764E"/>
    <w:rsid w:val="005D7B2F"/>
    <w:rsid w:val="005D7CE9"/>
    <w:rsid w:val="005D7E73"/>
    <w:rsid w:val="005D7FA3"/>
    <w:rsid w:val="005E02B0"/>
    <w:rsid w:val="005E04BC"/>
    <w:rsid w:val="005E0638"/>
    <w:rsid w:val="005E1148"/>
    <w:rsid w:val="005E16BE"/>
    <w:rsid w:val="005E18A5"/>
    <w:rsid w:val="005E1953"/>
    <w:rsid w:val="005E19C4"/>
    <w:rsid w:val="005E1ADE"/>
    <w:rsid w:val="005E1C0F"/>
    <w:rsid w:val="005E1F07"/>
    <w:rsid w:val="005E202D"/>
    <w:rsid w:val="005E2188"/>
    <w:rsid w:val="005E270C"/>
    <w:rsid w:val="005E2773"/>
    <w:rsid w:val="005E2E99"/>
    <w:rsid w:val="005E2FC7"/>
    <w:rsid w:val="005E32AF"/>
    <w:rsid w:val="005E33B6"/>
    <w:rsid w:val="005E3693"/>
    <w:rsid w:val="005E37D7"/>
    <w:rsid w:val="005E40D7"/>
    <w:rsid w:val="005E471F"/>
    <w:rsid w:val="005E4783"/>
    <w:rsid w:val="005E4C78"/>
    <w:rsid w:val="005E4DF4"/>
    <w:rsid w:val="005E6389"/>
    <w:rsid w:val="005E670B"/>
    <w:rsid w:val="005E68BA"/>
    <w:rsid w:val="005E6D56"/>
    <w:rsid w:val="005E6DC1"/>
    <w:rsid w:val="005E7083"/>
    <w:rsid w:val="005E737F"/>
    <w:rsid w:val="005E7557"/>
    <w:rsid w:val="005E75B6"/>
    <w:rsid w:val="005E7A03"/>
    <w:rsid w:val="005F01DC"/>
    <w:rsid w:val="005F02C4"/>
    <w:rsid w:val="005F02E3"/>
    <w:rsid w:val="005F051E"/>
    <w:rsid w:val="005F0E4F"/>
    <w:rsid w:val="005F1363"/>
    <w:rsid w:val="005F140E"/>
    <w:rsid w:val="005F1424"/>
    <w:rsid w:val="005F1B5E"/>
    <w:rsid w:val="005F1DF3"/>
    <w:rsid w:val="005F1F6A"/>
    <w:rsid w:val="005F1F89"/>
    <w:rsid w:val="005F25D4"/>
    <w:rsid w:val="005F28AA"/>
    <w:rsid w:val="005F29F4"/>
    <w:rsid w:val="005F29FC"/>
    <w:rsid w:val="005F2BF0"/>
    <w:rsid w:val="005F2CBC"/>
    <w:rsid w:val="005F2E2C"/>
    <w:rsid w:val="005F31A6"/>
    <w:rsid w:val="005F346A"/>
    <w:rsid w:val="005F378E"/>
    <w:rsid w:val="005F3F05"/>
    <w:rsid w:val="005F409A"/>
    <w:rsid w:val="005F41D8"/>
    <w:rsid w:val="005F434B"/>
    <w:rsid w:val="005F50D6"/>
    <w:rsid w:val="005F59F6"/>
    <w:rsid w:val="005F647D"/>
    <w:rsid w:val="005F64F0"/>
    <w:rsid w:val="005F6A64"/>
    <w:rsid w:val="005F6AE6"/>
    <w:rsid w:val="005F6D09"/>
    <w:rsid w:val="005F6D82"/>
    <w:rsid w:val="005F700D"/>
    <w:rsid w:val="005F72E2"/>
    <w:rsid w:val="005F795B"/>
    <w:rsid w:val="00600190"/>
    <w:rsid w:val="0060033E"/>
    <w:rsid w:val="006005F0"/>
    <w:rsid w:val="00600AB9"/>
    <w:rsid w:val="00600B59"/>
    <w:rsid w:val="00600CA8"/>
    <w:rsid w:val="00601237"/>
    <w:rsid w:val="00601581"/>
    <w:rsid w:val="00601B78"/>
    <w:rsid w:val="006023F3"/>
    <w:rsid w:val="006028A8"/>
    <w:rsid w:val="006029A7"/>
    <w:rsid w:val="00602A57"/>
    <w:rsid w:val="00602A7B"/>
    <w:rsid w:val="00602F98"/>
    <w:rsid w:val="0060300C"/>
    <w:rsid w:val="00603014"/>
    <w:rsid w:val="006035F0"/>
    <w:rsid w:val="00603644"/>
    <w:rsid w:val="006036A4"/>
    <w:rsid w:val="00603CA4"/>
    <w:rsid w:val="00604630"/>
    <w:rsid w:val="0060465B"/>
    <w:rsid w:val="00604DFE"/>
    <w:rsid w:val="00604EA9"/>
    <w:rsid w:val="00604F0C"/>
    <w:rsid w:val="006054B2"/>
    <w:rsid w:val="00605677"/>
    <w:rsid w:val="00605E83"/>
    <w:rsid w:val="006060EF"/>
    <w:rsid w:val="00606838"/>
    <w:rsid w:val="00606C90"/>
    <w:rsid w:val="00606D90"/>
    <w:rsid w:val="00606F24"/>
    <w:rsid w:val="00607363"/>
    <w:rsid w:val="006078CB"/>
    <w:rsid w:val="00607992"/>
    <w:rsid w:val="00610047"/>
    <w:rsid w:val="006100D7"/>
    <w:rsid w:val="00610151"/>
    <w:rsid w:val="0061026C"/>
    <w:rsid w:val="0061075C"/>
    <w:rsid w:val="00610817"/>
    <w:rsid w:val="00610DE4"/>
    <w:rsid w:val="00611578"/>
    <w:rsid w:val="0061158F"/>
    <w:rsid w:val="00611C54"/>
    <w:rsid w:val="00611FDB"/>
    <w:rsid w:val="006120BC"/>
    <w:rsid w:val="0061211F"/>
    <w:rsid w:val="00612593"/>
    <w:rsid w:val="00612616"/>
    <w:rsid w:val="00612938"/>
    <w:rsid w:val="006131A9"/>
    <w:rsid w:val="0061387D"/>
    <w:rsid w:val="00613A79"/>
    <w:rsid w:val="00613ACB"/>
    <w:rsid w:val="00613E94"/>
    <w:rsid w:val="00614CA2"/>
    <w:rsid w:val="00615313"/>
    <w:rsid w:val="00615B1D"/>
    <w:rsid w:val="00615CEC"/>
    <w:rsid w:val="006165E3"/>
    <w:rsid w:val="0061682A"/>
    <w:rsid w:val="006168A1"/>
    <w:rsid w:val="0061741A"/>
    <w:rsid w:val="00617AD4"/>
    <w:rsid w:val="00617DF1"/>
    <w:rsid w:val="006206C2"/>
    <w:rsid w:val="0062090B"/>
    <w:rsid w:val="00620BDA"/>
    <w:rsid w:val="00620DB9"/>
    <w:rsid w:val="006212AF"/>
    <w:rsid w:val="0062175F"/>
    <w:rsid w:val="0062191E"/>
    <w:rsid w:val="00621986"/>
    <w:rsid w:val="00621A36"/>
    <w:rsid w:val="00622098"/>
    <w:rsid w:val="0062282C"/>
    <w:rsid w:val="00622BA4"/>
    <w:rsid w:val="006231D5"/>
    <w:rsid w:val="00623853"/>
    <w:rsid w:val="006238A7"/>
    <w:rsid w:val="00623CA1"/>
    <w:rsid w:val="006244B2"/>
    <w:rsid w:val="00624699"/>
    <w:rsid w:val="0062482C"/>
    <w:rsid w:val="00624CE3"/>
    <w:rsid w:val="00624D64"/>
    <w:rsid w:val="00624F0D"/>
    <w:rsid w:val="00625053"/>
    <w:rsid w:val="0062549D"/>
    <w:rsid w:val="00625B7D"/>
    <w:rsid w:val="006261DC"/>
    <w:rsid w:val="006265B5"/>
    <w:rsid w:val="00626973"/>
    <w:rsid w:val="00626F9A"/>
    <w:rsid w:val="00627CB1"/>
    <w:rsid w:val="0063066C"/>
    <w:rsid w:val="006306D3"/>
    <w:rsid w:val="00630C6E"/>
    <w:rsid w:val="0063100E"/>
    <w:rsid w:val="00631FD5"/>
    <w:rsid w:val="006333DF"/>
    <w:rsid w:val="006334FD"/>
    <w:rsid w:val="006335CE"/>
    <w:rsid w:val="006339BC"/>
    <w:rsid w:val="00633CF7"/>
    <w:rsid w:val="006343B6"/>
    <w:rsid w:val="00634433"/>
    <w:rsid w:val="006345B3"/>
    <w:rsid w:val="0063477E"/>
    <w:rsid w:val="006353C4"/>
    <w:rsid w:val="0063545C"/>
    <w:rsid w:val="00635587"/>
    <w:rsid w:val="00635759"/>
    <w:rsid w:val="006361D6"/>
    <w:rsid w:val="006369D2"/>
    <w:rsid w:val="00636B94"/>
    <w:rsid w:val="00636FDF"/>
    <w:rsid w:val="006376F6"/>
    <w:rsid w:val="00637745"/>
    <w:rsid w:val="00637881"/>
    <w:rsid w:val="00637C2A"/>
    <w:rsid w:val="00637FFE"/>
    <w:rsid w:val="006406F7"/>
    <w:rsid w:val="00640A2B"/>
    <w:rsid w:val="0064163D"/>
    <w:rsid w:val="0064165C"/>
    <w:rsid w:val="0064205C"/>
    <w:rsid w:val="00642073"/>
    <w:rsid w:val="00642236"/>
    <w:rsid w:val="00642BD6"/>
    <w:rsid w:val="00642DA7"/>
    <w:rsid w:val="00643B95"/>
    <w:rsid w:val="00643EEF"/>
    <w:rsid w:val="006441FD"/>
    <w:rsid w:val="00644608"/>
    <w:rsid w:val="00644BD3"/>
    <w:rsid w:val="00645122"/>
    <w:rsid w:val="006451F9"/>
    <w:rsid w:val="0064525B"/>
    <w:rsid w:val="006452BC"/>
    <w:rsid w:val="00645473"/>
    <w:rsid w:val="00645588"/>
    <w:rsid w:val="00645A91"/>
    <w:rsid w:val="00645CBA"/>
    <w:rsid w:val="00645D22"/>
    <w:rsid w:val="00645E51"/>
    <w:rsid w:val="00646890"/>
    <w:rsid w:val="00646934"/>
    <w:rsid w:val="00647132"/>
    <w:rsid w:val="00647894"/>
    <w:rsid w:val="00647D91"/>
    <w:rsid w:val="00650880"/>
    <w:rsid w:val="006513BE"/>
    <w:rsid w:val="00651552"/>
    <w:rsid w:val="00651690"/>
    <w:rsid w:val="006519EC"/>
    <w:rsid w:val="00651F7C"/>
    <w:rsid w:val="00652090"/>
    <w:rsid w:val="00652108"/>
    <w:rsid w:val="00652144"/>
    <w:rsid w:val="00652396"/>
    <w:rsid w:val="0065322F"/>
    <w:rsid w:val="006533F8"/>
    <w:rsid w:val="00654323"/>
    <w:rsid w:val="0065444E"/>
    <w:rsid w:val="006548B9"/>
    <w:rsid w:val="00654BA6"/>
    <w:rsid w:val="00654CF8"/>
    <w:rsid w:val="00655461"/>
    <w:rsid w:val="00655D81"/>
    <w:rsid w:val="00656022"/>
    <w:rsid w:val="006561D4"/>
    <w:rsid w:val="0065698C"/>
    <w:rsid w:val="00656AB5"/>
    <w:rsid w:val="00656C9C"/>
    <w:rsid w:val="00657082"/>
    <w:rsid w:val="00657724"/>
    <w:rsid w:val="00657A09"/>
    <w:rsid w:val="00657A8B"/>
    <w:rsid w:val="006606C7"/>
    <w:rsid w:val="0066103B"/>
    <w:rsid w:val="006615BA"/>
    <w:rsid w:val="00661CBB"/>
    <w:rsid w:val="0066213B"/>
    <w:rsid w:val="0066217E"/>
    <w:rsid w:val="006626DB"/>
    <w:rsid w:val="00662886"/>
    <w:rsid w:val="00662C90"/>
    <w:rsid w:val="006635EB"/>
    <w:rsid w:val="00663BDA"/>
    <w:rsid w:val="00663E34"/>
    <w:rsid w:val="00664159"/>
    <w:rsid w:val="00664926"/>
    <w:rsid w:val="0066495E"/>
    <w:rsid w:val="00664B89"/>
    <w:rsid w:val="00664D12"/>
    <w:rsid w:val="00664EBA"/>
    <w:rsid w:val="0066515D"/>
    <w:rsid w:val="00665242"/>
    <w:rsid w:val="00665AB0"/>
    <w:rsid w:val="00665C0E"/>
    <w:rsid w:val="00665D48"/>
    <w:rsid w:val="006663D1"/>
    <w:rsid w:val="006664AF"/>
    <w:rsid w:val="00666530"/>
    <w:rsid w:val="0066692D"/>
    <w:rsid w:val="00666AE7"/>
    <w:rsid w:val="00666CE5"/>
    <w:rsid w:val="006671F9"/>
    <w:rsid w:val="006673E5"/>
    <w:rsid w:val="006678D4"/>
    <w:rsid w:val="006708C8"/>
    <w:rsid w:val="00670C32"/>
    <w:rsid w:val="00670CFF"/>
    <w:rsid w:val="006712E5"/>
    <w:rsid w:val="0067188F"/>
    <w:rsid w:val="00671DAD"/>
    <w:rsid w:val="00672073"/>
    <w:rsid w:val="006721AB"/>
    <w:rsid w:val="00672318"/>
    <w:rsid w:val="00672926"/>
    <w:rsid w:val="006734DD"/>
    <w:rsid w:val="006739E5"/>
    <w:rsid w:val="0067430A"/>
    <w:rsid w:val="00674E8B"/>
    <w:rsid w:val="00675381"/>
    <w:rsid w:val="006753F4"/>
    <w:rsid w:val="006756F3"/>
    <w:rsid w:val="006766E3"/>
    <w:rsid w:val="006768DA"/>
    <w:rsid w:val="00676950"/>
    <w:rsid w:val="00676D8F"/>
    <w:rsid w:val="0067736B"/>
    <w:rsid w:val="00677752"/>
    <w:rsid w:val="0068018E"/>
    <w:rsid w:val="00680219"/>
    <w:rsid w:val="00680525"/>
    <w:rsid w:val="00680797"/>
    <w:rsid w:val="00680996"/>
    <w:rsid w:val="00680DD1"/>
    <w:rsid w:val="006814E6"/>
    <w:rsid w:val="006816A5"/>
    <w:rsid w:val="00681F9E"/>
    <w:rsid w:val="00682F6A"/>
    <w:rsid w:val="0068324A"/>
    <w:rsid w:val="00683595"/>
    <w:rsid w:val="00683D9A"/>
    <w:rsid w:val="00683ED7"/>
    <w:rsid w:val="00683FA2"/>
    <w:rsid w:val="00684929"/>
    <w:rsid w:val="006849B5"/>
    <w:rsid w:val="00684AD9"/>
    <w:rsid w:val="00684EFD"/>
    <w:rsid w:val="00684F77"/>
    <w:rsid w:val="006852E9"/>
    <w:rsid w:val="00685684"/>
    <w:rsid w:val="0068577A"/>
    <w:rsid w:val="00685E70"/>
    <w:rsid w:val="00685ED8"/>
    <w:rsid w:val="006868E2"/>
    <w:rsid w:val="006869CA"/>
    <w:rsid w:val="0068715A"/>
    <w:rsid w:val="00687177"/>
    <w:rsid w:val="0068788E"/>
    <w:rsid w:val="00687A01"/>
    <w:rsid w:val="00687C11"/>
    <w:rsid w:val="00687E8B"/>
    <w:rsid w:val="006904C6"/>
    <w:rsid w:val="00690828"/>
    <w:rsid w:val="00690A93"/>
    <w:rsid w:val="00690B50"/>
    <w:rsid w:val="00690C27"/>
    <w:rsid w:val="00690CC1"/>
    <w:rsid w:val="006911DD"/>
    <w:rsid w:val="0069136D"/>
    <w:rsid w:val="00691799"/>
    <w:rsid w:val="00691841"/>
    <w:rsid w:val="00691A98"/>
    <w:rsid w:val="00691A99"/>
    <w:rsid w:val="006922A1"/>
    <w:rsid w:val="00692B7D"/>
    <w:rsid w:val="006934DB"/>
    <w:rsid w:val="00693573"/>
    <w:rsid w:val="00693741"/>
    <w:rsid w:val="006940CE"/>
    <w:rsid w:val="00694D52"/>
    <w:rsid w:val="0069526C"/>
    <w:rsid w:val="0069570F"/>
    <w:rsid w:val="00695877"/>
    <w:rsid w:val="00695AC7"/>
    <w:rsid w:val="00695AEA"/>
    <w:rsid w:val="006962D7"/>
    <w:rsid w:val="00696411"/>
    <w:rsid w:val="0069690A"/>
    <w:rsid w:val="00696A67"/>
    <w:rsid w:val="00696DB0"/>
    <w:rsid w:val="00697128"/>
    <w:rsid w:val="0069720B"/>
    <w:rsid w:val="00697377"/>
    <w:rsid w:val="006A01C4"/>
    <w:rsid w:val="006A0DE4"/>
    <w:rsid w:val="006A0F7E"/>
    <w:rsid w:val="006A113C"/>
    <w:rsid w:val="006A1272"/>
    <w:rsid w:val="006A15AB"/>
    <w:rsid w:val="006A1889"/>
    <w:rsid w:val="006A1937"/>
    <w:rsid w:val="006A1AB7"/>
    <w:rsid w:val="006A2A8F"/>
    <w:rsid w:val="006A2EEB"/>
    <w:rsid w:val="006A3348"/>
    <w:rsid w:val="006A346E"/>
    <w:rsid w:val="006A37D0"/>
    <w:rsid w:val="006A39AE"/>
    <w:rsid w:val="006A3C28"/>
    <w:rsid w:val="006A3F65"/>
    <w:rsid w:val="006A42EB"/>
    <w:rsid w:val="006A4313"/>
    <w:rsid w:val="006A4406"/>
    <w:rsid w:val="006A4B7D"/>
    <w:rsid w:val="006A552F"/>
    <w:rsid w:val="006A5E4E"/>
    <w:rsid w:val="006A6030"/>
    <w:rsid w:val="006A62F4"/>
    <w:rsid w:val="006A64DF"/>
    <w:rsid w:val="006A6C7A"/>
    <w:rsid w:val="006A700C"/>
    <w:rsid w:val="006A700D"/>
    <w:rsid w:val="006A701F"/>
    <w:rsid w:val="006A74B5"/>
    <w:rsid w:val="006A7664"/>
    <w:rsid w:val="006A7776"/>
    <w:rsid w:val="006A7DD1"/>
    <w:rsid w:val="006A7FA6"/>
    <w:rsid w:val="006B023E"/>
    <w:rsid w:val="006B1430"/>
    <w:rsid w:val="006B14C0"/>
    <w:rsid w:val="006B20BB"/>
    <w:rsid w:val="006B219E"/>
    <w:rsid w:val="006B2265"/>
    <w:rsid w:val="006B2DDB"/>
    <w:rsid w:val="006B304A"/>
    <w:rsid w:val="006B345B"/>
    <w:rsid w:val="006B34A6"/>
    <w:rsid w:val="006B36DB"/>
    <w:rsid w:val="006B380D"/>
    <w:rsid w:val="006B392B"/>
    <w:rsid w:val="006B4330"/>
    <w:rsid w:val="006B4386"/>
    <w:rsid w:val="006B4EE3"/>
    <w:rsid w:val="006B6A1E"/>
    <w:rsid w:val="006B6F04"/>
    <w:rsid w:val="006B6FA6"/>
    <w:rsid w:val="006B7417"/>
    <w:rsid w:val="006B7732"/>
    <w:rsid w:val="006B7895"/>
    <w:rsid w:val="006B7952"/>
    <w:rsid w:val="006B7EF5"/>
    <w:rsid w:val="006C009D"/>
    <w:rsid w:val="006C01BE"/>
    <w:rsid w:val="006C02FB"/>
    <w:rsid w:val="006C04CD"/>
    <w:rsid w:val="006C0914"/>
    <w:rsid w:val="006C0E39"/>
    <w:rsid w:val="006C11B1"/>
    <w:rsid w:val="006C12C3"/>
    <w:rsid w:val="006C153C"/>
    <w:rsid w:val="006C1995"/>
    <w:rsid w:val="006C19DC"/>
    <w:rsid w:val="006C1C93"/>
    <w:rsid w:val="006C1EBD"/>
    <w:rsid w:val="006C204C"/>
    <w:rsid w:val="006C253C"/>
    <w:rsid w:val="006C2EFD"/>
    <w:rsid w:val="006C31B5"/>
    <w:rsid w:val="006C323C"/>
    <w:rsid w:val="006C33E3"/>
    <w:rsid w:val="006C36DF"/>
    <w:rsid w:val="006C377F"/>
    <w:rsid w:val="006C3877"/>
    <w:rsid w:val="006C38FE"/>
    <w:rsid w:val="006C3927"/>
    <w:rsid w:val="006C3A51"/>
    <w:rsid w:val="006C3B43"/>
    <w:rsid w:val="006C477E"/>
    <w:rsid w:val="006C4787"/>
    <w:rsid w:val="006C49DF"/>
    <w:rsid w:val="006C4D2A"/>
    <w:rsid w:val="006C4ECF"/>
    <w:rsid w:val="006C5982"/>
    <w:rsid w:val="006C5CB0"/>
    <w:rsid w:val="006C5CB1"/>
    <w:rsid w:val="006C68FE"/>
    <w:rsid w:val="006C6951"/>
    <w:rsid w:val="006C6BCA"/>
    <w:rsid w:val="006C6C3A"/>
    <w:rsid w:val="006C7106"/>
    <w:rsid w:val="006C7180"/>
    <w:rsid w:val="006C7561"/>
    <w:rsid w:val="006C7896"/>
    <w:rsid w:val="006C7BCF"/>
    <w:rsid w:val="006C7FC0"/>
    <w:rsid w:val="006D0B37"/>
    <w:rsid w:val="006D0D63"/>
    <w:rsid w:val="006D0FCC"/>
    <w:rsid w:val="006D13E4"/>
    <w:rsid w:val="006D15D3"/>
    <w:rsid w:val="006D15E7"/>
    <w:rsid w:val="006D1AF2"/>
    <w:rsid w:val="006D1CA8"/>
    <w:rsid w:val="006D239E"/>
    <w:rsid w:val="006D2F24"/>
    <w:rsid w:val="006D3AA2"/>
    <w:rsid w:val="006D3DB3"/>
    <w:rsid w:val="006D456C"/>
    <w:rsid w:val="006D4622"/>
    <w:rsid w:val="006D4D19"/>
    <w:rsid w:val="006D4DCF"/>
    <w:rsid w:val="006D4DEF"/>
    <w:rsid w:val="006D4E11"/>
    <w:rsid w:val="006D50FE"/>
    <w:rsid w:val="006D5146"/>
    <w:rsid w:val="006D5DAB"/>
    <w:rsid w:val="006D5FE3"/>
    <w:rsid w:val="006D6003"/>
    <w:rsid w:val="006D618E"/>
    <w:rsid w:val="006D61FA"/>
    <w:rsid w:val="006D68EF"/>
    <w:rsid w:val="006D6C6D"/>
    <w:rsid w:val="006D6C89"/>
    <w:rsid w:val="006D7685"/>
    <w:rsid w:val="006D79C7"/>
    <w:rsid w:val="006D7D7A"/>
    <w:rsid w:val="006D7E19"/>
    <w:rsid w:val="006E00A3"/>
    <w:rsid w:val="006E0363"/>
    <w:rsid w:val="006E088D"/>
    <w:rsid w:val="006E1297"/>
    <w:rsid w:val="006E1B01"/>
    <w:rsid w:val="006E1E93"/>
    <w:rsid w:val="006E2942"/>
    <w:rsid w:val="006E2FB9"/>
    <w:rsid w:val="006E3723"/>
    <w:rsid w:val="006E37E7"/>
    <w:rsid w:val="006E3895"/>
    <w:rsid w:val="006E3C31"/>
    <w:rsid w:val="006E472C"/>
    <w:rsid w:val="006E5161"/>
    <w:rsid w:val="006E58C6"/>
    <w:rsid w:val="006E601A"/>
    <w:rsid w:val="006E6028"/>
    <w:rsid w:val="006E6085"/>
    <w:rsid w:val="006E610C"/>
    <w:rsid w:val="006E6472"/>
    <w:rsid w:val="006E68D7"/>
    <w:rsid w:val="006E71BF"/>
    <w:rsid w:val="006E755D"/>
    <w:rsid w:val="006E7644"/>
    <w:rsid w:val="006E7A29"/>
    <w:rsid w:val="006E7C4C"/>
    <w:rsid w:val="006E7EE2"/>
    <w:rsid w:val="006F0111"/>
    <w:rsid w:val="006F053C"/>
    <w:rsid w:val="006F05E9"/>
    <w:rsid w:val="006F0F52"/>
    <w:rsid w:val="006F111A"/>
    <w:rsid w:val="006F13F9"/>
    <w:rsid w:val="006F143E"/>
    <w:rsid w:val="006F1B5F"/>
    <w:rsid w:val="006F1C86"/>
    <w:rsid w:val="006F1EAD"/>
    <w:rsid w:val="006F20F3"/>
    <w:rsid w:val="006F2189"/>
    <w:rsid w:val="006F36AC"/>
    <w:rsid w:val="006F4361"/>
    <w:rsid w:val="006F481D"/>
    <w:rsid w:val="006F52C3"/>
    <w:rsid w:val="006F60D8"/>
    <w:rsid w:val="006F6128"/>
    <w:rsid w:val="006F6767"/>
    <w:rsid w:val="006F68E5"/>
    <w:rsid w:val="006F6C4E"/>
    <w:rsid w:val="006F6E27"/>
    <w:rsid w:val="006F73B5"/>
    <w:rsid w:val="006F755A"/>
    <w:rsid w:val="006F7654"/>
    <w:rsid w:val="006F7839"/>
    <w:rsid w:val="006F7EDB"/>
    <w:rsid w:val="007002B0"/>
    <w:rsid w:val="00700388"/>
    <w:rsid w:val="00700F0A"/>
    <w:rsid w:val="00700F63"/>
    <w:rsid w:val="007012E0"/>
    <w:rsid w:val="00701453"/>
    <w:rsid w:val="007017C7"/>
    <w:rsid w:val="0070198C"/>
    <w:rsid w:val="00701EDC"/>
    <w:rsid w:val="00702215"/>
    <w:rsid w:val="0070252C"/>
    <w:rsid w:val="00702765"/>
    <w:rsid w:val="0070295C"/>
    <w:rsid w:val="00702CF4"/>
    <w:rsid w:val="00703888"/>
    <w:rsid w:val="007038AC"/>
    <w:rsid w:val="00703A67"/>
    <w:rsid w:val="00703C07"/>
    <w:rsid w:val="00703C5C"/>
    <w:rsid w:val="0070430F"/>
    <w:rsid w:val="007045D7"/>
    <w:rsid w:val="00704A5A"/>
    <w:rsid w:val="00704AD9"/>
    <w:rsid w:val="007059C2"/>
    <w:rsid w:val="00705B47"/>
    <w:rsid w:val="00705DC1"/>
    <w:rsid w:val="007063EC"/>
    <w:rsid w:val="007070EA"/>
    <w:rsid w:val="00707433"/>
    <w:rsid w:val="0070796B"/>
    <w:rsid w:val="007102C9"/>
    <w:rsid w:val="00710632"/>
    <w:rsid w:val="00710A20"/>
    <w:rsid w:val="00710B2D"/>
    <w:rsid w:val="00710BD8"/>
    <w:rsid w:val="00710C72"/>
    <w:rsid w:val="007118D3"/>
    <w:rsid w:val="00711EDA"/>
    <w:rsid w:val="00712160"/>
    <w:rsid w:val="00712237"/>
    <w:rsid w:val="00712A86"/>
    <w:rsid w:val="00712AA1"/>
    <w:rsid w:val="00713640"/>
    <w:rsid w:val="00713672"/>
    <w:rsid w:val="00713C4C"/>
    <w:rsid w:val="00713E51"/>
    <w:rsid w:val="007148BE"/>
    <w:rsid w:val="00714E43"/>
    <w:rsid w:val="00714FD3"/>
    <w:rsid w:val="00715193"/>
    <w:rsid w:val="0071540C"/>
    <w:rsid w:val="00715A29"/>
    <w:rsid w:val="00715AB4"/>
    <w:rsid w:val="007163EC"/>
    <w:rsid w:val="0071653B"/>
    <w:rsid w:val="00716E8E"/>
    <w:rsid w:val="00717069"/>
    <w:rsid w:val="007170C8"/>
    <w:rsid w:val="00717273"/>
    <w:rsid w:val="00717407"/>
    <w:rsid w:val="007174D5"/>
    <w:rsid w:val="007177A6"/>
    <w:rsid w:val="00717815"/>
    <w:rsid w:val="00717920"/>
    <w:rsid w:val="00717C08"/>
    <w:rsid w:val="0072041A"/>
    <w:rsid w:val="0072065A"/>
    <w:rsid w:val="007206F5"/>
    <w:rsid w:val="007209BE"/>
    <w:rsid w:val="00720ADE"/>
    <w:rsid w:val="00720E78"/>
    <w:rsid w:val="00721282"/>
    <w:rsid w:val="00721A69"/>
    <w:rsid w:val="0072251D"/>
    <w:rsid w:val="00722B50"/>
    <w:rsid w:val="00722E97"/>
    <w:rsid w:val="0072392E"/>
    <w:rsid w:val="00723BB5"/>
    <w:rsid w:val="00723D3B"/>
    <w:rsid w:val="00723E97"/>
    <w:rsid w:val="0072457F"/>
    <w:rsid w:val="00724588"/>
    <w:rsid w:val="007246DC"/>
    <w:rsid w:val="00724732"/>
    <w:rsid w:val="00724B83"/>
    <w:rsid w:val="00724FDF"/>
    <w:rsid w:val="00724FF7"/>
    <w:rsid w:val="0072533A"/>
    <w:rsid w:val="00725402"/>
    <w:rsid w:val="00725858"/>
    <w:rsid w:val="0072643E"/>
    <w:rsid w:val="007269FA"/>
    <w:rsid w:val="00726A51"/>
    <w:rsid w:val="00726D11"/>
    <w:rsid w:val="00727756"/>
    <w:rsid w:val="007300D6"/>
    <w:rsid w:val="00730256"/>
    <w:rsid w:val="007303BD"/>
    <w:rsid w:val="007304DA"/>
    <w:rsid w:val="007304EE"/>
    <w:rsid w:val="00730D8E"/>
    <w:rsid w:val="00730E8D"/>
    <w:rsid w:val="00731634"/>
    <w:rsid w:val="00731FEA"/>
    <w:rsid w:val="00732016"/>
    <w:rsid w:val="00732256"/>
    <w:rsid w:val="007326EB"/>
    <w:rsid w:val="0073275E"/>
    <w:rsid w:val="0073306A"/>
    <w:rsid w:val="007333D4"/>
    <w:rsid w:val="0073349B"/>
    <w:rsid w:val="00733747"/>
    <w:rsid w:val="007338F6"/>
    <w:rsid w:val="00733918"/>
    <w:rsid w:val="00733BE6"/>
    <w:rsid w:val="00733F3B"/>
    <w:rsid w:val="0073434F"/>
    <w:rsid w:val="00734A80"/>
    <w:rsid w:val="0073502D"/>
    <w:rsid w:val="00735107"/>
    <w:rsid w:val="00735486"/>
    <w:rsid w:val="007357F6"/>
    <w:rsid w:val="00735F31"/>
    <w:rsid w:val="00736296"/>
    <w:rsid w:val="0073638C"/>
    <w:rsid w:val="0073667B"/>
    <w:rsid w:val="007367D9"/>
    <w:rsid w:val="007368DD"/>
    <w:rsid w:val="00736971"/>
    <w:rsid w:val="00736A3A"/>
    <w:rsid w:val="00736E89"/>
    <w:rsid w:val="00736FBF"/>
    <w:rsid w:val="00737245"/>
    <w:rsid w:val="007372E0"/>
    <w:rsid w:val="00737517"/>
    <w:rsid w:val="0073766A"/>
    <w:rsid w:val="00737785"/>
    <w:rsid w:val="00737A01"/>
    <w:rsid w:val="00737CAE"/>
    <w:rsid w:val="007402D6"/>
    <w:rsid w:val="007404A9"/>
    <w:rsid w:val="00740914"/>
    <w:rsid w:val="00740927"/>
    <w:rsid w:val="007409B3"/>
    <w:rsid w:val="00740F77"/>
    <w:rsid w:val="007411A1"/>
    <w:rsid w:val="0074153B"/>
    <w:rsid w:val="007416CF"/>
    <w:rsid w:val="007419C2"/>
    <w:rsid w:val="00741A89"/>
    <w:rsid w:val="00741BF6"/>
    <w:rsid w:val="0074240D"/>
    <w:rsid w:val="007428CB"/>
    <w:rsid w:val="00742CCA"/>
    <w:rsid w:val="00743398"/>
    <w:rsid w:val="0074343B"/>
    <w:rsid w:val="0074351B"/>
    <w:rsid w:val="007440D3"/>
    <w:rsid w:val="0074473A"/>
    <w:rsid w:val="00744805"/>
    <w:rsid w:val="00745649"/>
    <w:rsid w:val="00745C69"/>
    <w:rsid w:val="00745D05"/>
    <w:rsid w:val="00745D49"/>
    <w:rsid w:val="0074613F"/>
    <w:rsid w:val="00746176"/>
    <w:rsid w:val="0074638A"/>
    <w:rsid w:val="00746955"/>
    <w:rsid w:val="007469DB"/>
    <w:rsid w:val="00747410"/>
    <w:rsid w:val="0074797C"/>
    <w:rsid w:val="00747DAA"/>
    <w:rsid w:val="0075003C"/>
    <w:rsid w:val="007501B5"/>
    <w:rsid w:val="007503E2"/>
    <w:rsid w:val="0075042B"/>
    <w:rsid w:val="00750960"/>
    <w:rsid w:val="00750F00"/>
    <w:rsid w:val="007513AC"/>
    <w:rsid w:val="007521D5"/>
    <w:rsid w:val="007524B9"/>
    <w:rsid w:val="00753319"/>
    <w:rsid w:val="0075335D"/>
    <w:rsid w:val="007543F0"/>
    <w:rsid w:val="00754521"/>
    <w:rsid w:val="00754732"/>
    <w:rsid w:val="00754C4C"/>
    <w:rsid w:val="0075505C"/>
    <w:rsid w:val="007554D4"/>
    <w:rsid w:val="00755520"/>
    <w:rsid w:val="00755BAB"/>
    <w:rsid w:val="00755C62"/>
    <w:rsid w:val="0075668B"/>
    <w:rsid w:val="00756A4D"/>
    <w:rsid w:val="00756DD4"/>
    <w:rsid w:val="00756EFE"/>
    <w:rsid w:val="007570C5"/>
    <w:rsid w:val="0075730E"/>
    <w:rsid w:val="007574DA"/>
    <w:rsid w:val="007576C7"/>
    <w:rsid w:val="007578E8"/>
    <w:rsid w:val="00757B15"/>
    <w:rsid w:val="00757D22"/>
    <w:rsid w:val="00757EBC"/>
    <w:rsid w:val="00760024"/>
    <w:rsid w:val="0076065A"/>
    <w:rsid w:val="00760D74"/>
    <w:rsid w:val="00761148"/>
    <w:rsid w:val="00761516"/>
    <w:rsid w:val="0076169F"/>
    <w:rsid w:val="00761F0C"/>
    <w:rsid w:val="00762965"/>
    <w:rsid w:val="007629D7"/>
    <w:rsid w:val="00762E92"/>
    <w:rsid w:val="00763577"/>
    <w:rsid w:val="00763682"/>
    <w:rsid w:val="00763C44"/>
    <w:rsid w:val="00763D6D"/>
    <w:rsid w:val="00763E9D"/>
    <w:rsid w:val="00763F81"/>
    <w:rsid w:val="0076486A"/>
    <w:rsid w:val="00764F44"/>
    <w:rsid w:val="00764F7A"/>
    <w:rsid w:val="00765AF4"/>
    <w:rsid w:val="00765D31"/>
    <w:rsid w:val="00766619"/>
    <w:rsid w:val="00766CE9"/>
    <w:rsid w:val="00766EFD"/>
    <w:rsid w:val="0076766C"/>
    <w:rsid w:val="0076795B"/>
    <w:rsid w:val="00767AB1"/>
    <w:rsid w:val="00767DDA"/>
    <w:rsid w:val="007712EB"/>
    <w:rsid w:val="007713A8"/>
    <w:rsid w:val="00771EA6"/>
    <w:rsid w:val="00771EEE"/>
    <w:rsid w:val="00772079"/>
    <w:rsid w:val="00772418"/>
    <w:rsid w:val="007724A5"/>
    <w:rsid w:val="007737B4"/>
    <w:rsid w:val="00773B6F"/>
    <w:rsid w:val="00773D45"/>
    <w:rsid w:val="00773DB8"/>
    <w:rsid w:val="00774289"/>
    <w:rsid w:val="007747A3"/>
    <w:rsid w:val="00775700"/>
    <w:rsid w:val="00775731"/>
    <w:rsid w:val="007758ED"/>
    <w:rsid w:val="00775FF4"/>
    <w:rsid w:val="00776081"/>
    <w:rsid w:val="007761E4"/>
    <w:rsid w:val="0077655E"/>
    <w:rsid w:val="00776640"/>
    <w:rsid w:val="00776962"/>
    <w:rsid w:val="00776A19"/>
    <w:rsid w:val="00776AC9"/>
    <w:rsid w:val="00777269"/>
    <w:rsid w:val="007779F7"/>
    <w:rsid w:val="00777A85"/>
    <w:rsid w:val="00777CD7"/>
    <w:rsid w:val="007801ED"/>
    <w:rsid w:val="0078041D"/>
    <w:rsid w:val="00780764"/>
    <w:rsid w:val="00780CD4"/>
    <w:rsid w:val="00780CE5"/>
    <w:rsid w:val="00780D68"/>
    <w:rsid w:val="00781486"/>
    <w:rsid w:val="007816C2"/>
    <w:rsid w:val="00781901"/>
    <w:rsid w:val="00781A9B"/>
    <w:rsid w:val="00781DA8"/>
    <w:rsid w:val="00781E18"/>
    <w:rsid w:val="00782860"/>
    <w:rsid w:val="00782C89"/>
    <w:rsid w:val="00783368"/>
    <w:rsid w:val="0078357E"/>
    <w:rsid w:val="00783BB8"/>
    <w:rsid w:val="0078440E"/>
    <w:rsid w:val="00784A93"/>
    <w:rsid w:val="0078523B"/>
    <w:rsid w:val="00785471"/>
    <w:rsid w:val="00787893"/>
    <w:rsid w:val="00787945"/>
    <w:rsid w:val="00787FB6"/>
    <w:rsid w:val="007900AA"/>
    <w:rsid w:val="00790193"/>
    <w:rsid w:val="0079063A"/>
    <w:rsid w:val="007911C1"/>
    <w:rsid w:val="00792740"/>
    <w:rsid w:val="00792EDE"/>
    <w:rsid w:val="0079301C"/>
    <w:rsid w:val="007937FA"/>
    <w:rsid w:val="0079381F"/>
    <w:rsid w:val="00793BD2"/>
    <w:rsid w:val="00793CE9"/>
    <w:rsid w:val="00793D78"/>
    <w:rsid w:val="00794EAD"/>
    <w:rsid w:val="00795AB6"/>
    <w:rsid w:val="00795B7C"/>
    <w:rsid w:val="00796079"/>
    <w:rsid w:val="007961C4"/>
    <w:rsid w:val="00796236"/>
    <w:rsid w:val="00796900"/>
    <w:rsid w:val="00796A79"/>
    <w:rsid w:val="0079719A"/>
    <w:rsid w:val="0079761C"/>
    <w:rsid w:val="00797DAF"/>
    <w:rsid w:val="00797F55"/>
    <w:rsid w:val="007A03AE"/>
    <w:rsid w:val="007A1143"/>
    <w:rsid w:val="007A19A3"/>
    <w:rsid w:val="007A1A10"/>
    <w:rsid w:val="007A1E55"/>
    <w:rsid w:val="007A22FA"/>
    <w:rsid w:val="007A26E7"/>
    <w:rsid w:val="007A2A28"/>
    <w:rsid w:val="007A3AD7"/>
    <w:rsid w:val="007A3ED3"/>
    <w:rsid w:val="007A480D"/>
    <w:rsid w:val="007A4852"/>
    <w:rsid w:val="007A4BA5"/>
    <w:rsid w:val="007A5953"/>
    <w:rsid w:val="007A62F5"/>
    <w:rsid w:val="007A6516"/>
    <w:rsid w:val="007A65EF"/>
    <w:rsid w:val="007A6781"/>
    <w:rsid w:val="007A67CF"/>
    <w:rsid w:val="007A6811"/>
    <w:rsid w:val="007A698B"/>
    <w:rsid w:val="007A6B94"/>
    <w:rsid w:val="007A6D71"/>
    <w:rsid w:val="007A6ED5"/>
    <w:rsid w:val="007A7147"/>
    <w:rsid w:val="007A716C"/>
    <w:rsid w:val="007A7202"/>
    <w:rsid w:val="007A725E"/>
    <w:rsid w:val="007A72D8"/>
    <w:rsid w:val="007A798B"/>
    <w:rsid w:val="007A7A59"/>
    <w:rsid w:val="007A7ADA"/>
    <w:rsid w:val="007B0016"/>
    <w:rsid w:val="007B059E"/>
    <w:rsid w:val="007B065D"/>
    <w:rsid w:val="007B09A0"/>
    <w:rsid w:val="007B0B08"/>
    <w:rsid w:val="007B0B9A"/>
    <w:rsid w:val="007B1BA4"/>
    <w:rsid w:val="007B1CA3"/>
    <w:rsid w:val="007B1E10"/>
    <w:rsid w:val="007B2D6F"/>
    <w:rsid w:val="007B301B"/>
    <w:rsid w:val="007B3650"/>
    <w:rsid w:val="007B3A5C"/>
    <w:rsid w:val="007B40F4"/>
    <w:rsid w:val="007B437F"/>
    <w:rsid w:val="007B46E8"/>
    <w:rsid w:val="007B4A72"/>
    <w:rsid w:val="007B4C21"/>
    <w:rsid w:val="007B5B0C"/>
    <w:rsid w:val="007B5BBC"/>
    <w:rsid w:val="007B70A7"/>
    <w:rsid w:val="007C0804"/>
    <w:rsid w:val="007C0BDF"/>
    <w:rsid w:val="007C0CEB"/>
    <w:rsid w:val="007C0F20"/>
    <w:rsid w:val="007C1167"/>
    <w:rsid w:val="007C176B"/>
    <w:rsid w:val="007C19C3"/>
    <w:rsid w:val="007C1A58"/>
    <w:rsid w:val="007C1D2C"/>
    <w:rsid w:val="007C273B"/>
    <w:rsid w:val="007C2871"/>
    <w:rsid w:val="007C28D4"/>
    <w:rsid w:val="007C293C"/>
    <w:rsid w:val="007C3515"/>
    <w:rsid w:val="007C3954"/>
    <w:rsid w:val="007C3E2C"/>
    <w:rsid w:val="007C3EA6"/>
    <w:rsid w:val="007C4381"/>
    <w:rsid w:val="007C4469"/>
    <w:rsid w:val="007C45F6"/>
    <w:rsid w:val="007C4A5D"/>
    <w:rsid w:val="007C50CD"/>
    <w:rsid w:val="007C7077"/>
    <w:rsid w:val="007C708E"/>
    <w:rsid w:val="007C70FC"/>
    <w:rsid w:val="007D0497"/>
    <w:rsid w:val="007D05DE"/>
    <w:rsid w:val="007D0933"/>
    <w:rsid w:val="007D0CB6"/>
    <w:rsid w:val="007D0E2B"/>
    <w:rsid w:val="007D0E9E"/>
    <w:rsid w:val="007D1162"/>
    <w:rsid w:val="007D132A"/>
    <w:rsid w:val="007D1DBC"/>
    <w:rsid w:val="007D2362"/>
    <w:rsid w:val="007D26AA"/>
    <w:rsid w:val="007D27DA"/>
    <w:rsid w:val="007D2A95"/>
    <w:rsid w:val="007D3832"/>
    <w:rsid w:val="007D3CF5"/>
    <w:rsid w:val="007D3D9E"/>
    <w:rsid w:val="007D3E79"/>
    <w:rsid w:val="007D4AF3"/>
    <w:rsid w:val="007D4BA1"/>
    <w:rsid w:val="007D5277"/>
    <w:rsid w:val="007D528A"/>
    <w:rsid w:val="007D53D9"/>
    <w:rsid w:val="007D543C"/>
    <w:rsid w:val="007D5479"/>
    <w:rsid w:val="007D5605"/>
    <w:rsid w:val="007D5C5D"/>
    <w:rsid w:val="007D5C6D"/>
    <w:rsid w:val="007D6171"/>
    <w:rsid w:val="007D63C6"/>
    <w:rsid w:val="007D674F"/>
    <w:rsid w:val="007D69F5"/>
    <w:rsid w:val="007E070E"/>
    <w:rsid w:val="007E07D4"/>
    <w:rsid w:val="007E0B91"/>
    <w:rsid w:val="007E0DB8"/>
    <w:rsid w:val="007E18BD"/>
    <w:rsid w:val="007E29EE"/>
    <w:rsid w:val="007E2F6C"/>
    <w:rsid w:val="007E3969"/>
    <w:rsid w:val="007E3F5B"/>
    <w:rsid w:val="007E4109"/>
    <w:rsid w:val="007E43DB"/>
    <w:rsid w:val="007E458C"/>
    <w:rsid w:val="007E47C5"/>
    <w:rsid w:val="007E4AA1"/>
    <w:rsid w:val="007E52DE"/>
    <w:rsid w:val="007E5AD7"/>
    <w:rsid w:val="007E5BC2"/>
    <w:rsid w:val="007E6507"/>
    <w:rsid w:val="007E6509"/>
    <w:rsid w:val="007E656F"/>
    <w:rsid w:val="007E7105"/>
    <w:rsid w:val="007E7384"/>
    <w:rsid w:val="007E73FA"/>
    <w:rsid w:val="007E744A"/>
    <w:rsid w:val="007E7FA4"/>
    <w:rsid w:val="007E7FCE"/>
    <w:rsid w:val="007F01C7"/>
    <w:rsid w:val="007F021C"/>
    <w:rsid w:val="007F0382"/>
    <w:rsid w:val="007F0564"/>
    <w:rsid w:val="007F056C"/>
    <w:rsid w:val="007F057C"/>
    <w:rsid w:val="007F0AC1"/>
    <w:rsid w:val="007F0B54"/>
    <w:rsid w:val="007F0E6D"/>
    <w:rsid w:val="007F1096"/>
    <w:rsid w:val="007F1374"/>
    <w:rsid w:val="007F14EA"/>
    <w:rsid w:val="007F16A1"/>
    <w:rsid w:val="007F1903"/>
    <w:rsid w:val="007F1B0C"/>
    <w:rsid w:val="007F2250"/>
    <w:rsid w:val="007F25D4"/>
    <w:rsid w:val="007F2C9D"/>
    <w:rsid w:val="007F2E64"/>
    <w:rsid w:val="007F4179"/>
    <w:rsid w:val="007F41F2"/>
    <w:rsid w:val="007F4220"/>
    <w:rsid w:val="007F4231"/>
    <w:rsid w:val="007F4525"/>
    <w:rsid w:val="007F47FB"/>
    <w:rsid w:val="007F4EC3"/>
    <w:rsid w:val="007F5399"/>
    <w:rsid w:val="007F5611"/>
    <w:rsid w:val="007F5616"/>
    <w:rsid w:val="007F59C4"/>
    <w:rsid w:val="007F5F9F"/>
    <w:rsid w:val="007F6227"/>
    <w:rsid w:val="007F6256"/>
    <w:rsid w:val="007F66D6"/>
    <w:rsid w:val="007F68C6"/>
    <w:rsid w:val="007F7600"/>
    <w:rsid w:val="007F7750"/>
    <w:rsid w:val="008007BD"/>
    <w:rsid w:val="008009F7"/>
    <w:rsid w:val="00800B39"/>
    <w:rsid w:val="00800D18"/>
    <w:rsid w:val="00801145"/>
    <w:rsid w:val="00801242"/>
    <w:rsid w:val="00801429"/>
    <w:rsid w:val="00801523"/>
    <w:rsid w:val="00801D6F"/>
    <w:rsid w:val="00802584"/>
    <w:rsid w:val="00802770"/>
    <w:rsid w:val="00802B11"/>
    <w:rsid w:val="00802C23"/>
    <w:rsid w:val="0080327E"/>
    <w:rsid w:val="008034A9"/>
    <w:rsid w:val="00803630"/>
    <w:rsid w:val="00803663"/>
    <w:rsid w:val="00803A22"/>
    <w:rsid w:val="008045A2"/>
    <w:rsid w:val="0080498E"/>
    <w:rsid w:val="00804C62"/>
    <w:rsid w:val="00804D3B"/>
    <w:rsid w:val="00805254"/>
    <w:rsid w:val="008053B1"/>
    <w:rsid w:val="0080556F"/>
    <w:rsid w:val="00805B57"/>
    <w:rsid w:val="00805EF5"/>
    <w:rsid w:val="0080600B"/>
    <w:rsid w:val="00806812"/>
    <w:rsid w:val="008068E5"/>
    <w:rsid w:val="00806BD4"/>
    <w:rsid w:val="00806BEC"/>
    <w:rsid w:val="00806D2F"/>
    <w:rsid w:val="00807290"/>
    <w:rsid w:val="008076BB"/>
    <w:rsid w:val="00807725"/>
    <w:rsid w:val="00807908"/>
    <w:rsid w:val="0080799C"/>
    <w:rsid w:val="00807D66"/>
    <w:rsid w:val="00810A9A"/>
    <w:rsid w:val="00810D20"/>
    <w:rsid w:val="00811205"/>
    <w:rsid w:val="00811322"/>
    <w:rsid w:val="00811951"/>
    <w:rsid w:val="00811C75"/>
    <w:rsid w:val="00811D38"/>
    <w:rsid w:val="008120CA"/>
    <w:rsid w:val="008123F2"/>
    <w:rsid w:val="00812513"/>
    <w:rsid w:val="00812620"/>
    <w:rsid w:val="00812CFD"/>
    <w:rsid w:val="0081344B"/>
    <w:rsid w:val="00813B87"/>
    <w:rsid w:val="00813E35"/>
    <w:rsid w:val="00813EF0"/>
    <w:rsid w:val="00814238"/>
    <w:rsid w:val="0081473D"/>
    <w:rsid w:val="008147DA"/>
    <w:rsid w:val="00814967"/>
    <w:rsid w:val="00815015"/>
    <w:rsid w:val="008153FA"/>
    <w:rsid w:val="0081597E"/>
    <w:rsid w:val="00815B2E"/>
    <w:rsid w:val="008165C1"/>
    <w:rsid w:val="00816A03"/>
    <w:rsid w:val="00816C11"/>
    <w:rsid w:val="00816F82"/>
    <w:rsid w:val="0081734D"/>
    <w:rsid w:val="008174D5"/>
    <w:rsid w:val="008174DE"/>
    <w:rsid w:val="00817ED4"/>
    <w:rsid w:val="00820DEB"/>
    <w:rsid w:val="0082137F"/>
    <w:rsid w:val="00821BD7"/>
    <w:rsid w:val="00821DBC"/>
    <w:rsid w:val="008222A2"/>
    <w:rsid w:val="00822352"/>
    <w:rsid w:val="0082253E"/>
    <w:rsid w:val="00822A9A"/>
    <w:rsid w:val="00823207"/>
    <w:rsid w:val="008233ED"/>
    <w:rsid w:val="008235BB"/>
    <w:rsid w:val="00823823"/>
    <w:rsid w:val="008238F5"/>
    <w:rsid w:val="00823972"/>
    <w:rsid w:val="00823EC8"/>
    <w:rsid w:val="0082446A"/>
    <w:rsid w:val="008248FD"/>
    <w:rsid w:val="00824B2D"/>
    <w:rsid w:val="00824E4D"/>
    <w:rsid w:val="00824F1A"/>
    <w:rsid w:val="00825297"/>
    <w:rsid w:val="008253DC"/>
    <w:rsid w:val="008255EA"/>
    <w:rsid w:val="00825680"/>
    <w:rsid w:val="008259A0"/>
    <w:rsid w:val="00825B75"/>
    <w:rsid w:val="00825D8A"/>
    <w:rsid w:val="00825F1C"/>
    <w:rsid w:val="008263A0"/>
    <w:rsid w:val="0082662E"/>
    <w:rsid w:val="008273C6"/>
    <w:rsid w:val="008278FF"/>
    <w:rsid w:val="008279F5"/>
    <w:rsid w:val="00827CD9"/>
    <w:rsid w:val="00827F6E"/>
    <w:rsid w:val="00827F96"/>
    <w:rsid w:val="008303E1"/>
    <w:rsid w:val="0083142E"/>
    <w:rsid w:val="0083157C"/>
    <w:rsid w:val="00832270"/>
    <w:rsid w:val="00832508"/>
    <w:rsid w:val="00832FA6"/>
    <w:rsid w:val="00833041"/>
    <w:rsid w:val="00833930"/>
    <w:rsid w:val="008339BB"/>
    <w:rsid w:val="00833AE9"/>
    <w:rsid w:val="00833C28"/>
    <w:rsid w:val="00833E68"/>
    <w:rsid w:val="008342B9"/>
    <w:rsid w:val="00834AD4"/>
    <w:rsid w:val="0083539E"/>
    <w:rsid w:val="008355B3"/>
    <w:rsid w:val="00835857"/>
    <w:rsid w:val="008359C7"/>
    <w:rsid w:val="00835A52"/>
    <w:rsid w:val="00835CCE"/>
    <w:rsid w:val="00835E9E"/>
    <w:rsid w:val="00836311"/>
    <w:rsid w:val="008366D6"/>
    <w:rsid w:val="0083673C"/>
    <w:rsid w:val="008374CE"/>
    <w:rsid w:val="00837945"/>
    <w:rsid w:val="00837A0B"/>
    <w:rsid w:val="00837B31"/>
    <w:rsid w:val="00837F40"/>
    <w:rsid w:val="008407C0"/>
    <w:rsid w:val="00840F79"/>
    <w:rsid w:val="00841049"/>
    <w:rsid w:val="0084119D"/>
    <w:rsid w:val="00841E3A"/>
    <w:rsid w:val="00841F4E"/>
    <w:rsid w:val="00842606"/>
    <w:rsid w:val="00842637"/>
    <w:rsid w:val="00842968"/>
    <w:rsid w:val="00842A7B"/>
    <w:rsid w:val="008430FD"/>
    <w:rsid w:val="00843E83"/>
    <w:rsid w:val="00843F0F"/>
    <w:rsid w:val="00844064"/>
    <w:rsid w:val="00844838"/>
    <w:rsid w:val="00845062"/>
    <w:rsid w:val="008451B2"/>
    <w:rsid w:val="008452DD"/>
    <w:rsid w:val="008456F8"/>
    <w:rsid w:val="0084595A"/>
    <w:rsid w:val="008460D9"/>
    <w:rsid w:val="008462D8"/>
    <w:rsid w:val="008465B8"/>
    <w:rsid w:val="00846AB7"/>
    <w:rsid w:val="00846C40"/>
    <w:rsid w:val="008503B3"/>
    <w:rsid w:val="008505E4"/>
    <w:rsid w:val="0085063D"/>
    <w:rsid w:val="008506CB"/>
    <w:rsid w:val="00850826"/>
    <w:rsid w:val="00850BA4"/>
    <w:rsid w:val="00850C8A"/>
    <w:rsid w:val="008512B2"/>
    <w:rsid w:val="00851358"/>
    <w:rsid w:val="008514B2"/>
    <w:rsid w:val="0085195A"/>
    <w:rsid w:val="0085261F"/>
    <w:rsid w:val="00852B10"/>
    <w:rsid w:val="00852D9C"/>
    <w:rsid w:val="008538FE"/>
    <w:rsid w:val="008544D9"/>
    <w:rsid w:val="0085452D"/>
    <w:rsid w:val="008553B9"/>
    <w:rsid w:val="0085542A"/>
    <w:rsid w:val="0085544D"/>
    <w:rsid w:val="008554C6"/>
    <w:rsid w:val="008556DC"/>
    <w:rsid w:val="00855EB5"/>
    <w:rsid w:val="00855F52"/>
    <w:rsid w:val="00855FAE"/>
    <w:rsid w:val="0085642A"/>
    <w:rsid w:val="008566FA"/>
    <w:rsid w:val="00856E6E"/>
    <w:rsid w:val="00856F21"/>
    <w:rsid w:val="0085728F"/>
    <w:rsid w:val="00857CBF"/>
    <w:rsid w:val="00860083"/>
    <w:rsid w:val="00860575"/>
    <w:rsid w:val="00860A93"/>
    <w:rsid w:val="008613D7"/>
    <w:rsid w:val="008619AA"/>
    <w:rsid w:val="00861F78"/>
    <w:rsid w:val="00862097"/>
    <w:rsid w:val="008621B5"/>
    <w:rsid w:val="008621F5"/>
    <w:rsid w:val="00863EB9"/>
    <w:rsid w:val="0086423A"/>
    <w:rsid w:val="008642B2"/>
    <w:rsid w:val="008647C2"/>
    <w:rsid w:val="00864CED"/>
    <w:rsid w:val="00864D0E"/>
    <w:rsid w:val="0086524F"/>
    <w:rsid w:val="008652F0"/>
    <w:rsid w:val="008658ED"/>
    <w:rsid w:val="00866AEE"/>
    <w:rsid w:val="00867612"/>
    <w:rsid w:val="00867828"/>
    <w:rsid w:val="008678AC"/>
    <w:rsid w:val="00867D56"/>
    <w:rsid w:val="00867D98"/>
    <w:rsid w:val="008705E5"/>
    <w:rsid w:val="00870F20"/>
    <w:rsid w:val="00870FB2"/>
    <w:rsid w:val="00871082"/>
    <w:rsid w:val="0087141C"/>
    <w:rsid w:val="008717CF"/>
    <w:rsid w:val="00871F5A"/>
    <w:rsid w:val="00872975"/>
    <w:rsid w:val="00872C29"/>
    <w:rsid w:val="00872C8B"/>
    <w:rsid w:val="008730AB"/>
    <w:rsid w:val="008731CF"/>
    <w:rsid w:val="00873874"/>
    <w:rsid w:val="00873C2F"/>
    <w:rsid w:val="00873E76"/>
    <w:rsid w:val="008745A7"/>
    <w:rsid w:val="00874DC0"/>
    <w:rsid w:val="008751D6"/>
    <w:rsid w:val="00875C92"/>
    <w:rsid w:val="00875ECE"/>
    <w:rsid w:val="00876084"/>
    <w:rsid w:val="00876440"/>
    <w:rsid w:val="00876A82"/>
    <w:rsid w:val="00876B87"/>
    <w:rsid w:val="00880172"/>
    <w:rsid w:val="0088046C"/>
    <w:rsid w:val="00880584"/>
    <w:rsid w:val="0088097F"/>
    <w:rsid w:val="00880E01"/>
    <w:rsid w:val="00881E98"/>
    <w:rsid w:val="00882EF7"/>
    <w:rsid w:val="00883C88"/>
    <w:rsid w:val="0088418A"/>
    <w:rsid w:val="008842ED"/>
    <w:rsid w:val="00884959"/>
    <w:rsid w:val="00884B89"/>
    <w:rsid w:val="008850C1"/>
    <w:rsid w:val="00885350"/>
    <w:rsid w:val="0088559E"/>
    <w:rsid w:val="0088576B"/>
    <w:rsid w:val="00885857"/>
    <w:rsid w:val="008859E3"/>
    <w:rsid w:val="00885C71"/>
    <w:rsid w:val="00885D93"/>
    <w:rsid w:val="008865E0"/>
    <w:rsid w:val="00886749"/>
    <w:rsid w:val="0088689D"/>
    <w:rsid w:val="00886CE8"/>
    <w:rsid w:val="00886EA5"/>
    <w:rsid w:val="008874D6"/>
    <w:rsid w:val="00887605"/>
    <w:rsid w:val="00887BDC"/>
    <w:rsid w:val="008900D4"/>
    <w:rsid w:val="00890249"/>
    <w:rsid w:val="00890578"/>
    <w:rsid w:val="00890BC9"/>
    <w:rsid w:val="00890D20"/>
    <w:rsid w:val="00890D9A"/>
    <w:rsid w:val="0089140E"/>
    <w:rsid w:val="008915F3"/>
    <w:rsid w:val="00891B5C"/>
    <w:rsid w:val="00891CA7"/>
    <w:rsid w:val="00891DD1"/>
    <w:rsid w:val="00892114"/>
    <w:rsid w:val="008924A0"/>
    <w:rsid w:val="0089262F"/>
    <w:rsid w:val="00892BEE"/>
    <w:rsid w:val="00892DAB"/>
    <w:rsid w:val="00893938"/>
    <w:rsid w:val="0089411F"/>
    <w:rsid w:val="008946C5"/>
    <w:rsid w:val="00894CD8"/>
    <w:rsid w:val="008955CB"/>
    <w:rsid w:val="0089580C"/>
    <w:rsid w:val="00895F01"/>
    <w:rsid w:val="0089635D"/>
    <w:rsid w:val="0089644C"/>
    <w:rsid w:val="00896C8A"/>
    <w:rsid w:val="0089713D"/>
    <w:rsid w:val="008A0B8A"/>
    <w:rsid w:val="008A0BC0"/>
    <w:rsid w:val="008A0E24"/>
    <w:rsid w:val="008A105D"/>
    <w:rsid w:val="008A155E"/>
    <w:rsid w:val="008A16E1"/>
    <w:rsid w:val="008A17C8"/>
    <w:rsid w:val="008A1A08"/>
    <w:rsid w:val="008A1BED"/>
    <w:rsid w:val="008A1D18"/>
    <w:rsid w:val="008A201F"/>
    <w:rsid w:val="008A219A"/>
    <w:rsid w:val="008A2402"/>
    <w:rsid w:val="008A3129"/>
    <w:rsid w:val="008A35EB"/>
    <w:rsid w:val="008A3AC8"/>
    <w:rsid w:val="008A3D0E"/>
    <w:rsid w:val="008A3D1C"/>
    <w:rsid w:val="008A46EE"/>
    <w:rsid w:val="008A49FA"/>
    <w:rsid w:val="008A4AA5"/>
    <w:rsid w:val="008A4E72"/>
    <w:rsid w:val="008A51E3"/>
    <w:rsid w:val="008A5328"/>
    <w:rsid w:val="008A5A13"/>
    <w:rsid w:val="008A6144"/>
    <w:rsid w:val="008A624A"/>
    <w:rsid w:val="008A6430"/>
    <w:rsid w:val="008A66E7"/>
    <w:rsid w:val="008A6E54"/>
    <w:rsid w:val="008A73B1"/>
    <w:rsid w:val="008A745D"/>
    <w:rsid w:val="008A77F0"/>
    <w:rsid w:val="008A7DAA"/>
    <w:rsid w:val="008B081F"/>
    <w:rsid w:val="008B1109"/>
    <w:rsid w:val="008B158C"/>
    <w:rsid w:val="008B173C"/>
    <w:rsid w:val="008B24E4"/>
    <w:rsid w:val="008B2D6C"/>
    <w:rsid w:val="008B3181"/>
    <w:rsid w:val="008B31CB"/>
    <w:rsid w:val="008B31D5"/>
    <w:rsid w:val="008B32D2"/>
    <w:rsid w:val="008B3424"/>
    <w:rsid w:val="008B35B1"/>
    <w:rsid w:val="008B3961"/>
    <w:rsid w:val="008B4819"/>
    <w:rsid w:val="008B486E"/>
    <w:rsid w:val="008B4902"/>
    <w:rsid w:val="008B4D1B"/>
    <w:rsid w:val="008B5334"/>
    <w:rsid w:val="008B57BB"/>
    <w:rsid w:val="008B5BE8"/>
    <w:rsid w:val="008B6BA4"/>
    <w:rsid w:val="008B6F74"/>
    <w:rsid w:val="008B720E"/>
    <w:rsid w:val="008B73C7"/>
    <w:rsid w:val="008BC1EC"/>
    <w:rsid w:val="008C0048"/>
    <w:rsid w:val="008C0360"/>
    <w:rsid w:val="008C137E"/>
    <w:rsid w:val="008C148D"/>
    <w:rsid w:val="008C159F"/>
    <w:rsid w:val="008C1ADA"/>
    <w:rsid w:val="008C2412"/>
    <w:rsid w:val="008C2896"/>
    <w:rsid w:val="008C297B"/>
    <w:rsid w:val="008C29E2"/>
    <w:rsid w:val="008C2BDE"/>
    <w:rsid w:val="008C2C72"/>
    <w:rsid w:val="008C332B"/>
    <w:rsid w:val="008C362C"/>
    <w:rsid w:val="008C3AAD"/>
    <w:rsid w:val="008C3F6D"/>
    <w:rsid w:val="008C3FC0"/>
    <w:rsid w:val="008C4366"/>
    <w:rsid w:val="008C44E1"/>
    <w:rsid w:val="008C471E"/>
    <w:rsid w:val="008C48C1"/>
    <w:rsid w:val="008C4C07"/>
    <w:rsid w:val="008C525C"/>
    <w:rsid w:val="008C5B22"/>
    <w:rsid w:val="008C5C1B"/>
    <w:rsid w:val="008C648D"/>
    <w:rsid w:val="008C65C0"/>
    <w:rsid w:val="008C67B3"/>
    <w:rsid w:val="008C6EAA"/>
    <w:rsid w:val="008C7229"/>
    <w:rsid w:val="008C799F"/>
    <w:rsid w:val="008C7ACA"/>
    <w:rsid w:val="008D0BF8"/>
    <w:rsid w:val="008D1517"/>
    <w:rsid w:val="008D1D08"/>
    <w:rsid w:val="008D2510"/>
    <w:rsid w:val="008D2B18"/>
    <w:rsid w:val="008D2CD1"/>
    <w:rsid w:val="008D2EFD"/>
    <w:rsid w:val="008D3188"/>
    <w:rsid w:val="008D3422"/>
    <w:rsid w:val="008D345C"/>
    <w:rsid w:val="008D37AB"/>
    <w:rsid w:val="008D39EA"/>
    <w:rsid w:val="008D4188"/>
    <w:rsid w:val="008D4C7C"/>
    <w:rsid w:val="008D4D52"/>
    <w:rsid w:val="008D5254"/>
    <w:rsid w:val="008D692A"/>
    <w:rsid w:val="008D6F14"/>
    <w:rsid w:val="008D73CF"/>
    <w:rsid w:val="008D78BB"/>
    <w:rsid w:val="008E0515"/>
    <w:rsid w:val="008E060F"/>
    <w:rsid w:val="008E0BAF"/>
    <w:rsid w:val="008E1B7B"/>
    <w:rsid w:val="008E1F39"/>
    <w:rsid w:val="008E296B"/>
    <w:rsid w:val="008E2CD9"/>
    <w:rsid w:val="008E34E8"/>
    <w:rsid w:val="008E40C5"/>
    <w:rsid w:val="008E4134"/>
    <w:rsid w:val="008E4211"/>
    <w:rsid w:val="008E4991"/>
    <w:rsid w:val="008E4B86"/>
    <w:rsid w:val="008E5394"/>
    <w:rsid w:val="008E5589"/>
    <w:rsid w:val="008E670D"/>
    <w:rsid w:val="008E6720"/>
    <w:rsid w:val="008E69D8"/>
    <w:rsid w:val="008E69ED"/>
    <w:rsid w:val="008E6BDC"/>
    <w:rsid w:val="008E79BF"/>
    <w:rsid w:val="008E79DE"/>
    <w:rsid w:val="008E7B55"/>
    <w:rsid w:val="008E7BAC"/>
    <w:rsid w:val="008E7E55"/>
    <w:rsid w:val="008E7F35"/>
    <w:rsid w:val="008F0355"/>
    <w:rsid w:val="008F03CE"/>
    <w:rsid w:val="008F0497"/>
    <w:rsid w:val="008F09A3"/>
    <w:rsid w:val="008F0A28"/>
    <w:rsid w:val="008F0DCA"/>
    <w:rsid w:val="008F10ED"/>
    <w:rsid w:val="008F10FC"/>
    <w:rsid w:val="008F124B"/>
    <w:rsid w:val="008F1AFB"/>
    <w:rsid w:val="008F2649"/>
    <w:rsid w:val="008F278C"/>
    <w:rsid w:val="008F297B"/>
    <w:rsid w:val="008F2CF5"/>
    <w:rsid w:val="008F2EDE"/>
    <w:rsid w:val="008F2F82"/>
    <w:rsid w:val="008F383E"/>
    <w:rsid w:val="008F390E"/>
    <w:rsid w:val="008F3ACB"/>
    <w:rsid w:val="008F44AA"/>
    <w:rsid w:val="008F4519"/>
    <w:rsid w:val="008F45B4"/>
    <w:rsid w:val="008F47C3"/>
    <w:rsid w:val="008F4854"/>
    <w:rsid w:val="008F48CF"/>
    <w:rsid w:val="008F4EA9"/>
    <w:rsid w:val="008F4FD5"/>
    <w:rsid w:val="008F50A3"/>
    <w:rsid w:val="008F566E"/>
    <w:rsid w:val="008F575A"/>
    <w:rsid w:val="008F5799"/>
    <w:rsid w:val="008F583A"/>
    <w:rsid w:val="008F583C"/>
    <w:rsid w:val="008F5BE5"/>
    <w:rsid w:val="008F66F0"/>
    <w:rsid w:val="008F690D"/>
    <w:rsid w:val="008F6947"/>
    <w:rsid w:val="008F6DC4"/>
    <w:rsid w:val="008F6E15"/>
    <w:rsid w:val="008F6E40"/>
    <w:rsid w:val="008F71C4"/>
    <w:rsid w:val="008F7C35"/>
    <w:rsid w:val="008F7DF9"/>
    <w:rsid w:val="00900768"/>
    <w:rsid w:val="0090126E"/>
    <w:rsid w:val="00901494"/>
    <w:rsid w:val="00901B92"/>
    <w:rsid w:val="00902AA1"/>
    <w:rsid w:val="00902B87"/>
    <w:rsid w:val="00902C0C"/>
    <w:rsid w:val="00902DEE"/>
    <w:rsid w:val="009031E4"/>
    <w:rsid w:val="009037BA"/>
    <w:rsid w:val="0090406C"/>
    <w:rsid w:val="00904183"/>
    <w:rsid w:val="009047AB"/>
    <w:rsid w:val="00904EF6"/>
    <w:rsid w:val="0090504A"/>
    <w:rsid w:val="00905608"/>
    <w:rsid w:val="0090617F"/>
    <w:rsid w:val="00906DCA"/>
    <w:rsid w:val="009076FD"/>
    <w:rsid w:val="009101C1"/>
    <w:rsid w:val="009101D5"/>
    <w:rsid w:val="009104C8"/>
    <w:rsid w:val="0091079B"/>
    <w:rsid w:val="009108A8"/>
    <w:rsid w:val="00910B29"/>
    <w:rsid w:val="00911F7C"/>
    <w:rsid w:val="00912743"/>
    <w:rsid w:val="009129B0"/>
    <w:rsid w:val="00912D6F"/>
    <w:rsid w:val="009130C5"/>
    <w:rsid w:val="009142BC"/>
    <w:rsid w:val="00914490"/>
    <w:rsid w:val="00914838"/>
    <w:rsid w:val="00915BD3"/>
    <w:rsid w:val="00915D42"/>
    <w:rsid w:val="0091651C"/>
    <w:rsid w:val="009165AE"/>
    <w:rsid w:val="00916F9B"/>
    <w:rsid w:val="00917144"/>
    <w:rsid w:val="009174D6"/>
    <w:rsid w:val="00917849"/>
    <w:rsid w:val="009178DA"/>
    <w:rsid w:val="00917F1E"/>
    <w:rsid w:val="00920191"/>
    <w:rsid w:val="0092021B"/>
    <w:rsid w:val="009203CC"/>
    <w:rsid w:val="009208EF"/>
    <w:rsid w:val="0092097D"/>
    <w:rsid w:val="00920C5C"/>
    <w:rsid w:val="00921227"/>
    <w:rsid w:val="00921370"/>
    <w:rsid w:val="009215F2"/>
    <w:rsid w:val="009216E1"/>
    <w:rsid w:val="00921719"/>
    <w:rsid w:val="00921C5A"/>
    <w:rsid w:val="009229AA"/>
    <w:rsid w:val="00922D8B"/>
    <w:rsid w:val="00922E46"/>
    <w:rsid w:val="00922E86"/>
    <w:rsid w:val="0092326D"/>
    <w:rsid w:val="009232C1"/>
    <w:rsid w:val="00923332"/>
    <w:rsid w:val="00923FF5"/>
    <w:rsid w:val="0092400A"/>
    <w:rsid w:val="00924B1F"/>
    <w:rsid w:val="00924D6E"/>
    <w:rsid w:val="00924E9D"/>
    <w:rsid w:val="00925BBA"/>
    <w:rsid w:val="00926CF3"/>
    <w:rsid w:val="00927033"/>
    <w:rsid w:val="00927084"/>
    <w:rsid w:val="00927B22"/>
    <w:rsid w:val="009307CE"/>
    <w:rsid w:val="00930D10"/>
    <w:rsid w:val="00930D58"/>
    <w:rsid w:val="0093129A"/>
    <w:rsid w:val="00931652"/>
    <w:rsid w:val="00931956"/>
    <w:rsid w:val="00931ED5"/>
    <w:rsid w:val="0093204F"/>
    <w:rsid w:val="0093209D"/>
    <w:rsid w:val="0093233E"/>
    <w:rsid w:val="00932697"/>
    <w:rsid w:val="009326FC"/>
    <w:rsid w:val="0093273F"/>
    <w:rsid w:val="00932857"/>
    <w:rsid w:val="00932880"/>
    <w:rsid w:val="00932E76"/>
    <w:rsid w:val="009330FE"/>
    <w:rsid w:val="009335A7"/>
    <w:rsid w:val="00933C42"/>
    <w:rsid w:val="00933CA9"/>
    <w:rsid w:val="0093433C"/>
    <w:rsid w:val="00934DB5"/>
    <w:rsid w:val="0093544E"/>
    <w:rsid w:val="009354FC"/>
    <w:rsid w:val="00935963"/>
    <w:rsid w:val="00935F4F"/>
    <w:rsid w:val="0093609A"/>
    <w:rsid w:val="009360F3"/>
    <w:rsid w:val="00936CC0"/>
    <w:rsid w:val="00937200"/>
    <w:rsid w:val="009373FD"/>
    <w:rsid w:val="00937A97"/>
    <w:rsid w:val="0094012E"/>
    <w:rsid w:val="009407E3"/>
    <w:rsid w:val="00941556"/>
    <w:rsid w:val="009416FB"/>
    <w:rsid w:val="0094197C"/>
    <w:rsid w:val="00941DA2"/>
    <w:rsid w:val="00941F17"/>
    <w:rsid w:val="00942644"/>
    <w:rsid w:val="00942645"/>
    <w:rsid w:val="00942BF6"/>
    <w:rsid w:val="00942FD6"/>
    <w:rsid w:val="009431BB"/>
    <w:rsid w:val="009434FD"/>
    <w:rsid w:val="00943748"/>
    <w:rsid w:val="009448C1"/>
    <w:rsid w:val="009450D1"/>
    <w:rsid w:val="0094515D"/>
    <w:rsid w:val="0094531C"/>
    <w:rsid w:val="0094585D"/>
    <w:rsid w:val="00945CE8"/>
    <w:rsid w:val="009465F1"/>
    <w:rsid w:val="00946850"/>
    <w:rsid w:val="00947F28"/>
    <w:rsid w:val="009503A4"/>
    <w:rsid w:val="00950850"/>
    <w:rsid w:val="00950B58"/>
    <w:rsid w:val="009511F0"/>
    <w:rsid w:val="009516D3"/>
    <w:rsid w:val="00951B74"/>
    <w:rsid w:val="00951D5B"/>
    <w:rsid w:val="00951E4E"/>
    <w:rsid w:val="009525FF"/>
    <w:rsid w:val="009528EF"/>
    <w:rsid w:val="00952A54"/>
    <w:rsid w:val="00952B8D"/>
    <w:rsid w:val="009532FF"/>
    <w:rsid w:val="009537AB"/>
    <w:rsid w:val="00953D72"/>
    <w:rsid w:val="00954455"/>
    <w:rsid w:val="00954BF5"/>
    <w:rsid w:val="00955074"/>
    <w:rsid w:val="0095509F"/>
    <w:rsid w:val="009550F8"/>
    <w:rsid w:val="00955131"/>
    <w:rsid w:val="009554B7"/>
    <w:rsid w:val="0095551D"/>
    <w:rsid w:val="00956BDC"/>
    <w:rsid w:val="0095783B"/>
    <w:rsid w:val="009579A4"/>
    <w:rsid w:val="00957DD2"/>
    <w:rsid w:val="0096063F"/>
    <w:rsid w:val="009613F0"/>
    <w:rsid w:val="00961475"/>
    <w:rsid w:val="00961490"/>
    <w:rsid w:val="00961873"/>
    <w:rsid w:val="00961981"/>
    <w:rsid w:val="00961DA5"/>
    <w:rsid w:val="00961FF3"/>
    <w:rsid w:val="0096221F"/>
    <w:rsid w:val="00962359"/>
    <w:rsid w:val="0096254B"/>
    <w:rsid w:val="00962649"/>
    <w:rsid w:val="0096270A"/>
    <w:rsid w:val="00962AAA"/>
    <w:rsid w:val="00962BAD"/>
    <w:rsid w:val="00963835"/>
    <w:rsid w:val="00963DB9"/>
    <w:rsid w:val="00963F1B"/>
    <w:rsid w:val="00963FB8"/>
    <w:rsid w:val="009646CE"/>
    <w:rsid w:val="00964B78"/>
    <w:rsid w:val="00964F6B"/>
    <w:rsid w:val="009653FD"/>
    <w:rsid w:val="009657F3"/>
    <w:rsid w:val="0096618B"/>
    <w:rsid w:val="009662C1"/>
    <w:rsid w:val="0096656E"/>
    <w:rsid w:val="009668DA"/>
    <w:rsid w:val="00966DF8"/>
    <w:rsid w:val="00967287"/>
    <w:rsid w:val="009701FC"/>
    <w:rsid w:val="0097030E"/>
    <w:rsid w:val="009703E1"/>
    <w:rsid w:val="0097068C"/>
    <w:rsid w:val="009706B6"/>
    <w:rsid w:val="009707E3"/>
    <w:rsid w:val="00970874"/>
    <w:rsid w:val="0097091D"/>
    <w:rsid w:val="009713CD"/>
    <w:rsid w:val="00971A8B"/>
    <w:rsid w:val="00971F80"/>
    <w:rsid w:val="009720CF"/>
    <w:rsid w:val="009721FB"/>
    <w:rsid w:val="009725F9"/>
    <w:rsid w:val="00972CDD"/>
    <w:rsid w:val="009731CA"/>
    <w:rsid w:val="009736C6"/>
    <w:rsid w:val="00973DC9"/>
    <w:rsid w:val="009740EF"/>
    <w:rsid w:val="009742F2"/>
    <w:rsid w:val="00974503"/>
    <w:rsid w:val="00974758"/>
    <w:rsid w:val="00974B43"/>
    <w:rsid w:val="00974D23"/>
    <w:rsid w:val="009750F1"/>
    <w:rsid w:val="00976AA1"/>
    <w:rsid w:val="00976D93"/>
    <w:rsid w:val="009779EC"/>
    <w:rsid w:val="00977DAC"/>
    <w:rsid w:val="009804D1"/>
    <w:rsid w:val="0098061E"/>
    <w:rsid w:val="009808BB"/>
    <w:rsid w:val="0098140C"/>
    <w:rsid w:val="0098169C"/>
    <w:rsid w:val="00981B46"/>
    <w:rsid w:val="00982280"/>
    <w:rsid w:val="009822BC"/>
    <w:rsid w:val="009829EA"/>
    <w:rsid w:val="00982AB0"/>
    <w:rsid w:val="00982B2D"/>
    <w:rsid w:val="00982C45"/>
    <w:rsid w:val="00982C8B"/>
    <w:rsid w:val="00982DF8"/>
    <w:rsid w:val="00982EFE"/>
    <w:rsid w:val="00983088"/>
    <w:rsid w:val="00983422"/>
    <w:rsid w:val="00983713"/>
    <w:rsid w:val="0098384C"/>
    <w:rsid w:val="00983900"/>
    <w:rsid w:val="00983BDD"/>
    <w:rsid w:val="009850F4"/>
    <w:rsid w:val="009857B6"/>
    <w:rsid w:val="00985BE6"/>
    <w:rsid w:val="00985C7C"/>
    <w:rsid w:val="0098610A"/>
    <w:rsid w:val="00986111"/>
    <w:rsid w:val="00986374"/>
    <w:rsid w:val="0098685F"/>
    <w:rsid w:val="00986F31"/>
    <w:rsid w:val="0098711E"/>
    <w:rsid w:val="00987368"/>
    <w:rsid w:val="009901B1"/>
    <w:rsid w:val="00990300"/>
    <w:rsid w:val="00991018"/>
    <w:rsid w:val="009919A5"/>
    <w:rsid w:val="00991ACC"/>
    <w:rsid w:val="0099258A"/>
    <w:rsid w:val="00992624"/>
    <w:rsid w:val="009927C4"/>
    <w:rsid w:val="009928C5"/>
    <w:rsid w:val="00992F47"/>
    <w:rsid w:val="00993011"/>
    <w:rsid w:val="0099332F"/>
    <w:rsid w:val="009934FD"/>
    <w:rsid w:val="009937DE"/>
    <w:rsid w:val="009937E3"/>
    <w:rsid w:val="00993B61"/>
    <w:rsid w:val="00993BF0"/>
    <w:rsid w:val="00993DF2"/>
    <w:rsid w:val="00994386"/>
    <w:rsid w:val="0099442B"/>
    <w:rsid w:val="00994B90"/>
    <w:rsid w:val="0099571A"/>
    <w:rsid w:val="009958D6"/>
    <w:rsid w:val="009959E5"/>
    <w:rsid w:val="00995AAB"/>
    <w:rsid w:val="0099601B"/>
    <w:rsid w:val="00996A82"/>
    <w:rsid w:val="00996ED0"/>
    <w:rsid w:val="00997CF0"/>
    <w:rsid w:val="009A00D5"/>
    <w:rsid w:val="009A04CD"/>
    <w:rsid w:val="009A0745"/>
    <w:rsid w:val="009A0A75"/>
    <w:rsid w:val="009A0AA9"/>
    <w:rsid w:val="009A0B37"/>
    <w:rsid w:val="009A0C55"/>
    <w:rsid w:val="009A0D01"/>
    <w:rsid w:val="009A112F"/>
    <w:rsid w:val="009A115D"/>
    <w:rsid w:val="009A1964"/>
    <w:rsid w:val="009A1DE0"/>
    <w:rsid w:val="009A1E76"/>
    <w:rsid w:val="009A20B3"/>
    <w:rsid w:val="009A2F85"/>
    <w:rsid w:val="009A33FB"/>
    <w:rsid w:val="009A35F8"/>
    <w:rsid w:val="009A3852"/>
    <w:rsid w:val="009A3A83"/>
    <w:rsid w:val="009A4281"/>
    <w:rsid w:val="009A433F"/>
    <w:rsid w:val="009A4E39"/>
    <w:rsid w:val="009A4EDC"/>
    <w:rsid w:val="009A51C3"/>
    <w:rsid w:val="009A51F1"/>
    <w:rsid w:val="009A5872"/>
    <w:rsid w:val="009A5CB3"/>
    <w:rsid w:val="009A5E41"/>
    <w:rsid w:val="009A6407"/>
    <w:rsid w:val="009A6B68"/>
    <w:rsid w:val="009A6C1D"/>
    <w:rsid w:val="009A6FC8"/>
    <w:rsid w:val="009A724D"/>
    <w:rsid w:val="009A742F"/>
    <w:rsid w:val="009A7467"/>
    <w:rsid w:val="009A758F"/>
    <w:rsid w:val="009A7644"/>
    <w:rsid w:val="009A7989"/>
    <w:rsid w:val="009A7DE7"/>
    <w:rsid w:val="009B01D5"/>
    <w:rsid w:val="009B023D"/>
    <w:rsid w:val="009B0D39"/>
    <w:rsid w:val="009B122F"/>
    <w:rsid w:val="009B1636"/>
    <w:rsid w:val="009B1BBD"/>
    <w:rsid w:val="009B1D55"/>
    <w:rsid w:val="009B278F"/>
    <w:rsid w:val="009B35C0"/>
    <w:rsid w:val="009B39AC"/>
    <w:rsid w:val="009B3C55"/>
    <w:rsid w:val="009B425A"/>
    <w:rsid w:val="009B485C"/>
    <w:rsid w:val="009B48D6"/>
    <w:rsid w:val="009B4DBC"/>
    <w:rsid w:val="009B5002"/>
    <w:rsid w:val="009B51C6"/>
    <w:rsid w:val="009B5A56"/>
    <w:rsid w:val="009B61C9"/>
    <w:rsid w:val="009B65D7"/>
    <w:rsid w:val="009B66E4"/>
    <w:rsid w:val="009B6A23"/>
    <w:rsid w:val="009B6F07"/>
    <w:rsid w:val="009B75F2"/>
    <w:rsid w:val="009B7C02"/>
    <w:rsid w:val="009B7E96"/>
    <w:rsid w:val="009C0184"/>
    <w:rsid w:val="009C028D"/>
    <w:rsid w:val="009C0BDE"/>
    <w:rsid w:val="009C0C14"/>
    <w:rsid w:val="009C1453"/>
    <w:rsid w:val="009C1C8D"/>
    <w:rsid w:val="009C3078"/>
    <w:rsid w:val="009C3223"/>
    <w:rsid w:val="009C37E9"/>
    <w:rsid w:val="009C3999"/>
    <w:rsid w:val="009C3E91"/>
    <w:rsid w:val="009C433E"/>
    <w:rsid w:val="009C4747"/>
    <w:rsid w:val="009C4952"/>
    <w:rsid w:val="009C5635"/>
    <w:rsid w:val="009C5B9E"/>
    <w:rsid w:val="009C5E9C"/>
    <w:rsid w:val="009C62B1"/>
    <w:rsid w:val="009C66B7"/>
    <w:rsid w:val="009C6BCD"/>
    <w:rsid w:val="009C71D3"/>
    <w:rsid w:val="009C7512"/>
    <w:rsid w:val="009C779B"/>
    <w:rsid w:val="009C7960"/>
    <w:rsid w:val="009D02B3"/>
    <w:rsid w:val="009D058B"/>
    <w:rsid w:val="009D05F8"/>
    <w:rsid w:val="009D09BC"/>
    <w:rsid w:val="009D0A41"/>
    <w:rsid w:val="009D1272"/>
    <w:rsid w:val="009D1289"/>
    <w:rsid w:val="009D1F4E"/>
    <w:rsid w:val="009D2053"/>
    <w:rsid w:val="009D234F"/>
    <w:rsid w:val="009D2377"/>
    <w:rsid w:val="009D25C0"/>
    <w:rsid w:val="009D279A"/>
    <w:rsid w:val="009D2B93"/>
    <w:rsid w:val="009D2FE5"/>
    <w:rsid w:val="009D3269"/>
    <w:rsid w:val="009D346D"/>
    <w:rsid w:val="009D37AE"/>
    <w:rsid w:val="009D39F8"/>
    <w:rsid w:val="009D3AC4"/>
    <w:rsid w:val="009D4324"/>
    <w:rsid w:val="009D4A26"/>
    <w:rsid w:val="009D4E75"/>
    <w:rsid w:val="009D525C"/>
    <w:rsid w:val="009D5A2A"/>
    <w:rsid w:val="009D5BAA"/>
    <w:rsid w:val="009D635B"/>
    <w:rsid w:val="009D6795"/>
    <w:rsid w:val="009D6802"/>
    <w:rsid w:val="009D6E5E"/>
    <w:rsid w:val="009D7FEA"/>
    <w:rsid w:val="009E0297"/>
    <w:rsid w:val="009E0470"/>
    <w:rsid w:val="009E0689"/>
    <w:rsid w:val="009E0F30"/>
    <w:rsid w:val="009E1916"/>
    <w:rsid w:val="009E1925"/>
    <w:rsid w:val="009E2187"/>
    <w:rsid w:val="009E219B"/>
    <w:rsid w:val="009E245E"/>
    <w:rsid w:val="009E2FB0"/>
    <w:rsid w:val="009E30EF"/>
    <w:rsid w:val="009E402F"/>
    <w:rsid w:val="009E44F7"/>
    <w:rsid w:val="009E4897"/>
    <w:rsid w:val="009E4B85"/>
    <w:rsid w:val="009E4F99"/>
    <w:rsid w:val="009E5841"/>
    <w:rsid w:val="009E6156"/>
    <w:rsid w:val="009E6326"/>
    <w:rsid w:val="009E65D8"/>
    <w:rsid w:val="009E6826"/>
    <w:rsid w:val="009E6F73"/>
    <w:rsid w:val="009E7043"/>
    <w:rsid w:val="009E70CA"/>
    <w:rsid w:val="009E77EB"/>
    <w:rsid w:val="009E78AD"/>
    <w:rsid w:val="009E793F"/>
    <w:rsid w:val="009E79E4"/>
    <w:rsid w:val="009E7F99"/>
    <w:rsid w:val="009F0384"/>
    <w:rsid w:val="009F0613"/>
    <w:rsid w:val="009F0A28"/>
    <w:rsid w:val="009F0DC8"/>
    <w:rsid w:val="009F18DC"/>
    <w:rsid w:val="009F1AD8"/>
    <w:rsid w:val="009F1EDB"/>
    <w:rsid w:val="009F23A7"/>
    <w:rsid w:val="009F296A"/>
    <w:rsid w:val="009F298B"/>
    <w:rsid w:val="009F312A"/>
    <w:rsid w:val="009F4201"/>
    <w:rsid w:val="009F471C"/>
    <w:rsid w:val="009F47A1"/>
    <w:rsid w:val="009F47EF"/>
    <w:rsid w:val="009F4AFC"/>
    <w:rsid w:val="009F4C1E"/>
    <w:rsid w:val="009F4D0E"/>
    <w:rsid w:val="009F4E70"/>
    <w:rsid w:val="009F4F4C"/>
    <w:rsid w:val="009F54A7"/>
    <w:rsid w:val="009F58BB"/>
    <w:rsid w:val="009F5A60"/>
    <w:rsid w:val="009F61B0"/>
    <w:rsid w:val="009F65DF"/>
    <w:rsid w:val="009F6608"/>
    <w:rsid w:val="009F78C9"/>
    <w:rsid w:val="009F7B65"/>
    <w:rsid w:val="009F7EF9"/>
    <w:rsid w:val="00A010B5"/>
    <w:rsid w:val="00A01BCA"/>
    <w:rsid w:val="00A02662"/>
    <w:rsid w:val="00A03681"/>
    <w:rsid w:val="00A0372F"/>
    <w:rsid w:val="00A03735"/>
    <w:rsid w:val="00A04157"/>
    <w:rsid w:val="00A04931"/>
    <w:rsid w:val="00A04A5E"/>
    <w:rsid w:val="00A04CAA"/>
    <w:rsid w:val="00A050B3"/>
    <w:rsid w:val="00A0518C"/>
    <w:rsid w:val="00A053B3"/>
    <w:rsid w:val="00A053D7"/>
    <w:rsid w:val="00A0541F"/>
    <w:rsid w:val="00A05AC6"/>
    <w:rsid w:val="00A0615B"/>
    <w:rsid w:val="00A067D1"/>
    <w:rsid w:val="00A07319"/>
    <w:rsid w:val="00A077B2"/>
    <w:rsid w:val="00A07BB3"/>
    <w:rsid w:val="00A07BF8"/>
    <w:rsid w:val="00A07E42"/>
    <w:rsid w:val="00A114E9"/>
    <w:rsid w:val="00A119EF"/>
    <w:rsid w:val="00A12112"/>
    <w:rsid w:val="00A125D1"/>
    <w:rsid w:val="00A1278C"/>
    <w:rsid w:val="00A129A2"/>
    <w:rsid w:val="00A13182"/>
    <w:rsid w:val="00A143AD"/>
    <w:rsid w:val="00A15038"/>
    <w:rsid w:val="00A1542E"/>
    <w:rsid w:val="00A15709"/>
    <w:rsid w:val="00A15B29"/>
    <w:rsid w:val="00A15C67"/>
    <w:rsid w:val="00A15DBF"/>
    <w:rsid w:val="00A1678A"/>
    <w:rsid w:val="00A16C0E"/>
    <w:rsid w:val="00A16C28"/>
    <w:rsid w:val="00A16F0A"/>
    <w:rsid w:val="00A16F91"/>
    <w:rsid w:val="00A17266"/>
    <w:rsid w:val="00A173DE"/>
    <w:rsid w:val="00A206E9"/>
    <w:rsid w:val="00A20DD5"/>
    <w:rsid w:val="00A20FC6"/>
    <w:rsid w:val="00A211E8"/>
    <w:rsid w:val="00A21543"/>
    <w:rsid w:val="00A216E6"/>
    <w:rsid w:val="00A217A5"/>
    <w:rsid w:val="00A21C71"/>
    <w:rsid w:val="00A21D54"/>
    <w:rsid w:val="00A228DA"/>
    <w:rsid w:val="00A232D8"/>
    <w:rsid w:val="00A235D4"/>
    <w:rsid w:val="00A236B2"/>
    <w:rsid w:val="00A23B1E"/>
    <w:rsid w:val="00A23DFC"/>
    <w:rsid w:val="00A24364"/>
    <w:rsid w:val="00A245F3"/>
    <w:rsid w:val="00A2497D"/>
    <w:rsid w:val="00A249CF"/>
    <w:rsid w:val="00A24E03"/>
    <w:rsid w:val="00A253D4"/>
    <w:rsid w:val="00A25995"/>
    <w:rsid w:val="00A25A7F"/>
    <w:rsid w:val="00A25AA6"/>
    <w:rsid w:val="00A26CDC"/>
    <w:rsid w:val="00A270A6"/>
    <w:rsid w:val="00A2724A"/>
    <w:rsid w:val="00A27289"/>
    <w:rsid w:val="00A27433"/>
    <w:rsid w:val="00A27C86"/>
    <w:rsid w:val="00A27E7D"/>
    <w:rsid w:val="00A27EE7"/>
    <w:rsid w:val="00A301D2"/>
    <w:rsid w:val="00A30647"/>
    <w:rsid w:val="00A309C8"/>
    <w:rsid w:val="00A31452"/>
    <w:rsid w:val="00A31553"/>
    <w:rsid w:val="00A3199C"/>
    <w:rsid w:val="00A31E08"/>
    <w:rsid w:val="00A3201B"/>
    <w:rsid w:val="00A3243D"/>
    <w:rsid w:val="00A32776"/>
    <w:rsid w:val="00A328FB"/>
    <w:rsid w:val="00A32B97"/>
    <w:rsid w:val="00A32C2C"/>
    <w:rsid w:val="00A32E8F"/>
    <w:rsid w:val="00A3372F"/>
    <w:rsid w:val="00A33AE3"/>
    <w:rsid w:val="00A33C74"/>
    <w:rsid w:val="00A34F21"/>
    <w:rsid w:val="00A3580C"/>
    <w:rsid w:val="00A35997"/>
    <w:rsid w:val="00A35C6D"/>
    <w:rsid w:val="00A35D49"/>
    <w:rsid w:val="00A35FF0"/>
    <w:rsid w:val="00A3610E"/>
    <w:rsid w:val="00A361E2"/>
    <w:rsid w:val="00A36321"/>
    <w:rsid w:val="00A36662"/>
    <w:rsid w:val="00A36D9E"/>
    <w:rsid w:val="00A37420"/>
    <w:rsid w:val="00A37995"/>
    <w:rsid w:val="00A40126"/>
    <w:rsid w:val="00A403BE"/>
    <w:rsid w:val="00A4070F"/>
    <w:rsid w:val="00A40D2B"/>
    <w:rsid w:val="00A40EEE"/>
    <w:rsid w:val="00A41104"/>
    <w:rsid w:val="00A413FD"/>
    <w:rsid w:val="00A41980"/>
    <w:rsid w:val="00A41C37"/>
    <w:rsid w:val="00A41E9C"/>
    <w:rsid w:val="00A41EC2"/>
    <w:rsid w:val="00A41F06"/>
    <w:rsid w:val="00A424C5"/>
    <w:rsid w:val="00A42AD8"/>
    <w:rsid w:val="00A42E33"/>
    <w:rsid w:val="00A43435"/>
    <w:rsid w:val="00A4345B"/>
    <w:rsid w:val="00A435AE"/>
    <w:rsid w:val="00A43991"/>
    <w:rsid w:val="00A439BC"/>
    <w:rsid w:val="00A4405C"/>
    <w:rsid w:val="00A4427B"/>
    <w:rsid w:val="00A44C8A"/>
    <w:rsid w:val="00A44DD4"/>
    <w:rsid w:val="00A45043"/>
    <w:rsid w:val="00A4527D"/>
    <w:rsid w:val="00A452E0"/>
    <w:rsid w:val="00A45A7C"/>
    <w:rsid w:val="00A45DB2"/>
    <w:rsid w:val="00A46139"/>
    <w:rsid w:val="00A4643C"/>
    <w:rsid w:val="00A46493"/>
    <w:rsid w:val="00A4690F"/>
    <w:rsid w:val="00A46997"/>
    <w:rsid w:val="00A46F1B"/>
    <w:rsid w:val="00A4754C"/>
    <w:rsid w:val="00A47E97"/>
    <w:rsid w:val="00A50519"/>
    <w:rsid w:val="00A5066B"/>
    <w:rsid w:val="00A50A9B"/>
    <w:rsid w:val="00A51368"/>
    <w:rsid w:val="00A5140D"/>
    <w:rsid w:val="00A515BF"/>
    <w:rsid w:val="00A51A0C"/>
    <w:rsid w:val="00A52024"/>
    <w:rsid w:val="00A525BF"/>
    <w:rsid w:val="00A527EB"/>
    <w:rsid w:val="00A52F1E"/>
    <w:rsid w:val="00A53357"/>
    <w:rsid w:val="00A533A5"/>
    <w:rsid w:val="00A53545"/>
    <w:rsid w:val="00A536C8"/>
    <w:rsid w:val="00A53A77"/>
    <w:rsid w:val="00A541CD"/>
    <w:rsid w:val="00A54353"/>
    <w:rsid w:val="00A543C2"/>
    <w:rsid w:val="00A54A65"/>
    <w:rsid w:val="00A54D99"/>
    <w:rsid w:val="00A55A40"/>
    <w:rsid w:val="00A55EFB"/>
    <w:rsid w:val="00A55F50"/>
    <w:rsid w:val="00A56052"/>
    <w:rsid w:val="00A560FB"/>
    <w:rsid w:val="00A56130"/>
    <w:rsid w:val="00A56224"/>
    <w:rsid w:val="00A563DC"/>
    <w:rsid w:val="00A56929"/>
    <w:rsid w:val="00A569B1"/>
    <w:rsid w:val="00A56DEA"/>
    <w:rsid w:val="00A57075"/>
    <w:rsid w:val="00A57229"/>
    <w:rsid w:val="00A57675"/>
    <w:rsid w:val="00A57AAF"/>
    <w:rsid w:val="00A57CBE"/>
    <w:rsid w:val="00A57D89"/>
    <w:rsid w:val="00A60721"/>
    <w:rsid w:val="00A61744"/>
    <w:rsid w:val="00A6184C"/>
    <w:rsid w:val="00A61AA0"/>
    <w:rsid w:val="00A61D7E"/>
    <w:rsid w:val="00A61DA9"/>
    <w:rsid w:val="00A61F7D"/>
    <w:rsid w:val="00A6262C"/>
    <w:rsid w:val="00A6299C"/>
    <w:rsid w:val="00A633ED"/>
    <w:rsid w:val="00A6345C"/>
    <w:rsid w:val="00A635BE"/>
    <w:rsid w:val="00A63705"/>
    <w:rsid w:val="00A64470"/>
    <w:rsid w:val="00A6458F"/>
    <w:rsid w:val="00A647FA"/>
    <w:rsid w:val="00A64ADB"/>
    <w:rsid w:val="00A65125"/>
    <w:rsid w:val="00A653C5"/>
    <w:rsid w:val="00A66643"/>
    <w:rsid w:val="00A66AAA"/>
    <w:rsid w:val="00A66B8C"/>
    <w:rsid w:val="00A66C48"/>
    <w:rsid w:val="00A66D86"/>
    <w:rsid w:val="00A66F51"/>
    <w:rsid w:val="00A671B5"/>
    <w:rsid w:val="00A6A28D"/>
    <w:rsid w:val="00A70019"/>
    <w:rsid w:val="00A70741"/>
    <w:rsid w:val="00A70C7F"/>
    <w:rsid w:val="00A710F5"/>
    <w:rsid w:val="00A71257"/>
    <w:rsid w:val="00A71882"/>
    <w:rsid w:val="00A718DE"/>
    <w:rsid w:val="00A71940"/>
    <w:rsid w:val="00A722A0"/>
    <w:rsid w:val="00A723EB"/>
    <w:rsid w:val="00A725A6"/>
    <w:rsid w:val="00A726FB"/>
    <w:rsid w:val="00A72F16"/>
    <w:rsid w:val="00A73DAF"/>
    <w:rsid w:val="00A74692"/>
    <w:rsid w:val="00A74AAB"/>
    <w:rsid w:val="00A74DA0"/>
    <w:rsid w:val="00A74DDE"/>
    <w:rsid w:val="00A7526F"/>
    <w:rsid w:val="00A754C4"/>
    <w:rsid w:val="00A75AAE"/>
    <w:rsid w:val="00A762FB"/>
    <w:rsid w:val="00A763F1"/>
    <w:rsid w:val="00A764B2"/>
    <w:rsid w:val="00A76B34"/>
    <w:rsid w:val="00A76BD5"/>
    <w:rsid w:val="00A7732B"/>
    <w:rsid w:val="00A7733C"/>
    <w:rsid w:val="00A77696"/>
    <w:rsid w:val="00A777C3"/>
    <w:rsid w:val="00A801EC"/>
    <w:rsid w:val="00A80520"/>
    <w:rsid w:val="00A80788"/>
    <w:rsid w:val="00A80CAC"/>
    <w:rsid w:val="00A81010"/>
    <w:rsid w:val="00A8116E"/>
    <w:rsid w:val="00A818DF"/>
    <w:rsid w:val="00A8273E"/>
    <w:rsid w:val="00A828C7"/>
    <w:rsid w:val="00A82B86"/>
    <w:rsid w:val="00A82CCF"/>
    <w:rsid w:val="00A82E83"/>
    <w:rsid w:val="00A83159"/>
    <w:rsid w:val="00A832C7"/>
    <w:rsid w:val="00A8345E"/>
    <w:rsid w:val="00A83CCE"/>
    <w:rsid w:val="00A83D72"/>
    <w:rsid w:val="00A844A9"/>
    <w:rsid w:val="00A84885"/>
    <w:rsid w:val="00A84B5D"/>
    <w:rsid w:val="00A84C67"/>
    <w:rsid w:val="00A85263"/>
    <w:rsid w:val="00A8599B"/>
    <w:rsid w:val="00A86AD3"/>
    <w:rsid w:val="00A870F3"/>
    <w:rsid w:val="00A87EFD"/>
    <w:rsid w:val="00A9002C"/>
    <w:rsid w:val="00A90111"/>
    <w:rsid w:val="00A90762"/>
    <w:rsid w:val="00A90A75"/>
    <w:rsid w:val="00A90C5F"/>
    <w:rsid w:val="00A9117A"/>
    <w:rsid w:val="00A917C7"/>
    <w:rsid w:val="00A91920"/>
    <w:rsid w:val="00A91D47"/>
    <w:rsid w:val="00A929A9"/>
    <w:rsid w:val="00A93312"/>
    <w:rsid w:val="00A93365"/>
    <w:rsid w:val="00A9351C"/>
    <w:rsid w:val="00A93A75"/>
    <w:rsid w:val="00A93B21"/>
    <w:rsid w:val="00A93BBB"/>
    <w:rsid w:val="00A940D7"/>
    <w:rsid w:val="00A94D81"/>
    <w:rsid w:val="00A94E4C"/>
    <w:rsid w:val="00A94E82"/>
    <w:rsid w:val="00A9518C"/>
    <w:rsid w:val="00A9580B"/>
    <w:rsid w:val="00A95912"/>
    <w:rsid w:val="00A95A27"/>
    <w:rsid w:val="00A95FFA"/>
    <w:rsid w:val="00A96407"/>
    <w:rsid w:val="00A96719"/>
    <w:rsid w:val="00A968E7"/>
    <w:rsid w:val="00A96B31"/>
    <w:rsid w:val="00A97382"/>
    <w:rsid w:val="00A9739C"/>
    <w:rsid w:val="00A97505"/>
    <w:rsid w:val="00A97568"/>
    <w:rsid w:val="00A978D3"/>
    <w:rsid w:val="00AA02E4"/>
    <w:rsid w:val="00AA0376"/>
    <w:rsid w:val="00AA03DC"/>
    <w:rsid w:val="00AA05CB"/>
    <w:rsid w:val="00AA0813"/>
    <w:rsid w:val="00AA0C9D"/>
    <w:rsid w:val="00AA1297"/>
    <w:rsid w:val="00AA1434"/>
    <w:rsid w:val="00AA1445"/>
    <w:rsid w:val="00AA1849"/>
    <w:rsid w:val="00AA1F25"/>
    <w:rsid w:val="00AA2327"/>
    <w:rsid w:val="00AA2538"/>
    <w:rsid w:val="00AA3261"/>
    <w:rsid w:val="00AA3440"/>
    <w:rsid w:val="00AA3C86"/>
    <w:rsid w:val="00AA3F74"/>
    <w:rsid w:val="00AA4500"/>
    <w:rsid w:val="00AA4671"/>
    <w:rsid w:val="00AA4AAD"/>
    <w:rsid w:val="00AA4CBA"/>
    <w:rsid w:val="00AA5A07"/>
    <w:rsid w:val="00AA5CE7"/>
    <w:rsid w:val="00AA5D32"/>
    <w:rsid w:val="00AA630F"/>
    <w:rsid w:val="00AA7048"/>
    <w:rsid w:val="00AA756E"/>
    <w:rsid w:val="00AA7B1B"/>
    <w:rsid w:val="00AB11A9"/>
    <w:rsid w:val="00AB12EE"/>
    <w:rsid w:val="00AB1364"/>
    <w:rsid w:val="00AB1CF6"/>
    <w:rsid w:val="00AB2064"/>
    <w:rsid w:val="00AB227C"/>
    <w:rsid w:val="00AB2315"/>
    <w:rsid w:val="00AB29E7"/>
    <w:rsid w:val="00AB2D36"/>
    <w:rsid w:val="00AB2D3A"/>
    <w:rsid w:val="00AB3250"/>
    <w:rsid w:val="00AB39AB"/>
    <w:rsid w:val="00AB3CD8"/>
    <w:rsid w:val="00AB4020"/>
    <w:rsid w:val="00AB4962"/>
    <w:rsid w:val="00AB5B46"/>
    <w:rsid w:val="00AB62F5"/>
    <w:rsid w:val="00AB6772"/>
    <w:rsid w:val="00AB6B05"/>
    <w:rsid w:val="00AB6D69"/>
    <w:rsid w:val="00AB717D"/>
    <w:rsid w:val="00AB73FF"/>
    <w:rsid w:val="00AB766B"/>
    <w:rsid w:val="00AC068F"/>
    <w:rsid w:val="00AC0947"/>
    <w:rsid w:val="00AC0A64"/>
    <w:rsid w:val="00AC0C6E"/>
    <w:rsid w:val="00AC1328"/>
    <w:rsid w:val="00AC194B"/>
    <w:rsid w:val="00AC1BD0"/>
    <w:rsid w:val="00AC1F03"/>
    <w:rsid w:val="00AC2207"/>
    <w:rsid w:val="00AC25C8"/>
    <w:rsid w:val="00AC276D"/>
    <w:rsid w:val="00AC2E18"/>
    <w:rsid w:val="00AC335E"/>
    <w:rsid w:val="00AC36BF"/>
    <w:rsid w:val="00AC3713"/>
    <w:rsid w:val="00AC3761"/>
    <w:rsid w:val="00AC37BC"/>
    <w:rsid w:val="00AC3B52"/>
    <w:rsid w:val="00AC3CF1"/>
    <w:rsid w:val="00AC3D65"/>
    <w:rsid w:val="00AC406B"/>
    <w:rsid w:val="00AC441F"/>
    <w:rsid w:val="00AC4C33"/>
    <w:rsid w:val="00AC4F71"/>
    <w:rsid w:val="00AC5719"/>
    <w:rsid w:val="00AC5772"/>
    <w:rsid w:val="00AC5C5E"/>
    <w:rsid w:val="00AC6883"/>
    <w:rsid w:val="00AC6A98"/>
    <w:rsid w:val="00AC6B46"/>
    <w:rsid w:val="00AC75E3"/>
    <w:rsid w:val="00AC7D8C"/>
    <w:rsid w:val="00AC7F83"/>
    <w:rsid w:val="00AD0B4C"/>
    <w:rsid w:val="00AD0C08"/>
    <w:rsid w:val="00AD0F40"/>
    <w:rsid w:val="00AD1118"/>
    <w:rsid w:val="00AD1277"/>
    <w:rsid w:val="00AD1709"/>
    <w:rsid w:val="00AD18A3"/>
    <w:rsid w:val="00AD2067"/>
    <w:rsid w:val="00AD21C9"/>
    <w:rsid w:val="00AD2375"/>
    <w:rsid w:val="00AD23B3"/>
    <w:rsid w:val="00AD2495"/>
    <w:rsid w:val="00AD25F8"/>
    <w:rsid w:val="00AD2D9F"/>
    <w:rsid w:val="00AD3298"/>
    <w:rsid w:val="00AD3373"/>
    <w:rsid w:val="00AD33F4"/>
    <w:rsid w:val="00AD34AB"/>
    <w:rsid w:val="00AD38EF"/>
    <w:rsid w:val="00AD47AE"/>
    <w:rsid w:val="00AD4E6A"/>
    <w:rsid w:val="00AD50B0"/>
    <w:rsid w:val="00AD520B"/>
    <w:rsid w:val="00AD5447"/>
    <w:rsid w:val="00AD555E"/>
    <w:rsid w:val="00AD61E3"/>
    <w:rsid w:val="00AD62D1"/>
    <w:rsid w:val="00AD6491"/>
    <w:rsid w:val="00AD6577"/>
    <w:rsid w:val="00AD66B2"/>
    <w:rsid w:val="00AD6D5E"/>
    <w:rsid w:val="00AD6FEC"/>
    <w:rsid w:val="00AD716C"/>
    <w:rsid w:val="00AD71AB"/>
    <w:rsid w:val="00AD7240"/>
    <w:rsid w:val="00AD7B43"/>
    <w:rsid w:val="00AD7CB1"/>
    <w:rsid w:val="00AE019B"/>
    <w:rsid w:val="00AE052A"/>
    <w:rsid w:val="00AE0F6E"/>
    <w:rsid w:val="00AE1616"/>
    <w:rsid w:val="00AE1693"/>
    <w:rsid w:val="00AE1737"/>
    <w:rsid w:val="00AE1F7F"/>
    <w:rsid w:val="00AE208D"/>
    <w:rsid w:val="00AE20D5"/>
    <w:rsid w:val="00AE26E6"/>
    <w:rsid w:val="00AE3290"/>
    <w:rsid w:val="00AE32BB"/>
    <w:rsid w:val="00AE3644"/>
    <w:rsid w:val="00AE3DD2"/>
    <w:rsid w:val="00AE3F3A"/>
    <w:rsid w:val="00AE4134"/>
    <w:rsid w:val="00AE439F"/>
    <w:rsid w:val="00AE4717"/>
    <w:rsid w:val="00AE49E9"/>
    <w:rsid w:val="00AE4B4F"/>
    <w:rsid w:val="00AE4C37"/>
    <w:rsid w:val="00AE4C56"/>
    <w:rsid w:val="00AE513B"/>
    <w:rsid w:val="00AE56E9"/>
    <w:rsid w:val="00AE57DA"/>
    <w:rsid w:val="00AE586A"/>
    <w:rsid w:val="00AE5BFE"/>
    <w:rsid w:val="00AE610D"/>
    <w:rsid w:val="00AE6795"/>
    <w:rsid w:val="00AE6E3C"/>
    <w:rsid w:val="00AE7255"/>
    <w:rsid w:val="00AE7313"/>
    <w:rsid w:val="00AF002E"/>
    <w:rsid w:val="00AF00F7"/>
    <w:rsid w:val="00AF0347"/>
    <w:rsid w:val="00AF0710"/>
    <w:rsid w:val="00AF0AAD"/>
    <w:rsid w:val="00AF1000"/>
    <w:rsid w:val="00AF1126"/>
    <w:rsid w:val="00AF15DD"/>
    <w:rsid w:val="00AF1C69"/>
    <w:rsid w:val="00AF1D9E"/>
    <w:rsid w:val="00AF1F29"/>
    <w:rsid w:val="00AF220D"/>
    <w:rsid w:val="00AF26D4"/>
    <w:rsid w:val="00AF2C9E"/>
    <w:rsid w:val="00AF3165"/>
    <w:rsid w:val="00AF4D30"/>
    <w:rsid w:val="00AF51B6"/>
    <w:rsid w:val="00AF5382"/>
    <w:rsid w:val="00AF579A"/>
    <w:rsid w:val="00AF5A36"/>
    <w:rsid w:val="00AF60F6"/>
    <w:rsid w:val="00AF6261"/>
    <w:rsid w:val="00AF68F8"/>
    <w:rsid w:val="00AF6B58"/>
    <w:rsid w:val="00AF6D6B"/>
    <w:rsid w:val="00AF6E56"/>
    <w:rsid w:val="00AF78BC"/>
    <w:rsid w:val="00AF79EE"/>
    <w:rsid w:val="00AF7EC4"/>
    <w:rsid w:val="00B00146"/>
    <w:rsid w:val="00B00992"/>
    <w:rsid w:val="00B009AE"/>
    <w:rsid w:val="00B00AFA"/>
    <w:rsid w:val="00B00BEA"/>
    <w:rsid w:val="00B00F80"/>
    <w:rsid w:val="00B01003"/>
    <w:rsid w:val="00B015CA"/>
    <w:rsid w:val="00B01ABE"/>
    <w:rsid w:val="00B02088"/>
    <w:rsid w:val="00B0220E"/>
    <w:rsid w:val="00B026CC"/>
    <w:rsid w:val="00B039EE"/>
    <w:rsid w:val="00B03F04"/>
    <w:rsid w:val="00B04459"/>
    <w:rsid w:val="00B04B33"/>
    <w:rsid w:val="00B04E58"/>
    <w:rsid w:val="00B050E6"/>
    <w:rsid w:val="00B0576F"/>
    <w:rsid w:val="00B0588C"/>
    <w:rsid w:val="00B05B0E"/>
    <w:rsid w:val="00B05D06"/>
    <w:rsid w:val="00B068E4"/>
    <w:rsid w:val="00B06B0D"/>
    <w:rsid w:val="00B06DC2"/>
    <w:rsid w:val="00B07299"/>
    <w:rsid w:val="00B07787"/>
    <w:rsid w:val="00B07B6C"/>
    <w:rsid w:val="00B10373"/>
    <w:rsid w:val="00B10777"/>
    <w:rsid w:val="00B10D27"/>
    <w:rsid w:val="00B10E31"/>
    <w:rsid w:val="00B114AB"/>
    <w:rsid w:val="00B115B8"/>
    <w:rsid w:val="00B119D7"/>
    <w:rsid w:val="00B11B5C"/>
    <w:rsid w:val="00B11F83"/>
    <w:rsid w:val="00B13A0A"/>
    <w:rsid w:val="00B13A97"/>
    <w:rsid w:val="00B14BC8"/>
    <w:rsid w:val="00B14C3B"/>
    <w:rsid w:val="00B14E49"/>
    <w:rsid w:val="00B156A8"/>
    <w:rsid w:val="00B15C5A"/>
    <w:rsid w:val="00B1657C"/>
    <w:rsid w:val="00B16885"/>
    <w:rsid w:val="00B16F92"/>
    <w:rsid w:val="00B17288"/>
    <w:rsid w:val="00B173AE"/>
    <w:rsid w:val="00B174EF"/>
    <w:rsid w:val="00B2047A"/>
    <w:rsid w:val="00B20AA1"/>
    <w:rsid w:val="00B20DB9"/>
    <w:rsid w:val="00B21593"/>
    <w:rsid w:val="00B218A3"/>
    <w:rsid w:val="00B21FE4"/>
    <w:rsid w:val="00B223FC"/>
    <w:rsid w:val="00B23AB4"/>
    <w:rsid w:val="00B23C89"/>
    <w:rsid w:val="00B23DEE"/>
    <w:rsid w:val="00B23F51"/>
    <w:rsid w:val="00B23FDC"/>
    <w:rsid w:val="00B247DB"/>
    <w:rsid w:val="00B24BA3"/>
    <w:rsid w:val="00B24CBD"/>
    <w:rsid w:val="00B24CE2"/>
    <w:rsid w:val="00B25038"/>
    <w:rsid w:val="00B25501"/>
    <w:rsid w:val="00B2557B"/>
    <w:rsid w:val="00B25839"/>
    <w:rsid w:val="00B259FD"/>
    <w:rsid w:val="00B25BDE"/>
    <w:rsid w:val="00B25CB1"/>
    <w:rsid w:val="00B25D18"/>
    <w:rsid w:val="00B2627E"/>
    <w:rsid w:val="00B27003"/>
    <w:rsid w:val="00B278A8"/>
    <w:rsid w:val="00B27C71"/>
    <w:rsid w:val="00B30259"/>
    <w:rsid w:val="00B3094C"/>
    <w:rsid w:val="00B3147A"/>
    <w:rsid w:val="00B314B0"/>
    <w:rsid w:val="00B31952"/>
    <w:rsid w:val="00B31EA0"/>
    <w:rsid w:val="00B3222A"/>
    <w:rsid w:val="00B32A35"/>
    <w:rsid w:val="00B32E46"/>
    <w:rsid w:val="00B33368"/>
    <w:rsid w:val="00B33A8B"/>
    <w:rsid w:val="00B33D61"/>
    <w:rsid w:val="00B3426F"/>
    <w:rsid w:val="00B34498"/>
    <w:rsid w:val="00B34D6A"/>
    <w:rsid w:val="00B34E71"/>
    <w:rsid w:val="00B35ACE"/>
    <w:rsid w:val="00B361CC"/>
    <w:rsid w:val="00B36B45"/>
    <w:rsid w:val="00B36E68"/>
    <w:rsid w:val="00B37FF8"/>
    <w:rsid w:val="00B4018E"/>
    <w:rsid w:val="00B40272"/>
    <w:rsid w:val="00B405F9"/>
    <w:rsid w:val="00B40CEA"/>
    <w:rsid w:val="00B40E25"/>
    <w:rsid w:val="00B413AD"/>
    <w:rsid w:val="00B41FF0"/>
    <w:rsid w:val="00B42079"/>
    <w:rsid w:val="00B43132"/>
    <w:rsid w:val="00B4460A"/>
    <w:rsid w:val="00B446EE"/>
    <w:rsid w:val="00B44A0A"/>
    <w:rsid w:val="00B4529E"/>
    <w:rsid w:val="00B456E5"/>
    <w:rsid w:val="00B45755"/>
    <w:rsid w:val="00B462D3"/>
    <w:rsid w:val="00B462FB"/>
    <w:rsid w:val="00B4646D"/>
    <w:rsid w:val="00B46738"/>
    <w:rsid w:val="00B46A57"/>
    <w:rsid w:val="00B46AB6"/>
    <w:rsid w:val="00B46D0D"/>
    <w:rsid w:val="00B50641"/>
    <w:rsid w:val="00B506BA"/>
    <w:rsid w:val="00B50758"/>
    <w:rsid w:val="00B50D43"/>
    <w:rsid w:val="00B50FCF"/>
    <w:rsid w:val="00B510F8"/>
    <w:rsid w:val="00B512F8"/>
    <w:rsid w:val="00B516B2"/>
    <w:rsid w:val="00B5176F"/>
    <w:rsid w:val="00B51E9E"/>
    <w:rsid w:val="00B52181"/>
    <w:rsid w:val="00B5246D"/>
    <w:rsid w:val="00B52B33"/>
    <w:rsid w:val="00B530E4"/>
    <w:rsid w:val="00B53DBA"/>
    <w:rsid w:val="00B53F0D"/>
    <w:rsid w:val="00B54311"/>
    <w:rsid w:val="00B54F01"/>
    <w:rsid w:val="00B5548E"/>
    <w:rsid w:val="00B55553"/>
    <w:rsid w:val="00B55D9E"/>
    <w:rsid w:val="00B55E33"/>
    <w:rsid w:val="00B562E2"/>
    <w:rsid w:val="00B5646C"/>
    <w:rsid w:val="00B565AE"/>
    <w:rsid w:val="00B567B5"/>
    <w:rsid w:val="00B56850"/>
    <w:rsid w:val="00B56914"/>
    <w:rsid w:val="00B56F41"/>
    <w:rsid w:val="00B5712B"/>
    <w:rsid w:val="00B57678"/>
    <w:rsid w:val="00B578B1"/>
    <w:rsid w:val="00B57A0D"/>
    <w:rsid w:val="00B57A36"/>
    <w:rsid w:val="00B57D53"/>
    <w:rsid w:val="00B57E08"/>
    <w:rsid w:val="00B6060D"/>
    <w:rsid w:val="00B6078E"/>
    <w:rsid w:val="00B60BEE"/>
    <w:rsid w:val="00B6119E"/>
    <w:rsid w:val="00B61295"/>
    <w:rsid w:val="00B6162F"/>
    <w:rsid w:val="00B61A77"/>
    <w:rsid w:val="00B61CC2"/>
    <w:rsid w:val="00B61F43"/>
    <w:rsid w:val="00B62316"/>
    <w:rsid w:val="00B6248D"/>
    <w:rsid w:val="00B6258E"/>
    <w:rsid w:val="00B62B10"/>
    <w:rsid w:val="00B62DB3"/>
    <w:rsid w:val="00B630AC"/>
    <w:rsid w:val="00B632FC"/>
    <w:rsid w:val="00B63E54"/>
    <w:rsid w:val="00B649AF"/>
    <w:rsid w:val="00B64C9B"/>
    <w:rsid w:val="00B64E8B"/>
    <w:rsid w:val="00B64EC8"/>
    <w:rsid w:val="00B6533F"/>
    <w:rsid w:val="00B65368"/>
    <w:rsid w:val="00B654ED"/>
    <w:rsid w:val="00B65D85"/>
    <w:rsid w:val="00B65F73"/>
    <w:rsid w:val="00B6630B"/>
    <w:rsid w:val="00B66669"/>
    <w:rsid w:val="00B6668B"/>
    <w:rsid w:val="00B66DED"/>
    <w:rsid w:val="00B66ED2"/>
    <w:rsid w:val="00B67036"/>
    <w:rsid w:val="00B67C03"/>
    <w:rsid w:val="00B7008F"/>
    <w:rsid w:val="00B7036E"/>
    <w:rsid w:val="00B70871"/>
    <w:rsid w:val="00B70BE5"/>
    <w:rsid w:val="00B70CD7"/>
    <w:rsid w:val="00B71643"/>
    <w:rsid w:val="00B71B6A"/>
    <w:rsid w:val="00B71C46"/>
    <w:rsid w:val="00B71F05"/>
    <w:rsid w:val="00B72154"/>
    <w:rsid w:val="00B722A3"/>
    <w:rsid w:val="00B72461"/>
    <w:rsid w:val="00B72CE1"/>
    <w:rsid w:val="00B73909"/>
    <w:rsid w:val="00B73BBB"/>
    <w:rsid w:val="00B73BCE"/>
    <w:rsid w:val="00B73CA0"/>
    <w:rsid w:val="00B743C2"/>
    <w:rsid w:val="00B74873"/>
    <w:rsid w:val="00B74A0C"/>
    <w:rsid w:val="00B7503F"/>
    <w:rsid w:val="00B75409"/>
    <w:rsid w:val="00B7553E"/>
    <w:rsid w:val="00B75D06"/>
    <w:rsid w:val="00B76571"/>
    <w:rsid w:val="00B76802"/>
    <w:rsid w:val="00B76890"/>
    <w:rsid w:val="00B76C66"/>
    <w:rsid w:val="00B77150"/>
    <w:rsid w:val="00B7723B"/>
    <w:rsid w:val="00B77705"/>
    <w:rsid w:val="00B77A94"/>
    <w:rsid w:val="00B801A6"/>
    <w:rsid w:val="00B8037B"/>
    <w:rsid w:val="00B810BF"/>
    <w:rsid w:val="00B81207"/>
    <w:rsid w:val="00B816B1"/>
    <w:rsid w:val="00B81887"/>
    <w:rsid w:val="00B8209F"/>
    <w:rsid w:val="00B82286"/>
    <w:rsid w:val="00B82B7C"/>
    <w:rsid w:val="00B82FF3"/>
    <w:rsid w:val="00B83543"/>
    <w:rsid w:val="00B838B8"/>
    <w:rsid w:val="00B8394F"/>
    <w:rsid w:val="00B83972"/>
    <w:rsid w:val="00B83AD1"/>
    <w:rsid w:val="00B83B31"/>
    <w:rsid w:val="00B840B2"/>
    <w:rsid w:val="00B846BB"/>
    <w:rsid w:val="00B847FB"/>
    <w:rsid w:val="00B84A16"/>
    <w:rsid w:val="00B84FFD"/>
    <w:rsid w:val="00B852D1"/>
    <w:rsid w:val="00B8585C"/>
    <w:rsid w:val="00B85CEB"/>
    <w:rsid w:val="00B866C6"/>
    <w:rsid w:val="00B86882"/>
    <w:rsid w:val="00B86DBB"/>
    <w:rsid w:val="00B86FA3"/>
    <w:rsid w:val="00B872D7"/>
    <w:rsid w:val="00B87856"/>
    <w:rsid w:val="00B87B2A"/>
    <w:rsid w:val="00B87C7E"/>
    <w:rsid w:val="00B906E0"/>
    <w:rsid w:val="00B9084C"/>
    <w:rsid w:val="00B90C90"/>
    <w:rsid w:val="00B90E90"/>
    <w:rsid w:val="00B9117A"/>
    <w:rsid w:val="00B91413"/>
    <w:rsid w:val="00B91698"/>
    <w:rsid w:val="00B916E0"/>
    <w:rsid w:val="00B919DF"/>
    <w:rsid w:val="00B91B17"/>
    <w:rsid w:val="00B923C5"/>
    <w:rsid w:val="00B92AF3"/>
    <w:rsid w:val="00B935F0"/>
    <w:rsid w:val="00B93AC7"/>
    <w:rsid w:val="00B94245"/>
    <w:rsid w:val="00B9448D"/>
    <w:rsid w:val="00B946D7"/>
    <w:rsid w:val="00B94889"/>
    <w:rsid w:val="00B94B3E"/>
    <w:rsid w:val="00B94BFF"/>
    <w:rsid w:val="00B94D07"/>
    <w:rsid w:val="00B94DF4"/>
    <w:rsid w:val="00B94EB7"/>
    <w:rsid w:val="00B9510E"/>
    <w:rsid w:val="00B95413"/>
    <w:rsid w:val="00B954EB"/>
    <w:rsid w:val="00B95DC8"/>
    <w:rsid w:val="00B961B1"/>
    <w:rsid w:val="00B965C3"/>
    <w:rsid w:val="00B96612"/>
    <w:rsid w:val="00B9677D"/>
    <w:rsid w:val="00B96C0A"/>
    <w:rsid w:val="00B972DE"/>
    <w:rsid w:val="00B975EC"/>
    <w:rsid w:val="00BA0093"/>
    <w:rsid w:val="00BA0159"/>
    <w:rsid w:val="00BA0229"/>
    <w:rsid w:val="00BA074C"/>
    <w:rsid w:val="00BA0D30"/>
    <w:rsid w:val="00BA106D"/>
    <w:rsid w:val="00BA1578"/>
    <w:rsid w:val="00BA180F"/>
    <w:rsid w:val="00BA1815"/>
    <w:rsid w:val="00BA1859"/>
    <w:rsid w:val="00BA1D18"/>
    <w:rsid w:val="00BA1D2F"/>
    <w:rsid w:val="00BA1D92"/>
    <w:rsid w:val="00BA1DDD"/>
    <w:rsid w:val="00BA20BD"/>
    <w:rsid w:val="00BA20DE"/>
    <w:rsid w:val="00BA237D"/>
    <w:rsid w:val="00BA2858"/>
    <w:rsid w:val="00BA2CBD"/>
    <w:rsid w:val="00BA2F8E"/>
    <w:rsid w:val="00BA34DF"/>
    <w:rsid w:val="00BA386B"/>
    <w:rsid w:val="00BA3FEC"/>
    <w:rsid w:val="00BA40E3"/>
    <w:rsid w:val="00BA4156"/>
    <w:rsid w:val="00BA42CE"/>
    <w:rsid w:val="00BA443A"/>
    <w:rsid w:val="00BA44FB"/>
    <w:rsid w:val="00BA4536"/>
    <w:rsid w:val="00BA5811"/>
    <w:rsid w:val="00BA6BBA"/>
    <w:rsid w:val="00BA6C68"/>
    <w:rsid w:val="00BA6F20"/>
    <w:rsid w:val="00BA6F26"/>
    <w:rsid w:val="00BA6F7F"/>
    <w:rsid w:val="00BA7399"/>
    <w:rsid w:val="00BA7978"/>
    <w:rsid w:val="00BB0134"/>
    <w:rsid w:val="00BB03D7"/>
    <w:rsid w:val="00BB08F0"/>
    <w:rsid w:val="00BB0E1F"/>
    <w:rsid w:val="00BB123B"/>
    <w:rsid w:val="00BB1243"/>
    <w:rsid w:val="00BB1E9C"/>
    <w:rsid w:val="00BB20B9"/>
    <w:rsid w:val="00BB20C0"/>
    <w:rsid w:val="00BB21E5"/>
    <w:rsid w:val="00BB2288"/>
    <w:rsid w:val="00BB28DE"/>
    <w:rsid w:val="00BB2A35"/>
    <w:rsid w:val="00BB3273"/>
    <w:rsid w:val="00BB3FE8"/>
    <w:rsid w:val="00BB402E"/>
    <w:rsid w:val="00BB42D2"/>
    <w:rsid w:val="00BB4730"/>
    <w:rsid w:val="00BB48D2"/>
    <w:rsid w:val="00BB4CD7"/>
    <w:rsid w:val="00BB5479"/>
    <w:rsid w:val="00BB5D51"/>
    <w:rsid w:val="00BB5E70"/>
    <w:rsid w:val="00BB6132"/>
    <w:rsid w:val="00BB62A6"/>
    <w:rsid w:val="00BB6E7A"/>
    <w:rsid w:val="00BB720E"/>
    <w:rsid w:val="00BB7891"/>
    <w:rsid w:val="00BB7F2C"/>
    <w:rsid w:val="00BC0436"/>
    <w:rsid w:val="00BC0514"/>
    <w:rsid w:val="00BC1861"/>
    <w:rsid w:val="00BC1B10"/>
    <w:rsid w:val="00BC1BF0"/>
    <w:rsid w:val="00BC2534"/>
    <w:rsid w:val="00BC2608"/>
    <w:rsid w:val="00BC2FD4"/>
    <w:rsid w:val="00BC318E"/>
    <w:rsid w:val="00BC32F2"/>
    <w:rsid w:val="00BC34B6"/>
    <w:rsid w:val="00BC3D1C"/>
    <w:rsid w:val="00BC3E19"/>
    <w:rsid w:val="00BC4411"/>
    <w:rsid w:val="00BC45BF"/>
    <w:rsid w:val="00BC479E"/>
    <w:rsid w:val="00BC5611"/>
    <w:rsid w:val="00BC5617"/>
    <w:rsid w:val="00BC5FBC"/>
    <w:rsid w:val="00BC6467"/>
    <w:rsid w:val="00BC66E2"/>
    <w:rsid w:val="00BC6A9B"/>
    <w:rsid w:val="00BC6F7B"/>
    <w:rsid w:val="00BC7110"/>
    <w:rsid w:val="00BC7838"/>
    <w:rsid w:val="00BD00F9"/>
    <w:rsid w:val="00BD0218"/>
    <w:rsid w:val="00BD05BE"/>
    <w:rsid w:val="00BD063D"/>
    <w:rsid w:val="00BD0842"/>
    <w:rsid w:val="00BD0FE8"/>
    <w:rsid w:val="00BD1E23"/>
    <w:rsid w:val="00BD1E4B"/>
    <w:rsid w:val="00BD2165"/>
    <w:rsid w:val="00BD21E0"/>
    <w:rsid w:val="00BD2520"/>
    <w:rsid w:val="00BD280A"/>
    <w:rsid w:val="00BD2B02"/>
    <w:rsid w:val="00BD2C67"/>
    <w:rsid w:val="00BD2C9A"/>
    <w:rsid w:val="00BD3219"/>
    <w:rsid w:val="00BD3B5E"/>
    <w:rsid w:val="00BD46BE"/>
    <w:rsid w:val="00BD498B"/>
    <w:rsid w:val="00BD4EAE"/>
    <w:rsid w:val="00BD54B2"/>
    <w:rsid w:val="00BD550D"/>
    <w:rsid w:val="00BD556B"/>
    <w:rsid w:val="00BD5A2B"/>
    <w:rsid w:val="00BD5B07"/>
    <w:rsid w:val="00BD5BAE"/>
    <w:rsid w:val="00BD5C2E"/>
    <w:rsid w:val="00BD5D07"/>
    <w:rsid w:val="00BD63CF"/>
    <w:rsid w:val="00BD71A2"/>
    <w:rsid w:val="00BD7522"/>
    <w:rsid w:val="00BD7AB5"/>
    <w:rsid w:val="00BD7B27"/>
    <w:rsid w:val="00BD7C1E"/>
    <w:rsid w:val="00BD7E4B"/>
    <w:rsid w:val="00BE01B3"/>
    <w:rsid w:val="00BE0394"/>
    <w:rsid w:val="00BE09ED"/>
    <w:rsid w:val="00BE1CD3"/>
    <w:rsid w:val="00BE1DC9"/>
    <w:rsid w:val="00BE26E9"/>
    <w:rsid w:val="00BE27DA"/>
    <w:rsid w:val="00BE27ED"/>
    <w:rsid w:val="00BE2A9A"/>
    <w:rsid w:val="00BE2B3E"/>
    <w:rsid w:val="00BE3318"/>
    <w:rsid w:val="00BE343D"/>
    <w:rsid w:val="00BE3B2D"/>
    <w:rsid w:val="00BE3C8F"/>
    <w:rsid w:val="00BE413A"/>
    <w:rsid w:val="00BE5109"/>
    <w:rsid w:val="00BE5706"/>
    <w:rsid w:val="00BE5BD8"/>
    <w:rsid w:val="00BE5F13"/>
    <w:rsid w:val="00BE635D"/>
    <w:rsid w:val="00BE6439"/>
    <w:rsid w:val="00BE6C90"/>
    <w:rsid w:val="00BE778E"/>
    <w:rsid w:val="00BE7856"/>
    <w:rsid w:val="00BE7C62"/>
    <w:rsid w:val="00BE7FBD"/>
    <w:rsid w:val="00BE7FCF"/>
    <w:rsid w:val="00BF020A"/>
    <w:rsid w:val="00BF114A"/>
    <w:rsid w:val="00BF1390"/>
    <w:rsid w:val="00BF1ED5"/>
    <w:rsid w:val="00BF2160"/>
    <w:rsid w:val="00BF251D"/>
    <w:rsid w:val="00BF253E"/>
    <w:rsid w:val="00BF2728"/>
    <w:rsid w:val="00BF2DC1"/>
    <w:rsid w:val="00BF33CB"/>
    <w:rsid w:val="00BF3E98"/>
    <w:rsid w:val="00BF4125"/>
    <w:rsid w:val="00BF4799"/>
    <w:rsid w:val="00BF4E73"/>
    <w:rsid w:val="00BF4FFF"/>
    <w:rsid w:val="00BF51BA"/>
    <w:rsid w:val="00BF51CE"/>
    <w:rsid w:val="00BF526C"/>
    <w:rsid w:val="00BF58CB"/>
    <w:rsid w:val="00BF5952"/>
    <w:rsid w:val="00BF5BEE"/>
    <w:rsid w:val="00BF5D52"/>
    <w:rsid w:val="00BF6018"/>
    <w:rsid w:val="00BF61AB"/>
    <w:rsid w:val="00BF62EB"/>
    <w:rsid w:val="00BF66F4"/>
    <w:rsid w:val="00BF67AD"/>
    <w:rsid w:val="00BF67F0"/>
    <w:rsid w:val="00BF68AC"/>
    <w:rsid w:val="00BF6DC7"/>
    <w:rsid w:val="00BF6FBE"/>
    <w:rsid w:val="00BF71B7"/>
    <w:rsid w:val="00BF771A"/>
    <w:rsid w:val="00BF77C5"/>
    <w:rsid w:val="00BF7E91"/>
    <w:rsid w:val="00C000D8"/>
    <w:rsid w:val="00C00194"/>
    <w:rsid w:val="00C00B1B"/>
    <w:rsid w:val="00C011E5"/>
    <w:rsid w:val="00C014A8"/>
    <w:rsid w:val="00C016B4"/>
    <w:rsid w:val="00C01973"/>
    <w:rsid w:val="00C03049"/>
    <w:rsid w:val="00C031DE"/>
    <w:rsid w:val="00C03233"/>
    <w:rsid w:val="00C03593"/>
    <w:rsid w:val="00C0493C"/>
    <w:rsid w:val="00C04B0F"/>
    <w:rsid w:val="00C04D3D"/>
    <w:rsid w:val="00C050C5"/>
    <w:rsid w:val="00C0555B"/>
    <w:rsid w:val="00C05735"/>
    <w:rsid w:val="00C0595D"/>
    <w:rsid w:val="00C05C91"/>
    <w:rsid w:val="00C05CA6"/>
    <w:rsid w:val="00C05D11"/>
    <w:rsid w:val="00C05E7E"/>
    <w:rsid w:val="00C06027"/>
    <w:rsid w:val="00C0631B"/>
    <w:rsid w:val="00C06A02"/>
    <w:rsid w:val="00C06E23"/>
    <w:rsid w:val="00C06EA3"/>
    <w:rsid w:val="00C06EB6"/>
    <w:rsid w:val="00C0712F"/>
    <w:rsid w:val="00C07B77"/>
    <w:rsid w:val="00C10686"/>
    <w:rsid w:val="00C118FA"/>
    <w:rsid w:val="00C11B50"/>
    <w:rsid w:val="00C11DBB"/>
    <w:rsid w:val="00C11DF9"/>
    <w:rsid w:val="00C12C12"/>
    <w:rsid w:val="00C130EA"/>
    <w:rsid w:val="00C134D0"/>
    <w:rsid w:val="00C134E2"/>
    <w:rsid w:val="00C13709"/>
    <w:rsid w:val="00C13C32"/>
    <w:rsid w:val="00C13D3D"/>
    <w:rsid w:val="00C14237"/>
    <w:rsid w:val="00C1426B"/>
    <w:rsid w:val="00C14344"/>
    <w:rsid w:val="00C143CE"/>
    <w:rsid w:val="00C14A1F"/>
    <w:rsid w:val="00C14B7F"/>
    <w:rsid w:val="00C150DE"/>
    <w:rsid w:val="00C1573A"/>
    <w:rsid w:val="00C159E2"/>
    <w:rsid w:val="00C15A6B"/>
    <w:rsid w:val="00C15B65"/>
    <w:rsid w:val="00C15BE8"/>
    <w:rsid w:val="00C15F94"/>
    <w:rsid w:val="00C15FE4"/>
    <w:rsid w:val="00C16545"/>
    <w:rsid w:val="00C166EE"/>
    <w:rsid w:val="00C17E8A"/>
    <w:rsid w:val="00C208BB"/>
    <w:rsid w:val="00C20920"/>
    <w:rsid w:val="00C20C68"/>
    <w:rsid w:val="00C20D6C"/>
    <w:rsid w:val="00C21004"/>
    <w:rsid w:val="00C212CE"/>
    <w:rsid w:val="00C215DF"/>
    <w:rsid w:val="00C21C3D"/>
    <w:rsid w:val="00C21EE2"/>
    <w:rsid w:val="00C2210D"/>
    <w:rsid w:val="00C23041"/>
    <w:rsid w:val="00C2381F"/>
    <w:rsid w:val="00C23F07"/>
    <w:rsid w:val="00C24325"/>
    <w:rsid w:val="00C243C4"/>
    <w:rsid w:val="00C249A0"/>
    <w:rsid w:val="00C24B85"/>
    <w:rsid w:val="00C25687"/>
    <w:rsid w:val="00C2606E"/>
    <w:rsid w:val="00C26262"/>
    <w:rsid w:val="00C26308"/>
    <w:rsid w:val="00C266A6"/>
    <w:rsid w:val="00C266E1"/>
    <w:rsid w:val="00C26B0F"/>
    <w:rsid w:val="00C27264"/>
    <w:rsid w:val="00C27733"/>
    <w:rsid w:val="00C27ABE"/>
    <w:rsid w:val="00C30421"/>
    <w:rsid w:val="00C30955"/>
    <w:rsid w:val="00C30A68"/>
    <w:rsid w:val="00C30F8E"/>
    <w:rsid w:val="00C31270"/>
    <w:rsid w:val="00C31D09"/>
    <w:rsid w:val="00C31FE9"/>
    <w:rsid w:val="00C330AB"/>
    <w:rsid w:val="00C333AA"/>
    <w:rsid w:val="00C333E3"/>
    <w:rsid w:val="00C33A5E"/>
    <w:rsid w:val="00C33A6F"/>
    <w:rsid w:val="00C33C0B"/>
    <w:rsid w:val="00C34133"/>
    <w:rsid w:val="00C345C2"/>
    <w:rsid w:val="00C347EE"/>
    <w:rsid w:val="00C34956"/>
    <w:rsid w:val="00C34B31"/>
    <w:rsid w:val="00C34CEE"/>
    <w:rsid w:val="00C34D24"/>
    <w:rsid w:val="00C35FD6"/>
    <w:rsid w:val="00C36CAC"/>
    <w:rsid w:val="00C37175"/>
    <w:rsid w:val="00C37247"/>
    <w:rsid w:val="00C372B2"/>
    <w:rsid w:val="00C374E9"/>
    <w:rsid w:val="00C37D0D"/>
    <w:rsid w:val="00C4033E"/>
    <w:rsid w:val="00C40696"/>
    <w:rsid w:val="00C40CA3"/>
    <w:rsid w:val="00C40DA3"/>
    <w:rsid w:val="00C412A3"/>
    <w:rsid w:val="00C4207D"/>
    <w:rsid w:val="00C4257A"/>
    <w:rsid w:val="00C43497"/>
    <w:rsid w:val="00C4392B"/>
    <w:rsid w:val="00C4398A"/>
    <w:rsid w:val="00C43B9C"/>
    <w:rsid w:val="00C43CF3"/>
    <w:rsid w:val="00C4403C"/>
    <w:rsid w:val="00C443AF"/>
    <w:rsid w:val="00C444CB"/>
    <w:rsid w:val="00C44664"/>
    <w:rsid w:val="00C44DAA"/>
    <w:rsid w:val="00C44E29"/>
    <w:rsid w:val="00C45095"/>
    <w:rsid w:val="00C456B3"/>
    <w:rsid w:val="00C45AF8"/>
    <w:rsid w:val="00C46153"/>
    <w:rsid w:val="00C463EC"/>
    <w:rsid w:val="00C469D7"/>
    <w:rsid w:val="00C46D71"/>
    <w:rsid w:val="00C47252"/>
    <w:rsid w:val="00C4725A"/>
    <w:rsid w:val="00C47308"/>
    <w:rsid w:val="00C474B8"/>
    <w:rsid w:val="00C478EC"/>
    <w:rsid w:val="00C47CB3"/>
    <w:rsid w:val="00C47D75"/>
    <w:rsid w:val="00C5024A"/>
    <w:rsid w:val="00C508F6"/>
    <w:rsid w:val="00C50C41"/>
    <w:rsid w:val="00C50F7F"/>
    <w:rsid w:val="00C51668"/>
    <w:rsid w:val="00C51BF0"/>
    <w:rsid w:val="00C51EDA"/>
    <w:rsid w:val="00C52BA1"/>
    <w:rsid w:val="00C54003"/>
    <w:rsid w:val="00C5579F"/>
    <w:rsid w:val="00C557EB"/>
    <w:rsid w:val="00C55EA1"/>
    <w:rsid w:val="00C560FE"/>
    <w:rsid w:val="00C565B4"/>
    <w:rsid w:val="00C565D5"/>
    <w:rsid w:val="00C57008"/>
    <w:rsid w:val="00C5710F"/>
    <w:rsid w:val="00C57698"/>
    <w:rsid w:val="00C5775A"/>
    <w:rsid w:val="00C57CF9"/>
    <w:rsid w:val="00C60014"/>
    <w:rsid w:val="00C60725"/>
    <w:rsid w:val="00C60946"/>
    <w:rsid w:val="00C611AB"/>
    <w:rsid w:val="00C614DB"/>
    <w:rsid w:val="00C615D6"/>
    <w:rsid w:val="00C618A4"/>
    <w:rsid w:val="00C61B71"/>
    <w:rsid w:val="00C6226C"/>
    <w:rsid w:val="00C62510"/>
    <w:rsid w:val="00C62798"/>
    <w:rsid w:val="00C638B2"/>
    <w:rsid w:val="00C63A87"/>
    <w:rsid w:val="00C6430A"/>
    <w:rsid w:val="00C643FF"/>
    <w:rsid w:val="00C6488B"/>
    <w:rsid w:val="00C648A0"/>
    <w:rsid w:val="00C65A91"/>
    <w:rsid w:val="00C66211"/>
    <w:rsid w:val="00C66371"/>
    <w:rsid w:val="00C666C6"/>
    <w:rsid w:val="00C66A2E"/>
    <w:rsid w:val="00C67121"/>
    <w:rsid w:val="00C672FE"/>
    <w:rsid w:val="00C6798D"/>
    <w:rsid w:val="00C67A7E"/>
    <w:rsid w:val="00C67C90"/>
    <w:rsid w:val="00C703FD"/>
    <w:rsid w:val="00C70D33"/>
    <w:rsid w:val="00C70ED4"/>
    <w:rsid w:val="00C714FA"/>
    <w:rsid w:val="00C71F95"/>
    <w:rsid w:val="00C7211F"/>
    <w:rsid w:val="00C725C6"/>
    <w:rsid w:val="00C725E9"/>
    <w:rsid w:val="00C72CEF"/>
    <w:rsid w:val="00C730B2"/>
    <w:rsid w:val="00C7311C"/>
    <w:rsid w:val="00C737A8"/>
    <w:rsid w:val="00C737D0"/>
    <w:rsid w:val="00C739ED"/>
    <w:rsid w:val="00C73C6E"/>
    <w:rsid w:val="00C74275"/>
    <w:rsid w:val="00C74DB7"/>
    <w:rsid w:val="00C75449"/>
    <w:rsid w:val="00C76076"/>
    <w:rsid w:val="00C76145"/>
    <w:rsid w:val="00C765C3"/>
    <w:rsid w:val="00C76711"/>
    <w:rsid w:val="00C76BBC"/>
    <w:rsid w:val="00C76BC4"/>
    <w:rsid w:val="00C76DEC"/>
    <w:rsid w:val="00C7731D"/>
    <w:rsid w:val="00C776CD"/>
    <w:rsid w:val="00C7793F"/>
    <w:rsid w:val="00C77D33"/>
    <w:rsid w:val="00C77F79"/>
    <w:rsid w:val="00C80503"/>
    <w:rsid w:val="00C8057B"/>
    <w:rsid w:val="00C80A6D"/>
    <w:rsid w:val="00C80ABE"/>
    <w:rsid w:val="00C80C75"/>
    <w:rsid w:val="00C80E65"/>
    <w:rsid w:val="00C8136A"/>
    <w:rsid w:val="00C813F4"/>
    <w:rsid w:val="00C81488"/>
    <w:rsid w:val="00C815CE"/>
    <w:rsid w:val="00C8170D"/>
    <w:rsid w:val="00C817FA"/>
    <w:rsid w:val="00C818DD"/>
    <w:rsid w:val="00C820BD"/>
    <w:rsid w:val="00C82179"/>
    <w:rsid w:val="00C82266"/>
    <w:rsid w:val="00C826B1"/>
    <w:rsid w:val="00C8297B"/>
    <w:rsid w:val="00C82F79"/>
    <w:rsid w:val="00C83097"/>
    <w:rsid w:val="00C836B0"/>
    <w:rsid w:val="00C8373A"/>
    <w:rsid w:val="00C83DFE"/>
    <w:rsid w:val="00C83ECA"/>
    <w:rsid w:val="00C841F6"/>
    <w:rsid w:val="00C844EA"/>
    <w:rsid w:val="00C846D9"/>
    <w:rsid w:val="00C848E8"/>
    <w:rsid w:val="00C84E31"/>
    <w:rsid w:val="00C84F1E"/>
    <w:rsid w:val="00C85800"/>
    <w:rsid w:val="00C85921"/>
    <w:rsid w:val="00C85CBA"/>
    <w:rsid w:val="00C8619F"/>
    <w:rsid w:val="00C8653F"/>
    <w:rsid w:val="00C86586"/>
    <w:rsid w:val="00C869D4"/>
    <w:rsid w:val="00C86A0A"/>
    <w:rsid w:val="00C8739B"/>
    <w:rsid w:val="00C87C07"/>
    <w:rsid w:val="00C90B1C"/>
    <w:rsid w:val="00C91F90"/>
    <w:rsid w:val="00C92719"/>
    <w:rsid w:val="00C92CA3"/>
    <w:rsid w:val="00C932B7"/>
    <w:rsid w:val="00C932BA"/>
    <w:rsid w:val="00C936C0"/>
    <w:rsid w:val="00C94907"/>
    <w:rsid w:val="00C94922"/>
    <w:rsid w:val="00C94955"/>
    <w:rsid w:val="00C95018"/>
    <w:rsid w:val="00C95071"/>
    <w:rsid w:val="00C95D1F"/>
    <w:rsid w:val="00C96C08"/>
    <w:rsid w:val="00C970FF"/>
    <w:rsid w:val="00C9712E"/>
    <w:rsid w:val="00C97134"/>
    <w:rsid w:val="00C9743A"/>
    <w:rsid w:val="00CA029A"/>
    <w:rsid w:val="00CA02D1"/>
    <w:rsid w:val="00CA0D47"/>
    <w:rsid w:val="00CA107D"/>
    <w:rsid w:val="00CA143D"/>
    <w:rsid w:val="00CA15B8"/>
    <w:rsid w:val="00CA1717"/>
    <w:rsid w:val="00CA20BC"/>
    <w:rsid w:val="00CA29CF"/>
    <w:rsid w:val="00CA2B47"/>
    <w:rsid w:val="00CA2CD4"/>
    <w:rsid w:val="00CA301D"/>
    <w:rsid w:val="00CA3773"/>
    <w:rsid w:val="00CA388E"/>
    <w:rsid w:val="00CA3FB0"/>
    <w:rsid w:val="00CA4016"/>
    <w:rsid w:val="00CA428C"/>
    <w:rsid w:val="00CA473D"/>
    <w:rsid w:val="00CA485E"/>
    <w:rsid w:val="00CA4A08"/>
    <w:rsid w:val="00CA4BCC"/>
    <w:rsid w:val="00CA5253"/>
    <w:rsid w:val="00CA5802"/>
    <w:rsid w:val="00CA5F47"/>
    <w:rsid w:val="00CA6037"/>
    <w:rsid w:val="00CA6CF6"/>
    <w:rsid w:val="00CA705A"/>
    <w:rsid w:val="00CA70A8"/>
    <w:rsid w:val="00CA7353"/>
    <w:rsid w:val="00CA7AE3"/>
    <w:rsid w:val="00CA7B85"/>
    <w:rsid w:val="00CB014B"/>
    <w:rsid w:val="00CB080E"/>
    <w:rsid w:val="00CB1A92"/>
    <w:rsid w:val="00CB27A5"/>
    <w:rsid w:val="00CB33E9"/>
    <w:rsid w:val="00CB364C"/>
    <w:rsid w:val="00CB3884"/>
    <w:rsid w:val="00CB3EF0"/>
    <w:rsid w:val="00CB4125"/>
    <w:rsid w:val="00CB4A8C"/>
    <w:rsid w:val="00CB4D98"/>
    <w:rsid w:val="00CB4E53"/>
    <w:rsid w:val="00CB52D6"/>
    <w:rsid w:val="00CB5503"/>
    <w:rsid w:val="00CB5E44"/>
    <w:rsid w:val="00CB5EDE"/>
    <w:rsid w:val="00CB6429"/>
    <w:rsid w:val="00CB66FB"/>
    <w:rsid w:val="00CB67FE"/>
    <w:rsid w:val="00CB68FF"/>
    <w:rsid w:val="00CB6BD1"/>
    <w:rsid w:val="00CB75D1"/>
    <w:rsid w:val="00CB7DEF"/>
    <w:rsid w:val="00CB7E06"/>
    <w:rsid w:val="00CB7F8E"/>
    <w:rsid w:val="00CC0A0E"/>
    <w:rsid w:val="00CC12AA"/>
    <w:rsid w:val="00CC13C1"/>
    <w:rsid w:val="00CC1B8C"/>
    <w:rsid w:val="00CC1C1B"/>
    <w:rsid w:val="00CC1ED2"/>
    <w:rsid w:val="00CC1EF0"/>
    <w:rsid w:val="00CC1F91"/>
    <w:rsid w:val="00CC2068"/>
    <w:rsid w:val="00CC28A4"/>
    <w:rsid w:val="00CC2E1C"/>
    <w:rsid w:val="00CC352E"/>
    <w:rsid w:val="00CC35F4"/>
    <w:rsid w:val="00CC36A8"/>
    <w:rsid w:val="00CC3754"/>
    <w:rsid w:val="00CC3B18"/>
    <w:rsid w:val="00CC3DCC"/>
    <w:rsid w:val="00CC4296"/>
    <w:rsid w:val="00CC48DC"/>
    <w:rsid w:val="00CC4904"/>
    <w:rsid w:val="00CC4926"/>
    <w:rsid w:val="00CC4B02"/>
    <w:rsid w:val="00CC4F06"/>
    <w:rsid w:val="00CC5342"/>
    <w:rsid w:val="00CC5417"/>
    <w:rsid w:val="00CC5FF5"/>
    <w:rsid w:val="00CC6048"/>
    <w:rsid w:val="00CC6300"/>
    <w:rsid w:val="00CC67E6"/>
    <w:rsid w:val="00CC7818"/>
    <w:rsid w:val="00CC78CE"/>
    <w:rsid w:val="00CC7BB3"/>
    <w:rsid w:val="00CC7C16"/>
    <w:rsid w:val="00CC7D4B"/>
    <w:rsid w:val="00CD006A"/>
    <w:rsid w:val="00CD00BE"/>
    <w:rsid w:val="00CD037D"/>
    <w:rsid w:val="00CD0708"/>
    <w:rsid w:val="00CD0BB4"/>
    <w:rsid w:val="00CD107A"/>
    <w:rsid w:val="00CD18A8"/>
    <w:rsid w:val="00CD1B10"/>
    <w:rsid w:val="00CD1F77"/>
    <w:rsid w:val="00CD21AC"/>
    <w:rsid w:val="00CD2C59"/>
    <w:rsid w:val="00CD3E16"/>
    <w:rsid w:val="00CD40FC"/>
    <w:rsid w:val="00CD444E"/>
    <w:rsid w:val="00CD4D25"/>
    <w:rsid w:val="00CD4D2C"/>
    <w:rsid w:val="00CD52C6"/>
    <w:rsid w:val="00CD57C4"/>
    <w:rsid w:val="00CD5ECE"/>
    <w:rsid w:val="00CD6204"/>
    <w:rsid w:val="00CD6631"/>
    <w:rsid w:val="00CD665A"/>
    <w:rsid w:val="00CD7BC8"/>
    <w:rsid w:val="00CD7CD0"/>
    <w:rsid w:val="00CE0630"/>
    <w:rsid w:val="00CE186D"/>
    <w:rsid w:val="00CE1985"/>
    <w:rsid w:val="00CE2097"/>
    <w:rsid w:val="00CE2564"/>
    <w:rsid w:val="00CE360C"/>
    <w:rsid w:val="00CE41A9"/>
    <w:rsid w:val="00CE4486"/>
    <w:rsid w:val="00CE476F"/>
    <w:rsid w:val="00CE4A32"/>
    <w:rsid w:val="00CE4E65"/>
    <w:rsid w:val="00CE4EE4"/>
    <w:rsid w:val="00CE5487"/>
    <w:rsid w:val="00CE5D03"/>
    <w:rsid w:val="00CE5D33"/>
    <w:rsid w:val="00CE6032"/>
    <w:rsid w:val="00CE6369"/>
    <w:rsid w:val="00CE692C"/>
    <w:rsid w:val="00CE69D5"/>
    <w:rsid w:val="00CE723A"/>
    <w:rsid w:val="00CE74CA"/>
    <w:rsid w:val="00CE762F"/>
    <w:rsid w:val="00CE797D"/>
    <w:rsid w:val="00CE7B71"/>
    <w:rsid w:val="00CE7CBE"/>
    <w:rsid w:val="00CF05FB"/>
    <w:rsid w:val="00CF07B3"/>
    <w:rsid w:val="00CF0958"/>
    <w:rsid w:val="00CF0B51"/>
    <w:rsid w:val="00CF0CCD"/>
    <w:rsid w:val="00CF1569"/>
    <w:rsid w:val="00CF1AA3"/>
    <w:rsid w:val="00CF1B00"/>
    <w:rsid w:val="00CF1E38"/>
    <w:rsid w:val="00CF231B"/>
    <w:rsid w:val="00CF2E81"/>
    <w:rsid w:val="00CF2EB2"/>
    <w:rsid w:val="00CF32B0"/>
    <w:rsid w:val="00CF3382"/>
    <w:rsid w:val="00CF3927"/>
    <w:rsid w:val="00CF3AB7"/>
    <w:rsid w:val="00CF3B9D"/>
    <w:rsid w:val="00CF4825"/>
    <w:rsid w:val="00CF541F"/>
    <w:rsid w:val="00CF5F65"/>
    <w:rsid w:val="00CF5FBD"/>
    <w:rsid w:val="00CF601F"/>
    <w:rsid w:val="00CF60A7"/>
    <w:rsid w:val="00CF61FB"/>
    <w:rsid w:val="00CF62E4"/>
    <w:rsid w:val="00CF6D5C"/>
    <w:rsid w:val="00CF7038"/>
    <w:rsid w:val="00CF7215"/>
    <w:rsid w:val="00CF729C"/>
    <w:rsid w:val="00CF76CF"/>
    <w:rsid w:val="00CF7E89"/>
    <w:rsid w:val="00D00826"/>
    <w:rsid w:val="00D0134A"/>
    <w:rsid w:val="00D01549"/>
    <w:rsid w:val="00D015DA"/>
    <w:rsid w:val="00D01A01"/>
    <w:rsid w:val="00D01D1F"/>
    <w:rsid w:val="00D01DC4"/>
    <w:rsid w:val="00D01EA3"/>
    <w:rsid w:val="00D021C1"/>
    <w:rsid w:val="00D022A9"/>
    <w:rsid w:val="00D02EB5"/>
    <w:rsid w:val="00D03566"/>
    <w:rsid w:val="00D036C8"/>
    <w:rsid w:val="00D03A1B"/>
    <w:rsid w:val="00D03B1C"/>
    <w:rsid w:val="00D040F2"/>
    <w:rsid w:val="00D041C6"/>
    <w:rsid w:val="00D042F4"/>
    <w:rsid w:val="00D04AF7"/>
    <w:rsid w:val="00D054CC"/>
    <w:rsid w:val="00D05960"/>
    <w:rsid w:val="00D05ADC"/>
    <w:rsid w:val="00D05D0E"/>
    <w:rsid w:val="00D0622E"/>
    <w:rsid w:val="00D0637C"/>
    <w:rsid w:val="00D06440"/>
    <w:rsid w:val="00D06CE2"/>
    <w:rsid w:val="00D06DD6"/>
    <w:rsid w:val="00D06F0F"/>
    <w:rsid w:val="00D07339"/>
    <w:rsid w:val="00D07856"/>
    <w:rsid w:val="00D07879"/>
    <w:rsid w:val="00D07909"/>
    <w:rsid w:val="00D079C7"/>
    <w:rsid w:val="00D07A08"/>
    <w:rsid w:val="00D10023"/>
    <w:rsid w:val="00D10084"/>
    <w:rsid w:val="00D10449"/>
    <w:rsid w:val="00D10BB1"/>
    <w:rsid w:val="00D10FC7"/>
    <w:rsid w:val="00D111ED"/>
    <w:rsid w:val="00D11F03"/>
    <w:rsid w:val="00D12129"/>
    <w:rsid w:val="00D12686"/>
    <w:rsid w:val="00D137FF"/>
    <w:rsid w:val="00D13BB1"/>
    <w:rsid w:val="00D13DC3"/>
    <w:rsid w:val="00D13DFE"/>
    <w:rsid w:val="00D140AC"/>
    <w:rsid w:val="00D142D6"/>
    <w:rsid w:val="00D14B2E"/>
    <w:rsid w:val="00D156E2"/>
    <w:rsid w:val="00D15D64"/>
    <w:rsid w:val="00D161B4"/>
    <w:rsid w:val="00D164BB"/>
    <w:rsid w:val="00D16D21"/>
    <w:rsid w:val="00D1700B"/>
    <w:rsid w:val="00D17085"/>
    <w:rsid w:val="00D1727E"/>
    <w:rsid w:val="00D172FD"/>
    <w:rsid w:val="00D176F1"/>
    <w:rsid w:val="00D17AEC"/>
    <w:rsid w:val="00D2000E"/>
    <w:rsid w:val="00D20289"/>
    <w:rsid w:val="00D20530"/>
    <w:rsid w:val="00D207AC"/>
    <w:rsid w:val="00D20B74"/>
    <w:rsid w:val="00D20DF3"/>
    <w:rsid w:val="00D21155"/>
    <w:rsid w:val="00D212AB"/>
    <w:rsid w:val="00D216C0"/>
    <w:rsid w:val="00D21EB8"/>
    <w:rsid w:val="00D2242D"/>
    <w:rsid w:val="00D225DE"/>
    <w:rsid w:val="00D227E3"/>
    <w:rsid w:val="00D23166"/>
    <w:rsid w:val="00D231FC"/>
    <w:rsid w:val="00D23244"/>
    <w:rsid w:val="00D245B1"/>
    <w:rsid w:val="00D2538A"/>
    <w:rsid w:val="00D2565F"/>
    <w:rsid w:val="00D25ED9"/>
    <w:rsid w:val="00D25FA7"/>
    <w:rsid w:val="00D26507"/>
    <w:rsid w:val="00D26531"/>
    <w:rsid w:val="00D26F92"/>
    <w:rsid w:val="00D2758F"/>
    <w:rsid w:val="00D27A12"/>
    <w:rsid w:val="00D27BF2"/>
    <w:rsid w:val="00D27D9B"/>
    <w:rsid w:val="00D27F31"/>
    <w:rsid w:val="00D27F90"/>
    <w:rsid w:val="00D30112"/>
    <w:rsid w:val="00D30EE6"/>
    <w:rsid w:val="00D31213"/>
    <w:rsid w:val="00D31406"/>
    <w:rsid w:val="00D31715"/>
    <w:rsid w:val="00D31928"/>
    <w:rsid w:val="00D31AF3"/>
    <w:rsid w:val="00D31E60"/>
    <w:rsid w:val="00D32601"/>
    <w:rsid w:val="00D32C53"/>
    <w:rsid w:val="00D338C1"/>
    <w:rsid w:val="00D33C7B"/>
    <w:rsid w:val="00D33CEC"/>
    <w:rsid w:val="00D33D16"/>
    <w:rsid w:val="00D33EDD"/>
    <w:rsid w:val="00D347B1"/>
    <w:rsid w:val="00D349D9"/>
    <w:rsid w:val="00D34BE7"/>
    <w:rsid w:val="00D34E61"/>
    <w:rsid w:val="00D350AF"/>
    <w:rsid w:val="00D355DF"/>
    <w:rsid w:val="00D356C5"/>
    <w:rsid w:val="00D3580D"/>
    <w:rsid w:val="00D36213"/>
    <w:rsid w:val="00D362B8"/>
    <w:rsid w:val="00D3644E"/>
    <w:rsid w:val="00D36E75"/>
    <w:rsid w:val="00D3754C"/>
    <w:rsid w:val="00D375CB"/>
    <w:rsid w:val="00D37CF9"/>
    <w:rsid w:val="00D401A4"/>
    <w:rsid w:val="00D40213"/>
    <w:rsid w:val="00D4072A"/>
    <w:rsid w:val="00D407B6"/>
    <w:rsid w:val="00D40D40"/>
    <w:rsid w:val="00D40FA8"/>
    <w:rsid w:val="00D412E6"/>
    <w:rsid w:val="00D415E7"/>
    <w:rsid w:val="00D417DE"/>
    <w:rsid w:val="00D41A5B"/>
    <w:rsid w:val="00D42393"/>
    <w:rsid w:val="00D42888"/>
    <w:rsid w:val="00D42A10"/>
    <w:rsid w:val="00D42ACA"/>
    <w:rsid w:val="00D42C63"/>
    <w:rsid w:val="00D42D87"/>
    <w:rsid w:val="00D42DA4"/>
    <w:rsid w:val="00D43288"/>
    <w:rsid w:val="00D433B4"/>
    <w:rsid w:val="00D4350C"/>
    <w:rsid w:val="00D43636"/>
    <w:rsid w:val="00D43828"/>
    <w:rsid w:val="00D438B0"/>
    <w:rsid w:val="00D43BF9"/>
    <w:rsid w:val="00D43CF2"/>
    <w:rsid w:val="00D43D65"/>
    <w:rsid w:val="00D43DDB"/>
    <w:rsid w:val="00D442B5"/>
    <w:rsid w:val="00D446B1"/>
    <w:rsid w:val="00D4492F"/>
    <w:rsid w:val="00D44993"/>
    <w:rsid w:val="00D44A0A"/>
    <w:rsid w:val="00D44C02"/>
    <w:rsid w:val="00D44FC0"/>
    <w:rsid w:val="00D45844"/>
    <w:rsid w:val="00D45845"/>
    <w:rsid w:val="00D45B32"/>
    <w:rsid w:val="00D45C42"/>
    <w:rsid w:val="00D46E1F"/>
    <w:rsid w:val="00D47581"/>
    <w:rsid w:val="00D50042"/>
    <w:rsid w:val="00D50195"/>
    <w:rsid w:val="00D50B99"/>
    <w:rsid w:val="00D50C1D"/>
    <w:rsid w:val="00D51697"/>
    <w:rsid w:val="00D518E0"/>
    <w:rsid w:val="00D51E01"/>
    <w:rsid w:val="00D51F94"/>
    <w:rsid w:val="00D52164"/>
    <w:rsid w:val="00D522B2"/>
    <w:rsid w:val="00D524CA"/>
    <w:rsid w:val="00D525A1"/>
    <w:rsid w:val="00D5262A"/>
    <w:rsid w:val="00D52680"/>
    <w:rsid w:val="00D52D96"/>
    <w:rsid w:val="00D52FE1"/>
    <w:rsid w:val="00D5357C"/>
    <w:rsid w:val="00D53607"/>
    <w:rsid w:val="00D5382C"/>
    <w:rsid w:val="00D53926"/>
    <w:rsid w:val="00D53D24"/>
    <w:rsid w:val="00D541C9"/>
    <w:rsid w:val="00D54BAE"/>
    <w:rsid w:val="00D55D98"/>
    <w:rsid w:val="00D55F49"/>
    <w:rsid w:val="00D56018"/>
    <w:rsid w:val="00D560E7"/>
    <w:rsid w:val="00D56645"/>
    <w:rsid w:val="00D5694A"/>
    <w:rsid w:val="00D56CB5"/>
    <w:rsid w:val="00D56D78"/>
    <w:rsid w:val="00D56DD7"/>
    <w:rsid w:val="00D57329"/>
    <w:rsid w:val="00D579C1"/>
    <w:rsid w:val="00D579E1"/>
    <w:rsid w:val="00D57E44"/>
    <w:rsid w:val="00D6053C"/>
    <w:rsid w:val="00D619D3"/>
    <w:rsid w:val="00D61B68"/>
    <w:rsid w:val="00D61DA0"/>
    <w:rsid w:val="00D61F42"/>
    <w:rsid w:val="00D6250B"/>
    <w:rsid w:val="00D629EA"/>
    <w:rsid w:val="00D62E22"/>
    <w:rsid w:val="00D62F3C"/>
    <w:rsid w:val="00D63111"/>
    <w:rsid w:val="00D64067"/>
    <w:rsid w:val="00D641A6"/>
    <w:rsid w:val="00D6488A"/>
    <w:rsid w:val="00D65A14"/>
    <w:rsid w:val="00D66255"/>
    <w:rsid w:val="00D665C4"/>
    <w:rsid w:val="00D66B26"/>
    <w:rsid w:val="00D671F3"/>
    <w:rsid w:val="00D6723C"/>
    <w:rsid w:val="00D67A7D"/>
    <w:rsid w:val="00D67D36"/>
    <w:rsid w:val="00D70363"/>
    <w:rsid w:val="00D70D55"/>
    <w:rsid w:val="00D70D89"/>
    <w:rsid w:val="00D7104A"/>
    <w:rsid w:val="00D71096"/>
    <w:rsid w:val="00D71344"/>
    <w:rsid w:val="00D71A15"/>
    <w:rsid w:val="00D71C20"/>
    <w:rsid w:val="00D71EA2"/>
    <w:rsid w:val="00D7256F"/>
    <w:rsid w:val="00D73216"/>
    <w:rsid w:val="00D736B1"/>
    <w:rsid w:val="00D738A8"/>
    <w:rsid w:val="00D73FD0"/>
    <w:rsid w:val="00D74046"/>
    <w:rsid w:val="00D7425F"/>
    <w:rsid w:val="00D74977"/>
    <w:rsid w:val="00D74A99"/>
    <w:rsid w:val="00D75186"/>
    <w:rsid w:val="00D758A1"/>
    <w:rsid w:val="00D75941"/>
    <w:rsid w:val="00D75D7D"/>
    <w:rsid w:val="00D760AD"/>
    <w:rsid w:val="00D7654A"/>
    <w:rsid w:val="00D76A1B"/>
    <w:rsid w:val="00D76BA6"/>
    <w:rsid w:val="00D76C56"/>
    <w:rsid w:val="00D76CF9"/>
    <w:rsid w:val="00D800E2"/>
    <w:rsid w:val="00D80766"/>
    <w:rsid w:val="00D80792"/>
    <w:rsid w:val="00D80E01"/>
    <w:rsid w:val="00D81B02"/>
    <w:rsid w:val="00D820C5"/>
    <w:rsid w:val="00D82962"/>
    <w:rsid w:val="00D83017"/>
    <w:rsid w:val="00D830D5"/>
    <w:rsid w:val="00D83279"/>
    <w:rsid w:val="00D83646"/>
    <w:rsid w:val="00D839AD"/>
    <w:rsid w:val="00D84080"/>
    <w:rsid w:val="00D841B3"/>
    <w:rsid w:val="00D8425A"/>
    <w:rsid w:val="00D847BA"/>
    <w:rsid w:val="00D84DD4"/>
    <w:rsid w:val="00D85360"/>
    <w:rsid w:val="00D85A2D"/>
    <w:rsid w:val="00D85E1A"/>
    <w:rsid w:val="00D8617E"/>
    <w:rsid w:val="00D8672A"/>
    <w:rsid w:val="00D86957"/>
    <w:rsid w:val="00D86E59"/>
    <w:rsid w:val="00D87150"/>
    <w:rsid w:val="00D875DF"/>
    <w:rsid w:val="00D87F8F"/>
    <w:rsid w:val="00D9018A"/>
    <w:rsid w:val="00D9066C"/>
    <w:rsid w:val="00D9133F"/>
    <w:rsid w:val="00D916B2"/>
    <w:rsid w:val="00D917E1"/>
    <w:rsid w:val="00D919C5"/>
    <w:rsid w:val="00D91D73"/>
    <w:rsid w:val="00D92105"/>
    <w:rsid w:val="00D923B6"/>
    <w:rsid w:val="00D923BD"/>
    <w:rsid w:val="00D93159"/>
    <w:rsid w:val="00D9359E"/>
    <w:rsid w:val="00D939FB"/>
    <w:rsid w:val="00D93E0F"/>
    <w:rsid w:val="00D93F14"/>
    <w:rsid w:val="00D94081"/>
    <w:rsid w:val="00D9433F"/>
    <w:rsid w:val="00D94567"/>
    <w:rsid w:val="00D945B7"/>
    <w:rsid w:val="00D94A63"/>
    <w:rsid w:val="00D94F03"/>
    <w:rsid w:val="00D94F3D"/>
    <w:rsid w:val="00D95368"/>
    <w:rsid w:val="00D954E1"/>
    <w:rsid w:val="00D95EF7"/>
    <w:rsid w:val="00D962B4"/>
    <w:rsid w:val="00D96557"/>
    <w:rsid w:val="00D96774"/>
    <w:rsid w:val="00D96BE7"/>
    <w:rsid w:val="00D979A3"/>
    <w:rsid w:val="00D97AC2"/>
    <w:rsid w:val="00D97C72"/>
    <w:rsid w:val="00DA00F3"/>
    <w:rsid w:val="00DA06E9"/>
    <w:rsid w:val="00DA08AA"/>
    <w:rsid w:val="00DA1530"/>
    <w:rsid w:val="00DA1A6A"/>
    <w:rsid w:val="00DA1B7C"/>
    <w:rsid w:val="00DA1F7D"/>
    <w:rsid w:val="00DA2081"/>
    <w:rsid w:val="00DA24D2"/>
    <w:rsid w:val="00DA2598"/>
    <w:rsid w:val="00DA2D22"/>
    <w:rsid w:val="00DA307B"/>
    <w:rsid w:val="00DA31E3"/>
    <w:rsid w:val="00DA3787"/>
    <w:rsid w:val="00DA37F4"/>
    <w:rsid w:val="00DA3A7A"/>
    <w:rsid w:val="00DA400D"/>
    <w:rsid w:val="00DA4088"/>
    <w:rsid w:val="00DA49D1"/>
    <w:rsid w:val="00DA4BEB"/>
    <w:rsid w:val="00DA4D40"/>
    <w:rsid w:val="00DA5209"/>
    <w:rsid w:val="00DA55A0"/>
    <w:rsid w:val="00DA590A"/>
    <w:rsid w:val="00DA6749"/>
    <w:rsid w:val="00DA6987"/>
    <w:rsid w:val="00DA6AE0"/>
    <w:rsid w:val="00DA7319"/>
    <w:rsid w:val="00DA73BC"/>
    <w:rsid w:val="00DA7515"/>
    <w:rsid w:val="00DA7644"/>
    <w:rsid w:val="00DB0D5C"/>
    <w:rsid w:val="00DB0DF4"/>
    <w:rsid w:val="00DB102C"/>
    <w:rsid w:val="00DB131F"/>
    <w:rsid w:val="00DB1460"/>
    <w:rsid w:val="00DB25E8"/>
    <w:rsid w:val="00DB2F76"/>
    <w:rsid w:val="00DB3422"/>
    <w:rsid w:val="00DB38E9"/>
    <w:rsid w:val="00DB38F1"/>
    <w:rsid w:val="00DB3D1F"/>
    <w:rsid w:val="00DB444F"/>
    <w:rsid w:val="00DB471C"/>
    <w:rsid w:val="00DB495A"/>
    <w:rsid w:val="00DB4E7F"/>
    <w:rsid w:val="00DB510D"/>
    <w:rsid w:val="00DB51EE"/>
    <w:rsid w:val="00DB5A9E"/>
    <w:rsid w:val="00DB5F74"/>
    <w:rsid w:val="00DB6543"/>
    <w:rsid w:val="00DB6F89"/>
    <w:rsid w:val="00DB75C9"/>
    <w:rsid w:val="00DB76E2"/>
    <w:rsid w:val="00DC0124"/>
    <w:rsid w:val="00DC0472"/>
    <w:rsid w:val="00DC09B9"/>
    <w:rsid w:val="00DC0A71"/>
    <w:rsid w:val="00DC1164"/>
    <w:rsid w:val="00DC1CEC"/>
    <w:rsid w:val="00DC201A"/>
    <w:rsid w:val="00DC207B"/>
    <w:rsid w:val="00DC23A4"/>
    <w:rsid w:val="00DC283C"/>
    <w:rsid w:val="00DC38AC"/>
    <w:rsid w:val="00DC39F0"/>
    <w:rsid w:val="00DC3E89"/>
    <w:rsid w:val="00DC3F76"/>
    <w:rsid w:val="00DC420D"/>
    <w:rsid w:val="00DC4ACF"/>
    <w:rsid w:val="00DC4C2B"/>
    <w:rsid w:val="00DC4F78"/>
    <w:rsid w:val="00DC51A9"/>
    <w:rsid w:val="00DC55BC"/>
    <w:rsid w:val="00DC588A"/>
    <w:rsid w:val="00DC58DC"/>
    <w:rsid w:val="00DC599A"/>
    <w:rsid w:val="00DC5A1F"/>
    <w:rsid w:val="00DC5C16"/>
    <w:rsid w:val="00DC69D8"/>
    <w:rsid w:val="00DC6AE0"/>
    <w:rsid w:val="00DC6D6D"/>
    <w:rsid w:val="00DC6DC0"/>
    <w:rsid w:val="00DC7185"/>
    <w:rsid w:val="00DC72C4"/>
    <w:rsid w:val="00DC73DA"/>
    <w:rsid w:val="00DC760C"/>
    <w:rsid w:val="00DC7B04"/>
    <w:rsid w:val="00DD08A5"/>
    <w:rsid w:val="00DD0A08"/>
    <w:rsid w:val="00DD0E80"/>
    <w:rsid w:val="00DD0F13"/>
    <w:rsid w:val="00DD1065"/>
    <w:rsid w:val="00DD129F"/>
    <w:rsid w:val="00DD19CA"/>
    <w:rsid w:val="00DD1C5C"/>
    <w:rsid w:val="00DD1FDF"/>
    <w:rsid w:val="00DD2321"/>
    <w:rsid w:val="00DD26B8"/>
    <w:rsid w:val="00DD2EED"/>
    <w:rsid w:val="00DD3035"/>
    <w:rsid w:val="00DD3AF6"/>
    <w:rsid w:val="00DD3DD9"/>
    <w:rsid w:val="00DD40F9"/>
    <w:rsid w:val="00DD45A3"/>
    <w:rsid w:val="00DD4835"/>
    <w:rsid w:val="00DD4970"/>
    <w:rsid w:val="00DD4FEB"/>
    <w:rsid w:val="00DD503B"/>
    <w:rsid w:val="00DD529A"/>
    <w:rsid w:val="00DD53DE"/>
    <w:rsid w:val="00DD5769"/>
    <w:rsid w:val="00DD5E32"/>
    <w:rsid w:val="00DD6332"/>
    <w:rsid w:val="00DD6A52"/>
    <w:rsid w:val="00DD708D"/>
    <w:rsid w:val="00DD7C3B"/>
    <w:rsid w:val="00DD7FD4"/>
    <w:rsid w:val="00DE088C"/>
    <w:rsid w:val="00DE0D25"/>
    <w:rsid w:val="00DE0DD9"/>
    <w:rsid w:val="00DE135D"/>
    <w:rsid w:val="00DE1637"/>
    <w:rsid w:val="00DE199C"/>
    <w:rsid w:val="00DE2241"/>
    <w:rsid w:val="00DE39EF"/>
    <w:rsid w:val="00DE3B75"/>
    <w:rsid w:val="00DE42D2"/>
    <w:rsid w:val="00DE45E3"/>
    <w:rsid w:val="00DE4844"/>
    <w:rsid w:val="00DE598D"/>
    <w:rsid w:val="00DE5D95"/>
    <w:rsid w:val="00DE5DE1"/>
    <w:rsid w:val="00DE6CD0"/>
    <w:rsid w:val="00DE6FE6"/>
    <w:rsid w:val="00DE716B"/>
    <w:rsid w:val="00DF101B"/>
    <w:rsid w:val="00DF114C"/>
    <w:rsid w:val="00DF11A5"/>
    <w:rsid w:val="00DF1770"/>
    <w:rsid w:val="00DF1863"/>
    <w:rsid w:val="00DF1F05"/>
    <w:rsid w:val="00DF27B9"/>
    <w:rsid w:val="00DF2A90"/>
    <w:rsid w:val="00DF2E29"/>
    <w:rsid w:val="00DF3517"/>
    <w:rsid w:val="00DF40E2"/>
    <w:rsid w:val="00DF4147"/>
    <w:rsid w:val="00DF4F22"/>
    <w:rsid w:val="00DF520E"/>
    <w:rsid w:val="00DF57F1"/>
    <w:rsid w:val="00DF592C"/>
    <w:rsid w:val="00DF5DD3"/>
    <w:rsid w:val="00DF6308"/>
    <w:rsid w:val="00DF647F"/>
    <w:rsid w:val="00DF64A6"/>
    <w:rsid w:val="00DF73F5"/>
    <w:rsid w:val="00DF73F9"/>
    <w:rsid w:val="00DF78F3"/>
    <w:rsid w:val="00DF7B71"/>
    <w:rsid w:val="00DF7C33"/>
    <w:rsid w:val="00DF7DAB"/>
    <w:rsid w:val="00DF7F5F"/>
    <w:rsid w:val="00E01073"/>
    <w:rsid w:val="00E014DF"/>
    <w:rsid w:val="00E01FB0"/>
    <w:rsid w:val="00E02E1E"/>
    <w:rsid w:val="00E0300E"/>
    <w:rsid w:val="00E0381D"/>
    <w:rsid w:val="00E03BE1"/>
    <w:rsid w:val="00E03E5F"/>
    <w:rsid w:val="00E03FED"/>
    <w:rsid w:val="00E04484"/>
    <w:rsid w:val="00E045AB"/>
    <w:rsid w:val="00E04A80"/>
    <w:rsid w:val="00E04E5D"/>
    <w:rsid w:val="00E053C2"/>
    <w:rsid w:val="00E05428"/>
    <w:rsid w:val="00E0560A"/>
    <w:rsid w:val="00E062A4"/>
    <w:rsid w:val="00E064B3"/>
    <w:rsid w:val="00E069FD"/>
    <w:rsid w:val="00E06A2B"/>
    <w:rsid w:val="00E06F3A"/>
    <w:rsid w:val="00E07256"/>
    <w:rsid w:val="00E07750"/>
    <w:rsid w:val="00E1010F"/>
    <w:rsid w:val="00E102C8"/>
    <w:rsid w:val="00E10AF0"/>
    <w:rsid w:val="00E10D36"/>
    <w:rsid w:val="00E10FC8"/>
    <w:rsid w:val="00E1114A"/>
    <w:rsid w:val="00E114F3"/>
    <w:rsid w:val="00E115B5"/>
    <w:rsid w:val="00E1182D"/>
    <w:rsid w:val="00E121DA"/>
    <w:rsid w:val="00E122EE"/>
    <w:rsid w:val="00E127B6"/>
    <w:rsid w:val="00E128B4"/>
    <w:rsid w:val="00E12963"/>
    <w:rsid w:val="00E12A0E"/>
    <w:rsid w:val="00E12C2A"/>
    <w:rsid w:val="00E130C7"/>
    <w:rsid w:val="00E13637"/>
    <w:rsid w:val="00E13AB7"/>
    <w:rsid w:val="00E1456D"/>
    <w:rsid w:val="00E14BCB"/>
    <w:rsid w:val="00E1538D"/>
    <w:rsid w:val="00E15A6B"/>
    <w:rsid w:val="00E15B02"/>
    <w:rsid w:val="00E167E0"/>
    <w:rsid w:val="00E16A3D"/>
    <w:rsid w:val="00E17113"/>
    <w:rsid w:val="00E17CB0"/>
    <w:rsid w:val="00E17CE4"/>
    <w:rsid w:val="00E17F1C"/>
    <w:rsid w:val="00E17FDB"/>
    <w:rsid w:val="00E201D4"/>
    <w:rsid w:val="00E2056C"/>
    <w:rsid w:val="00E20667"/>
    <w:rsid w:val="00E209FF"/>
    <w:rsid w:val="00E20C98"/>
    <w:rsid w:val="00E20CCA"/>
    <w:rsid w:val="00E2133C"/>
    <w:rsid w:val="00E2188D"/>
    <w:rsid w:val="00E21AB9"/>
    <w:rsid w:val="00E21EC0"/>
    <w:rsid w:val="00E21F93"/>
    <w:rsid w:val="00E22695"/>
    <w:rsid w:val="00E226B4"/>
    <w:rsid w:val="00E226E6"/>
    <w:rsid w:val="00E2288A"/>
    <w:rsid w:val="00E22999"/>
    <w:rsid w:val="00E2365A"/>
    <w:rsid w:val="00E23A42"/>
    <w:rsid w:val="00E23D3D"/>
    <w:rsid w:val="00E23EB8"/>
    <w:rsid w:val="00E240AF"/>
    <w:rsid w:val="00E241C1"/>
    <w:rsid w:val="00E24838"/>
    <w:rsid w:val="00E253AE"/>
    <w:rsid w:val="00E25749"/>
    <w:rsid w:val="00E25AB1"/>
    <w:rsid w:val="00E261A6"/>
    <w:rsid w:val="00E26213"/>
    <w:rsid w:val="00E26626"/>
    <w:rsid w:val="00E26858"/>
    <w:rsid w:val="00E26A32"/>
    <w:rsid w:val="00E26C69"/>
    <w:rsid w:val="00E26D19"/>
    <w:rsid w:val="00E26EE7"/>
    <w:rsid w:val="00E2740F"/>
    <w:rsid w:val="00E27E44"/>
    <w:rsid w:val="00E3002A"/>
    <w:rsid w:val="00E300FB"/>
    <w:rsid w:val="00E30329"/>
    <w:rsid w:val="00E307A0"/>
    <w:rsid w:val="00E30EFB"/>
    <w:rsid w:val="00E30F29"/>
    <w:rsid w:val="00E310FC"/>
    <w:rsid w:val="00E318B4"/>
    <w:rsid w:val="00E31FD8"/>
    <w:rsid w:val="00E3204B"/>
    <w:rsid w:val="00E32622"/>
    <w:rsid w:val="00E33151"/>
    <w:rsid w:val="00E33770"/>
    <w:rsid w:val="00E33DE0"/>
    <w:rsid w:val="00E33F54"/>
    <w:rsid w:val="00E341D3"/>
    <w:rsid w:val="00E3427C"/>
    <w:rsid w:val="00E34429"/>
    <w:rsid w:val="00E345AA"/>
    <w:rsid w:val="00E3483E"/>
    <w:rsid w:val="00E35E2F"/>
    <w:rsid w:val="00E36247"/>
    <w:rsid w:val="00E36770"/>
    <w:rsid w:val="00E36859"/>
    <w:rsid w:val="00E3724B"/>
    <w:rsid w:val="00E374EA"/>
    <w:rsid w:val="00E37BF5"/>
    <w:rsid w:val="00E4013B"/>
    <w:rsid w:val="00E40770"/>
    <w:rsid w:val="00E40A19"/>
    <w:rsid w:val="00E40E02"/>
    <w:rsid w:val="00E417F5"/>
    <w:rsid w:val="00E4199A"/>
    <w:rsid w:val="00E41C1A"/>
    <w:rsid w:val="00E425E0"/>
    <w:rsid w:val="00E427FB"/>
    <w:rsid w:val="00E42899"/>
    <w:rsid w:val="00E42A94"/>
    <w:rsid w:val="00E42FA4"/>
    <w:rsid w:val="00E433D7"/>
    <w:rsid w:val="00E43607"/>
    <w:rsid w:val="00E4393C"/>
    <w:rsid w:val="00E44149"/>
    <w:rsid w:val="00E44235"/>
    <w:rsid w:val="00E44361"/>
    <w:rsid w:val="00E4455E"/>
    <w:rsid w:val="00E448C6"/>
    <w:rsid w:val="00E44A5E"/>
    <w:rsid w:val="00E44B5C"/>
    <w:rsid w:val="00E44B67"/>
    <w:rsid w:val="00E44E7D"/>
    <w:rsid w:val="00E45750"/>
    <w:rsid w:val="00E458C8"/>
    <w:rsid w:val="00E45980"/>
    <w:rsid w:val="00E45E8A"/>
    <w:rsid w:val="00E46A1D"/>
    <w:rsid w:val="00E46AF1"/>
    <w:rsid w:val="00E46B0F"/>
    <w:rsid w:val="00E46FF9"/>
    <w:rsid w:val="00E472DE"/>
    <w:rsid w:val="00E477B0"/>
    <w:rsid w:val="00E47A53"/>
    <w:rsid w:val="00E47F4A"/>
    <w:rsid w:val="00E50CFE"/>
    <w:rsid w:val="00E50E9E"/>
    <w:rsid w:val="00E511C4"/>
    <w:rsid w:val="00E512AB"/>
    <w:rsid w:val="00E51802"/>
    <w:rsid w:val="00E51E57"/>
    <w:rsid w:val="00E52313"/>
    <w:rsid w:val="00E531BC"/>
    <w:rsid w:val="00E53413"/>
    <w:rsid w:val="00E53D32"/>
    <w:rsid w:val="00E53F33"/>
    <w:rsid w:val="00E543B8"/>
    <w:rsid w:val="00E544D6"/>
    <w:rsid w:val="00E55B61"/>
    <w:rsid w:val="00E55FD1"/>
    <w:rsid w:val="00E5612D"/>
    <w:rsid w:val="00E56935"/>
    <w:rsid w:val="00E56C04"/>
    <w:rsid w:val="00E56C1E"/>
    <w:rsid w:val="00E56D1E"/>
    <w:rsid w:val="00E56EA4"/>
    <w:rsid w:val="00E579CE"/>
    <w:rsid w:val="00E57B0D"/>
    <w:rsid w:val="00E57FB7"/>
    <w:rsid w:val="00E6024B"/>
    <w:rsid w:val="00E60463"/>
    <w:rsid w:val="00E60599"/>
    <w:rsid w:val="00E610CE"/>
    <w:rsid w:val="00E6123D"/>
    <w:rsid w:val="00E613B0"/>
    <w:rsid w:val="00E6186D"/>
    <w:rsid w:val="00E61948"/>
    <w:rsid w:val="00E6253E"/>
    <w:rsid w:val="00E6292E"/>
    <w:rsid w:val="00E63DF2"/>
    <w:rsid w:val="00E65612"/>
    <w:rsid w:val="00E657D3"/>
    <w:rsid w:val="00E65A7D"/>
    <w:rsid w:val="00E65E18"/>
    <w:rsid w:val="00E65E9B"/>
    <w:rsid w:val="00E66323"/>
    <w:rsid w:val="00E66CA7"/>
    <w:rsid w:val="00E66DB5"/>
    <w:rsid w:val="00E6719C"/>
    <w:rsid w:val="00E67EC5"/>
    <w:rsid w:val="00E70227"/>
    <w:rsid w:val="00E70310"/>
    <w:rsid w:val="00E70766"/>
    <w:rsid w:val="00E70893"/>
    <w:rsid w:val="00E70CC5"/>
    <w:rsid w:val="00E70EDD"/>
    <w:rsid w:val="00E7187E"/>
    <w:rsid w:val="00E71894"/>
    <w:rsid w:val="00E718E7"/>
    <w:rsid w:val="00E719F7"/>
    <w:rsid w:val="00E71C32"/>
    <w:rsid w:val="00E72166"/>
    <w:rsid w:val="00E7232B"/>
    <w:rsid w:val="00E7284A"/>
    <w:rsid w:val="00E72EA8"/>
    <w:rsid w:val="00E72EED"/>
    <w:rsid w:val="00E732F4"/>
    <w:rsid w:val="00E73938"/>
    <w:rsid w:val="00E73DCD"/>
    <w:rsid w:val="00E73F5D"/>
    <w:rsid w:val="00E74080"/>
    <w:rsid w:val="00E742B5"/>
    <w:rsid w:val="00E7468E"/>
    <w:rsid w:val="00E74798"/>
    <w:rsid w:val="00E748EE"/>
    <w:rsid w:val="00E75B6E"/>
    <w:rsid w:val="00E76030"/>
    <w:rsid w:val="00E76359"/>
    <w:rsid w:val="00E76BD1"/>
    <w:rsid w:val="00E771E1"/>
    <w:rsid w:val="00E77A30"/>
    <w:rsid w:val="00E77B3F"/>
    <w:rsid w:val="00E77C2E"/>
    <w:rsid w:val="00E77F5B"/>
    <w:rsid w:val="00E80350"/>
    <w:rsid w:val="00E806A9"/>
    <w:rsid w:val="00E8093D"/>
    <w:rsid w:val="00E80A8E"/>
    <w:rsid w:val="00E811A9"/>
    <w:rsid w:val="00E817D6"/>
    <w:rsid w:val="00E81B4E"/>
    <w:rsid w:val="00E81F23"/>
    <w:rsid w:val="00E82227"/>
    <w:rsid w:val="00E82444"/>
    <w:rsid w:val="00E824CE"/>
    <w:rsid w:val="00E82DDD"/>
    <w:rsid w:val="00E836C7"/>
    <w:rsid w:val="00E83E04"/>
    <w:rsid w:val="00E840A2"/>
    <w:rsid w:val="00E840EE"/>
    <w:rsid w:val="00E84292"/>
    <w:rsid w:val="00E842F9"/>
    <w:rsid w:val="00E848A8"/>
    <w:rsid w:val="00E84AFE"/>
    <w:rsid w:val="00E84BD6"/>
    <w:rsid w:val="00E85167"/>
    <w:rsid w:val="00E8539D"/>
    <w:rsid w:val="00E866ED"/>
    <w:rsid w:val="00E8684E"/>
    <w:rsid w:val="00E86B22"/>
    <w:rsid w:val="00E8747E"/>
    <w:rsid w:val="00E906E7"/>
    <w:rsid w:val="00E90ABD"/>
    <w:rsid w:val="00E913BA"/>
    <w:rsid w:val="00E9147C"/>
    <w:rsid w:val="00E91526"/>
    <w:rsid w:val="00E91A31"/>
    <w:rsid w:val="00E92187"/>
    <w:rsid w:val="00E923D9"/>
    <w:rsid w:val="00E923F3"/>
    <w:rsid w:val="00E92400"/>
    <w:rsid w:val="00E94179"/>
    <w:rsid w:val="00E94502"/>
    <w:rsid w:val="00E94838"/>
    <w:rsid w:val="00E94C90"/>
    <w:rsid w:val="00E94D2E"/>
    <w:rsid w:val="00E95B1F"/>
    <w:rsid w:val="00E95BA0"/>
    <w:rsid w:val="00E961B5"/>
    <w:rsid w:val="00E96219"/>
    <w:rsid w:val="00E96563"/>
    <w:rsid w:val="00E96A7D"/>
    <w:rsid w:val="00E96B0D"/>
    <w:rsid w:val="00E96C85"/>
    <w:rsid w:val="00E9734D"/>
    <w:rsid w:val="00E973ED"/>
    <w:rsid w:val="00E974B2"/>
    <w:rsid w:val="00E975AD"/>
    <w:rsid w:val="00E9765C"/>
    <w:rsid w:val="00E97CF3"/>
    <w:rsid w:val="00E97D52"/>
    <w:rsid w:val="00E97E94"/>
    <w:rsid w:val="00EA00CC"/>
    <w:rsid w:val="00EA0837"/>
    <w:rsid w:val="00EA0876"/>
    <w:rsid w:val="00EA09A9"/>
    <w:rsid w:val="00EA0D51"/>
    <w:rsid w:val="00EA10F6"/>
    <w:rsid w:val="00EA1257"/>
    <w:rsid w:val="00EA1DC9"/>
    <w:rsid w:val="00EA23AC"/>
    <w:rsid w:val="00EA2452"/>
    <w:rsid w:val="00EA2595"/>
    <w:rsid w:val="00EA356E"/>
    <w:rsid w:val="00EA3AE9"/>
    <w:rsid w:val="00EA3AEF"/>
    <w:rsid w:val="00EA3FE0"/>
    <w:rsid w:val="00EA4370"/>
    <w:rsid w:val="00EA476E"/>
    <w:rsid w:val="00EA48A6"/>
    <w:rsid w:val="00EA4D6D"/>
    <w:rsid w:val="00EA5439"/>
    <w:rsid w:val="00EA5B30"/>
    <w:rsid w:val="00EA5E8D"/>
    <w:rsid w:val="00EA5FF9"/>
    <w:rsid w:val="00EA62AC"/>
    <w:rsid w:val="00EA6760"/>
    <w:rsid w:val="00EA68C2"/>
    <w:rsid w:val="00EA68EE"/>
    <w:rsid w:val="00EA69D0"/>
    <w:rsid w:val="00EA6B4D"/>
    <w:rsid w:val="00EA6B72"/>
    <w:rsid w:val="00EA761D"/>
    <w:rsid w:val="00EA7750"/>
    <w:rsid w:val="00EA7C86"/>
    <w:rsid w:val="00EB0477"/>
    <w:rsid w:val="00EB0764"/>
    <w:rsid w:val="00EB0A89"/>
    <w:rsid w:val="00EB0C77"/>
    <w:rsid w:val="00EB0EAC"/>
    <w:rsid w:val="00EB1866"/>
    <w:rsid w:val="00EB1891"/>
    <w:rsid w:val="00EB199B"/>
    <w:rsid w:val="00EB2A7C"/>
    <w:rsid w:val="00EB2D89"/>
    <w:rsid w:val="00EB2DD2"/>
    <w:rsid w:val="00EB2E7B"/>
    <w:rsid w:val="00EB30B7"/>
    <w:rsid w:val="00EB310A"/>
    <w:rsid w:val="00EB311D"/>
    <w:rsid w:val="00EB344B"/>
    <w:rsid w:val="00EB3D8B"/>
    <w:rsid w:val="00EB3F5B"/>
    <w:rsid w:val="00EB460D"/>
    <w:rsid w:val="00EB46D0"/>
    <w:rsid w:val="00EB473E"/>
    <w:rsid w:val="00EB51EE"/>
    <w:rsid w:val="00EB5416"/>
    <w:rsid w:val="00EB562F"/>
    <w:rsid w:val="00EB638A"/>
    <w:rsid w:val="00EB6471"/>
    <w:rsid w:val="00EB76C4"/>
    <w:rsid w:val="00EB7DFA"/>
    <w:rsid w:val="00EC011B"/>
    <w:rsid w:val="00EC04CD"/>
    <w:rsid w:val="00EC0693"/>
    <w:rsid w:val="00EC0FC9"/>
    <w:rsid w:val="00EC1181"/>
    <w:rsid w:val="00EC1220"/>
    <w:rsid w:val="00EC1230"/>
    <w:rsid w:val="00EC1779"/>
    <w:rsid w:val="00EC1B5D"/>
    <w:rsid w:val="00EC1C5C"/>
    <w:rsid w:val="00EC2438"/>
    <w:rsid w:val="00EC25A1"/>
    <w:rsid w:val="00EC2804"/>
    <w:rsid w:val="00EC387B"/>
    <w:rsid w:val="00EC4645"/>
    <w:rsid w:val="00EC4B65"/>
    <w:rsid w:val="00EC4E57"/>
    <w:rsid w:val="00EC5058"/>
    <w:rsid w:val="00EC5340"/>
    <w:rsid w:val="00EC534B"/>
    <w:rsid w:val="00EC6120"/>
    <w:rsid w:val="00EC6791"/>
    <w:rsid w:val="00EC6B27"/>
    <w:rsid w:val="00EC6E16"/>
    <w:rsid w:val="00EC6EC5"/>
    <w:rsid w:val="00EC6ED5"/>
    <w:rsid w:val="00EC75BA"/>
    <w:rsid w:val="00EC763A"/>
    <w:rsid w:val="00ED0161"/>
    <w:rsid w:val="00ED08A6"/>
    <w:rsid w:val="00ED0A0E"/>
    <w:rsid w:val="00ED0B8E"/>
    <w:rsid w:val="00ED105E"/>
    <w:rsid w:val="00ED1079"/>
    <w:rsid w:val="00ED110D"/>
    <w:rsid w:val="00ED1829"/>
    <w:rsid w:val="00ED1BC6"/>
    <w:rsid w:val="00ED1D16"/>
    <w:rsid w:val="00ED2025"/>
    <w:rsid w:val="00ED2650"/>
    <w:rsid w:val="00ED2827"/>
    <w:rsid w:val="00ED2FEB"/>
    <w:rsid w:val="00ED31E4"/>
    <w:rsid w:val="00ED3BC2"/>
    <w:rsid w:val="00ED3C98"/>
    <w:rsid w:val="00ED3E4D"/>
    <w:rsid w:val="00ED4615"/>
    <w:rsid w:val="00ED4DE3"/>
    <w:rsid w:val="00ED5B40"/>
    <w:rsid w:val="00ED64C7"/>
    <w:rsid w:val="00ED659A"/>
    <w:rsid w:val="00ED6696"/>
    <w:rsid w:val="00ED671E"/>
    <w:rsid w:val="00ED7274"/>
    <w:rsid w:val="00ED740D"/>
    <w:rsid w:val="00EE059A"/>
    <w:rsid w:val="00EE0611"/>
    <w:rsid w:val="00EE0B7D"/>
    <w:rsid w:val="00EE1845"/>
    <w:rsid w:val="00EE19EB"/>
    <w:rsid w:val="00EE212F"/>
    <w:rsid w:val="00EE22F5"/>
    <w:rsid w:val="00EE23DF"/>
    <w:rsid w:val="00EE2461"/>
    <w:rsid w:val="00EE26C5"/>
    <w:rsid w:val="00EE2707"/>
    <w:rsid w:val="00EE3024"/>
    <w:rsid w:val="00EE37A3"/>
    <w:rsid w:val="00EE3FBA"/>
    <w:rsid w:val="00EE4347"/>
    <w:rsid w:val="00EE43C5"/>
    <w:rsid w:val="00EE458F"/>
    <w:rsid w:val="00EE46C4"/>
    <w:rsid w:val="00EE4822"/>
    <w:rsid w:val="00EE4EFE"/>
    <w:rsid w:val="00EE5550"/>
    <w:rsid w:val="00EE5668"/>
    <w:rsid w:val="00EE5980"/>
    <w:rsid w:val="00EE5B84"/>
    <w:rsid w:val="00EE5D38"/>
    <w:rsid w:val="00EE5EFF"/>
    <w:rsid w:val="00EE61BA"/>
    <w:rsid w:val="00EE6487"/>
    <w:rsid w:val="00EE65BA"/>
    <w:rsid w:val="00EE66E5"/>
    <w:rsid w:val="00EE6A2E"/>
    <w:rsid w:val="00EE6D70"/>
    <w:rsid w:val="00EE7030"/>
    <w:rsid w:val="00EE7273"/>
    <w:rsid w:val="00EE72C6"/>
    <w:rsid w:val="00EE7814"/>
    <w:rsid w:val="00EF00C3"/>
    <w:rsid w:val="00EF113E"/>
    <w:rsid w:val="00EF11AF"/>
    <w:rsid w:val="00EF1366"/>
    <w:rsid w:val="00EF1594"/>
    <w:rsid w:val="00EF15DF"/>
    <w:rsid w:val="00EF1C9B"/>
    <w:rsid w:val="00EF1D4F"/>
    <w:rsid w:val="00EF1DF1"/>
    <w:rsid w:val="00EF1EAE"/>
    <w:rsid w:val="00EF20C7"/>
    <w:rsid w:val="00EF2184"/>
    <w:rsid w:val="00EF225A"/>
    <w:rsid w:val="00EF2721"/>
    <w:rsid w:val="00EF2BAE"/>
    <w:rsid w:val="00EF2E2A"/>
    <w:rsid w:val="00EF2F3B"/>
    <w:rsid w:val="00EF3591"/>
    <w:rsid w:val="00EF370D"/>
    <w:rsid w:val="00EF3AB2"/>
    <w:rsid w:val="00EF3E99"/>
    <w:rsid w:val="00EF4303"/>
    <w:rsid w:val="00EF446A"/>
    <w:rsid w:val="00EF471F"/>
    <w:rsid w:val="00EF4A27"/>
    <w:rsid w:val="00EF4E34"/>
    <w:rsid w:val="00EF5013"/>
    <w:rsid w:val="00EF61EE"/>
    <w:rsid w:val="00EF63B7"/>
    <w:rsid w:val="00EF6A22"/>
    <w:rsid w:val="00EF6B47"/>
    <w:rsid w:val="00EF788F"/>
    <w:rsid w:val="00F0004B"/>
    <w:rsid w:val="00F000C3"/>
    <w:rsid w:val="00F00579"/>
    <w:rsid w:val="00F0142C"/>
    <w:rsid w:val="00F01691"/>
    <w:rsid w:val="00F01A67"/>
    <w:rsid w:val="00F01CCC"/>
    <w:rsid w:val="00F01CED"/>
    <w:rsid w:val="00F021AF"/>
    <w:rsid w:val="00F02296"/>
    <w:rsid w:val="00F0237E"/>
    <w:rsid w:val="00F02B60"/>
    <w:rsid w:val="00F02D76"/>
    <w:rsid w:val="00F03240"/>
    <w:rsid w:val="00F03512"/>
    <w:rsid w:val="00F03A2F"/>
    <w:rsid w:val="00F03F30"/>
    <w:rsid w:val="00F04173"/>
    <w:rsid w:val="00F0442E"/>
    <w:rsid w:val="00F04800"/>
    <w:rsid w:val="00F051DD"/>
    <w:rsid w:val="00F05571"/>
    <w:rsid w:val="00F056FA"/>
    <w:rsid w:val="00F0674D"/>
    <w:rsid w:val="00F06772"/>
    <w:rsid w:val="00F0697B"/>
    <w:rsid w:val="00F06998"/>
    <w:rsid w:val="00F0713A"/>
    <w:rsid w:val="00F07329"/>
    <w:rsid w:val="00F07366"/>
    <w:rsid w:val="00F07935"/>
    <w:rsid w:val="00F079B6"/>
    <w:rsid w:val="00F07ABF"/>
    <w:rsid w:val="00F07C5C"/>
    <w:rsid w:val="00F100C8"/>
    <w:rsid w:val="00F101BD"/>
    <w:rsid w:val="00F102EC"/>
    <w:rsid w:val="00F1077E"/>
    <w:rsid w:val="00F108DB"/>
    <w:rsid w:val="00F10BC2"/>
    <w:rsid w:val="00F111C0"/>
    <w:rsid w:val="00F11B5A"/>
    <w:rsid w:val="00F11D6A"/>
    <w:rsid w:val="00F11FB6"/>
    <w:rsid w:val="00F1229B"/>
    <w:rsid w:val="00F1239D"/>
    <w:rsid w:val="00F12647"/>
    <w:rsid w:val="00F128D5"/>
    <w:rsid w:val="00F12BF0"/>
    <w:rsid w:val="00F135A2"/>
    <w:rsid w:val="00F137D5"/>
    <w:rsid w:val="00F13E6A"/>
    <w:rsid w:val="00F13EA4"/>
    <w:rsid w:val="00F1438D"/>
    <w:rsid w:val="00F14648"/>
    <w:rsid w:val="00F1474E"/>
    <w:rsid w:val="00F15470"/>
    <w:rsid w:val="00F1574D"/>
    <w:rsid w:val="00F15847"/>
    <w:rsid w:val="00F158D6"/>
    <w:rsid w:val="00F16090"/>
    <w:rsid w:val="00F1641B"/>
    <w:rsid w:val="00F17884"/>
    <w:rsid w:val="00F17AB6"/>
    <w:rsid w:val="00F20045"/>
    <w:rsid w:val="00F204F8"/>
    <w:rsid w:val="00F209A8"/>
    <w:rsid w:val="00F20C65"/>
    <w:rsid w:val="00F20F35"/>
    <w:rsid w:val="00F2126E"/>
    <w:rsid w:val="00F21389"/>
    <w:rsid w:val="00F21A07"/>
    <w:rsid w:val="00F21B34"/>
    <w:rsid w:val="00F21EB4"/>
    <w:rsid w:val="00F2218B"/>
    <w:rsid w:val="00F2246B"/>
    <w:rsid w:val="00F227DE"/>
    <w:rsid w:val="00F227F3"/>
    <w:rsid w:val="00F2289B"/>
    <w:rsid w:val="00F22DFB"/>
    <w:rsid w:val="00F232D6"/>
    <w:rsid w:val="00F23C10"/>
    <w:rsid w:val="00F240BD"/>
    <w:rsid w:val="00F243A5"/>
    <w:rsid w:val="00F24450"/>
    <w:rsid w:val="00F24EA9"/>
    <w:rsid w:val="00F2522A"/>
    <w:rsid w:val="00F252CF"/>
    <w:rsid w:val="00F254D3"/>
    <w:rsid w:val="00F25891"/>
    <w:rsid w:val="00F25B4F"/>
    <w:rsid w:val="00F2652D"/>
    <w:rsid w:val="00F269AD"/>
    <w:rsid w:val="00F26C1B"/>
    <w:rsid w:val="00F272F1"/>
    <w:rsid w:val="00F2794C"/>
    <w:rsid w:val="00F27A3E"/>
    <w:rsid w:val="00F27A91"/>
    <w:rsid w:val="00F304C8"/>
    <w:rsid w:val="00F3148E"/>
    <w:rsid w:val="00F31F82"/>
    <w:rsid w:val="00F328AF"/>
    <w:rsid w:val="00F32D22"/>
    <w:rsid w:val="00F33378"/>
    <w:rsid w:val="00F3351E"/>
    <w:rsid w:val="00F33B6E"/>
    <w:rsid w:val="00F33BD2"/>
    <w:rsid w:val="00F33BD7"/>
    <w:rsid w:val="00F33D2D"/>
    <w:rsid w:val="00F341C1"/>
    <w:rsid w:val="00F343F5"/>
    <w:rsid w:val="00F3446D"/>
    <w:rsid w:val="00F34820"/>
    <w:rsid w:val="00F34B7E"/>
    <w:rsid w:val="00F35447"/>
    <w:rsid w:val="00F357EE"/>
    <w:rsid w:val="00F35BB1"/>
    <w:rsid w:val="00F36267"/>
    <w:rsid w:val="00F36504"/>
    <w:rsid w:val="00F365CD"/>
    <w:rsid w:val="00F36C65"/>
    <w:rsid w:val="00F36CD5"/>
    <w:rsid w:val="00F37170"/>
    <w:rsid w:val="00F37B39"/>
    <w:rsid w:val="00F37F44"/>
    <w:rsid w:val="00F40309"/>
    <w:rsid w:val="00F408BD"/>
    <w:rsid w:val="00F40DBD"/>
    <w:rsid w:val="00F40E33"/>
    <w:rsid w:val="00F41199"/>
    <w:rsid w:val="00F41797"/>
    <w:rsid w:val="00F417C4"/>
    <w:rsid w:val="00F42A2A"/>
    <w:rsid w:val="00F42B76"/>
    <w:rsid w:val="00F42C1A"/>
    <w:rsid w:val="00F42F8C"/>
    <w:rsid w:val="00F43483"/>
    <w:rsid w:val="00F43550"/>
    <w:rsid w:val="00F435A2"/>
    <w:rsid w:val="00F4389E"/>
    <w:rsid w:val="00F43CFB"/>
    <w:rsid w:val="00F44B8F"/>
    <w:rsid w:val="00F452AC"/>
    <w:rsid w:val="00F45748"/>
    <w:rsid w:val="00F45D63"/>
    <w:rsid w:val="00F46046"/>
    <w:rsid w:val="00F462B6"/>
    <w:rsid w:val="00F4648C"/>
    <w:rsid w:val="00F46665"/>
    <w:rsid w:val="00F4696E"/>
    <w:rsid w:val="00F46EEB"/>
    <w:rsid w:val="00F47334"/>
    <w:rsid w:val="00F47366"/>
    <w:rsid w:val="00F47486"/>
    <w:rsid w:val="00F474E1"/>
    <w:rsid w:val="00F47777"/>
    <w:rsid w:val="00F4793D"/>
    <w:rsid w:val="00F50513"/>
    <w:rsid w:val="00F5052D"/>
    <w:rsid w:val="00F513E1"/>
    <w:rsid w:val="00F51487"/>
    <w:rsid w:val="00F51A25"/>
    <w:rsid w:val="00F51AF3"/>
    <w:rsid w:val="00F51B64"/>
    <w:rsid w:val="00F51B6E"/>
    <w:rsid w:val="00F52150"/>
    <w:rsid w:val="00F5241C"/>
    <w:rsid w:val="00F5283B"/>
    <w:rsid w:val="00F52861"/>
    <w:rsid w:val="00F52879"/>
    <w:rsid w:val="00F537B2"/>
    <w:rsid w:val="00F53F5D"/>
    <w:rsid w:val="00F5418E"/>
    <w:rsid w:val="00F54315"/>
    <w:rsid w:val="00F547B9"/>
    <w:rsid w:val="00F54A0E"/>
    <w:rsid w:val="00F54ACC"/>
    <w:rsid w:val="00F54B09"/>
    <w:rsid w:val="00F55660"/>
    <w:rsid w:val="00F55B41"/>
    <w:rsid w:val="00F561A1"/>
    <w:rsid w:val="00F562B9"/>
    <w:rsid w:val="00F565A3"/>
    <w:rsid w:val="00F56994"/>
    <w:rsid w:val="00F56D7D"/>
    <w:rsid w:val="00F5700C"/>
    <w:rsid w:val="00F570D7"/>
    <w:rsid w:val="00F577A6"/>
    <w:rsid w:val="00F577FD"/>
    <w:rsid w:val="00F577FF"/>
    <w:rsid w:val="00F57A58"/>
    <w:rsid w:val="00F604D4"/>
    <w:rsid w:val="00F605BB"/>
    <w:rsid w:val="00F60906"/>
    <w:rsid w:val="00F60914"/>
    <w:rsid w:val="00F6096C"/>
    <w:rsid w:val="00F60FDA"/>
    <w:rsid w:val="00F612BA"/>
    <w:rsid w:val="00F61737"/>
    <w:rsid w:val="00F621CE"/>
    <w:rsid w:val="00F62734"/>
    <w:rsid w:val="00F629C5"/>
    <w:rsid w:val="00F62A3B"/>
    <w:rsid w:val="00F62BA6"/>
    <w:rsid w:val="00F63D1F"/>
    <w:rsid w:val="00F63F71"/>
    <w:rsid w:val="00F63F77"/>
    <w:rsid w:val="00F64194"/>
    <w:rsid w:val="00F6478B"/>
    <w:rsid w:val="00F64E60"/>
    <w:rsid w:val="00F64FBA"/>
    <w:rsid w:val="00F654F1"/>
    <w:rsid w:val="00F65715"/>
    <w:rsid w:val="00F66309"/>
    <w:rsid w:val="00F66356"/>
    <w:rsid w:val="00F663D4"/>
    <w:rsid w:val="00F66592"/>
    <w:rsid w:val="00F66689"/>
    <w:rsid w:val="00F66808"/>
    <w:rsid w:val="00F66AB6"/>
    <w:rsid w:val="00F66E4C"/>
    <w:rsid w:val="00F66F41"/>
    <w:rsid w:val="00F67033"/>
    <w:rsid w:val="00F670CC"/>
    <w:rsid w:val="00F67167"/>
    <w:rsid w:val="00F6748A"/>
    <w:rsid w:val="00F67D7B"/>
    <w:rsid w:val="00F70213"/>
    <w:rsid w:val="00F703B9"/>
    <w:rsid w:val="00F7095F"/>
    <w:rsid w:val="00F70BF9"/>
    <w:rsid w:val="00F718D4"/>
    <w:rsid w:val="00F71B20"/>
    <w:rsid w:val="00F71FF4"/>
    <w:rsid w:val="00F72208"/>
    <w:rsid w:val="00F726B5"/>
    <w:rsid w:val="00F732B5"/>
    <w:rsid w:val="00F73425"/>
    <w:rsid w:val="00F7365C"/>
    <w:rsid w:val="00F73930"/>
    <w:rsid w:val="00F73C7D"/>
    <w:rsid w:val="00F73FA3"/>
    <w:rsid w:val="00F74239"/>
    <w:rsid w:val="00F74288"/>
    <w:rsid w:val="00F7434A"/>
    <w:rsid w:val="00F7498E"/>
    <w:rsid w:val="00F7583F"/>
    <w:rsid w:val="00F75B6A"/>
    <w:rsid w:val="00F76285"/>
    <w:rsid w:val="00F775C0"/>
    <w:rsid w:val="00F77700"/>
    <w:rsid w:val="00F77F26"/>
    <w:rsid w:val="00F80293"/>
    <w:rsid w:val="00F805A4"/>
    <w:rsid w:val="00F8083F"/>
    <w:rsid w:val="00F811F6"/>
    <w:rsid w:val="00F81C7F"/>
    <w:rsid w:val="00F823E7"/>
    <w:rsid w:val="00F825C5"/>
    <w:rsid w:val="00F830AA"/>
    <w:rsid w:val="00F837FC"/>
    <w:rsid w:val="00F83BD3"/>
    <w:rsid w:val="00F84ECD"/>
    <w:rsid w:val="00F84F46"/>
    <w:rsid w:val="00F852BC"/>
    <w:rsid w:val="00F855F7"/>
    <w:rsid w:val="00F86419"/>
    <w:rsid w:val="00F86490"/>
    <w:rsid w:val="00F86514"/>
    <w:rsid w:val="00F86630"/>
    <w:rsid w:val="00F866AB"/>
    <w:rsid w:val="00F86E1B"/>
    <w:rsid w:val="00F86E9E"/>
    <w:rsid w:val="00F86F00"/>
    <w:rsid w:val="00F87420"/>
    <w:rsid w:val="00F876A3"/>
    <w:rsid w:val="00F87CD4"/>
    <w:rsid w:val="00F90941"/>
    <w:rsid w:val="00F90FE4"/>
    <w:rsid w:val="00F91439"/>
    <w:rsid w:val="00F91732"/>
    <w:rsid w:val="00F9180E"/>
    <w:rsid w:val="00F91E7F"/>
    <w:rsid w:val="00F92026"/>
    <w:rsid w:val="00F92A9A"/>
    <w:rsid w:val="00F92ADD"/>
    <w:rsid w:val="00F934ED"/>
    <w:rsid w:val="00F93793"/>
    <w:rsid w:val="00F93827"/>
    <w:rsid w:val="00F9436A"/>
    <w:rsid w:val="00F94A29"/>
    <w:rsid w:val="00F94CB4"/>
    <w:rsid w:val="00F95385"/>
    <w:rsid w:val="00F95391"/>
    <w:rsid w:val="00F954F4"/>
    <w:rsid w:val="00F95CE2"/>
    <w:rsid w:val="00F95EB6"/>
    <w:rsid w:val="00F95F69"/>
    <w:rsid w:val="00F96149"/>
    <w:rsid w:val="00F963CE"/>
    <w:rsid w:val="00F9649C"/>
    <w:rsid w:val="00F9683A"/>
    <w:rsid w:val="00F969B6"/>
    <w:rsid w:val="00F96E2B"/>
    <w:rsid w:val="00F96EE8"/>
    <w:rsid w:val="00F9737A"/>
    <w:rsid w:val="00FA0256"/>
    <w:rsid w:val="00FA0575"/>
    <w:rsid w:val="00FA0663"/>
    <w:rsid w:val="00FA0DE6"/>
    <w:rsid w:val="00FA1B4E"/>
    <w:rsid w:val="00FA250C"/>
    <w:rsid w:val="00FA29F3"/>
    <w:rsid w:val="00FA2A83"/>
    <w:rsid w:val="00FA2B91"/>
    <w:rsid w:val="00FA2D37"/>
    <w:rsid w:val="00FA2F36"/>
    <w:rsid w:val="00FA392F"/>
    <w:rsid w:val="00FA43F5"/>
    <w:rsid w:val="00FA4B24"/>
    <w:rsid w:val="00FA51FE"/>
    <w:rsid w:val="00FA5807"/>
    <w:rsid w:val="00FA5D23"/>
    <w:rsid w:val="00FA5EAA"/>
    <w:rsid w:val="00FA6304"/>
    <w:rsid w:val="00FA6961"/>
    <w:rsid w:val="00FA69AE"/>
    <w:rsid w:val="00FA6CF0"/>
    <w:rsid w:val="00FA6DE8"/>
    <w:rsid w:val="00FA6E2C"/>
    <w:rsid w:val="00FA7358"/>
    <w:rsid w:val="00FA76F7"/>
    <w:rsid w:val="00FA7A0E"/>
    <w:rsid w:val="00FA7F88"/>
    <w:rsid w:val="00FB0080"/>
    <w:rsid w:val="00FB02A0"/>
    <w:rsid w:val="00FB0328"/>
    <w:rsid w:val="00FB0364"/>
    <w:rsid w:val="00FB098C"/>
    <w:rsid w:val="00FB09B2"/>
    <w:rsid w:val="00FB0DAE"/>
    <w:rsid w:val="00FB0F81"/>
    <w:rsid w:val="00FB12E0"/>
    <w:rsid w:val="00FB1642"/>
    <w:rsid w:val="00FB168D"/>
    <w:rsid w:val="00FB1733"/>
    <w:rsid w:val="00FB1A9E"/>
    <w:rsid w:val="00FB27A1"/>
    <w:rsid w:val="00FB2923"/>
    <w:rsid w:val="00FB3A18"/>
    <w:rsid w:val="00FB44E7"/>
    <w:rsid w:val="00FB47A2"/>
    <w:rsid w:val="00FB4B1B"/>
    <w:rsid w:val="00FB53F3"/>
    <w:rsid w:val="00FB5786"/>
    <w:rsid w:val="00FB5861"/>
    <w:rsid w:val="00FB5A05"/>
    <w:rsid w:val="00FB5C87"/>
    <w:rsid w:val="00FB69D2"/>
    <w:rsid w:val="00FB76F3"/>
    <w:rsid w:val="00FB79BC"/>
    <w:rsid w:val="00FB7BD9"/>
    <w:rsid w:val="00FC0222"/>
    <w:rsid w:val="00FC0A17"/>
    <w:rsid w:val="00FC1EE9"/>
    <w:rsid w:val="00FC2319"/>
    <w:rsid w:val="00FC24F4"/>
    <w:rsid w:val="00FC3A96"/>
    <w:rsid w:val="00FC5D62"/>
    <w:rsid w:val="00FC60E0"/>
    <w:rsid w:val="00FC6AD2"/>
    <w:rsid w:val="00FC71C0"/>
    <w:rsid w:val="00FC787C"/>
    <w:rsid w:val="00FC7921"/>
    <w:rsid w:val="00FC7D5A"/>
    <w:rsid w:val="00FD066E"/>
    <w:rsid w:val="00FD08B2"/>
    <w:rsid w:val="00FD140F"/>
    <w:rsid w:val="00FD1568"/>
    <w:rsid w:val="00FD1716"/>
    <w:rsid w:val="00FD1DA3"/>
    <w:rsid w:val="00FD2935"/>
    <w:rsid w:val="00FD297C"/>
    <w:rsid w:val="00FD2C26"/>
    <w:rsid w:val="00FD2EE1"/>
    <w:rsid w:val="00FD30DC"/>
    <w:rsid w:val="00FD3346"/>
    <w:rsid w:val="00FD35F2"/>
    <w:rsid w:val="00FD39AF"/>
    <w:rsid w:val="00FD3A29"/>
    <w:rsid w:val="00FD48AD"/>
    <w:rsid w:val="00FD52D4"/>
    <w:rsid w:val="00FD54DD"/>
    <w:rsid w:val="00FD5CAD"/>
    <w:rsid w:val="00FD5E2F"/>
    <w:rsid w:val="00FD5F2A"/>
    <w:rsid w:val="00FD622D"/>
    <w:rsid w:val="00FD62DA"/>
    <w:rsid w:val="00FD6474"/>
    <w:rsid w:val="00FD6FAA"/>
    <w:rsid w:val="00FD70C8"/>
    <w:rsid w:val="00FD764B"/>
    <w:rsid w:val="00FD7807"/>
    <w:rsid w:val="00FD7891"/>
    <w:rsid w:val="00FE01CB"/>
    <w:rsid w:val="00FE031A"/>
    <w:rsid w:val="00FE0385"/>
    <w:rsid w:val="00FE0F1E"/>
    <w:rsid w:val="00FE19F0"/>
    <w:rsid w:val="00FE1ABD"/>
    <w:rsid w:val="00FE1CE1"/>
    <w:rsid w:val="00FE1E82"/>
    <w:rsid w:val="00FE205B"/>
    <w:rsid w:val="00FE279D"/>
    <w:rsid w:val="00FE2BDA"/>
    <w:rsid w:val="00FE3AE9"/>
    <w:rsid w:val="00FE3E08"/>
    <w:rsid w:val="00FE474C"/>
    <w:rsid w:val="00FE4788"/>
    <w:rsid w:val="00FE4836"/>
    <w:rsid w:val="00FE4FBA"/>
    <w:rsid w:val="00FE52CC"/>
    <w:rsid w:val="00FE56C3"/>
    <w:rsid w:val="00FE57D9"/>
    <w:rsid w:val="00FE6461"/>
    <w:rsid w:val="00FE6DAC"/>
    <w:rsid w:val="00FE7195"/>
    <w:rsid w:val="00FE79F1"/>
    <w:rsid w:val="00FF00B0"/>
    <w:rsid w:val="00FF00CC"/>
    <w:rsid w:val="00FF04C9"/>
    <w:rsid w:val="00FF0510"/>
    <w:rsid w:val="00FF055B"/>
    <w:rsid w:val="00FF06D3"/>
    <w:rsid w:val="00FF0D08"/>
    <w:rsid w:val="00FF1296"/>
    <w:rsid w:val="00FF1917"/>
    <w:rsid w:val="00FF1AAC"/>
    <w:rsid w:val="00FF1E77"/>
    <w:rsid w:val="00FF1F95"/>
    <w:rsid w:val="00FF2290"/>
    <w:rsid w:val="00FF23DE"/>
    <w:rsid w:val="00FF2511"/>
    <w:rsid w:val="00FF267B"/>
    <w:rsid w:val="00FF2693"/>
    <w:rsid w:val="00FF2B8D"/>
    <w:rsid w:val="00FF2D7A"/>
    <w:rsid w:val="00FF2DBD"/>
    <w:rsid w:val="00FF30E5"/>
    <w:rsid w:val="00FF31EE"/>
    <w:rsid w:val="00FF3554"/>
    <w:rsid w:val="00FF401C"/>
    <w:rsid w:val="00FF4164"/>
    <w:rsid w:val="00FF445E"/>
    <w:rsid w:val="00FF48F4"/>
    <w:rsid w:val="00FF588C"/>
    <w:rsid w:val="00FF5B00"/>
    <w:rsid w:val="00FF5DAC"/>
    <w:rsid w:val="00FF5E03"/>
    <w:rsid w:val="00FF6492"/>
    <w:rsid w:val="00FF7024"/>
    <w:rsid w:val="00FF78C9"/>
    <w:rsid w:val="00FF7906"/>
    <w:rsid w:val="01342F4E"/>
    <w:rsid w:val="016907DA"/>
    <w:rsid w:val="018CD939"/>
    <w:rsid w:val="0197E79F"/>
    <w:rsid w:val="01C92ECE"/>
    <w:rsid w:val="01D35229"/>
    <w:rsid w:val="02055335"/>
    <w:rsid w:val="0234520E"/>
    <w:rsid w:val="027287E7"/>
    <w:rsid w:val="027440F2"/>
    <w:rsid w:val="02878094"/>
    <w:rsid w:val="02AD7944"/>
    <w:rsid w:val="02B1E949"/>
    <w:rsid w:val="02B42EBF"/>
    <w:rsid w:val="02E28ED0"/>
    <w:rsid w:val="02F57846"/>
    <w:rsid w:val="031FE786"/>
    <w:rsid w:val="032AEA18"/>
    <w:rsid w:val="0345636E"/>
    <w:rsid w:val="03622C44"/>
    <w:rsid w:val="036693D7"/>
    <w:rsid w:val="03714324"/>
    <w:rsid w:val="037DE46B"/>
    <w:rsid w:val="03AD23F6"/>
    <w:rsid w:val="03D8A728"/>
    <w:rsid w:val="03E6EC59"/>
    <w:rsid w:val="04136AED"/>
    <w:rsid w:val="0415C009"/>
    <w:rsid w:val="04206FB9"/>
    <w:rsid w:val="042E255B"/>
    <w:rsid w:val="04376427"/>
    <w:rsid w:val="046F8B1E"/>
    <w:rsid w:val="04B98205"/>
    <w:rsid w:val="050BD729"/>
    <w:rsid w:val="052219DE"/>
    <w:rsid w:val="052BBD34"/>
    <w:rsid w:val="0530E820"/>
    <w:rsid w:val="053C7A6A"/>
    <w:rsid w:val="054F342B"/>
    <w:rsid w:val="05502E9D"/>
    <w:rsid w:val="055CD894"/>
    <w:rsid w:val="057652C4"/>
    <w:rsid w:val="0593CF07"/>
    <w:rsid w:val="05C24C76"/>
    <w:rsid w:val="05D9CD26"/>
    <w:rsid w:val="05FD0F99"/>
    <w:rsid w:val="060F75D7"/>
    <w:rsid w:val="061D31E4"/>
    <w:rsid w:val="0631877D"/>
    <w:rsid w:val="067D5C84"/>
    <w:rsid w:val="068119AB"/>
    <w:rsid w:val="06AEE1FC"/>
    <w:rsid w:val="06C11FAF"/>
    <w:rsid w:val="06D49E78"/>
    <w:rsid w:val="0723B9DD"/>
    <w:rsid w:val="075DEEE7"/>
    <w:rsid w:val="076DFA63"/>
    <w:rsid w:val="077FEF7B"/>
    <w:rsid w:val="0793CBB1"/>
    <w:rsid w:val="07B0E51A"/>
    <w:rsid w:val="07C8307A"/>
    <w:rsid w:val="07D5EDBD"/>
    <w:rsid w:val="07D881E0"/>
    <w:rsid w:val="07E5CF52"/>
    <w:rsid w:val="07E7F56B"/>
    <w:rsid w:val="080CBE19"/>
    <w:rsid w:val="083DCFC6"/>
    <w:rsid w:val="087651CC"/>
    <w:rsid w:val="089B2752"/>
    <w:rsid w:val="08A08237"/>
    <w:rsid w:val="08AB5408"/>
    <w:rsid w:val="08D07EEF"/>
    <w:rsid w:val="08EE4CF2"/>
    <w:rsid w:val="08EFC558"/>
    <w:rsid w:val="08F5D686"/>
    <w:rsid w:val="09251A80"/>
    <w:rsid w:val="097057E8"/>
    <w:rsid w:val="097FF8AD"/>
    <w:rsid w:val="09C328AD"/>
    <w:rsid w:val="0A325994"/>
    <w:rsid w:val="0A347682"/>
    <w:rsid w:val="0A67E419"/>
    <w:rsid w:val="0A71C454"/>
    <w:rsid w:val="0A7A1350"/>
    <w:rsid w:val="0A7E879B"/>
    <w:rsid w:val="0A9D7AFF"/>
    <w:rsid w:val="0AC60702"/>
    <w:rsid w:val="0AD9CB38"/>
    <w:rsid w:val="0AE7CF10"/>
    <w:rsid w:val="0B02C3C1"/>
    <w:rsid w:val="0B31F4A4"/>
    <w:rsid w:val="0B6A38B5"/>
    <w:rsid w:val="0B8A0FD5"/>
    <w:rsid w:val="0B9395BE"/>
    <w:rsid w:val="0BBA4EC7"/>
    <w:rsid w:val="0BC5BA5D"/>
    <w:rsid w:val="0BCEB768"/>
    <w:rsid w:val="0BDCC322"/>
    <w:rsid w:val="0BE2CFD0"/>
    <w:rsid w:val="0BF0B776"/>
    <w:rsid w:val="0C0682D9"/>
    <w:rsid w:val="0C3A384B"/>
    <w:rsid w:val="0C596C44"/>
    <w:rsid w:val="0C5D4D43"/>
    <w:rsid w:val="0C61EE53"/>
    <w:rsid w:val="0C873379"/>
    <w:rsid w:val="0C9E4ABB"/>
    <w:rsid w:val="0CC7873E"/>
    <w:rsid w:val="0CCB2801"/>
    <w:rsid w:val="0CEDA79D"/>
    <w:rsid w:val="0CF27F0F"/>
    <w:rsid w:val="0CFD55F3"/>
    <w:rsid w:val="0D0038D9"/>
    <w:rsid w:val="0D340286"/>
    <w:rsid w:val="0D3BDFD3"/>
    <w:rsid w:val="0D49E999"/>
    <w:rsid w:val="0D74311B"/>
    <w:rsid w:val="0DA12413"/>
    <w:rsid w:val="0DA3B99F"/>
    <w:rsid w:val="0DD5E541"/>
    <w:rsid w:val="0DDFDE07"/>
    <w:rsid w:val="0E152BB9"/>
    <w:rsid w:val="0E48A92C"/>
    <w:rsid w:val="0E4CC99A"/>
    <w:rsid w:val="0E4F5AB6"/>
    <w:rsid w:val="0E5BFEC2"/>
    <w:rsid w:val="0E643727"/>
    <w:rsid w:val="0E9B6E61"/>
    <w:rsid w:val="0F020EDA"/>
    <w:rsid w:val="0F57FF55"/>
    <w:rsid w:val="0F77B890"/>
    <w:rsid w:val="0F843697"/>
    <w:rsid w:val="0F8C6DDA"/>
    <w:rsid w:val="0FB888E2"/>
    <w:rsid w:val="0FB9D0CF"/>
    <w:rsid w:val="0FBDFD76"/>
    <w:rsid w:val="0FCE44F8"/>
    <w:rsid w:val="0FCF03DB"/>
    <w:rsid w:val="0FD81562"/>
    <w:rsid w:val="0FE27261"/>
    <w:rsid w:val="1014C6C8"/>
    <w:rsid w:val="10351E95"/>
    <w:rsid w:val="103F77B4"/>
    <w:rsid w:val="107CB86A"/>
    <w:rsid w:val="107E3309"/>
    <w:rsid w:val="1089B586"/>
    <w:rsid w:val="109C4EDB"/>
    <w:rsid w:val="10DAFCCC"/>
    <w:rsid w:val="10F82FC9"/>
    <w:rsid w:val="10FC5B86"/>
    <w:rsid w:val="113C62A7"/>
    <w:rsid w:val="1159F79A"/>
    <w:rsid w:val="11AD267E"/>
    <w:rsid w:val="11D5E284"/>
    <w:rsid w:val="11E64276"/>
    <w:rsid w:val="11F63899"/>
    <w:rsid w:val="1212C971"/>
    <w:rsid w:val="12160541"/>
    <w:rsid w:val="122EF979"/>
    <w:rsid w:val="122F7F35"/>
    <w:rsid w:val="123C5064"/>
    <w:rsid w:val="124E034B"/>
    <w:rsid w:val="12529FCC"/>
    <w:rsid w:val="127AA522"/>
    <w:rsid w:val="1289231C"/>
    <w:rsid w:val="1297426E"/>
    <w:rsid w:val="12AF2506"/>
    <w:rsid w:val="12C257FE"/>
    <w:rsid w:val="12D0E464"/>
    <w:rsid w:val="12FB81A3"/>
    <w:rsid w:val="130F0C1D"/>
    <w:rsid w:val="1310D5EA"/>
    <w:rsid w:val="131471FB"/>
    <w:rsid w:val="13208E1E"/>
    <w:rsid w:val="1330FA2D"/>
    <w:rsid w:val="133F7CEB"/>
    <w:rsid w:val="135D9075"/>
    <w:rsid w:val="1374AFF4"/>
    <w:rsid w:val="13A034C5"/>
    <w:rsid w:val="13C0CF26"/>
    <w:rsid w:val="140D91FF"/>
    <w:rsid w:val="140FC738"/>
    <w:rsid w:val="1461C33B"/>
    <w:rsid w:val="14686490"/>
    <w:rsid w:val="1468E510"/>
    <w:rsid w:val="147A19AB"/>
    <w:rsid w:val="14946ADC"/>
    <w:rsid w:val="14981CE1"/>
    <w:rsid w:val="149967EA"/>
    <w:rsid w:val="14A0397C"/>
    <w:rsid w:val="14CA83C1"/>
    <w:rsid w:val="14E5C856"/>
    <w:rsid w:val="14EBD315"/>
    <w:rsid w:val="1542F1C1"/>
    <w:rsid w:val="155F8EFA"/>
    <w:rsid w:val="15665417"/>
    <w:rsid w:val="158EEB4E"/>
    <w:rsid w:val="15C7096C"/>
    <w:rsid w:val="15EA5322"/>
    <w:rsid w:val="15F03B52"/>
    <w:rsid w:val="160407DC"/>
    <w:rsid w:val="1615E580"/>
    <w:rsid w:val="16341E22"/>
    <w:rsid w:val="1650ECCE"/>
    <w:rsid w:val="166AD15C"/>
    <w:rsid w:val="16965D05"/>
    <w:rsid w:val="169664D5"/>
    <w:rsid w:val="16B0D04A"/>
    <w:rsid w:val="16B682D9"/>
    <w:rsid w:val="16BF9450"/>
    <w:rsid w:val="16CA1390"/>
    <w:rsid w:val="16E16246"/>
    <w:rsid w:val="16EB9ACE"/>
    <w:rsid w:val="1704A73D"/>
    <w:rsid w:val="17083B52"/>
    <w:rsid w:val="1709832F"/>
    <w:rsid w:val="173C53C0"/>
    <w:rsid w:val="173C8EF2"/>
    <w:rsid w:val="1740D64A"/>
    <w:rsid w:val="174457A7"/>
    <w:rsid w:val="175BED7E"/>
    <w:rsid w:val="1762D9CD"/>
    <w:rsid w:val="17B63A63"/>
    <w:rsid w:val="17BE68C2"/>
    <w:rsid w:val="17D9C609"/>
    <w:rsid w:val="17E960B6"/>
    <w:rsid w:val="17EF7A81"/>
    <w:rsid w:val="18017335"/>
    <w:rsid w:val="1826196E"/>
    <w:rsid w:val="18317E1B"/>
    <w:rsid w:val="183945DF"/>
    <w:rsid w:val="183CEE17"/>
    <w:rsid w:val="18413C02"/>
    <w:rsid w:val="1870C409"/>
    <w:rsid w:val="18728B09"/>
    <w:rsid w:val="187F85AA"/>
    <w:rsid w:val="188CA12D"/>
    <w:rsid w:val="189898F3"/>
    <w:rsid w:val="18C5A4CC"/>
    <w:rsid w:val="18CF659F"/>
    <w:rsid w:val="18DC9FDE"/>
    <w:rsid w:val="194BA74C"/>
    <w:rsid w:val="195F78BE"/>
    <w:rsid w:val="1974F1FA"/>
    <w:rsid w:val="199729C3"/>
    <w:rsid w:val="19A64890"/>
    <w:rsid w:val="19FF5101"/>
    <w:rsid w:val="1A053A28"/>
    <w:rsid w:val="1A23389F"/>
    <w:rsid w:val="1A279BFB"/>
    <w:rsid w:val="1A52C3D9"/>
    <w:rsid w:val="1A53D9AA"/>
    <w:rsid w:val="1A593D98"/>
    <w:rsid w:val="1A7FCB3A"/>
    <w:rsid w:val="1A8F9506"/>
    <w:rsid w:val="1A925D3C"/>
    <w:rsid w:val="1AB3335F"/>
    <w:rsid w:val="1ACBEA07"/>
    <w:rsid w:val="1B13F645"/>
    <w:rsid w:val="1B1D5A92"/>
    <w:rsid w:val="1B385CB1"/>
    <w:rsid w:val="1B61D1E0"/>
    <w:rsid w:val="1B68653F"/>
    <w:rsid w:val="1B75E1C7"/>
    <w:rsid w:val="1B90CC22"/>
    <w:rsid w:val="1BA3F6FD"/>
    <w:rsid w:val="1BFB38CA"/>
    <w:rsid w:val="1C1D9EFC"/>
    <w:rsid w:val="1C3B84AF"/>
    <w:rsid w:val="1C48B856"/>
    <w:rsid w:val="1C97A070"/>
    <w:rsid w:val="1CAA81CA"/>
    <w:rsid w:val="1CAC55B3"/>
    <w:rsid w:val="1CB0B325"/>
    <w:rsid w:val="1CB8AC3F"/>
    <w:rsid w:val="1CDEDBBE"/>
    <w:rsid w:val="1CE6D91B"/>
    <w:rsid w:val="1CF76D23"/>
    <w:rsid w:val="1D8142F6"/>
    <w:rsid w:val="1DB0CDD5"/>
    <w:rsid w:val="1DB4EA32"/>
    <w:rsid w:val="1DBA3DDB"/>
    <w:rsid w:val="1DD156AF"/>
    <w:rsid w:val="1DD53477"/>
    <w:rsid w:val="1E03BE36"/>
    <w:rsid w:val="1E07CF08"/>
    <w:rsid w:val="1E0C40C4"/>
    <w:rsid w:val="1E11A81F"/>
    <w:rsid w:val="1E3BC546"/>
    <w:rsid w:val="1E70862A"/>
    <w:rsid w:val="1E9B0994"/>
    <w:rsid w:val="1ECCAF3A"/>
    <w:rsid w:val="1EE7DC1A"/>
    <w:rsid w:val="1EECD876"/>
    <w:rsid w:val="1F1510D2"/>
    <w:rsid w:val="1F39105A"/>
    <w:rsid w:val="1F4A94EF"/>
    <w:rsid w:val="1F75F7A5"/>
    <w:rsid w:val="1F7DF53B"/>
    <w:rsid w:val="1F7F7E90"/>
    <w:rsid w:val="1F83EB12"/>
    <w:rsid w:val="1FA06C45"/>
    <w:rsid w:val="1FAC9D7A"/>
    <w:rsid w:val="1FBCDD92"/>
    <w:rsid w:val="1FC5228A"/>
    <w:rsid w:val="1FD4063E"/>
    <w:rsid w:val="1FF26BBD"/>
    <w:rsid w:val="200194BE"/>
    <w:rsid w:val="2019AA42"/>
    <w:rsid w:val="2022E4EE"/>
    <w:rsid w:val="204B99D5"/>
    <w:rsid w:val="2058433A"/>
    <w:rsid w:val="2059136D"/>
    <w:rsid w:val="206C2AD9"/>
    <w:rsid w:val="2080F697"/>
    <w:rsid w:val="20A444A3"/>
    <w:rsid w:val="20ECE2E8"/>
    <w:rsid w:val="211CBBBD"/>
    <w:rsid w:val="2127D928"/>
    <w:rsid w:val="21314437"/>
    <w:rsid w:val="213498D4"/>
    <w:rsid w:val="21593054"/>
    <w:rsid w:val="216488C5"/>
    <w:rsid w:val="2165A8CE"/>
    <w:rsid w:val="2165D7B8"/>
    <w:rsid w:val="216DFE12"/>
    <w:rsid w:val="21ABB430"/>
    <w:rsid w:val="21B95A22"/>
    <w:rsid w:val="21BC8531"/>
    <w:rsid w:val="220D52F4"/>
    <w:rsid w:val="221A8F09"/>
    <w:rsid w:val="22234124"/>
    <w:rsid w:val="224898BD"/>
    <w:rsid w:val="2255AF42"/>
    <w:rsid w:val="22B595FD"/>
    <w:rsid w:val="22D0D810"/>
    <w:rsid w:val="22D4A143"/>
    <w:rsid w:val="22D50410"/>
    <w:rsid w:val="22D63A0F"/>
    <w:rsid w:val="22E3FA55"/>
    <w:rsid w:val="2325E85C"/>
    <w:rsid w:val="233F1068"/>
    <w:rsid w:val="234F2C18"/>
    <w:rsid w:val="235D8E3B"/>
    <w:rsid w:val="237B87A5"/>
    <w:rsid w:val="239197DE"/>
    <w:rsid w:val="239368F4"/>
    <w:rsid w:val="23940EA7"/>
    <w:rsid w:val="239B892B"/>
    <w:rsid w:val="23CEADCB"/>
    <w:rsid w:val="23D24919"/>
    <w:rsid w:val="241D9E81"/>
    <w:rsid w:val="242BA947"/>
    <w:rsid w:val="24326B3C"/>
    <w:rsid w:val="245DC086"/>
    <w:rsid w:val="24790DE2"/>
    <w:rsid w:val="24824897"/>
    <w:rsid w:val="24A02605"/>
    <w:rsid w:val="24A62C33"/>
    <w:rsid w:val="24C64BCC"/>
    <w:rsid w:val="24D430FF"/>
    <w:rsid w:val="24DC2F98"/>
    <w:rsid w:val="254192C4"/>
    <w:rsid w:val="2547717A"/>
    <w:rsid w:val="258C9AA5"/>
    <w:rsid w:val="25A8DB50"/>
    <w:rsid w:val="25AE9B7E"/>
    <w:rsid w:val="25B52C1F"/>
    <w:rsid w:val="25CB5BCA"/>
    <w:rsid w:val="25DEF4EF"/>
    <w:rsid w:val="25EFF04E"/>
    <w:rsid w:val="25F9CACC"/>
    <w:rsid w:val="261A61F2"/>
    <w:rsid w:val="2640DF4A"/>
    <w:rsid w:val="2672DC29"/>
    <w:rsid w:val="26B4DEDF"/>
    <w:rsid w:val="26B95310"/>
    <w:rsid w:val="2701563E"/>
    <w:rsid w:val="270C7800"/>
    <w:rsid w:val="270D0FC7"/>
    <w:rsid w:val="270DF96A"/>
    <w:rsid w:val="270E5219"/>
    <w:rsid w:val="2714E4ED"/>
    <w:rsid w:val="271C4EFA"/>
    <w:rsid w:val="2787AC9A"/>
    <w:rsid w:val="279F82E2"/>
    <w:rsid w:val="27FB50B2"/>
    <w:rsid w:val="2808AE1D"/>
    <w:rsid w:val="280F6388"/>
    <w:rsid w:val="28263B19"/>
    <w:rsid w:val="2835B2A4"/>
    <w:rsid w:val="284DE5BF"/>
    <w:rsid w:val="286463CF"/>
    <w:rsid w:val="2868F1CD"/>
    <w:rsid w:val="286F5A64"/>
    <w:rsid w:val="287E3EAA"/>
    <w:rsid w:val="28AC04AC"/>
    <w:rsid w:val="2922DA70"/>
    <w:rsid w:val="2923BA9F"/>
    <w:rsid w:val="293F7FE1"/>
    <w:rsid w:val="29480288"/>
    <w:rsid w:val="294EAD66"/>
    <w:rsid w:val="2953DDC4"/>
    <w:rsid w:val="2967990C"/>
    <w:rsid w:val="2972C96B"/>
    <w:rsid w:val="2985DFC3"/>
    <w:rsid w:val="2998F780"/>
    <w:rsid w:val="299A87F4"/>
    <w:rsid w:val="29AAC32E"/>
    <w:rsid w:val="29BA962C"/>
    <w:rsid w:val="29BEF461"/>
    <w:rsid w:val="29BF33BF"/>
    <w:rsid w:val="29D58BA1"/>
    <w:rsid w:val="29DF6F3A"/>
    <w:rsid w:val="2A025F95"/>
    <w:rsid w:val="2A059D1F"/>
    <w:rsid w:val="2A1B38F0"/>
    <w:rsid w:val="2A23861F"/>
    <w:rsid w:val="2A2E7B92"/>
    <w:rsid w:val="2A3478A9"/>
    <w:rsid w:val="2A6F0C01"/>
    <w:rsid w:val="2A8B616D"/>
    <w:rsid w:val="2AC6BE0F"/>
    <w:rsid w:val="2B046FE1"/>
    <w:rsid w:val="2B07850E"/>
    <w:rsid w:val="2B0BAFC4"/>
    <w:rsid w:val="2B2052DF"/>
    <w:rsid w:val="2B39CD57"/>
    <w:rsid w:val="2B42ED19"/>
    <w:rsid w:val="2B447FE8"/>
    <w:rsid w:val="2B455985"/>
    <w:rsid w:val="2B455B51"/>
    <w:rsid w:val="2B5706AD"/>
    <w:rsid w:val="2B63749D"/>
    <w:rsid w:val="2B6E7D16"/>
    <w:rsid w:val="2BCC143A"/>
    <w:rsid w:val="2C0F37B8"/>
    <w:rsid w:val="2C24682C"/>
    <w:rsid w:val="2C3517CF"/>
    <w:rsid w:val="2C41315C"/>
    <w:rsid w:val="2C5B6E47"/>
    <w:rsid w:val="2CD9916A"/>
    <w:rsid w:val="2CD9D2D5"/>
    <w:rsid w:val="2D15191E"/>
    <w:rsid w:val="2D1D335A"/>
    <w:rsid w:val="2D35C0AA"/>
    <w:rsid w:val="2D462308"/>
    <w:rsid w:val="2D5F1306"/>
    <w:rsid w:val="2D621853"/>
    <w:rsid w:val="2D88DD1D"/>
    <w:rsid w:val="2DB8C1AD"/>
    <w:rsid w:val="2DBE8EDD"/>
    <w:rsid w:val="2DDAEF8F"/>
    <w:rsid w:val="2DDF4879"/>
    <w:rsid w:val="2DEFDF17"/>
    <w:rsid w:val="2E03EBF7"/>
    <w:rsid w:val="2E4E330A"/>
    <w:rsid w:val="2E4EDF54"/>
    <w:rsid w:val="2E68D0BC"/>
    <w:rsid w:val="2E829132"/>
    <w:rsid w:val="2E89B18B"/>
    <w:rsid w:val="2E98501B"/>
    <w:rsid w:val="2E9B7710"/>
    <w:rsid w:val="2E9BAF46"/>
    <w:rsid w:val="2EA4C7DB"/>
    <w:rsid w:val="2ED4BDE1"/>
    <w:rsid w:val="2EDCE1AB"/>
    <w:rsid w:val="2EE72DC8"/>
    <w:rsid w:val="2EEB9D8E"/>
    <w:rsid w:val="2EF4AD62"/>
    <w:rsid w:val="2F02C1FE"/>
    <w:rsid w:val="2F212BEC"/>
    <w:rsid w:val="2F360BC7"/>
    <w:rsid w:val="2F3AFE59"/>
    <w:rsid w:val="2F5A5F3E"/>
    <w:rsid w:val="2F688E57"/>
    <w:rsid w:val="2FCEBCFD"/>
    <w:rsid w:val="30108286"/>
    <w:rsid w:val="3025D15E"/>
    <w:rsid w:val="30412CC9"/>
    <w:rsid w:val="3057E38F"/>
    <w:rsid w:val="307D3FA8"/>
    <w:rsid w:val="30945DC9"/>
    <w:rsid w:val="30F42881"/>
    <w:rsid w:val="311C049B"/>
    <w:rsid w:val="311CBCCC"/>
    <w:rsid w:val="311E04BB"/>
    <w:rsid w:val="3154F055"/>
    <w:rsid w:val="3156CBB3"/>
    <w:rsid w:val="315B65AC"/>
    <w:rsid w:val="316D8AD1"/>
    <w:rsid w:val="318E0C4D"/>
    <w:rsid w:val="3191B984"/>
    <w:rsid w:val="31D6D6FD"/>
    <w:rsid w:val="320867FD"/>
    <w:rsid w:val="3227EC02"/>
    <w:rsid w:val="322B7404"/>
    <w:rsid w:val="324C5A38"/>
    <w:rsid w:val="32740351"/>
    <w:rsid w:val="32A86494"/>
    <w:rsid w:val="32B5032C"/>
    <w:rsid w:val="32FA0FA2"/>
    <w:rsid w:val="332915CA"/>
    <w:rsid w:val="339CABF3"/>
    <w:rsid w:val="33A4DCA2"/>
    <w:rsid w:val="3413A01C"/>
    <w:rsid w:val="3426F484"/>
    <w:rsid w:val="346CB0CB"/>
    <w:rsid w:val="348D74B4"/>
    <w:rsid w:val="34A068B2"/>
    <w:rsid w:val="350E0E42"/>
    <w:rsid w:val="35321B35"/>
    <w:rsid w:val="354A2C02"/>
    <w:rsid w:val="35BB6CAF"/>
    <w:rsid w:val="35BBCC40"/>
    <w:rsid w:val="35CE3432"/>
    <w:rsid w:val="35DFDD57"/>
    <w:rsid w:val="35E48A4D"/>
    <w:rsid w:val="3615D931"/>
    <w:rsid w:val="3616786E"/>
    <w:rsid w:val="362C6704"/>
    <w:rsid w:val="36323AC6"/>
    <w:rsid w:val="3633F5EE"/>
    <w:rsid w:val="3641C9A5"/>
    <w:rsid w:val="3675EB2F"/>
    <w:rsid w:val="368B509A"/>
    <w:rsid w:val="3691824A"/>
    <w:rsid w:val="36CA310D"/>
    <w:rsid w:val="36FD5F8C"/>
    <w:rsid w:val="37078ADA"/>
    <w:rsid w:val="372F2FD5"/>
    <w:rsid w:val="3737FD4A"/>
    <w:rsid w:val="377D646A"/>
    <w:rsid w:val="379B2688"/>
    <w:rsid w:val="37BE053D"/>
    <w:rsid w:val="37C70634"/>
    <w:rsid w:val="37CFA6BF"/>
    <w:rsid w:val="37E6DB7C"/>
    <w:rsid w:val="380CE28F"/>
    <w:rsid w:val="38140E7A"/>
    <w:rsid w:val="3822A8FC"/>
    <w:rsid w:val="382BF4F9"/>
    <w:rsid w:val="38322785"/>
    <w:rsid w:val="386C0F95"/>
    <w:rsid w:val="387DD470"/>
    <w:rsid w:val="3893317D"/>
    <w:rsid w:val="38A45CF3"/>
    <w:rsid w:val="38A58042"/>
    <w:rsid w:val="38DC1330"/>
    <w:rsid w:val="38FC600A"/>
    <w:rsid w:val="39090B15"/>
    <w:rsid w:val="3912B222"/>
    <w:rsid w:val="39236473"/>
    <w:rsid w:val="3944E36D"/>
    <w:rsid w:val="39535A23"/>
    <w:rsid w:val="397C5B15"/>
    <w:rsid w:val="397F8F81"/>
    <w:rsid w:val="3984B8B8"/>
    <w:rsid w:val="39B9D32C"/>
    <w:rsid w:val="39F523A4"/>
    <w:rsid w:val="39FF1621"/>
    <w:rsid w:val="3A003801"/>
    <w:rsid w:val="3A19143F"/>
    <w:rsid w:val="3A4279A3"/>
    <w:rsid w:val="3A466EAF"/>
    <w:rsid w:val="3A5C27A4"/>
    <w:rsid w:val="3A81C37B"/>
    <w:rsid w:val="3A8AD63E"/>
    <w:rsid w:val="3AA74B6A"/>
    <w:rsid w:val="3AAB804D"/>
    <w:rsid w:val="3AC2064C"/>
    <w:rsid w:val="3ADA03BE"/>
    <w:rsid w:val="3ADDDE42"/>
    <w:rsid w:val="3AF463CF"/>
    <w:rsid w:val="3B2B429D"/>
    <w:rsid w:val="3B2F833B"/>
    <w:rsid w:val="3B355DF2"/>
    <w:rsid w:val="3B3AAA7A"/>
    <w:rsid w:val="3B446342"/>
    <w:rsid w:val="3B547312"/>
    <w:rsid w:val="3B73216D"/>
    <w:rsid w:val="3B8468B7"/>
    <w:rsid w:val="3BC1525B"/>
    <w:rsid w:val="3C71EF65"/>
    <w:rsid w:val="3C8B93F7"/>
    <w:rsid w:val="3CAAFEEB"/>
    <w:rsid w:val="3CD4CEC9"/>
    <w:rsid w:val="3CE8FF0E"/>
    <w:rsid w:val="3CEF7E1D"/>
    <w:rsid w:val="3D2404BD"/>
    <w:rsid w:val="3D362EA6"/>
    <w:rsid w:val="3D6C27F2"/>
    <w:rsid w:val="3D71C946"/>
    <w:rsid w:val="3D909099"/>
    <w:rsid w:val="3DA6721D"/>
    <w:rsid w:val="3DA697C2"/>
    <w:rsid w:val="3DCD089B"/>
    <w:rsid w:val="3DD3A9BF"/>
    <w:rsid w:val="3DEAEE98"/>
    <w:rsid w:val="3DEFB657"/>
    <w:rsid w:val="3DFC2935"/>
    <w:rsid w:val="3E016A1B"/>
    <w:rsid w:val="3E9C1D23"/>
    <w:rsid w:val="3EA09E85"/>
    <w:rsid w:val="3EAFF23C"/>
    <w:rsid w:val="3ECD56AA"/>
    <w:rsid w:val="3F5A0DC6"/>
    <w:rsid w:val="3F720EA1"/>
    <w:rsid w:val="3F8F8C6E"/>
    <w:rsid w:val="3FAFA9D4"/>
    <w:rsid w:val="3FBA17F5"/>
    <w:rsid w:val="3FD39851"/>
    <w:rsid w:val="3FD6B65A"/>
    <w:rsid w:val="3FE1143A"/>
    <w:rsid w:val="3FF2333D"/>
    <w:rsid w:val="40082476"/>
    <w:rsid w:val="40109AC1"/>
    <w:rsid w:val="406C427A"/>
    <w:rsid w:val="40824D8A"/>
    <w:rsid w:val="408771A9"/>
    <w:rsid w:val="40D1660D"/>
    <w:rsid w:val="4106323C"/>
    <w:rsid w:val="411BD20E"/>
    <w:rsid w:val="41665440"/>
    <w:rsid w:val="41812178"/>
    <w:rsid w:val="418FC4EB"/>
    <w:rsid w:val="41AD549C"/>
    <w:rsid w:val="41B8B42A"/>
    <w:rsid w:val="41CC37B7"/>
    <w:rsid w:val="41E3680A"/>
    <w:rsid w:val="41F9943C"/>
    <w:rsid w:val="42169AFD"/>
    <w:rsid w:val="4233E85C"/>
    <w:rsid w:val="424F4A1F"/>
    <w:rsid w:val="42523B2D"/>
    <w:rsid w:val="425E36EE"/>
    <w:rsid w:val="426BAFA8"/>
    <w:rsid w:val="427E2E88"/>
    <w:rsid w:val="42A89C8D"/>
    <w:rsid w:val="42A9C4D2"/>
    <w:rsid w:val="42ECB147"/>
    <w:rsid w:val="42FF3D14"/>
    <w:rsid w:val="4310FA28"/>
    <w:rsid w:val="4327D185"/>
    <w:rsid w:val="4351B904"/>
    <w:rsid w:val="4361BAC0"/>
    <w:rsid w:val="436619C4"/>
    <w:rsid w:val="43CDA07A"/>
    <w:rsid w:val="43D08544"/>
    <w:rsid w:val="43EE0B8E"/>
    <w:rsid w:val="4405668D"/>
    <w:rsid w:val="4407E34A"/>
    <w:rsid w:val="448432E0"/>
    <w:rsid w:val="449D4BE9"/>
    <w:rsid w:val="44A20495"/>
    <w:rsid w:val="44A315FB"/>
    <w:rsid w:val="44A6B975"/>
    <w:rsid w:val="451C72C4"/>
    <w:rsid w:val="452CE32B"/>
    <w:rsid w:val="454CEA6D"/>
    <w:rsid w:val="4565D820"/>
    <w:rsid w:val="458890BE"/>
    <w:rsid w:val="459143B0"/>
    <w:rsid w:val="459CA2FC"/>
    <w:rsid w:val="45BE7692"/>
    <w:rsid w:val="45C35E9B"/>
    <w:rsid w:val="45C440EB"/>
    <w:rsid w:val="462A171A"/>
    <w:rsid w:val="462F2315"/>
    <w:rsid w:val="463B31A0"/>
    <w:rsid w:val="4649A3E8"/>
    <w:rsid w:val="46650341"/>
    <w:rsid w:val="466A700C"/>
    <w:rsid w:val="4671B5A9"/>
    <w:rsid w:val="467963B2"/>
    <w:rsid w:val="467BCAF7"/>
    <w:rsid w:val="468B081D"/>
    <w:rsid w:val="46923D2B"/>
    <w:rsid w:val="4696C143"/>
    <w:rsid w:val="46F11FE3"/>
    <w:rsid w:val="47139222"/>
    <w:rsid w:val="4739F2E1"/>
    <w:rsid w:val="474CC412"/>
    <w:rsid w:val="47847316"/>
    <w:rsid w:val="479C90FE"/>
    <w:rsid w:val="47F53518"/>
    <w:rsid w:val="4807DB43"/>
    <w:rsid w:val="4813B485"/>
    <w:rsid w:val="481B9A52"/>
    <w:rsid w:val="483F8F2B"/>
    <w:rsid w:val="484C8671"/>
    <w:rsid w:val="484CBB21"/>
    <w:rsid w:val="485E8A00"/>
    <w:rsid w:val="4867B1AA"/>
    <w:rsid w:val="48965D5E"/>
    <w:rsid w:val="489B235A"/>
    <w:rsid w:val="48C669E9"/>
    <w:rsid w:val="48D68ACE"/>
    <w:rsid w:val="48F3E252"/>
    <w:rsid w:val="491340A4"/>
    <w:rsid w:val="491632F7"/>
    <w:rsid w:val="4965216B"/>
    <w:rsid w:val="496E85D5"/>
    <w:rsid w:val="497F5803"/>
    <w:rsid w:val="49A20158"/>
    <w:rsid w:val="49AE7099"/>
    <w:rsid w:val="49BAE70C"/>
    <w:rsid w:val="49CB34FB"/>
    <w:rsid w:val="49EB2A7A"/>
    <w:rsid w:val="4A03E310"/>
    <w:rsid w:val="4A12880B"/>
    <w:rsid w:val="4A147CAF"/>
    <w:rsid w:val="4A255EE9"/>
    <w:rsid w:val="4A44E5AF"/>
    <w:rsid w:val="4A53021B"/>
    <w:rsid w:val="4A7E8A4A"/>
    <w:rsid w:val="4A80BB8B"/>
    <w:rsid w:val="4A85F190"/>
    <w:rsid w:val="4A9ABB92"/>
    <w:rsid w:val="4AA540BB"/>
    <w:rsid w:val="4ACB5FBC"/>
    <w:rsid w:val="4ADA72E0"/>
    <w:rsid w:val="4B2159E2"/>
    <w:rsid w:val="4B2AEA34"/>
    <w:rsid w:val="4B3069B5"/>
    <w:rsid w:val="4B581EF3"/>
    <w:rsid w:val="4B62AFDF"/>
    <w:rsid w:val="4B67CACE"/>
    <w:rsid w:val="4B87074C"/>
    <w:rsid w:val="4B90C075"/>
    <w:rsid w:val="4BA42706"/>
    <w:rsid w:val="4BD287B1"/>
    <w:rsid w:val="4BF54EBA"/>
    <w:rsid w:val="4C03683A"/>
    <w:rsid w:val="4C202C28"/>
    <w:rsid w:val="4C426A80"/>
    <w:rsid w:val="4C911EEA"/>
    <w:rsid w:val="4C98FDD9"/>
    <w:rsid w:val="4C9FFBF9"/>
    <w:rsid w:val="4CB46DA6"/>
    <w:rsid w:val="4CC30FEE"/>
    <w:rsid w:val="4CC74DAF"/>
    <w:rsid w:val="4CE0FAA8"/>
    <w:rsid w:val="4CE7EC6B"/>
    <w:rsid w:val="4D2805E4"/>
    <w:rsid w:val="4D3771A4"/>
    <w:rsid w:val="4D583E7A"/>
    <w:rsid w:val="4D5C51A3"/>
    <w:rsid w:val="4D60318C"/>
    <w:rsid w:val="4D83CF76"/>
    <w:rsid w:val="4DBCF74C"/>
    <w:rsid w:val="4DD32F62"/>
    <w:rsid w:val="4DFB05C3"/>
    <w:rsid w:val="4E108DD2"/>
    <w:rsid w:val="4E3F7BA3"/>
    <w:rsid w:val="4E43F49A"/>
    <w:rsid w:val="4E6E85D0"/>
    <w:rsid w:val="4E74B633"/>
    <w:rsid w:val="4E9FCDC5"/>
    <w:rsid w:val="4EE15722"/>
    <w:rsid w:val="4EE2F7CF"/>
    <w:rsid w:val="4EE64E76"/>
    <w:rsid w:val="4EFCC4ED"/>
    <w:rsid w:val="4F02C8B7"/>
    <w:rsid w:val="4F068E29"/>
    <w:rsid w:val="4F079C7B"/>
    <w:rsid w:val="4F0D8168"/>
    <w:rsid w:val="4F16F8E0"/>
    <w:rsid w:val="4F289F3A"/>
    <w:rsid w:val="4F4B3273"/>
    <w:rsid w:val="4F4EC636"/>
    <w:rsid w:val="4F4F7906"/>
    <w:rsid w:val="4F727035"/>
    <w:rsid w:val="4F8FAB3C"/>
    <w:rsid w:val="4F9031DF"/>
    <w:rsid w:val="4FA98540"/>
    <w:rsid w:val="4FC5F320"/>
    <w:rsid w:val="4FD24F5D"/>
    <w:rsid w:val="4FDA60C4"/>
    <w:rsid w:val="4FEB85B8"/>
    <w:rsid w:val="502EC946"/>
    <w:rsid w:val="5067A034"/>
    <w:rsid w:val="5075D4E5"/>
    <w:rsid w:val="50A1CBD3"/>
    <w:rsid w:val="50B4B2C9"/>
    <w:rsid w:val="50D01908"/>
    <w:rsid w:val="50F82958"/>
    <w:rsid w:val="5117AB5D"/>
    <w:rsid w:val="5123371A"/>
    <w:rsid w:val="51267EF2"/>
    <w:rsid w:val="512D2362"/>
    <w:rsid w:val="514953C2"/>
    <w:rsid w:val="51608D4B"/>
    <w:rsid w:val="516FD15B"/>
    <w:rsid w:val="517A61BD"/>
    <w:rsid w:val="51AEF906"/>
    <w:rsid w:val="51EEF264"/>
    <w:rsid w:val="51F64F05"/>
    <w:rsid w:val="522F0950"/>
    <w:rsid w:val="52509411"/>
    <w:rsid w:val="5255020E"/>
    <w:rsid w:val="5258E7B2"/>
    <w:rsid w:val="5260AB37"/>
    <w:rsid w:val="52637EAD"/>
    <w:rsid w:val="5289C0F8"/>
    <w:rsid w:val="5289E200"/>
    <w:rsid w:val="5298DC78"/>
    <w:rsid w:val="5311DF42"/>
    <w:rsid w:val="531953AC"/>
    <w:rsid w:val="531E294B"/>
    <w:rsid w:val="533EA4AF"/>
    <w:rsid w:val="534556CE"/>
    <w:rsid w:val="537AF61E"/>
    <w:rsid w:val="5390F58A"/>
    <w:rsid w:val="53A0DF69"/>
    <w:rsid w:val="53C977B3"/>
    <w:rsid w:val="53D4E3A6"/>
    <w:rsid w:val="53D5E919"/>
    <w:rsid w:val="53F34FD8"/>
    <w:rsid w:val="54024EC5"/>
    <w:rsid w:val="542524F9"/>
    <w:rsid w:val="54739B87"/>
    <w:rsid w:val="547E7BEC"/>
    <w:rsid w:val="5482461E"/>
    <w:rsid w:val="54855BAF"/>
    <w:rsid w:val="548F6302"/>
    <w:rsid w:val="5495B4CA"/>
    <w:rsid w:val="54A033D6"/>
    <w:rsid w:val="54AD7287"/>
    <w:rsid w:val="5512DE9F"/>
    <w:rsid w:val="5535A97E"/>
    <w:rsid w:val="5542BBBA"/>
    <w:rsid w:val="5554CA20"/>
    <w:rsid w:val="5570B407"/>
    <w:rsid w:val="55BEAA0E"/>
    <w:rsid w:val="560FBB13"/>
    <w:rsid w:val="56212C8F"/>
    <w:rsid w:val="56220946"/>
    <w:rsid w:val="5623D82C"/>
    <w:rsid w:val="5660B79E"/>
    <w:rsid w:val="569ADD12"/>
    <w:rsid w:val="56E27E7A"/>
    <w:rsid w:val="56E52CC5"/>
    <w:rsid w:val="57331BA8"/>
    <w:rsid w:val="5743BCDB"/>
    <w:rsid w:val="5748CE43"/>
    <w:rsid w:val="575A7A6F"/>
    <w:rsid w:val="577725BB"/>
    <w:rsid w:val="5784D4E2"/>
    <w:rsid w:val="57AB8B74"/>
    <w:rsid w:val="57BBBFCB"/>
    <w:rsid w:val="5813DE27"/>
    <w:rsid w:val="582B975A"/>
    <w:rsid w:val="58346D18"/>
    <w:rsid w:val="588CF9DC"/>
    <w:rsid w:val="58948844"/>
    <w:rsid w:val="5896CCD9"/>
    <w:rsid w:val="58BE2A34"/>
    <w:rsid w:val="58BFBB0D"/>
    <w:rsid w:val="58CDC942"/>
    <w:rsid w:val="58D56AEA"/>
    <w:rsid w:val="5902B615"/>
    <w:rsid w:val="591FBBCA"/>
    <w:rsid w:val="592ACBFE"/>
    <w:rsid w:val="592C7C13"/>
    <w:rsid w:val="592F5219"/>
    <w:rsid w:val="5942ED8B"/>
    <w:rsid w:val="597998FD"/>
    <w:rsid w:val="599056D9"/>
    <w:rsid w:val="59960292"/>
    <w:rsid w:val="59A1BD8D"/>
    <w:rsid w:val="59E23883"/>
    <w:rsid w:val="5A1A1766"/>
    <w:rsid w:val="5A21D4AC"/>
    <w:rsid w:val="5A3D53D2"/>
    <w:rsid w:val="5A594B6E"/>
    <w:rsid w:val="5A782C3E"/>
    <w:rsid w:val="5A8ECE41"/>
    <w:rsid w:val="5AD6420B"/>
    <w:rsid w:val="5AE39FE0"/>
    <w:rsid w:val="5B56CED2"/>
    <w:rsid w:val="5B7E06BA"/>
    <w:rsid w:val="5B7FB28B"/>
    <w:rsid w:val="5BB54D9F"/>
    <w:rsid w:val="5BBCF6A4"/>
    <w:rsid w:val="5BD00CC5"/>
    <w:rsid w:val="5C09C8A6"/>
    <w:rsid w:val="5C39F76A"/>
    <w:rsid w:val="5C6A3B89"/>
    <w:rsid w:val="5C7378D1"/>
    <w:rsid w:val="5C7E0FE8"/>
    <w:rsid w:val="5C811465"/>
    <w:rsid w:val="5C8E4201"/>
    <w:rsid w:val="5C997F02"/>
    <w:rsid w:val="5C9AB6C6"/>
    <w:rsid w:val="5CE20BC1"/>
    <w:rsid w:val="5CE46503"/>
    <w:rsid w:val="5CE99742"/>
    <w:rsid w:val="5D080350"/>
    <w:rsid w:val="5D0AF4C2"/>
    <w:rsid w:val="5D15BED4"/>
    <w:rsid w:val="5D7DB06E"/>
    <w:rsid w:val="5D9B380C"/>
    <w:rsid w:val="5DB6BDDB"/>
    <w:rsid w:val="5DC5B420"/>
    <w:rsid w:val="5DC8790B"/>
    <w:rsid w:val="5DCC6BA8"/>
    <w:rsid w:val="5DD8FDEE"/>
    <w:rsid w:val="5DDE6495"/>
    <w:rsid w:val="5E268A65"/>
    <w:rsid w:val="5E2E7349"/>
    <w:rsid w:val="5E2EA5E9"/>
    <w:rsid w:val="5E350A14"/>
    <w:rsid w:val="5E777272"/>
    <w:rsid w:val="5EBA310D"/>
    <w:rsid w:val="5EFAF965"/>
    <w:rsid w:val="5F0A38F8"/>
    <w:rsid w:val="5F568E24"/>
    <w:rsid w:val="5F5EB3AE"/>
    <w:rsid w:val="5F868EA7"/>
    <w:rsid w:val="5F9D948E"/>
    <w:rsid w:val="5FBECCB2"/>
    <w:rsid w:val="5FD0DA75"/>
    <w:rsid w:val="5FEDF0F0"/>
    <w:rsid w:val="60141632"/>
    <w:rsid w:val="6032D428"/>
    <w:rsid w:val="60455404"/>
    <w:rsid w:val="60583628"/>
    <w:rsid w:val="60584EAE"/>
    <w:rsid w:val="60B19651"/>
    <w:rsid w:val="60D5C19C"/>
    <w:rsid w:val="60DBEC8D"/>
    <w:rsid w:val="60DC4BE5"/>
    <w:rsid w:val="60DF937F"/>
    <w:rsid w:val="60EDD60C"/>
    <w:rsid w:val="60FF6DC1"/>
    <w:rsid w:val="61035800"/>
    <w:rsid w:val="613FA980"/>
    <w:rsid w:val="6148A8D0"/>
    <w:rsid w:val="61493E93"/>
    <w:rsid w:val="6151D9B2"/>
    <w:rsid w:val="6186803F"/>
    <w:rsid w:val="618B7D7A"/>
    <w:rsid w:val="61A45342"/>
    <w:rsid w:val="61CBD6F0"/>
    <w:rsid w:val="61E70512"/>
    <w:rsid w:val="61F27065"/>
    <w:rsid w:val="61F411DD"/>
    <w:rsid w:val="61FCDA5D"/>
    <w:rsid w:val="62111E34"/>
    <w:rsid w:val="6239AAC1"/>
    <w:rsid w:val="623ACBFA"/>
    <w:rsid w:val="6257B87B"/>
    <w:rsid w:val="62B05550"/>
    <w:rsid w:val="62EB66A9"/>
    <w:rsid w:val="62EDC254"/>
    <w:rsid w:val="63094AE1"/>
    <w:rsid w:val="631A6A99"/>
    <w:rsid w:val="635336AD"/>
    <w:rsid w:val="63818FE4"/>
    <w:rsid w:val="639456BB"/>
    <w:rsid w:val="639B6E65"/>
    <w:rsid w:val="63A5B2B1"/>
    <w:rsid w:val="63A66144"/>
    <w:rsid w:val="63A7C884"/>
    <w:rsid w:val="63CD57F9"/>
    <w:rsid w:val="63EC5186"/>
    <w:rsid w:val="63F0D300"/>
    <w:rsid w:val="6428B7C8"/>
    <w:rsid w:val="642B9F6B"/>
    <w:rsid w:val="644E36D4"/>
    <w:rsid w:val="6466E3B7"/>
    <w:rsid w:val="647D607A"/>
    <w:rsid w:val="648662F6"/>
    <w:rsid w:val="6486D113"/>
    <w:rsid w:val="64A89E2A"/>
    <w:rsid w:val="64BE860F"/>
    <w:rsid w:val="64CC856E"/>
    <w:rsid w:val="64DD1BE5"/>
    <w:rsid w:val="65120F7D"/>
    <w:rsid w:val="651FD2E6"/>
    <w:rsid w:val="6521C73B"/>
    <w:rsid w:val="652CF95A"/>
    <w:rsid w:val="65B665AB"/>
    <w:rsid w:val="65CBEF35"/>
    <w:rsid w:val="65FB2401"/>
    <w:rsid w:val="66170D86"/>
    <w:rsid w:val="663615BE"/>
    <w:rsid w:val="665197A9"/>
    <w:rsid w:val="6651FA80"/>
    <w:rsid w:val="6677F900"/>
    <w:rsid w:val="668EC516"/>
    <w:rsid w:val="66B99646"/>
    <w:rsid w:val="66CBF77D"/>
    <w:rsid w:val="66E055A3"/>
    <w:rsid w:val="66E7C137"/>
    <w:rsid w:val="66EBC4B2"/>
    <w:rsid w:val="6728C557"/>
    <w:rsid w:val="672DF083"/>
    <w:rsid w:val="67563731"/>
    <w:rsid w:val="675CD593"/>
    <w:rsid w:val="675F0D9F"/>
    <w:rsid w:val="67A174EB"/>
    <w:rsid w:val="67B44452"/>
    <w:rsid w:val="67BD2D24"/>
    <w:rsid w:val="67CC0563"/>
    <w:rsid w:val="67D2BC4B"/>
    <w:rsid w:val="67E21C4D"/>
    <w:rsid w:val="67EF9685"/>
    <w:rsid w:val="67F88159"/>
    <w:rsid w:val="6832007D"/>
    <w:rsid w:val="68537518"/>
    <w:rsid w:val="685AA79A"/>
    <w:rsid w:val="68813068"/>
    <w:rsid w:val="6889405F"/>
    <w:rsid w:val="6893B897"/>
    <w:rsid w:val="68A15261"/>
    <w:rsid w:val="68A2C5DD"/>
    <w:rsid w:val="68BA1129"/>
    <w:rsid w:val="68BD0E70"/>
    <w:rsid w:val="68CC81DB"/>
    <w:rsid w:val="68D1AF3D"/>
    <w:rsid w:val="68E6E07C"/>
    <w:rsid w:val="68E9EE80"/>
    <w:rsid w:val="68FF2163"/>
    <w:rsid w:val="6912BB4D"/>
    <w:rsid w:val="693BD947"/>
    <w:rsid w:val="6940072B"/>
    <w:rsid w:val="696AB797"/>
    <w:rsid w:val="6998EB65"/>
    <w:rsid w:val="69AF7C0D"/>
    <w:rsid w:val="69B7E34B"/>
    <w:rsid w:val="69D550E5"/>
    <w:rsid w:val="69D7C63D"/>
    <w:rsid w:val="69E26133"/>
    <w:rsid w:val="6A0911CF"/>
    <w:rsid w:val="6A142B87"/>
    <w:rsid w:val="6A18DC9B"/>
    <w:rsid w:val="6A216555"/>
    <w:rsid w:val="6A21839B"/>
    <w:rsid w:val="6A519670"/>
    <w:rsid w:val="6A590F96"/>
    <w:rsid w:val="6A82C903"/>
    <w:rsid w:val="6AC4E31D"/>
    <w:rsid w:val="6AC5CEFE"/>
    <w:rsid w:val="6AD9A70A"/>
    <w:rsid w:val="6AFE6660"/>
    <w:rsid w:val="6B186044"/>
    <w:rsid w:val="6B1D417D"/>
    <w:rsid w:val="6B256483"/>
    <w:rsid w:val="6B2FFC8D"/>
    <w:rsid w:val="6B569B7D"/>
    <w:rsid w:val="6B6F3425"/>
    <w:rsid w:val="6B9CA3F8"/>
    <w:rsid w:val="6BC06841"/>
    <w:rsid w:val="6C2D17F9"/>
    <w:rsid w:val="6C4F6394"/>
    <w:rsid w:val="6C5A3C36"/>
    <w:rsid w:val="6C5C84D4"/>
    <w:rsid w:val="6C6D8789"/>
    <w:rsid w:val="6C6EBD9E"/>
    <w:rsid w:val="6C727A11"/>
    <w:rsid w:val="6C734C8A"/>
    <w:rsid w:val="6C7E2818"/>
    <w:rsid w:val="6C80109C"/>
    <w:rsid w:val="6C858B46"/>
    <w:rsid w:val="6CD659BC"/>
    <w:rsid w:val="6D07328A"/>
    <w:rsid w:val="6D1856A3"/>
    <w:rsid w:val="6D2B001C"/>
    <w:rsid w:val="6D35907E"/>
    <w:rsid w:val="6DAA72F3"/>
    <w:rsid w:val="6DC41808"/>
    <w:rsid w:val="6DC45AEE"/>
    <w:rsid w:val="6DE5D473"/>
    <w:rsid w:val="6DEC5196"/>
    <w:rsid w:val="6DEFC6DD"/>
    <w:rsid w:val="6E0D580D"/>
    <w:rsid w:val="6E4B1693"/>
    <w:rsid w:val="6E5C5A76"/>
    <w:rsid w:val="6E616C6A"/>
    <w:rsid w:val="6E8C13D3"/>
    <w:rsid w:val="6EFFED25"/>
    <w:rsid w:val="6F038731"/>
    <w:rsid w:val="6F20930A"/>
    <w:rsid w:val="6F2DA296"/>
    <w:rsid w:val="6F3305D9"/>
    <w:rsid w:val="6F4888B5"/>
    <w:rsid w:val="6F510DC4"/>
    <w:rsid w:val="6F5DDFBF"/>
    <w:rsid w:val="6F692348"/>
    <w:rsid w:val="6F749D3C"/>
    <w:rsid w:val="6F803B0E"/>
    <w:rsid w:val="6F8B973E"/>
    <w:rsid w:val="6F8EA4B1"/>
    <w:rsid w:val="6FA74B20"/>
    <w:rsid w:val="6FC9159D"/>
    <w:rsid w:val="70011FE3"/>
    <w:rsid w:val="701A86F4"/>
    <w:rsid w:val="704902DA"/>
    <w:rsid w:val="704A3CFE"/>
    <w:rsid w:val="7050B505"/>
    <w:rsid w:val="70543A81"/>
    <w:rsid w:val="70A44D13"/>
    <w:rsid w:val="70B37411"/>
    <w:rsid w:val="70CAC344"/>
    <w:rsid w:val="70CADEDB"/>
    <w:rsid w:val="70F4DF4D"/>
    <w:rsid w:val="710400B7"/>
    <w:rsid w:val="7129127A"/>
    <w:rsid w:val="713533F9"/>
    <w:rsid w:val="7144AE34"/>
    <w:rsid w:val="716186C0"/>
    <w:rsid w:val="7164E5FE"/>
    <w:rsid w:val="7170B472"/>
    <w:rsid w:val="717C7A8B"/>
    <w:rsid w:val="71903479"/>
    <w:rsid w:val="71CC7167"/>
    <w:rsid w:val="71DC1006"/>
    <w:rsid w:val="71ED4860"/>
    <w:rsid w:val="71FB7C2F"/>
    <w:rsid w:val="71FF3DFA"/>
    <w:rsid w:val="72028CA5"/>
    <w:rsid w:val="7219169E"/>
    <w:rsid w:val="721AB7D2"/>
    <w:rsid w:val="726F4A3D"/>
    <w:rsid w:val="728DAAB0"/>
    <w:rsid w:val="72A6B893"/>
    <w:rsid w:val="72A8BE31"/>
    <w:rsid w:val="72D4BAEA"/>
    <w:rsid w:val="72DC7C28"/>
    <w:rsid w:val="72E78E02"/>
    <w:rsid w:val="72F17E83"/>
    <w:rsid w:val="72F7DFC2"/>
    <w:rsid w:val="730548D3"/>
    <w:rsid w:val="734BC50D"/>
    <w:rsid w:val="737AD6DA"/>
    <w:rsid w:val="7385B26E"/>
    <w:rsid w:val="73864F74"/>
    <w:rsid w:val="73885B65"/>
    <w:rsid w:val="742075EC"/>
    <w:rsid w:val="7442D33C"/>
    <w:rsid w:val="745F217F"/>
    <w:rsid w:val="7460FCD9"/>
    <w:rsid w:val="74B5E0F3"/>
    <w:rsid w:val="74C73F04"/>
    <w:rsid w:val="75016939"/>
    <w:rsid w:val="75122533"/>
    <w:rsid w:val="751CDD51"/>
    <w:rsid w:val="7520003A"/>
    <w:rsid w:val="7536A813"/>
    <w:rsid w:val="75823026"/>
    <w:rsid w:val="75855763"/>
    <w:rsid w:val="75A19C6A"/>
    <w:rsid w:val="75B7150E"/>
    <w:rsid w:val="75B74731"/>
    <w:rsid w:val="75C08CD0"/>
    <w:rsid w:val="75D7E522"/>
    <w:rsid w:val="760FA1B9"/>
    <w:rsid w:val="768393F4"/>
    <w:rsid w:val="768B6150"/>
    <w:rsid w:val="769E7D40"/>
    <w:rsid w:val="769F0F51"/>
    <w:rsid w:val="76B384C3"/>
    <w:rsid w:val="76C168A8"/>
    <w:rsid w:val="76CB98AD"/>
    <w:rsid w:val="76EEB383"/>
    <w:rsid w:val="770F095F"/>
    <w:rsid w:val="772B2F66"/>
    <w:rsid w:val="77362590"/>
    <w:rsid w:val="77362898"/>
    <w:rsid w:val="7791EB31"/>
    <w:rsid w:val="77BA124D"/>
    <w:rsid w:val="77DF529C"/>
    <w:rsid w:val="77E89AE0"/>
    <w:rsid w:val="77F9FDAA"/>
    <w:rsid w:val="781D8E55"/>
    <w:rsid w:val="7829AB75"/>
    <w:rsid w:val="782C2A48"/>
    <w:rsid w:val="78755966"/>
    <w:rsid w:val="78B4F7B4"/>
    <w:rsid w:val="78B9992E"/>
    <w:rsid w:val="78EFC3F3"/>
    <w:rsid w:val="7900FEA6"/>
    <w:rsid w:val="79324F98"/>
    <w:rsid w:val="7945DC99"/>
    <w:rsid w:val="797B22FD"/>
    <w:rsid w:val="7984D6F4"/>
    <w:rsid w:val="79862843"/>
    <w:rsid w:val="79876314"/>
    <w:rsid w:val="79AF501C"/>
    <w:rsid w:val="79B87EC4"/>
    <w:rsid w:val="79D84700"/>
    <w:rsid w:val="7A126026"/>
    <w:rsid w:val="7A248E3D"/>
    <w:rsid w:val="7A354648"/>
    <w:rsid w:val="7A5CE41D"/>
    <w:rsid w:val="7A5F0164"/>
    <w:rsid w:val="7A69C453"/>
    <w:rsid w:val="7A92CFCE"/>
    <w:rsid w:val="7AA3E939"/>
    <w:rsid w:val="7AB9AA1B"/>
    <w:rsid w:val="7AC9418E"/>
    <w:rsid w:val="7ADB335A"/>
    <w:rsid w:val="7AEFEC4D"/>
    <w:rsid w:val="7B61859E"/>
    <w:rsid w:val="7B8E92E5"/>
    <w:rsid w:val="7B8F2CDC"/>
    <w:rsid w:val="7BB3038C"/>
    <w:rsid w:val="7BB80D1D"/>
    <w:rsid w:val="7BC92A47"/>
    <w:rsid w:val="7C35CF0B"/>
    <w:rsid w:val="7C36012E"/>
    <w:rsid w:val="7C57D0D0"/>
    <w:rsid w:val="7C871541"/>
    <w:rsid w:val="7C92E859"/>
    <w:rsid w:val="7CB4E205"/>
    <w:rsid w:val="7CD6EDD7"/>
    <w:rsid w:val="7D1136CC"/>
    <w:rsid w:val="7D32E9CC"/>
    <w:rsid w:val="7D3492A2"/>
    <w:rsid w:val="7D50C8C8"/>
    <w:rsid w:val="7D530AAA"/>
    <w:rsid w:val="7D7328AB"/>
    <w:rsid w:val="7D81008F"/>
    <w:rsid w:val="7DC0FA64"/>
    <w:rsid w:val="7DC748DE"/>
    <w:rsid w:val="7DCC41C9"/>
    <w:rsid w:val="7DDD7577"/>
    <w:rsid w:val="7DFD1056"/>
    <w:rsid w:val="7E3B8713"/>
    <w:rsid w:val="7E51A165"/>
    <w:rsid w:val="7E651917"/>
    <w:rsid w:val="7E6B887B"/>
    <w:rsid w:val="7E72B64C"/>
    <w:rsid w:val="7E79F90F"/>
    <w:rsid w:val="7E7C9172"/>
    <w:rsid w:val="7E891335"/>
    <w:rsid w:val="7EF771AB"/>
    <w:rsid w:val="7F1477E7"/>
    <w:rsid w:val="7F4F246B"/>
    <w:rsid w:val="7F57CA2C"/>
    <w:rsid w:val="7F98285E"/>
    <w:rsid w:val="7FAD7C08"/>
    <w:rsid w:val="7FE11CE4"/>
    <w:rsid w:val="7FE93849"/>
    <w:rsid w:val="7FF109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A1AE6"/>
  <w15:docId w15:val="{A9FE482D-84AA-47C1-94C6-BE450615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4CD"/>
    <w:pPr>
      <w:spacing w:before="120" w:after="120" w:line="240" w:lineRule="auto"/>
      <w:jc w:val="both"/>
    </w:pPr>
    <w:rPr>
      <w:rFonts w:ascii="Times New Roman" w:eastAsia="Calibri" w:hAnsi="Times New Roman" w:cs="Times New Roman"/>
      <w:sz w:val="24"/>
      <w:szCs w:val="20"/>
      <w:lang w:eastAsia="pl-PL" w:bidi="pl-PL"/>
    </w:rPr>
  </w:style>
  <w:style w:type="paragraph" w:styleId="Nagwek1">
    <w:name w:val="heading 1"/>
    <w:basedOn w:val="Normalny"/>
    <w:next w:val="Normalny"/>
    <w:link w:val="Nagwek1Znak"/>
    <w:uiPriority w:val="9"/>
    <w:qFormat/>
    <w:rsid w:val="00EE43C5"/>
    <w:pPr>
      <w:keepNext/>
      <w:keepLines/>
      <w:numPr>
        <w:numId w:val="1"/>
      </w:numPr>
      <w:spacing w:before="240" w:after="0"/>
      <w:ind w:left="360"/>
      <w:outlineLvl w:val="0"/>
    </w:pPr>
    <w:rPr>
      <w:rFonts w:asciiTheme="minorHAnsi" w:eastAsiaTheme="majorEastAsia" w:hAnsiTheme="minorHAnsi" w:cstheme="majorBidi"/>
      <w:b/>
      <w:color w:val="2F5496" w:themeColor="accent5" w:themeShade="BF"/>
      <w:szCs w:val="32"/>
    </w:rPr>
  </w:style>
  <w:style w:type="paragraph" w:styleId="Nagwek2">
    <w:name w:val="heading 2"/>
    <w:basedOn w:val="Normalny"/>
    <w:next w:val="Normalny"/>
    <w:link w:val="Nagwek2Znak"/>
    <w:uiPriority w:val="9"/>
    <w:qFormat/>
    <w:rsid w:val="00EE43C5"/>
    <w:pPr>
      <w:keepNext/>
      <w:numPr>
        <w:numId w:val="2"/>
      </w:numPr>
      <w:spacing w:before="0" w:after="240"/>
      <w:ind w:left="360"/>
      <w:jc w:val="left"/>
      <w:outlineLvl w:val="1"/>
    </w:pPr>
    <w:rPr>
      <w:rFonts w:asciiTheme="minorHAnsi" w:eastAsia="Times New Roman" w:hAnsiTheme="minorHAnsi"/>
      <w:b/>
      <w:color w:val="2F5496" w:themeColor="accent5" w:themeShade="BF"/>
    </w:rPr>
  </w:style>
  <w:style w:type="paragraph" w:styleId="Nagwek3">
    <w:name w:val="heading 3"/>
    <w:basedOn w:val="Normalny"/>
    <w:next w:val="Normalny"/>
    <w:link w:val="Nagwek3Znak"/>
    <w:uiPriority w:val="9"/>
    <w:qFormat/>
    <w:rsid w:val="00EE43C5"/>
    <w:pPr>
      <w:keepNext/>
      <w:tabs>
        <w:tab w:val="num" w:pos="1920"/>
      </w:tabs>
      <w:spacing w:before="0" w:after="240"/>
      <w:ind w:left="840" w:hanging="840"/>
      <w:outlineLvl w:val="2"/>
    </w:pPr>
    <w:rPr>
      <w:rFonts w:asciiTheme="minorHAnsi" w:eastAsia="Times New Roman" w:hAnsiTheme="minorHAnsi"/>
      <w:b/>
      <w:color w:val="2F5496" w:themeColor="accent5" w:themeShade="BF"/>
    </w:rPr>
  </w:style>
  <w:style w:type="paragraph" w:styleId="Nagwek4">
    <w:name w:val="heading 4"/>
    <w:basedOn w:val="Normalny"/>
    <w:next w:val="Normalny"/>
    <w:link w:val="Nagwek4Znak"/>
    <w:uiPriority w:val="9"/>
    <w:qFormat/>
    <w:rsid w:val="00385B19"/>
    <w:pPr>
      <w:keepNext/>
      <w:tabs>
        <w:tab w:val="num" w:pos="2880"/>
      </w:tabs>
      <w:spacing w:before="0" w:after="240"/>
      <w:ind w:left="2880" w:hanging="960"/>
      <w:outlineLvl w:val="3"/>
    </w:pPr>
    <w:rPr>
      <w:rFonts w:eastAsia="Times New Roman"/>
    </w:rPr>
  </w:style>
  <w:style w:type="paragraph" w:styleId="Nagwek5">
    <w:name w:val="heading 5"/>
    <w:basedOn w:val="Normalny"/>
    <w:next w:val="Normalny"/>
    <w:link w:val="Nagwek5Znak"/>
    <w:uiPriority w:val="9"/>
    <w:unhideWhenUsed/>
    <w:qFormat/>
    <w:rsid w:val="0093433C"/>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93433C"/>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93433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9343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9343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D2495"/>
    <w:pPr>
      <w:tabs>
        <w:tab w:val="center" w:pos="4535"/>
        <w:tab w:val="right" w:pos="9071"/>
      </w:tabs>
      <w:spacing w:before="0"/>
    </w:pPr>
    <w:rPr>
      <w:szCs w:val="22"/>
    </w:rPr>
  </w:style>
  <w:style w:type="character" w:customStyle="1" w:styleId="NagwekZnak">
    <w:name w:val="Nagłówek Znak"/>
    <w:basedOn w:val="Domylnaczcionkaakapitu"/>
    <w:link w:val="Nagwek"/>
    <w:uiPriority w:val="99"/>
    <w:rsid w:val="00AD2495"/>
    <w:rPr>
      <w:rFonts w:ascii="Times New Roman" w:eastAsia="Calibri" w:hAnsi="Times New Roman" w:cs="Times New Roman"/>
      <w:sz w:val="24"/>
      <w:lang w:eastAsia="pl-PL" w:bidi="pl-PL"/>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iPriority w:val="99"/>
    <w:unhideWhenUsed/>
    <w:qFormat/>
    <w:rsid w:val="00307C5B"/>
    <w:pPr>
      <w:spacing w:before="0" w:after="0"/>
      <w:ind w:left="720" w:hanging="720"/>
    </w:pPr>
    <w:rPr>
      <w:sz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basedOn w:val="Domylnaczcionkaakapitu"/>
    <w:link w:val="Tekstprzypisudolnego"/>
    <w:uiPriority w:val="99"/>
    <w:rsid w:val="00307C5B"/>
    <w:rPr>
      <w:rFonts w:ascii="Times New Roman" w:eastAsia="Calibri" w:hAnsi="Times New Roman" w:cs="Times New Roman"/>
      <w:sz w:val="20"/>
      <w:szCs w:val="20"/>
      <w:lang w:eastAsia="pl-PL" w:bidi="pl-PL"/>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UPERS"/>
    <w:uiPriority w:val="99"/>
    <w:unhideWhenUsed/>
    <w:qFormat/>
    <w:rsid w:val="00307C5B"/>
    <w:rPr>
      <w:shd w:val="clear" w:color="auto" w:fill="auto"/>
      <w:vertAlign w:val="superscript"/>
    </w:rPr>
  </w:style>
  <w:style w:type="paragraph" w:styleId="Akapitzlist">
    <w:name w:val="List Paragraph"/>
    <w:aliases w:val="Akapit z listą BS,Numerowanie,A_wyliczenie,K-P_odwolanie,Akapit z listą5,maz_wyliczenie,opis dzialania,EPL lista punktowana z wyrózneniem,1st level - Bullet List Paragraph,Lettre d'introduction,Normal bullet 2,Bullet list,List Paragraph"/>
    <w:basedOn w:val="Normalny"/>
    <w:link w:val="AkapitzlistZnak"/>
    <w:uiPriority w:val="34"/>
    <w:qFormat/>
    <w:rsid w:val="00385B19"/>
    <w:pPr>
      <w:ind w:left="720"/>
      <w:contextualSpacing/>
    </w:pPr>
  </w:style>
  <w:style w:type="character" w:customStyle="1" w:styleId="Nagwek1Znak">
    <w:name w:val="Nagłówek 1 Znak"/>
    <w:basedOn w:val="Domylnaczcionkaakapitu"/>
    <w:link w:val="Nagwek1"/>
    <w:uiPriority w:val="9"/>
    <w:rsid w:val="00EE43C5"/>
    <w:rPr>
      <w:rFonts w:eastAsiaTheme="majorEastAsia" w:cstheme="majorBidi"/>
      <w:b/>
      <w:color w:val="2F5496" w:themeColor="accent5" w:themeShade="BF"/>
      <w:sz w:val="24"/>
      <w:szCs w:val="32"/>
      <w:lang w:eastAsia="pl-PL" w:bidi="pl-PL"/>
    </w:rPr>
  </w:style>
  <w:style w:type="character" w:customStyle="1" w:styleId="Nagwek2Znak">
    <w:name w:val="Nagłówek 2 Znak"/>
    <w:basedOn w:val="Domylnaczcionkaakapitu"/>
    <w:link w:val="Nagwek2"/>
    <w:uiPriority w:val="9"/>
    <w:rsid w:val="00EE43C5"/>
    <w:rPr>
      <w:rFonts w:eastAsia="Times New Roman" w:cs="Times New Roman"/>
      <w:b/>
      <w:color w:val="2F5496" w:themeColor="accent5" w:themeShade="BF"/>
      <w:sz w:val="24"/>
      <w:szCs w:val="20"/>
      <w:lang w:eastAsia="pl-PL" w:bidi="pl-PL"/>
    </w:rPr>
  </w:style>
  <w:style w:type="character" w:customStyle="1" w:styleId="Nagwek3Znak">
    <w:name w:val="Nagłówek 3 Znak"/>
    <w:basedOn w:val="Domylnaczcionkaakapitu"/>
    <w:link w:val="Nagwek3"/>
    <w:uiPriority w:val="9"/>
    <w:rsid w:val="00EE43C5"/>
    <w:rPr>
      <w:rFonts w:eastAsia="Times New Roman" w:cs="Times New Roman"/>
      <w:b/>
      <w:color w:val="2F5496" w:themeColor="accent5" w:themeShade="BF"/>
      <w:sz w:val="24"/>
      <w:szCs w:val="20"/>
      <w:lang w:eastAsia="pl-PL" w:bidi="pl-PL"/>
    </w:rPr>
  </w:style>
  <w:style w:type="character" w:customStyle="1" w:styleId="Nagwek4Znak">
    <w:name w:val="Nagłówek 4 Znak"/>
    <w:basedOn w:val="Domylnaczcionkaakapitu"/>
    <w:link w:val="Nagwek4"/>
    <w:uiPriority w:val="9"/>
    <w:rsid w:val="00385B19"/>
    <w:rPr>
      <w:rFonts w:ascii="Times New Roman" w:eastAsia="Times New Roman" w:hAnsi="Times New Roman" w:cs="Times New Roman"/>
      <w:sz w:val="24"/>
      <w:szCs w:val="20"/>
      <w:lang w:eastAsia="pl-PL" w:bidi="pl-PL"/>
    </w:rPr>
  </w:style>
  <w:style w:type="paragraph" w:customStyle="1" w:styleId="Text3">
    <w:name w:val="Text 3"/>
    <w:basedOn w:val="Normalny"/>
    <w:rsid w:val="00385B19"/>
    <w:pPr>
      <w:ind w:left="1984"/>
    </w:pPr>
    <w:rPr>
      <w:szCs w:val="22"/>
    </w:rPr>
  </w:style>
  <w:style w:type="paragraph" w:styleId="Nagwekspisutreci">
    <w:name w:val="TOC Heading"/>
    <w:basedOn w:val="Nagwek1"/>
    <w:next w:val="Normalny"/>
    <w:uiPriority w:val="39"/>
    <w:unhideWhenUsed/>
    <w:qFormat/>
    <w:rsid w:val="00CC12AA"/>
    <w:pPr>
      <w:numPr>
        <w:numId w:val="0"/>
      </w:numPr>
      <w:spacing w:line="259" w:lineRule="auto"/>
      <w:jc w:val="left"/>
      <w:outlineLvl w:val="9"/>
    </w:pPr>
    <w:rPr>
      <w:b w:val="0"/>
      <w:color w:val="2E74B5" w:themeColor="accent1" w:themeShade="BF"/>
      <w:sz w:val="32"/>
      <w:lang w:bidi="ar-SA"/>
    </w:rPr>
  </w:style>
  <w:style w:type="paragraph" w:styleId="Spistreci1">
    <w:name w:val="toc 1"/>
    <w:basedOn w:val="Normalny"/>
    <w:next w:val="Normalny"/>
    <w:autoRedefine/>
    <w:uiPriority w:val="39"/>
    <w:unhideWhenUsed/>
    <w:rsid w:val="009F296A"/>
    <w:pPr>
      <w:tabs>
        <w:tab w:val="left" w:pos="440"/>
        <w:tab w:val="right" w:leader="dot" w:pos="9062"/>
      </w:tabs>
      <w:spacing w:after="100"/>
      <w:ind w:left="426" w:hanging="426"/>
      <w:jc w:val="left"/>
    </w:pPr>
    <w:rPr>
      <w:rFonts w:asciiTheme="minorHAnsi" w:hAnsiTheme="minorHAnsi"/>
      <w:b/>
      <w:noProof/>
      <w:color w:val="003399"/>
      <w:sz w:val="22"/>
      <w:szCs w:val="22"/>
    </w:rPr>
  </w:style>
  <w:style w:type="paragraph" w:styleId="Spistreci2">
    <w:name w:val="toc 2"/>
    <w:basedOn w:val="Normalny"/>
    <w:next w:val="Normalny"/>
    <w:autoRedefine/>
    <w:uiPriority w:val="39"/>
    <w:unhideWhenUsed/>
    <w:rsid w:val="00AE4C37"/>
    <w:pPr>
      <w:tabs>
        <w:tab w:val="right" w:leader="dot" w:pos="9061"/>
      </w:tabs>
      <w:spacing w:after="100"/>
      <w:ind w:left="240"/>
    </w:pPr>
  </w:style>
  <w:style w:type="character" w:styleId="Hipercze">
    <w:name w:val="Hyperlink"/>
    <w:basedOn w:val="Domylnaczcionkaakapitu"/>
    <w:uiPriority w:val="99"/>
    <w:unhideWhenUsed/>
    <w:rsid w:val="00CC12AA"/>
    <w:rPr>
      <w:color w:val="0563C1" w:themeColor="hyperlink"/>
      <w:u w:val="single"/>
    </w:rPr>
  </w:style>
  <w:style w:type="paragraph" w:styleId="Spistreci3">
    <w:name w:val="toc 3"/>
    <w:basedOn w:val="Normalny"/>
    <w:next w:val="Normalny"/>
    <w:autoRedefine/>
    <w:uiPriority w:val="39"/>
    <w:unhideWhenUsed/>
    <w:rsid w:val="00275613"/>
    <w:pPr>
      <w:spacing w:before="0" w:after="100" w:line="259" w:lineRule="auto"/>
      <w:ind w:left="440"/>
      <w:jc w:val="left"/>
    </w:pPr>
    <w:rPr>
      <w:rFonts w:asciiTheme="minorHAnsi" w:eastAsiaTheme="minorEastAsia" w:hAnsiTheme="minorHAnsi"/>
      <w:sz w:val="22"/>
      <w:szCs w:val="22"/>
      <w:lang w:bidi="ar-SA"/>
    </w:rPr>
  </w:style>
  <w:style w:type="character" w:styleId="Odwoaniedokomentarza">
    <w:name w:val="annotation reference"/>
    <w:basedOn w:val="Domylnaczcionkaakapitu"/>
    <w:uiPriority w:val="99"/>
    <w:unhideWhenUsed/>
    <w:qFormat/>
    <w:rsid w:val="00E94838"/>
    <w:rPr>
      <w:sz w:val="16"/>
      <w:szCs w:val="16"/>
    </w:rPr>
  </w:style>
  <w:style w:type="paragraph" w:styleId="Tekstkomentarza">
    <w:name w:val="annotation text"/>
    <w:basedOn w:val="Normalny"/>
    <w:link w:val="TekstkomentarzaZnak"/>
    <w:uiPriority w:val="99"/>
    <w:unhideWhenUsed/>
    <w:qFormat/>
    <w:rsid w:val="00E94838"/>
    <w:pPr>
      <w:spacing w:before="0" w:after="160"/>
      <w:jc w:val="left"/>
    </w:pPr>
    <w:rPr>
      <w:rFonts w:asciiTheme="minorHAnsi" w:eastAsiaTheme="minorHAnsi" w:hAnsiTheme="minorHAnsi" w:cstheme="minorBidi"/>
      <w:sz w:val="20"/>
      <w:lang w:eastAsia="en-US" w:bidi="ar-SA"/>
    </w:rPr>
  </w:style>
  <w:style w:type="character" w:customStyle="1" w:styleId="TekstkomentarzaZnak">
    <w:name w:val="Tekst komentarza Znak"/>
    <w:basedOn w:val="Domylnaczcionkaakapitu"/>
    <w:link w:val="Tekstkomentarza"/>
    <w:uiPriority w:val="99"/>
    <w:qFormat/>
    <w:rsid w:val="00E94838"/>
    <w:rPr>
      <w:sz w:val="20"/>
      <w:szCs w:val="20"/>
    </w:rPr>
  </w:style>
  <w:style w:type="paragraph" w:styleId="Stopka">
    <w:name w:val="footer"/>
    <w:basedOn w:val="Normalny"/>
    <w:link w:val="StopkaZnak"/>
    <w:uiPriority w:val="99"/>
    <w:unhideWhenUsed/>
    <w:rsid w:val="00E36770"/>
    <w:pPr>
      <w:tabs>
        <w:tab w:val="center" w:pos="4536"/>
        <w:tab w:val="right" w:pos="9072"/>
      </w:tabs>
      <w:spacing w:before="0" w:after="0"/>
    </w:pPr>
  </w:style>
  <w:style w:type="character" w:customStyle="1" w:styleId="StopkaZnak">
    <w:name w:val="Stopka Znak"/>
    <w:basedOn w:val="Domylnaczcionkaakapitu"/>
    <w:link w:val="Stopka"/>
    <w:uiPriority w:val="99"/>
    <w:rsid w:val="00E36770"/>
    <w:rPr>
      <w:rFonts w:ascii="Times New Roman" w:eastAsia="Calibri" w:hAnsi="Times New Roman" w:cs="Times New Roman"/>
      <w:sz w:val="24"/>
      <w:szCs w:val="20"/>
      <w:lang w:eastAsia="pl-PL" w:bidi="pl-PL"/>
    </w:rPr>
  </w:style>
  <w:style w:type="table" w:styleId="Tabela-Siatka">
    <w:name w:val="Table Grid"/>
    <w:basedOn w:val="Standardowy"/>
    <w:uiPriority w:val="39"/>
    <w:unhideWhenUsed/>
    <w:rsid w:val="007440D3"/>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unhideWhenUsed/>
    <w:rsid w:val="00E21AB9"/>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unhideWhenUsed/>
    <w:rsid w:val="00BD7E4B"/>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0B38D2"/>
    <w:pPr>
      <w:spacing w:before="0" w:line="276" w:lineRule="auto"/>
      <w:ind w:left="283"/>
      <w:jc w:val="left"/>
    </w:pPr>
    <w:rPr>
      <w:rFonts w:ascii="Calibri" w:eastAsia="Times New Roman" w:hAnsi="Calibri"/>
      <w:sz w:val="22"/>
      <w:szCs w:val="22"/>
      <w:lang w:eastAsia="en-US" w:bidi="ar-SA"/>
    </w:rPr>
  </w:style>
  <w:style w:type="character" w:customStyle="1" w:styleId="TekstpodstawowywcityZnak">
    <w:name w:val="Tekst podstawowy wcięty Znak"/>
    <w:basedOn w:val="Domylnaczcionkaakapitu"/>
    <w:link w:val="Tekstpodstawowywcity"/>
    <w:rsid w:val="000B38D2"/>
    <w:rPr>
      <w:rFonts w:ascii="Calibri" w:eastAsia="Times New Roman" w:hAnsi="Calibri" w:cs="Times New Roman"/>
    </w:rPr>
  </w:style>
  <w:style w:type="paragraph" w:customStyle="1" w:styleId="podrozwyr">
    <w:name w:val="podroz wyróż"/>
    <w:basedOn w:val="Normalny"/>
    <w:uiPriority w:val="99"/>
    <w:qFormat/>
    <w:rsid w:val="000B38D2"/>
    <w:pPr>
      <w:spacing w:before="360" w:after="240"/>
      <w:jc w:val="left"/>
      <w:outlineLvl w:val="0"/>
    </w:pPr>
    <w:rPr>
      <w:rFonts w:ascii="Calibri" w:eastAsia="Times New Roman" w:hAnsi="Calibri" w:cs="Calibri"/>
      <w:b/>
      <w:color w:val="0070C0"/>
      <w:sz w:val="28"/>
      <w:szCs w:val="30"/>
      <w:lang w:bidi="ar-SA"/>
    </w:rPr>
  </w:style>
  <w:style w:type="table" w:customStyle="1" w:styleId="Tabela-Siatka3">
    <w:name w:val="Tabela - Siatka3"/>
    <w:basedOn w:val="Standardowy"/>
    <w:next w:val="Tabela-Siatka"/>
    <w:uiPriority w:val="59"/>
    <w:unhideWhenUsed/>
    <w:rsid w:val="00C818DD"/>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4757"/>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757"/>
    <w:rPr>
      <w:rFonts w:ascii="Segoe UI" w:eastAsia="Calibri" w:hAnsi="Segoe UI" w:cs="Segoe UI"/>
      <w:sz w:val="18"/>
      <w:szCs w:val="18"/>
      <w:lang w:eastAsia="pl-PL" w:bidi="pl-PL"/>
    </w:rPr>
  </w:style>
  <w:style w:type="paragraph" w:styleId="Tematkomentarza">
    <w:name w:val="annotation subject"/>
    <w:basedOn w:val="Tekstkomentarza"/>
    <w:next w:val="Tekstkomentarza"/>
    <w:link w:val="TematkomentarzaZnak"/>
    <w:uiPriority w:val="99"/>
    <w:semiHidden/>
    <w:unhideWhenUsed/>
    <w:rsid w:val="00E923F3"/>
    <w:pPr>
      <w:spacing w:before="120" w:after="120"/>
      <w:jc w:val="both"/>
    </w:pPr>
    <w:rPr>
      <w:rFonts w:ascii="Times New Roman" w:eastAsia="Calibri" w:hAnsi="Times New Roman" w:cs="Times New Roman"/>
      <w:b/>
      <w:bCs/>
      <w:lang w:eastAsia="pl-PL" w:bidi="pl-PL"/>
    </w:rPr>
  </w:style>
  <w:style w:type="character" w:customStyle="1" w:styleId="TematkomentarzaZnak">
    <w:name w:val="Temat komentarza Znak"/>
    <w:basedOn w:val="TekstkomentarzaZnak"/>
    <w:link w:val="Tematkomentarza"/>
    <w:uiPriority w:val="99"/>
    <w:semiHidden/>
    <w:rsid w:val="00E923F3"/>
    <w:rPr>
      <w:rFonts w:ascii="Times New Roman" w:eastAsia="Calibri" w:hAnsi="Times New Roman" w:cs="Times New Roman"/>
      <w:b/>
      <w:bCs/>
      <w:sz w:val="20"/>
      <w:szCs w:val="20"/>
      <w:lang w:eastAsia="pl-PL" w:bidi="pl-PL"/>
    </w:rPr>
  </w:style>
  <w:style w:type="table" w:customStyle="1" w:styleId="Tabela-Siatka4">
    <w:name w:val="Tabela - Siatka4"/>
    <w:basedOn w:val="Standardowy"/>
    <w:next w:val="Tabela-Siatka"/>
    <w:uiPriority w:val="59"/>
    <w:unhideWhenUsed/>
    <w:rsid w:val="00130875"/>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unhideWhenUsed/>
    <w:rsid w:val="00130875"/>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unhideWhenUsed/>
    <w:rsid w:val="00285695"/>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unhideWhenUsed/>
    <w:rsid w:val="00285695"/>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unhideWhenUsed/>
    <w:rsid w:val="00F4793D"/>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unhideWhenUsed/>
    <w:rsid w:val="002C620C"/>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2C620C"/>
  </w:style>
  <w:style w:type="character" w:customStyle="1" w:styleId="Text1Char">
    <w:name w:val="Text 1 Char"/>
    <w:link w:val="Text1"/>
    <w:locked/>
    <w:rsid w:val="007D5C6D"/>
    <w:rPr>
      <w:rFonts w:ascii="Times New Roman" w:hAnsi="Times New Roman"/>
      <w:sz w:val="24"/>
    </w:rPr>
  </w:style>
  <w:style w:type="paragraph" w:customStyle="1" w:styleId="Text1">
    <w:name w:val="Text 1"/>
    <w:basedOn w:val="Normalny"/>
    <w:link w:val="Text1Char"/>
    <w:rsid w:val="007D5C6D"/>
    <w:pPr>
      <w:ind w:left="850"/>
    </w:pPr>
    <w:rPr>
      <w:rFonts w:eastAsiaTheme="minorHAnsi" w:cstheme="minorBidi"/>
      <w:szCs w:val="22"/>
      <w:lang w:eastAsia="en-US" w:bidi="ar-SA"/>
    </w:rPr>
  </w:style>
  <w:style w:type="table" w:customStyle="1" w:styleId="Tabela-Siatka10">
    <w:name w:val="Tabela - Siatka10"/>
    <w:basedOn w:val="Standardowy"/>
    <w:next w:val="Tabela-Siatka"/>
    <w:uiPriority w:val="59"/>
    <w:unhideWhenUsed/>
    <w:rsid w:val="005F02C4"/>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unhideWhenUsed/>
    <w:rsid w:val="005F02C4"/>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45062"/>
    <w:pPr>
      <w:spacing w:after="0" w:line="240" w:lineRule="auto"/>
    </w:pPr>
    <w:rPr>
      <w:rFonts w:ascii="Times New Roman" w:eastAsia="Calibri" w:hAnsi="Times New Roman" w:cs="Times New Roman"/>
      <w:sz w:val="24"/>
      <w:szCs w:val="20"/>
      <w:lang w:eastAsia="pl-PL" w:bidi="pl-PL"/>
    </w:rPr>
  </w:style>
  <w:style w:type="character" w:styleId="UyteHipercze">
    <w:name w:val="FollowedHyperlink"/>
    <w:basedOn w:val="Domylnaczcionkaakapitu"/>
    <w:uiPriority w:val="99"/>
    <w:semiHidden/>
    <w:unhideWhenUsed/>
    <w:rsid w:val="00951E4E"/>
    <w:rPr>
      <w:color w:val="954F72" w:themeColor="followedHyperlink"/>
      <w:u w:val="single"/>
    </w:rPr>
  </w:style>
  <w:style w:type="character" w:customStyle="1" w:styleId="AkapitzlistZnak">
    <w:name w:val="Akapit z listą Znak"/>
    <w:aliases w:val="Akapit z listą BS Znak,Numerowanie Znak,A_wyliczenie Znak,K-P_odwolanie Znak,Akapit z listą5 Znak,maz_wyliczenie Znak,opis dzialania Znak,EPL lista punktowana z wyrózneniem Znak,1st level - Bullet List Paragraph Znak,Bullet list Znak"/>
    <w:link w:val="Akapitzlist"/>
    <w:uiPriority w:val="34"/>
    <w:qFormat/>
    <w:locked/>
    <w:rsid w:val="003F054A"/>
    <w:rPr>
      <w:rFonts w:ascii="Times New Roman" w:eastAsia="Calibri" w:hAnsi="Times New Roman" w:cs="Times New Roman"/>
      <w:sz w:val="24"/>
      <w:szCs w:val="20"/>
      <w:lang w:eastAsia="pl-PL" w:bidi="pl-PL"/>
    </w:rPr>
  </w:style>
  <w:style w:type="paragraph" w:styleId="Tekstprzypisukocowego">
    <w:name w:val="endnote text"/>
    <w:basedOn w:val="Normalny"/>
    <w:link w:val="TekstprzypisukocowegoZnak"/>
    <w:uiPriority w:val="99"/>
    <w:unhideWhenUsed/>
    <w:rsid w:val="004940E9"/>
    <w:pPr>
      <w:spacing w:before="0" w:after="0"/>
    </w:pPr>
    <w:rPr>
      <w:sz w:val="20"/>
    </w:rPr>
  </w:style>
  <w:style w:type="character" w:customStyle="1" w:styleId="TekstprzypisukocowegoZnak">
    <w:name w:val="Tekst przypisu końcowego Znak"/>
    <w:basedOn w:val="Domylnaczcionkaakapitu"/>
    <w:link w:val="Tekstprzypisukocowego"/>
    <w:uiPriority w:val="99"/>
    <w:rsid w:val="004940E9"/>
    <w:rPr>
      <w:rFonts w:ascii="Times New Roman" w:eastAsia="Calibri" w:hAnsi="Times New Roman" w:cs="Times New Roman"/>
      <w:sz w:val="20"/>
      <w:szCs w:val="20"/>
      <w:lang w:eastAsia="pl-PL" w:bidi="pl-PL"/>
    </w:rPr>
  </w:style>
  <w:style w:type="character" w:styleId="Odwoanieprzypisukocowego">
    <w:name w:val="endnote reference"/>
    <w:basedOn w:val="Domylnaczcionkaakapitu"/>
    <w:uiPriority w:val="99"/>
    <w:semiHidden/>
    <w:unhideWhenUsed/>
    <w:rsid w:val="004940E9"/>
    <w:rPr>
      <w:vertAlign w:val="superscript"/>
    </w:rPr>
  </w:style>
  <w:style w:type="paragraph" w:styleId="Bezodstpw">
    <w:name w:val="No Spacing"/>
    <w:uiPriority w:val="1"/>
    <w:qFormat/>
    <w:rsid w:val="00AE019B"/>
    <w:pPr>
      <w:spacing w:after="0" w:line="240" w:lineRule="auto"/>
      <w:jc w:val="both"/>
    </w:pPr>
    <w:rPr>
      <w:rFonts w:ascii="Times New Roman" w:eastAsia="Calibri" w:hAnsi="Times New Roman" w:cs="Times New Roman"/>
      <w:sz w:val="24"/>
      <w:szCs w:val="20"/>
      <w:lang w:eastAsia="pl-PL" w:bidi="pl-PL"/>
    </w:rPr>
  </w:style>
  <w:style w:type="paragraph" w:customStyle="1" w:styleId="Default">
    <w:name w:val="Default"/>
    <w:rsid w:val="005F795B"/>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4D53C4"/>
    <w:rPr>
      <w:szCs w:val="24"/>
    </w:rPr>
  </w:style>
  <w:style w:type="numbering" w:customStyle="1" w:styleId="Bezlisty1">
    <w:name w:val="Bez listy1"/>
    <w:next w:val="Bezlisty"/>
    <w:uiPriority w:val="99"/>
    <w:semiHidden/>
    <w:unhideWhenUsed/>
    <w:rsid w:val="00A43991"/>
  </w:style>
  <w:style w:type="table" w:customStyle="1" w:styleId="Tabela-Siatka21">
    <w:name w:val="Tabela - Siatka21"/>
    <w:basedOn w:val="Standardowy"/>
    <w:next w:val="Tabela-Siatka"/>
    <w:uiPriority w:val="59"/>
    <w:unhideWhenUsed/>
    <w:rsid w:val="00A43991"/>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unhideWhenUsed/>
    <w:rsid w:val="00A43991"/>
    <w:pPr>
      <w:spacing w:after="0" w:line="240" w:lineRule="auto"/>
    </w:pPr>
    <w:rPr>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57E08"/>
  </w:style>
  <w:style w:type="character" w:customStyle="1" w:styleId="tlid-translation">
    <w:name w:val="tlid-translation"/>
    <w:rsid w:val="00E8684E"/>
  </w:style>
  <w:style w:type="character" w:styleId="Pogrubienie">
    <w:name w:val="Strong"/>
    <w:basedOn w:val="Domylnaczcionkaakapitu"/>
    <w:uiPriority w:val="22"/>
    <w:qFormat/>
    <w:rsid w:val="000B2A48"/>
    <w:rPr>
      <w:b/>
      <w:bCs/>
    </w:rPr>
  </w:style>
  <w:style w:type="character" w:customStyle="1" w:styleId="normaltextrun">
    <w:name w:val="normaltextrun"/>
    <w:basedOn w:val="Domylnaczcionkaakapitu"/>
    <w:rsid w:val="00572CDE"/>
  </w:style>
  <w:style w:type="character" w:customStyle="1" w:styleId="Nagwek5Znak">
    <w:name w:val="Nagłówek 5 Znak"/>
    <w:basedOn w:val="Domylnaczcionkaakapitu"/>
    <w:link w:val="Nagwek5"/>
    <w:uiPriority w:val="9"/>
    <w:rsid w:val="0093433C"/>
    <w:rPr>
      <w:rFonts w:asciiTheme="majorHAnsi" w:eastAsiaTheme="majorEastAsia" w:hAnsiTheme="majorHAnsi" w:cstheme="majorBidi"/>
      <w:color w:val="2E74B5" w:themeColor="accent1" w:themeShade="BF"/>
      <w:sz w:val="24"/>
      <w:szCs w:val="20"/>
      <w:lang w:eastAsia="pl-PL" w:bidi="pl-PL"/>
    </w:rPr>
  </w:style>
  <w:style w:type="character" w:customStyle="1" w:styleId="Nagwek6Znak">
    <w:name w:val="Nagłówek 6 Znak"/>
    <w:basedOn w:val="Domylnaczcionkaakapitu"/>
    <w:link w:val="Nagwek6"/>
    <w:uiPriority w:val="9"/>
    <w:rsid w:val="0093433C"/>
    <w:rPr>
      <w:rFonts w:asciiTheme="majorHAnsi" w:eastAsiaTheme="majorEastAsia" w:hAnsiTheme="majorHAnsi" w:cstheme="majorBidi"/>
      <w:color w:val="1F4D78" w:themeColor="accent1" w:themeShade="7F"/>
      <w:sz w:val="24"/>
      <w:szCs w:val="20"/>
      <w:lang w:eastAsia="pl-PL" w:bidi="pl-PL"/>
    </w:rPr>
  </w:style>
  <w:style w:type="character" w:customStyle="1" w:styleId="Nagwek7Znak">
    <w:name w:val="Nagłówek 7 Znak"/>
    <w:basedOn w:val="Domylnaczcionkaakapitu"/>
    <w:link w:val="Nagwek7"/>
    <w:uiPriority w:val="9"/>
    <w:rsid w:val="0093433C"/>
    <w:rPr>
      <w:rFonts w:asciiTheme="majorHAnsi" w:eastAsiaTheme="majorEastAsia" w:hAnsiTheme="majorHAnsi" w:cstheme="majorBidi"/>
      <w:i/>
      <w:iCs/>
      <w:color w:val="1F4D78" w:themeColor="accent1" w:themeShade="7F"/>
      <w:sz w:val="24"/>
      <w:szCs w:val="20"/>
      <w:lang w:eastAsia="pl-PL" w:bidi="pl-PL"/>
    </w:rPr>
  </w:style>
  <w:style w:type="character" w:customStyle="1" w:styleId="Nagwek8Znak">
    <w:name w:val="Nagłówek 8 Znak"/>
    <w:basedOn w:val="Domylnaczcionkaakapitu"/>
    <w:link w:val="Nagwek8"/>
    <w:uiPriority w:val="9"/>
    <w:rsid w:val="0093433C"/>
    <w:rPr>
      <w:rFonts w:asciiTheme="majorHAnsi" w:eastAsiaTheme="majorEastAsia" w:hAnsiTheme="majorHAnsi" w:cstheme="majorBidi"/>
      <w:color w:val="272727" w:themeColor="text1" w:themeTint="D8"/>
      <w:sz w:val="21"/>
      <w:szCs w:val="21"/>
      <w:lang w:eastAsia="pl-PL" w:bidi="pl-PL"/>
    </w:rPr>
  </w:style>
  <w:style w:type="character" w:customStyle="1" w:styleId="Nagwek9Znak">
    <w:name w:val="Nagłówek 9 Znak"/>
    <w:basedOn w:val="Domylnaczcionkaakapitu"/>
    <w:link w:val="Nagwek9"/>
    <w:uiPriority w:val="9"/>
    <w:rsid w:val="0093433C"/>
    <w:rPr>
      <w:rFonts w:asciiTheme="majorHAnsi" w:eastAsiaTheme="majorEastAsia" w:hAnsiTheme="majorHAnsi" w:cstheme="majorBidi"/>
      <w:i/>
      <w:iCs/>
      <w:color w:val="272727" w:themeColor="text1" w:themeTint="D8"/>
      <w:sz w:val="21"/>
      <w:szCs w:val="21"/>
      <w:lang w:eastAsia="pl-PL" w:bidi="pl-PL"/>
    </w:rPr>
  </w:style>
  <w:style w:type="paragraph" w:styleId="Lista">
    <w:name w:val="List"/>
    <w:basedOn w:val="Normalny"/>
    <w:uiPriority w:val="99"/>
    <w:unhideWhenUsed/>
    <w:rsid w:val="0093433C"/>
    <w:pPr>
      <w:ind w:left="283" w:hanging="283"/>
      <w:contextualSpacing/>
    </w:pPr>
  </w:style>
  <w:style w:type="paragraph" w:styleId="Lista2">
    <w:name w:val="List 2"/>
    <w:basedOn w:val="Normalny"/>
    <w:uiPriority w:val="99"/>
    <w:unhideWhenUsed/>
    <w:rsid w:val="0093433C"/>
    <w:pPr>
      <w:ind w:left="566" w:hanging="283"/>
      <w:contextualSpacing/>
    </w:pPr>
  </w:style>
  <w:style w:type="paragraph" w:styleId="Lista3">
    <w:name w:val="List 3"/>
    <w:basedOn w:val="Normalny"/>
    <w:uiPriority w:val="99"/>
    <w:unhideWhenUsed/>
    <w:rsid w:val="0093433C"/>
    <w:pPr>
      <w:ind w:left="849" w:hanging="283"/>
      <w:contextualSpacing/>
    </w:pPr>
  </w:style>
  <w:style w:type="paragraph" w:styleId="Lista4">
    <w:name w:val="List 4"/>
    <w:basedOn w:val="Normalny"/>
    <w:uiPriority w:val="99"/>
    <w:unhideWhenUsed/>
    <w:rsid w:val="0093433C"/>
    <w:pPr>
      <w:ind w:left="1132" w:hanging="283"/>
      <w:contextualSpacing/>
    </w:pPr>
  </w:style>
  <w:style w:type="paragraph" w:styleId="Lista5">
    <w:name w:val="List 5"/>
    <w:basedOn w:val="Normalny"/>
    <w:uiPriority w:val="99"/>
    <w:unhideWhenUsed/>
    <w:rsid w:val="0093433C"/>
    <w:pPr>
      <w:ind w:left="1415" w:hanging="283"/>
      <w:contextualSpacing/>
    </w:pPr>
  </w:style>
  <w:style w:type="paragraph" w:styleId="Listapunktowana">
    <w:name w:val="List Bullet"/>
    <w:basedOn w:val="Normalny"/>
    <w:uiPriority w:val="99"/>
    <w:unhideWhenUsed/>
    <w:rsid w:val="0093433C"/>
    <w:pPr>
      <w:numPr>
        <w:numId w:val="161"/>
      </w:numPr>
      <w:contextualSpacing/>
    </w:pPr>
  </w:style>
  <w:style w:type="paragraph" w:styleId="Listapunktowana2">
    <w:name w:val="List Bullet 2"/>
    <w:basedOn w:val="Normalny"/>
    <w:uiPriority w:val="99"/>
    <w:unhideWhenUsed/>
    <w:rsid w:val="0093433C"/>
    <w:pPr>
      <w:numPr>
        <w:numId w:val="162"/>
      </w:numPr>
      <w:contextualSpacing/>
    </w:pPr>
  </w:style>
  <w:style w:type="paragraph" w:styleId="Listapunktowana3">
    <w:name w:val="List Bullet 3"/>
    <w:basedOn w:val="Normalny"/>
    <w:uiPriority w:val="99"/>
    <w:unhideWhenUsed/>
    <w:rsid w:val="0093433C"/>
    <w:pPr>
      <w:numPr>
        <w:numId w:val="163"/>
      </w:numPr>
      <w:contextualSpacing/>
    </w:pPr>
  </w:style>
  <w:style w:type="paragraph" w:styleId="Listapunktowana4">
    <w:name w:val="List Bullet 4"/>
    <w:basedOn w:val="Normalny"/>
    <w:uiPriority w:val="99"/>
    <w:unhideWhenUsed/>
    <w:rsid w:val="0093433C"/>
    <w:pPr>
      <w:numPr>
        <w:numId w:val="164"/>
      </w:numPr>
      <w:contextualSpacing/>
    </w:pPr>
  </w:style>
  <w:style w:type="paragraph" w:styleId="Listapunktowana5">
    <w:name w:val="List Bullet 5"/>
    <w:basedOn w:val="Normalny"/>
    <w:uiPriority w:val="99"/>
    <w:unhideWhenUsed/>
    <w:rsid w:val="0093433C"/>
    <w:pPr>
      <w:numPr>
        <w:numId w:val="165"/>
      </w:numPr>
      <w:contextualSpacing/>
    </w:pPr>
  </w:style>
  <w:style w:type="paragraph" w:styleId="Lista-kontynuacja">
    <w:name w:val="List Continue"/>
    <w:basedOn w:val="Normalny"/>
    <w:uiPriority w:val="99"/>
    <w:unhideWhenUsed/>
    <w:rsid w:val="0093433C"/>
    <w:pPr>
      <w:ind w:left="283"/>
      <w:contextualSpacing/>
    </w:pPr>
  </w:style>
  <w:style w:type="paragraph" w:styleId="Lista-kontynuacja2">
    <w:name w:val="List Continue 2"/>
    <w:basedOn w:val="Normalny"/>
    <w:uiPriority w:val="99"/>
    <w:unhideWhenUsed/>
    <w:rsid w:val="0093433C"/>
    <w:pPr>
      <w:ind w:left="566"/>
      <w:contextualSpacing/>
    </w:pPr>
  </w:style>
  <w:style w:type="paragraph" w:styleId="Lista-kontynuacja3">
    <w:name w:val="List Continue 3"/>
    <w:basedOn w:val="Normalny"/>
    <w:uiPriority w:val="99"/>
    <w:unhideWhenUsed/>
    <w:rsid w:val="0093433C"/>
    <w:pPr>
      <w:ind w:left="849"/>
      <w:contextualSpacing/>
    </w:pPr>
  </w:style>
  <w:style w:type="paragraph" w:styleId="Legenda">
    <w:name w:val="caption"/>
    <w:basedOn w:val="Normalny"/>
    <w:next w:val="Normalny"/>
    <w:uiPriority w:val="35"/>
    <w:unhideWhenUsed/>
    <w:qFormat/>
    <w:rsid w:val="0093433C"/>
    <w:pPr>
      <w:spacing w:before="0" w:after="200"/>
    </w:pPr>
    <w:rPr>
      <w:i/>
      <w:iCs/>
      <w:color w:val="44546A" w:themeColor="text2"/>
      <w:sz w:val="18"/>
      <w:szCs w:val="18"/>
    </w:rPr>
  </w:style>
  <w:style w:type="paragraph" w:styleId="Tekstpodstawowy">
    <w:name w:val="Body Text"/>
    <w:basedOn w:val="Normalny"/>
    <w:link w:val="TekstpodstawowyZnak"/>
    <w:uiPriority w:val="99"/>
    <w:unhideWhenUsed/>
    <w:rsid w:val="0093433C"/>
  </w:style>
  <w:style w:type="character" w:customStyle="1" w:styleId="TekstpodstawowyZnak">
    <w:name w:val="Tekst podstawowy Znak"/>
    <w:basedOn w:val="Domylnaczcionkaakapitu"/>
    <w:link w:val="Tekstpodstawowy"/>
    <w:uiPriority w:val="99"/>
    <w:rsid w:val="0093433C"/>
    <w:rPr>
      <w:rFonts w:ascii="Times New Roman" w:eastAsia="Calibri" w:hAnsi="Times New Roman" w:cs="Times New Roman"/>
      <w:sz w:val="24"/>
      <w:szCs w:val="20"/>
      <w:lang w:eastAsia="pl-PL" w:bidi="pl-PL"/>
    </w:rPr>
  </w:style>
  <w:style w:type="paragraph" w:styleId="Tekstpodstawowyzwciciem">
    <w:name w:val="Body Text First Indent"/>
    <w:basedOn w:val="Tekstpodstawowy"/>
    <w:link w:val="TekstpodstawowyzwciciemZnak"/>
    <w:uiPriority w:val="99"/>
    <w:unhideWhenUsed/>
    <w:rsid w:val="0093433C"/>
    <w:pPr>
      <w:ind w:firstLine="360"/>
    </w:pPr>
  </w:style>
  <w:style w:type="character" w:customStyle="1" w:styleId="TekstpodstawowyzwciciemZnak">
    <w:name w:val="Tekst podstawowy z wcięciem Znak"/>
    <w:basedOn w:val="TekstpodstawowyZnak"/>
    <w:link w:val="Tekstpodstawowyzwciciem"/>
    <w:uiPriority w:val="99"/>
    <w:rsid w:val="0093433C"/>
    <w:rPr>
      <w:rFonts w:ascii="Times New Roman" w:eastAsia="Calibri" w:hAnsi="Times New Roman" w:cs="Times New Roman"/>
      <w:sz w:val="24"/>
      <w:szCs w:val="20"/>
      <w:lang w:eastAsia="pl-PL" w:bidi="pl-PL"/>
    </w:rPr>
  </w:style>
  <w:style w:type="paragraph" w:styleId="Tekstpodstawowyzwciciem2">
    <w:name w:val="Body Text First Indent 2"/>
    <w:basedOn w:val="Tekstpodstawowywcity"/>
    <w:link w:val="Tekstpodstawowyzwciciem2Znak"/>
    <w:uiPriority w:val="99"/>
    <w:unhideWhenUsed/>
    <w:rsid w:val="0093433C"/>
    <w:pPr>
      <w:spacing w:before="120" w:line="240" w:lineRule="auto"/>
      <w:ind w:left="360" w:firstLine="360"/>
      <w:jc w:val="both"/>
    </w:pPr>
    <w:rPr>
      <w:rFonts w:ascii="Times New Roman" w:eastAsia="Calibri" w:hAnsi="Times New Roman"/>
      <w:sz w:val="24"/>
      <w:szCs w:val="20"/>
      <w:lang w:eastAsia="pl-PL" w:bidi="pl-PL"/>
    </w:rPr>
  </w:style>
  <w:style w:type="character" w:customStyle="1" w:styleId="Tekstpodstawowyzwciciem2Znak">
    <w:name w:val="Tekst podstawowy z wcięciem 2 Znak"/>
    <w:basedOn w:val="TekstpodstawowywcityZnak"/>
    <w:link w:val="Tekstpodstawowyzwciciem2"/>
    <w:uiPriority w:val="99"/>
    <w:rsid w:val="0093433C"/>
    <w:rPr>
      <w:rFonts w:ascii="Times New Roman" w:eastAsia="Calibri" w:hAnsi="Times New Roman" w:cs="Times New Roman"/>
      <w:sz w:val="24"/>
      <w:szCs w:val="20"/>
      <w:lang w:eastAsia="pl-PL" w:bidi="pl-PL"/>
    </w:rPr>
  </w:style>
  <w:style w:type="character" w:customStyle="1" w:styleId="Nierozpoznanawzmianka1">
    <w:name w:val="Nierozpoznana wzmianka1"/>
    <w:basedOn w:val="Domylnaczcionkaakapitu"/>
    <w:uiPriority w:val="99"/>
    <w:semiHidden/>
    <w:unhideWhenUsed/>
    <w:rsid w:val="0093433C"/>
    <w:rPr>
      <w:color w:val="605E5C"/>
      <w:shd w:val="clear" w:color="auto" w:fill="E1DFDD"/>
    </w:rPr>
  </w:style>
  <w:style w:type="character" w:styleId="Nierozpoznanawzmianka">
    <w:name w:val="Unresolved Mention"/>
    <w:basedOn w:val="Domylnaczcionkaakapitu"/>
    <w:uiPriority w:val="99"/>
    <w:semiHidden/>
    <w:unhideWhenUsed/>
    <w:rsid w:val="002F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900">
      <w:bodyDiv w:val="1"/>
      <w:marLeft w:val="0"/>
      <w:marRight w:val="0"/>
      <w:marTop w:val="0"/>
      <w:marBottom w:val="0"/>
      <w:divBdr>
        <w:top w:val="none" w:sz="0" w:space="0" w:color="auto"/>
        <w:left w:val="none" w:sz="0" w:space="0" w:color="auto"/>
        <w:bottom w:val="none" w:sz="0" w:space="0" w:color="auto"/>
        <w:right w:val="none" w:sz="0" w:space="0" w:color="auto"/>
      </w:divBdr>
    </w:div>
    <w:div w:id="44842221">
      <w:bodyDiv w:val="1"/>
      <w:marLeft w:val="0"/>
      <w:marRight w:val="0"/>
      <w:marTop w:val="0"/>
      <w:marBottom w:val="0"/>
      <w:divBdr>
        <w:top w:val="none" w:sz="0" w:space="0" w:color="auto"/>
        <w:left w:val="none" w:sz="0" w:space="0" w:color="auto"/>
        <w:bottom w:val="none" w:sz="0" w:space="0" w:color="auto"/>
        <w:right w:val="none" w:sz="0" w:space="0" w:color="auto"/>
      </w:divBdr>
    </w:div>
    <w:div w:id="128136414">
      <w:bodyDiv w:val="1"/>
      <w:marLeft w:val="0"/>
      <w:marRight w:val="0"/>
      <w:marTop w:val="0"/>
      <w:marBottom w:val="0"/>
      <w:divBdr>
        <w:top w:val="none" w:sz="0" w:space="0" w:color="auto"/>
        <w:left w:val="none" w:sz="0" w:space="0" w:color="auto"/>
        <w:bottom w:val="none" w:sz="0" w:space="0" w:color="auto"/>
        <w:right w:val="none" w:sz="0" w:space="0" w:color="auto"/>
      </w:divBdr>
    </w:div>
    <w:div w:id="140512339">
      <w:bodyDiv w:val="1"/>
      <w:marLeft w:val="0"/>
      <w:marRight w:val="0"/>
      <w:marTop w:val="0"/>
      <w:marBottom w:val="0"/>
      <w:divBdr>
        <w:top w:val="none" w:sz="0" w:space="0" w:color="auto"/>
        <w:left w:val="none" w:sz="0" w:space="0" w:color="auto"/>
        <w:bottom w:val="none" w:sz="0" w:space="0" w:color="auto"/>
        <w:right w:val="none" w:sz="0" w:space="0" w:color="auto"/>
      </w:divBdr>
    </w:div>
    <w:div w:id="143552496">
      <w:bodyDiv w:val="1"/>
      <w:marLeft w:val="0"/>
      <w:marRight w:val="0"/>
      <w:marTop w:val="0"/>
      <w:marBottom w:val="0"/>
      <w:divBdr>
        <w:top w:val="none" w:sz="0" w:space="0" w:color="auto"/>
        <w:left w:val="none" w:sz="0" w:space="0" w:color="auto"/>
        <w:bottom w:val="none" w:sz="0" w:space="0" w:color="auto"/>
        <w:right w:val="none" w:sz="0" w:space="0" w:color="auto"/>
      </w:divBdr>
    </w:div>
    <w:div w:id="174078919">
      <w:bodyDiv w:val="1"/>
      <w:marLeft w:val="0"/>
      <w:marRight w:val="0"/>
      <w:marTop w:val="0"/>
      <w:marBottom w:val="0"/>
      <w:divBdr>
        <w:top w:val="none" w:sz="0" w:space="0" w:color="auto"/>
        <w:left w:val="none" w:sz="0" w:space="0" w:color="auto"/>
        <w:bottom w:val="none" w:sz="0" w:space="0" w:color="auto"/>
        <w:right w:val="none" w:sz="0" w:space="0" w:color="auto"/>
      </w:divBdr>
    </w:div>
    <w:div w:id="177087866">
      <w:bodyDiv w:val="1"/>
      <w:marLeft w:val="0"/>
      <w:marRight w:val="0"/>
      <w:marTop w:val="0"/>
      <w:marBottom w:val="0"/>
      <w:divBdr>
        <w:top w:val="none" w:sz="0" w:space="0" w:color="auto"/>
        <w:left w:val="none" w:sz="0" w:space="0" w:color="auto"/>
        <w:bottom w:val="none" w:sz="0" w:space="0" w:color="auto"/>
        <w:right w:val="none" w:sz="0" w:space="0" w:color="auto"/>
      </w:divBdr>
    </w:div>
    <w:div w:id="210583655">
      <w:bodyDiv w:val="1"/>
      <w:marLeft w:val="0"/>
      <w:marRight w:val="0"/>
      <w:marTop w:val="0"/>
      <w:marBottom w:val="0"/>
      <w:divBdr>
        <w:top w:val="none" w:sz="0" w:space="0" w:color="auto"/>
        <w:left w:val="none" w:sz="0" w:space="0" w:color="auto"/>
        <w:bottom w:val="none" w:sz="0" w:space="0" w:color="auto"/>
        <w:right w:val="none" w:sz="0" w:space="0" w:color="auto"/>
      </w:divBdr>
    </w:div>
    <w:div w:id="250043106">
      <w:bodyDiv w:val="1"/>
      <w:marLeft w:val="0"/>
      <w:marRight w:val="0"/>
      <w:marTop w:val="0"/>
      <w:marBottom w:val="0"/>
      <w:divBdr>
        <w:top w:val="none" w:sz="0" w:space="0" w:color="auto"/>
        <w:left w:val="none" w:sz="0" w:space="0" w:color="auto"/>
        <w:bottom w:val="none" w:sz="0" w:space="0" w:color="auto"/>
        <w:right w:val="none" w:sz="0" w:space="0" w:color="auto"/>
      </w:divBdr>
    </w:div>
    <w:div w:id="254754255">
      <w:bodyDiv w:val="1"/>
      <w:marLeft w:val="0"/>
      <w:marRight w:val="0"/>
      <w:marTop w:val="0"/>
      <w:marBottom w:val="0"/>
      <w:divBdr>
        <w:top w:val="none" w:sz="0" w:space="0" w:color="auto"/>
        <w:left w:val="none" w:sz="0" w:space="0" w:color="auto"/>
        <w:bottom w:val="none" w:sz="0" w:space="0" w:color="auto"/>
        <w:right w:val="none" w:sz="0" w:space="0" w:color="auto"/>
      </w:divBdr>
    </w:div>
    <w:div w:id="261107599">
      <w:bodyDiv w:val="1"/>
      <w:marLeft w:val="0"/>
      <w:marRight w:val="0"/>
      <w:marTop w:val="0"/>
      <w:marBottom w:val="0"/>
      <w:divBdr>
        <w:top w:val="none" w:sz="0" w:space="0" w:color="auto"/>
        <w:left w:val="none" w:sz="0" w:space="0" w:color="auto"/>
        <w:bottom w:val="none" w:sz="0" w:space="0" w:color="auto"/>
        <w:right w:val="none" w:sz="0" w:space="0" w:color="auto"/>
      </w:divBdr>
    </w:div>
    <w:div w:id="264313015">
      <w:bodyDiv w:val="1"/>
      <w:marLeft w:val="0"/>
      <w:marRight w:val="0"/>
      <w:marTop w:val="0"/>
      <w:marBottom w:val="0"/>
      <w:divBdr>
        <w:top w:val="none" w:sz="0" w:space="0" w:color="auto"/>
        <w:left w:val="none" w:sz="0" w:space="0" w:color="auto"/>
        <w:bottom w:val="none" w:sz="0" w:space="0" w:color="auto"/>
        <w:right w:val="none" w:sz="0" w:space="0" w:color="auto"/>
      </w:divBdr>
    </w:div>
    <w:div w:id="301159868">
      <w:bodyDiv w:val="1"/>
      <w:marLeft w:val="0"/>
      <w:marRight w:val="0"/>
      <w:marTop w:val="0"/>
      <w:marBottom w:val="0"/>
      <w:divBdr>
        <w:top w:val="none" w:sz="0" w:space="0" w:color="auto"/>
        <w:left w:val="none" w:sz="0" w:space="0" w:color="auto"/>
        <w:bottom w:val="none" w:sz="0" w:space="0" w:color="auto"/>
        <w:right w:val="none" w:sz="0" w:space="0" w:color="auto"/>
      </w:divBdr>
    </w:div>
    <w:div w:id="309486673">
      <w:bodyDiv w:val="1"/>
      <w:marLeft w:val="0"/>
      <w:marRight w:val="0"/>
      <w:marTop w:val="0"/>
      <w:marBottom w:val="0"/>
      <w:divBdr>
        <w:top w:val="none" w:sz="0" w:space="0" w:color="auto"/>
        <w:left w:val="none" w:sz="0" w:space="0" w:color="auto"/>
        <w:bottom w:val="none" w:sz="0" w:space="0" w:color="auto"/>
        <w:right w:val="none" w:sz="0" w:space="0" w:color="auto"/>
      </w:divBdr>
    </w:div>
    <w:div w:id="312179767">
      <w:bodyDiv w:val="1"/>
      <w:marLeft w:val="0"/>
      <w:marRight w:val="0"/>
      <w:marTop w:val="0"/>
      <w:marBottom w:val="0"/>
      <w:divBdr>
        <w:top w:val="none" w:sz="0" w:space="0" w:color="auto"/>
        <w:left w:val="none" w:sz="0" w:space="0" w:color="auto"/>
        <w:bottom w:val="none" w:sz="0" w:space="0" w:color="auto"/>
        <w:right w:val="none" w:sz="0" w:space="0" w:color="auto"/>
      </w:divBdr>
    </w:div>
    <w:div w:id="315303866">
      <w:bodyDiv w:val="1"/>
      <w:marLeft w:val="0"/>
      <w:marRight w:val="0"/>
      <w:marTop w:val="0"/>
      <w:marBottom w:val="0"/>
      <w:divBdr>
        <w:top w:val="none" w:sz="0" w:space="0" w:color="auto"/>
        <w:left w:val="none" w:sz="0" w:space="0" w:color="auto"/>
        <w:bottom w:val="none" w:sz="0" w:space="0" w:color="auto"/>
        <w:right w:val="none" w:sz="0" w:space="0" w:color="auto"/>
      </w:divBdr>
    </w:div>
    <w:div w:id="353843740">
      <w:bodyDiv w:val="1"/>
      <w:marLeft w:val="0"/>
      <w:marRight w:val="0"/>
      <w:marTop w:val="0"/>
      <w:marBottom w:val="0"/>
      <w:divBdr>
        <w:top w:val="none" w:sz="0" w:space="0" w:color="auto"/>
        <w:left w:val="none" w:sz="0" w:space="0" w:color="auto"/>
        <w:bottom w:val="none" w:sz="0" w:space="0" w:color="auto"/>
        <w:right w:val="none" w:sz="0" w:space="0" w:color="auto"/>
      </w:divBdr>
    </w:div>
    <w:div w:id="365758768">
      <w:bodyDiv w:val="1"/>
      <w:marLeft w:val="0"/>
      <w:marRight w:val="0"/>
      <w:marTop w:val="0"/>
      <w:marBottom w:val="0"/>
      <w:divBdr>
        <w:top w:val="none" w:sz="0" w:space="0" w:color="auto"/>
        <w:left w:val="none" w:sz="0" w:space="0" w:color="auto"/>
        <w:bottom w:val="none" w:sz="0" w:space="0" w:color="auto"/>
        <w:right w:val="none" w:sz="0" w:space="0" w:color="auto"/>
      </w:divBdr>
    </w:div>
    <w:div w:id="420685780">
      <w:bodyDiv w:val="1"/>
      <w:marLeft w:val="0"/>
      <w:marRight w:val="0"/>
      <w:marTop w:val="0"/>
      <w:marBottom w:val="0"/>
      <w:divBdr>
        <w:top w:val="none" w:sz="0" w:space="0" w:color="auto"/>
        <w:left w:val="none" w:sz="0" w:space="0" w:color="auto"/>
        <w:bottom w:val="none" w:sz="0" w:space="0" w:color="auto"/>
        <w:right w:val="none" w:sz="0" w:space="0" w:color="auto"/>
      </w:divBdr>
    </w:div>
    <w:div w:id="424965057">
      <w:bodyDiv w:val="1"/>
      <w:marLeft w:val="0"/>
      <w:marRight w:val="0"/>
      <w:marTop w:val="0"/>
      <w:marBottom w:val="0"/>
      <w:divBdr>
        <w:top w:val="none" w:sz="0" w:space="0" w:color="auto"/>
        <w:left w:val="none" w:sz="0" w:space="0" w:color="auto"/>
        <w:bottom w:val="none" w:sz="0" w:space="0" w:color="auto"/>
        <w:right w:val="none" w:sz="0" w:space="0" w:color="auto"/>
      </w:divBdr>
    </w:div>
    <w:div w:id="440803131">
      <w:bodyDiv w:val="1"/>
      <w:marLeft w:val="0"/>
      <w:marRight w:val="0"/>
      <w:marTop w:val="0"/>
      <w:marBottom w:val="0"/>
      <w:divBdr>
        <w:top w:val="none" w:sz="0" w:space="0" w:color="auto"/>
        <w:left w:val="none" w:sz="0" w:space="0" w:color="auto"/>
        <w:bottom w:val="none" w:sz="0" w:space="0" w:color="auto"/>
        <w:right w:val="none" w:sz="0" w:space="0" w:color="auto"/>
      </w:divBdr>
    </w:div>
    <w:div w:id="468984138">
      <w:bodyDiv w:val="1"/>
      <w:marLeft w:val="0"/>
      <w:marRight w:val="0"/>
      <w:marTop w:val="0"/>
      <w:marBottom w:val="0"/>
      <w:divBdr>
        <w:top w:val="none" w:sz="0" w:space="0" w:color="auto"/>
        <w:left w:val="none" w:sz="0" w:space="0" w:color="auto"/>
        <w:bottom w:val="none" w:sz="0" w:space="0" w:color="auto"/>
        <w:right w:val="none" w:sz="0" w:space="0" w:color="auto"/>
      </w:divBdr>
    </w:div>
    <w:div w:id="524175046">
      <w:bodyDiv w:val="1"/>
      <w:marLeft w:val="0"/>
      <w:marRight w:val="0"/>
      <w:marTop w:val="0"/>
      <w:marBottom w:val="0"/>
      <w:divBdr>
        <w:top w:val="none" w:sz="0" w:space="0" w:color="auto"/>
        <w:left w:val="none" w:sz="0" w:space="0" w:color="auto"/>
        <w:bottom w:val="none" w:sz="0" w:space="0" w:color="auto"/>
        <w:right w:val="none" w:sz="0" w:space="0" w:color="auto"/>
      </w:divBdr>
    </w:div>
    <w:div w:id="556822700">
      <w:bodyDiv w:val="1"/>
      <w:marLeft w:val="0"/>
      <w:marRight w:val="0"/>
      <w:marTop w:val="0"/>
      <w:marBottom w:val="0"/>
      <w:divBdr>
        <w:top w:val="none" w:sz="0" w:space="0" w:color="auto"/>
        <w:left w:val="none" w:sz="0" w:space="0" w:color="auto"/>
        <w:bottom w:val="none" w:sz="0" w:space="0" w:color="auto"/>
        <w:right w:val="none" w:sz="0" w:space="0" w:color="auto"/>
      </w:divBdr>
    </w:div>
    <w:div w:id="565262101">
      <w:bodyDiv w:val="1"/>
      <w:marLeft w:val="0"/>
      <w:marRight w:val="0"/>
      <w:marTop w:val="0"/>
      <w:marBottom w:val="0"/>
      <w:divBdr>
        <w:top w:val="none" w:sz="0" w:space="0" w:color="auto"/>
        <w:left w:val="none" w:sz="0" w:space="0" w:color="auto"/>
        <w:bottom w:val="none" w:sz="0" w:space="0" w:color="auto"/>
        <w:right w:val="none" w:sz="0" w:space="0" w:color="auto"/>
      </w:divBdr>
    </w:div>
    <w:div w:id="576135110">
      <w:bodyDiv w:val="1"/>
      <w:marLeft w:val="0"/>
      <w:marRight w:val="0"/>
      <w:marTop w:val="0"/>
      <w:marBottom w:val="0"/>
      <w:divBdr>
        <w:top w:val="none" w:sz="0" w:space="0" w:color="auto"/>
        <w:left w:val="none" w:sz="0" w:space="0" w:color="auto"/>
        <w:bottom w:val="none" w:sz="0" w:space="0" w:color="auto"/>
        <w:right w:val="none" w:sz="0" w:space="0" w:color="auto"/>
      </w:divBdr>
    </w:div>
    <w:div w:id="611329052">
      <w:bodyDiv w:val="1"/>
      <w:marLeft w:val="0"/>
      <w:marRight w:val="0"/>
      <w:marTop w:val="0"/>
      <w:marBottom w:val="0"/>
      <w:divBdr>
        <w:top w:val="none" w:sz="0" w:space="0" w:color="auto"/>
        <w:left w:val="none" w:sz="0" w:space="0" w:color="auto"/>
        <w:bottom w:val="none" w:sz="0" w:space="0" w:color="auto"/>
        <w:right w:val="none" w:sz="0" w:space="0" w:color="auto"/>
      </w:divBdr>
    </w:div>
    <w:div w:id="654649045">
      <w:bodyDiv w:val="1"/>
      <w:marLeft w:val="0"/>
      <w:marRight w:val="0"/>
      <w:marTop w:val="0"/>
      <w:marBottom w:val="0"/>
      <w:divBdr>
        <w:top w:val="none" w:sz="0" w:space="0" w:color="auto"/>
        <w:left w:val="none" w:sz="0" w:space="0" w:color="auto"/>
        <w:bottom w:val="none" w:sz="0" w:space="0" w:color="auto"/>
        <w:right w:val="none" w:sz="0" w:space="0" w:color="auto"/>
      </w:divBdr>
    </w:div>
    <w:div w:id="660541601">
      <w:bodyDiv w:val="1"/>
      <w:marLeft w:val="0"/>
      <w:marRight w:val="0"/>
      <w:marTop w:val="0"/>
      <w:marBottom w:val="0"/>
      <w:divBdr>
        <w:top w:val="none" w:sz="0" w:space="0" w:color="auto"/>
        <w:left w:val="none" w:sz="0" w:space="0" w:color="auto"/>
        <w:bottom w:val="none" w:sz="0" w:space="0" w:color="auto"/>
        <w:right w:val="none" w:sz="0" w:space="0" w:color="auto"/>
      </w:divBdr>
    </w:div>
    <w:div w:id="690762645">
      <w:bodyDiv w:val="1"/>
      <w:marLeft w:val="0"/>
      <w:marRight w:val="0"/>
      <w:marTop w:val="0"/>
      <w:marBottom w:val="0"/>
      <w:divBdr>
        <w:top w:val="none" w:sz="0" w:space="0" w:color="auto"/>
        <w:left w:val="none" w:sz="0" w:space="0" w:color="auto"/>
        <w:bottom w:val="none" w:sz="0" w:space="0" w:color="auto"/>
        <w:right w:val="none" w:sz="0" w:space="0" w:color="auto"/>
      </w:divBdr>
    </w:div>
    <w:div w:id="709648016">
      <w:bodyDiv w:val="1"/>
      <w:marLeft w:val="0"/>
      <w:marRight w:val="0"/>
      <w:marTop w:val="0"/>
      <w:marBottom w:val="0"/>
      <w:divBdr>
        <w:top w:val="none" w:sz="0" w:space="0" w:color="auto"/>
        <w:left w:val="none" w:sz="0" w:space="0" w:color="auto"/>
        <w:bottom w:val="none" w:sz="0" w:space="0" w:color="auto"/>
        <w:right w:val="none" w:sz="0" w:space="0" w:color="auto"/>
      </w:divBdr>
    </w:div>
    <w:div w:id="722290783">
      <w:bodyDiv w:val="1"/>
      <w:marLeft w:val="0"/>
      <w:marRight w:val="0"/>
      <w:marTop w:val="0"/>
      <w:marBottom w:val="0"/>
      <w:divBdr>
        <w:top w:val="none" w:sz="0" w:space="0" w:color="auto"/>
        <w:left w:val="none" w:sz="0" w:space="0" w:color="auto"/>
        <w:bottom w:val="none" w:sz="0" w:space="0" w:color="auto"/>
        <w:right w:val="none" w:sz="0" w:space="0" w:color="auto"/>
      </w:divBdr>
    </w:div>
    <w:div w:id="735276084">
      <w:bodyDiv w:val="1"/>
      <w:marLeft w:val="0"/>
      <w:marRight w:val="0"/>
      <w:marTop w:val="0"/>
      <w:marBottom w:val="0"/>
      <w:divBdr>
        <w:top w:val="none" w:sz="0" w:space="0" w:color="auto"/>
        <w:left w:val="none" w:sz="0" w:space="0" w:color="auto"/>
        <w:bottom w:val="none" w:sz="0" w:space="0" w:color="auto"/>
        <w:right w:val="none" w:sz="0" w:space="0" w:color="auto"/>
      </w:divBdr>
    </w:div>
    <w:div w:id="738677459">
      <w:bodyDiv w:val="1"/>
      <w:marLeft w:val="0"/>
      <w:marRight w:val="0"/>
      <w:marTop w:val="0"/>
      <w:marBottom w:val="0"/>
      <w:divBdr>
        <w:top w:val="none" w:sz="0" w:space="0" w:color="auto"/>
        <w:left w:val="none" w:sz="0" w:space="0" w:color="auto"/>
        <w:bottom w:val="none" w:sz="0" w:space="0" w:color="auto"/>
        <w:right w:val="none" w:sz="0" w:space="0" w:color="auto"/>
      </w:divBdr>
    </w:div>
    <w:div w:id="791946470">
      <w:bodyDiv w:val="1"/>
      <w:marLeft w:val="0"/>
      <w:marRight w:val="0"/>
      <w:marTop w:val="0"/>
      <w:marBottom w:val="0"/>
      <w:divBdr>
        <w:top w:val="none" w:sz="0" w:space="0" w:color="auto"/>
        <w:left w:val="none" w:sz="0" w:space="0" w:color="auto"/>
        <w:bottom w:val="none" w:sz="0" w:space="0" w:color="auto"/>
        <w:right w:val="none" w:sz="0" w:space="0" w:color="auto"/>
      </w:divBdr>
    </w:div>
    <w:div w:id="826868102">
      <w:bodyDiv w:val="1"/>
      <w:marLeft w:val="0"/>
      <w:marRight w:val="0"/>
      <w:marTop w:val="0"/>
      <w:marBottom w:val="0"/>
      <w:divBdr>
        <w:top w:val="none" w:sz="0" w:space="0" w:color="auto"/>
        <w:left w:val="none" w:sz="0" w:space="0" w:color="auto"/>
        <w:bottom w:val="none" w:sz="0" w:space="0" w:color="auto"/>
        <w:right w:val="none" w:sz="0" w:space="0" w:color="auto"/>
      </w:divBdr>
    </w:div>
    <w:div w:id="827399401">
      <w:bodyDiv w:val="1"/>
      <w:marLeft w:val="0"/>
      <w:marRight w:val="0"/>
      <w:marTop w:val="0"/>
      <w:marBottom w:val="0"/>
      <w:divBdr>
        <w:top w:val="none" w:sz="0" w:space="0" w:color="auto"/>
        <w:left w:val="none" w:sz="0" w:space="0" w:color="auto"/>
        <w:bottom w:val="none" w:sz="0" w:space="0" w:color="auto"/>
        <w:right w:val="none" w:sz="0" w:space="0" w:color="auto"/>
      </w:divBdr>
    </w:div>
    <w:div w:id="840045500">
      <w:bodyDiv w:val="1"/>
      <w:marLeft w:val="0"/>
      <w:marRight w:val="0"/>
      <w:marTop w:val="0"/>
      <w:marBottom w:val="0"/>
      <w:divBdr>
        <w:top w:val="none" w:sz="0" w:space="0" w:color="auto"/>
        <w:left w:val="none" w:sz="0" w:space="0" w:color="auto"/>
        <w:bottom w:val="none" w:sz="0" w:space="0" w:color="auto"/>
        <w:right w:val="none" w:sz="0" w:space="0" w:color="auto"/>
      </w:divBdr>
    </w:div>
    <w:div w:id="842668732">
      <w:bodyDiv w:val="1"/>
      <w:marLeft w:val="0"/>
      <w:marRight w:val="0"/>
      <w:marTop w:val="0"/>
      <w:marBottom w:val="0"/>
      <w:divBdr>
        <w:top w:val="none" w:sz="0" w:space="0" w:color="auto"/>
        <w:left w:val="none" w:sz="0" w:space="0" w:color="auto"/>
        <w:bottom w:val="none" w:sz="0" w:space="0" w:color="auto"/>
        <w:right w:val="none" w:sz="0" w:space="0" w:color="auto"/>
      </w:divBdr>
    </w:div>
    <w:div w:id="851068644">
      <w:bodyDiv w:val="1"/>
      <w:marLeft w:val="0"/>
      <w:marRight w:val="0"/>
      <w:marTop w:val="0"/>
      <w:marBottom w:val="0"/>
      <w:divBdr>
        <w:top w:val="none" w:sz="0" w:space="0" w:color="auto"/>
        <w:left w:val="none" w:sz="0" w:space="0" w:color="auto"/>
        <w:bottom w:val="none" w:sz="0" w:space="0" w:color="auto"/>
        <w:right w:val="none" w:sz="0" w:space="0" w:color="auto"/>
      </w:divBdr>
    </w:div>
    <w:div w:id="875116147">
      <w:bodyDiv w:val="1"/>
      <w:marLeft w:val="0"/>
      <w:marRight w:val="0"/>
      <w:marTop w:val="0"/>
      <w:marBottom w:val="0"/>
      <w:divBdr>
        <w:top w:val="none" w:sz="0" w:space="0" w:color="auto"/>
        <w:left w:val="none" w:sz="0" w:space="0" w:color="auto"/>
        <w:bottom w:val="none" w:sz="0" w:space="0" w:color="auto"/>
        <w:right w:val="none" w:sz="0" w:space="0" w:color="auto"/>
      </w:divBdr>
    </w:div>
    <w:div w:id="875657137">
      <w:bodyDiv w:val="1"/>
      <w:marLeft w:val="0"/>
      <w:marRight w:val="0"/>
      <w:marTop w:val="0"/>
      <w:marBottom w:val="0"/>
      <w:divBdr>
        <w:top w:val="none" w:sz="0" w:space="0" w:color="auto"/>
        <w:left w:val="none" w:sz="0" w:space="0" w:color="auto"/>
        <w:bottom w:val="none" w:sz="0" w:space="0" w:color="auto"/>
        <w:right w:val="none" w:sz="0" w:space="0" w:color="auto"/>
      </w:divBdr>
    </w:div>
    <w:div w:id="882474239">
      <w:bodyDiv w:val="1"/>
      <w:marLeft w:val="0"/>
      <w:marRight w:val="0"/>
      <w:marTop w:val="0"/>
      <w:marBottom w:val="0"/>
      <w:divBdr>
        <w:top w:val="none" w:sz="0" w:space="0" w:color="auto"/>
        <w:left w:val="none" w:sz="0" w:space="0" w:color="auto"/>
        <w:bottom w:val="none" w:sz="0" w:space="0" w:color="auto"/>
        <w:right w:val="none" w:sz="0" w:space="0" w:color="auto"/>
      </w:divBdr>
    </w:div>
    <w:div w:id="884487082">
      <w:bodyDiv w:val="1"/>
      <w:marLeft w:val="0"/>
      <w:marRight w:val="0"/>
      <w:marTop w:val="0"/>
      <w:marBottom w:val="0"/>
      <w:divBdr>
        <w:top w:val="none" w:sz="0" w:space="0" w:color="auto"/>
        <w:left w:val="none" w:sz="0" w:space="0" w:color="auto"/>
        <w:bottom w:val="none" w:sz="0" w:space="0" w:color="auto"/>
        <w:right w:val="none" w:sz="0" w:space="0" w:color="auto"/>
      </w:divBdr>
    </w:div>
    <w:div w:id="942106993">
      <w:bodyDiv w:val="1"/>
      <w:marLeft w:val="0"/>
      <w:marRight w:val="0"/>
      <w:marTop w:val="0"/>
      <w:marBottom w:val="0"/>
      <w:divBdr>
        <w:top w:val="none" w:sz="0" w:space="0" w:color="auto"/>
        <w:left w:val="none" w:sz="0" w:space="0" w:color="auto"/>
        <w:bottom w:val="none" w:sz="0" w:space="0" w:color="auto"/>
        <w:right w:val="none" w:sz="0" w:space="0" w:color="auto"/>
      </w:divBdr>
    </w:div>
    <w:div w:id="954796246">
      <w:bodyDiv w:val="1"/>
      <w:marLeft w:val="0"/>
      <w:marRight w:val="0"/>
      <w:marTop w:val="0"/>
      <w:marBottom w:val="0"/>
      <w:divBdr>
        <w:top w:val="none" w:sz="0" w:space="0" w:color="auto"/>
        <w:left w:val="none" w:sz="0" w:space="0" w:color="auto"/>
        <w:bottom w:val="none" w:sz="0" w:space="0" w:color="auto"/>
        <w:right w:val="none" w:sz="0" w:space="0" w:color="auto"/>
      </w:divBdr>
    </w:div>
    <w:div w:id="963850552">
      <w:bodyDiv w:val="1"/>
      <w:marLeft w:val="0"/>
      <w:marRight w:val="0"/>
      <w:marTop w:val="0"/>
      <w:marBottom w:val="0"/>
      <w:divBdr>
        <w:top w:val="none" w:sz="0" w:space="0" w:color="auto"/>
        <w:left w:val="none" w:sz="0" w:space="0" w:color="auto"/>
        <w:bottom w:val="none" w:sz="0" w:space="0" w:color="auto"/>
        <w:right w:val="none" w:sz="0" w:space="0" w:color="auto"/>
      </w:divBdr>
    </w:div>
    <w:div w:id="1019962954">
      <w:bodyDiv w:val="1"/>
      <w:marLeft w:val="0"/>
      <w:marRight w:val="0"/>
      <w:marTop w:val="0"/>
      <w:marBottom w:val="0"/>
      <w:divBdr>
        <w:top w:val="none" w:sz="0" w:space="0" w:color="auto"/>
        <w:left w:val="none" w:sz="0" w:space="0" w:color="auto"/>
        <w:bottom w:val="none" w:sz="0" w:space="0" w:color="auto"/>
        <w:right w:val="none" w:sz="0" w:space="0" w:color="auto"/>
      </w:divBdr>
    </w:div>
    <w:div w:id="1023750216">
      <w:bodyDiv w:val="1"/>
      <w:marLeft w:val="0"/>
      <w:marRight w:val="0"/>
      <w:marTop w:val="0"/>
      <w:marBottom w:val="0"/>
      <w:divBdr>
        <w:top w:val="none" w:sz="0" w:space="0" w:color="auto"/>
        <w:left w:val="none" w:sz="0" w:space="0" w:color="auto"/>
        <w:bottom w:val="none" w:sz="0" w:space="0" w:color="auto"/>
        <w:right w:val="none" w:sz="0" w:space="0" w:color="auto"/>
      </w:divBdr>
    </w:div>
    <w:div w:id="1131172008">
      <w:bodyDiv w:val="1"/>
      <w:marLeft w:val="0"/>
      <w:marRight w:val="0"/>
      <w:marTop w:val="0"/>
      <w:marBottom w:val="0"/>
      <w:divBdr>
        <w:top w:val="none" w:sz="0" w:space="0" w:color="auto"/>
        <w:left w:val="none" w:sz="0" w:space="0" w:color="auto"/>
        <w:bottom w:val="none" w:sz="0" w:space="0" w:color="auto"/>
        <w:right w:val="none" w:sz="0" w:space="0" w:color="auto"/>
      </w:divBdr>
    </w:div>
    <w:div w:id="1165436860">
      <w:bodyDiv w:val="1"/>
      <w:marLeft w:val="0"/>
      <w:marRight w:val="0"/>
      <w:marTop w:val="0"/>
      <w:marBottom w:val="0"/>
      <w:divBdr>
        <w:top w:val="none" w:sz="0" w:space="0" w:color="auto"/>
        <w:left w:val="none" w:sz="0" w:space="0" w:color="auto"/>
        <w:bottom w:val="none" w:sz="0" w:space="0" w:color="auto"/>
        <w:right w:val="none" w:sz="0" w:space="0" w:color="auto"/>
      </w:divBdr>
    </w:div>
    <w:div w:id="1176310083">
      <w:bodyDiv w:val="1"/>
      <w:marLeft w:val="0"/>
      <w:marRight w:val="0"/>
      <w:marTop w:val="0"/>
      <w:marBottom w:val="0"/>
      <w:divBdr>
        <w:top w:val="none" w:sz="0" w:space="0" w:color="auto"/>
        <w:left w:val="none" w:sz="0" w:space="0" w:color="auto"/>
        <w:bottom w:val="none" w:sz="0" w:space="0" w:color="auto"/>
        <w:right w:val="none" w:sz="0" w:space="0" w:color="auto"/>
      </w:divBdr>
    </w:div>
    <w:div w:id="1207716710">
      <w:bodyDiv w:val="1"/>
      <w:marLeft w:val="0"/>
      <w:marRight w:val="0"/>
      <w:marTop w:val="0"/>
      <w:marBottom w:val="0"/>
      <w:divBdr>
        <w:top w:val="none" w:sz="0" w:space="0" w:color="auto"/>
        <w:left w:val="none" w:sz="0" w:space="0" w:color="auto"/>
        <w:bottom w:val="none" w:sz="0" w:space="0" w:color="auto"/>
        <w:right w:val="none" w:sz="0" w:space="0" w:color="auto"/>
      </w:divBdr>
    </w:div>
    <w:div w:id="1213541367">
      <w:bodyDiv w:val="1"/>
      <w:marLeft w:val="0"/>
      <w:marRight w:val="0"/>
      <w:marTop w:val="0"/>
      <w:marBottom w:val="0"/>
      <w:divBdr>
        <w:top w:val="none" w:sz="0" w:space="0" w:color="auto"/>
        <w:left w:val="none" w:sz="0" w:space="0" w:color="auto"/>
        <w:bottom w:val="none" w:sz="0" w:space="0" w:color="auto"/>
        <w:right w:val="none" w:sz="0" w:space="0" w:color="auto"/>
      </w:divBdr>
    </w:div>
    <w:div w:id="1221552466">
      <w:bodyDiv w:val="1"/>
      <w:marLeft w:val="0"/>
      <w:marRight w:val="0"/>
      <w:marTop w:val="0"/>
      <w:marBottom w:val="0"/>
      <w:divBdr>
        <w:top w:val="none" w:sz="0" w:space="0" w:color="auto"/>
        <w:left w:val="none" w:sz="0" w:space="0" w:color="auto"/>
        <w:bottom w:val="none" w:sz="0" w:space="0" w:color="auto"/>
        <w:right w:val="none" w:sz="0" w:space="0" w:color="auto"/>
      </w:divBdr>
      <w:divsChild>
        <w:div w:id="547650299">
          <w:marLeft w:val="0"/>
          <w:marRight w:val="0"/>
          <w:marTop w:val="0"/>
          <w:marBottom w:val="0"/>
          <w:divBdr>
            <w:top w:val="none" w:sz="0" w:space="0" w:color="auto"/>
            <w:left w:val="none" w:sz="0" w:space="0" w:color="auto"/>
            <w:bottom w:val="none" w:sz="0" w:space="0" w:color="auto"/>
            <w:right w:val="none" w:sz="0" w:space="0" w:color="auto"/>
          </w:divBdr>
        </w:div>
        <w:div w:id="749086431">
          <w:marLeft w:val="0"/>
          <w:marRight w:val="0"/>
          <w:marTop w:val="0"/>
          <w:marBottom w:val="0"/>
          <w:divBdr>
            <w:top w:val="none" w:sz="0" w:space="0" w:color="auto"/>
            <w:left w:val="none" w:sz="0" w:space="0" w:color="auto"/>
            <w:bottom w:val="none" w:sz="0" w:space="0" w:color="auto"/>
            <w:right w:val="none" w:sz="0" w:space="0" w:color="auto"/>
          </w:divBdr>
        </w:div>
      </w:divsChild>
    </w:div>
    <w:div w:id="1263998000">
      <w:bodyDiv w:val="1"/>
      <w:marLeft w:val="0"/>
      <w:marRight w:val="0"/>
      <w:marTop w:val="0"/>
      <w:marBottom w:val="0"/>
      <w:divBdr>
        <w:top w:val="none" w:sz="0" w:space="0" w:color="auto"/>
        <w:left w:val="none" w:sz="0" w:space="0" w:color="auto"/>
        <w:bottom w:val="none" w:sz="0" w:space="0" w:color="auto"/>
        <w:right w:val="none" w:sz="0" w:space="0" w:color="auto"/>
      </w:divBdr>
    </w:div>
    <w:div w:id="1321225913">
      <w:bodyDiv w:val="1"/>
      <w:marLeft w:val="0"/>
      <w:marRight w:val="0"/>
      <w:marTop w:val="0"/>
      <w:marBottom w:val="0"/>
      <w:divBdr>
        <w:top w:val="none" w:sz="0" w:space="0" w:color="auto"/>
        <w:left w:val="none" w:sz="0" w:space="0" w:color="auto"/>
        <w:bottom w:val="none" w:sz="0" w:space="0" w:color="auto"/>
        <w:right w:val="none" w:sz="0" w:space="0" w:color="auto"/>
      </w:divBdr>
    </w:div>
    <w:div w:id="1329745689">
      <w:bodyDiv w:val="1"/>
      <w:marLeft w:val="0"/>
      <w:marRight w:val="0"/>
      <w:marTop w:val="0"/>
      <w:marBottom w:val="0"/>
      <w:divBdr>
        <w:top w:val="none" w:sz="0" w:space="0" w:color="auto"/>
        <w:left w:val="none" w:sz="0" w:space="0" w:color="auto"/>
        <w:bottom w:val="none" w:sz="0" w:space="0" w:color="auto"/>
        <w:right w:val="none" w:sz="0" w:space="0" w:color="auto"/>
      </w:divBdr>
    </w:div>
    <w:div w:id="1331712455">
      <w:bodyDiv w:val="1"/>
      <w:marLeft w:val="0"/>
      <w:marRight w:val="0"/>
      <w:marTop w:val="0"/>
      <w:marBottom w:val="0"/>
      <w:divBdr>
        <w:top w:val="none" w:sz="0" w:space="0" w:color="auto"/>
        <w:left w:val="none" w:sz="0" w:space="0" w:color="auto"/>
        <w:bottom w:val="none" w:sz="0" w:space="0" w:color="auto"/>
        <w:right w:val="none" w:sz="0" w:space="0" w:color="auto"/>
      </w:divBdr>
    </w:div>
    <w:div w:id="1383286130">
      <w:bodyDiv w:val="1"/>
      <w:marLeft w:val="0"/>
      <w:marRight w:val="0"/>
      <w:marTop w:val="0"/>
      <w:marBottom w:val="0"/>
      <w:divBdr>
        <w:top w:val="none" w:sz="0" w:space="0" w:color="auto"/>
        <w:left w:val="none" w:sz="0" w:space="0" w:color="auto"/>
        <w:bottom w:val="none" w:sz="0" w:space="0" w:color="auto"/>
        <w:right w:val="none" w:sz="0" w:space="0" w:color="auto"/>
      </w:divBdr>
    </w:div>
    <w:div w:id="1454253510">
      <w:bodyDiv w:val="1"/>
      <w:marLeft w:val="0"/>
      <w:marRight w:val="0"/>
      <w:marTop w:val="0"/>
      <w:marBottom w:val="0"/>
      <w:divBdr>
        <w:top w:val="none" w:sz="0" w:space="0" w:color="auto"/>
        <w:left w:val="none" w:sz="0" w:space="0" w:color="auto"/>
        <w:bottom w:val="none" w:sz="0" w:space="0" w:color="auto"/>
        <w:right w:val="none" w:sz="0" w:space="0" w:color="auto"/>
      </w:divBdr>
    </w:div>
    <w:div w:id="1456369315">
      <w:bodyDiv w:val="1"/>
      <w:marLeft w:val="0"/>
      <w:marRight w:val="0"/>
      <w:marTop w:val="0"/>
      <w:marBottom w:val="0"/>
      <w:divBdr>
        <w:top w:val="none" w:sz="0" w:space="0" w:color="auto"/>
        <w:left w:val="none" w:sz="0" w:space="0" w:color="auto"/>
        <w:bottom w:val="none" w:sz="0" w:space="0" w:color="auto"/>
        <w:right w:val="none" w:sz="0" w:space="0" w:color="auto"/>
      </w:divBdr>
    </w:div>
    <w:div w:id="1468622068">
      <w:bodyDiv w:val="1"/>
      <w:marLeft w:val="0"/>
      <w:marRight w:val="0"/>
      <w:marTop w:val="0"/>
      <w:marBottom w:val="0"/>
      <w:divBdr>
        <w:top w:val="none" w:sz="0" w:space="0" w:color="auto"/>
        <w:left w:val="none" w:sz="0" w:space="0" w:color="auto"/>
        <w:bottom w:val="none" w:sz="0" w:space="0" w:color="auto"/>
        <w:right w:val="none" w:sz="0" w:space="0" w:color="auto"/>
      </w:divBdr>
    </w:div>
    <w:div w:id="1493259964">
      <w:bodyDiv w:val="1"/>
      <w:marLeft w:val="0"/>
      <w:marRight w:val="0"/>
      <w:marTop w:val="0"/>
      <w:marBottom w:val="0"/>
      <w:divBdr>
        <w:top w:val="none" w:sz="0" w:space="0" w:color="auto"/>
        <w:left w:val="none" w:sz="0" w:space="0" w:color="auto"/>
        <w:bottom w:val="none" w:sz="0" w:space="0" w:color="auto"/>
        <w:right w:val="none" w:sz="0" w:space="0" w:color="auto"/>
      </w:divBdr>
    </w:div>
    <w:div w:id="1502156330">
      <w:bodyDiv w:val="1"/>
      <w:marLeft w:val="0"/>
      <w:marRight w:val="0"/>
      <w:marTop w:val="0"/>
      <w:marBottom w:val="0"/>
      <w:divBdr>
        <w:top w:val="none" w:sz="0" w:space="0" w:color="auto"/>
        <w:left w:val="none" w:sz="0" w:space="0" w:color="auto"/>
        <w:bottom w:val="none" w:sz="0" w:space="0" w:color="auto"/>
        <w:right w:val="none" w:sz="0" w:space="0" w:color="auto"/>
      </w:divBdr>
    </w:div>
    <w:div w:id="1525904319">
      <w:bodyDiv w:val="1"/>
      <w:marLeft w:val="0"/>
      <w:marRight w:val="0"/>
      <w:marTop w:val="0"/>
      <w:marBottom w:val="0"/>
      <w:divBdr>
        <w:top w:val="none" w:sz="0" w:space="0" w:color="auto"/>
        <w:left w:val="none" w:sz="0" w:space="0" w:color="auto"/>
        <w:bottom w:val="none" w:sz="0" w:space="0" w:color="auto"/>
        <w:right w:val="none" w:sz="0" w:space="0" w:color="auto"/>
      </w:divBdr>
    </w:div>
    <w:div w:id="1576014336">
      <w:bodyDiv w:val="1"/>
      <w:marLeft w:val="0"/>
      <w:marRight w:val="0"/>
      <w:marTop w:val="0"/>
      <w:marBottom w:val="0"/>
      <w:divBdr>
        <w:top w:val="none" w:sz="0" w:space="0" w:color="auto"/>
        <w:left w:val="none" w:sz="0" w:space="0" w:color="auto"/>
        <w:bottom w:val="none" w:sz="0" w:space="0" w:color="auto"/>
        <w:right w:val="none" w:sz="0" w:space="0" w:color="auto"/>
      </w:divBdr>
    </w:div>
    <w:div w:id="1635522676">
      <w:bodyDiv w:val="1"/>
      <w:marLeft w:val="0"/>
      <w:marRight w:val="0"/>
      <w:marTop w:val="0"/>
      <w:marBottom w:val="0"/>
      <w:divBdr>
        <w:top w:val="none" w:sz="0" w:space="0" w:color="auto"/>
        <w:left w:val="none" w:sz="0" w:space="0" w:color="auto"/>
        <w:bottom w:val="none" w:sz="0" w:space="0" w:color="auto"/>
        <w:right w:val="none" w:sz="0" w:space="0" w:color="auto"/>
      </w:divBdr>
    </w:div>
    <w:div w:id="1675381949">
      <w:bodyDiv w:val="1"/>
      <w:marLeft w:val="0"/>
      <w:marRight w:val="0"/>
      <w:marTop w:val="0"/>
      <w:marBottom w:val="0"/>
      <w:divBdr>
        <w:top w:val="none" w:sz="0" w:space="0" w:color="auto"/>
        <w:left w:val="none" w:sz="0" w:space="0" w:color="auto"/>
        <w:bottom w:val="none" w:sz="0" w:space="0" w:color="auto"/>
        <w:right w:val="none" w:sz="0" w:space="0" w:color="auto"/>
      </w:divBdr>
    </w:div>
    <w:div w:id="1826629041">
      <w:bodyDiv w:val="1"/>
      <w:marLeft w:val="0"/>
      <w:marRight w:val="0"/>
      <w:marTop w:val="0"/>
      <w:marBottom w:val="0"/>
      <w:divBdr>
        <w:top w:val="none" w:sz="0" w:space="0" w:color="auto"/>
        <w:left w:val="none" w:sz="0" w:space="0" w:color="auto"/>
        <w:bottom w:val="none" w:sz="0" w:space="0" w:color="auto"/>
        <w:right w:val="none" w:sz="0" w:space="0" w:color="auto"/>
      </w:divBdr>
    </w:div>
    <w:div w:id="1887182739">
      <w:bodyDiv w:val="1"/>
      <w:marLeft w:val="0"/>
      <w:marRight w:val="0"/>
      <w:marTop w:val="0"/>
      <w:marBottom w:val="0"/>
      <w:divBdr>
        <w:top w:val="none" w:sz="0" w:space="0" w:color="auto"/>
        <w:left w:val="none" w:sz="0" w:space="0" w:color="auto"/>
        <w:bottom w:val="none" w:sz="0" w:space="0" w:color="auto"/>
        <w:right w:val="none" w:sz="0" w:space="0" w:color="auto"/>
      </w:divBdr>
    </w:div>
    <w:div w:id="1940016089">
      <w:bodyDiv w:val="1"/>
      <w:marLeft w:val="0"/>
      <w:marRight w:val="0"/>
      <w:marTop w:val="0"/>
      <w:marBottom w:val="0"/>
      <w:divBdr>
        <w:top w:val="none" w:sz="0" w:space="0" w:color="auto"/>
        <w:left w:val="none" w:sz="0" w:space="0" w:color="auto"/>
        <w:bottom w:val="none" w:sz="0" w:space="0" w:color="auto"/>
        <w:right w:val="none" w:sz="0" w:space="0" w:color="auto"/>
      </w:divBdr>
    </w:div>
    <w:div w:id="1950039395">
      <w:bodyDiv w:val="1"/>
      <w:marLeft w:val="0"/>
      <w:marRight w:val="0"/>
      <w:marTop w:val="0"/>
      <w:marBottom w:val="0"/>
      <w:divBdr>
        <w:top w:val="none" w:sz="0" w:space="0" w:color="auto"/>
        <w:left w:val="none" w:sz="0" w:space="0" w:color="auto"/>
        <w:bottom w:val="none" w:sz="0" w:space="0" w:color="auto"/>
        <w:right w:val="none" w:sz="0" w:space="0" w:color="auto"/>
      </w:divBdr>
    </w:div>
    <w:div w:id="1971396848">
      <w:bodyDiv w:val="1"/>
      <w:marLeft w:val="0"/>
      <w:marRight w:val="0"/>
      <w:marTop w:val="0"/>
      <w:marBottom w:val="0"/>
      <w:divBdr>
        <w:top w:val="none" w:sz="0" w:space="0" w:color="auto"/>
        <w:left w:val="none" w:sz="0" w:space="0" w:color="auto"/>
        <w:bottom w:val="none" w:sz="0" w:space="0" w:color="auto"/>
        <w:right w:val="none" w:sz="0" w:space="0" w:color="auto"/>
      </w:divBdr>
    </w:div>
    <w:div w:id="1990555403">
      <w:bodyDiv w:val="1"/>
      <w:marLeft w:val="0"/>
      <w:marRight w:val="0"/>
      <w:marTop w:val="0"/>
      <w:marBottom w:val="0"/>
      <w:divBdr>
        <w:top w:val="none" w:sz="0" w:space="0" w:color="auto"/>
        <w:left w:val="none" w:sz="0" w:space="0" w:color="auto"/>
        <w:bottom w:val="none" w:sz="0" w:space="0" w:color="auto"/>
        <w:right w:val="none" w:sz="0" w:space="0" w:color="auto"/>
      </w:divBdr>
    </w:div>
    <w:div w:id="2045717197">
      <w:bodyDiv w:val="1"/>
      <w:marLeft w:val="0"/>
      <w:marRight w:val="0"/>
      <w:marTop w:val="0"/>
      <w:marBottom w:val="0"/>
      <w:divBdr>
        <w:top w:val="none" w:sz="0" w:space="0" w:color="auto"/>
        <w:left w:val="none" w:sz="0" w:space="0" w:color="auto"/>
        <w:bottom w:val="none" w:sz="0" w:space="0" w:color="auto"/>
        <w:right w:val="none" w:sz="0" w:space="0" w:color="auto"/>
      </w:divBdr>
    </w:div>
    <w:div w:id="2097090864">
      <w:bodyDiv w:val="1"/>
      <w:marLeft w:val="0"/>
      <w:marRight w:val="0"/>
      <w:marTop w:val="0"/>
      <w:marBottom w:val="0"/>
      <w:divBdr>
        <w:top w:val="none" w:sz="0" w:space="0" w:color="auto"/>
        <w:left w:val="none" w:sz="0" w:space="0" w:color="auto"/>
        <w:bottom w:val="none" w:sz="0" w:space="0" w:color="auto"/>
        <w:right w:val="none" w:sz="0" w:space="0" w:color="auto"/>
      </w:divBdr>
    </w:div>
    <w:div w:id="21147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pl/web/infrastruktura/program-budowy-100-obwodnic-na-lata-2020---2031" TargetMode="External"/><Relationship Id="rId21" Type="http://schemas.openxmlformats.org/officeDocument/2006/relationships/header" Target="header4.xml"/><Relationship Id="rId42" Type="http://schemas.openxmlformats.org/officeDocument/2006/relationships/hyperlink" Target="https://isap.sejm.gov.pl/isap.nsf/download.xsp/WDU20160001933/T/D20161933L.pdf" TargetMode="External"/><Relationship Id="rId63" Type="http://schemas.openxmlformats.org/officeDocument/2006/relationships/hyperlink" Target="https://www.gov.pl/web/cyfryzacja/otwarte-dane-publiczne" TargetMode="External"/><Relationship Id="rId84" Type="http://schemas.openxmlformats.org/officeDocument/2006/relationships/hyperlink" Target="https://ocrg.opolskie.pl/media/system/bip/2022-01-01-REGULAMIN-ORGANIZACYJNY.pdf" TargetMode="External"/><Relationship Id="rId138" Type="http://schemas.openxmlformats.org/officeDocument/2006/relationships/hyperlink" Target="https://zsu2030.mein.gov.pl/app/files/ZSU2030_szczegolowa.pdf" TargetMode="External"/><Relationship Id="rId159" Type="http://schemas.openxmlformats.org/officeDocument/2006/relationships/hyperlink" Target="http://dziennikmz.mz.gov.pl/DUM_MZ/2021/80/akt.pdf" TargetMode="External"/><Relationship Id="rId170" Type="http://schemas.openxmlformats.org/officeDocument/2006/relationships/header" Target="header5.xml"/><Relationship Id="rId107" Type="http://schemas.openxmlformats.org/officeDocument/2006/relationships/hyperlink" Target="https://www.gov.pl/web/infrastruktura/program-budowy-100-obwodnic-na-lata-2020---2031" TargetMode="External"/><Relationship Id="rId11" Type="http://schemas.openxmlformats.org/officeDocument/2006/relationships/image" Target="media/image1.jpeg"/><Relationship Id="rId32" Type="http://schemas.openxmlformats.org/officeDocument/2006/relationships/hyperlink" Target="https://smart.gov.pl" TargetMode="External"/><Relationship Id="rId53" Type="http://schemas.openxmlformats.org/officeDocument/2006/relationships/hyperlink" Target="https://www.gov.pl/web/rozwoj-technologia/raporty-dotyczace-instytucji-otoczenia-biznesu" TargetMode="External"/><Relationship Id="rId74" Type="http://schemas.openxmlformats.org/officeDocument/2006/relationships/hyperlink" Target="https://www.kpk.gov.pl/horyzont-europa" TargetMode="External"/><Relationship Id="rId128" Type="http://schemas.openxmlformats.org/officeDocument/2006/relationships/hyperlink" Target="https://bip.opolskie.pl/2024/08/plan-transportowy-wojewodztwa-opolskiego-2030-aktualizacja/" TargetMode="External"/><Relationship Id="rId149" Type="http://schemas.openxmlformats.org/officeDocument/2006/relationships/hyperlink" Target="https://zsu2030.mein.gov.pl/app/files/ZSU2030_ogolna.pdf" TargetMode="External"/><Relationship Id="rId5" Type="http://schemas.openxmlformats.org/officeDocument/2006/relationships/numbering" Target="numbering.xml"/><Relationship Id="rId95" Type="http://schemas.openxmlformats.org/officeDocument/2006/relationships/hyperlink" Target="https://dziennikustaw.gov.pl/MP/2023/702" TargetMode="External"/><Relationship Id="rId160" Type="http://schemas.openxmlformats.org/officeDocument/2006/relationships/hyperlink" Target="https://basiw.mz.gov.pl/strategie/wojewodzkie-plany-transformacji/" TargetMode="External"/><Relationship Id="rId22" Type="http://schemas.openxmlformats.org/officeDocument/2006/relationships/footer" Target="footer5.xml"/><Relationship Id="rId43" Type="http://schemas.openxmlformats.org/officeDocument/2006/relationships/hyperlink" Target="https://isap.sejm.gov.pl/isap.nsf/download.xsp/WDU20170002201/T/D20172201L.pdf" TargetMode="External"/><Relationship Id="rId64" Type="http://schemas.openxmlformats.org/officeDocument/2006/relationships/hyperlink" Target="https://www.gov.pl/web/klimat/krajowy-plan-na-rzecz-energii-i-klimatu" TargetMode="External"/><Relationship Id="rId118" Type="http://schemas.openxmlformats.org/officeDocument/2006/relationships/hyperlink" Target="https://www.gov.pl/web/infrastruktura/warunkowosc-podstawowa" TargetMode="External"/><Relationship Id="rId139" Type="http://schemas.openxmlformats.org/officeDocument/2006/relationships/hyperlink" Target="https://zsu2030.mein.gov.pl/app/files/ZSU2030_ogolna.pdf" TargetMode="External"/><Relationship Id="rId85" Type="http://schemas.openxmlformats.org/officeDocument/2006/relationships/hyperlink" Target="https://ocrg.opolskie.pl/opracowanie-przez-beneficjenta-dokumentu-strategicznego-wskazujacego-kierunki-rozwoju-wojewodztwa-opolskiego-dla-polityki-badawczo-rozwojowej-w-latach-2020-2026/" TargetMode="External"/><Relationship Id="rId150" Type="http://schemas.openxmlformats.org/officeDocument/2006/relationships/hyperlink" Target="https://zsu2030.mein.gov.pl/app/files/ZSU2030_szczegolowa.pdf" TargetMode="External"/><Relationship Id="rId171" Type="http://schemas.openxmlformats.org/officeDocument/2006/relationships/header" Target="header6.xml"/><Relationship Id="rId12" Type="http://schemas.openxmlformats.org/officeDocument/2006/relationships/hyperlink" Target="https://www.google.com/url?sa=t&amp;rct=j&amp;q=&amp;esrc=s&amp;source=web&amp;cd=&amp;cad=rja&amp;uact=8&amp;ved=2ahUKEwjFksaLhNvzAhXh-ioKHaEFAeYQFnoECAoQAQ&amp;url=https%3A%2F%2Fwww.ekonomiaspoleczna.gov.pl%2Fdownload%2Ffiles%2FEKONOMIA_SPOLECZNA%2FProjekt%2520KPRES.docx&amp;usg=AOvVaw2XMHwPyZ0ncFeolZpJUpGa" TargetMode="External"/><Relationship Id="rId33" Type="http://schemas.openxmlformats.org/officeDocument/2006/relationships/hyperlink" Target="https://smart.gov.pl" TargetMode="External"/><Relationship Id="rId108" Type="http://schemas.openxmlformats.org/officeDocument/2006/relationships/hyperlink" Target="https://www.ums.gov.pl/programy_wieloletnie/09-04-58_WPR_S3975_2017_plik3.pdf" TargetMode="External"/><Relationship Id="rId129" Type="http://schemas.openxmlformats.org/officeDocument/2006/relationships/hyperlink" Target="https://psz.praca.gov.pl/rynek-pracy/akty-prawne" TargetMode="External"/><Relationship Id="rId54" Type="http://schemas.openxmlformats.org/officeDocument/2006/relationships/hyperlink" Target="https://smart.gov.pl" TargetMode="External"/><Relationship Id="rId75" Type="http://schemas.openxmlformats.org/officeDocument/2006/relationships/hyperlink" Target="https://www.parp.gov.pl/component/grants/grants/innovoucher" TargetMode="External"/><Relationship Id="rId96" Type="http://schemas.openxmlformats.org/officeDocument/2006/relationships/hyperlink" Target="https://dziennikustaw.gov.pl/MP/2023/702" TargetMode="External"/><Relationship Id="rId140" Type="http://schemas.openxmlformats.org/officeDocument/2006/relationships/hyperlink" Target="https://zsu2030.mein.gov.pl/app/files/ZSU2030_szczegolowa.pdf" TargetMode="External"/><Relationship Id="rId161" Type="http://schemas.openxmlformats.org/officeDocument/2006/relationships/hyperlink" Target="https://isap.sejm.gov.pl/isap.nsf/DocDetails.xsp?id=WMP20220000767" TargetMode="External"/><Relationship Id="rId6" Type="http://schemas.openxmlformats.org/officeDocument/2006/relationships/styles" Target="styles.xml"/><Relationship Id="rId23" Type="http://schemas.openxmlformats.org/officeDocument/2006/relationships/hyperlink" Target="https://dziennikustaw.gov.pl/MP/2021/218/M2021000021801.pdf" TargetMode="External"/><Relationship Id="rId28" Type="http://schemas.openxmlformats.org/officeDocument/2006/relationships/hyperlink" Target="https://www.oecd-ilibrary.org/economics/oecd-economic-surveys-poland-2018_eco_surveys-pol-2018-en" TargetMode="External"/><Relationship Id="rId49" Type="http://schemas.openxmlformats.org/officeDocument/2006/relationships/hyperlink" Target="https://www.gov.pl/web/rozwoj/lista-kkk" TargetMode="External"/><Relationship Id="rId114" Type="http://schemas.openxmlformats.org/officeDocument/2006/relationships/hyperlink" Target="https://www.gov.pl/web/infrastruktura/polityka-rozwoju-lotnictwa-cywilnego-w-polsce-do-2030-r-z-perspektywa-do-2040-r" TargetMode="External"/><Relationship Id="rId119" Type="http://schemas.openxmlformats.org/officeDocument/2006/relationships/hyperlink" Target="https://www.gov.pl/web/infrastruktura/projekt-strategii-zrownowazonego-rozwoju-transportu-do-2030-roku2" TargetMode="External"/><Relationship Id="rId44" Type="http://schemas.openxmlformats.org/officeDocument/2006/relationships/hyperlink" Target="https://www.gov.pl/web/rozwoj-praca-technologia/przemysl-4-0" TargetMode="External"/><Relationship Id="rId60" Type="http://schemas.openxmlformats.org/officeDocument/2006/relationships/hyperlink" Target="https://www.gov.pl/web/rozwoj/mpit-oglasza-konkurs-dla-hubow-innowacji-cyfrowych" TargetMode="External"/><Relationship Id="rId65" Type="http://schemas.openxmlformats.org/officeDocument/2006/relationships/hyperlink" Target="http://www.czystepowietrze.gov.pl/" TargetMode="External"/><Relationship Id="rId81" Type="http://schemas.openxmlformats.org/officeDocument/2006/relationships/hyperlink" Target="https://www.opolskie.pl/region/rozwoj-regionalny/strategia-rozwoju-wojewodztwa-opolskiego-opolskie-2030/" TargetMode="External"/><Relationship Id="rId86" Type="http://schemas.openxmlformats.org/officeDocument/2006/relationships/hyperlink" Target="https://ocrg.opolskie.pl/opracowanie-przez-beneficjenta-dokumentu-strategicznego-wskazujacego-kierunki-rozwoju-wojewodztwa-opolskiego-dla-polityki-badawczo-rozwojowej-w-latach-2020-2026/" TargetMode="External"/><Relationship Id="rId130" Type="http://schemas.openxmlformats.org/officeDocument/2006/relationships/hyperlink" Target="https://dziennikustaw.gov.pl/DU/rok/2024/pozycja/424" TargetMode="External"/><Relationship Id="rId135" Type="http://schemas.openxmlformats.org/officeDocument/2006/relationships/hyperlink" Target="https://dziennikustaw.gov.pl/DU/rok/2024/pozycja/424" TargetMode="External"/><Relationship Id="rId151" Type="http://schemas.openxmlformats.org/officeDocument/2006/relationships/hyperlink" Target="https://isap.sejm.gov.pl/isap.nsf/download.xsp/WMP20220000767/O/M20220767.pdf" TargetMode="External"/><Relationship Id="rId156" Type="http://schemas.openxmlformats.org/officeDocument/2006/relationships/hyperlink" Target="https://basiw.mz.gov.pl/strategie/wojewodzkie-plany-transformacji/" TargetMode="External"/><Relationship Id="rId177" Type="http://schemas.microsoft.com/office/2011/relationships/people" Target="people.xml"/><Relationship Id="rId172" Type="http://schemas.openxmlformats.org/officeDocument/2006/relationships/footer" Target="footer6.xml"/><Relationship Id="rId13" Type="http://schemas.openxmlformats.org/officeDocument/2006/relationships/hyperlink" Target="https://mfiles.pl/pl/index.php/Potencja%C5%82" TargetMode="External"/><Relationship Id="rId18" Type="http://schemas.openxmlformats.org/officeDocument/2006/relationships/header" Target="header3.xml"/><Relationship Id="rId39" Type="http://schemas.openxmlformats.org/officeDocument/2006/relationships/hyperlink" Target="https://smart.gov.pl" TargetMode="External"/><Relationship Id="rId109" Type="http://schemas.openxmlformats.org/officeDocument/2006/relationships/hyperlink" Target="https://www.gov.pl/web/infrastruktura/projekt-strategii-zrownowazonego-rozwoju-transportu-do-2030-roku2" TargetMode="External"/><Relationship Id="rId34" Type="http://schemas.openxmlformats.org/officeDocument/2006/relationships/hyperlink" Target="https://smart.gov.pl" TargetMode="External"/><Relationship Id="rId50" Type="http://schemas.openxmlformats.org/officeDocument/2006/relationships/hyperlink" Target="https://www.gov.pl/web/rozwoj-praca-technologia/krajowe-klastry-kluczowe" TargetMode="External"/><Relationship Id="rId55" Type="http://schemas.openxmlformats.org/officeDocument/2006/relationships/hyperlink" Target="http://www.fppp.gov.pl" TargetMode="External"/><Relationship Id="rId76" Type="http://schemas.openxmlformats.org/officeDocument/2006/relationships/hyperlink" Target="https://www.parp.gov.pl/component/grants/grants/wsparcie-na-utworzenie-partnerstwa" TargetMode="External"/><Relationship Id="rId97" Type="http://schemas.openxmlformats.org/officeDocument/2006/relationships/hyperlink" Target="http://isap.sejm.gov.pl/isap.nsf/download.xsp/WDU20170000019/O/D20170019.pdf" TargetMode="External"/><Relationship Id="rId104" Type="http://schemas.openxmlformats.org/officeDocument/2006/relationships/hyperlink" Target="https://www.gov.pl/web/infrastruktura/program-wzmocnienia-krajowej-sieci-drogowej-do-2030-roku" TargetMode="External"/><Relationship Id="rId120" Type="http://schemas.openxmlformats.org/officeDocument/2006/relationships/hyperlink" Target="https://www.gov.pl/web/infrastruktura/rzadowy-program-budowy-drog-krajowych-do-2030-r-z-perspektywa-do-2033-r" TargetMode="External"/><Relationship Id="rId125" Type="http://schemas.openxmlformats.org/officeDocument/2006/relationships/hyperlink" Target="https://www.cpk.pl/pl/inwestycja/program-wieloletni" TargetMode="External"/><Relationship Id="rId141" Type="http://schemas.openxmlformats.org/officeDocument/2006/relationships/hyperlink" Target="https://zsu2030.mein.gov.pl/app/files/ZSU2030_ogolna.pdf" TargetMode="External"/><Relationship Id="rId146" Type="http://schemas.openxmlformats.org/officeDocument/2006/relationships/hyperlink" Target="https://zsu2030.mein.gov.pl/app/files/ZSU2030_szczegolowa.pdf" TargetMode="External"/><Relationship Id="rId167" Type="http://schemas.openxmlformats.org/officeDocument/2006/relationships/hyperlink" Target="mailto:biuro@ocrg.opolskie.pl" TargetMode="External"/><Relationship Id="rId7" Type="http://schemas.openxmlformats.org/officeDocument/2006/relationships/settings" Target="settings.xml"/><Relationship Id="rId71" Type="http://schemas.openxmlformats.org/officeDocument/2006/relationships/hyperlink" Target="https://orgmasz.pl/branzowe-punkty-kontaktowe-bpk/" TargetMode="External"/><Relationship Id="rId92" Type="http://schemas.openxmlformats.org/officeDocument/2006/relationships/hyperlink" Target="http://isap.sejm.gov.pl/isap.nsf/download.xsp/WDU20170001084/O/D20171084.pdf" TargetMode="External"/><Relationship Id="rId162" Type="http://schemas.openxmlformats.org/officeDocument/2006/relationships/hyperlink" Target="mailto:marszalek@opolskie.pl" TargetMode="External"/><Relationship Id="rId2" Type="http://schemas.openxmlformats.org/officeDocument/2006/relationships/customXml" Target="../customXml/item2.xml"/><Relationship Id="rId29" Type="http://schemas.openxmlformats.org/officeDocument/2006/relationships/hyperlink" Target="https://www.oecd-ilibrary.org/docserver/6fc99a4b-en.pdf?expires=1727721058&amp;id=id&amp;accname=guest&amp;checksum=A63727B127B200DEFF10BE2C66C0B810" TargetMode="External"/><Relationship Id="rId24" Type="http://schemas.openxmlformats.org/officeDocument/2006/relationships/hyperlink" Target="https://isap.sejm.gov.pl/isap.nsf/download.xsp/WMP20220000767/O/M20220767.pdf" TargetMode="External"/><Relationship Id="rId40" Type="http://schemas.openxmlformats.org/officeDocument/2006/relationships/hyperlink" Target="https://smart.gov.pl" TargetMode="External"/><Relationship Id="rId45" Type="http://schemas.openxmlformats.org/officeDocument/2006/relationships/hyperlink" Target="https://isap.sejm.gov.pl/isap.nsf/download.xsp/WDU20180001668/T/D20181668L.pdf" TargetMode="External"/><Relationship Id="rId66" Type="http://schemas.openxmlformats.org/officeDocument/2006/relationships/hyperlink" Target="https://www.gov.pl/web/klimat/elektromobilnosc" TargetMode="External"/><Relationship Id="rId87" Type="http://schemas.openxmlformats.org/officeDocument/2006/relationships/hyperlink" Target="https://www.opolskie.pl/region/rozwoj-regionalny/" TargetMode="External"/><Relationship Id="rId110" Type="http://schemas.openxmlformats.org/officeDocument/2006/relationships/hyperlink" Target="https://www.gov.pl/web/infrastruktura/rzadowy-program-budowy-drog-krajowych-do-2030-r-z-perspektywa-do-2033-r" TargetMode="External"/><Relationship Id="rId115" Type="http://schemas.openxmlformats.org/officeDocument/2006/relationships/hyperlink" Target="https://www.cpk.pl/pl/inwestycja/program-wieloletni" TargetMode="External"/><Relationship Id="rId131" Type="http://schemas.openxmlformats.org/officeDocument/2006/relationships/hyperlink" Target="https://monitorpolski.gov.pl/MP/rok/2023/pozycja/1232" TargetMode="External"/><Relationship Id="rId136" Type="http://schemas.openxmlformats.org/officeDocument/2006/relationships/hyperlink" Target="https://monitorpolski.gov.pl/MP/rok/2023/pozycja/1232" TargetMode="External"/><Relationship Id="rId157" Type="http://schemas.openxmlformats.org/officeDocument/2006/relationships/hyperlink" Target="https://isap.sejm.gov.pl/isap.nsf/DocDetails.xsp?id=WMP20220000767" TargetMode="External"/><Relationship Id="rId178" Type="http://schemas.openxmlformats.org/officeDocument/2006/relationships/theme" Target="theme/theme1.xml"/><Relationship Id="rId61" Type="http://schemas.openxmlformats.org/officeDocument/2006/relationships/hyperlink" Target="https://www.gov.pl/web/cyfryzacja/narodowy-plan-szerokopasmowy---zaktualizowany" TargetMode="External"/><Relationship Id="rId82" Type="http://schemas.openxmlformats.org/officeDocument/2006/relationships/hyperlink" Target="https://www.opolskie.pl/region/rozwoj-regionalny/" TargetMode="External"/><Relationship Id="rId152" Type="http://schemas.openxmlformats.org/officeDocument/2006/relationships/hyperlink" Target="https://sip.legalis.pl/document-view.seam?documentId=mfrxilrtg4zdamjtgeyts" TargetMode="External"/><Relationship Id="rId173" Type="http://schemas.openxmlformats.org/officeDocument/2006/relationships/footer" Target="footer7.xm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hyperlink" Target="https://www.siemens.com/pl/pl/o-firmie/raporty-siemens/raporty.html" TargetMode="External"/><Relationship Id="rId35" Type="http://schemas.openxmlformats.org/officeDocument/2006/relationships/hyperlink" Target="https://smartradar.smart.gov.pl/" TargetMode="External"/><Relationship Id="rId56" Type="http://schemas.openxmlformats.org/officeDocument/2006/relationships/hyperlink" Target="https://sip.lex.pl/akty-prawne/dzu-dziennik-ustaw/fundacja-platforma-przemyslu-przyszlosci-18812863" TargetMode="External"/><Relationship Id="rId77" Type="http://schemas.openxmlformats.org/officeDocument/2006/relationships/hyperlink" Target="https://www.parp.gov.pl/component/grants/grants/startup-booster-poland---oferta-dla-startupow" TargetMode="External"/><Relationship Id="rId100" Type="http://schemas.openxmlformats.org/officeDocument/2006/relationships/hyperlink" Target="https://dziennikustaw.gov.pl/MP/2023/702" TargetMode="External"/><Relationship Id="rId105" Type="http://schemas.openxmlformats.org/officeDocument/2006/relationships/hyperlink" Target="https://www.cpk.pl/pl/inwestycja/program-wieloletni" TargetMode="External"/><Relationship Id="rId126" Type="http://schemas.openxmlformats.org/officeDocument/2006/relationships/hyperlink" Target="https://www.gov.pl/web/infrastruktura/kierunki-rozwoju-transportu-intermodalnego" TargetMode="External"/><Relationship Id="rId147" Type="http://schemas.openxmlformats.org/officeDocument/2006/relationships/hyperlink" Target="https://zsu2030.mein.gov.pl/app/files/ZSU2030_ogolna.pdf" TargetMode="External"/><Relationship Id="rId168" Type="http://schemas.openxmlformats.org/officeDocument/2006/relationships/hyperlink" Target="mailto:sekretariat@wup.opole.pl" TargetMode="External"/><Relationship Id="rId8" Type="http://schemas.openxmlformats.org/officeDocument/2006/relationships/webSettings" Target="webSettings.xml"/><Relationship Id="rId51" Type="http://schemas.openxmlformats.org/officeDocument/2006/relationships/hyperlink" Target="https://www.parp.gov.pl/component/grants/grants/rozwoj-potencjalu-koordynatorow-krajowych-klastrow-kluczowych" TargetMode="External"/><Relationship Id="rId72" Type="http://schemas.openxmlformats.org/officeDocument/2006/relationships/hyperlink" Target="https://www.interregeurope.eu/in-my-country/poland/" TargetMode="External"/><Relationship Id="rId93" Type="http://schemas.openxmlformats.org/officeDocument/2006/relationships/hyperlink" Target="https://urldefense.com/v3/__https:/www.gov.pl/attachment/a7096f8e-5961-4719-8c03-4b36cf61f56a__;!!DOxrgLBm!BgjedOluH90WERxawy9AbZ3JZpp6hSClVxyTCtt4nIc3hC5p5vQKDR79ykBhHxvGOi1WovUV1iavRFjKfYgqNRCwTvWJ29NlJo4$" TargetMode="External"/><Relationship Id="rId98" Type="http://schemas.openxmlformats.org/officeDocument/2006/relationships/hyperlink" Target="http://isap.sejm.gov.pl/isap.nsf/download.xsp/WDU20210000906/O/D20210906.pdf" TargetMode="External"/><Relationship Id="rId121" Type="http://schemas.openxmlformats.org/officeDocument/2006/relationships/hyperlink" Target="https://www.gov.pl/web/infrastruktura/krajowy-program-kolejowy" TargetMode="External"/><Relationship Id="rId142" Type="http://schemas.openxmlformats.org/officeDocument/2006/relationships/hyperlink" Target="https://zsu2030.mein.gov.pl/app/files/ZSU2030_szczegolowa.pdf" TargetMode="External"/><Relationship Id="rId163" Type="http://schemas.openxmlformats.org/officeDocument/2006/relationships/hyperlink" Target="mailto:s.oglaza@opolskie.pl" TargetMode="External"/><Relationship Id="rId3" Type="http://schemas.openxmlformats.org/officeDocument/2006/relationships/customXml" Target="../customXml/item3.xml"/><Relationship Id="rId25" Type="http://schemas.openxmlformats.org/officeDocument/2006/relationships/hyperlink" Target="https://www.gov.pl/web/fundusze-regiony/informacje-o-strategii-na-rzecz-odpowiedzialnego-rozwoju" TargetMode="External"/><Relationship Id="rId46" Type="http://schemas.openxmlformats.org/officeDocument/2006/relationships/hyperlink" Target="https://isap.sejm.gov.pl/isap.nsf/download.xsp/WDU20190000534/T/D20190534L.pdf" TargetMode="External"/><Relationship Id="rId67" Type="http://schemas.openxmlformats.org/officeDocument/2006/relationships/hyperlink" Target="https://www.gov.pl/web/rozwoj-praca-technologia/rada-ministrow-przyjela-projekt-mapy-drogowej-goz" TargetMode="External"/><Relationship Id="rId116" Type="http://schemas.openxmlformats.org/officeDocument/2006/relationships/hyperlink" Target="https://www.gov.pl/web/infrastruktura/kierunki-rozwoju-transportu-intermodalnego" TargetMode="External"/><Relationship Id="rId137" Type="http://schemas.openxmlformats.org/officeDocument/2006/relationships/hyperlink" Target="https://zsu2030.mein.gov.pl/app/files/ZSU2030_ogolna.pdf" TargetMode="External"/><Relationship Id="rId158" Type="http://schemas.openxmlformats.org/officeDocument/2006/relationships/hyperlink" Target="https://www.gov.pl/web/zdrowie/zdrowa-przyszlosc-ramy-strategiczne-rozwoju-systemu-ochrony-zdrowia-na-lata-2021-2027-z-perspektywa-do-2030" TargetMode="External"/><Relationship Id="rId20" Type="http://schemas.openxmlformats.org/officeDocument/2006/relationships/footer" Target="footer4.xml"/><Relationship Id="rId41" Type="http://schemas.openxmlformats.org/officeDocument/2006/relationships/hyperlink" Target="https://isap.sejm.gov.pl/isap.nsf/download.xsp/WMP20160000063/O/M20160063.pdf" TargetMode="External"/><Relationship Id="rId62" Type="http://schemas.openxmlformats.org/officeDocument/2006/relationships/hyperlink" Target="https://isap.sejm.gov.pl/isap.nsf/DocDetails.xsp?id=WMP20210000023" TargetMode="External"/><Relationship Id="rId83" Type="http://schemas.openxmlformats.org/officeDocument/2006/relationships/hyperlink" Target="https://bip.opolskie.pl/wp-content/uploads/2022/01/Regulamin-organizacyjny-Urz&#281;du-za&#322;&#261;cznik-do-Uchwa&#322;y-nr-6969-2022-z-4-maja-2022-r..pdf" TargetMode="External"/><Relationship Id="rId88" Type="http://schemas.openxmlformats.org/officeDocument/2006/relationships/hyperlink" Target="https://www.opolskie.pl/region/rozwoj-regionalny/strategia-rozwoju-wojewodztwa-opolskiego-opolskie-2030/" TargetMode="External"/><Relationship Id="rId111" Type="http://schemas.openxmlformats.org/officeDocument/2006/relationships/hyperlink" Target="https://www.gov.pl/web/infrastruktura/krajowy-program-kolejowy" TargetMode="External"/><Relationship Id="rId132" Type="http://schemas.openxmlformats.org/officeDocument/2006/relationships/hyperlink" Target="https://monitorpolski.gov.pl/MP/rok/2024/pozycja/823" TargetMode="External"/><Relationship Id="rId153" Type="http://schemas.openxmlformats.org/officeDocument/2006/relationships/hyperlink" Target="https://sip.legalis.pl/document-view.seam?documentId=mfrxilrtg4ytsnbsgq3tg" TargetMode="External"/><Relationship Id="rId174" Type="http://schemas.openxmlformats.org/officeDocument/2006/relationships/header" Target="header7.xml"/><Relationship Id="rId15" Type="http://schemas.openxmlformats.org/officeDocument/2006/relationships/header" Target="header1.xml"/><Relationship Id="rId36" Type="http://schemas.openxmlformats.org/officeDocument/2006/relationships/hyperlink" Target="https://smart.gov.pl" TargetMode="External"/><Relationship Id="rId57" Type="http://schemas.openxmlformats.org/officeDocument/2006/relationships/hyperlink" Target="https://www.gov.pl/web/rozwoj-technologia/rada-ministrow-przyjela-projekt-mapy-drogowej-goz" TargetMode="External"/><Relationship Id="rId106" Type="http://schemas.openxmlformats.org/officeDocument/2006/relationships/hyperlink" Target="https://www.gov.pl/web/infrastruktura/kierunki-rozwoju-transportu-intermodalnego" TargetMode="External"/><Relationship Id="rId127" Type="http://schemas.openxmlformats.org/officeDocument/2006/relationships/hyperlink" Target="https://www.gov.pl/web/infrastruktura/program-wzmocnienia-krajowej-sieci-drogowej-do-2030-roku" TargetMode="External"/><Relationship Id="rId10" Type="http://schemas.openxmlformats.org/officeDocument/2006/relationships/endnotes" Target="endnotes.xml"/><Relationship Id="rId31" Type="http://schemas.openxmlformats.org/officeDocument/2006/relationships/hyperlink" Target="https://przemyslprzyszlosci.gov.pl/baza-wiedzy/biblioteka-4-0/" TargetMode="External"/><Relationship Id="rId52" Type="http://schemas.openxmlformats.org/officeDocument/2006/relationships/hyperlink" Target="https://www.gov.pl/web/rozwoj-technologia/raporty-dotyczace-instytucji-otoczenia-biznesu" TargetMode="External"/><Relationship Id="rId73" Type="http://schemas.openxmlformats.org/officeDocument/2006/relationships/hyperlink" Target="https://www.kpk.gov.pl/inne-programy/horyzont-2020" TargetMode="External"/><Relationship Id="rId78" Type="http://schemas.openxmlformats.org/officeDocument/2006/relationships/hyperlink" Target="https://www.paih.gov.pl/pmt" TargetMode="External"/><Relationship Id="rId94" Type="http://schemas.openxmlformats.org/officeDocument/2006/relationships/hyperlink" Target="https://dziennikustaw.gov.pl/MP/2023/702" TargetMode="External"/><Relationship Id="rId99" Type="http://schemas.openxmlformats.org/officeDocument/2006/relationships/hyperlink" Target="http://isap.sejm.gov.pl/isap.nsf/download.xsp/WMP20210000509/O/M20210509.pdf" TargetMode="External"/><Relationship Id="rId101" Type="http://schemas.openxmlformats.org/officeDocument/2006/relationships/hyperlink" Target="https://www.gov.pl/web/infrastruktura/warunkowosc-podstawowa" TargetMode="External"/><Relationship Id="rId122" Type="http://schemas.openxmlformats.org/officeDocument/2006/relationships/hyperlink" Target="https://www.gov.pl/web/gospodarkamorska/program-rozwoju-polskich-portow-morskich-do-2030-roku" TargetMode="External"/><Relationship Id="rId143" Type="http://schemas.openxmlformats.org/officeDocument/2006/relationships/hyperlink" Target="https://zsu2030.mein.gov.pl/app/files/ZSU2030_ogolna.pdf" TargetMode="External"/><Relationship Id="rId148" Type="http://schemas.openxmlformats.org/officeDocument/2006/relationships/hyperlink" Target="https://zsu2030.mein.gov.pl/app/files/ZSU2030_szczegolowa.pdf" TargetMode="External"/><Relationship Id="rId164" Type="http://schemas.openxmlformats.org/officeDocument/2006/relationships/hyperlink" Target="mailto:kancelaria@mf.gov.pl" TargetMode="External"/><Relationship Id="rId16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pl/web/rozwoj-technologia/strategia-produktywnosci-2031" TargetMode="External"/><Relationship Id="rId47" Type="http://schemas.openxmlformats.org/officeDocument/2006/relationships/hyperlink" Target="https://www.gov.pl/web/fundusze-regiony/informacje-o-strategii-na-rzecz-odpowiedzialnego-rozwoju" TargetMode="External"/><Relationship Id="rId68" Type="http://schemas.openxmlformats.org/officeDocument/2006/relationships/hyperlink" Target="https://s3platform.jrc.ec.europa.eu/thematic-platforms" TargetMode="External"/><Relationship Id="rId89" Type="http://schemas.openxmlformats.org/officeDocument/2006/relationships/hyperlink" Target="https://www.opolskie.pl/region/rozwoj-regionalny/" TargetMode="External"/><Relationship Id="rId112" Type="http://schemas.openxmlformats.org/officeDocument/2006/relationships/hyperlink" Target="https://www.gov.pl/web/gospodarkamorska/program-rozwoju-polskich-portow-morskich-do-2030-roku" TargetMode="External"/><Relationship Id="rId133" Type="http://schemas.openxmlformats.org/officeDocument/2006/relationships/hyperlink" Target="https://dziennikustaw.gov.pl/DU/rok/2024/pozycja/424" TargetMode="External"/><Relationship Id="rId154" Type="http://schemas.openxmlformats.org/officeDocument/2006/relationships/hyperlink" Target="https://isap.sejm.gov.pl/isap.nsf/DocDetails.xsp?id=WMP20210000843" TargetMode="External"/><Relationship Id="rId175" Type="http://schemas.openxmlformats.org/officeDocument/2006/relationships/footer" Target="footer8.xml"/><Relationship Id="rId16" Type="http://schemas.openxmlformats.org/officeDocument/2006/relationships/footer" Target="footer2.xml"/><Relationship Id="rId37" Type="http://schemas.openxmlformats.org/officeDocument/2006/relationships/hyperlink" Target="https://www.ewaluacja.gov.pl/strony/badania-i-analizy/wyniki-badan-ewaluacyjnych/badania-ewaluacyjne/ewaluacja-wsparcia-w-ramach-po-ir-w-zakresie-krajowych-inteligentnych-specjalizacji/" TargetMode="External"/><Relationship Id="rId58" Type="http://schemas.openxmlformats.org/officeDocument/2006/relationships/hyperlink" Target="https://www.gov.pl/web/ncbr/kpo-goz" TargetMode="External"/><Relationship Id="rId79" Type="http://schemas.openxmlformats.org/officeDocument/2006/relationships/hyperlink" Target="https://www.gov.pl/web/nauka/granty-na-granty-promocja-jakosci-iii" TargetMode="External"/><Relationship Id="rId102" Type="http://schemas.openxmlformats.org/officeDocument/2006/relationships/hyperlink" Target="https://www.gov.pl/web/aktywa-panstwowe/krajowy-plan-na-rzecz-energii-i-klimatu-na-lata-2021-2030-przekazany-do-ke" TargetMode="External"/><Relationship Id="rId123" Type="http://schemas.openxmlformats.org/officeDocument/2006/relationships/hyperlink" Target="https://www.gov.pl/web/infrastruktura/krajowy-program-zeglugowy-do-roku-2030" TargetMode="External"/><Relationship Id="rId144" Type="http://schemas.openxmlformats.org/officeDocument/2006/relationships/hyperlink" Target="https://zsu2030.mein.gov.pl/app/files/ZSU2030_szczegolowa.pdf" TargetMode="External"/><Relationship Id="rId90" Type="http://schemas.openxmlformats.org/officeDocument/2006/relationships/hyperlink" Target="https://bip.opolskie.pl/2020/01/program-ochrony-powietrza-2020-r/" TargetMode="External"/><Relationship Id="rId165" Type="http://schemas.openxmlformats.org/officeDocument/2006/relationships/hyperlink" Target="mailto:kancelaria@mf.gov.pl" TargetMode="External"/><Relationship Id="rId27" Type="http://schemas.openxmlformats.org/officeDocument/2006/relationships/hyperlink" Target="https://www.gov.pl/web/cyfryzacja/strategia-cyberbezpieczenstwa-rzeczypospolitej-polskiej-na-lata-2019-2024" TargetMode="External"/><Relationship Id="rId48" Type="http://schemas.openxmlformats.org/officeDocument/2006/relationships/hyperlink" Target="https://www.gov.pl/web/rozwoj-technologia/strategia-produktywnosci-2031" TargetMode="External"/><Relationship Id="rId69" Type="http://schemas.openxmlformats.org/officeDocument/2006/relationships/hyperlink" Target="https://smart.gov.pl" TargetMode="External"/><Relationship Id="rId113" Type="http://schemas.openxmlformats.org/officeDocument/2006/relationships/hyperlink" Target="https://www.gov.pl/web/infrastruktura/krajowy-program-zeglugowy-do-roku-2030" TargetMode="External"/><Relationship Id="rId134" Type="http://schemas.openxmlformats.org/officeDocument/2006/relationships/hyperlink" Target="https://monitorpolski.gov.pl/MP/rok/2023/pozycja/1232" TargetMode="External"/><Relationship Id="rId80" Type="http://schemas.openxmlformats.org/officeDocument/2006/relationships/hyperlink" Target="https://www.fnp.org.pl/oferta/miedzynarodowe-agendy-badawcze-mab/" TargetMode="External"/><Relationship Id="rId155" Type="http://schemas.openxmlformats.org/officeDocument/2006/relationships/hyperlink" Target="https://basiw.mz.gov.pl/mapy-informacje/mapa-2022-2026/" TargetMode="External"/><Relationship Id="rId176"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s://smart.gov.pl" TargetMode="External"/><Relationship Id="rId59" Type="http://schemas.openxmlformats.org/officeDocument/2006/relationships/hyperlink" Target="https://kpo.parp.gov.pl/component/content/article/86924:uzyskaj-dofinansowanie-na-rozwoj-ekoinnowacyjnosci-w-swoim-biznesie-parp-wspiera-inwestycje-w-goz" TargetMode="External"/><Relationship Id="rId103" Type="http://schemas.openxmlformats.org/officeDocument/2006/relationships/hyperlink" Target="https://www.gov.pl/web/infrastruktura/program-wzmocnienia-krajowej-sieci-drogowej-do-2030-roku" TargetMode="External"/><Relationship Id="rId124" Type="http://schemas.openxmlformats.org/officeDocument/2006/relationships/hyperlink" Target="https://www.gov.pl/web/infrastruktura/polityka-rozwoju-lotnictwa-cywilnego-w-polsce-do-2030-r-z-perspektywa-do-2040-r" TargetMode="External"/><Relationship Id="rId70" Type="http://schemas.openxmlformats.org/officeDocument/2006/relationships/hyperlink" Target="https://www.kpk.gov.pl/analizy-i-statystyki" TargetMode="External"/><Relationship Id="rId91" Type="http://schemas.openxmlformats.org/officeDocument/2006/relationships/hyperlink" Target="https://www.opolskie.pl/region/rozwoj-regionalny/" TargetMode="External"/><Relationship Id="rId145" Type="http://schemas.openxmlformats.org/officeDocument/2006/relationships/hyperlink" Target="https://zsu2030.mein.gov.pl/app/files/ZSU2030_ogolna.pdf" TargetMode="External"/><Relationship Id="rId166" Type="http://schemas.openxmlformats.org/officeDocument/2006/relationships/hyperlink" Target="mailto:kancelaria@mf.gov.pl"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bdl.stat.gov.pl/BDL/start" TargetMode="External"/><Relationship Id="rId13" Type="http://schemas.openxmlformats.org/officeDocument/2006/relationships/hyperlink" Target="https://strateg.stat.gov.pl" TargetMode="External"/><Relationship Id="rId18" Type="http://schemas.openxmlformats.org/officeDocument/2006/relationships/hyperlink" Target="https://eacea.ec.europa.eu/national-policies/eurydice/content/funding-education-56_pl" TargetMode="External"/><Relationship Id="rId3" Type="http://schemas.openxmlformats.org/officeDocument/2006/relationships/hyperlink" Target="https://bdl.stat.gov.pl/BDL/start" TargetMode="External"/><Relationship Id="rId7" Type="http://schemas.openxmlformats.org/officeDocument/2006/relationships/hyperlink" Target="https://bdl.stat.gov.pl/BDL/start" TargetMode="External"/><Relationship Id="rId12" Type="http://schemas.openxmlformats.org/officeDocument/2006/relationships/hyperlink" Target="https://strateg.stat.gov.pl" TargetMode="External"/><Relationship Id="rId17" Type="http://schemas.openxmlformats.org/officeDocument/2006/relationships/hyperlink" Target="https://www.gov.pl/web/uw-opolski/obwieszczenie-planu-transformacji-wojewodztwa-opolskiego" TargetMode="External"/><Relationship Id="rId2" Type="http://schemas.openxmlformats.org/officeDocument/2006/relationships/hyperlink" Target="https://eur-lex.europa.eu/resource.html?uri=cellar:e44d3c21-531e-11e6-89bd-01aa75ed71a1.0011.02/DOC_1&amp;format=PDF" TargetMode="External"/><Relationship Id="rId16" Type="http://schemas.openxmlformats.org/officeDocument/2006/relationships/hyperlink" Target="https://www.gov.pl/web/rodzina/publikacje-dotyczace-cus" TargetMode="External"/><Relationship Id="rId20" Type="http://schemas.openxmlformats.org/officeDocument/2006/relationships/hyperlink" Target="https://paktuczciwosci.pl/" TargetMode="External"/><Relationship Id="rId1" Type="http://schemas.openxmlformats.org/officeDocument/2006/relationships/hyperlink" Target="https://europa.eu/new-european-bauhaus/index_en" TargetMode="External"/><Relationship Id="rId6" Type="http://schemas.openxmlformats.org/officeDocument/2006/relationships/hyperlink" Target="https://www.gov.pl/web/uw-opolski/obwieszczenie-planu-transformacji-wojewodztwa-opolskiego" TargetMode="External"/><Relationship Id="rId11" Type="http://schemas.openxmlformats.org/officeDocument/2006/relationships/hyperlink" Target="https://bdl.stat.gov.pl/BDL/start" TargetMode="External"/><Relationship Id="rId5" Type="http://schemas.openxmlformats.org/officeDocument/2006/relationships/hyperlink" Target="https://bdl.stat.gov.pl/BDL/start" TargetMode="External"/><Relationship Id="rId15" Type="http://schemas.openxmlformats.org/officeDocument/2006/relationships/hyperlink" Target="https://eur-lex.europa.eu/legal-content/PL/TXT/?uri=CELEX:32021H1004" TargetMode="External"/><Relationship Id="rId10" Type="http://schemas.openxmlformats.org/officeDocument/2006/relationships/hyperlink" Target="https://bdl.stat.gov.pl/BDL/start" TargetMode="External"/><Relationship Id="rId19" Type="http://schemas.openxmlformats.org/officeDocument/2006/relationships/hyperlink" Target="https://paktuczciwosci.pl/" TargetMode="External"/><Relationship Id="rId4" Type="http://schemas.openxmlformats.org/officeDocument/2006/relationships/hyperlink" Target="https://bdl.stat.gov.pl/BDL/start" TargetMode="External"/><Relationship Id="rId9" Type="http://schemas.openxmlformats.org/officeDocument/2006/relationships/hyperlink" Target="https://bdl.stat.gov.pl/BDL/start" TargetMode="External"/><Relationship Id="rId14" Type="http://schemas.openxmlformats.org/officeDocument/2006/relationships/hyperlink" Target="https://dan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6791DDFFC024DAA4136D92359EB10" ma:contentTypeVersion="6" ma:contentTypeDescription="Create a new document." ma:contentTypeScope="" ma:versionID="ebafabafdafd6c382bc5d6cf9923b26e">
  <xsd:schema xmlns:xsd="http://www.w3.org/2001/XMLSchema" xmlns:xs="http://www.w3.org/2001/XMLSchema" xmlns:p="http://schemas.microsoft.com/office/2006/metadata/properties" xmlns:ns2="cce4269c-1bca-4c47-bcbd-0ca0cb14aa6e" xmlns:ns3="96a7f24e-e0df-4592-b6e0-4a62e251a0e5" targetNamespace="http://schemas.microsoft.com/office/2006/metadata/properties" ma:root="true" ma:fieldsID="824abad853ce4f95b53903bcb299594c" ns2:_="" ns3:_="">
    <xsd:import namespace="cce4269c-1bca-4c47-bcbd-0ca0cb14aa6e"/>
    <xsd:import namespace="96a7f24e-e0df-4592-b6e0-4a62e251a0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269c-1bca-4c47-bcbd-0ca0cb14a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2FDAF-3991-4305-82C0-658832435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2800B5-008D-4670-8C49-FCC7ADF5A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269c-1bca-4c47-bcbd-0ca0cb14aa6e"/>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794E3-61E9-4BD1-988A-6722455CD9C6}">
  <ds:schemaRefs>
    <ds:schemaRef ds:uri="http://schemas.openxmlformats.org/officeDocument/2006/bibliography"/>
  </ds:schemaRefs>
</ds:datastoreItem>
</file>

<file path=customXml/itemProps4.xml><?xml version="1.0" encoding="utf-8"?>
<ds:datastoreItem xmlns:ds="http://schemas.openxmlformats.org/officeDocument/2006/customXml" ds:itemID="{4E5883AB-5F92-4F11-96CC-DEB54D9AD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408</Pages>
  <Words>110434</Words>
  <Characters>662604</Characters>
  <Application>Microsoft Office Word</Application>
  <DocSecurity>0</DocSecurity>
  <Lines>5521</Lines>
  <Paragraphs>1542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Janka</dc:creator>
  <cp:keywords/>
  <dc:description/>
  <cp:lastModifiedBy>Justyna Sobera</cp:lastModifiedBy>
  <cp:revision>10</cp:revision>
  <cp:lastPrinted>2025-01-24T12:18:00Z</cp:lastPrinted>
  <dcterms:created xsi:type="dcterms:W3CDTF">2025-02-19T14:03:00Z</dcterms:created>
  <dcterms:modified xsi:type="dcterms:W3CDTF">2025-02-24T14:05:00Z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0x0101008BA6791DDFFC024DAA4136D92359EB10</vt:lpwstr>
  </property>
</Properties>
</file>