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FD43" w14:textId="77777777" w:rsidR="000167EE" w:rsidRPr="0037059A" w:rsidRDefault="003D1767" w:rsidP="000167EE">
      <w:pPr>
        <w:jc w:val="center"/>
        <w:rPr>
          <w:b/>
          <w:color w:val="000099"/>
          <w:sz w:val="36"/>
          <w:szCs w:val="36"/>
        </w:rPr>
      </w:pPr>
      <w:r w:rsidRPr="0037059A">
        <w:rPr>
          <w:noProof/>
          <w:sz w:val="20"/>
          <w:szCs w:val="20"/>
          <w:lang w:eastAsia="pl-PL"/>
        </w:rPr>
        <w:drawing>
          <wp:inline distT="0" distB="0" distL="0" distR="0" wp14:anchorId="580D7BB4" wp14:editId="184F8FA5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D292" w14:textId="77777777" w:rsidR="000167EE" w:rsidRPr="0037059A" w:rsidRDefault="000167EE" w:rsidP="000167EE">
      <w:pPr>
        <w:rPr>
          <w:b/>
          <w:color w:val="000099"/>
          <w:sz w:val="36"/>
          <w:szCs w:val="36"/>
        </w:rPr>
      </w:pPr>
    </w:p>
    <w:p w14:paraId="22833F64" w14:textId="77777777" w:rsidR="00BB5248" w:rsidRDefault="00BB5248" w:rsidP="00BB524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023A803" w14:textId="419343B6" w:rsidR="00BB5248" w:rsidRDefault="00BB5248" w:rsidP="00BB524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 w:rsidR="008F58CB">
        <w:rPr>
          <w:rFonts w:cs="Calibri"/>
          <w:sz w:val="20"/>
          <w:szCs w:val="20"/>
        </w:rPr>
        <w:t>135</w:t>
      </w:r>
      <w:r>
        <w:rPr>
          <w:rFonts w:cs="Calibri"/>
          <w:sz w:val="20"/>
          <w:szCs w:val="20"/>
        </w:rPr>
        <w:t>/2025 KM FEO 2021-2027</w:t>
      </w:r>
    </w:p>
    <w:p w14:paraId="12F135E9" w14:textId="77777777" w:rsidR="00BB5248" w:rsidRDefault="00BB5248" w:rsidP="00BB524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30 maja 2025 r.</w:t>
      </w:r>
    </w:p>
    <w:p w14:paraId="56AA641E" w14:textId="77777777" w:rsidR="00893CF0" w:rsidRPr="0037059A" w:rsidRDefault="00893CF0" w:rsidP="000167EE">
      <w:pPr>
        <w:rPr>
          <w:b/>
          <w:color w:val="000099"/>
          <w:sz w:val="36"/>
          <w:szCs w:val="36"/>
        </w:rPr>
      </w:pPr>
    </w:p>
    <w:p w14:paraId="61CFBC19" w14:textId="61C490FB" w:rsidR="000167EE" w:rsidRPr="0037059A" w:rsidRDefault="000167EE" w:rsidP="000167EE">
      <w:pPr>
        <w:rPr>
          <w:b/>
          <w:color w:val="000099"/>
          <w:sz w:val="36"/>
          <w:szCs w:val="36"/>
        </w:rPr>
      </w:pPr>
      <w:r w:rsidRPr="0037059A">
        <w:rPr>
          <w:b/>
          <w:color w:val="000099"/>
          <w:sz w:val="36"/>
          <w:szCs w:val="36"/>
        </w:rPr>
        <w:t xml:space="preserve">KRYTERIA </w:t>
      </w:r>
      <w:r w:rsidR="00EA548A" w:rsidRPr="0037059A">
        <w:rPr>
          <w:b/>
          <w:color w:val="000099"/>
          <w:sz w:val="36"/>
          <w:szCs w:val="36"/>
          <w:u w:val="single"/>
        </w:rPr>
        <w:t>MERYTORYCZNE - UNIWERSALNE</w:t>
      </w:r>
      <w:r w:rsidRPr="0037059A">
        <w:rPr>
          <w:b/>
          <w:color w:val="000099"/>
          <w:sz w:val="36"/>
          <w:szCs w:val="36"/>
        </w:rPr>
        <w:t xml:space="preserve"> </w:t>
      </w:r>
      <w:r w:rsidR="00A616FD" w:rsidRPr="0037059A">
        <w:rPr>
          <w:b/>
          <w:color w:val="000099"/>
          <w:sz w:val="36"/>
          <w:szCs w:val="36"/>
        </w:rPr>
        <w:t xml:space="preserve">- </w:t>
      </w:r>
      <w:r w:rsidR="00A616FD" w:rsidRPr="0037059A">
        <w:rPr>
          <w:b/>
          <w:color w:val="FF0000"/>
          <w:sz w:val="36"/>
          <w:szCs w:val="36"/>
        </w:rPr>
        <w:t>AKTUALIZACJA</w:t>
      </w:r>
    </w:p>
    <w:p w14:paraId="796FE5D1" w14:textId="77777777" w:rsidR="000167EE" w:rsidRPr="0037059A" w:rsidRDefault="000167EE" w:rsidP="000167EE">
      <w:pPr>
        <w:rPr>
          <w:b/>
          <w:color w:val="000099"/>
          <w:sz w:val="36"/>
          <w:szCs w:val="36"/>
        </w:rPr>
      </w:pPr>
    </w:p>
    <w:p w14:paraId="54D081DA" w14:textId="77777777" w:rsidR="000167EE" w:rsidRPr="0037059A" w:rsidRDefault="000167EE" w:rsidP="000167EE">
      <w:pPr>
        <w:rPr>
          <w:b/>
          <w:color w:val="000099"/>
          <w:sz w:val="36"/>
          <w:szCs w:val="36"/>
        </w:rPr>
      </w:pPr>
      <w:r w:rsidRPr="0037059A">
        <w:rPr>
          <w:b/>
          <w:color w:val="000099"/>
          <w:sz w:val="36"/>
          <w:szCs w:val="36"/>
        </w:rPr>
        <w:t xml:space="preserve">DLA WSZYSTKICH DZIAŁAŃ </w:t>
      </w:r>
      <w:r w:rsidR="00DA3F9D" w:rsidRPr="0037059A">
        <w:rPr>
          <w:b/>
          <w:color w:val="000099"/>
          <w:sz w:val="36"/>
          <w:szCs w:val="36"/>
        </w:rPr>
        <w:t>FEO</w:t>
      </w:r>
      <w:r w:rsidRPr="0037059A">
        <w:rPr>
          <w:b/>
          <w:color w:val="000099"/>
          <w:sz w:val="36"/>
          <w:szCs w:val="36"/>
        </w:rPr>
        <w:t xml:space="preserve"> 2021-2027 </w:t>
      </w:r>
    </w:p>
    <w:p w14:paraId="5E127D02" w14:textId="77777777" w:rsidR="000167EE" w:rsidRPr="0037059A" w:rsidRDefault="000167EE" w:rsidP="000167EE">
      <w:pPr>
        <w:rPr>
          <w:b/>
          <w:color w:val="000099"/>
          <w:sz w:val="36"/>
          <w:szCs w:val="36"/>
        </w:rPr>
      </w:pPr>
      <w:r w:rsidRPr="0037059A"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06529663" w14:textId="77777777" w:rsidR="00597ACD" w:rsidRPr="0037059A" w:rsidRDefault="00597ACD" w:rsidP="00597ACD">
      <w:pPr>
        <w:rPr>
          <w:b/>
          <w:color w:val="000099"/>
          <w:sz w:val="36"/>
          <w:szCs w:val="36"/>
        </w:rPr>
      </w:pPr>
      <w:r w:rsidRPr="0037059A">
        <w:rPr>
          <w:b/>
          <w:color w:val="000099"/>
          <w:sz w:val="36"/>
          <w:szCs w:val="36"/>
        </w:rPr>
        <w:t>Zakres: Europejski Fundusz Rozwoju Regionalnego</w:t>
      </w:r>
    </w:p>
    <w:p w14:paraId="29601395" w14:textId="5EAFC75F" w:rsidR="00597ACD" w:rsidRPr="0037059A" w:rsidRDefault="00597ACD" w:rsidP="00597ACD">
      <w:pPr>
        <w:rPr>
          <w:b/>
          <w:color w:val="000099"/>
          <w:sz w:val="36"/>
          <w:szCs w:val="36"/>
        </w:rPr>
      </w:pPr>
      <w:r w:rsidRPr="0037059A">
        <w:rPr>
          <w:b/>
          <w:color w:val="000099"/>
          <w:sz w:val="36"/>
          <w:szCs w:val="36"/>
        </w:rPr>
        <w:t xml:space="preserve">OPOLE, </w:t>
      </w:r>
      <w:r w:rsidR="0012554D" w:rsidRPr="0037059A">
        <w:rPr>
          <w:b/>
          <w:color w:val="000099"/>
          <w:sz w:val="36"/>
          <w:szCs w:val="36"/>
        </w:rPr>
        <w:t>202</w:t>
      </w:r>
      <w:r w:rsidR="00DA2A15" w:rsidRPr="0037059A">
        <w:rPr>
          <w:b/>
          <w:color w:val="000099"/>
          <w:sz w:val="36"/>
          <w:szCs w:val="36"/>
        </w:rPr>
        <w:t>5</w:t>
      </w:r>
      <w:r w:rsidR="0012554D" w:rsidRPr="0037059A">
        <w:rPr>
          <w:b/>
          <w:color w:val="000099"/>
          <w:sz w:val="36"/>
          <w:szCs w:val="36"/>
        </w:rPr>
        <w:t xml:space="preserve"> </w:t>
      </w:r>
      <w:r w:rsidRPr="0037059A">
        <w:rPr>
          <w:b/>
          <w:color w:val="000099"/>
          <w:sz w:val="36"/>
          <w:szCs w:val="36"/>
        </w:rPr>
        <w:t>r.</w:t>
      </w:r>
    </w:p>
    <w:p w14:paraId="65DBF6C5" w14:textId="77777777" w:rsidR="00597ACD" w:rsidRPr="0037059A" w:rsidRDefault="00597ACD" w:rsidP="000167EE">
      <w:pPr>
        <w:rPr>
          <w:b/>
          <w:color w:val="000099"/>
          <w:sz w:val="36"/>
          <w:szCs w:val="36"/>
        </w:rPr>
      </w:pPr>
    </w:p>
    <w:p w14:paraId="4296D3E2" w14:textId="77777777" w:rsidR="000167EE" w:rsidRPr="0037059A" w:rsidRDefault="000167EE" w:rsidP="000167EE">
      <w:pPr>
        <w:jc w:val="center"/>
        <w:rPr>
          <w:b/>
          <w:sz w:val="36"/>
          <w:szCs w:val="36"/>
        </w:rPr>
      </w:pPr>
    </w:p>
    <w:p w14:paraId="2F4B69A8" w14:textId="77777777" w:rsidR="000167EE" w:rsidRPr="0037059A" w:rsidRDefault="000167EE" w:rsidP="000167EE">
      <w:pPr>
        <w:jc w:val="center"/>
        <w:rPr>
          <w:b/>
          <w:sz w:val="36"/>
          <w:szCs w:val="36"/>
        </w:rPr>
      </w:pPr>
    </w:p>
    <w:p w14:paraId="7B2122BA" w14:textId="77777777" w:rsidR="000167EE" w:rsidRPr="0037059A" w:rsidRDefault="000167EE" w:rsidP="000167EE">
      <w:pPr>
        <w:rPr>
          <w:b/>
          <w:color w:val="000099"/>
          <w:sz w:val="24"/>
        </w:rPr>
      </w:pPr>
    </w:p>
    <w:tbl>
      <w:tblPr>
        <w:tblW w:w="5470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19"/>
        <w:gridCol w:w="2645"/>
        <w:gridCol w:w="8744"/>
        <w:gridCol w:w="3401"/>
      </w:tblGrid>
      <w:tr w:rsidR="0037059A" w:rsidRPr="0037059A" w14:paraId="113A2F15" w14:textId="37C906B3" w:rsidTr="0037059A">
        <w:trPr>
          <w:trHeight w:val="595"/>
          <w:tblHeader/>
        </w:trPr>
        <w:tc>
          <w:tcPr>
            <w:tcW w:w="519" w:type="dxa"/>
            <w:shd w:val="clear" w:color="auto" w:fill="D9D9D9"/>
            <w:noWrap/>
            <w:vAlign w:val="center"/>
          </w:tcPr>
          <w:p w14:paraId="413E2B76" w14:textId="77777777" w:rsidR="0037059A" w:rsidRPr="0037059A" w:rsidRDefault="0037059A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37059A">
              <w:rPr>
                <w:b/>
                <w:bCs/>
                <w:color w:val="000099"/>
              </w:rPr>
              <w:t>Ip.</w:t>
            </w:r>
          </w:p>
        </w:tc>
        <w:tc>
          <w:tcPr>
            <w:tcW w:w="2645" w:type="dxa"/>
            <w:shd w:val="clear" w:color="auto" w:fill="D9D9D9"/>
            <w:noWrap/>
            <w:vAlign w:val="center"/>
          </w:tcPr>
          <w:p w14:paraId="09162B4E" w14:textId="77777777" w:rsidR="0037059A" w:rsidRPr="0037059A" w:rsidRDefault="0037059A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37059A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8744" w:type="dxa"/>
            <w:shd w:val="clear" w:color="auto" w:fill="D9D9D9"/>
            <w:vAlign w:val="center"/>
          </w:tcPr>
          <w:p w14:paraId="32881638" w14:textId="77777777" w:rsidR="0037059A" w:rsidRPr="0037059A" w:rsidRDefault="0037059A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37059A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29C935BE" w14:textId="77777777" w:rsidR="0037059A" w:rsidRPr="0037059A" w:rsidRDefault="0037059A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37059A">
              <w:rPr>
                <w:b/>
                <w:bCs/>
                <w:color w:val="000099"/>
              </w:rPr>
              <w:t>Opis znaczenia kryterium</w:t>
            </w:r>
          </w:p>
        </w:tc>
      </w:tr>
      <w:tr w:rsidR="0037059A" w:rsidRPr="0037059A" w14:paraId="1D5B57FA" w14:textId="08BA327C" w:rsidTr="0037059A">
        <w:trPr>
          <w:trHeight w:val="255"/>
          <w:tblHeader/>
        </w:trPr>
        <w:tc>
          <w:tcPr>
            <w:tcW w:w="519" w:type="dxa"/>
            <w:shd w:val="clear" w:color="auto" w:fill="F2F2F2"/>
            <w:noWrap/>
            <w:vAlign w:val="bottom"/>
          </w:tcPr>
          <w:p w14:paraId="002D007D" w14:textId="77777777" w:rsidR="0037059A" w:rsidRPr="0037059A" w:rsidRDefault="0037059A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2645" w:type="dxa"/>
            <w:shd w:val="clear" w:color="auto" w:fill="F2F2F2"/>
            <w:noWrap/>
            <w:vAlign w:val="bottom"/>
          </w:tcPr>
          <w:p w14:paraId="5978764D" w14:textId="77777777" w:rsidR="0037059A" w:rsidRPr="0037059A" w:rsidRDefault="0037059A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8744" w:type="dxa"/>
            <w:shd w:val="clear" w:color="auto" w:fill="F2F2F2"/>
            <w:vAlign w:val="bottom"/>
          </w:tcPr>
          <w:p w14:paraId="7D5F5F55" w14:textId="77777777" w:rsidR="0037059A" w:rsidRPr="0037059A" w:rsidRDefault="0037059A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3401" w:type="dxa"/>
            <w:shd w:val="clear" w:color="auto" w:fill="F2F2F2"/>
          </w:tcPr>
          <w:p w14:paraId="4ED935AA" w14:textId="77777777" w:rsidR="0037059A" w:rsidRPr="0037059A" w:rsidRDefault="0037059A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37059A" w:rsidRPr="0037059A" w14:paraId="329CAFD4" w14:textId="3954CFD6" w:rsidTr="0037059A">
        <w:trPr>
          <w:trHeight w:val="644"/>
        </w:trPr>
        <w:tc>
          <w:tcPr>
            <w:tcW w:w="519" w:type="dxa"/>
            <w:noWrap/>
            <w:vAlign w:val="center"/>
          </w:tcPr>
          <w:p w14:paraId="544AE25E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45" w:type="dxa"/>
            <w:vAlign w:val="center"/>
          </w:tcPr>
          <w:p w14:paraId="57DB141A" w14:textId="2B1F8FFB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Założenia projektu zgodne z celami działania/typem przedsięwzięcia</w:t>
            </w:r>
            <w:r w:rsidRPr="0037059A">
              <w:rPr>
                <w:rFonts w:cs="Calibri"/>
                <w:sz w:val="24"/>
                <w:szCs w:val="24"/>
              </w:rPr>
              <w:t xml:space="preserve"> , a także z zasadą deinstytucjonalizacji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44" w:type="dxa"/>
            <w:vAlign w:val="center"/>
          </w:tcPr>
          <w:p w14:paraId="0A9F0F20" w14:textId="0B9CE3B5" w:rsidR="0037059A" w:rsidRPr="0037059A" w:rsidRDefault="0037059A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Sprawdza się zgodność założeń projektu z celami działania </w:t>
            </w:r>
            <w:r w:rsidRPr="0037059A">
              <w:rPr>
                <w:rFonts w:cs="Calibri"/>
                <w:sz w:val="24"/>
                <w:szCs w:val="24"/>
              </w:rPr>
              <w:t xml:space="preserve">/typem przedsięwzięcia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określonymi w Programie regionalnym </w:t>
            </w:r>
            <w:r w:rsidRPr="003705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Fundusze Europejskie dla Opolskiego 2021-2027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 oraz w </w:t>
            </w:r>
            <w:r w:rsidRPr="003705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Szczegółowym opisie priorytetów FEO 2021-2027</w:t>
            </w:r>
            <w:r w:rsidRPr="0037059A">
              <w:rPr>
                <w:rFonts w:cs="Calibri"/>
                <w:sz w:val="24"/>
                <w:szCs w:val="24"/>
              </w:rPr>
              <w:t>, a także z zasadą deinstytucjonalizacji oraz</w:t>
            </w: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z</w:t>
            </w:r>
            <w:r w:rsidRPr="0037059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Wytycznymi ministra właściwego ds. rozwoju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1A6F37" w14:textId="77777777" w:rsidR="0037059A" w:rsidRPr="0037059A" w:rsidRDefault="0037059A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77E66D" w14:textId="1CD84357" w:rsidR="0037059A" w:rsidRPr="0037059A" w:rsidRDefault="0037059A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Zgodność projektu z zasadą deinstytucjonalizacji oznacza, że nie może być finansowana infrastruktura placówek świadczących usługi w formie instytucjonalnej, która powoduje segregację społeczną i przestrzenną poszczególnych grup społecznych, tj. placówek świadczących całodobową opiekę długoterminową (np.: domy pomocy społecznej, zakłady opiekuńczo-lecznicze, zakłady pielęgnacyjno-opiekuńcze, placówki opiekuńczo-wychowawcze, noclegownie, schroniska dla bezdomnych), a także szkół specjalnych.</w:t>
            </w:r>
          </w:p>
          <w:p w14:paraId="701DD40F" w14:textId="2F9C1701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435D4899" w14:textId="77777777" w:rsidR="0037059A" w:rsidRPr="0037059A" w:rsidRDefault="0037059A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70EE58EB" w14:textId="34366908" w:rsidTr="0037059A">
        <w:trPr>
          <w:trHeight w:val="644"/>
        </w:trPr>
        <w:tc>
          <w:tcPr>
            <w:tcW w:w="519" w:type="dxa"/>
            <w:noWrap/>
            <w:vAlign w:val="center"/>
          </w:tcPr>
          <w:p w14:paraId="40122F62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645" w:type="dxa"/>
            <w:vAlign w:val="center"/>
          </w:tcPr>
          <w:p w14:paraId="14B09480" w14:textId="7B3FADDE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Prawidłowość ponoszonych wydatków (jeśli dotyczy)</w:t>
            </w:r>
          </w:p>
        </w:tc>
        <w:tc>
          <w:tcPr>
            <w:tcW w:w="8744" w:type="dxa"/>
            <w:vAlign w:val="center"/>
          </w:tcPr>
          <w:p w14:paraId="553DBA6E" w14:textId="46FDBF11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>W przypadku projektów, których realizacja rozpoczęła się przed dniem złożenia wniosku o dofinansowanie weryfikacji podlega prawidłowość ponoszonych wydatków na podstawie informacji zawartych we wniosku o dofinansowanie oraz w załącznikach.</w:t>
            </w:r>
          </w:p>
          <w:p w14:paraId="3C25F630" w14:textId="54FE14B5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>Bada się w szczególności m.in. zapisy dotyczące stosowania prawa zamówień publicznych.</w:t>
            </w:r>
          </w:p>
          <w:p w14:paraId="337C50D7" w14:textId="122B5643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43361189" w14:textId="77777777" w:rsidR="0037059A" w:rsidRPr="0037059A" w:rsidRDefault="0037059A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37059A" w14:paraId="5CC4D8E3" w14:textId="02106EB0" w:rsidTr="0037059A">
        <w:trPr>
          <w:trHeight w:val="644"/>
        </w:trPr>
        <w:tc>
          <w:tcPr>
            <w:tcW w:w="519" w:type="dxa"/>
            <w:noWrap/>
            <w:vAlign w:val="center"/>
          </w:tcPr>
          <w:p w14:paraId="02D62576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45" w:type="dxa"/>
            <w:vAlign w:val="center"/>
          </w:tcPr>
          <w:p w14:paraId="6C67DD88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Wykonalność 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efektywność projektu </w:t>
            </w:r>
          </w:p>
        </w:tc>
        <w:tc>
          <w:tcPr>
            <w:tcW w:w="8744" w:type="dxa"/>
            <w:vAlign w:val="center"/>
          </w:tcPr>
          <w:p w14:paraId="1484EBF5" w14:textId="77777777" w:rsidR="0037059A" w:rsidRPr="0037059A" w:rsidRDefault="0037059A" w:rsidP="00F84943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 się wykonalność projektu wg:</w:t>
            </w:r>
          </w:p>
          <w:p w14:paraId="4A5CD205" w14:textId="77777777" w:rsidR="0037059A" w:rsidRPr="0037059A" w:rsidRDefault="0037059A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planowanego harmonogramu;</w:t>
            </w:r>
          </w:p>
          <w:p w14:paraId="65F1F69C" w14:textId="2398F41A" w:rsidR="0037059A" w:rsidRPr="0037059A" w:rsidRDefault="0037059A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zakresu rzeczowego,;</w:t>
            </w:r>
          </w:p>
          <w:p w14:paraId="0E8EB4FD" w14:textId="77777777" w:rsidR="0037059A" w:rsidRPr="0037059A" w:rsidRDefault="0037059A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złożoności procedur przetargowych; </w:t>
            </w:r>
          </w:p>
          <w:p w14:paraId="13C1FA1F" w14:textId="77777777" w:rsidR="0037059A" w:rsidRPr="0037059A" w:rsidRDefault="0037059A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innych okoliczności warunkujących terminową realizację projektu; </w:t>
            </w:r>
          </w:p>
          <w:p w14:paraId="13A5312F" w14:textId="601B494C" w:rsidR="0037059A" w:rsidRPr="0037059A" w:rsidRDefault="0037059A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wykonalności instytucjonalnej (w tym bada się, czy wnioskodawca posiada zdolność instytucjonalną, organizacyjną i kadrową oraz czy posiada potencjał ekonomiczny do realizacji projektu, gwarantujące stabilne zarządzanie projektem (zgodnie z przyjętymi celami)). </w:t>
            </w:r>
          </w:p>
          <w:p w14:paraId="701A2274" w14:textId="3DD93FEB" w:rsidR="0037059A" w:rsidRPr="0037059A" w:rsidRDefault="0037059A" w:rsidP="00F84943">
            <w:pPr>
              <w:spacing w:before="120" w:after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35A8BE71" w14:textId="77777777" w:rsidR="0037059A" w:rsidRPr="0037059A" w:rsidRDefault="0037059A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4F966308" w14:textId="196AA018" w:rsidTr="0037059A">
        <w:trPr>
          <w:trHeight w:val="644"/>
        </w:trPr>
        <w:tc>
          <w:tcPr>
            <w:tcW w:w="519" w:type="dxa"/>
            <w:noWrap/>
            <w:vAlign w:val="center"/>
          </w:tcPr>
          <w:p w14:paraId="06C15914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45" w:type="dxa"/>
            <w:vAlign w:val="center"/>
          </w:tcPr>
          <w:p w14:paraId="42831B39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Kwalifikowalność wydatków</w:t>
            </w:r>
          </w:p>
        </w:tc>
        <w:tc>
          <w:tcPr>
            <w:tcW w:w="8744" w:type="dxa"/>
            <w:vAlign w:val="center"/>
          </w:tcPr>
          <w:p w14:paraId="3AB83412" w14:textId="0A5F27F6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 się kwalifikowalność wydatków zaplanowanych/poniesionych w ramach projektu z uwzględnieniem:</w:t>
            </w:r>
          </w:p>
          <w:p w14:paraId="47B272A0" w14:textId="4767CBEB" w:rsidR="0037059A" w:rsidRPr="0037059A" w:rsidRDefault="0037059A" w:rsidP="006252C7">
            <w:pPr>
              <w:numPr>
                <w:ilvl w:val="0"/>
                <w:numId w:val="5"/>
              </w:numPr>
              <w:spacing w:after="0" w:line="259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racjonalności i niezbędności do realizacji projektu;</w:t>
            </w:r>
          </w:p>
          <w:p w14:paraId="23E44708" w14:textId="7406D8F9" w:rsidR="0037059A" w:rsidRPr="0037059A" w:rsidRDefault="0037059A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zakresu rzeczowego projektu;</w:t>
            </w:r>
          </w:p>
          <w:p w14:paraId="0785CEC2" w14:textId="77777777" w:rsidR="0037059A" w:rsidRPr="0037059A" w:rsidRDefault="0037059A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realizowanych zadań, celów projektu oraz ich wskaźników;</w:t>
            </w:r>
          </w:p>
          <w:p w14:paraId="33599B94" w14:textId="77777777" w:rsidR="0037059A" w:rsidRPr="0037059A" w:rsidRDefault="0037059A" w:rsidP="00254B82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czy wydatki nie są zawyżone w stosunku do cen rynkowych, czy prawidłowo uzasadniono ich wysokość;</w:t>
            </w:r>
          </w:p>
          <w:p w14:paraId="0FB251F6" w14:textId="77777777" w:rsidR="0037059A" w:rsidRPr="0037059A" w:rsidRDefault="0037059A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prawidłowości wyliczenia stawek jednostkowych lub ryczałtowych/kwot ryczałtowych;</w:t>
            </w:r>
          </w:p>
          <w:p w14:paraId="46FF1200" w14:textId="0CC5AC22" w:rsidR="0037059A" w:rsidRPr="0037059A" w:rsidRDefault="0037059A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spełnienia wymogów określonych w Wytycznych dotyczących kwalifikowalności wydatków na lata 2021-2027 oraz w przypadku projektów objętych pomocą publiczną zgodności z programem pomocy publicznej i odpowiednimi aktami normatywnymi wskazanymi w SZOP i/lub Regulaminie wyboru projektów;</w:t>
            </w:r>
          </w:p>
          <w:p w14:paraId="4262565A" w14:textId="77777777" w:rsidR="0037059A" w:rsidRPr="0037059A" w:rsidRDefault="0037059A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zgodności z limitami i ograniczeniami wskazanymi w SZOP i/lub Regulaminie wyboru projektów.</w:t>
            </w:r>
          </w:p>
          <w:p w14:paraId="0CA5C24E" w14:textId="5275F63B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4E1BE3CE" w14:textId="77777777" w:rsidR="0037059A" w:rsidRPr="0037059A" w:rsidRDefault="0037059A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37059A" w14:paraId="30A7BB42" w14:textId="6C6C7A4D" w:rsidTr="0037059A">
        <w:trPr>
          <w:trHeight w:val="564"/>
        </w:trPr>
        <w:tc>
          <w:tcPr>
            <w:tcW w:w="5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761F715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45" w:type="dxa"/>
            <w:vAlign w:val="center"/>
          </w:tcPr>
          <w:p w14:paraId="6450BDEA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Zgodność z zasadami dotyczącymi pomocy publicznej</w:t>
            </w:r>
          </w:p>
        </w:tc>
        <w:tc>
          <w:tcPr>
            <w:tcW w:w="8744" w:type="dxa"/>
            <w:vAlign w:val="center"/>
          </w:tcPr>
          <w:p w14:paraId="08929952" w14:textId="77777777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Sprawdza się m.in. czy prawidłowo założono występowanie lub nie pomocy publicznej.</w:t>
            </w:r>
          </w:p>
          <w:p w14:paraId="7E565884" w14:textId="5AEF207B" w:rsidR="0037059A" w:rsidRPr="0037059A" w:rsidRDefault="0037059A" w:rsidP="006B73F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7B10940F" w14:textId="5F79C73F" w:rsidR="0037059A" w:rsidRPr="0037059A" w:rsidRDefault="0037059A" w:rsidP="000A54F7">
            <w:p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W przypadku występowania pomocy publicznej sprawdza się kwalifikowalność wydatków zgodnie z odpowiednimi rozporządzeniami właściwego ministra oraz odpowiednimi przepisami określającymi zasady udzielania pomocy publicznej wskazanymi w SZOP i/lub Regulaminie wyboru projektów. </w:t>
            </w:r>
          </w:p>
          <w:p w14:paraId="460D0945" w14:textId="5DDDAD07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 przypadku niewystępowania pomocy publicznej, sprawdza się czy właściwie uzasadniono przyjęcie takiego założenia.</w:t>
            </w:r>
          </w:p>
          <w:p w14:paraId="09D61901" w14:textId="0D745453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89F3DB" w14:textId="77777777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4EB99B08" w14:textId="53D4663C" w:rsidTr="0037059A">
        <w:trPr>
          <w:trHeight w:val="2755"/>
        </w:trPr>
        <w:tc>
          <w:tcPr>
            <w:tcW w:w="519" w:type="dxa"/>
            <w:noWrap/>
            <w:vAlign w:val="center"/>
          </w:tcPr>
          <w:p w14:paraId="2DC794D7" w14:textId="77777777" w:rsidR="0037059A" w:rsidRPr="0037059A" w:rsidDel="009623FC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45" w:type="dxa"/>
            <w:vAlign w:val="center"/>
          </w:tcPr>
          <w:p w14:paraId="5CA5C8FB" w14:textId="77777777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Instytucjonalna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organizacyjna trwałość projektu </w:t>
            </w:r>
          </w:p>
        </w:tc>
        <w:tc>
          <w:tcPr>
            <w:tcW w:w="8744" w:type="dxa"/>
            <w:vAlign w:val="center"/>
          </w:tcPr>
          <w:p w14:paraId="5F1C2CF5" w14:textId="77777777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 się trwałość projektu:</w:t>
            </w:r>
          </w:p>
          <w:p w14:paraId="56F5A2CC" w14:textId="77777777" w:rsidR="0037059A" w:rsidRPr="0037059A" w:rsidRDefault="0037059A" w:rsidP="00EA548A">
            <w:pPr>
              <w:numPr>
                <w:ilvl w:val="0"/>
                <w:numId w:val="7"/>
              </w:numPr>
              <w:spacing w:after="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instytucjonalną,</w:t>
            </w:r>
          </w:p>
          <w:p w14:paraId="28734640" w14:textId="77777777" w:rsidR="0037059A" w:rsidRPr="0037059A" w:rsidRDefault="0037059A" w:rsidP="00EA548A">
            <w:pPr>
              <w:numPr>
                <w:ilvl w:val="0"/>
                <w:numId w:val="7"/>
              </w:numPr>
              <w:spacing w:before="100" w:beforeAutospacing="1" w:after="4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organizacyjną.</w:t>
            </w:r>
          </w:p>
          <w:p w14:paraId="695ACC6E" w14:textId="77777777" w:rsidR="0037059A" w:rsidRPr="0037059A" w:rsidRDefault="0037059A" w:rsidP="007677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478DB228" w14:textId="42D3A621" w:rsidR="0037059A" w:rsidRPr="0037059A" w:rsidRDefault="0037059A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21F88C90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46F26BAC" w14:textId="6DCAF075" w:rsidTr="0037059A">
        <w:trPr>
          <w:trHeight w:val="2755"/>
        </w:trPr>
        <w:tc>
          <w:tcPr>
            <w:tcW w:w="519" w:type="dxa"/>
            <w:noWrap/>
            <w:vAlign w:val="center"/>
          </w:tcPr>
          <w:p w14:paraId="51AD8B9A" w14:textId="7ACB8239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645" w:type="dxa"/>
            <w:vAlign w:val="center"/>
          </w:tcPr>
          <w:p w14:paraId="09D17BA0" w14:textId="4E5A131C" w:rsidR="0037059A" w:rsidRPr="0037059A" w:rsidRDefault="0037059A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Adekwatność i realność wybranych wskaźników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>w kontekście celu projektu</w:t>
            </w:r>
          </w:p>
        </w:tc>
        <w:tc>
          <w:tcPr>
            <w:tcW w:w="8744" w:type="dxa"/>
            <w:vAlign w:val="center"/>
          </w:tcPr>
          <w:p w14:paraId="50EF00F1" w14:textId="77777777" w:rsidR="0037059A" w:rsidRPr="0037059A" w:rsidRDefault="0037059A" w:rsidP="006B73F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Sprawdza się, czy wybrane wskaźniki w sposób kompleksowy opisują zakres rzeczowy i charakter projektu, mierząc założone cele, oraz czy ich wartości docelowe są realne do osiągnięcia. Ocena uwzględnia zgodność wskaźników z celami projektu, realność wartości docelowych w kontekście budżetu, czasu, miejsca realizacji, kondycji finansowej Wnioskodawcy oraz innych kluczowych czynników.</w:t>
            </w:r>
          </w:p>
          <w:p w14:paraId="44805316" w14:textId="6B15B3A3" w:rsidR="0037059A" w:rsidRPr="0037059A" w:rsidRDefault="0037059A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i załączników i/lub wyjaśnień udzielonych przez Wnioskodawcę </w:t>
            </w:r>
          </w:p>
        </w:tc>
        <w:tc>
          <w:tcPr>
            <w:tcW w:w="3401" w:type="dxa"/>
            <w:vAlign w:val="center"/>
          </w:tcPr>
          <w:p w14:paraId="0A00420C" w14:textId="6EA700BB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49F00735" w14:textId="41A554CA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5132ADAA" w14:textId="7E89258B" w:rsidR="0037059A" w:rsidRPr="0037059A" w:rsidRDefault="0037059A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3D2CC0" w14:textId="7CD74845" w:rsidR="0037059A" w:rsidRPr="0037059A" w:rsidRDefault="0037059A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Projekt będzie miał pozytywny wpływ na zasadę równości szans i niedyskryminacji,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tym dostępność dla osób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>z niepełnosprawnościami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EA7AFE" w14:textId="64BDFF66" w:rsidR="0037059A" w:rsidRPr="0037059A" w:rsidRDefault="0037059A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Wnioskodawca wykazał, że projekt będzie miał pozytywny wpływ na zasadę równości szans i niedyskryminacji, w tym dostępność dla osób z niepełnoprawnościami. Przez pozytywny wpływ należy rozumieć: zapewnienie dostępności infrastruktury, środków transportu, towarów, usług, technologii i systemów informacyjno-komunikacyjnych oraz wszelkich innych produktów projektów (w tym także usług), które nie zostały uznane za neutralne, dla wszystkich ich użytkowników/użytkowniczek, zgodnie ze standardami dostępności dla polityki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spójności 2021-2027, stanowiącymi załącznik nr 2 do Wytycznych dotyczących realizacji zasad równościowych w ramach funduszy unijnych na lata 2021-2027. Ponadto, bada się zgodność projektu z koncepcją uniwersalnego projektowania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przypadku stworzenia nowych produktów, stosowania racjonalnych usprawnień,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o ile wymaga tego charakter projektu.  Sprawdza się, czy wytworzona w ramach projektu infrastruktura zwiększa dostępność i eliminuje bariery dla osób niepełnosprawnych. Bada się, czy założenia projektowe uwzględniają równy dostęp dla wszystkich, z uwzględnieniem potrzeb tych użytkowników, których funkcjonowanie jest w jakimś aspekcie ograniczone. Dopuszcza się, w uzasadnionych przypadkach, neutralny wpływ produktów projektu (w tym także usług)  na zasadę równości szans i niedyskryminacji, w tym dostępność dla osób z niepełnosprawnościami. Jeżeli Wnioskodawca uznaje, że któryś z produktów projektu (w tym także usług)  ma neutralny wpływ na realizację tej zasady, wówczas taka deklaracja wraz z uzasadnieniem musi być zamieszczona w treści wniosku o dofinansowanie. W takim przypadku ocenione zostanie, czy ww. uzasadnienie można uznać za adekwatne i wystarczające. Uznanie neutralności określonych produktów (usług) projektu nie zwalnia jednak beneficjenta ze stosowania standardów dostępności dla realizacji pozostałej części projektu, dla której standardy dostępności mają zastosowanie. </w:t>
            </w:r>
          </w:p>
          <w:p w14:paraId="36EA42FF" w14:textId="6E724BFD" w:rsidR="0037059A" w:rsidRPr="0037059A" w:rsidRDefault="0037059A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5418F57F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37059A" w14:paraId="27782FBD" w14:textId="281DDD02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185162FC" w14:textId="31DA2AE9" w:rsidR="0037059A" w:rsidRPr="0037059A" w:rsidRDefault="0037059A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F1227" w14:textId="7E052590" w:rsidR="0037059A" w:rsidRPr="0037059A" w:rsidRDefault="0037059A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zasadą równości kobiet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>i mężczyzn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446114" w14:textId="77777777" w:rsidR="0037059A" w:rsidRPr="0037059A" w:rsidRDefault="0037059A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Wnioskodawca wykazał, że projekt będzie zgodny z zasadą równości mężczyzn i kobiet. Przez zgodność z tą zasadą należy rozumieć, z jednej strony zaplanowanie takich działań w projekcie, które wpłyną na wyrównywanie szans danej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płci będącej w gorszym położeniu (o ile takie nierówności zostały zdiagnozowane w projekcie). </w:t>
            </w:r>
          </w:p>
          <w:p w14:paraId="457802E9" w14:textId="3BB15CA5" w:rsidR="0037059A" w:rsidRPr="0037059A" w:rsidRDefault="0037059A" w:rsidP="009346ED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 drugiej strony zaś stworzenie takich mechanizmów, aby na żadnym etapie wdrażania projektu nie dochodziło do dyskryminacji i wykluczenia ze względu na płeć. Zasada ta ma prowadzić do podejmowania działań na rzecz osiągnięcia stanu, w którym kobietom i 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28148CF2" w14:textId="58EC1E94" w:rsidR="0037059A" w:rsidRPr="0037059A" w:rsidRDefault="0037059A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projektu na zasadę równości mężczyzn i kobiet. Jeżeli Wnioskodawca uznaje, że  projekt ma neutralny wpływ na realizację tej zasady, wówczas musi uzasadnić we wniosku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 projektu, dlaczego projekt nie jest w stanie zrealizować jakichkolwiek działań w zakresie spełniania ww. zasady. W takim przypadku ocenione zostanie, czy ww. uzasadnienie można uznać za adekwatne i wystarczające.</w:t>
            </w:r>
          </w:p>
          <w:p w14:paraId="5CE73D21" w14:textId="19AD0C2E" w:rsidR="0037059A" w:rsidRPr="0037059A" w:rsidRDefault="0037059A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44B5D426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37059A" w14:paraId="0F6BDD6C" w14:textId="4DBF06AA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48CC2F64" w14:textId="1EB90AE4" w:rsidR="0037059A" w:rsidRPr="0037059A" w:rsidRDefault="0037059A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0F9E2" w14:textId="6F14EE91" w:rsidR="0037059A" w:rsidRPr="0037059A" w:rsidRDefault="0037059A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z Kartą Praw Podstawowych Unii Europejskiej z dnia 26 października 2012 r. (Dz. Urz. UE C 326 z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26.10.2012), w zakresie odnoszącym się do sposobu realizacji, zakresu projektu i Wnioskodawcy.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2F1D81" w14:textId="77777777" w:rsidR="0037059A" w:rsidRPr="0037059A" w:rsidRDefault="0037059A" w:rsidP="00F829C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Sprawdza się czy we wniosku wskazano informacje potwierdzające zgodność </w:t>
            </w:r>
            <w:r w:rsidRPr="0037059A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Podstawowych Unii Europejskiej z dnia 26 października 2012 r.</w:t>
            </w:r>
          </w:p>
          <w:p w14:paraId="5B8BC5DD" w14:textId="1B0F2E9D" w:rsidR="0037059A" w:rsidRPr="0037059A" w:rsidRDefault="0037059A" w:rsidP="00F829CD">
            <w:pPr>
              <w:spacing w:after="0"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 w:rsidRPr="0037059A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Podstawowych Unii Europejskiej z dnia 26 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5B1C7D74" w14:textId="77777777" w:rsidR="0037059A" w:rsidRPr="0037059A" w:rsidRDefault="0037059A" w:rsidP="008C053A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7059A">
              <w:rPr>
                <w:rFonts w:cs="Calibri"/>
                <w:sz w:val="24"/>
                <w:szCs w:val="24"/>
              </w:rPr>
              <w:lastRenderedPageBreak/>
              <w:t>W sytuacji, gdy beneficjentem jest jednostka samorządu terytorialnego (lub podmiot przez nią kontrolowany lub od niej zależny), weryfikuje się, czy nie podjęła jakichkolwiek działań dyskryminujących, sprzecznych z zasadami, o których mowa w art. 9 ust. 3 rozporządzenia nr 2021/1060.</w:t>
            </w:r>
          </w:p>
          <w:p w14:paraId="21BDBCE6" w14:textId="77777777" w:rsidR="0037059A" w:rsidRPr="0037059A" w:rsidRDefault="0037059A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DB565" w14:textId="6B48ED53" w:rsidR="0037059A" w:rsidRPr="0037059A" w:rsidRDefault="0037059A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jest weryfikowane na podstawie oświadczenia złożonego przez Wnioskodawcę.</w:t>
            </w:r>
          </w:p>
          <w:p w14:paraId="3C749BF7" w14:textId="267B0B6F" w:rsidR="0037059A" w:rsidRPr="0037059A" w:rsidRDefault="0037059A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60901604" w14:textId="77777777" w:rsidR="0037059A" w:rsidRPr="0037059A" w:rsidRDefault="0037059A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37059A" w14:paraId="7100EA50" w14:textId="32C073CB" w:rsidTr="0037059A">
        <w:trPr>
          <w:trHeight w:val="3394"/>
        </w:trPr>
        <w:tc>
          <w:tcPr>
            <w:tcW w:w="519" w:type="dxa"/>
            <w:noWrap/>
            <w:vAlign w:val="center"/>
          </w:tcPr>
          <w:p w14:paraId="381A35D4" w14:textId="59726DFA" w:rsidR="0037059A" w:rsidRPr="0037059A" w:rsidRDefault="0037059A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FEB2" w14:textId="77777777" w:rsidR="0037059A" w:rsidRPr="0037059A" w:rsidRDefault="0037059A" w:rsidP="009346E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Konwencją o Prawach Osób Niepełnosprawnych, sporządzoną w Nowym Jorku dnia 13 grudnia 2006 r. </w:t>
            </w:r>
          </w:p>
          <w:p w14:paraId="06921404" w14:textId="600E5B59" w:rsidR="0037059A" w:rsidRPr="0037059A" w:rsidRDefault="0037059A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(Dz. U. z 2012 r. poz. 1169, z późn. zm.), w zakresie odnoszącym się do sposobu realizacji, zakresu projektu i Wnioskodawcy.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169188" w14:textId="307C0425" w:rsidR="0037059A" w:rsidRPr="0037059A" w:rsidRDefault="0037059A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Sprawdza się czy we wniosku wskazano informacje potwierdzające zgodność projektu z Konwencją o Prawach Osób Niepełnosprawnych.</w:t>
            </w:r>
          </w:p>
          <w:p w14:paraId="1F515CDE" w14:textId="5C925B48" w:rsidR="0037059A" w:rsidRPr="0037059A" w:rsidRDefault="0037059A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 wymogami tego dokumentu lub stwierdzenie, że te wymagania są neutralne wobec zakresu i zawartości projektu.</w:t>
            </w:r>
          </w:p>
          <w:p w14:paraId="0F6481E0" w14:textId="15F1E2B2" w:rsidR="0037059A" w:rsidRPr="0037059A" w:rsidRDefault="0037059A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i/lub wyjaśnień udzielonych przez Wnioskodawcę.</w:t>
            </w:r>
          </w:p>
        </w:tc>
        <w:tc>
          <w:tcPr>
            <w:tcW w:w="3401" w:type="dxa"/>
            <w:vAlign w:val="center"/>
          </w:tcPr>
          <w:p w14:paraId="1DD71DF5" w14:textId="77777777" w:rsidR="0037059A" w:rsidRPr="0037059A" w:rsidRDefault="0037059A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37059A" w:rsidRPr="0037059A" w14:paraId="46B3EFF3" w14:textId="1E7446B0" w:rsidTr="0037059A">
        <w:trPr>
          <w:trHeight w:val="3394"/>
        </w:trPr>
        <w:tc>
          <w:tcPr>
            <w:tcW w:w="519" w:type="dxa"/>
            <w:noWrap/>
            <w:vAlign w:val="center"/>
          </w:tcPr>
          <w:p w14:paraId="75AFE4DC" w14:textId="7CD61B90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45" w:type="dxa"/>
            <w:vAlign w:val="center"/>
          </w:tcPr>
          <w:p w14:paraId="77EBD38A" w14:textId="392277D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Wpływ projektu na zasadę zrównoważonego rozwoju</w:t>
            </w:r>
          </w:p>
        </w:tc>
        <w:tc>
          <w:tcPr>
            <w:tcW w:w="8744" w:type="dxa"/>
            <w:tcBorders>
              <w:right w:val="single" w:sz="4" w:space="0" w:color="70AD47" w:themeColor="accent6"/>
            </w:tcBorders>
            <w:vAlign w:val="center"/>
          </w:tcPr>
          <w:p w14:paraId="7A5C400E" w14:textId="77777777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Wnioskodawca wykazał, że projekt będzie miał pozytywny lub w uzasadnionych przypadkach neutralny wpływ na zasadę  zrównoważonego rozwoju. Głównym założeniem tej zasady jest zachowanie zasobów i walorów środowiska w stanie zapewniającym trwałe i nie doznające uszczerbku możliwości korzystania z nich zarówno przez obecne, jak i przyszłe pokolenia. Działania te muszą jednocześnie nie stać w sprzeczności z zachowaniem trwałości procesów przyrodniczych oraz naturalnej różnorodności biologicznej. W praktyce może to oznaczać podejmowanie działań wykraczających poza obowiązujące przepisy prawa krajowego jak i UE w zakresie ochrony środowiska, dotyczyć może także wdrożonych w jednostkach systemów zarządzania środowiskiem oraz stosowania zielonych zamówień publicznych. Państwa członkowskie i Komisja zapewniają, aby wymogi ochrony środowiska, efektywnego gospodarowania zasobami, dostosowanie do zmian klimatu i łagodzenia jej skutków, różnorodność biologiczna, odporność na klęski żywiołowe oraz zapobieganie ryzyku i zarządzanie ryzykiem były promowane podczas przygotowania i wdrażania umów partnerstwa i programów.</w:t>
            </w:r>
          </w:p>
          <w:p w14:paraId="401247D5" w14:textId="77777777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Produkty i efekty projektów powinny spełniać te wymogi lub w uzasadnionych przypadkach być w stosunku do nich neutralne. </w:t>
            </w:r>
          </w:p>
          <w:p w14:paraId="185A7BD7" w14:textId="77777777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Spełnianie wymogów rozwoju zrównoważonego lub neutralność produktu projektu musi wynikać z zapisów wniosku o dofinansowanie. W takim przypadku kryterium uznaje się za spełnione.</w:t>
            </w:r>
          </w:p>
          <w:p w14:paraId="2D1F4CA5" w14:textId="02599AF5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tcBorders>
              <w:right w:val="single" w:sz="4" w:space="0" w:color="70AD47" w:themeColor="accent6"/>
            </w:tcBorders>
          </w:tcPr>
          <w:p w14:paraId="58609E95" w14:textId="7777777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</w:t>
            </w:r>
          </w:p>
          <w:p w14:paraId="24CC24FE" w14:textId="0DB0958B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(0/1)</w:t>
            </w:r>
          </w:p>
        </w:tc>
      </w:tr>
      <w:tr w:rsidR="0037059A" w:rsidRPr="0037059A" w14:paraId="50B57EDD" w14:textId="420DBAAD" w:rsidTr="0037059A">
        <w:trPr>
          <w:trHeight w:val="771"/>
        </w:trPr>
        <w:tc>
          <w:tcPr>
            <w:tcW w:w="519" w:type="dxa"/>
            <w:noWrap/>
            <w:vAlign w:val="center"/>
          </w:tcPr>
          <w:p w14:paraId="23E024DF" w14:textId="2123BD50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45" w:type="dxa"/>
            <w:vAlign w:val="center"/>
          </w:tcPr>
          <w:p w14:paraId="68F33DE0" w14:textId="4A65C00D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zasadą ‘nie czyń znaczących szkód’ DNSH </w:t>
            </w:r>
          </w:p>
        </w:tc>
        <w:tc>
          <w:tcPr>
            <w:tcW w:w="8744" w:type="dxa"/>
            <w:tcBorders>
              <w:right w:val="single" w:sz="4" w:space="0" w:color="70AD47" w:themeColor="accent6"/>
            </w:tcBorders>
            <w:vAlign w:val="center"/>
          </w:tcPr>
          <w:p w14:paraId="55BFD4DD" w14:textId="77777777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projekt wpisuje się w „typy przedsięwzięć” na poziomie FEO 2021-2027, dla których zasada DNSH jest spełniona. </w:t>
            </w:r>
          </w:p>
          <w:p w14:paraId="3B560B69" w14:textId="77777777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 z sześciu celów środowiskowych, wynikających z art. 9 rozporządzenia w sprawie taksonomii</w:t>
            </w:r>
            <w:r w:rsidRPr="0037059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F008EE9" w14:textId="3C588116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 przypadku przedsięwzięć inwestycyjnych weryfikuje się również, czy w trakcie realizacji tych przedsięwzięć stosowane będą standardy ochrony drzew i zieleni.</w:t>
            </w:r>
          </w:p>
          <w:p w14:paraId="5699A36C" w14:textId="0CB977F4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401" w:type="dxa"/>
            <w:tcBorders>
              <w:right w:val="single" w:sz="4" w:space="0" w:color="70AD47" w:themeColor="accent6"/>
            </w:tcBorders>
          </w:tcPr>
          <w:p w14:paraId="062683F9" w14:textId="7777777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14:paraId="5F1F5966" w14:textId="0EA19970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(0/1)</w:t>
            </w:r>
          </w:p>
        </w:tc>
      </w:tr>
      <w:tr w:rsidR="0037059A" w:rsidRPr="0037059A" w14:paraId="6C5CFF93" w14:textId="006F15F5" w:rsidTr="0037059A">
        <w:trPr>
          <w:trHeight w:val="2189"/>
        </w:trPr>
        <w:tc>
          <w:tcPr>
            <w:tcW w:w="519" w:type="dxa"/>
            <w:noWrap/>
            <w:vAlign w:val="center"/>
          </w:tcPr>
          <w:p w14:paraId="49346E4F" w14:textId="2177E495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645" w:type="dxa"/>
            <w:vAlign w:val="center"/>
          </w:tcPr>
          <w:p w14:paraId="7B789BF8" w14:textId="68881715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37059A">
              <w:rPr>
                <w:rFonts w:asciiTheme="minorHAnsi" w:hAnsiTheme="minorHAnsi" w:cstheme="minorHAnsi"/>
                <w:sz w:val="24"/>
                <w:szCs w:val="24"/>
              </w:rPr>
              <w:br/>
              <w:t>z krajowymi oraz unijnymi przepisami ochrony środowiska</w:t>
            </w:r>
          </w:p>
        </w:tc>
        <w:tc>
          <w:tcPr>
            <w:tcW w:w="8744" w:type="dxa"/>
            <w:tcBorders>
              <w:right w:val="single" w:sz="4" w:space="0" w:color="70AD47" w:themeColor="accent6"/>
            </w:tcBorders>
            <w:vAlign w:val="center"/>
          </w:tcPr>
          <w:p w14:paraId="47EA5FB6" w14:textId="77777777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 ramach kryterium bada się czy projekt został przygotowany (albo jest przygotowywany) zgodnie z prawem dotyczącym ochrony środowiska, w tym:</w:t>
            </w:r>
          </w:p>
          <w:p w14:paraId="0566B637" w14:textId="50FFCE58" w:rsidR="0037059A" w:rsidRPr="0037059A" w:rsidRDefault="0037059A" w:rsidP="00DA2A15">
            <w:pPr>
              <w:pStyle w:val="Akapitzlist"/>
              <w:numPr>
                <w:ilvl w:val="0"/>
                <w:numId w:val="10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ustawą z dnia 3 października 2008 r. o udostępnianiu informacji o środowisku i jego ochronie, udziale społeczeństwa w ochronie środowiska oraz o ocenach oddziaływania na środowisko i Dyrektywą Parlamentu Europejskiego i Rady 2011/92/UE z dnia 13 grudnia 2011 r. w sprawie oceny skutków wywieranych przez niektóre przedsięwzięcia publiczne i prywatne na środowisko; </w:t>
            </w:r>
          </w:p>
          <w:p w14:paraId="50692170" w14:textId="696ABF4B" w:rsidR="0037059A" w:rsidRPr="0037059A" w:rsidRDefault="0037059A" w:rsidP="00DA2A15">
            <w:pPr>
              <w:pStyle w:val="Akapitzlist"/>
              <w:numPr>
                <w:ilvl w:val="0"/>
                <w:numId w:val="10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ustawą z dnia 27 kwietnia 2001 r. Prawo ochrony; </w:t>
            </w:r>
          </w:p>
          <w:p w14:paraId="6C34AE23" w14:textId="2A5D06BB" w:rsidR="0037059A" w:rsidRPr="0037059A" w:rsidRDefault="0037059A" w:rsidP="00DA2A15">
            <w:pPr>
              <w:pStyle w:val="Akapitzlist"/>
              <w:numPr>
                <w:ilvl w:val="0"/>
                <w:numId w:val="10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ustawą z dnia 16 kwietnia 2004 r. o ochronie przyrody i Dyrektywą Rady 92/43/EWG z dnia 21 maja 1992 r. w sprawie ochrony siedlisk przyrodniczych oraz dzikiej fauny i flory; </w:t>
            </w:r>
          </w:p>
          <w:p w14:paraId="24F3354D" w14:textId="4DD7F053" w:rsidR="0037059A" w:rsidRPr="0037059A" w:rsidRDefault="0037059A" w:rsidP="00DA2A15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ustawą z dnia 20 lipca 2017 r. Prawo wodne i Dyrektywą Parlamentu Europejskiego i Rady 2000/60/WE z dnia 23 października 2000 r. ustanawiająca ramy wspólnotowego działania w dziedzinie polityki wodnej;</w:t>
            </w:r>
          </w:p>
          <w:p w14:paraId="3C09567F" w14:textId="702B896D" w:rsidR="0037059A" w:rsidRPr="0037059A" w:rsidRDefault="0037059A" w:rsidP="00DA2A15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Wytycznymi w sprawie działań naprawczych w odniesieniu do projektów współfinansowanych w okresie programowania 2014–2020 oraz ubiegających się o współfinansowanie w okresie 2021–2027 z Funduszy UE, dotkniętych naruszeniem 2016/2046 w zakresie specustaw, dla których prowadzone jest postępowanie w sprawie oceny oddziaływania na środowisko (Ares(2021)1432319 z 23.02.2021r.).</w:t>
            </w:r>
          </w:p>
          <w:p w14:paraId="5D04800A" w14:textId="24AFF1D7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401" w:type="dxa"/>
            <w:tcBorders>
              <w:right w:val="single" w:sz="4" w:space="0" w:color="70AD47" w:themeColor="accent6"/>
            </w:tcBorders>
          </w:tcPr>
          <w:p w14:paraId="6C893EF0" w14:textId="7777777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bezwzględne </w:t>
            </w:r>
          </w:p>
          <w:p w14:paraId="10B0DEB8" w14:textId="5485B555" w:rsidR="0037059A" w:rsidRPr="0037059A" w:rsidRDefault="0037059A" w:rsidP="006E2F0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(0/1) </w:t>
            </w:r>
          </w:p>
        </w:tc>
      </w:tr>
      <w:tr w:rsidR="0037059A" w:rsidRPr="0037059A" w14:paraId="3F798364" w14:textId="549315DC" w:rsidTr="0037059A">
        <w:trPr>
          <w:trHeight w:val="3394"/>
        </w:trPr>
        <w:tc>
          <w:tcPr>
            <w:tcW w:w="519" w:type="dxa"/>
            <w:noWrap/>
            <w:vAlign w:val="center"/>
          </w:tcPr>
          <w:p w14:paraId="10A07028" w14:textId="26FFA5A4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45" w:type="dxa"/>
            <w:vAlign w:val="center"/>
          </w:tcPr>
          <w:p w14:paraId="75FB5B43" w14:textId="718A4780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Odporność infrastruktury na zmiany klimatu (jeśli dotyczy)</w:t>
            </w:r>
          </w:p>
        </w:tc>
        <w:tc>
          <w:tcPr>
            <w:tcW w:w="8744" w:type="dxa"/>
            <w:tcBorders>
              <w:right w:val="single" w:sz="4" w:space="0" w:color="70AD47" w:themeColor="accent6"/>
            </w:tcBorders>
            <w:vAlign w:val="center"/>
          </w:tcPr>
          <w:p w14:paraId="457F8794" w14:textId="77777777" w:rsidR="005F77C7" w:rsidRPr="005F77C7" w:rsidRDefault="005F77C7" w:rsidP="005F77C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C7">
              <w:rPr>
                <w:rFonts w:asciiTheme="minorHAnsi" w:hAnsiTheme="minorHAnsi" w:cstheme="minorHAnsi"/>
                <w:sz w:val="24"/>
                <w:szCs w:val="24"/>
              </w:rPr>
              <w:t xml:space="preserve">Weryfikacja polega na ocenie czy projekt jest zgodny z art. 73 ust. 2 lit. j) Rozporządzenie Parlamentu Europejskiego I Rady (UE) 2021/1060 z dnia 24 czerwca 2021 r. tzn. czy inwestycja w infrastrukturę o przewidywanej trwałości wynoszącej co najmniej pięć lat przewidziana w ramach projektu jest odporna na zmiany klimatu. </w:t>
            </w:r>
          </w:p>
          <w:p w14:paraId="48811DD8" w14:textId="77777777" w:rsidR="005F77C7" w:rsidRPr="005F77C7" w:rsidRDefault="005F77C7" w:rsidP="005F77C7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F77C7">
              <w:rPr>
                <w:rFonts w:asciiTheme="minorHAnsi" w:hAnsiTheme="minorHAnsi" w:cstheme="minorHAnsi"/>
                <w:sz w:val="24"/>
                <w:szCs w:val="24"/>
              </w:rPr>
              <w:t>Weryfikacja przeprowadzana jest na podstawie uzasadnienia odporności przedsięwzięcia na zmiany klimatu</w:t>
            </w:r>
            <w:r w:rsidRPr="005F77C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2"/>
            </w:r>
            <w:r w:rsidRPr="005F77C7">
              <w:rPr>
                <w:rFonts w:asciiTheme="minorHAnsi" w:hAnsiTheme="minorHAnsi" w:cstheme="minorHAnsi"/>
                <w:sz w:val="24"/>
                <w:szCs w:val="24"/>
              </w:rPr>
              <w:t xml:space="preserve"> przedstawionego we wniosku o dofinansowanie i załącznikach. Uzasadnienie odporności przedsięwzięcia na zmiany klimatu powinno być zgodne z metodologią wynikającą z </w:t>
            </w:r>
            <w:r w:rsidRPr="005F77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Wytycznych Komisji Europejskiej: ZAWIADOMIENIE KOMISJI Wytyczne techniczne dotyczące weryfikacji infrastruktury pod względem wpływu na klimat w latach 2021</w:t>
            </w:r>
            <w:r w:rsidRPr="005F77C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–</w:t>
            </w:r>
            <w:r w:rsidRPr="005F77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2027 (2021/C 373/01).</w:t>
            </w:r>
          </w:p>
          <w:p w14:paraId="46E9040A" w14:textId="5B95D3DF" w:rsidR="0037059A" w:rsidRPr="0037059A" w:rsidRDefault="0037059A" w:rsidP="002F136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70AD47" w:themeColor="accent6"/>
            </w:tcBorders>
          </w:tcPr>
          <w:p w14:paraId="27FA6F86" w14:textId="7777777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14:paraId="744CC048" w14:textId="5EE978CA" w:rsidR="0037059A" w:rsidRPr="0037059A" w:rsidRDefault="0037059A" w:rsidP="006E2F0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(0/1/)</w:t>
            </w:r>
          </w:p>
        </w:tc>
      </w:tr>
      <w:tr w:rsidR="0037059A" w:rsidRPr="0037059A" w14:paraId="687EE276" w14:textId="70B1D5EE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4B29E87C" w14:textId="5143FC4E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C8CCC4" w14:textId="77777777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Poprawność formalno-techniczna projektu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CA5FDC" w14:textId="1A179755" w:rsidR="0037059A" w:rsidRPr="0037059A" w:rsidRDefault="0037059A" w:rsidP="00CB0D3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Sprawdza się, czy dołączona dokumentacja projektowa została przygotowana zgodnie z zapisami Regulaminu wyboru projektów, jest kompletna, spójna i prawidłowo podpisana oraz czy nie zawiera błędów formalno-technicznych.</w:t>
            </w:r>
          </w:p>
          <w:p w14:paraId="721EA13D" w14:textId="16156715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1C1C9AC5" w14:textId="77777777" w:rsidR="0037059A" w:rsidRPr="0037059A" w:rsidRDefault="0037059A" w:rsidP="00DA2A1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5F77C7" w:rsidRPr="0037059A" w14:paraId="4DE2E231" w14:textId="77777777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0316B91F" w14:textId="529BBC62" w:rsidR="005F77C7" w:rsidRPr="0037059A" w:rsidRDefault="005F77C7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6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C8886C" w14:textId="61A084A0" w:rsidR="005F77C7" w:rsidRPr="0037059A" w:rsidRDefault="005F77C7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C7"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w tym podstawowych </w:t>
            </w:r>
            <w:r w:rsidRPr="005F77C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parametrów technicznych z obowiązującymi aktami prawnymi dotyczącymi realizowanej inwestycji</w:t>
            </w:r>
          </w:p>
        </w:tc>
        <w:tc>
          <w:tcPr>
            <w:tcW w:w="87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33B4CD1" w14:textId="77777777" w:rsidR="005F77C7" w:rsidRDefault="005F77C7" w:rsidP="005F77C7">
            <w:pPr>
              <w:spacing w:before="120"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W ramach kryterium badane jest czy projekt przygotowany/ przygotowywany jest na podstawie obowiązujących przepisów prawa. Wnioskodawca powinien wykazać </w:t>
            </w:r>
            <w:r>
              <w:rPr>
                <w:rFonts w:cs="Calibri"/>
                <w:sz w:val="24"/>
                <w:szCs w:val="24"/>
              </w:rPr>
              <w:lastRenderedPageBreak/>
              <w:t>możliwość realizacji inwestycji (w tym usług objętych projektem), zgodnie z obowiązującymi aktami prawnymi np. ustawą PZP, prawem budowlanym.</w:t>
            </w:r>
          </w:p>
          <w:p w14:paraId="74FED792" w14:textId="77777777" w:rsidR="005F77C7" w:rsidRDefault="005F77C7" w:rsidP="005F77C7">
            <w:pPr>
              <w:spacing w:before="120" w:after="0"/>
              <w:rPr>
                <w:rFonts w:cs="Calibri"/>
                <w:sz w:val="24"/>
                <w:szCs w:val="24"/>
              </w:rPr>
            </w:pPr>
          </w:p>
          <w:p w14:paraId="6FA10096" w14:textId="77777777" w:rsidR="005F77C7" w:rsidRDefault="005F77C7" w:rsidP="005F77C7">
            <w:pPr>
              <w:spacing w:before="120"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Jeżeli realizacja zgłoszonego do objęcia dofinansowaniem projektu rozpoczęła się przed dniem złożenia wniosku o dofinansowanie, oceniane będzie, czy w okresie tym przy realizacji projektu przestrzegano ww. przepisów prawa dotyczących danego projektu.  </w:t>
            </w:r>
          </w:p>
          <w:p w14:paraId="0EA060C6" w14:textId="77777777" w:rsidR="005F77C7" w:rsidRDefault="005F77C7" w:rsidP="005F77C7">
            <w:pPr>
              <w:spacing w:before="120" w:after="0"/>
              <w:rPr>
                <w:rFonts w:cs="Calibri"/>
                <w:sz w:val="24"/>
                <w:szCs w:val="24"/>
              </w:rPr>
            </w:pPr>
          </w:p>
          <w:p w14:paraId="39AD3D29" w14:textId="77777777" w:rsidR="005F77C7" w:rsidRDefault="005F77C7" w:rsidP="005F77C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 ramach kryterium weryfikuje się także, czy projekt nie jest powiązany z uzasadnioną opinią Komisji Europejskiej (KE) wydaną na podstawie art. 258 Traktatu o funkcjonowaniu Unii Europejskiej (TFUE) kwestionującą zgodność z prawem i prawidłowość wydatków lub wykonania projektu. </w:t>
            </w:r>
          </w:p>
          <w:p w14:paraId="46100E55" w14:textId="77777777" w:rsidR="005F77C7" w:rsidRDefault="005F77C7" w:rsidP="005F77C7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7102B4CF" w14:textId="77777777" w:rsidR="005F77C7" w:rsidRDefault="005F77C7" w:rsidP="005F77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Kryterium jest niespełnione w przypadku, gdy projekt jest bezpośrednio powiązany z taką opinią, tzn. miałby zostać zrealizowany na podstawie prawa, co do którego KE ma wątpliwości opisane w uzasadnionej opinii wydanej na podstawie ww. artykułu TFUE.</w:t>
            </w:r>
          </w:p>
          <w:p w14:paraId="3D264684" w14:textId="0FDF528D" w:rsidR="005F77C7" w:rsidRPr="0037059A" w:rsidRDefault="005F77C7" w:rsidP="005F77C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006C180A" w14:textId="01B79B8D" w:rsidR="005F77C7" w:rsidRPr="0037059A" w:rsidRDefault="005F77C7" w:rsidP="00DA2A1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37059A" w:rsidRPr="00796D16" w14:paraId="49060A39" w14:textId="66EB5F53" w:rsidTr="0037059A">
        <w:trPr>
          <w:trHeight w:val="564"/>
        </w:trPr>
        <w:tc>
          <w:tcPr>
            <w:tcW w:w="519" w:type="dxa"/>
            <w:noWrap/>
            <w:vAlign w:val="center"/>
          </w:tcPr>
          <w:p w14:paraId="7037DA80" w14:textId="2CC4C033" w:rsidR="0037059A" w:rsidRPr="0037059A" w:rsidRDefault="0037059A" w:rsidP="00DA2A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645" w:type="dxa"/>
            <w:vAlign w:val="center"/>
          </w:tcPr>
          <w:p w14:paraId="591A08EE" w14:textId="77777777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Finansowa trwałość projektu</w:t>
            </w:r>
          </w:p>
          <w:p w14:paraId="29C66127" w14:textId="56D5818B" w:rsidR="0037059A" w:rsidRPr="0037059A" w:rsidRDefault="0037059A" w:rsidP="00DA2A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8744" w:type="dxa"/>
            <w:vAlign w:val="center"/>
          </w:tcPr>
          <w:p w14:paraId="6455AD97" w14:textId="43D87AC9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Bada się finansową trwałość projektu na podstawie dokumentacji złożonej przez wnioskodawcę dla potrzeb weryfikacji spełniania kryterium.</w:t>
            </w:r>
          </w:p>
          <w:p w14:paraId="4AD3239A" w14:textId="77777777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86D86" w14:textId="0F2CAA85" w:rsidR="0037059A" w:rsidRPr="0037059A" w:rsidRDefault="0037059A" w:rsidP="00E8695E">
            <w:pPr>
              <w:spacing w:before="120" w:after="0"/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dotyczy projektów, w ramach których przedłożono uproszczone Studium Wykonalności Inwestycji – w sytuacji gdy Regulamin wyboru projektów dopuszcza taką możliwość.</w:t>
            </w:r>
          </w:p>
          <w:p w14:paraId="3A89EA5D" w14:textId="77D86440" w:rsidR="0037059A" w:rsidRPr="0037059A" w:rsidRDefault="0037059A" w:rsidP="00DA2A1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401" w:type="dxa"/>
            <w:vAlign w:val="center"/>
          </w:tcPr>
          <w:p w14:paraId="57F0B96A" w14:textId="23DBB80E" w:rsidR="0037059A" w:rsidRPr="005976AC" w:rsidRDefault="0037059A" w:rsidP="00DA2A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66C2BE5A" w14:textId="77777777" w:rsidR="00A60B9D" w:rsidRDefault="00A60B9D" w:rsidP="00D11BF8"/>
    <w:sectPr w:rsidR="00A60B9D" w:rsidSect="00614518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8890" w14:textId="77777777" w:rsidR="00A959E6" w:rsidRDefault="00A959E6" w:rsidP="005754B1">
      <w:pPr>
        <w:spacing w:after="0" w:line="240" w:lineRule="auto"/>
      </w:pPr>
      <w:r>
        <w:separator/>
      </w:r>
    </w:p>
  </w:endnote>
  <w:endnote w:type="continuationSeparator" w:id="0">
    <w:p w14:paraId="7219CD88" w14:textId="77777777" w:rsidR="00A959E6" w:rsidRDefault="00A959E6" w:rsidP="005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652099"/>
      <w:docPartObj>
        <w:docPartGallery w:val="Page Numbers (Bottom of Page)"/>
        <w:docPartUnique/>
      </w:docPartObj>
    </w:sdtPr>
    <w:sdtEndPr/>
    <w:sdtContent>
      <w:p w14:paraId="6986667C" w14:textId="77777777" w:rsidR="00845C54" w:rsidRDefault="00845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BE">
          <w:rPr>
            <w:noProof/>
          </w:rPr>
          <w:t>14</w:t>
        </w:r>
        <w:r>
          <w:fldChar w:fldCharType="end"/>
        </w:r>
      </w:p>
    </w:sdtContent>
  </w:sdt>
  <w:p w14:paraId="641683ED" w14:textId="77777777" w:rsidR="00845C54" w:rsidRDefault="00845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7807" w14:textId="77777777" w:rsidR="00A959E6" w:rsidRDefault="00A959E6" w:rsidP="005754B1">
      <w:pPr>
        <w:spacing w:after="0" w:line="240" w:lineRule="auto"/>
      </w:pPr>
      <w:r>
        <w:separator/>
      </w:r>
    </w:p>
  </w:footnote>
  <w:footnote w:type="continuationSeparator" w:id="0">
    <w:p w14:paraId="661F96FE" w14:textId="77777777" w:rsidR="00A959E6" w:rsidRDefault="00A959E6" w:rsidP="005754B1">
      <w:pPr>
        <w:spacing w:after="0" w:line="240" w:lineRule="auto"/>
      </w:pPr>
      <w:r>
        <w:continuationSeparator/>
      </w:r>
    </w:p>
  </w:footnote>
  <w:footnote w:id="1">
    <w:p w14:paraId="1B0411AB" w14:textId="77777777" w:rsidR="0037059A" w:rsidRDefault="0037059A">
      <w:pPr>
        <w:pStyle w:val="Tekstprzypisudolnego"/>
      </w:pPr>
      <w:r w:rsidRPr="0005767F">
        <w:rPr>
          <w:rStyle w:val="Odwoanieprzypisudolnego"/>
        </w:rPr>
        <w:footnoteRef/>
      </w:r>
      <w:r w:rsidRPr="0005767F">
        <w:t xml:space="preserve"> Rozporządzenie Parlamentu Europejskiego i Rady (UE) 2020/852 z dnia 18 czerwca 2020 r. w sprawie ustanowienia ram ułatwiających zrównoważone inwestycje, zmieniające rozporządzenie (UE) 2019/2088 (Dz. Urz. UE L 198 z 22.6.2020, s. 13) https://eur-lex.europa.eu/legalcontent/PL/TXT/PDF/?uri=CELEX:32020R0852&amp;from=PL</w:t>
      </w:r>
    </w:p>
  </w:footnote>
  <w:footnote w:id="2">
    <w:p w14:paraId="1C62C296" w14:textId="77777777" w:rsidR="005F77C7" w:rsidRDefault="005F77C7" w:rsidP="005F77C7">
      <w:pPr>
        <w:pStyle w:val="Tekstprzypisudolnego"/>
        <w:jc w:val="both"/>
      </w:pPr>
      <w:r w:rsidRPr="005F77C7">
        <w:rPr>
          <w:rStyle w:val="Odwoanieprzypisudolnego"/>
        </w:rPr>
        <w:footnoteRef/>
      </w:r>
      <w:r w:rsidRPr="005F77C7">
        <w:t xml:space="preserve"> z</w:t>
      </w:r>
      <w:r w:rsidRPr="005F77C7">
        <w:rPr>
          <w:rFonts w:cs="Calibri"/>
          <w14:ligatures w14:val="standardContextual"/>
        </w:rPr>
        <w:t xml:space="preserve">godnie z art. 2 pkt. 42 ROZPORZĄDZENIE PARLAMENTU EUROPEJSKIEGO I RADY (UE) 2021/1060 z dnia 24 czerwca 2021 r. „uodparnianie na zmiany klimatu” oznacza proces mający na celu zapobieganie podatności infrastruktury na potencjalne długoterminowe skutki zmian klimatu, przy jednoczesnym zapewnieniu przestrzegania zasady </w:t>
      </w:r>
      <w:r w:rsidRPr="005F77C7">
        <w:rPr>
          <w:rFonts w:cs="Calibri"/>
          <w:lang w:val="en-US"/>
          <w14:ligatures w14:val="standardContextual"/>
        </w:rPr>
        <w:t>„</w:t>
      </w:r>
      <w:r w:rsidRPr="005F77C7">
        <w:rPr>
          <w:rFonts w:cs="Calibri"/>
          <w14:ligatures w14:val="standardContextual"/>
        </w:rPr>
        <w:t>efektywności energetycznej przede wszystkim</w:t>
      </w:r>
      <w:r w:rsidRPr="005F77C7">
        <w:rPr>
          <w:rFonts w:cs="Calibri"/>
          <w:lang w:val="en-US"/>
          <w14:ligatures w14:val="standardContextual"/>
        </w:rPr>
        <w:t>”</w:t>
      </w:r>
      <w:r w:rsidRPr="005F77C7">
        <w:rPr>
          <w:rFonts w:cs="Calibri"/>
          <w14:ligatures w14:val="standardContextual"/>
        </w:rPr>
        <w:t xml:space="preserve"> oraz zgodności poziomu emisji gazów cieplarnianych wynikających z projektu z celem osiągnięcia neutralności klimatycznej w 2050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0A386B"/>
    <w:multiLevelType w:val="hybridMultilevel"/>
    <w:tmpl w:val="1D16223C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2032EF"/>
    <w:multiLevelType w:val="hybridMultilevel"/>
    <w:tmpl w:val="59767CE2"/>
    <w:lvl w:ilvl="0" w:tplc="16FE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81278">
    <w:abstractNumId w:val="5"/>
  </w:num>
  <w:num w:numId="2" w16cid:durableId="1526676687">
    <w:abstractNumId w:val="3"/>
  </w:num>
  <w:num w:numId="3" w16cid:durableId="146821415">
    <w:abstractNumId w:val="1"/>
  </w:num>
  <w:num w:numId="4" w16cid:durableId="1953323883">
    <w:abstractNumId w:val="7"/>
  </w:num>
  <w:num w:numId="5" w16cid:durableId="900948928">
    <w:abstractNumId w:val="0"/>
  </w:num>
  <w:num w:numId="6" w16cid:durableId="2131313391">
    <w:abstractNumId w:val="4"/>
  </w:num>
  <w:num w:numId="7" w16cid:durableId="1692796558">
    <w:abstractNumId w:val="8"/>
  </w:num>
  <w:num w:numId="8" w16cid:durableId="1332685400">
    <w:abstractNumId w:val="9"/>
  </w:num>
  <w:num w:numId="9" w16cid:durableId="1072240182">
    <w:abstractNumId w:val="6"/>
  </w:num>
  <w:num w:numId="10" w16cid:durableId="66709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E"/>
    <w:rsid w:val="00001AD5"/>
    <w:rsid w:val="000069C6"/>
    <w:rsid w:val="00007D77"/>
    <w:rsid w:val="000167EE"/>
    <w:rsid w:val="000172D4"/>
    <w:rsid w:val="00017AD3"/>
    <w:rsid w:val="0002111F"/>
    <w:rsid w:val="00022A9E"/>
    <w:rsid w:val="000246BE"/>
    <w:rsid w:val="00037514"/>
    <w:rsid w:val="00052D83"/>
    <w:rsid w:val="0005767F"/>
    <w:rsid w:val="00057723"/>
    <w:rsid w:val="00061230"/>
    <w:rsid w:val="00082328"/>
    <w:rsid w:val="000A54F7"/>
    <w:rsid w:val="000C1356"/>
    <w:rsid w:val="000C3110"/>
    <w:rsid w:val="000C712F"/>
    <w:rsid w:val="000F6C33"/>
    <w:rsid w:val="00106BE5"/>
    <w:rsid w:val="0011358E"/>
    <w:rsid w:val="00114BC5"/>
    <w:rsid w:val="0012554D"/>
    <w:rsid w:val="00132112"/>
    <w:rsid w:val="00136494"/>
    <w:rsid w:val="0014000B"/>
    <w:rsid w:val="00153F67"/>
    <w:rsid w:val="0016686A"/>
    <w:rsid w:val="001837CD"/>
    <w:rsid w:val="00185AEC"/>
    <w:rsid w:val="001968EB"/>
    <w:rsid w:val="001A7D43"/>
    <w:rsid w:val="001B38D1"/>
    <w:rsid w:val="001C312B"/>
    <w:rsid w:val="001C531D"/>
    <w:rsid w:val="001C6120"/>
    <w:rsid w:val="001E50F1"/>
    <w:rsid w:val="001E7A63"/>
    <w:rsid w:val="00206D0A"/>
    <w:rsid w:val="0022515E"/>
    <w:rsid w:val="00226B7A"/>
    <w:rsid w:val="00227CFE"/>
    <w:rsid w:val="00230912"/>
    <w:rsid w:val="0023169B"/>
    <w:rsid w:val="00231AEB"/>
    <w:rsid w:val="0024527B"/>
    <w:rsid w:val="002542FD"/>
    <w:rsid w:val="00254B82"/>
    <w:rsid w:val="00263B94"/>
    <w:rsid w:val="00275C03"/>
    <w:rsid w:val="00276D8F"/>
    <w:rsid w:val="00280262"/>
    <w:rsid w:val="00281697"/>
    <w:rsid w:val="0028241D"/>
    <w:rsid w:val="002863FB"/>
    <w:rsid w:val="002905DF"/>
    <w:rsid w:val="002A0A53"/>
    <w:rsid w:val="002A1569"/>
    <w:rsid w:val="002C58CD"/>
    <w:rsid w:val="002C679F"/>
    <w:rsid w:val="002D4A12"/>
    <w:rsid w:val="002D78D9"/>
    <w:rsid w:val="002D7FC0"/>
    <w:rsid w:val="002E1AB5"/>
    <w:rsid w:val="002F136F"/>
    <w:rsid w:val="002F152A"/>
    <w:rsid w:val="0030250E"/>
    <w:rsid w:val="00304AD6"/>
    <w:rsid w:val="00323E25"/>
    <w:rsid w:val="00334222"/>
    <w:rsid w:val="003514CF"/>
    <w:rsid w:val="00352A37"/>
    <w:rsid w:val="00355499"/>
    <w:rsid w:val="00364600"/>
    <w:rsid w:val="0037059A"/>
    <w:rsid w:val="00380812"/>
    <w:rsid w:val="0038419B"/>
    <w:rsid w:val="00395772"/>
    <w:rsid w:val="003B37F5"/>
    <w:rsid w:val="003C4CD0"/>
    <w:rsid w:val="003D1767"/>
    <w:rsid w:val="003D5838"/>
    <w:rsid w:val="003E5551"/>
    <w:rsid w:val="003E5C96"/>
    <w:rsid w:val="00410499"/>
    <w:rsid w:val="004202F7"/>
    <w:rsid w:val="00427B23"/>
    <w:rsid w:val="00432098"/>
    <w:rsid w:val="0043681D"/>
    <w:rsid w:val="00450368"/>
    <w:rsid w:val="00453349"/>
    <w:rsid w:val="00473287"/>
    <w:rsid w:val="00480219"/>
    <w:rsid w:val="00486062"/>
    <w:rsid w:val="00496894"/>
    <w:rsid w:val="004A72FD"/>
    <w:rsid w:val="004A7B4F"/>
    <w:rsid w:val="004D162B"/>
    <w:rsid w:val="004E6229"/>
    <w:rsid w:val="00503DFF"/>
    <w:rsid w:val="00505711"/>
    <w:rsid w:val="00510BEC"/>
    <w:rsid w:val="00512B99"/>
    <w:rsid w:val="00515267"/>
    <w:rsid w:val="00525BC2"/>
    <w:rsid w:val="0053506E"/>
    <w:rsid w:val="005420DF"/>
    <w:rsid w:val="005754B1"/>
    <w:rsid w:val="005849C5"/>
    <w:rsid w:val="00594E45"/>
    <w:rsid w:val="005976AC"/>
    <w:rsid w:val="00597ACD"/>
    <w:rsid w:val="005D2592"/>
    <w:rsid w:val="005F77C7"/>
    <w:rsid w:val="005F77FC"/>
    <w:rsid w:val="00614518"/>
    <w:rsid w:val="00621A59"/>
    <w:rsid w:val="006252C7"/>
    <w:rsid w:val="00644D79"/>
    <w:rsid w:val="00651BE6"/>
    <w:rsid w:val="00673E99"/>
    <w:rsid w:val="0067596F"/>
    <w:rsid w:val="00681E73"/>
    <w:rsid w:val="00684A5E"/>
    <w:rsid w:val="006935F8"/>
    <w:rsid w:val="00695807"/>
    <w:rsid w:val="006A50CE"/>
    <w:rsid w:val="006B2744"/>
    <w:rsid w:val="006B73FF"/>
    <w:rsid w:val="006E2F0D"/>
    <w:rsid w:val="00706AB9"/>
    <w:rsid w:val="007166DD"/>
    <w:rsid w:val="00727D0E"/>
    <w:rsid w:val="007462A5"/>
    <w:rsid w:val="007472A8"/>
    <w:rsid w:val="00754A5B"/>
    <w:rsid w:val="007574D4"/>
    <w:rsid w:val="00767308"/>
    <w:rsid w:val="0076772F"/>
    <w:rsid w:val="00770E98"/>
    <w:rsid w:val="00780DC4"/>
    <w:rsid w:val="00796D16"/>
    <w:rsid w:val="00797518"/>
    <w:rsid w:val="007A2844"/>
    <w:rsid w:val="007B22DB"/>
    <w:rsid w:val="007B7932"/>
    <w:rsid w:val="007D01D5"/>
    <w:rsid w:val="007E5C56"/>
    <w:rsid w:val="007F7FE0"/>
    <w:rsid w:val="008139F6"/>
    <w:rsid w:val="0084209E"/>
    <w:rsid w:val="00845C54"/>
    <w:rsid w:val="00851801"/>
    <w:rsid w:val="00853278"/>
    <w:rsid w:val="008559FA"/>
    <w:rsid w:val="00857D77"/>
    <w:rsid w:val="008649E2"/>
    <w:rsid w:val="008713FD"/>
    <w:rsid w:val="00887C2B"/>
    <w:rsid w:val="00893CF0"/>
    <w:rsid w:val="008948A2"/>
    <w:rsid w:val="00895471"/>
    <w:rsid w:val="008A2164"/>
    <w:rsid w:val="008A6831"/>
    <w:rsid w:val="008B22B2"/>
    <w:rsid w:val="008B7CA4"/>
    <w:rsid w:val="008C053A"/>
    <w:rsid w:val="008C0D47"/>
    <w:rsid w:val="008D0C99"/>
    <w:rsid w:val="008D61AB"/>
    <w:rsid w:val="008D6FA4"/>
    <w:rsid w:val="008E4B97"/>
    <w:rsid w:val="008F58CB"/>
    <w:rsid w:val="00903734"/>
    <w:rsid w:val="0091002D"/>
    <w:rsid w:val="0091104A"/>
    <w:rsid w:val="009346ED"/>
    <w:rsid w:val="00955629"/>
    <w:rsid w:val="00957E72"/>
    <w:rsid w:val="009615AF"/>
    <w:rsid w:val="009651D2"/>
    <w:rsid w:val="00974651"/>
    <w:rsid w:val="009979EC"/>
    <w:rsid w:val="009B54A5"/>
    <w:rsid w:val="009C6FFB"/>
    <w:rsid w:val="009F4BD4"/>
    <w:rsid w:val="009F621C"/>
    <w:rsid w:val="00A0172C"/>
    <w:rsid w:val="00A366AA"/>
    <w:rsid w:val="00A4062E"/>
    <w:rsid w:val="00A60B9D"/>
    <w:rsid w:val="00A616FD"/>
    <w:rsid w:val="00A722F7"/>
    <w:rsid w:val="00A85FAB"/>
    <w:rsid w:val="00A959E6"/>
    <w:rsid w:val="00AB4535"/>
    <w:rsid w:val="00B04E9E"/>
    <w:rsid w:val="00B13751"/>
    <w:rsid w:val="00B155FA"/>
    <w:rsid w:val="00B246AF"/>
    <w:rsid w:val="00B30C15"/>
    <w:rsid w:val="00B43E9D"/>
    <w:rsid w:val="00B80CD9"/>
    <w:rsid w:val="00B81AA1"/>
    <w:rsid w:val="00BA0ABF"/>
    <w:rsid w:val="00BB5248"/>
    <w:rsid w:val="00BB58E1"/>
    <w:rsid w:val="00BC36F1"/>
    <w:rsid w:val="00BD693A"/>
    <w:rsid w:val="00BD7D54"/>
    <w:rsid w:val="00BF43F6"/>
    <w:rsid w:val="00C2511D"/>
    <w:rsid w:val="00C356E9"/>
    <w:rsid w:val="00C61820"/>
    <w:rsid w:val="00C727DE"/>
    <w:rsid w:val="00CA5489"/>
    <w:rsid w:val="00CB0D3E"/>
    <w:rsid w:val="00CB3AB8"/>
    <w:rsid w:val="00CB5019"/>
    <w:rsid w:val="00CD5011"/>
    <w:rsid w:val="00CD69B1"/>
    <w:rsid w:val="00CF134C"/>
    <w:rsid w:val="00D066DE"/>
    <w:rsid w:val="00D11BF8"/>
    <w:rsid w:val="00D21622"/>
    <w:rsid w:val="00D246E0"/>
    <w:rsid w:val="00D32519"/>
    <w:rsid w:val="00D34D77"/>
    <w:rsid w:val="00D46A0F"/>
    <w:rsid w:val="00D66059"/>
    <w:rsid w:val="00D7412C"/>
    <w:rsid w:val="00D74659"/>
    <w:rsid w:val="00DA2073"/>
    <w:rsid w:val="00DA2A15"/>
    <w:rsid w:val="00DA3F9D"/>
    <w:rsid w:val="00DA7A63"/>
    <w:rsid w:val="00DF24D6"/>
    <w:rsid w:val="00DF2A07"/>
    <w:rsid w:val="00E025F5"/>
    <w:rsid w:val="00E047D5"/>
    <w:rsid w:val="00E06344"/>
    <w:rsid w:val="00E31FEE"/>
    <w:rsid w:val="00E44049"/>
    <w:rsid w:val="00E611D3"/>
    <w:rsid w:val="00E62E44"/>
    <w:rsid w:val="00E66B70"/>
    <w:rsid w:val="00E77DBA"/>
    <w:rsid w:val="00E85400"/>
    <w:rsid w:val="00E8695E"/>
    <w:rsid w:val="00E906FF"/>
    <w:rsid w:val="00EA548A"/>
    <w:rsid w:val="00EE0114"/>
    <w:rsid w:val="00EE2BA1"/>
    <w:rsid w:val="00F02B16"/>
    <w:rsid w:val="00F0335B"/>
    <w:rsid w:val="00F542A4"/>
    <w:rsid w:val="00F829CD"/>
    <w:rsid w:val="00F84943"/>
    <w:rsid w:val="00FA428E"/>
    <w:rsid w:val="00FC1668"/>
    <w:rsid w:val="00FC5202"/>
    <w:rsid w:val="00FD7626"/>
    <w:rsid w:val="00FE5864"/>
    <w:rsid w:val="00FF2726"/>
    <w:rsid w:val="00FF63B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DB6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uiPriority w:val="99"/>
    <w:unhideWhenUsed/>
    <w:qFormat/>
    <w:rsid w:val="00575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5754B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5754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C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5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5F77FC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01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7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C1A7-E879-43EB-A975-0D90A48C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2628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ANETA NOWOBILSKA</cp:lastModifiedBy>
  <cp:revision>28</cp:revision>
  <cp:lastPrinted>2023-03-01T08:24:00Z</cp:lastPrinted>
  <dcterms:created xsi:type="dcterms:W3CDTF">2025-05-12T14:16:00Z</dcterms:created>
  <dcterms:modified xsi:type="dcterms:W3CDTF">2025-06-02T08:29:00Z</dcterms:modified>
</cp:coreProperties>
</file>